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E05" w:rsidRPr="00843E05" w:rsidP="006443B8" w14:paraId="428E9597" w14:textId="205FBEC2">
      <w:pPr>
        <w:jc w:val="center"/>
      </w:pPr>
      <w:r w:rsidRPr="00843E05">
        <w:rPr>
          <w:b/>
          <w:bCs/>
        </w:rPr>
        <w:t>SUPPORTING STATEMENT FOR PAPERWORK REDUCTION ACT SUBMISSION</w:t>
      </w:r>
    </w:p>
    <w:p w:rsidR="00843E05" w:rsidRPr="00843E05" w:rsidP="006443B8" w14:paraId="730DA74E" w14:textId="4ABA6460">
      <w:pPr>
        <w:jc w:val="center"/>
      </w:pPr>
      <w:r w:rsidRPr="00843E05">
        <w:rPr>
          <w:b/>
          <w:bCs/>
        </w:rPr>
        <w:t xml:space="preserve">Perkins </w:t>
      </w:r>
      <w:r w:rsidR="00243541">
        <w:rPr>
          <w:b/>
          <w:bCs/>
        </w:rPr>
        <w:t xml:space="preserve">V </w:t>
      </w:r>
      <w:r w:rsidR="00B23D75">
        <w:rPr>
          <w:b/>
          <w:bCs/>
        </w:rPr>
        <w:t>Consolidated Annual Report (OMB Control Number 1830-0569)</w:t>
      </w:r>
    </w:p>
    <w:p w:rsidR="00843E05" w:rsidRPr="00843E05" w:rsidP="00843E05" w14:paraId="6DD8594A" w14:textId="77777777">
      <w:r w:rsidRPr="00843E05">
        <w:rPr>
          <w:b/>
          <w:bCs/>
        </w:rPr>
        <w:t>A. Justification</w:t>
      </w:r>
      <w:r w:rsidRPr="00843E05">
        <w:t> </w:t>
      </w:r>
    </w:p>
    <w:p w:rsidR="00843E05" w:rsidP="00843E05" w14:paraId="1FE652C3" w14:textId="77777777">
      <w:pPr>
        <w:numPr>
          <w:ilvl w:val="0"/>
          <w:numId w:val="1"/>
        </w:numPr>
      </w:pPr>
      <w:r w:rsidRPr="00843E05">
        <w:rPr>
          <w:b/>
          <w:bCs/>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r w:rsidRPr="00843E05">
        <w:t> </w:t>
      </w:r>
    </w:p>
    <w:p w:rsidR="00BD6A6E" w:rsidRPr="00BF368A" w:rsidP="00BD6A6E" w14:paraId="2120453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F368A">
        <w:rPr>
          <w:rStyle w:val="normaltextrun"/>
          <w:rFonts w:asciiTheme="minorHAnsi" w:hAnsiTheme="minorHAnsi" w:cstheme="minorHAnsi"/>
          <w:sz w:val="22"/>
          <w:szCs w:val="22"/>
        </w:rPr>
        <w:t>This is a request to discontinue the information collection used by the U.S. Department of Education (Department) to gather annual reports from eligible agencies under the Carl D. Perkins Career and Technical Education Act of 2006 (Perkins V or the Act) (20 U.S.C 2301 et seq.), the Consolidated Annual Report (CAR Guide</w:t>
      </w:r>
      <w:r>
        <w:rPr>
          <w:rStyle w:val="normaltextrun"/>
          <w:rFonts w:asciiTheme="minorHAnsi" w:hAnsiTheme="minorHAnsi" w:cstheme="minorHAnsi"/>
          <w:sz w:val="22"/>
          <w:szCs w:val="22"/>
        </w:rPr>
        <w:t>, CAR,</w:t>
      </w:r>
      <w:r w:rsidRPr="00BF368A">
        <w:rPr>
          <w:rStyle w:val="normaltextrun"/>
          <w:rFonts w:asciiTheme="minorHAnsi" w:hAnsiTheme="minorHAnsi" w:cstheme="minorHAnsi"/>
          <w:sz w:val="22"/>
          <w:szCs w:val="22"/>
        </w:rPr>
        <w:t xml:space="preserve"> or Guide) (OMB Control Number 1830-0569) that was approved by OMB on January 14, 2025, and to reinstate the previous OMB-approved version of the CAR Guide.</w:t>
      </w:r>
      <w:r w:rsidRPr="00BF368A">
        <w:rPr>
          <w:rStyle w:val="eop"/>
          <w:rFonts w:asciiTheme="minorHAnsi" w:hAnsiTheme="minorHAnsi" w:cstheme="minorHAnsi"/>
          <w:sz w:val="22"/>
          <w:szCs w:val="22"/>
        </w:rPr>
        <w:t> </w:t>
      </w:r>
    </w:p>
    <w:p w:rsidR="00BD6A6E" w:rsidRPr="00BF368A" w:rsidP="00BD6A6E" w14:paraId="6E0D507C" w14:textId="77777777">
      <w:pPr>
        <w:pStyle w:val="paragraph"/>
        <w:spacing w:before="0" w:beforeAutospacing="0" w:after="0" w:afterAutospacing="0"/>
        <w:textAlignment w:val="baseline"/>
        <w:rPr>
          <w:rFonts w:asciiTheme="minorHAnsi" w:hAnsiTheme="minorHAnsi" w:cstheme="minorHAnsi"/>
          <w:sz w:val="22"/>
          <w:szCs w:val="22"/>
        </w:rPr>
      </w:pPr>
    </w:p>
    <w:p w:rsidR="00BD6A6E" w:rsidRPr="00BF368A" w:rsidP="00BD6A6E" w14:paraId="0FD593A5" w14:textId="4A8A7DA3">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 xml:space="preserve">Annual reports consist of narrative information, financial status reports (FSRs), and performance data pursuant to section 113 of Perkins V, applicable Federal regulations pursuant to the Uniform Guidance (2 CFR </w:t>
      </w:r>
      <w:r>
        <w:rPr>
          <w:rStyle w:val="normaltextrun"/>
          <w:rFonts w:asciiTheme="minorHAnsi" w:hAnsiTheme="minorHAnsi" w:cstheme="minorHAnsi"/>
          <w:sz w:val="22"/>
          <w:szCs w:val="22"/>
        </w:rPr>
        <w:t xml:space="preserve">part </w:t>
      </w:r>
      <w:r w:rsidRPr="00BF368A">
        <w:rPr>
          <w:rStyle w:val="normaltextrun"/>
          <w:rFonts w:asciiTheme="minorHAnsi" w:hAnsiTheme="minorHAnsi" w:cstheme="minorHAnsi"/>
          <w:sz w:val="22"/>
          <w:szCs w:val="22"/>
        </w:rPr>
        <w:t xml:space="preserve">200), and the Education Department General Administrative Regulations (34 CFR </w:t>
      </w:r>
      <w:r>
        <w:rPr>
          <w:rStyle w:val="normaltextrun"/>
          <w:rFonts w:asciiTheme="minorHAnsi" w:hAnsiTheme="minorHAnsi" w:cstheme="minorHAnsi"/>
          <w:sz w:val="22"/>
          <w:szCs w:val="22"/>
        </w:rPr>
        <w:t xml:space="preserve">part </w:t>
      </w:r>
      <w:r w:rsidRPr="00BF368A">
        <w:rPr>
          <w:rStyle w:val="normaltextrun"/>
          <w:rFonts w:asciiTheme="minorHAnsi" w:hAnsiTheme="minorHAnsi" w:cstheme="minorHAnsi"/>
          <w:sz w:val="22"/>
          <w:szCs w:val="22"/>
        </w:rPr>
        <w:t xml:space="preserve">76).  Eligible agencies are </w:t>
      </w:r>
      <w:r>
        <w:rPr>
          <w:rStyle w:val="normaltextrun"/>
          <w:rFonts w:asciiTheme="minorHAnsi" w:hAnsiTheme="minorHAnsi" w:cstheme="minorHAnsi"/>
          <w:sz w:val="22"/>
          <w:szCs w:val="22"/>
        </w:rPr>
        <w:t>defined in section 3(18) of Perkins V as</w:t>
      </w:r>
      <w:r w:rsidRPr="00BF368A">
        <w:rPr>
          <w:rStyle w:val="normaltextrun"/>
          <w:rFonts w:asciiTheme="minorHAnsi" w:hAnsiTheme="minorHAnsi" w:cstheme="minorHAnsi"/>
          <w:sz w:val="22"/>
          <w:szCs w:val="22"/>
        </w:rPr>
        <w:t xml:space="preserve"> the State boards, or sole State agencies, responsible for the administration of career and technical education (CTE) in the 50 States; the District of Columbia; Puerto Rico; the outlying areas of the United State</w:t>
      </w:r>
      <w:r w:rsidR="001265E9">
        <w:rPr>
          <w:rStyle w:val="normaltextrun"/>
          <w:rFonts w:asciiTheme="minorHAnsi" w:hAnsiTheme="minorHAnsi" w:cstheme="minorHAnsi"/>
          <w:sz w:val="22"/>
          <w:szCs w:val="22"/>
        </w:rPr>
        <w:t>s</w:t>
      </w:r>
      <w:r w:rsidRPr="00BF368A">
        <w:rPr>
          <w:rStyle w:val="normaltextrun"/>
          <w:rFonts w:asciiTheme="minorHAnsi" w:hAnsiTheme="minorHAnsi" w:cstheme="minorHAnsi"/>
          <w:sz w:val="22"/>
          <w:szCs w:val="22"/>
        </w:rPr>
        <w:t xml:space="preserve"> Virgin Islands, Guam, American Samoa, the Commonwealth of the Northern Mariana Islands; and the Republic of Palau.  With few exceptions, the State boards delegate to another State agency responsibilities that involve the administration, operation, or supervision of its State plan, including the development and submission of the CAR.</w:t>
      </w:r>
      <w:r w:rsidRPr="00BF368A">
        <w:rPr>
          <w:rStyle w:val="eop"/>
          <w:rFonts w:asciiTheme="minorHAnsi" w:hAnsiTheme="minorHAnsi" w:cstheme="minorHAnsi"/>
          <w:sz w:val="22"/>
          <w:szCs w:val="22"/>
        </w:rPr>
        <w:t> </w:t>
      </w:r>
    </w:p>
    <w:p w:rsidR="00BD6A6E" w:rsidRPr="00BF368A" w:rsidP="00BD6A6E" w14:paraId="0F8DD85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4FB057D1" w14:textId="77777777">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Section 113(b)(3)(C) of Perkins V requires each eligible agency that receives an allotment under section 111 to annually prepare and submit to the Secretary a report regarding-</w:t>
      </w:r>
      <w:r w:rsidRPr="00BF368A">
        <w:rPr>
          <w:rStyle w:val="eop"/>
          <w:rFonts w:asciiTheme="minorHAnsi" w:hAnsiTheme="minorHAnsi" w:cstheme="minorHAnsi"/>
          <w:sz w:val="22"/>
          <w:szCs w:val="22"/>
        </w:rPr>
        <w:t> </w:t>
      </w:r>
    </w:p>
    <w:p w:rsidR="00BD6A6E" w:rsidRPr="00BF368A" w:rsidP="00BD6A6E" w14:paraId="3B25D633" w14:textId="77777777">
      <w:pPr>
        <w:pStyle w:val="paragraph"/>
        <w:numPr>
          <w:ilvl w:val="0"/>
          <w:numId w:val="39"/>
        </w:numPr>
        <w:spacing w:before="0" w:beforeAutospacing="0" w:after="0" w:afterAutospacing="0"/>
        <w:ind w:left="1080" w:firstLine="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the progress of the State in achieving the State determined levels of performance on the core indicators of performance described in section 113(b)(2) of the Act.</w:t>
      </w:r>
      <w:r w:rsidRPr="00BF368A">
        <w:rPr>
          <w:rStyle w:val="eop"/>
          <w:rFonts w:asciiTheme="minorHAnsi" w:hAnsiTheme="minorHAnsi" w:cstheme="minorHAnsi"/>
          <w:sz w:val="22"/>
          <w:szCs w:val="22"/>
        </w:rPr>
        <w:t> </w:t>
      </w:r>
    </w:p>
    <w:p w:rsidR="00BD6A6E" w:rsidRPr="00BF368A" w:rsidP="00BD6A6E" w14:paraId="3597443C" w14:textId="77777777">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the actual levels of performance for all CTE concentrators, and for each subgroup of students, as described in section 1111(h)(1)(C)(ii) of the Elementary and Secondary Education Act of 1965 (ESEA), and special populations, as described in section 3(48) of Perkins V.</w:t>
      </w:r>
      <w:r w:rsidRPr="00BF368A">
        <w:rPr>
          <w:rStyle w:val="eop"/>
          <w:rFonts w:asciiTheme="minorHAnsi" w:hAnsiTheme="minorHAnsi" w:cstheme="minorHAnsi"/>
          <w:sz w:val="22"/>
          <w:szCs w:val="22"/>
        </w:rPr>
        <w:t> </w:t>
      </w:r>
    </w:p>
    <w:p w:rsidR="00BD6A6E" w:rsidRPr="00BF368A" w:rsidP="00BD6A6E" w14:paraId="0721863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2C27C733" w14:textId="77777777">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Each eligible agency also must disaggregate data for each of the core indicators for the subgroups of students in ESEA section 1111(h)(1)(C)(ii), and special populations, as described in section 3(48) of Perkins V, that are served under Perkins V; and by the CTE programs or programs of study of the CTE concentrators, except that in a case in which reporting by such program or program of study is impractical, the data may be disaggregated by the career clusters of the CTE concentrators, if appropriate.</w:t>
      </w:r>
      <w:r w:rsidRPr="00BF368A">
        <w:rPr>
          <w:rStyle w:val="eop"/>
          <w:rFonts w:asciiTheme="minorHAnsi" w:hAnsiTheme="minorHAnsi" w:cstheme="minorHAnsi"/>
          <w:sz w:val="22"/>
          <w:szCs w:val="22"/>
        </w:rPr>
        <w:t> </w:t>
      </w:r>
    </w:p>
    <w:p w:rsidR="00BD6A6E" w:rsidRPr="00BF368A" w:rsidP="00BD6A6E" w14:paraId="0D11BEB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7CCEBF2E" w14:textId="77777777">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As a recipient of Federal funds, each eligible agency must comply with the requirements for submitting annual performance reports to the Department pursuant to 2 CFR 200.32</w:t>
      </w:r>
      <w:r>
        <w:rPr>
          <w:rStyle w:val="normaltextrun"/>
          <w:rFonts w:asciiTheme="minorHAnsi" w:hAnsiTheme="minorHAnsi" w:cstheme="minorHAnsi"/>
          <w:sz w:val="22"/>
          <w:szCs w:val="22"/>
        </w:rPr>
        <w:t>9</w:t>
      </w:r>
      <w:r w:rsidRPr="00BF368A">
        <w:rPr>
          <w:rStyle w:val="normaltextrun"/>
          <w:rFonts w:asciiTheme="minorHAnsi" w:hAnsiTheme="minorHAnsi" w:cstheme="minorHAnsi"/>
          <w:sz w:val="22"/>
          <w:szCs w:val="22"/>
        </w:rPr>
        <w:t xml:space="preserve">, including a comparison of </w:t>
      </w:r>
      <w:r w:rsidRPr="00BF368A">
        <w:rPr>
          <w:rStyle w:val="normaltextrun"/>
          <w:rFonts w:asciiTheme="minorHAnsi" w:hAnsiTheme="minorHAnsi" w:cstheme="minorHAnsi"/>
          <w:sz w:val="22"/>
          <w:szCs w:val="22"/>
        </w:rPr>
        <w:t>actual accomplishments to the objectives of the Federal award and, if applicable, the reasons why established goals were not met.</w:t>
      </w:r>
      <w:r w:rsidRPr="00BF368A">
        <w:rPr>
          <w:rStyle w:val="eop"/>
          <w:rFonts w:asciiTheme="minorHAnsi" w:hAnsiTheme="minorHAnsi" w:cstheme="minorHAnsi"/>
          <w:sz w:val="22"/>
          <w:szCs w:val="22"/>
        </w:rPr>
        <w:t> </w:t>
      </w:r>
    </w:p>
    <w:p w:rsidR="00BD6A6E" w:rsidRPr="00BF368A" w:rsidP="00BD6A6E" w14:paraId="2289513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08FD1DB9" w14:textId="77777777">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Finally, as a recipient of Federal funds, each eligible agency must comply with the requirements for submitting annual financial reports to the Department pursuant to 2 CFR 200.32</w:t>
      </w:r>
      <w:r>
        <w:rPr>
          <w:rStyle w:val="normaltextrun"/>
          <w:rFonts w:asciiTheme="minorHAnsi" w:hAnsiTheme="minorHAnsi" w:cstheme="minorHAnsi"/>
          <w:sz w:val="22"/>
          <w:szCs w:val="22"/>
        </w:rPr>
        <w:t>8</w:t>
      </w:r>
      <w:r w:rsidRPr="00BF368A">
        <w:rPr>
          <w:rStyle w:val="normaltextrun"/>
          <w:rFonts w:asciiTheme="minorHAnsi" w:hAnsiTheme="minorHAnsi" w:cstheme="minorHAnsi"/>
          <w:sz w:val="22"/>
          <w:szCs w:val="22"/>
        </w:rPr>
        <w:t xml:space="preserve">.  To meet these requirements, an eligible agency must complete two separate forms, an interim </w:t>
      </w:r>
      <w:r>
        <w:rPr>
          <w:rStyle w:val="normaltextrun"/>
          <w:rFonts w:asciiTheme="minorHAnsi" w:hAnsiTheme="minorHAnsi" w:cstheme="minorHAnsi"/>
          <w:sz w:val="22"/>
          <w:szCs w:val="22"/>
        </w:rPr>
        <w:t>financial status report (</w:t>
      </w:r>
      <w:r w:rsidRPr="00BF368A">
        <w:rPr>
          <w:rStyle w:val="normaltextrun"/>
          <w:rFonts w:asciiTheme="minorHAnsi" w:hAnsiTheme="minorHAnsi" w:cstheme="minorHAnsi"/>
          <w:sz w:val="22"/>
          <w:szCs w:val="22"/>
        </w:rPr>
        <w:t>FSR</w:t>
      </w:r>
      <w:r>
        <w:rPr>
          <w:rStyle w:val="normaltextrun"/>
          <w:rFonts w:asciiTheme="minorHAnsi" w:hAnsiTheme="minorHAnsi" w:cstheme="minorHAnsi"/>
          <w:sz w:val="22"/>
          <w:szCs w:val="22"/>
        </w:rPr>
        <w:t>)</w:t>
      </w:r>
      <w:r w:rsidRPr="00BF368A">
        <w:rPr>
          <w:rStyle w:val="normaltextrun"/>
          <w:rFonts w:asciiTheme="minorHAnsi" w:hAnsiTheme="minorHAnsi" w:cstheme="minorHAnsi"/>
          <w:sz w:val="22"/>
          <w:szCs w:val="22"/>
        </w:rPr>
        <w:t xml:space="preserve"> and a final FSR, each containing the same items.  The interim FSR covers the first 12 and/or 15-month period for which the grant was awarded, while the final FSR covers the entire 27-month period for which the grant was awarded.</w:t>
      </w:r>
      <w:r w:rsidRPr="00BF368A">
        <w:rPr>
          <w:rStyle w:val="eop"/>
          <w:rFonts w:asciiTheme="minorHAnsi" w:hAnsiTheme="minorHAnsi" w:cstheme="minorHAnsi"/>
          <w:sz w:val="22"/>
          <w:szCs w:val="22"/>
        </w:rPr>
        <w:t> </w:t>
      </w:r>
    </w:p>
    <w:p w:rsidR="00BD6A6E" w:rsidRPr="00BF368A" w:rsidP="00BD6A6E" w14:paraId="7169EFE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0825B635" w14:textId="77777777">
      <w:pPr>
        <w:pStyle w:val="paragraph"/>
        <w:spacing w:before="0" w:beforeAutospacing="0" w:after="0" w:afterAutospacing="0"/>
        <w:textAlignment w:val="baseline"/>
        <w:rPr>
          <w:rFonts w:asciiTheme="minorHAnsi" w:hAnsiTheme="minorHAnsi" w:cstheme="minorHAnsi"/>
          <w:sz w:val="22"/>
          <w:szCs w:val="22"/>
        </w:rPr>
      </w:pPr>
      <w:r w:rsidRPr="00BF368A">
        <w:rPr>
          <w:rStyle w:val="normaltextrun"/>
          <w:rFonts w:asciiTheme="minorHAnsi" w:hAnsiTheme="minorHAnsi" w:cstheme="minorHAnsi"/>
          <w:sz w:val="22"/>
          <w:szCs w:val="22"/>
        </w:rPr>
        <w:t xml:space="preserve">The Department has combined these reports into a single reporting instrument, the CAR.  Each eligible agency must submit its narrative performance report, FSRs, and performance data forms for the core indicators to the Perkins Consolidated Annual Report Portal at </w:t>
      </w:r>
      <w:hyperlink r:id="rId9" w:tgtFrame="_blank" w:history="1">
        <w:r w:rsidRPr="00BF368A">
          <w:rPr>
            <w:rStyle w:val="normaltextrun"/>
            <w:rFonts w:asciiTheme="minorHAnsi" w:hAnsiTheme="minorHAnsi" w:cstheme="minorHAnsi"/>
            <w:color w:val="0563C1"/>
            <w:sz w:val="22"/>
            <w:szCs w:val="22"/>
            <w:u w:val="single"/>
          </w:rPr>
          <w:t>https://Perkins.ed.gov</w:t>
        </w:r>
      </w:hyperlink>
      <w:r w:rsidRPr="00BF368A">
        <w:rPr>
          <w:rStyle w:val="normaltextrun"/>
          <w:rFonts w:asciiTheme="minorHAnsi" w:hAnsiTheme="minorHAnsi" w:cstheme="minorHAnsi"/>
          <w:sz w:val="22"/>
          <w:szCs w:val="22"/>
        </w:rPr>
        <w:t>.  The deadline for each eligible agency to submit its CAR submission is January 31 of the year following the most recently completed program year.</w:t>
      </w:r>
      <w:r w:rsidRPr="00BF368A">
        <w:rPr>
          <w:rStyle w:val="eop"/>
          <w:rFonts w:asciiTheme="minorHAnsi" w:hAnsiTheme="minorHAnsi" w:cstheme="minorHAnsi"/>
          <w:sz w:val="22"/>
          <w:szCs w:val="22"/>
        </w:rPr>
        <w:t> </w:t>
      </w:r>
    </w:p>
    <w:p w:rsidR="00BD6A6E" w:rsidRPr="00BF368A" w:rsidP="00BD6A6E" w14:paraId="29CBCCC6" w14:textId="77777777">
      <w:pPr>
        <w:pStyle w:val="NoSpacing"/>
        <w:rPr>
          <w:rFonts w:cstheme="minorHAnsi"/>
          <w:kern w:val="0"/>
        </w:rPr>
      </w:pPr>
    </w:p>
    <w:p w:rsidR="00BD6A6E" w:rsidRPr="00BF368A" w:rsidP="00BD6A6E" w14:paraId="0A7B8048" w14:textId="77777777">
      <w:pPr>
        <w:pStyle w:val="NoSpacing"/>
        <w:rPr>
          <w:rFonts w:cstheme="minorHAnsi"/>
        </w:rPr>
      </w:pPr>
      <w:r w:rsidRPr="00BF368A">
        <w:rPr>
          <w:rFonts w:cstheme="minorHAnsi"/>
        </w:rPr>
        <w:t>SUPPLEMENTARY INFORMATION:</w:t>
      </w:r>
    </w:p>
    <w:p w:rsidR="00BD6A6E" w:rsidRPr="00BF368A" w:rsidP="00BD6A6E" w14:paraId="3EF4EE0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D6A6E" w:rsidRPr="00BF368A" w:rsidP="00BD6A6E" w14:paraId="555D1C6C" w14:textId="77777777">
      <w:pPr>
        <w:pStyle w:val="paragraph"/>
        <w:spacing w:before="0" w:beforeAutospacing="0" w:after="0" w:afterAutospacing="0"/>
        <w:textAlignment w:val="baseline"/>
        <w:rPr>
          <w:rFonts w:asciiTheme="minorHAnsi" w:hAnsiTheme="minorHAnsi" w:cstheme="minorBidi"/>
          <w:sz w:val="22"/>
          <w:szCs w:val="22"/>
        </w:rPr>
      </w:pPr>
      <w:r w:rsidRPr="72A50560">
        <w:rPr>
          <w:rStyle w:val="normaltextrun"/>
          <w:rFonts w:asciiTheme="minorHAnsi" w:hAnsiTheme="minorHAnsi" w:cstheme="minorBidi"/>
          <w:sz w:val="22"/>
          <w:szCs w:val="22"/>
        </w:rPr>
        <w:t xml:space="preserve">On December 3, 2024, the Department issued a new information collection for the Consolidated Annual Report (CAR) requiring state and local CTE providers under the </w:t>
      </w:r>
      <w:r w:rsidRPr="72A50560">
        <w:rPr>
          <w:rStyle w:val="normaltextrun"/>
          <w:rFonts w:asciiTheme="minorHAnsi" w:hAnsiTheme="minorHAnsi" w:cstheme="minorBidi"/>
          <w:i/>
          <w:sz w:val="22"/>
          <w:szCs w:val="22"/>
        </w:rPr>
        <w:t xml:space="preserve">Carl D. Perkins Career and Technical Education Act of 2006 </w:t>
      </w:r>
      <w:r w:rsidRPr="72A50560">
        <w:rPr>
          <w:rStyle w:val="normaltextrun"/>
          <w:rFonts w:asciiTheme="minorHAnsi" w:hAnsiTheme="minorHAnsi" w:cstheme="minorBidi"/>
          <w:sz w:val="22"/>
          <w:szCs w:val="22"/>
        </w:rPr>
        <w:t xml:space="preserve">(Perkins V) to revise their Perkins V State Plans. The changes constituted a more federally prescriptive role not detailed under Perkins V by requiring states to </w:t>
      </w:r>
      <w:r w:rsidRPr="72A50560">
        <w:rPr>
          <w:rFonts w:asciiTheme="minorHAnsi" w:hAnsiTheme="minorHAnsi" w:cstheme="minorBidi"/>
          <w:sz w:val="22"/>
          <w:szCs w:val="22"/>
        </w:rPr>
        <w:t xml:space="preserve">establish numerators and denominators for core performance indicators of career and technical education (CTE) concentrators, develop procedures for identifying and validating CTE concentrators, report data on middle grades learners served with Perkins V funds, and disaggregating requirements for Perkins V placement measures by “placement type”, including placements in “high-skill / wage” sectors and related careers. In the </w:t>
      </w:r>
      <w:r w:rsidRPr="72A50560">
        <w:rPr>
          <w:rFonts w:asciiTheme="minorHAnsi" w:hAnsiTheme="minorHAnsi" w:cstheme="minorBidi"/>
          <w:i/>
          <w:sz w:val="22"/>
          <w:szCs w:val="22"/>
        </w:rPr>
        <w:t>Federal Register</w:t>
      </w:r>
      <w:r w:rsidRPr="72A50560">
        <w:rPr>
          <w:rFonts w:asciiTheme="minorHAnsi" w:hAnsiTheme="minorHAnsi" w:cstheme="minorBidi"/>
          <w:sz w:val="22"/>
          <w:szCs w:val="22"/>
        </w:rPr>
        <w:t xml:space="preserve"> notice, the Department stated that it made this update to reportedly advance several goals: (1) require states to measure consistent indicators; (2) reduce the collection of potentially duplicative information; (3) promote the collection of data on the post-program placement outcomes of CTE concentrators; and (4) improve the consistency of the data collected from states to facilitate the “aggregate analysis” of performance data and state-by-state comparison of the law. During the public comment period, the Department received letters and feedback from the CTE community, an overwhelmingly majority in opposition to the revised CAR. Following the publication of the final information collection, the Department has continued to receive opposition from states, high schools, and community leaders, as well as public officials, raising significant concerns about the impact of the CAR Guide on state and local programs.</w:t>
      </w:r>
    </w:p>
    <w:p w:rsidR="00BD6A6E" w:rsidRPr="00BF368A" w:rsidP="00BD6A6E" w14:paraId="701841CF" w14:textId="77777777">
      <w:pPr>
        <w:pStyle w:val="paragraph"/>
        <w:spacing w:before="0" w:beforeAutospacing="0" w:after="0" w:afterAutospacing="0"/>
        <w:textAlignment w:val="baseline"/>
        <w:rPr>
          <w:rFonts w:asciiTheme="minorHAnsi" w:hAnsiTheme="minorHAnsi" w:cstheme="minorHAnsi"/>
          <w:sz w:val="22"/>
          <w:szCs w:val="22"/>
        </w:rPr>
      </w:pPr>
    </w:p>
    <w:p w:rsidR="00BD6A6E" w:rsidP="00BD6A6E" w14:paraId="6DA19596" w14:textId="157754CC">
      <w:pPr>
        <w:pStyle w:val="paragraph"/>
        <w:spacing w:before="0" w:beforeAutospacing="0" w:after="0" w:afterAutospacing="0"/>
        <w:textAlignment w:val="baseline"/>
        <w:rPr>
          <w:rStyle w:val="normaltextrun"/>
          <w:rFonts w:asciiTheme="minorHAnsi" w:hAnsiTheme="minorHAnsi" w:cstheme="minorBidi"/>
          <w:sz w:val="22"/>
          <w:szCs w:val="22"/>
        </w:rPr>
      </w:pPr>
      <w:r w:rsidRPr="72A50560">
        <w:rPr>
          <w:rFonts w:asciiTheme="minorHAnsi" w:hAnsiTheme="minorHAnsi" w:cstheme="minorBidi"/>
          <w:sz w:val="22"/>
          <w:szCs w:val="22"/>
        </w:rPr>
        <w:t xml:space="preserve">The Department is withdrawing the </w:t>
      </w:r>
      <w:r>
        <w:rPr>
          <w:rFonts w:asciiTheme="minorHAnsi" w:hAnsiTheme="minorHAnsi" w:cstheme="minorBidi"/>
          <w:sz w:val="22"/>
          <w:szCs w:val="22"/>
        </w:rPr>
        <w:t xml:space="preserve">December 2024 </w:t>
      </w:r>
      <w:r w:rsidRPr="72A50560">
        <w:rPr>
          <w:rFonts w:asciiTheme="minorHAnsi" w:hAnsiTheme="minorHAnsi" w:cstheme="minorBidi"/>
          <w:sz w:val="22"/>
          <w:szCs w:val="22"/>
        </w:rPr>
        <w:t xml:space="preserve">CAR Guide as part of a comprehensive review of current regulatory efforts to ensure that they align with the program priorities set by the Trump Administration. The Department believes that the recently approved </w:t>
      </w:r>
      <w:r w:rsidR="00455BC2">
        <w:rPr>
          <w:rFonts w:asciiTheme="minorHAnsi" w:hAnsiTheme="minorHAnsi" w:cstheme="minorBidi"/>
          <w:sz w:val="22"/>
          <w:szCs w:val="22"/>
        </w:rPr>
        <w:t xml:space="preserve">2024 </w:t>
      </w:r>
      <w:r w:rsidRPr="72A50560">
        <w:rPr>
          <w:rFonts w:asciiTheme="minorHAnsi" w:hAnsiTheme="minorHAnsi" w:cstheme="minorBidi"/>
          <w:sz w:val="22"/>
          <w:szCs w:val="22"/>
        </w:rPr>
        <w:t xml:space="preserve">CAR would be </w:t>
      </w:r>
      <w:r w:rsidR="00410798">
        <w:rPr>
          <w:rFonts w:asciiTheme="minorHAnsi" w:hAnsiTheme="minorHAnsi" w:cstheme="minorBidi"/>
          <w:sz w:val="22"/>
          <w:szCs w:val="22"/>
        </w:rPr>
        <w:t xml:space="preserve">massively </w:t>
      </w:r>
      <w:r w:rsidRPr="72A50560">
        <w:rPr>
          <w:rStyle w:val="normaltextrun"/>
          <w:rFonts w:asciiTheme="minorHAnsi" w:hAnsiTheme="minorHAnsi" w:cstheme="minorBidi"/>
          <w:sz w:val="22"/>
          <w:szCs w:val="22"/>
        </w:rPr>
        <w:t xml:space="preserve">disruptive and result in significant </w:t>
      </w:r>
      <w:r w:rsidRPr="72A50560" w:rsidR="00455BC2">
        <w:rPr>
          <w:rStyle w:val="normaltextrun"/>
          <w:rFonts w:asciiTheme="minorHAnsi" w:hAnsiTheme="minorHAnsi" w:cstheme="minorBidi"/>
          <w:sz w:val="22"/>
          <w:szCs w:val="22"/>
        </w:rPr>
        <w:t>administrative burden</w:t>
      </w:r>
      <w:r w:rsidR="00455BC2">
        <w:rPr>
          <w:rStyle w:val="normaltextrun"/>
          <w:rFonts w:asciiTheme="minorHAnsi" w:hAnsiTheme="minorHAnsi" w:cstheme="minorBidi"/>
          <w:sz w:val="22"/>
          <w:szCs w:val="22"/>
        </w:rPr>
        <w:t xml:space="preserve"> at the</w:t>
      </w:r>
      <w:r w:rsidRPr="72A50560" w:rsidR="00455BC2">
        <w:rPr>
          <w:rStyle w:val="normaltextrun"/>
          <w:rFonts w:asciiTheme="minorHAnsi" w:hAnsiTheme="minorHAnsi" w:cstheme="minorBidi"/>
          <w:sz w:val="22"/>
          <w:szCs w:val="22"/>
        </w:rPr>
        <w:t xml:space="preserve"> </w:t>
      </w:r>
      <w:r w:rsidRPr="72A50560">
        <w:rPr>
          <w:rStyle w:val="normaltextrun"/>
          <w:rFonts w:asciiTheme="minorHAnsi" w:hAnsiTheme="minorHAnsi" w:cstheme="minorBidi"/>
          <w:sz w:val="22"/>
          <w:szCs w:val="22"/>
        </w:rPr>
        <w:t>state and local level</w:t>
      </w:r>
      <w:r w:rsidR="00455BC2">
        <w:rPr>
          <w:rStyle w:val="normaltextrun"/>
          <w:rFonts w:asciiTheme="minorHAnsi" w:hAnsiTheme="minorHAnsi" w:cstheme="minorBidi"/>
          <w:sz w:val="22"/>
          <w:szCs w:val="22"/>
        </w:rPr>
        <w:t>s</w:t>
      </w:r>
      <w:r w:rsidRPr="72A50560">
        <w:rPr>
          <w:rStyle w:val="normaltextrun"/>
          <w:rFonts w:asciiTheme="minorHAnsi" w:hAnsiTheme="minorHAnsi" w:cstheme="minorBidi"/>
          <w:sz w:val="22"/>
          <w:szCs w:val="22"/>
        </w:rPr>
        <w:t xml:space="preserve"> by requiring states to revise how they report on their performance indicators. The </w:t>
      </w:r>
      <w:r w:rsidR="00455BC2">
        <w:rPr>
          <w:rStyle w:val="normaltextrun"/>
          <w:rFonts w:asciiTheme="minorHAnsi" w:hAnsiTheme="minorHAnsi" w:cstheme="minorBidi"/>
          <w:sz w:val="22"/>
          <w:szCs w:val="22"/>
        </w:rPr>
        <w:t xml:space="preserve">2024 </w:t>
      </w:r>
      <w:r w:rsidRPr="72A50560">
        <w:rPr>
          <w:rStyle w:val="normaltextrun"/>
          <w:rFonts w:asciiTheme="minorHAnsi" w:hAnsiTheme="minorHAnsi" w:cstheme="minorBidi"/>
          <w:sz w:val="22"/>
          <w:szCs w:val="22"/>
        </w:rPr>
        <w:t>CAR Guide would also disincentivize innovation by inviting states to set new definitions without acknowledging local and regional variations and weaken alignment and coordination with other federal laws governing education and workforce systems by requiring changes to academic indicators.</w:t>
      </w:r>
    </w:p>
    <w:p w:rsidR="00BD6A6E" w:rsidRPr="00BF368A" w:rsidP="00BD6A6E" w14:paraId="6AF49134"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00BD6A6E" w:rsidRPr="00BF368A" w:rsidP="00BD6A6E" w14:paraId="43735F84" w14:textId="43AE28FF">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The 2024 CAR Guide</w:t>
      </w:r>
      <w:r w:rsidRPr="72A50560">
        <w:rPr>
          <w:rStyle w:val="normaltextrun"/>
          <w:rFonts w:asciiTheme="minorHAnsi" w:hAnsiTheme="minorHAnsi" w:cstheme="minorBidi"/>
          <w:sz w:val="22"/>
          <w:szCs w:val="22"/>
        </w:rPr>
        <w:t xml:space="preserve"> </w:t>
      </w:r>
      <w:r w:rsidRPr="72A50560">
        <w:rPr>
          <w:rStyle w:val="normaltextrun"/>
          <w:rFonts w:asciiTheme="minorHAnsi" w:hAnsiTheme="minorHAnsi" w:cstheme="minorBidi"/>
          <w:sz w:val="22"/>
          <w:szCs w:val="22"/>
        </w:rPr>
        <w:t xml:space="preserve">would also reduce data quality by requiring local grantees to track and obtain data in new and different ways, negatively impacting their ability to utilize trend data to improve CTE </w:t>
      </w:r>
      <w:r w:rsidRPr="72A50560">
        <w:rPr>
          <w:rStyle w:val="normaltextrun"/>
          <w:rFonts w:asciiTheme="minorHAnsi" w:hAnsiTheme="minorHAnsi" w:cstheme="minorBidi"/>
          <w:sz w:val="22"/>
          <w:szCs w:val="22"/>
        </w:rPr>
        <w:t>programming at the local level. While the Department acknowledges the importance of measuring performance outcomes to ensure federal funding supports high-quality programs, the action taken through the ICR was burdensome and beyond the legislative language included in Perkins V. Finally, the CAR</w:t>
      </w:r>
      <w:r>
        <w:rPr>
          <w:rStyle w:val="normaltextrun"/>
          <w:rFonts w:asciiTheme="minorHAnsi" w:hAnsiTheme="minorHAnsi" w:cstheme="minorBidi"/>
          <w:sz w:val="22"/>
          <w:szCs w:val="22"/>
        </w:rPr>
        <w:t xml:space="preserve"> Guide</w:t>
      </w:r>
      <w:r w:rsidRPr="72A50560">
        <w:rPr>
          <w:rStyle w:val="normaltextrun"/>
          <w:rFonts w:asciiTheme="minorHAnsi" w:hAnsiTheme="minorHAnsi" w:cstheme="minorBidi"/>
          <w:sz w:val="22"/>
          <w:szCs w:val="22"/>
        </w:rPr>
        <w:t xml:space="preserve"> includes many terms that are not defined in statute.</w:t>
      </w:r>
    </w:p>
    <w:p w:rsidR="00BD6A6E" w:rsidRPr="00BF368A" w:rsidP="00BD6A6E" w14:paraId="3C242CE3" w14:textId="77777777">
      <w:pPr>
        <w:pStyle w:val="paragraph"/>
        <w:spacing w:before="0" w:beforeAutospacing="0" w:after="0" w:afterAutospacing="0"/>
        <w:textAlignment w:val="baseline"/>
        <w:rPr>
          <w:rFonts w:asciiTheme="minorHAnsi" w:hAnsiTheme="minorHAnsi" w:cstheme="minorHAnsi"/>
          <w:sz w:val="22"/>
          <w:szCs w:val="22"/>
        </w:rPr>
      </w:pPr>
    </w:p>
    <w:p w:rsidR="00BD6A6E" w:rsidRPr="00BF368A" w:rsidP="00BD6A6E" w14:paraId="52DAC373" w14:textId="3260811D">
      <w:pPr>
        <w:pStyle w:val="paragraph"/>
        <w:spacing w:before="0" w:beforeAutospacing="0" w:after="0" w:afterAutospacing="0"/>
        <w:textAlignment w:val="baseline"/>
        <w:rPr>
          <w:rFonts w:asciiTheme="minorHAnsi" w:hAnsiTheme="minorHAnsi" w:cstheme="minorHAnsi"/>
          <w:sz w:val="22"/>
          <w:szCs w:val="22"/>
        </w:rPr>
      </w:pPr>
      <w:r w:rsidRPr="00BF368A">
        <w:rPr>
          <w:rFonts w:asciiTheme="minorHAnsi" w:hAnsiTheme="minorHAnsi" w:cstheme="minorHAnsi"/>
          <w:sz w:val="22"/>
          <w:szCs w:val="22"/>
        </w:rPr>
        <w:t xml:space="preserve">The Department intends to </w:t>
      </w:r>
      <w:r w:rsidRPr="00BF368A">
        <w:rPr>
          <w:rStyle w:val="normaltextrun"/>
          <w:rFonts w:asciiTheme="minorHAnsi" w:hAnsiTheme="minorHAnsi" w:cstheme="minorHAnsi"/>
          <w:sz w:val="22"/>
          <w:szCs w:val="22"/>
        </w:rPr>
        <w:t>reinstate the prior</w:t>
      </w:r>
      <w:r>
        <w:rPr>
          <w:rStyle w:val="normaltextrun"/>
          <w:rFonts w:asciiTheme="minorHAnsi" w:hAnsiTheme="minorHAnsi" w:cstheme="minorHAnsi"/>
          <w:sz w:val="22"/>
          <w:szCs w:val="22"/>
        </w:rPr>
        <w:t>, previously approved,</w:t>
      </w:r>
      <w:r w:rsidRPr="00BF368A">
        <w:rPr>
          <w:rStyle w:val="normaltextrun"/>
          <w:rFonts w:asciiTheme="minorHAnsi" w:hAnsiTheme="minorHAnsi" w:cstheme="minorHAnsi"/>
          <w:sz w:val="22"/>
          <w:szCs w:val="22"/>
        </w:rPr>
        <w:t xml:space="preserve"> version of the </w:t>
      </w:r>
      <w:r>
        <w:rPr>
          <w:rStyle w:val="normaltextrun"/>
          <w:rFonts w:asciiTheme="minorHAnsi" w:hAnsiTheme="minorHAnsi" w:cstheme="minorHAnsi"/>
          <w:sz w:val="22"/>
          <w:szCs w:val="22"/>
        </w:rPr>
        <w:t>CAR Guide</w:t>
      </w:r>
      <w:r w:rsidRPr="00BF368A">
        <w:rPr>
          <w:rStyle w:val="normaltextrun"/>
          <w:rFonts w:asciiTheme="minorHAnsi" w:hAnsiTheme="minorHAnsi" w:cstheme="minorHAnsi"/>
          <w:sz w:val="22"/>
          <w:szCs w:val="22"/>
        </w:rPr>
        <w:t xml:space="preserve">. In doing so, eligible agencies would not be required to comply with the provisions in the </w:t>
      </w:r>
      <w:r w:rsidR="00455BC2">
        <w:rPr>
          <w:rStyle w:val="normaltextrun"/>
          <w:rFonts w:asciiTheme="minorHAnsi" w:hAnsiTheme="minorHAnsi" w:cstheme="minorHAnsi"/>
          <w:sz w:val="22"/>
          <w:szCs w:val="22"/>
        </w:rPr>
        <w:t xml:space="preserve">2024 </w:t>
      </w:r>
      <w:r>
        <w:rPr>
          <w:rStyle w:val="normaltextrun"/>
          <w:rFonts w:asciiTheme="minorHAnsi" w:hAnsiTheme="minorHAnsi" w:cstheme="minorHAnsi"/>
          <w:sz w:val="22"/>
          <w:szCs w:val="22"/>
        </w:rPr>
        <w:t>CAR Guide</w:t>
      </w:r>
      <w:r w:rsidRPr="00BF368A">
        <w:rPr>
          <w:rStyle w:val="normaltextrun"/>
          <w:rFonts w:asciiTheme="minorHAnsi" w:hAnsiTheme="minorHAnsi" w:cstheme="minorHAnsi"/>
          <w:sz w:val="22"/>
          <w:szCs w:val="22"/>
        </w:rPr>
        <w:t>, which total an estimated 1,000 hours of additional reporting compliance per state, but instead can be better spent on equipping the American workforce with the skills necessary to rebuild our economy.</w:t>
      </w:r>
      <w:r w:rsidRPr="00BF368A">
        <w:rPr>
          <w:rFonts w:asciiTheme="minorHAnsi" w:hAnsiTheme="minorHAnsi" w:cstheme="minorHAnsi"/>
          <w:sz w:val="22"/>
          <w:szCs w:val="22"/>
        </w:rPr>
        <w:t xml:space="preserve"> </w:t>
      </w:r>
    </w:p>
    <w:p w:rsidR="00BD6A6E" w:rsidRPr="00B767F8" w:rsidP="00BD6A6E" w14:paraId="2D88FB74" w14:textId="77777777">
      <w:pPr>
        <w:pStyle w:val="NoSpacing"/>
      </w:pPr>
    </w:p>
    <w:p w:rsidR="00BD6A6E" w:rsidP="00BD6A6E" w14:paraId="7B236176" w14:textId="77777777">
      <w:pPr>
        <w:spacing w:line="257" w:lineRule="auto"/>
        <w:rPr>
          <w:rFonts w:ascii="Calibri" w:eastAsia="Calibri" w:hAnsi="Calibri" w:cs="Calibri"/>
        </w:rPr>
      </w:pPr>
      <w:r w:rsidRPr="332D0734">
        <w:rPr>
          <w:rFonts w:ascii="Calibri" w:eastAsia="Calibri" w:hAnsi="Calibri" w:cs="Calibri"/>
          <w:color w:val="000000" w:themeColor="text1"/>
        </w:rPr>
        <w:t xml:space="preserve">Finally, the Department is making a </w:t>
      </w:r>
      <w:r w:rsidRPr="332D0734">
        <w:rPr>
          <w:rFonts w:ascii="Calibri" w:eastAsia="Calibri" w:hAnsi="Calibri" w:cs="Calibri"/>
          <w:i/>
          <w:iCs/>
          <w:color w:val="000000" w:themeColor="text1"/>
        </w:rPr>
        <w:t xml:space="preserve">de </w:t>
      </w:r>
      <w:r w:rsidRPr="332D0734">
        <w:rPr>
          <w:rFonts w:ascii="Calibri" w:eastAsia="Calibri" w:hAnsi="Calibri" w:cs="Calibri"/>
          <w:i/>
          <w:iCs/>
          <w:color w:val="000000" w:themeColor="text1"/>
        </w:rPr>
        <w:t>minimus</w:t>
      </w:r>
      <w:r w:rsidRPr="332D0734">
        <w:rPr>
          <w:rFonts w:ascii="Calibri" w:eastAsia="Calibri" w:hAnsi="Calibri" w:cs="Calibri"/>
          <w:i/>
          <w:iCs/>
          <w:color w:val="000000" w:themeColor="text1"/>
        </w:rPr>
        <w:t xml:space="preserve"> </w:t>
      </w:r>
      <w:r w:rsidRPr="332D0734">
        <w:rPr>
          <w:rFonts w:ascii="Calibri" w:eastAsia="Calibri" w:hAnsi="Calibri" w:cs="Calibri"/>
          <w:color w:val="000000" w:themeColor="text1"/>
        </w:rPr>
        <w:t xml:space="preserve">update by footnoting any reference to “gender” to explain that the Department applies the term “gender” as used in Perkins V to mean “sex,” as defined in section 2(a) of Executive Order 14168 “Defending Women from Gender Ideology Extremism and Restoring Biological Truth to the Federal Government.” The Perkins V statute at section 3(33) provides that: “Non-traditional fields means occupations or fields of work, such as careers in computer science, technology, and other current and emerging high-skill occupations, for which individuals from one </w:t>
      </w:r>
      <w:r w:rsidRPr="332D0734">
        <w:rPr>
          <w:rFonts w:ascii="Calibri" w:eastAsia="Calibri" w:hAnsi="Calibri" w:cs="Calibri"/>
          <w:color w:val="000000" w:themeColor="text1"/>
          <w:u w:val="single"/>
        </w:rPr>
        <w:t>gender</w:t>
      </w:r>
      <w:r w:rsidRPr="332D0734">
        <w:rPr>
          <w:rFonts w:ascii="Calibri" w:eastAsia="Calibri" w:hAnsi="Calibri" w:cs="Calibri"/>
          <w:color w:val="000000" w:themeColor="text1"/>
        </w:rPr>
        <w:t xml:space="preserve"> comprise less than 25 percent of the individuals employed in each such occupation or field of work.”  In implementing this statutory term, “non-traditional fields,” throughout the Guide, the Department uses the term “gender,” per the definition in section 3(33) of Perkins V.  Consistent with section 3(c) of Executive Order 14168 “Defending Women from Gender Ideology Extremism and Restoring Biological Truth to the Federal Government,” the Department applies the term “gender” as used in Perkins V to mean “sex,” as defined in Section 2(a) of Executive Order 14168, as “an individual’s immutable biological classification as either male or female.”  “Sex” is not a synonym for and does not include the concept of “gender identity.”</w:t>
      </w:r>
    </w:p>
    <w:p w:rsidR="00843E05" w:rsidRPr="0056751D" w:rsidP="00843E05" w14:paraId="73F50F19" w14:textId="77777777">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0000"/>
          <w:sz w:val="22"/>
          <w:szCs w:val="22"/>
        </w:rPr>
        <w:t>Indicate how, by whom, and for what purpose the information is to be used.  Except for a new collection, indicate the actual use the agency has made of the information received from the current collection.</w:t>
      </w:r>
      <w:r>
        <w:rPr>
          <w:rStyle w:val="eop"/>
          <w:rFonts w:ascii="Calibri" w:hAnsi="Calibri" w:cs="Calibri"/>
          <w:color w:val="000000"/>
          <w:sz w:val="22"/>
          <w:szCs w:val="22"/>
        </w:rPr>
        <w:t> </w:t>
      </w:r>
    </w:p>
    <w:p w:rsidR="0056751D" w:rsidRPr="00641B8E" w:rsidP="0056751D" w14:paraId="12CE1477" w14:textId="77777777">
      <w:pPr>
        <w:pStyle w:val="paragraph"/>
        <w:spacing w:before="0" w:beforeAutospacing="0" w:after="0" w:afterAutospacing="0"/>
        <w:ind w:left="720"/>
        <w:textAlignment w:val="baseline"/>
        <w:rPr>
          <w:rStyle w:val="eop"/>
          <w:rFonts w:ascii="Calibri" w:hAnsi="Calibri" w:cs="Calibri"/>
          <w:sz w:val="22"/>
          <w:szCs w:val="22"/>
        </w:rPr>
      </w:pPr>
    </w:p>
    <w:p w:rsidR="00641B8E" w:rsidP="00641B8E" w14:paraId="352FB033" w14:textId="0B3AAE6B">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The information gathered through this ICR</w:t>
      </w:r>
      <w:r w:rsidR="00780D63">
        <w:rPr>
          <w:rStyle w:val="eop"/>
          <w:rFonts w:ascii="Calibri" w:hAnsi="Calibri" w:cs="Calibri"/>
          <w:color w:val="000000"/>
          <w:sz w:val="22"/>
          <w:szCs w:val="22"/>
        </w:rPr>
        <w:t xml:space="preserve"> is used in a variety of ways.  First, narrative and financial information are reviewed by the Office of Career, Technical, and Adult Education</w:t>
      </w:r>
      <w:r w:rsidR="007F7C94">
        <w:rPr>
          <w:rStyle w:val="eop"/>
          <w:rFonts w:ascii="Calibri" w:hAnsi="Calibri" w:cs="Calibri"/>
          <w:color w:val="000000"/>
          <w:sz w:val="22"/>
          <w:szCs w:val="22"/>
        </w:rPr>
        <w:t>, Division of Academic and Technical Education (DATE) to determine each eligible agency’s compliance with provisions of Perkins V and applicable Federal regulations.  For example, eligible agencies are required</w:t>
      </w:r>
      <w:r w:rsidR="006C47B4">
        <w:rPr>
          <w:rStyle w:val="eop"/>
          <w:rFonts w:ascii="Calibri" w:hAnsi="Calibri" w:cs="Calibri"/>
          <w:color w:val="000000"/>
          <w:sz w:val="22"/>
          <w:szCs w:val="22"/>
        </w:rPr>
        <w:t xml:space="preserve"> in section 124 of Perkins V</w:t>
      </w:r>
      <w:r w:rsidR="007F7C94">
        <w:rPr>
          <w:rStyle w:val="eop"/>
          <w:rFonts w:ascii="Calibri" w:hAnsi="Calibri" w:cs="Calibri"/>
          <w:color w:val="000000"/>
          <w:sz w:val="22"/>
          <w:szCs w:val="22"/>
        </w:rPr>
        <w:t xml:space="preserve"> to implement specific leadership activities in their State, as well as identify and quantify any disparities or gaps in performance on State determined performance levels between any disaggregated category of students and all CTE concentrators served by the eligible agency.</w:t>
      </w:r>
    </w:p>
    <w:p w:rsidR="007F7C94" w:rsidP="00641B8E" w14:paraId="681E6385" w14:textId="77777777">
      <w:pPr>
        <w:pStyle w:val="paragraph"/>
        <w:spacing w:before="0" w:beforeAutospacing="0" w:after="0" w:afterAutospacing="0"/>
        <w:textAlignment w:val="baseline"/>
        <w:rPr>
          <w:rStyle w:val="eop"/>
          <w:rFonts w:ascii="Calibri" w:hAnsi="Calibri" w:cs="Calibri"/>
          <w:color w:val="000000"/>
          <w:sz w:val="22"/>
          <w:szCs w:val="22"/>
        </w:rPr>
      </w:pPr>
    </w:p>
    <w:p w:rsidR="007F7C94" w:rsidP="00641B8E" w14:paraId="62FF6C46" w14:textId="6C55E4AF">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Second, DATE staff review performance data to determine whether, and to what extent, each eligible agency has met its State determined performance levels for the core indicators described in section 113(b)(2) of Perkins V.  An eligible agency that did not meet at least 90 percent of the State determined performance level</w:t>
      </w:r>
      <w:r w:rsidR="00431163">
        <w:rPr>
          <w:rStyle w:val="eop"/>
          <w:rFonts w:ascii="Calibri" w:hAnsi="Calibri" w:cs="Calibri"/>
          <w:color w:val="000000"/>
          <w:sz w:val="22"/>
          <w:szCs w:val="22"/>
        </w:rPr>
        <w:t xml:space="preserve"> for any of the core indicators described in section 113(b)(2) of Perkins V is required to develop and submit, as part of its CAR, a program improvement plan with special consideration to the performance gaps identified under section 113(b)(3)(C)(ii)(II) of Perkins V.  The improvement plan must address each core indicator that the State failed to meet at </w:t>
      </w:r>
      <w:r w:rsidR="004E2F4C">
        <w:rPr>
          <w:rStyle w:val="eop"/>
          <w:rFonts w:ascii="Calibri" w:hAnsi="Calibri" w:cs="Calibri"/>
          <w:color w:val="000000"/>
          <w:sz w:val="22"/>
          <w:szCs w:val="22"/>
        </w:rPr>
        <w:t xml:space="preserve">the 90 percent level or above; disaggregated categories of students for which there were quantifiable disparities or gaps in performance compared to all students or any other category of students; steps that will be implemented, beginning in the current program year; staff members who are responsible for each action step; and the timeline for completing </w:t>
      </w:r>
      <w:r w:rsidR="004E2F4C">
        <w:rPr>
          <w:rStyle w:val="eop"/>
          <w:rFonts w:ascii="Calibri" w:hAnsi="Calibri" w:cs="Calibri"/>
          <w:color w:val="000000"/>
          <w:sz w:val="22"/>
          <w:szCs w:val="22"/>
        </w:rPr>
        <w:t xml:space="preserve">each action step.  DATE staff review these plans to determine if </w:t>
      </w:r>
      <w:r w:rsidR="008969F2">
        <w:rPr>
          <w:rStyle w:val="eop"/>
          <w:rFonts w:ascii="Calibri" w:hAnsi="Calibri" w:cs="Calibri"/>
          <w:color w:val="000000"/>
          <w:sz w:val="22"/>
          <w:szCs w:val="22"/>
        </w:rPr>
        <w:t>they are thorough and appropriate in addressing each indicator that was not met at the 90 percent level or above.</w:t>
      </w:r>
    </w:p>
    <w:p w:rsidR="008969F2" w:rsidP="00641B8E" w14:paraId="5B434F7A" w14:textId="77777777">
      <w:pPr>
        <w:pStyle w:val="paragraph"/>
        <w:spacing w:before="0" w:beforeAutospacing="0" w:after="0" w:afterAutospacing="0"/>
        <w:textAlignment w:val="baseline"/>
        <w:rPr>
          <w:rStyle w:val="eop"/>
          <w:rFonts w:ascii="Calibri" w:hAnsi="Calibri" w:cs="Calibri"/>
          <w:color w:val="000000"/>
          <w:sz w:val="22"/>
          <w:szCs w:val="22"/>
        </w:rPr>
      </w:pPr>
    </w:p>
    <w:p w:rsidR="008969F2" w:rsidP="00641B8E" w14:paraId="5EF9334C" w14:textId="0F23CBE1">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xml:space="preserve">Third, section 113(b)(3)(C)(iv)(III) </w:t>
      </w:r>
      <w:r w:rsidR="00D1496C">
        <w:rPr>
          <w:rStyle w:val="eop"/>
          <w:rFonts w:ascii="Calibri" w:hAnsi="Calibri" w:cs="Calibri"/>
          <w:color w:val="000000"/>
          <w:sz w:val="22"/>
          <w:szCs w:val="22"/>
        </w:rPr>
        <w:t xml:space="preserve">of Perkins V </w:t>
      </w:r>
      <w:r>
        <w:rPr>
          <w:rStyle w:val="eop"/>
          <w:rFonts w:ascii="Calibri" w:hAnsi="Calibri" w:cs="Calibri"/>
          <w:color w:val="000000"/>
          <w:sz w:val="22"/>
          <w:szCs w:val="22"/>
        </w:rPr>
        <w:t>require</w:t>
      </w:r>
      <w:r w:rsidR="00D1496C">
        <w:rPr>
          <w:rStyle w:val="eop"/>
          <w:rFonts w:ascii="Calibri" w:hAnsi="Calibri" w:cs="Calibri"/>
          <w:color w:val="000000"/>
          <w:sz w:val="22"/>
          <w:szCs w:val="22"/>
        </w:rPr>
        <w:t>s</w:t>
      </w:r>
      <w:r>
        <w:rPr>
          <w:rStyle w:val="eop"/>
          <w:rFonts w:ascii="Calibri" w:hAnsi="Calibri" w:cs="Calibri"/>
          <w:color w:val="000000"/>
          <w:sz w:val="22"/>
          <w:szCs w:val="22"/>
        </w:rPr>
        <w:t xml:space="preserve"> the Secretary to provide the appropriate committees of Congress copies of annual reports received by the Department form each eligible agency that receives funds under the Act.  Section 113(b)(3)(C)(iv)(I) of Perkins V further requires</w:t>
      </w:r>
      <w:r w:rsidR="008F65A0">
        <w:rPr>
          <w:rStyle w:val="eop"/>
          <w:rFonts w:ascii="Calibri" w:hAnsi="Calibri" w:cs="Calibri"/>
          <w:color w:val="000000"/>
          <w:sz w:val="22"/>
          <w:szCs w:val="22"/>
        </w:rPr>
        <w:t xml:space="preserve"> the Secretary to make the information contained in such reports available to the </w:t>
      </w:r>
      <w:r w:rsidR="00EE0FF1">
        <w:rPr>
          <w:rStyle w:val="eop"/>
          <w:rFonts w:ascii="Calibri" w:hAnsi="Calibri" w:cs="Calibri"/>
          <w:color w:val="000000"/>
          <w:sz w:val="22"/>
          <w:szCs w:val="22"/>
        </w:rPr>
        <w:t>public</w:t>
      </w:r>
      <w:r w:rsidR="008F65A0">
        <w:rPr>
          <w:rStyle w:val="eop"/>
          <w:rFonts w:ascii="Calibri" w:hAnsi="Calibri" w:cs="Calibri"/>
          <w:color w:val="000000"/>
          <w:sz w:val="22"/>
          <w:szCs w:val="22"/>
        </w:rPr>
        <w:t xml:space="preserve">.  To meet this obligation, DATE compiles the CAR data into an annual report to Congress and makes data available to the public online through the Perkins Collaborative Resource Network at </w:t>
      </w:r>
      <w:hyperlink r:id="rId10" w:history="1">
        <w:r w:rsidRPr="006A148D" w:rsidR="008F65A0">
          <w:rPr>
            <w:rStyle w:val="Hyperlink"/>
            <w:rFonts w:ascii="Calibri" w:hAnsi="Calibri" w:cs="Calibri"/>
            <w:sz w:val="22"/>
            <w:szCs w:val="22"/>
          </w:rPr>
          <w:t>http://cte.ed.gov</w:t>
        </w:r>
      </w:hyperlink>
      <w:r w:rsidR="008F65A0">
        <w:rPr>
          <w:rStyle w:val="eop"/>
          <w:rFonts w:ascii="Calibri" w:hAnsi="Calibri" w:cs="Calibri"/>
          <w:color w:val="000000"/>
          <w:sz w:val="22"/>
          <w:szCs w:val="22"/>
        </w:rPr>
        <w:t>.</w:t>
      </w:r>
    </w:p>
    <w:p w:rsidR="008F65A0" w:rsidP="00641B8E" w14:paraId="47A44E80" w14:textId="77777777">
      <w:pPr>
        <w:pStyle w:val="paragraph"/>
        <w:spacing w:before="0" w:beforeAutospacing="0" w:after="0" w:afterAutospacing="0"/>
        <w:textAlignment w:val="baseline"/>
        <w:rPr>
          <w:rStyle w:val="eop"/>
          <w:rFonts w:ascii="Calibri" w:hAnsi="Calibri" w:cs="Calibri"/>
          <w:color w:val="000000"/>
          <w:sz w:val="22"/>
          <w:szCs w:val="22"/>
        </w:rPr>
      </w:pPr>
    </w:p>
    <w:p w:rsidR="008F65A0" w:rsidP="00641B8E" w14:paraId="5D9FA083" w14:textId="0EE05044">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Fourth, fiscal data collected through the CAR is provided to the Institute of Education Science for analysis and use in the National Evaluation of Career and Technical Education under Perkins V.</w:t>
      </w:r>
    </w:p>
    <w:p w:rsidR="008F65A0" w:rsidP="00641B8E" w14:paraId="4FD8EC7D" w14:textId="77777777">
      <w:pPr>
        <w:pStyle w:val="paragraph"/>
        <w:spacing w:before="0" w:beforeAutospacing="0" w:after="0" w:afterAutospacing="0"/>
        <w:textAlignment w:val="baseline"/>
        <w:rPr>
          <w:rStyle w:val="eop"/>
          <w:rFonts w:ascii="Calibri" w:hAnsi="Calibri" w:cs="Calibri"/>
          <w:color w:val="000000"/>
          <w:sz w:val="22"/>
          <w:szCs w:val="22"/>
        </w:rPr>
      </w:pPr>
    </w:p>
    <w:p w:rsidR="008F65A0" w:rsidRPr="00843E05" w:rsidP="00641B8E" w14:paraId="1163141D" w14:textId="7AFF2CF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 xml:space="preserve">Finally, </w:t>
      </w:r>
      <w:r w:rsidR="002D4C31">
        <w:rPr>
          <w:rStyle w:val="eop"/>
          <w:rFonts w:ascii="Calibri" w:hAnsi="Calibri" w:cs="Calibri"/>
          <w:color w:val="000000"/>
          <w:sz w:val="22"/>
          <w:szCs w:val="22"/>
        </w:rPr>
        <w:t xml:space="preserve">DATE staff uses CAR information to determine which States will be monitored for an upcoming year or which States would benefit from technical assistance in particular areas.  Annual CAR reviews </w:t>
      </w:r>
      <w:r w:rsidR="00BA7712">
        <w:rPr>
          <w:rStyle w:val="eop"/>
          <w:rFonts w:ascii="Calibri" w:hAnsi="Calibri" w:cs="Calibri"/>
          <w:color w:val="000000"/>
          <w:sz w:val="22"/>
          <w:szCs w:val="22"/>
        </w:rPr>
        <w:t>help in the identification of topics for annual Data Quality Institutes that DATE hosts, as well as the decision to offer customized technical assistance to States on accountability issues.</w:t>
      </w:r>
      <w:r w:rsidR="00894968">
        <w:rPr>
          <w:rStyle w:val="eop"/>
          <w:rFonts w:ascii="Calibri" w:hAnsi="Calibri" w:cs="Calibri"/>
          <w:color w:val="000000"/>
          <w:sz w:val="22"/>
          <w:szCs w:val="22"/>
        </w:rPr>
        <w:t xml:space="preserve">  It is important to note that the Department’s ability to use States’ CAR submissions for the </w:t>
      </w:r>
      <w:r w:rsidR="00EE0FF1">
        <w:rPr>
          <w:rStyle w:val="eop"/>
          <w:rFonts w:ascii="Calibri" w:hAnsi="Calibri" w:cs="Calibri"/>
          <w:color w:val="000000"/>
          <w:sz w:val="22"/>
          <w:szCs w:val="22"/>
        </w:rPr>
        <w:t>previously stated</w:t>
      </w:r>
      <w:r w:rsidR="00894968">
        <w:rPr>
          <w:rStyle w:val="eop"/>
          <w:rFonts w:ascii="Calibri" w:hAnsi="Calibri" w:cs="Calibri"/>
          <w:color w:val="000000"/>
          <w:sz w:val="22"/>
          <w:szCs w:val="22"/>
        </w:rPr>
        <w:t xml:space="preserve"> purposes will not be imped</w:t>
      </w:r>
      <w:r w:rsidR="00EE0FF1">
        <w:rPr>
          <w:rStyle w:val="eop"/>
          <w:rFonts w:ascii="Calibri" w:hAnsi="Calibri" w:cs="Calibri"/>
          <w:color w:val="000000"/>
          <w:sz w:val="22"/>
          <w:szCs w:val="22"/>
        </w:rPr>
        <w:t>ed</w:t>
      </w:r>
      <w:r w:rsidR="00894968">
        <w:rPr>
          <w:rStyle w:val="eop"/>
          <w:rFonts w:ascii="Calibri" w:hAnsi="Calibri" w:cs="Calibri"/>
          <w:color w:val="000000"/>
          <w:sz w:val="22"/>
          <w:szCs w:val="22"/>
        </w:rPr>
        <w:t xml:space="preserve"> by discontinuing the recently OMB-approved CAR Guide and reinstating the previously approved version. </w:t>
      </w:r>
    </w:p>
    <w:p w:rsidR="00843E05" w:rsidRPr="00843E05" w:rsidP="00843E05" w14:paraId="42C54A26" w14:textId="77777777">
      <w:pPr>
        <w:pStyle w:val="paragraph"/>
        <w:spacing w:before="0" w:beforeAutospacing="0" w:after="0" w:afterAutospacing="0"/>
        <w:ind w:left="720"/>
        <w:textAlignment w:val="baseline"/>
        <w:rPr>
          <w:rStyle w:val="eop"/>
          <w:rFonts w:ascii="Calibri" w:hAnsi="Calibri" w:cs="Calibri"/>
          <w:sz w:val="22"/>
          <w:szCs w:val="22"/>
        </w:rPr>
      </w:pPr>
    </w:p>
    <w:p w:rsidR="00843E05" w:rsidRPr="00CB68BF" w:rsidP="00843E05" w14:paraId="5ECE5C64" w14:textId="2FF835D7">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0000"/>
          <w:sz w:val="22"/>
          <w:szCs w:val="22"/>
          <w:shd w:val="clear" w:color="auto" w:fill="FFFFFF"/>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r>
        <w:rPr>
          <w:rStyle w:val="eop"/>
          <w:rFonts w:ascii="Calibri" w:hAnsi="Calibri" w:cs="Calibri"/>
          <w:color w:val="000000"/>
          <w:sz w:val="22"/>
          <w:szCs w:val="22"/>
          <w:shd w:val="clear" w:color="auto" w:fill="FFFFFF"/>
        </w:rPr>
        <w:t> </w:t>
      </w:r>
    </w:p>
    <w:p w:rsidR="00CB68BF" w:rsidP="00CB68BF" w14:paraId="7E47DBB4" w14:textId="77777777">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rsidR="00CB68BF" w:rsidP="00CB68BF" w14:paraId="7FDB7F69" w14:textId="77623810">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 xml:space="preserve">Each eligible agency submits its CAR electronically via the Perkins CAR Portal </w:t>
      </w:r>
      <w:r w:rsidR="00C97CD7">
        <w:rPr>
          <w:rStyle w:val="eop"/>
          <w:rFonts w:ascii="Calibri" w:hAnsi="Calibri" w:cs="Calibri"/>
          <w:color w:val="000000"/>
          <w:sz w:val="22"/>
          <w:szCs w:val="22"/>
          <w:shd w:val="clear" w:color="auto" w:fill="FFFFFF"/>
        </w:rPr>
        <w:t xml:space="preserve">at </w:t>
      </w:r>
      <w:hyperlink r:id="rId11" w:history="1">
        <w:r w:rsidRPr="006A148D" w:rsidR="00C97CD7">
          <w:rPr>
            <w:rStyle w:val="Hyperlink"/>
            <w:rFonts w:ascii="Calibri" w:hAnsi="Calibri" w:cs="Calibri"/>
            <w:sz w:val="22"/>
            <w:szCs w:val="22"/>
            <w:shd w:val="clear" w:color="auto" w:fill="FFFFFF"/>
          </w:rPr>
          <w:t>https://perkins.ed.gov</w:t>
        </w:r>
      </w:hyperlink>
      <w:r w:rsidR="00C97CD7">
        <w:rPr>
          <w:rStyle w:val="eop"/>
          <w:rFonts w:ascii="Calibri" w:hAnsi="Calibri" w:cs="Calibri"/>
          <w:color w:val="000000"/>
          <w:sz w:val="22"/>
          <w:szCs w:val="22"/>
          <w:shd w:val="clear" w:color="auto" w:fill="FFFFFF"/>
        </w:rPr>
        <w:t>).  This website allows an eligible agency to complete its reporting using Web-based forms and to certify to the accuracy and completeness of its submission using electronica Personal Identification Numbers (PINs).  It is important to note that the use of PINs to certify and sign the CAR and FSRs is the same as certifying the documents with a hand-written signature by the State official.  States officials are responsible for protecting the confidentiality of their PIN and for any use of their PIN by another individual.</w:t>
      </w:r>
    </w:p>
    <w:p w:rsidR="00843E05" w:rsidP="00843E05" w14:paraId="1B512DF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43E05" w:rsidP="00843E05" w14:paraId="5DFB20B9" w14:textId="77777777">
      <w:pPr>
        <w:numPr>
          <w:ilvl w:val="0"/>
          <w:numId w:val="3"/>
        </w:numPr>
      </w:pPr>
      <w:r w:rsidRPr="00843E05">
        <w:rPr>
          <w:b/>
          <w:bCs/>
        </w:rPr>
        <w:t>Describe efforts to identify duplication.  Show specifically why any similar information already available cannot be used or modified for use for the purposes described in Item 2 above. </w:t>
      </w:r>
      <w:r w:rsidRPr="00843E05">
        <w:t> </w:t>
      </w:r>
    </w:p>
    <w:p w:rsidR="009137E2" w:rsidRPr="00843E05" w:rsidP="009137E2" w14:paraId="3DDFCB80" w14:textId="53398CD1">
      <w:r>
        <w:t>This is a unique data collection; there are no similar data collections which seek this information.</w:t>
      </w:r>
    </w:p>
    <w:p w:rsidR="00843E05" w:rsidP="00843E05" w14:paraId="20EECA8C" w14:textId="77777777">
      <w:pPr>
        <w:numPr>
          <w:ilvl w:val="0"/>
          <w:numId w:val="4"/>
        </w:numPr>
      </w:pPr>
      <w:r w:rsidRPr="00843E05">
        <w:t> </w:t>
      </w:r>
      <w:r w:rsidRPr="00843E05">
        <w:rPr>
          <w:b/>
          <w:bCs/>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843E05">
        <w:rPr>
          <w:b/>
          <w:bCs/>
        </w:rPr>
        <w:t>which is a government of a city, county, town, township, school district, or special district with a population of less than 50,000.</w:t>
      </w:r>
      <w:r w:rsidRPr="00843E05">
        <w:t> </w:t>
      </w:r>
    </w:p>
    <w:p w:rsidR="009137E2" w:rsidRPr="00843E05" w:rsidP="009137E2" w14:paraId="39DF6961" w14:textId="4E823119">
      <w:r>
        <w:t>This collection does not impact small businesses or other small entities.</w:t>
      </w:r>
    </w:p>
    <w:p w:rsidR="00843E05" w:rsidP="00843E05" w14:paraId="69090215" w14:textId="77777777">
      <w:pPr>
        <w:numPr>
          <w:ilvl w:val="0"/>
          <w:numId w:val="5"/>
        </w:numPr>
      </w:pPr>
      <w:r w:rsidRPr="00843E05">
        <w:t> </w:t>
      </w:r>
      <w:r w:rsidRPr="00843E05">
        <w:rPr>
          <w:b/>
          <w:bCs/>
        </w:rPr>
        <w:t>Describe the consequences to Federal program or policy activities if the collection is not conducted or is conducted less frequently, as well as any technical or legal obstacles to reducing burden.</w:t>
      </w:r>
      <w:r w:rsidRPr="00843E05">
        <w:t> </w:t>
      </w:r>
    </w:p>
    <w:p w:rsidR="00F3724D" w:rsidRPr="00F3724D" w:rsidP="00F3724D" w14:paraId="380DEC89" w14:textId="69A698C8">
      <w:pPr>
        <w:pStyle w:val="paragraph"/>
        <w:spacing w:before="0" w:beforeAutospacing="0" w:after="0" w:afterAutospacing="0"/>
        <w:textAlignment w:val="baseline"/>
        <w:rPr>
          <w:rStyle w:val="eop"/>
          <w:rFonts w:asciiTheme="minorHAnsi" w:hAnsiTheme="minorHAnsi" w:cstheme="minorHAnsi"/>
          <w:sz w:val="22"/>
          <w:szCs w:val="22"/>
        </w:rPr>
      </w:pPr>
      <w:r w:rsidRPr="00F3724D">
        <w:rPr>
          <w:rFonts w:asciiTheme="minorHAnsi" w:hAnsiTheme="minorHAnsi" w:cstheme="minorHAnsi"/>
          <w:sz w:val="22"/>
          <w:szCs w:val="22"/>
        </w:rPr>
        <w:t>Without the information gathered through the CAR, the Department would be unable to determine whether, and to what extent, States were complying with the Perkins V statute and applicable Federal regulations.  Moreover, the Department would be unable to sufficiently review each State’s progress</w:t>
      </w:r>
      <w:r w:rsidRPr="00F3724D" w:rsidR="007D791E">
        <w:rPr>
          <w:rFonts w:asciiTheme="minorHAnsi" w:hAnsiTheme="minorHAnsi" w:cstheme="minorHAnsi"/>
          <w:sz w:val="22"/>
          <w:szCs w:val="22"/>
        </w:rPr>
        <w:t xml:space="preserve"> in meeting its performance levels and determine its own effectiveness in helping eligible agencies achieve the purposes of the Act.  The Depar</w:t>
      </w:r>
      <w:r w:rsidRPr="00F3724D">
        <w:rPr>
          <w:rFonts w:asciiTheme="minorHAnsi" w:hAnsiTheme="minorHAnsi" w:cstheme="minorHAnsi"/>
          <w:sz w:val="22"/>
          <w:szCs w:val="22"/>
        </w:rPr>
        <w:t>tment would also be unable to comply with a statutory directive to report State performance data to Congress and the public</w:t>
      </w:r>
      <w:r>
        <w:rPr>
          <w:rFonts w:asciiTheme="minorHAnsi" w:hAnsiTheme="minorHAnsi" w:cstheme="minorHAnsi"/>
          <w:sz w:val="22"/>
          <w:szCs w:val="22"/>
        </w:rPr>
        <w:t>.  T</w:t>
      </w:r>
      <w:r w:rsidRPr="00F3724D">
        <w:rPr>
          <w:rStyle w:val="eop"/>
          <w:rFonts w:asciiTheme="minorHAnsi" w:hAnsiTheme="minorHAnsi" w:cstheme="minorHAnsi"/>
          <w:color w:val="000000"/>
          <w:sz w:val="22"/>
          <w:szCs w:val="22"/>
        </w:rPr>
        <w:t xml:space="preserve">he Department’s ability to </w:t>
      </w:r>
      <w:r>
        <w:rPr>
          <w:rStyle w:val="eop"/>
          <w:rFonts w:asciiTheme="minorHAnsi" w:hAnsiTheme="minorHAnsi" w:cstheme="minorHAnsi"/>
          <w:color w:val="000000"/>
          <w:sz w:val="22"/>
          <w:szCs w:val="22"/>
        </w:rPr>
        <w:t>make such determinations</w:t>
      </w:r>
      <w:r w:rsidR="008B162F">
        <w:rPr>
          <w:rStyle w:val="eop"/>
          <w:rFonts w:asciiTheme="minorHAnsi" w:hAnsiTheme="minorHAnsi" w:cstheme="minorHAnsi"/>
          <w:color w:val="000000"/>
          <w:sz w:val="22"/>
          <w:szCs w:val="22"/>
        </w:rPr>
        <w:t xml:space="preserve"> and to comply with statutory directives</w:t>
      </w:r>
      <w:r w:rsidRPr="00F3724D">
        <w:rPr>
          <w:rStyle w:val="eop"/>
          <w:rFonts w:asciiTheme="minorHAnsi" w:hAnsiTheme="minorHAnsi" w:cstheme="minorHAnsi"/>
          <w:color w:val="000000"/>
          <w:sz w:val="22"/>
          <w:szCs w:val="22"/>
        </w:rPr>
        <w:t xml:space="preserve"> will not be impeded by discontinuing the recently OMB-approved CAR Guide and reinstating the previously approved version. </w:t>
      </w:r>
    </w:p>
    <w:p w:rsidR="00271606" w:rsidRPr="00843E05" w:rsidP="00271606" w14:paraId="1FF78AC5" w14:textId="09380722"/>
    <w:p w:rsidR="00843E05" w:rsidRPr="00843E05" w:rsidP="00843E05" w14:paraId="67E0307F" w14:textId="77777777">
      <w:pPr>
        <w:numPr>
          <w:ilvl w:val="0"/>
          <w:numId w:val="6"/>
        </w:numPr>
      </w:pPr>
      <w:r w:rsidRPr="00843E05">
        <w:t> </w:t>
      </w:r>
      <w:r w:rsidRPr="00843E05">
        <w:rPr>
          <w:b/>
          <w:bCs/>
        </w:rPr>
        <w:t>Explain any special circumstances that would cause an information collection to be conducted in a manner:</w:t>
      </w:r>
      <w:r w:rsidRPr="00843E05">
        <w:t> </w:t>
      </w:r>
    </w:p>
    <w:p w:rsidR="00843E05" w:rsidRPr="00843E05" w:rsidP="00843E05" w14:paraId="1EB159EC" w14:textId="77777777">
      <w:pPr>
        <w:numPr>
          <w:ilvl w:val="0"/>
          <w:numId w:val="7"/>
        </w:numPr>
        <w:tabs>
          <w:tab w:val="clear" w:pos="720"/>
          <w:tab w:val="num" w:pos="1080"/>
        </w:tabs>
        <w:ind w:left="1080"/>
      </w:pPr>
      <w:r w:rsidRPr="00843E05">
        <w:rPr>
          <w:b/>
          <w:bCs/>
        </w:rPr>
        <w:t xml:space="preserve">requiring respondents to report information to the agency more often than </w:t>
      </w:r>
      <w:r w:rsidRPr="00843E05">
        <w:rPr>
          <w:b/>
          <w:bCs/>
        </w:rPr>
        <w:t>quarterly;</w:t>
      </w:r>
      <w:r w:rsidRPr="00843E05">
        <w:t> </w:t>
      </w:r>
    </w:p>
    <w:p w:rsidR="00843E05" w:rsidRPr="00843E05" w:rsidP="00843E05" w14:paraId="14D367C9" w14:textId="77777777">
      <w:pPr>
        <w:numPr>
          <w:ilvl w:val="0"/>
          <w:numId w:val="8"/>
        </w:numPr>
        <w:tabs>
          <w:tab w:val="clear" w:pos="720"/>
          <w:tab w:val="num" w:pos="1080"/>
        </w:tabs>
        <w:ind w:left="1080"/>
      </w:pPr>
      <w:r w:rsidRPr="00843E05">
        <w:rPr>
          <w:b/>
          <w:bCs/>
        </w:rPr>
        <w:t xml:space="preserve">requiring respondents to prepare a written response to a collection of information in fewer than 30 days after receipt of </w:t>
      </w:r>
      <w:r w:rsidRPr="00843E05">
        <w:rPr>
          <w:b/>
          <w:bCs/>
        </w:rPr>
        <w:t>it;</w:t>
      </w:r>
      <w:r w:rsidRPr="00843E05">
        <w:t> </w:t>
      </w:r>
    </w:p>
    <w:p w:rsidR="00843E05" w:rsidRPr="00843E05" w:rsidP="00843E05" w14:paraId="0D415494" w14:textId="77777777">
      <w:pPr>
        <w:numPr>
          <w:ilvl w:val="0"/>
          <w:numId w:val="9"/>
        </w:numPr>
        <w:tabs>
          <w:tab w:val="clear" w:pos="720"/>
          <w:tab w:val="num" w:pos="1080"/>
        </w:tabs>
        <w:ind w:left="1080"/>
      </w:pPr>
      <w:r w:rsidRPr="00843E05">
        <w:rPr>
          <w:b/>
          <w:bCs/>
        </w:rPr>
        <w:t xml:space="preserve">requiring respondents to submit more than an original and two copies of any </w:t>
      </w:r>
      <w:r w:rsidRPr="00843E05">
        <w:rPr>
          <w:b/>
          <w:bCs/>
        </w:rPr>
        <w:t>document;</w:t>
      </w:r>
      <w:r w:rsidRPr="00843E05">
        <w:t> </w:t>
      </w:r>
    </w:p>
    <w:p w:rsidR="00843E05" w:rsidRPr="00843E05" w:rsidP="00843E05" w14:paraId="1E565AFB" w14:textId="77777777">
      <w:pPr>
        <w:numPr>
          <w:ilvl w:val="0"/>
          <w:numId w:val="10"/>
        </w:numPr>
        <w:tabs>
          <w:tab w:val="clear" w:pos="720"/>
          <w:tab w:val="num" w:pos="1080"/>
        </w:tabs>
        <w:ind w:left="1080"/>
      </w:pPr>
      <w:r w:rsidRPr="00843E05">
        <w:rPr>
          <w:b/>
          <w:bCs/>
        </w:rPr>
        <w:t xml:space="preserve">requiring respondents to retain records, other than health, medical, government contract, grant-in-aid, or tax records for more than three </w:t>
      </w:r>
      <w:r w:rsidRPr="00843E05">
        <w:rPr>
          <w:b/>
          <w:bCs/>
        </w:rPr>
        <w:t>years;</w:t>
      </w:r>
      <w:r w:rsidRPr="00843E05">
        <w:t> </w:t>
      </w:r>
    </w:p>
    <w:p w:rsidR="00843E05" w:rsidRPr="00843E05" w:rsidP="00843E05" w14:paraId="71ECFEE9" w14:textId="77777777">
      <w:pPr>
        <w:numPr>
          <w:ilvl w:val="0"/>
          <w:numId w:val="11"/>
        </w:numPr>
        <w:tabs>
          <w:tab w:val="clear" w:pos="720"/>
          <w:tab w:val="num" w:pos="1080"/>
        </w:tabs>
        <w:ind w:left="1080"/>
      </w:pPr>
      <w:r w:rsidRPr="00843E05">
        <w:rPr>
          <w:b/>
          <w:bCs/>
        </w:rPr>
        <w:t xml:space="preserve">in connection with a statistical survey, that is not designed to produce valid and reliable results than can be generalized to the universe of </w:t>
      </w:r>
      <w:r w:rsidRPr="00843E05">
        <w:rPr>
          <w:b/>
          <w:bCs/>
        </w:rPr>
        <w:t>study;</w:t>
      </w:r>
      <w:r w:rsidRPr="00843E05">
        <w:t> </w:t>
      </w:r>
    </w:p>
    <w:p w:rsidR="00843E05" w:rsidRPr="00843E05" w:rsidP="00843E05" w14:paraId="2BFC2589" w14:textId="77777777">
      <w:pPr>
        <w:numPr>
          <w:ilvl w:val="0"/>
          <w:numId w:val="12"/>
        </w:numPr>
        <w:tabs>
          <w:tab w:val="clear" w:pos="720"/>
          <w:tab w:val="num" w:pos="1080"/>
        </w:tabs>
        <w:ind w:left="1080"/>
      </w:pPr>
      <w:r w:rsidRPr="00843E05">
        <w:rPr>
          <w:b/>
          <w:bCs/>
        </w:rPr>
        <w:t xml:space="preserve">requiring the use of a statistical data classification that has not been reviewed and approved by </w:t>
      </w:r>
      <w:r w:rsidRPr="00843E05">
        <w:rPr>
          <w:b/>
          <w:bCs/>
        </w:rPr>
        <w:t>OMB;</w:t>
      </w:r>
      <w:r w:rsidRPr="00843E05">
        <w:t> </w:t>
      </w:r>
    </w:p>
    <w:p w:rsidR="00843E05" w:rsidP="00843E05" w14:paraId="3245A6C4" w14:textId="0329A674">
      <w:pPr>
        <w:numPr>
          <w:ilvl w:val="0"/>
          <w:numId w:val="13"/>
        </w:numPr>
        <w:tabs>
          <w:tab w:val="clear" w:pos="720"/>
          <w:tab w:val="num" w:pos="1080"/>
        </w:tabs>
        <w:ind w:left="1080"/>
      </w:pPr>
      <w:r w:rsidRPr="00843E05">
        <w:rPr>
          <w:b/>
          <w:b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rsidRPr="00843E05">
        <w:t> </w:t>
      </w:r>
      <w:r w:rsidRPr="00843E05">
        <w:rPr>
          <w:b/>
          <w:bCs/>
        </w:rPr>
        <w:t>requiring respondents to submit proprietary trade secrets, or other confidential information unless the agency can demonstrate that it has instituted procedures to protect the information’s confidentiality to the extent permitted by law.</w:t>
      </w:r>
      <w:r w:rsidRPr="00843E05">
        <w:t> </w:t>
      </w:r>
    </w:p>
    <w:p w:rsidR="0072305A" w:rsidRPr="00843E05" w:rsidP="0072305A" w14:paraId="14E081CC" w14:textId="59B2B8C2">
      <w:r>
        <w:t>There are no such special circumstances associated with this information collection.</w:t>
      </w:r>
    </w:p>
    <w:p w:rsidR="00843E05" w:rsidRPr="00843E05" w:rsidP="00843E05" w14:paraId="74986EFC" w14:textId="77777777">
      <w:pPr>
        <w:numPr>
          <w:ilvl w:val="0"/>
          <w:numId w:val="14"/>
        </w:numPr>
      </w:pPr>
      <w:r w:rsidRPr="00843E05">
        <w:rPr>
          <w:b/>
          <w:bCs/>
        </w:rPr>
        <w:t>As applicable, state that the Department has published the 60 and 30 Federal Register notices as required by 5 CFR 1320.8(d), soliciting comments on the information collection prior to submission to OMB.</w:t>
      </w:r>
      <w:r w:rsidRPr="00843E05">
        <w:t> </w:t>
      </w:r>
    </w:p>
    <w:p w:rsidR="00843E05" w:rsidRPr="00843E05" w:rsidP="00843E05" w14:paraId="16E69C88" w14:textId="77777777">
      <w:pPr>
        <w:numPr>
          <w:ilvl w:val="0"/>
          <w:numId w:val="15"/>
        </w:numPr>
        <w:tabs>
          <w:tab w:val="clear" w:pos="720"/>
          <w:tab w:val="num" w:pos="1080"/>
        </w:tabs>
        <w:ind w:left="1080"/>
      </w:pPr>
      <w:r w:rsidRPr="00843E05">
        <w:rPr>
          <w:b/>
          <w:bCs/>
        </w:rPr>
        <w:t xml:space="preserve">Include a citation for the </w:t>
      </w:r>
      <w:r w:rsidRPr="00843E05">
        <w:rPr>
          <w:b/>
          <w:bCs/>
        </w:rPr>
        <w:t>60 day</w:t>
      </w:r>
      <w:r w:rsidRPr="00843E05">
        <w:rPr>
          <w:b/>
          <w:bCs/>
        </w:rPr>
        <w:t xml:space="preserve"> comment period (e.g. Vol. 84 FR ##### and the date of publication).  Summarize public comments received in response to the </w:t>
      </w:r>
      <w:r w:rsidRPr="00843E05">
        <w:rPr>
          <w:b/>
          <w:bCs/>
        </w:rPr>
        <w:t>60 day</w:t>
      </w:r>
      <w:r w:rsidRPr="00843E05">
        <w:rPr>
          <w:b/>
          <w:bCs/>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r w:rsidRPr="00843E05">
        <w:t> </w:t>
      </w:r>
    </w:p>
    <w:p w:rsidR="00843E05" w:rsidRPr="00843E05" w:rsidP="00843E05" w14:paraId="280FD5DD" w14:textId="77777777">
      <w:pPr>
        <w:numPr>
          <w:ilvl w:val="0"/>
          <w:numId w:val="16"/>
        </w:numPr>
        <w:tabs>
          <w:tab w:val="clear" w:pos="720"/>
          <w:tab w:val="num" w:pos="1080"/>
        </w:tabs>
        <w:ind w:left="1080"/>
      </w:pPr>
      <w:r w:rsidRPr="00843E05">
        <w:rPr>
          <w:b/>
          <w:bCs/>
        </w:rPr>
        <w:t xml:space="preserve">For the </w:t>
      </w:r>
      <w:r w:rsidRPr="00843E05">
        <w:rPr>
          <w:b/>
          <w:bCs/>
        </w:rPr>
        <w:t>30 day</w:t>
      </w:r>
      <w:r w:rsidRPr="00843E05">
        <w:rPr>
          <w:b/>
          <w:bCs/>
        </w:rPr>
        <w:t xml:space="preserve"> notice, indicate that a notice will be published.</w:t>
      </w:r>
      <w:r w:rsidRPr="00843E05">
        <w:t> </w:t>
      </w:r>
    </w:p>
    <w:p w:rsidR="00843E05" w:rsidRPr="00843E05" w:rsidP="00843E05" w14:paraId="028C4B91" w14:textId="77777777">
      <w:pPr>
        <w:numPr>
          <w:ilvl w:val="0"/>
          <w:numId w:val="17"/>
        </w:numPr>
        <w:tabs>
          <w:tab w:val="clear" w:pos="720"/>
          <w:tab w:val="num" w:pos="1080"/>
        </w:tabs>
        <w:ind w:left="1080"/>
      </w:pPr>
      <w:r w:rsidRPr="00843E05">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Pr="00843E05">
        <w:t> </w:t>
      </w:r>
    </w:p>
    <w:p w:rsidR="00843E05" w:rsidP="00843E05" w14:paraId="5B3BA9B4" w14:textId="77777777">
      <w:pPr>
        <w:numPr>
          <w:ilvl w:val="0"/>
          <w:numId w:val="18"/>
        </w:numPr>
        <w:tabs>
          <w:tab w:val="clear" w:pos="720"/>
          <w:tab w:val="num" w:pos="1080"/>
        </w:tabs>
        <w:ind w:left="1080"/>
      </w:pPr>
      <w:r w:rsidRPr="00843E05">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43E05">
        <w:t> </w:t>
      </w:r>
    </w:p>
    <w:p w:rsidR="00EB057C" w:rsidRPr="00843E05" w:rsidP="00EB057C" w14:paraId="61F3A408" w14:textId="6E51A9F8">
      <w:r>
        <w:t>The Department will publish a 60-day notice in the Federal Register.  The Department will publish a 30-day notice in the Federal Register and will review and respond to the comments received.  Changes will be made when appropriate.</w:t>
      </w:r>
    </w:p>
    <w:p w:rsidR="00843E05" w:rsidP="00843E05" w14:paraId="186E2FDA" w14:textId="77777777">
      <w:pPr>
        <w:numPr>
          <w:ilvl w:val="0"/>
          <w:numId w:val="19"/>
        </w:numPr>
      </w:pPr>
      <w:r w:rsidRPr="00843E05">
        <w:t> </w:t>
      </w:r>
      <w:r w:rsidRPr="00843E05">
        <w:rPr>
          <w:b/>
          <w:bCs/>
        </w:rPr>
        <w:t>Explain any decision to provide any payment or gift to respondents, other than remuneration of contractors or grantees with meaningful justification.</w:t>
      </w:r>
      <w:r w:rsidRPr="00843E05">
        <w:t> </w:t>
      </w:r>
    </w:p>
    <w:p w:rsidR="00EB057C" w:rsidRPr="00843E05" w:rsidP="00EB057C" w14:paraId="60D52308" w14:textId="06774027">
      <w:r>
        <w:t>There will be no payments or gifts to respondents of this information collection.</w:t>
      </w:r>
    </w:p>
    <w:p w:rsidR="00843E05" w:rsidP="00843E05" w14:paraId="6135D742" w14:textId="77777777">
      <w:pPr>
        <w:numPr>
          <w:ilvl w:val="0"/>
          <w:numId w:val="20"/>
        </w:numPr>
      </w:pPr>
      <w:r w:rsidRPr="00843E05">
        <w:t> </w:t>
      </w:r>
      <w:r w:rsidRPr="00843E05">
        <w:rPr>
          <w:b/>
          <w:bC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843E05">
        <w:rPr>
          <w:b/>
          <w:bCs/>
          <w:vertAlign w:val="superscript"/>
        </w:rPr>
        <w:t>7</w:t>
      </w:r>
      <w:r w:rsidRPr="00843E05">
        <w:rPr>
          <w:b/>
          <w:bCs/>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r w:rsidRPr="00843E05">
        <w:t> </w:t>
      </w:r>
    </w:p>
    <w:p w:rsidR="00AD6DB2" w:rsidRPr="00843E05" w:rsidP="00AD6DB2" w14:paraId="111A36F5" w14:textId="7BFB7E2F">
      <w:r>
        <w:t>The Department makes no pledge about the confidentiality of the data provided by respondents of this information collection.</w:t>
      </w:r>
      <w:r w:rsidR="00F075C8">
        <w:t xml:space="preserve">  No personally identifiable information is collected; only State aggregate data is reported through this collection.</w:t>
      </w:r>
    </w:p>
    <w:p w:rsidR="00843E05" w:rsidP="00843E05" w14:paraId="52141BF2" w14:textId="77777777">
      <w:pPr>
        <w:numPr>
          <w:ilvl w:val="0"/>
          <w:numId w:val="21"/>
        </w:numPr>
      </w:pPr>
      <w:r w:rsidRPr="00843E05">
        <w:t> </w:t>
      </w:r>
      <w:r w:rsidRPr="00843E05">
        <w:rPr>
          <w:b/>
          <w:b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43E05">
        <w:t> </w:t>
      </w:r>
    </w:p>
    <w:p w:rsidR="006F7CC0" w:rsidRPr="00843E05" w:rsidP="006F7CC0" w14:paraId="1CAE8305" w14:textId="408EBA9D">
      <w:r>
        <w:t>There are no questions of a sensitive nature contained in this information collection.</w:t>
      </w:r>
    </w:p>
    <w:p w:rsidR="00843E05" w:rsidRPr="00843E05" w:rsidP="00843E05" w14:paraId="0816D3F9" w14:textId="77777777">
      <w:pPr>
        <w:numPr>
          <w:ilvl w:val="0"/>
          <w:numId w:val="22"/>
        </w:numPr>
      </w:pPr>
      <w:r w:rsidRPr="00843E05">
        <w:t> </w:t>
      </w:r>
      <w:r w:rsidRPr="00843E05">
        <w:rPr>
          <w:b/>
          <w:bCs/>
        </w:rPr>
        <w:t>Provide estimates of the hour burden for this current information collection request.  The statement should:</w:t>
      </w:r>
      <w:r w:rsidRPr="00843E05">
        <w:t> </w:t>
      </w:r>
    </w:p>
    <w:p w:rsidR="00843E05" w:rsidRPr="00843E05" w:rsidP="00843E05" w14:paraId="6ECEBC8A" w14:textId="77777777">
      <w:pPr>
        <w:numPr>
          <w:ilvl w:val="0"/>
          <w:numId w:val="23"/>
        </w:numPr>
        <w:tabs>
          <w:tab w:val="clear" w:pos="720"/>
          <w:tab w:val="num" w:pos="1080"/>
        </w:tabs>
        <w:ind w:left="1080"/>
      </w:pPr>
      <w:r w:rsidRPr="00843E05">
        <w:rPr>
          <w:b/>
          <w:bCs/>
        </w:rPr>
        <w:t xml:space="preserve">Provide an explanation of how the burden was estimated, including identification of burden type: recordkeeping, reporting or </w:t>
      </w:r>
      <w:r w:rsidRPr="00843E05">
        <w:rPr>
          <w:b/>
          <w:bCs/>
        </w:rPr>
        <w:t>third party</w:t>
      </w:r>
      <w:r w:rsidRPr="00843E05">
        <w:rPr>
          <w:b/>
          <w:bCs/>
        </w:rPr>
        <w:t xml:space="preserve"> disclosure.  Address changes in burden due to the use of technology (if applicable). Generally, estimates should not include burden hours for customary and usual business practices.</w:t>
      </w:r>
      <w:r w:rsidRPr="00843E05">
        <w:t> </w:t>
      </w:r>
    </w:p>
    <w:p w:rsidR="00843E05" w:rsidRPr="00843E05" w:rsidP="00843E05" w14:paraId="0C23E61C" w14:textId="77777777">
      <w:pPr>
        <w:numPr>
          <w:ilvl w:val="0"/>
          <w:numId w:val="24"/>
        </w:numPr>
        <w:tabs>
          <w:tab w:val="clear" w:pos="720"/>
          <w:tab w:val="num" w:pos="1080"/>
        </w:tabs>
        <w:ind w:left="1080"/>
      </w:pPr>
      <w:r w:rsidRPr="00843E05">
        <w:rPr>
          <w:b/>
          <w:bCs/>
        </w:rPr>
        <w:t>Please do not include increases in burden and respondents numerically in this table. Explain these changes in number 15.</w:t>
      </w:r>
      <w:r w:rsidRPr="00843E05">
        <w:t> </w:t>
      </w:r>
    </w:p>
    <w:p w:rsidR="00843E05" w:rsidRPr="00843E05" w:rsidP="00843E05" w14:paraId="583F69E8" w14:textId="77777777">
      <w:pPr>
        <w:numPr>
          <w:ilvl w:val="0"/>
          <w:numId w:val="25"/>
        </w:numPr>
        <w:tabs>
          <w:tab w:val="clear" w:pos="720"/>
          <w:tab w:val="num" w:pos="1080"/>
        </w:tabs>
        <w:ind w:left="1080"/>
      </w:pPr>
      <w:r w:rsidRPr="00843E05">
        <w:rPr>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r w:rsidRPr="00843E05">
        <w:t> </w:t>
      </w:r>
    </w:p>
    <w:p w:rsidR="00843E05" w:rsidRPr="00843E05" w:rsidP="00843E05" w14:paraId="13CEC9CB" w14:textId="77777777">
      <w:pPr>
        <w:numPr>
          <w:ilvl w:val="0"/>
          <w:numId w:val="26"/>
        </w:numPr>
        <w:tabs>
          <w:tab w:val="clear" w:pos="720"/>
          <w:tab w:val="num" w:pos="1080"/>
        </w:tabs>
        <w:ind w:left="1080"/>
      </w:pPr>
      <w:r w:rsidRPr="00843E05">
        <w:rPr>
          <w:b/>
          <w:bCs/>
        </w:rPr>
        <w:t>If this request for approval covers more than one form, provide separate hour burden estimates for each form and aggregate the hour burden in the table below.</w:t>
      </w:r>
      <w:r w:rsidRPr="00843E05">
        <w:t> </w:t>
      </w:r>
    </w:p>
    <w:p w:rsidR="00843E05" w:rsidRPr="00843E05" w:rsidP="00843E05" w14:paraId="7F20226C" w14:textId="77777777">
      <w:pPr>
        <w:numPr>
          <w:ilvl w:val="0"/>
          <w:numId w:val="27"/>
        </w:numPr>
        <w:tabs>
          <w:tab w:val="clear" w:pos="720"/>
          <w:tab w:val="num" w:pos="1080"/>
        </w:tabs>
        <w:ind w:left="1080"/>
      </w:pPr>
      <w:r w:rsidRPr="00843E05">
        <w:rPr>
          <w:b/>
          <w:bCs/>
        </w:rPr>
        <w:t xml:space="preserve">Provide estimates of annualized cost to respondents of the hour burdens for collections of information, identifying and using appropriate wage rate categories. </w:t>
      </w:r>
      <w:hyperlink r:id="rId12" w:tgtFrame="_blank" w:history="1">
        <w:r w:rsidRPr="00843E05">
          <w:rPr>
            <w:rStyle w:val="Hyperlink"/>
            <w:b/>
            <w:bCs/>
          </w:rPr>
          <w:t>Use this site</w:t>
        </w:r>
      </w:hyperlink>
      <w:r w:rsidRPr="00843E05">
        <w:rPr>
          <w:b/>
          <w:bC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r w:rsidRPr="00843E05">
        <w:t> </w:t>
      </w:r>
    </w:p>
    <w:p w:rsidR="00843E05" w:rsidP="00843E05" w14:paraId="0ED5737C" w14:textId="77777777">
      <w:pPr>
        <w:ind w:left="360"/>
      </w:pPr>
      <w:r w:rsidRPr="00843E05">
        <w:rPr>
          <w:b/>
          <w:bCs/>
        </w:rPr>
        <w:t>Provide a descriptive narrative here in addition to completing the table below with burden hour estimates.</w:t>
      </w:r>
      <w:r w:rsidRPr="00843E05">
        <w:t> </w:t>
      </w:r>
    </w:p>
    <w:p w:rsidR="00DD2985" w:rsidP="00843E05" w14:paraId="3D4A6187" w14:textId="0F9EE443">
      <w:pPr>
        <w:ind w:left="360"/>
      </w:pPr>
      <w:r>
        <w:t xml:space="preserve">The burden hours associated with this collection comprise the hours required by State officials to provide the narrative </w:t>
      </w:r>
      <w:r w:rsidR="00AA6840">
        <w:t>information, and</w:t>
      </w:r>
      <w:r>
        <w:t xml:space="preserve"> student enrollment, fiscal, and student outcome data required under Perkins V</w:t>
      </w:r>
      <w:r w:rsidR="00CE2D13">
        <w:t xml:space="preserve"> and associated Federal regulations.  Our estimate of the burden hours is based upon public comment and our past consultations with nine (9) State officials</w:t>
      </w:r>
      <w:r w:rsidR="00993DD3">
        <w:t xml:space="preserve"> in the agencies that respond to this ICR.</w:t>
      </w:r>
      <w:r w:rsidR="00131FEE">
        <w:t xml:space="preserve">  Discontinuing the currently OMB-approved </w:t>
      </w:r>
      <w:r w:rsidR="00E62A1A">
        <w:t xml:space="preserve">2024 </w:t>
      </w:r>
      <w:r w:rsidR="00131FEE">
        <w:t>CAR Guide and reinstating the previously approved version would result in a decrease in burden due to the removal of nine (9) additional narrative questions</w:t>
      </w:r>
      <w:r w:rsidR="00D27BCF">
        <w:t xml:space="preserve">, removal of a table that would be submitted, to the extent data were available, </w:t>
      </w:r>
      <w:r w:rsidR="0085164E">
        <w:t xml:space="preserve">that collects data on students in the middle grades who participate in activities supported </w:t>
      </w:r>
      <w:r w:rsidR="0085164E">
        <w:t>by Perkins V funds</w:t>
      </w:r>
      <w:r w:rsidR="00E90BEE">
        <w:t xml:space="preserve">.  We estimate that the removal of middle school participation data reporting will remove </w:t>
      </w:r>
      <w:r w:rsidR="00AA6840">
        <w:t>15 hours of burden per respondent.  We also estimate a reduction of 12 burden hours for all respondents by removing the additional narrative items.</w:t>
      </w:r>
    </w:p>
    <w:p w:rsidR="00FA2805" w:rsidP="00843E05" w14:paraId="78F8712D" w14:textId="1DD8B3F0">
      <w:pPr>
        <w:ind w:left="360"/>
      </w:pPr>
      <w:r>
        <w:t>The Department’s estimated burden hours associated with the Perkins V State plan collection</w:t>
      </w:r>
      <w:r w:rsidR="001C7E54">
        <w:t xml:space="preserve"> we seek to reinstate</w:t>
      </w:r>
      <w:r>
        <w:t xml:space="preserve"> is based on </w:t>
      </w:r>
      <w:r w:rsidR="001C7E54">
        <w:t xml:space="preserve">previous consultation with State employees who are responsible for State plan development at nine </w:t>
      </w:r>
      <w:r w:rsidR="00A12652">
        <w:t xml:space="preserve">(9) </w:t>
      </w:r>
      <w:r w:rsidR="001C7E54">
        <w:t xml:space="preserve">eligible agencies.  </w:t>
      </w:r>
    </w:p>
    <w:p w:rsidR="00B03907" w:rsidP="00C56798" w14:paraId="721B28A5" w14:textId="4BAC777D">
      <w:pPr>
        <w:ind w:left="360"/>
      </w:pPr>
      <w:r>
        <w:t>We estimate that the burden hours per response average</w:t>
      </w:r>
      <w:r w:rsidR="00EE69EC">
        <w:t>d</w:t>
      </w:r>
      <w:r>
        <w:t xml:space="preserve"> across the three years of this information collection request will be </w:t>
      </w:r>
      <w:r w:rsidR="00787D4C">
        <w:t xml:space="preserve">234 </w:t>
      </w:r>
      <w:r>
        <w:t xml:space="preserve">hours.  </w:t>
      </w:r>
    </w:p>
    <w:p w:rsidR="008A7161" w:rsidRPr="00843E05" w:rsidP="008A7161" w14:paraId="384CFE91" w14:textId="4675B15F">
      <w:r>
        <w:t>The estimates for every year include the time required to review instructions, prepare a budget for the forthcoming fiscal year’s State allocation, participate in training for the information collection tool, and to respond to the information collection.</w:t>
      </w:r>
      <w:r w:rsidR="00477C95">
        <w:t xml:space="preserve">  The estimates for submitting revisions to SDPLs also includes time required to compute any revisions to SDPLs, as well as the time required for public comment and responding to any comments.</w:t>
      </w:r>
    </w:p>
    <w:p w:rsidR="00843E05" w:rsidRPr="00843E05" w:rsidP="00843E05" w14:paraId="0D98622C" w14:textId="77777777">
      <w:pPr>
        <w:spacing w:after="0" w:line="240" w:lineRule="auto"/>
        <w:jc w:val="center"/>
        <w:textAlignment w:val="baseline"/>
        <w:rPr>
          <w:rFonts w:ascii="Segoe UI" w:eastAsia="Times New Roman" w:hAnsi="Segoe UI" w:cs="Segoe UI"/>
          <w:b/>
          <w:bCs/>
          <w:color w:val="4F81BD"/>
          <w:kern w:val="0"/>
          <w:sz w:val="18"/>
          <w:szCs w:val="18"/>
          <w14:ligatures w14:val="none"/>
        </w:rPr>
      </w:pPr>
      <w:r w:rsidRPr="00843E05">
        <w:rPr>
          <w:rFonts w:ascii="Calibri" w:eastAsia="Times New Roman" w:hAnsi="Calibri" w:cs="Calibri"/>
          <w:color w:val="000000"/>
          <w:kern w:val="0"/>
          <w:sz w:val="24"/>
          <w:szCs w:val="24"/>
          <w14:ligatures w14:val="none"/>
        </w:rPr>
        <w:t>Estimated Annual Burden and Respondent Costs Table</w:t>
      </w:r>
      <w:r w:rsidRPr="00843E05">
        <w:rPr>
          <w:rFonts w:ascii="Calibri" w:eastAsia="Times New Roman" w:hAnsi="Calibri" w:cs="Calibri"/>
          <w:b/>
          <w:bCs/>
          <w:color w:val="000000"/>
          <w:kern w:val="0"/>
          <w:sz w:val="24"/>
          <w:szCs w:val="24"/>
          <w14:ligatures w14:val="none"/>
        </w:rPr>
        <w:t> </w:t>
      </w:r>
    </w:p>
    <w:tbl>
      <w:tblPr>
        <w:tblW w:w="102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9"/>
        <w:gridCol w:w="1087"/>
        <w:gridCol w:w="1196"/>
        <w:gridCol w:w="1253"/>
        <w:gridCol w:w="1105"/>
        <w:gridCol w:w="1055"/>
        <w:gridCol w:w="920"/>
        <w:gridCol w:w="1092"/>
        <w:gridCol w:w="1535"/>
      </w:tblGrid>
      <w:tr w14:paraId="763F63E8" w14:textId="7CBD24F9" w:rsidTr="338B005A">
        <w:tblPrEx>
          <w:tblW w:w="102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0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3FB5D23C" w14:textId="4D2542EB">
            <w:pPr>
              <w:spacing w:after="0" w:line="240" w:lineRule="auto"/>
              <w:jc w:val="center"/>
              <w:textAlignment w:val="baseline"/>
              <w:rPr>
                <w:rFonts w:eastAsia="Times New Roman" w:cstheme="minorHAnsi"/>
                <w:kern w:val="0"/>
                <w14:ligatures w14:val="none"/>
              </w:rPr>
            </w:pPr>
            <w:r w:rsidRPr="00091C68">
              <w:rPr>
                <w:rFonts w:eastAsia="Times New Roman" w:cstheme="minorHAnsi"/>
                <w:kern w:val="0"/>
                <w14:ligatures w14:val="none"/>
              </w:rPr>
              <w:t>Year</w:t>
            </w:r>
          </w:p>
        </w:tc>
        <w:tc>
          <w:tcPr>
            <w:tcW w:w="10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16A2B468" w14:textId="5A0DE403">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Sample Size (if applicable)</w:t>
            </w:r>
          </w:p>
        </w:tc>
        <w:tc>
          <w:tcPr>
            <w:tcW w:w="11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2BAD388A" w14:textId="3BC4D8F8">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Respondent Response Rate (if applicable)</w:t>
            </w:r>
          </w:p>
        </w:tc>
        <w:tc>
          <w:tcPr>
            <w:tcW w:w="12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6278EB05" w14:textId="486B1C52">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Number of Respondents</w:t>
            </w:r>
          </w:p>
        </w:tc>
        <w:tc>
          <w:tcPr>
            <w:tcW w:w="11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61E5580D" w14:textId="7AA5E59C">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Number of Responses</w:t>
            </w:r>
          </w:p>
        </w:tc>
        <w:tc>
          <w:tcPr>
            <w:tcW w:w="10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4BAE4A4E" w14:textId="20FA6211">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Average Burden Hours per Response</w:t>
            </w:r>
          </w:p>
        </w:tc>
        <w:tc>
          <w:tcPr>
            <w:tcW w:w="9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7322D0" w:rsidRPr="00843E05" w:rsidP="00843E05" w14:paraId="254F821D" w14:textId="58268474">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Total Annual Burden Hours</w:t>
            </w:r>
          </w:p>
        </w:tc>
        <w:tc>
          <w:tcPr>
            <w:tcW w:w="10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7322D0" w:rsidP="00843E05" w14:paraId="3ED60AF1" w14:textId="1F2BA098">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Estimated Respondent Average Hourly Wage</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7322D0" w:rsidP="00843E05" w14:paraId="7F4066FB" w14:textId="12AAA1C0">
            <w:pPr>
              <w:spacing w:after="0" w:line="240" w:lineRule="auto"/>
              <w:jc w:val="center"/>
              <w:textAlignment w:val="baseline"/>
              <w:rPr>
                <w:rFonts w:eastAsia="Times New Roman" w:cstheme="minorHAnsi"/>
                <w:kern w:val="0"/>
                <w14:ligatures w14:val="none"/>
              </w:rPr>
            </w:pPr>
            <w:r>
              <w:rPr>
                <w:rFonts w:eastAsia="Times New Roman" w:cstheme="minorHAnsi"/>
                <w:kern w:val="0"/>
                <w14:ligatures w14:val="none"/>
              </w:rPr>
              <w:t>Total Annual Costs (Hourly Wage x Total Burden Hours</w:t>
            </w:r>
          </w:p>
        </w:tc>
      </w:tr>
      <w:tr w14:paraId="0D81CA78" w14:textId="472BA4D7" w:rsidTr="338B005A">
        <w:tblPrEx>
          <w:tblW w:w="10252" w:type="dxa"/>
          <w:jc w:val="center"/>
          <w:tblCellMar>
            <w:left w:w="0" w:type="dxa"/>
            <w:right w:w="0" w:type="dxa"/>
          </w:tblCellMar>
          <w:tblLook w:val="04A0"/>
        </w:tblPrEx>
        <w:trPr>
          <w:trHeight w:val="300"/>
          <w:jc w:val="center"/>
        </w:trPr>
        <w:tc>
          <w:tcPr>
            <w:tcW w:w="10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P="00B4063A" w14:paraId="4E69F87D"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2026</w:t>
            </w:r>
          </w:p>
          <w:p w:rsidR="00272A33" w:rsidP="00B4063A" w14:paraId="7BD3B817" w14:textId="77777777">
            <w:pPr>
              <w:spacing w:after="0" w:line="240" w:lineRule="auto"/>
              <w:textAlignment w:val="baseline"/>
              <w:rPr>
                <w:rFonts w:eastAsia="Times New Roman" w:cstheme="minorHAnsi"/>
                <w:kern w:val="0"/>
                <w14:ligatures w14:val="none"/>
              </w:rPr>
            </w:pPr>
          </w:p>
          <w:p w:rsidR="00272A33" w:rsidRPr="00843E05" w:rsidP="00B4063A" w14:paraId="78E89F28" w14:textId="205CA7C6">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2024-2025 (FY 2024) Perkins V CAR reporting due January 31, 2026</w:t>
            </w:r>
          </w:p>
        </w:tc>
        <w:tc>
          <w:tcPr>
            <w:tcW w:w="10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00B4063A" w14:paraId="0F2EC6AF" w14:textId="3446D83B">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N/A</w:t>
            </w:r>
          </w:p>
        </w:tc>
        <w:tc>
          <w:tcPr>
            <w:tcW w:w="11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00B4063A" w14:paraId="1088D283" w14:textId="62E6036E">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00B4063A" w14:paraId="6C00A223" w14:textId="57B323C4">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00B4063A" w14:paraId="6F58FB8B" w14:textId="49E3A117">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338B005A" w14:paraId="43B6F3D0" w14:textId="3D65C548">
            <w:pPr>
              <w:spacing w:after="0" w:line="240" w:lineRule="auto"/>
              <w:jc w:val="right"/>
              <w:textAlignment w:val="baseline"/>
              <w:rPr>
                <w:rFonts w:eastAsia="Times New Roman"/>
                <w:kern w:val="0"/>
                <w14:ligatures w14:val="none"/>
              </w:rPr>
            </w:pPr>
            <w:r w:rsidRPr="338B005A">
              <w:rPr>
                <w:rFonts w:eastAsia="Times New Roman"/>
                <w:kern w:val="0"/>
                <w14:ligatures w14:val="none"/>
              </w:rPr>
              <w:t>2</w:t>
            </w:r>
            <w:r w:rsidRPr="338B005A" w:rsidR="5665EACA">
              <w:rPr>
                <w:rFonts w:eastAsia="Times New Roman"/>
                <w:kern w:val="0"/>
                <w14:ligatures w14:val="none"/>
              </w:rPr>
              <w:t>34</w:t>
            </w:r>
          </w:p>
        </w:tc>
        <w:tc>
          <w:tcPr>
            <w:tcW w:w="9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B4063A" w:rsidRPr="00843E05" w:rsidP="338B005A" w14:paraId="5CB45731" w14:textId="04E87A4B">
            <w:pPr>
              <w:spacing w:after="0" w:line="240" w:lineRule="auto"/>
              <w:jc w:val="right"/>
              <w:textAlignment w:val="baseline"/>
              <w:rPr>
                <w:rFonts w:eastAsia="Times New Roman"/>
                <w:kern w:val="0"/>
                <w14:ligatures w14:val="none"/>
              </w:rPr>
            </w:pPr>
            <w:r w:rsidRPr="338B005A">
              <w:rPr>
                <w:rFonts w:eastAsia="Times New Roman"/>
                <w:kern w:val="0"/>
                <w14:ligatures w14:val="none"/>
              </w:rPr>
              <w:t>12,</w:t>
            </w:r>
            <w:r w:rsidRPr="338B005A" w:rsidR="294E7AE3">
              <w:rPr>
                <w:rFonts w:eastAsia="Times New Roman"/>
                <w:kern w:val="0"/>
                <w14:ligatures w14:val="none"/>
              </w:rPr>
              <w:t>636</w:t>
            </w:r>
          </w:p>
        </w:tc>
        <w:tc>
          <w:tcPr>
            <w:tcW w:w="10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B4063A" w:rsidRPr="00843E05" w:rsidP="00B4063A" w14:paraId="644472D9" w14:textId="0AACDFB0">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$72.47</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B4063A" w:rsidRPr="00843E05" w:rsidP="338B005A" w14:paraId="705F9A67" w14:textId="6AA1B1BE">
            <w:pPr>
              <w:spacing w:after="0" w:line="240" w:lineRule="auto"/>
              <w:jc w:val="right"/>
              <w:textAlignment w:val="baseline"/>
              <w:rPr>
                <w:rFonts w:eastAsia="Times New Roman"/>
                <w:kern w:val="0"/>
                <w14:ligatures w14:val="none"/>
              </w:rPr>
            </w:pPr>
            <w:r w:rsidRPr="338B005A">
              <w:rPr>
                <w:rFonts w:eastAsia="Times New Roman"/>
              </w:rPr>
              <w:t>$915,731</w:t>
            </w:r>
          </w:p>
        </w:tc>
      </w:tr>
      <w:tr w14:paraId="366D6FD6" w14:textId="643E4A19" w:rsidTr="338B005A">
        <w:tblPrEx>
          <w:tblW w:w="10252" w:type="dxa"/>
          <w:jc w:val="center"/>
          <w:tblCellMar>
            <w:left w:w="0" w:type="dxa"/>
            <w:right w:w="0" w:type="dxa"/>
          </w:tblCellMar>
          <w:tblLook w:val="04A0"/>
        </w:tblPrEx>
        <w:trPr>
          <w:trHeight w:val="300"/>
          <w:jc w:val="center"/>
        </w:trPr>
        <w:tc>
          <w:tcPr>
            <w:tcW w:w="10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P="00056F0A" w14:paraId="5E79C53E"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2027</w:t>
            </w:r>
          </w:p>
          <w:p w:rsidR="00056F0A" w:rsidP="00056F0A" w14:paraId="4A48656E" w14:textId="77777777">
            <w:pPr>
              <w:spacing w:after="0" w:line="240" w:lineRule="auto"/>
              <w:textAlignment w:val="baseline"/>
              <w:rPr>
                <w:rFonts w:eastAsia="Times New Roman" w:cstheme="minorHAnsi"/>
                <w:kern w:val="0"/>
                <w14:ligatures w14:val="none"/>
              </w:rPr>
            </w:pPr>
          </w:p>
          <w:p w:rsidR="00056F0A" w:rsidP="00056F0A" w14:paraId="560A4206"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2025-2026</w:t>
            </w:r>
          </w:p>
          <w:p w:rsidR="00056F0A" w:rsidP="00056F0A" w14:paraId="3E5B4AE9"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(FY 2025)</w:t>
            </w:r>
          </w:p>
          <w:p w:rsidR="00056F0A" w:rsidRPr="00843E05" w:rsidP="00056F0A" w14:paraId="47412500" w14:textId="4508B348">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Perkins V CAR reporting due January 31, 2027</w:t>
            </w:r>
          </w:p>
        </w:tc>
        <w:tc>
          <w:tcPr>
            <w:tcW w:w="10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29354ED0" w14:textId="0FDBB3FC">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7D1D44EB" w14:textId="03F994E1">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66E9F6E3" w14:textId="0E6FFAD6">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38B144B2" w14:textId="3CA7B9AF">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338B005A" w14:paraId="03A53F87" w14:textId="47E4D6A0">
            <w:pPr>
              <w:spacing w:after="0" w:line="240" w:lineRule="auto"/>
              <w:jc w:val="right"/>
            </w:pPr>
            <w:r w:rsidRPr="338B005A">
              <w:rPr>
                <w:rFonts w:eastAsia="Times New Roman"/>
              </w:rPr>
              <w:t>234</w:t>
            </w:r>
          </w:p>
        </w:tc>
        <w:tc>
          <w:tcPr>
            <w:tcW w:w="9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338B005A" w14:paraId="7582CFDE" w14:textId="358FD439">
            <w:pPr>
              <w:spacing w:after="0" w:line="240" w:lineRule="auto"/>
              <w:jc w:val="right"/>
              <w:textAlignment w:val="baseline"/>
              <w:rPr>
                <w:rFonts w:eastAsia="Times New Roman"/>
                <w:kern w:val="0"/>
                <w14:ligatures w14:val="none"/>
              </w:rPr>
            </w:pPr>
            <w:r w:rsidRPr="338B005A">
              <w:rPr>
                <w:rFonts w:eastAsia="Times New Roman"/>
                <w:kern w:val="0"/>
                <w14:ligatures w14:val="none"/>
              </w:rPr>
              <w:t>12,</w:t>
            </w:r>
            <w:r w:rsidRPr="338B005A" w:rsidR="396B3683">
              <w:rPr>
                <w:rFonts w:eastAsia="Times New Roman"/>
                <w:kern w:val="0"/>
                <w14:ligatures w14:val="none"/>
              </w:rPr>
              <w:t>63</w:t>
            </w:r>
            <w:r w:rsidRPr="338B005A" w:rsidR="16E0FC86">
              <w:rPr>
                <w:rFonts w:eastAsia="Times New Roman"/>
                <w:kern w:val="0"/>
                <w14:ligatures w14:val="none"/>
              </w:rPr>
              <w:t>6</w:t>
            </w:r>
          </w:p>
        </w:tc>
        <w:tc>
          <w:tcPr>
            <w:tcW w:w="10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056F0A" w:rsidRPr="00843E05" w:rsidP="00056F0A" w14:paraId="5A04F388" w14:textId="3A3B0244">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056F0A" w:rsidRPr="00843E05" w:rsidP="338B005A" w14:paraId="44AD9871" w14:textId="64D272AA">
            <w:pPr>
              <w:spacing w:after="0" w:line="240" w:lineRule="auto"/>
              <w:jc w:val="right"/>
              <w:textAlignment w:val="baseline"/>
              <w:rPr>
                <w:rFonts w:eastAsia="Times New Roman"/>
                <w:kern w:val="0"/>
                <w14:ligatures w14:val="none"/>
              </w:rPr>
            </w:pPr>
            <w:r w:rsidRPr="338B005A">
              <w:rPr>
                <w:rFonts w:eastAsia="Times New Roman"/>
              </w:rPr>
              <w:t>$915,731</w:t>
            </w:r>
          </w:p>
        </w:tc>
      </w:tr>
      <w:tr w14:paraId="6E99DF86" w14:textId="2990721A" w:rsidTr="338B005A">
        <w:tblPrEx>
          <w:tblW w:w="10252" w:type="dxa"/>
          <w:jc w:val="center"/>
          <w:tblCellMar>
            <w:left w:w="0" w:type="dxa"/>
            <w:right w:w="0" w:type="dxa"/>
          </w:tblCellMar>
          <w:tblLook w:val="04A0"/>
        </w:tblPrEx>
        <w:trPr>
          <w:trHeight w:val="300"/>
          <w:jc w:val="center"/>
        </w:trPr>
        <w:tc>
          <w:tcPr>
            <w:tcW w:w="10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P="00056F0A" w14:paraId="236B6A66"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2028</w:t>
            </w:r>
          </w:p>
          <w:p w:rsidR="00056F0A" w:rsidP="00056F0A" w14:paraId="4FE9E674" w14:textId="77777777">
            <w:pPr>
              <w:spacing w:after="0" w:line="240" w:lineRule="auto"/>
              <w:textAlignment w:val="baseline"/>
              <w:rPr>
                <w:rFonts w:eastAsia="Times New Roman" w:cstheme="minorHAnsi"/>
                <w:kern w:val="0"/>
                <w14:ligatures w14:val="none"/>
              </w:rPr>
            </w:pPr>
          </w:p>
          <w:p w:rsidR="00056F0A" w:rsidP="00056F0A" w14:paraId="4AF315B9"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2026-2027</w:t>
            </w:r>
          </w:p>
          <w:p w:rsidR="00056F0A" w:rsidP="00056F0A" w14:paraId="64A47987" w14:textId="77777777">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(FY 2026)</w:t>
            </w:r>
          </w:p>
          <w:p w:rsidR="00056F0A" w:rsidRPr="00843E05" w:rsidP="00056F0A" w14:paraId="1F6825B5" w14:textId="01F5332B">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Perkins V CAR reporting due January 31, 2028</w:t>
            </w:r>
          </w:p>
        </w:tc>
        <w:tc>
          <w:tcPr>
            <w:tcW w:w="10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797B56BC" w14:textId="7A94880F">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0BBB5D2A" w14:textId="18D1355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2DF1D945" w14:textId="78F6950B">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00056F0A" w14:paraId="3228EAB5" w14:textId="098B4F9C">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338B005A" w14:paraId="66C0F5E5" w14:textId="1B18866C">
            <w:pPr>
              <w:spacing w:after="0" w:line="240" w:lineRule="auto"/>
              <w:jc w:val="right"/>
            </w:pPr>
            <w:r w:rsidRPr="338B005A">
              <w:rPr>
                <w:rFonts w:eastAsia="Times New Roman"/>
              </w:rPr>
              <w:t>234</w:t>
            </w:r>
          </w:p>
        </w:tc>
        <w:tc>
          <w:tcPr>
            <w:tcW w:w="9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056F0A" w:rsidRPr="00843E05" w:rsidP="338B005A" w14:paraId="13A651B9" w14:textId="5F1FCC84">
            <w:pPr>
              <w:spacing w:after="0" w:line="240" w:lineRule="auto"/>
              <w:jc w:val="right"/>
              <w:textAlignment w:val="baseline"/>
              <w:rPr>
                <w:rFonts w:eastAsia="Times New Roman"/>
                <w:kern w:val="0"/>
                <w14:ligatures w14:val="none"/>
              </w:rPr>
            </w:pPr>
            <w:r w:rsidRPr="338B005A">
              <w:rPr>
                <w:rFonts w:eastAsia="Times New Roman"/>
                <w:kern w:val="0"/>
                <w14:ligatures w14:val="none"/>
              </w:rPr>
              <w:t>12,</w:t>
            </w:r>
            <w:r w:rsidRPr="338B005A" w:rsidR="5BBA1FB7">
              <w:rPr>
                <w:rFonts w:eastAsia="Times New Roman"/>
                <w:kern w:val="0"/>
                <w14:ligatures w14:val="none"/>
              </w:rPr>
              <w:t>63</w:t>
            </w:r>
            <w:r w:rsidRPr="338B005A" w:rsidR="04C2A978">
              <w:rPr>
                <w:rFonts w:eastAsia="Times New Roman"/>
                <w:kern w:val="0"/>
                <w14:ligatures w14:val="none"/>
              </w:rPr>
              <w:t>6</w:t>
            </w:r>
          </w:p>
        </w:tc>
        <w:tc>
          <w:tcPr>
            <w:tcW w:w="10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056F0A" w:rsidRPr="00843E05" w:rsidP="00056F0A" w14:paraId="15E798C0" w14:textId="04D2CC0A">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056F0A" w:rsidRPr="00843E05" w:rsidP="338B005A" w14:paraId="257614C2" w14:textId="18C67A3E">
            <w:pPr>
              <w:spacing w:after="0" w:line="240" w:lineRule="auto"/>
              <w:jc w:val="right"/>
              <w:textAlignment w:val="baseline"/>
              <w:rPr>
                <w:rFonts w:eastAsia="Times New Roman"/>
                <w:kern w:val="0"/>
                <w14:ligatures w14:val="none"/>
              </w:rPr>
            </w:pPr>
            <w:r w:rsidRPr="338B005A">
              <w:rPr>
                <w:rFonts w:eastAsia="Times New Roman"/>
              </w:rPr>
              <w:t>$915,731</w:t>
            </w:r>
          </w:p>
        </w:tc>
      </w:tr>
      <w:tr w14:paraId="179D57B7" w14:textId="4D3A3A78" w:rsidTr="338B005A">
        <w:tblPrEx>
          <w:tblW w:w="10252" w:type="dxa"/>
          <w:jc w:val="center"/>
          <w:tblCellMar>
            <w:left w:w="0" w:type="dxa"/>
            <w:right w:w="0" w:type="dxa"/>
          </w:tblCellMar>
          <w:tblLook w:val="04A0"/>
        </w:tblPrEx>
        <w:trPr>
          <w:trHeight w:val="300"/>
          <w:jc w:val="center"/>
        </w:trPr>
        <w:tc>
          <w:tcPr>
            <w:tcW w:w="10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00EA7C4B" w14:paraId="20211629" w14:textId="1096039A">
            <w:pPr>
              <w:spacing w:after="0" w:line="240" w:lineRule="auto"/>
              <w:textAlignment w:val="baseline"/>
              <w:rPr>
                <w:rFonts w:eastAsia="Times New Roman" w:cstheme="minorHAnsi"/>
                <w:kern w:val="0"/>
                <w14:ligatures w14:val="none"/>
              </w:rPr>
            </w:pPr>
            <w:r>
              <w:rPr>
                <w:rFonts w:eastAsia="Times New Roman" w:cstheme="minorHAnsi"/>
                <w:kern w:val="0"/>
                <w14:ligatures w14:val="none"/>
              </w:rPr>
              <w:t>Annualized Totals</w:t>
            </w:r>
          </w:p>
        </w:tc>
        <w:tc>
          <w:tcPr>
            <w:tcW w:w="10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00EA7C4B" w14:paraId="305BEDC0" w14:textId="2F34AC86">
            <w:pPr>
              <w:spacing w:after="0" w:line="240" w:lineRule="auto"/>
              <w:jc w:val="right"/>
              <w:textAlignment w:val="baseline"/>
              <w:rPr>
                <w:rFonts w:eastAsia="Times New Roman" w:cstheme="minorHAnsi"/>
                <w:kern w:val="0"/>
                <w14:ligatures w14:val="none"/>
              </w:rPr>
            </w:pPr>
            <w:r w:rsidRPr="00860923">
              <w:rPr>
                <w:rFonts w:eastAsia="Times New Roman" w:cstheme="minorHAnsi"/>
                <w:kern w:val="0"/>
                <w14:ligatures w14:val="none"/>
              </w:rPr>
              <w:t>N/A</w:t>
            </w:r>
          </w:p>
        </w:tc>
        <w:tc>
          <w:tcPr>
            <w:tcW w:w="11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00EA7C4B" w14:paraId="51BCA3D5" w14:textId="2CF8D80D">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100%</w:t>
            </w:r>
          </w:p>
        </w:tc>
        <w:tc>
          <w:tcPr>
            <w:tcW w:w="12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00EA7C4B" w14:paraId="4CE60E5A" w14:textId="26C0B4C5">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1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00EA7C4B" w14:paraId="30C162B8" w14:textId="4079CFC4">
            <w:pPr>
              <w:spacing w:after="0" w:line="240" w:lineRule="auto"/>
              <w:jc w:val="right"/>
              <w:textAlignment w:val="baseline"/>
              <w:rPr>
                <w:rFonts w:eastAsia="Times New Roman" w:cstheme="minorHAnsi"/>
                <w:kern w:val="0"/>
                <w14:ligatures w14:val="none"/>
              </w:rPr>
            </w:pPr>
            <w:r>
              <w:rPr>
                <w:rFonts w:eastAsia="Times New Roman" w:cstheme="minorHAnsi"/>
                <w:kern w:val="0"/>
                <w14:ligatures w14:val="none"/>
              </w:rPr>
              <w:t>54</w:t>
            </w:r>
          </w:p>
        </w:tc>
        <w:tc>
          <w:tcPr>
            <w:tcW w:w="10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338B005A" w14:paraId="05F50663" w14:textId="775003DA">
            <w:pPr>
              <w:spacing w:after="0" w:line="240" w:lineRule="auto"/>
              <w:jc w:val="right"/>
            </w:pPr>
            <w:r w:rsidRPr="338B005A">
              <w:rPr>
                <w:rFonts w:eastAsia="Times New Roman"/>
              </w:rPr>
              <w:t>234</w:t>
            </w:r>
          </w:p>
        </w:tc>
        <w:tc>
          <w:tcPr>
            <w:tcW w:w="9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rsidR="00EA7C4B" w:rsidRPr="00843E05" w:rsidP="338B005A" w14:paraId="2402B9C4" w14:textId="2F306355">
            <w:pPr>
              <w:spacing w:after="0" w:line="240" w:lineRule="auto"/>
              <w:jc w:val="right"/>
              <w:textAlignment w:val="baseline"/>
              <w:rPr>
                <w:rFonts w:eastAsia="Times New Roman"/>
                <w:kern w:val="0"/>
                <w14:ligatures w14:val="none"/>
              </w:rPr>
            </w:pPr>
            <w:r w:rsidRPr="338B005A">
              <w:rPr>
                <w:rFonts w:eastAsia="Times New Roman"/>
                <w:kern w:val="0"/>
                <w14:ligatures w14:val="none"/>
              </w:rPr>
              <w:t>12,636</w:t>
            </w:r>
          </w:p>
        </w:tc>
        <w:tc>
          <w:tcPr>
            <w:tcW w:w="109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EA7C4B" w:rsidRPr="00843E05" w:rsidP="00EA7C4B" w14:paraId="04C109E2" w14:textId="25EA4D3D">
            <w:pPr>
              <w:spacing w:after="0" w:line="240" w:lineRule="auto"/>
              <w:jc w:val="right"/>
              <w:textAlignment w:val="baseline"/>
              <w:rPr>
                <w:rFonts w:eastAsia="Times New Roman" w:cstheme="minorHAnsi"/>
                <w:kern w:val="0"/>
                <w14:ligatures w14:val="none"/>
              </w:rPr>
            </w:pPr>
            <w:r w:rsidRPr="00D57A45">
              <w:rPr>
                <w:rFonts w:eastAsia="Times New Roman" w:cstheme="minorHAnsi"/>
                <w:kern w:val="0"/>
                <w14:ligatures w14:val="none"/>
              </w:rPr>
              <w:t>$72.47</w:t>
            </w:r>
          </w:p>
        </w:tc>
        <w:tc>
          <w:tcPr>
            <w:tcW w:w="15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rsidR="00EA7C4B" w:rsidRPr="00843E05" w:rsidP="338B005A" w14:paraId="4DE1DF31" w14:textId="4F21223D">
            <w:pPr>
              <w:spacing w:after="0" w:line="240" w:lineRule="auto"/>
              <w:jc w:val="right"/>
              <w:textAlignment w:val="baseline"/>
              <w:rPr>
                <w:rFonts w:eastAsia="Times New Roman"/>
                <w:kern w:val="0"/>
                <w14:ligatures w14:val="none"/>
              </w:rPr>
            </w:pPr>
            <w:r w:rsidRPr="338B005A">
              <w:rPr>
                <w:rFonts w:eastAsia="Times New Roman"/>
                <w:kern w:val="0"/>
                <w14:ligatures w14:val="none"/>
              </w:rPr>
              <w:t>$</w:t>
            </w:r>
            <w:r w:rsidRPr="338B005A" w:rsidR="00977607">
              <w:rPr>
                <w:rFonts w:eastAsia="Times New Roman"/>
                <w:kern w:val="0"/>
                <w14:ligatures w14:val="none"/>
              </w:rPr>
              <w:t>9</w:t>
            </w:r>
            <w:r w:rsidRPr="338B005A" w:rsidR="71F9CA9C">
              <w:rPr>
                <w:rFonts w:eastAsia="Times New Roman"/>
                <w:kern w:val="0"/>
                <w14:ligatures w14:val="none"/>
              </w:rPr>
              <w:t>15,731</w:t>
            </w:r>
          </w:p>
        </w:tc>
      </w:tr>
    </w:tbl>
    <w:p w:rsidR="00843E05" w:rsidRPr="00843E05" w:rsidP="00843E05" w14:paraId="27309260" w14:textId="77777777">
      <w:pPr>
        <w:spacing w:after="0" w:line="240" w:lineRule="auto"/>
        <w:ind w:left="-870" w:right="-870"/>
        <w:textAlignment w:val="baseline"/>
        <w:rPr>
          <w:rFonts w:ascii="Segoe UI" w:eastAsia="Times New Roman" w:hAnsi="Segoe UI" w:cs="Segoe UI"/>
          <w:kern w:val="0"/>
          <w:sz w:val="18"/>
          <w:szCs w:val="18"/>
          <w14:ligatures w14:val="none"/>
        </w:rPr>
      </w:pPr>
      <w:r w:rsidRPr="00843E05">
        <w:rPr>
          <w:rFonts w:ascii="Calibri" w:eastAsia="Times New Roman" w:hAnsi="Calibri" w:cs="Calibri"/>
          <w:kern w:val="0"/>
          <w14:ligatures w14:val="none"/>
        </w:rPr>
        <w:t> </w:t>
      </w:r>
    </w:p>
    <w:p w:rsidR="00784AC2" w:rsidP="00843E05" w14:paraId="6620C890" w14:textId="55685B79">
      <w:pPr>
        <w:spacing w:after="0" w:line="240" w:lineRule="auto"/>
        <w:ind w:left="-870" w:right="-870"/>
        <w:textAlignment w:val="baseline"/>
        <w:rPr>
          <w:rFonts w:ascii="Calibri" w:eastAsia="Times New Roman" w:hAnsi="Calibri" w:cs="Calibri"/>
          <w:kern w:val="0"/>
          <w14:ligatures w14:val="none"/>
        </w:rPr>
      </w:pPr>
      <w:r>
        <w:rPr>
          <w:rFonts w:ascii="Calibri" w:eastAsia="Times New Roman" w:hAnsi="Calibri" w:cs="Calibri"/>
          <w:kern w:val="0"/>
          <w14:ligatures w14:val="none"/>
        </w:rPr>
        <w:t>We estimate the total cost per hour of the professional staff who will carry out this work to be $72.</w:t>
      </w:r>
      <w:r w:rsidR="00EA7C4B">
        <w:rPr>
          <w:rFonts w:ascii="Calibri" w:eastAsia="Times New Roman" w:hAnsi="Calibri" w:cs="Calibri"/>
          <w:kern w:val="0"/>
          <w14:ligatures w14:val="none"/>
        </w:rPr>
        <w:t>47</w:t>
      </w:r>
      <w:r>
        <w:rPr>
          <w:rFonts w:ascii="Calibri" w:eastAsia="Times New Roman" w:hAnsi="Calibri" w:cs="Calibri"/>
          <w:kern w:val="0"/>
          <w14:ligatures w14:val="none"/>
        </w:rPr>
        <w:t xml:space="preserve"> per hour, the mean hourly compensation cost for State and local government workers who were in management, professional, and related occupations in </w:t>
      </w:r>
      <w:r w:rsidR="00022A4F">
        <w:rPr>
          <w:rFonts w:ascii="Calibri" w:eastAsia="Times New Roman" w:hAnsi="Calibri" w:cs="Calibri"/>
          <w:kern w:val="0"/>
          <w14:ligatures w14:val="none"/>
        </w:rPr>
        <w:t>September</w:t>
      </w:r>
      <w:r>
        <w:rPr>
          <w:rFonts w:ascii="Calibri" w:eastAsia="Times New Roman" w:hAnsi="Calibri" w:cs="Calibri"/>
          <w:kern w:val="0"/>
          <w14:ligatures w14:val="none"/>
        </w:rPr>
        <w:t xml:space="preserve"> 2024.</w:t>
      </w:r>
      <w:r>
        <w:rPr>
          <w:rStyle w:val="FootnoteReference"/>
          <w:rFonts w:ascii="Calibri" w:eastAsia="Times New Roman" w:hAnsi="Calibri" w:cs="Calibri"/>
          <w:kern w:val="0"/>
          <w14:ligatures w14:val="none"/>
        </w:rPr>
        <w:footnoteReference w:id="3"/>
      </w:r>
      <w:r w:rsidR="00B94E3B">
        <w:rPr>
          <w:rFonts w:ascii="Calibri" w:eastAsia="Times New Roman" w:hAnsi="Calibri" w:cs="Calibri"/>
          <w:kern w:val="0"/>
          <w14:ligatures w14:val="none"/>
        </w:rPr>
        <w:t xml:space="preserve">  The total annualized cost to respondents of the </w:t>
      </w:r>
      <w:r w:rsidR="00240779">
        <w:rPr>
          <w:rFonts w:ascii="Calibri" w:eastAsia="Times New Roman" w:hAnsi="Calibri" w:cs="Calibri"/>
          <w:kern w:val="0"/>
          <w14:ligatures w14:val="none"/>
        </w:rPr>
        <w:t>burden hours</w:t>
      </w:r>
      <w:r w:rsidR="00B94E3B">
        <w:rPr>
          <w:rFonts w:ascii="Calibri" w:eastAsia="Times New Roman" w:hAnsi="Calibri" w:cs="Calibri"/>
          <w:kern w:val="0"/>
          <w14:ligatures w14:val="none"/>
        </w:rPr>
        <w:t xml:space="preserve"> for this collection is estimated to be $</w:t>
      </w:r>
      <w:r w:rsidR="00373F04">
        <w:rPr>
          <w:rFonts w:ascii="Calibri" w:eastAsia="Times New Roman" w:hAnsi="Calibri" w:cs="Calibri"/>
          <w:kern w:val="0"/>
          <w14:ligatures w14:val="none"/>
        </w:rPr>
        <w:t>915,731</w:t>
      </w:r>
      <w:r w:rsidR="00B94E3B">
        <w:rPr>
          <w:rFonts w:ascii="Calibri" w:eastAsia="Times New Roman" w:hAnsi="Calibri" w:cs="Calibri"/>
          <w:kern w:val="0"/>
          <w14:ligatures w14:val="none"/>
        </w:rPr>
        <w:t>, as indicated in the table below</w:t>
      </w:r>
      <w:r w:rsidR="00373F04">
        <w:rPr>
          <w:rFonts w:ascii="Calibri" w:eastAsia="Times New Roman" w:hAnsi="Calibri" w:cs="Calibri"/>
          <w:kern w:val="0"/>
          <w14:ligatures w14:val="none"/>
        </w:rPr>
        <w:t>:</w:t>
      </w:r>
    </w:p>
    <w:p w:rsidR="00784AC2" w:rsidP="00843E05" w14:paraId="2F8F995B" w14:textId="77777777">
      <w:pPr>
        <w:spacing w:after="0" w:line="240" w:lineRule="auto"/>
        <w:ind w:left="-870" w:right="-870"/>
        <w:textAlignment w:val="baseline"/>
        <w:rPr>
          <w:rFonts w:ascii="Calibri" w:eastAsia="Times New Roman" w:hAnsi="Calibri" w:cs="Calibri"/>
          <w:b/>
          <w:bCs/>
          <w:i/>
          <w:iCs/>
          <w:kern w:val="0"/>
          <w14:ligatures w14:val="none"/>
        </w:rPr>
      </w:pPr>
    </w:p>
    <w:tbl>
      <w:tblPr>
        <w:tblStyle w:val="TableGrid"/>
        <w:tblW w:w="0" w:type="auto"/>
        <w:jc w:val="center"/>
        <w:tblLook w:val="04A0"/>
      </w:tblPr>
      <w:tblGrid>
        <w:gridCol w:w="2337"/>
        <w:gridCol w:w="2337"/>
        <w:gridCol w:w="2338"/>
        <w:gridCol w:w="2338"/>
      </w:tblGrid>
      <w:tr w14:paraId="2B482EA6" w14:textId="77777777" w:rsidTr="338B005A">
        <w:tblPrEx>
          <w:tblW w:w="0" w:type="auto"/>
          <w:jc w:val="center"/>
          <w:tblLook w:val="04A0"/>
        </w:tblPrEx>
        <w:trPr>
          <w:jc w:val="center"/>
        </w:trPr>
        <w:tc>
          <w:tcPr>
            <w:tcW w:w="2337" w:type="dxa"/>
          </w:tcPr>
          <w:p w:rsidR="00F358CB" w:rsidRPr="00F358CB" w:rsidP="00F358CB" w14:paraId="33A47482" w14:textId="1C21F88B">
            <w:pPr>
              <w:ind w:right="-108"/>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Type of Staff</w:t>
            </w:r>
          </w:p>
        </w:tc>
        <w:tc>
          <w:tcPr>
            <w:tcW w:w="2337" w:type="dxa"/>
          </w:tcPr>
          <w:p w:rsidR="00F358CB" w:rsidRPr="00F358CB" w:rsidP="00F358CB" w14:paraId="4716667C" w14:textId="7AB51FCF">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Total Estimated Number of Burden Hours</w:t>
            </w:r>
          </w:p>
        </w:tc>
        <w:tc>
          <w:tcPr>
            <w:tcW w:w="2338" w:type="dxa"/>
          </w:tcPr>
          <w:p w:rsidR="00F358CB" w:rsidRPr="00F358CB" w:rsidP="00F358CB" w14:paraId="416672EC" w14:textId="49B4AB76">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Estimated Hourly Cost</w:t>
            </w:r>
          </w:p>
        </w:tc>
        <w:tc>
          <w:tcPr>
            <w:tcW w:w="2338" w:type="dxa"/>
          </w:tcPr>
          <w:p w:rsidR="00F358CB" w:rsidRPr="00F358CB" w:rsidP="00F358CB" w14:paraId="12539357" w14:textId="6A0BED54">
            <w:pPr>
              <w:ind w:right="-116"/>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Total Costs (Rounded to the Nearest Dollar)</w:t>
            </w:r>
          </w:p>
        </w:tc>
      </w:tr>
      <w:tr w14:paraId="253DA242" w14:textId="77777777" w:rsidTr="338B005A">
        <w:tblPrEx>
          <w:tblW w:w="0" w:type="auto"/>
          <w:jc w:val="center"/>
          <w:tblLook w:val="04A0"/>
        </w:tblPrEx>
        <w:trPr>
          <w:jc w:val="center"/>
        </w:trPr>
        <w:tc>
          <w:tcPr>
            <w:tcW w:w="2337" w:type="dxa"/>
          </w:tcPr>
          <w:p w:rsidR="00F358CB" w:rsidRPr="00F358CB" w:rsidP="00F358CB" w14:paraId="0B325912" w14:textId="049D095E">
            <w:pPr>
              <w:ind w:right="-108"/>
              <w:jc w:val="center"/>
              <w:textAlignment w:val="baseline"/>
              <w:rPr>
                <w:rFonts w:ascii="Calibri" w:eastAsia="Times New Roman" w:hAnsi="Calibri" w:cs="Calibri"/>
                <w:kern w:val="0"/>
                <w14:ligatures w14:val="none"/>
              </w:rPr>
            </w:pPr>
            <w:r w:rsidRPr="00F358CB">
              <w:rPr>
                <w:rFonts w:ascii="Calibri" w:eastAsia="Times New Roman" w:hAnsi="Calibri" w:cs="Calibri"/>
                <w:kern w:val="0"/>
                <w14:ligatures w14:val="none"/>
              </w:rPr>
              <w:t>Professional</w:t>
            </w:r>
          </w:p>
        </w:tc>
        <w:tc>
          <w:tcPr>
            <w:tcW w:w="2337" w:type="dxa"/>
          </w:tcPr>
          <w:p w:rsidR="00F358CB" w:rsidRPr="00F358CB" w:rsidP="338B005A" w14:paraId="258FB4F3" w14:textId="6B095BF0">
            <w:pPr>
              <w:ind w:right="-108"/>
              <w:jc w:val="center"/>
            </w:pPr>
            <w:r w:rsidRPr="338B005A">
              <w:rPr>
                <w:rFonts w:ascii="Calibri" w:eastAsia="Times New Roman" w:hAnsi="Calibri" w:cs="Calibri"/>
              </w:rPr>
              <w:t>12,636</w:t>
            </w:r>
          </w:p>
        </w:tc>
        <w:tc>
          <w:tcPr>
            <w:tcW w:w="2338" w:type="dxa"/>
          </w:tcPr>
          <w:p w:rsidR="00F358CB" w:rsidRPr="00F358CB" w:rsidP="00F358CB" w14:paraId="151D849A" w14:textId="607E2092">
            <w:pPr>
              <w:ind w:right="-108"/>
              <w:jc w:val="center"/>
              <w:textAlignment w:val="baseline"/>
              <w:rPr>
                <w:rFonts w:ascii="Calibri" w:eastAsia="Times New Roman" w:hAnsi="Calibri" w:cs="Calibri"/>
                <w:kern w:val="0"/>
                <w14:ligatures w14:val="none"/>
              </w:rPr>
            </w:pPr>
            <w:r>
              <w:rPr>
                <w:rFonts w:ascii="Calibri" w:eastAsia="Times New Roman" w:hAnsi="Calibri" w:cs="Calibri"/>
                <w:kern w:val="0"/>
                <w14:ligatures w14:val="none"/>
              </w:rPr>
              <w:t>$72.47</w:t>
            </w:r>
          </w:p>
        </w:tc>
        <w:tc>
          <w:tcPr>
            <w:tcW w:w="2338" w:type="dxa"/>
          </w:tcPr>
          <w:p w:rsidR="00F358CB" w:rsidRPr="00F358CB" w:rsidP="338B005A" w14:paraId="2874D5DF" w14:textId="3B177DDF">
            <w:pPr>
              <w:ind w:right="-116"/>
              <w:jc w:val="center"/>
              <w:textAlignment w:val="baseline"/>
              <w:rPr>
                <w:rFonts w:eastAsia="Times New Roman"/>
                <w:kern w:val="0"/>
                <w14:ligatures w14:val="none"/>
              </w:rPr>
            </w:pPr>
            <w:r w:rsidRPr="338B005A">
              <w:rPr>
                <w:rFonts w:eastAsia="Times New Roman"/>
              </w:rPr>
              <w:t>$915,731</w:t>
            </w:r>
          </w:p>
        </w:tc>
      </w:tr>
    </w:tbl>
    <w:p w:rsidR="00F358CB" w:rsidP="00F358CB" w14:paraId="3BB19FB3" w14:textId="77777777">
      <w:pPr>
        <w:spacing w:after="0" w:line="240" w:lineRule="auto"/>
        <w:ind w:left="-870" w:right="-870"/>
        <w:jc w:val="center"/>
        <w:textAlignment w:val="baseline"/>
        <w:rPr>
          <w:rFonts w:ascii="Calibri" w:eastAsia="Times New Roman" w:hAnsi="Calibri" w:cs="Calibri"/>
          <w:b/>
          <w:bCs/>
          <w:kern w:val="0"/>
          <w14:ligatures w14:val="none"/>
        </w:rPr>
      </w:pPr>
    </w:p>
    <w:p w:rsidR="00843E05" w:rsidRPr="00843E05" w:rsidP="00843E05" w14:paraId="0D6C4285" w14:textId="12BB1E8C">
      <w:pPr>
        <w:spacing w:after="0" w:line="240" w:lineRule="auto"/>
        <w:ind w:left="-870" w:right="-870"/>
        <w:textAlignment w:val="baseline"/>
        <w:rPr>
          <w:rFonts w:ascii="Segoe UI" w:eastAsia="Times New Roman" w:hAnsi="Segoe UI" w:cs="Segoe UI"/>
          <w:kern w:val="0"/>
          <w:sz w:val="18"/>
          <w:szCs w:val="18"/>
          <w14:ligatures w14:val="none"/>
        </w:rPr>
      </w:pPr>
      <w:r w:rsidRPr="00843E05">
        <w:rPr>
          <w:rFonts w:ascii="Calibri" w:eastAsia="Times New Roman" w:hAnsi="Calibri" w:cs="Calibri"/>
          <w:b/>
          <w:bCs/>
          <w:i/>
          <w:iCs/>
          <w:kern w:val="0"/>
          <w14:ligatures w14:val="none"/>
        </w:rPr>
        <w:t>Please ensure the annual total burden, respondents and response match those entered in IC Data Parts 1 and 2, and the response per respondent matches the Paperwork Burden Statement that must be included on all forms.</w:t>
      </w:r>
      <w:r w:rsidRPr="00843E05">
        <w:rPr>
          <w:rFonts w:ascii="Calibri" w:eastAsia="Times New Roman" w:hAnsi="Calibri" w:cs="Calibri"/>
          <w:kern w:val="0"/>
          <w14:ligatures w14:val="none"/>
        </w:rPr>
        <w:t> </w:t>
      </w:r>
    </w:p>
    <w:p w:rsidR="00843E05" w:rsidRPr="00843E05" w:rsidP="00843E05" w14:paraId="0D40B366" w14:textId="77777777">
      <w:pPr>
        <w:spacing w:after="0" w:line="240" w:lineRule="auto"/>
        <w:textAlignment w:val="baseline"/>
        <w:rPr>
          <w:rFonts w:ascii="Segoe UI" w:eastAsia="Times New Roman" w:hAnsi="Segoe UI" w:cs="Segoe UI"/>
          <w:kern w:val="0"/>
          <w:sz w:val="18"/>
          <w:szCs w:val="18"/>
          <w14:ligatures w14:val="none"/>
        </w:rPr>
      </w:pPr>
      <w:r w:rsidRPr="00843E05">
        <w:rPr>
          <w:rFonts w:ascii="Calibri" w:eastAsia="Times New Roman" w:hAnsi="Calibri" w:cs="Calibri"/>
          <w:kern w:val="0"/>
          <w14:ligatures w14:val="none"/>
        </w:rPr>
        <w:t> </w:t>
      </w:r>
    </w:p>
    <w:p w:rsidR="00843E05" w:rsidRPr="00843E05" w:rsidP="00843E05" w14:paraId="4464B5C8" w14:textId="77777777">
      <w:pPr>
        <w:numPr>
          <w:ilvl w:val="0"/>
          <w:numId w:val="28"/>
        </w:numPr>
      </w:pPr>
      <w:r w:rsidRPr="00843E05">
        <w:rPr>
          <w:b/>
          <w:bCs/>
        </w:rPr>
        <w:t>Provide an estimate of the total annual cost burden to respondents or record keepers resulting from the collection of information.  (Do not include the cost of any hour burden shown in Items 12 and 14.)</w:t>
      </w:r>
      <w:r w:rsidRPr="00843E05">
        <w:t> </w:t>
      </w:r>
    </w:p>
    <w:p w:rsidR="00843E05" w:rsidRPr="00843E05" w:rsidP="00843E05" w14:paraId="669E9D29" w14:textId="77777777">
      <w:pPr>
        <w:numPr>
          <w:ilvl w:val="0"/>
          <w:numId w:val="29"/>
        </w:numPr>
        <w:tabs>
          <w:tab w:val="clear" w:pos="720"/>
          <w:tab w:val="num" w:pos="1080"/>
        </w:tabs>
        <w:ind w:left="1080"/>
      </w:pPr>
      <w:r w:rsidRPr="00843E05">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43E05">
        <w:rPr>
          <w:b/>
          <w:bCs/>
        </w:rPr>
        <w:t>take into account</w:t>
      </w:r>
      <w:r w:rsidRPr="00843E05">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43E05">
        <w:rPr>
          <w:b/>
          <w:bCs/>
        </w:rPr>
        <w:t>time period</w:t>
      </w:r>
      <w:r w:rsidRPr="00843E05">
        <w:rPr>
          <w:b/>
          <w:bCs/>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r w:rsidRPr="00843E05">
        <w:t> </w:t>
      </w:r>
    </w:p>
    <w:p w:rsidR="00843E05" w:rsidRPr="00843E05" w:rsidP="00843E05" w14:paraId="6E00101F" w14:textId="77777777">
      <w:pPr>
        <w:numPr>
          <w:ilvl w:val="0"/>
          <w:numId w:val="30"/>
        </w:numPr>
        <w:tabs>
          <w:tab w:val="clear" w:pos="720"/>
          <w:tab w:val="num" w:pos="1080"/>
        </w:tabs>
        <w:ind w:left="1080"/>
      </w:pPr>
      <w:r w:rsidRPr="00843E05">
        <w:rPr>
          <w:b/>
          <w:bC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w:t>
      </w:r>
      <w:r w:rsidRPr="00843E05">
        <w:rPr>
          <w:b/>
          <w:bCs/>
        </w:rPr>
        <w:t>or regulatory impact analysis associated with the rulemaking containing the information collection, as appropriate.</w:t>
      </w:r>
      <w:r w:rsidRPr="00843E05">
        <w:t> </w:t>
      </w:r>
    </w:p>
    <w:p w:rsidR="00843E05" w:rsidRPr="00843E05" w:rsidP="00843E05" w14:paraId="13777A7D" w14:textId="77777777">
      <w:pPr>
        <w:numPr>
          <w:ilvl w:val="0"/>
          <w:numId w:val="31"/>
        </w:numPr>
        <w:tabs>
          <w:tab w:val="clear" w:pos="720"/>
          <w:tab w:val="num" w:pos="1080"/>
        </w:tabs>
        <w:ind w:left="1080"/>
      </w:pPr>
      <w:r w:rsidRPr="00843E05">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43E05">
        <w:t> </w:t>
      </w:r>
    </w:p>
    <w:p w:rsidR="00843E05" w:rsidRPr="00843E05" w:rsidP="00843E05" w14:paraId="69A2BF63" w14:textId="550F972A">
      <w:pPr>
        <w:ind w:left="360"/>
      </w:pPr>
      <w:r w:rsidRPr="00843E05">
        <w:rPr>
          <w:b/>
          <w:bCs/>
        </w:rPr>
        <w:t>Total Annualized Capital/Startup Cost</w:t>
      </w:r>
      <w:r w:rsidRPr="00843E05">
        <w:tab/>
      </w:r>
      <w:r w:rsidRPr="00843E05">
        <w:rPr>
          <w:b/>
          <w:bCs/>
        </w:rPr>
        <w:t>:</w:t>
      </w:r>
      <w:r w:rsidRPr="00843E05">
        <w:t> </w:t>
      </w:r>
      <w:r w:rsidR="00EB5FF5">
        <w:t>$0</w:t>
      </w:r>
    </w:p>
    <w:p w:rsidR="00843E05" w:rsidRPr="00843E05" w:rsidP="00843E05" w14:paraId="239518BA" w14:textId="60C7FC34">
      <w:pPr>
        <w:ind w:left="360"/>
      </w:pPr>
      <w:r w:rsidRPr="00843E05">
        <w:rPr>
          <w:b/>
          <w:bCs/>
        </w:rPr>
        <w:t>Total Annual Costs (O&amp;M)</w:t>
      </w:r>
      <w:r w:rsidRPr="00843E05">
        <w:tab/>
      </w:r>
      <w:r w:rsidRPr="00843E05">
        <w:tab/>
      </w:r>
      <w:r w:rsidRPr="00843E05">
        <w:tab/>
        <w:t>:</w:t>
      </w:r>
      <w:r w:rsidRPr="00EB5FF5" w:rsidR="00EB5FF5">
        <w:t xml:space="preserve"> $0</w:t>
      </w:r>
    </w:p>
    <w:p w:rsidR="00843E05" w:rsidP="00843E05" w14:paraId="29E2504B" w14:textId="016E91B3">
      <w:pPr>
        <w:ind w:left="360"/>
      </w:pPr>
      <w:r w:rsidRPr="00843E05">
        <w:rPr>
          <w:b/>
          <w:bCs/>
        </w:rPr>
        <w:t>Total Annualized Costs Requested</w:t>
      </w:r>
      <w:r w:rsidRPr="00843E05">
        <w:tab/>
      </w:r>
      <w:r w:rsidRPr="00843E05">
        <w:tab/>
      </w:r>
      <w:r w:rsidRPr="00843E05">
        <w:rPr>
          <w:b/>
          <w:bCs/>
        </w:rPr>
        <w:t>:</w:t>
      </w:r>
      <w:r w:rsidRPr="00843E05">
        <w:t> </w:t>
      </w:r>
      <w:r w:rsidR="00EB5FF5">
        <w:t>$0</w:t>
      </w:r>
      <w:r w:rsidR="00EB5FF5">
        <w:br/>
      </w:r>
    </w:p>
    <w:p w:rsidR="00EB5FF5" w:rsidRPr="00843E05" w:rsidP="00843E05" w14:paraId="481F97CF" w14:textId="72FC7531">
      <w:pPr>
        <w:ind w:left="360"/>
      </w:pPr>
      <w:r>
        <w:t>The total for the capital and start-up cost components for this information collection is zero.  The information collection will not require the purchase of any capital equipment nor create any start-up costs.  Computer and software used to complete this information collection are part of the respondents’ customary and usual business or private practices, and therefore is not included in this estimate.  The total operation and maintenance and purchase of service components</w:t>
      </w:r>
      <w:r w:rsidR="009F3783">
        <w:t xml:space="preserve"> for this collection is also zero.  The information collection will not create costs associated with generating, maintaining, and disclosing or providing the information that is not already identified in item 12 of this supporting statement.</w:t>
      </w:r>
    </w:p>
    <w:p w:rsidR="00843E05" w:rsidP="00843E05" w14:paraId="377006CB" w14:textId="73293CCD">
      <w:pPr>
        <w:numPr>
          <w:ilvl w:val="0"/>
          <w:numId w:val="32"/>
        </w:numPr>
      </w:pPr>
      <w:r w:rsidRPr="00843E05">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843E05">
        <w:t> </w:t>
      </w:r>
      <w:r w:rsidR="0091137C">
        <w:br/>
      </w:r>
    </w:p>
    <w:p w:rsidR="0091137C" w:rsidRPr="00843E05" w:rsidP="0091137C" w14:paraId="14F9B592" w14:textId="77777777">
      <w:pPr>
        <w:ind w:left="720"/>
      </w:pP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70"/>
        <w:gridCol w:w="1305"/>
        <w:gridCol w:w="1290"/>
        <w:gridCol w:w="1245"/>
        <w:gridCol w:w="1290"/>
        <w:gridCol w:w="1455"/>
      </w:tblGrid>
      <w:tr w14:paraId="02FC250E" w14:textId="77777777" w:rsidTr="00273B70">
        <w:tblPrEx>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43E05" w:rsidRPr="00843E05" w:rsidP="008F0BA2" w14:paraId="5246A695" w14:textId="05C71B3C">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Number of Employees</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7B718136" w14:textId="426C8897">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Employee Grade</w:t>
            </w:r>
          </w:p>
        </w:tc>
        <w:tc>
          <w:tcPr>
            <w:tcW w:w="1290"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4C76E1B6" w14:textId="58C0E0BF">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Estimated </w:t>
            </w:r>
            <w:r w:rsidR="0091137C">
              <w:rPr>
                <w:rFonts w:ascii="Calibri" w:eastAsia="Times New Roman" w:hAnsi="Calibri" w:cs="Calibri"/>
                <w:color w:val="000000"/>
                <w:kern w:val="0"/>
                <w14:ligatures w14:val="none"/>
              </w:rPr>
              <w:t>N</w:t>
            </w:r>
            <w:r w:rsidRPr="00843E05">
              <w:rPr>
                <w:rFonts w:ascii="Calibri" w:eastAsia="Times New Roman" w:hAnsi="Calibri" w:cs="Calibri"/>
                <w:color w:val="000000"/>
                <w:kern w:val="0"/>
                <w14:ligatures w14:val="none"/>
              </w:rPr>
              <w:t xml:space="preserve">umber of </w:t>
            </w:r>
            <w:r w:rsidR="00A53330">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 xml:space="preserve">ours per </w:t>
            </w:r>
            <w:r w:rsidR="00A53330">
              <w:rPr>
                <w:rFonts w:ascii="Calibri" w:eastAsia="Times New Roman" w:hAnsi="Calibri" w:cs="Calibri"/>
                <w:color w:val="000000"/>
                <w:kern w:val="0"/>
                <w14:ligatures w14:val="none"/>
              </w:rPr>
              <w:t>E</w:t>
            </w:r>
            <w:r w:rsidRPr="00843E05">
              <w:rPr>
                <w:rFonts w:ascii="Calibri" w:eastAsia="Times New Roman" w:hAnsi="Calibri" w:cs="Calibri"/>
                <w:color w:val="000000"/>
                <w:kern w:val="0"/>
                <w14:ligatures w14:val="none"/>
              </w:rPr>
              <w:t>mployee</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07BDEEF1" w14:textId="7A7ADBB2">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Total </w:t>
            </w:r>
            <w:r w:rsidR="0091137C">
              <w:rPr>
                <w:rFonts w:ascii="Calibri" w:eastAsia="Times New Roman" w:hAnsi="Calibri" w:cs="Calibri"/>
                <w:color w:val="000000"/>
                <w:kern w:val="0"/>
                <w14:ligatures w14:val="none"/>
              </w:rPr>
              <w:t>N</w:t>
            </w:r>
            <w:r w:rsidRPr="00843E05">
              <w:rPr>
                <w:rFonts w:ascii="Calibri" w:eastAsia="Times New Roman" w:hAnsi="Calibri" w:cs="Calibri"/>
                <w:color w:val="000000"/>
                <w:kern w:val="0"/>
                <w14:ligatures w14:val="none"/>
              </w:rPr>
              <w:t xml:space="preserve">umber of </w:t>
            </w:r>
            <w:r w:rsidR="00A53330">
              <w:rPr>
                <w:rFonts w:ascii="Calibri" w:eastAsia="Times New Roman" w:hAnsi="Calibri" w:cs="Calibri"/>
                <w:color w:val="000000"/>
                <w:kern w:val="0"/>
                <w14:ligatures w14:val="none"/>
              </w:rPr>
              <w:t>E</w:t>
            </w:r>
            <w:r w:rsidRPr="00843E05">
              <w:rPr>
                <w:rFonts w:ascii="Calibri" w:eastAsia="Times New Roman" w:hAnsi="Calibri" w:cs="Calibri"/>
                <w:color w:val="000000"/>
                <w:kern w:val="0"/>
                <w14:ligatures w14:val="none"/>
              </w:rPr>
              <w:t xml:space="preserve">stimated </w:t>
            </w:r>
            <w:r w:rsidR="00A53330">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ours</w:t>
            </w:r>
          </w:p>
        </w:tc>
        <w:tc>
          <w:tcPr>
            <w:tcW w:w="1290"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1C8455A4" w14:textId="564B3379">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 xml:space="preserve">Estimated </w:t>
            </w:r>
            <w:r w:rsidR="0091137C">
              <w:rPr>
                <w:rFonts w:ascii="Calibri" w:eastAsia="Times New Roman" w:hAnsi="Calibri" w:cs="Calibri"/>
                <w:color w:val="000000"/>
                <w:kern w:val="0"/>
                <w14:ligatures w14:val="none"/>
              </w:rPr>
              <w:t>H</w:t>
            </w:r>
            <w:r w:rsidRPr="00843E05">
              <w:rPr>
                <w:rFonts w:ascii="Calibri" w:eastAsia="Times New Roman" w:hAnsi="Calibri" w:cs="Calibri"/>
                <w:color w:val="000000"/>
                <w:kern w:val="0"/>
                <w14:ligatures w14:val="none"/>
              </w:rPr>
              <w:t>ourly Cost</w:t>
            </w:r>
          </w:p>
        </w:tc>
        <w:tc>
          <w:tcPr>
            <w:tcW w:w="1455" w:type="dxa"/>
            <w:tcBorders>
              <w:top w:val="single" w:sz="6" w:space="0" w:color="auto"/>
              <w:left w:val="nil"/>
              <w:bottom w:val="single" w:sz="6" w:space="0" w:color="auto"/>
              <w:right w:val="single" w:sz="6" w:space="0" w:color="auto"/>
            </w:tcBorders>
            <w:shd w:val="clear" w:color="auto" w:fill="auto"/>
            <w:vAlign w:val="center"/>
            <w:hideMark/>
          </w:tcPr>
          <w:p w:rsidR="00843E05" w:rsidRPr="00843E05" w:rsidP="008F0BA2" w14:paraId="1BD63000" w14:textId="1E0293E2">
            <w:pPr>
              <w:spacing w:after="0" w:line="240" w:lineRule="auto"/>
              <w:jc w:val="center"/>
              <w:textAlignment w:val="baseline"/>
              <w:rPr>
                <w:rFonts w:ascii="Segoe UI" w:eastAsia="Times New Roman" w:hAnsi="Segoe UI" w:cs="Segoe UI"/>
                <w:kern w:val="0"/>
                <w:sz w:val="18"/>
                <w:szCs w:val="18"/>
                <w14:ligatures w14:val="none"/>
              </w:rPr>
            </w:pPr>
            <w:r w:rsidRPr="00843E05">
              <w:rPr>
                <w:rFonts w:ascii="Calibri" w:eastAsia="Times New Roman" w:hAnsi="Calibri" w:cs="Calibri"/>
                <w:color w:val="000000"/>
                <w:kern w:val="0"/>
                <w14:ligatures w14:val="none"/>
              </w:rPr>
              <w:t>Total Annualized Costs</w:t>
            </w:r>
          </w:p>
        </w:tc>
      </w:tr>
      <w:tr w14:paraId="49BD3215" w14:textId="77777777" w:rsidTr="00273B70">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hideMark/>
          </w:tcPr>
          <w:p w:rsidR="00843E05" w:rsidRPr="00843E05" w:rsidP="00843E05" w14:paraId="1E262E47" w14:textId="77777777">
            <w:pPr>
              <w:spacing w:after="0" w:line="240" w:lineRule="auto"/>
              <w:jc w:val="center"/>
              <w:textAlignment w:val="baseline"/>
              <w:rPr>
                <w:rFonts w:eastAsia="Times New Roman" w:cstheme="minorHAnsi"/>
                <w:kern w:val="0"/>
                <w14:ligatures w14:val="none"/>
              </w:rPr>
            </w:pPr>
            <w:r w:rsidRPr="00843E05">
              <w:rPr>
                <w:rFonts w:eastAsia="Times New Roman" w:cstheme="minorHAnsi"/>
                <w:color w:val="000000"/>
                <w:kern w:val="0"/>
                <w14:ligatures w14:val="none"/>
              </w:rPr>
              <w:t>3 </w:t>
            </w:r>
          </w:p>
        </w:tc>
        <w:tc>
          <w:tcPr>
            <w:tcW w:w="1305" w:type="dxa"/>
            <w:tcBorders>
              <w:top w:val="nil"/>
              <w:left w:val="nil"/>
              <w:bottom w:val="single" w:sz="6" w:space="0" w:color="auto"/>
              <w:right w:val="single" w:sz="6" w:space="0" w:color="auto"/>
            </w:tcBorders>
            <w:shd w:val="clear" w:color="auto" w:fill="auto"/>
            <w:vAlign w:val="center"/>
            <w:hideMark/>
          </w:tcPr>
          <w:p w:rsidR="00843E05" w:rsidRPr="00843E05" w:rsidP="00843E05" w14:paraId="39CA295F" w14:textId="77777777">
            <w:pPr>
              <w:spacing w:after="0" w:line="240" w:lineRule="auto"/>
              <w:textAlignment w:val="baseline"/>
              <w:rPr>
                <w:rFonts w:eastAsia="Times New Roman" w:cstheme="minorHAnsi"/>
                <w:kern w:val="0"/>
                <w14:ligatures w14:val="none"/>
              </w:rPr>
            </w:pPr>
            <w:r w:rsidRPr="00843E05">
              <w:rPr>
                <w:rFonts w:eastAsia="Times New Roman" w:cstheme="minorHAnsi"/>
                <w:color w:val="000000"/>
                <w:kern w:val="0"/>
                <w14:ligatures w14:val="none"/>
              </w:rPr>
              <w:t>GS-14 </w:t>
            </w:r>
          </w:p>
        </w:tc>
        <w:tc>
          <w:tcPr>
            <w:tcW w:w="1290" w:type="dxa"/>
            <w:tcBorders>
              <w:top w:val="nil"/>
              <w:left w:val="nil"/>
              <w:bottom w:val="single" w:sz="6" w:space="0" w:color="auto"/>
              <w:right w:val="single" w:sz="6" w:space="0" w:color="auto"/>
            </w:tcBorders>
            <w:shd w:val="clear" w:color="auto" w:fill="auto"/>
            <w:vAlign w:val="center"/>
          </w:tcPr>
          <w:p w:rsidR="00843E05" w:rsidRPr="00843E05" w:rsidP="00510456" w14:paraId="1BA1E83F" w14:textId="45464C9E">
            <w:pPr>
              <w:spacing w:after="0" w:line="240" w:lineRule="auto"/>
              <w:ind w:right="42"/>
              <w:jc w:val="right"/>
              <w:textAlignment w:val="baseline"/>
              <w:rPr>
                <w:rFonts w:eastAsia="Times New Roman" w:cstheme="minorHAnsi"/>
                <w:kern w:val="0"/>
                <w14:ligatures w14:val="none"/>
              </w:rPr>
            </w:pPr>
            <w:r>
              <w:rPr>
                <w:rFonts w:eastAsia="Times New Roman" w:cstheme="minorHAnsi"/>
                <w:kern w:val="0"/>
                <w14:ligatures w14:val="none"/>
              </w:rPr>
              <w:t>87</w:t>
            </w:r>
          </w:p>
        </w:tc>
        <w:tc>
          <w:tcPr>
            <w:tcW w:w="1245" w:type="dxa"/>
            <w:tcBorders>
              <w:top w:val="nil"/>
              <w:left w:val="nil"/>
              <w:bottom w:val="single" w:sz="6" w:space="0" w:color="auto"/>
              <w:right w:val="single" w:sz="6" w:space="0" w:color="auto"/>
            </w:tcBorders>
            <w:shd w:val="clear" w:color="auto" w:fill="auto"/>
            <w:vAlign w:val="center"/>
          </w:tcPr>
          <w:p w:rsidR="00843E05" w:rsidRPr="00843E05" w:rsidP="00510456" w14:paraId="2D577E59" w14:textId="6C4DCFD9">
            <w:pPr>
              <w:spacing w:after="0" w:line="240" w:lineRule="auto"/>
              <w:ind w:right="42"/>
              <w:jc w:val="right"/>
              <w:textAlignment w:val="baseline"/>
              <w:rPr>
                <w:rFonts w:eastAsia="Times New Roman" w:cstheme="minorHAnsi"/>
                <w:kern w:val="0"/>
                <w14:ligatures w14:val="none"/>
              </w:rPr>
            </w:pPr>
            <w:r>
              <w:rPr>
                <w:rFonts w:eastAsia="Times New Roman" w:cstheme="minorHAnsi"/>
                <w:kern w:val="0"/>
                <w14:ligatures w14:val="none"/>
              </w:rPr>
              <w:t>261</w:t>
            </w:r>
          </w:p>
        </w:tc>
        <w:tc>
          <w:tcPr>
            <w:tcW w:w="1290" w:type="dxa"/>
            <w:tcBorders>
              <w:top w:val="nil"/>
              <w:left w:val="nil"/>
              <w:bottom w:val="single" w:sz="6" w:space="0" w:color="auto"/>
              <w:right w:val="single" w:sz="6" w:space="0" w:color="auto"/>
            </w:tcBorders>
            <w:shd w:val="clear" w:color="auto" w:fill="auto"/>
            <w:vAlign w:val="center"/>
            <w:hideMark/>
          </w:tcPr>
          <w:p w:rsidR="00843E05" w:rsidRPr="00843E05" w:rsidP="00843E05" w14:paraId="1096DE6C" w14:textId="77777777">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$75.70  </w:t>
            </w:r>
          </w:p>
        </w:tc>
        <w:tc>
          <w:tcPr>
            <w:tcW w:w="1455" w:type="dxa"/>
            <w:tcBorders>
              <w:top w:val="nil"/>
              <w:left w:val="nil"/>
              <w:bottom w:val="single" w:sz="6" w:space="0" w:color="auto"/>
              <w:right w:val="single" w:sz="6" w:space="0" w:color="auto"/>
            </w:tcBorders>
            <w:shd w:val="clear" w:color="auto" w:fill="auto"/>
            <w:vAlign w:val="center"/>
          </w:tcPr>
          <w:p w:rsidR="00843E05" w:rsidRPr="00843E05" w:rsidP="00510456" w14:paraId="06DF90A8" w14:textId="7103B566">
            <w:pPr>
              <w:spacing w:after="0" w:line="240" w:lineRule="auto"/>
              <w:ind w:right="79"/>
              <w:jc w:val="right"/>
              <w:textAlignment w:val="baseline"/>
              <w:rPr>
                <w:rFonts w:eastAsia="Times New Roman" w:cstheme="minorHAnsi"/>
                <w:kern w:val="0"/>
                <w14:ligatures w14:val="none"/>
              </w:rPr>
            </w:pPr>
            <w:r w:rsidRPr="00096259">
              <w:rPr>
                <w:rFonts w:eastAsia="Times New Roman" w:cstheme="minorHAnsi"/>
                <w:kern w:val="0"/>
                <w14:ligatures w14:val="none"/>
              </w:rPr>
              <w:t>$</w:t>
            </w:r>
            <w:r w:rsidR="00DE133B">
              <w:rPr>
                <w:rFonts w:eastAsia="Times New Roman" w:cstheme="minorHAnsi"/>
                <w:kern w:val="0"/>
                <w14:ligatures w14:val="none"/>
              </w:rPr>
              <w:t>19,758</w:t>
            </w:r>
          </w:p>
        </w:tc>
      </w:tr>
      <w:tr w14:paraId="6D87D7D8" w14:textId="77777777" w:rsidTr="00273B70">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hideMark/>
          </w:tcPr>
          <w:p w:rsidR="00843E05" w:rsidRPr="00843E05" w:rsidP="00843E05" w14:paraId="7A371A2E" w14:textId="77777777">
            <w:pPr>
              <w:spacing w:after="0" w:line="240" w:lineRule="auto"/>
              <w:jc w:val="center"/>
              <w:textAlignment w:val="baseline"/>
              <w:rPr>
                <w:rFonts w:eastAsia="Times New Roman" w:cstheme="minorHAnsi"/>
                <w:kern w:val="0"/>
                <w14:ligatures w14:val="none"/>
              </w:rPr>
            </w:pPr>
            <w:r w:rsidRPr="00843E05">
              <w:rPr>
                <w:rFonts w:eastAsia="Times New Roman" w:cstheme="minorHAnsi"/>
                <w:color w:val="000000"/>
                <w:kern w:val="0"/>
                <w14:ligatures w14:val="none"/>
              </w:rPr>
              <w:t>2 </w:t>
            </w:r>
          </w:p>
        </w:tc>
        <w:tc>
          <w:tcPr>
            <w:tcW w:w="1305" w:type="dxa"/>
            <w:tcBorders>
              <w:top w:val="nil"/>
              <w:left w:val="nil"/>
              <w:bottom w:val="single" w:sz="6" w:space="0" w:color="auto"/>
              <w:right w:val="single" w:sz="6" w:space="0" w:color="auto"/>
            </w:tcBorders>
            <w:shd w:val="clear" w:color="auto" w:fill="auto"/>
            <w:vAlign w:val="center"/>
            <w:hideMark/>
          </w:tcPr>
          <w:p w:rsidR="00843E05" w:rsidRPr="00843E05" w:rsidP="00843E05" w14:paraId="2EF44CA6" w14:textId="77777777">
            <w:pPr>
              <w:spacing w:after="0" w:line="240" w:lineRule="auto"/>
              <w:textAlignment w:val="baseline"/>
              <w:rPr>
                <w:rFonts w:eastAsia="Times New Roman" w:cstheme="minorHAnsi"/>
                <w:kern w:val="0"/>
                <w14:ligatures w14:val="none"/>
              </w:rPr>
            </w:pPr>
            <w:r w:rsidRPr="00843E05">
              <w:rPr>
                <w:rFonts w:eastAsia="Times New Roman" w:cstheme="minorHAnsi"/>
                <w:color w:val="000000"/>
                <w:kern w:val="0"/>
                <w14:ligatures w14:val="none"/>
              </w:rPr>
              <w:t>GS-13 </w:t>
            </w:r>
          </w:p>
        </w:tc>
        <w:tc>
          <w:tcPr>
            <w:tcW w:w="1290" w:type="dxa"/>
            <w:tcBorders>
              <w:top w:val="nil"/>
              <w:left w:val="nil"/>
              <w:bottom w:val="single" w:sz="6" w:space="0" w:color="auto"/>
              <w:right w:val="single" w:sz="6" w:space="0" w:color="auto"/>
            </w:tcBorders>
            <w:shd w:val="clear" w:color="auto" w:fill="auto"/>
            <w:vAlign w:val="center"/>
          </w:tcPr>
          <w:p w:rsidR="00843E05" w:rsidRPr="00843E05" w:rsidP="00510456" w14:paraId="6D2D528B" w14:textId="05E6AB49">
            <w:pPr>
              <w:spacing w:after="0" w:line="240" w:lineRule="auto"/>
              <w:ind w:right="42"/>
              <w:jc w:val="right"/>
              <w:textAlignment w:val="baseline"/>
              <w:rPr>
                <w:rFonts w:eastAsia="Times New Roman" w:cstheme="minorHAnsi"/>
                <w:kern w:val="0"/>
                <w14:ligatures w14:val="none"/>
              </w:rPr>
            </w:pPr>
            <w:r>
              <w:rPr>
                <w:rFonts w:eastAsia="Times New Roman" w:cstheme="minorHAnsi"/>
                <w:kern w:val="0"/>
                <w14:ligatures w14:val="none"/>
              </w:rPr>
              <w:t>87</w:t>
            </w:r>
          </w:p>
        </w:tc>
        <w:tc>
          <w:tcPr>
            <w:tcW w:w="1245" w:type="dxa"/>
            <w:tcBorders>
              <w:top w:val="nil"/>
              <w:left w:val="nil"/>
              <w:bottom w:val="single" w:sz="6" w:space="0" w:color="auto"/>
              <w:right w:val="single" w:sz="6" w:space="0" w:color="auto"/>
            </w:tcBorders>
            <w:shd w:val="clear" w:color="auto" w:fill="auto"/>
            <w:vAlign w:val="center"/>
          </w:tcPr>
          <w:p w:rsidR="00843E05" w:rsidRPr="00843E05" w:rsidP="00510456" w14:paraId="7EC4A151" w14:textId="6AFFA22E">
            <w:pPr>
              <w:spacing w:after="0" w:line="240" w:lineRule="auto"/>
              <w:ind w:right="42"/>
              <w:jc w:val="right"/>
              <w:textAlignment w:val="baseline"/>
              <w:rPr>
                <w:rFonts w:eastAsia="Times New Roman" w:cstheme="minorHAnsi"/>
                <w:kern w:val="0"/>
                <w14:ligatures w14:val="none"/>
              </w:rPr>
            </w:pPr>
            <w:r>
              <w:rPr>
                <w:rFonts w:eastAsia="Times New Roman" w:cstheme="minorHAnsi"/>
                <w:kern w:val="0"/>
                <w14:ligatures w14:val="none"/>
              </w:rPr>
              <w:t>174</w:t>
            </w:r>
          </w:p>
        </w:tc>
        <w:tc>
          <w:tcPr>
            <w:tcW w:w="1290" w:type="dxa"/>
            <w:tcBorders>
              <w:top w:val="nil"/>
              <w:left w:val="nil"/>
              <w:bottom w:val="single" w:sz="6" w:space="0" w:color="auto"/>
              <w:right w:val="single" w:sz="6" w:space="0" w:color="auto"/>
            </w:tcBorders>
            <w:shd w:val="clear" w:color="auto" w:fill="auto"/>
            <w:vAlign w:val="center"/>
            <w:hideMark/>
          </w:tcPr>
          <w:p w:rsidR="00843E05" w:rsidRPr="00843E05" w:rsidP="00843E05" w14:paraId="586DA652" w14:textId="77777777">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$64.06  </w:t>
            </w:r>
          </w:p>
        </w:tc>
        <w:tc>
          <w:tcPr>
            <w:tcW w:w="1455" w:type="dxa"/>
            <w:tcBorders>
              <w:top w:val="nil"/>
              <w:left w:val="nil"/>
              <w:bottom w:val="single" w:sz="6" w:space="0" w:color="auto"/>
              <w:right w:val="single" w:sz="6" w:space="0" w:color="auto"/>
            </w:tcBorders>
            <w:shd w:val="clear" w:color="auto" w:fill="auto"/>
            <w:vAlign w:val="center"/>
          </w:tcPr>
          <w:p w:rsidR="00843E05" w:rsidRPr="00843E05" w:rsidP="00510456" w14:paraId="01928869" w14:textId="786981E5">
            <w:pPr>
              <w:spacing w:after="0" w:line="240" w:lineRule="auto"/>
              <w:ind w:right="79"/>
              <w:jc w:val="right"/>
              <w:textAlignment w:val="baseline"/>
              <w:rPr>
                <w:rFonts w:eastAsia="Times New Roman" w:cstheme="minorHAnsi"/>
                <w:kern w:val="0"/>
                <w14:ligatures w14:val="none"/>
              </w:rPr>
            </w:pPr>
            <w:r w:rsidRPr="00096259">
              <w:rPr>
                <w:rFonts w:eastAsia="Times New Roman" w:cstheme="minorHAnsi"/>
                <w:kern w:val="0"/>
                <w14:ligatures w14:val="none"/>
              </w:rPr>
              <w:t>$</w:t>
            </w:r>
            <w:r w:rsidR="006E5531">
              <w:rPr>
                <w:rFonts w:eastAsia="Times New Roman" w:cstheme="minorHAnsi"/>
                <w:kern w:val="0"/>
                <w14:ligatures w14:val="none"/>
              </w:rPr>
              <w:t>11,146</w:t>
            </w:r>
          </w:p>
        </w:tc>
      </w:tr>
      <w:tr w14:paraId="5B848A1C" w14:textId="77777777" w:rsidTr="008B2706">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tcPr>
          <w:p w:rsidR="00EA58D9" w:rsidRPr="00843E05" w:rsidP="00843E05" w14:paraId="0EAE5E4C" w14:textId="3BBAF04A">
            <w:pPr>
              <w:spacing w:after="0" w:line="240" w:lineRule="auto"/>
              <w:jc w:val="center"/>
              <w:textAlignment w:val="baseline"/>
              <w:rPr>
                <w:rFonts w:eastAsia="Times New Roman" w:cstheme="minorHAnsi"/>
                <w:color w:val="000000"/>
                <w:kern w:val="0"/>
                <w14:ligatures w14:val="none"/>
              </w:rPr>
            </w:pPr>
            <w:r>
              <w:rPr>
                <w:rFonts w:eastAsia="Times New Roman" w:cstheme="minorHAnsi"/>
                <w:color w:val="000000"/>
                <w:kern w:val="0"/>
                <w14:ligatures w14:val="none"/>
              </w:rPr>
              <w:t>Total Staff Cost</w:t>
            </w:r>
          </w:p>
        </w:tc>
        <w:tc>
          <w:tcPr>
            <w:tcW w:w="5130" w:type="dxa"/>
            <w:gridSpan w:val="4"/>
            <w:tcBorders>
              <w:top w:val="nil"/>
              <w:left w:val="nil"/>
              <w:bottom w:val="single" w:sz="6" w:space="0" w:color="auto"/>
              <w:right w:val="single" w:sz="6" w:space="0" w:color="auto"/>
            </w:tcBorders>
            <w:shd w:val="clear" w:color="auto" w:fill="auto"/>
            <w:vAlign w:val="center"/>
          </w:tcPr>
          <w:p w:rsidR="00EA58D9" w:rsidRPr="00843E05" w:rsidP="00843E05" w14:paraId="6980A11A" w14:textId="77777777">
            <w:pPr>
              <w:spacing w:after="0" w:line="240" w:lineRule="auto"/>
              <w:jc w:val="right"/>
              <w:textAlignment w:val="baseline"/>
              <w:rPr>
                <w:rFonts w:eastAsia="Times New Roman" w:cstheme="minorHAnsi"/>
                <w:color w:val="000000"/>
                <w:kern w:val="0"/>
                <w14:ligatures w14:val="none"/>
              </w:rPr>
            </w:pPr>
          </w:p>
        </w:tc>
        <w:tc>
          <w:tcPr>
            <w:tcW w:w="1455" w:type="dxa"/>
            <w:tcBorders>
              <w:top w:val="nil"/>
              <w:left w:val="nil"/>
              <w:bottom w:val="single" w:sz="6" w:space="0" w:color="auto"/>
              <w:right w:val="single" w:sz="6" w:space="0" w:color="auto"/>
            </w:tcBorders>
            <w:shd w:val="clear" w:color="auto" w:fill="auto"/>
            <w:vAlign w:val="center"/>
          </w:tcPr>
          <w:p w:rsidR="00EA58D9" w:rsidRPr="00096259" w:rsidP="00510456" w14:paraId="06B15131" w14:textId="11222E28">
            <w:pPr>
              <w:spacing w:after="0" w:line="240" w:lineRule="auto"/>
              <w:ind w:right="79"/>
              <w:jc w:val="right"/>
              <w:textAlignment w:val="baseline"/>
              <w:rPr>
                <w:rFonts w:eastAsia="Times New Roman" w:cstheme="minorHAnsi"/>
                <w:kern w:val="0"/>
                <w14:ligatures w14:val="none"/>
              </w:rPr>
            </w:pPr>
            <w:r>
              <w:rPr>
                <w:rFonts w:eastAsia="Times New Roman" w:cstheme="minorHAnsi"/>
                <w:kern w:val="0"/>
                <w14:ligatures w14:val="none"/>
              </w:rPr>
              <w:t>$30,904</w:t>
            </w:r>
          </w:p>
        </w:tc>
      </w:tr>
      <w:tr w14:paraId="7B71180D" w14:textId="77777777" w:rsidTr="008B2706">
        <w:tblPrEx>
          <w:tblW w:w="9255" w:type="dxa"/>
          <w:tblCellMar>
            <w:left w:w="0" w:type="dxa"/>
            <w:right w:w="0" w:type="dxa"/>
          </w:tblCellMar>
          <w:tblLook w:val="04A0"/>
        </w:tblPrEx>
        <w:trPr>
          <w:trHeight w:val="300"/>
        </w:trPr>
        <w:tc>
          <w:tcPr>
            <w:tcW w:w="2670" w:type="dxa"/>
            <w:tcBorders>
              <w:top w:val="nil"/>
              <w:left w:val="single" w:sz="6" w:space="0" w:color="auto"/>
              <w:bottom w:val="single" w:sz="6" w:space="0" w:color="auto"/>
              <w:right w:val="single" w:sz="6" w:space="0" w:color="auto"/>
            </w:tcBorders>
            <w:shd w:val="clear" w:color="auto" w:fill="auto"/>
            <w:vAlign w:val="center"/>
          </w:tcPr>
          <w:p w:rsidR="00EA58D9" w:rsidP="00843E05" w14:paraId="187020B1" w14:textId="232D4050">
            <w:pPr>
              <w:spacing w:after="0" w:line="240" w:lineRule="auto"/>
              <w:jc w:val="center"/>
              <w:textAlignment w:val="baseline"/>
              <w:rPr>
                <w:rFonts w:eastAsia="Times New Roman" w:cstheme="minorHAnsi"/>
                <w:color w:val="000000"/>
                <w:kern w:val="0"/>
                <w14:ligatures w14:val="none"/>
              </w:rPr>
            </w:pPr>
            <w:r>
              <w:rPr>
                <w:rFonts w:eastAsia="Times New Roman" w:cstheme="minorHAnsi"/>
                <w:color w:val="000000"/>
                <w:kern w:val="0"/>
                <w14:ligatures w14:val="none"/>
              </w:rPr>
              <w:t>Contractor Estimate</w:t>
            </w:r>
          </w:p>
        </w:tc>
        <w:tc>
          <w:tcPr>
            <w:tcW w:w="5130" w:type="dxa"/>
            <w:gridSpan w:val="4"/>
            <w:tcBorders>
              <w:top w:val="nil"/>
              <w:left w:val="nil"/>
              <w:bottom w:val="single" w:sz="6" w:space="0" w:color="auto"/>
              <w:right w:val="single" w:sz="6" w:space="0" w:color="auto"/>
            </w:tcBorders>
            <w:shd w:val="clear" w:color="auto" w:fill="auto"/>
            <w:vAlign w:val="center"/>
          </w:tcPr>
          <w:p w:rsidR="00EA58D9" w:rsidRPr="00843E05" w:rsidP="00843E05" w14:paraId="20A2D249" w14:textId="77777777">
            <w:pPr>
              <w:spacing w:after="0" w:line="240" w:lineRule="auto"/>
              <w:jc w:val="right"/>
              <w:textAlignment w:val="baseline"/>
              <w:rPr>
                <w:rFonts w:eastAsia="Times New Roman" w:cstheme="minorHAnsi"/>
                <w:color w:val="000000"/>
                <w:kern w:val="0"/>
                <w14:ligatures w14:val="none"/>
              </w:rPr>
            </w:pPr>
          </w:p>
        </w:tc>
        <w:tc>
          <w:tcPr>
            <w:tcW w:w="1455" w:type="dxa"/>
            <w:tcBorders>
              <w:top w:val="nil"/>
              <w:left w:val="nil"/>
              <w:bottom w:val="single" w:sz="6" w:space="0" w:color="auto"/>
              <w:right w:val="single" w:sz="6" w:space="0" w:color="auto"/>
            </w:tcBorders>
            <w:shd w:val="clear" w:color="auto" w:fill="auto"/>
            <w:vAlign w:val="center"/>
          </w:tcPr>
          <w:p w:rsidR="00EA58D9" w:rsidP="00510456" w14:paraId="216A05E6" w14:textId="5F53B0FB">
            <w:pPr>
              <w:spacing w:after="0" w:line="240" w:lineRule="auto"/>
              <w:ind w:right="79"/>
              <w:jc w:val="right"/>
              <w:textAlignment w:val="baseline"/>
              <w:rPr>
                <w:rFonts w:eastAsia="Times New Roman" w:cstheme="minorHAnsi"/>
                <w:kern w:val="0"/>
                <w14:ligatures w14:val="none"/>
              </w:rPr>
            </w:pPr>
            <w:r>
              <w:rPr>
                <w:rFonts w:eastAsia="Times New Roman" w:cstheme="minorHAnsi"/>
                <w:kern w:val="0"/>
                <w14:ligatures w14:val="none"/>
              </w:rPr>
              <w:t>$30,000</w:t>
            </w:r>
          </w:p>
        </w:tc>
      </w:tr>
      <w:tr w14:paraId="2AE52FE4" w14:textId="77777777" w:rsidTr="00273B70">
        <w:tblPrEx>
          <w:tblW w:w="9255" w:type="dxa"/>
          <w:tblCellMar>
            <w:left w:w="0" w:type="dxa"/>
            <w:right w:w="0" w:type="dxa"/>
          </w:tblCellMar>
          <w:tblLook w:val="04A0"/>
        </w:tblPrEx>
        <w:trPr>
          <w:trHeight w:val="372"/>
        </w:trPr>
        <w:tc>
          <w:tcPr>
            <w:tcW w:w="7800" w:type="dxa"/>
            <w:gridSpan w:val="5"/>
            <w:tcBorders>
              <w:top w:val="nil"/>
              <w:left w:val="single" w:sz="6" w:space="0" w:color="auto"/>
              <w:bottom w:val="single" w:sz="6" w:space="0" w:color="auto"/>
              <w:right w:val="single" w:sz="6" w:space="0" w:color="auto"/>
            </w:tcBorders>
            <w:shd w:val="clear" w:color="auto" w:fill="auto"/>
            <w:vAlign w:val="center"/>
            <w:hideMark/>
          </w:tcPr>
          <w:p w:rsidR="00273B70" w:rsidRPr="00843E05" w:rsidP="00273B70" w14:paraId="4328A690" w14:textId="2CB69F2D">
            <w:pPr>
              <w:spacing w:after="0" w:line="240" w:lineRule="auto"/>
              <w:jc w:val="right"/>
              <w:textAlignment w:val="baseline"/>
              <w:rPr>
                <w:rFonts w:eastAsia="Times New Roman" w:cstheme="minorHAnsi"/>
                <w:kern w:val="0"/>
                <w14:ligatures w14:val="none"/>
              </w:rPr>
            </w:pPr>
            <w:r w:rsidRPr="00843E05">
              <w:rPr>
                <w:rFonts w:eastAsia="Times New Roman" w:cstheme="minorHAnsi"/>
                <w:color w:val="000000"/>
                <w:kern w:val="0"/>
                <w14:ligatures w14:val="none"/>
              </w:rPr>
              <w:t>Total Federal Costs </w:t>
            </w:r>
          </w:p>
        </w:tc>
        <w:tc>
          <w:tcPr>
            <w:tcW w:w="1455" w:type="dxa"/>
            <w:tcBorders>
              <w:top w:val="nil"/>
              <w:left w:val="nil"/>
              <w:bottom w:val="single" w:sz="6" w:space="0" w:color="auto"/>
              <w:right w:val="single" w:sz="6" w:space="0" w:color="auto"/>
            </w:tcBorders>
            <w:shd w:val="clear" w:color="auto" w:fill="auto"/>
            <w:vAlign w:val="bottom"/>
            <w:hideMark/>
          </w:tcPr>
          <w:p w:rsidR="00273B70" w:rsidRPr="00843E05" w:rsidP="00510456" w14:paraId="098ABF9A" w14:textId="6EB5F6AD">
            <w:pPr>
              <w:spacing w:after="0" w:line="240" w:lineRule="auto"/>
              <w:ind w:right="79"/>
              <w:jc w:val="right"/>
              <w:textAlignment w:val="baseline"/>
              <w:rPr>
                <w:rFonts w:eastAsia="Times New Roman" w:cstheme="minorHAnsi"/>
                <w:kern w:val="0"/>
                <w14:ligatures w14:val="none"/>
              </w:rPr>
            </w:pPr>
            <w:r w:rsidRPr="008113CE">
              <w:rPr>
                <w:rFonts w:eastAsia="Times New Roman" w:cstheme="minorHAnsi"/>
                <w:kern w:val="0"/>
                <w14:ligatures w14:val="none"/>
              </w:rPr>
              <w:t>$</w:t>
            </w:r>
            <w:r w:rsidR="00BF6019">
              <w:rPr>
                <w:rFonts w:eastAsia="Times New Roman" w:cstheme="minorHAnsi"/>
                <w:kern w:val="0"/>
                <w14:ligatures w14:val="none"/>
              </w:rPr>
              <w:t>60,904</w:t>
            </w:r>
          </w:p>
        </w:tc>
      </w:tr>
    </w:tbl>
    <w:p w:rsidR="00843E05" w:rsidP="00843E05" w14:paraId="5FC176BB" w14:textId="25DE634A">
      <w:pPr>
        <w:ind w:left="360"/>
        <w:jc w:val="center"/>
      </w:pPr>
    </w:p>
    <w:p w:rsidR="00843E05" w:rsidRPr="00843E05" w:rsidP="00843E05" w14:paraId="0D7EE3BD" w14:textId="77777777">
      <w:pPr>
        <w:numPr>
          <w:ilvl w:val="0"/>
          <w:numId w:val="33"/>
        </w:numPr>
      </w:pPr>
      <w:r w:rsidRPr="00843E05">
        <w:rPr>
          <w:b/>
          <w:bCs/>
        </w:rPr>
        <w:t xml:space="preserve">Explain the reasons for any program changes or adjustments. Generally, adjustments in burden result from re-estimating burden and/or from economic phenomenon outside of an </w:t>
      </w:r>
      <w:r w:rsidRPr="00843E05">
        <w:rPr>
          <w:b/>
          <w:bCs/>
        </w:rPr>
        <w:t>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r w:rsidRPr="00843E05">
        <w:t> </w:t>
      </w:r>
    </w:p>
    <w:p w:rsidR="00843E05" w:rsidRPr="00843E05" w:rsidP="00843E05" w14:paraId="57F38347" w14:textId="77777777">
      <w:pPr>
        <w:ind w:left="360"/>
      </w:pPr>
      <w:r w:rsidRPr="00843E05">
        <w:rPr>
          <w:b/>
          <w:bCs/>
        </w:rPr>
        <w:t>Provide a descriptive narrative for the reasons of any change in addition to completing the table with the burden hour change(s) here.</w:t>
      </w:r>
      <w:r w:rsidRPr="00843E05">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7"/>
        <w:gridCol w:w="2024"/>
        <w:gridCol w:w="2793"/>
        <w:gridCol w:w="2500"/>
      </w:tblGrid>
      <w:tr w14:paraId="6C0CB8F9" w14:textId="77777777" w:rsidTr="338B005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43E05" w:rsidRPr="00843E05" w:rsidP="00843E05" w14:paraId="1DFCB5EA" w14:textId="6288DC22">
            <w:pPr>
              <w:ind w:left="360"/>
            </w:pP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02DB8989" w14:textId="77777777">
            <w:pPr>
              <w:ind w:left="360"/>
            </w:pPr>
            <w:r w:rsidRPr="00843E05">
              <w:t>Program Change Due to New Statute </w:t>
            </w:r>
          </w:p>
        </w:tc>
        <w:tc>
          <w:tcPr>
            <w:tcW w:w="2793"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3B37F0BC" w14:textId="77777777">
            <w:pPr>
              <w:ind w:left="360"/>
            </w:pPr>
            <w:r w:rsidRPr="00843E05">
              <w:t>Program Change Due to Agency Discretion </w:t>
            </w:r>
          </w:p>
        </w:tc>
        <w:tc>
          <w:tcPr>
            <w:tcW w:w="2500"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6C1B3D54" w14:textId="77777777">
            <w:pPr>
              <w:ind w:left="360"/>
            </w:pPr>
            <w:r w:rsidRPr="00843E05">
              <w:t>Change Due to Adjustment in Agency Estimate </w:t>
            </w:r>
          </w:p>
        </w:tc>
      </w:tr>
      <w:tr w14:paraId="5EFE3457" w14:textId="77777777" w:rsidTr="338B005A">
        <w:tblPrEx>
          <w:tblW w:w="9344" w:type="dxa"/>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843E05" w14:paraId="3F21133B" w14:textId="40C85007">
            <w:pPr>
              <w:ind w:left="360"/>
            </w:pPr>
            <w:r>
              <w:t>Annual Burden</w:t>
            </w: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843E05" w:rsidRPr="00843E05" w:rsidP="001559AF" w14:paraId="72EB9220" w14:textId="503A5321">
            <w:pPr>
              <w:ind w:left="360" w:right="271"/>
              <w:jc w:val="center"/>
            </w:pPr>
            <w:r>
              <w:t>N/A</w:t>
            </w:r>
          </w:p>
        </w:tc>
        <w:tc>
          <w:tcPr>
            <w:tcW w:w="2793" w:type="dxa"/>
            <w:tcBorders>
              <w:top w:val="single" w:sz="6" w:space="0" w:color="auto"/>
              <w:left w:val="single" w:sz="6" w:space="0" w:color="auto"/>
              <w:bottom w:val="single" w:sz="6" w:space="0" w:color="auto"/>
              <w:right w:val="single" w:sz="6" w:space="0" w:color="auto"/>
            </w:tcBorders>
            <w:shd w:val="clear" w:color="auto" w:fill="auto"/>
          </w:tcPr>
          <w:p w:rsidR="00843E05" w:rsidRPr="00843E05" w:rsidP="001559AF" w14:paraId="5251D1B5" w14:textId="0235E343">
            <w:pPr>
              <w:ind w:left="360" w:right="370"/>
              <w:jc w:val="center"/>
            </w:pPr>
            <w:r>
              <w:t>N/A</w:t>
            </w:r>
          </w:p>
        </w:tc>
        <w:tc>
          <w:tcPr>
            <w:tcW w:w="2500" w:type="dxa"/>
            <w:tcBorders>
              <w:top w:val="single" w:sz="6" w:space="0" w:color="auto"/>
              <w:left w:val="single" w:sz="6" w:space="0" w:color="auto"/>
              <w:bottom w:val="single" w:sz="6" w:space="0" w:color="auto"/>
              <w:right w:val="single" w:sz="6" w:space="0" w:color="auto"/>
            </w:tcBorders>
            <w:shd w:val="clear" w:color="auto" w:fill="auto"/>
          </w:tcPr>
          <w:p w:rsidR="00843E05" w:rsidRPr="00843E05" w:rsidP="001559AF" w14:paraId="27E6DECD" w14:textId="4E47A896">
            <w:pPr>
              <w:ind w:left="360" w:right="521"/>
              <w:jc w:val="center"/>
            </w:pPr>
            <w:r>
              <w:t>-</w:t>
            </w:r>
            <w:r w:rsidR="67898FE6">
              <w:t>4</w:t>
            </w:r>
            <w:r w:rsidR="59F40C9C">
              <w:t>86</w:t>
            </w:r>
          </w:p>
        </w:tc>
      </w:tr>
      <w:tr w14:paraId="1944FD07" w14:textId="77777777" w:rsidTr="338B005A">
        <w:tblPrEx>
          <w:tblW w:w="9344" w:type="dxa"/>
          <w:tblCellMar>
            <w:left w:w="0" w:type="dxa"/>
            <w:right w:w="0" w:type="dxa"/>
          </w:tblCellMar>
          <w:tblLook w:val="04A0"/>
        </w:tblPrEx>
        <w:trPr>
          <w:trHeight w:val="300"/>
        </w:trPr>
        <w:tc>
          <w:tcPr>
            <w:tcW w:w="2027" w:type="dxa"/>
            <w:tcBorders>
              <w:top w:val="single" w:sz="6" w:space="0" w:color="auto"/>
              <w:left w:val="single" w:sz="6" w:space="0" w:color="auto"/>
              <w:bottom w:val="single" w:sz="6" w:space="0" w:color="auto"/>
              <w:right w:val="single" w:sz="6" w:space="0" w:color="auto"/>
            </w:tcBorders>
            <w:shd w:val="clear" w:color="auto" w:fill="auto"/>
            <w:hideMark/>
          </w:tcPr>
          <w:p w:rsidR="00996A3C" w:rsidRPr="00843E05" w:rsidP="00996A3C" w14:paraId="592ACD96" w14:textId="5F5FBABE">
            <w:pPr>
              <w:ind w:left="360"/>
            </w:pPr>
            <w:r>
              <w:t>Annual Responses</w:t>
            </w:r>
            <w:r w:rsidRPr="00843E05">
              <w:t> </w:t>
            </w:r>
          </w:p>
        </w:tc>
        <w:tc>
          <w:tcPr>
            <w:tcW w:w="2024" w:type="dxa"/>
            <w:tcBorders>
              <w:top w:val="single" w:sz="6" w:space="0" w:color="auto"/>
              <w:left w:val="single" w:sz="6" w:space="0" w:color="auto"/>
              <w:bottom w:val="single" w:sz="6" w:space="0" w:color="auto"/>
              <w:right w:val="single" w:sz="6" w:space="0" w:color="auto"/>
            </w:tcBorders>
            <w:shd w:val="clear" w:color="auto" w:fill="auto"/>
            <w:hideMark/>
          </w:tcPr>
          <w:p w:rsidR="00996A3C" w:rsidRPr="00843E05" w:rsidP="001559AF" w14:paraId="5A1DE77B" w14:textId="069A88A4">
            <w:pPr>
              <w:ind w:left="360" w:right="271"/>
              <w:jc w:val="center"/>
            </w:pPr>
            <w:r>
              <w:t>N/A</w:t>
            </w:r>
          </w:p>
        </w:tc>
        <w:tc>
          <w:tcPr>
            <w:tcW w:w="2793" w:type="dxa"/>
            <w:tcBorders>
              <w:top w:val="single" w:sz="6" w:space="0" w:color="auto"/>
              <w:left w:val="single" w:sz="6" w:space="0" w:color="auto"/>
              <w:bottom w:val="single" w:sz="6" w:space="0" w:color="auto"/>
              <w:right w:val="single" w:sz="6" w:space="0" w:color="auto"/>
            </w:tcBorders>
            <w:shd w:val="clear" w:color="auto" w:fill="auto"/>
          </w:tcPr>
          <w:p w:rsidR="00996A3C" w:rsidRPr="00843E05" w:rsidP="001559AF" w14:paraId="48463A6A" w14:textId="7178A54F">
            <w:pPr>
              <w:ind w:left="360" w:right="370"/>
              <w:jc w:val="center"/>
            </w:pPr>
            <w:r w:rsidRPr="00D61816">
              <w:t>N/A</w:t>
            </w:r>
          </w:p>
        </w:tc>
        <w:tc>
          <w:tcPr>
            <w:tcW w:w="2500" w:type="dxa"/>
            <w:tcBorders>
              <w:top w:val="single" w:sz="6" w:space="0" w:color="auto"/>
              <w:left w:val="single" w:sz="6" w:space="0" w:color="auto"/>
              <w:bottom w:val="single" w:sz="6" w:space="0" w:color="auto"/>
              <w:right w:val="single" w:sz="6" w:space="0" w:color="auto"/>
            </w:tcBorders>
            <w:shd w:val="clear" w:color="auto" w:fill="auto"/>
          </w:tcPr>
          <w:p w:rsidR="00996A3C" w:rsidRPr="00843E05" w:rsidP="001559AF" w14:paraId="493BE174" w14:textId="3C6ACE92">
            <w:pPr>
              <w:ind w:left="360" w:right="431"/>
              <w:jc w:val="center"/>
            </w:pPr>
            <w:r w:rsidRPr="00D61816">
              <w:t>N/A</w:t>
            </w:r>
          </w:p>
        </w:tc>
      </w:tr>
    </w:tbl>
    <w:p w:rsidR="00843E05" w:rsidP="00843E05" w14:paraId="5C83B44B" w14:textId="77777777">
      <w:pPr>
        <w:ind w:left="360"/>
      </w:pPr>
    </w:p>
    <w:p w:rsidR="00FC42DD" w:rsidP="001559AF" w14:paraId="1D154008" w14:textId="505D42EF">
      <w:r w:rsidRPr="00843E05">
        <w:rPr>
          <w:u w:val="single"/>
        </w:rPr>
        <w:t>Changes Due to Adjustment in Agency</w:t>
      </w:r>
      <w:r w:rsidR="007734B7">
        <w:rPr>
          <w:u w:val="single"/>
        </w:rPr>
        <w:t xml:space="preserve"> </w:t>
      </w:r>
      <w:r w:rsidRPr="00843E05">
        <w:rPr>
          <w:u w:val="single"/>
        </w:rPr>
        <w:t>Estimate</w:t>
      </w:r>
      <w:r w:rsidRPr="00843E05">
        <w:t> </w:t>
      </w:r>
    </w:p>
    <w:p w:rsidR="00384D07" w:rsidP="00FC42DD" w14:paraId="5F8D07BA" w14:textId="282D99DC">
      <w:r>
        <w:t xml:space="preserve">The recent authorization for this information collection, which the Department now seeks to discontinue, had a burden of </w:t>
      </w:r>
      <w:r w:rsidR="00747ACC">
        <w:t>13,122</w:t>
      </w:r>
      <w:r>
        <w:t xml:space="preserve"> hours.  </w:t>
      </w:r>
      <w:r>
        <w:t>Of the total burden hour decrease of 4</w:t>
      </w:r>
      <w:r w:rsidR="609D40CB">
        <w:t>86</w:t>
      </w:r>
      <w:r>
        <w:t xml:space="preserve"> hours, 25</w:t>
      </w:r>
      <w:r w:rsidR="357AC8D8">
        <w:t>0</w:t>
      </w:r>
      <w:r>
        <w:t xml:space="preserve"> hours are associated with the proposed deletion of nine (9) narrative questions</w:t>
      </w:r>
      <w:r w:rsidR="00307D3E">
        <w:t xml:space="preserve"> and 23</w:t>
      </w:r>
      <w:r w:rsidR="6BC58AA9">
        <w:t>6</w:t>
      </w:r>
      <w:r w:rsidR="00307D3E">
        <w:t xml:space="preserve"> hours are associated with the removal of a table that would collect data on enrollment of middle grades students and their demographics beginning in the final year of the collection.</w:t>
      </w:r>
    </w:p>
    <w:p w:rsidR="00843E05" w:rsidP="00843E05" w14:paraId="18040CA8" w14:textId="77777777">
      <w:pPr>
        <w:numPr>
          <w:ilvl w:val="0"/>
          <w:numId w:val="34"/>
        </w:numPr>
      </w:pPr>
      <w:r w:rsidRPr="00843E05">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43E05">
        <w:t> </w:t>
      </w:r>
    </w:p>
    <w:p w:rsidR="00AA6041" w:rsidP="00AA6041" w14:paraId="6578B92C" w14:textId="29077214">
      <w:r>
        <w:t>An annual report to Congress is prepared and published using the information collected in the CAR instrument.  Enrollment and accountability data are also made available on the Department’s Perkins Collaborative Resource Network (PCRN) at cte.ed.gov.  On the PCRN, interested parties can view data for individual States, as well as run customized reports with aggregated and disaggregated data on the students who participate and concentrate in CTE programs across the nation.</w:t>
      </w:r>
    </w:p>
    <w:tbl>
      <w:tblPr>
        <w:tblStyle w:val="TableGrid"/>
        <w:tblW w:w="0" w:type="auto"/>
        <w:tblLook w:val="04A0"/>
      </w:tblPr>
      <w:tblGrid>
        <w:gridCol w:w="1525"/>
        <w:gridCol w:w="7825"/>
      </w:tblGrid>
      <w:tr w14:paraId="59D42B50" w14:textId="77777777" w:rsidTr="005868AD">
        <w:tblPrEx>
          <w:tblW w:w="0" w:type="auto"/>
          <w:tblLook w:val="04A0"/>
        </w:tblPrEx>
        <w:tc>
          <w:tcPr>
            <w:tcW w:w="1525" w:type="dxa"/>
          </w:tcPr>
          <w:p w:rsidR="005868AD" w:rsidP="005868AD" w14:paraId="262449C0" w14:textId="29C7E2A6">
            <w:pPr>
              <w:jc w:val="center"/>
            </w:pPr>
            <w:r>
              <w:t>Timeline</w:t>
            </w:r>
          </w:p>
        </w:tc>
        <w:tc>
          <w:tcPr>
            <w:tcW w:w="7825" w:type="dxa"/>
          </w:tcPr>
          <w:p w:rsidR="005868AD" w:rsidP="005868AD" w14:paraId="592E21D1" w14:textId="777CC1CF">
            <w:pPr>
              <w:jc w:val="center"/>
            </w:pPr>
            <w:r>
              <w:t>Actions</w:t>
            </w:r>
          </w:p>
        </w:tc>
      </w:tr>
      <w:tr w14:paraId="10D9CE53" w14:textId="77777777" w:rsidTr="005868AD">
        <w:tblPrEx>
          <w:tblW w:w="0" w:type="auto"/>
          <w:tblLook w:val="04A0"/>
        </w:tblPrEx>
        <w:tc>
          <w:tcPr>
            <w:tcW w:w="1525" w:type="dxa"/>
          </w:tcPr>
          <w:p w:rsidR="005868AD" w:rsidP="0034699C" w14:paraId="3B8E747A" w14:textId="0119D5ED">
            <w:r>
              <w:t>October 1 – January 31</w:t>
            </w:r>
          </w:p>
        </w:tc>
        <w:tc>
          <w:tcPr>
            <w:tcW w:w="7825" w:type="dxa"/>
          </w:tcPr>
          <w:p w:rsidR="005868AD" w:rsidP="0034699C" w14:paraId="6317530C" w14:textId="219FB162">
            <w:r>
              <w:t>States submit CAR data during the reporting window.</w:t>
            </w:r>
          </w:p>
        </w:tc>
      </w:tr>
      <w:tr w14:paraId="093FC8A4" w14:textId="77777777" w:rsidTr="005868AD">
        <w:tblPrEx>
          <w:tblW w:w="0" w:type="auto"/>
          <w:tblLook w:val="04A0"/>
        </w:tblPrEx>
        <w:tc>
          <w:tcPr>
            <w:tcW w:w="1525" w:type="dxa"/>
          </w:tcPr>
          <w:p w:rsidR="005868AD" w:rsidP="0034699C" w14:paraId="0ECD0D43" w14:textId="02315533">
            <w:r>
              <w:t>February 1 – April 15</w:t>
            </w:r>
          </w:p>
        </w:tc>
        <w:tc>
          <w:tcPr>
            <w:tcW w:w="7825" w:type="dxa"/>
          </w:tcPr>
          <w:p w:rsidR="005868AD" w:rsidP="0034699C" w14:paraId="6B828546" w14:textId="6D845A08">
            <w:r>
              <w:t>DATE staff review States’ CAR submissions.</w:t>
            </w:r>
          </w:p>
        </w:tc>
      </w:tr>
      <w:tr w14:paraId="2BCE2E96" w14:textId="77777777" w:rsidTr="005868AD">
        <w:tblPrEx>
          <w:tblW w:w="0" w:type="auto"/>
          <w:tblLook w:val="04A0"/>
        </w:tblPrEx>
        <w:tc>
          <w:tcPr>
            <w:tcW w:w="1525" w:type="dxa"/>
          </w:tcPr>
          <w:p w:rsidR="005868AD" w:rsidP="0034699C" w14:paraId="6F00F8F1" w14:textId="26A405FC">
            <w:r>
              <w:t>April 15</w:t>
            </w:r>
          </w:p>
        </w:tc>
        <w:tc>
          <w:tcPr>
            <w:tcW w:w="7825" w:type="dxa"/>
          </w:tcPr>
          <w:p w:rsidR="005868AD" w:rsidP="0034699C" w14:paraId="135B2CB1" w14:textId="644B3552">
            <w:r>
              <w:t>States receive notification on the approval status of their CAR submissions.</w:t>
            </w:r>
          </w:p>
        </w:tc>
      </w:tr>
      <w:tr w14:paraId="359EAD06" w14:textId="77777777" w:rsidTr="005868AD">
        <w:tblPrEx>
          <w:tblW w:w="0" w:type="auto"/>
          <w:tblLook w:val="04A0"/>
        </w:tblPrEx>
        <w:tc>
          <w:tcPr>
            <w:tcW w:w="1525" w:type="dxa"/>
          </w:tcPr>
          <w:p w:rsidR="005868AD" w:rsidP="0034699C" w14:paraId="1FDDF162" w14:textId="631DF873">
            <w:r>
              <w:t>April 15 – May 15</w:t>
            </w:r>
          </w:p>
        </w:tc>
        <w:tc>
          <w:tcPr>
            <w:tcW w:w="7825" w:type="dxa"/>
          </w:tcPr>
          <w:p w:rsidR="005868AD" w:rsidP="0034699C" w14:paraId="2081FB9E" w14:textId="4752FDED">
            <w:r>
              <w:t>DATE staff, in collaboration with contractors, tabulate data and prepare individual State reports and a national summary.</w:t>
            </w:r>
          </w:p>
        </w:tc>
      </w:tr>
      <w:tr w14:paraId="5B42E9DA" w14:textId="77777777" w:rsidTr="005868AD">
        <w:tblPrEx>
          <w:tblW w:w="0" w:type="auto"/>
          <w:tblLook w:val="04A0"/>
        </w:tblPrEx>
        <w:tc>
          <w:tcPr>
            <w:tcW w:w="1525" w:type="dxa"/>
          </w:tcPr>
          <w:p w:rsidR="005868AD" w:rsidP="0034699C" w14:paraId="236083BE" w14:textId="56295ECC">
            <w:r>
              <w:t>June 15</w:t>
            </w:r>
          </w:p>
        </w:tc>
        <w:tc>
          <w:tcPr>
            <w:tcW w:w="7825" w:type="dxa"/>
          </w:tcPr>
          <w:p w:rsidR="005868AD" w:rsidP="0034699C" w14:paraId="48AACB37" w14:textId="76E48F91">
            <w:r>
              <w:t>DATE staff develops the draft report to Congress.</w:t>
            </w:r>
          </w:p>
        </w:tc>
      </w:tr>
      <w:tr w14:paraId="146B51A1" w14:textId="77777777" w:rsidTr="005868AD">
        <w:tblPrEx>
          <w:tblW w:w="0" w:type="auto"/>
          <w:tblLook w:val="04A0"/>
        </w:tblPrEx>
        <w:tc>
          <w:tcPr>
            <w:tcW w:w="1525" w:type="dxa"/>
          </w:tcPr>
          <w:p w:rsidR="001536C7" w:rsidP="0034699C" w14:paraId="44DBCB41" w14:textId="123FB887">
            <w:r>
              <w:t>July 1</w:t>
            </w:r>
          </w:p>
        </w:tc>
        <w:tc>
          <w:tcPr>
            <w:tcW w:w="7825" w:type="dxa"/>
          </w:tcPr>
          <w:p w:rsidR="001536C7" w:rsidP="0034699C" w14:paraId="3F114405" w14:textId="29C7C254">
            <w:r>
              <w:t>DATE staff submits the final draft of the report to Congress for Departmental clearance.</w:t>
            </w:r>
          </w:p>
        </w:tc>
      </w:tr>
      <w:tr w14:paraId="1A609598" w14:textId="77777777" w:rsidTr="005868AD">
        <w:tblPrEx>
          <w:tblW w:w="0" w:type="auto"/>
          <w:tblLook w:val="04A0"/>
        </w:tblPrEx>
        <w:tc>
          <w:tcPr>
            <w:tcW w:w="1525" w:type="dxa"/>
          </w:tcPr>
          <w:p w:rsidR="001536C7" w:rsidP="0034699C" w14:paraId="6B95EAC9" w14:textId="2F376159">
            <w:r>
              <w:t>July 31</w:t>
            </w:r>
          </w:p>
        </w:tc>
        <w:tc>
          <w:tcPr>
            <w:tcW w:w="7825" w:type="dxa"/>
          </w:tcPr>
          <w:p w:rsidR="001536C7" w:rsidP="0034699C" w14:paraId="715D10F6" w14:textId="4B9A0E4A">
            <w:r>
              <w:t xml:space="preserve">DATE staff submits the final report to Congress </w:t>
            </w:r>
            <w:r w:rsidR="0013748D">
              <w:t>to the</w:t>
            </w:r>
            <w:r>
              <w:t xml:space="preserve"> Office of Communications and Outreach for final editing</w:t>
            </w:r>
            <w:r w:rsidR="0013748D">
              <w:t>.</w:t>
            </w:r>
          </w:p>
        </w:tc>
      </w:tr>
      <w:tr w14:paraId="1817F950" w14:textId="77777777" w:rsidTr="005868AD">
        <w:tblPrEx>
          <w:tblW w:w="0" w:type="auto"/>
          <w:tblLook w:val="04A0"/>
        </w:tblPrEx>
        <w:tc>
          <w:tcPr>
            <w:tcW w:w="1525" w:type="dxa"/>
          </w:tcPr>
          <w:p w:rsidR="002537C3" w:rsidP="0034699C" w14:paraId="3AD32094" w14:textId="044A84C9">
            <w:r>
              <w:t>August 15</w:t>
            </w:r>
          </w:p>
        </w:tc>
        <w:tc>
          <w:tcPr>
            <w:tcW w:w="7825" w:type="dxa"/>
          </w:tcPr>
          <w:p w:rsidR="002537C3" w:rsidP="0034699C" w14:paraId="5095A641" w14:textId="12E9E129">
            <w:r>
              <w:t>DATE staff submits the final report to Congress.</w:t>
            </w:r>
          </w:p>
        </w:tc>
      </w:tr>
    </w:tbl>
    <w:p w:rsidR="005868AD" w:rsidP="005868AD" w14:paraId="6DD12AC1" w14:textId="77777777">
      <w:pPr>
        <w:jc w:val="center"/>
      </w:pPr>
    </w:p>
    <w:p w:rsidR="00F169CC" w:rsidP="00F169CC" w14:paraId="0C5DCD92" w14:textId="44E86A3C">
      <w:r>
        <w:t xml:space="preserve">State plans are integrated with other State information that now appears on the Department’s website at </w:t>
      </w:r>
      <w:hyperlink r:id="rId13" w:history="1">
        <w:r w:rsidRPr="006A148D">
          <w:rPr>
            <w:rStyle w:val="Hyperlink"/>
          </w:rPr>
          <w:t>https://cte.ed.gov/profiles/national-summary</w:t>
        </w:r>
      </w:hyperlink>
      <w:r>
        <w:t>.</w:t>
      </w:r>
    </w:p>
    <w:p w:rsidR="00843E05" w:rsidP="00843E05" w14:paraId="65408E27" w14:textId="0684DEFC">
      <w:pPr>
        <w:numPr>
          <w:ilvl w:val="0"/>
          <w:numId w:val="35"/>
        </w:numPr>
      </w:pPr>
      <w:r w:rsidRPr="00843E05">
        <w:t> </w:t>
      </w:r>
      <w:r w:rsidRPr="00843E05">
        <w:rPr>
          <w:b/>
          <w:bCs/>
        </w:rPr>
        <w:t>If seeking approval to not display the expiration date for OMB approval of the information collection, explain the reasons that display would be inappropriate.</w:t>
      </w:r>
      <w:r w:rsidRPr="00843E05">
        <w:t> </w:t>
      </w:r>
    </w:p>
    <w:p w:rsidR="00F169CC" w:rsidRPr="00843E05" w:rsidP="00F169CC" w14:paraId="769E85DC" w14:textId="19CF51F4">
      <w:r>
        <w:t>We are not seeking this approval.</w:t>
      </w:r>
    </w:p>
    <w:p w:rsidR="00843E05" w:rsidRPr="00843E05" w:rsidP="00843E05" w14:paraId="789A5797" w14:textId="77777777">
      <w:pPr>
        <w:numPr>
          <w:ilvl w:val="0"/>
          <w:numId w:val="36"/>
        </w:numPr>
      </w:pPr>
      <w:r w:rsidRPr="00843E05">
        <w:rPr>
          <w:b/>
          <w:bCs/>
        </w:rPr>
        <w:t>Explain each exception to the certification statement identified in the Certification of Paperwork Reduction Act.</w:t>
      </w:r>
      <w:r w:rsidRPr="00843E05">
        <w:t> </w:t>
      </w:r>
    </w:p>
    <w:p w:rsidR="00843E05" w:rsidRPr="00843E05" w:rsidP="00F169CC" w14:paraId="541F2B7F" w14:textId="4475BD69">
      <w:r>
        <w:t>There are no exceptions to the certification statement identified in the Certification of the Paperwork Reduction Act.</w:t>
      </w:r>
    </w:p>
    <w:p w:rsidR="00843E05" w:rsidP="00843E05" w14:paraId="6E664888" w14:textId="591F1D8E">
      <w:pPr>
        <w:ind w:left="360"/>
      </w:pPr>
    </w:p>
    <w:p w:rsidR="00047597" w14:paraId="576C67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4D8" w:rsidP="00784AC2" w14:paraId="45F14BDB" w14:textId="77777777">
      <w:pPr>
        <w:spacing w:after="0" w:line="240" w:lineRule="auto"/>
      </w:pPr>
      <w:r>
        <w:separator/>
      </w:r>
    </w:p>
  </w:footnote>
  <w:footnote w:type="continuationSeparator" w:id="1">
    <w:p w:rsidR="00B114D8" w:rsidP="00784AC2" w14:paraId="439AD73D" w14:textId="77777777">
      <w:pPr>
        <w:spacing w:after="0" w:line="240" w:lineRule="auto"/>
      </w:pPr>
      <w:r>
        <w:continuationSeparator/>
      </w:r>
    </w:p>
  </w:footnote>
  <w:footnote w:type="continuationNotice" w:id="2">
    <w:p w:rsidR="00B114D8" w14:paraId="041A4607" w14:textId="77777777">
      <w:pPr>
        <w:spacing w:after="0" w:line="240" w:lineRule="auto"/>
      </w:pPr>
    </w:p>
  </w:footnote>
  <w:footnote w:id="3">
    <w:p w:rsidR="00784AC2" w14:paraId="6A15FE5B" w14:textId="502915D2">
      <w:pPr>
        <w:pStyle w:val="FootnoteText"/>
      </w:pPr>
      <w:r>
        <w:rPr>
          <w:rStyle w:val="FootnoteReference"/>
        </w:rPr>
        <w:footnoteRef/>
      </w:r>
      <w:r>
        <w:t xml:space="preserve"> Bureau of Labor Statistics, U.S. Department of Labor, Employer Costs for Employee Compensation Historical Listing, National Compensation Survey, retrieved from https://www.bls.gov/web/ecec/ecec-government-dataset.xlsx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40160"/>
    <w:multiLevelType w:val="hybridMultilevel"/>
    <w:tmpl w:val="F1F62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360C4"/>
    <w:multiLevelType w:val="multilevel"/>
    <w:tmpl w:val="3A16A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D52F3"/>
    <w:multiLevelType w:val="multilevel"/>
    <w:tmpl w:val="FCBEB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77116"/>
    <w:multiLevelType w:val="multilevel"/>
    <w:tmpl w:val="405C5C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F23DB"/>
    <w:multiLevelType w:val="multilevel"/>
    <w:tmpl w:val="A06E3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70791B"/>
    <w:multiLevelType w:val="multilevel"/>
    <w:tmpl w:val="B41C1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A06F4"/>
    <w:multiLevelType w:val="multilevel"/>
    <w:tmpl w:val="CBE47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896475"/>
    <w:multiLevelType w:val="multilevel"/>
    <w:tmpl w:val="4336E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53D31"/>
    <w:multiLevelType w:val="multilevel"/>
    <w:tmpl w:val="78C23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918B2"/>
    <w:multiLevelType w:val="multilevel"/>
    <w:tmpl w:val="15F6CF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820E7"/>
    <w:multiLevelType w:val="hybridMultilevel"/>
    <w:tmpl w:val="0422F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D27B6E"/>
    <w:multiLevelType w:val="multilevel"/>
    <w:tmpl w:val="1D9E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F7015F"/>
    <w:multiLevelType w:val="multilevel"/>
    <w:tmpl w:val="B35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4631DF"/>
    <w:multiLevelType w:val="multilevel"/>
    <w:tmpl w:val="F8FC8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FF1A4D"/>
    <w:multiLevelType w:val="multilevel"/>
    <w:tmpl w:val="4496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B169A7"/>
    <w:multiLevelType w:val="multilevel"/>
    <w:tmpl w:val="18467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F6677"/>
    <w:multiLevelType w:val="multilevel"/>
    <w:tmpl w:val="3B360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F8653C"/>
    <w:multiLevelType w:val="multilevel"/>
    <w:tmpl w:val="F34E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5349CD"/>
    <w:multiLevelType w:val="multilevel"/>
    <w:tmpl w:val="ED9644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9E1F70"/>
    <w:multiLevelType w:val="multilevel"/>
    <w:tmpl w:val="63621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CF322C"/>
    <w:multiLevelType w:val="multilevel"/>
    <w:tmpl w:val="1E2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99649C"/>
    <w:multiLevelType w:val="multilevel"/>
    <w:tmpl w:val="200240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A37A57"/>
    <w:multiLevelType w:val="multilevel"/>
    <w:tmpl w:val="7FFC7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A76183"/>
    <w:multiLevelType w:val="multilevel"/>
    <w:tmpl w:val="54907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E40AA"/>
    <w:multiLevelType w:val="multilevel"/>
    <w:tmpl w:val="E18071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297E35"/>
    <w:multiLevelType w:val="multilevel"/>
    <w:tmpl w:val="1E6EB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031475"/>
    <w:multiLevelType w:val="multilevel"/>
    <w:tmpl w:val="FFFA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313197"/>
    <w:multiLevelType w:val="multilevel"/>
    <w:tmpl w:val="7BE81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D46A03"/>
    <w:multiLevelType w:val="multilevel"/>
    <w:tmpl w:val="7B9EC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B354A4"/>
    <w:multiLevelType w:val="multilevel"/>
    <w:tmpl w:val="AFE0D55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912390"/>
    <w:multiLevelType w:val="multilevel"/>
    <w:tmpl w:val="0BE012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F420DC"/>
    <w:multiLevelType w:val="multilevel"/>
    <w:tmpl w:val="B14EAC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EB7751"/>
    <w:multiLevelType w:val="multilevel"/>
    <w:tmpl w:val="50FA0B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C354C9"/>
    <w:multiLevelType w:val="multilevel"/>
    <w:tmpl w:val="F3021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554390"/>
    <w:multiLevelType w:val="multilevel"/>
    <w:tmpl w:val="81AC4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192A77"/>
    <w:multiLevelType w:val="multilevel"/>
    <w:tmpl w:val="A9FCBA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CE2AFA"/>
    <w:multiLevelType w:val="multilevel"/>
    <w:tmpl w:val="E7AC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5BE4775"/>
    <w:multiLevelType w:val="multilevel"/>
    <w:tmpl w:val="0E2E7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4155BC"/>
    <w:multiLevelType w:val="multilevel"/>
    <w:tmpl w:val="BF580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E4484F"/>
    <w:multiLevelType w:val="multilevel"/>
    <w:tmpl w:val="A3D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209586">
    <w:abstractNumId w:val="26"/>
  </w:num>
  <w:num w:numId="2" w16cid:durableId="2059550469">
    <w:abstractNumId w:val="4"/>
  </w:num>
  <w:num w:numId="3" w16cid:durableId="681906017">
    <w:abstractNumId w:val="6"/>
  </w:num>
  <w:num w:numId="4" w16cid:durableId="1488739907">
    <w:abstractNumId w:val="18"/>
  </w:num>
  <w:num w:numId="5" w16cid:durableId="2053459477">
    <w:abstractNumId w:val="5"/>
  </w:num>
  <w:num w:numId="6" w16cid:durableId="164904380">
    <w:abstractNumId w:val="21"/>
  </w:num>
  <w:num w:numId="7" w16cid:durableId="1682007048">
    <w:abstractNumId w:val="34"/>
  </w:num>
  <w:num w:numId="8" w16cid:durableId="615136861">
    <w:abstractNumId w:val="39"/>
  </w:num>
  <w:num w:numId="9" w16cid:durableId="1792481692">
    <w:abstractNumId w:val="16"/>
  </w:num>
  <w:num w:numId="10" w16cid:durableId="520045657">
    <w:abstractNumId w:val="19"/>
  </w:num>
  <w:num w:numId="11" w16cid:durableId="2108118439">
    <w:abstractNumId w:val="23"/>
  </w:num>
  <w:num w:numId="12" w16cid:durableId="2059818561">
    <w:abstractNumId w:val="2"/>
  </w:num>
  <w:num w:numId="13" w16cid:durableId="1154108123">
    <w:abstractNumId w:val="15"/>
  </w:num>
  <w:num w:numId="14" w16cid:durableId="1745420514">
    <w:abstractNumId w:val="28"/>
  </w:num>
  <w:num w:numId="15" w16cid:durableId="761489190">
    <w:abstractNumId w:val="14"/>
  </w:num>
  <w:num w:numId="16" w16cid:durableId="1542790836">
    <w:abstractNumId w:val="12"/>
  </w:num>
  <w:num w:numId="17" w16cid:durableId="901985569">
    <w:abstractNumId w:val="20"/>
  </w:num>
  <w:num w:numId="18" w16cid:durableId="810250509">
    <w:abstractNumId w:val="11"/>
  </w:num>
  <w:num w:numId="19" w16cid:durableId="1468815064">
    <w:abstractNumId w:val="32"/>
  </w:num>
  <w:num w:numId="20" w16cid:durableId="379017193">
    <w:abstractNumId w:val="24"/>
  </w:num>
  <w:num w:numId="21" w16cid:durableId="2024286598">
    <w:abstractNumId w:val="13"/>
  </w:num>
  <w:num w:numId="22" w16cid:durableId="777026879">
    <w:abstractNumId w:val="31"/>
  </w:num>
  <w:num w:numId="23" w16cid:durableId="2086564437">
    <w:abstractNumId w:val="7"/>
  </w:num>
  <w:num w:numId="24" w16cid:durableId="388724754">
    <w:abstractNumId w:val="38"/>
  </w:num>
  <w:num w:numId="25" w16cid:durableId="749036295">
    <w:abstractNumId w:val="25"/>
  </w:num>
  <w:num w:numId="26" w16cid:durableId="704447419">
    <w:abstractNumId w:val="37"/>
  </w:num>
  <w:num w:numId="27" w16cid:durableId="899680025">
    <w:abstractNumId w:val="27"/>
  </w:num>
  <w:num w:numId="28" w16cid:durableId="366414164">
    <w:abstractNumId w:val="30"/>
  </w:num>
  <w:num w:numId="29" w16cid:durableId="1756588927">
    <w:abstractNumId w:val="33"/>
  </w:num>
  <w:num w:numId="30" w16cid:durableId="949777765">
    <w:abstractNumId w:val="8"/>
  </w:num>
  <w:num w:numId="31" w16cid:durableId="1138960080">
    <w:abstractNumId w:val="1"/>
  </w:num>
  <w:num w:numId="32" w16cid:durableId="1297032369">
    <w:abstractNumId w:val="3"/>
  </w:num>
  <w:num w:numId="33" w16cid:durableId="754864446">
    <w:abstractNumId w:val="35"/>
  </w:num>
  <w:num w:numId="34" w16cid:durableId="294526850">
    <w:abstractNumId w:val="22"/>
  </w:num>
  <w:num w:numId="35" w16cid:durableId="357396322">
    <w:abstractNumId w:val="9"/>
  </w:num>
  <w:num w:numId="36" w16cid:durableId="482938542">
    <w:abstractNumId w:val="29"/>
  </w:num>
  <w:num w:numId="37" w16cid:durableId="2062823668">
    <w:abstractNumId w:val="10"/>
  </w:num>
  <w:num w:numId="38" w16cid:durableId="423234573">
    <w:abstractNumId w:val="0"/>
  </w:num>
  <w:num w:numId="39" w16cid:durableId="278294725">
    <w:abstractNumId w:val="17"/>
  </w:num>
  <w:num w:numId="40" w16cid:durableId="11943407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05"/>
    <w:rsid w:val="00007043"/>
    <w:rsid w:val="00022A4F"/>
    <w:rsid w:val="000374AE"/>
    <w:rsid w:val="00044FF5"/>
    <w:rsid w:val="00047597"/>
    <w:rsid w:val="00056F0A"/>
    <w:rsid w:val="00070F81"/>
    <w:rsid w:val="000722AE"/>
    <w:rsid w:val="00091C68"/>
    <w:rsid w:val="00096259"/>
    <w:rsid w:val="000B05DB"/>
    <w:rsid w:val="000B4E37"/>
    <w:rsid w:val="000D2268"/>
    <w:rsid w:val="000F110F"/>
    <w:rsid w:val="000F48CE"/>
    <w:rsid w:val="000F6A43"/>
    <w:rsid w:val="00111DCA"/>
    <w:rsid w:val="001265E9"/>
    <w:rsid w:val="00131FEE"/>
    <w:rsid w:val="0013748D"/>
    <w:rsid w:val="001536C7"/>
    <w:rsid w:val="001559AF"/>
    <w:rsid w:val="0017382F"/>
    <w:rsid w:val="001827F3"/>
    <w:rsid w:val="001B496E"/>
    <w:rsid w:val="001C2081"/>
    <w:rsid w:val="001C7E54"/>
    <w:rsid w:val="001E6948"/>
    <w:rsid w:val="00203ACB"/>
    <w:rsid w:val="00240779"/>
    <w:rsid w:val="00243541"/>
    <w:rsid w:val="0024569C"/>
    <w:rsid w:val="002537C3"/>
    <w:rsid w:val="00256906"/>
    <w:rsid w:val="00271606"/>
    <w:rsid w:val="00272A33"/>
    <w:rsid w:val="00273B70"/>
    <w:rsid w:val="00292433"/>
    <w:rsid w:val="002940C3"/>
    <w:rsid w:val="002C02A6"/>
    <w:rsid w:val="002D4C31"/>
    <w:rsid w:val="002D4E48"/>
    <w:rsid w:val="002F7A6A"/>
    <w:rsid w:val="00307C38"/>
    <w:rsid w:val="00307D3E"/>
    <w:rsid w:val="0033152A"/>
    <w:rsid w:val="0034699C"/>
    <w:rsid w:val="00354441"/>
    <w:rsid w:val="00360016"/>
    <w:rsid w:val="0036230B"/>
    <w:rsid w:val="00373F04"/>
    <w:rsid w:val="00374FB2"/>
    <w:rsid w:val="00384BB9"/>
    <w:rsid w:val="00384D07"/>
    <w:rsid w:val="00391C57"/>
    <w:rsid w:val="003932F9"/>
    <w:rsid w:val="003C0F50"/>
    <w:rsid w:val="00410798"/>
    <w:rsid w:val="00416891"/>
    <w:rsid w:val="00427C04"/>
    <w:rsid w:val="00431163"/>
    <w:rsid w:val="00442155"/>
    <w:rsid w:val="00453CB3"/>
    <w:rsid w:val="00455BC2"/>
    <w:rsid w:val="004609A9"/>
    <w:rsid w:val="00466D4D"/>
    <w:rsid w:val="00470F49"/>
    <w:rsid w:val="00477C95"/>
    <w:rsid w:val="004965A6"/>
    <w:rsid w:val="004B53E3"/>
    <w:rsid w:val="004D53CA"/>
    <w:rsid w:val="004E2F4C"/>
    <w:rsid w:val="004F099E"/>
    <w:rsid w:val="004F19F1"/>
    <w:rsid w:val="005056C7"/>
    <w:rsid w:val="00510456"/>
    <w:rsid w:val="00512A52"/>
    <w:rsid w:val="00517E4A"/>
    <w:rsid w:val="005301B3"/>
    <w:rsid w:val="00531244"/>
    <w:rsid w:val="00534E64"/>
    <w:rsid w:val="005527C5"/>
    <w:rsid w:val="005544B6"/>
    <w:rsid w:val="00557EB3"/>
    <w:rsid w:val="0056751D"/>
    <w:rsid w:val="005868AD"/>
    <w:rsid w:val="00594987"/>
    <w:rsid w:val="005B3417"/>
    <w:rsid w:val="005C6726"/>
    <w:rsid w:val="005E3D9F"/>
    <w:rsid w:val="005F778B"/>
    <w:rsid w:val="00631AE6"/>
    <w:rsid w:val="00641B8E"/>
    <w:rsid w:val="006443B8"/>
    <w:rsid w:val="0065255B"/>
    <w:rsid w:val="00667DA5"/>
    <w:rsid w:val="00672AE8"/>
    <w:rsid w:val="006730BD"/>
    <w:rsid w:val="00687FFD"/>
    <w:rsid w:val="006A148D"/>
    <w:rsid w:val="006C47B4"/>
    <w:rsid w:val="006D4A84"/>
    <w:rsid w:val="006E3939"/>
    <w:rsid w:val="006E5531"/>
    <w:rsid w:val="006F7CC0"/>
    <w:rsid w:val="0072305A"/>
    <w:rsid w:val="00731AA6"/>
    <w:rsid w:val="007322D0"/>
    <w:rsid w:val="00747ACC"/>
    <w:rsid w:val="0075023A"/>
    <w:rsid w:val="00751339"/>
    <w:rsid w:val="0075537D"/>
    <w:rsid w:val="007734B7"/>
    <w:rsid w:val="0077386A"/>
    <w:rsid w:val="00777DBB"/>
    <w:rsid w:val="00780D63"/>
    <w:rsid w:val="00784AC2"/>
    <w:rsid w:val="00787D4C"/>
    <w:rsid w:val="007A7515"/>
    <w:rsid w:val="007C0543"/>
    <w:rsid w:val="007D216F"/>
    <w:rsid w:val="007D791E"/>
    <w:rsid w:val="007E3237"/>
    <w:rsid w:val="007F69FC"/>
    <w:rsid w:val="007F7C94"/>
    <w:rsid w:val="00802FF2"/>
    <w:rsid w:val="008113CE"/>
    <w:rsid w:val="00817A79"/>
    <w:rsid w:val="00826B56"/>
    <w:rsid w:val="00837703"/>
    <w:rsid w:val="00841C12"/>
    <w:rsid w:val="00843E05"/>
    <w:rsid w:val="00844ED6"/>
    <w:rsid w:val="0085164E"/>
    <w:rsid w:val="00860923"/>
    <w:rsid w:val="0087115E"/>
    <w:rsid w:val="00874CF0"/>
    <w:rsid w:val="00894968"/>
    <w:rsid w:val="008969F2"/>
    <w:rsid w:val="008A2DE4"/>
    <w:rsid w:val="008A7161"/>
    <w:rsid w:val="008B162F"/>
    <w:rsid w:val="008F0BA2"/>
    <w:rsid w:val="008F65A0"/>
    <w:rsid w:val="0091137C"/>
    <w:rsid w:val="009137E2"/>
    <w:rsid w:val="00923085"/>
    <w:rsid w:val="00930F63"/>
    <w:rsid w:val="00937A07"/>
    <w:rsid w:val="009442B7"/>
    <w:rsid w:val="009602E9"/>
    <w:rsid w:val="00965594"/>
    <w:rsid w:val="00977607"/>
    <w:rsid w:val="009874F9"/>
    <w:rsid w:val="00987950"/>
    <w:rsid w:val="00991E06"/>
    <w:rsid w:val="00993DD3"/>
    <w:rsid w:val="00996082"/>
    <w:rsid w:val="00996A3C"/>
    <w:rsid w:val="00996B62"/>
    <w:rsid w:val="009A2577"/>
    <w:rsid w:val="009A7769"/>
    <w:rsid w:val="009B422F"/>
    <w:rsid w:val="009B58A8"/>
    <w:rsid w:val="009C08D8"/>
    <w:rsid w:val="009D233C"/>
    <w:rsid w:val="009D5112"/>
    <w:rsid w:val="009F185C"/>
    <w:rsid w:val="009F3783"/>
    <w:rsid w:val="00A02963"/>
    <w:rsid w:val="00A0716E"/>
    <w:rsid w:val="00A12652"/>
    <w:rsid w:val="00A401A4"/>
    <w:rsid w:val="00A53330"/>
    <w:rsid w:val="00A7564F"/>
    <w:rsid w:val="00A850BD"/>
    <w:rsid w:val="00A956AA"/>
    <w:rsid w:val="00AA6041"/>
    <w:rsid w:val="00AA6840"/>
    <w:rsid w:val="00AA6FE8"/>
    <w:rsid w:val="00AC0B92"/>
    <w:rsid w:val="00AD6DB2"/>
    <w:rsid w:val="00AE720C"/>
    <w:rsid w:val="00AF4AD1"/>
    <w:rsid w:val="00B03907"/>
    <w:rsid w:val="00B114D8"/>
    <w:rsid w:val="00B17F7B"/>
    <w:rsid w:val="00B23D75"/>
    <w:rsid w:val="00B24CB5"/>
    <w:rsid w:val="00B4063A"/>
    <w:rsid w:val="00B72358"/>
    <w:rsid w:val="00B767F8"/>
    <w:rsid w:val="00B91908"/>
    <w:rsid w:val="00B94E3B"/>
    <w:rsid w:val="00BA481A"/>
    <w:rsid w:val="00BA711D"/>
    <w:rsid w:val="00BA7712"/>
    <w:rsid w:val="00BB7E7A"/>
    <w:rsid w:val="00BD0F02"/>
    <w:rsid w:val="00BD6A6E"/>
    <w:rsid w:val="00BF368A"/>
    <w:rsid w:val="00BF6019"/>
    <w:rsid w:val="00BF6E61"/>
    <w:rsid w:val="00C07E56"/>
    <w:rsid w:val="00C13E3B"/>
    <w:rsid w:val="00C56798"/>
    <w:rsid w:val="00C63B9D"/>
    <w:rsid w:val="00C73D9E"/>
    <w:rsid w:val="00C761DF"/>
    <w:rsid w:val="00C81334"/>
    <w:rsid w:val="00C92655"/>
    <w:rsid w:val="00C97CD7"/>
    <w:rsid w:val="00CB19F1"/>
    <w:rsid w:val="00CB68BF"/>
    <w:rsid w:val="00CE2D13"/>
    <w:rsid w:val="00CF24AE"/>
    <w:rsid w:val="00D04E76"/>
    <w:rsid w:val="00D064A4"/>
    <w:rsid w:val="00D1496C"/>
    <w:rsid w:val="00D27BCF"/>
    <w:rsid w:val="00D33A7F"/>
    <w:rsid w:val="00D45F7A"/>
    <w:rsid w:val="00D57A45"/>
    <w:rsid w:val="00D61816"/>
    <w:rsid w:val="00D705CD"/>
    <w:rsid w:val="00D75FA4"/>
    <w:rsid w:val="00D912B1"/>
    <w:rsid w:val="00DA2875"/>
    <w:rsid w:val="00DB2B39"/>
    <w:rsid w:val="00DB4113"/>
    <w:rsid w:val="00DB6735"/>
    <w:rsid w:val="00DD0D3A"/>
    <w:rsid w:val="00DD2985"/>
    <w:rsid w:val="00DE133B"/>
    <w:rsid w:val="00DE3BA7"/>
    <w:rsid w:val="00DE460D"/>
    <w:rsid w:val="00E16762"/>
    <w:rsid w:val="00E26D86"/>
    <w:rsid w:val="00E334CD"/>
    <w:rsid w:val="00E57A0C"/>
    <w:rsid w:val="00E60B9B"/>
    <w:rsid w:val="00E62A1A"/>
    <w:rsid w:val="00E62F0D"/>
    <w:rsid w:val="00E76B10"/>
    <w:rsid w:val="00E83956"/>
    <w:rsid w:val="00E862C2"/>
    <w:rsid w:val="00E869F3"/>
    <w:rsid w:val="00E90BEE"/>
    <w:rsid w:val="00E965B0"/>
    <w:rsid w:val="00EA151F"/>
    <w:rsid w:val="00EA58D9"/>
    <w:rsid w:val="00EA7C4B"/>
    <w:rsid w:val="00EA7CEE"/>
    <w:rsid w:val="00EB057C"/>
    <w:rsid w:val="00EB5FF5"/>
    <w:rsid w:val="00EC701D"/>
    <w:rsid w:val="00ED585E"/>
    <w:rsid w:val="00ED7DDA"/>
    <w:rsid w:val="00EE0FF1"/>
    <w:rsid w:val="00EE69EC"/>
    <w:rsid w:val="00EE6A9D"/>
    <w:rsid w:val="00F03BAB"/>
    <w:rsid w:val="00F075C8"/>
    <w:rsid w:val="00F14B53"/>
    <w:rsid w:val="00F169CC"/>
    <w:rsid w:val="00F32842"/>
    <w:rsid w:val="00F358CB"/>
    <w:rsid w:val="00F3724D"/>
    <w:rsid w:val="00F408A1"/>
    <w:rsid w:val="00F60A2E"/>
    <w:rsid w:val="00F72AE7"/>
    <w:rsid w:val="00FA2805"/>
    <w:rsid w:val="00FA2AC9"/>
    <w:rsid w:val="00FB144E"/>
    <w:rsid w:val="00FC42DD"/>
    <w:rsid w:val="00FE79AD"/>
    <w:rsid w:val="00FF007E"/>
    <w:rsid w:val="04C2A978"/>
    <w:rsid w:val="0505EBD1"/>
    <w:rsid w:val="16E0FC86"/>
    <w:rsid w:val="17CA5243"/>
    <w:rsid w:val="19E12B64"/>
    <w:rsid w:val="1D3B845E"/>
    <w:rsid w:val="20360253"/>
    <w:rsid w:val="294E7AE3"/>
    <w:rsid w:val="332D0734"/>
    <w:rsid w:val="338B005A"/>
    <w:rsid w:val="357AC8D8"/>
    <w:rsid w:val="3797FEB5"/>
    <w:rsid w:val="396B3683"/>
    <w:rsid w:val="50434ECE"/>
    <w:rsid w:val="5665EACA"/>
    <w:rsid w:val="570384CA"/>
    <w:rsid w:val="58E40226"/>
    <w:rsid w:val="59F40C9C"/>
    <w:rsid w:val="5BBA1FB7"/>
    <w:rsid w:val="609D40CB"/>
    <w:rsid w:val="660E3AD1"/>
    <w:rsid w:val="67898FE6"/>
    <w:rsid w:val="6BC58AA9"/>
    <w:rsid w:val="701D2E47"/>
    <w:rsid w:val="71F9CA9C"/>
    <w:rsid w:val="72A50560"/>
    <w:rsid w:val="77F11FA8"/>
    <w:rsid w:val="7AF512F3"/>
    <w:rsid w:val="7B2B36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26DE99"/>
  <w15:chartTrackingRefBased/>
  <w15:docId w15:val="{F4597CAC-2080-4AC2-973F-9B58CE10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43E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43E05"/>
  </w:style>
  <w:style w:type="character" w:customStyle="1" w:styleId="eop">
    <w:name w:val="eop"/>
    <w:basedOn w:val="DefaultParagraphFont"/>
    <w:rsid w:val="00843E05"/>
  </w:style>
  <w:style w:type="character" w:styleId="Hyperlink">
    <w:name w:val="Hyperlink"/>
    <w:basedOn w:val="DefaultParagraphFont"/>
    <w:uiPriority w:val="99"/>
    <w:unhideWhenUsed/>
    <w:rsid w:val="00843E05"/>
    <w:rPr>
      <w:color w:val="0563C1" w:themeColor="hyperlink"/>
      <w:u w:val="single"/>
    </w:rPr>
  </w:style>
  <w:style w:type="character" w:styleId="UnresolvedMention">
    <w:name w:val="Unresolved Mention"/>
    <w:basedOn w:val="DefaultParagraphFont"/>
    <w:uiPriority w:val="99"/>
    <w:semiHidden/>
    <w:unhideWhenUsed/>
    <w:rsid w:val="00843E05"/>
    <w:rPr>
      <w:color w:val="605E5C"/>
      <w:shd w:val="clear" w:color="auto" w:fill="E1DFDD"/>
    </w:rPr>
  </w:style>
  <w:style w:type="character" w:styleId="CommentReference">
    <w:name w:val="annotation reference"/>
    <w:basedOn w:val="DefaultParagraphFont"/>
    <w:uiPriority w:val="99"/>
    <w:semiHidden/>
    <w:unhideWhenUsed/>
    <w:rsid w:val="00843E05"/>
    <w:rPr>
      <w:sz w:val="16"/>
      <w:szCs w:val="16"/>
    </w:rPr>
  </w:style>
  <w:style w:type="paragraph" w:styleId="CommentText">
    <w:name w:val="annotation text"/>
    <w:basedOn w:val="Normal"/>
    <w:link w:val="CommentTextChar"/>
    <w:uiPriority w:val="99"/>
    <w:unhideWhenUsed/>
    <w:rsid w:val="00843E05"/>
    <w:pPr>
      <w:spacing w:line="240" w:lineRule="auto"/>
    </w:pPr>
    <w:rPr>
      <w:sz w:val="20"/>
      <w:szCs w:val="20"/>
    </w:rPr>
  </w:style>
  <w:style w:type="character" w:customStyle="1" w:styleId="CommentTextChar">
    <w:name w:val="Comment Text Char"/>
    <w:basedOn w:val="DefaultParagraphFont"/>
    <w:link w:val="CommentText"/>
    <w:uiPriority w:val="99"/>
    <w:rsid w:val="00843E05"/>
    <w:rPr>
      <w:sz w:val="20"/>
      <w:szCs w:val="20"/>
    </w:rPr>
  </w:style>
  <w:style w:type="paragraph" w:styleId="CommentSubject">
    <w:name w:val="annotation subject"/>
    <w:basedOn w:val="CommentText"/>
    <w:next w:val="CommentText"/>
    <w:link w:val="CommentSubjectChar"/>
    <w:uiPriority w:val="99"/>
    <w:semiHidden/>
    <w:unhideWhenUsed/>
    <w:rsid w:val="00843E05"/>
    <w:rPr>
      <w:b/>
      <w:bCs/>
    </w:rPr>
  </w:style>
  <w:style w:type="character" w:customStyle="1" w:styleId="CommentSubjectChar">
    <w:name w:val="Comment Subject Char"/>
    <w:basedOn w:val="CommentTextChar"/>
    <w:link w:val="CommentSubject"/>
    <w:uiPriority w:val="99"/>
    <w:semiHidden/>
    <w:rsid w:val="00843E05"/>
    <w:rPr>
      <w:b/>
      <w:bCs/>
      <w:sz w:val="20"/>
      <w:szCs w:val="20"/>
    </w:rPr>
  </w:style>
  <w:style w:type="paragraph" w:styleId="ListParagraph">
    <w:name w:val="List Paragraph"/>
    <w:basedOn w:val="Normal"/>
    <w:uiPriority w:val="34"/>
    <w:qFormat/>
    <w:rsid w:val="001C7E54"/>
    <w:pPr>
      <w:ind w:left="720"/>
      <w:contextualSpacing/>
    </w:pPr>
  </w:style>
  <w:style w:type="paragraph" w:styleId="FootnoteText">
    <w:name w:val="footnote text"/>
    <w:basedOn w:val="Normal"/>
    <w:link w:val="FootnoteTextChar"/>
    <w:uiPriority w:val="99"/>
    <w:semiHidden/>
    <w:unhideWhenUsed/>
    <w:rsid w:val="00784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AC2"/>
    <w:rPr>
      <w:sz w:val="20"/>
      <w:szCs w:val="20"/>
    </w:rPr>
  </w:style>
  <w:style w:type="character" w:styleId="FootnoteReference">
    <w:name w:val="footnote reference"/>
    <w:basedOn w:val="DefaultParagraphFont"/>
    <w:uiPriority w:val="99"/>
    <w:semiHidden/>
    <w:unhideWhenUsed/>
    <w:rsid w:val="00784AC2"/>
    <w:rPr>
      <w:vertAlign w:val="superscript"/>
    </w:rPr>
  </w:style>
  <w:style w:type="table" w:styleId="TableGrid">
    <w:name w:val="Table Grid"/>
    <w:basedOn w:val="TableNormal"/>
    <w:uiPriority w:val="39"/>
    <w:rsid w:val="00F3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6A6E"/>
    <w:pPr>
      <w:spacing w:after="0" w:line="240" w:lineRule="auto"/>
    </w:pPr>
  </w:style>
  <w:style w:type="paragraph" w:styleId="Revision">
    <w:name w:val="Revision"/>
    <w:hidden/>
    <w:uiPriority w:val="99"/>
    <w:semiHidden/>
    <w:rsid w:val="003932F9"/>
    <w:pPr>
      <w:spacing w:after="0" w:line="240" w:lineRule="auto"/>
    </w:pPr>
  </w:style>
  <w:style w:type="paragraph" w:styleId="Header">
    <w:name w:val="header"/>
    <w:basedOn w:val="Normal"/>
    <w:link w:val="HeaderChar"/>
    <w:uiPriority w:val="99"/>
    <w:semiHidden/>
    <w:unhideWhenUsed/>
    <w:rsid w:val="007553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537D"/>
  </w:style>
  <w:style w:type="paragraph" w:styleId="Footer">
    <w:name w:val="footer"/>
    <w:basedOn w:val="Normal"/>
    <w:link w:val="FooterChar"/>
    <w:uiPriority w:val="99"/>
    <w:semiHidden/>
    <w:unhideWhenUsed/>
    <w:rsid w:val="007553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cte.ed.gov" TargetMode="External" /><Relationship Id="rId11" Type="http://schemas.openxmlformats.org/officeDocument/2006/relationships/hyperlink" Target="https://perkins.ed.gov"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cte.ed.gov/profiles/national-summary"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erkin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3890d6997d2cb28d745ac623cc2e644e">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584c4f46b4765846396fe99f3a3ca17b"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8dccee-2e6f-46a6-a0eb-8e22817c525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B724F-03C0-4914-833D-7850EE790A85}">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2.xml><?xml version="1.0" encoding="utf-8"?>
<ds:datastoreItem xmlns:ds="http://schemas.openxmlformats.org/officeDocument/2006/customXml" ds:itemID="{B129BF60-652D-439C-B113-15AB456CF7B4}">
  <ds:schemaRefs>
    <ds:schemaRef ds:uri="http://schemas.openxmlformats.org/officeDocument/2006/bibliography"/>
  </ds:schemaRefs>
</ds:datastoreItem>
</file>

<file path=customXml/itemProps3.xml><?xml version="1.0" encoding="utf-8"?>
<ds:datastoreItem xmlns:ds="http://schemas.openxmlformats.org/officeDocument/2006/customXml" ds:itemID="{C395859B-F06C-49BD-84DF-BB207BF40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E1F9B-C5FE-41E2-81A0-FE422C7BD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Flynn-Tabloff, Adam</dc:creator>
  <cp:lastModifiedBy>Flynn-Tabloff, Adam</cp:lastModifiedBy>
  <cp:revision>5</cp:revision>
  <cp:lastPrinted>2025-02-06T17:11:00Z</cp:lastPrinted>
  <dcterms:created xsi:type="dcterms:W3CDTF">2025-03-20T15:28:00Z</dcterms:created>
  <dcterms:modified xsi:type="dcterms:W3CDTF">2025-03-20T15:43:00Z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