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E02B0" w:rsidRPr="00E62CD8" w:rsidP="007E02B0" w14:paraId="3AE6C65B" w14:textId="77777777">
      <w:pPr>
        <w:pStyle w:val="Title"/>
        <w:rPr>
          <w:rFonts w:ascii="Times New Roman" w:hAnsi="Times New Roman"/>
          <w:sz w:val="28"/>
          <w:szCs w:val="28"/>
        </w:rPr>
      </w:pPr>
      <w:r w:rsidRPr="00E62CD8">
        <w:rPr>
          <w:rFonts w:ascii="Times New Roman" w:hAnsi="Times New Roman"/>
          <w:sz w:val="28"/>
          <w:szCs w:val="28"/>
        </w:rPr>
        <w:t>Annual Performance Report for Grants under the</w:t>
      </w:r>
    </w:p>
    <w:p w:rsidR="007E02B0" w:rsidRPr="00E62CD8" w:rsidP="007E02B0" w14:paraId="4254710B" w14:textId="77777777">
      <w:pPr>
        <w:jc w:val="center"/>
        <w:rPr>
          <w:rFonts w:ascii="Times New Roman" w:hAnsi="Times New Roman"/>
          <w:b/>
          <w:sz w:val="28"/>
          <w:szCs w:val="28"/>
        </w:rPr>
      </w:pPr>
      <w:r w:rsidRPr="00E62CD8">
        <w:rPr>
          <w:rFonts w:ascii="Times New Roman" w:hAnsi="Times New Roman"/>
          <w:b/>
          <w:sz w:val="28"/>
          <w:szCs w:val="28"/>
        </w:rPr>
        <w:t>Ronald E. McNair Postbaccalaureate Achievement Program</w:t>
      </w:r>
    </w:p>
    <w:p w:rsidR="000D085C" w:rsidP="007E02B0" w14:paraId="3C81809F" w14:textId="77777777">
      <w:pPr>
        <w:pStyle w:val="Heading2"/>
        <w:jc w:val="center"/>
        <w:rPr>
          <w:rFonts w:ascii="Times New Roman" w:hAnsi="Times New Roman"/>
          <w:sz w:val="24"/>
          <w:szCs w:val="24"/>
        </w:rPr>
      </w:pPr>
      <w:r>
        <w:rPr>
          <w:rFonts w:ascii="Times New Roman" w:hAnsi="Times New Roman"/>
          <w:i w:val="0"/>
          <w:sz w:val="24"/>
          <w:szCs w:val="24"/>
        </w:rPr>
        <w:t>SUPPORTING STATEMENT</w:t>
      </w:r>
      <w:r w:rsidRPr="00E62CD8" w:rsidR="007E02B0">
        <w:rPr>
          <w:rFonts w:ascii="Times New Roman" w:hAnsi="Times New Roman"/>
          <w:sz w:val="24"/>
          <w:szCs w:val="24"/>
        </w:rPr>
        <w:t xml:space="preserve"> </w:t>
      </w:r>
    </w:p>
    <w:p w:rsidR="007E02B0" w:rsidRPr="00FB65D0" w:rsidP="007E02B0" w14:paraId="4F30347E" w14:textId="77777777">
      <w:pPr>
        <w:pStyle w:val="Heading2"/>
        <w:jc w:val="center"/>
        <w:rPr>
          <w:rFonts w:ascii="Times New Roman" w:hAnsi="Times New Roman"/>
          <w:i w:val="0"/>
          <w:sz w:val="24"/>
          <w:szCs w:val="24"/>
        </w:rPr>
      </w:pPr>
      <w:r w:rsidRPr="00FB65D0">
        <w:rPr>
          <w:rFonts w:ascii="Times New Roman" w:hAnsi="Times New Roman"/>
          <w:i w:val="0"/>
          <w:sz w:val="24"/>
          <w:szCs w:val="24"/>
        </w:rPr>
        <w:t>FOR PAPERWORK REDUCTION ACT SUBMISSION</w:t>
      </w:r>
    </w:p>
    <w:p w:rsidR="00031642" w:rsidP="00031642" w14:paraId="075AB2B9" w14:textId="77777777">
      <w:pPr>
        <w:tabs>
          <w:tab w:val="left" w:pos="0"/>
        </w:tabs>
        <w:suppressAutoHyphens/>
        <w:spacing w:after="100" w:afterAutospacing="1"/>
        <w:rPr>
          <w:rFonts w:ascii="Times New Roman" w:hAnsi="Times New Roman"/>
          <w:b/>
          <w:szCs w:val="24"/>
        </w:rPr>
      </w:pPr>
    </w:p>
    <w:p w:rsidR="00414B52" w:rsidRPr="00D44C08" w:rsidP="00414B52" w14:paraId="3D871ABB" w14:textId="77777777">
      <w:pPr>
        <w:tabs>
          <w:tab w:val="left" w:pos="0"/>
        </w:tabs>
        <w:suppressAutoHyphens/>
        <w:rPr>
          <w:rFonts w:ascii="Times New Roman" w:hAnsi="Times New Roman"/>
          <w:sz w:val="22"/>
          <w:szCs w:val="22"/>
        </w:rPr>
      </w:pPr>
      <w:r w:rsidRPr="00D44C08">
        <w:rPr>
          <w:rFonts w:ascii="Times New Roman" w:hAnsi="Times New Roman"/>
          <w:b/>
          <w:sz w:val="22"/>
          <w:szCs w:val="22"/>
        </w:rPr>
        <w:t xml:space="preserve">A. Justification </w:t>
      </w:r>
    </w:p>
    <w:p w:rsidR="00414B52" w:rsidRPr="00D44C08" w:rsidP="00414B52" w14:paraId="03194244" w14:textId="77777777">
      <w:pPr>
        <w:tabs>
          <w:tab w:val="left" w:pos="0"/>
        </w:tabs>
        <w:suppressAutoHyphens/>
        <w:rPr>
          <w:rFonts w:ascii="Times New Roman" w:hAnsi="Times New Roman"/>
          <w:sz w:val="22"/>
          <w:szCs w:val="22"/>
        </w:rPr>
      </w:pPr>
    </w:p>
    <w:p w:rsidR="00094CD2" w:rsidRPr="00A23EED" w:rsidP="00A23EED" w14:paraId="7B0FE55E" w14:textId="77777777">
      <w:pPr>
        <w:pStyle w:val="ListParagraph"/>
        <w:suppressAutoHyphens/>
        <w:ind w:left="0"/>
        <w:contextualSpacing w:val="0"/>
        <w:rPr>
          <w:rFonts w:ascii="Times New Roman" w:hAnsi="Times New Roman"/>
          <w:i/>
          <w:iCs/>
          <w:sz w:val="22"/>
          <w:szCs w:val="22"/>
        </w:rPr>
      </w:pPr>
      <w:r>
        <w:rPr>
          <w:rStyle w:val="Heading2Char"/>
          <w:rFonts w:ascii="Times New Roman" w:hAnsi="Times New Roman"/>
          <w:b w:val="0"/>
          <w:bCs w:val="0"/>
          <w:sz w:val="22"/>
          <w:szCs w:val="22"/>
        </w:rPr>
        <w:t xml:space="preserve">1.  </w:t>
      </w:r>
      <w:r w:rsidRPr="00A23EED">
        <w:rPr>
          <w:rStyle w:val="Heading2Char"/>
          <w:rFonts w:ascii="Times New Roman" w:hAnsi="Times New Roman"/>
          <w:b w:val="0"/>
          <w:bCs w:val="0"/>
          <w:sz w:val="22"/>
          <w:szCs w:val="22"/>
        </w:rPr>
        <w:t>Explain the circumstances</w:t>
      </w:r>
      <w:r w:rsidRPr="00A23EED">
        <w:rPr>
          <w:rFonts w:ascii="Times New Roman" w:hAnsi="Times New Roman"/>
          <w:i/>
          <w:iCs/>
          <w:sz w:val="22"/>
          <w:szCs w:val="22"/>
        </w:rPr>
        <w:t xml:space="preserve"> that make the collection of information necessary.  What is the purpose for this information collection? Identify any legal or administrative requirements that necessitate the collection.  Include a citation that authorizes the collection of information. Specify the review type of the collection (new, revision, extension, reinstatement with change, reinstatement without change). If revised, briefly specify the changes.  If a rulemaking is involved, list the sections with a brief description of the information collection requirement, and/or changes to sections, if applicable.</w:t>
      </w:r>
    </w:p>
    <w:p w:rsidR="00FB65D0" w:rsidRPr="00D44C08" w:rsidP="009032E8" w14:paraId="2BDF4FF9" w14:textId="77777777">
      <w:pPr>
        <w:pStyle w:val="ListParagraph"/>
        <w:ind w:left="0"/>
        <w:rPr>
          <w:rFonts w:ascii="Times New Roman" w:hAnsi="Times New Roman"/>
          <w:sz w:val="22"/>
          <w:szCs w:val="22"/>
        </w:rPr>
      </w:pPr>
    </w:p>
    <w:p w:rsidR="00CC0087" w:rsidRPr="0015716C" w:rsidP="009032E8" w14:paraId="310BC193" w14:textId="77777777">
      <w:pPr>
        <w:pStyle w:val="ListParagraph"/>
        <w:ind w:left="0"/>
        <w:rPr>
          <w:rFonts w:ascii="Times New Roman" w:hAnsi="Times New Roman"/>
          <w:sz w:val="22"/>
          <w:szCs w:val="22"/>
        </w:rPr>
      </w:pPr>
      <w:r w:rsidRPr="00D44C08">
        <w:rPr>
          <w:rFonts w:ascii="Times New Roman" w:hAnsi="Times New Roman"/>
          <w:sz w:val="22"/>
          <w:szCs w:val="22"/>
        </w:rPr>
        <w:t xml:space="preserve">The Department of Education (Department) is requesting approval </w:t>
      </w:r>
      <w:r w:rsidRPr="00E17878" w:rsidR="0047647F">
        <w:rPr>
          <w:rFonts w:ascii="Times New Roman" w:hAnsi="Times New Roman"/>
          <w:sz w:val="22"/>
          <w:szCs w:val="22"/>
        </w:rPr>
        <w:t xml:space="preserve">of </w:t>
      </w:r>
      <w:r w:rsidR="008C63CC">
        <w:rPr>
          <w:rFonts w:ascii="Times New Roman" w:hAnsi="Times New Roman"/>
          <w:sz w:val="22"/>
          <w:szCs w:val="22"/>
        </w:rPr>
        <w:t>a</w:t>
      </w:r>
      <w:r w:rsidR="00126AE3">
        <w:rPr>
          <w:rFonts w:ascii="Times New Roman" w:hAnsi="Times New Roman"/>
          <w:sz w:val="22"/>
          <w:szCs w:val="22"/>
        </w:rPr>
        <w:t xml:space="preserve"> revision </w:t>
      </w:r>
      <w:r w:rsidRPr="00E17878" w:rsidR="00C17A6B">
        <w:rPr>
          <w:rFonts w:ascii="Times New Roman" w:hAnsi="Times New Roman"/>
          <w:sz w:val="22"/>
          <w:szCs w:val="22"/>
        </w:rPr>
        <w:t>of a currently approved collection</w:t>
      </w:r>
      <w:r w:rsidRPr="008F6483">
        <w:rPr>
          <w:rFonts w:ascii="Times New Roman" w:hAnsi="Times New Roman"/>
          <w:sz w:val="22"/>
          <w:szCs w:val="22"/>
        </w:rPr>
        <w:t xml:space="preserve">.  </w:t>
      </w:r>
      <w:r w:rsidR="00AF269B">
        <w:rPr>
          <w:rFonts w:ascii="Times New Roman" w:hAnsi="Times New Roman"/>
          <w:sz w:val="22"/>
          <w:szCs w:val="22"/>
        </w:rPr>
        <w:t>The number of respondents and the addition of two new fields being collected</w:t>
      </w:r>
      <w:r w:rsidR="007C7A66">
        <w:rPr>
          <w:rFonts w:ascii="Times New Roman" w:hAnsi="Times New Roman"/>
          <w:sz w:val="22"/>
          <w:szCs w:val="22"/>
        </w:rPr>
        <w:t>,</w:t>
      </w:r>
      <w:r w:rsidR="00AF269B">
        <w:rPr>
          <w:rFonts w:ascii="Times New Roman" w:hAnsi="Times New Roman"/>
          <w:sz w:val="22"/>
          <w:szCs w:val="22"/>
        </w:rPr>
        <w:t xml:space="preserve"> at the grantee-level</w:t>
      </w:r>
      <w:r w:rsidR="007C7A66">
        <w:rPr>
          <w:rFonts w:ascii="Times New Roman" w:hAnsi="Times New Roman"/>
          <w:sz w:val="22"/>
          <w:szCs w:val="22"/>
        </w:rPr>
        <w:t>,</w:t>
      </w:r>
      <w:r w:rsidR="00AF269B">
        <w:rPr>
          <w:rFonts w:ascii="Times New Roman" w:hAnsi="Times New Roman"/>
          <w:sz w:val="22"/>
          <w:szCs w:val="22"/>
        </w:rPr>
        <w:t xml:space="preserve"> as a result of the new grant competi</w:t>
      </w:r>
      <w:r w:rsidR="00B85264">
        <w:rPr>
          <w:rFonts w:ascii="Times New Roman" w:hAnsi="Times New Roman"/>
          <w:sz w:val="22"/>
          <w:szCs w:val="22"/>
        </w:rPr>
        <w:t xml:space="preserve">tion requires the Department to submit </w:t>
      </w:r>
      <w:r w:rsidR="00087571">
        <w:rPr>
          <w:rFonts w:ascii="Times New Roman" w:hAnsi="Times New Roman"/>
          <w:sz w:val="22"/>
          <w:szCs w:val="22"/>
        </w:rPr>
        <w:t>t</w:t>
      </w:r>
      <w:r w:rsidRPr="008F6483" w:rsidR="00087571">
        <w:rPr>
          <w:rFonts w:ascii="Times New Roman" w:hAnsi="Times New Roman"/>
          <w:sz w:val="22"/>
          <w:szCs w:val="22"/>
        </w:rPr>
        <w:t xml:space="preserve">he </w:t>
      </w:r>
      <w:r w:rsidRPr="008F6483">
        <w:rPr>
          <w:rFonts w:ascii="Times New Roman" w:hAnsi="Times New Roman"/>
          <w:sz w:val="22"/>
          <w:szCs w:val="22"/>
        </w:rPr>
        <w:t xml:space="preserve">Ronald E. McNair Postbaccalaureate Achievement (McNair) Program Annual Performance Report (APR) </w:t>
      </w:r>
      <w:r w:rsidR="00B85264">
        <w:rPr>
          <w:rFonts w:ascii="Times New Roman" w:hAnsi="Times New Roman"/>
          <w:sz w:val="22"/>
          <w:szCs w:val="22"/>
        </w:rPr>
        <w:t>for OMB approval</w:t>
      </w:r>
      <w:r w:rsidR="007C7A66">
        <w:rPr>
          <w:rFonts w:ascii="Times New Roman" w:hAnsi="Times New Roman"/>
          <w:sz w:val="22"/>
          <w:szCs w:val="22"/>
        </w:rPr>
        <w:t xml:space="preserve">.  Additional information regarding </w:t>
      </w:r>
      <w:r w:rsidR="00DA20A9">
        <w:rPr>
          <w:rFonts w:ascii="Times New Roman" w:hAnsi="Times New Roman"/>
          <w:sz w:val="22"/>
          <w:szCs w:val="22"/>
        </w:rPr>
        <w:t>the increase in respondents plus the new data fields is provided below.</w:t>
      </w:r>
    </w:p>
    <w:p w:rsidR="00520FB8" w:rsidRPr="0015716C" w:rsidP="009032E8" w14:paraId="2B0DEE22" w14:textId="77777777">
      <w:pPr>
        <w:pStyle w:val="ListParagraph"/>
        <w:ind w:left="0"/>
        <w:rPr>
          <w:rFonts w:ascii="Times New Roman" w:hAnsi="Times New Roman"/>
          <w:sz w:val="22"/>
          <w:szCs w:val="22"/>
        </w:rPr>
      </w:pPr>
    </w:p>
    <w:p w:rsidR="0088114D" w:rsidRPr="00E17878" w:rsidP="00274EC4" w14:paraId="50755E00" w14:textId="77777777">
      <w:pPr>
        <w:pStyle w:val="ListParagraph"/>
        <w:ind w:left="0"/>
        <w:rPr>
          <w:rFonts w:ascii="Times New Roman" w:hAnsi="Times New Roman"/>
          <w:sz w:val="22"/>
          <w:szCs w:val="22"/>
        </w:rPr>
      </w:pPr>
      <w:r w:rsidRPr="0015716C">
        <w:rPr>
          <w:rFonts w:ascii="Times New Roman" w:hAnsi="Times New Roman"/>
          <w:sz w:val="22"/>
          <w:szCs w:val="22"/>
        </w:rPr>
        <w:t>The McNair Program is authorized by Title IV, Part A, Subpart 2, Section 402E of the Higher Education Act of 1965, as amended (P.L.</w:t>
      </w:r>
      <w:r w:rsidRPr="0015716C" w:rsidR="0047647F">
        <w:rPr>
          <w:rFonts w:ascii="Times New Roman" w:hAnsi="Times New Roman"/>
          <w:sz w:val="22"/>
          <w:szCs w:val="22"/>
        </w:rPr>
        <w:t>110-315</w:t>
      </w:r>
      <w:r w:rsidRPr="0015716C">
        <w:rPr>
          <w:rFonts w:ascii="Times New Roman" w:hAnsi="Times New Roman"/>
          <w:sz w:val="22"/>
          <w:szCs w:val="22"/>
        </w:rPr>
        <w:t xml:space="preserve">); the program regulations in 34 CFR Part 647; and the Education Department General Administrative Regulations (EDGAR), Parts 74, 75, 77, 79, 82, 85, and 86.  The McNair Program authorizing statute and regulations for this collection are available via the following URL link: </w:t>
      </w:r>
      <w:hyperlink r:id="rId7" w:history="1">
        <w:r w:rsidRPr="00E17878">
          <w:rPr>
            <w:rStyle w:val="Hyperlink"/>
            <w:rFonts w:ascii="Times New Roman" w:hAnsi="Times New Roman"/>
            <w:sz w:val="22"/>
            <w:szCs w:val="22"/>
          </w:rPr>
          <w:t>http://www2.ed.gov/programs/triomcnair/legislation.html</w:t>
        </w:r>
      </w:hyperlink>
      <w:r w:rsidRPr="00E17878">
        <w:rPr>
          <w:rStyle w:val="Hyperlink"/>
          <w:rFonts w:ascii="Times New Roman" w:hAnsi="Times New Roman"/>
          <w:sz w:val="22"/>
          <w:szCs w:val="22"/>
          <w:u w:val="none"/>
        </w:rPr>
        <w:t xml:space="preserve">.  </w:t>
      </w:r>
    </w:p>
    <w:p w:rsidR="00BD76C7" w:rsidRPr="008F6483" w:rsidP="006623BC" w14:paraId="41A40310" w14:textId="77777777">
      <w:pPr>
        <w:pStyle w:val="ListParagraph"/>
        <w:ind w:left="0"/>
        <w:rPr>
          <w:rFonts w:ascii="Times New Roman" w:hAnsi="Times New Roman"/>
          <w:sz w:val="22"/>
          <w:szCs w:val="22"/>
        </w:rPr>
      </w:pPr>
    </w:p>
    <w:p w:rsidR="00D71B59" w:rsidRPr="0015716C" w:rsidP="009032E8" w14:paraId="4C164737" w14:textId="77777777">
      <w:pPr>
        <w:rPr>
          <w:rFonts w:ascii="Times New Roman" w:hAnsi="Times New Roman"/>
          <w:sz w:val="22"/>
          <w:szCs w:val="22"/>
        </w:rPr>
      </w:pPr>
      <w:r w:rsidRPr="0015716C">
        <w:rPr>
          <w:rFonts w:ascii="Times New Roman" w:hAnsi="Times New Roman"/>
          <w:sz w:val="22"/>
          <w:szCs w:val="22"/>
        </w:rPr>
        <w:t>Through a grant competition, McNair Program funds are awarded to institutions of higher education to prepare eligible participants for doctoral studies through involvement in research and other scholarly activities.</w:t>
      </w:r>
      <w:r w:rsidRPr="0015716C" w:rsidR="00D86610">
        <w:rPr>
          <w:rFonts w:ascii="Times New Roman" w:hAnsi="Times New Roman"/>
          <w:sz w:val="22"/>
          <w:szCs w:val="22"/>
        </w:rPr>
        <w:t xml:space="preserve"> </w:t>
      </w:r>
      <w:r w:rsidRPr="0015716C">
        <w:rPr>
          <w:rFonts w:ascii="Times New Roman" w:hAnsi="Times New Roman"/>
          <w:sz w:val="22"/>
          <w:szCs w:val="22"/>
        </w:rPr>
        <w:t xml:space="preserve"> Participants are from dis</w:t>
      </w:r>
      <w:r w:rsidRPr="0015716C" w:rsidR="00B808CA">
        <w:rPr>
          <w:rFonts w:ascii="Times New Roman" w:hAnsi="Times New Roman"/>
          <w:sz w:val="22"/>
          <w:szCs w:val="22"/>
        </w:rPr>
        <w:t xml:space="preserve">advantaged backgrounds and have </w:t>
      </w:r>
      <w:r w:rsidRPr="0015716C">
        <w:rPr>
          <w:rFonts w:ascii="Times New Roman" w:hAnsi="Times New Roman"/>
          <w:sz w:val="22"/>
          <w:szCs w:val="22"/>
        </w:rPr>
        <w:t>demonstrated strong academic potential.</w:t>
      </w:r>
      <w:r w:rsidRPr="0015716C" w:rsidR="00D86610">
        <w:rPr>
          <w:rFonts w:ascii="Times New Roman" w:hAnsi="Times New Roman"/>
          <w:sz w:val="22"/>
          <w:szCs w:val="22"/>
        </w:rPr>
        <w:t xml:space="preserve"> </w:t>
      </w:r>
      <w:r w:rsidRPr="0015716C">
        <w:rPr>
          <w:rFonts w:ascii="Times New Roman" w:hAnsi="Times New Roman"/>
          <w:sz w:val="22"/>
          <w:szCs w:val="22"/>
        </w:rPr>
        <w:t xml:space="preserve"> Institutions work closely with participants as they complete their undergraduate requirements.</w:t>
      </w:r>
      <w:r w:rsidRPr="0015716C" w:rsidR="00D86610">
        <w:rPr>
          <w:rFonts w:ascii="Times New Roman" w:hAnsi="Times New Roman"/>
          <w:sz w:val="22"/>
          <w:szCs w:val="22"/>
        </w:rPr>
        <w:t xml:space="preserve"> </w:t>
      </w:r>
      <w:r w:rsidRPr="0015716C">
        <w:rPr>
          <w:rFonts w:ascii="Times New Roman" w:hAnsi="Times New Roman"/>
          <w:sz w:val="22"/>
          <w:szCs w:val="22"/>
        </w:rPr>
        <w:t xml:space="preserve"> Institutions encourage participants to enroll in graduate programs and then track their progress through to the successful completion of advanced degrees.</w:t>
      </w:r>
      <w:r w:rsidRPr="0015716C" w:rsidR="00D86610">
        <w:rPr>
          <w:rFonts w:ascii="Times New Roman" w:hAnsi="Times New Roman"/>
          <w:sz w:val="22"/>
          <w:szCs w:val="22"/>
        </w:rPr>
        <w:t xml:space="preserve"> </w:t>
      </w:r>
      <w:r w:rsidRPr="0015716C">
        <w:rPr>
          <w:rFonts w:ascii="Times New Roman" w:hAnsi="Times New Roman"/>
          <w:sz w:val="22"/>
          <w:szCs w:val="22"/>
        </w:rPr>
        <w:t xml:space="preserve"> The goal is to increase the attainment of Ph.D. degrees by students from underr</w:t>
      </w:r>
      <w:r w:rsidRPr="0015716C" w:rsidR="00316275">
        <w:rPr>
          <w:rFonts w:ascii="Times New Roman" w:hAnsi="Times New Roman"/>
          <w:sz w:val="22"/>
          <w:szCs w:val="22"/>
        </w:rPr>
        <w:t>epresented segments of society.</w:t>
      </w:r>
    </w:p>
    <w:p w:rsidR="009032E8" w:rsidRPr="0015716C" w:rsidP="009032E8" w14:paraId="0DB6F0FC" w14:textId="77777777">
      <w:pPr>
        <w:rPr>
          <w:rFonts w:ascii="Times New Roman" w:hAnsi="Times New Roman"/>
          <w:sz w:val="22"/>
          <w:szCs w:val="22"/>
        </w:rPr>
      </w:pPr>
    </w:p>
    <w:p w:rsidR="00BD76C7" w:rsidRPr="0015716C" w:rsidP="00BD76C7" w14:paraId="3E47AB85" w14:textId="77777777">
      <w:pPr>
        <w:pStyle w:val="ListParagraph"/>
        <w:ind w:left="0"/>
        <w:rPr>
          <w:rFonts w:ascii="Times New Roman" w:hAnsi="Times New Roman"/>
          <w:sz w:val="22"/>
          <w:szCs w:val="22"/>
        </w:rPr>
      </w:pPr>
      <w:r w:rsidRPr="0015716C">
        <w:rPr>
          <w:rFonts w:ascii="Times New Roman" w:hAnsi="Times New Roman"/>
          <w:sz w:val="22"/>
          <w:szCs w:val="22"/>
        </w:rPr>
        <w:t>The obligation to respond to this collection is required to obtain or retain benefit</w:t>
      </w:r>
      <w:r w:rsidRPr="0015716C" w:rsidR="00316275">
        <w:rPr>
          <w:rFonts w:ascii="Times New Roman" w:hAnsi="Times New Roman"/>
          <w:sz w:val="22"/>
          <w:szCs w:val="22"/>
        </w:rPr>
        <w:t xml:space="preserve"> under</w:t>
      </w:r>
      <w:r w:rsidRPr="0015716C" w:rsidR="00AB7743">
        <w:rPr>
          <w:rFonts w:ascii="Times New Roman" w:hAnsi="Times New Roman"/>
          <w:sz w:val="22"/>
          <w:szCs w:val="22"/>
        </w:rPr>
        <w:t xml:space="preserve"> </w:t>
      </w:r>
      <w:r w:rsidRPr="0015716C" w:rsidR="00AB7743">
        <w:rPr>
          <w:rFonts w:ascii="Times New Roman" w:eastAsia="MS Mincho" w:hAnsi="Times New Roman"/>
          <w:sz w:val="22"/>
          <w:szCs w:val="22"/>
        </w:rPr>
        <w:t xml:space="preserve">Title IV, Section 402E, of the Higher Education Act of 1965, as amended (Public Law </w:t>
      </w:r>
      <w:r w:rsidRPr="0015716C" w:rsidR="0047647F">
        <w:rPr>
          <w:rFonts w:ascii="Times New Roman" w:eastAsia="MS Mincho" w:hAnsi="Times New Roman"/>
          <w:sz w:val="22"/>
          <w:szCs w:val="22"/>
        </w:rPr>
        <w:t>110-315</w:t>
      </w:r>
      <w:r w:rsidRPr="0015716C" w:rsidR="00AB7743">
        <w:rPr>
          <w:rFonts w:ascii="Times New Roman" w:eastAsia="MS Mincho" w:hAnsi="Times New Roman"/>
          <w:sz w:val="22"/>
          <w:szCs w:val="22"/>
        </w:rPr>
        <w:t>)</w:t>
      </w:r>
      <w:r w:rsidRPr="0015716C" w:rsidR="00316275">
        <w:rPr>
          <w:rFonts w:ascii="Times New Roman" w:eastAsia="MS Mincho" w:hAnsi="Times New Roman"/>
          <w:sz w:val="22"/>
          <w:szCs w:val="22"/>
        </w:rPr>
        <w:t>,</w:t>
      </w:r>
      <w:r w:rsidRPr="0015716C" w:rsidR="004837DB">
        <w:rPr>
          <w:rFonts w:ascii="Times New Roman" w:eastAsia="MS Mincho" w:hAnsi="Times New Roman"/>
          <w:sz w:val="22"/>
          <w:szCs w:val="22"/>
        </w:rPr>
        <w:t xml:space="preserve"> and</w:t>
      </w:r>
      <w:r w:rsidRPr="0015716C" w:rsidR="00316275">
        <w:rPr>
          <w:rFonts w:ascii="Times New Roman" w:eastAsia="MS Mincho" w:hAnsi="Times New Roman"/>
          <w:sz w:val="22"/>
          <w:szCs w:val="22"/>
        </w:rPr>
        <w:t xml:space="preserve"> the program regulations in 34 CFR Part 647; and sections 75.590 and 75.720 of the Education Department General </w:t>
      </w:r>
      <w:r w:rsidRPr="0015716C" w:rsidR="00AB7743">
        <w:rPr>
          <w:rFonts w:ascii="Times New Roman" w:eastAsia="MS Mincho" w:hAnsi="Times New Roman"/>
          <w:sz w:val="22"/>
          <w:szCs w:val="22"/>
        </w:rPr>
        <w:t xml:space="preserve"> </w:t>
      </w:r>
      <w:r w:rsidRPr="0015716C" w:rsidR="00316275">
        <w:rPr>
          <w:rFonts w:ascii="Times New Roman" w:eastAsia="MS Mincho" w:hAnsi="Times New Roman"/>
          <w:sz w:val="22"/>
          <w:szCs w:val="22"/>
        </w:rPr>
        <w:t>Administrative Regulations (EDGAR) permit the collection of this information.</w:t>
      </w:r>
      <w:r w:rsidRPr="0015716C">
        <w:rPr>
          <w:rFonts w:ascii="Times New Roman" w:eastAsia="MS Mincho" w:hAnsi="Times New Roman"/>
          <w:sz w:val="22"/>
          <w:szCs w:val="22"/>
        </w:rPr>
        <w:t xml:space="preserve">  </w:t>
      </w:r>
      <w:r w:rsidRPr="0015716C">
        <w:rPr>
          <w:rFonts w:ascii="Times New Roman" w:hAnsi="Times New Roman"/>
          <w:sz w:val="22"/>
          <w:szCs w:val="22"/>
        </w:rPr>
        <w:t>The respondents under the collection are institutions of higher education or combinations of those institutions.</w:t>
      </w:r>
    </w:p>
    <w:p w:rsidR="00AB7743" w:rsidRPr="0015716C" w:rsidP="009032E8" w14:paraId="5E8BDB17" w14:textId="77777777">
      <w:pPr>
        <w:pStyle w:val="PlainText"/>
        <w:rPr>
          <w:rFonts w:ascii="Times New Roman" w:eastAsia="MS Mincho" w:hAnsi="Times New Roman" w:cs="Times New Roman"/>
          <w:sz w:val="22"/>
          <w:szCs w:val="22"/>
        </w:rPr>
      </w:pPr>
    </w:p>
    <w:p w:rsidR="00391343" w:rsidRPr="0015716C" w:rsidP="009032E8" w14:paraId="3660F00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2"/>
          <w:szCs w:val="22"/>
        </w:rPr>
      </w:pPr>
      <w:r w:rsidRPr="0015716C">
        <w:rPr>
          <w:rFonts w:ascii="Times New Roman" w:hAnsi="Times New Roman"/>
          <w:bCs/>
          <w:sz w:val="22"/>
          <w:szCs w:val="22"/>
        </w:rPr>
        <w:t xml:space="preserve">The </w:t>
      </w:r>
      <w:r w:rsidR="00A21BF4">
        <w:rPr>
          <w:rFonts w:ascii="Times New Roman" w:hAnsi="Times New Roman"/>
          <w:bCs/>
          <w:sz w:val="22"/>
          <w:szCs w:val="22"/>
        </w:rPr>
        <w:t>i</w:t>
      </w:r>
      <w:r w:rsidR="00F47946">
        <w:rPr>
          <w:rFonts w:ascii="Times New Roman" w:hAnsi="Times New Roman"/>
          <w:bCs/>
          <w:sz w:val="22"/>
          <w:szCs w:val="22"/>
        </w:rPr>
        <w:t>nformation</w:t>
      </w:r>
      <w:r w:rsidRPr="0015716C">
        <w:rPr>
          <w:rFonts w:ascii="Times New Roman" w:hAnsi="Times New Roman"/>
          <w:bCs/>
          <w:sz w:val="22"/>
          <w:szCs w:val="22"/>
        </w:rPr>
        <w:t xml:space="preserve"> submitted in the annual performance report is used to meet several regulatory and statutory requirements.  </w:t>
      </w:r>
    </w:p>
    <w:p w:rsidR="00826D7D" w:rsidRPr="0015716C" w:rsidP="009032E8" w14:paraId="3FE4FAE2"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sz w:val="22"/>
          <w:szCs w:val="22"/>
          <w:u w:val="single"/>
        </w:rPr>
      </w:pPr>
    </w:p>
    <w:p w:rsidR="00391343" w:rsidRPr="0015716C" w:rsidP="009032E8" w14:paraId="4E798EB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sz w:val="22"/>
          <w:szCs w:val="22"/>
          <w:u w:val="single"/>
        </w:rPr>
      </w:pPr>
      <w:r w:rsidRPr="0015716C">
        <w:rPr>
          <w:rFonts w:ascii="Times New Roman" w:hAnsi="Times New Roman"/>
          <w:b/>
          <w:bCs/>
          <w:sz w:val="22"/>
          <w:szCs w:val="22"/>
          <w:u w:val="single"/>
        </w:rPr>
        <w:t>Prior Experience (PE) Points</w:t>
      </w:r>
    </w:p>
    <w:p w:rsidR="00305581" w:rsidRPr="0015716C" w:rsidP="009032E8" w14:paraId="2865ABF3"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i/>
          <w:sz w:val="22"/>
          <w:szCs w:val="22"/>
        </w:rPr>
      </w:pPr>
      <w:r w:rsidRPr="0015716C">
        <w:rPr>
          <w:rFonts w:ascii="Times New Roman" w:hAnsi="Times New Roman"/>
          <w:bCs/>
          <w:sz w:val="22"/>
          <w:szCs w:val="22"/>
        </w:rPr>
        <w:t xml:space="preserve">First, the data collected via the McNair APR is used to assign prior experience points as mandated by the McNair Program authorizing statute, Title IV, Part A, Subpart 2, Chapter 1, Section </w:t>
      </w:r>
      <w:r w:rsidRPr="0015716C" w:rsidR="00752430">
        <w:rPr>
          <w:rFonts w:ascii="Times New Roman" w:hAnsi="Times New Roman"/>
          <w:sz w:val="22"/>
          <w:szCs w:val="22"/>
        </w:rPr>
        <w:t>402A(f)(3)(D)</w:t>
      </w:r>
      <w:r w:rsidRPr="0015716C">
        <w:rPr>
          <w:rFonts w:ascii="Times New Roman" w:hAnsi="Times New Roman"/>
          <w:bCs/>
          <w:sz w:val="22"/>
          <w:szCs w:val="22"/>
        </w:rPr>
        <w:t xml:space="preserve"> of the Higher Education Act of 1965, as amended, which states:</w:t>
      </w:r>
      <w:r w:rsidRPr="0015716C">
        <w:rPr>
          <w:rFonts w:ascii="Times New Roman" w:hAnsi="Times New Roman"/>
          <w:bCs/>
          <w:i/>
          <w:sz w:val="22"/>
          <w:szCs w:val="22"/>
        </w:rPr>
        <w:t xml:space="preserve"> </w:t>
      </w:r>
    </w:p>
    <w:p w:rsidR="00305581" w:rsidRPr="0015716C" w:rsidP="009032E8" w14:paraId="5F824119"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i/>
          <w:sz w:val="22"/>
          <w:szCs w:val="22"/>
        </w:rPr>
      </w:pPr>
      <w:r w:rsidRPr="0015716C">
        <w:rPr>
          <w:rFonts w:ascii="Times New Roman" w:hAnsi="Times New Roman"/>
          <w:bCs/>
          <w:i/>
          <w:sz w:val="22"/>
          <w:szCs w:val="22"/>
        </w:rPr>
        <w:t>“</w:t>
      </w:r>
      <w:r w:rsidRPr="0015716C" w:rsidR="00752430">
        <w:rPr>
          <w:rFonts w:ascii="Times New Roman" w:hAnsi="Times New Roman"/>
          <w:bCs/>
          <w:i/>
          <w:sz w:val="22"/>
          <w:szCs w:val="22"/>
        </w:rPr>
        <w:t xml:space="preserve">For programs authorized under section </w:t>
      </w:r>
      <w:r w:rsidRPr="0015716C" w:rsidR="009B15B7">
        <w:rPr>
          <w:rFonts w:ascii="Times New Roman" w:hAnsi="Times New Roman"/>
          <w:bCs/>
          <w:i/>
          <w:sz w:val="22"/>
          <w:szCs w:val="22"/>
        </w:rPr>
        <w:t>402E</w:t>
      </w:r>
      <w:r w:rsidRPr="0015716C" w:rsidR="00752430">
        <w:rPr>
          <w:rFonts w:ascii="Times New Roman" w:hAnsi="Times New Roman"/>
          <w:bCs/>
          <w:i/>
          <w:sz w:val="22"/>
          <w:szCs w:val="22"/>
        </w:rPr>
        <w:t>, the extent to which the entity met or exceeded the entity’s objectives for such programs regarding</w:t>
      </w:r>
      <w:r w:rsidRPr="0015716C">
        <w:rPr>
          <w:rFonts w:ascii="Times New Roman" w:hAnsi="Times New Roman"/>
          <w:bCs/>
          <w:i/>
          <w:sz w:val="22"/>
          <w:szCs w:val="22"/>
        </w:rPr>
        <w:t>—</w:t>
      </w:r>
    </w:p>
    <w:p w:rsidR="009032E8" w:rsidRPr="0015716C" w:rsidP="009032E8" w14:paraId="23084249" w14:textId="77777777">
      <w:pPr>
        <w:pStyle w:val="ListParagraph"/>
        <w:tabs>
          <w:tab w:val="left" w:pos="1350"/>
          <w:tab w:val="left" w:pos="1440"/>
        </w:tabs>
        <w:ind w:left="0"/>
        <w:rPr>
          <w:rFonts w:ascii="Times New Roman" w:hAnsi="Times New Roman"/>
          <w:i/>
          <w:sz w:val="22"/>
          <w:szCs w:val="22"/>
        </w:rPr>
      </w:pPr>
    </w:p>
    <w:p w:rsidR="00CD4E11" w:rsidRPr="0015716C" w:rsidP="00CD4E11" w14:paraId="0EE3BB12" w14:textId="77777777">
      <w:pPr>
        <w:pStyle w:val="ListParagraph"/>
        <w:numPr>
          <w:ilvl w:val="0"/>
          <w:numId w:val="40"/>
        </w:numPr>
        <w:tabs>
          <w:tab w:val="left" w:pos="1350"/>
          <w:tab w:val="left" w:pos="1440"/>
        </w:tabs>
        <w:rPr>
          <w:rFonts w:ascii="Times New Roman" w:hAnsi="Times New Roman"/>
          <w:i/>
          <w:sz w:val="22"/>
          <w:szCs w:val="22"/>
        </w:rPr>
      </w:pPr>
      <w:r w:rsidRPr="0015716C">
        <w:rPr>
          <w:rFonts w:ascii="Times New Roman" w:hAnsi="Times New Roman"/>
          <w:i/>
          <w:sz w:val="22"/>
          <w:szCs w:val="22"/>
        </w:rPr>
        <w:t>the delivery of service to a total number of students served by the program, as agreed upon by the entity and the Secretary for the period;</w:t>
      </w:r>
    </w:p>
    <w:p w:rsidR="00305581" w:rsidRPr="0015716C" w:rsidP="00CD4E11" w14:paraId="518C5F21" w14:textId="77777777">
      <w:pPr>
        <w:pStyle w:val="ListParagraph"/>
        <w:numPr>
          <w:ilvl w:val="0"/>
          <w:numId w:val="40"/>
        </w:numPr>
        <w:tabs>
          <w:tab w:val="left" w:pos="1350"/>
          <w:tab w:val="left" w:pos="1440"/>
        </w:tabs>
        <w:rPr>
          <w:rFonts w:ascii="Times New Roman" w:hAnsi="Times New Roman"/>
          <w:i/>
          <w:sz w:val="22"/>
          <w:szCs w:val="22"/>
        </w:rPr>
      </w:pPr>
      <w:r w:rsidRPr="0015716C">
        <w:rPr>
          <w:rFonts w:ascii="Times New Roman" w:hAnsi="Times New Roman"/>
          <w:i/>
          <w:sz w:val="22"/>
          <w:szCs w:val="22"/>
        </w:rPr>
        <w:t>the provision of appropriate scholarly and research activities for the students served by</w:t>
      </w:r>
      <w:r w:rsidRPr="0015716C" w:rsidR="00CD4E11">
        <w:rPr>
          <w:rFonts w:ascii="Times New Roman" w:hAnsi="Times New Roman"/>
          <w:i/>
          <w:sz w:val="22"/>
          <w:szCs w:val="22"/>
        </w:rPr>
        <w:t xml:space="preserve"> </w:t>
      </w:r>
      <w:r w:rsidRPr="0015716C">
        <w:rPr>
          <w:rFonts w:ascii="Times New Roman" w:hAnsi="Times New Roman"/>
          <w:i/>
          <w:sz w:val="22"/>
          <w:szCs w:val="22"/>
        </w:rPr>
        <w:t>the program;</w:t>
      </w:r>
    </w:p>
    <w:p w:rsidR="00305581" w:rsidRPr="0015716C" w:rsidP="00CD4E11" w14:paraId="112A5AAB" w14:textId="77777777">
      <w:pPr>
        <w:pStyle w:val="ListParagraph"/>
        <w:numPr>
          <w:ilvl w:val="0"/>
          <w:numId w:val="40"/>
        </w:numPr>
        <w:tabs>
          <w:tab w:val="left" w:pos="1350"/>
          <w:tab w:val="left" w:pos="1440"/>
        </w:tabs>
        <w:rPr>
          <w:rFonts w:ascii="Times New Roman" w:hAnsi="Times New Roman"/>
          <w:i/>
          <w:sz w:val="22"/>
          <w:szCs w:val="22"/>
        </w:rPr>
      </w:pPr>
      <w:r w:rsidRPr="0015716C">
        <w:rPr>
          <w:rFonts w:ascii="Times New Roman" w:hAnsi="Times New Roman"/>
          <w:i/>
          <w:sz w:val="22"/>
          <w:szCs w:val="22"/>
        </w:rPr>
        <w:t>the acceptance and enrollment of such students in graduate programs; and</w:t>
      </w:r>
    </w:p>
    <w:p w:rsidR="00305581" w:rsidRPr="0015716C" w:rsidP="00CD4E11" w14:paraId="20E51842" w14:textId="77777777">
      <w:pPr>
        <w:pStyle w:val="ListParagraph"/>
        <w:numPr>
          <w:ilvl w:val="0"/>
          <w:numId w:val="40"/>
        </w:numPr>
        <w:tabs>
          <w:tab w:val="left" w:pos="916"/>
          <w:tab w:val="left" w:pos="1350"/>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i/>
          <w:sz w:val="22"/>
          <w:szCs w:val="22"/>
        </w:rPr>
      </w:pPr>
      <w:r w:rsidRPr="0015716C">
        <w:rPr>
          <w:rFonts w:ascii="Times New Roman" w:hAnsi="Times New Roman"/>
          <w:i/>
          <w:sz w:val="22"/>
          <w:szCs w:val="22"/>
        </w:rPr>
        <w:t>the continued enrollment of such students in graduate study and the attainment of doctoral degrees by former program participants.”</w:t>
      </w:r>
    </w:p>
    <w:p w:rsidR="00031642" w:rsidRPr="0015716C" w:rsidP="009032E8" w14:paraId="0FE0500E" w14:textId="77777777">
      <w:pPr>
        <w:pStyle w:val="BodyTextIndent3"/>
        <w:ind w:left="0"/>
        <w:rPr>
          <w:b w:val="0"/>
          <w:bCs/>
          <w:sz w:val="22"/>
          <w:szCs w:val="22"/>
        </w:rPr>
      </w:pPr>
    </w:p>
    <w:p w:rsidR="00CC0087" w:rsidRPr="0015716C" w:rsidP="009032E8" w14:paraId="2B6BE5C8" w14:textId="77777777">
      <w:pPr>
        <w:pStyle w:val="BodyTextIndent3"/>
        <w:ind w:left="0"/>
        <w:rPr>
          <w:b w:val="0"/>
          <w:bCs/>
          <w:sz w:val="22"/>
          <w:szCs w:val="22"/>
        </w:rPr>
      </w:pPr>
      <w:r w:rsidRPr="0015716C">
        <w:rPr>
          <w:b w:val="0"/>
          <w:bCs/>
          <w:sz w:val="22"/>
          <w:szCs w:val="22"/>
        </w:rPr>
        <w:t>The calculation of prior experience points is done on an annual basis using the data the project</w:t>
      </w:r>
      <w:r w:rsidRPr="0015716C" w:rsidR="0049728E">
        <w:rPr>
          <w:b w:val="0"/>
          <w:bCs/>
          <w:sz w:val="22"/>
          <w:szCs w:val="22"/>
        </w:rPr>
        <w:t xml:space="preserve"> </w:t>
      </w:r>
      <w:r w:rsidRPr="0015716C">
        <w:rPr>
          <w:b w:val="0"/>
          <w:bCs/>
          <w:sz w:val="22"/>
          <w:szCs w:val="22"/>
        </w:rPr>
        <w:t>submits for the reporting period.  As such, during a competition for new awards, the prior experience points are added to the average of the field readers’ scores to derive a total score for an application.  A slate of all applicants is developed on the basis of the total scores of the applications.  Funding recommendations and decisions are based on the rank order of applicants on the slate.  Therefore, the assessment of prior experience points is a crucial part of the overall application process.</w:t>
      </w:r>
    </w:p>
    <w:p w:rsidR="009032E8" w:rsidRPr="0015716C" w:rsidP="009032E8" w14:paraId="655AE213" w14:textId="77777777">
      <w:pPr>
        <w:pStyle w:val="BodyTextIndent3"/>
        <w:ind w:left="0"/>
        <w:rPr>
          <w:b w:val="0"/>
          <w:bCs/>
          <w:sz w:val="22"/>
          <w:szCs w:val="22"/>
        </w:rPr>
      </w:pPr>
    </w:p>
    <w:p w:rsidR="00391343" w:rsidRPr="0015716C" w:rsidP="009032E8" w14:paraId="6A9FEA7C" w14:textId="77777777">
      <w:pPr>
        <w:pStyle w:val="BodyTextIndent3"/>
        <w:ind w:left="0"/>
        <w:rPr>
          <w:bCs/>
          <w:sz w:val="22"/>
          <w:szCs w:val="22"/>
          <w:u w:val="single"/>
        </w:rPr>
      </w:pPr>
      <w:bookmarkStart w:id="0" w:name="OLE_LINK3"/>
      <w:bookmarkStart w:id="1" w:name="OLE_LINK4"/>
      <w:r w:rsidRPr="0015716C">
        <w:rPr>
          <w:bCs/>
          <w:sz w:val="22"/>
          <w:szCs w:val="22"/>
          <w:u w:val="single"/>
        </w:rPr>
        <w:t>Evaluation of Substantial Progress</w:t>
      </w:r>
    </w:p>
    <w:p w:rsidR="00CC0087" w:rsidRPr="0015716C" w:rsidP="009032E8" w14:paraId="13F3935B" w14:textId="77777777">
      <w:pPr>
        <w:pStyle w:val="BodyTextIndent3"/>
        <w:ind w:left="0"/>
        <w:rPr>
          <w:b w:val="0"/>
          <w:bCs/>
          <w:sz w:val="22"/>
          <w:szCs w:val="22"/>
        </w:rPr>
      </w:pPr>
      <w:r w:rsidRPr="0015716C">
        <w:rPr>
          <w:b w:val="0"/>
          <w:bCs/>
          <w:sz w:val="22"/>
          <w:szCs w:val="22"/>
        </w:rPr>
        <w:t>Second, during non-competitive years, the reports are used to verify that grantees are making substantial progress toward the achievement of approved objectives prior to issuing continuation awards.</w:t>
      </w:r>
    </w:p>
    <w:p w:rsidR="009032E8" w:rsidRPr="00C948E9" w:rsidP="009032E8" w14:paraId="0268CAA7" w14:textId="77777777">
      <w:pPr>
        <w:pStyle w:val="BodyTextIndent3"/>
        <w:ind w:left="0"/>
        <w:rPr>
          <w:b w:val="0"/>
          <w:bCs/>
          <w:sz w:val="22"/>
          <w:szCs w:val="22"/>
        </w:rPr>
      </w:pPr>
    </w:p>
    <w:bookmarkEnd w:id="0"/>
    <w:bookmarkEnd w:id="1"/>
    <w:p w:rsidR="001B5F15" w:rsidRPr="00C948E9" w:rsidP="001B5F15" w14:paraId="09330BD0" w14:textId="77777777">
      <w:pPr>
        <w:rPr>
          <w:rFonts w:ascii="Times New Roman" w:hAnsi="Times New Roman"/>
          <w:b/>
          <w:sz w:val="22"/>
          <w:szCs w:val="22"/>
          <w:u w:val="single"/>
        </w:rPr>
      </w:pPr>
      <w:r w:rsidRPr="00C948E9">
        <w:rPr>
          <w:rFonts w:ascii="Times New Roman" w:hAnsi="Times New Roman"/>
          <w:b/>
          <w:sz w:val="22"/>
          <w:szCs w:val="22"/>
          <w:u w:val="single"/>
        </w:rPr>
        <w:t>Performance Measurement</w:t>
      </w:r>
    </w:p>
    <w:p w:rsidR="001B5F15" w:rsidRPr="00C948E9" w:rsidP="001B5F15" w14:paraId="0658E550" w14:textId="77777777">
      <w:pPr>
        <w:rPr>
          <w:rFonts w:ascii="Times New Roman" w:hAnsi="Times New Roman"/>
          <w:sz w:val="22"/>
          <w:szCs w:val="22"/>
        </w:rPr>
      </w:pPr>
      <w:r w:rsidRPr="00C948E9">
        <w:rPr>
          <w:rFonts w:ascii="Times New Roman" w:hAnsi="Times New Roman"/>
          <w:sz w:val="22"/>
          <w:szCs w:val="22"/>
        </w:rPr>
        <w:t>Third, the Department is committed to continually improving its management of programs and improving the educational outcomes of students.  Improvements are guided by monitoring and assessing performance, improving the data used for these assessments, collaborating with stakeholders, implementing recommendations, and re-assessing performance.  Providing data to the public is a key element in promoting improvement and collaborating with stakeholders.  Therefore, to meet these goals the APR collects aggregate and quantifiable data needed to respond to the requirements of the Education Department General Administrative Regulations (EDGAR) in 34 CFR §75.110 - Information regarding performance measurement.  The performance outcomes that are measured are:</w:t>
      </w:r>
    </w:p>
    <w:p w:rsidR="001B5F15" w:rsidRPr="00C948E9" w:rsidP="001B5F15" w14:paraId="1B61E1C2" w14:textId="77777777">
      <w:pPr>
        <w:rPr>
          <w:rFonts w:ascii="Times New Roman" w:hAnsi="Times New Roman"/>
          <w:sz w:val="22"/>
          <w:szCs w:val="22"/>
        </w:rPr>
      </w:pPr>
    </w:p>
    <w:p w:rsidR="001B5F15" w:rsidRPr="00C948E9" w:rsidP="001B5F15" w14:paraId="151E8070" w14:textId="77777777">
      <w:pPr>
        <w:rPr>
          <w:rFonts w:ascii="Times New Roman" w:hAnsi="Times New Roman"/>
          <w:sz w:val="22"/>
          <w:szCs w:val="22"/>
        </w:rPr>
      </w:pPr>
      <w:r w:rsidRPr="00C948E9">
        <w:rPr>
          <w:rFonts w:ascii="Times New Roman" w:hAnsi="Times New Roman"/>
          <w:sz w:val="22"/>
          <w:szCs w:val="22"/>
        </w:rPr>
        <w:t xml:space="preserve">—the acceptance and enrollment of project participants in graduate study, </w:t>
      </w:r>
    </w:p>
    <w:p w:rsidR="001B5F15" w:rsidRPr="00C948E9" w:rsidP="001B5F15" w14:paraId="4E31F4AB" w14:textId="77777777">
      <w:pPr>
        <w:rPr>
          <w:rFonts w:ascii="Times New Roman" w:hAnsi="Times New Roman"/>
          <w:sz w:val="22"/>
          <w:szCs w:val="22"/>
        </w:rPr>
      </w:pPr>
      <w:r w:rsidRPr="00C948E9">
        <w:rPr>
          <w:rFonts w:ascii="Times New Roman" w:hAnsi="Times New Roman"/>
          <w:sz w:val="22"/>
          <w:szCs w:val="22"/>
        </w:rPr>
        <w:t>—the continued enrollment of project participants in graduate study, and</w:t>
      </w:r>
    </w:p>
    <w:p w:rsidR="001B5F15" w:rsidRPr="00C948E9" w:rsidP="001B5F15" w14:paraId="6D8435DC" w14:textId="77777777">
      <w:pPr>
        <w:rPr>
          <w:rFonts w:ascii="Times New Roman" w:hAnsi="Times New Roman"/>
          <w:i/>
          <w:sz w:val="22"/>
          <w:szCs w:val="22"/>
        </w:rPr>
      </w:pPr>
      <w:r w:rsidRPr="00C948E9">
        <w:rPr>
          <w:rFonts w:ascii="Times New Roman" w:hAnsi="Times New Roman"/>
          <w:sz w:val="22"/>
          <w:szCs w:val="22"/>
        </w:rPr>
        <w:t>—the cost per graduate school enrollment.</w:t>
      </w:r>
    </w:p>
    <w:p w:rsidR="001B5F15" w:rsidP="001B5F15" w14:paraId="04132ECA" w14:textId="77777777">
      <w:pPr>
        <w:tabs>
          <w:tab w:val="left" w:pos="-720"/>
          <w:tab w:val="left" w:pos="360"/>
        </w:tabs>
        <w:suppressAutoHyphens/>
        <w:rPr>
          <w:rFonts w:ascii="Times New Roman" w:hAnsi="Times New Roman"/>
          <w:sz w:val="22"/>
          <w:szCs w:val="22"/>
        </w:rPr>
      </w:pPr>
    </w:p>
    <w:p w:rsidR="003217D6" w:rsidRPr="003217D6" w:rsidP="001B5F15" w14:paraId="7DA49323" w14:textId="18E2F3AE">
      <w:pPr>
        <w:tabs>
          <w:tab w:val="left" w:pos="-720"/>
          <w:tab w:val="left" w:pos="360"/>
        </w:tabs>
        <w:suppressAutoHyphens/>
        <w:rPr>
          <w:rFonts w:ascii="Times New Roman" w:hAnsi="Times New Roman"/>
          <w:color w:val="FF0000"/>
          <w:sz w:val="22"/>
          <w:szCs w:val="22"/>
        </w:rPr>
      </w:pPr>
      <w:r w:rsidRPr="003217D6">
        <w:rPr>
          <w:rFonts w:ascii="Times New Roman" w:hAnsi="Times New Roman"/>
          <w:color w:val="FF0000"/>
          <w:sz w:val="22"/>
          <w:szCs w:val="22"/>
        </w:rPr>
        <w:t>3/14/25:</w:t>
      </w:r>
    </w:p>
    <w:p w:rsidR="00AE496D" w:rsidRPr="00AE496D" w:rsidP="00AE496D" w14:paraId="5501CC68" w14:textId="407E7B5F">
      <w:pPr>
        <w:rPr>
          <w:rFonts w:ascii="Times New Roman" w:hAnsi="Times New Roman"/>
          <w:color w:val="FF0000"/>
          <w:sz w:val="22"/>
          <w:szCs w:val="22"/>
        </w:rPr>
      </w:pPr>
      <w:r w:rsidRPr="00AE496D">
        <w:rPr>
          <w:rFonts w:ascii="Times New Roman" w:hAnsi="Times New Roman"/>
          <w:color w:val="FF0000"/>
          <w:sz w:val="22"/>
          <w:szCs w:val="22"/>
        </w:rPr>
        <w:t>The Department of Education (Department) is requesting approval of a non-substantive change to a currently approved collection.  The update made in the McNair annual performance report involves changes to a single field (Section II, field 8).  The changes entail a change to the APR Field Name (Gender to Sex), the Database Column Name (GenderCD to SexCD), and the deletion of two of the four response options in the Valid Field Content column (“3=Nonbinary or another gender” and “0=No response/Unknown”).  These changes are pursuant to Executive Order “Defending Women From Gender Ideology Extremism and Restoring Biological Truth to the Federal Government” (January 20, 2025).  Response options “1=Male” and “2=Female” will remain.  Finally, clarifying instructions were added when the degree field is not designated (i.e., code 98).</w:t>
      </w:r>
    </w:p>
    <w:p w:rsidR="003217D6" w:rsidRPr="00C948E9" w:rsidP="001B5F15" w14:paraId="201EB4C1" w14:textId="77777777">
      <w:pPr>
        <w:tabs>
          <w:tab w:val="left" w:pos="-720"/>
          <w:tab w:val="left" w:pos="360"/>
        </w:tabs>
        <w:suppressAutoHyphens/>
        <w:rPr>
          <w:rFonts w:ascii="Times New Roman" w:hAnsi="Times New Roman"/>
          <w:sz w:val="22"/>
          <w:szCs w:val="22"/>
        </w:rPr>
      </w:pPr>
    </w:p>
    <w:p w:rsidR="001B5F15" w:rsidRPr="0015716C" w:rsidP="001B5F15" w14:paraId="6EF6A437" w14:textId="77777777">
      <w:pPr>
        <w:tabs>
          <w:tab w:val="left" w:pos="-720"/>
        </w:tabs>
        <w:suppressAutoHyphens/>
        <w:rPr>
          <w:rFonts w:ascii="Times New Roman" w:hAnsi="Times New Roman"/>
          <w:i/>
          <w:sz w:val="22"/>
          <w:szCs w:val="22"/>
        </w:rPr>
      </w:pPr>
      <w:r w:rsidRPr="0015716C">
        <w:rPr>
          <w:rFonts w:ascii="Times New Roman" w:hAnsi="Times New Roman"/>
          <w:i/>
          <w:sz w:val="22"/>
          <w:szCs w:val="22"/>
        </w:rPr>
        <w:t xml:space="preserve">2.  Indicate how, by whom, and for what purpose the information is to be used.  Except for a new collection, indicate the actual use the agency has made of the information received from the current collection. </w:t>
      </w:r>
    </w:p>
    <w:p w:rsidR="001B5F15" w:rsidRPr="0015716C" w:rsidP="001B5F15" w14:paraId="0706D1F6" w14:textId="77777777">
      <w:pPr>
        <w:tabs>
          <w:tab w:val="left" w:pos="-720"/>
        </w:tabs>
        <w:suppressAutoHyphens/>
        <w:rPr>
          <w:rFonts w:ascii="Times New Roman" w:hAnsi="Times New Roman"/>
          <w:sz w:val="22"/>
          <w:szCs w:val="22"/>
        </w:rPr>
      </w:pPr>
    </w:p>
    <w:p w:rsidR="001B5F15" w:rsidRPr="00C948E9" w:rsidP="001B5F15" w14:paraId="2BB18723" w14:textId="77777777">
      <w:pPr>
        <w:pStyle w:val="BodyTextIndent3"/>
        <w:ind w:left="0"/>
        <w:rPr>
          <w:b w:val="0"/>
          <w:sz w:val="22"/>
          <w:szCs w:val="22"/>
        </w:rPr>
      </w:pPr>
      <w:r w:rsidRPr="00C948E9">
        <w:rPr>
          <w:b w:val="0"/>
          <w:sz w:val="22"/>
          <w:szCs w:val="22"/>
        </w:rPr>
        <w:t>As mentioned above, the Department uses the data collected to: (a) determine the number of prior experience points to be awarded for the purpose of awarding the grant, (b) e</w:t>
      </w:r>
      <w:r w:rsidRPr="00C948E9">
        <w:rPr>
          <w:b w:val="0"/>
          <w:bCs/>
          <w:sz w:val="22"/>
          <w:szCs w:val="22"/>
        </w:rPr>
        <w:t>valuate substantial progress to aid in compliance and monitoring as well as funding, and (c)</w:t>
      </w:r>
      <w:r w:rsidRPr="00C948E9">
        <w:rPr>
          <w:b w:val="0"/>
          <w:sz w:val="22"/>
          <w:szCs w:val="22"/>
        </w:rPr>
        <w:t xml:space="preserve"> respond to the requirements of</w:t>
      </w:r>
      <w:r w:rsidRPr="00C948E9">
        <w:rPr>
          <w:b w:val="0"/>
          <w:bCs/>
          <w:sz w:val="22"/>
          <w:szCs w:val="22"/>
        </w:rPr>
        <w:t xml:space="preserve"> EDGAR in 34 CFR §75.110</w:t>
      </w:r>
      <w:r w:rsidRPr="00C948E9">
        <w:rPr>
          <w:b w:val="0"/>
          <w:sz w:val="22"/>
          <w:szCs w:val="22"/>
        </w:rPr>
        <w:t>.</w:t>
      </w:r>
    </w:p>
    <w:p w:rsidR="00F268E8" w:rsidRPr="00C948E9" w:rsidP="009032E8" w14:paraId="549A091A" w14:textId="77777777">
      <w:pPr>
        <w:rPr>
          <w:rFonts w:ascii="Times New Roman" w:hAnsi="Times New Roman"/>
          <w:sz w:val="22"/>
          <w:szCs w:val="22"/>
        </w:rPr>
      </w:pPr>
    </w:p>
    <w:p w:rsidR="00C33528" w:rsidRPr="0015716C" w:rsidP="009032E8" w14:paraId="345C1DE9" w14:textId="77777777">
      <w:pPr>
        <w:pStyle w:val="BodyTextIndent3"/>
        <w:ind w:left="0"/>
        <w:rPr>
          <w:b w:val="0"/>
          <w:bCs/>
          <w:sz w:val="22"/>
          <w:szCs w:val="22"/>
        </w:rPr>
      </w:pPr>
      <w:r w:rsidRPr="0015716C">
        <w:rPr>
          <w:b w:val="0"/>
          <w:bCs/>
          <w:sz w:val="22"/>
          <w:szCs w:val="22"/>
        </w:rPr>
        <w:t>In addition, the annual performance reports are used to collect programmatic data for purposes of annual reporting; budget submissions to OMB</w:t>
      </w:r>
      <w:r w:rsidRPr="0015716C" w:rsidR="009B15B7">
        <w:rPr>
          <w:b w:val="0"/>
          <w:bCs/>
          <w:sz w:val="22"/>
          <w:szCs w:val="22"/>
        </w:rPr>
        <w:t xml:space="preserve"> and to Congress</w:t>
      </w:r>
      <w:r w:rsidRPr="0015716C">
        <w:rPr>
          <w:b w:val="0"/>
          <w:bCs/>
          <w:sz w:val="22"/>
          <w:szCs w:val="22"/>
        </w:rPr>
        <w:t>; Congressional hearing testimonials; Congressional inquiries; and responding to inquiries from higher education interest groups and the general public.</w:t>
      </w:r>
    </w:p>
    <w:p w:rsidR="00C33528" w:rsidRPr="0015716C" w:rsidP="009032E8" w14:paraId="4CF449F6" w14:textId="77777777">
      <w:pPr>
        <w:pStyle w:val="BodyTextIndent3"/>
        <w:ind w:left="0"/>
        <w:rPr>
          <w:b w:val="0"/>
          <w:bCs/>
          <w:sz w:val="22"/>
          <w:szCs w:val="22"/>
        </w:rPr>
      </w:pPr>
    </w:p>
    <w:p w:rsidR="00E060A7" w:rsidRPr="00A23EED" w:rsidP="00A23EED" w14:paraId="52C645CC" w14:textId="77777777">
      <w:pPr>
        <w:tabs>
          <w:tab w:val="left" w:pos="-720"/>
        </w:tabs>
        <w:suppressAutoHyphens/>
        <w:rPr>
          <w:rFonts w:ascii="Times New Roman" w:hAnsi="Times New Roman"/>
          <w:bCs/>
          <w:i/>
          <w:iCs/>
          <w:sz w:val="22"/>
          <w:szCs w:val="22"/>
        </w:rPr>
      </w:pPr>
      <w:r w:rsidRPr="00A23EED">
        <w:rPr>
          <w:rFonts w:ascii="Times New Roman" w:hAnsi="Times New Roman"/>
          <w:bCs/>
          <w:i/>
          <w:iCs/>
          <w:sz w:val="22"/>
          <w:szCs w:val="22"/>
        </w:rPr>
        <w:t xml:space="preserve">3. </w:t>
      </w:r>
      <w:r w:rsidR="00DF6C85">
        <w:rPr>
          <w:rFonts w:ascii="Times New Roman" w:hAnsi="Times New Roman"/>
          <w:bCs/>
          <w:i/>
          <w:iCs/>
          <w:sz w:val="22"/>
          <w:szCs w:val="22"/>
        </w:rPr>
        <w:t xml:space="preserve"> </w:t>
      </w:r>
      <w:r w:rsidRPr="00A23EED">
        <w:rPr>
          <w:rFonts w:ascii="Times New Roman" w:hAnsi="Times New Roman"/>
          <w:bCs/>
          <w:i/>
          <w:iCs/>
          <w:sz w:val="22"/>
          <w:szCs w:val="22"/>
        </w:rPr>
        <w:t>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Please identify systems or websites used to electronically collect this information. Also describe any consideration given to using technology to reduce burden. If there is an increase or decrease in burden related to using technology (e.g. using an electronic form, system or website from paper), please explain in number 12.</w:t>
      </w:r>
    </w:p>
    <w:p w:rsidR="007B7622" w:rsidRPr="0015716C" w:rsidP="006623BC" w14:paraId="1B707E60" w14:textId="77777777">
      <w:pPr>
        <w:tabs>
          <w:tab w:val="left" w:pos="-720"/>
          <w:tab w:val="left" w:pos="630"/>
        </w:tabs>
        <w:suppressAutoHyphens/>
        <w:rPr>
          <w:rFonts w:ascii="Times New Roman" w:hAnsi="Times New Roman"/>
          <w:sz w:val="22"/>
          <w:szCs w:val="22"/>
        </w:rPr>
      </w:pPr>
    </w:p>
    <w:p w:rsidR="009967D1" w:rsidRPr="0015716C" w:rsidP="009967D1" w14:paraId="45ACE57E" w14:textId="77777777">
      <w:pPr>
        <w:rPr>
          <w:rFonts w:ascii="Times New Roman" w:hAnsi="Times New Roman"/>
          <w:sz w:val="22"/>
          <w:szCs w:val="22"/>
        </w:rPr>
      </w:pPr>
      <w:r w:rsidRPr="0015716C">
        <w:rPr>
          <w:rFonts w:ascii="Times New Roman" w:hAnsi="Times New Roman"/>
          <w:sz w:val="22"/>
          <w:szCs w:val="22"/>
        </w:rPr>
        <w:t xml:space="preserve">The data collection method allows the grantees to use computerized data systems to collect, retrieve, and report the requested information.  A Web-based software application has been developed for grantees to enter the data online and submit the entire report via the Internet.  </w:t>
      </w:r>
      <w:r w:rsidRPr="0015716C" w:rsidR="00B646CF">
        <w:rPr>
          <w:rFonts w:ascii="Times New Roman" w:hAnsi="Times New Roman"/>
          <w:sz w:val="22"/>
          <w:szCs w:val="22"/>
        </w:rPr>
        <w:t xml:space="preserve">The McNair projects have been submitting the </w:t>
      </w:r>
      <w:r w:rsidRPr="0015716C" w:rsidR="000B7A82">
        <w:rPr>
          <w:rFonts w:ascii="Times New Roman" w:hAnsi="Times New Roman"/>
          <w:sz w:val="22"/>
          <w:szCs w:val="22"/>
        </w:rPr>
        <w:t>currently approved</w:t>
      </w:r>
      <w:r w:rsidRPr="0015716C" w:rsidR="00B646CF">
        <w:rPr>
          <w:rFonts w:ascii="Times New Roman" w:hAnsi="Times New Roman"/>
          <w:sz w:val="22"/>
          <w:szCs w:val="22"/>
        </w:rPr>
        <w:t xml:space="preserve"> annual performance report via the Internet for the past </w:t>
      </w:r>
      <w:r w:rsidR="003F250C">
        <w:rPr>
          <w:rFonts w:ascii="Times New Roman" w:hAnsi="Times New Roman"/>
          <w:sz w:val="22"/>
          <w:szCs w:val="22"/>
        </w:rPr>
        <w:t>nine</w:t>
      </w:r>
      <w:r w:rsidRPr="0015716C" w:rsidR="00AC46D9">
        <w:rPr>
          <w:rFonts w:ascii="Times New Roman" w:hAnsi="Times New Roman"/>
          <w:sz w:val="22"/>
          <w:szCs w:val="22"/>
        </w:rPr>
        <w:t xml:space="preserve"> </w:t>
      </w:r>
      <w:r w:rsidRPr="0015716C" w:rsidR="00B646CF">
        <w:rPr>
          <w:rFonts w:ascii="Times New Roman" w:hAnsi="Times New Roman"/>
          <w:sz w:val="22"/>
          <w:szCs w:val="22"/>
        </w:rPr>
        <w:t xml:space="preserve">years.  </w:t>
      </w:r>
      <w:r w:rsidRPr="0015716C" w:rsidR="00AC46D9">
        <w:rPr>
          <w:rFonts w:ascii="Times New Roman" w:hAnsi="Times New Roman"/>
          <w:sz w:val="22"/>
          <w:szCs w:val="22"/>
        </w:rPr>
        <w:t xml:space="preserve">Since </w:t>
      </w:r>
      <w:r w:rsidRPr="0015716C" w:rsidR="00B646CF">
        <w:rPr>
          <w:rFonts w:ascii="Times New Roman" w:hAnsi="Times New Roman"/>
          <w:sz w:val="22"/>
          <w:szCs w:val="22"/>
        </w:rPr>
        <w:t>project year 201</w:t>
      </w:r>
      <w:r w:rsidR="00076400">
        <w:rPr>
          <w:rFonts w:ascii="Times New Roman" w:hAnsi="Times New Roman"/>
          <w:sz w:val="22"/>
          <w:szCs w:val="22"/>
        </w:rPr>
        <w:t>2</w:t>
      </w:r>
      <w:r w:rsidRPr="0015716C" w:rsidR="00B646CF">
        <w:rPr>
          <w:rFonts w:ascii="Times New Roman" w:hAnsi="Times New Roman"/>
          <w:sz w:val="22"/>
          <w:szCs w:val="22"/>
        </w:rPr>
        <w:t>-1</w:t>
      </w:r>
      <w:r w:rsidR="00076400">
        <w:rPr>
          <w:rFonts w:ascii="Times New Roman" w:hAnsi="Times New Roman"/>
          <w:sz w:val="22"/>
          <w:szCs w:val="22"/>
        </w:rPr>
        <w:t>3</w:t>
      </w:r>
      <w:r w:rsidRPr="0015716C" w:rsidR="00B646CF">
        <w:rPr>
          <w:rFonts w:ascii="Times New Roman" w:hAnsi="Times New Roman"/>
          <w:sz w:val="22"/>
          <w:szCs w:val="22"/>
        </w:rPr>
        <w:t xml:space="preserve">, 100% of the current grantees submitted via the Internet.  </w:t>
      </w:r>
      <w:r w:rsidRPr="0015716C">
        <w:rPr>
          <w:rFonts w:ascii="Times New Roman" w:hAnsi="Times New Roman"/>
          <w:sz w:val="22"/>
          <w:szCs w:val="22"/>
        </w:rPr>
        <w:t>The website meets the Department’s security standards; that is, it is secured to ensure the data are only</w:t>
      </w:r>
      <w:r w:rsidRPr="0015716C" w:rsidR="00F47946">
        <w:rPr>
          <w:rFonts w:ascii="Times New Roman" w:hAnsi="Times New Roman"/>
          <w:sz w:val="22"/>
          <w:szCs w:val="22"/>
        </w:rPr>
        <w:t xml:space="preserve"> </w:t>
      </w:r>
      <w:r w:rsidRPr="0015716C">
        <w:rPr>
          <w:rFonts w:ascii="Times New Roman" w:hAnsi="Times New Roman"/>
          <w:sz w:val="22"/>
          <w:szCs w:val="22"/>
        </w:rPr>
        <w:t>seen by authorized individuals and are protected from network hackers.</w:t>
      </w:r>
    </w:p>
    <w:p w:rsidR="009032E8" w:rsidRPr="00E17878" w:rsidP="009032E8" w14:paraId="14ECEA98" w14:textId="77777777">
      <w:pPr>
        <w:rPr>
          <w:rFonts w:ascii="Times New Roman" w:hAnsi="Times New Roman"/>
          <w:sz w:val="22"/>
          <w:szCs w:val="22"/>
        </w:rPr>
      </w:pPr>
    </w:p>
    <w:p w:rsidR="00414B52" w:rsidRPr="0015716C" w:rsidP="00414B52" w14:paraId="5FF07832" w14:textId="77777777">
      <w:pPr>
        <w:tabs>
          <w:tab w:val="left" w:pos="-720"/>
        </w:tabs>
        <w:suppressAutoHyphens/>
        <w:rPr>
          <w:rFonts w:ascii="Times New Roman" w:hAnsi="Times New Roman"/>
          <w:i/>
          <w:sz w:val="22"/>
          <w:szCs w:val="22"/>
        </w:rPr>
      </w:pPr>
      <w:r w:rsidRPr="008F6483">
        <w:rPr>
          <w:rFonts w:ascii="Times New Roman" w:hAnsi="Times New Roman"/>
          <w:i/>
          <w:sz w:val="22"/>
          <w:szCs w:val="22"/>
        </w:rPr>
        <w:t xml:space="preserve">4.  Describe efforts to identify duplication.  Show specifically why any similar information already available cannot be used or modified for use for the purposes </w:t>
      </w:r>
      <w:r w:rsidRPr="0015716C">
        <w:rPr>
          <w:rFonts w:ascii="Times New Roman" w:hAnsi="Times New Roman"/>
          <w:i/>
          <w:sz w:val="22"/>
          <w:szCs w:val="22"/>
        </w:rPr>
        <w:t>described in Item 2 above.</w:t>
      </w:r>
    </w:p>
    <w:p w:rsidR="00BE36C2" w:rsidRPr="0015716C" w:rsidP="009032E8" w14:paraId="27401219" w14:textId="77777777">
      <w:pPr>
        <w:rPr>
          <w:rFonts w:ascii="Times New Roman" w:hAnsi="Times New Roman"/>
          <w:sz w:val="22"/>
          <w:szCs w:val="22"/>
        </w:rPr>
      </w:pPr>
    </w:p>
    <w:p w:rsidR="006C5820" w:rsidRPr="0015716C" w:rsidP="009032E8" w14:paraId="60030D31" w14:textId="77777777">
      <w:pPr>
        <w:rPr>
          <w:rFonts w:ascii="Times New Roman" w:hAnsi="Times New Roman"/>
          <w:sz w:val="22"/>
          <w:szCs w:val="22"/>
        </w:rPr>
      </w:pPr>
      <w:r w:rsidRPr="0015716C">
        <w:rPr>
          <w:rFonts w:ascii="Times New Roman" w:hAnsi="Times New Roman"/>
          <w:sz w:val="22"/>
          <w:szCs w:val="22"/>
        </w:rPr>
        <w:t xml:space="preserve">Since the information submitted in the report is unique to each respondent, </w:t>
      </w:r>
      <w:r w:rsidRPr="0015716C" w:rsidR="00CD7F7C">
        <w:rPr>
          <w:rFonts w:ascii="Times New Roman" w:hAnsi="Times New Roman"/>
          <w:sz w:val="22"/>
          <w:szCs w:val="22"/>
        </w:rPr>
        <w:t xml:space="preserve">no duplication exists. </w:t>
      </w:r>
      <w:r w:rsidR="00F47946">
        <w:rPr>
          <w:rFonts w:ascii="Times New Roman" w:hAnsi="Times New Roman"/>
          <w:sz w:val="22"/>
          <w:szCs w:val="22"/>
        </w:rPr>
        <w:t xml:space="preserve"> </w:t>
      </w:r>
      <w:r w:rsidRPr="0015716C">
        <w:rPr>
          <w:rFonts w:ascii="Times New Roman" w:hAnsi="Times New Roman"/>
          <w:sz w:val="22"/>
          <w:szCs w:val="22"/>
        </w:rPr>
        <w:t>There is no other collection instrument that is available to collect the information that is being requested.</w:t>
      </w:r>
      <w:r w:rsidRPr="0015716C" w:rsidR="00CD7F7C">
        <w:rPr>
          <w:rFonts w:ascii="Times New Roman" w:hAnsi="Times New Roman"/>
          <w:sz w:val="22"/>
          <w:szCs w:val="22"/>
        </w:rPr>
        <w:t xml:space="preserve">  The data collected in the APR are fundamental to the McNair program.</w:t>
      </w:r>
      <w:r w:rsidRPr="0015716C" w:rsidR="00826D76">
        <w:rPr>
          <w:rFonts w:ascii="Times New Roman" w:hAnsi="Times New Roman"/>
          <w:sz w:val="22"/>
          <w:szCs w:val="22"/>
        </w:rPr>
        <w:t xml:space="preserve"> </w:t>
      </w:r>
    </w:p>
    <w:p w:rsidR="00826D76" w:rsidRPr="0015716C" w:rsidP="009032E8" w14:paraId="701DEEE8" w14:textId="77777777">
      <w:pPr>
        <w:rPr>
          <w:rFonts w:ascii="Times New Roman" w:hAnsi="Times New Roman"/>
          <w:sz w:val="22"/>
          <w:szCs w:val="22"/>
        </w:rPr>
      </w:pPr>
    </w:p>
    <w:p w:rsidR="009032E8" w:rsidRPr="0015716C" w:rsidP="009032E8" w14:paraId="47633FE1" w14:textId="77777777">
      <w:pPr>
        <w:rPr>
          <w:rFonts w:ascii="Times New Roman" w:hAnsi="Times New Roman"/>
          <w:i/>
          <w:sz w:val="22"/>
          <w:szCs w:val="22"/>
        </w:rPr>
      </w:pPr>
      <w:r w:rsidRPr="0015716C">
        <w:rPr>
          <w:rFonts w:ascii="Times New Roman" w:hAnsi="Times New Roman"/>
          <w:i/>
          <w:sz w:val="22"/>
          <w:szCs w:val="22"/>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9032E8" w:rsidRPr="0015716C" w:rsidP="009032E8" w14:paraId="45966F7B" w14:textId="77777777">
      <w:pPr>
        <w:rPr>
          <w:rFonts w:ascii="Times New Roman" w:hAnsi="Times New Roman"/>
          <w:sz w:val="22"/>
          <w:szCs w:val="22"/>
        </w:rPr>
      </w:pPr>
    </w:p>
    <w:p w:rsidR="007B7622" w:rsidRPr="0015716C" w:rsidP="009032E8" w14:paraId="373FAC3C" w14:textId="77777777">
      <w:pPr>
        <w:pStyle w:val="ListParagraph"/>
        <w:ind w:left="0"/>
        <w:rPr>
          <w:rFonts w:ascii="Times New Roman" w:hAnsi="Times New Roman"/>
          <w:sz w:val="22"/>
          <w:szCs w:val="22"/>
        </w:rPr>
      </w:pPr>
      <w:r w:rsidRPr="0015716C">
        <w:rPr>
          <w:rFonts w:ascii="Times New Roman" w:hAnsi="Times New Roman"/>
          <w:sz w:val="22"/>
          <w:szCs w:val="22"/>
        </w:rPr>
        <w:t>This information collection does not involve small businesses or other small entities.</w:t>
      </w:r>
    </w:p>
    <w:p w:rsidR="004F692A" w:rsidRPr="0015716C" w:rsidP="009032E8" w14:paraId="20BF3884" w14:textId="77777777">
      <w:pPr>
        <w:tabs>
          <w:tab w:val="left" w:pos="-720"/>
        </w:tabs>
        <w:suppressAutoHyphens/>
        <w:rPr>
          <w:rFonts w:ascii="Times New Roman" w:hAnsi="Times New Roman"/>
          <w:sz w:val="22"/>
          <w:szCs w:val="22"/>
        </w:rPr>
      </w:pPr>
    </w:p>
    <w:p w:rsidR="009032E8" w:rsidRPr="0015716C" w:rsidP="009032E8" w14:paraId="62E7D4B3" w14:textId="77777777">
      <w:pPr>
        <w:tabs>
          <w:tab w:val="left" w:pos="-720"/>
        </w:tabs>
        <w:suppressAutoHyphens/>
        <w:rPr>
          <w:rFonts w:ascii="Times New Roman" w:hAnsi="Times New Roman"/>
          <w:i/>
          <w:sz w:val="22"/>
          <w:szCs w:val="22"/>
        </w:rPr>
      </w:pPr>
      <w:r w:rsidRPr="0015716C">
        <w:rPr>
          <w:rFonts w:ascii="Times New Roman" w:hAnsi="Times New Roman"/>
          <w:i/>
          <w:sz w:val="22"/>
          <w:szCs w:val="22"/>
        </w:rPr>
        <w:t xml:space="preserve">6.  Describe the consequences to Federal program or policy activities if the collection is not conducted or is conducted less frequently, as well as any technical or legal obstacles to reducing burden. </w:t>
      </w:r>
    </w:p>
    <w:p w:rsidR="009032E8" w:rsidRPr="0015716C" w:rsidP="009032E8" w14:paraId="72D7D26E" w14:textId="77777777">
      <w:pPr>
        <w:tabs>
          <w:tab w:val="left" w:pos="-720"/>
          <w:tab w:val="left" w:pos="720"/>
        </w:tabs>
        <w:suppressAutoHyphens/>
        <w:rPr>
          <w:rFonts w:ascii="Times New Roman" w:hAnsi="Times New Roman"/>
          <w:sz w:val="22"/>
          <w:szCs w:val="22"/>
        </w:rPr>
      </w:pPr>
    </w:p>
    <w:p w:rsidR="005F392B" w:rsidRPr="005F392B" w:rsidP="005F392B" w14:paraId="5CB0CC62" w14:textId="77777777">
      <w:pPr>
        <w:rPr>
          <w:rFonts w:ascii="Times New Roman" w:hAnsi="Times New Roman"/>
          <w:sz w:val="22"/>
          <w:szCs w:val="22"/>
        </w:rPr>
      </w:pPr>
      <w:r w:rsidRPr="005F392B">
        <w:rPr>
          <w:rFonts w:ascii="Times New Roman" w:hAnsi="Times New Roman"/>
          <w:sz w:val="22"/>
          <w:szCs w:val="22"/>
        </w:rPr>
        <w:t xml:space="preserve">The collection of performance reports is required annually.  Collection of information on a less frequent basis is not feasible.  These reports are used to determine if the grantee is making satisfactory progress in meeting the goals and objectives proposed in its initial application, prior to awarding continuation funding.  In addition, the information is needed to award prior experience points to grantees.  Without this data collection, the Federal TRIO Programs will be unable to award non-competing continuation awards, use the data to assess the prior experience provision of the authorizing statute, respond to the EDGAR in 34 CFR §75.110 reporting and efficiency measures requirements, respond to the statutory requirement </w:t>
      </w:r>
    </w:p>
    <w:p w:rsidR="005F392B" w:rsidRPr="005F392B" w:rsidP="005F392B" w14:paraId="059DA059" w14:textId="77777777">
      <w:pPr>
        <w:rPr>
          <w:rFonts w:ascii="Times New Roman" w:hAnsi="Times New Roman"/>
          <w:sz w:val="22"/>
          <w:szCs w:val="22"/>
        </w:rPr>
      </w:pPr>
      <w:r w:rsidRPr="005F392B">
        <w:rPr>
          <w:rFonts w:ascii="Times New Roman" w:hAnsi="Times New Roman"/>
          <w:sz w:val="22"/>
          <w:szCs w:val="22"/>
        </w:rPr>
        <w:t>regarding the reporting of outcomes data to Congress, and develop improved policies for program administration.</w:t>
      </w:r>
    </w:p>
    <w:p w:rsidR="004F692A" w:rsidRPr="0015716C" w:rsidP="009032E8" w14:paraId="0B1D3A85" w14:textId="77777777">
      <w:pPr>
        <w:tabs>
          <w:tab w:val="left" w:pos="-720"/>
        </w:tabs>
        <w:suppressAutoHyphens/>
        <w:rPr>
          <w:rFonts w:ascii="Times New Roman" w:hAnsi="Times New Roman"/>
          <w:sz w:val="22"/>
          <w:szCs w:val="22"/>
        </w:rPr>
      </w:pPr>
    </w:p>
    <w:p w:rsidR="009B1475" w:rsidRPr="0015716C" w:rsidP="0089718C" w14:paraId="7B5ABF07" w14:textId="77777777">
      <w:pPr>
        <w:tabs>
          <w:tab w:val="left" w:pos="-720"/>
        </w:tabs>
        <w:suppressAutoHyphens/>
        <w:rPr>
          <w:rFonts w:ascii="Times New Roman" w:hAnsi="Times New Roman"/>
          <w:i/>
          <w:sz w:val="22"/>
          <w:szCs w:val="22"/>
        </w:rPr>
      </w:pPr>
      <w:r w:rsidRPr="0015716C">
        <w:rPr>
          <w:rFonts w:ascii="Times New Roman" w:hAnsi="Times New Roman"/>
          <w:i/>
          <w:sz w:val="22"/>
          <w:szCs w:val="22"/>
        </w:rPr>
        <w:t xml:space="preserve">7. </w:t>
      </w:r>
      <w:r w:rsidRPr="0015716C" w:rsidR="0089718C">
        <w:rPr>
          <w:rFonts w:ascii="Times New Roman" w:hAnsi="Times New Roman"/>
          <w:i/>
          <w:sz w:val="22"/>
          <w:szCs w:val="22"/>
        </w:rPr>
        <w:t xml:space="preserve"> </w:t>
      </w:r>
      <w:r w:rsidRPr="0015716C">
        <w:rPr>
          <w:rFonts w:ascii="Times New Roman" w:hAnsi="Times New Roman"/>
          <w:i/>
          <w:sz w:val="22"/>
          <w:szCs w:val="22"/>
        </w:rPr>
        <w:t>Explain any special circumstances that would cause an information collection to be conducted in a manner:</w:t>
      </w:r>
    </w:p>
    <w:p w:rsidR="009B1475" w:rsidRPr="0015716C" w:rsidP="009032E8" w14:paraId="635F7104" w14:textId="77777777">
      <w:pPr>
        <w:tabs>
          <w:tab w:val="left" w:pos="-720"/>
          <w:tab w:val="left" w:pos="720"/>
        </w:tabs>
        <w:suppressAutoHyphens/>
        <w:rPr>
          <w:rFonts w:ascii="Times New Roman" w:hAnsi="Times New Roman"/>
          <w:i/>
          <w:sz w:val="22"/>
          <w:szCs w:val="22"/>
        </w:rPr>
      </w:pPr>
    </w:p>
    <w:p w:rsidR="009B1475" w:rsidRPr="0015716C" w:rsidP="009B1475" w14:paraId="5F7FA1DC" w14:textId="77777777">
      <w:pPr>
        <w:numPr>
          <w:ilvl w:val="0"/>
          <w:numId w:val="8"/>
        </w:numPr>
        <w:tabs>
          <w:tab w:val="left" w:pos="-720"/>
          <w:tab w:val="left" w:pos="1247"/>
        </w:tabs>
        <w:suppressAutoHyphens/>
        <w:rPr>
          <w:rFonts w:ascii="Times New Roman" w:hAnsi="Times New Roman"/>
          <w:i/>
          <w:sz w:val="22"/>
          <w:szCs w:val="22"/>
        </w:rPr>
      </w:pPr>
      <w:r w:rsidRPr="0015716C">
        <w:rPr>
          <w:rFonts w:ascii="Times New Roman" w:hAnsi="Times New Roman"/>
          <w:i/>
          <w:sz w:val="22"/>
          <w:szCs w:val="22"/>
        </w:rPr>
        <w:t>requiring respondents to report information to the agency more often than quarterly;</w:t>
      </w:r>
    </w:p>
    <w:p w:rsidR="009B1475" w:rsidRPr="0015716C" w:rsidP="009B1475" w14:paraId="3E7154FB" w14:textId="77777777">
      <w:pPr>
        <w:numPr>
          <w:ilvl w:val="12"/>
          <w:numId w:val="0"/>
        </w:numPr>
        <w:tabs>
          <w:tab w:val="left" w:pos="-720"/>
        </w:tabs>
        <w:suppressAutoHyphens/>
        <w:ind w:left="340"/>
        <w:rPr>
          <w:rFonts w:ascii="Times New Roman" w:hAnsi="Times New Roman"/>
          <w:i/>
          <w:sz w:val="22"/>
          <w:szCs w:val="22"/>
        </w:rPr>
      </w:pPr>
    </w:p>
    <w:p w:rsidR="009B1475" w:rsidRPr="0015716C" w:rsidP="009B1475" w14:paraId="1CD5F5C8" w14:textId="77777777">
      <w:pPr>
        <w:numPr>
          <w:ilvl w:val="0"/>
          <w:numId w:val="8"/>
        </w:numPr>
        <w:tabs>
          <w:tab w:val="left" w:pos="-720"/>
          <w:tab w:val="left" w:pos="1247"/>
        </w:tabs>
        <w:suppressAutoHyphens/>
        <w:rPr>
          <w:rFonts w:ascii="Times New Roman" w:hAnsi="Times New Roman"/>
          <w:i/>
          <w:sz w:val="22"/>
          <w:szCs w:val="22"/>
        </w:rPr>
      </w:pPr>
      <w:r w:rsidRPr="0015716C">
        <w:rPr>
          <w:rFonts w:ascii="Times New Roman" w:hAnsi="Times New Roman"/>
          <w:i/>
          <w:sz w:val="22"/>
          <w:szCs w:val="22"/>
        </w:rPr>
        <w:t>requiring respondents to prepare a written response to a collection of information in fewer than 30 days after receipt of it;</w:t>
      </w:r>
    </w:p>
    <w:p w:rsidR="009B1475" w:rsidRPr="0015716C" w:rsidP="009B1475" w14:paraId="5742AFE7" w14:textId="77777777">
      <w:pPr>
        <w:numPr>
          <w:ilvl w:val="12"/>
          <w:numId w:val="0"/>
        </w:numPr>
        <w:tabs>
          <w:tab w:val="left" w:pos="-720"/>
        </w:tabs>
        <w:suppressAutoHyphens/>
        <w:rPr>
          <w:rFonts w:ascii="Times New Roman" w:hAnsi="Times New Roman"/>
          <w:i/>
          <w:sz w:val="22"/>
          <w:szCs w:val="22"/>
        </w:rPr>
      </w:pPr>
    </w:p>
    <w:p w:rsidR="009B1475" w:rsidRPr="0015716C" w:rsidP="009B1475" w14:paraId="34631E3D" w14:textId="77777777">
      <w:pPr>
        <w:numPr>
          <w:ilvl w:val="0"/>
          <w:numId w:val="8"/>
        </w:numPr>
        <w:tabs>
          <w:tab w:val="left" w:pos="-720"/>
          <w:tab w:val="left" w:pos="1247"/>
        </w:tabs>
        <w:suppressAutoHyphens/>
        <w:rPr>
          <w:rFonts w:ascii="Times New Roman" w:hAnsi="Times New Roman"/>
          <w:i/>
          <w:sz w:val="22"/>
          <w:szCs w:val="22"/>
        </w:rPr>
      </w:pPr>
      <w:r w:rsidRPr="0015716C">
        <w:rPr>
          <w:rFonts w:ascii="Times New Roman" w:hAnsi="Times New Roman"/>
          <w:i/>
          <w:sz w:val="22"/>
          <w:szCs w:val="22"/>
        </w:rPr>
        <w:t>requiring respondents to submit more than an original and two copies of any document;</w:t>
      </w:r>
    </w:p>
    <w:p w:rsidR="009B1475" w:rsidRPr="0015716C" w:rsidP="009B1475" w14:paraId="598BE486" w14:textId="77777777">
      <w:pPr>
        <w:numPr>
          <w:ilvl w:val="12"/>
          <w:numId w:val="0"/>
        </w:numPr>
        <w:tabs>
          <w:tab w:val="left" w:pos="-720"/>
        </w:tabs>
        <w:suppressAutoHyphens/>
        <w:rPr>
          <w:rFonts w:ascii="Times New Roman" w:hAnsi="Times New Roman"/>
          <w:i/>
          <w:sz w:val="22"/>
          <w:szCs w:val="22"/>
        </w:rPr>
      </w:pPr>
    </w:p>
    <w:p w:rsidR="009B1475" w:rsidRPr="0015716C" w:rsidP="009B1475" w14:paraId="66CAC4C4" w14:textId="77777777">
      <w:pPr>
        <w:numPr>
          <w:ilvl w:val="0"/>
          <w:numId w:val="8"/>
        </w:numPr>
        <w:tabs>
          <w:tab w:val="left" w:pos="-720"/>
          <w:tab w:val="left" w:pos="1247"/>
        </w:tabs>
        <w:suppressAutoHyphens/>
        <w:rPr>
          <w:rFonts w:ascii="Times New Roman" w:hAnsi="Times New Roman"/>
          <w:i/>
          <w:sz w:val="22"/>
          <w:szCs w:val="22"/>
        </w:rPr>
      </w:pPr>
      <w:r w:rsidRPr="0015716C">
        <w:rPr>
          <w:rFonts w:ascii="Times New Roman" w:hAnsi="Times New Roman"/>
          <w:i/>
          <w:sz w:val="22"/>
          <w:szCs w:val="22"/>
        </w:rPr>
        <w:t>requiring respondents to retain records, other than health, medical, government contract, grant-in-aid, or tax records for more than three years;</w:t>
      </w:r>
    </w:p>
    <w:p w:rsidR="009B1475" w:rsidRPr="0015716C" w:rsidP="009B1475" w14:paraId="0BEB761D" w14:textId="77777777">
      <w:pPr>
        <w:numPr>
          <w:ilvl w:val="12"/>
          <w:numId w:val="0"/>
        </w:numPr>
        <w:tabs>
          <w:tab w:val="left" w:pos="-720"/>
        </w:tabs>
        <w:suppressAutoHyphens/>
        <w:rPr>
          <w:rFonts w:ascii="Times New Roman" w:hAnsi="Times New Roman"/>
          <w:i/>
          <w:sz w:val="22"/>
          <w:szCs w:val="22"/>
        </w:rPr>
      </w:pPr>
    </w:p>
    <w:p w:rsidR="009B1475" w:rsidRPr="0015716C" w:rsidP="009B1475" w14:paraId="631EE105" w14:textId="77777777">
      <w:pPr>
        <w:numPr>
          <w:ilvl w:val="0"/>
          <w:numId w:val="8"/>
        </w:numPr>
        <w:tabs>
          <w:tab w:val="left" w:pos="-720"/>
          <w:tab w:val="left" w:pos="1247"/>
        </w:tabs>
        <w:suppressAutoHyphens/>
        <w:rPr>
          <w:rFonts w:ascii="Times New Roman" w:hAnsi="Times New Roman"/>
          <w:i/>
          <w:sz w:val="22"/>
          <w:szCs w:val="22"/>
        </w:rPr>
      </w:pPr>
      <w:r w:rsidRPr="0015716C">
        <w:rPr>
          <w:rFonts w:ascii="Times New Roman" w:hAnsi="Times New Roman"/>
          <w:i/>
          <w:sz w:val="22"/>
          <w:szCs w:val="22"/>
        </w:rPr>
        <w:t>in connection with a statistical survey, that is not designed to produce valid and reliable results than can be generalized to the universe of study;</w:t>
      </w:r>
    </w:p>
    <w:p w:rsidR="009B1475" w:rsidRPr="0015716C" w:rsidP="009B1475" w14:paraId="32AB5648" w14:textId="77777777">
      <w:pPr>
        <w:numPr>
          <w:ilvl w:val="12"/>
          <w:numId w:val="0"/>
        </w:numPr>
        <w:tabs>
          <w:tab w:val="left" w:pos="-720"/>
        </w:tabs>
        <w:suppressAutoHyphens/>
        <w:rPr>
          <w:rFonts w:ascii="Times New Roman" w:hAnsi="Times New Roman"/>
          <w:i/>
          <w:sz w:val="22"/>
          <w:szCs w:val="22"/>
        </w:rPr>
      </w:pPr>
    </w:p>
    <w:p w:rsidR="009B1475" w:rsidRPr="0015716C" w:rsidP="009B1475" w14:paraId="7219DD59" w14:textId="77777777">
      <w:pPr>
        <w:numPr>
          <w:ilvl w:val="0"/>
          <w:numId w:val="8"/>
        </w:numPr>
        <w:tabs>
          <w:tab w:val="left" w:pos="-720"/>
          <w:tab w:val="left" w:pos="1247"/>
        </w:tabs>
        <w:suppressAutoHyphens/>
        <w:rPr>
          <w:rFonts w:ascii="Times New Roman" w:hAnsi="Times New Roman"/>
          <w:i/>
          <w:sz w:val="22"/>
          <w:szCs w:val="22"/>
        </w:rPr>
      </w:pPr>
      <w:r w:rsidRPr="0015716C">
        <w:rPr>
          <w:rFonts w:ascii="Times New Roman" w:hAnsi="Times New Roman"/>
          <w:i/>
          <w:sz w:val="22"/>
          <w:szCs w:val="22"/>
        </w:rPr>
        <w:t>requiring the use of a statistical data classification that has not been reviewed and approved by OMB;</w:t>
      </w:r>
    </w:p>
    <w:p w:rsidR="009B1475" w:rsidRPr="0015716C" w:rsidP="009B1475" w14:paraId="654D8D53" w14:textId="77777777">
      <w:pPr>
        <w:numPr>
          <w:ilvl w:val="12"/>
          <w:numId w:val="0"/>
        </w:numPr>
        <w:tabs>
          <w:tab w:val="left" w:pos="-720"/>
        </w:tabs>
        <w:suppressAutoHyphens/>
        <w:rPr>
          <w:rFonts w:ascii="Times New Roman" w:hAnsi="Times New Roman"/>
          <w:i/>
          <w:sz w:val="22"/>
          <w:szCs w:val="22"/>
        </w:rPr>
      </w:pPr>
    </w:p>
    <w:p w:rsidR="009B1475" w:rsidRPr="0015716C" w:rsidP="009B1475" w14:paraId="6B339BDE" w14:textId="77777777">
      <w:pPr>
        <w:numPr>
          <w:ilvl w:val="0"/>
          <w:numId w:val="8"/>
        </w:numPr>
        <w:tabs>
          <w:tab w:val="left" w:pos="-720"/>
          <w:tab w:val="left" w:pos="1247"/>
        </w:tabs>
        <w:suppressAutoHyphens/>
        <w:rPr>
          <w:rFonts w:ascii="Times New Roman" w:hAnsi="Times New Roman"/>
          <w:i/>
          <w:sz w:val="22"/>
          <w:szCs w:val="22"/>
        </w:rPr>
      </w:pPr>
      <w:r w:rsidRPr="0015716C">
        <w:rPr>
          <w:rFonts w:ascii="Times New Roman" w:hAnsi="Times New Roman"/>
          <w:i/>
          <w:sz w:val="22"/>
          <w:szCs w:val="22"/>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9B1475" w:rsidRPr="0015716C" w:rsidP="009B1475" w14:paraId="35EF7103" w14:textId="77777777">
      <w:pPr>
        <w:numPr>
          <w:ilvl w:val="12"/>
          <w:numId w:val="0"/>
        </w:numPr>
        <w:tabs>
          <w:tab w:val="left" w:pos="-720"/>
        </w:tabs>
        <w:suppressAutoHyphens/>
        <w:rPr>
          <w:rFonts w:ascii="Times New Roman" w:hAnsi="Times New Roman"/>
          <w:i/>
          <w:sz w:val="22"/>
          <w:szCs w:val="22"/>
        </w:rPr>
      </w:pPr>
    </w:p>
    <w:p w:rsidR="009B1475" w:rsidRPr="0015716C" w:rsidP="009B1475" w14:paraId="3DCF4027" w14:textId="77777777">
      <w:pPr>
        <w:numPr>
          <w:ilvl w:val="0"/>
          <w:numId w:val="8"/>
        </w:numPr>
        <w:tabs>
          <w:tab w:val="left" w:pos="-720"/>
          <w:tab w:val="left" w:pos="1247"/>
        </w:tabs>
        <w:suppressAutoHyphens/>
        <w:rPr>
          <w:rFonts w:ascii="Times New Roman" w:hAnsi="Times New Roman"/>
          <w:i/>
          <w:sz w:val="22"/>
          <w:szCs w:val="22"/>
        </w:rPr>
      </w:pPr>
      <w:r w:rsidRPr="0015716C">
        <w:rPr>
          <w:rFonts w:ascii="Times New Roman" w:hAnsi="Times New Roman"/>
          <w:i/>
          <w:sz w:val="22"/>
          <w:szCs w:val="22"/>
        </w:rPr>
        <w:t>requiring respondents to submit proprietary trade secrets, or other confidential information unless the agency can demonstrate that it has instituted procedures to protect the information’s confidentiality to the extent permitted by law.</w:t>
      </w:r>
    </w:p>
    <w:p w:rsidR="004F692A" w:rsidRPr="0015716C" w:rsidP="009B1475" w14:paraId="52DCFD9F" w14:textId="77777777">
      <w:pPr>
        <w:tabs>
          <w:tab w:val="left" w:pos="-720"/>
          <w:tab w:val="left" w:pos="990"/>
          <w:tab w:val="left" w:pos="1247"/>
        </w:tabs>
        <w:suppressAutoHyphens/>
        <w:rPr>
          <w:rFonts w:ascii="Times New Roman" w:hAnsi="Times New Roman"/>
          <w:sz w:val="22"/>
          <w:szCs w:val="22"/>
        </w:rPr>
      </w:pPr>
    </w:p>
    <w:p w:rsidR="00FC58BA" w:rsidRPr="0015716C" w:rsidP="009032E8" w14:paraId="02FA945B" w14:textId="77777777">
      <w:pPr>
        <w:rPr>
          <w:rFonts w:ascii="Times New Roman" w:hAnsi="Times New Roman"/>
          <w:sz w:val="22"/>
          <w:szCs w:val="22"/>
        </w:rPr>
      </w:pPr>
      <w:r w:rsidRPr="0015716C">
        <w:rPr>
          <w:rFonts w:ascii="Times New Roman" w:hAnsi="Times New Roman"/>
          <w:sz w:val="22"/>
          <w:szCs w:val="22"/>
        </w:rPr>
        <w:t xml:space="preserve">With one exception, no information will be collected in the manner covered under any of the special circumstances outlined.  The exception is that respondents are required to retain participant records for </w:t>
      </w:r>
      <w:r w:rsidRPr="0015716C" w:rsidR="0099171D">
        <w:rPr>
          <w:rFonts w:ascii="Times New Roman" w:hAnsi="Times New Roman"/>
          <w:sz w:val="22"/>
          <w:szCs w:val="22"/>
        </w:rPr>
        <w:t>a period of ten</w:t>
      </w:r>
      <w:r w:rsidRPr="0015716C">
        <w:rPr>
          <w:rFonts w:ascii="Times New Roman" w:hAnsi="Times New Roman"/>
          <w:sz w:val="22"/>
          <w:szCs w:val="22"/>
        </w:rPr>
        <w:t xml:space="preserve"> years.  In order to assess the impact of the program services on participating students’ academic progress, grantees are required to track the academic progress of all prior-year participants until they attain a doctoral degree, or until they are inactive in the pursuit of their academic objective for five years.</w:t>
      </w:r>
    </w:p>
    <w:p w:rsidR="009B1475" w:rsidP="009032E8" w14:paraId="621A277F" w14:textId="77777777">
      <w:pPr>
        <w:rPr>
          <w:rFonts w:ascii="Times New Roman" w:hAnsi="Times New Roman"/>
          <w:sz w:val="22"/>
          <w:szCs w:val="22"/>
        </w:rPr>
      </w:pPr>
    </w:p>
    <w:p w:rsidR="006E585B" w:rsidRPr="006E585B" w:rsidP="006E585B" w14:paraId="163665F9" w14:textId="4B1416B6">
      <w:pPr>
        <w:pStyle w:val="ListParagraph"/>
        <w:suppressAutoHyphens/>
        <w:ind w:left="0"/>
        <w:contextualSpacing w:val="0"/>
        <w:rPr>
          <w:rFonts w:ascii="Times New Roman" w:hAnsi="Times New Roman"/>
          <w:color w:val="FF0000"/>
          <w:sz w:val="22"/>
          <w:szCs w:val="22"/>
        </w:rPr>
      </w:pPr>
      <w:r w:rsidRPr="006E585B">
        <w:rPr>
          <w:rFonts w:ascii="Times New Roman" w:hAnsi="Times New Roman"/>
          <w:color w:val="FF0000"/>
          <w:sz w:val="22"/>
          <w:szCs w:val="22"/>
        </w:rPr>
        <w:t>3/1</w:t>
      </w:r>
      <w:r w:rsidR="00634E29">
        <w:rPr>
          <w:rFonts w:ascii="Times New Roman" w:hAnsi="Times New Roman"/>
          <w:color w:val="FF0000"/>
          <w:sz w:val="22"/>
          <w:szCs w:val="22"/>
        </w:rPr>
        <w:t>8</w:t>
      </w:r>
      <w:r w:rsidRPr="006E585B">
        <w:rPr>
          <w:rFonts w:ascii="Times New Roman" w:hAnsi="Times New Roman"/>
          <w:color w:val="FF0000"/>
          <w:sz w:val="22"/>
          <w:szCs w:val="22"/>
        </w:rPr>
        <w:t>/25:</w:t>
      </w:r>
    </w:p>
    <w:p w:rsidR="006E585B" w:rsidRPr="006E585B" w:rsidP="006E585B" w14:paraId="3FF2AF9D" w14:textId="456CD4C8">
      <w:pPr>
        <w:rPr>
          <w:rFonts w:ascii="Times New Roman" w:hAnsi="Times New Roman"/>
          <w:color w:val="FF0000"/>
          <w:sz w:val="22"/>
          <w:szCs w:val="22"/>
        </w:rPr>
      </w:pPr>
      <w:r w:rsidRPr="006E585B">
        <w:rPr>
          <w:rFonts w:ascii="Times New Roman" w:hAnsi="Times New Roman"/>
          <w:color w:val="FF0000"/>
          <w:sz w:val="22"/>
          <w:szCs w:val="22"/>
        </w:rPr>
        <w:t>In March 2024, the Office of Management and Budget (OMB) announced revisions to Statistical Policy Directive No. 15: Standards for Maintaining, Collecting, and Presenting Federal Data on Race and Ethnicity (SPD 15) and published the revised SPD</w:t>
      </w:r>
      <w:r w:rsidR="00662E47">
        <w:rPr>
          <w:rFonts w:ascii="Times New Roman" w:hAnsi="Times New Roman"/>
          <w:color w:val="FF0000"/>
          <w:sz w:val="22"/>
          <w:szCs w:val="22"/>
        </w:rPr>
        <w:t xml:space="preserve"> </w:t>
      </w:r>
      <w:r w:rsidRPr="006E585B">
        <w:rPr>
          <w:rFonts w:ascii="Times New Roman" w:hAnsi="Times New Roman"/>
          <w:color w:val="FF0000"/>
          <w:sz w:val="22"/>
          <w:szCs w:val="22"/>
        </w:rPr>
        <w:t>15 standard</w:t>
      </w:r>
      <w:r w:rsidR="004F54F8">
        <w:rPr>
          <w:rFonts w:ascii="Times New Roman" w:hAnsi="Times New Roman"/>
          <w:color w:val="FF0000"/>
          <w:sz w:val="22"/>
          <w:szCs w:val="22"/>
        </w:rPr>
        <w:t>s</w:t>
      </w:r>
      <w:r w:rsidRPr="006E585B">
        <w:rPr>
          <w:rFonts w:ascii="Times New Roman" w:hAnsi="Times New Roman"/>
          <w:color w:val="FF0000"/>
          <w:sz w:val="22"/>
          <w:szCs w:val="22"/>
        </w:rPr>
        <w:t xml:space="preserve"> in the </w:t>
      </w:r>
      <w:r w:rsidRPr="006649EB">
        <w:rPr>
          <w:rFonts w:ascii="Times New Roman" w:hAnsi="Times New Roman"/>
          <w:color w:val="FF0000"/>
          <w:sz w:val="22"/>
          <w:szCs w:val="22"/>
          <w:u w:val="single"/>
        </w:rPr>
        <w:t>Federal Register</w:t>
      </w:r>
      <w:r w:rsidRPr="006E585B">
        <w:rPr>
          <w:rFonts w:ascii="Times New Roman" w:hAnsi="Times New Roman"/>
          <w:color w:val="FF0000"/>
          <w:sz w:val="22"/>
          <w:szCs w:val="22"/>
        </w:rPr>
        <w:t xml:space="preserve"> (89 FR 22182).</w:t>
      </w:r>
      <w:r w:rsidR="001D1B99">
        <w:rPr>
          <w:rFonts w:ascii="Times New Roman" w:hAnsi="Times New Roman"/>
          <w:color w:val="FF0000"/>
          <w:sz w:val="22"/>
          <w:szCs w:val="22"/>
        </w:rPr>
        <w:t xml:space="preserve">  </w:t>
      </w:r>
      <w:r w:rsidRPr="006E585B">
        <w:rPr>
          <w:rFonts w:ascii="Times New Roman" w:hAnsi="Times New Roman"/>
          <w:color w:val="FF0000"/>
          <w:sz w:val="22"/>
          <w:szCs w:val="22"/>
        </w:rPr>
        <w:t>Th</w:t>
      </w:r>
      <w:r w:rsidR="00340FD0">
        <w:rPr>
          <w:rFonts w:ascii="Times New Roman" w:hAnsi="Times New Roman"/>
          <w:color w:val="FF0000"/>
          <w:sz w:val="22"/>
          <w:szCs w:val="22"/>
        </w:rPr>
        <w:t xml:space="preserve">is </w:t>
      </w:r>
      <w:r w:rsidR="008F4F04">
        <w:rPr>
          <w:rFonts w:ascii="Times New Roman" w:hAnsi="Times New Roman"/>
          <w:color w:val="FF0000"/>
          <w:sz w:val="22"/>
          <w:szCs w:val="22"/>
        </w:rPr>
        <w:t>information collection request</w:t>
      </w:r>
      <w:r w:rsidRPr="006E585B">
        <w:rPr>
          <w:rFonts w:ascii="Times New Roman" w:hAnsi="Times New Roman"/>
          <w:color w:val="FF0000"/>
          <w:sz w:val="22"/>
          <w:szCs w:val="22"/>
        </w:rPr>
        <w:t xml:space="preserve"> is not compliant with the new standard</w:t>
      </w:r>
      <w:r w:rsidR="00F0409E">
        <w:rPr>
          <w:rFonts w:ascii="Times New Roman" w:hAnsi="Times New Roman"/>
          <w:color w:val="FF0000"/>
          <w:sz w:val="22"/>
          <w:szCs w:val="22"/>
        </w:rPr>
        <w:t>s</w:t>
      </w:r>
      <w:r w:rsidRPr="006E585B">
        <w:rPr>
          <w:rFonts w:ascii="Times New Roman" w:hAnsi="Times New Roman"/>
          <w:color w:val="FF0000"/>
          <w:sz w:val="22"/>
          <w:szCs w:val="22"/>
        </w:rPr>
        <w:t xml:space="preserve"> as it contains no changes to </w:t>
      </w:r>
      <w:r w:rsidRPr="006E585B">
        <w:rPr>
          <w:rFonts w:ascii="Times New Roman" w:hAnsi="Times New Roman"/>
          <w:color w:val="FF0000"/>
          <w:sz w:val="22"/>
          <w:szCs w:val="22"/>
        </w:rPr>
        <w:t xml:space="preserve">the race and ethnicity items that are part of this collection. </w:t>
      </w:r>
      <w:r w:rsidR="001D1B99">
        <w:rPr>
          <w:rFonts w:ascii="Times New Roman" w:hAnsi="Times New Roman"/>
          <w:color w:val="FF0000"/>
          <w:sz w:val="22"/>
          <w:szCs w:val="22"/>
        </w:rPr>
        <w:t xml:space="preserve"> </w:t>
      </w:r>
      <w:r w:rsidRPr="006E585B">
        <w:rPr>
          <w:rFonts w:ascii="Times New Roman" w:hAnsi="Times New Roman"/>
          <w:i/>
          <w:iCs/>
          <w:color w:val="FF0000"/>
          <w:sz w:val="22"/>
          <w:szCs w:val="22"/>
        </w:rPr>
        <w:t xml:space="preserve">A request to revise the standards for this information collection will be submitted to OMB by January 2029. </w:t>
      </w:r>
      <w:r w:rsidR="00657F89">
        <w:rPr>
          <w:rFonts w:ascii="Times New Roman" w:hAnsi="Times New Roman"/>
          <w:i/>
          <w:iCs/>
          <w:color w:val="FF0000"/>
          <w:sz w:val="22"/>
          <w:szCs w:val="22"/>
        </w:rPr>
        <w:t xml:space="preserve"> </w:t>
      </w:r>
      <w:r w:rsidRPr="006E585B">
        <w:rPr>
          <w:rFonts w:ascii="Times New Roman" w:hAnsi="Times New Roman"/>
          <w:i/>
          <w:iCs/>
          <w:color w:val="FF0000"/>
          <w:sz w:val="22"/>
          <w:szCs w:val="22"/>
        </w:rPr>
        <w:t>The January 2029 revision request will address the new federal statistical standard</w:t>
      </w:r>
      <w:r w:rsidR="00380FC0">
        <w:rPr>
          <w:rFonts w:ascii="Times New Roman" w:hAnsi="Times New Roman"/>
          <w:i/>
          <w:iCs/>
          <w:color w:val="FF0000"/>
          <w:sz w:val="22"/>
          <w:szCs w:val="22"/>
        </w:rPr>
        <w:t>s</w:t>
      </w:r>
      <w:r w:rsidRPr="006E585B">
        <w:rPr>
          <w:rFonts w:ascii="Times New Roman" w:hAnsi="Times New Roman"/>
          <w:i/>
          <w:iCs/>
          <w:color w:val="FF0000"/>
          <w:sz w:val="22"/>
          <w:szCs w:val="22"/>
        </w:rPr>
        <w:t xml:space="preserve"> for race/ethnicity items.</w:t>
      </w:r>
      <w:r w:rsidRPr="006E585B">
        <w:rPr>
          <w:rFonts w:ascii="Times New Roman" w:hAnsi="Times New Roman"/>
          <w:color w:val="FF0000"/>
          <w:sz w:val="22"/>
          <w:szCs w:val="22"/>
        </w:rPr>
        <w:t xml:space="preserve"> </w:t>
      </w:r>
      <w:r w:rsidR="00657F89">
        <w:rPr>
          <w:rFonts w:ascii="Times New Roman" w:hAnsi="Times New Roman"/>
          <w:color w:val="FF0000"/>
          <w:sz w:val="22"/>
          <w:szCs w:val="22"/>
        </w:rPr>
        <w:t xml:space="preserve"> </w:t>
      </w:r>
      <w:r w:rsidRPr="006E585B">
        <w:rPr>
          <w:rFonts w:ascii="Times New Roman" w:hAnsi="Times New Roman"/>
          <w:color w:val="FF0000"/>
          <w:sz w:val="22"/>
          <w:szCs w:val="22"/>
        </w:rPr>
        <w:t>The Department is currently working on an action plan for compliance with the newly revised SPD</w:t>
      </w:r>
      <w:r w:rsidR="002E5F3A">
        <w:rPr>
          <w:rFonts w:ascii="Times New Roman" w:hAnsi="Times New Roman"/>
          <w:color w:val="FF0000"/>
          <w:sz w:val="22"/>
          <w:szCs w:val="22"/>
        </w:rPr>
        <w:t xml:space="preserve"> </w:t>
      </w:r>
      <w:r w:rsidRPr="006E585B">
        <w:rPr>
          <w:rFonts w:ascii="Times New Roman" w:hAnsi="Times New Roman"/>
          <w:color w:val="FF0000"/>
          <w:sz w:val="22"/>
          <w:szCs w:val="22"/>
        </w:rPr>
        <w:t xml:space="preserve">15 standards, which will fully take effect on March 28, 2029.  Early discussions suggest that implementation of these standards will be particularly complex and delicate in data collections where race and ethnicity data is reported both by individuals about themselves and also provided by third parties providing aggregate data on the individuals they serve and represent (e.g., state and local education agencies, institutions of higher education). </w:t>
      </w:r>
      <w:r w:rsidR="00416021">
        <w:rPr>
          <w:rFonts w:ascii="Times New Roman" w:hAnsi="Times New Roman"/>
          <w:color w:val="FF0000"/>
          <w:sz w:val="22"/>
          <w:szCs w:val="22"/>
        </w:rPr>
        <w:t xml:space="preserve"> </w:t>
      </w:r>
      <w:r w:rsidR="00BF331F">
        <w:rPr>
          <w:rFonts w:ascii="Times New Roman" w:hAnsi="Times New Roman"/>
          <w:color w:val="FF0000"/>
          <w:sz w:val="22"/>
          <w:szCs w:val="22"/>
        </w:rPr>
        <w:t xml:space="preserve">The Office of Postsecondary Education will work with grantees to update </w:t>
      </w:r>
      <w:r w:rsidR="00F0409E">
        <w:rPr>
          <w:rFonts w:ascii="Times New Roman" w:hAnsi="Times New Roman"/>
          <w:color w:val="FF0000"/>
          <w:sz w:val="22"/>
          <w:szCs w:val="22"/>
        </w:rPr>
        <w:t>response categories in accordance with the new standards.</w:t>
      </w:r>
    </w:p>
    <w:p w:rsidR="006E585B" w:rsidRPr="006E585B" w:rsidP="006E585B" w14:paraId="50F65C0E" w14:textId="77777777">
      <w:pPr>
        <w:rPr>
          <w:rFonts w:ascii="Times New Roman" w:hAnsi="Times New Roman"/>
          <w:sz w:val="22"/>
          <w:szCs w:val="22"/>
        </w:rPr>
      </w:pPr>
    </w:p>
    <w:p w:rsidR="00EA0C32" w:rsidRPr="00A23EED" w:rsidP="00A23EED" w14:paraId="206A1513" w14:textId="77777777">
      <w:pPr>
        <w:tabs>
          <w:tab w:val="left" w:pos="-720"/>
          <w:tab w:val="left" w:pos="375"/>
        </w:tabs>
        <w:suppressAutoHyphens/>
        <w:rPr>
          <w:rFonts w:ascii="Times New Roman" w:hAnsi="Times New Roman"/>
          <w:i/>
          <w:sz w:val="22"/>
          <w:szCs w:val="22"/>
        </w:rPr>
      </w:pPr>
      <w:r>
        <w:rPr>
          <w:rFonts w:ascii="Times New Roman" w:hAnsi="Times New Roman"/>
          <w:i/>
          <w:sz w:val="22"/>
          <w:szCs w:val="22"/>
        </w:rPr>
        <w:t xml:space="preserve">8.  </w:t>
      </w:r>
      <w:r w:rsidRPr="00A23EED">
        <w:rPr>
          <w:rFonts w:ascii="Times New Roman" w:hAnsi="Times New Roman"/>
          <w:i/>
          <w:sz w:val="22"/>
          <w:szCs w:val="22"/>
        </w:rPr>
        <w:t>As applicable, state that the Department has published the 60 and 30 Federal Register notices as required by 5 CFR 1320.8(d), soliciting comments on the information collection prior to submission to OMB.</w:t>
      </w:r>
    </w:p>
    <w:p w:rsidR="00EA0C32" w:rsidRPr="00A23EED" w:rsidP="00EA0C32" w14:paraId="20B72D88" w14:textId="77777777">
      <w:pPr>
        <w:pStyle w:val="ListParagraph"/>
        <w:tabs>
          <w:tab w:val="left" w:pos="-720"/>
          <w:tab w:val="left" w:pos="375"/>
        </w:tabs>
        <w:suppressAutoHyphens/>
        <w:contextualSpacing w:val="0"/>
        <w:rPr>
          <w:rFonts w:ascii="Times New Roman" w:hAnsi="Times New Roman"/>
          <w:i/>
          <w:sz w:val="22"/>
          <w:szCs w:val="22"/>
        </w:rPr>
      </w:pPr>
    </w:p>
    <w:p w:rsidR="00EA0C32" w:rsidRPr="00A23EED" w:rsidP="00A23EED" w14:paraId="2E5A73A7" w14:textId="77777777">
      <w:pPr>
        <w:pStyle w:val="ListParagraph"/>
        <w:tabs>
          <w:tab w:val="left" w:pos="-720"/>
          <w:tab w:val="left" w:pos="375"/>
        </w:tabs>
        <w:suppressAutoHyphens/>
        <w:ind w:left="0"/>
        <w:contextualSpacing w:val="0"/>
        <w:rPr>
          <w:rFonts w:ascii="Times New Roman" w:hAnsi="Times New Roman"/>
          <w:i/>
          <w:sz w:val="22"/>
          <w:szCs w:val="22"/>
        </w:rPr>
      </w:pPr>
      <w:r w:rsidRPr="00A23EED">
        <w:rPr>
          <w:rFonts w:ascii="Times New Roman" w:hAnsi="Times New Roman"/>
          <w:i/>
          <w:sz w:val="22"/>
          <w:szCs w:val="22"/>
        </w:rPr>
        <w:t>Include a citation for the 60 day comment period (e.g. Vol. 84 FR ##### and the date of publication).  Summarize public comments received in response to the 60 day notice and describe actions taken by the agency in response to these comments.  Specifically address comments received on cost and hour burden.  If only non-substantive comments are provided, please provide a statement to that effect and that it did not relate or warrant any changes to this information collection request. In your comments, please also indicate the number of public comments received.</w:t>
      </w:r>
    </w:p>
    <w:p w:rsidR="00EA0C32" w:rsidRPr="00A23EED" w:rsidP="00A23EED" w14:paraId="5F139ED0" w14:textId="77777777">
      <w:pPr>
        <w:pStyle w:val="ListParagraph"/>
        <w:tabs>
          <w:tab w:val="left" w:pos="-720"/>
          <w:tab w:val="left" w:pos="375"/>
        </w:tabs>
        <w:suppressAutoHyphens/>
        <w:ind w:left="0"/>
        <w:contextualSpacing w:val="0"/>
        <w:rPr>
          <w:rFonts w:ascii="Times New Roman" w:hAnsi="Times New Roman"/>
          <w:i/>
          <w:sz w:val="22"/>
          <w:szCs w:val="22"/>
        </w:rPr>
      </w:pPr>
    </w:p>
    <w:p w:rsidR="00EA0C32" w:rsidRPr="00A23EED" w:rsidP="00A23EED" w14:paraId="0EC086E7" w14:textId="77777777">
      <w:pPr>
        <w:pStyle w:val="ListParagraph"/>
        <w:tabs>
          <w:tab w:val="left" w:pos="-720"/>
          <w:tab w:val="left" w:pos="375"/>
        </w:tabs>
        <w:suppressAutoHyphens/>
        <w:ind w:left="0"/>
        <w:contextualSpacing w:val="0"/>
        <w:rPr>
          <w:rStyle w:val="a"/>
          <w:rFonts w:ascii="Times New Roman" w:hAnsi="Times New Roman"/>
          <w:i/>
          <w:sz w:val="22"/>
          <w:szCs w:val="22"/>
        </w:rPr>
      </w:pPr>
      <w:r w:rsidRPr="00A23EED">
        <w:rPr>
          <w:rFonts w:ascii="Times New Roman" w:hAnsi="Times New Roman"/>
          <w:i/>
          <w:sz w:val="22"/>
          <w:szCs w:val="22"/>
        </w:rPr>
        <w:t xml:space="preserve">For the 30 day notice, indicate that a notice will be published.  </w:t>
      </w:r>
      <w:r w:rsidRPr="00A23EED">
        <w:rPr>
          <w:rStyle w:val="a"/>
          <w:rFonts w:ascii="Times New Roman" w:hAnsi="Times New Roman"/>
          <w:i/>
          <w:sz w:val="22"/>
          <w:szCs w:val="22"/>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EA0C32" w:rsidRPr="00A23EED" w:rsidP="00F75309" w14:paraId="0B0410A1" w14:textId="77777777">
      <w:pPr>
        <w:tabs>
          <w:tab w:val="left" w:pos="-720"/>
        </w:tabs>
        <w:suppressAutoHyphens/>
        <w:rPr>
          <w:rStyle w:val="a"/>
          <w:rFonts w:ascii="Times New Roman" w:hAnsi="Times New Roman"/>
          <w:i/>
          <w:sz w:val="22"/>
          <w:szCs w:val="22"/>
        </w:rPr>
      </w:pPr>
    </w:p>
    <w:p w:rsidR="00EA0C32" w:rsidRPr="00A23EED" w:rsidP="00A23EED" w14:paraId="35FEB99F" w14:textId="77777777">
      <w:pPr>
        <w:tabs>
          <w:tab w:val="left" w:pos="-720"/>
        </w:tabs>
        <w:suppressAutoHyphens/>
        <w:rPr>
          <w:rStyle w:val="a"/>
          <w:rFonts w:ascii="Times New Roman" w:hAnsi="Times New Roman"/>
          <w:i/>
          <w:sz w:val="22"/>
          <w:szCs w:val="22"/>
        </w:rPr>
      </w:pPr>
      <w:r w:rsidRPr="00A23EED">
        <w:rPr>
          <w:rStyle w:val="a"/>
          <w:rFonts w:ascii="Times New Roman" w:hAnsi="Times New Roman"/>
          <w:i/>
          <w:sz w:val="22"/>
          <w:szCs w:val="22"/>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9B1475" w:rsidRPr="0015716C" w:rsidP="00EA0C32" w14:paraId="0823C708" w14:textId="77777777">
      <w:pPr>
        <w:tabs>
          <w:tab w:val="left" w:pos="-720"/>
          <w:tab w:val="left" w:pos="375"/>
        </w:tabs>
        <w:suppressAutoHyphens/>
        <w:rPr>
          <w:rFonts w:ascii="Times New Roman" w:hAnsi="Times New Roman"/>
          <w:sz w:val="22"/>
          <w:szCs w:val="22"/>
        </w:rPr>
      </w:pPr>
    </w:p>
    <w:p w:rsidR="00F735A9" w:rsidRPr="0015716C" w:rsidP="00F735A9" w14:paraId="5F972F35" w14:textId="77777777">
      <w:pPr>
        <w:pStyle w:val="NoSpacing"/>
        <w:rPr>
          <w:rFonts w:ascii="Times New Roman" w:hAnsi="Times New Roman" w:cs="Times New Roman"/>
        </w:rPr>
      </w:pPr>
      <w:r w:rsidRPr="002365CB">
        <w:rPr>
          <w:rFonts w:ascii="Times New Roman" w:hAnsi="Times New Roman"/>
        </w:rPr>
        <w:t xml:space="preserve">The Department published a 60-day </w:t>
      </w:r>
      <w:r w:rsidRPr="0015716C">
        <w:rPr>
          <w:rFonts w:ascii="Times New Roman" w:hAnsi="Times New Roman" w:cs="Times New Roman"/>
          <w:u w:val="single"/>
        </w:rPr>
        <w:t>Federal Register</w:t>
      </w:r>
      <w:r w:rsidRPr="0015716C">
        <w:rPr>
          <w:rFonts w:ascii="Times New Roman" w:hAnsi="Times New Roman" w:cs="Times New Roman"/>
        </w:rPr>
        <w:t xml:space="preserve"> </w:t>
      </w:r>
      <w:r w:rsidRPr="002365CB">
        <w:rPr>
          <w:rFonts w:ascii="Times New Roman" w:hAnsi="Times New Roman"/>
        </w:rPr>
        <w:t xml:space="preserve">notice for public comment on </w:t>
      </w:r>
      <w:r w:rsidR="0078306A">
        <w:rPr>
          <w:rFonts w:ascii="Times New Roman" w:hAnsi="Times New Roman"/>
        </w:rPr>
        <w:t>July 27, 2023</w:t>
      </w:r>
      <w:r w:rsidRPr="002365CB">
        <w:rPr>
          <w:rFonts w:ascii="Times New Roman" w:hAnsi="Times New Roman"/>
        </w:rPr>
        <w:t xml:space="preserve">.  One comment was received, </w:t>
      </w:r>
      <w:r w:rsidR="0078306A">
        <w:rPr>
          <w:rFonts w:ascii="Times New Roman" w:hAnsi="Times New Roman"/>
        </w:rPr>
        <w:t>and the Department has responded</w:t>
      </w:r>
      <w:r w:rsidRPr="002365CB">
        <w:rPr>
          <w:rFonts w:ascii="Times New Roman" w:hAnsi="Times New Roman"/>
        </w:rPr>
        <w:t xml:space="preserve">.  The Department will publish a </w:t>
      </w:r>
      <w:r w:rsidRPr="0015716C">
        <w:rPr>
          <w:rFonts w:ascii="Times New Roman" w:hAnsi="Times New Roman" w:cs="Times New Roman"/>
        </w:rPr>
        <w:t xml:space="preserve">30-day </w:t>
      </w:r>
      <w:r w:rsidRPr="0015716C">
        <w:rPr>
          <w:rFonts w:ascii="Times New Roman" w:hAnsi="Times New Roman" w:cs="Times New Roman"/>
          <w:u w:val="single"/>
        </w:rPr>
        <w:t>Federal Register</w:t>
      </w:r>
      <w:r w:rsidRPr="0015716C">
        <w:rPr>
          <w:rFonts w:ascii="Times New Roman" w:hAnsi="Times New Roman" w:cs="Times New Roman"/>
        </w:rPr>
        <w:t xml:space="preserve"> notice to solicit public comment.  The Department will summarize public comments received in response to that notice and describe actions taken by the agency in response to these comments.  </w:t>
      </w:r>
    </w:p>
    <w:p w:rsidR="00484909" w:rsidP="009032E8" w14:paraId="45FAF206" w14:textId="77777777">
      <w:pPr>
        <w:rPr>
          <w:rFonts w:ascii="Times New Roman" w:hAnsi="Times New Roman"/>
          <w:sz w:val="22"/>
          <w:szCs w:val="22"/>
        </w:rPr>
      </w:pPr>
    </w:p>
    <w:p w:rsidR="005D74AA" w:rsidRPr="003217D6" w:rsidP="005D74AA" w14:paraId="7357C1F6" w14:textId="77777777">
      <w:pPr>
        <w:tabs>
          <w:tab w:val="left" w:pos="-720"/>
          <w:tab w:val="left" w:pos="360"/>
        </w:tabs>
        <w:suppressAutoHyphens/>
        <w:rPr>
          <w:rFonts w:ascii="Times New Roman" w:hAnsi="Times New Roman"/>
          <w:color w:val="FF0000"/>
          <w:sz w:val="22"/>
          <w:szCs w:val="22"/>
        </w:rPr>
      </w:pPr>
      <w:r w:rsidRPr="003217D6">
        <w:rPr>
          <w:rFonts w:ascii="Times New Roman" w:hAnsi="Times New Roman"/>
          <w:color w:val="FF0000"/>
          <w:sz w:val="22"/>
          <w:szCs w:val="22"/>
        </w:rPr>
        <w:t>3/14/25:</w:t>
      </w:r>
    </w:p>
    <w:p w:rsidR="00141B97" w:rsidRPr="00141B97" w:rsidP="00141B97" w14:paraId="31CF1B82" w14:textId="77777777">
      <w:pPr>
        <w:pStyle w:val="NoSpacing"/>
        <w:rPr>
          <w:rFonts w:ascii="Times New Roman" w:hAnsi="Times New Roman" w:cs="Times New Roman"/>
          <w:color w:val="FF0000"/>
        </w:rPr>
      </w:pPr>
      <w:r w:rsidRPr="00141B97">
        <w:rPr>
          <w:rFonts w:ascii="Times New Roman" w:hAnsi="Times New Roman" w:cs="Times New Roman"/>
          <w:color w:val="FF0000"/>
        </w:rPr>
        <w:t>This is a currently approved information collection, and this non-substantive change request does not require any public comment periods.</w:t>
      </w:r>
    </w:p>
    <w:p w:rsidR="005D74AA" w:rsidRPr="0015716C" w:rsidP="009032E8" w14:paraId="0174A7D8" w14:textId="77777777">
      <w:pPr>
        <w:rPr>
          <w:rFonts w:ascii="Times New Roman" w:hAnsi="Times New Roman"/>
          <w:sz w:val="22"/>
          <w:szCs w:val="22"/>
        </w:rPr>
      </w:pPr>
    </w:p>
    <w:p w:rsidR="00414B52" w:rsidRPr="0015716C" w:rsidP="00414B52" w14:paraId="4723ADFD" w14:textId="77777777">
      <w:pPr>
        <w:tabs>
          <w:tab w:val="left" w:pos="-720"/>
        </w:tabs>
        <w:suppressAutoHyphens/>
        <w:rPr>
          <w:rFonts w:ascii="Times New Roman" w:hAnsi="Times New Roman"/>
          <w:i/>
          <w:sz w:val="22"/>
          <w:szCs w:val="22"/>
        </w:rPr>
      </w:pPr>
      <w:r w:rsidRPr="0015716C">
        <w:rPr>
          <w:rFonts w:ascii="Times New Roman" w:hAnsi="Times New Roman"/>
          <w:i/>
          <w:sz w:val="22"/>
          <w:szCs w:val="22"/>
        </w:rPr>
        <w:t xml:space="preserve">9. </w:t>
      </w:r>
      <w:r w:rsidRPr="0015716C" w:rsidR="006A5127">
        <w:rPr>
          <w:rFonts w:ascii="Times New Roman" w:hAnsi="Times New Roman"/>
          <w:i/>
          <w:sz w:val="22"/>
          <w:szCs w:val="22"/>
        </w:rPr>
        <w:t xml:space="preserve"> </w:t>
      </w:r>
      <w:r w:rsidRPr="0015716C">
        <w:rPr>
          <w:rStyle w:val="a"/>
          <w:rFonts w:ascii="Times New Roman" w:hAnsi="Times New Roman"/>
          <w:i/>
          <w:sz w:val="22"/>
          <w:szCs w:val="22"/>
        </w:rPr>
        <w:t>Explain any decision to provide any payment or gift to respondents, other than remuneration of contractors or grantees with meaningful justification.</w:t>
      </w:r>
    </w:p>
    <w:p w:rsidR="004F692A" w:rsidRPr="0015716C" w:rsidP="009032E8" w14:paraId="3ED6ACA2" w14:textId="77777777">
      <w:pPr>
        <w:tabs>
          <w:tab w:val="left" w:pos="-720"/>
          <w:tab w:val="left" w:pos="720"/>
        </w:tabs>
        <w:suppressAutoHyphens/>
        <w:rPr>
          <w:rFonts w:ascii="Times New Roman" w:hAnsi="Times New Roman"/>
          <w:sz w:val="22"/>
          <w:szCs w:val="22"/>
        </w:rPr>
      </w:pPr>
    </w:p>
    <w:p w:rsidR="00FC58BA" w:rsidRPr="0015716C" w:rsidP="009032E8" w14:paraId="4CA9A801" w14:textId="77777777">
      <w:pPr>
        <w:tabs>
          <w:tab w:val="left" w:pos="720"/>
        </w:tabs>
        <w:rPr>
          <w:rFonts w:ascii="Times New Roman" w:hAnsi="Times New Roman"/>
          <w:sz w:val="22"/>
          <w:szCs w:val="22"/>
        </w:rPr>
      </w:pPr>
      <w:r w:rsidRPr="0015716C">
        <w:rPr>
          <w:rFonts w:ascii="Times New Roman" w:hAnsi="Times New Roman"/>
          <w:sz w:val="22"/>
          <w:szCs w:val="22"/>
        </w:rPr>
        <w:t>The Department does not provide any payments or gifts to respondents.</w:t>
      </w:r>
    </w:p>
    <w:p w:rsidR="00EE7590" w:rsidRPr="0015716C" w:rsidP="009032E8" w14:paraId="239F1072" w14:textId="77777777">
      <w:pPr>
        <w:tabs>
          <w:tab w:val="left" w:pos="720"/>
        </w:tabs>
        <w:rPr>
          <w:rFonts w:ascii="Times New Roman" w:hAnsi="Times New Roman"/>
          <w:sz w:val="22"/>
          <w:szCs w:val="22"/>
        </w:rPr>
      </w:pPr>
    </w:p>
    <w:p w:rsidR="002100E4" w:rsidRPr="00A23EED" w:rsidP="00A23EED" w14:paraId="2846B657" w14:textId="77777777">
      <w:pPr>
        <w:tabs>
          <w:tab w:val="left" w:pos="-720"/>
        </w:tabs>
        <w:suppressAutoHyphens/>
        <w:rPr>
          <w:rFonts w:ascii="Times New Roman" w:hAnsi="Times New Roman"/>
          <w:i/>
          <w:sz w:val="22"/>
          <w:szCs w:val="22"/>
        </w:rPr>
      </w:pPr>
      <w:r w:rsidRPr="001E3721">
        <w:rPr>
          <w:rFonts w:ascii="Times New Roman" w:hAnsi="Times New Roman"/>
          <w:i/>
          <w:sz w:val="22"/>
          <w:szCs w:val="22"/>
        </w:rPr>
        <w:t xml:space="preserve">10.  </w:t>
      </w:r>
      <w:r w:rsidRPr="00A23EED">
        <w:rPr>
          <w:rFonts w:ascii="Times New Roman" w:hAnsi="Times New Roman"/>
          <w:i/>
          <w:sz w:val="22"/>
          <w:szCs w:val="22"/>
        </w:rPr>
        <w:t xml:space="preserve">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w:t>
      </w:r>
      <w:r w:rsidRPr="00A23EED">
        <w:rPr>
          <w:rFonts w:ascii="Times New Roman" w:hAnsi="Times New Roman"/>
          <w:i/>
          <w:sz w:val="22"/>
          <w:szCs w:val="22"/>
        </w:rPr>
        <w:t>Record Notice and the date a Privacy Impact Assessment was completed as indicated on the IC Data Form. A confidentiality statement with a legal citation that authorizes the pledge of confidentiality should be provided.</w:t>
      </w:r>
      <w:r>
        <w:rPr>
          <w:rStyle w:val="FootnoteReference"/>
          <w:rFonts w:ascii="Times New Roman" w:hAnsi="Times New Roman"/>
          <w:i/>
          <w:sz w:val="22"/>
          <w:szCs w:val="22"/>
        </w:rPr>
        <w:footnoteReference w:id="2"/>
      </w:r>
      <w:r w:rsidRPr="00A23EED">
        <w:rPr>
          <w:rFonts w:ascii="Times New Roman" w:hAnsi="Times New Roman"/>
          <w:i/>
          <w:sz w:val="22"/>
          <w:szCs w:val="22"/>
        </w:rPr>
        <w:t xml:space="preserve"> If the collection is subject to the Privacy Act, the Privacy Act statement is deemed sufficient with respect to confidentiality. If there is no expectation of confidentiality, simply state that the Department makes no pledge about the confidentiality of the data. If no PII will be collected, state that no assurance of confidentiality is provided to respondents. If the Paperwork Burden Statement is not included physically on a form, you may include it here. Please ensure that your response per respondent matches the estimate provided in number 12.</w:t>
      </w:r>
    </w:p>
    <w:p w:rsidR="00414B52" w:rsidRPr="0015716C" w:rsidP="009032E8" w14:paraId="3BCDE1AD" w14:textId="77777777">
      <w:pPr>
        <w:tabs>
          <w:tab w:val="left" w:pos="-720"/>
        </w:tabs>
        <w:suppressAutoHyphens/>
        <w:rPr>
          <w:rFonts w:ascii="Times New Roman" w:hAnsi="Times New Roman"/>
          <w:sz w:val="22"/>
          <w:szCs w:val="22"/>
        </w:rPr>
      </w:pPr>
    </w:p>
    <w:p w:rsidR="00FC58BA" w:rsidRPr="0015716C" w:rsidP="009032E8" w14:paraId="64577AEB" w14:textId="77777777">
      <w:pPr>
        <w:rPr>
          <w:rFonts w:ascii="Times New Roman" w:hAnsi="Times New Roman"/>
          <w:sz w:val="22"/>
          <w:szCs w:val="22"/>
        </w:rPr>
      </w:pPr>
      <w:r w:rsidRPr="0015716C">
        <w:rPr>
          <w:rFonts w:ascii="Times New Roman" w:hAnsi="Times New Roman"/>
          <w:sz w:val="22"/>
          <w:szCs w:val="22"/>
        </w:rPr>
        <w:t xml:space="preserve">The Department's disclosure policies adhere to the provisions of the Privacy Act – PL 95-379, 5 USC 552a.  </w:t>
      </w:r>
      <w:r w:rsidRPr="0015716C" w:rsidR="0062702F">
        <w:rPr>
          <w:rFonts w:ascii="Times New Roman" w:hAnsi="Times New Roman"/>
          <w:sz w:val="22"/>
          <w:szCs w:val="22"/>
        </w:rPr>
        <w:t xml:space="preserve">There is no assurance of confidentiality with respect to grant-required reports; however, grantees are instructed to </w:t>
      </w:r>
      <w:r w:rsidRPr="0015716C" w:rsidR="00B2285E">
        <w:rPr>
          <w:rFonts w:ascii="Times New Roman" w:hAnsi="Times New Roman"/>
          <w:sz w:val="22"/>
          <w:szCs w:val="22"/>
        </w:rPr>
        <w:t>e</w:t>
      </w:r>
      <w:r w:rsidRPr="0015716C" w:rsidR="0062702F">
        <w:rPr>
          <w:rFonts w:ascii="Times New Roman" w:hAnsi="Times New Roman"/>
          <w:sz w:val="22"/>
          <w:szCs w:val="22"/>
        </w:rPr>
        <w:t xml:space="preserve">nsure that program participants are informed of their rights under the Privacy Act with respect to the disclosure of social security numbers. </w:t>
      </w:r>
      <w:r w:rsidRPr="0015716C" w:rsidR="00D86610">
        <w:rPr>
          <w:rFonts w:ascii="Times New Roman" w:hAnsi="Times New Roman"/>
          <w:sz w:val="22"/>
          <w:szCs w:val="22"/>
        </w:rPr>
        <w:t xml:space="preserve"> </w:t>
      </w:r>
      <w:r w:rsidRPr="0015716C" w:rsidR="0062702F">
        <w:rPr>
          <w:rFonts w:ascii="Times New Roman" w:hAnsi="Times New Roman"/>
          <w:sz w:val="22"/>
          <w:szCs w:val="22"/>
        </w:rPr>
        <w:t xml:space="preserve">A disclosure statement is provided to students </w:t>
      </w:r>
      <w:r w:rsidRPr="0015716C" w:rsidR="0055166D">
        <w:rPr>
          <w:rFonts w:ascii="Times New Roman" w:hAnsi="Times New Roman"/>
          <w:sz w:val="22"/>
          <w:szCs w:val="22"/>
        </w:rPr>
        <w:t>at</w:t>
      </w:r>
      <w:r w:rsidRPr="0015716C" w:rsidR="0062702F">
        <w:rPr>
          <w:rFonts w:ascii="Times New Roman" w:hAnsi="Times New Roman"/>
          <w:sz w:val="22"/>
          <w:szCs w:val="22"/>
        </w:rPr>
        <w:t xml:space="preserve"> intake or </w:t>
      </w:r>
      <w:r w:rsidRPr="0015716C" w:rsidR="0055166D">
        <w:rPr>
          <w:rFonts w:ascii="Times New Roman" w:hAnsi="Times New Roman"/>
          <w:sz w:val="22"/>
          <w:szCs w:val="22"/>
        </w:rPr>
        <w:t xml:space="preserve">involving other </w:t>
      </w:r>
      <w:r w:rsidRPr="0015716C" w:rsidR="0062702F">
        <w:rPr>
          <w:rFonts w:ascii="Times New Roman" w:hAnsi="Times New Roman"/>
          <w:sz w:val="22"/>
          <w:szCs w:val="22"/>
        </w:rPr>
        <w:t>activities that occur during their time with the McNair project.</w:t>
      </w:r>
    </w:p>
    <w:p w:rsidR="006B2F44" w:rsidRPr="0015716C" w:rsidP="009032E8" w14:paraId="0B1377BE" w14:textId="77777777">
      <w:pPr>
        <w:rPr>
          <w:rFonts w:ascii="Times New Roman" w:hAnsi="Times New Roman"/>
          <w:sz w:val="22"/>
          <w:szCs w:val="22"/>
        </w:rPr>
      </w:pPr>
    </w:p>
    <w:p w:rsidR="006B2F44" w:rsidRPr="0015716C" w:rsidP="006B2F44" w14:paraId="04E57CDC" w14:textId="77777777">
      <w:pPr>
        <w:pStyle w:val="PlainText"/>
        <w:rPr>
          <w:rFonts w:ascii="Times New Roman" w:hAnsi="Times New Roman" w:cs="Times New Roman"/>
          <w:sz w:val="22"/>
          <w:szCs w:val="22"/>
        </w:rPr>
      </w:pPr>
      <w:r w:rsidRPr="0015716C">
        <w:rPr>
          <w:rFonts w:ascii="Times New Roman" w:hAnsi="Times New Roman" w:cs="Times New Roman"/>
          <w:sz w:val="22"/>
          <w:szCs w:val="22"/>
        </w:rPr>
        <w:t xml:space="preserve">Because the APR requests personal and confidential information on project participants, the secured  </w:t>
      </w:r>
      <w:r w:rsidR="003D70F3">
        <w:rPr>
          <w:rFonts w:ascii="Times New Roman" w:hAnsi="Times New Roman" w:cs="Times New Roman"/>
          <w:sz w:val="22"/>
          <w:szCs w:val="22"/>
        </w:rPr>
        <w:t>web</w:t>
      </w:r>
      <w:r w:rsidRPr="0015716C">
        <w:rPr>
          <w:rFonts w:ascii="Times New Roman" w:hAnsi="Times New Roman" w:cs="Times New Roman"/>
          <w:sz w:val="22"/>
          <w:szCs w:val="22"/>
        </w:rPr>
        <w:t xml:space="preserve">site meets the Department of Education’s data security standards for sensitive data, including password and site access procedures.  Further, to ensure that the data is accessible only to authorized individuals and protected from unauthorized uses, a grantee must submit the participant level data via the Web application; under no circumstances should a grantee transmit the data to the Department or the APR Help Desk via e-mail.  </w:t>
      </w:r>
    </w:p>
    <w:p w:rsidR="004F692A" w:rsidRPr="00E17878" w:rsidP="009032E8" w14:paraId="72F3A650" w14:textId="77777777">
      <w:pPr>
        <w:tabs>
          <w:tab w:val="left" w:pos="-720"/>
        </w:tabs>
        <w:suppressAutoHyphens/>
        <w:rPr>
          <w:rFonts w:ascii="Times New Roman" w:hAnsi="Times New Roman"/>
          <w:sz w:val="22"/>
          <w:szCs w:val="22"/>
        </w:rPr>
      </w:pPr>
    </w:p>
    <w:p w:rsidR="004F692A" w:rsidRPr="0015716C" w:rsidP="009032E8" w14:paraId="08403337" w14:textId="77777777">
      <w:pPr>
        <w:tabs>
          <w:tab w:val="left" w:pos="-720"/>
          <w:tab w:val="left" w:pos="720"/>
        </w:tabs>
        <w:suppressAutoHyphens/>
        <w:rPr>
          <w:rFonts w:ascii="Times New Roman" w:hAnsi="Times New Roman"/>
          <w:i/>
          <w:sz w:val="22"/>
          <w:szCs w:val="22"/>
        </w:rPr>
      </w:pPr>
      <w:r w:rsidRPr="008F6483">
        <w:rPr>
          <w:rFonts w:ascii="Times New Roman" w:hAnsi="Times New Roman"/>
          <w:i/>
          <w:sz w:val="22"/>
          <w:szCs w:val="22"/>
        </w:rPr>
        <w:t xml:space="preserve">11. </w:t>
      </w:r>
      <w:r w:rsidRPr="0015716C" w:rsidR="006A5127">
        <w:rPr>
          <w:rFonts w:ascii="Times New Roman" w:hAnsi="Times New Roman"/>
          <w:i/>
          <w:sz w:val="22"/>
          <w:szCs w:val="22"/>
        </w:rPr>
        <w:t xml:space="preserve"> </w:t>
      </w:r>
      <w:r w:rsidRPr="0015716C">
        <w:rPr>
          <w:rFonts w:ascii="Times New Roman" w:hAnsi="Times New Roman"/>
          <w:i/>
          <w:sz w:val="22"/>
          <w:szCs w:val="22"/>
        </w:rPr>
        <w:t xml:space="preserve">Provide additional justification for any questions of a sensitive nature, such as sexual behavior and attitudes, religious beliefs, and other matters that are commonly considered private. </w:t>
      </w:r>
      <w:r w:rsidRPr="0015716C" w:rsidR="00D86610">
        <w:rPr>
          <w:rFonts w:ascii="Times New Roman" w:hAnsi="Times New Roman"/>
          <w:i/>
          <w:sz w:val="22"/>
          <w:szCs w:val="22"/>
        </w:rPr>
        <w:t xml:space="preserve"> </w:t>
      </w:r>
      <w:r w:rsidRPr="0015716C">
        <w:rPr>
          <w:rFonts w:ascii="Times New Roman" w:hAnsi="Times New Roman"/>
          <w:i/>
          <w:sz w:val="22"/>
          <w:szCs w:val="22"/>
        </w:rPr>
        <w:t>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C29C2" w:rsidRPr="0015716C" w:rsidP="009032E8" w14:paraId="21F98B0A" w14:textId="77777777">
      <w:pPr>
        <w:tabs>
          <w:tab w:val="left" w:pos="-720"/>
        </w:tabs>
        <w:suppressAutoHyphens/>
        <w:rPr>
          <w:rFonts w:ascii="Times New Roman" w:hAnsi="Times New Roman"/>
          <w:sz w:val="22"/>
          <w:szCs w:val="22"/>
        </w:rPr>
      </w:pPr>
    </w:p>
    <w:p w:rsidR="00FC58BA" w:rsidRPr="0015716C" w:rsidP="009032E8" w14:paraId="7D57D219" w14:textId="77777777">
      <w:pPr>
        <w:rPr>
          <w:rFonts w:ascii="Times New Roman" w:hAnsi="Times New Roman"/>
          <w:sz w:val="22"/>
          <w:szCs w:val="22"/>
        </w:rPr>
      </w:pPr>
      <w:r w:rsidRPr="0015716C">
        <w:rPr>
          <w:rFonts w:ascii="Times New Roman" w:hAnsi="Times New Roman"/>
          <w:sz w:val="22"/>
          <w:szCs w:val="22"/>
        </w:rPr>
        <w:t>The annual performance report form does not include questions about sexual behavior and attitudes, religious beliefs or other items that are commonly considered sensitive and private.</w:t>
      </w:r>
    </w:p>
    <w:p w:rsidR="00FC58BA" w:rsidRPr="0015716C" w:rsidP="009032E8" w14:paraId="2D2416A0" w14:textId="77777777">
      <w:pPr>
        <w:tabs>
          <w:tab w:val="left" w:pos="-720"/>
        </w:tabs>
        <w:suppressAutoHyphens/>
        <w:rPr>
          <w:rFonts w:ascii="Times New Roman" w:hAnsi="Times New Roman"/>
          <w:sz w:val="22"/>
          <w:szCs w:val="22"/>
        </w:rPr>
      </w:pPr>
    </w:p>
    <w:p w:rsidR="008A3EFE" w:rsidRPr="00A23EED" w:rsidP="00A23EED" w14:paraId="5C84B03F" w14:textId="77777777">
      <w:pPr>
        <w:pStyle w:val="ListParagraph"/>
        <w:tabs>
          <w:tab w:val="left" w:pos="-720"/>
        </w:tabs>
        <w:suppressAutoHyphens/>
        <w:ind w:left="0"/>
        <w:rPr>
          <w:rStyle w:val="a"/>
          <w:rFonts w:ascii="Times New Roman" w:hAnsi="Times New Roman"/>
          <w:i/>
          <w:sz w:val="22"/>
          <w:szCs w:val="22"/>
        </w:rPr>
      </w:pPr>
      <w:r w:rsidRPr="00EA4EC3">
        <w:rPr>
          <w:rFonts w:ascii="Times New Roman" w:hAnsi="Times New Roman"/>
          <w:i/>
          <w:sz w:val="22"/>
          <w:szCs w:val="22"/>
        </w:rPr>
        <w:t xml:space="preserve">12. </w:t>
      </w:r>
      <w:r w:rsidRPr="00A23EED">
        <w:rPr>
          <w:rStyle w:val="a"/>
          <w:rFonts w:ascii="Times New Roman" w:hAnsi="Times New Roman"/>
          <w:i/>
          <w:sz w:val="22"/>
          <w:szCs w:val="22"/>
        </w:rPr>
        <w:t>Provide estimates of the hour burden for this current information collection request.  The statement should:</w:t>
      </w:r>
    </w:p>
    <w:p w:rsidR="008A3EFE" w:rsidRPr="00A23EED" w:rsidP="008A3EFE" w14:paraId="696A3C99" w14:textId="77777777">
      <w:pPr>
        <w:tabs>
          <w:tab w:val="left" w:pos="-720"/>
        </w:tabs>
        <w:suppressAutoHyphens/>
        <w:rPr>
          <w:rStyle w:val="a"/>
          <w:rFonts w:ascii="Times New Roman" w:hAnsi="Times New Roman"/>
          <w:i/>
          <w:sz w:val="22"/>
          <w:szCs w:val="22"/>
        </w:rPr>
      </w:pPr>
    </w:p>
    <w:p w:rsidR="008A3EFE" w:rsidRPr="00A23EED" w:rsidP="008A3EFE" w14:paraId="2BA3A003" w14:textId="77777777">
      <w:pPr>
        <w:numPr>
          <w:ilvl w:val="0"/>
          <w:numId w:val="7"/>
        </w:numPr>
        <w:tabs>
          <w:tab w:val="left" w:pos="-720"/>
          <w:tab w:val="clear" w:pos="1060"/>
          <w:tab w:val="num" w:pos="1170"/>
          <w:tab w:val="left" w:pos="1247"/>
        </w:tabs>
        <w:suppressAutoHyphens/>
        <w:ind w:left="1170"/>
        <w:rPr>
          <w:rStyle w:val="a"/>
          <w:rFonts w:ascii="Times New Roman" w:hAnsi="Times New Roman"/>
          <w:i/>
          <w:sz w:val="22"/>
          <w:szCs w:val="22"/>
        </w:rPr>
      </w:pPr>
      <w:r w:rsidRPr="00A23EED">
        <w:rPr>
          <w:rStyle w:val="a"/>
          <w:rFonts w:ascii="Times New Roman" w:hAnsi="Times New Roman"/>
          <w:i/>
          <w:sz w:val="22"/>
          <w:szCs w:val="22"/>
        </w:rPr>
        <w:t>Provide an explanation of how the burden was estimated, including identification of burden type: recordkeeping, reporting or third party disclosure.  Address changes in burden due to the use of technology (if applicable). Generally, estimates should not include burden hours for customary and usual business practices.</w:t>
      </w:r>
    </w:p>
    <w:p w:rsidR="008A3EFE" w:rsidRPr="00A23EED" w:rsidP="008A3EFE" w14:paraId="3F3E522E" w14:textId="77777777">
      <w:pPr>
        <w:numPr>
          <w:ilvl w:val="0"/>
          <w:numId w:val="7"/>
        </w:numPr>
        <w:tabs>
          <w:tab w:val="left" w:pos="-720"/>
          <w:tab w:val="clear" w:pos="1060"/>
          <w:tab w:val="num" w:pos="1170"/>
          <w:tab w:val="left" w:pos="1247"/>
        </w:tabs>
        <w:suppressAutoHyphens/>
        <w:ind w:left="1170"/>
        <w:rPr>
          <w:rStyle w:val="a"/>
          <w:rFonts w:ascii="Times New Roman" w:hAnsi="Times New Roman"/>
          <w:i/>
          <w:sz w:val="22"/>
          <w:szCs w:val="22"/>
        </w:rPr>
      </w:pPr>
      <w:r w:rsidRPr="00A23EED">
        <w:rPr>
          <w:rStyle w:val="a"/>
          <w:rFonts w:ascii="Times New Roman" w:hAnsi="Times New Roman"/>
          <w:i/>
          <w:sz w:val="22"/>
          <w:szCs w:val="22"/>
        </w:rPr>
        <w:t>Please do not include increases in burden and respondents numerically in this table. Explain these changes in number 15.</w:t>
      </w:r>
    </w:p>
    <w:p w:rsidR="008A3EFE" w:rsidRPr="00A23EED" w:rsidP="008A3EFE" w14:paraId="54E3864D" w14:textId="77777777">
      <w:pPr>
        <w:numPr>
          <w:ilvl w:val="0"/>
          <w:numId w:val="7"/>
        </w:numPr>
        <w:tabs>
          <w:tab w:val="left" w:pos="-720"/>
          <w:tab w:val="clear" w:pos="1060"/>
          <w:tab w:val="num" w:pos="1170"/>
          <w:tab w:val="left" w:pos="1247"/>
        </w:tabs>
        <w:suppressAutoHyphens/>
        <w:ind w:left="1170"/>
        <w:rPr>
          <w:rStyle w:val="a"/>
          <w:rFonts w:ascii="Times New Roman" w:hAnsi="Times New Roman"/>
          <w:i/>
          <w:sz w:val="22"/>
          <w:szCs w:val="22"/>
        </w:rPr>
      </w:pPr>
      <w:r w:rsidRPr="00A23EED">
        <w:rPr>
          <w:rStyle w:val="a"/>
          <w:rFonts w:ascii="Times New Roman" w:hAnsi="Times New Roman"/>
          <w:i/>
          <w:sz w:val="22"/>
          <w:szCs w:val="22"/>
        </w:rPr>
        <w:t xml:space="preserve">Indicate the number of respondents by affected public type (federal government, individuals or households, private sector – businesses or other for-profit, private sector – not-for-profit institutions, farms, state, local or tribal governments), frequency of response, annual hour burden. Unless directed to do so, agencies should not conduct special surveys to obtain </w:t>
      </w:r>
      <w:r w:rsidRPr="00A23EED">
        <w:rPr>
          <w:rStyle w:val="a"/>
          <w:rFonts w:ascii="Times New Roman" w:hAnsi="Times New Roman"/>
          <w:i/>
          <w:sz w:val="22"/>
          <w:szCs w:val="22"/>
        </w:rPr>
        <w:t xml:space="preserve">information on which to base hour burden estimates.  Consultation with a sample (fewer than 10) of potential respondents is desirable. </w:t>
      </w:r>
    </w:p>
    <w:p w:rsidR="008A3EFE" w:rsidRPr="00A23EED" w:rsidP="008A3EFE" w14:paraId="37A41EC6" w14:textId="77777777">
      <w:pPr>
        <w:numPr>
          <w:ilvl w:val="0"/>
          <w:numId w:val="7"/>
        </w:numPr>
        <w:tabs>
          <w:tab w:val="left" w:pos="-720"/>
          <w:tab w:val="clear" w:pos="1060"/>
          <w:tab w:val="num" w:pos="1170"/>
          <w:tab w:val="left" w:pos="1247"/>
        </w:tabs>
        <w:suppressAutoHyphens/>
        <w:ind w:left="1170"/>
        <w:rPr>
          <w:rStyle w:val="a"/>
          <w:rFonts w:ascii="Times New Roman" w:hAnsi="Times New Roman"/>
          <w:i/>
          <w:sz w:val="22"/>
          <w:szCs w:val="22"/>
        </w:rPr>
      </w:pPr>
      <w:r w:rsidRPr="00A23EED">
        <w:rPr>
          <w:rStyle w:val="a"/>
          <w:rFonts w:ascii="Times New Roman" w:hAnsi="Times New Roman"/>
          <w:i/>
          <w:sz w:val="22"/>
          <w:szCs w:val="22"/>
        </w:rPr>
        <w:t>If this request for approval covers more than one form, provide separate hour burden estimates for each form and aggregate the hour burden in the table below.</w:t>
      </w:r>
    </w:p>
    <w:p w:rsidR="008A3EFE" w:rsidRPr="00A23EED" w:rsidP="008A3EFE" w14:paraId="2E3D73DD" w14:textId="77777777">
      <w:pPr>
        <w:numPr>
          <w:ilvl w:val="0"/>
          <w:numId w:val="7"/>
        </w:numPr>
        <w:tabs>
          <w:tab w:val="left" w:pos="-720"/>
          <w:tab w:val="clear" w:pos="1060"/>
          <w:tab w:val="num" w:pos="1170"/>
          <w:tab w:val="left" w:pos="1247"/>
        </w:tabs>
        <w:suppressAutoHyphens/>
        <w:ind w:left="1166"/>
        <w:rPr>
          <w:rStyle w:val="a"/>
          <w:rFonts w:ascii="Times New Roman" w:hAnsi="Times New Roman"/>
          <w:i/>
          <w:sz w:val="22"/>
          <w:szCs w:val="22"/>
        </w:rPr>
      </w:pPr>
      <w:r w:rsidRPr="00A23EED">
        <w:rPr>
          <w:rStyle w:val="a"/>
          <w:rFonts w:ascii="Times New Roman" w:hAnsi="Times New Roman"/>
          <w:i/>
          <w:sz w:val="22"/>
          <w:szCs w:val="22"/>
        </w:rPr>
        <w:t xml:space="preserve">Provide estimates of annualized cost to respondents of the hour burdens for collections of information, identifying and using appropriate wage rate categories. </w:t>
      </w:r>
      <w:hyperlink r:id="rId8" w:history="1">
        <w:r w:rsidRPr="00A23EED">
          <w:rPr>
            <w:rStyle w:val="Hyperlink"/>
            <w:rFonts w:ascii="Times New Roman" w:hAnsi="Times New Roman"/>
            <w:i/>
            <w:sz w:val="22"/>
            <w:szCs w:val="22"/>
          </w:rPr>
          <w:t>Use this site</w:t>
        </w:r>
      </w:hyperlink>
      <w:r w:rsidRPr="00A23EED">
        <w:rPr>
          <w:rStyle w:val="a"/>
          <w:rFonts w:ascii="Times New Roman" w:hAnsi="Times New Roman"/>
          <w:i/>
          <w:sz w:val="22"/>
          <w:szCs w:val="22"/>
        </w:rPr>
        <w:t xml:space="preserve"> to research the appropriate wage rate. The cost of contracting out or paying outside parties for information collection activities should not be included here.  Instead, this cost should be included in Item 14. If there is no cost to respondents, indicate by entering 0 in the chart below and/or provide a statement.</w:t>
      </w:r>
    </w:p>
    <w:p w:rsidR="008A3EFE" w:rsidRPr="00A23EED" w:rsidP="008A3EFE" w14:paraId="0692A846" w14:textId="77777777">
      <w:pPr>
        <w:tabs>
          <w:tab w:val="left" w:pos="-720"/>
          <w:tab w:val="left" w:pos="1247"/>
        </w:tabs>
        <w:suppressAutoHyphens/>
        <w:rPr>
          <w:rStyle w:val="a"/>
          <w:rFonts w:ascii="Times New Roman" w:hAnsi="Times New Roman"/>
          <w:i/>
          <w:sz w:val="22"/>
          <w:szCs w:val="22"/>
        </w:rPr>
      </w:pPr>
    </w:p>
    <w:p w:rsidR="008A3EFE" w:rsidRPr="00A23EED" w:rsidP="008A3EFE" w14:paraId="434E47BE" w14:textId="77777777">
      <w:pPr>
        <w:pStyle w:val="ListParagraph"/>
        <w:tabs>
          <w:tab w:val="left" w:pos="-720"/>
        </w:tabs>
        <w:suppressAutoHyphens/>
        <w:contextualSpacing w:val="0"/>
        <w:rPr>
          <w:rFonts w:ascii="Times New Roman" w:hAnsi="Times New Roman"/>
          <w:i/>
          <w:sz w:val="22"/>
          <w:szCs w:val="22"/>
        </w:rPr>
      </w:pPr>
      <w:r w:rsidRPr="00A23EED">
        <w:rPr>
          <w:rFonts w:ascii="Times New Roman" w:hAnsi="Times New Roman"/>
          <w:i/>
          <w:sz w:val="22"/>
          <w:szCs w:val="22"/>
        </w:rPr>
        <w:t>Provide a descriptive narrative here in addition to completing the table below with burden hour estimates.</w:t>
      </w:r>
    </w:p>
    <w:p w:rsidR="008A3EFE" w:rsidP="008A3EFE" w14:paraId="2D231459" w14:textId="77777777">
      <w:pPr>
        <w:pStyle w:val="ListParagraph"/>
        <w:tabs>
          <w:tab w:val="left" w:pos="-720"/>
        </w:tabs>
        <w:suppressAutoHyphens/>
        <w:rPr>
          <w:rStyle w:val="a"/>
          <w:rFonts w:ascii="Times New Roman" w:hAnsi="Times New Roman"/>
          <w:szCs w:val="24"/>
        </w:rPr>
      </w:pPr>
    </w:p>
    <w:p w:rsidR="008A3EFE" w:rsidRPr="00A23EED" w:rsidP="008A3EFE" w14:paraId="35D06962" w14:textId="77777777">
      <w:pPr>
        <w:pStyle w:val="Caption"/>
        <w:jc w:val="center"/>
        <w:rPr>
          <w:rFonts w:ascii="Times New Roman" w:hAnsi="Times New Roman"/>
          <w:color w:val="000000" w:themeColor="text1"/>
          <w:sz w:val="22"/>
          <w:szCs w:val="22"/>
        </w:rPr>
      </w:pPr>
      <w:r w:rsidRPr="00A23EED">
        <w:rPr>
          <w:rFonts w:ascii="Times New Roman" w:hAnsi="Times New Roman"/>
          <w:color w:val="000000" w:themeColor="text1"/>
          <w:sz w:val="22"/>
          <w:szCs w:val="22"/>
        </w:rPr>
        <w:t>Estimated Annual Burden and Respondent Costs Table</w:t>
      </w:r>
    </w:p>
    <w:tbl>
      <w:tblPr>
        <w:tblStyle w:val="GridTableLight"/>
        <w:tblpPr w:leftFromText="180" w:rightFromText="180" w:vertAnchor="text" w:horzAnchor="margin" w:tblpXSpec="center" w:tblpY="174"/>
        <w:tblW w:w="11335" w:type="dxa"/>
        <w:tblLayout w:type="fixed"/>
        <w:tblLook w:val="0020"/>
      </w:tblPr>
      <w:tblGrid>
        <w:gridCol w:w="1345"/>
        <w:gridCol w:w="1265"/>
        <w:gridCol w:w="1255"/>
        <w:gridCol w:w="1275"/>
        <w:gridCol w:w="1080"/>
        <w:gridCol w:w="1335"/>
        <w:gridCol w:w="900"/>
        <w:gridCol w:w="1530"/>
        <w:gridCol w:w="1350"/>
      </w:tblGrid>
      <w:tr w14:paraId="18753206" w14:textId="77777777" w:rsidTr="000E581E">
        <w:tblPrEx>
          <w:tblW w:w="11335" w:type="dxa"/>
          <w:tblLayout w:type="fixed"/>
          <w:tblLook w:val="0020"/>
        </w:tblPrEx>
        <w:trPr>
          <w:tblHeader/>
        </w:trPr>
        <w:tc>
          <w:tcPr>
            <w:tcW w:w="1345" w:type="dxa"/>
            <w:vAlign w:val="center"/>
          </w:tcPr>
          <w:p w:rsidR="008A3EFE" w:rsidRPr="007F6104" w:rsidP="000E581E" w14:paraId="1767A048" w14:textId="77777777">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265" w:type="dxa"/>
            <w:vAlign w:val="center"/>
          </w:tcPr>
          <w:p w:rsidR="008A3EFE" w:rsidRPr="007F6104" w:rsidP="000E581E" w14:paraId="7D7CAF29" w14:textId="77777777">
            <w:pPr>
              <w:jc w:val="center"/>
              <w:rPr>
                <w:rFonts w:ascii="Times New Roman" w:hAnsi="Times New Roman"/>
                <w:sz w:val="20"/>
              </w:rPr>
            </w:pPr>
            <w:r>
              <w:rPr>
                <w:rFonts w:ascii="Times New Roman" w:hAnsi="Times New Roman"/>
                <w:sz w:val="20"/>
              </w:rPr>
              <w:t xml:space="preserve">Sample Size </w:t>
            </w:r>
            <w:r w:rsidRPr="00581C11">
              <w:rPr>
                <w:rFonts w:ascii="Times New Roman" w:hAnsi="Times New Roman"/>
                <w:sz w:val="20"/>
                <w:shd w:val="clear" w:color="auto" w:fill="D9D9D9" w:themeFill="background1" w:themeFillShade="D9"/>
              </w:rPr>
              <w:t>(if applicable)</w:t>
            </w:r>
          </w:p>
        </w:tc>
        <w:tc>
          <w:tcPr>
            <w:tcW w:w="1255" w:type="dxa"/>
            <w:vAlign w:val="center"/>
          </w:tcPr>
          <w:p w:rsidR="008A3EFE" w:rsidRPr="007F6104" w:rsidP="000E581E" w14:paraId="3358C343" w14:textId="77777777">
            <w:pPr>
              <w:shd w:val="clear" w:color="auto" w:fill="F2F2F2" w:themeFill="background1" w:themeFillShade="F2"/>
              <w:jc w:val="center"/>
              <w:rPr>
                <w:rFonts w:ascii="Times New Roman" w:hAnsi="Times New Roman"/>
                <w:sz w:val="20"/>
              </w:rPr>
            </w:pPr>
            <w:r w:rsidRPr="00581C11">
              <w:rPr>
                <w:rFonts w:ascii="Times New Roman" w:hAnsi="Times New Roman"/>
                <w:sz w:val="20"/>
                <w:shd w:val="clear" w:color="auto" w:fill="F2F2F2" w:themeFill="background1" w:themeFillShade="F2"/>
              </w:rPr>
              <w:t xml:space="preserve">Respondent Response Rate </w:t>
            </w:r>
            <w:r w:rsidRPr="00581C11">
              <w:rPr>
                <w:rFonts w:ascii="Times New Roman" w:hAnsi="Times New Roman"/>
                <w:sz w:val="20"/>
                <w:shd w:val="clear" w:color="auto" w:fill="D9D9D9" w:themeFill="background1" w:themeFillShade="D9"/>
              </w:rPr>
              <w:t>(if applicable)</w:t>
            </w:r>
          </w:p>
        </w:tc>
        <w:tc>
          <w:tcPr>
            <w:tcW w:w="1275" w:type="dxa"/>
            <w:vAlign w:val="center"/>
          </w:tcPr>
          <w:p w:rsidR="008A3EFE" w:rsidRPr="007F6104" w:rsidP="000E581E" w14:paraId="6F47B57B" w14:textId="77777777">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080" w:type="dxa"/>
            <w:vAlign w:val="center"/>
          </w:tcPr>
          <w:p w:rsidR="008A3EFE" w:rsidRPr="007F6104" w:rsidP="000E581E" w14:paraId="2D0A2F37" w14:textId="77777777">
            <w:pPr>
              <w:jc w:val="center"/>
              <w:rPr>
                <w:rFonts w:ascii="Times New Roman" w:hAnsi="Times New Roman"/>
                <w:sz w:val="20"/>
              </w:rPr>
            </w:pPr>
            <w:r w:rsidRPr="007F6104">
              <w:rPr>
                <w:rFonts w:ascii="Times New Roman" w:hAnsi="Times New Roman"/>
                <w:sz w:val="20"/>
              </w:rPr>
              <w:t>Number of Responses</w:t>
            </w:r>
          </w:p>
        </w:tc>
        <w:tc>
          <w:tcPr>
            <w:tcW w:w="1335" w:type="dxa"/>
            <w:vAlign w:val="center"/>
          </w:tcPr>
          <w:p w:rsidR="008A3EFE" w:rsidRPr="007F6104" w:rsidP="000E581E" w14:paraId="7AC20A72" w14:textId="77777777">
            <w:pPr>
              <w:jc w:val="center"/>
              <w:rPr>
                <w:rFonts w:ascii="Times New Roman" w:hAnsi="Times New Roman"/>
                <w:sz w:val="20"/>
              </w:rPr>
            </w:pPr>
            <w:r w:rsidRPr="007F6104">
              <w:rPr>
                <w:rFonts w:ascii="Times New Roman" w:hAnsi="Times New Roman"/>
                <w:sz w:val="20"/>
              </w:rPr>
              <w:t>Average Burden Hours per Response</w:t>
            </w:r>
          </w:p>
        </w:tc>
        <w:tc>
          <w:tcPr>
            <w:tcW w:w="900" w:type="dxa"/>
            <w:vAlign w:val="center"/>
          </w:tcPr>
          <w:p w:rsidR="008A3EFE" w:rsidRPr="007F6104" w:rsidP="000E581E" w14:paraId="0117C3D5" w14:textId="77777777">
            <w:pPr>
              <w:jc w:val="center"/>
              <w:rPr>
                <w:rFonts w:ascii="Times New Roman" w:hAnsi="Times New Roman"/>
                <w:sz w:val="20"/>
              </w:rPr>
            </w:pPr>
            <w:r w:rsidRPr="007F6104">
              <w:rPr>
                <w:rFonts w:ascii="Times New Roman" w:hAnsi="Times New Roman"/>
                <w:sz w:val="20"/>
              </w:rPr>
              <w:t xml:space="preserve">Total </w:t>
            </w:r>
            <w:r>
              <w:rPr>
                <w:rFonts w:ascii="Times New Roman" w:hAnsi="Times New Roman"/>
                <w:sz w:val="20"/>
              </w:rPr>
              <w:t xml:space="preserve">Annual </w:t>
            </w:r>
            <w:r w:rsidRPr="007F6104">
              <w:rPr>
                <w:rFonts w:ascii="Times New Roman" w:hAnsi="Times New Roman"/>
                <w:sz w:val="20"/>
              </w:rPr>
              <w:t>Burden Hours</w:t>
            </w:r>
          </w:p>
        </w:tc>
        <w:tc>
          <w:tcPr>
            <w:tcW w:w="1530" w:type="dxa"/>
            <w:vAlign w:val="center"/>
          </w:tcPr>
          <w:p w:rsidR="008A3EFE" w:rsidRPr="007F6104" w:rsidP="000E581E" w14:paraId="07C08525" w14:textId="77777777">
            <w:pPr>
              <w:jc w:val="center"/>
              <w:rPr>
                <w:rFonts w:ascii="Times New Roman" w:hAnsi="Times New Roman"/>
                <w:sz w:val="20"/>
              </w:rPr>
            </w:pPr>
            <w:r w:rsidRPr="00FE1BAE">
              <w:rPr>
                <w:rFonts w:ascii="Times New Roman" w:hAnsi="Times New Roman"/>
                <w:sz w:val="20"/>
              </w:rPr>
              <w:t>Estimated Respondent Average Hourly Wage</w:t>
            </w:r>
          </w:p>
        </w:tc>
        <w:tc>
          <w:tcPr>
            <w:tcW w:w="1350" w:type="dxa"/>
            <w:vAlign w:val="center"/>
          </w:tcPr>
          <w:p w:rsidR="008A3EFE" w:rsidRPr="007F6104" w:rsidP="000E581E" w14:paraId="7FC089D8"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14:paraId="52AE8A7C" w14:textId="77777777" w:rsidTr="00A23EED">
        <w:tblPrEx>
          <w:tblW w:w="11335" w:type="dxa"/>
          <w:tblLayout w:type="fixed"/>
          <w:tblLook w:val="0020"/>
        </w:tblPrEx>
        <w:tc>
          <w:tcPr>
            <w:tcW w:w="1345" w:type="dxa"/>
          </w:tcPr>
          <w:p w:rsidR="005C45AE" w:rsidRPr="00A23EED" w:rsidP="005C45AE" w14:paraId="630CC680" w14:textId="77777777">
            <w:pPr>
              <w:rPr>
                <w:rFonts w:ascii="Times New Roman" w:hAnsi="Times New Roman"/>
                <w:bCs/>
                <w:sz w:val="22"/>
                <w:szCs w:val="22"/>
              </w:rPr>
            </w:pPr>
            <w:r w:rsidRPr="00A23EED">
              <w:rPr>
                <w:rFonts w:ascii="Times New Roman" w:hAnsi="Times New Roman"/>
                <w:bCs/>
                <w:sz w:val="22"/>
                <w:szCs w:val="22"/>
              </w:rPr>
              <w:t>Public Sector</w:t>
            </w:r>
          </w:p>
        </w:tc>
        <w:tc>
          <w:tcPr>
            <w:tcW w:w="1265" w:type="dxa"/>
          </w:tcPr>
          <w:p w:rsidR="005C45AE" w:rsidRPr="00A23EED" w:rsidP="005C45AE" w14:paraId="7C2810C9" w14:textId="77777777">
            <w:pPr>
              <w:rPr>
                <w:rFonts w:ascii="Times New Roman" w:hAnsi="Times New Roman"/>
                <w:sz w:val="22"/>
                <w:szCs w:val="22"/>
              </w:rPr>
            </w:pPr>
            <w:r w:rsidRPr="00A23EED">
              <w:rPr>
                <w:rFonts w:ascii="Times New Roman" w:hAnsi="Times New Roman"/>
                <w:sz w:val="22"/>
                <w:szCs w:val="22"/>
              </w:rPr>
              <w:t>N/A</w:t>
            </w:r>
          </w:p>
        </w:tc>
        <w:tc>
          <w:tcPr>
            <w:tcW w:w="1255" w:type="dxa"/>
          </w:tcPr>
          <w:p w:rsidR="005C45AE" w:rsidRPr="00A23EED" w:rsidP="005C45AE" w14:paraId="2818EBA1" w14:textId="77777777">
            <w:pPr>
              <w:rPr>
                <w:rFonts w:ascii="Times New Roman" w:hAnsi="Times New Roman"/>
                <w:sz w:val="22"/>
                <w:szCs w:val="22"/>
              </w:rPr>
            </w:pPr>
            <w:r w:rsidRPr="00A23EED">
              <w:rPr>
                <w:rFonts w:ascii="Times New Roman" w:hAnsi="Times New Roman"/>
                <w:sz w:val="22"/>
                <w:szCs w:val="22"/>
              </w:rPr>
              <w:t>N/A</w:t>
            </w:r>
          </w:p>
        </w:tc>
        <w:tc>
          <w:tcPr>
            <w:tcW w:w="1275" w:type="dxa"/>
          </w:tcPr>
          <w:p w:rsidR="005C45AE" w:rsidRPr="00A23EED" w:rsidP="005C45AE" w14:paraId="5F1435A9" w14:textId="77777777">
            <w:pPr>
              <w:rPr>
                <w:rFonts w:ascii="Times New Roman" w:hAnsi="Times New Roman"/>
                <w:sz w:val="22"/>
                <w:szCs w:val="22"/>
              </w:rPr>
            </w:pPr>
            <w:r>
              <w:rPr>
                <w:rFonts w:ascii="Times New Roman" w:hAnsi="Times New Roman"/>
                <w:sz w:val="22"/>
                <w:szCs w:val="22"/>
              </w:rPr>
              <w:t>151</w:t>
            </w:r>
          </w:p>
        </w:tc>
        <w:tc>
          <w:tcPr>
            <w:tcW w:w="1080" w:type="dxa"/>
          </w:tcPr>
          <w:p w:rsidR="005C45AE" w:rsidRPr="00A23EED" w:rsidP="005C45AE" w14:paraId="255B7AC0" w14:textId="77777777">
            <w:pPr>
              <w:rPr>
                <w:rFonts w:ascii="Times New Roman" w:hAnsi="Times New Roman"/>
                <w:sz w:val="22"/>
                <w:szCs w:val="22"/>
              </w:rPr>
            </w:pPr>
            <w:r>
              <w:rPr>
                <w:rFonts w:ascii="Times New Roman" w:hAnsi="Times New Roman"/>
                <w:sz w:val="22"/>
                <w:szCs w:val="22"/>
              </w:rPr>
              <w:t>151</w:t>
            </w:r>
          </w:p>
        </w:tc>
        <w:tc>
          <w:tcPr>
            <w:tcW w:w="1335" w:type="dxa"/>
          </w:tcPr>
          <w:p w:rsidR="005C45AE" w:rsidRPr="00A23EED" w:rsidP="005C45AE" w14:paraId="4180CFDF" w14:textId="77777777">
            <w:pPr>
              <w:rPr>
                <w:rFonts w:ascii="Times New Roman" w:hAnsi="Times New Roman"/>
                <w:sz w:val="22"/>
                <w:szCs w:val="22"/>
              </w:rPr>
            </w:pPr>
            <w:r w:rsidRPr="00A23EED">
              <w:rPr>
                <w:rFonts w:ascii="Times New Roman" w:hAnsi="Times New Roman"/>
                <w:sz w:val="22"/>
                <w:szCs w:val="22"/>
              </w:rPr>
              <w:t>11</w:t>
            </w:r>
            <w:r w:rsidR="007F5479">
              <w:rPr>
                <w:rFonts w:ascii="Times New Roman" w:hAnsi="Times New Roman"/>
                <w:sz w:val="22"/>
                <w:szCs w:val="22"/>
              </w:rPr>
              <w:t>.15</w:t>
            </w:r>
          </w:p>
        </w:tc>
        <w:tc>
          <w:tcPr>
            <w:tcW w:w="900" w:type="dxa"/>
          </w:tcPr>
          <w:p w:rsidR="005C45AE" w:rsidRPr="00A23EED" w:rsidP="005C45AE" w14:paraId="05B379BA" w14:textId="77777777">
            <w:pPr>
              <w:rPr>
                <w:rFonts w:ascii="Times New Roman" w:hAnsi="Times New Roman"/>
                <w:sz w:val="22"/>
                <w:szCs w:val="22"/>
              </w:rPr>
            </w:pPr>
            <w:r w:rsidRPr="005C45AE">
              <w:rPr>
                <w:rFonts w:ascii="Times New Roman" w:hAnsi="Times New Roman"/>
                <w:sz w:val="22"/>
                <w:szCs w:val="22"/>
              </w:rPr>
              <w:t>1,</w:t>
            </w:r>
            <w:r w:rsidR="00F41F7C">
              <w:rPr>
                <w:rFonts w:ascii="Times New Roman" w:hAnsi="Times New Roman"/>
                <w:sz w:val="22"/>
                <w:szCs w:val="22"/>
              </w:rPr>
              <w:t>684</w:t>
            </w:r>
          </w:p>
        </w:tc>
        <w:tc>
          <w:tcPr>
            <w:tcW w:w="1530" w:type="dxa"/>
            <w:vMerge w:val="restart"/>
            <w:vAlign w:val="center"/>
          </w:tcPr>
          <w:p w:rsidR="005C45AE" w:rsidRPr="00A23EED" w:rsidP="0052291A" w14:paraId="515194A2" w14:textId="77777777">
            <w:pPr>
              <w:rPr>
                <w:rFonts w:ascii="Times New Roman" w:hAnsi="Times New Roman"/>
                <w:sz w:val="22"/>
                <w:szCs w:val="22"/>
              </w:rPr>
            </w:pPr>
            <w:r w:rsidRPr="00A23EED">
              <w:rPr>
                <w:rFonts w:ascii="Times New Roman" w:hAnsi="Times New Roman"/>
                <w:sz w:val="22"/>
                <w:szCs w:val="22"/>
              </w:rPr>
              <w:t>Professional: $40/hour</w:t>
            </w:r>
          </w:p>
          <w:p w:rsidR="005C45AE" w:rsidRPr="00A23EED" w:rsidP="0052291A" w14:paraId="41BFF04E" w14:textId="77777777">
            <w:pPr>
              <w:rPr>
                <w:rFonts w:ascii="Times New Roman" w:hAnsi="Times New Roman"/>
                <w:sz w:val="22"/>
                <w:szCs w:val="22"/>
              </w:rPr>
            </w:pPr>
            <w:r w:rsidRPr="00A23EED">
              <w:rPr>
                <w:rFonts w:ascii="Times New Roman" w:hAnsi="Times New Roman"/>
                <w:sz w:val="22"/>
                <w:szCs w:val="22"/>
              </w:rPr>
              <w:t>Clerical: $18/hour</w:t>
            </w:r>
          </w:p>
        </w:tc>
        <w:tc>
          <w:tcPr>
            <w:tcW w:w="1350" w:type="dxa"/>
          </w:tcPr>
          <w:p w:rsidR="005C45AE" w:rsidP="00A23EED" w14:paraId="7B72B7EC" w14:textId="77777777">
            <w:pPr>
              <w:rPr>
                <w:rFonts w:ascii="Times New Roman" w:hAnsi="Times New Roman"/>
                <w:sz w:val="22"/>
                <w:szCs w:val="22"/>
              </w:rPr>
            </w:pPr>
            <w:r>
              <w:rPr>
                <w:rFonts w:ascii="Times New Roman" w:hAnsi="Times New Roman"/>
                <w:sz w:val="22"/>
                <w:szCs w:val="22"/>
              </w:rPr>
              <w:t>P: $</w:t>
            </w:r>
            <w:r w:rsidR="00EA6C47">
              <w:rPr>
                <w:rFonts w:ascii="Times New Roman" w:hAnsi="Times New Roman"/>
                <w:sz w:val="22"/>
                <w:szCs w:val="22"/>
              </w:rPr>
              <w:t>61,306</w:t>
            </w:r>
          </w:p>
          <w:p w:rsidR="004F0673" w:rsidRPr="00A23EED" w:rsidP="00F428AE" w14:paraId="7B06E5E5" w14:textId="77777777">
            <w:pPr>
              <w:rPr>
                <w:rFonts w:ascii="Times New Roman" w:hAnsi="Times New Roman"/>
                <w:sz w:val="22"/>
                <w:szCs w:val="22"/>
              </w:rPr>
            </w:pPr>
            <w:r>
              <w:rPr>
                <w:rFonts w:ascii="Times New Roman" w:hAnsi="Times New Roman"/>
                <w:sz w:val="22"/>
                <w:szCs w:val="22"/>
              </w:rPr>
              <w:t xml:space="preserve">C: </w:t>
            </w:r>
            <w:r w:rsidR="00F428AE">
              <w:rPr>
                <w:rFonts w:ascii="Times New Roman" w:hAnsi="Times New Roman"/>
                <w:sz w:val="22"/>
                <w:szCs w:val="22"/>
              </w:rPr>
              <w:t>$2,</w:t>
            </w:r>
            <w:r w:rsidR="00EA6C47">
              <w:rPr>
                <w:rFonts w:ascii="Times New Roman" w:hAnsi="Times New Roman"/>
                <w:sz w:val="22"/>
                <w:szCs w:val="22"/>
              </w:rPr>
              <w:t>718</w:t>
            </w:r>
          </w:p>
        </w:tc>
      </w:tr>
      <w:tr w14:paraId="41E04AB8" w14:textId="77777777" w:rsidTr="00A23EED">
        <w:tblPrEx>
          <w:tblW w:w="11335" w:type="dxa"/>
          <w:tblLayout w:type="fixed"/>
          <w:tblLook w:val="0020"/>
        </w:tblPrEx>
        <w:tc>
          <w:tcPr>
            <w:tcW w:w="1345" w:type="dxa"/>
          </w:tcPr>
          <w:p w:rsidR="005C45AE" w:rsidRPr="00A23EED" w:rsidP="005C45AE" w14:paraId="0D03A079" w14:textId="77777777">
            <w:pPr>
              <w:rPr>
                <w:rFonts w:ascii="Times New Roman" w:hAnsi="Times New Roman"/>
                <w:bCs/>
                <w:sz w:val="22"/>
                <w:szCs w:val="22"/>
              </w:rPr>
            </w:pPr>
            <w:r w:rsidRPr="00A23EED">
              <w:rPr>
                <w:rFonts w:ascii="Times New Roman" w:hAnsi="Times New Roman"/>
                <w:bCs/>
                <w:sz w:val="22"/>
                <w:szCs w:val="22"/>
              </w:rPr>
              <w:t>Private, Non-profit Sector</w:t>
            </w:r>
          </w:p>
        </w:tc>
        <w:tc>
          <w:tcPr>
            <w:tcW w:w="1265" w:type="dxa"/>
          </w:tcPr>
          <w:p w:rsidR="005C45AE" w:rsidRPr="00A23EED" w:rsidP="005C45AE" w14:paraId="5F300B3C" w14:textId="77777777">
            <w:pPr>
              <w:rPr>
                <w:rFonts w:ascii="Times New Roman" w:hAnsi="Times New Roman"/>
                <w:sz w:val="22"/>
                <w:szCs w:val="22"/>
              </w:rPr>
            </w:pPr>
            <w:r w:rsidRPr="00A23EED">
              <w:rPr>
                <w:rFonts w:ascii="Times New Roman" w:hAnsi="Times New Roman"/>
                <w:sz w:val="22"/>
                <w:szCs w:val="22"/>
              </w:rPr>
              <w:t>N/A</w:t>
            </w:r>
          </w:p>
        </w:tc>
        <w:tc>
          <w:tcPr>
            <w:tcW w:w="1255" w:type="dxa"/>
          </w:tcPr>
          <w:p w:rsidR="005C45AE" w:rsidRPr="00A23EED" w:rsidP="005C45AE" w14:paraId="512BEF5D" w14:textId="77777777">
            <w:pPr>
              <w:rPr>
                <w:rFonts w:ascii="Times New Roman" w:hAnsi="Times New Roman"/>
                <w:sz w:val="22"/>
                <w:szCs w:val="22"/>
              </w:rPr>
            </w:pPr>
            <w:r w:rsidRPr="00A23EED">
              <w:rPr>
                <w:rFonts w:ascii="Times New Roman" w:hAnsi="Times New Roman"/>
                <w:sz w:val="22"/>
                <w:szCs w:val="22"/>
              </w:rPr>
              <w:t>N/A</w:t>
            </w:r>
          </w:p>
        </w:tc>
        <w:tc>
          <w:tcPr>
            <w:tcW w:w="1275" w:type="dxa"/>
          </w:tcPr>
          <w:p w:rsidR="005C45AE" w:rsidRPr="00A23EED" w:rsidP="005C45AE" w14:paraId="1D8A9236" w14:textId="77777777">
            <w:pPr>
              <w:rPr>
                <w:rFonts w:ascii="Times New Roman" w:hAnsi="Times New Roman"/>
                <w:sz w:val="22"/>
                <w:szCs w:val="22"/>
              </w:rPr>
            </w:pPr>
            <w:r>
              <w:rPr>
                <w:rFonts w:ascii="Times New Roman" w:hAnsi="Times New Roman"/>
                <w:sz w:val="22"/>
                <w:szCs w:val="22"/>
              </w:rPr>
              <w:t>55</w:t>
            </w:r>
          </w:p>
        </w:tc>
        <w:tc>
          <w:tcPr>
            <w:tcW w:w="1080" w:type="dxa"/>
          </w:tcPr>
          <w:p w:rsidR="005C45AE" w:rsidRPr="00A23EED" w:rsidP="005C45AE" w14:paraId="6817E9C5" w14:textId="77777777">
            <w:pPr>
              <w:rPr>
                <w:rFonts w:ascii="Times New Roman" w:hAnsi="Times New Roman"/>
                <w:sz w:val="22"/>
                <w:szCs w:val="22"/>
              </w:rPr>
            </w:pPr>
            <w:r>
              <w:rPr>
                <w:rFonts w:ascii="Times New Roman" w:hAnsi="Times New Roman"/>
                <w:sz w:val="22"/>
                <w:szCs w:val="22"/>
              </w:rPr>
              <w:t>55</w:t>
            </w:r>
          </w:p>
        </w:tc>
        <w:tc>
          <w:tcPr>
            <w:tcW w:w="1335" w:type="dxa"/>
          </w:tcPr>
          <w:p w:rsidR="005C45AE" w:rsidRPr="00A23EED" w:rsidP="005C45AE" w14:paraId="787027B2" w14:textId="77777777">
            <w:pPr>
              <w:rPr>
                <w:rFonts w:ascii="Times New Roman" w:hAnsi="Times New Roman"/>
                <w:sz w:val="22"/>
                <w:szCs w:val="22"/>
              </w:rPr>
            </w:pPr>
            <w:r w:rsidRPr="00A23EED">
              <w:rPr>
                <w:rFonts w:ascii="Times New Roman" w:hAnsi="Times New Roman"/>
                <w:sz w:val="22"/>
                <w:szCs w:val="22"/>
              </w:rPr>
              <w:t>11</w:t>
            </w:r>
            <w:r w:rsidR="007F5479">
              <w:rPr>
                <w:rFonts w:ascii="Times New Roman" w:hAnsi="Times New Roman"/>
                <w:sz w:val="22"/>
                <w:szCs w:val="22"/>
              </w:rPr>
              <w:t>.15</w:t>
            </w:r>
          </w:p>
        </w:tc>
        <w:tc>
          <w:tcPr>
            <w:tcW w:w="900" w:type="dxa"/>
          </w:tcPr>
          <w:p w:rsidR="005C45AE" w:rsidRPr="00A23EED" w:rsidP="005C45AE" w14:paraId="01AFBE8B" w14:textId="77777777">
            <w:pPr>
              <w:pStyle w:val="EndnoteText"/>
              <w:tabs>
                <w:tab w:val="clear" w:pos="-720"/>
              </w:tabs>
              <w:suppressAutoHyphens w:val="0"/>
              <w:rPr>
                <w:rFonts w:ascii="Times New Roman" w:hAnsi="Times New Roman"/>
                <w:sz w:val="22"/>
                <w:szCs w:val="22"/>
              </w:rPr>
            </w:pPr>
            <w:r>
              <w:rPr>
                <w:rFonts w:ascii="Times New Roman" w:hAnsi="Times New Roman"/>
                <w:sz w:val="22"/>
                <w:szCs w:val="22"/>
              </w:rPr>
              <w:t>613</w:t>
            </w:r>
          </w:p>
        </w:tc>
        <w:tc>
          <w:tcPr>
            <w:tcW w:w="1530" w:type="dxa"/>
            <w:vMerge/>
          </w:tcPr>
          <w:p w:rsidR="005C45AE" w:rsidRPr="00A23EED" w:rsidP="005C45AE" w14:paraId="4E2D9D1B" w14:textId="77777777">
            <w:pPr>
              <w:rPr>
                <w:rFonts w:ascii="Times New Roman" w:hAnsi="Times New Roman"/>
                <w:sz w:val="22"/>
                <w:szCs w:val="22"/>
              </w:rPr>
            </w:pPr>
          </w:p>
        </w:tc>
        <w:tc>
          <w:tcPr>
            <w:tcW w:w="1350" w:type="dxa"/>
          </w:tcPr>
          <w:p w:rsidR="005C45AE" w:rsidP="00F428AE" w14:paraId="46F10102" w14:textId="77777777">
            <w:pPr>
              <w:rPr>
                <w:rFonts w:ascii="Times New Roman" w:hAnsi="Times New Roman"/>
                <w:sz w:val="22"/>
                <w:szCs w:val="22"/>
              </w:rPr>
            </w:pPr>
            <w:r>
              <w:rPr>
                <w:rFonts w:ascii="Times New Roman" w:hAnsi="Times New Roman"/>
                <w:sz w:val="22"/>
                <w:szCs w:val="22"/>
              </w:rPr>
              <w:t>P: $2</w:t>
            </w:r>
            <w:r w:rsidR="00EA6C47">
              <w:rPr>
                <w:rFonts w:ascii="Times New Roman" w:hAnsi="Times New Roman"/>
                <w:sz w:val="22"/>
                <w:szCs w:val="22"/>
              </w:rPr>
              <w:t>2</w:t>
            </w:r>
            <w:r w:rsidR="00EA6D6C">
              <w:rPr>
                <w:rFonts w:ascii="Times New Roman" w:hAnsi="Times New Roman"/>
                <w:sz w:val="22"/>
                <w:szCs w:val="22"/>
              </w:rPr>
              <w:t>,</w:t>
            </w:r>
            <w:r w:rsidR="00EA6C47">
              <w:rPr>
                <w:rFonts w:ascii="Times New Roman" w:hAnsi="Times New Roman"/>
                <w:sz w:val="22"/>
                <w:szCs w:val="22"/>
              </w:rPr>
              <w:t>330</w:t>
            </w:r>
          </w:p>
          <w:p w:rsidR="00F428AE" w:rsidRPr="00A23EED" w:rsidP="00F428AE" w14:paraId="26C07F4C" w14:textId="77777777">
            <w:pPr>
              <w:rPr>
                <w:rFonts w:ascii="Times New Roman" w:hAnsi="Times New Roman"/>
                <w:sz w:val="22"/>
                <w:szCs w:val="22"/>
              </w:rPr>
            </w:pPr>
            <w:r>
              <w:rPr>
                <w:rFonts w:ascii="Times New Roman" w:hAnsi="Times New Roman"/>
                <w:sz w:val="22"/>
                <w:szCs w:val="22"/>
              </w:rPr>
              <w:t>C: $</w:t>
            </w:r>
            <w:r w:rsidR="00EA6D6C">
              <w:rPr>
                <w:rFonts w:ascii="Times New Roman" w:hAnsi="Times New Roman"/>
                <w:sz w:val="22"/>
                <w:szCs w:val="22"/>
              </w:rPr>
              <w:t>990</w:t>
            </w:r>
          </w:p>
        </w:tc>
      </w:tr>
      <w:tr w14:paraId="647EAF88" w14:textId="77777777" w:rsidTr="00A23EED">
        <w:tblPrEx>
          <w:tblW w:w="11335" w:type="dxa"/>
          <w:tblLayout w:type="fixed"/>
          <w:tblLook w:val="0020"/>
        </w:tblPrEx>
        <w:tc>
          <w:tcPr>
            <w:tcW w:w="1345" w:type="dxa"/>
          </w:tcPr>
          <w:p w:rsidR="00744CB7" w:rsidRPr="00A23EED" w:rsidP="00744CB7" w14:paraId="549F52F4" w14:textId="77777777">
            <w:pPr>
              <w:rPr>
                <w:rFonts w:ascii="Times New Roman" w:hAnsi="Times New Roman"/>
                <w:sz w:val="22"/>
                <w:szCs w:val="22"/>
              </w:rPr>
            </w:pPr>
            <w:r w:rsidRPr="00A23EED">
              <w:rPr>
                <w:rFonts w:ascii="Times New Roman" w:hAnsi="Times New Roman"/>
                <w:sz w:val="22"/>
                <w:szCs w:val="22"/>
              </w:rPr>
              <w:t>Annualized Totals</w:t>
            </w:r>
          </w:p>
        </w:tc>
        <w:tc>
          <w:tcPr>
            <w:tcW w:w="1265" w:type="dxa"/>
          </w:tcPr>
          <w:p w:rsidR="00744CB7" w:rsidRPr="00A23EED" w:rsidP="00744CB7" w14:paraId="7F3E39DF" w14:textId="77777777">
            <w:pPr>
              <w:rPr>
                <w:rFonts w:ascii="Times New Roman" w:hAnsi="Times New Roman"/>
                <w:sz w:val="22"/>
                <w:szCs w:val="22"/>
              </w:rPr>
            </w:pPr>
            <w:r w:rsidRPr="00A23EED">
              <w:rPr>
                <w:rFonts w:ascii="Times New Roman" w:hAnsi="Times New Roman"/>
                <w:sz w:val="22"/>
                <w:szCs w:val="22"/>
              </w:rPr>
              <w:t>x</w:t>
            </w:r>
          </w:p>
        </w:tc>
        <w:tc>
          <w:tcPr>
            <w:tcW w:w="1255" w:type="dxa"/>
          </w:tcPr>
          <w:p w:rsidR="00744CB7" w:rsidRPr="00A23EED" w:rsidP="00744CB7" w14:paraId="113F1B0C" w14:textId="77777777">
            <w:pPr>
              <w:rPr>
                <w:rFonts w:ascii="Times New Roman" w:hAnsi="Times New Roman"/>
                <w:sz w:val="22"/>
                <w:szCs w:val="22"/>
              </w:rPr>
            </w:pPr>
            <w:r w:rsidRPr="00A23EED">
              <w:rPr>
                <w:rFonts w:ascii="Times New Roman" w:hAnsi="Times New Roman"/>
                <w:sz w:val="22"/>
                <w:szCs w:val="22"/>
              </w:rPr>
              <w:t>x</w:t>
            </w:r>
          </w:p>
        </w:tc>
        <w:tc>
          <w:tcPr>
            <w:tcW w:w="1275" w:type="dxa"/>
          </w:tcPr>
          <w:p w:rsidR="00744CB7" w:rsidRPr="00A23EED" w:rsidP="00744CB7" w14:paraId="3CFD58BA" w14:textId="77777777">
            <w:pPr>
              <w:rPr>
                <w:rFonts w:ascii="Times New Roman" w:hAnsi="Times New Roman"/>
                <w:sz w:val="22"/>
                <w:szCs w:val="22"/>
              </w:rPr>
            </w:pPr>
            <w:r>
              <w:rPr>
                <w:rFonts w:ascii="Times New Roman" w:hAnsi="Times New Roman"/>
                <w:sz w:val="22"/>
                <w:szCs w:val="22"/>
              </w:rPr>
              <w:t>206</w:t>
            </w:r>
          </w:p>
        </w:tc>
        <w:tc>
          <w:tcPr>
            <w:tcW w:w="1080" w:type="dxa"/>
          </w:tcPr>
          <w:p w:rsidR="00744CB7" w:rsidRPr="00A23EED" w:rsidP="00744CB7" w14:paraId="5E41A857" w14:textId="77777777">
            <w:pPr>
              <w:rPr>
                <w:rFonts w:ascii="Times New Roman" w:hAnsi="Times New Roman"/>
                <w:sz w:val="22"/>
                <w:szCs w:val="22"/>
              </w:rPr>
            </w:pPr>
            <w:r>
              <w:rPr>
                <w:rFonts w:ascii="Times New Roman" w:hAnsi="Times New Roman"/>
                <w:sz w:val="22"/>
                <w:szCs w:val="22"/>
              </w:rPr>
              <w:t>206</w:t>
            </w:r>
          </w:p>
        </w:tc>
        <w:tc>
          <w:tcPr>
            <w:tcW w:w="1335" w:type="dxa"/>
          </w:tcPr>
          <w:p w:rsidR="00744CB7" w:rsidRPr="00A23EED" w:rsidP="00744CB7" w14:paraId="17E40A78" w14:textId="77777777">
            <w:pPr>
              <w:rPr>
                <w:rFonts w:ascii="Times New Roman" w:hAnsi="Times New Roman"/>
                <w:sz w:val="22"/>
                <w:szCs w:val="22"/>
              </w:rPr>
            </w:pPr>
            <w:r w:rsidRPr="00A23EED">
              <w:rPr>
                <w:rFonts w:ascii="Times New Roman" w:hAnsi="Times New Roman"/>
                <w:sz w:val="22"/>
                <w:szCs w:val="22"/>
              </w:rPr>
              <w:t>x</w:t>
            </w:r>
          </w:p>
        </w:tc>
        <w:tc>
          <w:tcPr>
            <w:tcW w:w="900" w:type="dxa"/>
          </w:tcPr>
          <w:p w:rsidR="00744CB7" w:rsidRPr="00A23EED" w:rsidP="00744CB7" w14:paraId="2272508C" w14:textId="77777777">
            <w:pPr>
              <w:rPr>
                <w:rFonts w:ascii="Times New Roman" w:hAnsi="Times New Roman"/>
                <w:sz w:val="22"/>
                <w:szCs w:val="22"/>
              </w:rPr>
            </w:pPr>
            <w:r w:rsidRPr="005C45AE">
              <w:rPr>
                <w:rFonts w:ascii="Times New Roman" w:hAnsi="Times New Roman"/>
                <w:sz w:val="22"/>
                <w:szCs w:val="22"/>
              </w:rPr>
              <w:t>2,</w:t>
            </w:r>
            <w:r w:rsidR="00D85FEA">
              <w:rPr>
                <w:rFonts w:ascii="Times New Roman" w:hAnsi="Times New Roman"/>
                <w:sz w:val="22"/>
                <w:szCs w:val="22"/>
              </w:rPr>
              <w:t>297</w:t>
            </w:r>
          </w:p>
        </w:tc>
        <w:tc>
          <w:tcPr>
            <w:tcW w:w="1530" w:type="dxa"/>
          </w:tcPr>
          <w:p w:rsidR="00744CB7" w:rsidRPr="00A23EED" w:rsidP="00744CB7" w14:paraId="1688D21E" w14:textId="77777777">
            <w:pPr>
              <w:rPr>
                <w:rFonts w:ascii="Times New Roman" w:hAnsi="Times New Roman"/>
                <w:sz w:val="22"/>
                <w:szCs w:val="22"/>
              </w:rPr>
            </w:pPr>
            <w:r w:rsidRPr="00A23EED">
              <w:rPr>
                <w:rFonts w:ascii="Times New Roman" w:hAnsi="Times New Roman"/>
                <w:sz w:val="22"/>
                <w:szCs w:val="22"/>
              </w:rPr>
              <w:t>x</w:t>
            </w:r>
          </w:p>
        </w:tc>
        <w:tc>
          <w:tcPr>
            <w:tcW w:w="1350" w:type="dxa"/>
          </w:tcPr>
          <w:p w:rsidR="00744CB7" w:rsidRPr="00A23EED" w:rsidP="00744CB7" w14:paraId="19F198C6" w14:textId="77777777">
            <w:pPr>
              <w:rPr>
                <w:rFonts w:ascii="Times New Roman" w:hAnsi="Times New Roman"/>
                <w:bCs/>
                <w:sz w:val="22"/>
                <w:szCs w:val="22"/>
              </w:rPr>
            </w:pPr>
            <w:r w:rsidRPr="00A23EED">
              <w:rPr>
                <w:rFonts w:ascii="Times New Roman" w:hAnsi="Times New Roman"/>
                <w:bCs/>
                <w:sz w:val="22"/>
                <w:szCs w:val="22"/>
              </w:rPr>
              <w:t>$</w:t>
            </w:r>
            <w:r w:rsidR="00EA6D6C">
              <w:rPr>
                <w:rFonts w:ascii="Times New Roman" w:hAnsi="Times New Roman"/>
                <w:bCs/>
                <w:sz w:val="22"/>
                <w:szCs w:val="22"/>
              </w:rPr>
              <w:t>87,344</w:t>
            </w:r>
          </w:p>
        </w:tc>
      </w:tr>
    </w:tbl>
    <w:p w:rsidR="008A3EFE" w:rsidRPr="00AF5D1A" w:rsidP="008A3EFE" w14:paraId="6B20D8CF" w14:textId="77777777">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Please ensure the annual total burden, respondents and response match those entered in IC Data Parts 1 and 2, and the response per respondent matches the Paperwork Burden Statement that must be included on all forms.</w:t>
      </w:r>
    </w:p>
    <w:p w:rsidR="00F02590" w:rsidRPr="0015716C" w:rsidP="008A3EFE" w14:paraId="662A6652" w14:textId="77777777">
      <w:pPr>
        <w:tabs>
          <w:tab w:val="left" w:pos="-720"/>
        </w:tabs>
        <w:suppressAutoHyphens/>
        <w:rPr>
          <w:rFonts w:ascii="Times New Roman" w:hAnsi="Times New Roman"/>
          <w:sz w:val="22"/>
          <w:szCs w:val="22"/>
        </w:rPr>
      </w:pPr>
    </w:p>
    <w:p w:rsidR="00FC58BA" w:rsidRPr="0015716C" w:rsidP="00C377B6" w14:paraId="03A45200" w14:textId="77777777">
      <w:pPr>
        <w:rPr>
          <w:rFonts w:ascii="Times New Roman" w:hAnsi="Times New Roman"/>
          <w:sz w:val="22"/>
          <w:szCs w:val="22"/>
        </w:rPr>
      </w:pPr>
      <w:r w:rsidRPr="0015716C">
        <w:rPr>
          <w:rFonts w:ascii="Times New Roman" w:hAnsi="Times New Roman"/>
          <w:sz w:val="22"/>
          <w:szCs w:val="22"/>
        </w:rPr>
        <w:t>The e</w:t>
      </w:r>
      <w:r w:rsidRPr="0015716C" w:rsidR="009E5367">
        <w:rPr>
          <w:rFonts w:ascii="Times New Roman" w:hAnsi="Times New Roman"/>
          <w:sz w:val="22"/>
          <w:szCs w:val="22"/>
        </w:rPr>
        <w:t>stimated burden hour</w:t>
      </w:r>
      <w:r w:rsidRPr="0015716C" w:rsidR="00F17D11">
        <w:rPr>
          <w:rFonts w:ascii="Times New Roman" w:hAnsi="Times New Roman"/>
          <w:sz w:val="22"/>
          <w:szCs w:val="22"/>
        </w:rPr>
        <w:t>s</w:t>
      </w:r>
      <w:r w:rsidRPr="0015716C">
        <w:rPr>
          <w:rFonts w:ascii="Times New Roman" w:hAnsi="Times New Roman"/>
          <w:sz w:val="22"/>
          <w:szCs w:val="22"/>
        </w:rPr>
        <w:t xml:space="preserve"> for this collection </w:t>
      </w:r>
      <w:r w:rsidRPr="0015716C" w:rsidR="00F17D11">
        <w:rPr>
          <w:rFonts w:ascii="Times New Roman" w:hAnsi="Times New Roman"/>
          <w:sz w:val="22"/>
          <w:szCs w:val="22"/>
        </w:rPr>
        <w:t>are</w:t>
      </w:r>
      <w:r w:rsidRPr="0015716C">
        <w:rPr>
          <w:rFonts w:ascii="Times New Roman" w:hAnsi="Times New Roman"/>
          <w:sz w:val="22"/>
          <w:szCs w:val="22"/>
        </w:rPr>
        <w:t xml:space="preserve"> </w:t>
      </w:r>
      <w:r w:rsidRPr="0015716C" w:rsidR="00F02590">
        <w:rPr>
          <w:rFonts w:ascii="Times New Roman" w:hAnsi="Times New Roman"/>
          <w:sz w:val="22"/>
          <w:szCs w:val="22"/>
        </w:rPr>
        <w:t>11</w:t>
      </w:r>
      <w:r w:rsidR="00EC6EEE">
        <w:rPr>
          <w:rFonts w:ascii="Times New Roman" w:hAnsi="Times New Roman"/>
          <w:sz w:val="22"/>
          <w:szCs w:val="22"/>
        </w:rPr>
        <w:t>.15</w:t>
      </w:r>
      <w:r w:rsidRPr="0015716C">
        <w:rPr>
          <w:rFonts w:ascii="Times New Roman" w:hAnsi="Times New Roman"/>
          <w:sz w:val="22"/>
          <w:szCs w:val="22"/>
        </w:rPr>
        <w:t xml:space="preserve"> hours.  We estimate approximately </w:t>
      </w:r>
      <w:r w:rsidR="00EA6D6C">
        <w:rPr>
          <w:rFonts w:ascii="Times New Roman" w:hAnsi="Times New Roman"/>
          <w:sz w:val="22"/>
          <w:szCs w:val="22"/>
        </w:rPr>
        <w:t>206</w:t>
      </w:r>
      <w:r w:rsidRPr="0015716C">
        <w:rPr>
          <w:rFonts w:ascii="Times New Roman" w:hAnsi="Times New Roman"/>
          <w:sz w:val="22"/>
          <w:szCs w:val="22"/>
        </w:rPr>
        <w:t xml:space="preserve"> respondents x 1 report each. </w:t>
      </w:r>
    </w:p>
    <w:p w:rsidR="0062702F" w:rsidRPr="0015716C" w:rsidP="00633DD4" w14:paraId="51EA874A" w14:textId="77777777">
      <w:pPr>
        <w:rPr>
          <w:rFonts w:ascii="Times New Roman" w:hAnsi="Times New Roman"/>
          <w:sz w:val="22"/>
          <w:szCs w:val="22"/>
        </w:rPr>
      </w:pPr>
    </w:p>
    <w:p w:rsidR="0062702F" w:rsidRPr="0015716C" w:rsidP="00C377B6" w14:paraId="2D55120D" w14:textId="77777777">
      <w:pPr>
        <w:rPr>
          <w:rFonts w:ascii="Times New Roman" w:hAnsi="Times New Roman"/>
          <w:sz w:val="22"/>
          <w:szCs w:val="22"/>
        </w:rPr>
      </w:pPr>
      <w:r w:rsidRPr="0015716C">
        <w:rPr>
          <w:rFonts w:ascii="Times New Roman" w:hAnsi="Times New Roman"/>
          <w:sz w:val="22"/>
          <w:szCs w:val="22"/>
        </w:rPr>
        <w:t>The burden hours allotted for recordkeeping and reporting burden includes activities related to the update and review of data, responses to inconsistencies in the data reported, and data entry into the web portal.</w:t>
      </w:r>
    </w:p>
    <w:p w:rsidR="0062702F" w:rsidRPr="0015716C" w:rsidP="0062702F" w14:paraId="33A25357" w14:textId="77777777">
      <w:pPr>
        <w:ind w:left="360"/>
        <w:rPr>
          <w:rFonts w:ascii="Times New Roman" w:hAnsi="Times New Roman"/>
          <w:sz w:val="22"/>
          <w:szCs w:val="22"/>
        </w:rPr>
      </w:pPr>
    </w:p>
    <w:p w:rsidR="00FC58BA" w:rsidRPr="0015716C" w:rsidP="00C377B6" w14:paraId="7564098B" w14:textId="77777777">
      <w:pPr>
        <w:rPr>
          <w:rFonts w:ascii="Times New Roman" w:hAnsi="Times New Roman"/>
          <w:sz w:val="22"/>
          <w:szCs w:val="22"/>
        </w:rPr>
      </w:pPr>
      <w:r w:rsidRPr="0015716C">
        <w:rPr>
          <w:rFonts w:ascii="Times New Roman" w:hAnsi="Times New Roman"/>
          <w:sz w:val="22"/>
          <w:szCs w:val="22"/>
        </w:rPr>
        <w:t>Most of the costs of this data collection are those of the Federal Government, since the respondents are project staff paid for the most part with Federal grant funds.  Nonetheless, the annual cost to the grantee to respond to this data collection is estimated as follows:</w:t>
      </w:r>
    </w:p>
    <w:p w:rsidR="00931846" w:rsidRPr="0015716C" w:rsidP="00FC58BA" w14:paraId="19CF0AA4" w14:textId="77777777">
      <w:pPr>
        <w:ind w:left="720"/>
        <w:rPr>
          <w:rFonts w:ascii="Times New Roman" w:hAnsi="Times New Roman"/>
          <w:sz w:val="22"/>
          <w:szCs w:val="22"/>
        </w:rPr>
      </w:pPr>
    </w:p>
    <w:tbl>
      <w:tblPr>
        <w:tblStyle w:val="TableGrid"/>
        <w:tblW w:w="0" w:type="auto"/>
        <w:tblInd w:w="720" w:type="dxa"/>
        <w:tblLook w:val="04A0"/>
      </w:tblPr>
      <w:tblGrid>
        <w:gridCol w:w="4751"/>
        <w:gridCol w:w="3879"/>
      </w:tblGrid>
      <w:tr w14:paraId="15B27D23" w14:textId="77777777" w:rsidTr="00E62CD8">
        <w:tblPrEx>
          <w:tblW w:w="0" w:type="auto"/>
          <w:tblInd w:w="720" w:type="dxa"/>
          <w:tblLook w:val="04A0"/>
        </w:tblPrEx>
        <w:tc>
          <w:tcPr>
            <w:tcW w:w="8856" w:type="dxa"/>
            <w:gridSpan w:val="2"/>
            <w:shd w:val="clear" w:color="auto" w:fill="7030A0"/>
          </w:tcPr>
          <w:p w:rsidR="004C7816" w:rsidRPr="0015716C" w:rsidP="004C7816" w14:paraId="36D7F3D8" w14:textId="77777777">
            <w:pPr>
              <w:jc w:val="center"/>
              <w:rPr>
                <w:rFonts w:ascii="Times New Roman" w:hAnsi="Times New Roman"/>
                <w:b/>
                <w:color w:val="FFFFFF" w:themeColor="background1"/>
                <w:sz w:val="22"/>
                <w:szCs w:val="22"/>
              </w:rPr>
            </w:pPr>
            <w:r w:rsidRPr="0015716C">
              <w:rPr>
                <w:rFonts w:ascii="Times New Roman" w:hAnsi="Times New Roman"/>
                <w:b/>
                <w:color w:val="FFFFFF" w:themeColor="background1"/>
                <w:sz w:val="22"/>
                <w:szCs w:val="22"/>
              </w:rPr>
              <w:t>Estimated annual costs to respondents</w:t>
            </w:r>
          </w:p>
        </w:tc>
      </w:tr>
      <w:tr w14:paraId="78975A42" w14:textId="77777777" w:rsidTr="004C7816">
        <w:tblPrEx>
          <w:tblW w:w="0" w:type="auto"/>
          <w:tblInd w:w="720" w:type="dxa"/>
          <w:tblLook w:val="04A0"/>
        </w:tblPrEx>
        <w:tc>
          <w:tcPr>
            <w:tcW w:w="4878" w:type="dxa"/>
          </w:tcPr>
          <w:p w:rsidR="004C7816" w:rsidRPr="0015716C" w:rsidP="00496A7E" w14:paraId="7B776F1E" w14:textId="77777777">
            <w:pPr>
              <w:rPr>
                <w:rFonts w:ascii="Times New Roman" w:hAnsi="Times New Roman"/>
                <w:sz w:val="22"/>
                <w:szCs w:val="22"/>
              </w:rPr>
            </w:pPr>
            <w:r w:rsidRPr="00E17878">
              <w:rPr>
                <w:rFonts w:ascii="Times New Roman" w:hAnsi="Times New Roman"/>
                <w:sz w:val="22"/>
                <w:szCs w:val="22"/>
              </w:rPr>
              <w:t>Professional (</w:t>
            </w:r>
            <w:r w:rsidR="00C222DE">
              <w:rPr>
                <w:rFonts w:ascii="Times New Roman" w:hAnsi="Times New Roman"/>
                <w:sz w:val="22"/>
                <w:szCs w:val="22"/>
              </w:rPr>
              <w:t>206</w:t>
            </w:r>
            <w:r w:rsidRPr="00E17878" w:rsidR="006A44FA">
              <w:rPr>
                <w:rFonts w:ascii="Times New Roman" w:hAnsi="Times New Roman"/>
                <w:sz w:val="22"/>
                <w:szCs w:val="22"/>
              </w:rPr>
              <w:t xml:space="preserve"> </w:t>
            </w:r>
            <w:r w:rsidRPr="00E17878">
              <w:rPr>
                <w:rFonts w:ascii="Times New Roman" w:hAnsi="Times New Roman"/>
                <w:sz w:val="22"/>
                <w:szCs w:val="22"/>
              </w:rPr>
              <w:t>personnel X 1</w:t>
            </w:r>
            <w:r w:rsidR="005E4904">
              <w:rPr>
                <w:rFonts w:ascii="Times New Roman" w:hAnsi="Times New Roman"/>
                <w:sz w:val="22"/>
                <w:szCs w:val="22"/>
              </w:rPr>
              <w:t>0</w:t>
            </w:r>
            <w:r w:rsidR="009927AE">
              <w:rPr>
                <w:rFonts w:ascii="Times New Roman" w:hAnsi="Times New Roman"/>
                <w:sz w:val="22"/>
                <w:szCs w:val="22"/>
              </w:rPr>
              <w:t>.15</w:t>
            </w:r>
            <w:r w:rsidRPr="0015716C">
              <w:rPr>
                <w:rFonts w:ascii="Times New Roman" w:hAnsi="Times New Roman"/>
                <w:sz w:val="22"/>
                <w:szCs w:val="22"/>
              </w:rPr>
              <w:t xml:space="preserve"> hours @ $</w:t>
            </w:r>
            <w:r w:rsidR="003F250C">
              <w:rPr>
                <w:rFonts w:ascii="Times New Roman" w:hAnsi="Times New Roman"/>
                <w:sz w:val="22"/>
                <w:szCs w:val="22"/>
              </w:rPr>
              <w:t>40</w:t>
            </w:r>
            <w:r w:rsidRPr="0015716C" w:rsidR="006A44FA">
              <w:rPr>
                <w:rFonts w:ascii="Times New Roman" w:hAnsi="Times New Roman"/>
                <w:sz w:val="22"/>
                <w:szCs w:val="22"/>
              </w:rPr>
              <w:t xml:space="preserve"> </w:t>
            </w:r>
            <w:r w:rsidRPr="0015716C">
              <w:rPr>
                <w:rFonts w:ascii="Times New Roman" w:hAnsi="Times New Roman"/>
                <w:sz w:val="22"/>
                <w:szCs w:val="22"/>
              </w:rPr>
              <w:t>per hour)</w:t>
            </w:r>
          </w:p>
        </w:tc>
        <w:tc>
          <w:tcPr>
            <w:tcW w:w="3978" w:type="dxa"/>
          </w:tcPr>
          <w:p w:rsidR="004C7816" w:rsidRPr="00E17878" w:rsidP="00496A7E" w14:paraId="2FEED613" w14:textId="77777777">
            <w:pPr>
              <w:rPr>
                <w:rFonts w:ascii="Times New Roman" w:hAnsi="Times New Roman"/>
                <w:sz w:val="22"/>
                <w:szCs w:val="22"/>
                <w:highlight w:val="yellow"/>
              </w:rPr>
            </w:pPr>
            <w:r w:rsidRPr="0015716C">
              <w:rPr>
                <w:rFonts w:ascii="Times New Roman" w:hAnsi="Times New Roman"/>
                <w:sz w:val="22"/>
                <w:szCs w:val="22"/>
              </w:rPr>
              <w:t>$</w:t>
            </w:r>
            <w:r w:rsidR="005A38E3">
              <w:rPr>
                <w:rFonts w:ascii="Times New Roman" w:hAnsi="Times New Roman"/>
                <w:sz w:val="22"/>
                <w:szCs w:val="22"/>
              </w:rPr>
              <w:t>83,</w:t>
            </w:r>
            <w:r w:rsidR="00DD652B">
              <w:rPr>
                <w:rFonts w:ascii="Times New Roman" w:hAnsi="Times New Roman"/>
                <w:sz w:val="22"/>
                <w:szCs w:val="22"/>
              </w:rPr>
              <w:t>6</w:t>
            </w:r>
            <w:r w:rsidR="005A38E3">
              <w:rPr>
                <w:rFonts w:ascii="Times New Roman" w:hAnsi="Times New Roman"/>
                <w:sz w:val="22"/>
                <w:szCs w:val="22"/>
              </w:rPr>
              <w:t>36.00</w:t>
            </w:r>
          </w:p>
        </w:tc>
      </w:tr>
      <w:tr w14:paraId="7868A238" w14:textId="77777777" w:rsidTr="004C7816">
        <w:tblPrEx>
          <w:tblW w:w="0" w:type="auto"/>
          <w:tblInd w:w="720" w:type="dxa"/>
          <w:tblLook w:val="04A0"/>
        </w:tblPrEx>
        <w:tc>
          <w:tcPr>
            <w:tcW w:w="4878" w:type="dxa"/>
          </w:tcPr>
          <w:p w:rsidR="004C7816" w:rsidRPr="0015716C" w:rsidP="006A44FA" w14:paraId="616EA17E" w14:textId="77777777">
            <w:pPr>
              <w:pStyle w:val="Heading5"/>
              <w:ind w:left="0"/>
              <w:rPr>
                <w:sz w:val="22"/>
                <w:szCs w:val="22"/>
              </w:rPr>
            </w:pPr>
            <w:r w:rsidRPr="00E17878">
              <w:rPr>
                <w:sz w:val="22"/>
                <w:szCs w:val="22"/>
              </w:rPr>
              <w:t>Clerical (</w:t>
            </w:r>
            <w:r w:rsidR="00B1042F">
              <w:rPr>
                <w:sz w:val="22"/>
                <w:szCs w:val="22"/>
              </w:rPr>
              <w:t>206</w:t>
            </w:r>
            <w:r w:rsidRPr="00E17878" w:rsidR="006A44FA">
              <w:rPr>
                <w:sz w:val="22"/>
                <w:szCs w:val="22"/>
              </w:rPr>
              <w:t xml:space="preserve"> </w:t>
            </w:r>
            <w:r w:rsidRPr="00E17878">
              <w:rPr>
                <w:sz w:val="22"/>
                <w:szCs w:val="22"/>
              </w:rPr>
              <w:t xml:space="preserve">clerical X 1 </w:t>
            </w:r>
            <w:r w:rsidRPr="008F6483">
              <w:rPr>
                <w:sz w:val="22"/>
                <w:szCs w:val="22"/>
              </w:rPr>
              <w:t>hour @ $</w:t>
            </w:r>
            <w:r w:rsidRPr="008F6483" w:rsidR="006A44FA">
              <w:rPr>
                <w:sz w:val="22"/>
                <w:szCs w:val="22"/>
              </w:rPr>
              <w:t>1</w:t>
            </w:r>
            <w:r w:rsidR="003F250C">
              <w:rPr>
                <w:sz w:val="22"/>
                <w:szCs w:val="22"/>
              </w:rPr>
              <w:t>8</w:t>
            </w:r>
            <w:r w:rsidRPr="008F6483" w:rsidR="006A44FA">
              <w:rPr>
                <w:sz w:val="22"/>
                <w:szCs w:val="22"/>
              </w:rPr>
              <w:t xml:space="preserve"> </w:t>
            </w:r>
            <w:r w:rsidRPr="0015716C">
              <w:rPr>
                <w:sz w:val="22"/>
                <w:szCs w:val="22"/>
              </w:rPr>
              <w:t>per hour)</w:t>
            </w:r>
          </w:p>
        </w:tc>
        <w:tc>
          <w:tcPr>
            <w:tcW w:w="3978" w:type="dxa"/>
          </w:tcPr>
          <w:p w:rsidR="004C7816" w:rsidRPr="0015716C" w:rsidP="006A44FA" w14:paraId="6C364101" w14:textId="77777777">
            <w:pPr>
              <w:rPr>
                <w:rFonts w:ascii="Times New Roman" w:hAnsi="Times New Roman"/>
                <w:sz w:val="22"/>
                <w:szCs w:val="22"/>
                <w:highlight w:val="yellow"/>
              </w:rPr>
            </w:pPr>
            <w:r w:rsidRPr="0015716C">
              <w:rPr>
                <w:rFonts w:ascii="Times New Roman" w:hAnsi="Times New Roman"/>
                <w:sz w:val="22"/>
                <w:szCs w:val="22"/>
              </w:rPr>
              <w:t>$</w:t>
            </w:r>
            <w:r w:rsidRPr="0015716C" w:rsidR="00C60EB9">
              <w:rPr>
                <w:rFonts w:ascii="Times New Roman" w:hAnsi="Times New Roman"/>
                <w:sz w:val="22"/>
                <w:szCs w:val="22"/>
              </w:rPr>
              <w:t>3,</w:t>
            </w:r>
            <w:r w:rsidR="00A7240A">
              <w:rPr>
                <w:rFonts w:ascii="Times New Roman" w:hAnsi="Times New Roman"/>
                <w:sz w:val="22"/>
                <w:szCs w:val="22"/>
              </w:rPr>
              <w:t>708.00</w:t>
            </w:r>
          </w:p>
        </w:tc>
      </w:tr>
      <w:tr w14:paraId="266D9EDB" w14:textId="77777777" w:rsidTr="004C7816">
        <w:tblPrEx>
          <w:tblW w:w="0" w:type="auto"/>
          <w:tblInd w:w="720" w:type="dxa"/>
          <w:tblLook w:val="04A0"/>
        </w:tblPrEx>
        <w:tc>
          <w:tcPr>
            <w:tcW w:w="4878" w:type="dxa"/>
          </w:tcPr>
          <w:p w:rsidR="004C7816" w:rsidRPr="00E17878" w:rsidP="00FC58BA" w14:paraId="61243D0C" w14:textId="77777777">
            <w:pPr>
              <w:rPr>
                <w:rFonts w:ascii="Times New Roman" w:hAnsi="Times New Roman"/>
                <w:b/>
                <w:sz w:val="22"/>
                <w:szCs w:val="22"/>
              </w:rPr>
            </w:pPr>
            <w:r w:rsidRPr="00E17878">
              <w:rPr>
                <w:rFonts w:ascii="Times New Roman" w:hAnsi="Times New Roman"/>
                <w:b/>
                <w:sz w:val="22"/>
                <w:szCs w:val="22"/>
              </w:rPr>
              <w:t>Total estimated costs to respondents</w:t>
            </w:r>
            <w:r w:rsidRPr="00E17878">
              <w:rPr>
                <w:rFonts w:ascii="Times New Roman" w:hAnsi="Times New Roman"/>
                <w:b/>
                <w:sz w:val="22"/>
                <w:szCs w:val="22"/>
              </w:rPr>
              <w:tab/>
            </w:r>
          </w:p>
        </w:tc>
        <w:tc>
          <w:tcPr>
            <w:tcW w:w="3978" w:type="dxa"/>
          </w:tcPr>
          <w:p w:rsidR="004C7816" w:rsidRPr="00E17878" w:rsidP="00496A7E" w14:paraId="4646D531" w14:textId="77777777">
            <w:pPr>
              <w:rPr>
                <w:rFonts w:ascii="Times New Roman" w:hAnsi="Times New Roman"/>
                <w:b/>
                <w:sz w:val="22"/>
                <w:szCs w:val="22"/>
                <w:highlight w:val="yellow"/>
              </w:rPr>
            </w:pPr>
            <w:r w:rsidRPr="008F6483">
              <w:rPr>
                <w:rFonts w:ascii="Times New Roman" w:hAnsi="Times New Roman"/>
                <w:b/>
                <w:sz w:val="22"/>
                <w:szCs w:val="22"/>
              </w:rPr>
              <w:t>$</w:t>
            </w:r>
            <w:r w:rsidR="00A7240A">
              <w:rPr>
                <w:rFonts w:ascii="Times New Roman" w:hAnsi="Times New Roman"/>
                <w:b/>
                <w:sz w:val="22"/>
                <w:szCs w:val="22"/>
              </w:rPr>
              <w:t>87,344</w:t>
            </w:r>
            <w:r w:rsidR="00C00299">
              <w:rPr>
                <w:rFonts w:ascii="Times New Roman" w:hAnsi="Times New Roman"/>
                <w:b/>
                <w:sz w:val="22"/>
                <w:szCs w:val="22"/>
              </w:rPr>
              <w:t>.00</w:t>
            </w:r>
          </w:p>
        </w:tc>
      </w:tr>
    </w:tbl>
    <w:p w:rsidR="006E48CC" w:rsidP="00C377B6" w14:paraId="5673FA2B" w14:textId="77777777">
      <w:pPr>
        <w:tabs>
          <w:tab w:val="left" w:pos="-720"/>
        </w:tabs>
        <w:suppressAutoHyphens/>
        <w:rPr>
          <w:rFonts w:ascii="Times New Roman" w:hAnsi="Times New Roman"/>
          <w:sz w:val="22"/>
          <w:szCs w:val="22"/>
        </w:rPr>
      </w:pPr>
    </w:p>
    <w:p w:rsidR="00F24A0A" w:rsidRPr="003217D6" w:rsidP="00F24A0A" w14:paraId="285515A5" w14:textId="77777777">
      <w:pPr>
        <w:tabs>
          <w:tab w:val="left" w:pos="-720"/>
          <w:tab w:val="left" w:pos="360"/>
        </w:tabs>
        <w:suppressAutoHyphens/>
        <w:rPr>
          <w:rFonts w:ascii="Times New Roman" w:hAnsi="Times New Roman"/>
          <w:color w:val="FF0000"/>
          <w:sz w:val="22"/>
          <w:szCs w:val="22"/>
        </w:rPr>
      </w:pPr>
      <w:r w:rsidRPr="003217D6">
        <w:rPr>
          <w:rFonts w:ascii="Times New Roman" w:hAnsi="Times New Roman"/>
          <w:color w:val="FF0000"/>
          <w:sz w:val="22"/>
          <w:szCs w:val="22"/>
        </w:rPr>
        <w:t>3/14/25:</w:t>
      </w:r>
    </w:p>
    <w:p w:rsidR="00F26DCE" w:rsidRPr="00F26DCE" w:rsidP="00F26DCE" w14:paraId="6C94F638" w14:textId="77777777">
      <w:pPr>
        <w:pStyle w:val="Caption"/>
        <w:jc w:val="center"/>
        <w:rPr>
          <w:rFonts w:ascii="Times New Roman" w:hAnsi="Times New Roman"/>
          <w:color w:val="FF0000"/>
          <w:sz w:val="22"/>
          <w:szCs w:val="22"/>
        </w:rPr>
      </w:pPr>
      <w:r w:rsidRPr="00F26DCE">
        <w:rPr>
          <w:rFonts w:ascii="Times New Roman" w:hAnsi="Times New Roman"/>
          <w:color w:val="FF0000"/>
          <w:sz w:val="22"/>
          <w:szCs w:val="22"/>
        </w:rPr>
        <w:t>Estimated Annual Burden and Respondent Costs Table</w:t>
      </w:r>
    </w:p>
    <w:tbl>
      <w:tblPr>
        <w:tblStyle w:val="GridTableLight"/>
        <w:tblpPr w:leftFromText="180" w:rightFromText="180" w:vertAnchor="text" w:horzAnchor="margin" w:tblpXSpec="center" w:tblpY="174"/>
        <w:tblW w:w="11335" w:type="dxa"/>
        <w:tblLayout w:type="fixed"/>
        <w:tblLook w:val="0020"/>
      </w:tblPr>
      <w:tblGrid>
        <w:gridCol w:w="1345"/>
        <w:gridCol w:w="1265"/>
        <w:gridCol w:w="1255"/>
        <w:gridCol w:w="1275"/>
        <w:gridCol w:w="1080"/>
        <w:gridCol w:w="1335"/>
        <w:gridCol w:w="900"/>
        <w:gridCol w:w="1530"/>
        <w:gridCol w:w="1350"/>
      </w:tblGrid>
      <w:tr w14:paraId="405DB6EE" w14:textId="77777777" w:rsidTr="00460A70">
        <w:tblPrEx>
          <w:tblW w:w="11335" w:type="dxa"/>
          <w:tblLayout w:type="fixed"/>
          <w:tblLook w:val="0020"/>
        </w:tblPrEx>
        <w:trPr>
          <w:tblHeader/>
        </w:trPr>
        <w:tc>
          <w:tcPr>
            <w:tcW w:w="1345" w:type="dxa"/>
            <w:vAlign w:val="center"/>
          </w:tcPr>
          <w:p w:rsidR="00F26DCE" w:rsidRPr="000C4DBF" w:rsidP="00460A70" w14:paraId="29B6A16F" w14:textId="77777777">
            <w:pPr>
              <w:jc w:val="center"/>
              <w:rPr>
                <w:rFonts w:ascii="Times New Roman" w:hAnsi="Times New Roman"/>
                <w:color w:val="FF0000"/>
                <w:sz w:val="20"/>
              </w:rPr>
            </w:pPr>
            <w:r w:rsidRPr="000C4DBF">
              <w:rPr>
                <w:rFonts w:ascii="Times New Roman" w:hAnsi="Times New Roman"/>
                <w:color w:val="FF0000"/>
                <w:sz w:val="20"/>
              </w:rPr>
              <w:t>Information Activity or IC (with type of respondent)</w:t>
            </w:r>
          </w:p>
        </w:tc>
        <w:tc>
          <w:tcPr>
            <w:tcW w:w="1265" w:type="dxa"/>
            <w:vAlign w:val="center"/>
          </w:tcPr>
          <w:p w:rsidR="00F26DCE" w:rsidRPr="000C4DBF" w:rsidP="00460A70" w14:paraId="5E5BD6B2" w14:textId="77777777">
            <w:pPr>
              <w:jc w:val="center"/>
              <w:rPr>
                <w:rFonts w:ascii="Times New Roman" w:hAnsi="Times New Roman"/>
                <w:color w:val="FF0000"/>
                <w:sz w:val="20"/>
              </w:rPr>
            </w:pPr>
            <w:r w:rsidRPr="000C4DBF">
              <w:rPr>
                <w:rFonts w:ascii="Times New Roman" w:hAnsi="Times New Roman"/>
                <w:color w:val="FF0000"/>
                <w:sz w:val="20"/>
              </w:rPr>
              <w:t xml:space="preserve">Sample Size </w:t>
            </w:r>
            <w:r w:rsidRPr="000C4DBF">
              <w:rPr>
                <w:rFonts w:ascii="Times New Roman" w:hAnsi="Times New Roman"/>
                <w:color w:val="FF0000"/>
                <w:sz w:val="20"/>
                <w:shd w:val="clear" w:color="auto" w:fill="D9D9D9" w:themeFill="background1" w:themeFillShade="D9"/>
              </w:rPr>
              <w:t>(if applicable)</w:t>
            </w:r>
          </w:p>
        </w:tc>
        <w:tc>
          <w:tcPr>
            <w:tcW w:w="1255" w:type="dxa"/>
            <w:vAlign w:val="center"/>
          </w:tcPr>
          <w:p w:rsidR="00F26DCE" w:rsidRPr="000C4DBF" w:rsidP="00460A70" w14:paraId="04484D6C" w14:textId="77777777">
            <w:pPr>
              <w:shd w:val="clear" w:color="auto" w:fill="F2F2F2" w:themeFill="background1" w:themeFillShade="F2"/>
              <w:jc w:val="center"/>
              <w:rPr>
                <w:rFonts w:ascii="Times New Roman" w:hAnsi="Times New Roman"/>
                <w:color w:val="FF0000"/>
                <w:sz w:val="20"/>
              </w:rPr>
            </w:pPr>
            <w:r w:rsidRPr="000C4DBF">
              <w:rPr>
                <w:rFonts w:ascii="Times New Roman" w:hAnsi="Times New Roman"/>
                <w:color w:val="FF0000"/>
                <w:sz w:val="20"/>
                <w:shd w:val="clear" w:color="auto" w:fill="F2F2F2" w:themeFill="background1" w:themeFillShade="F2"/>
              </w:rPr>
              <w:t xml:space="preserve">Respondent Response Rate </w:t>
            </w:r>
            <w:r w:rsidRPr="000C4DBF">
              <w:rPr>
                <w:rFonts w:ascii="Times New Roman" w:hAnsi="Times New Roman"/>
                <w:color w:val="FF0000"/>
                <w:sz w:val="20"/>
                <w:shd w:val="clear" w:color="auto" w:fill="D9D9D9" w:themeFill="background1" w:themeFillShade="D9"/>
              </w:rPr>
              <w:t>(if applicable)</w:t>
            </w:r>
          </w:p>
        </w:tc>
        <w:tc>
          <w:tcPr>
            <w:tcW w:w="1275" w:type="dxa"/>
            <w:vAlign w:val="center"/>
          </w:tcPr>
          <w:p w:rsidR="00F26DCE" w:rsidRPr="000C4DBF" w:rsidP="00460A70" w14:paraId="64CEEB25" w14:textId="77777777">
            <w:pPr>
              <w:jc w:val="center"/>
              <w:rPr>
                <w:rFonts w:ascii="Times New Roman" w:hAnsi="Times New Roman"/>
                <w:color w:val="FF0000"/>
                <w:sz w:val="20"/>
              </w:rPr>
            </w:pPr>
            <w:r w:rsidRPr="000C4DBF">
              <w:rPr>
                <w:rFonts w:ascii="Times New Roman" w:hAnsi="Times New Roman"/>
                <w:color w:val="FF0000"/>
                <w:sz w:val="20"/>
              </w:rPr>
              <w:t>Number of Respondents</w:t>
            </w:r>
          </w:p>
        </w:tc>
        <w:tc>
          <w:tcPr>
            <w:tcW w:w="1080" w:type="dxa"/>
            <w:vAlign w:val="center"/>
          </w:tcPr>
          <w:p w:rsidR="00F26DCE" w:rsidRPr="000C4DBF" w:rsidP="00460A70" w14:paraId="711FCC25" w14:textId="77777777">
            <w:pPr>
              <w:jc w:val="center"/>
              <w:rPr>
                <w:rFonts w:ascii="Times New Roman" w:hAnsi="Times New Roman"/>
                <w:color w:val="FF0000"/>
                <w:sz w:val="20"/>
              </w:rPr>
            </w:pPr>
            <w:r w:rsidRPr="000C4DBF">
              <w:rPr>
                <w:rFonts w:ascii="Times New Roman" w:hAnsi="Times New Roman"/>
                <w:color w:val="FF0000"/>
                <w:sz w:val="20"/>
              </w:rPr>
              <w:t>Number of Responses</w:t>
            </w:r>
          </w:p>
        </w:tc>
        <w:tc>
          <w:tcPr>
            <w:tcW w:w="1335" w:type="dxa"/>
            <w:vAlign w:val="center"/>
          </w:tcPr>
          <w:p w:rsidR="00F26DCE" w:rsidRPr="000C4DBF" w:rsidP="00460A70" w14:paraId="6BE7A23F" w14:textId="77777777">
            <w:pPr>
              <w:jc w:val="center"/>
              <w:rPr>
                <w:rFonts w:ascii="Times New Roman" w:hAnsi="Times New Roman"/>
                <w:color w:val="FF0000"/>
                <w:sz w:val="20"/>
              </w:rPr>
            </w:pPr>
            <w:r w:rsidRPr="000C4DBF">
              <w:rPr>
                <w:rFonts w:ascii="Times New Roman" w:hAnsi="Times New Roman"/>
                <w:color w:val="FF0000"/>
                <w:sz w:val="20"/>
              </w:rPr>
              <w:t>Average Burden Hours per Response</w:t>
            </w:r>
          </w:p>
        </w:tc>
        <w:tc>
          <w:tcPr>
            <w:tcW w:w="900" w:type="dxa"/>
            <w:vAlign w:val="center"/>
          </w:tcPr>
          <w:p w:rsidR="00F26DCE" w:rsidRPr="000C4DBF" w:rsidP="00460A70" w14:paraId="30484000" w14:textId="77777777">
            <w:pPr>
              <w:jc w:val="center"/>
              <w:rPr>
                <w:rFonts w:ascii="Times New Roman" w:hAnsi="Times New Roman"/>
                <w:color w:val="FF0000"/>
                <w:sz w:val="20"/>
              </w:rPr>
            </w:pPr>
            <w:r w:rsidRPr="000C4DBF">
              <w:rPr>
                <w:rFonts w:ascii="Times New Roman" w:hAnsi="Times New Roman"/>
                <w:color w:val="FF0000"/>
                <w:sz w:val="20"/>
              </w:rPr>
              <w:t>Total Annual Burden Hours</w:t>
            </w:r>
          </w:p>
        </w:tc>
        <w:tc>
          <w:tcPr>
            <w:tcW w:w="1530" w:type="dxa"/>
            <w:vAlign w:val="center"/>
          </w:tcPr>
          <w:p w:rsidR="00F26DCE" w:rsidRPr="000C4DBF" w:rsidP="00460A70" w14:paraId="5ECC163E" w14:textId="77777777">
            <w:pPr>
              <w:jc w:val="center"/>
              <w:rPr>
                <w:rFonts w:ascii="Times New Roman" w:hAnsi="Times New Roman"/>
                <w:color w:val="FF0000"/>
                <w:sz w:val="20"/>
              </w:rPr>
            </w:pPr>
            <w:r w:rsidRPr="000C4DBF">
              <w:rPr>
                <w:rFonts w:ascii="Times New Roman" w:hAnsi="Times New Roman"/>
                <w:color w:val="FF0000"/>
                <w:sz w:val="20"/>
              </w:rPr>
              <w:t>Estimated Respondent Average Hourly Wage</w:t>
            </w:r>
          </w:p>
        </w:tc>
        <w:tc>
          <w:tcPr>
            <w:tcW w:w="1350" w:type="dxa"/>
            <w:vAlign w:val="center"/>
          </w:tcPr>
          <w:p w:rsidR="00F26DCE" w:rsidRPr="000C4DBF" w:rsidP="00460A70" w14:paraId="567E24FC" w14:textId="77777777">
            <w:pPr>
              <w:jc w:val="center"/>
              <w:rPr>
                <w:rFonts w:ascii="Times New Roman" w:hAnsi="Times New Roman"/>
                <w:color w:val="FF0000"/>
                <w:sz w:val="20"/>
              </w:rPr>
            </w:pPr>
            <w:r w:rsidRPr="000C4DBF">
              <w:rPr>
                <w:rFonts w:ascii="Times New Roman" w:hAnsi="Times New Roman"/>
                <w:color w:val="FF0000"/>
                <w:sz w:val="20"/>
              </w:rPr>
              <w:t>Total Annual Costs (hourly wage x total burden hours)</w:t>
            </w:r>
          </w:p>
        </w:tc>
      </w:tr>
      <w:tr w14:paraId="776D1B20" w14:textId="77777777" w:rsidTr="0057355C">
        <w:tblPrEx>
          <w:tblW w:w="11335" w:type="dxa"/>
          <w:tblLayout w:type="fixed"/>
          <w:tblLook w:val="0020"/>
        </w:tblPrEx>
        <w:tc>
          <w:tcPr>
            <w:tcW w:w="1345" w:type="dxa"/>
          </w:tcPr>
          <w:p w:rsidR="002242D4" w:rsidRPr="000C4DBF" w:rsidP="002242D4" w14:paraId="610772BD" w14:textId="7EE732D8">
            <w:pPr>
              <w:rPr>
                <w:rFonts w:ascii="Times New Roman" w:hAnsi="Times New Roman"/>
                <w:bCs/>
                <w:color w:val="FF0000"/>
                <w:sz w:val="20"/>
              </w:rPr>
            </w:pPr>
            <w:r w:rsidRPr="000C4DBF">
              <w:rPr>
                <w:rFonts w:ascii="Times New Roman" w:hAnsi="Times New Roman"/>
                <w:color w:val="FF0000"/>
                <w:sz w:val="20"/>
              </w:rPr>
              <w:t>Currently Approved Totals</w:t>
            </w:r>
          </w:p>
        </w:tc>
        <w:tc>
          <w:tcPr>
            <w:tcW w:w="1265" w:type="dxa"/>
          </w:tcPr>
          <w:p w:rsidR="002242D4" w:rsidRPr="000C4DBF" w:rsidP="002242D4" w14:paraId="75C99BAB" w14:textId="481EABE7">
            <w:pPr>
              <w:rPr>
                <w:rFonts w:ascii="Times New Roman" w:hAnsi="Times New Roman"/>
                <w:color w:val="FF0000"/>
                <w:sz w:val="20"/>
              </w:rPr>
            </w:pPr>
            <w:r w:rsidRPr="000C4DBF">
              <w:rPr>
                <w:rFonts w:ascii="Times New Roman" w:hAnsi="Times New Roman"/>
                <w:color w:val="FF0000"/>
                <w:sz w:val="20"/>
              </w:rPr>
              <w:t>x</w:t>
            </w:r>
          </w:p>
        </w:tc>
        <w:tc>
          <w:tcPr>
            <w:tcW w:w="1255" w:type="dxa"/>
          </w:tcPr>
          <w:p w:rsidR="002242D4" w:rsidRPr="000C4DBF" w:rsidP="002242D4" w14:paraId="5265D53F" w14:textId="5BB599FA">
            <w:pPr>
              <w:rPr>
                <w:rFonts w:ascii="Times New Roman" w:hAnsi="Times New Roman"/>
                <w:color w:val="FF0000"/>
                <w:sz w:val="20"/>
              </w:rPr>
            </w:pPr>
            <w:r w:rsidRPr="000C4DBF">
              <w:rPr>
                <w:rFonts w:ascii="Times New Roman" w:hAnsi="Times New Roman"/>
                <w:color w:val="FF0000"/>
                <w:sz w:val="20"/>
              </w:rPr>
              <w:t>x</w:t>
            </w:r>
          </w:p>
        </w:tc>
        <w:tc>
          <w:tcPr>
            <w:tcW w:w="1275" w:type="dxa"/>
          </w:tcPr>
          <w:p w:rsidR="002242D4" w:rsidRPr="000C4DBF" w:rsidP="002242D4" w14:paraId="27B2C1E8" w14:textId="60E0FC96">
            <w:pPr>
              <w:rPr>
                <w:rFonts w:ascii="Times New Roman" w:hAnsi="Times New Roman"/>
                <w:color w:val="FF0000"/>
                <w:sz w:val="20"/>
              </w:rPr>
            </w:pPr>
            <w:r w:rsidRPr="000C4DBF">
              <w:rPr>
                <w:rFonts w:ascii="Times New Roman" w:hAnsi="Times New Roman"/>
                <w:color w:val="FF0000"/>
                <w:sz w:val="20"/>
              </w:rPr>
              <w:t>206</w:t>
            </w:r>
          </w:p>
        </w:tc>
        <w:tc>
          <w:tcPr>
            <w:tcW w:w="1080" w:type="dxa"/>
          </w:tcPr>
          <w:p w:rsidR="002242D4" w:rsidRPr="000C4DBF" w:rsidP="002242D4" w14:paraId="0FC5A9F7" w14:textId="3246EE7E">
            <w:pPr>
              <w:rPr>
                <w:rFonts w:ascii="Times New Roman" w:hAnsi="Times New Roman"/>
                <w:color w:val="FF0000"/>
                <w:sz w:val="20"/>
              </w:rPr>
            </w:pPr>
            <w:r w:rsidRPr="000C4DBF">
              <w:rPr>
                <w:rFonts w:ascii="Times New Roman" w:hAnsi="Times New Roman"/>
                <w:color w:val="FF0000"/>
                <w:sz w:val="20"/>
              </w:rPr>
              <w:t>206</w:t>
            </w:r>
          </w:p>
        </w:tc>
        <w:tc>
          <w:tcPr>
            <w:tcW w:w="1335" w:type="dxa"/>
          </w:tcPr>
          <w:p w:rsidR="002242D4" w:rsidRPr="000C4DBF" w:rsidP="002242D4" w14:paraId="2D16238D" w14:textId="6638361B">
            <w:pPr>
              <w:rPr>
                <w:rFonts w:ascii="Times New Roman" w:hAnsi="Times New Roman"/>
                <w:color w:val="FF0000"/>
                <w:sz w:val="20"/>
              </w:rPr>
            </w:pPr>
            <w:r w:rsidRPr="000C4DBF">
              <w:rPr>
                <w:rFonts w:ascii="Times New Roman" w:hAnsi="Times New Roman"/>
                <w:color w:val="FF0000"/>
                <w:sz w:val="20"/>
              </w:rPr>
              <w:t>x</w:t>
            </w:r>
          </w:p>
        </w:tc>
        <w:tc>
          <w:tcPr>
            <w:tcW w:w="900" w:type="dxa"/>
          </w:tcPr>
          <w:p w:rsidR="002242D4" w:rsidRPr="000C4DBF" w:rsidP="002242D4" w14:paraId="455EA240" w14:textId="15809DF3">
            <w:pPr>
              <w:rPr>
                <w:rFonts w:ascii="Times New Roman" w:hAnsi="Times New Roman"/>
                <w:color w:val="FF0000"/>
                <w:sz w:val="20"/>
              </w:rPr>
            </w:pPr>
            <w:r w:rsidRPr="000C4DBF">
              <w:rPr>
                <w:rFonts w:ascii="Times New Roman" w:hAnsi="Times New Roman"/>
                <w:color w:val="FF0000"/>
                <w:sz w:val="20"/>
              </w:rPr>
              <w:t>2,297</w:t>
            </w:r>
          </w:p>
        </w:tc>
        <w:tc>
          <w:tcPr>
            <w:tcW w:w="1530" w:type="dxa"/>
          </w:tcPr>
          <w:p w:rsidR="002242D4" w:rsidRPr="000C4DBF" w:rsidP="002242D4" w14:paraId="5A835CC5" w14:textId="02383B96">
            <w:pPr>
              <w:rPr>
                <w:rFonts w:ascii="Times New Roman" w:hAnsi="Times New Roman"/>
                <w:color w:val="FF0000"/>
                <w:sz w:val="20"/>
              </w:rPr>
            </w:pPr>
            <w:r w:rsidRPr="000C4DBF">
              <w:rPr>
                <w:rFonts w:ascii="Times New Roman" w:hAnsi="Times New Roman"/>
                <w:color w:val="FF0000"/>
                <w:sz w:val="20"/>
              </w:rPr>
              <w:t>x</w:t>
            </w:r>
          </w:p>
        </w:tc>
        <w:tc>
          <w:tcPr>
            <w:tcW w:w="1350" w:type="dxa"/>
          </w:tcPr>
          <w:p w:rsidR="002242D4" w:rsidRPr="000C4DBF" w:rsidP="002242D4" w14:paraId="7C8AE481" w14:textId="4252A7D5">
            <w:pPr>
              <w:rPr>
                <w:rFonts w:ascii="Times New Roman" w:hAnsi="Times New Roman"/>
                <w:color w:val="FF0000"/>
                <w:sz w:val="20"/>
              </w:rPr>
            </w:pPr>
            <w:r w:rsidRPr="000C4DBF">
              <w:rPr>
                <w:rFonts w:ascii="Times New Roman" w:hAnsi="Times New Roman"/>
                <w:bCs/>
                <w:color w:val="FF0000"/>
                <w:sz w:val="20"/>
              </w:rPr>
              <w:t>$87,344</w:t>
            </w:r>
          </w:p>
        </w:tc>
      </w:tr>
      <w:tr w14:paraId="7E619999" w14:textId="77777777" w:rsidTr="00460A70">
        <w:tblPrEx>
          <w:tblW w:w="11335" w:type="dxa"/>
          <w:tblLayout w:type="fixed"/>
          <w:tblLook w:val="0020"/>
        </w:tblPrEx>
        <w:tc>
          <w:tcPr>
            <w:tcW w:w="1345" w:type="dxa"/>
          </w:tcPr>
          <w:p w:rsidR="002242D4" w:rsidRPr="000C4DBF" w:rsidP="002242D4" w14:paraId="663FAB11" w14:textId="77777777">
            <w:pPr>
              <w:rPr>
                <w:rFonts w:ascii="Times New Roman" w:hAnsi="Times New Roman"/>
                <w:bCs/>
                <w:color w:val="FF0000"/>
                <w:sz w:val="20"/>
              </w:rPr>
            </w:pPr>
            <w:r w:rsidRPr="000C4DBF">
              <w:rPr>
                <w:rFonts w:ascii="Times New Roman" w:hAnsi="Times New Roman"/>
                <w:bCs/>
                <w:color w:val="FF0000"/>
                <w:sz w:val="20"/>
              </w:rPr>
              <w:t>Public Sector</w:t>
            </w:r>
          </w:p>
        </w:tc>
        <w:tc>
          <w:tcPr>
            <w:tcW w:w="1265" w:type="dxa"/>
          </w:tcPr>
          <w:p w:rsidR="002242D4" w:rsidRPr="000C4DBF" w:rsidP="002242D4" w14:paraId="33928684" w14:textId="77777777">
            <w:pPr>
              <w:rPr>
                <w:rFonts w:ascii="Times New Roman" w:hAnsi="Times New Roman"/>
                <w:color w:val="FF0000"/>
                <w:sz w:val="20"/>
              </w:rPr>
            </w:pPr>
            <w:r w:rsidRPr="000C4DBF">
              <w:rPr>
                <w:rFonts w:ascii="Times New Roman" w:hAnsi="Times New Roman"/>
                <w:color w:val="FF0000"/>
                <w:sz w:val="20"/>
              </w:rPr>
              <w:t>N/A</w:t>
            </w:r>
          </w:p>
        </w:tc>
        <w:tc>
          <w:tcPr>
            <w:tcW w:w="1255" w:type="dxa"/>
          </w:tcPr>
          <w:p w:rsidR="002242D4" w:rsidRPr="000C4DBF" w:rsidP="002242D4" w14:paraId="173F398B" w14:textId="77777777">
            <w:pPr>
              <w:rPr>
                <w:rFonts w:ascii="Times New Roman" w:hAnsi="Times New Roman"/>
                <w:color w:val="FF0000"/>
                <w:sz w:val="20"/>
              </w:rPr>
            </w:pPr>
            <w:r w:rsidRPr="000C4DBF">
              <w:rPr>
                <w:rFonts w:ascii="Times New Roman" w:hAnsi="Times New Roman"/>
                <w:color w:val="FF0000"/>
                <w:sz w:val="20"/>
              </w:rPr>
              <w:t>N/A</w:t>
            </w:r>
          </w:p>
        </w:tc>
        <w:tc>
          <w:tcPr>
            <w:tcW w:w="1275" w:type="dxa"/>
          </w:tcPr>
          <w:p w:rsidR="002242D4" w:rsidRPr="000C4DBF" w:rsidP="002242D4" w14:paraId="6F8F36D3" w14:textId="77777777">
            <w:pPr>
              <w:rPr>
                <w:rFonts w:ascii="Times New Roman" w:hAnsi="Times New Roman"/>
                <w:color w:val="FF0000"/>
                <w:sz w:val="20"/>
              </w:rPr>
            </w:pPr>
            <w:r w:rsidRPr="000C4DBF">
              <w:rPr>
                <w:rFonts w:ascii="Times New Roman" w:hAnsi="Times New Roman"/>
                <w:color w:val="FF0000"/>
                <w:sz w:val="20"/>
              </w:rPr>
              <w:t>160</w:t>
            </w:r>
          </w:p>
        </w:tc>
        <w:tc>
          <w:tcPr>
            <w:tcW w:w="1080" w:type="dxa"/>
          </w:tcPr>
          <w:p w:rsidR="002242D4" w:rsidRPr="000C4DBF" w:rsidP="002242D4" w14:paraId="643738BB" w14:textId="77777777">
            <w:pPr>
              <w:rPr>
                <w:rFonts w:ascii="Times New Roman" w:hAnsi="Times New Roman"/>
                <w:color w:val="FF0000"/>
                <w:sz w:val="20"/>
              </w:rPr>
            </w:pPr>
            <w:r w:rsidRPr="000C4DBF">
              <w:rPr>
                <w:rFonts w:ascii="Times New Roman" w:hAnsi="Times New Roman"/>
                <w:color w:val="FF0000"/>
                <w:sz w:val="20"/>
              </w:rPr>
              <w:t>160</w:t>
            </w:r>
          </w:p>
        </w:tc>
        <w:tc>
          <w:tcPr>
            <w:tcW w:w="1335" w:type="dxa"/>
          </w:tcPr>
          <w:p w:rsidR="002242D4" w:rsidRPr="000C4DBF" w:rsidP="002242D4" w14:paraId="35885658" w14:textId="77777777">
            <w:pPr>
              <w:rPr>
                <w:rFonts w:ascii="Times New Roman" w:hAnsi="Times New Roman"/>
                <w:color w:val="FF0000"/>
                <w:sz w:val="20"/>
              </w:rPr>
            </w:pPr>
            <w:r w:rsidRPr="000C4DBF">
              <w:rPr>
                <w:rFonts w:ascii="Times New Roman" w:hAnsi="Times New Roman"/>
                <w:color w:val="FF0000"/>
                <w:sz w:val="20"/>
              </w:rPr>
              <w:t>11.15</w:t>
            </w:r>
          </w:p>
        </w:tc>
        <w:tc>
          <w:tcPr>
            <w:tcW w:w="900" w:type="dxa"/>
          </w:tcPr>
          <w:p w:rsidR="002242D4" w:rsidRPr="000C4DBF" w:rsidP="002242D4" w14:paraId="4A6543D6" w14:textId="77777777">
            <w:pPr>
              <w:rPr>
                <w:rFonts w:ascii="Times New Roman" w:hAnsi="Times New Roman"/>
                <w:color w:val="FF0000"/>
                <w:sz w:val="20"/>
              </w:rPr>
            </w:pPr>
            <w:r w:rsidRPr="000C4DBF">
              <w:rPr>
                <w:rFonts w:ascii="Times New Roman" w:hAnsi="Times New Roman"/>
                <w:color w:val="FF0000"/>
                <w:sz w:val="20"/>
              </w:rPr>
              <w:t>1,784</w:t>
            </w:r>
          </w:p>
        </w:tc>
        <w:tc>
          <w:tcPr>
            <w:tcW w:w="1530" w:type="dxa"/>
            <w:vMerge w:val="restart"/>
            <w:vAlign w:val="center"/>
          </w:tcPr>
          <w:p w:rsidR="002242D4" w:rsidRPr="000C4DBF" w:rsidP="002242D4" w14:paraId="29E848BA" w14:textId="77777777">
            <w:pPr>
              <w:rPr>
                <w:rFonts w:ascii="Times New Roman" w:hAnsi="Times New Roman"/>
                <w:color w:val="FF0000"/>
                <w:sz w:val="20"/>
              </w:rPr>
            </w:pPr>
            <w:r w:rsidRPr="000C4DBF">
              <w:rPr>
                <w:rFonts w:ascii="Times New Roman" w:hAnsi="Times New Roman"/>
                <w:color w:val="FF0000"/>
                <w:sz w:val="20"/>
              </w:rPr>
              <w:t>Professional: $40/hour</w:t>
            </w:r>
          </w:p>
          <w:p w:rsidR="002242D4" w:rsidRPr="000C4DBF" w:rsidP="002242D4" w14:paraId="4F3AD532" w14:textId="77777777">
            <w:pPr>
              <w:rPr>
                <w:rFonts w:ascii="Times New Roman" w:hAnsi="Times New Roman"/>
                <w:color w:val="FF0000"/>
                <w:sz w:val="20"/>
              </w:rPr>
            </w:pPr>
            <w:r w:rsidRPr="000C4DBF">
              <w:rPr>
                <w:rFonts w:ascii="Times New Roman" w:hAnsi="Times New Roman"/>
                <w:color w:val="FF0000"/>
                <w:sz w:val="20"/>
              </w:rPr>
              <w:t>Clerical: $18/hour</w:t>
            </w:r>
          </w:p>
        </w:tc>
        <w:tc>
          <w:tcPr>
            <w:tcW w:w="1350" w:type="dxa"/>
          </w:tcPr>
          <w:p w:rsidR="002242D4" w:rsidRPr="000C4DBF" w:rsidP="002242D4" w14:paraId="1F11BFE6" w14:textId="55D1C8B4">
            <w:pPr>
              <w:rPr>
                <w:rFonts w:ascii="Times New Roman" w:hAnsi="Times New Roman"/>
                <w:color w:val="FF0000"/>
                <w:sz w:val="20"/>
              </w:rPr>
            </w:pPr>
            <w:r w:rsidRPr="000C4DBF">
              <w:rPr>
                <w:rFonts w:ascii="Times New Roman" w:hAnsi="Times New Roman"/>
                <w:color w:val="FF0000"/>
                <w:sz w:val="20"/>
              </w:rPr>
              <w:t>P: $</w:t>
            </w:r>
            <w:r w:rsidR="00EF5AF4">
              <w:rPr>
                <w:rFonts w:ascii="Times New Roman" w:hAnsi="Times New Roman"/>
                <w:color w:val="FF0000"/>
                <w:sz w:val="20"/>
              </w:rPr>
              <w:t>64,960</w:t>
            </w:r>
          </w:p>
          <w:p w:rsidR="002242D4" w:rsidRPr="000C4DBF" w:rsidP="002242D4" w14:paraId="06FBA124" w14:textId="232417D9">
            <w:pPr>
              <w:rPr>
                <w:rFonts w:ascii="Times New Roman" w:hAnsi="Times New Roman"/>
                <w:color w:val="FF0000"/>
                <w:sz w:val="20"/>
              </w:rPr>
            </w:pPr>
            <w:r w:rsidRPr="000C4DBF">
              <w:rPr>
                <w:rFonts w:ascii="Times New Roman" w:hAnsi="Times New Roman"/>
                <w:color w:val="FF0000"/>
                <w:sz w:val="20"/>
              </w:rPr>
              <w:t>C: $2,</w:t>
            </w:r>
            <w:r w:rsidR="00810152">
              <w:rPr>
                <w:rFonts w:ascii="Times New Roman" w:hAnsi="Times New Roman"/>
                <w:color w:val="FF0000"/>
                <w:sz w:val="20"/>
              </w:rPr>
              <w:t>880</w:t>
            </w:r>
          </w:p>
        </w:tc>
      </w:tr>
      <w:tr w14:paraId="6C2D1B3D" w14:textId="77777777" w:rsidTr="00460A70">
        <w:tblPrEx>
          <w:tblW w:w="11335" w:type="dxa"/>
          <w:tblLayout w:type="fixed"/>
          <w:tblLook w:val="0020"/>
        </w:tblPrEx>
        <w:tc>
          <w:tcPr>
            <w:tcW w:w="1345" w:type="dxa"/>
          </w:tcPr>
          <w:p w:rsidR="002242D4" w:rsidRPr="000C4DBF" w:rsidP="002242D4" w14:paraId="014E7347" w14:textId="77777777">
            <w:pPr>
              <w:rPr>
                <w:rFonts w:ascii="Times New Roman" w:hAnsi="Times New Roman"/>
                <w:bCs/>
                <w:color w:val="FF0000"/>
                <w:sz w:val="20"/>
              </w:rPr>
            </w:pPr>
            <w:r w:rsidRPr="000C4DBF">
              <w:rPr>
                <w:rFonts w:ascii="Times New Roman" w:hAnsi="Times New Roman"/>
                <w:bCs/>
                <w:color w:val="FF0000"/>
                <w:sz w:val="20"/>
              </w:rPr>
              <w:t>Private, Non-profit Sector</w:t>
            </w:r>
          </w:p>
        </w:tc>
        <w:tc>
          <w:tcPr>
            <w:tcW w:w="1265" w:type="dxa"/>
          </w:tcPr>
          <w:p w:rsidR="002242D4" w:rsidRPr="000C4DBF" w:rsidP="002242D4" w14:paraId="39A92576" w14:textId="77777777">
            <w:pPr>
              <w:rPr>
                <w:rFonts w:ascii="Times New Roman" w:hAnsi="Times New Roman"/>
                <w:color w:val="FF0000"/>
                <w:sz w:val="20"/>
              </w:rPr>
            </w:pPr>
            <w:r w:rsidRPr="000C4DBF">
              <w:rPr>
                <w:rFonts w:ascii="Times New Roman" w:hAnsi="Times New Roman"/>
                <w:color w:val="FF0000"/>
                <w:sz w:val="20"/>
              </w:rPr>
              <w:t>N/A</w:t>
            </w:r>
          </w:p>
        </w:tc>
        <w:tc>
          <w:tcPr>
            <w:tcW w:w="1255" w:type="dxa"/>
          </w:tcPr>
          <w:p w:rsidR="002242D4" w:rsidRPr="000C4DBF" w:rsidP="002242D4" w14:paraId="290F0253" w14:textId="77777777">
            <w:pPr>
              <w:rPr>
                <w:rFonts w:ascii="Times New Roman" w:hAnsi="Times New Roman"/>
                <w:color w:val="FF0000"/>
                <w:sz w:val="20"/>
              </w:rPr>
            </w:pPr>
            <w:r w:rsidRPr="000C4DBF">
              <w:rPr>
                <w:rFonts w:ascii="Times New Roman" w:hAnsi="Times New Roman"/>
                <w:color w:val="FF0000"/>
                <w:sz w:val="20"/>
              </w:rPr>
              <w:t>N/A</w:t>
            </w:r>
          </w:p>
        </w:tc>
        <w:tc>
          <w:tcPr>
            <w:tcW w:w="1275" w:type="dxa"/>
          </w:tcPr>
          <w:p w:rsidR="002242D4" w:rsidRPr="000C4DBF" w:rsidP="002242D4" w14:paraId="3FD90305" w14:textId="77777777">
            <w:pPr>
              <w:rPr>
                <w:rFonts w:ascii="Times New Roman" w:hAnsi="Times New Roman"/>
                <w:color w:val="FF0000"/>
                <w:sz w:val="20"/>
              </w:rPr>
            </w:pPr>
            <w:r w:rsidRPr="000C4DBF">
              <w:rPr>
                <w:rFonts w:ascii="Times New Roman" w:hAnsi="Times New Roman"/>
                <w:color w:val="FF0000"/>
                <w:sz w:val="20"/>
              </w:rPr>
              <w:t>56</w:t>
            </w:r>
          </w:p>
        </w:tc>
        <w:tc>
          <w:tcPr>
            <w:tcW w:w="1080" w:type="dxa"/>
          </w:tcPr>
          <w:p w:rsidR="002242D4" w:rsidRPr="000C4DBF" w:rsidP="002242D4" w14:paraId="03559AA1" w14:textId="77777777">
            <w:pPr>
              <w:rPr>
                <w:rFonts w:ascii="Times New Roman" w:hAnsi="Times New Roman"/>
                <w:color w:val="FF0000"/>
                <w:sz w:val="20"/>
              </w:rPr>
            </w:pPr>
            <w:r w:rsidRPr="000C4DBF">
              <w:rPr>
                <w:rFonts w:ascii="Times New Roman" w:hAnsi="Times New Roman"/>
                <w:color w:val="FF0000"/>
                <w:sz w:val="20"/>
              </w:rPr>
              <w:t>56</w:t>
            </w:r>
          </w:p>
        </w:tc>
        <w:tc>
          <w:tcPr>
            <w:tcW w:w="1335" w:type="dxa"/>
          </w:tcPr>
          <w:p w:rsidR="002242D4" w:rsidRPr="000C4DBF" w:rsidP="002242D4" w14:paraId="0619D4BB" w14:textId="77777777">
            <w:pPr>
              <w:rPr>
                <w:rFonts w:ascii="Times New Roman" w:hAnsi="Times New Roman"/>
                <w:color w:val="FF0000"/>
                <w:sz w:val="20"/>
              </w:rPr>
            </w:pPr>
            <w:r w:rsidRPr="000C4DBF">
              <w:rPr>
                <w:rFonts w:ascii="Times New Roman" w:hAnsi="Times New Roman"/>
                <w:color w:val="FF0000"/>
                <w:sz w:val="20"/>
              </w:rPr>
              <w:t>11.15</w:t>
            </w:r>
          </w:p>
        </w:tc>
        <w:tc>
          <w:tcPr>
            <w:tcW w:w="900" w:type="dxa"/>
          </w:tcPr>
          <w:p w:rsidR="002242D4" w:rsidRPr="000C4DBF" w:rsidP="002242D4" w14:paraId="2802ACED" w14:textId="77777777">
            <w:pPr>
              <w:pStyle w:val="EndnoteText"/>
              <w:tabs>
                <w:tab w:val="clear" w:pos="-720"/>
              </w:tabs>
              <w:suppressAutoHyphens w:val="0"/>
              <w:rPr>
                <w:rFonts w:ascii="Times New Roman" w:hAnsi="Times New Roman"/>
                <w:color w:val="FF0000"/>
                <w:sz w:val="20"/>
              </w:rPr>
            </w:pPr>
            <w:r w:rsidRPr="000C4DBF">
              <w:rPr>
                <w:rFonts w:ascii="Times New Roman" w:hAnsi="Times New Roman"/>
                <w:color w:val="FF0000"/>
                <w:sz w:val="20"/>
              </w:rPr>
              <w:t>624</w:t>
            </w:r>
          </w:p>
        </w:tc>
        <w:tc>
          <w:tcPr>
            <w:tcW w:w="1530" w:type="dxa"/>
            <w:vMerge/>
          </w:tcPr>
          <w:p w:rsidR="002242D4" w:rsidRPr="000C4DBF" w:rsidP="002242D4" w14:paraId="09B0D346" w14:textId="77777777">
            <w:pPr>
              <w:rPr>
                <w:rFonts w:ascii="Times New Roman" w:hAnsi="Times New Roman"/>
                <w:color w:val="FF0000"/>
                <w:sz w:val="20"/>
              </w:rPr>
            </w:pPr>
          </w:p>
        </w:tc>
        <w:tc>
          <w:tcPr>
            <w:tcW w:w="1350" w:type="dxa"/>
          </w:tcPr>
          <w:p w:rsidR="002242D4" w:rsidRPr="000C4DBF" w:rsidP="002242D4" w14:paraId="5FA5C95E" w14:textId="13D3B1FB">
            <w:pPr>
              <w:rPr>
                <w:rFonts w:ascii="Times New Roman" w:hAnsi="Times New Roman"/>
                <w:color w:val="FF0000"/>
                <w:sz w:val="20"/>
              </w:rPr>
            </w:pPr>
            <w:r w:rsidRPr="000C4DBF">
              <w:rPr>
                <w:rFonts w:ascii="Times New Roman" w:hAnsi="Times New Roman"/>
                <w:color w:val="FF0000"/>
                <w:sz w:val="20"/>
              </w:rPr>
              <w:t>P: $22,</w:t>
            </w:r>
            <w:r w:rsidR="007738EE">
              <w:rPr>
                <w:rFonts w:ascii="Times New Roman" w:hAnsi="Times New Roman"/>
                <w:color w:val="FF0000"/>
                <w:sz w:val="20"/>
              </w:rPr>
              <w:t>736</w:t>
            </w:r>
          </w:p>
          <w:p w:rsidR="002242D4" w:rsidRPr="000C4DBF" w:rsidP="002242D4" w14:paraId="762B0A0A" w14:textId="6B115D99">
            <w:pPr>
              <w:rPr>
                <w:rFonts w:ascii="Times New Roman" w:hAnsi="Times New Roman"/>
                <w:color w:val="FF0000"/>
                <w:sz w:val="20"/>
              </w:rPr>
            </w:pPr>
            <w:r w:rsidRPr="000C4DBF">
              <w:rPr>
                <w:rFonts w:ascii="Times New Roman" w:hAnsi="Times New Roman"/>
                <w:color w:val="FF0000"/>
                <w:sz w:val="20"/>
              </w:rPr>
              <w:t>C: $</w:t>
            </w:r>
            <w:r w:rsidR="007738EE">
              <w:rPr>
                <w:rFonts w:ascii="Times New Roman" w:hAnsi="Times New Roman"/>
                <w:color w:val="FF0000"/>
                <w:sz w:val="20"/>
              </w:rPr>
              <w:t>1,008</w:t>
            </w:r>
          </w:p>
        </w:tc>
      </w:tr>
      <w:tr w14:paraId="34ED819F" w14:textId="77777777" w:rsidTr="00460A70">
        <w:tblPrEx>
          <w:tblW w:w="11335" w:type="dxa"/>
          <w:tblLayout w:type="fixed"/>
          <w:tblLook w:val="0020"/>
        </w:tblPrEx>
        <w:tc>
          <w:tcPr>
            <w:tcW w:w="1345" w:type="dxa"/>
          </w:tcPr>
          <w:p w:rsidR="002242D4" w:rsidRPr="000C4DBF" w:rsidP="002242D4" w14:paraId="197AEBDF" w14:textId="77777777">
            <w:pPr>
              <w:rPr>
                <w:rFonts w:ascii="Times New Roman" w:hAnsi="Times New Roman"/>
                <w:color w:val="FF0000"/>
                <w:sz w:val="20"/>
              </w:rPr>
            </w:pPr>
            <w:r w:rsidRPr="000C4DBF">
              <w:rPr>
                <w:rFonts w:ascii="Times New Roman" w:hAnsi="Times New Roman"/>
                <w:color w:val="FF0000"/>
                <w:sz w:val="20"/>
              </w:rPr>
              <w:t>Annualized Totals</w:t>
            </w:r>
          </w:p>
        </w:tc>
        <w:tc>
          <w:tcPr>
            <w:tcW w:w="1265" w:type="dxa"/>
          </w:tcPr>
          <w:p w:rsidR="002242D4" w:rsidRPr="000C4DBF" w:rsidP="002242D4" w14:paraId="1BB79578" w14:textId="77777777">
            <w:pPr>
              <w:rPr>
                <w:rFonts w:ascii="Times New Roman" w:hAnsi="Times New Roman"/>
                <w:color w:val="FF0000"/>
                <w:sz w:val="20"/>
              </w:rPr>
            </w:pPr>
            <w:r w:rsidRPr="000C4DBF">
              <w:rPr>
                <w:rFonts w:ascii="Times New Roman" w:hAnsi="Times New Roman"/>
                <w:color w:val="FF0000"/>
                <w:sz w:val="20"/>
              </w:rPr>
              <w:t>x</w:t>
            </w:r>
          </w:p>
        </w:tc>
        <w:tc>
          <w:tcPr>
            <w:tcW w:w="1255" w:type="dxa"/>
          </w:tcPr>
          <w:p w:rsidR="002242D4" w:rsidRPr="000C4DBF" w:rsidP="002242D4" w14:paraId="6CEDCCB2" w14:textId="77777777">
            <w:pPr>
              <w:rPr>
                <w:rFonts w:ascii="Times New Roman" w:hAnsi="Times New Roman"/>
                <w:color w:val="FF0000"/>
                <w:sz w:val="20"/>
              </w:rPr>
            </w:pPr>
            <w:r w:rsidRPr="000C4DBF">
              <w:rPr>
                <w:rFonts w:ascii="Times New Roman" w:hAnsi="Times New Roman"/>
                <w:color w:val="FF0000"/>
                <w:sz w:val="20"/>
              </w:rPr>
              <w:t>x</w:t>
            </w:r>
          </w:p>
        </w:tc>
        <w:tc>
          <w:tcPr>
            <w:tcW w:w="1275" w:type="dxa"/>
          </w:tcPr>
          <w:p w:rsidR="002242D4" w:rsidRPr="000C4DBF" w:rsidP="002242D4" w14:paraId="79D2BA07" w14:textId="77777777">
            <w:pPr>
              <w:rPr>
                <w:rFonts w:ascii="Times New Roman" w:hAnsi="Times New Roman"/>
                <w:color w:val="FF0000"/>
                <w:sz w:val="20"/>
              </w:rPr>
            </w:pPr>
            <w:r w:rsidRPr="000C4DBF">
              <w:rPr>
                <w:rFonts w:ascii="Times New Roman" w:hAnsi="Times New Roman"/>
                <w:color w:val="FF0000"/>
                <w:sz w:val="20"/>
              </w:rPr>
              <w:t>216</w:t>
            </w:r>
          </w:p>
        </w:tc>
        <w:tc>
          <w:tcPr>
            <w:tcW w:w="1080" w:type="dxa"/>
          </w:tcPr>
          <w:p w:rsidR="002242D4" w:rsidRPr="000C4DBF" w:rsidP="002242D4" w14:paraId="24379801" w14:textId="77777777">
            <w:pPr>
              <w:rPr>
                <w:rFonts w:ascii="Times New Roman" w:hAnsi="Times New Roman"/>
                <w:color w:val="FF0000"/>
                <w:sz w:val="20"/>
              </w:rPr>
            </w:pPr>
            <w:r w:rsidRPr="000C4DBF">
              <w:rPr>
                <w:rFonts w:ascii="Times New Roman" w:hAnsi="Times New Roman"/>
                <w:color w:val="FF0000"/>
                <w:sz w:val="20"/>
              </w:rPr>
              <w:t>216</w:t>
            </w:r>
          </w:p>
        </w:tc>
        <w:tc>
          <w:tcPr>
            <w:tcW w:w="1335" w:type="dxa"/>
          </w:tcPr>
          <w:p w:rsidR="002242D4" w:rsidRPr="000C4DBF" w:rsidP="002242D4" w14:paraId="03CF22C7" w14:textId="77777777">
            <w:pPr>
              <w:rPr>
                <w:rFonts w:ascii="Times New Roman" w:hAnsi="Times New Roman"/>
                <w:color w:val="FF0000"/>
                <w:sz w:val="20"/>
              </w:rPr>
            </w:pPr>
            <w:r w:rsidRPr="000C4DBF">
              <w:rPr>
                <w:rFonts w:ascii="Times New Roman" w:hAnsi="Times New Roman"/>
                <w:color w:val="FF0000"/>
                <w:sz w:val="20"/>
              </w:rPr>
              <w:t>x</w:t>
            </w:r>
          </w:p>
        </w:tc>
        <w:tc>
          <w:tcPr>
            <w:tcW w:w="900" w:type="dxa"/>
          </w:tcPr>
          <w:p w:rsidR="002242D4" w:rsidRPr="000C4DBF" w:rsidP="002242D4" w14:paraId="3C75D98D" w14:textId="77777777">
            <w:pPr>
              <w:rPr>
                <w:rFonts w:ascii="Times New Roman" w:hAnsi="Times New Roman"/>
                <w:color w:val="FF0000"/>
                <w:sz w:val="20"/>
              </w:rPr>
            </w:pPr>
            <w:r w:rsidRPr="000C4DBF">
              <w:rPr>
                <w:rFonts w:ascii="Times New Roman" w:hAnsi="Times New Roman"/>
                <w:color w:val="FF0000"/>
                <w:sz w:val="20"/>
              </w:rPr>
              <w:t>2,408</w:t>
            </w:r>
          </w:p>
        </w:tc>
        <w:tc>
          <w:tcPr>
            <w:tcW w:w="1530" w:type="dxa"/>
          </w:tcPr>
          <w:p w:rsidR="002242D4" w:rsidRPr="000C4DBF" w:rsidP="002242D4" w14:paraId="1027C4FA" w14:textId="77777777">
            <w:pPr>
              <w:rPr>
                <w:rFonts w:ascii="Times New Roman" w:hAnsi="Times New Roman"/>
                <w:color w:val="FF0000"/>
                <w:sz w:val="20"/>
              </w:rPr>
            </w:pPr>
            <w:r w:rsidRPr="000C4DBF">
              <w:rPr>
                <w:rFonts w:ascii="Times New Roman" w:hAnsi="Times New Roman"/>
                <w:color w:val="FF0000"/>
                <w:sz w:val="20"/>
              </w:rPr>
              <w:t>x</w:t>
            </w:r>
          </w:p>
        </w:tc>
        <w:tc>
          <w:tcPr>
            <w:tcW w:w="1350" w:type="dxa"/>
          </w:tcPr>
          <w:p w:rsidR="002242D4" w:rsidRPr="000C4DBF" w:rsidP="002242D4" w14:paraId="60BC5A9F" w14:textId="6ED425E1">
            <w:pPr>
              <w:rPr>
                <w:rFonts w:ascii="Times New Roman" w:hAnsi="Times New Roman"/>
                <w:bCs/>
                <w:color w:val="FF0000"/>
                <w:sz w:val="20"/>
              </w:rPr>
            </w:pPr>
            <w:r w:rsidRPr="000C4DBF">
              <w:rPr>
                <w:rFonts w:ascii="Times New Roman" w:hAnsi="Times New Roman"/>
                <w:bCs/>
                <w:color w:val="FF0000"/>
                <w:sz w:val="20"/>
              </w:rPr>
              <w:t>$</w:t>
            </w:r>
            <w:r w:rsidR="004D0954">
              <w:rPr>
                <w:rFonts w:ascii="Times New Roman" w:hAnsi="Times New Roman"/>
                <w:bCs/>
                <w:color w:val="FF0000"/>
                <w:sz w:val="20"/>
              </w:rPr>
              <w:t>91,584</w:t>
            </w:r>
          </w:p>
        </w:tc>
      </w:tr>
      <w:tr w14:paraId="41D02DAA" w14:textId="77777777" w:rsidTr="00460A70">
        <w:tblPrEx>
          <w:tblW w:w="11335" w:type="dxa"/>
          <w:tblLayout w:type="fixed"/>
          <w:tblLook w:val="0020"/>
        </w:tblPrEx>
        <w:tc>
          <w:tcPr>
            <w:tcW w:w="1345" w:type="dxa"/>
          </w:tcPr>
          <w:p w:rsidR="002242D4" w:rsidRPr="000C4DBF" w:rsidP="002242D4" w14:paraId="4DA7FBAD" w14:textId="4DDEE363">
            <w:pPr>
              <w:rPr>
                <w:rFonts w:ascii="Times New Roman" w:hAnsi="Times New Roman"/>
                <w:color w:val="FF0000"/>
                <w:sz w:val="20"/>
              </w:rPr>
            </w:pPr>
            <w:r w:rsidRPr="000C4DBF">
              <w:rPr>
                <w:rFonts w:ascii="Times New Roman" w:hAnsi="Times New Roman"/>
                <w:color w:val="FF0000"/>
                <w:sz w:val="20"/>
              </w:rPr>
              <w:t>Difference from Currently Approved</w:t>
            </w:r>
          </w:p>
        </w:tc>
        <w:tc>
          <w:tcPr>
            <w:tcW w:w="1265" w:type="dxa"/>
          </w:tcPr>
          <w:p w:rsidR="002242D4" w:rsidRPr="000C4DBF" w:rsidP="002242D4" w14:paraId="406F0C17" w14:textId="646574EC">
            <w:pPr>
              <w:rPr>
                <w:rFonts w:ascii="Times New Roman" w:hAnsi="Times New Roman"/>
                <w:color w:val="FF0000"/>
                <w:sz w:val="20"/>
              </w:rPr>
            </w:pPr>
            <w:r>
              <w:rPr>
                <w:rFonts w:ascii="Times New Roman" w:hAnsi="Times New Roman"/>
                <w:color w:val="FF0000"/>
                <w:sz w:val="20"/>
              </w:rPr>
              <w:t>x</w:t>
            </w:r>
          </w:p>
        </w:tc>
        <w:tc>
          <w:tcPr>
            <w:tcW w:w="1255" w:type="dxa"/>
          </w:tcPr>
          <w:p w:rsidR="002242D4" w:rsidRPr="000C4DBF" w:rsidP="002242D4" w14:paraId="7F2FABF0" w14:textId="23436FA8">
            <w:pPr>
              <w:rPr>
                <w:rFonts w:ascii="Times New Roman" w:hAnsi="Times New Roman"/>
                <w:color w:val="FF0000"/>
                <w:sz w:val="20"/>
              </w:rPr>
            </w:pPr>
            <w:r>
              <w:rPr>
                <w:rFonts w:ascii="Times New Roman" w:hAnsi="Times New Roman"/>
                <w:color w:val="FF0000"/>
                <w:sz w:val="20"/>
              </w:rPr>
              <w:t>x</w:t>
            </w:r>
          </w:p>
        </w:tc>
        <w:tc>
          <w:tcPr>
            <w:tcW w:w="1275" w:type="dxa"/>
          </w:tcPr>
          <w:p w:rsidR="002242D4" w:rsidRPr="000C4DBF" w:rsidP="002242D4" w14:paraId="62E4115E" w14:textId="786E8D78">
            <w:pPr>
              <w:rPr>
                <w:rFonts w:ascii="Times New Roman" w:hAnsi="Times New Roman"/>
                <w:color w:val="FF0000"/>
                <w:sz w:val="20"/>
              </w:rPr>
            </w:pPr>
            <w:r>
              <w:rPr>
                <w:rFonts w:ascii="Times New Roman" w:hAnsi="Times New Roman"/>
                <w:color w:val="FF0000"/>
                <w:sz w:val="20"/>
              </w:rPr>
              <w:t>+10</w:t>
            </w:r>
          </w:p>
        </w:tc>
        <w:tc>
          <w:tcPr>
            <w:tcW w:w="1080" w:type="dxa"/>
          </w:tcPr>
          <w:p w:rsidR="002242D4" w:rsidRPr="000C4DBF" w:rsidP="002242D4" w14:paraId="627B34AA" w14:textId="45733309">
            <w:pPr>
              <w:rPr>
                <w:rFonts w:ascii="Times New Roman" w:hAnsi="Times New Roman"/>
                <w:color w:val="FF0000"/>
                <w:sz w:val="20"/>
              </w:rPr>
            </w:pPr>
            <w:r>
              <w:rPr>
                <w:rFonts w:ascii="Times New Roman" w:hAnsi="Times New Roman"/>
                <w:color w:val="FF0000"/>
                <w:sz w:val="20"/>
              </w:rPr>
              <w:t>+10</w:t>
            </w:r>
          </w:p>
        </w:tc>
        <w:tc>
          <w:tcPr>
            <w:tcW w:w="1335" w:type="dxa"/>
          </w:tcPr>
          <w:p w:rsidR="002242D4" w:rsidRPr="000C4DBF" w:rsidP="002242D4" w14:paraId="2BA03EB7" w14:textId="6D1F456A">
            <w:pPr>
              <w:rPr>
                <w:rFonts w:ascii="Times New Roman" w:hAnsi="Times New Roman"/>
                <w:color w:val="FF0000"/>
                <w:sz w:val="20"/>
              </w:rPr>
            </w:pPr>
            <w:r>
              <w:rPr>
                <w:rFonts w:ascii="Times New Roman" w:hAnsi="Times New Roman"/>
                <w:color w:val="FF0000"/>
                <w:sz w:val="20"/>
              </w:rPr>
              <w:t>x</w:t>
            </w:r>
          </w:p>
        </w:tc>
        <w:tc>
          <w:tcPr>
            <w:tcW w:w="900" w:type="dxa"/>
          </w:tcPr>
          <w:p w:rsidR="002242D4" w:rsidRPr="000C4DBF" w:rsidP="002242D4" w14:paraId="3D92CDF8" w14:textId="3667342C">
            <w:pPr>
              <w:rPr>
                <w:rFonts w:ascii="Times New Roman" w:hAnsi="Times New Roman"/>
                <w:color w:val="FF0000"/>
                <w:sz w:val="20"/>
              </w:rPr>
            </w:pPr>
            <w:r>
              <w:rPr>
                <w:rFonts w:ascii="Times New Roman" w:hAnsi="Times New Roman"/>
                <w:color w:val="FF0000"/>
                <w:sz w:val="20"/>
              </w:rPr>
              <w:t>+111</w:t>
            </w:r>
          </w:p>
        </w:tc>
        <w:tc>
          <w:tcPr>
            <w:tcW w:w="1530" w:type="dxa"/>
          </w:tcPr>
          <w:p w:rsidR="002242D4" w:rsidRPr="000C4DBF" w:rsidP="002242D4" w14:paraId="43F4749E" w14:textId="77777777">
            <w:pPr>
              <w:rPr>
                <w:rFonts w:ascii="Times New Roman" w:hAnsi="Times New Roman"/>
                <w:color w:val="FF0000"/>
                <w:sz w:val="20"/>
              </w:rPr>
            </w:pPr>
          </w:p>
        </w:tc>
        <w:tc>
          <w:tcPr>
            <w:tcW w:w="1350" w:type="dxa"/>
          </w:tcPr>
          <w:p w:rsidR="002242D4" w:rsidRPr="000C4DBF" w:rsidP="002242D4" w14:paraId="142A9CDB" w14:textId="449ADD89">
            <w:pPr>
              <w:rPr>
                <w:rFonts w:ascii="Times New Roman" w:hAnsi="Times New Roman"/>
                <w:bCs/>
                <w:color w:val="FF0000"/>
                <w:sz w:val="20"/>
              </w:rPr>
            </w:pPr>
            <w:r>
              <w:rPr>
                <w:rFonts w:ascii="Times New Roman" w:hAnsi="Times New Roman"/>
                <w:bCs/>
                <w:color w:val="FF0000"/>
                <w:sz w:val="20"/>
              </w:rPr>
              <w:t>$4,240</w:t>
            </w:r>
          </w:p>
        </w:tc>
      </w:tr>
    </w:tbl>
    <w:p w:rsidR="00F26DCE" w:rsidRPr="00F26DCE" w:rsidP="00F26DCE" w14:paraId="16926DE8" w14:textId="77777777">
      <w:pPr>
        <w:pStyle w:val="ListParagraph"/>
        <w:tabs>
          <w:tab w:val="left" w:pos="-720"/>
        </w:tabs>
        <w:suppressAutoHyphens/>
        <w:ind w:left="-864" w:right="-864"/>
        <w:rPr>
          <w:rStyle w:val="a"/>
          <w:rFonts w:ascii="Times New Roman" w:hAnsi="Times New Roman"/>
          <w:b/>
          <w:bCs/>
          <w:i/>
          <w:iCs/>
          <w:color w:val="FF0000"/>
          <w:sz w:val="22"/>
          <w:szCs w:val="22"/>
        </w:rPr>
      </w:pPr>
      <w:r w:rsidRPr="00F26DCE">
        <w:rPr>
          <w:rStyle w:val="a"/>
          <w:rFonts w:ascii="Times New Roman" w:hAnsi="Times New Roman"/>
          <w:b/>
          <w:bCs/>
          <w:i/>
          <w:iCs/>
          <w:color w:val="FF0000"/>
          <w:sz w:val="22"/>
          <w:szCs w:val="22"/>
        </w:rPr>
        <w:t>Please ensure the annual total burden, respondents and response match those entered in IC Data Parts 1 and 2, and the response per respondent matches the Paperwork Burden Statement that must be included on all forms.</w:t>
      </w:r>
    </w:p>
    <w:p w:rsidR="00F26DCE" w:rsidRPr="00F26DCE" w:rsidP="00F26DCE" w14:paraId="0A8F1927" w14:textId="77777777">
      <w:pPr>
        <w:tabs>
          <w:tab w:val="left" w:pos="-720"/>
        </w:tabs>
        <w:suppressAutoHyphens/>
        <w:rPr>
          <w:rFonts w:ascii="Times New Roman" w:hAnsi="Times New Roman"/>
          <w:color w:val="FF0000"/>
          <w:sz w:val="22"/>
          <w:szCs w:val="22"/>
        </w:rPr>
      </w:pPr>
    </w:p>
    <w:p w:rsidR="00F26DCE" w:rsidRPr="00F26DCE" w:rsidP="00F26DCE" w14:paraId="2EC4A5AA" w14:textId="77777777">
      <w:pPr>
        <w:rPr>
          <w:rFonts w:ascii="Times New Roman" w:hAnsi="Times New Roman"/>
          <w:color w:val="FF0000"/>
          <w:sz w:val="22"/>
          <w:szCs w:val="22"/>
        </w:rPr>
      </w:pPr>
      <w:r w:rsidRPr="00F26DCE">
        <w:rPr>
          <w:rFonts w:ascii="Times New Roman" w:hAnsi="Times New Roman"/>
          <w:color w:val="FF0000"/>
          <w:sz w:val="22"/>
          <w:szCs w:val="22"/>
        </w:rPr>
        <w:t xml:space="preserve">The estimated burden hours for this collection are 11.15 hours.  We estimate approximately 216 respondents x 1 report each. </w:t>
      </w:r>
    </w:p>
    <w:p w:rsidR="00F26DCE" w:rsidRPr="00F26DCE" w:rsidP="00F26DCE" w14:paraId="491442F3" w14:textId="77777777">
      <w:pPr>
        <w:rPr>
          <w:rFonts w:ascii="Times New Roman" w:hAnsi="Times New Roman"/>
          <w:color w:val="FF0000"/>
          <w:sz w:val="22"/>
          <w:szCs w:val="22"/>
        </w:rPr>
      </w:pPr>
    </w:p>
    <w:p w:rsidR="00F26DCE" w:rsidRPr="00F26DCE" w:rsidP="00F26DCE" w14:paraId="2959361A" w14:textId="77777777">
      <w:pPr>
        <w:rPr>
          <w:rFonts w:ascii="Times New Roman" w:hAnsi="Times New Roman"/>
          <w:color w:val="FF0000"/>
          <w:sz w:val="22"/>
          <w:szCs w:val="22"/>
        </w:rPr>
      </w:pPr>
      <w:r w:rsidRPr="00F26DCE">
        <w:rPr>
          <w:rFonts w:ascii="Times New Roman" w:hAnsi="Times New Roman"/>
          <w:color w:val="FF0000"/>
          <w:sz w:val="22"/>
          <w:szCs w:val="22"/>
        </w:rPr>
        <w:t>The burden hours allotted for recordkeeping and reporting burden includes activities related to the update and review of data, responses to inconsistencies in the data reported, and data entry into the web portal.</w:t>
      </w:r>
    </w:p>
    <w:p w:rsidR="00F26DCE" w:rsidRPr="00F26DCE" w:rsidP="00F26DCE" w14:paraId="5E7D4468" w14:textId="77777777">
      <w:pPr>
        <w:ind w:left="360"/>
        <w:rPr>
          <w:rFonts w:ascii="Times New Roman" w:hAnsi="Times New Roman"/>
          <w:color w:val="FF0000"/>
          <w:sz w:val="22"/>
          <w:szCs w:val="22"/>
        </w:rPr>
      </w:pPr>
    </w:p>
    <w:p w:rsidR="00F26DCE" w:rsidRPr="00F26DCE" w:rsidP="00F26DCE" w14:paraId="06B63622" w14:textId="77777777">
      <w:pPr>
        <w:rPr>
          <w:rFonts w:ascii="Times New Roman" w:hAnsi="Times New Roman"/>
          <w:color w:val="FF0000"/>
          <w:sz w:val="22"/>
          <w:szCs w:val="22"/>
        </w:rPr>
      </w:pPr>
      <w:r w:rsidRPr="00F26DCE">
        <w:rPr>
          <w:rFonts w:ascii="Times New Roman" w:hAnsi="Times New Roman"/>
          <w:color w:val="FF0000"/>
          <w:sz w:val="22"/>
          <w:szCs w:val="22"/>
        </w:rPr>
        <w:t>Most of the costs of this data collection are those of the Federal Government, since the respondents are project staff paid for the most part with Federal grant funds.  Nonetheless, the annual cost to the grantee to respond to this data collection is estimated as follows:</w:t>
      </w:r>
    </w:p>
    <w:p w:rsidR="00F26DCE" w:rsidRPr="00F26DCE" w:rsidP="00F26DCE" w14:paraId="17475C7E" w14:textId="77777777">
      <w:pPr>
        <w:ind w:left="720"/>
        <w:rPr>
          <w:rFonts w:ascii="Times New Roman" w:hAnsi="Times New Roman"/>
          <w:color w:val="FF0000"/>
          <w:sz w:val="22"/>
          <w:szCs w:val="22"/>
        </w:rPr>
      </w:pPr>
    </w:p>
    <w:tbl>
      <w:tblPr>
        <w:tblStyle w:val="TableGrid"/>
        <w:tblW w:w="0" w:type="auto"/>
        <w:tblInd w:w="720" w:type="dxa"/>
        <w:tblLook w:val="04A0"/>
      </w:tblPr>
      <w:tblGrid>
        <w:gridCol w:w="4751"/>
        <w:gridCol w:w="3879"/>
      </w:tblGrid>
      <w:tr w14:paraId="423E87CA" w14:textId="77777777" w:rsidTr="00460A70">
        <w:tblPrEx>
          <w:tblW w:w="0" w:type="auto"/>
          <w:tblInd w:w="720" w:type="dxa"/>
          <w:tblLook w:val="04A0"/>
        </w:tblPrEx>
        <w:tc>
          <w:tcPr>
            <w:tcW w:w="8856" w:type="dxa"/>
            <w:gridSpan w:val="2"/>
            <w:shd w:val="clear" w:color="auto" w:fill="7030A0"/>
          </w:tcPr>
          <w:p w:rsidR="00F26DCE" w:rsidRPr="00F26DCE" w:rsidP="00460A70" w14:paraId="27B412B6" w14:textId="77777777">
            <w:pPr>
              <w:jc w:val="center"/>
              <w:rPr>
                <w:rFonts w:ascii="Times New Roman" w:hAnsi="Times New Roman"/>
                <w:b/>
                <w:color w:val="FF0000"/>
                <w:sz w:val="22"/>
                <w:szCs w:val="22"/>
              </w:rPr>
            </w:pPr>
            <w:r w:rsidRPr="00F26DCE">
              <w:rPr>
                <w:rFonts w:ascii="Times New Roman" w:hAnsi="Times New Roman"/>
                <w:b/>
                <w:color w:val="FF0000"/>
                <w:sz w:val="22"/>
                <w:szCs w:val="22"/>
              </w:rPr>
              <w:t>Estimated annual costs to respondents</w:t>
            </w:r>
          </w:p>
        </w:tc>
      </w:tr>
      <w:tr w14:paraId="472E1900" w14:textId="77777777" w:rsidTr="00460A70">
        <w:tblPrEx>
          <w:tblW w:w="0" w:type="auto"/>
          <w:tblInd w:w="720" w:type="dxa"/>
          <w:tblLook w:val="04A0"/>
        </w:tblPrEx>
        <w:tc>
          <w:tcPr>
            <w:tcW w:w="4878" w:type="dxa"/>
          </w:tcPr>
          <w:p w:rsidR="00F26DCE" w:rsidRPr="00F26DCE" w:rsidP="00460A70" w14:paraId="73EC28A5" w14:textId="6F0947D7">
            <w:pPr>
              <w:rPr>
                <w:rFonts w:ascii="Times New Roman" w:hAnsi="Times New Roman"/>
                <w:color w:val="FF0000"/>
                <w:sz w:val="22"/>
                <w:szCs w:val="22"/>
              </w:rPr>
            </w:pPr>
            <w:r w:rsidRPr="00F26DCE">
              <w:rPr>
                <w:rFonts w:ascii="Times New Roman" w:hAnsi="Times New Roman"/>
                <w:color w:val="FF0000"/>
                <w:sz w:val="22"/>
                <w:szCs w:val="22"/>
              </w:rPr>
              <w:t>Professional (2</w:t>
            </w:r>
            <w:r w:rsidR="00112C31">
              <w:rPr>
                <w:rFonts w:ascii="Times New Roman" w:hAnsi="Times New Roman"/>
                <w:color w:val="FF0000"/>
                <w:sz w:val="22"/>
                <w:szCs w:val="22"/>
              </w:rPr>
              <w:t>1</w:t>
            </w:r>
            <w:r w:rsidRPr="00F26DCE">
              <w:rPr>
                <w:rFonts w:ascii="Times New Roman" w:hAnsi="Times New Roman"/>
                <w:color w:val="FF0000"/>
                <w:sz w:val="22"/>
                <w:szCs w:val="22"/>
              </w:rPr>
              <w:t>6 personnel X 10.15 hours @ $40 per hour)</w:t>
            </w:r>
          </w:p>
        </w:tc>
        <w:tc>
          <w:tcPr>
            <w:tcW w:w="3978" w:type="dxa"/>
          </w:tcPr>
          <w:p w:rsidR="00F26DCE" w:rsidRPr="00F26DCE" w:rsidP="00460A70" w14:paraId="45E04118" w14:textId="753AF875">
            <w:pPr>
              <w:rPr>
                <w:rFonts w:ascii="Times New Roman" w:hAnsi="Times New Roman"/>
                <w:color w:val="FF0000"/>
                <w:sz w:val="22"/>
                <w:szCs w:val="22"/>
                <w:highlight w:val="yellow"/>
              </w:rPr>
            </w:pPr>
            <w:r w:rsidRPr="00F26DCE">
              <w:rPr>
                <w:rFonts w:ascii="Times New Roman" w:hAnsi="Times New Roman"/>
                <w:color w:val="FF0000"/>
                <w:sz w:val="22"/>
                <w:szCs w:val="22"/>
              </w:rPr>
              <w:t>$8</w:t>
            </w:r>
            <w:r w:rsidR="00112C31">
              <w:rPr>
                <w:rFonts w:ascii="Times New Roman" w:hAnsi="Times New Roman"/>
                <w:color w:val="FF0000"/>
                <w:sz w:val="22"/>
                <w:szCs w:val="22"/>
              </w:rPr>
              <w:t>7</w:t>
            </w:r>
            <w:r w:rsidRPr="00F26DCE">
              <w:rPr>
                <w:rFonts w:ascii="Times New Roman" w:hAnsi="Times New Roman"/>
                <w:color w:val="FF0000"/>
                <w:sz w:val="22"/>
                <w:szCs w:val="22"/>
              </w:rPr>
              <w:t>,6</w:t>
            </w:r>
            <w:r w:rsidR="00112C31">
              <w:rPr>
                <w:rFonts w:ascii="Times New Roman" w:hAnsi="Times New Roman"/>
                <w:color w:val="FF0000"/>
                <w:sz w:val="22"/>
                <w:szCs w:val="22"/>
              </w:rPr>
              <w:t>9</w:t>
            </w:r>
            <w:r w:rsidRPr="00F26DCE">
              <w:rPr>
                <w:rFonts w:ascii="Times New Roman" w:hAnsi="Times New Roman"/>
                <w:color w:val="FF0000"/>
                <w:sz w:val="22"/>
                <w:szCs w:val="22"/>
              </w:rPr>
              <w:t>6.00</w:t>
            </w:r>
          </w:p>
        </w:tc>
      </w:tr>
      <w:tr w14:paraId="5CA7BAF1" w14:textId="77777777" w:rsidTr="00460A70">
        <w:tblPrEx>
          <w:tblW w:w="0" w:type="auto"/>
          <w:tblInd w:w="720" w:type="dxa"/>
          <w:tblLook w:val="04A0"/>
        </w:tblPrEx>
        <w:tc>
          <w:tcPr>
            <w:tcW w:w="4878" w:type="dxa"/>
          </w:tcPr>
          <w:p w:rsidR="00F26DCE" w:rsidRPr="00F26DCE" w:rsidP="00460A70" w14:paraId="4E81E253" w14:textId="2EA9E08E">
            <w:pPr>
              <w:pStyle w:val="Heading5"/>
              <w:ind w:left="0"/>
              <w:rPr>
                <w:color w:val="FF0000"/>
                <w:sz w:val="22"/>
                <w:szCs w:val="22"/>
              </w:rPr>
            </w:pPr>
            <w:r w:rsidRPr="00F26DCE">
              <w:rPr>
                <w:color w:val="FF0000"/>
                <w:sz w:val="22"/>
                <w:szCs w:val="22"/>
              </w:rPr>
              <w:t>Clerical (2</w:t>
            </w:r>
            <w:r w:rsidR="00112C31">
              <w:rPr>
                <w:color w:val="FF0000"/>
                <w:sz w:val="22"/>
                <w:szCs w:val="22"/>
              </w:rPr>
              <w:t>1</w:t>
            </w:r>
            <w:r w:rsidRPr="00F26DCE">
              <w:rPr>
                <w:color w:val="FF0000"/>
                <w:sz w:val="22"/>
                <w:szCs w:val="22"/>
              </w:rPr>
              <w:t>6 clerical X 1 hour @ $18 per hour)</w:t>
            </w:r>
          </w:p>
        </w:tc>
        <w:tc>
          <w:tcPr>
            <w:tcW w:w="3978" w:type="dxa"/>
          </w:tcPr>
          <w:p w:rsidR="00F26DCE" w:rsidRPr="00F26DCE" w:rsidP="00460A70" w14:paraId="67D4755F" w14:textId="584C4FDC">
            <w:pPr>
              <w:rPr>
                <w:rFonts w:ascii="Times New Roman" w:hAnsi="Times New Roman"/>
                <w:color w:val="FF0000"/>
                <w:sz w:val="22"/>
                <w:szCs w:val="22"/>
                <w:highlight w:val="yellow"/>
              </w:rPr>
            </w:pPr>
            <w:r w:rsidRPr="00F26DCE">
              <w:rPr>
                <w:rFonts w:ascii="Times New Roman" w:hAnsi="Times New Roman"/>
                <w:color w:val="FF0000"/>
                <w:sz w:val="22"/>
                <w:szCs w:val="22"/>
              </w:rPr>
              <w:t>$3,</w:t>
            </w:r>
            <w:r w:rsidR="00F81A1B">
              <w:rPr>
                <w:rFonts w:ascii="Times New Roman" w:hAnsi="Times New Roman"/>
                <w:color w:val="FF0000"/>
                <w:sz w:val="22"/>
                <w:szCs w:val="22"/>
              </w:rPr>
              <w:t>88</w:t>
            </w:r>
            <w:r w:rsidRPr="00F26DCE">
              <w:rPr>
                <w:rFonts w:ascii="Times New Roman" w:hAnsi="Times New Roman"/>
                <w:color w:val="FF0000"/>
                <w:sz w:val="22"/>
                <w:szCs w:val="22"/>
              </w:rPr>
              <w:t>8.00</w:t>
            </w:r>
          </w:p>
        </w:tc>
      </w:tr>
      <w:tr w14:paraId="297850AC" w14:textId="77777777" w:rsidTr="00460A70">
        <w:tblPrEx>
          <w:tblW w:w="0" w:type="auto"/>
          <w:tblInd w:w="720" w:type="dxa"/>
          <w:tblLook w:val="04A0"/>
        </w:tblPrEx>
        <w:tc>
          <w:tcPr>
            <w:tcW w:w="4878" w:type="dxa"/>
          </w:tcPr>
          <w:p w:rsidR="00F26DCE" w:rsidRPr="00F26DCE" w:rsidP="00460A70" w14:paraId="29BB8BF0" w14:textId="77777777">
            <w:pPr>
              <w:rPr>
                <w:rFonts w:ascii="Times New Roman" w:hAnsi="Times New Roman"/>
                <w:b/>
                <w:color w:val="FF0000"/>
                <w:sz w:val="22"/>
                <w:szCs w:val="22"/>
              </w:rPr>
            </w:pPr>
            <w:r w:rsidRPr="00F26DCE">
              <w:rPr>
                <w:rFonts w:ascii="Times New Roman" w:hAnsi="Times New Roman"/>
                <w:b/>
                <w:color w:val="FF0000"/>
                <w:sz w:val="22"/>
                <w:szCs w:val="22"/>
              </w:rPr>
              <w:t>Total estimated costs to respondents</w:t>
            </w:r>
            <w:r w:rsidRPr="00F26DCE">
              <w:rPr>
                <w:rFonts w:ascii="Times New Roman" w:hAnsi="Times New Roman"/>
                <w:b/>
                <w:color w:val="FF0000"/>
                <w:sz w:val="22"/>
                <w:szCs w:val="22"/>
              </w:rPr>
              <w:tab/>
            </w:r>
          </w:p>
        </w:tc>
        <w:tc>
          <w:tcPr>
            <w:tcW w:w="3978" w:type="dxa"/>
          </w:tcPr>
          <w:p w:rsidR="00F26DCE" w:rsidRPr="00F26DCE" w:rsidP="00460A70" w14:paraId="1AF44E9B" w14:textId="0CCFCB8B">
            <w:pPr>
              <w:rPr>
                <w:rFonts w:ascii="Times New Roman" w:hAnsi="Times New Roman"/>
                <w:b/>
                <w:color w:val="FF0000"/>
                <w:sz w:val="22"/>
                <w:szCs w:val="22"/>
                <w:highlight w:val="yellow"/>
              </w:rPr>
            </w:pPr>
            <w:r w:rsidRPr="00F26DCE">
              <w:rPr>
                <w:rFonts w:ascii="Times New Roman" w:hAnsi="Times New Roman"/>
                <w:b/>
                <w:color w:val="FF0000"/>
                <w:sz w:val="22"/>
                <w:szCs w:val="22"/>
              </w:rPr>
              <w:t>$</w:t>
            </w:r>
            <w:r w:rsidR="00F81A1B">
              <w:rPr>
                <w:rFonts w:ascii="Times New Roman" w:hAnsi="Times New Roman"/>
                <w:b/>
                <w:color w:val="FF0000"/>
                <w:sz w:val="22"/>
                <w:szCs w:val="22"/>
              </w:rPr>
              <w:t>91,584.</w:t>
            </w:r>
            <w:r w:rsidRPr="00F26DCE">
              <w:rPr>
                <w:rFonts w:ascii="Times New Roman" w:hAnsi="Times New Roman"/>
                <w:b/>
                <w:color w:val="FF0000"/>
                <w:sz w:val="22"/>
                <w:szCs w:val="22"/>
              </w:rPr>
              <w:t>00</w:t>
            </w:r>
          </w:p>
        </w:tc>
      </w:tr>
    </w:tbl>
    <w:p w:rsidR="00F26DCE" w:rsidRPr="0015716C" w:rsidP="00F26DCE" w14:paraId="07BBB173" w14:textId="77777777">
      <w:pPr>
        <w:tabs>
          <w:tab w:val="left" w:pos="-720"/>
        </w:tabs>
        <w:suppressAutoHyphens/>
        <w:rPr>
          <w:rFonts w:ascii="Times New Roman" w:hAnsi="Times New Roman"/>
          <w:sz w:val="22"/>
          <w:szCs w:val="22"/>
        </w:rPr>
      </w:pPr>
    </w:p>
    <w:p w:rsidR="00F24A0A" w:rsidRPr="0015716C" w:rsidP="00C377B6" w14:paraId="0E3E4A03" w14:textId="77777777">
      <w:pPr>
        <w:tabs>
          <w:tab w:val="left" w:pos="-720"/>
        </w:tabs>
        <w:suppressAutoHyphens/>
        <w:rPr>
          <w:rFonts w:ascii="Times New Roman" w:hAnsi="Times New Roman"/>
          <w:sz w:val="22"/>
          <w:szCs w:val="22"/>
        </w:rPr>
      </w:pPr>
    </w:p>
    <w:p w:rsidR="00C377B6" w:rsidRPr="00E17878" w:rsidP="00C377B6" w14:paraId="3A512FD1" w14:textId="77777777">
      <w:pPr>
        <w:tabs>
          <w:tab w:val="left" w:pos="-720"/>
        </w:tabs>
        <w:suppressAutoHyphens/>
        <w:rPr>
          <w:rStyle w:val="a"/>
          <w:rFonts w:ascii="Times New Roman" w:hAnsi="Times New Roman"/>
          <w:i/>
          <w:sz w:val="22"/>
          <w:szCs w:val="22"/>
        </w:rPr>
      </w:pPr>
      <w:r w:rsidRPr="0015716C">
        <w:rPr>
          <w:rFonts w:ascii="Times New Roman" w:hAnsi="Times New Roman"/>
          <w:i/>
          <w:sz w:val="22"/>
          <w:szCs w:val="22"/>
        </w:rPr>
        <w:t xml:space="preserve">13.  </w:t>
      </w:r>
      <w:r w:rsidRPr="00E17878">
        <w:rPr>
          <w:rStyle w:val="a"/>
          <w:rFonts w:ascii="Times New Roman" w:hAnsi="Times New Roman"/>
          <w:i/>
          <w:sz w:val="22"/>
          <w:szCs w:val="22"/>
        </w:rPr>
        <w:t>Provide an estimate of the total annual cost burden to respondents or record keepers resulting from the collection of information.  (Do not include the cost of any hour burden shown in Items 12 and 14.)</w:t>
      </w:r>
    </w:p>
    <w:p w:rsidR="00276439" w:rsidRPr="008F6483" w:rsidP="00C377B6" w14:paraId="57A449DA" w14:textId="77777777">
      <w:pPr>
        <w:tabs>
          <w:tab w:val="left" w:pos="-720"/>
        </w:tabs>
        <w:suppressAutoHyphens/>
        <w:rPr>
          <w:rFonts w:ascii="Times New Roman" w:hAnsi="Times New Roman"/>
          <w:i/>
          <w:sz w:val="22"/>
          <w:szCs w:val="22"/>
        </w:rPr>
      </w:pPr>
    </w:p>
    <w:p w:rsidR="00B32ED7" w:rsidRPr="00A23EED" w:rsidP="00B32ED7" w14:paraId="54B223BC" w14:textId="77777777">
      <w:pPr>
        <w:numPr>
          <w:ilvl w:val="0"/>
          <w:numId w:val="5"/>
        </w:numPr>
        <w:tabs>
          <w:tab w:val="left" w:pos="-720"/>
          <w:tab w:val="clear" w:pos="700"/>
        </w:tabs>
        <w:suppressAutoHyphens/>
        <w:ind w:left="1350" w:hanging="450"/>
        <w:rPr>
          <w:rFonts w:ascii="Times New Roman" w:hAnsi="Times New Roman"/>
          <w:bCs/>
          <w:i/>
          <w:iCs/>
          <w:sz w:val="22"/>
          <w:szCs w:val="22"/>
        </w:rPr>
      </w:pPr>
      <w:r w:rsidRPr="00A23EED">
        <w:rPr>
          <w:rFonts w:ascii="Times New Roman" w:hAnsi="Times New Roman"/>
          <w:bCs/>
          <w:i/>
          <w:iCs/>
          <w:sz w:val="22"/>
          <w:szCs w:val="22"/>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B32ED7" w:rsidRPr="00A23EED" w:rsidP="00B32ED7" w14:paraId="5111C095" w14:textId="77777777">
      <w:pPr>
        <w:numPr>
          <w:ilvl w:val="12"/>
          <w:numId w:val="0"/>
        </w:numPr>
        <w:tabs>
          <w:tab w:val="left" w:pos="-720"/>
        </w:tabs>
        <w:suppressAutoHyphens/>
        <w:ind w:left="340"/>
        <w:rPr>
          <w:rFonts w:ascii="Times New Roman" w:hAnsi="Times New Roman"/>
          <w:bCs/>
          <w:i/>
          <w:iCs/>
          <w:sz w:val="22"/>
          <w:szCs w:val="22"/>
        </w:rPr>
      </w:pPr>
    </w:p>
    <w:p w:rsidR="00B32ED7" w:rsidRPr="00A23EED" w:rsidP="00B32ED7" w14:paraId="3115F370" w14:textId="77777777">
      <w:pPr>
        <w:numPr>
          <w:ilvl w:val="0"/>
          <w:numId w:val="5"/>
        </w:numPr>
        <w:tabs>
          <w:tab w:val="left" w:pos="-720"/>
          <w:tab w:val="clear" w:pos="700"/>
          <w:tab w:val="left" w:pos="1247"/>
        </w:tabs>
        <w:suppressAutoHyphens/>
        <w:ind w:left="1260"/>
        <w:rPr>
          <w:rFonts w:ascii="Times New Roman" w:hAnsi="Times New Roman"/>
          <w:bCs/>
          <w:i/>
          <w:iCs/>
          <w:sz w:val="22"/>
          <w:szCs w:val="22"/>
        </w:rPr>
      </w:pPr>
      <w:r w:rsidRPr="00A23EED">
        <w:rPr>
          <w:rFonts w:ascii="Times New Roman" w:hAnsi="Times New Roman"/>
          <w:bCs/>
          <w:i/>
          <w:iCs/>
          <w:sz w:val="22"/>
          <w:szCs w:val="22"/>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B32ED7" w:rsidRPr="00A23EED" w:rsidP="00B32ED7" w14:paraId="3228EB53" w14:textId="77777777">
      <w:pPr>
        <w:tabs>
          <w:tab w:val="left" w:pos="-720"/>
          <w:tab w:val="left" w:pos="1247"/>
        </w:tabs>
        <w:suppressAutoHyphens/>
        <w:ind w:left="340"/>
        <w:rPr>
          <w:rFonts w:ascii="Times New Roman" w:hAnsi="Times New Roman"/>
          <w:bCs/>
          <w:i/>
          <w:iCs/>
          <w:sz w:val="22"/>
          <w:szCs w:val="22"/>
        </w:rPr>
      </w:pPr>
    </w:p>
    <w:p w:rsidR="00B32ED7" w:rsidRPr="00A23EED" w:rsidP="00B32ED7" w14:paraId="66D8AE9C" w14:textId="77777777">
      <w:pPr>
        <w:numPr>
          <w:ilvl w:val="0"/>
          <w:numId w:val="5"/>
        </w:numPr>
        <w:tabs>
          <w:tab w:val="left" w:pos="-720"/>
          <w:tab w:val="clear" w:pos="700"/>
          <w:tab w:val="left" w:pos="1247"/>
        </w:tabs>
        <w:suppressAutoHyphens/>
        <w:ind w:left="1260"/>
        <w:rPr>
          <w:rFonts w:ascii="Times New Roman" w:hAnsi="Times New Roman"/>
          <w:bCs/>
          <w:i/>
          <w:iCs/>
          <w:sz w:val="22"/>
          <w:szCs w:val="22"/>
        </w:rPr>
      </w:pPr>
      <w:r w:rsidRPr="00A23EED">
        <w:rPr>
          <w:rFonts w:ascii="Times New Roman" w:hAnsi="Times New Roman"/>
          <w:bCs/>
          <w:i/>
          <w:iCs/>
          <w:sz w:val="22"/>
          <w:szCs w:val="22"/>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p>
    <w:p w:rsidR="00B32ED7" w:rsidRPr="00A23EED" w:rsidP="00B32ED7" w14:paraId="21AF803F" w14:textId="77777777">
      <w:pPr>
        <w:tabs>
          <w:tab w:val="left" w:pos="-720"/>
        </w:tabs>
        <w:suppressAutoHyphens/>
        <w:rPr>
          <w:rFonts w:ascii="Times New Roman" w:hAnsi="Times New Roman"/>
          <w:bCs/>
          <w:i/>
          <w:iCs/>
          <w:sz w:val="22"/>
          <w:szCs w:val="22"/>
        </w:rPr>
      </w:pPr>
    </w:p>
    <w:p w:rsidR="00B32ED7" w:rsidRPr="00A23EED" w:rsidP="00B32ED7" w14:paraId="64D7C81A" w14:textId="77777777">
      <w:pPr>
        <w:tabs>
          <w:tab w:val="left" w:pos="-720"/>
        </w:tabs>
        <w:suppressAutoHyphens/>
        <w:rPr>
          <w:rFonts w:ascii="Times New Roman" w:hAnsi="Times New Roman"/>
          <w:bCs/>
          <w:i/>
          <w:iCs/>
          <w:sz w:val="22"/>
          <w:szCs w:val="22"/>
        </w:rPr>
      </w:pPr>
      <w:r w:rsidRPr="00A23EED">
        <w:rPr>
          <w:rFonts w:ascii="Times New Roman" w:hAnsi="Times New Roman"/>
          <w:bCs/>
          <w:i/>
          <w:iCs/>
          <w:sz w:val="22"/>
          <w:szCs w:val="22"/>
        </w:rPr>
        <w:tab/>
        <w:t>Total Annualized Capital/Startup Cost</w:t>
      </w:r>
      <w:r w:rsidRPr="00A23EED">
        <w:rPr>
          <w:rFonts w:ascii="Times New Roman" w:hAnsi="Times New Roman"/>
          <w:bCs/>
          <w:i/>
          <w:iCs/>
          <w:sz w:val="22"/>
          <w:szCs w:val="22"/>
        </w:rPr>
        <w:tab/>
        <w:t>:</w:t>
      </w:r>
    </w:p>
    <w:p w:rsidR="00B32ED7" w:rsidRPr="00A23EED" w:rsidP="00B32ED7" w14:paraId="452477C5" w14:textId="77777777">
      <w:pPr>
        <w:tabs>
          <w:tab w:val="left" w:pos="-720"/>
        </w:tabs>
        <w:suppressAutoHyphens/>
        <w:rPr>
          <w:rFonts w:ascii="Times New Roman" w:hAnsi="Times New Roman"/>
          <w:bCs/>
          <w:i/>
          <w:iCs/>
          <w:sz w:val="22"/>
          <w:szCs w:val="22"/>
        </w:rPr>
      </w:pPr>
      <w:r w:rsidRPr="00A23EED">
        <w:rPr>
          <w:rFonts w:ascii="Times New Roman" w:hAnsi="Times New Roman"/>
          <w:bCs/>
          <w:i/>
          <w:iCs/>
          <w:sz w:val="22"/>
          <w:szCs w:val="22"/>
        </w:rPr>
        <w:tab/>
        <w:t>Total Annual Costs (O&amp;M)</w:t>
      </w:r>
      <w:r w:rsidRPr="00A23EED">
        <w:rPr>
          <w:rFonts w:ascii="Times New Roman" w:hAnsi="Times New Roman"/>
          <w:bCs/>
          <w:i/>
          <w:iCs/>
          <w:sz w:val="22"/>
          <w:szCs w:val="22"/>
        </w:rPr>
        <w:tab/>
      </w:r>
      <w:r w:rsidRPr="00A23EED">
        <w:rPr>
          <w:rFonts w:ascii="Times New Roman" w:hAnsi="Times New Roman"/>
          <w:bCs/>
          <w:i/>
          <w:iCs/>
          <w:sz w:val="22"/>
          <w:szCs w:val="22"/>
        </w:rPr>
        <w:tab/>
      </w:r>
      <w:r w:rsidRPr="00A23EED">
        <w:rPr>
          <w:rFonts w:ascii="Times New Roman" w:hAnsi="Times New Roman"/>
          <w:bCs/>
          <w:i/>
          <w:iCs/>
          <w:sz w:val="22"/>
          <w:szCs w:val="22"/>
        </w:rPr>
        <w:tab/>
        <w:t>:____________________</w:t>
      </w:r>
    </w:p>
    <w:p w:rsidR="00B32ED7" w:rsidRPr="00A23EED" w:rsidP="00B32ED7" w14:paraId="231390BE" w14:textId="77777777">
      <w:pPr>
        <w:tabs>
          <w:tab w:val="left" w:pos="-720"/>
        </w:tabs>
        <w:suppressAutoHyphens/>
        <w:rPr>
          <w:rFonts w:ascii="Times New Roman" w:hAnsi="Times New Roman"/>
          <w:bCs/>
          <w:i/>
          <w:iCs/>
          <w:sz w:val="22"/>
          <w:szCs w:val="22"/>
        </w:rPr>
      </w:pPr>
      <w:r w:rsidRPr="00A23EED">
        <w:rPr>
          <w:rFonts w:ascii="Times New Roman" w:hAnsi="Times New Roman"/>
          <w:bCs/>
          <w:i/>
          <w:iCs/>
          <w:sz w:val="22"/>
          <w:szCs w:val="22"/>
        </w:rPr>
        <w:tab/>
        <w:t>Total Annualized Costs Requested</w:t>
      </w:r>
      <w:r w:rsidRPr="00A23EED">
        <w:rPr>
          <w:rFonts w:ascii="Times New Roman" w:hAnsi="Times New Roman"/>
          <w:bCs/>
          <w:i/>
          <w:iCs/>
          <w:sz w:val="22"/>
          <w:szCs w:val="22"/>
        </w:rPr>
        <w:tab/>
      </w:r>
      <w:r w:rsidRPr="00A23EED">
        <w:rPr>
          <w:rFonts w:ascii="Times New Roman" w:hAnsi="Times New Roman"/>
          <w:bCs/>
          <w:i/>
          <w:iCs/>
          <w:sz w:val="22"/>
          <w:szCs w:val="22"/>
        </w:rPr>
        <w:tab/>
        <w:t>:</w:t>
      </w:r>
    </w:p>
    <w:p w:rsidR="00523E3C" w:rsidRPr="00A23EED" w:rsidP="00523E3C" w14:paraId="40A48A23" w14:textId="77777777">
      <w:pPr>
        <w:rPr>
          <w:rFonts w:ascii="Times New Roman" w:hAnsi="Times New Roman"/>
          <w:bCs/>
          <w:i/>
          <w:iCs/>
          <w:sz w:val="22"/>
          <w:szCs w:val="22"/>
        </w:rPr>
      </w:pPr>
    </w:p>
    <w:p w:rsidR="00633DD4" w:rsidRPr="0015716C" w:rsidP="00C377B6" w14:paraId="035434A3" w14:textId="77777777">
      <w:pPr>
        <w:rPr>
          <w:rFonts w:ascii="Times New Roman" w:hAnsi="Times New Roman"/>
          <w:sz w:val="22"/>
          <w:szCs w:val="22"/>
        </w:rPr>
      </w:pPr>
      <w:r w:rsidRPr="0015716C">
        <w:rPr>
          <w:rFonts w:ascii="Times New Roman" w:hAnsi="Times New Roman"/>
          <w:sz w:val="22"/>
          <w:szCs w:val="22"/>
        </w:rPr>
        <w:t xml:space="preserve">There are no other costs to the respondents.  </w:t>
      </w:r>
      <w:r w:rsidRPr="0015716C" w:rsidR="009900DD">
        <w:rPr>
          <w:rFonts w:ascii="Times New Roman" w:hAnsi="Times New Roman"/>
          <w:sz w:val="22"/>
          <w:szCs w:val="22"/>
        </w:rPr>
        <w:t>Grantees are required by program regulations to collect and maintain this information.  The costs to transmit the data electronically via the Web are customary and usual business practices.</w:t>
      </w:r>
    </w:p>
    <w:p w:rsidR="00633DD4" w:rsidRPr="0015716C" w14:paraId="50741579" w14:textId="77777777">
      <w:pPr>
        <w:tabs>
          <w:tab w:val="left" w:pos="-720"/>
        </w:tabs>
        <w:suppressAutoHyphens/>
        <w:rPr>
          <w:rFonts w:ascii="Times New Roman" w:hAnsi="Times New Roman"/>
          <w:sz w:val="22"/>
          <w:szCs w:val="22"/>
        </w:rPr>
      </w:pPr>
    </w:p>
    <w:p w:rsidR="00C377B6" w:rsidRPr="0015716C" w:rsidP="00C377B6" w14:paraId="1068AF02" w14:textId="77777777">
      <w:pPr>
        <w:tabs>
          <w:tab w:val="left" w:pos="-720"/>
        </w:tabs>
        <w:suppressAutoHyphens/>
        <w:rPr>
          <w:rFonts w:ascii="Times New Roman" w:hAnsi="Times New Roman"/>
          <w:i/>
          <w:sz w:val="22"/>
          <w:szCs w:val="22"/>
        </w:rPr>
      </w:pPr>
      <w:r w:rsidRPr="0015716C">
        <w:rPr>
          <w:rFonts w:ascii="Times New Roman" w:hAnsi="Times New Roman"/>
          <w:i/>
          <w:sz w:val="22"/>
          <w:szCs w:val="22"/>
        </w:rPr>
        <w:t xml:space="preserve">14.  </w:t>
      </w:r>
      <w:r w:rsidRPr="0015716C">
        <w:rPr>
          <w:rStyle w:val="a"/>
          <w:rFonts w:ascii="Times New Roman" w:hAnsi="Times New Roman"/>
          <w:i/>
          <w:sz w:val="22"/>
          <w:szCs w:val="22"/>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4F692A" w:rsidRPr="0015716C" w14:paraId="1B0EA75C" w14:textId="77777777">
      <w:pPr>
        <w:tabs>
          <w:tab w:val="left" w:pos="-720"/>
        </w:tabs>
        <w:suppressAutoHyphens/>
        <w:rPr>
          <w:rFonts w:ascii="Times New Roman" w:hAnsi="Times New Roman"/>
          <w:sz w:val="22"/>
          <w:szCs w:val="22"/>
        </w:rPr>
      </w:pPr>
    </w:p>
    <w:p w:rsidR="00633DD4" w:rsidRPr="0015716C" w:rsidP="00C377B6" w14:paraId="1C3740C7" w14:textId="77777777">
      <w:pPr>
        <w:rPr>
          <w:rFonts w:ascii="Times New Roman" w:hAnsi="Times New Roman"/>
          <w:sz w:val="22"/>
          <w:szCs w:val="22"/>
        </w:rPr>
      </w:pPr>
      <w:r w:rsidRPr="0015716C">
        <w:rPr>
          <w:rFonts w:ascii="Times New Roman" w:hAnsi="Times New Roman"/>
          <w:sz w:val="22"/>
          <w:szCs w:val="22"/>
        </w:rPr>
        <w:t>The largest portion of the Government’s cost is borne directly by the Department of Education in designing the report form, securing clearance of the form, and in collecting, aggregating and disseminating the information.</w:t>
      </w:r>
    </w:p>
    <w:p w:rsidR="00826D7D" w:rsidRPr="0015716C" w:rsidP="00C377B6" w14:paraId="0EBCC94B" w14:textId="77777777">
      <w:pPr>
        <w:rPr>
          <w:rFonts w:ascii="Times New Roman" w:hAnsi="Times New Roman"/>
          <w:sz w:val="22"/>
          <w:szCs w:val="22"/>
        </w:rPr>
      </w:pPr>
    </w:p>
    <w:p w:rsidR="00633DD4" w:rsidRPr="0015716C" w:rsidP="00633DD4" w14:paraId="7B830228" w14:textId="77777777">
      <w:pPr>
        <w:ind w:left="720"/>
        <w:rPr>
          <w:rFonts w:ascii="Times New Roman" w:hAnsi="Times New Roman"/>
          <w:sz w:val="22"/>
          <w:szCs w:val="22"/>
        </w:rPr>
      </w:pPr>
    </w:p>
    <w:tbl>
      <w:tblPr>
        <w:tblW w:w="0" w:type="auto"/>
        <w:tblInd w:w="1459" w:type="dxa"/>
        <w:tblLayout w:type="fixed"/>
        <w:tblCellMar>
          <w:left w:w="54" w:type="dxa"/>
          <w:right w:w="54" w:type="dxa"/>
        </w:tblCellMar>
        <w:tblLook w:val="0000"/>
      </w:tblPr>
      <w:tblGrid>
        <w:gridCol w:w="6570"/>
        <w:gridCol w:w="1295"/>
      </w:tblGrid>
      <w:tr w14:paraId="72C0B9FA" w14:textId="77777777" w:rsidTr="00FF4012">
        <w:tblPrEx>
          <w:tblW w:w="0" w:type="auto"/>
          <w:tblInd w:w="1459" w:type="dxa"/>
          <w:tblLayout w:type="fixed"/>
          <w:tblCellMar>
            <w:left w:w="54" w:type="dxa"/>
            <w:right w:w="54" w:type="dxa"/>
          </w:tblCellMar>
          <w:tblLook w:val="0000"/>
        </w:tblPrEx>
        <w:trPr>
          <w:trHeight w:val="312"/>
        </w:trPr>
        <w:tc>
          <w:tcPr>
            <w:tcW w:w="7865" w:type="dxa"/>
            <w:gridSpan w:val="2"/>
            <w:tcBorders>
              <w:top w:val="single" w:sz="4" w:space="0" w:color="auto"/>
              <w:left w:val="single" w:sz="4" w:space="0" w:color="auto"/>
              <w:bottom w:val="single" w:sz="4" w:space="0" w:color="auto"/>
              <w:right w:val="single" w:sz="4" w:space="0" w:color="auto"/>
            </w:tcBorders>
            <w:shd w:val="clear" w:color="auto" w:fill="7030A0"/>
          </w:tcPr>
          <w:p w:rsidR="0079302C" w:rsidRPr="0015716C" w:rsidP="0079302C" w14:paraId="6BF6B669" w14:textId="77777777">
            <w:pPr>
              <w:widowControl w:val="0"/>
              <w:jc w:val="center"/>
              <w:rPr>
                <w:rFonts w:ascii="Times New Roman" w:hAnsi="Times New Roman"/>
                <w:snapToGrid w:val="0"/>
                <w:color w:val="FFFFFF" w:themeColor="background1"/>
                <w:sz w:val="22"/>
                <w:szCs w:val="22"/>
              </w:rPr>
            </w:pPr>
            <w:r w:rsidRPr="0015716C">
              <w:rPr>
                <w:rFonts w:ascii="Times New Roman" w:hAnsi="Times New Roman"/>
                <w:b/>
                <w:snapToGrid w:val="0"/>
                <w:color w:val="FFFFFF" w:themeColor="background1"/>
                <w:sz w:val="22"/>
                <w:szCs w:val="22"/>
              </w:rPr>
              <w:t>Estimated annual cost to the Federal Government</w:t>
            </w:r>
          </w:p>
        </w:tc>
      </w:tr>
      <w:tr w14:paraId="3F63F981" w14:textId="77777777" w:rsidTr="00FF4012">
        <w:tblPrEx>
          <w:tblW w:w="0" w:type="auto"/>
          <w:tblInd w:w="1459" w:type="dxa"/>
          <w:tblLayout w:type="fixed"/>
          <w:tblCellMar>
            <w:left w:w="54" w:type="dxa"/>
            <w:right w:w="54" w:type="dxa"/>
          </w:tblCellMar>
          <w:tblLook w:val="0000"/>
        </w:tblPrEx>
        <w:trPr>
          <w:trHeight w:val="233"/>
        </w:trPr>
        <w:tc>
          <w:tcPr>
            <w:tcW w:w="6570" w:type="dxa"/>
            <w:tcBorders>
              <w:top w:val="single" w:sz="4" w:space="0" w:color="auto"/>
              <w:left w:val="single" w:sz="4" w:space="0" w:color="auto"/>
              <w:bottom w:val="single" w:sz="4" w:space="0" w:color="auto"/>
            </w:tcBorders>
            <w:shd w:val="clear" w:color="auto" w:fill="E5E0EC" w:themeFill="accent4" w:themeFillTint="33"/>
            <w:vAlign w:val="center"/>
          </w:tcPr>
          <w:p w:rsidR="0079302C" w:rsidRPr="00E17878" w:rsidP="0079302C" w14:paraId="66AB91F2" w14:textId="77777777">
            <w:pPr>
              <w:widowControl w:val="0"/>
              <w:rPr>
                <w:rFonts w:ascii="Times New Roman" w:hAnsi="Times New Roman"/>
                <w:b/>
                <w:snapToGrid w:val="0"/>
                <w:sz w:val="22"/>
                <w:szCs w:val="22"/>
              </w:rPr>
            </w:pPr>
            <w:r w:rsidRPr="00E17878">
              <w:rPr>
                <w:rFonts w:ascii="Times New Roman" w:hAnsi="Times New Roman"/>
                <w:b/>
                <w:snapToGrid w:val="0"/>
                <w:sz w:val="22"/>
                <w:szCs w:val="22"/>
              </w:rPr>
              <w:t>Federal Professional Staff Cost</w:t>
            </w:r>
          </w:p>
        </w:tc>
        <w:tc>
          <w:tcPr>
            <w:tcW w:w="1295" w:type="dxa"/>
            <w:tcBorders>
              <w:top w:val="single" w:sz="4" w:space="0" w:color="auto"/>
              <w:left w:val="single" w:sz="4" w:space="0" w:color="auto"/>
              <w:bottom w:val="single" w:sz="4" w:space="0" w:color="auto"/>
              <w:right w:val="single" w:sz="4" w:space="0" w:color="auto"/>
            </w:tcBorders>
            <w:vAlign w:val="center"/>
          </w:tcPr>
          <w:p w:rsidR="0079302C" w:rsidRPr="0015716C" w:rsidP="004337E2" w14:paraId="5F0AE0EE" w14:textId="77777777">
            <w:pPr>
              <w:widowControl w:val="0"/>
              <w:jc w:val="center"/>
              <w:rPr>
                <w:rFonts w:ascii="Times New Roman" w:hAnsi="Times New Roman"/>
                <w:b/>
                <w:snapToGrid w:val="0"/>
                <w:sz w:val="22"/>
                <w:szCs w:val="22"/>
              </w:rPr>
            </w:pPr>
            <w:r w:rsidRPr="008F6483">
              <w:rPr>
                <w:rFonts w:ascii="Times New Roman" w:hAnsi="Times New Roman"/>
                <w:b/>
                <w:snapToGrid w:val="0"/>
                <w:sz w:val="22"/>
                <w:szCs w:val="22"/>
              </w:rPr>
              <w:t>Cost</w:t>
            </w:r>
          </w:p>
        </w:tc>
      </w:tr>
      <w:tr w14:paraId="2AE0D2D0" w14:textId="77777777" w:rsidTr="00FF4012">
        <w:tblPrEx>
          <w:tblW w:w="0" w:type="auto"/>
          <w:tblInd w:w="1459" w:type="dxa"/>
          <w:tblLayout w:type="fixed"/>
          <w:tblCellMar>
            <w:left w:w="54" w:type="dxa"/>
            <w:right w:w="54" w:type="dxa"/>
          </w:tblCellMar>
          <w:tblLook w:val="0000"/>
        </w:tblPrEx>
        <w:trPr>
          <w:trHeight w:val="359"/>
        </w:trPr>
        <w:tc>
          <w:tcPr>
            <w:tcW w:w="6570" w:type="dxa"/>
            <w:tcBorders>
              <w:top w:val="single" w:sz="4" w:space="0" w:color="auto"/>
              <w:left w:val="single" w:sz="4" w:space="0" w:color="auto"/>
              <w:bottom w:val="single" w:sz="4" w:space="0" w:color="auto"/>
            </w:tcBorders>
          </w:tcPr>
          <w:p w:rsidR="00633DD4" w:rsidRPr="00E17878" w:rsidP="004D6793" w14:paraId="7967AB0B" w14:textId="77777777">
            <w:pPr>
              <w:widowControl w:val="0"/>
              <w:rPr>
                <w:rFonts w:ascii="Times New Roman" w:hAnsi="Times New Roman"/>
                <w:snapToGrid w:val="0"/>
                <w:sz w:val="22"/>
                <w:szCs w:val="22"/>
              </w:rPr>
            </w:pPr>
            <w:r w:rsidRPr="00E17878">
              <w:rPr>
                <w:rFonts w:ascii="Times New Roman" w:hAnsi="Times New Roman"/>
                <w:snapToGrid w:val="0"/>
                <w:sz w:val="22"/>
                <w:szCs w:val="22"/>
              </w:rPr>
              <w:t>Professional staff to develop clearance package</w:t>
            </w:r>
          </w:p>
          <w:p w:rsidR="00633DD4" w:rsidRPr="0015716C" w:rsidP="00F17D11" w14:paraId="1919B564" w14:textId="77777777">
            <w:pPr>
              <w:widowControl w:val="0"/>
              <w:rPr>
                <w:rFonts w:ascii="Times New Roman" w:hAnsi="Times New Roman"/>
                <w:snapToGrid w:val="0"/>
                <w:sz w:val="22"/>
                <w:szCs w:val="22"/>
              </w:rPr>
            </w:pPr>
            <w:r w:rsidRPr="008F6483">
              <w:rPr>
                <w:rFonts w:ascii="Times New Roman" w:hAnsi="Times New Roman"/>
                <w:snapToGrid w:val="0"/>
                <w:sz w:val="22"/>
                <w:szCs w:val="22"/>
              </w:rPr>
              <w:t>(GS-14</w:t>
            </w:r>
            <w:r w:rsidR="00AA3B69">
              <w:rPr>
                <w:rFonts w:ascii="Times New Roman" w:hAnsi="Times New Roman"/>
                <w:snapToGrid w:val="0"/>
                <w:sz w:val="22"/>
                <w:szCs w:val="22"/>
              </w:rPr>
              <w:t>, Step 1</w:t>
            </w:r>
            <w:r w:rsidR="004756A5">
              <w:rPr>
                <w:rFonts w:ascii="Times New Roman" w:hAnsi="Times New Roman"/>
                <w:snapToGrid w:val="0"/>
                <w:sz w:val="22"/>
                <w:szCs w:val="22"/>
              </w:rPr>
              <w:t>, 202</w:t>
            </w:r>
            <w:r w:rsidR="00E65999">
              <w:rPr>
                <w:rFonts w:ascii="Times New Roman" w:hAnsi="Times New Roman"/>
                <w:snapToGrid w:val="0"/>
                <w:sz w:val="22"/>
                <w:szCs w:val="22"/>
              </w:rPr>
              <w:t>3</w:t>
            </w:r>
            <w:r w:rsidR="004756A5">
              <w:rPr>
                <w:rFonts w:ascii="Times New Roman" w:hAnsi="Times New Roman"/>
                <w:snapToGrid w:val="0"/>
                <w:sz w:val="22"/>
                <w:szCs w:val="22"/>
              </w:rPr>
              <w:t xml:space="preserve"> Pay Schedule</w:t>
            </w:r>
            <w:r w:rsidRPr="008F6483">
              <w:rPr>
                <w:rFonts w:ascii="Times New Roman" w:hAnsi="Times New Roman"/>
                <w:snapToGrid w:val="0"/>
                <w:sz w:val="22"/>
                <w:szCs w:val="22"/>
              </w:rPr>
              <w:t>) 4</w:t>
            </w:r>
            <w:r w:rsidRPr="0015716C" w:rsidR="005E3AD3">
              <w:rPr>
                <w:rFonts w:ascii="Times New Roman" w:hAnsi="Times New Roman"/>
                <w:snapToGrid w:val="0"/>
                <w:sz w:val="22"/>
                <w:szCs w:val="22"/>
              </w:rPr>
              <w:t>5</w:t>
            </w:r>
            <w:r w:rsidRPr="0015716C">
              <w:rPr>
                <w:rFonts w:ascii="Times New Roman" w:hAnsi="Times New Roman"/>
                <w:snapToGrid w:val="0"/>
                <w:sz w:val="22"/>
                <w:szCs w:val="22"/>
              </w:rPr>
              <w:t xml:space="preserve"> h</w:t>
            </w:r>
            <w:r w:rsidRPr="0015716C" w:rsidR="00F17D11">
              <w:rPr>
                <w:rFonts w:ascii="Times New Roman" w:hAnsi="Times New Roman"/>
                <w:snapToGrid w:val="0"/>
                <w:sz w:val="22"/>
                <w:szCs w:val="22"/>
              </w:rPr>
              <w:t>ou</w:t>
            </w:r>
            <w:r w:rsidRPr="0015716C">
              <w:rPr>
                <w:rFonts w:ascii="Times New Roman" w:hAnsi="Times New Roman"/>
                <w:snapToGrid w:val="0"/>
                <w:sz w:val="22"/>
                <w:szCs w:val="22"/>
              </w:rPr>
              <w:t xml:space="preserve">rs @ </w:t>
            </w:r>
            <w:r w:rsidR="00AA3B69">
              <w:rPr>
                <w:rFonts w:ascii="Times New Roman" w:hAnsi="Times New Roman"/>
                <w:snapToGrid w:val="0"/>
                <w:sz w:val="22"/>
                <w:szCs w:val="22"/>
              </w:rPr>
              <w:t>6</w:t>
            </w:r>
            <w:r w:rsidR="007F3EF2">
              <w:rPr>
                <w:rFonts w:ascii="Times New Roman" w:hAnsi="Times New Roman"/>
                <w:snapToGrid w:val="0"/>
                <w:sz w:val="22"/>
                <w:szCs w:val="22"/>
              </w:rPr>
              <w:t>3</w:t>
            </w:r>
            <w:r w:rsidRPr="0015716C">
              <w:rPr>
                <w:rFonts w:ascii="Times New Roman" w:hAnsi="Times New Roman"/>
                <w:snapToGrid w:val="0"/>
                <w:sz w:val="22"/>
                <w:szCs w:val="22"/>
              </w:rPr>
              <w:t>.00 per hour</w:t>
            </w:r>
          </w:p>
        </w:tc>
        <w:tc>
          <w:tcPr>
            <w:tcW w:w="1295" w:type="dxa"/>
            <w:tcBorders>
              <w:top w:val="single" w:sz="4" w:space="0" w:color="auto"/>
              <w:left w:val="single" w:sz="4" w:space="0" w:color="auto"/>
              <w:bottom w:val="single" w:sz="4" w:space="0" w:color="auto"/>
              <w:right w:val="single" w:sz="4" w:space="0" w:color="auto"/>
            </w:tcBorders>
            <w:vAlign w:val="bottom"/>
          </w:tcPr>
          <w:p w:rsidR="00633DD4" w:rsidRPr="0015716C" w:rsidP="004337E2" w14:paraId="0A50827E" w14:textId="77777777">
            <w:pPr>
              <w:widowControl w:val="0"/>
              <w:jc w:val="right"/>
              <w:rPr>
                <w:rFonts w:ascii="Times New Roman" w:hAnsi="Times New Roman"/>
                <w:snapToGrid w:val="0"/>
                <w:sz w:val="22"/>
                <w:szCs w:val="22"/>
              </w:rPr>
            </w:pPr>
          </w:p>
          <w:p w:rsidR="00633DD4" w:rsidRPr="0015716C" w:rsidP="004337E2" w14:paraId="4DAAC1FD" w14:textId="77777777">
            <w:pPr>
              <w:widowControl w:val="0"/>
              <w:jc w:val="right"/>
              <w:rPr>
                <w:rFonts w:ascii="Times New Roman" w:hAnsi="Times New Roman"/>
                <w:snapToGrid w:val="0"/>
                <w:sz w:val="22"/>
                <w:szCs w:val="22"/>
              </w:rPr>
            </w:pPr>
            <w:r w:rsidRPr="0015716C">
              <w:rPr>
                <w:rFonts w:ascii="Times New Roman" w:hAnsi="Times New Roman"/>
                <w:snapToGrid w:val="0"/>
                <w:sz w:val="22"/>
                <w:szCs w:val="22"/>
              </w:rPr>
              <w:t>$2,</w:t>
            </w:r>
            <w:r w:rsidR="00EE6AD5">
              <w:rPr>
                <w:rFonts w:ascii="Times New Roman" w:hAnsi="Times New Roman"/>
                <w:snapToGrid w:val="0"/>
                <w:sz w:val="22"/>
                <w:szCs w:val="22"/>
              </w:rPr>
              <w:t>835</w:t>
            </w:r>
            <w:r w:rsidRPr="0015716C">
              <w:rPr>
                <w:rFonts w:ascii="Times New Roman" w:hAnsi="Times New Roman"/>
                <w:snapToGrid w:val="0"/>
                <w:sz w:val="22"/>
                <w:szCs w:val="22"/>
              </w:rPr>
              <w:t>.00</w:t>
            </w:r>
          </w:p>
        </w:tc>
      </w:tr>
      <w:tr w14:paraId="437C90D1" w14:textId="77777777" w:rsidTr="00FF4012">
        <w:tblPrEx>
          <w:tblW w:w="0" w:type="auto"/>
          <w:tblInd w:w="1459" w:type="dxa"/>
          <w:tblLayout w:type="fixed"/>
          <w:tblCellMar>
            <w:left w:w="54" w:type="dxa"/>
            <w:right w:w="54" w:type="dxa"/>
          </w:tblCellMar>
          <w:tblLook w:val="0000"/>
        </w:tblPrEx>
        <w:trPr>
          <w:trHeight w:val="458"/>
        </w:trPr>
        <w:tc>
          <w:tcPr>
            <w:tcW w:w="6570" w:type="dxa"/>
            <w:tcBorders>
              <w:top w:val="single" w:sz="4" w:space="0" w:color="auto"/>
              <w:left w:val="single" w:sz="4" w:space="0" w:color="auto"/>
              <w:bottom w:val="single" w:sz="4" w:space="0" w:color="auto"/>
            </w:tcBorders>
          </w:tcPr>
          <w:p w:rsidR="00633DD4" w:rsidRPr="00E17878" w:rsidP="00ED0B97" w14:paraId="0E044F7B" w14:textId="77777777">
            <w:pPr>
              <w:widowControl w:val="0"/>
              <w:rPr>
                <w:rFonts w:ascii="Times New Roman" w:hAnsi="Times New Roman"/>
                <w:snapToGrid w:val="0"/>
                <w:sz w:val="22"/>
                <w:szCs w:val="22"/>
              </w:rPr>
            </w:pPr>
            <w:r w:rsidRPr="00E17878">
              <w:rPr>
                <w:rFonts w:ascii="Times New Roman" w:hAnsi="Times New Roman"/>
                <w:snapToGrid w:val="0"/>
                <w:sz w:val="22"/>
                <w:szCs w:val="22"/>
              </w:rPr>
              <w:t>Overhead cost related to facilities, administration, and other indirect cost</w:t>
            </w:r>
            <w:r w:rsidR="00C00299">
              <w:rPr>
                <w:rFonts w:ascii="Times New Roman" w:hAnsi="Times New Roman"/>
                <w:snapToGrid w:val="0"/>
                <w:sz w:val="22"/>
                <w:szCs w:val="22"/>
              </w:rPr>
              <w:t>s</w:t>
            </w:r>
            <w:r w:rsidRPr="00E17878">
              <w:rPr>
                <w:rFonts w:ascii="Times New Roman" w:hAnsi="Times New Roman"/>
                <w:snapToGrid w:val="0"/>
                <w:sz w:val="22"/>
                <w:szCs w:val="22"/>
              </w:rPr>
              <w:t xml:space="preserve"> plus accrual of leave and fringe benefits @ 50% of salary of $2,</w:t>
            </w:r>
            <w:r w:rsidR="00F3457E">
              <w:rPr>
                <w:rFonts w:ascii="Times New Roman" w:hAnsi="Times New Roman"/>
                <w:snapToGrid w:val="0"/>
                <w:sz w:val="22"/>
                <w:szCs w:val="22"/>
              </w:rPr>
              <w:t>835</w:t>
            </w:r>
          </w:p>
        </w:tc>
        <w:tc>
          <w:tcPr>
            <w:tcW w:w="1295" w:type="dxa"/>
            <w:tcBorders>
              <w:top w:val="single" w:sz="4" w:space="0" w:color="auto"/>
              <w:left w:val="single" w:sz="4" w:space="0" w:color="auto"/>
              <w:bottom w:val="single" w:sz="4" w:space="0" w:color="auto"/>
              <w:right w:val="single" w:sz="4" w:space="0" w:color="auto"/>
            </w:tcBorders>
            <w:vAlign w:val="bottom"/>
          </w:tcPr>
          <w:p w:rsidR="00633DD4" w:rsidRPr="008F6483" w:rsidP="004337E2" w14:paraId="5669D3F6" w14:textId="77777777">
            <w:pPr>
              <w:widowControl w:val="0"/>
              <w:jc w:val="right"/>
              <w:rPr>
                <w:rFonts w:ascii="Times New Roman" w:hAnsi="Times New Roman"/>
                <w:snapToGrid w:val="0"/>
                <w:sz w:val="22"/>
                <w:szCs w:val="22"/>
              </w:rPr>
            </w:pPr>
          </w:p>
          <w:p w:rsidR="00633DD4" w:rsidRPr="0015716C" w:rsidP="004337E2" w14:paraId="34F559A3" w14:textId="77777777">
            <w:pPr>
              <w:widowControl w:val="0"/>
              <w:jc w:val="right"/>
              <w:rPr>
                <w:rFonts w:ascii="Times New Roman" w:hAnsi="Times New Roman"/>
                <w:snapToGrid w:val="0"/>
                <w:sz w:val="22"/>
                <w:szCs w:val="22"/>
              </w:rPr>
            </w:pPr>
            <w:r w:rsidRPr="0015716C">
              <w:rPr>
                <w:rFonts w:ascii="Times New Roman" w:hAnsi="Times New Roman"/>
                <w:snapToGrid w:val="0"/>
                <w:sz w:val="22"/>
                <w:szCs w:val="22"/>
              </w:rPr>
              <w:t>$1,</w:t>
            </w:r>
            <w:r w:rsidR="00EE6AD5">
              <w:rPr>
                <w:rFonts w:ascii="Times New Roman" w:hAnsi="Times New Roman"/>
                <w:snapToGrid w:val="0"/>
                <w:sz w:val="22"/>
                <w:szCs w:val="22"/>
              </w:rPr>
              <w:t>418</w:t>
            </w:r>
            <w:r w:rsidR="00636216">
              <w:rPr>
                <w:rFonts w:ascii="Times New Roman" w:hAnsi="Times New Roman"/>
                <w:snapToGrid w:val="0"/>
                <w:sz w:val="22"/>
                <w:szCs w:val="22"/>
              </w:rPr>
              <w:t>.</w:t>
            </w:r>
            <w:r w:rsidRPr="0015716C">
              <w:rPr>
                <w:rFonts w:ascii="Times New Roman" w:hAnsi="Times New Roman"/>
                <w:snapToGrid w:val="0"/>
                <w:sz w:val="22"/>
                <w:szCs w:val="22"/>
              </w:rPr>
              <w:t>00</w:t>
            </w:r>
          </w:p>
        </w:tc>
      </w:tr>
      <w:tr w14:paraId="2F84138E" w14:textId="77777777" w:rsidTr="00FF4012">
        <w:tblPrEx>
          <w:tblW w:w="0" w:type="auto"/>
          <w:tblInd w:w="1459" w:type="dxa"/>
          <w:tblLayout w:type="fixed"/>
          <w:tblCellMar>
            <w:left w:w="54" w:type="dxa"/>
            <w:right w:w="54" w:type="dxa"/>
          </w:tblCellMar>
          <w:tblLook w:val="0000"/>
        </w:tblPrEx>
        <w:trPr>
          <w:trHeight w:val="312"/>
        </w:trPr>
        <w:tc>
          <w:tcPr>
            <w:tcW w:w="6570" w:type="dxa"/>
            <w:tcBorders>
              <w:top w:val="single" w:sz="4" w:space="0" w:color="auto"/>
              <w:left w:val="single" w:sz="4" w:space="0" w:color="auto"/>
              <w:bottom w:val="single" w:sz="4" w:space="0" w:color="auto"/>
            </w:tcBorders>
          </w:tcPr>
          <w:p w:rsidR="00633DD4" w:rsidRPr="00E17878" w:rsidP="004D6793" w14:paraId="1CCC6A29" w14:textId="77777777">
            <w:pPr>
              <w:widowControl w:val="0"/>
              <w:rPr>
                <w:rFonts w:ascii="Times New Roman" w:hAnsi="Times New Roman"/>
                <w:snapToGrid w:val="0"/>
                <w:sz w:val="22"/>
                <w:szCs w:val="22"/>
              </w:rPr>
            </w:pPr>
            <w:r w:rsidRPr="00E17878">
              <w:rPr>
                <w:rFonts w:ascii="Times New Roman" w:hAnsi="Times New Roman"/>
                <w:snapToGrid w:val="0"/>
                <w:sz w:val="22"/>
                <w:szCs w:val="22"/>
              </w:rPr>
              <w:t>Other Department staff to review and approve the request:</w:t>
            </w:r>
          </w:p>
          <w:p w:rsidR="00633DD4" w:rsidRPr="0015716C" w:rsidP="004D6793" w14:paraId="69115E44" w14:textId="77777777">
            <w:pPr>
              <w:widowControl w:val="0"/>
              <w:rPr>
                <w:rFonts w:ascii="Times New Roman" w:hAnsi="Times New Roman"/>
                <w:snapToGrid w:val="0"/>
                <w:sz w:val="22"/>
                <w:szCs w:val="22"/>
              </w:rPr>
            </w:pPr>
            <w:r w:rsidRPr="0015716C">
              <w:rPr>
                <w:rFonts w:ascii="Times New Roman" w:hAnsi="Times New Roman"/>
                <w:snapToGrid w:val="0"/>
                <w:sz w:val="22"/>
                <w:szCs w:val="22"/>
              </w:rPr>
              <w:t>(GS 14</w:t>
            </w:r>
            <w:r w:rsidR="00AA3B69">
              <w:rPr>
                <w:rFonts w:ascii="Times New Roman" w:hAnsi="Times New Roman"/>
                <w:snapToGrid w:val="0"/>
                <w:sz w:val="22"/>
                <w:szCs w:val="22"/>
              </w:rPr>
              <w:t>, Step 1</w:t>
            </w:r>
            <w:r w:rsidR="004756A5">
              <w:rPr>
                <w:rFonts w:ascii="Times New Roman" w:hAnsi="Times New Roman"/>
                <w:snapToGrid w:val="0"/>
                <w:sz w:val="22"/>
                <w:szCs w:val="22"/>
              </w:rPr>
              <w:t>, 202</w:t>
            </w:r>
            <w:r w:rsidR="007F3EF2">
              <w:rPr>
                <w:rFonts w:ascii="Times New Roman" w:hAnsi="Times New Roman"/>
                <w:snapToGrid w:val="0"/>
                <w:sz w:val="22"/>
                <w:szCs w:val="22"/>
              </w:rPr>
              <w:t>3</w:t>
            </w:r>
            <w:r w:rsidR="004756A5">
              <w:rPr>
                <w:rFonts w:ascii="Times New Roman" w:hAnsi="Times New Roman"/>
                <w:snapToGrid w:val="0"/>
                <w:sz w:val="22"/>
                <w:szCs w:val="22"/>
              </w:rPr>
              <w:t xml:space="preserve"> Pay Schedule</w:t>
            </w:r>
            <w:r w:rsidRPr="0015716C">
              <w:rPr>
                <w:rFonts w:ascii="Times New Roman" w:hAnsi="Times New Roman"/>
                <w:snapToGrid w:val="0"/>
                <w:sz w:val="22"/>
                <w:szCs w:val="22"/>
              </w:rPr>
              <w:t>) $</w:t>
            </w:r>
            <w:r w:rsidR="00AA3B69">
              <w:rPr>
                <w:rFonts w:ascii="Times New Roman" w:hAnsi="Times New Roman"/>
                <w:snapToGrid w:val="0"/>
                <w:sz w:val="22"/>
                <w:szCs w:val="22"/>
              </w:rPr>
              <w:t>6</w:t>
            </w:r>
            <w:r w:rsidR="007F3EF2">
              <w:rPr>
                <w:rFonts w:ascii="Times New Roman" w:hAnsi="Times New Roman"/>
                <w:snapToGrid w:val="0"/>
                <w:sz w:val="22"/>
                <w:szCs w:val="22"/>
              </w:rPr>
              <w:t>3</w:t>
            </w:r>
            <w:r w:rsidRPr="0015716C" w:rsidR="0079302C">
              <w:rPr>
                <w:rFonts w:ascii="Times New Roman" w:hAnsi="Times New Roman"/>
                <w:snapToGrid w:val="0"/>
                <w:sz w:val="22"/>
                <w:szCs w:val="22"/>
              </w:rPr>
              <w:t xml:space="preserve"> per hour X 20 hours = $1,</w:t>
            </w:r>
            <w:r w:rsidR="007C2DDC">
              <w:rPr>
                <w:rFonts w:ascii="Times New Roman" w:hAnsi="Times New Roman"/>
                <w:snapToGrid w:val="0"/>
                <w:sz w:val="22"/>
                <w:szCs w:val="22"/>
              </w:rPr>
              <w:t>260</w:t>
            </w:r>
            <w:r w:rsidRPr="0015716C">
              <w:rPr>
                <w:rFonts w:ascii="Times New Roman" w:hAnsi="Times New Roman"/>
                <w:snapToGrid w:val="0"/>
                <w:sz w:val="22"/>
                <w:szCs w:val="22"/>
              </w:rPr>
              <w:t>.00</w:t>
            </w:r>
          </w:p>
          <w:p w:rsidR="00633DD4" w:rsidRPr="0015716C" w:rsidP="0079302C" w14:paraId="5A5A3975" w14:textId="77777777">
            <w:pPr>
              <w:widowControl w:val="0"/>
              <w:rPr>
                <w:rFonts w:ascii="Times New Roman" w:hAnsi="Times New Roman"/>
                <w:snapToGrid w:val="0"/>
                <w:sz w:val="22"/>
                <w:szCs w:val="22"/>
              </w:rPr>
            </w:pPr>
            <w:r w:rsidRPr="0015716C">
              <w:rPr>
                <w:rFonts w:ascii="Times New Roman" w:hAnsi="Times New Roman"/>
                <w:snapToGrid w:val="0"/>
                <w:sz w:val="22"/>
                <w:szCs w:val="22"/>
              </w:rPr>
              <w:t>Overhead costs:  $</w:t>
            </w:r>
            <w:r w:rsidR="004756A5">
              <w:rPr>
                <w:rFonts w:ascii="Times New Roman" w:hAnsi="Times New Roman"/>
                <w:snapToGrid w:val="0"/>
                <w:sz w:val="22"/>
                <w:szCs w:val="22"/>
              </w:rPr>
              <w:t>1,</w:t>
            </w:r>
            <w:r w:rsidR="000D6B56">
              <w:rPr>
                <w:rFonts w:ascii="Times New Roman" w:hAnsi="Times New Roman"/>
                <w:snapToGrid w:val="0"/>
                <w:sz w:val="22"/>
                <w:szCs w:val="22"/>
              </w:rPr>
              <w:t>260</w:t>
            </w:r>
            <w:r w:rsidRPr="0015716C" w:rsidR="000D6B56">
              <w:rPr>
                <w:rFonts w:ascii="Times New Roman" w:hAnsi="Times New Roman"/>
                <w:snapToGrid w:val="0"/>
                <w:sz w:val="22"/>
                <w:szCs w:val="22"/>
              </w:rPr>
              <w:t xml:space="preserve"> </w:t>
            </w:r>
            <w:r w:rsidRPr="0015716C">
              <w:rPr>
                <w:rFonts w:ascii="Times New Roman" w:hAnsi="Times New Roman"/>
                <w:snapToGrid w:val="0"/>
                <w:sz w:val="22"/>
                <w:szCs w:val="22"/>
              </w:rPr>
              <w:t>X 50 percent = $</w:t>
            </w:r>
            <w:r w:rsidR="000D6B56">
              <w:rPr>
                <w:rFonts w:ascii="Times New Roman" w:hAnsi="Times New Roman"/>
                <w:snapToGrid w:val="0"/>
                <w:sz w:val="22"/>
                <w:szCs w:val="22"/>
              </w:rPr>
              <w:t>630</w:t>
            </w:r>
            <w:r w:rsidR="004756A5">
              <w:rPr>
                <w:rFonts w:ascii="Times New Roman" w:hAnsi="Times New Roman"/>
                <w:snapToGrid w:val="0"/>
                <w:sz w:val="22"/>
                <w:szCs w:val="22"/>
              </w:rPr>
              <w:t>.00</w:t>
            </w:r>
          </w:p>
        </w:tc>
        <w:tc>
          <w:tcPr>
            <w:tcW w:w="1295" w:type="dxa"/>
            <w:tcBorders>
              <w:top w:val="single" w:sz="4" w:space="0" w:color="auto"/>
              <w:left w:val="single" w:sz="4" w:space="0" w:color="auto"/>
              <w:bottom w:val="single" w:sz="4" w:space="0" w:color="auto"/>
              <w:right w:val="single" w:sz="4" w:space="0" w:color="auto"/>
            </w:tcBorders>
            <w:vAlign w:val="bottom"/>
          </w:tcPr>
          <w:p w:rsidR="00633DD4" w:rsidRPr="0015716C" w:rsidP="004337E2" w14:paraId="525B26C7" w14:textId="77777777">
            <w:pPr>
              <w:widowControl w:val="0"/>
              <w:jc w:val="right"/>
              <w:rPr>
                <w:rFonts w:ascii="Times New Roman" w:hAnsi="Times New Roman"/>
                <w:snapToGrid w:val="0"/>
                <w:sz w:val="22"/>
                <w:szCs w:val="22"/>
              </w:rPr>
            </w:pPr>
          </w:p>
          <w:p w:rsidR="00633DD4" w:rsidRPr="0015716C" w:rsidP="004337E2" w14:paraId="0DEB8201" w14:textId="77777777">
            <w:pPr>
              <w:widowControl w:val="0"/>
              <w:jc w:val="right"/>
              <w:rPr>
                <w:rFonts w:ascii="Times New Roman" w:hAnsi="Times New Roman"/>
                <w:snapToGrid w:val="0"/>
                <w:sz w:val="22"/>
                <w:szCs w:val="22"/>
              </w:rPr>
            </w:pPr>
          </w:p>
          <w:p w:rsidR="00633DD4" w:rsidRPr="0015716C" w:rsidP="004337E2" w14:paraId="1EE70E72" w14:textId="77777777">
            <w:pPr>
              <w:widowControl w:val="0"/>
              <w:jc w:val="right"/>
              <w:rPr>
                <w:rFonts w:ascii="Times New Roman" w:hAnsi="Times New Roman"/>
                <w:snapToGrid w:val="0"/>
                <w:sz w:val="22"/>
                <w:szCs w:val="22"/>
              </w:rPr>
            </w:pPr>
            <w:r w:rsidRPr="0015716C">
              <w:rPr>
                <w:rFonts w:ascii="Times New Roman" w:hAnsi="Times New Roman"/>
                <w:snapToGrid w:val="0"/>
                <w:sz w:val="22"/>
                <w:szCs w:val="22"/>
              </w:rPr>
              <w:t>$1,</w:t>
            </w:r>
            <w:r>
              <w:rPr>
                <w:rFonts w:ascii="Times New Roman" w:hAnsi="Times New Roman"/>
                <w:snapToGrid w:val="0"/>
                <w:sz w:val="22"/>
                <w:szCs w:val="22"/>
              </w:rPr>
              <w:t>2</w:t>
            </w:r>
            <w:r w:rsidR="00636216">
              <w:rPr>
                <w:rFonts w:ascii="Times New Roman" w:hAnsi="Times New Roman"/>
                <w:snapToGrid w:val="0"/>
                <w:sz w:val="22"/>
                <w:szCs w:val="22"/>
              </w:rPr>
              <w:t>60</w:t>
            </w:r>
            <w:r w:rsidRPr="0015716C">
              <w:rPr>
                <w:rFonts w:ascii="Times New Roman" w:hAnsi="Times New Roman"/>
                <w:snapToGrid w:val="0"/>
                <w:sz w:val="22"/>
                <w:szCs w:val="22"/>
              </w:rPr>
              <w:t>.00</w:t>
            </w:r>
          </w:p>
          <w:p w:rsidR="00633DD4" w:rsidRPr="0015716C" w:rsidP="004337E2" w14:paraId="2121FA17" w14:textId="77777777">
            <w:pPr>
              <w:widowControl w:val="0"/>
              <w:jc w:val="right"/>
              <w:rPr>
                <w:rFonts w:ascii="Times New Roman" w:hAnsi="Times New Roman"/>
                <w:snapToGrid w:val="0"/>
                <w:sz w:val="22"/>
                <w:szCs w:val="22"/>
              </w:rPr>
            </w:pPr>
            <w:r w:rsidRPr="0015716C">
              <w:rPr>
                <w:rFonts w:ascii="Times New Roman" w:hAnsi="Times New Roman"/>
                <w:snapToGrid w:val="0"/>
                <w:sz w:val="22"/>
                <w:szCs w:val="22"/>
              </w:rPr>
              <w:t>$</w:t>
            </w:r>
            <w:r>
              <w:rPr>
                <w:rFonts w:ascii="Times New Roman" w:hAnsi="Times New Roman"/>
                <w:snapToGrid w:val="0"/>
                <w:sz w:val="22"/>
                <w:szCs w:val="22"/>
              </w:rPr>
              <w:t>6</w:t>
            </w:r>
            <w:r w:rsidR="00FE5144">
              <w:rPr>
                <w:rFonts w:ascii="Times New Roman" w:hAnsi="Times New Roman"/>
                <w:snapToGrid w:val="0"/>
                <w:sz w:val="22"/>
                <w:szCs w:val="22"/>
              </w:rPr>
              <w:t>30</w:t>
            </w:r>
            <w:r>
              <w:rPr>
                <w:rFonts w:ascii="Times New Roman" w:hAnsi="Times New Roman"/>
                <w:snapToGrid w:val="0"/>
                <w:sz w:val="22"/>
                <w:szCs w:val="22"/>
              </w:rPr>
              <w:t>.00</w:t>
            </w:r>
          </w:p>
        </w:tc>
      </w:tr>
      <w:tr w14:paraId="0409E1AC" w14:textId="77777777" w:rsidTr="00FF4012">
        <w:tblPrEx>
          <w:tblW w:w="0" w:type="auto"/>
          <w:tblInd w:w="1459" w:type="dxa"/>
          <w:tblLayout w:type="fixed"/>
          <w:tblCellMar>
            <w:left w:w="54" w:type="dxa"/>
            <w:right w:w="54" w:type="dxa"/>
          </w:tblCellMar>
          <w:tblLook w:val="0000"/>
        </w:tblPrEx>
        <w:trPr>
          <w:trHeight w:val="312"/>
        </w:trPr>
        <w:tc>
          <w:tcPr>
            <w:tcW w:w="6570" w:type="dxa"/>
            <w:tcBorders>
              <w:top w:val="single" w:sz="4" w:space="0" w:color="auto"/>
              <w:left w:val="single" w:sz="4" w:space="0" w:color="auto"/>
              <w:bottom w:val="single" w:sz="4" w:space="0" w:color="auto"/>
            </w:tcBorders>
          </w:tcPr>
          <w:p w:rsidR="00633DD4" w:rsidRPr="00E17878" w:rsidP="004D6793" w14:paraId="78EF0832" w14:textId="77777777">
            <w:pPr>
              <w:widowControl w:val="0"/>
              <w:rPr>
                <w:rFonts w:ascii="Times New Roman" w:hAnsi="Times New Roman"/>
                <w:snapToGrid w:val="0"/>
                <w:sz w:val="22"/>
                <w:szCs w:val="22"/>
              </w:rPr>
            </w:pPr>
            <w:r w:rsidRPr="00E17878">
              <w:rPr>
                <w:rFonts w:ascii="Times New Roman" w:hAnsi="Times New Roman"/>
                <w:snapToGrid w:val="0"/>
                <w:sz w:val="22"/>
                <w:szCs w:val="22"/>
              </w:rPr>
              <w:t>OMB Review (estimated)</w:t>
            </w:r>
          </w:p>
          <w:p w:rsidR="00633DD4" w:rsidRPr="0015716C" w:rsidP="004D6793" w14:paraId="051A6FA9" w14:textId="77777777">
            <w:pPr>
              <w:widowControl w:val="0"/>
              <w:rPr>
                <w:rFonts w:ascii="Times New Roman" w:hAnsi="Times New Roman"/>
                <w:snapToGrid w:val="0"/>
                <w:sz w:val="22"/>
                <w:szCs w:val="22"/>
              </w:rPr>
            </w:pPr>
            <w:r>
              <w:rPr>
                <w:rFonts w:ascii="Times New Roman" w:hAnsi="Times New Roman"/>
                <w:snapToGrid w:val="0"/>
                <w:sz w:val="22"/>
                <w:szCs w:val="22"/>
              </w:rPr>
              <w:t>(GS 13, Step 1, 202</w:t>
            </w:r>
            <w:r w:rsidR="008F5C01">
              <w:rPr>
                <w:rFonts w:ascii="Times New Roman" w:hAnsi="Times New Roman"/>
                <w:snapToGrid w:val="0"/>
                <w:sz w:val="22"/>
                <w:szCs w:val="22"/>
              </w:rPr>
              <w:t>3</w:t>
            </w:r>
            <w:r>
              <w:rPr>
                <w:rFonts w:ascii="Times New Roman" w:hAnsi="Times New Roman"/>
                <w:snapToGrid w:val="0"/>
                <w:sz w:val="22"/>
                <w:szCs w:val="22"/>
              </w:rPr>
              <w:t xml:space="preserve"> Pay Schedule) </w:t>
            </w:r>
            <w:r w:rsidRPr="008F6483" w:rsidR="0079302C">
              <w:rPr>
                <w:rFonts w:ascii="Times New Roman" w:hAnsi="Times New Roman"/>
                <w:snapToGrid w:val="0"/>
                <w:sz w:val="22"/>
                <w:szCs w:val="22"/>
              </w:rPr>
              <w:t>12</w:t>
            </w:r>
            <w:r w:rsidRPr="0015716C" w:rsidR="00F17D11">
              <w:rPr>
                <w:rFonts w:ascii="Times New Roman" w:hAnsi="Times New Roman"/>
                <w:snapToGrid w:val="0"/>
                <w:sz w:val="22"/>
                <w:szCs w:val="22"/>
              </w:rPr>
              <w:t xml:space="preserve"> </w:t>
            </w:r>
            <w:r w:rsidRPr="0015716C">
              <w:rPr>
                <w:rFonts w:ascii="Times New Roman" w:hAnsi="Times New Roman"/>
                <w:snapToGrid w:val="0"/>
                <w:sz w:val="22"/>
                <w:szCs w:val="22"/>
              </w:rPr>
              <w:t>h</w:t>
            </w:r>
            <w:r w:rsidRPr="0015716C" w:rsidR="00F17D11">
              <w:rPr>
                <w:rFonts w:ascii="Times New Roman" w:hAnsi="Times New Roman"/>
                <w:snapToGrid w:val="0"/>
                <w:sz w:val="22"/>
                <w:szCs w:val="22"/>
              </w:rPr>
              <w:t>ou</w:t>
            </w:r>
            <w:r w:rsidRPr="0015716C">
              <w:rPr>
                <w:rFonts w:ascii="Times New Roman" w:hAnsi="Times New Roman"/>
                <w:snapToGrid w:val="0"/>
                <w:sz w:val="22"/>
                <w:szCs w:val="22"/>
              </w:rPr>
              <w:t>rs x $</w:t>
            </w:r>
            <w:r>
              <w:rPr>
                <w:rFonts w:ascii="Times New Roman" w:hAnsi="Times New Roman"/>
                <w:snapToGrid w:val="0"/>
                <w:sz w:val="22"/>
                <w:szCs w:val="22"/>
              </w:rPr>
              <w:t>5</w:t>
            </w:r>
            <w:r w:rsidR="008F5C01">
              <w:rPr>
                <w:rFonts w:ascii="Times New Roman" w:hAnsi="Times New Roman"/>
                <w:snapToGrid w:val="0"/>
                <w:sz w:val="22"/>
                <w:szCs w:val="22"/>
              </w:rPr>
              <w:t>4</w:t>
            </w:r>
            <w:r w:rsidRPr="0015716C">
              <w:rPr>
                <w:rFonts w:ascii="Times New Roman" w:hAnsi="Times New Roman"/>
                <w:snapToGrid w:val="0"/>
                <w:sz w:val="22"/>
                <w:szCs w:val="22"/>
              </w:rPr>
              <w:t xml:space="preserve">.00 per hour </w:t>
            </w:r>
          </w:p>
          <w:p w:rsidR="00633DD4" w:rsidRPr="0015716C" w:rsidP="005E3AD3" w14:paraId="623A65DB" w14:textId="77777777">
            <w:pPr>
              <w:widowControl w:val="0"/>
              <w:rPr>
                <w:rFonts w:ascii="Times New Roman" w:hAnsi="Times New Roman"/>
                <w:snapToGrid w:val="0"/>
                <w:sz w:val="22"/>
                <w:szCs w:val="22"/>
              </w:rPr>
            </w:pPr>
            <w:r w:rsidRPr="0015716C">
              <w:rPr>
                <w:rFonts w:ascii="Times New Roman" w:hAnsi="Times New Roman"/>
                <w:snapToGrid w:val="0"/>
                <w:sz w:val="22"/>
                <w:szCs w:val="22"/>
              </w:rPr>
              <w:t>Overhead costs:  $</w:t>
            </w:r>
            <w:r w:rsidR="00A05E11">
              <w:rPr>
                <w:rFonts w:ascii="Times New Roman" w:hAnsi="Times New Roman"/>
                <w:snapToGrid w:val="0"/>
                <w:sz w:val="22"/>
                <w:szCs w:val="22"/>
              </w:rPr>
              <w:t>648</w:t>
            </w:r>
            <w:r w:rsidRPr="0015716C" w:rsidR="00A05E11">
              <w:rPr>
                <w:rFonts w:ascii="Times New Roman" w:hAnsi="Times New Roman"/>
                <w:snapToGrid w:val="0"/>
                <w:sz w:val="22"/>
                <w:szCs w:val="22"/>
              </w:rPr>
              <w:t xml:space="preserve"> </w:t>
            </w:r>
            <w:r w:rsidRPr="0015716C">
              <w:rPr>
                <w:rFonts w:ascii="Times New Roman" w:hAnsi="Times New Roman"/>
                <w:snapToGrid w:val="0"/>
                <w:sz w:val="22"/>
                <w:szCs w:val="22"/>
              </w:rPr>
              <w:t>X 50 percent</w:t>
            </w:r>
          </w:p>
        </w:tc>
        <w:tc>
          <w:tcPr>
            <w:tcW w:w="1295" w:type="dxa"/>
            <w:tcBorders>
              <w:top w:val="single" w:sz="4" w:space="0" w:color="auto"/>
              <w:left w:val="single" w:sz="4" w:space="0" w:color="auto"/>
              <w:bottom w:val="single" w:sz="4" w:space="0" w:color="auto"/>
              <w:right w:val="single" w:sz="4" w:space="0" w:color="auto"/>
            </w:tcBorders>
            <w:vAlign w:val="bottom"/>
          </w:tcPr>
          <w:p w:rsidR="00633DD4" w:rsidRPr="0015716C" w:rsidP="004337E2" w14:paraId="75627CFD" w14:textId="77777777">
            <w:pPr>
              <w:widowControl w:val="0"/>
              <w:jc w:val="right"/>
              <w:rPr>
                <w:rFonts w:ascii="Times New Roman" w:hAnsi="Times New Roman"/>
                <w:snapToGrid w:val="0"/>
                <w:sz w:val="22"/>
                <w:szCs w:val="22"/>
              </w:rPr>
            </w:pPr>
          </w:p>
          <w:p w:rsidR="00633DD4" w:rsidRPr="0015716C" w:rsidP="004337E2" w14:paraId="5E61EE78" w14:textId="77777777">
            <w:pPr>
              <w:widowControl w:val="0"/>
              <w:jc w:val="right"/>
              <w:rPr>
                <w:rFonts w:ascii="Times New Roman" w:hAnsi="Times New Roman"/>
                <w:snapToGrid w:val="0"/>
                <w:sz w:val="22"/>
                <w:szCs w:val="22"/>
              </w:rPr>
            </w:pPr>
            <w:r w:rsidRPr="0015716C">
              <w:rPr>
                <w:rFonts w:ascii="Times New Roman" w:hAnsi="Times New Roman"/>
                <w:snapToGrid w:val="0"/>
                <w:sz w:val="22"/>
                <w:szCs w:val="22"/>
              </w:rPr>
              <w:t>$</w:t>
            </w:r>
            <w:r w:rsidR="004756A5">
              <w:rPr>
                <w:rFonts w:ascii="Times New Roman" w:hAnsi="Times New Roman"/>
                <w:snapToGrid w:val="0"/>
                <w:sz w:val="22"/>
                <w:szCs w:val="22"/>
              </w:rPr>
              <w:t>6</w:t>
            </w:r>
            <w:r w:rsidR="00FE5144">
              <w:rPr>
                <w:rFonts w:ascii="Times New Roman" w:hAnsi="Times New Roman"/>
                <w:snapToGrid w:val="0"/>
                <w:sz w:val="22"/>
                <w:szCs w:val="22"/>
              </w:rPr>
              <w:t>48</w:t>
            </w:r>
            <w:r w:rsidRPr="0015716C">
              <w:rPr>
                <w:rFonts w:ascii="Times New Roman" w:hAnsi="Times New Roman"/>
                <w:snapToGrid w:val="0"/>
                <w:sz w:val="22"/>
                <w:szCs w:val="22"/>
              </w:rPr>
              <w:t>.00</w:t>
            </w:r>
          </w:p>
          <w:p w:rsidR="00633DD4" w:rsidRPr="0015716C" w:rsidP="004337E2" w14:paraId="6E065578" w14:textId="77777777">
            <w:pPr>
              <w:widowControl w:val="0"/>
              <w:jc w:val="right"/>
              <w:rPr>
                <w:rFonts w:ascii="Times New Roman" w:hAnsi="Times New Roman"/>
                <w:snapToGrid w:val="0"/>
                <w:sz w:val="22"/>
                <w:szCs w:val="22"/>
              </w:rPr>
            </w:pPr>
            <w:r w:rsidRPr="0015716C">
              <w:rPr>
                <w:rFonts w:ascii="Times New Roman" w:hAnsi="Times New Roman"/>
                <w:snapToGrid w:val="0"/>
                <w:sz w:val="22"/>
                <w:szCs w:val="22"/>
              </w:rPr>
              <w:t>$</w:t>
            </w:r>
            <w:r w:rsidR="004756A5">
              <w:rPr>
                <w:rFonts w:ascii="Times New Roman" w:hAnsi="Times New Roman"/>
                <w:snapToGrid w:val="0"/>
                <w:sz w:val="22"/>
                <w:szCs w:val="22"/>
              </w:rPr>
              <w:t>3</w:t>
            </w:r>
            <w:r w:rsidR="000D726B">
              <w:rPr>
                <w:rFonts w:ascii="Times New Roman" w:hAnsi="Times New Roman"/>
                <w:snapToGrid w:val="0"/>
                <w:sz w:val="22"/>
                <w:szCs w:val="22"/>
              </w:rPr>
              <w:t>24</w:t>
            </w:r>
            <w:r w:rsidRPr="0015716C">
              <w:rPr>
                <w:rFonts w:ascii="Times New Roman" w:hAnsi="Times New Roman"/>
                <w:snapToGrid w:val="0"/>
                <w:sz w:val="22"/>
                <w:szCs w:val="22"/>
              </w:rPr>
              <w:t>.00</w:t>
            </w:r>
          </w:p>
        </w:tc>
      </w:tr>
      <w:tr w14:paraId="016248C5" w14:textId="77777777" w:rsidTr="00FF4012">
        <w:tblPrEx>
          <w:tblW w:w="0" w:type="auto"/>
          <w:tblInd w:w="1459" w:type="dxa"/>
          <w:tblLayout w:type="fixed"/>
          <w:tblCellMar>
            <w:left w:w="54" w:type="dxa"/>
            <w:right w:w="54" w:type="dxa"/>
          </w:tblCellMar>
          <w:tblLook w:val="0000"/>
        </w:tblPrEx>
        <w:trPr>
          <w:trHeight w:val="296"/>
        </w:trPr>
        <w:tc>
          <w:tcPr>
            <w:tcW w:w="6570" w:type="dxa"/>
            <w:tcBorders>
              <w:top w:val="single" w:sz="4" w:space="0" w:color="auto"/>
              <w:left w:val="single" w:sz="4" w:space="0" w:color="auto"/>
              <w:bottom w:val="single" w:sz="4" w:space="0" w:color="auto"/>
            </w:tcBorders>
            <w:shd w:val="clear" w:color="auto" w:fill="E5E0EC" w:themeFill="accent4" w:themeFillTint="33"/>
            <w:vAlign w:val="bottom"/>
          </w:tcPr>
          <w:p w:rsidR="00633DD4" w:rsidRPr="00E17878" w:rsidP="004337E2" w14:paraId="0A232761" w14:textId="77777777">
            <w:pPr>
              <w:pStyle w:val="Heading1"/>
              <w:spacing w:before="0"/>
              <w:rPr>
                <w:rFonts w:ascii="Times New Roman" w:hAnsi="Times New Roman"/>
                <w:bCs w:val="0"/>
                <w:sz w:val="22"/>
                <w:szCs w:val="22"/>
              </w:rPr>
            </w:pPr>
            <w:r w:rsidRPr="00E17878">
              <w:rPr>
                <w:rFonts w:ascii="Times New Roman" w:hAnsi="Times New Roman"/>
                <w:bCs w:val="0"/>
                <w:sz w:val="22"/>
                <w:szCs w:val="22"/>
              </w:rPr>
              <w:t>Other Administrative Costs</w:t>
            </w:r>
          </w:p>
        </w:tc>
        <w:tc>
          <w:tcPr>
            <w:tcW w:w="1295" w:type="dxa"/>
            <w:tcBorders>
              <w:top w:val="single" w:sz="4" w:space="0" w:color="auto"/>
              <w:left w:val="single" w:sz="4" w:space="0" w:color="auto"/>
              <w:bottom w:val="single" w:sz="4" w:space="0" w:color="auto"/>
              <w:right w:val="single" w:sz="4" w:space="0" w:color="auto"/>
            </w:tcBorders>
            <w:vAlign w:val="bottom"/>
          </w:tcPr>
          <w:p w:rsidR="00633DD4" w:rsidRPr="008F6483" w:rsidP="004337E2" w14:paraId="01AA67F1" w14:textId="77777777">
            <w:pPr>
              <w:widowControl w:val="0"/>
              <w:jc w:val="right"/>
              <w:rPr>
                <w:rFonts w:ascii="Times New Roman" w:hAnsi="Times New Roman"/>
                <w:snapToGrid w:val="0"/>
                <w:sz w:val="22"/>
                <w:szCs w:val="22"/>
              </w:rPr>
            </w:pPr>
          </w:p>
        </w:tc>
      </w:tr>
      <w:tr w14:paraId="10AFF5D6" w14:textId="77777777" w:rsidTr="00FF4012">
        <w:tblPrEx>
          <w:tblW w:w="0" w:type="auto"/>
          <w:tblInd w:w="1459" w:type="dxa"/>
          <w:tblLayout w:type="fixed"/>
          <w:tblCellMar>
            <w:left w:w="54" w:type="dxa"/>
            <w:right w:w="54" w:type="dxa"/>
          </w:tblCellMar>
          <w:tblLook w:val="0000"/>
        </w:tblPrEx>
        <w:trPr>
          <w:trHeight w:val="312"/>
        </w:trPr>
        <w:tc>
          <w:tcPr>
            <w:tcW w:w="6570" w:type="dxa"/>
            <w:tcBorders>
              <w:top w:val="single" w:sz="4" w:space="0" w:color="auto"/>
              <w:left w:val="single" w:sz="4" w:space="0" w:color="auto"/>
              <w:bottom w:val="single" w:sz="4" w:space="0" w:color="auto"/>
            </w:tcBorders>
          </w:tcPr>
          <w:p w:rsidR="00633DD4" w:rsidRPr="008F6483" w:rsidP="005E3AD3" w14:paraId="328E543C" w14:textId="77777777">
            <w:pPr>
              <w:widowControl w:val="0"/>
              <w:rPr>
                <w:rFonts w:ascii="Times New Roman" w:hAnsi="Times New Roman"/>
                <w:snapToGrid w:val="0"/>
                <w:sz w:val="22"/>
                <w:szCs w:val="22"/>
              </w:rPr>
            </w:pPr>
            <w:r w:rsidRPr="00E17878">
              <w:rPr>
                <w:rFonts w:ascii="Times New Roman" w:hAnsi="Times New Roman"/>
                <w:b/>
                <w:bCs/>
                <w:sz w:val="22"/>
                <w:szCs w:val="22"/>
              </w:rPr>
              <w:t>Annual Web Development</w:t>
            </w:r>
            <w:r w:rsidRPr="00E17878">
              <w:rPr>
                <w:rFonts w:ascii="Times New Roman" w:hAnsi="Times New Roman"/>
                <w:bCs/>
                <w:sz w:val="22"/>
                <w:szCs w:val="22"/>
              </w:rPr>
              <w:t xml:space="preserve">—Annual contract cost for development of APR Web application, Web-based data collection, Help Desk support, </w:t>
            </w:r>
            <w:r w:rsidRPr="00E17878">
              <w:rPr>
                <w:rFonts w:ascii="Times New Roman" w:hAnsi="Times New Roman"/>
                <w:bCs/>
                <w:sz w:val="22"/>
                <w:szCs w:val="22"/>
              </w:rPr>
              <w:t>data processing, and grantee PE reports</w:t>
            </w:r>
            <w:r w:rsidR="004756A5">
              <w:rPr>
                <w:rFonts w:ascii="Times New Roman" w:hAnsi="Times New Roman"/>
                <w:bCs/>
                <w:sz w:val="22"/>
                <w:szCs w:val="22"/>
              </w:rPr>
              <w:t xml:space="preserve"> </w:t>
            </w:r>
          </w:p>
        </w:tc>
        <w:tc>
          <w:tcPr>
            <w:tcW w:w="1295" w:type="dxa"/>
            <w:tcBorders>
              <w:top w:val="single" w:sz="4" w:space="0" w:color="auto"/>
              <w:left w:val="single" w:sz="4" w:space="0" w:color="auto"/>
              <w:bottom w:val="single" w:sz="4" w:space="0" w:color="auto"/>
              <w:right w:val="single" w:sz="4" w:space="0" w:color="auto"/>
            </w:tcBorders>
            <w:vAlign w:val="bottom"/>
          </w:tcPr>
          <w:p w:rsidR="00633DD4" w:rsidRPr="0015716C" w:rsidP="004337E2" w14:paraId="194241C8" w14:textId="77777777">
            <w:pPr>
              <w:widowControl w:val="0"/>
              <w:jc w:val="right"/>
              <w:rPr>
                <w:rFonts w:ascii="Times New Roman" w:hAnsi="Times New Roman"/>
                <w:snapToGrid w:val="0"/>
                <w:sz w:val="22"/>
                <w:szCs w:val="22"/>
              </w:rPr>
            </w:pPr>
          </w:p>
          <w:p w:rsidR="00633DD4" w:rsidRPr="0015716C" w:rsidP="00AA3B69" w14:paraId="1DE26100" w14:textId="77777777">
            <w:pPr>
              <w:widowControl w:val="0"/>
              <w:jc w:val="right"/>
              <w:rPr>
                <w:rFonts w:ascii="Times New Roman" w:hAnsi="Times New Roman"/>
                <w:snapToGrid w:val="0"/>
                <w:sz w:val="22"/>
                <w:szCs w:val="22"/>
              </w:rPr>
            </w:pPr>
            <w:r w:rsidRPr="0015716C">
              <w:rPr>
                <w:rFonts w:ascii="Times New Roman" w:hAnsi="Times New Roman"/>
                <w:snapToGrid w:val="0"/>
                <w:sz w:val="22"/>
                <w:szCs w:val="22"/>
              </w:rPr>
              <w:t>$</w:t>
            </w:r>
            <w:r w:rsidR="00AA3B69">
              <w:rPr>
                <w:rFonts w:ascii="Times New Roman" w:hAnsi="Times New Roman"/>
                <w:snapToGrid w:val="0"/>
                <w:sz w:val="22"/>
                <w:szCs w:val="22"/>
              </w:rPr>
              <w:t>236</w:t>
            </w:r>
            <w:r w:rsidRPr="0015716C" w:rsidR="006A44FA">
              <w:rPr>
                <w:rFonts w:ascii="Times New Roman" w:hAnsi="Times New Roman"/>
                <w:snapToGrid w:val="0"/>
                <w:sz w:val="22"/>
                <w:szCs w:val="22"/>
              </w:rPr>
              <w:t>,</w:t>
            </w:r>
            <w:r w:rsidR="00AA3B69">
              <w:rPr>
                <w:rFonts w:ascii="Times New Roman" w:hAnsi="Times New Roman"/>
                <w:snapToGrid w:val="0"/>
                <w:sz w:val="22"/>
                <w:szCs w:val="22"/>
              </w:rPr>
              <w:t>483</w:t>
            </w:r>
            <w:r w:rsidRPr="0015716C" w:rsidR="00FF4012">
              <w:rPr>
                <w:rFonts w:ascii="Times New Roman" w:hAnsi="Times New Roman"/>
                <w:snapToGrid w:val="0"/>
                <w:sz w:val="22"/>
                <w:szCs w:val="22"/>
              </w:rPr>
              <w:t>.00</w:t>
            </w:r>
          </w:p>
        </w:tc>
      </w:tr>
      <w:tr w14:paraId="1FE64F45" w14:textId="77777777" w:rsidTr="00FF4012">
        <w:tblPrEx>
          <w:tblW w:w="0" w:type="auto"/>
          <w:tblInd w:w="1459" w:type="dxa"/>
          <w:tblLayout w:type="fixed"/>
          <w:tblCellMar>
            <w:left w:w="54" w:type="dxa"/>
            <w:right w:w="54" w:type="dxa"/>
          </w:tblCellMar>
          <w:tblLook w:val="0000"/>
        </w:tblPrEx>
        <w:trPr>
          <w:trHeight w:val="312"/>
        </w:trPr>
        <w:tc>
          <w:tcPr>
            <w:tcW w:w="6570" w:type="dxa"/>
            <w:tcBorders>
              <w:top w:val="single" w:sz="4" w:space="0" w:color="auto"/>
              <w:left w:val="single" w:sz="4" w:space="0" w:color="auto"/>
              <w:bottom w:val="single" w:sz="4" w:space="0" w:color="auto"/>
            </w:tcBorders>
          </w:tcPr>
          <w:p w:rsidR="00633DD4" w:rsidRPr="008F6483" w:rsidP="005E3AD3" w14:paraId="4976D0BF" w14:textId="77777777">
            <w:pPr>
              <w:widowControl w:val="0"/>
              <w:rPr>
                <w:rFonts w:ascii="Times New Roman" w:hAnsi="Times New Roman"/>
                <w:snapToGrid w:val="0"/>
                <w:sz w:val="22"/>
                <w:szCs w:val="22"/>
              </w:rPr>
            </w:pPr>
            <w:r w:rsidRPr="00E17878">
              <w:rPr>
                <w:rFonts w:ascii="Times New Roman" w:hAnsi="Times New Roman"/>
                <w:b/>
                <w:snapToGrid w:val="0"/>
                <w:sz w:val="22"/>
                <w:szCs w:val="22"/>
              </w:rPr>
              <w:t>Annual Data Analysis</w:t>
            </w:r>
            <w:r w:rsidRPr="00E17878">
              <w:rPr>
                <w:rFonts w:ascii="Times New Roman" w:hAnsi="Times New Roman"/>
                <w:snapToGrid w:val="0"/>
                <w:sz w:val="22"/>
                <w:szCs w:val="22"/>
              </w:rPr>
              <w:t>—Analyses of data and preparation of national summary and individual project reports (contractor costs)</w:t>
            </w:r>
          </w:p>
        </w:tc>
        <w:tc>
          <w:tcPr>
            <w:tcW w:w="1295" w:type="dxa"/>
            <w:tcBorders>
              <w:top w:val="single" w:sz="4" w:space="0" w:color="auto"/>
              <w:left w:val="single" w:sz="4" w:space="0" w:color="auto"/>
              <w:bottom w:val="single" w:sz="4" w:space="0" w:color="auto"/>
              <w:right w:val="single" w:sz="4" w:space="0" w:color="auto"/>
            </w:tcBorders>
            <w:vAlign w:val="bottom"/>
          </w:tcPr>
          <w:p w:rsidR="00633DD4" w:rsidRPr="0015716C" w:rsidP="004337E2" w14:paraId="6E3301D8" w14:textId="77777777">
            <w:pPr>
              <w:widowControl w:val="0"/>
              <w:jc w:val="right"/>
              <w:rPr>
                <w:rFonts w:ascii="Times New Roman" w:hAnsi="Times New Roman"/>
                <w:snapToGrid w:val="0"/>
                <w:sz w:val="22"/>
                <w:szCs w:val="22"/>
              </w:rPr>
            </w:pPr>
          </w:p>
          <w:p w:rsidR="00633DD4" w:rsidRPr="0015716C" w:rsidP="006A44FA" w14:paraId="35DAA485" w14:textId="77777777">
            <w:pPr>
              <w:widowControl w:val="0"/>
              <w:jc w:val="right"/>
              <w:rPr>
                <w:rFonts w:ascii="Times New Roman" w:hAnsi="Times New Roman"/>
                <w:snapToGrid w:val="0"/>
                <w:sz w:val="22"/>
                <w:szCs w:val="22"/>
              </w:rPr>
            </w:pPr>
            <w:r w:rsidRPr="0015716C">
              <w:rPr>
                <w:rFonts w:ascii="Times New Roman" w:hAnsi="Times New Roman"/>
                <w:snapToGrid w:val="0"/>
                <w:sz w:val="22"/>
                <w:szCs w:val="22"/>
              </w:rPr>
              <w:t>$</w:t>
            </w:r>
            <w:r w:rsidR="005E05AD">
              <w:rPr>
                <w:rFonts w:ascii="Times New Roman" w:hAnsi="Times New Roman"/>
                <w:snapToGrid w:val="0"/>
                <w:sz w:val="22"/>
                <w:szCs w:val="22"/>
              </w:rPr>
              <w:t>56,318</w:t>
            </w:r>
            <w:r w:rsidRPr="0015716C">
              <w:rPr>
                <w:rFonts w:ascii="Times New Roman" w:hAnsi="Times New Roman"/>
                <w:snapToGrid w:val="0"/>
                <w:sz w:val="22"/>
                <w:szCs w:val="22"/>
              </w:rPr>
              <w:t>.00</w:t>
            </w:r>
          </w:p>
        </w:tc>
      </w:tr>
      <w:tr w14:paraId="0B5E6582" w14:textId="77777777" w:rsidTr="00FF4012">
        <w:tblPrEx>
          <w:tblW w:w="0" w:type="auto"/>
          <w:tblInd w:w="1459" w:type="dxa"/>
          <w:tblLayout w:type="fixed"/>
          <w:tblCellMar>
            <w:left w:w="54" w:type="dxa"/>
            <w:right w:w="54" w:type="dxa"/>
          </w:tblCellMar>
          <w:tblLook w:val="0000"/>
        </w:tblPrEx>
        <w:trPr>
          <w:trHeight w:val="422"/>
        </w:trPr>
        <w:tc>
          <w:tcPr>
            <w:tcW w:w="6570" w:type="dxa"/>
            <w:tcBorders>
              <w:top w:val="single" w:sz="4" w:space="0" w:color="auto"/>
              <w:left w:val="single" w:sz="4" w:space="0" w:color="auto"/>
              <w:bottom w:val="single" w:sz="4" w:space="0" w:color="auto"/>
            </w:tcBorders>
            <w:vAlign w:val="center"/>
          </w:tcPr>
          <w:p w:rsidR="00633DD4" w:rsidRPr="00E17878" w:rsidP="004337E2" w14:paraId="617BD272" w14:textId="77777777">
            <w:pPr>
              <w:pStyle w:val="Heading1"/>
              <w:widowControl w:val="0"/>
              <w:spacing w:before="0"/>
              <w:jc w:val="center"/>
              <w:rPr>
                <w:rFonts w:ascii="Times New Roman" w:hAnsi="Times New Roman"/>
                <w:bCs w:val="0"/>
                <w:snapToGrid w:val="0"/>
                <w:sz w:val="22"/>
                <w:szCs w:val="22"/>
              </w:rPr>
            </w:pPr>
            <w:r w:rsidRPr="00E17878">
              <w:rPr>
                <w:rFonts w:ascii="Times New Roman" w:hAnsi="Times New Roman"/>
                <w:bCs w:val="0"/>
                <w:snapToGrid w:val="0"/>
                <w:sz w:val="22"/>
                <w:szCs w:val="22"/>
              </w:rPr>
              <w:t>Total Annual Government Cost</w:t>
            </w:r>
          </w:p>
        </w:tc>
        <w:tc>
          <w:tcPr>
            <w:tcW w:w="1295" w:type="dxa"/>
            <w:tcBorders>
              <w:top w:val="single" w:sz="4" w:space="0" w:color="auto"/>
              <w:left w:val="single" w:sz="4" w:space="0" w:color="auto"/>
              <w:bottom w:val="single" w:sz="4" w:space="0" w:color="auto"/>
              <w:right w:val="single" w:sz="4" w:space="0" w:color="auto"/>
            </w:tcBorders>
            <w:vAlign w:val="center"/>
          </w:tcPr>
          <w:p w:rsidR="00633DD4" w:rsidRPr="0015716C" w:rsidP="006A44FA" w14:paraId="66454B16" w14:textId="77777777">
            <w:pPr>
              <w:widowControl w:val="0"/>
              <w:jc w:val="right"/>
              <w:rPr>
                <w:rFonts w:ascii="Times New Roman" w:hAnsi="Times New Roman"/>
                <w:b/>
                <w:snapToGrid w:val="0"/>
                <w:sz w:val="22"/>
                <w:szCs w:val="22"/>
              </w:rPr>
            </w:pPr>
            <w:r w:rsidRPr="008F6483">
              <w:rPr>
                <w:rFonts w:ascii="Times New Roman" w:hAnsi="Times New Roman"/>
                <w:b/>
                <w:snapToGrid w:val="0"/>
                <w:sz w:val="22"/>
                <w:szCs w:val="22"/>
              </w:rPr>
              <w:t>$</w:t>
            </w:r>
            <w:r w:rsidRPr="0015716C" w:rsidR="006A44FA">
              <w:rPr>
                <w:rFonts w:ascii="Times New Roman" w:hAnsi="Times New Roman"/>
                <w:b/>
                <w:snapToGrid w:val="0"/>
                <w:sz w:val="22"/>
                <w:szCs w:val="22"/>
              </w:rPr>
              <w:t>2</w:t>
            </w:r>
            <w:r w:rsidR="004756A5">
              <w:rPr>
                <w:rFonts w:ascii="Times New Roman" w:hAnsi="Times New Roman"/>
                <w:b/>
                <w:snapToGrid w:val="0"/>
                <w:sz w:val="22"/>
                <w:szCs w:val="22"/>
              </w:rPr>
              <w:t>99</w:t>
            </w:r>
            <w:r w:rsidRPr="0015716C" w:rsidR="006A44FA">
              <w:rPr>
                <w:rFonts w:ascii="Times New Roman" w:hAnsi="Times New Roman"/>
                <w:b/>
                <w:snapToGrid w:val="0"/>
                <w:sz w:val="22"/>
                <w:szCs w:val="22"/>
              </w:rPr>
              <w:t>,</w:t>
            </w:r>
            <w:r w:rsidR="00FC7F69">
              <w:rPr>
                <w:rFonts w:ascii="Times New Roman" w:hAnsi="Times New Roman"/>
                <w:b/>
                <w:snapToGrid w:val="0"/>
                <w:sz w:val="22"/>
                <w:szCs w:val="22"/>
              </w:rPr>
              <w:t>916</w:t>
            </w:r>
            <w:r w:rsidRPr="0015716C" w:rsidR="00FF4012">
              <w:rPr>
                <w:rFonts w:ascii="Times New Roman" w:hAnsi="Times New Roman"/>
                <w:b/>
                <w:snapToGrid w:val="0"/>
                <w:sz w:val="22"/>
                <w:szCs w:val="22"/>
              </w:rPr>
              <w:t>.00</w:t>
            </w:r>
          </w:p>
        </w:tc>
      </w:tr>
    </w:tbl>
    <w:p w:rsidR="00633DD4" w:rsidRPr="00E17878" w:rsidP="004337E2" w14:paraId="3F68EFE3" w14:textId="77777777">
      <w:pPr>
        <w:widowControl w:val="0"/>
        <w:rPr>
          <w:rFonts w:ascii="Times New Roman" w:hAnsi="Times New Roman"/>
          <w:snapToGrid w:val="0"/>
          <w:sz w:val="22"/>
          <w:szCs w:val="22"/>
        </w:rPr>
      </w:pPr>
    </w:p>
    <w:p w:rsidR="00C377B6" w:rsidRPr="0015716C" w:rsidP="00C377B6" w14:paraId="37C7B221" w14:textId="77777777">
      <w:pPr>
        <w:tabs>
          <w:tab w:val="left" w:pos="-720"/>
        </w:tabs>
        <w:suppressAutoHyphens/>
        <w:rPr>
          <w:rFonts w:ascii="Times New Roman" w:hAnsi="Times New Roman"/>
          <w:i/>
          <w:sz w:val="22"/>
          <w:szCs w:val="22"/>
        </w:rPr>
      </w:pPr>
      <w:r w:rsidRPr="0015716C">
        <w:rPr>
          <w:rFonts w:ascii="Times New Roman" w:hAnsi="Times New Roman"/>
          <w:i/>
          <w:sz w:val="22"/>
          <w:szCs w:val="22"/>
        </w:rPr>
        <w:t xml:space="preserve">15.  </w:t>
      </w:r>
      <w:r w:rsidRPr="00E17878">
        <w:rPr>
          <w:rFonts w:ascii="Times New Roman" w:hAnsi="Times New Roman"/>
          <w:i/>
          <w:sz w:val="22"/>
          <w:szCs w:val="22"/>
        </w:rPr>
        <w:t>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w:t>
      </w:r>
      <w:r w:rsidRPr="008F6483">
        <w:rPr>
          <w:rFonts w:ascii="Times New Roman" w:hAnsi="Times New Roman"/>
          <w:i/>
          <w:sz w:val="22"/>
          <w:szCs w:val="22"/>
        </w:rPr>
        <w:t xml:space="preserve"> collection of information and generally are result of new statute or an agency action (e.g., changing a form, revising regulations, redefining the respondent universe, etc.).</w:t>
      </w:r>
      <w:r w:rsidRPr="0015716C" w:rsidR="00276439">
        <w:rPr>
          <w:rFonts w:ascii="Times New Roman" w:hAnsi="Times New Roman"/>
          <w:i/>
          <w:sz w:val="22"/>
          <w:szCs w:val="22"/>
        </w:rPr>
        <w:t xml:space="preserve"> </w:t>
      </w:r>
      <w:r w:rsidRPr="0015716C">
        <w:rPr>
          <w:rFonts w:ascii="Times New Roman" w:hAnsi="Times New Roman"/>
          <w:i/>
          <w:sz w:val="22"/>
          <w:szCs w:val="22"/>
        </w:rPr>
        <w:t xml:space="preserve">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p>
    <w:p w:rsidR="009A7DA0" w:rsidP="009A7DA0" w14:paraId="03096D97" w14:textId="77777777">
      <w:pPr>
        <w:pStyle w:val="ListParagraph"/>
        <w:tabs>
          <w:tab w:val="left" w:pos="-720"/>
        </w:tabs>
        <w:suppressAutoHyphens/>
        <w:contextualSpacing w:val="0"/>
        <w:rPr>
          <w:rFonts w:ascii="Times New Roman" w:hAnsi="Times New Roman"/>
          <w:b/>
          <w:szCs w:val="24"/>
        </w:rPr>
      </w:pPr>
    </w:p>
    <w:p w:rsidR="009A7DA0" w:rsidRPr="00A23EED" w:rsidP="00A23EED" w14:paraId="1BBDE5EA" w14:textId="77777777">
      <w:pPr>
        <w:tabs>
          <w:tab w:val="left" w:pos="-720"/>
        </w:tabs>
        <w:suppressAutoHyphens/>
        <w:rPr>
          <w:rFonts w:ascii="Times New Roman" w:hAnsi="Times New Roman"/>
          <w:bCs/>
          <w:i/>
          <w:iCs/>
          <w:sz w:val="22"/>
          <w:szCs w:val="22"/>
        </w:rPr>
      </w:pPr>
      <w:r w:rsidRPr="00A23EED">
        <w:rPr>
          <w:rFonts w:ascii="Times New Roman" w:hAnsi="Times New Roman"/>
          <w:bCs/>
          <w:i/>
          <w:iCs/>
          <w:sz w:val="22"/>
          <w:szCs w:val="22"/>
        </w:rPr>
        <w:t>Provide a descriptive narrative for the reasons of any change in addition to completing the table with the burden hour change(s) here.</w:t>
      </w:r>
    </w:p>
    <w:p w:rsidR="009A7DA0" w:rsidP="009A7DA0" w14:paraId="5F2A145B" w14:textId="77777777">
      <w:pPr>
        <w:tabs>
          <w:tab w:val="left" w:pos="-720"/>
        </w:tabs>
        <w:suppressAutoHyphens/>
        <w:rPr>
          <w:rFonts w:ascii="Times New Roman" w:hAnsi="Times New Roman"/>
          <w:b/>
          <w:szCs w:val="24"/>
        </w:rPr>
      </w:pPr>
    </w:p>
    <w:tbl>
      <w:tblPr>
        <w:tblStyle w:val="TableGrid"/>
        <w:tblW w:w="9445" w:type="dxa"/>
        <w:tblLook w:val="04A0"/>
      </w:tblPr>
      <w:tblGrid>
        <w:gridCol w:w="2048"/>
        <w:gridCol w:w="2048"/>
        <w:gridCol w:w="2829"/>
        <w:gridCol w:w="2520"/>
      </w:tblGrid>
      <w:tr w14:paraId="15393C8A" w14:textId="77777777" w:rsidTr="000E581E">
        <w:tblPrEx>
          <w:tblW w:w="9445" w:type="dxa"/>
          <w:tblLook w:val="04A0"/>
        </w:tblPrEx>
        <w:tc>
          <w:tcPr>
            <w:tcW w:w="2048" w:type="dxa"/>
            <w:shd w:val="clear" w:color="auto" w:fill="D9D9D9" w:themeFill="background1" w:themeFillShade="D9"/>
          </w:tcPr>
          <w:p w:rsidR="009A7DA0" w:rsidP="000E581E" w14:paraId="6C5BC970" w14:textId="77777777">
            <w:pPr>
              <w:tabs>
                <w:tab w:val="left" w:pos="-720"/>
              </w:tabs>
              <w:suppressAutoHyphens/>
              <w:rPr>
                <w:rFonts w:ascii="Times New Roman" w:hAnsi="Times New Roman"/>
                <w:b/>
                <w:szCs w:val="24"/>
              </w:rPr>
            </w:pPr>
          </w:p>
        </w:tc>
        <w:tc>
          <w:tcPr>
            <w:tcW w:w="2048" w:type="dxa"/>
          </w:tcPr>
          <w:p w:rsidR="009A7DA0" w:rsidP="000E581E" w14:paraId="184BBA7C"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9A7DA0" w:rsidP="000E581E" w14:paraId="2C3DF6FF"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9A7DA0" w:rsidP="000E581E" w14:paraId="60396735"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14:paraId="35B7232E" w14:textId="77777777" w:rsidTr="000E581E">
        <w:tblPrEx>
          <w:tblW w:w="9445" w:type="dxa"/>
          <w:tblLook w:val="04A0"/>
        </w:tblPrEx>
        <w:tc>
          <w:tcPr>
            <w:tcW w:w="2048" w:type="dxa"/>
          </w:tcPr>
          <w:p w:rsidR="009A7DA0" w:rsidRPr="00CA2698" w:rsidP="000E581E" w14:paraId="4FD43D45" w14:textId="77777777">
            <w:pPr>
              <w:tabs>
                <w:tab w:val="left" w:pos="-720"/>
              </w:tabs>
              <w:suppressAutoHyphens/>
              <w:rPr>
                <w:rFonts w:ascii="Times New Roman" w:hAnsi="Times New Roman"/>
                <w:bCs/>
                <w:szCs w:val="24"/>
              </w:rPr>
            </w:pPr>
            <w:r w:rsidRPr="00CA2698">
              <w:rPr>
                <w:rFonts w:ascii="Times New Roman" w:hAnsi="Times New Roman"/>
                <w:bCs/>
                <w:szCs w:val="24"/>
              </w:rPr>
              <w:t>Total Burden</w:t>
            </w:r>
          </w:p>
        </w:tc>
        <w:tc>
          <w:tcPr>
            <w:tcW w:w="2048" w:type="dxa"/>
          </w:tcPr>
          <w:p w:rsidR="009A7DA0" w:rsidRPr="00A23EED" w:rsidP="000E581E" w14:paraId="1C3F5051" w14:textId="77777777">
            <w:pPr>
              <w:tabs>
                <w:tab w:val="left" w:pos="-720"/>
              </w:tabs>
              <w:suppressAutoHyphens/>
              <w:rPr>
                <w:rFonts w:ascii="Times New Roman" w:hAnsi="Times New Roman"/>
                <w:bCs/>
                <w:szCs w:val="24"/>
              </w:rPr>
            </w:pPr>
            <w:r w:rsidRPr="00A23EED">
              <w:rPr>
                <w:rFonts w:ascii="Times New Roman" w:hAnsi="Times New Roman"/>
                <w:bCs/>
                <w:szCs w:val="24"/>
              </w:rPr>
              <w:t>N/A</w:t>
            </w:r>
          </w:p>
        </w:tc>
        <w:tc>
          <w:tcPr>
            <w:tcW w:w="2829" w:type="dxa"/>
          </w:tcPr>
          <w:p w:rsidR="009A7DA0" w:rsidP="000E581E" w14:paraId="43F8FB82" w14:textId="77777777">
            <w:pPr>
              <w:tabs>
                <w:tab w:val="left" w:pos="-720"/>
              </w:tabs>
              <w:suppressAutoHyphens/>
              <w:rPr>
                <w:rFonts w:ascii="Times New Roman" w:hAnsi="Times New Roman"/>
                <w:b/>
                <w:szCs w:val="24"/>
              </w:rPr>
            </w:pPr>
            <w:r>
              <w:rPr>
                <w:rFonts w:ascii="Times New Roman" w:hAnsi="Times New Roman"/>
                <w:bCs/>
                <w:szCs w:val="24"/>
              </w:rPr>
              <w:t>31</w:t>
            </w:r>
          </w:p>
        </w:tc>
        <w:tc>
          <w:tcPr>
            <w:tcW w:w="2520" w:type="dxa"/>
          </w:tcPr>
          <w:p w:rsidR="009A7DA0" w:rsidP="000E581E" w14:paraId="41D57A07" w14:textId="77777777">
            <w:pPr>
              <w:tabs>
                <w:tab w:val="left" w:pos="-720"/>
              </w:tabs>
              <w:suppressAutoHyphens/>
              <w:rPr>
                <w:rFonts w:ascii="Times New Roman" w:hAnsi="Times New Roman"/>
                <w:b/>
                <w:szCs w:val="24"/>
              </w:rPr>
            </w:pPr>
            <w:r>
              <w:rPr>
                <w:rFonts w:ascii="Times New Roman" w:hAnsi="Times New Roman"/>
                <w:bCs/>
                <w:szCs w:val="24"/>
              </w:rPr>
              <w:t>209</w:t>
            </w:r>
          </w:p>
        </w:tc>
      </w:tr>
      <w:tr w14:paraId="50F32935" w14:textId="77777777" w:rsidTr="000E581E">
        <w:tblPrEx>
          <w:tblW w:w="9445" w:type="dxa"/>
          <w:tblLook w:val="04A0"/>
        </w:tblPrEx>
        <w:tc>
          <w:tcPr>
            <w:tcW w:w="2048" w:type="dxa"/>
          </w:tcPr>
          <w:p w:rsidR="009A7DA0" w:rsidRPr="00CA2698" w:rsidP="000E581E" w14:paraId="4DCD5DDF" w14:textId="77777777">
            <w:pPr>
              <w:tabs>
                <w:tab w:val="left" w:pos="-720"/>
              </w:tabs>
              <w:suppressAutoHyphens/>
              <w:rPr>
                <w:rFonts w:ascii="Times New Roman" w:hAnsi="Times New Roman"/>
                <w:bCs/>
                <w:szCs w:val="24"/>
              </w:rPr>
            </w:pPr>
            <w:r w:rsidRPr="00CA2698">
              <w:rPr>
                <w:rFonts w:ascii="Times New Roman" w:hAnsi="Times New Roman"/>
                <w:bCs/>
                <w:szCs w:val="24"/>
              </w:rPr>
              <w:t>Total Responses</w:t>
            </w:r>
          </w:p>
        </w:tc>
        <w:tc>
          <w:tcPr>
            <w:tcW w:w="2048" w:type="dxa"/>
          </w:tcPr>
          <w:p w:rsidR="009A7DA0" w:rsidP="000E581E" w14:paraId="5A971CC3" w14:textId="77777777">
            <w:pPr>
              <w:tabs>
                <w:tab w:val="left" w:pos="-720"/>
              </w:tabs>
              <w:suppressAutoHyphens/>
              <w:rPr>
                <w:rFonts w:ascii="Times New Roman" w:hAnsi="Times New Roman"/>
                <w:b/>
                <w:szCs w:val="24"/>
              </w:rPr>
            </w:pPr>
            <w:r w:rsidRPr="004B469C">
              <w:rPr>
                <w:rFonts w:ascii="Times New Roman" w:hAnsi="Times New Roman"/>
                <w:bCs/>
                <w:szCs w:val="24"/>
              </w:rPr>
              <w:t>N/A</w:t>
            </w:r>
          </w:p>
        </w:tc>
        <w:tc>
          <w:tcPr>
            <w:tcW w:w="2829" w:type="dxa"/>
          </w:tcPr>
          <w:p w:rsidR="009A7DA0" w:rsidP="000E581E" w14:paraId="72373C21" w14:textId="77777777">
            <w:pPr>
              <w:tabs>
                <w:tab w:val="left" w:pos="-720"/>
              </w:tabs>
              <w:suppressAutoHyphens/>
              <w:rPr>
                <w:rFonts w:ascii="Times New Roman" w:hAnsi="Times New Roman"/>
                <w:b/>
                <w:szCs w:val="24"/>
              </w:rPr>
            </w:pPr>
            <w:r>
              <w:rPr>
                <w:rFonts w:ascii="Times New Roman" w:hAnsi="Times New Roman"/>
                <w:bCs/>
                <w:szCs w:val="24"/>
              </w:rPr>
              <w:t>N/A</w:t>
            </w:r>
          </w:p>
        </w:tc>
        <w:tc>
          <w:tcPr>
            <w:tcW w:w="2520" w:type="dxa"/>
          </w:tcPr>
          <w:p w:rsidR="009A7DA0" w:rsidP="000E581E" w14:paraId="4C0AAF48" w14:textId="77777777">
            <w:pPr>
              <w:tabs>
                <w:tab w:val="left" w:pos="-720"/>
              </w:tabs>
              <w:suppressAutoHyphens/>
              <w:rPr>
                <w:rFonts w:ascii="Times New Roman" w:hAnsi="Times New Roman"/>
                <w:b/>
                <w:szCs w:val="24"/>
              </w:rPr>
            </w:pPr>
            <w:r>
              <w:rPr>
                <w:rFonts w:ascii="Times New Roman" w:hAnsi="Times New Roman"/>
                <w:bCs/>
                <w:szCs w:val="24"/>
              </w:rPr>
              <w:t>19</w:t>
            </w:r>
          </w:p>
        </w:tc>
      </w:tr>
      <w:tr w14:paraId="01BB0C4C" w14:textId="77777777" w:rsidTr="000E581E">
        <w:tblPrEx>
          <w:tblW w:w="9445" w:type="dxa"/>
          <w:tblLook w:val="04A0"/>
        </w:tblPrEx>
        <w:tc>
          <w:tcPr>
            <w:tcW w:w="2048" w:type="dxa"/>
          </w:tcPr>
          <w:p w:rsidR="009A7DA0" w:rsidRPr="00CA2698" w:rsidP="000E581E" w14:paraId="1B80BE1B" w14:textId="77777777">
            <w:pPr>
              <w:tabs>
                <w:tab w:val="left" w:pos="-720"/>
              </w:tabs>
              <w:suppressAutoHyphens/>
              <w:rPr>
                <w:rFonts w:ascii="Times New Roman" w:hAnsi="Times New Roman"/>
                <w:bCs/>
                <w:szCs w:val="24"/>
              </w:rPr>
            </w:pPr>
            <w:r w:rsidRPr="00CA2698">
              <w:rPr>
                <w:rFonts w:ascii="Times New Roman" w:hAnsi="Times New Roman"/>
                <w:bCs/>
                <w:szCs w:val="24"/>
              </w:rPr>
              <w:t>Total Costs (if applicable)</w:t>
            </w:r>
          </w:p>
        </w:tc>
        <w:tc>
          <w:tcPr>
            <w:tcW w:w="2048" w:type="dxa"/>
          </w:tcPr>
          <w:p w:rsidR="009A7DA0" w:rsidP="000E581E" w14:paraId="3509E235" w14:textId="77777777">
            <w:pPr>
              <w:tabs>
                <w:tab w:val="left" w:pos="-720"/>
              </w:tabs>
              <w:suppressAutoHyphens/>
              <w:rPr>
                <w:rFonts w:ascii="Times New Roman" w:hAnsi="Times New Roman"/>
                <w:b/>
                <w:szCs w:val="24"/>
              </w:rPr>
            </w:pPr>
            <w:r w:rsidRPr="004B469C">
              <w:rPr>
                <w:rFonts w:ascii="Times New Roman" w:hAnsi="Times New Roman"/>
                <w:bCs/>
                <w:szCs w:val="24"/>
              </w:rPr>
              <w:t>N/A</w:t>
            </w:r>
          </w:p>
        </w:tc>
        <w:tc>
          <w:tcPr>
            <w:tcW w:w="2829" w:type="dxa"/>
          </w:tcPr>
          <w:p w:rsidR="009A7DA0" w:rsidP="000E581E" w14:paraId="5737E145" w14:textId="77777777">
            <w:pPr>
              <w:tabs>
                <w:tab w:val="left" w:pos="-720"/>
              </w:tabs>
              <w:suppressAutoHyphens/>
              <w:rPr>
                <w:rFonts w:ascii="Times New Roman" w:hAnsi="Times New Roman"/>
                <w:b/>
                <w:szCs w:val="24"/>
              </w:rPr>
            </w:pPr>
            <w:r w:rsidRPr="004B469C">
              <w:rPr>
                <w:rFonts w:ascii="Times New Roman" w:hAnsi="Times New Roman"/>
                <w:bCs/>
                <w:szCs w:val="24"/>
              </w:rPr>
              <w:t>N/A</w:t>
            </w:r>
          </w:p>
        </w:tc>
        <w:tc>
          <w:tcPr>
            <w:tcW w:w="2520" w:type="dxa"/>
          </w:tcPr>
          <w:p w:rsidR="009A7DA0" w:rsidP="000E581E" w14:paraId="15CA01FD" w14:textId="77777777">
            <w:pPr>
              <w:tabs>
                <w:tab w:val="left" w:pos="-720"/>
              </w:tabs>
              <w:suppressAutoHyphens/>
              <w:rPr>
                <w:rFonts w:ascii="Times New Roman" w:hAnsi="Times New Roman"/>
                <w:b/>
                <w:szCs w:val="24"/>
              </w:rPr>
            </w:pPr>
            <w:r w:rsidRPr="004B469C">
              <w:rPr>
                <w:rFonts w:ascii="Times New Roman" w:hAnsi="Times New Roman"/>
                <w:bCs/>
                <w:szCs w:val="24"/>
              </w:rPr>
              <w:t>N/A</w:t>
            </w:r>
          </w:p>
        </w:tc>
      </w:tr>
    </w:tbl>
    <w:p w:rsidR="009A7DA0" w:rsidP="009A7DA0" w14:paraId="7FD37AB9" w14:textId="77777777">
      <w:pPr>
        <w:tabs>
          <w:tab w:val="left" w:pos="-720"/>
        </w:tabs>
        <w:suppressAutoHyphens/>
        <w:rPr>
          <w:rFonts w:ascii="Times New Roman" w:hAnsi="Times New Roman"/>
          <w:b/>
          <w:szCs w:val="24"/>
        </w:rPr>
      </w:pPr>
    </w:p>
    <w:p w:rsidR="004420A9" w:rsidRPr="00D11BB8" w:rsidP="00AB547F" w14:paraId="6F181779" w14:textId="77777777">
      <w:pPr>
        <w:rPr>
          <w:rFonts w:ascii="Times New Roman" w:hAnsi="Times New Roman"/>
          <w:sz w:val="22"/>
          <w:szCs w:val="22"/>
        </w:rPr>
      </w:pPr>
      <w:r w:rsidRPr="0015716C">
        <w:rPr>
          <w:rFonts w:ascii="Times New Roman" w:hAnsi="Times New Roman"/>
          <w:sz w:val="22"/>
          <w:szCs w:val="22"/>
        </w:rPr>
        <w:t xml:space="preserve">The number of respondents </w:t>
      </w:r>
      <w:r w:rsidR="00796A41">
        <w:rPr>
          <w:rFonts w:ascii="Times New Roman" w:hAnsi="Times New Roman"/>
          <w:sz w:val="22"/>
          <w:szCs w:val="22"/>
        </w:rPr>
        <w:t>increased from 187 to 206 as a result of the new grant competition.</w:t>
      </w:r>
      <w:r w:rsidR="00292CE2">
        <w:rPr>
          <w:rFonts w:ascii="Times New Roman" w:hAnsi="Times New Roman"/>
          <w:sz w:val="22"/>
          <w:szCs w:val="22"/>
        </w:rPr>
        <w:t xml:space="preserve"> </w:t>
      </w:r>
      <w:r w:rsidR="00CB0DA7">
        <w:rPr>
          <w:rFonts w:ascii="Times New Roman" w:hAnsi="Times New Roman"/>
          <w:sz w:val="22"/>
          <w:szCs w:val="22"/>
        </w:rPr>
        <w:t xml:space="preserve"> </w:t>
      </w:r>
      <w:r w:rsidR="00292CE2">
        <w:rPr>
          <w:rFonts w:ascii="Times New Roman" w:hAnsi="Times New Roman"/>
          <w:sz w:val="22"/>
          <w:szCs w:val="22"/>
        </w:rPr>
        <w:t xml:space="preserve">In addition, </w:t>
      </w:r>
      <w:r w:rsidR="00E56998">
        <w:rPr>
          <w:rFonts w:ascii="Times New Roman" w:hAnsi="Times New Roman"/>
          <w:sz w:val="22"/>
          <w:szCs w:val="22"/>
        </w:rPr>
        <w:t>the new competition included Competitive Preference Priorities (CPPs)</w:t>
      </w:r>
      <w:r w:rsidR="00413B20">
        <w:rPr>
          <w:rFonts w:ascii="Times New Roman" w:hAnsi="Times New Roman"/>
          <w:sz w:val="22"/>
          <w:szCs w:val="22"/>
        </w:rPr>
        <w:t xml:space="preserve"> that applicants were encouraged to address.</w:t>
      </w:r>
      <w:r w:rsidR="00555533">
        <w:rPr>
          <w:rFonts w:ascii="Times New Roman" w:hAnsi="Times New Roman"/>
          <w:sz w:val="22"/>
          <w:szCs w:val="22"/>
        </w:rPr>
        <w:t xml:space="preserve"> </w:t>
      </w:r>
      <w:r w:rsidR="009F7705">
        <w:rPr>
          <w:rFonts w:ascii="Times New Roman" w:hAnsi="Times New Roman"/>
          <w:sz w:val="22"/>
          <w:szCs w:val="22"/>
        </w:rPr>
        <w:t>A</w:t>
      </w:r>
      <w:r w:rsidR="00555533">
        <w:rPr>
          <w:rFonts w:ascii="Times New Roman" w:hAnsi="Times New Roman"/>
          <w:sz w:val="22"/>
          <w:szCs w:val="22"/>
        </w:rPr>
        <w:t>n</w:t>
      </w:r>
      <w:r w:rsidR="009F7705">
        <w:rPr>
          <w:rFonts w:ascii="Times New Roman" w:hAnsi="Times New Roman"/>
          <w:sz w:val="22"/>
          <w:szCs w:val="22"/>
        </w:rPr>
        <w:t xml:space="preserve"> CPP is included in a</w:t>
      </w:r>
      <w:r w:rsidR="00EF3CB9">
        <w:rPr>
          <w:rFonts w:ascii="Times New Roman" w:hAnsi="Times New Roman"/>
          <w:sz w:val="22"/>
          <w:szCs w:val="22"/>
        </w:rPr>
        <w:t xml:space="preserve"> </w:t>
      </w:r>
      <w:r w:rsidRPr="00555533" w:rsidR="00EF3CB9">
        <w:rPr>
          <w:rFonts w:ascii="Times New Roman" w:hAnsi="Times New Roman"/>
          <w:color w:val="030A13"/>
          <w:sz w:val="22"/>
          <w:szCs w:val="22"/>
          <w:shd w:val="clear" w:color="auto" w:fill="FFFFFF"/>
        </w:rPr>
        <w:t>Notice Inviting Applications (NIA)</w:t>
      </w:r>
      <w:r w:rsidR="009F7705">
        <w:rPr>
          <w:rFonts w:ascii="Times New Roman" w:hAnsi="Times New Roman"/>
          <w:color w:val="030A13"/>
          <w:sz w:val="22"/>
          <w:szCs w:val="22"/>
          <w:shd w:val="clear" w:color="auto" w:fill="FFFFFF"/>
        </w:rPr>
        <w:t xml:space="preserve">. </w:t>
      </w:r>
      <w:r w:rsidR="00555533">
        <w:rPr>
          <w:rFonts w:ascii="Times New Roman" w:hAnsi="Times New Roman"/>
          <w:color w:val="030A13"/>
          <w:sz w:val="22"/>
          <w:szCs w:val="22"/>
          <w:shd w:val="clear" w:color="auto" w:fill="FFFFFF"/>
        </w:rPr>
        <w:t>An NIA</w:t>
      </w:r>
      <w:r w:rsidR="009F7705">
        <w:rPr>
          <w:rFonts w:ascii="Times New Roman" w:hAnsi="Times New Roman"/>
          <w:color w:val="030A13"/>
          <w:sz w:val="22"/>
          <w:szCs w:val="22"/>
          <w:shd w:val="clear" w:color="auto" w:fill="FFFFFF"/>
        </w:rPr>
        <w:t xml:space="preserve"> </w:t>
      </w:r>
      <w:r w:rsidRPr="00555533" w:rsidR="00EF3CB9">
        <w:rPr>
          <w:rFonts w:ascii="Times New Roman" w:hAnsi="Times New Roman"/>
          <w:color w:val="030A13"/>
          <w:sz w:val="22"/>
          <w:szCs w:val="22"/>
          <w:shd w:val="clear" w:color="auto" w:fill="FFFFFF"/>
        </w:rPr>
        <w:t xml:space="preserve">may include one or more priorities to focus a competition on the activities and objectives consistent with a program's statute. Moreover, an NIA may also include priorities for which the Secretary of Education is particularly interested in receiving applications. Periodically, the Secretary of Education publishes supplemental priorities that may be used in discretionary grant programs.  </w:t>
      </w:r>
      <w:r w:rsidRPr="00555533">
        <w:rPr>
          <w:rFonts w:ascii="Times New Roman" w:hAnsi="Times New Roman"/>
          <w:sz w:val="22"/>
          <w:szCs w:val="22"/>
        </w:rPr>
        <w:t xml:space="preserve">The Secretary may award some or all bonus points to an application depending on the extent to which the application meets the priority. These points are in addition to any points the applicant earns under the selection criteria and in the case of the TRIO Programs, any Prior Experience (PE) points as set forth in statute. </w:t>
      </w:r>
      <w:r w:rsidRPr="00555533">
        <w:rPr>
          <w:rFonts w:ascii="Times New Roman" w:hAnsi="Times New Roman"/>
          <w:color w:val="030A13"/>
          <w:sz w:val="22"/>
          <w:szCs w:val="22"/>
          <w:shd w:val="clear" w:color="auto" w:fill="FFFFFF"/>
        </w:rPr>
        <w:t>For the McNair FY2022 competition</w:t>
      </w:r>
      <w:r w:rsidR="00EF791F">
        <w:rPr>
          <w:rFonts w:ascii="Times New Roman" w:hAnsi="Times New Roman"/>
          <w:color w:val="030A13"/>
          <w:sz w:val="22"/>
          <w:szCs w:val="22"/>
          <w:shd w:val="clear" w:color="auto" w:fill="FFFFFF"/>
        </w:rPr>
        <w:t>,</w:t>
      </w:r>
      <w:r w:rsidRPr="00D11BB8">
        <w:rPr>
          <w:rFonts w:ascii="Times New Roman" w:hAnsi="Times New Roman"/>
          <w:sz w:val="22"/>
          <w:szCs w:val="22"/>
        </w:rPr>
        <w:t xml:space="preserve"> t</w:t>
      </w:r>
      <w:r w:rsidRPr="00D11BB8" w:rsidR="006C5A29">
        <w:rPr>
          <w:rFonts w:ascii="Times New Roman" w:hAnsi="Times New Roman"/>
          <w:sz w:val="22"/>
          <w:szCs w:val="22"/>
        </w:rPr>
        <w:t xml:space="preserve">he Department </w:t>
      </w:r>
      <w:r w:rsidRPr="00D11BB8">
        <w:rPr>
          <w:rFonts w:ascii="Times New Roman" w:hAnsi="Times New Roman"/>
          <w:sz w:val="22"/>
          <w:szCs w:val="22"/>
        </w:rPr>
        <w:t xml:space="preserve">issued the following two competitive priorities: </w:t>
      </w:r>
    </w:p>
    <w:p w:rsidR="004420A9" w:rsidRPr="00D11BB8" w:rsidP="00AB547F" w14:paraId="0A496F14" w14:textId="77777777">
      <w:pPr>
        <w:rPr>
          <w:rFonts w:ascii="Times New Roman" w:hAnsi="Times New Roman"/>
          <w:sz w:val="22"/>
          <w:szCs w:val="22"/>
        </w:rPr>
      </w:pPr>
    </w:p>
    <w:p w:rsidR="004420A9" w:rsidRPr="00555533" w:rsidP="004420A9" w14:paraId="3E36F7F4" w14:textId="77777777">
      <w:pPr>
        <w:pStyle w:val="ListParagraph"/>
        <w:numPr>
          <w:ilvl w:val="0"/>
          <w:numId w:val="45"/>
        </w:numPr>
        <w:rPr>
          <w:rFonts w:ascii="Times New Roman" w:hAnsi="Times New Roman"/>
          <w:b/>
          <w:bCs/>
          <w:sz w:val="22"/>
          <w:szCs w:val="22"/>
        </w:rPr>
      </w:pPr>
      <w:r w:rsidRPr="00555533">
        <w:rPr>
          <w:rFonts w:ascii="Times New Roman" w:hAnsi="Times New Roman"/>
          <w:b/>
          <w:bCs/>
          <w:sz w:val="22"/>
          <w:szCs w:val="22"/>
        </w:rPr>
        <w:t>Promoting Equity in Student Access to Educational Resources and Opportunities</w:t>
      </w:r>
    </w:p>
    <w:p w:rsidR="0018131D" w:rsidRPr="00D11BB8" w:rsidP="004420A9" w14:paraId="5DD3337D" w14:textId="77777777">
      <w:pPr>
        <w:pStyle w:val="ListParagraph"/>
        <w:ind w:left="1080"/>
        <w:rPr>
          <w:rFonts w:ascii="Times New Roman" w:hAnsi="Times New Roman"/>
          <w:sz w:val="22"/>
          <w:szCs w:val="22"/>
        </w:rPr>
      </w:pPr>
      <w:r w:rsidRPr="00D11BB8">
        <w:rPr>
          <w:rFonts w:ascii="Times New Roman" w:hAnsi="Times New Roman"/>
          <w:sz w:val="22"/>
          <w:szCs w:val="22"/>
        </w:rPr>
        <w:t xml:space="preserve">Under this priority, an applicant must demonstrate that the project will be implemented by one or more of the following entities: (1) Historically Black colleges and universities (as defined in this notice). (2) Tribal Colleges and Universities (as defined in this notice). (3) Minority-serving institutions (as defined in this notice). </w:t>
      </w:r>
    </w:p>
    <w:p w:rsidR="0018131D" w:rsidRPr="00555533" w:rsidP="0018131D" w14:paraId="0A6B392D" w14:textId="77777777">
      <w:pPr>
        <w:pStyle w:val="ListParagraph"/>
        <w:numPr>
          <w:ilvl w:val="0"/>
          <w:numId w:val="45"/>
        </w:numPr>
        <w:rPr>
          <w:rFonts w:ascii="Times New Roman" w:hAnsi="Times New Roman"/>
          <w:b/>
          <w:bCs/>
          <w:sz w:val="22"/>
          <w:szCs w:val="22"/>
        </w:rPr>
      </w:pPr>
      <w:r w:rsidRPr="00555533">
        <w:rPr>
          <w:rFonts w:ascii="Times New Roman" w:hAnsi="Times New Roman"/>
          <w:b/>
          <w:bCs/>
          <w:sz w:val="22"/>
          <w:szCs w:val="22"/>
        </w:rPr>
        <w:t xml:space="preserve">Applications that Demonstrate a Rationale </w:t>
      </w:r>
    </w:p>
    <w:p w:rsidR="0018131D" w:rsidRPr="00D11BB8" w:rsidP="0018131D" w14:paraId="4E7D2300" w14:textId="77777777">
      <w:pPr>
        <w:pStyle w:val="ListParagraph"/>
        <w:ind w:left="1080"/>
        <w:rPr>
          <w:rFonts w:ascii="Times New Roman" w:hAnsi="Times New Roman"/>
          <w:sz w:val="22"/>
          <w:szCs w:val="22"/>
        </w:rPr>
      </w:pPr>
      <w:r w:rsidRPr="00D11BB8">
        <w:rPr>
          <w:rFonts w:ascii="Times New Roman" w:hAnsi="Times New Roman"/>
          <w:sz w:val="22"/>
          <w:szCs w:val="22"/>
        </w:rPr>
        <w:t xml:space="preserve">Under this priority, an applicant proposes a project that demonstrates a rationale (as defined in NIA notice). </w:t>
      </w:r>
      <w:r w:rsidRPr="00555533" w:rsidR="002F65AA">
        <w:rPr>
          <w:rFonts w:ascii="Times New Roman" w:hAnsi="Times New Roman"/>
          <w:sz w:val="22"/>
          <w:szCs w:val="22"/>
        </w:rPr>
        <w:t xml:space="preserve"> </w:t>
      </w:r>
      <w:r w:rsidRPr="00D11BB8" w:rsidR="00D11BB8">
        <w:rPr>
          <w:rFonts w:ascii="Times New Roman" w:hAnsi="Times New Roman"/>
          <w:sz w:val="22"/>
          <w:szCs w:val="22"/>
        </w:rPr>
        <w:t>(Note: A rationale means a key project component included in the project’s logic model is informed by research or evaluation findings that suggest the project component is likely to improve relevant outcomes.)</w:t>
      </w:r>
    </w:p>
    <w:p w:rsidR="0018131D" w:rsidRPr="00D11BB8" w:rsidP="0018131D" w14:paraId="31B4A4EC" w14:textId="77777777">
      <w:pPr>
        <w:pStyle w:val="ListParagraph"/>
        <w:ind w:left="1080"/>
        <w:rPr>
          <w:rFonts w:ascii="Times New Roman" w:hAnsi="Times New Roman"/>
          <w:sz w:val="22"/>
          <w:szCs w:val="22"/>
        </w:rPr>
      </w:pPr>
    </w:p>
    <w:p w:rsidR="003A5D15" w:rsidRPr="00555533" w:rsidP="00555533" w14:paraId="7A27B71D" w14:textId="77777777">
      <w:pPr>
        <w:pStyle w:val="ListParagraph"/>
        <w:ind w:left="0"/>
        <w:rPr>
          <w:rFonts w:ascii="Times New Roman" w:hAnsi="Times New Roman"/>
          <w:sz w:val="22"/>
          <w:szCs w:val="22"/>
        </w:rPr>
      </w:pPr>
      <w:r w:rsidRPr="00D11BB8">
        <w:rPr>
          <w:rFonts w:ascii="Times New Roman" w:hAnsi="Times New Roman"/>
          <w:sz w:val="22"/>
          <w:szCs w:val="22"/>
        </w:rPr>
        <w:t xml:space="preserve">As such, two fields were added to the McNair APR in order to capture information for these </w:t>
      </w:r>
      <w:r w:rsidRPr="00D11BB8" w:rsidR="00D11BB8">
        <w:rPr>
          <w:rFonts w:ascii="Times New Roman" w:hAnsi="Times New Roman"/>
          <w:sz w:val="22"/>
          <w:szCs w:val="22"/>
        </w:rPr>
        <w:t>priorities</w:t>
      </w:r>
      <w:r w:rsidRPr="00D11BB8">
        <w:rPr>
          <w:rFonts w:ascii="Times New Roman" w:hAnsi="Times New Roman"/>
          <w:sz w:val="22"/>
          <w:szCs w:val="22"/>
        </w:rPr>
        <w:t xml:space="preserve">.  </w:t>
      </w:r>
      <w:r w:rsidRPr="00D11BB8" w:rsidR="00D11BB8">
        <w:rPr>
          <w:rFonts w:ascii="Times New Roman" w:hAnsi="Times New Roman"/>
          <w:sz w:val="22"/>
          <w:szCs w:val="22"/>
        </w:rPr>
        <w:t>These fields were added to Section I, Part 3 and require the grantee to provide a brief description for each of the priorities. Finally, this information is collected</w:t>
      </w:r>
      <w:r w:rsidR="00D11BB8">
        <w:rPr>
          <w:rFonts w:ascii="Times New Roman" w:hAnsi="Times New Roman"/>
          <w:sz w:val="22"/>
          <w:szCs w:val="22"/>
        </w:rPr>
        <w:t xml:space="preserve"> </w:t>
      </w:r>
      <w:r w:rsidRPr="00555533" w:rsidR="002F65AA">
        <w:rPr>
          <w:rFonts w:ascii="Times New Roman" w:hAnsi="Times New Roman"/>
          <w:sz w:val="22"/>
          <w:szCs w:val="22"/>
        </w:rPr>
        <w:t xml:space="preserve">at the project level.  </w:t>
      </w:r>
      <w:r w:rsidRPr="00555533" w:rsidR="00AB547F">
        <w:rPr>
          <w:rFonts w:ascii="Times New Roman" w:hAnsi="Times New Roman"/>
          <w:sz w:val="22"/>
          <w:szCs w:val="22"/>
        </w:rPr>
        <w:t xml:space="preserve">Consequently, the increase in the number of respondents coupled with </w:t>
      </w:r>
      <w:r w:rsidRPr="00555533" w:rsidR="00290B28">
        <w:rPr>
          <w:rFonts w:ascii="Times New Roman" w:hAnsi="Times New Roman"/>
          <w:sz w:val="22"/>
          <w:szCs w:val="22"/>
        </w:rPr>
        <w:t xml:space="preserve">the addition of the CPP questions resulted in a slight increase to the </w:t>
      </w:r>
      <w:r w:rsidRPr="00555533" w:rsidR="00E807A6">
        <w:rPr>
          <w:rFonts w:ascii="Times New Roman" w:hAnsi="Times New Roman"/>
          <w:sz w:val="22"/>
          <w:szCs w:val="22"/>
        </w:rPr>
        <w:t xml:space="preserve">total annual </w:t>
      </w:r>
      <w:r w:rsidRPr="00555533" w:rsidR="00290B28">
        <w:rPr>
          <w:rFonts w:ascii="Times New Roman" w:hAnsi="Times New Roman"/>
          <w:sz w:val="22"/>
          <w:szCs w:val="22"/>
        </w:rPr>
        <w:t>b</w:t>
      </w:r>
      <w:r w:rsidRPr="00555533" w:rsidR="003D40BB">
        <w:rPr>
          <w:rFonts w:ascii="Times New Roman" w:hAnsi="Times New Roman"/>
          <w:sz w:val="22"/>
          <w:szCs w:val="22"/>
        </w:rPr>
        <w:t xml:space="preserve">urden hours </w:t>
      </w:r>
      <w:r w:rsidRPr="00555533" w:rsidR="001C1F22">
        <w:rPr>
          <w:rFonts w:ascii="Times New Roman" w:hAnsi="Times New Roman"/>
          <w:sz w:val="22"/>
          <w:szCs w:val="22"/>
        </w:rPr>
        <w:t>(i.e., from 2,0</w:t>
      </w:r>
      <w:r w:rsidRPr="00555533" w:rsidR="00290762">
        <w:rPr>
          <w:rFonts w:ascii="Times New Roman" w:hAnsi="Times New Roman"/>
          <w:sz w:val="22"/>
          <w:szCs w:val="22"/>
        </w:rPr>
        <w:t>5</w:t>
      </w:r>
      <w:r w:rsidRPr="00555533" w:rsidR="001C1F22">
        <w:rPr>
          <w:rFonts w:ascii="Times New Roman" w:hAnsi="Times New Roman"/>
          <w:sz w:val="22"/>
          <w:szCs w:val="22"/>
        </w:rPr>
        <w:t>7 to 2</w:t>
      </w:r>
      <w:r w:rsidRPr="00555533" w:rsidR="00064DB8">
        <w:rPr>
          <w:rFonts w:ascii="Times New Roman" w:hAnsi="Times New Roman"/>
          <w:sz w:val="22"/>
          <w:szCs w:val="22"/>
        </w:rPr>
        <w:t>,</w:t>
      </w:r>
      <w:r w:rsidRPr="00555533" w:rsidR="001C1F22">
        <w:rPr>
          <w:rFonts w:ascii="Times New Roman" w:hAnsi="Times New Roman"/>
          <w:sz w:val="22"/>
          <w:szCs w:val="22"/>
        </w:rPr>
        <w:t>297)</w:t>
      </w:r>
      <w:r w:rsidRPr="00555533" w:rsidR="003D40BB">
        <w:rPr>
          <w:rFonts w:ascii="Times New Roman" w:hAnsi="Times New Roman"/>
          <w:sz w:val="22"/>
          <w:szCs w:val="22"/>
        </w:rPr>
        <w:t>.</w:t>
      </w:r>
    </w:p>
    <w:p w:rsidR="004F692A" w14:paraId="60A8DB61" w14:textId="77777777">
      <w:pPr>
        <w:tabs>
          <w:tab w:val="left" w:pos="-720"/>
        </w:tabs>
        <w:suppressAutoHyphens/>
        <w:rPr>
          <w:rFonts w:ascii="Times New Roman" w:hAnsi="Times New Roman"/>
          <w:sz w:val="22"/>
          <w:szCs w:val="22"/>
        </w:rPr>
      </w:pPr>
    </w:p>
    <w:p w:rsidR="00602D6A" w:rsidRPr="004A6E22" w:rsidP="00602D6A" w14:paraId="329DEF5E" w14:textId="77777777">
      <w:pPr>
        <w:tabs>
          <w:tab w:val="left" w:pos="-720"/>
          <w:tab w:val="left" w:pos="360"/>
        </w:tabs>
        <w:suppressAutoHyphens/>
        <w:rPr>
          <w:rFonts w:ascii="Times New Roman" w:hAnsi="Times New Roman"/>
          <w:color w:val="FF0000"/>
          <w:sz w:val="22"/>
          <w:szCs w:val="22"/>
        </w:rPr>
      </w:pPr>
      <w:r w:rsidRPr="004A6E22">
        <w:rPr>
          <w:rFonts w:ascii="Times New Roman" w:hAnsi="Times New Roman"/>
          <w:color w:val="FF0000"/>
          <w:sz w:val="22"/>
          <w:szCs w:val="22"/>
        </w:rPr>
        <w:t>3/14/25:</w:t>
      </w:r>
    </w:p>
    <w:tbl>
      <w:tblPr>
        <w:tblStyle w:val="TableGrid"/>
        <w:tblW w:w="9445" w:type="dxa"/>
        <w:tblLook w:val="04A0"/>
      </w:tblPr>
      <w:tblGrid>
        <w:gridCol w:w="2048"/>
        <w:gridCol w:w="2048"/>
        <w:gridCol w:w="2829"/>
        <w:gridCol w:w="2520"/>
      </w:tblGrid>
      <w:tr w14:paraId="5DE7307A" w14:textId="77777777" w:rsidTr="00460A70">
        <w:tblPrEx>
          <w:tblW w:w="9445" w:type="dxa"/>
          <w:tblLook w:val="04A0"/>
        </w:tblPrEx>
        <w:tc>
          <w:tcPr>
            <w:tcW w:w="2048" w:type="dxa"/>
            <w:shd w:val="clear" w:color="auto" w:fill="D9D9D9" w:themeFill="background1" w:themeFillShade="D9"/>
          </w:tcPr>
          <w:p w:rsidR="004A6E22" w:rsidRPr="004A6E22" w:rsidP="00460A70" w14:paraId="621B0B78" w14:textId="77777777">
            <w:pPr>
              <w:tabs>
                <w:tab w:val="left" w:pos="-720"/>
              </w:tabs>
              <w:suppressAutoHyphens/>
              <w:rPr>
                <w:rFonts w:ascii="Times New Roman" w:hAnsi="Times New Roman"/>
                <w:b/>
                <w:color w:val="FF0000"/>
                <w:sz w:val="22"/>
                <w:szCs w:val="22"/>
              </w:rPr>
            </w:pPr>
          </w:p>
        </w:tc>
        <w:tc>
          <w:tcPr>
            <w:tcW w:w="2048" w:type="dxa"/>
          </w:tcPr>
          <w:p w:rsidR="004A6E22" w:rsidRPr="004A6E22" w:rsidP="00460A70" w14:paraId="4293DCD3" w14:textId="77777777">
            <w:pPr>
              <w:tabs>
                <w:tab w:val="left" w:pos="-720"/>
              </w:tabs>
              <w:suppressAutoHyphens/>
              <w:rPr>
                <w:rFonts w:ascii="Times New Roman" w:hAnsi="Times New Roman"/>
                <w:b/>
                <w:color w:val="FF0000"/>
                <w:sz w:val="22"/>
                <w:szCs w:val="22"/>
              </w:rPr>
            </w:pPr>
            <w:r w:rsidRPr="004A6E22">
              <w:rPr>
                <w:rFonts w:ascii="Times New Roman" w:hAnsi="Times New Roman"/>
                <w:b/>
                <w:color w:val="FF0000"/>
                <w:sz w:val="22"/>
                <w:szCs w:val="22"/>
              </w:rPr>
              <w:t>Program Change Due to New Statute</w:t>
            </w:r>
          </w:p>
        </w:tc>
        <w:tc>
          <w:tcPr>
            <w:tcW w:w="2829" w:type="dxa"/>
          </w:tcPr>
          <w:p w:rsidR="004A6E22" w:rsidRPr="004A6E22" w:rsidP="00460A70" w14:paraId="3D8B6983" w14:textId="77777777">
            <w:pPr>
              <w:tabs>
                <w:tab w:val="left" w:pos="-720"/>
              </w:tabs>
              <w:suppressAutoHyphens/>
              <w:rPr>
                <w:rFonts w:ascii="Times New Roman" w:hAnsi="Times New Roman"/>
                <w:b/>
                <w:color w:val="FF0000"/>
                <w:sz w:val="22"/>
                <w:szCs w:val="22"/>
              </w:rPr>
            </w:pPr>
            <w:r w:rsidRPr="004A6E22">
              <w:rPr>
                <w:rFonts w:ascii="Times New Roman" w:hAnsi="Times New Roman"/>
                <w:b/>
                <w:color w:val="FF0000"/>
                <w:sz w:val="22"/>
                <w:szCs w:val="22"/>
              </w:rPr>
              <w:t>Program Change Due to Agency Discretion</w:t>
            </w:r>
          </w:p>
        </w:tc>
        <w:tc>
          <w:tcPr>
            <w:tcW w:w="2520" w:type="dxa"/>
          </w:tcPr>
          <w:p w:rsidR="004A6E22" w:rsidRPr="004A6E22" w:rsidP="00460A70" w14:paraId="285B9EC8" w14:textId="77777777">
            <w:pPr>
              <w:tabs>
                <w:tab w:val="left" w:pos="-720"/>
              </w:tabs>
              <w:suppressAutoHyphens/>
              <w:rPr>
                <w:rFonts w:ascii="Times New Roman" w:hAnsi="Times New Roman"/>
                <w:b/>
                <w:color w:val="FF0000"/>
                <w:sz w:val="22"/>
                <w:szCs w:val="22"/>
              </w:rPr>
            </w:pPr>
            <w:r w:rsidRPr="004A6E22">
              <w:rPr>
                <w:rFonts w:ascii="Times New Roman" w:hAnsi="Times New Roman"/>
                <w:b/>
                <w:color w:val="FF0000"/>
                <w:sz w:val="22"/>
                <w:szCs w:val="22"/>
              </w:rPr>
              <w:t>Change Due to Adjustment in Agency Estimate</w:t>
            </w:r>
          </w:p>
        </w:tc>
      </w:tr>
      <w:tr w14:paraId="7C7C8F96" w14:textId="77777777" w:rsidTr="00460A70">
        <w:tblPrEx>
          <w:tblW w:w="9445" w:type="dxa"/>
          <w:tblLook w:val="04A0"/>
        </w:tblPrEx>
        <w:tc>
          <w:tcPr>
            <w:tcW w:w="2048" w:type="dxa"/>
          </w:tcPr>
          <w:p w:rsidR="004A6E22" w:rsidRPr="004A6E22" w:rsidP="00460A70" w14:paraId="093B9FA6" w14:textId="77777777">
            <w:pPr>
              <w:tabs>
                <w:tab w:val="left" w:pos="-720"/>
              </w:tabs>
              <w:suppressAutoHyphens/>
              <w:rPr>
                <w:rFonts w:ascii="Times New Roman" w:hAnsi="Times New Roman"/>
                <w:bCs/>
                <w:color w:val="FF0000"/>
                <w:sz w:val="22"/>
                <w:szCs w:val="22"/>
              </w:rPr>
            </w:pPr>
            <w:r w:rsidRPr="004A6E22">
              <w:rPr>
                <w:rFonts w:ascii="Times New Roman" w:hAnsi="Times New Roman"/>
                <w:bCs/>
                <w:color w:val="FF0000"/>
                <w:sz w:val="22"/>
                <w:szCs w:val="22"/>
              </w:rPr>
              <w:t>Total Burden</w:t>
            </w:r>
          </w:p>
        </w:tc>
        <w:tc>
          <w:tcPr>
            <w:tcW w:w="2048" w:type="dxa"/>
          </w:tcPr>
          <w:p w:rsidR="004A6E22" w:rsidRPr="004A6E22" w:rsidP="00460A70" w14:paraId="4F686949" w14:textId="77777777">
            <w:pPr>
              <w:tabs>
                <w:tab w:val="left" w:pos="-720"/>
              </w:tabs>
              <w:suppressAutoHyphens/>
              <w:rPr>
                <w:rFonts w:ascii="Times New Roman" w:hAnsi="Times New Roman"/>
                <w:bCs/>
                <w:color w:val="FF0000"/>
                <w:sz w:val="22"/>
                <w:szCs w:val="22"/>
              </w:rPr>
            </w:pPr>
            <w:r w:rsidRPr="004A6E22">
              <w:rPr>
                <w:rFonts w:ascii="Times New Roman" w:hAnsi="Times New Roman"/>
                <w:bCs/>
                <w:color w:val="FF0000"/>
                <w:sz w:val="22"/>
                <w:szCs w:val="22"/>
              </w:rPr>
              <w:t>N/A</w:t>
            </w:r>
          </w:p>
        </w:tc>
        <w:tc>
          <w:tcPr>
            <w:tcW w:w="2829" w:type="dxa"/>
          </w:tcPr>
          <w:p w:rsidR="004A6E22" w:rsidRPr="004A6E22" w:rsidP="00460A70" w14:paraId="739C0862" w14:textId="77777777">
            <w:pPr>
              <w:tabs>
                <w:tab w:val="left" w:pos="-720"/>
              </w:tabs>
              <w:suppressAutoHyphens/>
              <w:rPr>
                <w:rFonts w:ascii="Times New Roman" w:hAnsi="Times New Roman"/>
                <w:bCs/>
                <w:color w:val="FF0000"/>
                <w:sz w:val="22"/>
                <w:szCs w:val="22"/>
              </w:rPr>
            </w:pPr>
            <w:r w:rsidRPr="004A6E22">
              <w:rPr>
                <w:rFonts w:ascii="Times New Roman" w:hAnsi="Times New Roman"/>
                <w:bCs/>
                <w:color w:val="FF0000"/>
                <w:sz w:val="22"/>
                <w:szCs w:val="22"/>
              </w:rPr>
              <w:t>N/A</w:t>
            </w:r>
          </w:p>
        </w:tc>
        <w:tc>
          <w:tcPr>
            <w:tcW w:w="2520" w:type="dxa"/>
          </w:tcPr>
          <w:p w:rsidR="004A6E22" w:rsidRPr="004A6E22" w:rsidP="00460A70" w14:paraId="43FA82E6" w14:textId="77777777">
            <w:pPr>
              <w:tabs>
                <w:tab w:val="left" w:pos="-720"/>
              </w:tabs>
              <w:suppressAutoHyphens/>
              <w:rPr>
                <w:rFonts w:ascii="Times New Roman" w:hAnsi="Times New Roman"/>
                <w:b/>
                <w:color w:val="FF0000"/>
                <w:sz w:val="22"/>
                <w:szCs w:val="22"/>
              </w:rPr>
            </w:pPr>
            <w:r w:rsidRPr="004A6E22">
              <w:rPr>
                <w:rFonts w:ascii="Times New Roman" w:hAnsi="Times New Roman"/>
                <w:bCs/>
                <w:color w:val="FF0000"/>
                <w:sz w:val="22"/>
                <w:szCs w:val="22"/>
              </w:rPr>
              <w:t>111</w:t>
            </w:r>
          </w:p>
        </w:tc>
      </w:tr>
      <w:tr w14:paraId="53A470AD" w14:textId="77777777" w:rsidTr="00460A70">
        <w:tblPrEx>
          <w:tblW w:w="9445" w:type="dxa"/>
          <w:tblLook w:val="04A0"/>
        </w:tblPrEx>
        <w:tc>
          <w:tcPr>
            <w:tcW w:w="2048" w:type="dxa"/>
          </w:tcPr>
          <w:p w:rsidR="004A6E22" w:rsidRPr="004A6E22" w:rsidP="00460A70" w14:paraId="519D6C1F" w14:textId="77777777">
            <w:pPr>
              <w:tabs>
                <w:tab w:val="left" w:pos="-720"/>
              </w:tabs>
              <w:suppressAutoHyphens/>
              <w:rPr>
                <w:rFonts w:ascii="Times New Roman" w:hAnsi="Times New Roman"/>
                <w:bCs/>
                <w:color w:val="FF0000"/>
                <w:sz w:val="22"/>
                <w:szCs w:val="22"/>
              </w:rPr>
            </w:pPr>
            <w:r w:rsidRPr="004A6E22">
              <w:rPr>
                <w:rFonts w:ascii="Times New Roman" w:hAnsi="Times New Roman"/>
                <w:bCs/>
                <w:color w:val="FF0000"/>
                <w:sz w:val="22"/>
                <w:szCs w:val="22"/>
              </w:rPr>
              <w:t>Total Responses</w:t>
            </w:r>
          </w:p>
        </w:tc>
        <w:tc>
          <w:tcPr>
            <w:tcW w:w="2048" w:type="dxa"/>
          </w:tcPr>
          <w:p w:rsidR="004A6E22" w:rsidRPr="004A6E22" w:rsidP="00460A70" w14:paraId="1F49BA34" w14:textId="77777777">
            <w:pPr>
              <w:tabs>
                <w:tab w:val="left" w:pos="-720"/>
              </w:tabs>
              <w:suppressAutoHyphens/>
              <w:rPr>
                <w:rFonts w:ascii="Times New Roman" w:hAnsi="Times New Roman"/>
                <w:b/>
                <w:color w:val="FF0000"/>
                <w:sz w:val="22"/>
                <w:szCs w:val="22"/>
              </w:rPr>
            </w:pPr>
            <w:r w:rsidRPr="004A6E22">
              <w:rPr>
                <w:rFonts w:ascii="Times New Roman" w:hAnsi="Times New Roman"/>
                <w:bCs/>
                <w:color w:val="FF0000"/>
                <w:sz w:val="22"/>
                <w:szCs w:val="22"/>
              </w:rPr>
              <w:t>N/A</w:t>
            </w:r>
          </w:p>
        </w:tc>
        <w:tc>
          <w:tcPr>
            <w:tcW w:w="2829" w:type="dxa"/>
          </w:tcPr>
          <w:p w:rsidR="004A6E22" w:rsidRPr="004A6E22" w:rsidP="00460A70" w14:paraId="6A7927AB" w14:textId="77777777">
            <w:pPr>
              <w:tabs>
                <w:tab w:val="left" w:pos="-720"/>
              </w:tabs>
              <w:suppressAutoHyphens/>
              <w:rPr>
                <w:rFonts w:ascii="Times New Roman" w:hAnsi="Times New Roman"/>
                <w:b/>
                <w:color w:val="FF0000"/>
                <w:sz w:val="22"/>
                <w:szCs w:val="22"/>
              </w:rPr>
            </w:pPr>
            <w:r w:rsidRPr="004A6E22">
              <w:rPr>
                <w:rFonts w:ascii="Times New Roman" w:hAnsi="Times New Roman"/>
                <w:bCs/>
                <w:color w:val="FF0000"/>
                <w:sz w:val="22"/>
                <w:szCs w:val="22"/>
              </w:rPr>
              <w:t>N/A</w:t>
            </w:r>
          </w:p>
        </w:tc>
        <w:tc>
          <w:tcPr>
            <w:tcW w:w="2520" w:type="dxa"/>
          </w:tcPr>
          <w:p w:rsidR="004A6E22" w:rsidRPr="004A6E22" w:rsidP="00460A70" w14:paraId="44F3AF9A" w14:textId="77777777">
            <w:pPr>
              <w:tabs>
                <w:tab w:val="left" w:pos="-720"/>
              </w:tabs>
              <w:suppressAutoHyphens/>
              <w:rPr>
                <w:rFonts w:ascii="Times New Roman" w:hAnsi="Times New Roman"/>
                <w:b/>
                <w:color w:val="FF0000"/>
                <w:sz w:val="22"/>
                <w:szCs w:val="22"/>
              </w:rPr>
            </w:pPr>
            <w:r w:rsidRPr="004A6E22">
              <w:rPr>
                <w:rFonts w:ascii="Times New Roman" w:hAnsi="Times New Roman"/>
                <w:bCs/>
                <w:color w:val="FF0000"/>
                <w:sz w:val="22"/>
                <w:szCs w:val="22"/>
              </w:rPr>
              <w:t>10</w:t>
            </w:r>
          </w:p>
        </w:tc>
      </w:tr>
      <w:tr w14:paraId="5EF69A33" w14:textId="77777777" w:rsidTr="00460A70">
        <w:tblPrEx>
          <w:tblW w:w="9445" w:type="dxa"/>
          <w:tblLook w:val="04A0"/>
        </w:tblPrEx>
        <w:tc>
          <w:tcPr>
            <w:tcW w:w="2048" w:type="dxa"/>
          </w:tcPr>
          <w:p w:rsidR="004A6E22" w:rsidRPr="004A6E22" w:rsidP="00460A70" w14:paraId="66836C7F" w14:textId="77777777">
            <w:pPr>
              <w:tabs>
                <w:tab w:val="left" w:pos="-720"/>
              </w:tabs>
              <w:suppressAutoHyphens/>
              <w:rPr>
                <w:rFonts w:ascii="Times New Roman" w:hAnsi="Times New Roman"/>
                <w:bCs/>
                <w:color w:val="FF0000"/>
                <w:sz w:val="22"/>
                <w:szCs w:val="22"/>
              </w:rPr>
            </w:pPr>
            <w:r w:rsidRPr="004A6E22">
              <w:rPr>
                <w:rFonts w:ascii="Times New Roman" w:hAnsi="Times New Roman"/>
                <w:bCs/>
                <w:color w:val="FF0000"/>
                <w:sz w:val="22"/>
                <w:szCs w:val="22"/>
              </w:rPr>
              <w:t>Total Costs (if applicable)</w:t>
            </w:r>
          </w:p>
        </w:tc>
        <w:tc>
          <w:tcPr>
            <w:tcW w:w="2048" w:type="dxa"/>
          </w:tcPr>
          <w:p w:rsidR="004A6E22" w:rsidRPr="004A6E22" w:rsidP="00460A70" w14:paraId="5AE62132" w14:textId="77777777">
            <w:pPr>
              <w:tabs>
                <w:tab w:val="left" w:pos="-720"/>
              </w:tabs>
              <w:suppressAutoHyphens/>
              <w:rPr>
                <w:rFonts w:ascii="Times New Roman" w:hAnsi="Times New Roman"/>
                <w:b/>
                <w:color w:val="FF0000"/>
                <w:sz w:val="22"/>
                <w:szCs w:val="22"/>
              </w:rPr>
            </w:pPr>
            <w:r w:rsidRPr="004A6E22">
              <w:rPr>
                <w:rFonts w:ascii="Times New Roman" w:hAnsi="Times New Roman"/>
                <w:bCs/>
                <w:color w:val="FF0000"/>
                <w:sz w:val="22"/>
                <w:szCs w:val="22"/>
              </w:rPr>
              <w:t>N/A</w:t>
            </w:r>
          </w:p>
        </w:tc>
        <w:tc>
          <w:tcPr>
            <w:tcW w:w="2829" w:type="dxa"/>
          </w:tcPr>
          <w:p w:rsidR="004A6E22" w:rsidRPr="004A6E22" w:rsidP="00460A70" w14:paraId="49946BEE" w14:textId="77777777">
            <w:pPr>
              <w:tabs>
                <w:tab w:val="left" w:pos="-720"/>
              </w:tabs>
              <w:suppressAutoHyphens/>
              <w:rPr>
                <w:rFonts w:ascii="Times New Roman" w:hAnsi="Times New Roman"/>
                <w:b/>
                <w:color w:val="FF0000"/>
                <w:sz w:val="22"/>
                <w:szCs w:val="22"/>
              </w:rPr>
            </w:pPr>
            <w:r w:rsidRPr="004A6E22">
              <w:rPr>
                <w:rFonts w:ascii="Times New Roman" w:hAnsi="Times New Roman"/>
                <w:bCs/>
                <w:color w:val="FF0000"/>
                <w:sz w:val="22"/>
                <w:szCs w:val="22"/>
              </w:rPr>
              <w:t>N/A</w:t>
            </w:r>
          </w:p>
        </w:tc>
        <w:tc>
          <w:tcPr>
            <w:tcW w:w="2520" w:type="dxa"/>
          </w:tcPr>
          <w:p w:rsidR="004A6E22" w:rsidRPr="004A6E22" w:rsidP="00460A70" w14:paraId="5DFD7176" w14:textId="77777777">
            <w:pPr>
              <w:tabs>
                <w:tab w:val="left" w:pos="-720"/>
              </w:tabs>
              <w:suppressAutoHyphens/>
              <w:rPr>
                <w:rFonts w:ascii="Times New Roman" w:hAnsi="Times New Roman"/>
                <w:b/>
                <w:color w:val="FF0000"/>
                <w:sz w:val="22"/>
                <w:szCs w:val="22"/>
              </w:rPr>
            </w:pPr>
            <w:r w:rsidRPr="004A6E22">
              <w:rPr>
                <w:rFonts w:ascii="Times New Roman" w:hAnsi="Times New Roman"/>
                <w:bCs/>
                <w:color w:val="FF0000"/>
                <w:sz w:val="22"/>
                <w:szCs w:val="22"/>
              </w:rPr>
              <w:t>N/A</w:t>
            </w:r>
          </w:p>
        </w:tc>
      </w:tr>
    </w:tbl>
    <w:p w:rsidR="004A6E22" w:rsidRPr="004A6E22" w:rsidP="004A6E22" w14:paraId="35868AAB" w14:textId="77777777">
      <w:pPr>
        <w:tabs>
          <w:tab w:val="left" w:pos="-720"/>
        </w:tabs>
        <w:suppressAutoHyphens/>
        <w:rPr>
          <w:rFonts w:ascii="Times New Roman" w:hAnsi="Times New Roman"/>
          <w:b/>
          <w:color w:val="FF0000"/>
          <w:sz w:val="22"/>
          <w:szCs w:val="22"/>
        </w:rPr>
      </w:pPr>
    </w:p>
    <w:p w:rsidR="00602D6A" w:rsidRPr="004A6E22" w:rsidP="004A6E22" w14:paraId="1F203BAC" w14:textId="79534E58">
      <w:pPr>
        <w:rPr>
          <w:rFonts w:ascii="Times New Roman" w:hAnsi="Times New Roman"/>
          <w:color w:val="FF0000"/>
          <w:sz w:val="22"/>
          <w:szCs w:val="22"/>
        </w:rPr>
      </w:pPr>
      <w:r w:rsidRPr="004A6E22">
        <w:rPr>
          <w:rFonts w:ascii="Times New Roman" w:hAnsi="Times New Roman"/>
          <w:color w:val="FF0000"/>
          <w:sz w:val="22"/>
          <w:szCs w:val="22"/>
        </w:rPr>
        <w:t xml:space="preserve">The number of respondents increased from 206 to 216 as a result of the new grant competition in FY 2022.  </w:t>
      </w:r>
    </w:p>
    <w:p w:rsidR="00602D6A" w:rsidRPr="004A6E22" w14:paraId="1601C1DB" w14:textId="77777777">
      <w:pPr>
        <w:tabs>
          <w:tab w:val="left" w:pos="-720"/>
        </w:tabs>
        <w:suppressAutoHyphens/>
        <w:rPr>
          <w:rFonts w:ascii="Times New Roman" w:hAnsi="Times New Roman"/>
          <w:sz w:val="22"/>
          <w:szCs w:val="22"/>
        </w:rPr>
      </w:pPr>
    </w:p>
    <w:p w:rsidR="004F692A" w:rsidRPr="0015716C" w14:paraId="48F4FE37" w14:textId="77777777">
      <w:pPr>
        <w:tabs>
          <w:tab w:val="left" w:pos="-720"/>
        </w:tabs>
        <w:suppressAutoHyphens/>
        <w:rPr>
          <w:rFonts w:ascii="Times New Roman" w:hAnsi="Times New Roman"/>
          <w:i/>
          <w:sz w:val="22"/>
          <w:szCs w:val="22"/>
        </w:rPr>
      </w:pPr>
      <w:r w:rsidRPr="008F6483">
        <w:rPr>
          <w:rFonts w:ascii="Times New Roman" w:hAnsi="Times New Roman"/>
          <w:i/>
          <w:sz w:val="22"/>
          <w:szCs w:val="22"/>
        </w:rPr>
        <w:t xml:space="preserve">16.  </w:t>
      </w:r>
      <w:r w:rsidRPr="0015716C">
        <w:rPr>
          <w:rStyle w:val="a"/>
          <w:rFonts w:ascii="Times New Roman" w:hAnsi="Times New Roman"/>
          <w:i/>
          <w:sz w:val="22"/>
          <w:szCs w:val="22"/>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C377B6" w:rsidRPr="0015716C" w:rsidP="00C377B6" w14:paraId="79C965FC" w14:textId="77777777">
      <w:pPr>
        <w:tabs>
          <w:tab w:val="left" w:pos="-720"/>
        </w:tabs>
        <w:suppressAutoHyphens/>
        <w:rPr>
          <w:rFonts w:ascii="Times New Roman" w:hAnsi="Times New Roman"/>
          <w:sz w:val="22"/>
          <w:szCs w:val="22"/>
        </w:rPr>
      </w:pPr>
    </w:p>
    <w:p w:rsidR="004F692A" w:rsidRPr="0015716C" w:rsidP="00C377B6" w14:paraId="3E5A64DD" w14:textId="77777777">
      <w:pPr>
        <w:tabs>
          <w:tab w:val="left" w:pos="-720"/>
        </w:tabs>
        <w:suppressAutoHyphens/>
        <w:rPr>
          <w:rFonts w:ascii="Times New Roman" w:hAnsi="Times New Roman"/>
          <w:sz w:val="22"/>
          <w:szCs w:val="22"/>
        </w:rPr>
      </w:pPr>
      <w:r w:rsidRPr="0015716C">
        <w:rPr>
          <w:rFonts w:ascii="Times New Roman" w:hAnsi="Times New Roman"/>
          <w:sz w:val="22"/>
          <w:szCs w:val="22"/>
        </w:rPr>
        <w:t>R</w:t>
      </w:r>
      <w:r w:rsidRPr="0015716C" w:rsidR="00E5161F">
        <w:rPr>
          <w:rFonts w:ascii="Times New Roman" w:hAnsi="Times New Roman"/>
          <w:sz w:val="22"/>
          <w:szCs w:val="22"/>
        </w:rPr>
        <w:t>esults of th</w:t>
      </w:r>
      <w:r w:rsidRPr="0015716C">
        <w:rPr>
          <w:rFonts w:ascii="Times New Roman" w:hAnsi="Times New Roman"/>
          <w:sz w:val="22"/>
          <w:szCs w:val="22"/>
        </w:rPr>
        <w:t>e</w:t>
      </w:r>
      <w:r w:rsidRPr="0015716C" w:rsidR="00E5161F">
        <w:rPr>
          <w:rFonts w:ascii="Times New Roman" w:hAnsi="Times New Roman"/>
          <w:sz w:val="22"/>
          <w:szCs w:val="22"/>
        </w:rPr>
        <w:t xml:space="preserve"> collect</w:t>
      </w:r>
      <w:r w:rsidRPr="0015716C">
        <w:rPr>
          <w:rFonts w:ascii="Times New Roman" w:hAnsi="Times New Roman"/>
          <w:sz w:val="22"/>
          <w:szCs w:val="22"/>
        </w:rPr>
        <w:t>ed information</w:t>
      </w:r>
      <w:r w:rsidRPr="0015716C" w:rsidR="00E5161F">
        <w:rPr>
          <w:rFonts w:ascii="Times New Roman" w:hAnsi="Times New Roman"/>
          <w:sz w:val="22"/>
          <w:szCs w:val="22"/>
        </w:rPr>
        <w:t xml:space="preserve"> will not be published.</w:t>
      </w:r>
    </w:p>
    <w:p w:rsidR="004F692A" w:rsidRPr="0015716C" w14:paraId="2CDC56EA" w14:textId="77777777">
      <w:pPr>
        <w:tabs>
          <w:tab w:val="left" w:pos="-720"/>
        </w:tabs>
        <w:suppressAutoHyphens/>
        <w:rPr>
          <w:rFonts w:ascii="Times New Roman" w:hAnsi="Times New Roman"/>
          <w:sz w:val="22"/>
          <w:szCs w:val="22"/>
        </w:rPr>
      </w:pPr>
    </w:p>
    <w:p w:rsidR="00C377B6" w:rsidRPr="0015716C" w:rsidP="00C377B6" w14:paraId="1BFF26AD" w14:textId="77777777">
      <w:pPr>
        <w:tabs>
          <w:tab w:val="left" w:pos="-720"/>
        </w:tabs>
        <w:suppressAutoHyphens/>
        <w:rPr>
          <w:rFonts w:ascii="Times New Roman" w:hAnsi="Times New Roman"/>
          <w:i/>
          <w:sz w:val="22"/>
          <w:szCs w:val="22"/>
        </w:rPr>
      </w:pPr>
      <w:r w:rsidRPr="0015716C">
        <w:rPr>
          <w:rFonts w:ascii="Times New Roman" w:hAnsi="Times New Roman"/>
          <w:i/>
          <w:sz w:val="22"/>
          <w:szCs w:val="22"/>
        </w:rPr>
        <w:t xml:space="preserve">17.  </w:t>
      </w:r>
      <w:r w:rsidRPr="0015716C">
        <w:rPr>
          <w:rStyle w:val="a"/>
          <w:rFonts w:ascii="Times New Roman" w:hAnsi="Times New Roman"/>
          <w:i/>
          <w:sz w:val="22"/>
          <w:szCs w:val="22"/>
        </w:rPr>
        <w:t>If seeking approval to not display the expiration date for OMB approval of the information collection, explain the reasons that display would be inappropriate.</w:t>
      </w:r>
    </w:p>
    <w:p w:rsidR="00C377B6" w:rsidRPr="0015716C" w:rsidP="00C377B6" w14:paraId="267B8242" w14:textId="77777777">
      <w:pPr>
        <w:tabs>
          <w:tab w:val="left" w:pos="-720"/>
        </w:tabs>
        <w:suppressAutoHyphens/>
        <w:rPr>
          <w:rFonts w:ascii="Times New Roman" w:hAnsi="Times New Roman"/>
          <w:sz w:val="22"/>
          <w:szCs w:val="22"/>
        </w:rPr>
      </w:pPr>
    </w:p>
    <w:p w:rsidR="004F692A" w:rsidRPr="0015716C" w:rsidP="00C377B6" w14:paraId="6B40D56C" w14:textId="77777777">
      <w:pPr>
        <w:tabs>
          <w:tab w:val="left" w:pos="-720"/>
        </w:tabs>
        <w:suppressAutoHyphens/>
        <w:rPr>
          <w:rFonts w:ascii="Times New Roman" w:hAnsi="Times New Roman"/>
          <w:sz w:val="22"/>
          <w:szCs w:val="22"/>
        </w:rPr>
      </w:pPr>
      <w:r w:rsidRPr="0015716C">
        <w:rPr>
          <w:rFonts w:ascii="Times New Roman" w:hAnsi="Times New Roman"/>
          <w:sz w:val="22"/>
          <w:szCs w:val="22"/>
        </w:rPr>
        <w:t>The Department will display on the form the expiration date for the OMB approval as required.</w:t>
      </w:r>
    </w:p>
    <w:p w:rsidR="004F692A" w:rsidRPr="0015716C" w14:paraId="314879F6" w14:textId="77777777">
      <w:pPr>
        <w:tabs>
          <w:tab w:val="left" w:pos="-720"/>
        </w:tabs>
        <w:suppressAutoHyphens/>
        <w:rPr>
          <w:rFonts w:ascii="Times New Roman" w:hAnsi="Times New Roman"/>
          <w:sz w:val="22"/>
          <w:szCs w:val="22"/>
        </w:rPr>
      </w:pPr>
    </w:p>
    <w:p w:rsidR="00FF3171" w:rsidRPr="0015716C" w:rsidP="006E48CC" w14:paraId="447B913B" w14:textId="77777777">
      <w:pPr>
        <w:tabs>
          <w:tab w:val="left" w:pos="-720"/>
          <w:tab w:val="left" w:pos="720"/>
        </w:tabs>
        <w:suppressAutoHyphens/>
        <w:rPr>
          <w:rStyle w:val="a"/>
          <w:rFonts w:ascii="Times New Roman" w:hAnsi="Times New Roman"/>
          <w:i/>
          <w:sz w:val="22"/>
          <w:szCs w:val="22"/>
        </w:rPr>
      </w:pPr>
      <w:r w:rsidRPr="0015716C">
        <w:rPr>
          <w:rFonts w:ascii="Times New Roman" w:hAnsi="Times New Roman"/>
          <w:i/>
          <w:sz w:val="22"/>
          <w:szCs w:val="22"/>
        </w:rPr>
        <w:t xml:space="preserve">18. </w:t>
      </w:r>
      <w:r w:rsidRPr="0015716C" w:rsidR="00276439">
        <w:rPr>
          <w:rFonts w:ascii="Times New Roman" w:hAnsi="Times New Roman"/>
          <w:i/>
          <w:sz w:val="22"/>
          <w:szCs w:val="22"/>
        </w:rPr>
        <w:t xml:space="preserve"> </w:t>
      </w:r>
      <w:r w:rsidRPr="0015716C">
        <w:rPr>
          <w:rStyle w:val="a"/>
          <w:rFonts w:ascii="Times New Roman" w:hAnsi="Times New Roman"/>
          <w:i/>
          <w:sz w:val="22"/>
          <w:szCs w:val="22"/>
        </w:rPr>
        <w:t>Explain each exception to the certification statement identified in the Certification of Paperwork</w:t>
      </w:r>
    </w:p>
    <w:p w:rsidR="004F692A" w:rsidRPr="0015716C" w:rsidP="006E48CC" w14:paraId="537F6D7B" w14:textId="77777777">
      <w:pPr>
        <w:tabs>
          <w:tab w:val="left" w:pos="-720"/>
          <w:tab w:val="left" w:pos="720"/>
        </w:tabs>
        <w:suppressAutoHyphens/>
        <w:rPr>
          <w:rStyle w:val="a"/>
          <w:rFonts w:ascii="Times New Roman" w:hAnsi="Times New Roman"/>
          <w:i/>
          <w:sz w:val="22"/>
          <w:szCs w:val="22"/>
        </w:rPr>
      </w:pPr>
      <w:r w:rsidRPr="0015716C">
        <w:rPr>
          <w:rStyle w:val="a"/>
          <w:rFonts w:ascii="Times New Roman" w:hAnsi="Times New Roman"/>
          <w:i/>
          <w:sz w:val="22"/>
          <w:szCs w:val="22"/>
        </w:rPr>
        <w:t>Reduction Act.</w:t>
      </w:r>
    </w:p>
    <w:p w:rsidR="00633DD4" w:rsidRPr="0015716C" w14:paraId="5A97FAD9" w14:textId="77777777">
      <w:pPr>
        <w:tabs>
          <w:tab w:val="left" w:pos="-720"/>
        </w:tabs>
        <w:suppressAutoHyphens/>
        <w:rPr>
          <w:rStyle w:val="a"/>
          <w:rFonts w:ascii="Times New Roman" w:hAnsi="Times New Roman"/>
          <w:sz w:val="22"/>
          <w:szCs w:val="22"/>
        </w:rPr>
      </w:pPr>
    </w:p>
    <w:p w:rsidR="00633DD4" w:rsidRPr="0015716C" w:rsidP="006E48CC" w14:paraId="137F37A4" w14:textId="77777777">
      <w:pPr>
        <w:rPr>
          <w:rFonts w:ascii="Times New Roman" w:hAnsi="Times New Roman"/>
          <w:sz w:val="22"/>
          <w:szCs w:val="22"/>
        </w:rPr>
      </w:pPr>
      <w:r w:rsidRPr="0015716C">
        <w:rPr>
          <w:rFonts w:ascii="Times New Roman" w:hAnsi="Times New Roman"/>
          <w:sz w:val="22"/>
          <w:szCs w:val="22"/>
        </w:rPr>
        <w:t>There are no exceptions to the certification statement.</w:t>
      </w:r>
    </w:p>
    <w:p w:rsidR="001E61DA" w:rsidRPr="0015716C" w:rsidP="006E48CC" w14:paraId="12865C22" w14:textId="77777777">
      <w:pPr>
        <w:rPr>
          <w:rFonts w:ascii="Times New Roman" w:hAnsi="Times New Roman"/>
          <w:sz w:val="22"/>
          <w:szCs w:val="22"/>
        </w:rPr>
      </w:pPr>
    </w:p>
    <w:p w:rsidR="00633DD4" w:rsidRPr="0015716C" w:rsidP="00633DD4" w14:paraId="478937C1" w14:textId="77777777">
      <w:pPr>
        <w:rPr>
          <w:rFonts w:ascii="Times New Roman" w:hAnsi="Times New Roman"/>
          <w:sz w:val="22"/>
          <w:szCs w:val="22"/>
        </w:rPr>
      </w:pPr>
    </w:p>
    <w:p w:rsidR="00633DD4" w:rsidRPr="0015716C" w:rsidP="00276439" w14:paraId="762CB1D0" w14:textId="77777777">
      <w:pPr>
        <w:rPr>
          <w:rFonts w:ascii="Times New Roman" w:hAnsi="Times New Roman"/>
          <w:b/>
          <w:sz w:val="22"/>
          <w:szCs w:val="22"/>
        </w:rPr>
      </w:pPr>
      <w:r w:rsidRPr="0015716C">
        <w:rPr>
          <w:rFonts w:ascii="Times New Roman" w:hAnsi="Times New Roman"/>
          <w:b/>
          <w:sz w:val="22"/>
          <w:szCs w:val="22"/>
        </w:rPr>
        <w:t>B.  Collection of Information Employing Statistical Methods statement.</w:t>
      </w:r>
    </w:p>
    <w:p w:rsidR="00633DD4" w:rsidRPr="0015716C" w:rsidP="00276439" w14:paraId="2BAE7C70" w14:textId="77777777">
      <w:pPr>
        <w:rPr>
          <w:rFonts w:ascii="Times New Roman" w:hAnsi="Times New Roman"/>
          <w:sz w:val="22"/>
          <w:szCs w:val="22"/>
        </w:rPr>
      </w:pPr>
    </w:p>
    <w:p w:rsidR="00633DD4" w:rsidRPr="0015716C" w:rsidP="00276439" w14:paraId="5FE8A289" w14:textId="77777777">
      <w:pPr>
        <w:rPr>
          <w:rFonts w:ascii="Times New Roman" w:hAnsi="Times New Roman"/>
          <w:sz w:val="22"/>
          <w:szCs w:val="22"/>
        </w:rPr>
      </w:pPr>
      <w:r w:rsidRPr="0015716C">
        <w:rPr>
          <w:rFonts w:ascii="Times New Roman" w:hAnsi="Times New Roman"/>
          <w:sz w:val="22"/>
          <w:szCs w:val="22"/>
        </w:rPr>
        <w:t>The collection of information does not employ statistical methods.</w:t>
      </w:r>
    </w:p>
    <w:p w:rsidR="00EE7590" w:rsidRPr="0015716C" w14:paraId="7AB05767" w14:textId="77777777">
      <w:pPr>
        <w:rPr>
          <w:rFonts w:ascii="Times New Roman" w:hAnsi="Times New Roman"/>
          <w:sz w:val="22"/>
          <w:szCs w:val="22"/>
        </w:rPr>
      </w:pPr>
    </w:p>
    <w:p w:rsidR="00B5258C" w:rsidRPr="0015716C" w:rsidP="00B5258C" w14:paraId="5A16115D" w14:textId="77777777">
      <w:pPr>
        <w:pStyle w:val="BodyText"/>
        <w:spacing w:line="276" w:lineRule="auto"/>
        <w:ind w:left="990"/>
        <w:rPr>
          <w:b/>
          <w:sz w:val="22"/>
          <w:szCs w:val="22"/>
        </w:rPr>
      </w:pPr>
    </w:p>
    <w:p w:rsidR="001F167E" w:rsidRPr="0015716C" w:rsidP="00B5258C" w14:paraId="1BA4FBDF" w14:textId="77777777">
      <w:pPr>
        <w:pStyle w:val="BodyText"/>
        <w:spacing w:line="276" w:lineRule="auto"/>
        <w:ind w:left="990"/>
        <w:rPr>
          <w:b/>
          <w:sz w:val="22"/>
          <w:szCs w:val="22"/>
        </w:rPr>
      </w:pPr>
    </w:p>
    <w:p w:rsidR="00801F25" w:rsidRPr="0015716C" w:rsidP="00801F25" w14:paraId="235F60BF" w14:textId="77777777">
      <w:pPr>
        <w:pStyle w:val="BodyText"/>
        <w:spacing w:line="276" w:lineRule="auto"/>
        <w:rPr>
          <w:b/>
          <w:sz w:val="22"/>
          <w:szCs w:val="22"/>
        </w:rPr>
      </w:pPr>
    </w:p>
    <w:p w:rsidR="00801F25" w:rsidRPr="0015716C" w:rsidP="00801F25" w14:paraId="1D0F44D9" w14:textId="77777777">
      <w:pPr>
        <w:pStyle w:val="BodyText"/>
        <w:spacing w:line="276" w:lineRule="auto"/>
        <w:ind w:left="270"/>
        <w:rPr>
          <w:b/>
          <w:sz w:val="22"/>
          <w:szCs w:val="22"/>
        </w:rPr>
      </w:pPr>
    </w:p>
    <w:p w:rsidR="00633DD4" w:rsidRPr="0015716C" w:rsidP="0015716C" w14:paraId="6DD0FAEB" w14:textId="77777777">
      <w:pPr>
        <w:tabs>
          <w:tab w:val="left" w:pos="-720"/>
          <w:tab w:val="left" w:pos="0"/>
        </w:tabs>
        <w:suppressAutoHyphens/>
        <w:outlineLvl w:val="0"/>
        <w:rPr>
          <w:rFonts w:ascii="Times New Roman" w:hAnsi="Times New Roman"/>
          <w:sz w:val="22"/>
          <w:szCs w:val="22"/>
        </w:rPr>
      </w:pPr>
      <w:r w:rsidRPr="0015716C">
        <w:rPr>
          <w:rFonts w:ascii="Times New Roman" w:hAnsi="Times New Roman"/>
          <w:sz w:val="22"/>
          <w:szCs w:val="22"/>
        </w:rPr>
        <w:t xml:space="preserve"> </w:t>
      </w:r>
    </w:p>
    <w:sectPr w:rsidSect="006C5820">
      <w:headerReference w:type="default" r:id="rId9"/>
      <w:footerReference w:type="default" r:id="rId10"/>
      <w:endnotePr>
        <w:numFmt w:val="decimal"/>
      </w:endnotePr>
      <w:type w:val="continuous"/>
      <w:pgSz w:w="12240" w:h="15840" w:code="1"/>
      <w:pgMar w:top="1440" w:right="1440" w:bottom="1440" w:left="1440" w:header="706" w:footer="706"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4C0B95" w14:paraId="4B34051A" w14:textId="77777777">
      <w:pPr>
        <w:spacing w:line="20" w:lineRule="exact"/>
      </w:pPr>
    </w:p>
  </w:endnote>
  <w:endnote w:type="continuationSeparator" w:id="1">
    <w:p w:rsidR="004C0B95" w14:paraId="18DCAB8B" w14:textId="77777777">
      <w:r>
        <w:t xml:space="preserve"> </w:t>
      </w:r>
    </w:p>
  </w:endnote>
  <w:endnote w:type="continuationNotice" w:id="2">
    <w:p w:rsidR="004C0B95" w14:paraId="752AAD48"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5161F" w14:paraId="296C389C" w14:textId="77777777">
    <w:pPr>
      <w:spacing w:before="140" w:line="100" w:lineRule="exact"/>
      <w:rPr>
        <w:sz w:val="10"/>
      </w:rPr>
    </w:pPr>
  </w:p>
  <w:p w:rsidR="00E5161F" w14:paraId="37C47750" w14:textId="77777777">
    <w:pPr>
      <w:tabs>
        <w:tab w:val="left" w:pos="0"/>
      </w:tabs>
      <w:suppressAutoHyphens/>
    </w:pPr>
  </w:p>
  <w:p w:rsidR="00E5161F" w14:paraId="07220C36" w14:textId="77777777">
    <w:pPr>
      <w:tabs>
        <w:tab w:val="left" w:pos="0"/>
      </w:tabs>
      <w:suppressAutoHyphens/>
    </w:pPr>
    <w:r>
      <w:rPr>
        <w:noProof/>
      </w:rPr>
      <mc:AlternateContent>
        <mc:Choice Requires="wps">
          <w:drawing>
            <wp:anchor distT="0" distB="0" distL="114300" distR="114300" simplePos="0" relativeHeight="251658240"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E5161F" w:rsidRPr="0015716C" w14:paraId="1D1A9834" w14:textId="77777777">
                          <w:pPr>
                            <w:tabs>
                              <w:tab w:val="center" w:pos="4650"/>
                            </w:tabs>
                            <w:suppressAutoHyphens/>
                            <w:jc w:val="both"/>
                            <w:rPr>
                              <w:rFonts w:ascii="Times New Roman" w:hAnsi="Times New Roman"/>
                            </w:rPr>
                          </w:pPr>
                          <w:r>
                            <w:tab/>
                          </w:r>
                          <w:r w:rsidRPr="0015716C" w:rsidR="00012365">
                            <w:rPr>
                              <w:rFonts w:ascii="Times New Roman" w:hAnsi="Times New Roman"/>
                            </w:rPr>
                            <w:fldChar w:fldCharType="begin"/>
                          </w:r>
                          <w:r w:rsidRPr="0015716C" w:rsidR="00012365">
                            <w:rPr>
                              <w:rFonts w:ascii="Times New Roman" w:hAnsi="Times New Roman"/>
                            </w:rPr>
                            <w:instrText>page \* arabic</w:instrText>
                          </w:r>
                          <w:r w:rsidRPr="0015716C" w:rsidR="00012365">
                            <w:rPr>
                              <w:rFonts w:ascii="Times New Roman" w:hAnsi="Times New Roman"/>
                            </w:rPr>
                            <w:fldChar w:fldCharType="separate"/>
                          </w:r>
                          <w:r w:rsidRPr="0015716C" w:rsidR="000D7BB6">
                            <w:rPr>
                              <w:rFonts w:ascii="Times New Roman" w:hAnsi="Times New Roman"/>
                              <w:noProof/>
                            </w:rPr>
                            <w:t>1</w:t>
                          </w:r>
                          <w:r w:rsidRPr="0015716C" w:rsidR="00012365">
                            <w:rPr>
                              <w:rFonts w:ascii="Times New Roman" w:hAnsi="Times New Roman"/>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5pt;height:12pt;margin-top:12pt;margin-left:1.5pt;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ed="f" stroked="f">
              <v:textbox inset="0,0,0,0">
                <w:txbxContent>
                  <w:p w:rsidR="00E5161F" w:rsidRPr="0015716C" w14:paraId="6C71DB35" w14:textId="77777777">
                    <w:pPr>
                      <w:tabs>
                        <w:tab w:val="center" w:pos="4650"/>
                      </w:tabs>
                      <w:suppressAutoHyphens/>
                      <w:jc w:val="both"/>
                      <w:rPr>
                        <w:rFonts w:ascii="Times New Roman" w:hAnsi="Times New Roman"/>
                      </w:rPr>
                    </w:pPr>
                    <w:r>
                      <w:tab/>
                    </w:r>
                    <w:r w:rsidRPr="0015716C" w:rsidR="00012365">
                      <w:rPr>
                        <w:rFonts w:ascii="Times New Roman" w:hAnsi="Times New Roman"/>
                      </w:rPr>
                      <w:fldChar w:fldCharType="begin"/>
                    </w:r>
                    <w:r w:rsidRPr="0015716C" w:rsidR="00012365">
                      <w:rPr>
                        <w:rFonts w:ascii="Times New Roman" w:hAnsi="Times New Roman"/>
                      </w:rPr>
                      <w:instrText>page \* arabic</w:instrText>
                    </w:r>
                    <w:r w:rsidRPr="0015716C" w:rsidR="00012365">
                      <w:rPr>
                        <w:rFonts w:ascii="Times New Roman" w:hAnsi="Times New Roman"/>
                      </w:rPr>
                      <w:fldChar w:fldCharType="separate"/>
                    </w:r>
                    <w:r w:rsidRPr="0015716C" w:rsidR="000D7BB6">
                      <w:rPr>
                        <w:rFonts w:ascii="Times New Roman" w:hAnsi="Times New Roman"/>
                        <w:noProof/>
                      </w:rPr>
                      <w:t>1</w:t>
                    </w:r>
                    <w:r w:rsidRPr="0015716C" w:rsidR="00012365">
                      <w:rPr>
                        <w:rFonts w:ascii="Times New Roman" w:hAnsi="Times New Roman"/>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C0B95" w14:paraId="0536EB28" w14:textId="77777777">
      <w:r>
        <w:separator/>
      </w:r>
    </w:p>
  </w:footnote>
  <w:footnote w:type="continuationSeparator" w:id="1">
    <w:p w:rsidR="004C0B95" w14:paraId="3020888E" w14:textId="77777777">
      <w:r>
        <w:continuationSeparator/>
      </w:r>
    </w:p>
  </w:footnote>
  <w:footnote w:id="2">
    <w:p w:rsidR="002100E4" w:rsidP="002100E4" w14:paraId="50B24EF8" w14:textId="77777777">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B65D0" w:rsidRPr="006E48CC" w:rsidP="00FB65D0" w14:paraId="0BCDEB01" w14:textId="7C8C3DB7">
    <w:pPr>
      <w:pStyle w:val="Header"/>
      <w:rPr>
        <w:rFonts w:ascii="Times New Roman" w:hAnsi="Times New Roman"/>
        <w:sz w:val="20"/>
      </w:rPr>
    </w:pPr>
    <w:r w:rsidRPr="006E48CC">
      <w:rPr>
        <w:rFonts w:ascii="Times New Roman" w:hAnsi="Times New Roman"/>
        <w:sz w:val="20"/>
      </w:rPr>
      <w:t xml:space="preserve">OMB Number: </w:t>
    </w:r>
    <w:r w:rsidRPr="006E48CC" w:rsidR="00AF637F">
      <w:rPr>
        <w:rFonts w:ascii="Times New Roman" w:hAnsi="Times New Roman"/>
        <w:sz w:val="20"/>
      </w:rPr>
      <w:t>1840</w:t>
    </w:r>
    <w:r w:rsidRPr="006E48CC">
      <w:rPr>
        <w:rFonts w:ascii="Times New Roman" w:hAnsi="Times New Roman"/>
        <w:sz w:val="20"/>
      </w:rPr>
      <w:t>-</w:t>
    </w:r>
    <w:r w:rsidRPr="006E48CC" w:rsidR="00AF637F">
      <w:rPr>
        <w:rFonts w:ascii="Times New Roman" w:hAnsi="Times New Roman"/>
        <w:sz w:val="20"/>
      </w:rPr>
      <w:t>0640</w:t>
    </w:r>
    <w:r w:rsidRPr="006E48CC">
      <w:rPr>
        <w:rFonts w:ascii="Times New Roman" w:hAnsi="Times New Roman"/>
        <w:sz w:val="20"/>
      </w:rPr>
      <w:t xml:space="preserve">                                         </w:t>
    </w:r>
    <w:r w:rsidR="008808BA">
      <w:rPr>
        <w:rFonts w:ascii="Times New Roman" w:hAnsi="Times New Roman"/>
        <w:sz w:val="20"/>
      </w:rPr>
      <w:tab/>
    </w:r>
    <w:r w:rsidRPr="006E48CC">
      <w:rPr>
        <w:rFonts w:ascii="Times New Roman" w:hAnsi="Times New Roman"/>
        <w:sz w:val="20"/>
      </w:rPr>
      <w:t>Revised:</w:t>
    </w:r>
    <w:r w:rsidR="0022101C">
      <w:rPr>
        <w:rFonts w:ascii="Times New Roman" w:hAnsi="Times New Roman"/>
        <w:sz w:val="20"/>
      </w:rPr>
      <w:t xml:space="preserve"> </w:t>
    </w:r>
    <w:r w:rsidR="00E2728A">
      <w:rPr>
        <w:rFonts w:ascii="Times New Roman" w:hAnsi="Times New Roman"/>
        <w:sz w:val="20"/>
      </w:rPr>
      <w:t>3/1</w:t>
    </w:r>
    <w:r w:rsidR="00344D10">
      <w:rPr>
        <w:rFonts w:ascii="Times New Roman" w:hAnsi="Times New Roman"/>
        <w:sz w:val="20"/>
      </w:rPr>
      <w:t>8</w:t>
    </w:r>
    <w:r w:rsidR="00E2728A">
      <w:rPr>
        <w:rFonts w:ascii="Times New Roman" w:hAnsi="Times New Roman"/>
        <w:sz w:val="20"/>
      </w:rPr>
      <w:t>/25</w:t>
    </w:r>
  </w:p>
  <w:p w:rsidR="00FB65D0" w14:paraId="75BD30F8" w14:textId="77777777">
    <w:pPr>
      <w:pStyle w:val="Header"/>
    </w:pPr>
  </w:p>
  <w:p w:rsidR="00AA0B11" w14:paraId="760C9AD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FFFFFF"/>
    <w:lvl w:ilvl="0">
      <w:start w:val="0"/>
      <w:numFmt w:val="decimal"/>
      <w:lvlText w:val="*"/>
      <w:lvlJc w:val="left"/>
    </w:lvl>
  </w:abstractNum>
  <w:abstractNum w:abstractNumId="1">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cs="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cs="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cs="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2">
    <w:nsid w:val="018E46D7"/>
    <w:multiLevelType w:val="hybridMultilevel"/>
    <w:tmpl w:val="8F36867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3A57BB9"/>
    <w:multiLevelType w:val="singleLevel"/>
    <w:tmpl w:val="9B44F3D2"/>
    <w:lvl w:ilvl="0">
      <w:start w:val="1"/>
      <w:numFmt w:val="upperLetter"/>
      <w:lvlText w:val="%1."/>
      <w:lvlJc w:val="left"/>
      <w:pPr>
        <w:tabs>
          <w:tab w:val="num" w:pos="720"/>
        </w:tabs>
        <w:ind w:left="720" w:hanging="720"/>
      </w:pPr>
      <w:rPr>
        <w:rFonts w:hint="default"/>
      </w:rPr>
    </w:lvl>
  </w:abstractNum>
  <w:abstractNum w:abstractNumId="4">
    <w:nsid w:val="07404EF5"/>
    <w:multiLevelType w:val="hybridMultilevel"/>
    <w:tmpl w:val="C36C7768"/>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
    <w:nsid w:val="07B01F8C"/>
    <w:multiLevelType w:val="hybridMultilevel"/>
    <w:tmpl w:val="1736C67A"/>
    <w:lvl w:ilvl="0">
      <w:start w:val="1"/>
      <w:numFmt w:val="upp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B7C4E4C"/>
    <w:multiLevelType w:val="hybridMultilevel"/>
    <w:tmpl w:val="EB140636"/>
    <w:lvl w:ilvl="0">
      <w:start w:val="1"/>
      <w:numFmt w:val="decimal"/>
      <w:lvlText w:val="%1."/>
      <w:lvlJc w:val="left"/>
      <w:pPr>
        <w:tabs>
          <w:tab w:val="num" w:pos="1060"/>
        </w:tabs>
        <w:ind w:left="1060" w:hanging="360"/>
      </w:pPr>
    </w:lvl>
    <w:lvl w:ilvl="1" w:tentative="1">
      <w:start w:val="1"/>
      <w:numFmt w:val="lowerLetter"/>
      <w:lvlText w:val="%2."/>
      <w:lvlJc w:val="left"/>
      <w:pPr>
        <w:tabs>
          <w:tab w:val="num" w:pos="1780"/>
        </w:tabs>
        <w:ind w:left="1780" w:hanging="360"/>
      </w:pPr>
    </w:lvl>
    <w:lvl w:ilvl="2" w:tentative="1">
      <w:start w:val="1"/>
      <w:numFmt w:val="lowerRoman"/>
      <w:lvlText w:val="%3."/>
      <w:lvlJc w:val="right"/>
      <w:pPr>
        <w:tabs>
          <w:tab w:val="num" w:pos="2500"/>
        </w:tabs>
        <w:ind w:left="2500" w:hanging="180"/>
      </w:pPr>
    </w:lvl>
    <w:lvl w:ilvl="3" w:tentative="1">
      <w:start w:val="1"/>
      <w:numFmt w:val="decimal"/>
      <w:lvlText w:val="%4."/>
      <w:lvlJc w:val="left"/>
      <w:pPr>
        <w:tabs>
          <w:tab w:val="num" w:pos="3220"/>
        </w:tabs>
        <w:ind w:left="3220" w:hanging="360"/>
      </w:pPr>
    </w:lvl>
    <w:lvl w:ilvl="4" w:tentative="1">
      <w:start w:val="1"/>
      <w:numFmt w:val="lowerLetter"/>
      <w:lvlText w:val="%5."/>
      <w:lvlJc w:val="left"/>
      <w:pPr>
        <w:tabs>
          <w:tab w:val="num" w:pos="3940"/>
        </w:tabs>
        <w:ind w:left="3940" w:hanging="360"/>
      </w:pPr>
    </w:lvl>
    <w:lvl w:ilvl="5" w:tentative="1">
      <w:start w:val="1"/>
      <w:numFmt w:val="lowerRoman"/>
      <w:lvlText w:val="%6."/>
      <w:lvlJc w:val="right"/>
      <w:pPr>
        <w:tabs>
          <w:tab w:val="num" w:pos="4660"/>
        </w:tabs>
        <w:ind w:left="4660" w:hanging="180"/>
      </w:pPr>
    </w:lvl>
    <w:lvl w:ilvl="6" w:tentative="1">
      <w:start w:val="1"/>
      <w:numFmt w:val="decimal"/>
      <w:lvlText w:val="%7."/>
      <w:lvlJc w:val="left"/>
      <w:pPr>
        <w:tabs>
          <w:tab w:val="num" w:pos="5380"/>
        </w:tabs>
        <w:ind w:left="5380" w:hanging="360"/>
      </w:pPr>
    </w:lvl>
    <w:lvl w:ilvl="7" w:tentative="1">
      <w:start w:val="1"/>
      <w:numFmt w:val="lowerLetter"/>
      <w:lvlText w:val="%8."/>
      <w:lvlJc w:val="left"/>
      <w:pPr>
        <w:tabs>
          <w:tab w:val="num" w:pos="6100"/>
        </w:tabs>
        <w:ind w:left="6100" w:hanging="360"/>
      </w:pPr>
    </w:lvl>
    <w:lvl w:ilvl="8" w:tentative="1">
      <w:start w:val="1"/>
      <w:numFmt w:val="lowerRoman"/>
      <w:lvlText w:val="%9."/>
      <w:lvlJc w:val="right"/>
      <w:pPr>
        <w:tabs>
          <w:tab w:val="num" w:pos="6820"/>
        </w:tabs>
        <w:ind w:left="6820" w:hanging="180"/>
      </w:pPr>
    </w:lvl>
  </w:abstractNum>
  <w:abstractNum w:abstractNumId="7">
    <w:nsid w:val="0CEF5A7F"/>
    <w:multiLevelType w:val="hybridMultilevel"/>
    <w:tmpl w:val="6F96490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0F2A7A2D"/>
    <w:multiLevelType w:val="hybridMultilevel"/>
    <w:tmpl w:val="920ECC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0FE331AD"/>
    <w:multiLevelType w:val="hybridMultilevel"/>
    <w:tmpl w:val="41C0C82A"/>
    <w:lvl w:ilvl="0">
      <w:start w:val="1"/>
      <w:numFmt w:val="decimal"/>
      <w:lvlText w:val="%1."/>
      <w:lvlJc w:val="left"/>
      <w:pPr>
        <w:ind w:left="1350" w:hanging="360"/>
      </w:pPr>
      <w:rPr>
        <w:rFonts w:hint="default"/>
      </w:rPr>
    </w:lvl>
    <w:lvl w:ilvl="1" w:tentative="1">
      <w:start w:val="1"/>
      <w:numFmt w:val="lowerLetter"/>
      <w:lvlText w:val="%2."/>
      <w:lvlJc w:val="left"/>
      <w:pPr>
        <w:ind w:left="2070" w:hanging="360"/>
      </w:pPr>
    </w:lvl>
    <w:lvl w:ilvl="2" w:tentative="1">
      <w:start w:val="1"/>
      <w:numFmt w:val="lowerRoman"/>
      <w:lvlText w:val="%3."/>
      <w:lvlJc w:val="right"/>
      <w:pPr>
        <w:ind w:left="2790" w:hanging="180"/>
      </w:pPr>
    </w:lvl>
    <w:lvl w:ilvl="3" w:tentative="1">
      <w:start w:val="1"/>
      <w:numFmt w:val="decimal"/>
      <w:lvlText w:val="%4."/>
      <w:lvlJc w:val="left"/>
      <w:pPr>
        <w:ind w:left="3510" w:hanging="360"/>
      </w:pPr>
    </w:lvl>
    <w:lvl w:ilvl="4" w:tentative="1">
      <w:start w:val="1"/>
      <w:numFmt w:val="lowerLetter"/>
      <w:lvlText w:val="%5."/>
      <w:lvlJc w:val="left"/>
      <w:pPr>
        <w:ind w:left="4230" w:hanging="360"/>
      </w:pPr>
    </w:lvl>
    <w:lvl w:ilvl="5" w:tentative="1">
      <w:start w:val="1"/>
      <w:numFmt w:val="lowerRoman"/>
      <w:lvlText w:val="%6."/>
      <w:lvlJc w:val="right"/>
      <w:pPr>
        <w:ind w:left="4950" w:hanging="180"/>
      </w:pPr>
    </w:lvl>
    <w:lvl w:ilvl="6" w:tentative="1">
      <w:start w:val="1"/>
      <w:numFmt w:val="decimal"/>
      <w:lvlText w:val="%7."/>
      <w:lvlJc w:val="left"/>
      <w:pPr>
        <w:ind w:left="5670" w:hanging="360"/>
      </w:pPr>
    </w:lvl>
    <w:lvl w:ilvl="7" w:tentative="1">
      <w:start w:val="1"/>
      <w:numFmt w:val="lowerLetter"/>
      <w:lvlText w:val="%8."/>
      <w:lvlJc w:val="left"/>
      <w:pPr>
        <w:ind w:left="6390" w:hanging="360"/>
      </w:pPr>
    </w:lvl>
    <w:lvl w:ilvl="8" w:tentative="1">
      <w:start w:val="1"/>
      <w:numFmt w:val="lowerRoman"/>
      <w:lvlText w:val="%9."/>
      <w:lvlJc w:val="right"/>
      <w:pPr>
        <w:ind w:left="7110" w:hanging="180"/>
      </w:pPr>
    </w:lvl>
  </w:abstractNum>
  <w:abstractNum w:abstractNumId="10">
    <w:nsid w:val="12190306"/>
    <w:multiLevelType w:val="hybridMultilevel"/>
    <w:tmpl w:val="6C42AA34"/>
    <w:lvl w:ilvl="0">
      <w:start w:val="1"/>
      <w:numFmt w:val="decimal"/>
      <w:lvlText w:val="%1."/>
      <w:lvlJc w:val="left"/>
      <w:pPr>
        <w:ind w:left="1440" w:hanging="360"/>
      </w:pPr>
    </w:lvl>
    <w:lvl w:ilvl="1">
      <w:start w:val="1"/>
      <w:numFmt w:val="decimal"/>
      <w:lvlText w:val="%2."/>
      <w:lvlJc w:val="left"/>
      <w:pPr>
        <w:ind w:left="144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11">
    <w:nsid w:val="147338C8"/>
    <w:multiLevelType w:val="hybridMultilevel"/>
    <w:tmpl w:val="11DEED62"/>
    <w:lvl w:ilvl="0">
      <w:start w:val="4"/>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1BE715C9"/>
    <w:multiLevelType w:val="singleLevel"/>
    <w:tmpl w:val="DA626A54"/>
    <w:lvl w:ilvl="0">
      <w:start w:val="17"/>
      <w:numFmt w:val="decimal"/>
      <w:lvlText w:val="%1."/>
      <w:lvlJc w:val="left"/>
      <w:pPr>
        <w:tabs>
          <w:tab w:val="num" w:pos="1140"/>
        </w:tabs>
        <w:ind w:left="1140" w:hanging="420"/>
      </w:pPr>
      <w:rPr>
        <w:rFonts w:hint="default"/>
      </w:rPr>
    </w:lvl>
  </w:abstractNum>
  <w:abstractNum w:abstractNumId="13">
    <w:nsid w:val="1EE0336E"/>
    <w:multiLevelType w:val="singleLevel"/>
    <w:tmpl w:val="8D2EBB96"/>
    <w:lvl w:ilvl="0">
      <w:start w:val="1"/>
      <w:numFmt w:val="decimal"/>
      <w:lvlText w:val="%1."/>
      <w:lvlJc w:val="left"/>
      <w:pPr>
        <w:tabs>
          <w:tab w:val="num" w:pos="1080"/>
        </w:tabs>
        <w:ind w:left="1080" w:hanging="360"/>
      </w:pPr>
      <w:rPr>
        <w:rFonts w:hint="default"/>
      </w:rPr>
    </w:lvl>
  </w:abstractNum>
  <w:abstractNum w:abstractNumId="14">
    <w:nsid w:val="23DD7EEE"/>
    <w:multiLevelType w:val="hybridMultilevel"/>
    <w:tmpl w:val="80E07A58"/>
    <w:lvl w:ilvl="0">
      <w:start w:val="1"/>
      <w:numFmt w:val="bullet"/>
      <w:lvlText w:val=""/>
      <w:lvlJc w:val="left"/>
      <w:pPr>
        <w:ind w:left="2520" w:hanging="360"/>
      </w:pPr>
      <w:rPr>
        <w:rFonts w:ascii="Symbol" w:hAnsi="Symbol" w:hint="default"/>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15">
    <w:nsid w:val="253F218A"/>
    <w:multiLevelType w:val="hybridMultilevel"/>
    <w:tmpl w:val="C9E6F300"/>
    <w:lvl w:ilvl="0">
      <w:start w:val="1"/>
      <w:numFmt w:val="lowerRoman"/>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703685B"/>
    <w:multiLevelType w:val="hybridMultilevel"/>
    <w:tmpl w:val="1332E65A"/>
    <w:lvl w:ilvl="0">
      <w:start w:val="8"/>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8A035B8"/>
    <w:multiLevelType w:val="singleLevel"/>
    <w:tmpl w:val="1082AB00"/>
    <w:lvl w:ilvl="0">
      <w:start w:val="1"/>
      <w:numFmt w:val="decimal"/>
      <w:lvlText w:val="%1."/>
      <w:legacy w:legacy="1" w:legacySpace="0" w:legacyIndent="360"/>
      <w:lvlJc w:val="left"/>
      <w:pPr>
        <w:ind w:left="360" w:hanging="360"/>
      </w:pPr>
    </w:lvl>
  </w:abstractNum>
  <w:abstractNum w:abstractNumId="18">
    <w:nsid w:val="2EC31D8C"/>
    <w:multiLevelType w:val="hybridMultilevel"/>
    <w:tmpl w:val="82B4BE3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
    <w:nsid w:val="30782261"/>
    <w:multiLevelType w:val="hybridMultilevel"/>
    <w:tmpl w:val="CBC02976"/>
    <w:lvl w:ilvl="0">
      <w:start w:val="2"/>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1210925"/>
    <w:multiLevelType w:val="hybridMultilevel"/>
    <w:tmpl w:val="0FD493C4"/>
    <w:lvl w:ilvl="0">
      <w:start w:val="1"/>
      <w:numFmt w:val="lowerRoman"/>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4846D5D"/>
    <w:multiLevelType w:val="hybridMultilevel"/>
    <w:tmpl w:val="965234A6"/>
    <w:lvl w:ilvl="0">
      <w:start w:val="1"/>
      <w:numFmt w:val="lowerRoman"/>
      <w:lvlText w:val="(%1)"/>
      <w:lvlJc w:val="left"/>
      <w:pPr>
        <w:ind w:left="1710" w:hanging="720"/>
      </w:pPr>
      <w:rPr>
        <w:rFonts w:hint="default"/>
      </w:rPr>
    </w:lvl>
    <w:lvl w:ilvl="1" w:tentative="1">
      <w:start w:val="1"/>
      <w:numFmt w:val="lowerLetter"/>
      <w:lvlText w:val="%2."/>
      <w:lvlJc w:val="left"/>
      <w:pPr>
        <w:ind w:left="2070" w:hanging="360"/>
      </w:pPr>
    </w:lvl>
    <w:lvl w:ilvl="2" w:tentative="1">
      <w:start w:val="1"/>
      <w:numFmt w:val="lowerRoman"/>
      <w:lvlText w:val="%3."/>
      <w:lvlJc w:val="right"/>
      <w:pPr>
        <w:ind w:left="2790" w:hanging="180"/>
      </w:pPr>
    </w:lvl>
    <w:lvl w:ilvl="3" w:tentative="1">
      <w:start w:val="1"/>
      <w:numFmt w:val="decimal"/>
      <w:lvlText w:val="%4."/>
      <w:lvlJc w:val="left"/>
      <w:pPr>
        <w:ind w:left="3510" w:hanging="360"/>
      </w:pPr>
    </w:lvl>
    <w:lvl w:ilvl="4" w:tentative="1">
      <w:start w:val="1"/>
      <w:numFmt w:val="lowerLetter"/>
      <w:lvlText w:val="%5."/>
      <w:lvlJc w:val="left"/>
      <w:pPr>
        <w:ind w:left="4230" w:hanging="360"/>
      </w:pPr>
    </w:lvl>
    <w:lvl w:ilvl="5" w:tentative="1">
      <w:start w:val="1"/>
      <w:numFmt w:val="lowerRoman"/>
      <w:lvlText w:val="%6."/>
      <w:lvlJc w:val="right"/>
      <w:pPr>
        <w:ind w:left="4950" w:hanging="180"/>
      </w:pPr>
    </w:lvl>
    <w:lvl w:ilvl="6" w:tentative="1">
      <w:start w:val="1"/>
      <w:numFmt w:val="decimal"/>
      <w:lvlText w:val="%7."/>
      <w:lvlJc w:val="left"/>
      <w:pPr>
        <w:ind w:left="5670" w:hanging="360"/>
      </w:pPr>
    </w:lvl>
    <w:lvl w:ilvl="7" w:tentative="1">
      <w:start w:val="1"/>
      <w:numFmt w:val="lowerLetter"/>
      <w:lvlText w:val="%8."/>
      <w:lvlJc w:val="left"/>
      <w:pPr>
        <w:ind w:left="6390" w:hanging="360"/>
      </w:pPr>
    </w:lvl>
    <w:lvl w:ilvl="8" w:tentative="1">
      <w:start w:val="1"/>
      <w:numFmt w:val="lowerRoman"/>
      <w:lvlText w:val="%9."/>
      <w:lvlJc w:val="right"/>
      <w:pPr>
        <w:ind w:left="7110" w:hanging="180"/>
      </w:pPr>
    </w:lvl>
  </w:abstractNum>
  <w:abstractNum w:abstractNumId="22">
    <w:nsid w:val="3BF0158C"/>
    <w:multiLevelType w:val="hybridMultilevel"/>
    <w:tmpl w:val="B98CB24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07878BA"/>
    <w:multiLevelType w:val="singleLevel"/>
    <w:tmpl w:val="A9000B78"/>
    <w:lvl w:ilvl="0">
      <w:start w:val="8"/>
      <w:numFmt w:val="decimal"/>
      <w:lvlText w:val="%1."/>
      <w:legacy w:legacy="1" w:legacySpace="0" w:legacyIndent="375"/>
      <w:lvlJc w:val="left"/>
      <w:pPr>
        <w:ind w:left="375" w:hanging="375"/>
      </w:pPr>
    </w:lvl>
  </w:abstractNum>
  <w:abstractNum w:abstractNumId="24">
    <w:nsid w:val="40D03EDA"/>
    <w:multiLevelType w:val="hybridMultilevel"/>
    <w:tmpl w:val="8452E306"/>
    <w:lvl w:ilvl="0">
      <w:start w:val="14"/>
      <w:numFmt w:val="decimal"/>
      <w:lvlText w:val="%1."/>
      <w:lvlJc w:val="left"/>
      <w:pPr>
        <w:tabs>
          <w:tab w:val="num" w:pos="1140"/>
        </w:tabs>
        <w:ind w:left="1140" w:hanging="4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5">
    <w:nsid w:val="42575678"/>
    <w:multiLevelType w:val="hybridMultilevel"/>
    <w:tmpl w:val="0306427A"/>
    <w:lvl w:ilvl="0">
      <w:start w:val="1"/>
      <w:numFmt w:val="bullet"/>
      <w:lvlText w:val=""/>
      <w:lvlJc w:val="left"/>
      <w:pPr>
        <w:ind w:left="990" w:hanging="360"/>
      </w:pPr>
      <w:rPr>
        <w:rFonts w:ascii="Symbol" w:hAnsi="Symbol" w:hint="default"/>
      </w:rPr>
    </w:lvl>
    <w:lvl w:ilvl="1" w:tentative="1">
      <w:start w:val="1"/>
      <w:numFmt w:val="bullet"/>
      <w:lvlText w:val="o"/>
      <w:lvlJc w:val="left"/>
      <w:pPr>
        <w:ind w:left="1710" w:hanging="360"/>
      </w:pPr>
      <w:rPr>
        <w:rFonts w:ascii="Courier New" w:hAnsi="Courier New" w:cs="Courier New" w:hint="default"/>
      </w:rPr>
    </w:lvl>
    <w:lvl w:ilvl="2" w:tentative="1">
      <w:start w:val="1"/>
      <w:numFmt w:val="bullet"/>
      <w:lvlText w:val=""/>
      <w:lvlJc w:val="left"/>
      <w:pPr>
        <w:ind w:left="2430" w:hanging="360"/>
      </w:pPr>
      <w:rPr>
        <w:rFonts w:ascii="Wingdings" w:hAnsi="Wingdings" w:hint="default"/>
      </w:rPr>
    </w:lvl>
    <w:lvl w:ilvl="3" w:tentative="1">
      <w:start w:val="1"/>
      <w:numFmt w:val="bullet"/>
      <w:lvlText w:val=""/>
      <w:lvlJc w:val="left"/>
      <w:pPr>
        <w:ind w:left="3150" w:hanging="360"/>
      </w:pPr>
      <w:rPr>
        <w:rFonts w:ascii="Symbol" w:hAnsi="Symbol" w:hint="default"/>
      </w:rPr>
    </w:lvl>
    <w:lvl w:ilvl="4" w:tentative="1">
      <w:start w:val="1"/>
      <w:numFmt w:val="bullet"/>
      <w:lvlText w:val="o"/>
      <w:lvlJc w:val="left"/>
      <w:pPr>
        <w:ind w:left="3870" w:hanging="360"/>
      </w:pPr>
      <w:rPr>
        <w:rFonts w:ascii="Courier New" w:hAnsi="Courier New" w:cs="Courier New" w:hint="default"/>
      </w:rPr>
    </w:lvl>
    <w:lvl w:ilvl="5" w:tentative="1">
      <w:start w:val="1"/>
      <w:numFmt w:val="bullet"/>
      <w:lvlText w:val=""/>
      <w:lvlJc w:val="left"/>
      <w:pPr>
        <w:ind w:left="4590" w:hanging="360"/>
      </w:pPr>
      <w:rPr>
        <w:rFonts w:ascii="Wingdings" w:hAnsi="Wingdings" w:hint="default"/>
      </w:rPr>
    </w:lvl>
    <w:lvl w:ilvl="6" w:tentative="1">
      <w:start w:val="1"/>
      <w:numFmt w:val="bullet"/>
      <w:lvlText w:val=""/>
      <w:lvlJc w:val="left"/>
      <w:pPr>
        <w:ind w:left="5310" w:hanging="360"/>
      </w:pPr>
      <w:rPr>
        <w:rFonts w:ascii="Symbol" w:hAnsi="Symbol" w:hint="default"/>
      </w:rPr>
    </w:lvl>
    <w:lvl w:ilvl="7" w:tentative="1">
      <w:start w:val="1"/>
      <w:numFmt w:val="bullet"/>
      <w:lvlText w:val="o"/>
      <w:lvlJc w:val="left"/>
      <w:pPr>
        <w:ind w:left="6030" w:hanging="360"/>
      </w:pPr>
      <w:rPr>
        <w:rFonts w:ascii="Courier New" w:hAnsi="Courier New" w:cs="Courier New" w:hint="default"/>
      </w:rPr>
    </w:lvl>
    <w:lvl w:ilvl="8" w:tentative="1">
      <w:start w:val="1"/>
      <w:numFmt w:val="bullet"/>
      <w:lvlText w:val=""/>
      <w:lvlJc w:val="left"/>
      <w:pPr>
        <w:ind w:left="6750" w:hanging="360"/>
      </w:pPr>
      <w:rPr>
        <w:rFonts w:ascii="Wingdings" w:hAnsi="Wingdings" w:hint="default"/>
      </w:rPr>
    </w:lvl>
  </w:abstractNum>
  <w:abstractNum w:abstractNumId="26">
    <w:nsid w:val="434A41C4"/>
    <w:multiLevelType w:val="hybridMultilevel"/>
    <w:tmpl w:val="7DC8C3C4"/>
    <w:lvl w:ilvl="0">
      <w:start w:val="1"/>
      <w:numFmt w:val="lowerRoman"/>
      <w:lvlText w:val="(%1)"/>
      <w:lvlJc w:val="left"/>
      <w:pPr>
        <w:ind w:left="2880" w:hanging="360"/>
      </w:pPr>
      <w:rPr>
        <w:rFonts w:hint="default"/>
      </w:r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27">
    <w:nsid w:val="480F2B66"/>
    <w:multiLevelType w:val="hybridMultilevel"/>
    <w:tmpl w:val="61EACE64"/>
    <w:lvl w:ilvl="0">
      <w:start w:val="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49B26577"/>
    <w:multiLevelType w:val="hybridMultilevel"/>
    <w:tmpl w:val="669E1E26"/>
    <w:lvl w:ilvl="0">
      <w:start w:val="1"/>
      <w:numFmt w:val="upperLetter"/>
      <w:lvlText w:val="%1."/>
      <w:lvlJc w:val="left"/>
      <w:pPr>
        <w:ind w:left="720" w:hanging="360"/>
      </w:pPr>
      <w:rPr>
        <w:rFonts w:hint="default"/>
        <w:b/>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49E63732"/>
    <w:multiLevelType w:val="hybridMultilevel"/>
    <w:tmpl w:val="5CB28D2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nsid w:val="4B414E97"/>
    <w:multiLevelType w:val="hybridMultilevel"/>
    <w:tmpl w:val="8028DD4E"/>
    <w:lvl w:ilvl="0">
      <w:start w:val="1"/>
      <w:numFmt w:val="bullet"/>
      <w:lvlText w:val=""/>
      <w:lvlJc w:val="left"/>
      <w:pPr>
        <w:tabs>
          <w:tab w:val="num" w:pos="1060"/>
        </w:tabs>
        <w:ind w:left="1060" w:hanging="360"/>
      </w:pPr>
      <w:rPr>
        <w:rFonts w:ascii="Wingdings" w:hAnsi="Wingdings" w:hint="default"/>
      </w:rPr>
    </w:lvl>
    <w:lvl w:ilvl="1" w:tentative="1">
      <w:start w:val="1"/>
      <w:numFmt w:val="bullet"/>
      <w:lvlText w:val="o"/>
      <w:lvlJc w:val="left"/>
      <w:pPr>
        <w:tabs>
          <w:tab w:val="num" w:pos="1780"/>
        </w:tabs>
        <w:ind w:left="1780" w:hanging="360"/>
      </w:pPr>
      <w:rPr>
        <w:rFonts w:ascii="Courier New" w:hAnsi="Courier New" w:cs="Courier New" w:hint="default"/>
      </w:rPr>
    </w:lvl>
    <w:lvl w:ilvl="2" w:tentative="1">
      <w:start w:val="1"/>
      <w:numFmt w:val="bullet"/>
      <w:lvlText w:val=""/>
      <w:lvlJc w:val="left"/>
      <w:pPr>
        <w:tabs>
          <w:tab w:val="num" w:pos="2500"/>
        </w:tabs>
        <w:ind w:left="2500" w:hanging="360"/>
      </w:pPr>
      <w:rPr>
        <w:rFonts w:ascii="Wingdings" w:hAnsi="Wingdings" w:hint="default"/>
      </w:rPr>
    </w:lvl>
    <w:lvl w:ilvl="3" w:tentative="1">
      <w:start w:val="1"/>
      <w:numFmt w:val="bullet"/>
      <w:lvlText w:val=""/>
      <w:lvlJc w:val="left"/>
      <w:pPr>
        <w:tabs>
          <w:tab w:val="num" w:pos="3220"/>
        </w:tabs>
        <w:ind w:left="3220" w:hanging="360"/>
      </w:pPr>
      <w:rPr>
        <w:rFonts w:ascii="Symbol" w:hAnsi="Symbol" w:hint="default"/>
      </w:rPr>
    </w:lvl>
    <w:lvl w:ilvl="4" w:tentative="1">
      <w:start w:val="1"/>
      <w:numFmt w:val="bullet"/>
      <w:lvlText w:val="o"/>
      <w:lvlJc w:val="left"/>
      <w:pPr>
        <w:tabs>
          <w:tab w:val="num" w:pos="3940"/>
        </w:tabs>
        <w:ind w:left="3940" w:hanging="360"/>
      </w:pPr>
      <w:rPr>
        <w:rFonts w:ascii="Courier New" w:hAnsi="Courier New" w:cs="Courier New" w:hint="default"/>
      </w:rPr>
    </w:lvl>
    <w:lvl w:ilvl="5" w:tentative="1">
      <w:start w:val="1"/>
      <w:numFmt w:val="bullet"/>
      <w:lvlText w:val=""/>
      <w:lvlJc w:val="left"/>
      <w:pPr>
        <w:tabs>
          <w:tab w:val="num" w:pos="4660"/>
        </w:tabs>
        <w:ind w:left="4660" w:hanging="360"/>
      </w:pPr>
      <w:rPr>
        <w:rFonts w:ascii="Wingdings" w:hAnsi="Wingdings" w:hint="default"/>
      </w:rPr>
    </w:lvl>
    <w:lvl w:ilvl="6" w:tentative="1">
      <w:start w:val="1"/>
      <w:numFmt w:val="bullet"/>
      <w:lvlText w:val=""/>
      <w:lvlJc w:val="left"/>
      <w:pPr>
        <w:tabs>
          <w:tab w:val="num" w:pos="5380"/>
        </w:tabs>
        <w:ind w:left="5380" w:hanging="360"/>
      </w:pPr>
      <w:rPr>
        <w:rFonts w:ascii="Symbol" w:hAnsi="Symbol" w:hint="default"/>
      </w:rPr>
    </w:lvl>
    <w:lvl w:ilvl="7" w:tentative="1">
      <w:start w:val="1"/>
      <w:numFmt w:val="bullet"/>
      <w:lvlText w:val="o"/>
      <w:lvlJc w:val="left"/>
      <w:pPr>
        <w:tabs>
          <w:tab w:val="num" w:pos="6100"/>
        </w:tabs>
        <w:ind w:left="6100" w:hanging="360"/>
      </w:pPr>
      <w:rPr>
        <w:rFonts w:ascii="Courier New" w:hAnsi="Courier New" w:cs="Courier New" w:hint="default"/>
      </w:rPr>
    </w:lvl>
    <w:lvl w:ilvl="8" w:tentative="1">
      <w:start w:val="1"/>
      <w:numFmt w:val="bullet"/>
      <w:lvlText w:val=""/>
      <w:lvlJc w:val="left"/>
      <w:pPr>
        <w:tabs>
          <w:tab w:val="num" w:pos="6820"/>
        </w:tabs>
        <w:ind w:left="6820" w:hanging="360"/>
      </w:pPr>
      <w:rPr>
        <w:rFonts w:ascii="Wingdings" w:hAnsi="Wingdings" w:hint="default"/>
      </w:rPr>
    </w:lvl>
  </w:abstractNum>
  <w:abstractNum w:abstractNumId="31">
    <w:nsid w:val="4EF540A9"/>
    <w:multiLevelType w:val="hybridMultilevel"/>
    <w:tmpl w:val="C2CE11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54120B64"/>
    <w:multiLevelType w:val="hybridMultilevel"/>
    <w:tmpl w:val="4588CF14"/>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cs="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cs="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cs="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33">
    <w:nsid w:val="546D1DF4"/>
    <w:multiLevelType w:val="singleLevel"/>
    <w:tmpl w:val="04090001"/>
    <w:lvl w:ilvl="0">
      <w:start w:val="1"/>
      <w:numFmt w:val="bullet"/>
      <w:lvlText w:val=""/>
      <w:lvlJc w:val="left"/>
      <w:pPr>
        <w:ind w:left="720" w:hanging="360"/>
      </w:pPr>
      <w:rPr>
        <w:rFonts w:ascii="Symbol" w:hAnsi="Symbol" w:hint="default"/>
      </w:rPr>
    </w:lvl>
  </w:abstractNum>
  <w:abstractNum w:abstractNumId="34">
    <w:nsid w:val="556B2DCE"/>
    <w:multiLevelType w:val="hybridMultilevel"/>
    <w:tmpl w:val="CFB4B266"/>
    <w:lvl w:ilvl="0">
      <w:start w:val="8"/>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5637498F"/>
    <w:multiLevelType w:val="hybridMultilevel"/>
    <w:tmpl w:val="68889A54"/>
    <w:lvl w:ilvl="0">
      <w:start w:val="1"/>
      <w:numFmt w:val="lowerRoman"/>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5A74681E"/>
    <w:multiLevelType w:val="hybridMultilevel"/>
    <w:tmpl w:val="20D4B4CA"/>
    <w:lvl w:ilvl="0">
      <w:start w:val="1"/>
      <w:numFmt w:val="decimal"/>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5FCA1CE7"/>
    <w:multiLevelType w:val="hybridMultilevel"/>
    <w:tmpl w:val="266C41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62AA559B"/>
    <w:multiLevelType w:val="hybridMultilevel"/>
    <w:tmpl w:val="D4DEC66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63091A02"/>
    <w:multiLevelType w:val="hybridMultilevel"/>
    <w:tmpl w:val="EE30396E"/>
    <w:lvl w:ilvl="0">
      <w:start w:val="1"/>
      <w:numFmt w:val="lowerRoman"/>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0">
    <w:nsid w:val="69681247"/>
    <w:multiLevelType w:val="singleLevel"/>
    <w:tmpl w:val="1082AB00"/>
    <w:lvl w:ilvl="0">
      <w:start w:val="1"/>
      <w:numFmt w:val="decimal"/>
      <w:lvlText w:val="%1."/>
      <w:legacy w:legacy="1" w:legacySpace="0" w:legacyIndent="360"/>
      <w:lvlJc w:val="left"/>
      <w:pPr>
        <w:ind w:left="360" w:hanging="360"/>
      </w:pPr>
    </w:lvl>
  </w:abstractNum>
  <w:abstractNum w:abstractNumId="41">
    <w:nsid w:val="6FB77F90"/>
    <w:multiLevelType w:val="singleLevel"/>
    <w:tmpl w:val="0409000F"/>
    <w:lvl w:ilvl="0">
      <w:start w:val="3"/>
      <w:numFmt w:val="decimal"/>
      <w:lvlText w:val="%1."/>
      <w:lvlJc w:val="left"/>
      <w:pPr>
        <w:tabs>
          <w:tab w:val="num" w:pos="360"/>
        </w:tabs>
        <w:ind w:left="360" w:hanging="360"/>
      </w:pPr>
      <w:rPr>
        <w:rFonts w:hint="default"/>
      </w:rPr>
    </w:lvl>
  </w:abstractNum>
  <w:abstractNum w:abstractNumId="42">
    <w:nsid w:val="70AB156C"/>
    <w:multiLevelType w:val="hybridMultilevel"/>
    <w:tmpl w:val="6B9CA468"/>
    <w:lvl w:ilvl="0">
      <w:start w:val="1"/>
      <w:numFmt w:val="decimal"/>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73611C64"/>
    <w:multiLevelType w:val="singleLevel"/>
    <w:tmpl w:val="E3CA830C"/>
    <w:lvl w:ilvl="0">
      <w:start w:val="12"/>
      <w:numFmt w:val="decimal"/>
      <w:lvlJc w:val="left"/>
      <w:pPr>
        <w:tabs>
          <w:tab w:val="num" w:pos="360"/>
        </w:tabs>
        <w:ind w:left="360" w:hanging="360"/>
      </w:pPr>
      <w:rPr>
        <w:rFonts w:hint="default"/>
      </w:rPr>
    </w:lvl>
  </w:abstractNum>
  <w:abstractNum w:abstractNumId="44">
    <w:nsid w:val="77EA145F"/>
    <w:multiLevelType w:val="hybridMultilevel"/>
    <w:tmpl w:val="CFB4B266"/>
    <w:lvl w:ilvl="0">
      <w:start w:val="8"/>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793B253C"/>
    <w:multiLevelType w:val="hybridMultilevel"/>
    <w:tmpl w:val="44246B1C"/>
    <w:lvl w:ilvl="0">
      <w:start w:val="1"/>
      <w:numFmt w:val="lowerRoman"/>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51918089">
    <w:abstractNumId w:val="0"/>
    <w:lvlOverride w:ilvl="0">
      <w:lvl w:ilvl="0">
        <w:start w:val="0"/>
        <w:numFmt w:val="bullet"/>
        <w:lvlText w:val="?"/>
        <w:legacy w:legacy="1" w:legacySpace="0" w:legacyIndent="1247"/>
        <w:lvlJc w:val="left"/>
        <w:pPr>
          <w:ind w:left="1587" w:hanging="1247"/>
        </w:pPr>
        <w:rPr>
          <w:rFonts w:ascii="Arial MT" w:hAnsi="Arial MT" w:hint="default"/>
        </w:rPr>
      </w:lvl>
    </w:lvlOverride>
  </w:num>
  <w:num w:numId="2" w16cid:durableId="1400131916">
    <w:abstractNumId w:val="23"/>
  </w:num>
  <w:num w:numId="3" w16cid:durableId="576327511">
    <w:abstractNumId w:val="17"/>
  </w:num>
  <w:num w:numId="4" w16cid:durableId="767384331">
    <w:abstractNumId w:val="40"/>
  </w:num>
  <w:num w:numId="5" w16cid:durableId="131600765">
    <w:abstractNumId w:val="1"/>
  </w:num>
  <w:num w:numId="6" w16cid:durableId="1137337922">
    <w:abstractNumId w:val="6"/>
  </w:num>
  <w:num w:numId="7" w16cid:durableId="1873882055">
    <w:abstractNumId w:val="30"/>
  </w:num>
  <w:num w:numId="8" w16cid:durableId="1072309177">
    <w:abstractNumId w:val="29"/>
  </w:num>
  <w:num w:numId="9" w16cid:durableId="265619951">
    <w:abstractNumId w:val="32"/>
  </w:num>
  <w:num w:numId="10" w16cid:durableId="838884590">
    <w:abstractNumId w:val="13"/>
  </w:num>
  <w:num w:numId="11" w16cid:durableId="1205556385">
    <w:abstractNumId w:val="41"/>
  </w:num>
  <w:num w:numId="12" w16cid:durableId="865756129">
    <w:abstractNumId w:val="43"/>
  </w:num>
  <w:num w:numId="13" w16cid:durableId="494491026">
    <w:abstractNumId w:val="33"/>
  </w:num>
  <w:num w:numId="14" w16cid:durableId="455103411">
    <w:abstractNumId w:val="14"/>
  </w:num>
  <w:num w:numId="15" w16cid:durableId="2070883082">
    <w:abstractNumId w:val="8"/>
  </w:num>
  <w:num w:numId="16" w16cid:durableId="1578979430">
    <w:abstractNumId w:val="24"/>
  </w:num>
  <w:num w:numId="17" w16cid:durableId="744186166">
    <w:abstractNumId w:val="12"/>
  </w:num>
  <w:num w:numId="18" w16cid:durableId="1146241547">
    <w:abstractNumId w:val="3"/>
  </w:num>
  <w:num w:numId="19" w16cid:durableId="2078043833">
    <w:abstractNumId w:val="19"/>
  </w:num>
  <w:num w:numId="20" w16cid:durableId="1839689119">
    <w:abstractNumId w:val="2"/>
  </w:num>
  <w:num w:numId="21" w16cid:durableId="1573546073">
    <w:abstractNumId w:val="21"/>
  </w:num>
  <w:num w:numId="22" w16cid:durableId="745997092">
    <w:abstractNumId w:val="11"/>
  </w:num>
  <w:num w:numId="23" w16cid:durableId="706641738">
    <w:abstractNumId w:val="18"/>
  </w:num>
  <w:num w:numId="24" w16cid:durableId="1516573391">
    <w:abstractNumId w:val="31"/>
  </w:num>
  <w:num w:numId="25" w16cid:durableId="805661964">
    <w:abstractNumId w:val="9"/>
  </w:num>
  <w:num w:numId="26" w16cid:durableId="220335517">
    <w:abstractNumId w:val="25"/>
  </w:num>
  <w:num w:numId="27" w16cid:durableId="1988194944">
    <w:abstractNumId w:val="38"/>
  </w:num>
  <w:num w:numId="28" w16cid:durableId="680738890">
    <w:abstractNumId w:val="26"/>
  </w:num>
  <w:num w:numId="29" w16cid:durableId="1187326173">
    <w:abstractNumId w:val="35"/>
  </w:num>
  <w:num w:numId="30" w16cid:durableId="1469129822">
    <w:abstractNumId w:val="37"/>
  </w:num>
  <w:num w:numId="31" w16cid:durableId="107511471">
    <w:abstractNumId w:val="22"/>
  </w:num>
  <w:num w:numId="32" w16cid:durableId="1170101658">
    <w:abstractNumId w:val="27"/>
  </w:num>
  <w:num w:numId="33" w16cid:durableId="643698481">
    <w:abstractNumId w:val="4"/>
  </w:num>
  <w:num w:numId="34" w16cid:durableId="1971208909">
    <w:abstractNumId w:val="45"/>
  </w:num>
  <w:num w:numId="35" w16cid:durableId="484246253">
    <w:abstractNumId w:val="28"/>
  </w:num>
  <w:num w:numId="36" w16cid:durableId="1280911213">
    <w:abstractNumId w:val="5"/>
  </w:num>
  <w:num w:numId="37" w16cid:durableId="297808421">
    <w:abstractNumId w:val="39"/>
  </w:num>
  <w:num w:numId="38" w16cid:durableId="632029936">
    <w:abstractNumId w:val="16"/>
  </w:num>
  <w:num w:numId="39" w16cid:durableId="1822769680">
    <w:abstractNumId w:val="20"/>
  </w:num>
  <w:num w:numId="40" w16cid:durableId="631906619">
    <w:abstractNumId w:val="15"/>
  </w:num>
  <w:num w:numId="41" w16cid:durableId="1422874348">
    <w:abstractNumId w:val="42"/>
  </w:num>
  <w:num w:numId="42" w16cid:durableId="506293349">
    <w:abstractNumId w:val="36"/>
  </w:num>
  <w:num w:numId="43" w16cid:durableId="194971300">
    <w:abstractNumId w:val="44"/>
  </w:num>
  <w:num w:numId="44" w16cid:durableId="2010205337">
    <w:abstractNumId w:val="34"/>
  </w:num>
  <w:num w:numId="45" w16cid:durableId="1090663711">
    <w:abstractNumId w:val="7"/>
  </w:num>
  <w:num w:numId="46" w16cid:durableId="3225846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0"/>
    <w:footnote w:id="1"/>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9C2"/>
    <w:rsid w:val="00012365"/>
    <w:rsid w:val="0001508D"/>
    <w:rsid w:val="000172C7"/>
    <w:rsid w:val="00017FEC"/>
    <w:rsid w:val="000255F9"/>
    <w:rsid w:val="00031642"/>
    <w:rsid w:val="0006064B"/>
    <w:rsid w:val="00064DB8"/>
    <w:rsid w:val="00076400"/>
    <w:rsid w:val="000827E6"/>
    <w:rsid w:val="00087571"/>
    <w:rsid w:val="00093D54"/>
    <w:rsid w:val="00094CD2"/>
    <w:rsid w:val="000B4A15"/>
    <w:rsid w:val="000B53B1"/>
    <w:rsid w:val="000B7A82"/>
    <w:rsid w:val="000C4DBF"/>
    <w:rsid w:val="000D085C"/>
    <w:rsid w:val="000D1FC9"/>
    <w:rsid w:val="000D6B56"/>
    <w:rsid w:val="000D726B"/>
    <w:rsid w:val="000D7BB6"/>
    <w:rsid w:val="000E1111"/>
    <w:rsid w:val="000E4D39"/>
    <w:rsid w:val="000E581E"/>
    <w:rsid w:val="000F175B"/>
    <w:rsid w:val="000F586A"/>
    <w:rsid w:val="00112C31"/>
    <w:rsid w:val="00117A68"/>
    <w:rsid w:val="001257D9"/>
    <w:rsid w:val="0012659C"/>
    <w:rsid w:val="00126AE3"/>
    <w:rsid w:val="00126E45"/>
    <w:rsid w:val="00135CA6"/>
    <w:rsid w:val="00141B97"/>
    <w:rsid w:val="00147831"/>
    <w:rsid w:val="00153F20"/>
    <w:rsid w:val="00156F58"/>
    <w:rsid w:val="0015716C"/>
    <w:rsid w:val="00160683"/>
    <w:rsid w:val="00172EC2"/>
    <w:rsid w:val="0018131D"/>
    <w:rsid w:val="001916AB"/>
    <w:rsid w:val="001A45D9"/>
    <w:rsid w:val="001B5F15"/>
    <w:rsid w:val="001C1F22"/>
    <w:rsid w:val="001D1B99"/>
    <w:rsid w:val="001E3721"/>
    <w:rsid w:val="001E61DA"/>
    <w:rsid w:val="001F167E"/>
    <w:rsid w:val="001F28BF"/>
    <w:rsid w:val="002011FD"/>
    <w:rsid w:val="002038A7"/>
    <w:rsid w:val="002040F5"/>
    <w:rsid w:val="002100E4"/>
    <w:rsid w:val="0022101C"/>
    <w:rsid w:val="00224148"/>
    <w:rsid w:val="002242D4"/>
    <w:rsid w:val="00224B9D"/>
    <w:rsid w:val="00225A5A"/>
    <w:rsid w:val="002365CB"/>
    <w:rsid w:val="00273B17"/>
    <w:rsid w:val="00274EC4"/>
    <w:rsid w:val="00276439"/>
    <w:rsid w:val="00283379"/>
    <w:rsid w:val="00283AEE"/>
    <w:rsid w:val="00285C27"/>
    <w:rsid w:val="00290762"/>
    <w:rsid w:val="00290B28"/>
    <w:rsid w:val="00292CE2"/>
    <w:rsid w:val="002B29D1"/>
    <w:rsid w:val="002C74C7"/>
    <w:rsid w:val="002D3A5D"/>
    <w:rsid w:val="002E5F3A"/>
    <w:rsid w:val="002F4E9F"/>
    <w:rsid w:val="002F65AA"/>
    <w:rsid w:val="00300BD5"/>
    <w:rsid w:val="003029C3"/>
    <w:rsid w:val="00305581"/>
    <w:rsid w:val="00316275"/>
    <w:rsid w:val="003217D6"/>
    <w:rsid w:val="0032564D"/>
    <w:rsid w:val="00330D7A"/>
    <w:rsid w:val="00340FD0"/>
    <w:rsid w:val="00344D10"/>
    <w:rsid w:val="003453D4"/>
    <w:rsid w:val="00356D09"/>
    <w:rsid w:val="00372BCE"/>
    <w:rsid w:val="003737E3"/>
    <w:rsid w:val="00377C60"/>
    <w:rsid w:val="00380FC0"/>
    <w:rsid w:val="0038352F"/>
    <w:rsid w:val="00391343"/>
    <w:rsid w:val="00394584"/>
    <w:rsid w:val="00394B51"/>
    <w:rsid w:val="003968C1"/>
    <w:rsid w:val="003A5D15"/>
    <w:rsid w:val="003C0A8F"/>
    <w:rsid w:val="003C29C2"/>
    <w:rsid w:val="003D40BB"/>
    <w:rsid w:val="003D687C"/>
    <w:rsid w:val="003D70F3"/>
    <w:rsid w:val="003D740E"/>
    <w:rsid w:val="003E6BDC"/>
    <w:rsid w:val="003F250C"/>
    <w:rsid w:val="004119A4"/>
    <w:rsid w:val="00413B20"/>
    <w:rsid w:val="00414B52"/>
    <w:rsid w:val="00416021"/>
    <w:rsid w:val="0042050C"/>
    <w:rsid w:val="00425CAA"/>
    <w:rsid w:val="004337E2"/>
    <w:rsid w:val="00436656"/>
    <w:rsid w:val="004420A9"/>
    <w:rsid w:val="00446050"/>
    <w:rsid w:val="00460A70"/>
    <w:rsid w:val="004667AC"/>
    <w:rsid w:val="004756A5"/>
    <w:rsid w:val="0047647F"/>
    <w:rsid w:val="004837DB"/>
    <w:rsid w:val="00484909"/>
    <w:rsid w:val="00494DC4"/>
    <w:rsid w:val="00496A7E"/>
    <w:rsid w:val="0049728E"/>
    <w:rsid w:val="004A6E22"/>
    <w:rsid w:val="004B469C"/>
    <w:rsid w:val="004B7A8C"/>
    <w:rsid w:val="004C08B4"/>
    <w:rsid w:val="004C0B95"/>
    <w:rsid w:val="004C23E1"/>
    <w:rsid w:val="004C6E57"/>
    <w:rsid w:val="004C7816"/>
    <w:rsid w:val="004D0954"/>
    <w:rsid w:val="004D57F4"/>
    <w:rsid w:val="004D6793"/>
    <w:rsid w:val="004E03DA"/>
    <w:rsid w:val="004F0673"/>
    <w:rsid w:val="004F3C1F"/>
    <w:rsid w:val="004F54F8"/>
    <w:rsid w:val="004F692A"/>
    <w:rsid w:val="00506AA5"/>
    <w:rsid w:val="00507487"/>
    <w:rsid w:val="00510F72"/>
    <w:rsid w:val="00514810"/>
    <w:rsid w:val="00520FB8"/>
    <w:rsid w:val="0052291A"/>
    <w:rsid w:val="00523E3C"/>
    <w:rsid w:val="00534C1D"/>
    <w:rsid w:val="00535885"/>
    <w:rsid w:val="00535A56"/>
    <w:rsid w:val="00541C22"/>
    <w:rsid w:val="0055166D"/>
    <w:rsid w:val="0055502A"/>
    <w:rsid w:val="00555533"/>
    <w:rsid w:val="00561E94"/>
    <w:rsid w:val="00566C75"/>
    <w:rsid w:val="00574824"/>
    <w:rsid w:val="00581C11"/>
    <w:rsid w:val="00596742"/>
    <w:rsid w:val="00597C91"/>
    <w:rsid w:val="005A38E3"/>
    <w:rsid w:val="005A4185"/>
    <w:rsid w:val="005A6359"/>
    <w:rsid w:val="005C45AE"/>
    <w:rsid w:val="005D3F66"/>
    <w:rsid w:val="005D4E3C"/>
    <w:rsid w:val="005D74AA"/>
    <w:rsid w:val="005E05AD"/>
    <w:rsid w:val="005E3AD3"/>
    <w:rsid w:val="005E4904"/>
    <w:rsid w:val="005E511E"/>
    <w:rsid w:val="005F2D2A"/>
    <w:rsid w:val="005F392B"/>
    <w:rsid w:val="00602D6A"/>
    <w:rsid w:val="00606105"/>
    <w:rsid w:val="00614901"/>
    <w:rsid w:val="00622E54"/>
    <w:rsid w:val="006234BF"/>
    <w:rsid w:val="0062702F"/>
    <w:rsid w:val="00633DD4"/>
    <w:rsid w:val="00634E29"/>
    <w:rsid w:val="00635A06"/>
    <w:rsid w:val="00636216"/>
    <w:rsid w:val="00657F89"/>
    <w:rsid w:val="006623BC"/>
    <w:rsid w:val="00662E47"/>
    <w:rsid w:val="006649EB"/>
    <w:rsid w:val="00666104"/>
    <w:rsid w:val="00670C5F"/>
    <w:rsid w:val="00691D4E"/>
    <w:rsid w:val="006A3945"/>
    <w:rsid w:val="006A44FA"/>
    <w:rsid w:val="006A5127"/>
    <w:rsid w:val="006B2F44"/>
    <w:rsid w:val="006B6BAA"/>
    <w:rsid w:val="006C17CB"/>
    <w:rsid w:val="006C5820"/>
    <w:rsid w:val="006C5A29"/>
    <w:rsid w:val="006C7CFE"/>
    <w:rsid w:val="006D2D14"/>
    <w:rsid w:val="006D31DF"/>
    <w:rsid w:val="006D7381"/>
    <w:rsid w:val="006E48CC"/>
    <w:rsid w:val="006E585B"/>
    <w:rsid w:val="006F0110"/>
    <w:rsid w:val="006F157C"/>
    <w:rsid w:val="006F49C8"/>
    <w:rsid w:val="00715F60"/>
    <w:rsid w:val="007174B7"/>
    <w:rsid w:val="007202FF"/>
    <w:rsid w:val="007217A6"/>
    <w:rsid w:val="007276CF"/>
    <w:rsid w:val="00744CB7"/>
    <w:rsid w:val="007456CE"/>
    <w:rsid w:val="00752430"/>
    <w:rsid w:val="00772B96"/>
    <w:rsid w:val="007738EE"/>
    <w:rsid w:val="00774E47"/>
    <w:rsid w:val="00781EA1"/>
    <w:rsid w:val="0078306A"/>
    <w:rsid w:val="007852AA"/>
    <w:rsid w:val="0079302C"/>
    <w:rsid w:val="00796A41"/>
    <w:rsid w:val="007B2E57"/>
    <w:rsid w:val="007B69A1"/>
    <w:rsid w:val="007B7622"/>
    <w:rsid w:val="007C2DDC"/>
    <w:rsid w:val="007C7A66"/>
    <w:rsid w:val="007E02B0"/>
    <w:rsid w:val="007E2BDC"/>
    <w:rsid w:val="007F3EF2"/>
    <w:rsid w:val="007F5479"/>
    <w:rsid w:val="007F6104"/>
    <w:rsid w:val="008003B3"/>
    <w:rsid w:val="00801F25"/>
    <w:rsid w:val="00810152"/>
    <w:rsid w:val="00823892"/>
    <w:rsid w:val="00824FD1"/>
    <w:rsid w:val="00826B98"/>
    <w:rsid w:val="00826D76"/>
    <w:rsid w:val="00826D7D"/>
    <w:rsid w:val="0083129F"/>
    <w:rsid w:val="00831612"/>
    <w:rsid w:val="00831984"/>
    <w:rsid w:val="0084449A"/>
    <w:rsid w:val="008554C9"/>
    <w:rsid w:val="00856056"/>
    <w:rsid w:val="00861846"/>
    <w:rsid w:val="00864251"/>
    <w:rsid w:val="008808BA"/>
    <w:rsid w:val="0088114D"/>
    <w:rsid w:val="0088277F"/>
    <w:rsid w:val="008869B0"/>
    <w:rsid w:val="00892144"/>
    <w:rsid w:val="0089718C"/>
    <w:rsid w:val="008A3EFE"/>
    <w:rsid w:val="008A7414"/>
    <w:rsid w:val="008C5BF6"/>
    <w:rsid w:val="008C63CC"/>
    <w:rsid w:val="008D37BA"/>
    <w:rsid w:val="008E4CC4"/>
    <w:rsid w:val="008E5940"/>
    <w:rsid w:val="008E607F"/>
    <w:rsid w:val="008E7A5C"/>
    <w:rsid w:val="008F4F04"/>
    <w:rsid w:val="008F5C01"/>
    <w:rsid w:val="008F6483"/>
    <w:rsid w:val="00900F48"/>
    <w:rsid w:val="009032E8"/>
    <w:rsid w:val="00904A89"/>
    <w:rsid w:val="009202DE"/>
    <w:rsid w:val="00931846"/>
    <w:rsid w:val="0094218F"/>
    <w:rsid w:val="00944861"/>
    <w:rsid w:val="009734B4"/>
    <w:rsid w:val="00980CF6"/>
    <w:rsid w:val="009900DD"/>
    <w:rsid w:val="0099171D"/>
    <w:rsid w:val="009927AE"/>
    <w:rsid w:val="009949A8"/>
    <w:rsid w:val="009967D1"/>
    <w:rsid w:val="009A7DA0"/>
    <w:rsid w:val="009B1475"/>
    <w:rsid w:val="009B15B7"/>
    <w:rsid w:val="009C3F97"/>
    <w:rsid w:val="009C5417"/>
    <w:rsid w:val="009C581D"/>
    <w:rsid w:val="009E5367"/>
    <w:rsid w:val="009F7705"/>
    <w:rsid w:val="00A05E11"/>
    <w:rsid w:val="00A068E8"/>
    <w:rsid w:val="00A07C2A"/>
    <w:rsid w:val="00A21BF4"/>
    <w:rsid w:val="00A23EED"/>
    <w:rsid w:val="00A311BA"/>
    <w:rsid w:val="00A36925"/>
    <w:rsid w:val="00A50B3D"/>
    <w:rsid w:val="00A543BF"/>
    <w:rsid w:val="00A7240A"/>
    <w:rsid w:val="00A729DD"/>
    <w:rsid w:val="00A829A0"/>
    <w:rsid w:val="00A8522C"/>
    <w:rsid w:val="00A90580"/>
    <w:rsid w:val="00A93093"/>
    <w:rsid w:val="00AA0B11"/>
    <w:rsid w:val="00AA1F70"/>
    <w:rsid w:val="00AA28D1"/>
    <w:rsid w:val="00AA3B69"/>
    <w:rsid w:val="00AB547F"/>
    <w:rsid w:val="00AB5CCF"/>
    <w:rsid w:val="00AB7743"/>
    <w:rsid w:val="00AB7C39"/>
    <w:rsid w:val="00AC3499"/>
    <w:rsid w:val="00AC46D9"/>
    <w:rsid w:val="00AD0AC3"/>
    <w:rsid w:val="00AD72A8"/>
    <w:rsid w:val="00AE496D"/>
    <w:rsid w:val="00AF269B"/>
    <w:rsid w:val="00AF5D1A"/>
    <w:rsid w:val="00AF637F"/>
    <w:rsid w:val="00B103BC"/>
    <w:rsid w:val="00B1042F"/>
    <w:rsid w:val="00B13209"/>
    <w:rsid w:val="00B144B6"/>
    <w:rsid w:val="00B2285E"/>
    <w:rsid w:val="00B22862"/>
    <w:rsid w:val="00B31305"/>
    <w:rsid w:val="00B32ED7"/>
    <w:rsid w:val="00B407F3"/>
    <w:rsid w:val="00B43AC1"/>
    <w:rsid w:val="00B473CB"/>
    <w:rsid w:val="00B515E7"/>
    <w:rsid w:val="00B5258C"/>
    <w:rsid w:val="00B52E7A"/>
    <w:rsid w:val="00B54C42"/>
    <w:rsid w:val="00B55F86"/>
    <w:rsid w:val="00B56BB5"/>
    <w:rsid w:val="00B646CF"/>
    <w:rsid w:val="00B808CA"/>
    <w:rsid w:val="00B820E5"/>
    <w:rsid w:val="00B85264"/>
    <w:rsid w:val="00BA3449"/>
    <w:rsid w:val="00BB5396"/>
    <w:rsid w:val="00BC27FC"/>
    <w:rsid w:val="00BC592E"/>
    <w:rsid w:val="00BD76C7"/>
    <w:rsid w:val="00BE36C2"/>
    <w:rsid w:val="00BF331F"/>
    <w:rsid w:val="00BF4CDB"/>
    <w:rsid w:val="00C00299"/>
    <w:rsid w:val="00C002E1"/>
    <w:rsid w:val="00C02A49"/>
    <w:rsid w:val="00C03158"/>
    <w:rsid w:val="00C04A7E"/>
    <w:rsid w:val="00C06BDE"/>
    <w:rsid w:val="00C17A6B"/>
    <w:rsid w:val="00C222DE"/>
    <w:rsid w:val="00C2268A"/>
    <w:rsid w:val="00C22739"/>
    <w:rsid w:val="00C262AE"/>
    <w:rsid w:val="00C33528"/>
    <w:rsid w:val="00C377B6"/>
    <w:rsid w:val="00C40A64"/>
    <w:rsid w:val="00C5501B"/>
    <w:rsid w:val="00C60EB9"/>
    <w:rsid w:val="00C723C2"/>
    <w:rsid w:val="00C73DE2"/>
    <w:rsid w:val="00C74E10"/>
    <w:rsid w:val="00C948E9"/>
    <w:rsid w:val="00C95DC9"/>
    <w:rsid w:val="00CA2698"/>
    <w:rsid w:val="00CB0DA7"/>
    <w:rsid w:val="00CC0087"/>
    <w:rsid w:val="00CD1715"/>
    <w:rsid w:val="00CD3CEB"/>
    <w:rsid w:val="00CD4E11"/>
    <w:rsid w:val="00CD58C3"/>
    <w:rsid w:val="00CD7F7C"/>
    <w:rsid w:val="00CF02E4"/>
    <w:rsid w:val="00D033D4"/>
    <w:rsid w:val="00D11BB8"/>
    <w:rsid w:val="00D13A49"/>
    <w:rsid w:val="00D16348"/>
    <w:rsid w:val="00D16C78"/>
    <w:rsid w:val="00D41816"/>
    <w:rsid w:val="00D44C08"/>
    <w:rsid w:val="00D50117"/>
    <w:rsid w:val="00D52D30"/>
    <w:rsid w:val="00D71B59"/>
    <w:rsid w:val="00D75460"/>
    <w:rsid w:val="00D7640F"/>
    <w:rsid w:val="00D7688E"/>
    <w:rsid w:val="00D85FEA"/>
    <w:rsid w:val="00D86610"/>
    <w:rsid w:val="00DA20A9"/>
    <w:rsid w:val="00DA4894"/>
    <w:rsid w:val="00DC3120"/>
    <w:rsid w:val="00DD4FE4"/>
    <w:rsid w:val="00DD652B"/>
    <w:rsid w:val="00DE1D79"/>
    <w:rsid w:val="00DE1EBC"/>
    <w:rsid w:val="00DE754A"/>
    <w:rsid w:val="00DF6C85"/>
    <w:rsid w:val="00E060A7"/>
    <w:rsid w:val="00E131BD"/>
    <w:rsid w:val="00E13A3D"/>
    <w:rsid w:val="00E16B94"/>
    <w:rsid w:val="00E17878"/>
    <w:rsid w:val="00E24F7A"/>
    <w:rsid w:val="00E26E7E"/>
    <w:rsid w:val="00E2728A"/>
    <w:rsid w:val="00E45C02"/>
    <w:rsid w:val="00E5161F"/>
    <w:rsid w:val="00E55AA0"/>
    <w:rsid w:val="00E56998"/>
    <w:rsid w:val="00E62CD8"/>
    <w:rsid w:val="00E65999"/>
    <w:rsid w:val="00E70AAF"/>
    <w:rsid w:val="00E77E36"/>
    <w:rsid w:val="00E807A6"/>
    <w:rsid w:val="00E8255C"/>
    <w:rsid w:val="00E82D73"/>
    <w:rsid w:val="00E903A5"/>
    <w:rsid w:val="00E90A22"/>
    <w:rsid w:val="00EA0C32"/>
    <w:rsid w:val="00EA2444"/>
    <w:rsid w:val="00EA4EC3"/>
    <w:rsid w:val="00EA6C47"/>
    <w:rsid w:val="00EA6D6C"/>
    <w:rsid w:val="00EA7E8E"/>
    <w:rsid w:val="00EC6EEE"/>
    <w:rsid w:val="00ED0B97"/>
    <w:rsid w:val="00ED23A4"/>
    <w:rsid w:val="00EE6AD5"/>
    <w:rsid w:val="00EE7590"/>
    <w:rsid w:val="00EF0DE7"/>
    <w:rsid w:val="00EF2584"/>
    <w:rsid w:val="00EF3CB9"/>
    <w:rsid w:val="00EF5AF4"/>
    <w:rsid w:val="00EF791F"/>
    <w:rsid w:val="00F02590"/>
    <w:rsid w:val="00F030FE"/>
    <w:rsid w:val="00F0409E"/>
    <w:rsid w:val="00F1186F"/>
    <w:rsid w:val="00F17D11"/>
    <w:rsid w:val="00F17F09"/>
    <w:rsid w:val="00F24A0A"/>
    <w:rsid w:val="00F268E8"/>
    <w:rsid w:val="00F26DCE"/>
    <w:rsid w:val="00F313DF"/>
    <w:rsid w:val="00F3457E"/>
    <w:rsid w:val="00F371F5"/>
    <w:rsid w:val="00F41F7C"/>
    <w:rsid w:val="00F428AE"/>
    <w:rsid w:val="00F45652"/>
    <w:rsid w:val="00F47946"/>
    <w:rsid w:val="00F50D04"/>
    <w:rsid w:val="00F676DC"/>
    <w:rsid w:val="00F70A76"/>
    <w:rsid w:val="00F735A9"/>
    <w:rsid w:val="00F75309"/>
    <w:rsid w:val="00F8174F"/>
    <w:rsid w:val="00F81A1B"/>
    <w:rsid w:val="00F92384"/>
    <w:rsid w:val="00FB19DC"/>
    <w:rsid w:val="00FB383B"/>
    <w:rsid w:val="00FB65D0"/>
    <w:rsid w:val="00FC58BA"/>
    <w:rsid w:val="00FC636F"/>
    <w:rsid w:val="00FC7F69"/>
    <w:rsid w:val="00FE1BAE"/>
    <w:rsid w:val="00FE5144"/>
    <w:rsid w:val="00FE67BF"/>
    <w:rsid w:val="00FF3171"/>
    <w:rsid w:val="00FF3360"/>
    <w:rsid w:val="00FF401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873FAA0"/>
  <w15:docId w15:val="{653204E5-699D-45C7-ADFB-FB8140A52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030FE"/>
    <w:rPr>
      <w:rFonts w:ascii="Courier" w:hAnsi="Courier"/>
      <w:sz w:val="24"/>
    </w:rPr>
  </w:style>
  <w:style w:type="paragraph" w:styleId="Heading1">
    <w:name w:val="heading 1"/>
    <w:basedOn w:val="Normal"/>
    <w:next w:val="Normal"/>
    <w:link w:val="Heading1Char"/>
    <w:qFormat/>
    <w:rsid w:val="00633DD4"/>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7E02B0"/>
    <w:pPr>
      <w:keepNext/>
      <w:spacing w:before="240" w:after="60"/>
      <w:outlineLvl w:val="1"/>
    </w:pPr>
    <w:rPr>
      <w:rFonts w:ascii="Cambria" w:hAnsi="Cambria"/>
      <w:b/>
      <w:bCs/>
      <w:i/>
      <w:iCs/>
      <w:sz w:val="28"/>
      <w:szCs w:val="28"/>
    </w:rPr>
  </w:style>
  <w:style w:type="paragraph" w:styleId="Heading5">
    <w:name w:val="heading 5"/>
    <w:basedOn w:val="Normal"/>
    <w:next w:val="Normal"/>
    <w:link w:val="Heading5Char"/>
    <w:qFormat/>
    <w:rsid w:val="00FC58BA"/>
    <w:pPr>
      <w:keepNext/>
      <w:ind w:left="720"/>
      <w:outlineLvl w:val="4"/>
    </w:pPr>
    <w:rPr>
      <w:rFonts w:ascii="Times New Roman" w:hAnsi="Times New Roman"/>
    </w:rPr>
  </w:style>
  <w:style w:type="paragraph" w:styleId="Heading6">
    <w:name w:val="heading 6"/>
    <w:basedOn w:val="Normal"/>
    <w:next w:val="Normal"/>
    <w:link w:val="Heading6Char"/>
    <w:semiHidden/>
    <w:unhideWhenUsed/>
    <w:qFormat/>
    <w:rsid w:val="00633DD4"/>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F030FE"/>
    <w:pPr>
      <w:tabs>
        <w:tab w:val="left" w:pos="-720"/>
      </w:tabs>
      <w:suppressAutoHyphens/>
    </w:pPr>
  </w:style>
  <w:style w:type="character" w:styleId="EndnoteReference">
    <w:name w:val="endnote reference"/>
    <w:basedOn w:val="DefaultParagraphFont"/>
    <w:semiHidden/>
    <w:rsid w:val="00F030FE"/>
    <w:rPr>
      <w:rFonts w:ascii="Courier" w:hAnsi="Courier"/>
      <w:noProof w:val="0"/>
      <w:sz w:val="24"/>
      <w:vertAlign w:val="superscript"/>
      <w:lang w:val="en-US"/>
    </w:rPr>
  </w:style>
  <w:style w:type="paragraph" w:styleId="FootnoteText">
    <w:name w:val="footnote text"/>
    <w:basedOn w:val="Normal"/>
    <w:link w:val="FootnoteTextChar"/>
    <w:uiPriority w:val="99"/>
    <w:rsid w:val="00F030FE"/>
    <w:pPr>
      <w:tabs>
        <w:tab w:val="left" w:pos="-720"/>
      </w:tabs>
      <w:suppressAutoHyphens/>
    </w:pPr>
  </w:style>
  <w:style w:type="character" w:styleId="FootnoteReference">
    <w:name w:val="footnote reference"/>
    <w:basedOn w:val="DefaultParagraphFont"/>
    <w:uiPriority w:val="99"/>
    <w:rsid w:val="00F030FE"/>
    <w:rPr>
      <w:rFonts w:ascii="Courier" w:hAnsi="Courier"/>
      <w:noProof w:val="0"/>
      <w:sz w:val="24"/>
      <w:vertAlign w:val="superscript"/>
      <w:lang w:val="en-US"/>
    </w:rPr>
  </w:style>
  <w:style w:type="character" w:customStyle="1" w:styleId="DefaultParagraphFo">
    <w:name w:val="Default Paragraph Fo"/>
    <w:basedOn w:val="DefaultParagraphFont"/>
    <w:rsid w:val="00F030FE"/>
  </w:style>
  <w:style w:type="character" w:customStyle="1" w:styleId="EquationCaption">
    <w:name w:val="_Equation Caption"/>
    <w:basedOn w:val="DefaultParagraphFont"/>
    <w:rsid w:val="00F030FE"/>
  </w:style>
  <w:style w:type="paragraph" w:styleId="Footer">
    <w:name w:val="footer"/>
    <w:basedOn w:val="Normal"/>
    <w:rsid w:val="00F030FE"/>
    <w:pPr>
      <w:tabs>
        <w:tab w:val="left" w:pos="0"/>
        <w:tab w:val="center" w:pos="4320"/>
        <w:tab w:val="right" w:pos="8640"/>
      </w:tabs>
      <w:suppressAutoHyphens/>
    </w:pPr>
  </w:style>
  <w:style w:type="paragraph" w:styleId="Header">
    <w:name w:val="header"/>
    <w:basedOn w:val="Normal"/>
    <w:link w:val="HeaderChar"/>
    <w:uiPriority w:val="99"/>
    <w:rsid w:val="00F030FE"/>
    <w:pPr>
      <w:tabs>
        <w:tab w:val="left" w:pos="0"/>
        <w:tab w:val="left" w:pos="360"/>
        <w:tab w:val="right" w:pos="9000"/>
        <w:tab w:val="left" w:pos="9360"/>
      </w:tabs>
      <w:suppressAutoHyphens/>
    </w:pPr>
  </w:style>
  <w:style w:type="character" w:styleId="PageNumber">
    <w:name w:val="page number"/>
    <w:basedOn w:val="DefaultParagraphFont"/>
    <w:rsid w:val="00F030FE"/>
  </w:style>
  <w:style w:type="character" w:customStyle="1" w:styleId="EquationCaption1">
    <w:name w:val="_Equation Caption1"/>
    <w:basedOn w:val="DefaultParagraphFont"/>
    <w:rsid w:val="00F030FE"/>
  </w:style>
  <w:style w:type="paragraph" w:styleId="TOC1">
    <w:name w:val="toc 1"/>
    <w:basedOn w:val="Normal"/>
    <w:next w:val="Normal"/>
    <w:semiHidden/>
    <w:rsid w:val="00F030FE"/>
    <w:pPr>
      <w:tabs>
        <w:tab w:val="right" w:leader="dot" w:pos="9360"/>
      </w:tabs>
      <w:suppressAutoHyphens/>
      <w:spacing w:before="480"/>
      <w:ind w:left="720" w:right="720" w:hanging="720"/>
    </w:pPr>
  </w:style>
  <w:style w:type="paragraph" w:styleId="TOC2">
    <w:name w:val="toc 2"/>
    <w:basedOn w:val="Normal"/>
    <w:next w:val="Normal"/>
    <w:semiHidden/>
    <w:rsid w:val="00F030FE"/>
    <w:pPr>
      <w:tabs>
        <w:tab w:val="right" w:leader="dot" w:pos="9360"/>
      </w:tabs>
      <w:suppressAutoHyphens/>
      <w:ind w:left="1440" w:right="720" w:hanging="720"/>
    </w:pPr>
  </w:style>
  <w:style w:type="paragraph" w:styleId="TOC3">
    <w:name w:val="toc 3"/>
    <w:basedOn w:val="Normal"/>
    <w:next w:val="Normal"/>
    <w:semiHidden/>
    <w:rsid w:val="00F030FE"/>
    <w:pPr>
      <w:tabs>
        <w:tab w:val="right" w:leader="dot" w:pos="9360"/>
      </w:tabs>
      <w:suppressAutoHyphens/>
      <w:ind w:left="2160" w:right="720" w:hanging="720"/>
    </w:pPr>
  </w:style>
  <w:style w:type="paragraph" w:styleId="TOC4">
    <w:name w:val="toc 4"/>
    <w:basedOn w:val="Normal"/>
    <w:next w:val="Normal"/>
    <w:semiHidden/>
    <w:rsid w:val="00F030FE"/>
    <w:pPr>
      <w:tabs>
        <w:tab w:val="right" w:leader="dot" w:pos="9360"/>
      </w:tabs>
      <w:suppressAutoHyphens/>
      <w:ind w:left="2880" w:right="720" w:hanging="720"/>
    </w:pPr>
  </w:style>
  <w:style w:type="paragraph" w:styleId="TOC5">
    <w:name w:val="toc 5"/>
    <w:basedOn w:val="Normal"/>
    <w:next w:val="Normal"/>
    <w:semiHidden/>
    <w:rsid w:val="00F030FE"/>
    <w:pPr>
      <w:tabs>
        <w:tab w:val="right" w:leader="dot" w:pos="9360"/>
      </w:tabs>
      <w:suppressAutoHyphens/>
      <w:ind w:left="3600" w:right="720" w:hanging="720"/>
    </w:pPr>
  </w:style>
  <w:style w:type="paragraph" w:styleId="TOC6">
    <w:name w:val="toc 6"/>
    <w:basedOn w:val="Normal"/>
    <w:next w:val="Normal"/>
    <w:semiHidden/>
    <w:rsid w:val="00F030FE"/>
    <w:pPr>
      <w:tabs>
        <w:tab w:val="right" w:pos="9360"/>
      </w:tabs>
      <w:suppressAutoHyphens/>
      <w:ind w:left="720" w:hanging="720"/>
    </w:pPr>
  </w:style>
  <w:style w:type="paragraph" w:styleId="TOC7">
    <w:name w:val="toc 7"/>
    <w:basedOn w:val="Normal"/>
    <w:next w:val="Normal"/>
    <w:semiHidden/>
    <w:rsid w:val="00F030FE"/>
    <w:pPr>
      <w:suppressAutoHyphens/>
      <w:ind w:left="720" w:hanging="720"/>
    </w:pPr>
  </w:style>
  <w:style w:type="paragraph" w:styleId="TOC8">
    <w:name w:val="toc 8"/>
    <w:basedOn w:val="Normal"/>
    <w:next w:val="Normal"/>
    <w:semiHidden/>
    <w:rsid w:val="00F030FE"/>
    <w:pPr>
      <w:tabs>
        <w:tab w:val="right" w:pos="9360"/>
      </w:tabs>
      <w:suppressAutoHyphens/>
      <w:ind w:left="720" w:hanging="720"/>
    </w:pPr>
  </w:style>
  <w:style w:type="paragraph" w:styleId="TOC9">
    <w:name w:val="toc 9"/>
    <w:basedOn w:val="Normal"/>
    <w:next w:val="Normal"/>
    <w:semiHidden/>
    <w:rsid w:val="00F030FE"/>
    <w:pPr>
      <w:tabs>
        <w:tab w:val="right" w:leader="dot" w:pos="9360"/>
      </w:tabs>
      <w:suppressAutoHyphens/>
      <w:ind w:left="720" w:hanging="720"/>
    </w:pPr>
  </w:style>
  <w:style w:type="paragraph" w:styleId="Index1">
    <w:name w:val="index 1"/>
    <w:basedOn w:val="Normal"/>
    <w:next w:val="Normal"/>
    <w:semiHidden/>
    <w:rsid w:val="00F030FE"/>
    <w:pPr>
      <w:tabs>
        <w:tab w:val="right" w:leader="dot" w:pos="9360"/>
      </w:tabs>
      <w:suppressAutoHyphens/>
      <w:ind w:left="1440" w:right="720" w:hanging="1440"/>
    </w:pPr>
  </w:style>
  <w:style w:type="paragraph" w:styleId="Index2">
    <w:name w:val="index 2"/>
    <w:basedOn w:val="Normal"/>
    <w:next w:val="Normal"/>
    <w:semiHidden/>
    <w:rsid w:val="00F030FE"/>
    <w:pPr>
      <w:tabs>
        <w:tab w:val="right" w:leader="dot" w:pos="9360"/>
      </w:tabs>
      <w:suppressAutoHyphens/>
      <w:ind w:left="1440" w:right="720" w:hanging="720"/>
    </w:pPr>
  </w:style>
  <w:style w:type="paragraph" w:styleId="TOAHeading">
    <w:name w:val="toa heading"/>
    <w:basedOn w:val="Normal"/>
    <w:next w:val="Normal"/>
    <w:semiHidden/>
    <w:rsid w:val="00F030FE"/>
    <w:pPr>
      <w:tabs>
        <w:tab w:val="right" w:pos="9360"/>
      </w:tabs>
      <w:suppressAutoHyphens/>
    </w:pPr>
  </w:style>
  <w:style w:type="paragraph" w:styleId="Caption">
    <w:name w:val="caption"/>
    <w:basedOn w:val="Normal"/>
    <w:next w:val="Normal"/>
    <w:uiPriority w:val="35"/>
    <w:qFormat/>
    <w:rsid w:val="00F030FE"/>
  </w:style>
  <w:style w:type="character" w:customStyle="1" w:styleId="EquationCaption2">
    <w:name w:val="_Equation Caption2"/>
    <w:basedOn w:val="DefaultParagraphFont"/>
    <w:rsid w:val="00F030FE"/>
  </w:style>
  <w:style w:type="character" w:customStyle="1" w:styleId="EquationCaption3">
    <w:name w:val="_Equation Caption3"/>
    <w:rsid w:val="00F030FE"/>
  </w:style>
  <w:style w:type="character" w:customStyle="1" w:styleId="a">
    <w:name w:val="À"/>
    <w:basedOn w:val="DefaultParagraphFont"/>
    <w:uiPriority w:val="99"/>
    <w:rsid w:val="00F030FE"/>
  </w:style>
  <w:style w:type="paragraph" w:styleId="Title">
    <w:name w:val="Title"/>
    <w:basedOn w:val="Normal"/>
    <w:qFormat/>
    <w:rsid w:val="00F030FE"/>
    <w:pPr>
      <w:spacing w:before="240" w:after="60"/>
      <w:jc w:val="center"/>
    </w:pPr>
    <w:rPr>
      <w:rFonts w:ascii="Arial" w:hAnsi="Arial"/>
      <w:b/>
      <w:kern w:val="28"/>
      <w:sz w:val="32"/>
    </w:rPr>
  </w:style>
  <w:style w:type="character" w:customStyle="1" w:styleId="Heading5Char">
    <w:name w:val="Heading 5 Char"/>
    <w:basedOn w:val="DefaultParagraphFont"/>
    <w:link w:val="Heading5"/>
    <w:rsid w:val="00FC58BA"/>
    <w:rPr>
      <w:sz w:val="24"/>
    </w:rPr>
  </w:style>
  <w:style w:type="character" w:customStyle="1" w:styleId="Heading1Char">
    <w:name w:val="Heading 1 Char"/>
    <w:basedOn w:val="DefaultParagraphFont"/>
    <w:link w:val="Heading1"/>
    <w:rsid w:val="00633DD4"/>
    <w:rPr>
      <w:rFonts w:ascii="Cambria" w:eastAsia="Times New Roman" w:hAnsi="Cambria" w:cs="Times New Roman"/>
      <w:b/>
      <w:bCs/>
      <w:kern w:val="32"/>
      <w:sz w:val="32"/>
      <w:szCs w:val="32"/>
    </w:rPr>
  </w:style>
  <w:style w:type="character" w:customStyle="1" w:styleId="Heading6Char">
    <w:name w:val="Heading 6 Char"/>
    <w:basedOn w:val="DefaultParagraphFont"/>
    <w:link w:val="Heading6"/>
    <w:semiHidden/>
    <w:rsid w:val="00633DD4"/>
    <w:rPr>
      <w:rFonts w:ascii="Calibri" w:eastAsia="Times New Roman" w:hAnsi="Calibri" w:cs="Times New Roman"/>
      <w:b/>
      <w:bCs/>
      <w:sz w:val="22"/>
      <w:szCs w:val="22"/>
    </w:rPr>
  </w:style>
  <w:style w:type="character" w:customStyle="1" w:styleId="Heading2Char">
    <w:name w:val="Heading 2 Char"/>
    <w:basedOn w:val="DefaultParagraphFont"/>
    <w:link w:val="Heading2"/>
    <w:rsid w:val="007E02B0"/>
    <w:rPr>
      <w:rFonts w:ascii="Cambria" w:eastAsia="Times New Roman" w:hAnsi="Cambria" w:cs="Times New Roman"/>
      <w:b/>
      <w:bCs/>
      <w:i/>
      <w:iCs/>
      <w:sz w:val="28"/>
      <w:szCs w:val="28"/>
    </w:rPr>
  </w:style>
  <w:style w:type="paragraph" w:styleId="ListParagraph">
    <w:name w:val="List Paragraph"/>
    <w:basedOn w:val="Normal"/>
    <w:uiPriority w:val="34"/>
    <w:qFormat/>
    <w:rsid w:val="0032564D"/>
    <w:pPr>
      <w:ind w:left="720"/>
      <w:contextualSpacing/>
    </w:pPr>
  </w:style>
  <w:style w:type="paragraph" w:styleId="BodyText">
    <w:name w:val="Body Text"/>
    <w:basedOn w:val="Normal"/>
    <w:link w:val="BodyTextChar"/>
    <w:rsid w:val="00CC0087"/>
    <w:rPr>
      <w:rFonts w:ascii="Times New Roman" w:hAnsi="Times New Roman"/>
    </w:rPr>
  </w:style>
  <w:style w:type="character" w:customStyle="1" w:styleId="BodyTextChar">
    <w:name w:val="Body Text Char"/>
    <w:basedOn w:val="DefaultParagraphFont"/>
    <w:link w:val="BodyText"/>
    <w:rsid w:val="00CC0087"/>
    <w:rPr>
      <w:sz w:val="24"/>
    </w:rPr>
  </w:style>
  <w:style w:type="paragraph" w:styleId="BodyTextIndent3">
    <w:name w:val="Body Text Indent 3"/>
    <w:basedOn w:val="Normal"/>
    <w:link w:val="BodyTextIndent3Char"/>
    <w:rsid w:val="00CC0087"/>
    <w:pPr>
      <w:ind w:left="720"/>
    </w:pPr>
    <w:rPr>
      <w:rFonts w:ascii="Times New Roman" w:hAnsi="Times New Roman"/>
      <w:b/>
    </w:rPr>
  </w:style>
  <w:style w:type="character" w:customStyle="1" w:styleId="BodyTextIndent3Char">
    <w:name w:val="Body Text Indent 3 Char"/>
    <w:basedOn w:val="DefaultParagraphFont"/>
    <w:link w:val="BodyTextIndent3"/>
    <w:rsid w:val="00CC0087"/>
    <w:rPr>
      <w:b/>
      <w:sz w:val="24"/>
    </w:rPr>
  </w:style>
  <w:style w:type="table" w:styleId="TableGrid">
    <w:name w:val="Table Grid"/>
    <w:basedOn w:val="TableNormal"/>
    <w:uiPriority w:val="59"/>
    <w:rsid w:val="000172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6F49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6F49C8"/>
    <w:rPr>
      <w:rFonts w:ascii="Courier New" w:hAnsi="Courier New" w:cs="Courier New"/>
    </w:rPr>
  </w:style>
  <w:style w:type="paragraph" w:styleId="BalloonText">
    <w:name w:val="Balloon Text"/>
    <w:basedOn w:val="Normal"/>
    <w:link w:val="BalloonTextChar"/>
    <w:rsid w:val="00E45C02"/>
    <w:rPr>
      <w:rFonts w:ascii="Tahoma" w:hAnsi="Tahoma" w:cs="Tahoma"/>
      <w:sz w:val="16"/>
      <w:szCs w:val="16"/>
    </w:rPr>
  </w:style>
  <w:style w:type="character" w:customStyle="1" w:styleId="BalloonTextChar">
    <w:name w:val="Balloon Text Char"/>
    <w:basedOn w:val="DefaultParagraphFont"/>
    <w:link w:val="BalloonText"/>
    <w:rsid w:val="00E45C02"/>
    <w:rPr>
      <w:rFonts w:ascii="Tahoma" w:hAnsi="Tahoma" w:cs="Tahoma"/>
      <w:sz w:val="16"/>
      <w:szCs w:val="16"/>
    </w:rPr>
  </w:style>
  <w:style w:type="character" w:styleId="CommentReference">
    <w:name w:val="annotation reference"/>
    <w:basedOn w:val="DefaultParagraphFont"/>
    <w:rsid w:val="001F28BF"/>
    <w:rPr>
      <w:sz w:val="16"/>
      <w:szCs w:val="16"/>
    </w:rPr>
  </w:style>
  <w:style w:type="paragraph" w:styleId="CommentText">
    <w:name w:val="annotation text"/>
    <w:basedOn w:val="Normal"/>
    <w:link w:val="CommentTextChar"/>
    <w:rsid w:val="001F28BF"/>
    <w:rPr>
      <w:sz w:val="20"/>
    </w:rPr>
  </w:style>
  <w:style w:type="character" w:customStyle="1" w:styleId="CommentTextChar">
    <w:name w:val="Comment Text Char"/>
    <w:basedOn w:val="DefaultParagraphFont"/>
    <w:link w:val="CommentText"/>
    <w:rsid w:val="001F28BF"/>
    <w:rPr>
      <w:rFonts w:ascii="Courier" w:hAnsi="Courier"/>
    </w:rPr>
  </w:style>
  <w:style w:type="paragraph" w:styleId="CommentSubject">
    <w:name w:val="annotation subject"/>
    <w:basedOn w:val="CommentText"/>
    <w:next w:val="CommentText"/>
    <w:link w:val="CommentSubjectChar"/>
    <w:rsid w:val="001F28BF"/>
    <w:rPr>
      <w:b/>
      <w:bCs/>
    </w:rPr>
  </w:style>
  <w:style w:type="character" w:customStyle="1" w:styleId="CommentSubjectChar">
    <w:name w:val="Comment Subject Char"/>
    <w:basedOn w:val="CommentTextChar"/>
    <w:link w:val="CommentSubject"/>
    <w:rsid w:val="001F28BF"/>
    <w:rPr>
      <w:rFonts w:ascii="Courier" w:hAnsi="Courier"/>
      <w:b/>
      <w:bCs/>
    </w:rPr>
  </w:style>
  <w:style w:type="paragraph" w:styleId="PlainText">
    <w:name w:val="Plain Text"/>
    <w:basedOn w:val="Normal"/>
    <w:link w:val="PlainTextChar"/>
    <w:uiPriority w:val="99"/>
    <w:rsid w:val="00316275"/>
    <w:rPr>
      <w:rFonts w:ascii="Courier New" w:hAnsi="Courier New" w:cs="Courier New"/>
      <w:sz w:val="20"/>
    </w:rPr>
  </w:style>
  <w:style w:type="character" w:customStyle="1" w:styleId="PlainTextChar">
    <w:name w:val="Plain Text Char"/>
    <w:basedOn w:val="DefaultParagraphFont"/>
    <w:link w:val="PlainText"/>
    <w:uiPriority w:val="99"/>
    <w:rsid w:val="00316275"/>
    <w:rPr>
      <w:rFonts w:ascii="Courier New" w:hAnsi="Courier New" w:cs="Courier New"/>
    </w:rPr>
  </w:style>
  <w:style w:type="character" w:customStyle="1" w:styleId="HeaderChar">
    <w:name w:val="Header Char"/>
    <w:basedOn w:val="DefaultParagraphFont"/>
    <w:link w:val="Header"/>
    <w:uiPriority w:val="99"/>
    <w:locked/>
    <w:rsid w:val="00FB65D0"/>
    <w:rPr>
      <w:rFonts w:ascii="Courier" w:hAnsi="Courier"/>
      <w:sz w:val="24"/>
    </w:rPr>
  </w:style>
  <w:style w:type="character" w:customStyle="1" w:styleId="FootnoteTextChar">
    <w:name w:val="Footnote Text Char"/>
    <w:basedOn w:val="DefaultParagraphFont"/>
    <w:link w:val="FootnoteText"/>
    <w:uiPriority w:val="99"/>
    <w:locked/>
    <w:rsid w:val="00FB65D0"/>
    <w:rPr>
      <w:rFonts w:ascii="Courier" w:hAnsi="Courier"/>
      <w:sz w:val="24"/>
    </w:rPr>
  </w:style>
  <w:style w:type="character" w:styleId="Hyperlink">
    <w:name w:val="Hyperlink"/>
    <w:basedOn w:val="DefaultParagraphFont"/>
    <w:unhideWhenUsed/>
    <w:rsid w:val="00520FB8"/>
    <w:rPr>
      <w:color w:val="0000FF" w:themeColor="hyperlink"/>
      <w:u w:val="single"/>
    </w:rPr>
  </w:style>
  <w:style w:type="paragraph" w:styleId="Revision">
    <w:name w:val="Revision"/>
    <w:hidden/>
    <w:uiPriority w:val="99"/>
    <w:semiHidden/>
    <w:rsid w:val="00496A7E"/>
    <w:rPr>
      <w:rFonts w:ascii="Courier" w:hAnsi="Courier"/>
      <w:sz w:val="24"/>
    </w:rPr>
  </w:style>
  <w:style w:type="character" w:styleId="FollowedHyperlink">
    <w:name w:val="FollowedHyperlink"/>
    <w:basedOn w:val="DefaultParagraphFont"/>
    <w:semiHidden/>
    <w:unhideWhenUsed/>
    <w:rsid w:val="00AC46D9"/>
    <w:rPr>
      <w:color w:val="800080" w:themeColor="followedHyperlink"/>
      <w:u w:val="single"/>
    </w:rPr>
  </w:style>
  <w:style w:type="paragraph" w:styleId="NoSpacing">
    <w:name w:val="No Spacing"/>
    <w:uiPriority w:val="1"/>
    <w:qFormat/>
    <w:rsid w:val="0055502A"/>
    <w:rPr>
      <w:rFonts w:asciiTheme="minorHAnsi" w:eastAsiaTheme="minorHAnsi" w:hAnsiTheme="minorHAnsi" w:cstheme="minorBidi"/>
      <w:sz w:val="22"/>
      <w:szCs w:val="22"/>
    </w:rPr>
  </w:style>
  <w:style w:type="character" w:customStyle="1" w:styleId="EndnoteTextChar">
    <w:name w:val="Endnote Text Char"/>
    <w:basedOn w:val="DefaultParagraphFont"/>
    <w:link w:val="EndnoteText"/>
    <w:semiHidden/>
    <w:rsid w:val="008A3EFE"/>
    <w:rPr>
      <w:rFonts w:ascii="Courier" w:hAnsi="Courier"/>
      <w:sz w:val="24"/>
    </w:rPr>
  </w:style>
  <w:style w:type="table" w:styleId="GridTableLight">
    <w:name w:val="Grid Table Light"/>
    <w:basedOn w:val="TableNormal"/>
    <w:uiPriority w:val="40"/>
    <w:rsid w:val="008A3EF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hyperlink" Target="http://www2.ed.gov/programs/triomcnair/legislation.html" TargetMode="External" /><Relationship Id="rId8" Type="http://schemas.openxmlformats.org/officeDocument/2006/relationships/hyperlink" Target="https://www.bls.gov/oes/current/oes_nat.html"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7FD7B1-819C-4793-AD75-C75A740B8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11</Pages>
  <Words>5110</Words>
  <Characters>28871</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33914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Kennedy, Lauren</cp:lastModifiedBy>
  <cp:revision>123</cp:revision>
  <cp:lastPrinted>2019-07-02T16:32:00Z</cp:lastPrinted>
  <dcterms:created xsi:type="dcterms:W3CDTF">2025-03-14T20:15:00Z</dcterms:created>
  <dcterms:modified xsi:type="dcterms:W3CDTF">2025-03-18T16:06:00Z</dcterms:modified>
</cp:coreProperties>
</file>