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53486" w:rsidRPr="00964205" w:rsidP="00F53486" w14:paraId="0472C50D" w14:textId="77777777">
      <w:pPr>
        <w:widowControl/>
        <w:tabs>
          <w:tab w:val="center" w:pos="5040"/>
        </w:tabs>
        <w:jc w:val="center"/>
        <w:rPr>
          <w:sz w:val="26"/>
        </w:rPr>
      </w:pPr>
      <w:r w:rsidRPr="00964205">
        <w:rPr>
          <w:sz w:val="26"/>
        </w:rPr>
        <w:t>Supporting</w:t>
      </w:r>
      <w:r w:rsidRPr="00964205" w:rsidR="00C42FEF">
        <w:rPr>
          <w:sz w:val="26"/>
        </w:rPr>
        <w:t xml:space="preserve"> </w:t>
      </w:r>
      <w:r w:rsidRPr="00964205">
        <w:rPr>
          <w:sz w:val="26"/>
        </w:rPr>
        <w:t>Statement</w:t>
      </w:r>
      <w:r w:rsidRPr="00964205" w:rsidR="00AA373D">
        <w:rPr>
          <w:sz w:val="26"/>
        </w:rPr>
        <w:t xml:space="preserve"> for</w:t>
      </w:r>
    </w:p>
    <w:p w:rsidR="00246703" w:rsidRPr="00964205" w:rsidP="00246703" w14:paraId="41FE31A7" w14:textId="77777777">
      <w:pPr>
        <w:jc w:val="center"/>
        <w:rPr>
          <w:b/>
          <w:sz w:val="26"/>
        </w:rPr>
      </w:pPr>
      <w:r w:rsidRPr="00964205">
        <w:rPr>
          <w:b/>
          <w:sz w:val="26"/>
        </w:rPr>
        <w:t>FERC-546</w:t>
      </w:r>
      <w:r w:rsidRPr="00964205">
        <w:rPr>
          <w:b/>
          <w:sz w:val="26"/>
        </w:rPr>
        <w:t xml:space="preserve">, </w:t>
      </w:r>
      <w:r w:rsidRPr="00964205">
        <w:rPr>
          <w:b/>
          <w:sz w:val="26"/>
        </w:rPr>
        <w:t xml:space="preserve">Certificated </w:t>
      </w:r>
      <w:r w:rsidRPr="00964205" w:rsidR="006F76E1">
        <w:rPr>
          <w:b/>
          <w:sz w:val="26"/>
        </w:rPr>
        <w:t xml:space="preserve">Rate </w:t>
      </w:r>
      <w:r w:rsidRPr="00964205">
        <w:rPr>
          <w:b/>
          <w:sz w:val="26"/>
        </w:rPr>
        <w:t>Filings: Gas Pipeline Rates</w:t>
      </w:r>
    </w:p>
    <w:p w:rsidR="00AA373D" w:rsidRPr="00964205" w:rsidP="00AA373D" w14:paraId="4FC3BAC5" w14:textId="77777777">
      <w:pPr>
        <w:widowControl/>
        <w:tabs>
          <w:tab w:val="center" w:pos="5040"/>
        </w:tabs>
        <w:jc w:val="center"/>
        <w:rPr>
          <w:b/>
          <w:bCs/>
          <w:sz w:val="26"/>
        </w:rPr>
      </w:pPr>
    </w:p>
    <w:p w:rsidR="00F53486" w:rsidRPr="00964205" w:rsidP="006861E1" w14:paraId="22E0EF03" w14:textId="5DEABCF0">
      <w:pPr>
        <w:rPr>
          <w:b/>
          <w:sz w:val="26"/>
        </w:rPr>
      </w:pPr>
      <w:r w:rsidRPr="00964205">
        <w:rPr>
          <w:sz w:val="26"/>
        </w:rPr>
        <w:t xml:space="preserve">The Federal Energy Regulatory Commission (Commission or FERC) requests that the Office of Management and Budget (OMB) review and approve </w:t>
      </w:r>
      <w:r w:rsidRPr="00964205" w:rsidR="003E742E">
        <w:rPr>
          <w:sz w:val="26"/>
        </w:rPr>
        <w:t xml:space="preserve">FERC-546, Certificated </w:t>
      </w:r>
      <w:r w:rsidRPr="00964205" w:rsidR="006F76E1">
        <w:rPr>
          <w:sz w:val="26"/>
        </w:rPr>
        <w:t xml:space="preserve">Rate </w:t>
      </w:r>
      <w:r w:rsidRPr="00964205" w:rsidR="003E742E">
        <w:rPr>
          <w:sz w:val="26"/>
        </w:rPr>
        <w:t>Filings: Gas Pipeline Rates</w:t>
      </w:r>
      <w:r w:rsidRPr="00964205">
        <w:rPr>
          <w:bCs/>
          <w:sz w:val="26"/>
        </w:rPr>
        <w:t xml:space="preserve">, </w:t>
      </w:r>
      <w:r w:rsidRPr="00964205">
        <w:rPr>
          <w:sz w:val="26"/>
        </w:rPr>
        <w:t>for a three</w:t>
      </w:r>
      <w:r w:rsidRPr="00964205" w:rsidR="00B95663">
        <w:rPr>
          <w:sz w:val="26"/>
        </w:rPr>
        <w:t>-</w:t>
      </w:r>
      <w:r w:rsidRPr="00964205">
        <w:rPr>
          <w:sz w:val="26"/>
        </w:rPr>
        <w:t>year period.  FER</w:t>
      </w:r>
      <w:r w:rsidRPr="00964205" w:rsidR="00E06F16">
        <w:rPr>
          <w:sz w:val="26"/>
        </w:rPr>
        <w:t>C-546</w:t>
      </w:r>
      <w:r w:rsidRPr="00964205" w:rsidR="003E742E">
        <w:rPr>
          <w:sz w:val="26"/>
        </w:rPr>
        <w:t xml:space="preserve"> (OMB Control No. 1902-0155</w:t>
      </w:r>
      <w:r w:rsidRPr="00964205">
        <w:rPr>
          <w:sz w:val="26"/>
        </w:rPr>
        <w:t>) is an existing Commission data collection, as stated by 18 Code o</w:t>
      </w:r>
      <w:r w:rsidRPr="00964205" w:rsidR="008B7AEA">
        <w:rPr>
          <w:sz w:val="26"/>
        </w:rPr>
        <w:t>f Federal Regulations</w:t>
      </w:r>
      <w:r w:rsidRPr="00964205" w:rsidR="00894FE3">
        <w:rPr>
          <w:sz w:val="26"/>
        </w:rPr>
        <w:t xml:space="preserve"> (CFR)</w:t>
      </w:r>
      <w:r w:rsidRPr="00964205" w:rsidR="0020642E">
        <w:rPr>
          <w:sz w:val="26"/>
        </w:rPr>
        <w:t xml:space="preserve">, </w:t>
      </w:r>
      <w:r w:rsidRPr="00964205" w:rsidR="003E742E">
        <w:rPr>
          <w:sz w:val="26"/>
        </w:rPr>
        <w:t>154 and 284.</w:t>
      </w:r>
      <w:r>
        <w:rPr>
          <w:rStyle w:val="FootnoteReference"/>
        </w:rPr>
        <w:footnoteReference w:id="3"/>
      </w:r>
    </w:p>
    <w:p w:rsidR="00F53486" w:rsidRPr="00964205" w:rsidP="00F53486" w14:paraId="2A3DF898" w14:textId="77777777">
      <w:pPr>
        <w:widowControl/>
        <w:rPr>
          <w:sz w:val="26"/>
        </w:rPr>
      </w:pPr>
    </w:p>
    <w:p w:rsidR="00F53486" w:rsidRPr="00964205" w:rsidP="007129A6" w14:paraId="2676A308" w14:textId="77777777">
      <w:pPr>
        <w:widowControl/>
        <w:numPr>
          <w:ilvl w:val="0"/>
          <w:numId w:val="9"/>
        </w:numPr>
        <w:tabs>
          <w:tab w:val="num" w:pos="720"/>
          <w:tab w:val="clear" w:pos="1080"/>
          <w:tab w:val="left" w:pos="1800"/>
        </w:tabs>
        <w:ind w:left="720" w:hanging="720"/>
        <w:rPr>
          <w:b/>
          <w:sz w:val="26"/>
        </w:rPr>
      </w:pPr>
      <w:r w:rsidRPr="00964205">
        <w:rPr>
          <w:b/>
          <w:sz w:val="26"/>
        </w:rPr>
        <w:t>CIRCUMSTANCES THAT MAKE THE COLLECTION OF INFORMATION NECESSARY</w:t>
      </w:r>
    </w:p>
    <w:p w:rsidR="003E742E" w:rsidRPr="00964205" w:rsidP="003E742E" w14:paraId="30592C25" w14:textId="77777777">
      <w:pPr>
        <w:rPr>
          <w:sz w:val="26"/>
        </w:rPr>
      </w:pPr>
    </w:p>
    <w:p w:rsidR="003E742E" w:rsidRPr="00964205" w:rsidP="003E742E" w14:paraId="67FF50CB" w14:textId="6CE7CF90">
      <w:pPr>
        <w:rPr>
          <w:sz w:val="26"/>
        </w:rPr>
      </w:pPr>
      <w:r w:rsidRPr="00964205">
        <w:rPr>
          <w:sz w:val="26"/>
        </w:rPr>
        <w:t>The following list outlines</w:t>
      </w:r>
      <w:r w:rsidRPr="00964205" w:rsidR="00EF0AEF">
        <w:rPr>
          <w:sz w:val="26"/>
        </w:rPr>
        <w:t xml:space="preserve"> four</w:t>
      </w:r>
      <w:r w:rsidRPr="00964205">
        <w:rPr>
          <w:sz w:val="26"/>
        </w:rPr>
        <w:t xml:space="preserve"> circumstances under which the FERC-546 information collection requirements for</w:t>
      </w:r>
      <w:r w:rsidRPr="00964205" w:rsidR="00AF122D">
        <w:rPr>
          <w:sz w:val="26"/>
        </w:rPr>
        <w:t xml:space="preserve"> certificated rates must be met:</w:t>
      </w:r>
      <w:r w:rsidRPr="00964205">
        <w:rPr>
          <w:sz w:val="26"/>
        </w:rPr>
        <w:t xml:space="preserve">  </w:t>
      </w:r>
    </w:p>
    <w:p w:rsidR="003E742E" w:rsidRPr="00964205" w:rsidP="003E742E" w14:paraId="48CB7548" w14:textId="77777777">
      <w:pPr>
        <w:rPr>
          <w:sz w:val="26"/>
        </w:rPr>
      </w:pPr>
    </w:p>
    <w:p w:rsidR="003E742E" w:rsidRPr="00964205" w:rsidP="003E742E" w14:paraId="405F1676" w14:textId="77777777">
      <w:pPr>
        <w:rPr>
          <w:sz w:val="26"/>
        </w:rPr>
      </w:pPr>
      <w:r w:rsidRPr="00964205">
        <w:rPr>
          <w:sz w:val="26"/>
        </w:rPr>
        <w:t>A company decides to:</w:t>
      </w:r>
    </w:p>
    <w:p w:rsidR="0018303F" w:rsidRPr="00964205" w:rsidP="0018303F" w14:paraId="1AED7566" w14:textId="77777777">
      <w:pPr>
        <w:pStyle w:val="ListParagraph"/>
        <w:numPr>
          <w:ilvl w:val="0"/>
          <w:numId w:val="18"/>
        </w:numPr>
        <w:rPr>
          <w:sz w:val="26"/>
        </w:rPr>
      </w:pPr>
      <w:r w:rsidRPr="00964205">
        <w:rPr>
          <w:sz w:val="26"/>
        </w:rPr>
        <w:t>Construct and operate a new jurisdictional pipeline</w:t>
      </w:r>
      <w:r>
        <w:rPr>
          <w:rStyle w:val="FootnoteReference"/>
        </w:rPr>
        <w:footnoteReference w:id="4"/>
      </w:r>
      <w:r w:rsidRPr="00964205">
        <w:rPr>
          <w:sz w:val="26"/>
        </w:rPr>
        <w:t>;</w:t>
      </w:r>
    </w:p>
    <w:p w:rsidR="0018303F" w:rsidRPr="00964205" w:rsidP="0018303F" w14:paraId="22BD9D4D" w14:textId="77777777">
      <w:pPr>
        <w:pStyle w:val="ListParagraph"/>
        <w:numPr>
          <w:ilvl w:val="0"/>
          <w:numId w:val="18"/>
        </w:numPr>
        <w:rPr>
          <w:sz w:val="26"/>
        </w:rPr>
      </w:pPr>
      <w:r w:rsidRPr="00964205">
        <w:rPr>
          <w:sz w:val="26"/>
        </w:rPr>
        <w:t>Expand its certificated pipeline capacity by constructing a lateral pipeline, adding compression or providing storage at incremental or cost-based rates;</w:t>
      </w:r>
    </w:p>
    <w:p w:rsidR="0018303F" w:rsidRPr="00964205" w:rsidP="0018303F" w14:paraId="5F48653E" w14:textId="77777777">
      <w:pPr>
        <w:pStyle w:val="ListParagraph"/>
        <w:numPr>
          <w:ilvl w:val="0"/>
          <w:numId w:val="18"/>
        </w:numPr>
        <w:rPr>
          <w:sz w:val="26"/>
        </w:rPr>
      </w:pPr>
      <w:r w:rsidRPr="00964205">
        <w:rPr>
          <w:sz w:val="26"/>
        </w:rPr>
        <w:t>Build a new liquefied natural gas facility; or</w:t>
      </w:r>
    </w:p>
    <w:p w:rsidR="003E742E" w:rsidP="0018303F" w14:paraId="7760E64B" w14:textId="06F93EDC">
      <w:pPr>
        <w:pStyle w:val="ListParagraph"/>
        <w:numPr>
          <w:ilvl w:val="0"/>
          <w:numId w:val="18"/>
        </w:numPr>
        <w:rPr>
          <w:sz w:val="26"/>
        </w:rPr>
      </w:pPr>
      <w:r w:rsidRPr="00964205">
        <w:rPr>
          <w:sz w:val="26"/>
        </w:rPr>
        <w:t>Provide gas storage and negotiate market</w:t>
      </w:r>
      <w:r w:rsidRPr="00964205" w:rsidR="00B95663">
        <w:rPr>
          <w:sz w:val="26"/>
        </w:rPr>
        <w:t>-</w:t>
      </w:r>
      <w:r w:rsidRPr="00964205">
        <w:rPr>
          <w:sz w:val="26"/>
        </w:rPr>
        <w:t>based rates.</w:t>
      </w:r>
    </w:p>
    <w:p w:rsidR="00964205" w:rsidP="00964205" w14:paraId="22ED2F14" w14:textId="0C69E16E">
      <w:pPr>
        <w:rPr>
          <w:sz w:val="26"/>
        </w:rPr>
      </w:pPr>
    </w:p>
    <w:p w:rsidR="00964205" w:rsidRPr="00964205" w:rsidP="00964205" w14:paraId="54F9EB16" w14:textId="2A93FCD3">
      <w:pPr>
        <w:rPr>
          <w:sz w:val="26"/>
        </w:rPr>
      </w:pPr>
      <w:r>
        <w:rPr>
          <w:sz w:val="26"/>
        </w:rPr>
        <w:t xml:space="preserve">The Commission also is authorized </w:t>
      </w:r>
      <w:r w:rsidR="00937A1F">
        <w:rPr>
          <w:sz w:val="26"/>
        </w:rPr>
        <w:t xml:space="preserve">under </w:t>
      </w:r>
      <w:r w:rsidRPr="00964205">
        <w:rPr>
          <w:sz w:val="26"/>
        </w:rPr>
        <w:t>Section 4</w:t>
      </w:r>
      <w:r w:rsidR="00307748">
        <w:rPr>
          <w:sz w:val="26"/>
        </w:rPr>
        <w:t>02 and 403</w:t>
      </w:r>
      <w:r w:rsidRPr="00964205">
        <w:rPr>
          <w:sz w:val="26"/>
        </w:rPr>
        <w:t xml:space="preserve"> </w:t>
      </w:r>
      <w:r w:rsidR="00937A1F">
        <w:rPr>
          <w:sz w:val="26"/>
        </w:rPr>
        <w:t>of</w:t>
      </w:r>
      <w:r w:rsidRPr="00964205">
        <w:rPr>
          <w:sz w:val="26"/>
        </w:rPr>
        <w:t xml:space="preserve"> the Department of Energy Organization Act, to establish</w:t>
      </w:r>
      <w:r w:rsidR="00937A1F">
        <w:rPr>
          <w:sz w:val="26"/>
        </w:rPr>
        <w:t xml:space="preserve">, </w:t>
      </w:r>
      <w:r w:rsidRPr="00964205">
        <w:rPr>
          <w:sz w:val="26"/>
        </w:rPr>
        <w:t>review</w:t>
      </w:r>
      <w:r w:rsidR="00937A1F">
        <w:rPr>
          <w:sz w:val="26"/>
        </w:rPr>
        <w:t xml:space="preserve">, and </w:t>
      </w:r>
      <w:r w:rsidR="000A77D2">
        <w:rPr>
          <w:sz w:val="26"/>
        </w:rPr>
        <w:t>enforce priorities</w:t>
      </w:r>
      <w:r w:rsidRPr="00964205">
        <w:rPr>
          <w:sz w:val="26"/>
        </w:rPr>
        <w:t xml:space="preserve"> for curtailments under the Natural Gas Act</w:t>
      </w:r>
      <w:r>
        <w:rPr>
          <w:sz w:val="26"/>
        </w:rPr>
        <w:t xml:space="preserve"> (NGA)</w:t>
      </w:r>
      <w:r w:rsidR="003A6A44">
        <w:rPr>
          <w:sz w:val="26"/>
        </w:rPr>
        <w:t xml:space="preserve">. </w:t>
      </w:r>
    </w:p>
    <w:p w:rsidR="003E742E" w:rsidRPr="00964205" w:rsidP="003E742E" w14:paraId="5B6FC53A" w14:textId="77777777">
      <w:pPr>
        <w:rPr>
          <w:sz w:val="26"/>
        </w:rPr>
      </w:pPr>
    </w:p>
    <w:p w:rsidR="003E742E" w:rsidRPr="00964205" w:rsidP="003E742E" w14:paraId="69EE372E" w14:textId="16A48B29">
      <w:pPr>
        <w:rPr>
          <w:sz w:val="26"/>
        </w:rPr>
      </w:pPr>
      <w:r w:rsidRPr="00964205">
        <w:rPr>
          <w:sz w:val="26"/>
        </w:rPr>
        <w:t>Under the circumstances 1</w:t>
      </w:r>
      <w:r w:rsidRPr="00964205" w:rsidR="00D70436">
        <w:rPr>
          <w:sz w:val="26"/>
        </w:rPr>
        <w:t>-</w:t>
      </w:r>
      <w:r w:rsidRPr="00964205">
        <w:rPr>
          <w:sz w:val="26"/>
        </w:rPr>
        <w:t xml:space="preserve">3, the company must file its FERC-546 cost data along with an application for a certificate of public convenience and necessity under the statutory requirements of NGA Section 7(c).  For circumstance 4, the company must file its FERC-546 information with an application under NGA Section 4(f). </w:t>
      </w:r>
    </w:p>
    <w:p w:rsidR="003E742E" w:rsidRPr="00964205" w:rsidP="003E742E" w14:paraId="72C7DC3D" w14:textId="77777777">
      <w:pPr>
        <w:rPr>
          <w:sz w:val="26"/>
        </w:rPr>
      </w:pPr>
    </w:p>
    <w:p w:rsidR="003E742E" w:rsidRPr="00964205" w:rsidP="003E742E" w14:paraId="78590C03" w14:textId="25639459">
      <w:pPr>
        <w:rPr>
          <w:sz w:val="26"/>
        </w:rPr>
      </w:pPr>
      <w:r w:rsidRPr="00964205">
        <w:rPr>
          <w:sz w:val="26"/>
        </w:rPr>
        <w:t>The FERC-546 includes the following:</w:t>
      </w:r>
    </w:p>
    <w:p w:rsidR="003E742E" w:rsidRPr="00964205" w:rsidP="003E742E" w14:paraId="0B2ED909" w14:textId="77777777">
      <w:pPr>
        <w:widowControl/>
        <w:numPr>
          <w:ilvl w:val="0"/>
          <w:numId w:val="15"/>
        </w:numPr>
        <w:autoSpaceDE/>
        <w:autoSpaceDN/>
        <w:adjustRightInd/>
        <w:spacing w:line="276" w:lineRule="auto"/>
        <w:rPr>
          <w:sz w:val="26"/>
        </w:rPr>
      </w:pPr>
      <w:r w:rsidRPr="00964205">
        <w:rPr>
          <w:sz w:val="26"/>
        </w:rPr>
        <w:t>Supporting information for proposed initial rates (e.g. cost-based, market based, incremental rates);</w:t>
      </w:r>
    </w:p>
    <w:p w:rsidR="003E742E" w:rsidRPr="00964205" w:rsidP="003E742E" w14:paraId="1F48F12F" w14:textId="77777777">
      <w:pPr>
        <w:widowControl/>
        <w:numPr>
          <w:ilvl w:val="0"/>
          <w:numId w:val="15"/>
        </w:numPr>
        <w:autoSpaceDE/>
        <w:autoSpaceDN/>
        <w:adjustRightInd/>
        <w:spacing w:line="276" w:lineRule="auto"/>
        <w:rPr>
          <w:sz w:val="26"/>
        </w:rPr>
      </w:pPr>
      <w:r w:rsidRPr="00964205">
        <w:rPr>
          <w:sz w:val="26"/>
        </w:rPr>
        <w:t>Pro forma tariffs;</w:t>
      </w:r>
    </w:p>
    <w:p w:rsidR="003E742E" w:rsidRPr="00964205" w:rsidP="003E742E" w14:paraId="4C59536B" w14:textId="77777777">
      <w:pPr>
        <w:widowControl/>
        <w:numPr>
          <w:ilvl w:val="0"/>
          <w:numId w:val="15"/>
        </w:numPr>
        <w:autoSpaceDE/>
        <w:autoSpaceDN/>
        <w:adjustRightInd/>
        <w:spacing w:line="276" w:lineRule="auto"/>
        <w:rPr>
          <w:sz w:val="26"/>
        </w:rPr>
      </w:pPr>
      <w:r w:rsidRPr="00964205">
        <w:rPr>
          <w:sz w:val="26"/>
        </w:rPr>
        <w:t>Motions to put proposed initial rates into effect subject to Commission findings on the related certificate;</w:t>
      </w:r>
    </w:p>
    <w:p w:rsidR="003E742E" w:rsidRPr="00964205" w:rsidP="003E742E" w14:paraId="19E20451" w14:textId="38061D0A">
      <w:pPr>
        <w:widowControl/>
        <w:numPr>
          <w:ilvl w:val="0"/>
          <w:numId w:val="15"/>
        </w:numPr>
        <w:autoSpaceDE/>
        <w:autoSpaceDN/>
        <w:adjustRightInd/>
        <w:spacing w:line="276" w:lineRule="auto"/>
        <w:rPr>
          <w:sz w:val="26"/>
        </w:rPr>
      </w:pPr>
      <w:r w:rsidRPr="00964205">
        <w:rPr>
          <w:sz w:val="26"/>
        </w:rPr>
        <w:t xml:space="preserve">Unexecuted precedent agreements; </w:t>
      </w:r>
    </w:p>
    <w:p w:rsidR="003E742E" w:rsidRPr="00964205" w:rsidP="003E742E" w14:paraId="0ECC661B" w14:textId="77777777">
      <w:pPr>
        <w:rPr>
          <w:sz w:val="26"/>
        </w:rPr>
      </w:pPr>
    </w:p>
    <w:p w:rsidR="0020642E" w:rsidRPr="00964205" w:rsidP="0020642E" w14:paraId="45B1C93C" w14:textId="27BC89A5">
      <w:pPr>
        <w:rPr>
          <w:sz w:val="26"/>
        </w:rPr>
      </w:pPr>
      <w:r w:rsidRPr="48E9ABC2">
        <w:rPr>
          <w:sz w:val="26"/>
          <w:szCs w:val="26"/>
        </w:rPr>
        <w:t>Section 16 of the NGA grants the Commission administrative powers including the ability to define accounting, technical and trade terms, prescribe forms, statements, declarations</w:t>
      </w:r>
      <w:r w:rsidRPr="48E9ABC2" w:rsidR="00461427">
        <w:rPr>
          <w:sz w:val="26"/>
          <w:szCs w:val="26"/>
        </w:rPr>
        <w:t>,</w:t>
      </w:r>
      <w:r w:rsidRPr="48E9ABC2">
        <w:rPr>
          <w:sz w:val="26"/>
          <w:szCs w:val="26"/>
        </w:rPr>
        <w:t xml:space="preserve"> or reports and to prescribe rules and regulations.</w:t>
      </w:r>
    </w:p>
    <w:p w:rsidR="48E9ABC2" w:rsidP="48E9ABC2" w14:paraId="4E62E2A4" w14:textId="0452C312">
      <w:pPr>
        <w:rPr>
          <w:sz w:val="26"/>
          <w:szCs w:val="26"/>
        </w:rPr>
      </w:pPr>
    </w:p>
    <w:p w:rsidR="00F53486" w:rsidRPr="00964205" w:rsidP="007129A6" w14:paraId="5081D00C" w14:textId="77777777">
      <w:pPr>
        <w:widowControl/>
        <w:numPr>
          <w:ilvl w:val="0"/>
          <w:numId w:val="2"/>
        </w:numPr>
        <w:tabs>
          <w:tab w:val="num" w:pos="720"/>
          <w:tab w:val="clear" w:pos="1815"/>
        </w:tabs>
        <w:ind w:left="720" w:hanging="720"/>
        <w:rPr>
          <w:b/>
          <w:sz w:val="26"/>
        </w:rPr>
      </w:pPr>
      <w:r w:rsidRPr="00964205">
        <w:rPr>
          <w:b/>
          <w:sz w:val="26"/>
        </w:rPr>
        <w:t xml:space="preserve">HOW, BY WHOM AND FOR WHAT PURPOSE IS THE INFORMATION TO BE USED AND THE CONSEQUENCES OF NOT COLLECTING THE INFORMATION </w:t>
      </w:r>
    </w:p>
    <w:p w:rsidR="00F53486" w:rsidRPr="00964205" w:rsidP="00F53486" w14:paraId="1F17409E" w14:textId="77777777">
      <w:pPr>
        <w:widowControl/>
        <w:ind w:left="1440"/>
        <w:rPr>
          <w:sz w:val="26"/>
        </w:rPr>
      </w:pPr>
    </w:p>
    <w:p w:rsidR="003E742E" w:rsidRPr="00964205" w:rsidP="003E742E" w14:paraId="5A16A239" w14:textId="7998AE25">
      <w:pPr>
        <w:rPr>
          <w:sz w:val="26"/>
        </w:rPr>
      </w:pPr>
      <w:r w:rsidRPr="00964205">
        <w:rPr>
          <w:sz w:val="26"/>
        </w:rPr>
        <w:t xml:space="preserve">The Commission reviews the FERC-546 materials to </w:t>
      </w:r>
      <w:r w:rsidRPr="00964205" w:rsidR="00F73006">
        <w:rPr>
          <w:sz w:val="26"/>
        </w:rPr>
        <w:t xml:space="preserve">approve </w:t>
      </w:r>
      <w:r w:rsidRPr="00964205">
        <w:rPr>
          <w:sz w:val="26"/>
        </w:rPr>
        <w:t>rate</w:t>
      </w:r>
      <w:r w:rsidRPr="00964205" w:rsidR="00AB6EF9">
        <w:rPr>
          <w:sz w:val="26"/>
        </w:rPr>
        <w:t>s</w:t>
      </w:r>
      <w:r w:rsidRPr="00964205">
        <w:rPr>
          <w:sz w:val="26"/>
        </w:rPr>
        <w:t xml:space="preserve"> </w:t>
      </w:r>
      <w:r w:rsidRPr="00964205" w:rsidR="00F73006">
        <w:rPr>
          <w:sz w:val="26"/>
        </w:rPr>
        <w:t xml:space="preserve">and tariff changes </w:t>
      </w:r>
      <w:r w:rsidRPr="00964205">
        <w:rPr>
          <w:sz w:val="26"/>
        </w:rPr>
        <w:t xml:space="preserve">associated with an application for a certificate under NGA Section 7(c).  </w:t>
      </w:r>
      <w:r w:rsidRPr="00964205" w:rsidR="00F73006">
        <w:rPr>
          <w:sz w:val="26"/>
        </w:rPr>
        <w:t>Additionally</w:t>
      </w:r>
      <w:r w:rsidRPr="00964205">
        <w:rPr>
          <w:sz w:val="26"/>
        </w:rPr>
        <w:t>, the Commission reviews FERC-546 materials in 4(f) storage applications to evaluate market power and decide whether to grant, deny, or condition market</w:t>
      </w:r>
      <w:r w:rsidRPr="00964205" w:rsidR="00B95663">
        <w:rPr>
          <w:sz w:val="26"/>
        </w:rPr>
        <w:t>-</w:t>
      </w:r>
      <w:r w:rsidRPr="00964205">
        <w:rPr>
          <w:sz w:val="26"/>
        </w:rPr>
        <w:t>based rate authority for the applicant.  The Commission also uses the FERC-546 information to monitor jurisdictional transportation, natural gas storage, and unbundled sales activities of interstate natural gas pipelines and Hinshaw</w:t>
      </w:r>
      <w:r>
        <w:rPr>
          <w:b/>
          <w:sz w:val="26"/>
          <w:vertAlign w:val="superscript"/>
        </w:rPr>
        <w:footnoteReference w:id="5"/>
      </w:r>
      <w:r w:rsidRPr="00964205">
        <w:rPr>
          <w:sz w:val="26"/>
        </w:rPr>
        <w:t xml:space="preserve"> pipelines.  In addition to fulfilling the Commission’s obligations under the NGA, the FERC-546 enables the Commission to monitor activities, evaluate transactions, ensure competitiveness, and improved efficiency of the gas industry's operations.  In summary, the Commission uses the FERC-546 information to: </w:t>
      </w:r>
    </w:p>
    <w:p w:rsidR="003E742E" w:rsidRPr="00964205" w:rsidP="006F76E1" w14:paraId="315A40B8" w14:textId="77777777">
      <w:pPr>
        <w:widowControl/>
        <w:numPr>
          <w:ilvl w:val="0"/>
          <w:numId w:val="16"/>
        </w:numPr>
        <w:autoSpaceDE/>
        <w:autoSpaceDN/>
        <w:adjustRightInd/>
        <w:spacing w:line="276" w:lineRule="auto"/>
        <w:rPr>
          <w:sz w:val="26"/>
        </w:rPr>
      </w:pPr>
      <w:r w:rsidRPr="00964205">
        <w:rPr>
          <w:sz w:val="26"/>
        </w:rPr>
        <w:t>Ensure adequate customer protections under section 4(f) of the NGA;</w:t>
      </w:r>
    </w:p>
    <w:p w:rsidR="003E742E" w:rsidRPr="00964205" w:rsidP="006F76E1" w14:paraId="6E71AEC7" w14:textId="77777777">
      <w:pPr>
        <w:widowControl/>
        <w:numPr>
          <w:ilvl w:val="0"/>
          <w:numId w:val="16"/>
        </w:numPr>
        <w:autoSpaceDE/>
        <w:autoSpaceDN/>
        <w:adjustRightInd/>
        <w:spacing w:line="276" w:lineRule="auto"/>
        <w:rPr>
          <w:sz w:val="26"/>
        </w:rPr>
      </w:pPr>
      <w:r w:rsidRPr="00964205">
        <w:rPr>
          <w:sz w:val="26"/>
        </w:rPr>
        <w:t xml:space="preserve">Review rate and tariff changes by natural gas companies for the transportation of </w:t>
      </w:r>
      <w:r w:rsidRPr="00964205" w:rsidR="006B70DF">
        <w:rPr>
          <w:sz w:val="26"/>
        </w:rPr>
        <w:t xml:space="preserve">natural </w:t>
      </w:r>
      <w:r w:rsidRPr="00964205">
        <w:rPr>
          <w:sz w:val="26"/>
        </w:rPr>
        <w:t>gas</w:t>
      </w:r>
      <w:r w:rsidRPr="00964205" w:rsidR="006B70DF">
        <w:rPr>
          <w:sz w:val="26"/>
        </w:rPr>
        <w:t xml:space="preserve"> and</w:t>
      </w:r>
      <w:r w:rsidRPr="00964205">
        <w:rPr>
          <w:sz w:val="26"/>
        </w:rPr>
        <w:t xml:space="preserve"> natural gas storage services;</w:t>
      </w:r>
    </w:p>
    <w:p w:rsidR="003E742E" w:rsidRPr="00964205" w:rsidP="006F76E1" w14:paraId="1A4B03A1" w14:textId="77777777">
      <w:pPr>
        <w:widowControl/>
        <w:numPr>
          <w:ilvl w:val="0"/>
          <w:numId w:val="16"/>
        </w:numPr>
        <w:autoSpaceDE/>
        <w:autoSpaceDN/>
        <w:adjustRightInd/>
        <w:spacing w:line="276" w:lineRule="auto"/>
        <w:rPr>
          <w:sz w:val="26"/>
        </w:rPr>
      </w:pPr>
      <w:r w:rsidRPr="00964205">
        <w:rPr>
          <w:sz w:val="26"/>
        </w:rPr>
        <w:t>Provide general industry oversight; and</w:t>
      </w:r>
    </w:p>
    <w:p w:rsidR="003E742E" w:rsidRPr="00964205" w:rsidP="006F76E1" w14:paraId="4AD6EA5D" w14:textId="77777777">
      <w:pPr>
        <w:widowControl/>
        <w:numPr>
          <w:ilvl w:val="0"/>
          <w:numId w:val="16"/>
        </w:numPr>
        <w:autoSpaceDE/>
        <w:autoSpaceDN/>
        <w:adjustRightInd/>
        <w:spacing w:line="276" w:lineRule="auto"/>
        <w:rPr>
          <w:sz w:val="26"/>
        </w:rPr>
      </w:pPr>
      <w:r w:rsidRPr="00964205">
        <w:rPr>
          <w:sz w:val="26"/>
        </w:rPr>
        <w:t>Supplement documentation during its audits process.</w:t>
      </w:r>
    </w:p>
    <w:p w:rsidR="003E742E" w:rsidRPr="00964205" w:rsidP="003E742E" w14:paraId="31E9D870" w14:textId="77777777">
      <w:pPr>
        <w:rPr>
          <w:sz w:val="26"/>
        </w:rPr>
      </w:pPr>
    </w:p>
    <w:p w:rsidR="00F53486" w:rsidRPr="00964205" w:rsidP="003E742E" w14:paraId="732114AE" w14:textId="77777777">
      <w:pPr>
        <w:tabs>
          <w:tab w:val="left" w:pos="720"/>
        </w:tabs>
        <w:rPr>
          <w:bCs/>
          <w:sz w:val="26"/>
        </w:rPr>
      </w:pPr>
      <w:r w:rsidRPr="00964205">
        <w:rPr>
          <w:sz w:val="26"/>
        </w:rPr>
        <w:t>Failure to collect this information would prevent the Commission from being able to monitor and evaluate transactions and operations of interstate pipelines and perform its regulatory functions</w:t>
      </w:r>
      <w:r w:rsidRPr="00964205" w:rsidR="009F18B6">
        <w:rPr>
          <w:bCs/>
          <w:sz w:val="26"/>
        </w:rPr>
        <w:t>.</w:t>
      </w:r>
    </w:p>
    <w:p w:rsidR="00821D54" w:rsidRPr="00964205" w:rsidP="00541EB8" w14:paraId="572348CD" w14:textId="77777777">
      <w:pPr>
        <w:tabs>
          <w:tab w:val="left" w:pos="720"/>
        </w:tabs>
        <w:rPr>
          <w:sz w:val="26"/>
        </w:rPr>
      </w:pPr>
    </w:p>
    <w:p w:rsidR="00F53486" w:rsidRPr="00964205" w:rsidP="007129A6" w14:paraId="7FACC865" w14:textId="77777777">
      <w:pPr>
        <w:widowControl/>
        <w:numPr>
          <w:ilvl w:val="0"/>
          <w:numId w:val="2"/>
        </w:numPr>
        <w:tabs>
          <w:tab w:val="clear" w:pos="1815"/>
        </w:tabs>
        <w:ind w:left="720" w:hanging="720"/>
        <w:rPr>
          <w:sz w:val="26"/>
        </w:rPr>
      </w:pPr>
      <w:r w:rsidRPr="00964205">
        <w:rPr>
          <w:b/>
          <w:sz w:val="26"/>
        </w:rPr>
        <w:t>DESCRIBE ANY CONSIDERATION OF THE USE OF IMPROVED INFORMATION TECHNOLOGY TO REDUCE BURDEN AND THE TECHNICAL OR LEGAL OBSTACLES TO REDUCING BURDEN</w:t>
      </w:r>
    </w:p>
    <w:p w:rsidR="00577AB2" w:rsidRPr="00964205" w:rsidP="00577AB2" w14:paraId="2290C86C" w14:textId="77777777">
      <w:pPr>
        <w:widowControl/>
        <w:rPr>
          <w:sz w:val="26"/>
        </w:rPr>
      </w:pPr>
    </w:p>
    <w:p w:rsidR="003E742E" w:rsidRPr="00964205" w:rsidP="003E742E" w14:paraId="2765A948" w14:textId="77777777">
      <w:pPr>
        <w:rPr>
          <w:sz w:val="26"/>
        </w:rPr>
      </w:pPr>
      <w:r w:rsidRPr="00964205">
        <w:rPr>
          <w:sz w:val="26"/>
        </w:rPr>
        <w:t xml:space="preserve">The Commission provides ongoing effort to apply improved information technology to reduce the burden related to this information collection.  Most documents may be filed electronically with the Commission via the Internet (e.g. via eFiling, eForms, eTariff).  These efforts are part of FERC compliance with the Paperwork Reduction Act, the Government Paperwork Elimination Act, and the E-Government Act of 2002.  </w:t>
      </w:r>
    </w:p>
    <w:p w:rsidR="003E742E" w:rsidRPr="00964205" w:rsidP="003E742E" w14:paraId="021C0507" w14:textId="77777777">
      <w:pPr>
        <w:rPr>
          <w:sz w:val="26"/>
        </w:rPr>
      </w:pPr>
    </w:p>
    <w:p w:rsidR="003E742E" w:rsidRPr="00964205" w:rsidP="003E742E" w14:paraId="07F9972B" w14:textId="77777777">
      <w:pPr>
        <w:rPr>
          <w:sz w:val="26"/>
        </w:rPr>
      </w:pPr>
      <w:r w:rsidRPr="00964205">
        <w:rPr>
          <w:sz w:val="26"/>
        </w:rPr>
        <w:t>By issuing Order No. 714</w:t>
      </w:r>
      <w:r>
        <w:rPr>
          <w:rStyle w:val="FootnoteReference"/>
        </w:rPr>
        <w:footnoteReference w:id="6"/>
      </w:r>
      <w:r w:rsidRPr="00964205">
        <w:rPr>
          <w:sz w:val="26"/>
        </w:rPr>
        <w:t xml:space="preserve"> in 2008, the Commission revised its regulations to require electronic filing of all tariffs, tariff revisions and rate change applications for public utilities, natural gas pipelines, oil pipelines and power administrations starting in April 2010.  </w:t>
      </w:r>
    </w:p>
    <w:p w:rsidR="003E742E" w:rsidRPr="00964205" w:rsidP="003E742E" w14:paraId="0D28F3E4" w14:textId="77777777">
      <w:pPr>
        <w:rPr>
          <w:sz w:val="26"/>
        </w:rPr>
      </w:pPr>
    </w:p>
    <w:p w:rsidR="002835ED" w:rsidRPr="00964205" w:rsidP="003E742E" w14:paraId="77211CD3" w14:textId="77777777">
      <w:pPr>
        <w:pStyle w:val="Default"/>
        <w:rPr>
          <w:sz w:val="26"/>
        </w:rPr>
      </w:pPr>
      <w:r w:rsidRPr="00964205">
        <w:rPr>
          <w:sz w:val="26"/>
        </w:rPr>
        <w:t>FERC-546 data can be embedded within the XML schema of the eTariff system.  Providing FERC-546 filers with the eTariff system for submitting information reduced physical storage space needs and document processing time.  It has also provided easier tracking of document filing activity and reduced mailing and courier fees.  The eTariff system allows concurrent access to FERC-546 tariff filings by multiple parties as well as the ability to download and print tariff filings.  It automatically sends filers an email indicating their filing has arrived at FERC and of its acceptance.  All FERC-546 filings are also available electronically in FERC’s eLibrary system</w:t>
      </w:r>
      <w:r w:rsidRPr="00964205">
        <w:rPr>
          <w:sz w:val="26"/>
        </w:rPr>
        <w:t>.</w:t>
      </w:r>
    </w:p>
    <w:p w:rsidR="00F53486" w:rsidRPr="00964205" w:rsidP="00F53486" w14:paraId="4C5BC5A3" w14:textId="77777777">
      <w:pPr>
        <w:widowControl/>
        <w:rPr>
          <w:sz w:val="26"/>
        </w:rPr>
      </w:pPr>
    </w:p>
    <w:p w:rsidR="00F53486" w:rsidRPr="00964205" w:rsidP="007129A6" w14:paraId="77B9E23E" w14:textId="77777777">
      <w:pPr>
        <w:widowControl/>
        <w:tabs>
          <w:tab w:val="left" w:pos="720"/>
        </w:tabs>
        <w:ind w:left="720" w:hanging="720"/>
        <w:rPr>
          <w:b/>
          <w:sz w:val="26"/>
        </w:rPr>
      </w:pPr>
      <w:r w:rsidRPr="00964205">
        <w:rPr>
          <w:b/>
          <w:sz w:val="26"/>
        </w:rPr>
        <w:t>4.</w:t>
      </w:r>
      <w:r w:rsidRPr="00964205">
        <w:rPr>
          <w:b/>
          <w:sz w:val="26"/>
        </w:rPr>
        <w:tab/>
        <w:t>DESCRIBE EFFORTS TO IDENTIFY DUPLICATION AND SHOW SPECIFICALLY WHY ANY SIMILAR INFORMATION ALREADY AVAILABLE CANNOT BE USED OR MODIFIED FOR USE FOR THE PURPOSE(S) DESCRIBED IN INSTRUCTION NO. 2.</w:t>
      </w:r>
    </w:p>
    <w:p w:rsidR="000A1237" w:rsidRPr="00964205" w:rsidP="000A1237" w14:paraId="3129512C" w14:textId="77777777">
      <w:pPr>
        <w:widowControl/>
        <w:ind w:firstLine="720"/>
        <w:rPr>
          <w:b/>
          <w:sz w:val="26"/>
        </w:rPr>
      </w:pPr>
    </w:p>
    <w:p w:rsidR="003E742E" w:rsidRPr="00964205" w:rsidP="003E742E" w14:paraId="191BC726" w14:textId="01CD9C3D">
      <w:pPr>
        <w:rPr>
          <w:sz w:val="26"/>
        </w:rPr>
      </w:pPr>
      <w:r w:rsidRPr="00964205">
        <w:rPr>
          <w:sz w:val="26"/>
        </w:rPr>
        <w:t xml:space="preserve">The FERC-546 information concerns rates for </w:t>
      </w:r>
      <w:bookmarkStart w:id="0" w:name="OLE_LINK1"/>
      <w:bookmarkStart w:id="1" w:name="OLE_LINK2"/>
      <w:r w:rsidRPr="00964205">
        <w:rPr>
          <w:sz w:val="26"/>
        </w:rPr>
        <w:t xml:space="preserve">new or changed transportation and storage services stemming from new or modified natural gas infrastructure.  </w:t>
      </w:r>
      <w:bookmarkEnd w:id="0"/>
      <w:bookmarkEnd w:id="1"/>
      <w:r w:rsidRPr="00964205">
        <w:rPr>
          <w:sz w:val="26"/>
        </w:rPr>
        <w:t>There is a relationship with the FERC-545 because that collection’s data includes the cost and revenue studies that NGA Section 7(c) certificate holders file to support a rate after their initial certificated rate period elapses.  However, there is no duplication between the FERC</w:t>
      </w:r>
      <w:r w:rsidRPr="00964205" w:rsidR="00774137">
        <w:rPr>
          <w:sz w:val="26"/>
        </w:rPr>
        <w:t>-</w:t>
      </w:r>
      <w:r w:rsidRPr="00964205">
        <w:rPr>
          <w:sz w:val="26"/>
        </w:rPr>
        <w:t xml:space="preserve">546 and any other data collection.  Finally, each FERC-546 filing is unique to the filing pipeline and activity. </w:t>
      </w:r>
    </w:p>
    <w:p w:rsidR="003E742E" w:rsidRPr="00964205" w:rsidP="003E742E" w14:paraId="59B3BF31" w14:textId="77777777">
      <w:pPr>
        <w:rPr>
          <w:sz w:val="26"/>
        </w:rPr>
      </w:pPr>
    </w:p>
    <w:p w:rsidR="000A1237" w:rsidRPr="00964205" w:rsidP="48E9ABC2" w14:paraId="5FBA9217" w14:textId="793905EF">
      <w:pPr>
        <w:rPr>
          <w:sz w:val="26"/>
          <w:szCs w:val="26"/>
        </w:rPr>
      </w:pPr>
      <w:r w:rsidRPr="48E9ABC2">
        <w:rPr>
          <w:sz w:val="26"/>
          <w:szCs w:val="26"/>
        </w:rPr>
        <w:t>The Commission published a notice within the Federal Register</w:t>
      </w:r>
      <w:r w:rsidRPr="48E9ABC2" w:rsidR="00EF0AEF">
        <w:rPr>
          <w:sz w:val="26"/>
          <w:szCs w:val="26"/>
          <w:vertAlign w:val="superscript"/>
        </w:rPr>
        <w:fldChar w:fldCharType="begin"/>
      </w:r>
      <w:r w:rsidRPr="48E9ABC2" w:rsidR="00EF0AEF">
        <w:rPr>
          <w:sz w:val="26"/>
          <w:szCs w:val="26"/>
          <w:vertAlign w:val="superscript"/>
        </w:rPr>
        <w:instrText xml:space="preserve"> NOTEREF _Ref433365347 \h  \* MERGEFORMAT </w:instrText>
      </w:r>
      <w:r w:rsidRPr="48E9ABC2" w:rsidR="00EF0AEF">
        <w:rPr>
          <w:sz w:val="26"/>
          <w:szCs w:val="26"/>
          <w:vertAlign w:val="superscript"/>
        </w:rPr>
        <w:fldChar w:fldCharType="separate"/>
      </w:r>
      <w:r w:rsidRPr="48E9ABC2" w:rsidR="00EF0AEF">
        <w:rPr>
          <w:sz w:val="26"/>
          <w:szCs w:val="26"/>
          <w:vertAlign w:val="superscript"/>
        </w:rPr>
        <w:t>6</w:t>
      </w:r>
      <w:r w:rsidRPr="48E9ABC2" w:rsidR="00EF0AEF">
        <w:rPr>
          <w:sz w:val="26"/>
          <w:szCs w:val="26"/>
          <w:vertAlign w:val="superscript"/>
        </w:rPr>
        <w:fldChar w:fldCharType="end"/>
      </w:r>
      <w:r w:rsidRPr="48E9ABC2">
        <w:rPr>
          <w:sz w:val="26"/>
          <w:szCs w:val="26"/>
        </w:rPr>
        <w:t xml:space="preserve"> to help identify any duplication of the information in FERC-546.  The Commission received no </w:t>
      </w:r>
      <w:r w:rsidRPr="48E9ABC2">
        <w:rPr>
          <w:sz w:val="26"/>
          <w:szCs w:val="26"/>
        </w:rPr>
        <w:t>comments regarding this collection.  No similar information can be used or modified.</w:t>
      </w:r>
      <w:r w:rsidRPr="48E9ABC2" w:rsidR="00D002F9">
        <w:rPr>
          <w:sz w:val="26"/>
          <w:szCs w:val="26"/>
        </w:rPr>
        <w:t xml:space="preserve"> </w:t>
      </w:r>
      <w:r w:rsidRPr="48E9ABC2">
        <w:rPr>
          <w:sz w:val="26"/>
          <w:szCs w:val="26"/>
        </w:rPr>
        <w:t xml:space="preserve"> There are no other Federal agencies responsible for </w:t>
      </w:r>
      <w:r w:rsidRPr="48E9ABC2" w:rsidR="009D772E">
        <w:rPr>
          <w:sz w:val="26"/>
          <w:szCs w:val="26"/>
        </w:rPr>
        <w:t>deciding whether or not to determine initial rate</w:t>
      </w:r>
      <w:r w:rsidRPr="48E9ABC2" w:rsidR="00AB6EF9">
        <w:rPr>
          <w:sz w:val="26"/>
          <w:szCs w:val="26"/>
        </w:rPr>
        <w:t>s</w:t>
      </w:r>
      <w:r w:rsidRPr="48E9ABC2" w:rsidR="009D772E">
        <w:rPr>
          <w:sz w:val="26"/>
          <w:szCs w:val="26"/>
        </w:rPr>
        <w:t xml:space="preserve"> associated with an application for a certificate under NGA Section 7(c).</w:t>
      </w:r>
    </w:p>
    <w:p w:rsidR="00F53486" w:rsidRPr="00964205" w:rsidP="00F53486" w14:paraId="13836DA6" w14:textId="77777777">
      <w:pPr>
        <w:rPr>
          <w:sz w:val="26"/>
        </w:rPr>
      </w:pPr>
    </w:p>
    <w:p w:rsidR="00F53486" w:rsidRPr="00964205" w:rsidP="007129A6" w14:paraId="3412455C" w14:textId="77777777">
      <w:pPr>
        <w:widowControl/>
        <w:tabs>
          <w:tab w:val="left" w:pos="720"/>
        </w:tabs>
        <w:ind w:left="720" w:hanging="720"/>
        <w:rPr>
          <w:sz w:val="26"/>
        </w:rPr>
      </w:pPr>
      <w:r w:rsidRPr="00964205">
        <w:rPr>
          <w:b/>
          <w:sz w:val="26"/>
        </w:rPr>
        <w:t>5.</w:t>
      </w:r>
      <w:r w:rsidRPr="00964205">
        <w:rPr>
          <w:sz w:val="26"/>
        </w:rPr>
        <w:t xml:space="preserve"> </w:t>
      </w:r>
      <w:r w:rsidRPr="00964205">
        <w:rPr>
          <w:sz w:val="26"/>
        </w:rPr>
        <w:tab/>
      </w:r>
      <w:r w:rsidRPr="00964205">
        <w:rPr>
          <w:b/>
          <w:sz w:val="26"/>
        </w:rPr>
        <w:t>METHODS USED TO MINIMIZE BURDEN IN COLLECTION OF INFORMATION INVOLVING SMALL ENTITIES</w:t>
      </w:r>
      <w:r w:rsidRPr="00964205">
        <w:rPr>
          <w:sz w:val="26"/>
        </w:rPr>
        <w:t xml:space="preserve"> </w:t>
      </w:r>
    </w:p>
    <w:p w:rsidR="00F53486" w:rsidRPr="00964205" w:rsidP="00F53486" w14:paraId="3BFB9BE9" w14:textId="77777777">
      <w:pPr>
        <w:widowControl/>
        <w:ind w:left="1440" w:hanging="720"/>
        <w:rPr>
          <w:sz w:val="26"/>
        </w:rPr>
      </w:pPr>
    </w:p>
    <w:p w:rsidR="003E742E" w:rsidRPr="00964205" w:rsidP="003E742E" w14:paraId="3E990A0B" w14:textId="77777777">
      <w:pPr>
        <w:rPr>
          <w:sz w:val="26"/>
        </w:rPr>
      </w:pPr>
      <w:r w:rsidRPr="00964205">
        <w:rPr>
          <w:sz w:val="26"/>
        </w:rPr>
        <w:t>FERC-546 is a filing requirement pertaining to pipeline service filing obligations for the transportation, storage, and sale of natural gas.  The FERC-546 filing collects data from both large and small respondent companies.  The data required impose the least possible burden for companies while collecting the required information for the certificated rate filings.  Use of the Internet to file documents electronically is the primary method the Commission uses to minimize the burden.</w:t>
      </w:r>
    </w:p>
    <w:p w:rsidR="003E742E" w:rsidRPr="00964205" w:rsidP="003E742E" w14:paraId="10231E04" w14:textId="77777777">
      <w:pPr>
        <w:rPr>
          <w:sz w:val="26"/>
        </w:rPr>
      </w:pPr>
    </w:p>
    <w:p w:rsidR="00D222C7" w:rsidRPr="00964205" w:rsidP="003E742E" w14:paraId="2E434703" w14:textId="77777777">
      <w:pPr>
        <w:widowControl/>
        <w:rPr>
          <w:b/>
          <w:bCs/>
          <w:sz w:val="26"/>
        </w:rPr>
      </w:pPr>
      <w:r w:rsidRPr="00964205">
        <w:rPr>
          <w:sz w:val="26"/>
        </w:rPr>
        <w:t>T</w:t>
      </w:r>
      <w:r w:rsidRPr="00964205" w:rsidR="003E742E">
        <w:rPr>
          <w:sz w:val="26"/>
        </w:rPr>
        <w:t xml:space="preserve">he filing </w:t>
      </w:r>
      <w:r w:rsidRPr="00964205" w:rsidR="00207676">
        <w:rPr>
          <w:sz w:val="26"/>
        </w:rPr>
        <w:t xml:space="preserve">of </w:t>
      </w:r>
      <w:r w:rsidRPr="00964205" w:rsidR="003E742E">
        <w:rPr>
          <w:sz w:val="26"/>
        </w:rPr>
        <w:t xml:space="preserve">all documents within the data collection </w:t>
      </w:r>
      <w:r w:rsidRPr="00964205" w:rsidR="00207676">
        <w:rPr>
          <w:sz w:val="26"/>
        </w:rPr>
        <w:t>occur</w:t>
      </w:r>
      <w:r w:rsidRPr="00964205">
        <w:rPr>
          <w:sz w:val="26"/>
        </w:rPr>
        <w:t>s</w:t>
      </w:r>
      <w:r w:rsidRPr="00964205" w:rsidR="00207676">
        <w:rPr>
          <w:sz w:val="26"/>
        </w:rPr>
        <w:t xml:space="preserve"> </w:t>
      </w:r>
      <w:r w:rsidRPr="00964205" w:rsidR="003E742E">
        <w:rPr>
          <w:sz w:val="26"/>
        </w:rPr>
        <w:t>through the eFiling interface as a means of reducing burden for respondents including small entities</w:t>
      </w:r>
      <w:r w:rsidRPr="00964205" w:rsidR="00773922">
        <w:rPr>
          <w:sz w:val="26"/>
        </w:rPr>
        <w:t xml:space="preserve">. </w:t>
      </w:r>
    </w:p>
    <w:p w:rsidR="00F53486" w:rsidRPr="00964205" w:rsidP="00F53486" w14:paraId="66080379" w14:textId="77777777">
      <w:pPr>
        <w:widowControl/>
        <w:ind w:left="1440"/>
        <w:rPr>
          <w:sz w:val="26"/>
        </w:rPr>
      </w:pPr>
    </w:p>
    <w:p w:rsidR="007E2455" w:rsidRPr="00964205" w:rsidP="007129A6" w14:paraId="5C7A1A70" w14:textId="77777777">
      <w:pPr>
        <w:widowControl/>
        <w:numPr>
          <w:ilvl w:val="0"/>
          <w:numId w:val="3"/>
        </w:numPr>
        <w:tabs>
          <w:tab w:val="num" w:pos="720"/>
          <w:tab w:val="clear" w:pos="1080"/>
        </w:tabs>
        <w:ind w:left="720" w:hanging="720"/>
        <w:rPr>
          <w:b/>
          <w:sz w:val="26"/>
        </w:rPr>
      </w:pPr>
      <w:r w:rsidRPr="00964205">
        <w:rPr>
          <w:b/>
          <w:sz w:val="26"/>
        </w:rPr>
        <w:t>CONSEQUENCE TO FEDERAL PROGRAM IF COLLECTION WERE CONDUCTED LESS FREQUENTLY</w:t>
      </w:r>
    </w:p>
    <w:p w:rsidR="007C11A8" w:rsidRPr="00964205" w:rsidP="007C11A8" w14:paraId="53552097" w14:textId="77777777">
      <w:pPr>
        <w:widowControl/>
        <w:rPr>
          <w:b/>
          <w:sz w:val="26"/>
        </w:rPr>
      </w:pPr>
    </w:p>
    <w:p w:rsidR="007E2455" w:rsidRPr="00964205" w:rsidP="009A3A3B" w14:paraId="03D01BE6" w14:textId="77777777">
      <w:pPr>
        <w:tabs>
          <w:tab w:val="left" w:pos="720"/>
        </w:tabs>
        <w:rPr>
          <w:bCs/>
          <w:sz w:val="26"/>
        </w:rPr>
      </w:pPr>
      <w:r w:rsidRPr="00964205">
        <w:rPr>
          <w:sz w:val="26"/>
        </w:rPr>
        <w:t>Industry respondents only file the FERC-546 data when rates for new or changed transportation and storage services will be needed for new or modified natural gas infrastructure.  It is not possible for the Commission to receive FERC-546 data less frequently and meet it</w:t>
      </w:r>
      <w:r w:rsidRPr="00964205" w:rsidR="00B66750">
        <w:rPr>
          <w:sz w:val="26"/>
        </w:rPr>
        <w:t>s</w:t>
      </w:r>
      <w:r w:rsidRPr="00964205">
        <w:rPr>
          <w:sz w:val="26"/>
        </w:rPr>
        <w:t xml:space="preserve"> statutory responsibility of ensuring that the rates of these natural gas pipelines are just and reasonable under the Natural Gas Act</w:t>
      </w:r>
      <w:r w:rsidRPr="00964205">
        <w:rPr>
          <w:bCs/>
          <w:sz w:val="26"/>
        </w:rPr>
        <w:t>.</w:t>
      </w:r>
    </w:p>
    <w:p w:rsidR="00F53486" w:rsidRPr="00964205" w:rsidP="00056B57" w14:paraId="61CAEE44" w14:textId="77777777">
      <w:pPr>
        <w:widowControl/>
        <w:rPr>
          <w:sz w:val="26"/>
        </w:rPr>
      </w:pPr>
    </w:p>
    <w:p w:rsidR="00F53486" w:rsidRPr="00964205" w:rsidP="007129A6" w14:paraId="41238AE2" w14:textId="77777777">
      <w:pPr>
        <w:widowControl/>
        <w:tabs>
          <w:tab w:val="left" w:pos="720"/>
        </w:tabs>
        <w:ind w:left="720" w:hanging="720"/>
        <w:rPr>
          <w:b/>
          <w:sz w:val="26"/>
        </w:rPr>
      </w:pPr>
      <w:r w:rsidRPr="00964205">
        <w:rPr>
          <w:b/>
          <w:sz w:val="26"/>
        </w:rPr>
        <w:t>7</w:t>
      </w:r>
      <w:r w:rsidRPr="00964205">
        <w:rPr>
          <w:sz w:val="26"/>
        </w:rPr>
        <w:t>.</w:t>
      </w:r>
      <w:r w:rsidRPr="00964205">
        <w:rPr>
          <w:sz w:val="26"/>
        </w:rPr>
        <w:tab/>
      </w:r>
      <w:r w:rsidRPr="00964205">
        <w:rPr>
          <w:b/>
          <w:sz w:val="26"/>
        </w:rPr>
        <w:t>EXPLAIN ANY SPECIAL CIRCUMSTANCES RELATING TO THE INFORMATION</w:t>
      </w:r>
    </w:p>
    <w:p w:rsidR="00C90BA2" w:rsidRPr="00964205" w:rsidP="00DA3CB6" w14:paraId="0B93D453" w14:textId="77777777">
      <w:pPr>
        <w:widowControl/>
        <w:ind w:firstLine="720"/>
        <w:rPr>
          <w:b/>
          <w:sz w:val="26"/>
        </w:rPr>
      </w:pPr>
    </w:p>
    <w:p w:rsidR="00CB20FD" w:rsidRPr="00964205" w:rsidP="00C90BA2" w14:paraId="41452DEC" w14:textId="77777777">
      <w:pPr>
        <w:widowControl/>
        <w:rPr>
          <w:b/>
          <w:bCs/>
          <w:sz w:val="26"/>
        </w:rPr>
      </w:pPr>
      <w:r w:rsidRPr="00964205">
        <w:rPr>
          <w:sz w:val="26"/>
        </w:rPr>
        <w:t>There are no special circumstances related to this collection.</w:t>
      </w:r>
    </w:p>
    <w:p w:rsidR="00390518" w:rsidRPr="00964205" w:rsidP="00F53486" w14:paraId="15FF924D" w14:textId="77777777">
      <w:pPr>
        <w:widowControl/>
        <w:rPr>
          <w:sz w:val="26"/>
        </w:rPr>
      </w:pPr>
    </w:p>
    <w:p w:rsidR="00F53486" w:rsidRPr="00964205" w:rsidP="00A86DC2" w14:paraId="089C461A" w14:textId="77777777">
      <w:pPr>
        <w:widowControl/>
        <w:tabs>
          <w:tab w:val="left" w:pos="720"/>
        </w:tabs>
        <w:ind w:left="720" w:hanging="720"/>
        <w:rPr>
          <w:b/>
          <w:sz w:val="26"/>
        </w:rPr>
      </w:pPr>
      <w:r w:rsidRPr="00964205">
        <w:rPr>
          <w:b/>
          <w:sz w:val="26"/>
        </w:rPr>
        <w:t xml:space="preserve">8.  </w:t>
      </w:r>
      <w:r w:rsidRPr="00964205" w:rsidR="00A86DC2">
        <w:rPr>
          <w:b/>
          <w:sz w:val="26"/>
        </w:rPr>
        <w:tab/>
      </w:r>
      <w:r w:rsidRPr="00964205">
        <w:rPr>
          <w:b/>
          <w:sz w:val="26"/>
        </w:rPr>
        <w:t>DESCRIBE EFFORTS TO CONSULT OUTSIDE THE AGENC</w:t>
      </w:r>
      <w:r w:rsidRPr="00964205" w:rsidR="00DA3CB6">
        <w:rPr>
          <w:b/>
          <w:sz w:val="26"/>
        </w:rPr>
        <w:t xml:space="preserve">Y:  </w:t>
      </w:r>
      <w:r w:rsidRPr="00964205">
        <w:rPr>
          <w:b/>
          <w:sz w:val="26"/>
        </w:rPr>
        <w:t>SUMMARIZE PUBLIC COMMENTS AND THE AGENCY’S RESPONSE TO THESE COMMENTS</w:t>
      </w:r>
    </w:p>
    <w:p w:rsidR="00F53486" w:rsidRPr="00964205" w:rsidP="00F53486" w14:paraId="6E3A1AC6" w14:textId="77777777">
      <w:pPr>
        <w:widowControl/>
        <w:ind w:firstLine="720"/>
        <w:rPr>
          <w:sz w:val="26"/>
        </w:rPr>
      </w:pPr>
    </w:p>
    <w:p w:rsidR="00F53486" w:rsidRPr="00964205" w:rsidP="00F53486" w14:paraId="46221B23" w14:textId="4911BBA6">
      <w:pPr>
        <w:pStyle w:val="LegalFormat"/>
      </w:pPr>
      <w:r w:rsidRPr="48E9ABC2">
        <w:t>In accordance with OMB requirements</w:t>
      </w:r>
      <w:r>
        <w:rPr>
          <w:rStyle w:val="FootnoteReference"/>
        </w:rPr>
        <w:footnoteReference w:id="7"/>
      </w:r>
      <w:r w:rsidRPr="48E9ABC2">
        <w:t>, the Commission published a 60-day notice</w:t>
      </w:r>
      <w:bookmarkStart w:id="2" w:name="_Ref433365347"/>
      <w:r>
        <w:rPr>
          <w:vertAlign w:val="superscript"/>
        </w:rPr>
        <w:footnoteReference w:id="8"/>
      </w:r>
      <w:bookmarkEnd w:id="2"/>
      <w:r w:rsidRPr="48E9ABC2">
        <w:t xml:space="preserve"> and a 30-day notice</w:t>
      </w:r>
      <w:r>
        <w:rPr>
          <w:b/>
          <w:bCs/>
          <w:vertAlign w:val="superscript"/>
        </w:rPr>
        <w:footnoteReference w:id="9"/>
      </w:r>
      <w:r w:rsidRPr="48E9ABC2">
        <w:t xml:space="preserve"> to the public regarding this information collection on </w:t>
      </w:r>
      <w:r w:rsidR="00081F3A">
        <w:t>12/3</w:t>
      </w:r>
      <w:r w:rsidRPr="00964205" w:rsidR="0069287A">
        <w:rPr>
          <w:szCs w:val="24"/>
        </w:rPr>
        <w:t>/</w:t>
      </w:r>
      <w:r w:rsidRPr="48E9ABC2" w:rsidR="00AA1E9C">
        <w:t>20</w:t>
      </w:r>
      <w:r w:rsidRPr="48E9ABC2" w:rsidR="00091110">
        <w:t>2</w:t>
      </w:r>
      <w:r w:rsidR="104820B6">
        <w:t>4</w:t>
      </w:r>
      <w:r w:rsidRPr="00964205">
        <w:rPr>
          <w:szCs w:val="24"/>
        </w:rPr>
        <w:t xml:space="preserve"> </w:t>
      </w:r>
      <w:r w:rsidRPr="48E9ABC2" w:rsidR="00661EED">
        <w:t xml:space="preserve">and </w:t>
      </w:r>
      <w:r w:rsidR="00081F3A">
        <w:t>3</w:t>
      </w:r>
      <w:r w:rsidRPr="00964205" w:rsidR="0063011A">
        <w:rPr>
          <w:szCs w:val="24"/>
        </w:rPr>
        <w:t>/</w:t>
      </w:r>
      <w:r w:rsidR="00081F3A">
        <w:t>5</w:t>
      </w:r>
      <w:r w:rsidRPr="48E9ABC2" w:rsidR="00AA1E9C">
        <w:t>/20</w:t>
      </w:r>
      <w:r w:rsidRPr="48E9ABC2" w:rsidR="001437C8">
        <w:t>2</w:t>
      </w:r>
      <w:r w:rsidR="3E8F5FFA">
        <w:t>5</w:t>
      </w:r>
      <w:r w:rsidRPr="48E9ABC2">
        <w:t xml:space="preserve"> respectively. Within the public notice, the Commission </w:t>
      </w:r>
      <w:r w:rsidRPr="48E9ABC2">
        <w:t>noted that it would be requesting a three-year extension of the public reporting burden with no change to the existing requirements concerning the collection of data.  No comments were received</w:t>
      </w:r>
      <w:r w:rsidRPr="48E9ABC2" w:rsidR="00662710">
        <w:t xml:space="preserve"> in response to the 60-day notice.</w:t>
      </w:r>
    </w:p>
    <w:p w:rsidR="00CB20FD" w:rsidRPr="00964205" w:rsidP="00F53486" w14:paraId="2577D546" w14:textId="77777777">
      <w:pPr>
        <w:pStyle w:val="LegalFormat"/>
        <w:rPr>
          <w:szCs w:val="24"/>
        </w:rPr>
      </w:pPr>
    </w:p>
    <w:p w:rsidR="00F53486" w:rsidRPr="00964205" w:rsidP="00A86DC2" w14:paraId="013DA3D1" w14:textId="77777777">
      <w:pPr>
        <w:widowControl/>
        <w:tabs>
          <w:tab w:val="left" w:pos="720"/>
        </w:tabs>
        <w:ind w:left="720" w:hanging="720"/>
        <w:rPr>
          <w:b/>
          <w:sz w:val="26"/>
        </w:rPr>
      </w:pPr>
      <w:r w:rsidRPr="00964205">
        <w:rPr>
          <w:b/>
          <w:sz w:val="26"/>
        </w:rPr>
        <w:t>9.</w:t>
      </w:r>
      <w:r w:rsidRPr="00964205">
        <w:rPr>
          <w:sz w:val="26"/>
        </w:rPr>
        <w:t xml:space="preserve"> </w:t>
      </w:r>
      <w:r w:rsidRPr="00964205">
        <w:rPr>
          <w:sz w:val="26"/>
        </w:rPr>
        <w:tab/>
      </w:r>
      <w:r w:rsidRPr="00964205">
        <w:rPr>
          <w:b/>
          <w:sz w:val="26"/>
        </w:rPr>
        <w:t>EXPLAIN ANY PAYMENT OR GIFTS TO RESPONDENTS</w:t>
      </w:r>
    </w:p>
    <w:p w:rsidR="00F53486" w:rsidRPr="00964205" w:rsidP="00F53486" w14:paraId="34C2440C" w14:textId="77777777">
      <w:pPr>
        <w:widowControl/>
        <w:ind w:firstLine="720"/>
        <w:rPr>
          <w:b/>
          <w:sz w:val="26"/>
        </w:rPr>
      </w:pPr>
    </w:p>
    <w:p w:rsidR="00CB20FD" w:rsidRPr="00964205" w:rsidP="00C90BA2" w14:paraId="1BB93FE7" w14:textId="77777777">
      <w:pPr>
        <w:rPr>
          <w:sz w:val="26"/>
        </w:rPr>
      </w:pPr>
      <w:r w:rsidRPr="00964205">
        <w:rPr>
          <w:sz w:val="26"/>
        </w:rPr>
        <w:t xml:space="preserve"> </w:t>
      </w:r>
      <w:r w:rsidRPr="00964205">
        <w:rPr>
          <w:sz w:val="26"/>
        </w:rPr>
        <w:t xml:space="preserve">There are </w:t>
      </w:r>
      <w:r w:rsidRPr="00964205" w:rsidR="00135FB3">
        <w:rPr>
          <w:sz w:val="26"/>
        </w:rPr>
        <w:t>n</w:t>
      </w:r>
      <w:r w:rsidRPr="00964205" w:rsidR="0063011A">
        <w:rPr>
          <w:sz w:val="26"/>
        </w:rPr>
        <w:t>o payments or gifts to FERC-546</w:t>
      </w:r>
      <w:r w:rsidRPr="00964205">
        <w:rPr>
          <w:sz w:val="26"/>
        </w:rPr>
        <w:t xml:space="preserve"> respondents.</w:t>
      </w:r>
    </w:p>
    <w:p w:rsidR="00F53486" w:rsidRPr="00964205" w:rsidP="00F53486" w14:paraId="2CD54118" w14:textId="77777777">
      <w:pPr>
        <w:widowControl/>
        <w:ind w:firstLine="720"/>
        <w:rPr>
          <w:sz w:val="26"/>
        </w:rPr>
      </w:pPr>
    </w:p>
    <w:p w:rsidR="00F53486" w:rsidRPr="00964205" w:rsidP="00A86DC2" w14:paraId="0C2F1272" w14:textId="2A9F7EB6">
      <w:pPr>
        <w:widowControl/>
        <w:tabs>
          <w:tab w:val="left" w:pos="720"/>
        </w:tabs>
        <w:ind w:left="720" w:hanging="720"/>
        <w:rPr>
          <w:b/>
          <w:sz w:val="26"/>
        </w:rPr>
      </w:pPr>
      <w:r w:rsidRPr="00964205">
        <w:rPr>
          <w:b/>
          <w:sz w:val="26"/>
        </w:rPr>
        <w:t>10.</w:t>
      </w:r>
      <w:r w:rsidRPr="00964205">
        <w:rPr>
          <w:b/>
          <w:sz w:val="26"/>
        </w:rPr>
        <w:tab/>
        <w:t>DESCRIBE ANY ASSURANCE OF CONFIDENTIALITY</w:t>
      </w:r>
      <w:r w:rsidRPr="00964205" w:rsidR="009A7A06">
        <w:rPr>
          <w:b/>
          <w:sz w:val="26"/>
        </w:rPr>
        <w:t xml:space="preserve"> </w:t>
      </w:r>
      <w:r w:rsidRPr="00964205">
        <w:rPr>
          <w:b/>
          <w:sz w:val="26"/>
        </w:rPr>
        <w:t>PROVIDED TO RESPONDENTS</w:t>
      </w:r>
    </w:p>
    <w:p w:rsidR="00F53486" w:rsidRPr="00964205" w:rsidP="00F53486" w14:paraId="04E35DA5" w14:textId="77777777">
      <w:pPr>
        <w:widowControl/>
        <w:ind w:firstLine="720"/>
        <w:rPr>
          <w:b/>
          <w:sz w:val="26"/>
        </w:rPr>
      </w:pPr>
    </w:p>
    <w:p w:rsidR="0063011A" w:rsidRPr="00964205" w:rsidP="0063011A" w14:paraId="218C43F2" w14:textId="77777777">
      <w:pPr>
        <w:rPr>
          <w:sz w:val="26"/>
        </w:rPr>
      </w:pPr>
      <w:r w:rsidRPr="00964205">
        <w:rPr>
          <w:sz w:val="26"/>
        </w:rPr>
        <w:t>The Commission does not consider the information collected in FERC-546 filings to be confidential.  However, the filer may request privileged treatment of a filing that may contain information harmful to the competitive posture of the applicant if released to the general public.</w:t>
      </w:r>
      <w:r>
        <w:rPr>
          <w:rStyle w:val="FootnoteReference"/>
          <w:b w:val="0"/>
        </w:rPr>
        <w:footnoteReference w:id="10"/>
      </w:r>
      <w:r w:rsidRPr="00964205">
        <w:rPr>
          <w:b/>
          <w:sz w:val="26"/>
        </w:rPr>
        <w:t xml:space="preserve"> </w:t>
      </w:r>
      <w:r w:rsidRPr="00964205">
        <w:rPr>
          <w:sz w:val="26"/>
        </w:rPr>
        <w:t xml:space="preserve"> </w:t>
      </w:r>
    </w:p>
    <w:p w:rsidR="00986B0D" w:rsidRPr="00964205" w:rsidP="00C90BA2" w14:paraId="1D175134" w14:textId="77777777">
      <w:pPr>
        <w:widowControl/>
        <w:rPr>
          <w:sz w:val="26"/>
        </w:rPr>
      </w:pPr>
    </w:p>
    <w:p w:rsidR="00F53486" w:rsidRPr="00964205" w:rsidP="00A86DC2" w14:paraId="2292EF27" w14:textId="77777777">
      <w:pPr>
        <w:widowControl/>
        <w:tabs>
          <w:tab w:val="left" w:pos="720"/>
        </w:tabs>
        <w:ind w:left="720" w:hanging="720"/>
        <w:rPr>
          <w:b/>
          <w:sz w:val="26"/>
        </w:rPr>
      </w:pPr>
      <w:r w:rsidRPr="00964205">
        <w:rPr>
          <w:b/>
          <w:sz w:val="26"/>
        </w:rPr>
        <w:t>11.</w:t>
      </w:r>
      <w:r w:rsidRPr="00964205">
        <w:rPr>
          <w:b/>
          <w:sz w:val="26"/>
        </w:rPr>
        <w:tab/>
      </w:r>
      <w:r w:rsidRPr="00964205" w:rsidR="000F0C44">
        <w:rPr>
          <w:b/>
          <w:sz w:val="26"/>
        </w:rPr>
        <w:t xml:space="preserve"> </w:t>
      </w:r>
      <w:r w:rsidRPr="00964205" w:rsidR="00A701B9">
        <w:rPr>
          <w:b/>
          <w:sz w:val="26"/>
        </w:rPr>
        <w:t>PROVIDE ADDITIONAL JUSTIFICATION FOR ANY QUESTIONS OF A SENSITIVE NATURE, SUCH AS SEXUAL BEHAVIOR AND ATTITUDES, RELIGIOUS BELIEFS, AND OTHER MATTERS THAT ARE COMMONLY CONSIDERED PRIVATE</w:t>
      </w:r>
    </w:p>
    <w:p w:rsidR="00F53486" w:rsidRPr="00964205" w:rsidP="00F53486" w14:paraId="79ED7049" w14:textId="77777777">
      <w:pPr>
        <w:widowControl/>
        <w:rPr>
          <w:b/>
          <w:sz w:val="26"/>
        </w:rPr>
      </w:pPr>
    </w:p>
    <w:p w:rsidR="00F53486" w:rsidRPr="00964205" w:rsidP="48E9ABC2" w14:paraId="24F9A329" w14:textId="6EB6F38B">
      <w:pPr>
        <w:widowControl/>
        <w:tabs>
          <w:tab w:val="left" w:pos="720"/>
        </w:tabs>
        <w:rPr>
          <w:b/>
          <w:bCs/>
          <w:sz w:val="26"/>
          <w:szCs w:val="26"/>
        </w:rPr>
      </w:pPr>
      <w:r w:rsidRPr="48E9ABC2">
        <w:rPr>
          <w:sz w:val="26"/>
          <w:szCs w:val="26"/>
        </w:rPr>
        <w:t>The Commission does not consider any of t</w:t>
      </w:r>
      <w:r w:rsidRPr="48E9ABC2" w:rsidR="0063011A">
        <w:rPr>
          <w:sz w:val="26"/>
          <w:szCs w:val="26"/>
        </w:rPr>
        <w:t xml:space="preserve">he questions </w:t>
      </w:r>
      <w:r w:rsidRPr="48E9ABC2" w:rsidR="00A701B9">
        <w:rPr>
          <w:sz w:val="26"/>
          <w:szCs w:val="26"/>
        </w:rPr>
        <w:t>to be sensitive or</w:t>
      </w:r>
      <w:r w:rsidRPr="48E9ABC2" w:rsidR="00EF0AEF">
        <w:rPr>
          <w:sz w:val="26"/>
          <w:szCs w:val="26"/>
        </w:rPr>
        <w:t xml:space="preserve"> private.</w:t>
      </w:r>
      <w:r w:rsidRPr="48E9ABC2">
        <w:rPr>
          <w:sz w:val="26"/>
          <w:szCs w:val="26"/>
        </w:rPr>
        <w:br w:type="page"/>
      </w:r>
      <w:r w:rsidRPr="48E9ABC2">
        <w:rPr>
          <w:b/>
          <w:bCs/>
          <w:sz w:val="26"/>
          <w:szCs w:val="26"/>
        </w:rPr>
        <w:t>12.</w:t>
      </w:r>
      <w:r w:rsidRPr="48E9ABC2" w:rsidR="2048F730">
        <w:rPr>
          <w:b/>
          <w:bCs/>
          <w:sz w:val="26"/>
          <w:szCs w:val="26"/>
        </w:rPr>
        <w:t xml:space="preserve"> </w:t>
      </w:r>
      <w:r w:rsidRPr="48E9ABC2">
        <w:rPr>
          <w:b/>
          <w:bCs/>
          <w:sz w:val="26"/>
          <w:szCs w:val="26"/>
        </w:rPr>
        <w:t>ESTIMATED BURDEN OF COLLECTION OF INFORMATION</w:t>
      </w:r>
    </w:p>
    <w:p w:rsidR="00F53486" w:rsidRPr="00964205" w:rsidP="00F53486" w14:paraId="17F516B7" w14:textId="77777777">
      <w:pPr>
        <w:rPr>
          <w:sz w:val="26"/>
        </w:rPr>
      </w:pPr>
    </w:p>
    <w:p w:rsidR="00AF2652" w:rsidP="00C90BA2" w14:paraId="30753483" w14:textId="67A68AAC">
      <w:pPr>
        <w:widowControl/>
        <w:tabs>
          <w:tab w:val="left" w:pos="-1440"/>
        </w:tabs>
        <w:rPr>
          <w:sz w:val="26"/>
          <w:szCs w:val="26"/>
        </w:rPr>
      </w:pPr>
      <w:r w:rsidRPr="48E9ABC2">
        <w:rPr>
          <w:sz w:val="26"/>
          <w:szCs w:val="26"/>
        </w:rPr>
        <w:t xml:space="preserve">The Commission estimates the </w:t>
      </w:r>
      <w:r w:rsidR="00B96E2F">
        <w:rPr>
          <w:sz w:val="26"/>
          <w:szCs w:val="26"/>
        </w:rPr>
        <w:t>p</w:t>
      </w:r>
      <w:r w:rsidRPr="48E9ABC2">
        <w:rPr>
          <w:sz w:val="26"/>
          <w:szCs w:val="26"/>
        </w:rPr>
        <w:t xml:space="preserve">ublic </w:t>
      </w:r>
      <w:r w:rsidR="00B96E2F">
        <w:rPr>
          <w:sz w:val="26"/>
          <w:szCs w:val="26"/>
        </w:rPr>
        <w:t>r</w:t>
      </w:r>
      <w:r w:rsidRPr="48E9ABC2">
        <w:rPr>
          <w:sz w:val="26"/>
          <w:szCs w:val="26"/>
        </w:rPr>
        <w:t xml:space="preserve">eporting </w:t>
      </w:r>
      <w:r w:rsidR="00B96E2F">
        <w:rPr>
          <w:sz w:val="26"/>
          <w:szCs w:val="26"/>
        </w:rPr>
        <w:t>b</w:t>
      </w:r>
      <w:r w:rsidRPr="48E9ABC2">
        <w:rPr>
          <w:sz w:val="26"/>
          <w:szCs w:val="26"/>
        </w:rPr>
        <w:t>urden</w:t>
      </w:r>
      <w:r>
        <w:rPr>
          <w:rStyle w:val="FootnoteReference"/>
        </w:rPr>
        <w:footnoteReference w:id="11"/>
      </w:r>
      <w:r w:rsidR="00B96E2F">
        <w:rPr>
          <w:sz w:val="26"/>
          <w:szCs w:val="26"/>
        </w:rPr>
        <w:t xml:space="preserve"> and cost</w:t>
      </w:r>
      <w:r>
        <w:rPr>
          <w:rStyle w:val="FootnoteReference"/>
        </w:rPr>
        <w:footnoteReference w:id="12"/>
      </w:r>
      <w:r w:rsidRPr="48E9ABC2">
        <w:rPr>
          <w:sz w:val="26"/>
          <w:szCs w:val="26"/>
        </w:rPr>
        <w:t xml:space="preserve"> for this information collection as:</w:t>
      </w:r>
    </w:p>
    <w:p w:rsidR="00516EAB" w:rsidRPr="00964205" w:rsidP="00C90BA2" w14:paraId="52DC0A7C" w14:textId="77777777">
      <w:pPr>
        <w:widowControl/>
        <w:tabs>
          <w:tab w:val="left" w:pos="-1440"/>
        </w:tabs>
        <w:rPr>
          <w:sz w:val="26"/>
        </w:rPr>
      </w:pPr>
    </w:p>
    <w:tbl>
      <w:tblPr>
        <w:tblW w:w="5474"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08"/>
        <w:gridCol w:w="1151"/>
        <w:gridCol w:w="1330"/>
        <w:gridCol w:w="1340"/>
        <w:gridCol w:w="1247"/>
        <w:gridCol w:w="1740"/>
        <w:gridCol w:w="1332"/>
      </w:tblGrid>
      <w:tr w14:paraId="7340CF45" w14:textId="77777777" w:rsidTr="008B41AC">
        <w:tblPrEx>
          <w:tblW w:w="5474"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5000" w:type="pct"/>
            <w:gridSpan w:val="7"/>
            <w:tcBorders>
              <w:bottom w:val="single" w:sz="4" w:space="0" w:color="auto"/>
            </w:tcBorders>
            <w:shd w:val="clear" w:color="auto" w:fill="D9D9D9" w:themeFill="background1" w:themeFillShade="D9"/>
          </w:tcPr>
          <w:p w:rsidR="00516EAB" w:rsidRPr="00516EAB" w:rsidP="00516EAB" w14:paraId="3D0B3D70" w14:textId="77777777">
            <w:pPr>
              <w:jc w:val="center"/>
              <w:rPr>
                <w:b/>
              </w:rPr>
            </w:pPr>
            <w:r w:rsidRPr="00516EAB">
              <w:rPr>
                <w:b/>
              </w:rPr>
              <w:t>FERC-546 (Certificated Rate Filings: Gas Pipeline Rates)</w:t>
            </w:r>
          </w:p>
        </w:tc>
      </w:tr>
      <w:tr w14:paraId="11112552" w14:textId="77777777" w:rsidTr="008B41AC">
        <w:tblPrEx>
          <w:tblW w:w="5474" w:type="pct"/>
          <w:tblInd w:w="-72" w:type="dxa"/>
          <w:tblLayout w:type="fixed"/>
          <w:tblLook w:val="01E0"/>
        </w:tblPrEx>
        <w:trPr>
          <w:cantSplit/>
        </w:trPr>
        <w:tc>
          <w:tcPr>
            <w:tcW w:w="692" w:type="pct"/>
            <w:shd w:val="clear" w:color="auto" w:fill="D9D9D9" w:themeFill="background1" w:themeFillShade="D9"/>
          </w:tcPr>
          <w:p w:rsidR="00516EAB" w:rsidRPr="00516EAB" w:rsidP="00516EAB" w14:paraId="185C8540" w14:textId="77777777">
            <w:pPr>
              <w:rPr>
                <w:b/>
              </w:rPr>
            </w:pPr>
          </w:p>
        </w:tc>
        <w:tc>
          <w:tcPr>
            <w:tcW w:w="609" w:type="pct"/>
            <w:shd w:val="clear" w:color="auto" w:fill="D9D9D9" w:themeFill="background1" w:themeFillShade="D9"/>
            <w:vAlign w:val="bottom"/>
          </w:tcPr>
          <w:p w:rsidR="00516EAB" w:rsidRPr="00516EAB" w:rsidP="00516EAB" w14:paraId="3070B368" w14:textId="77777777">
            <w:pPr>
              <w:rPr>
                <w:b/>
              </w:rPr>
            </w:pPr>
            <w:r w:rsidRPr="00516EAB">
              <w:rPr>
                <w:b/>
              </w:rPr>
              <w:t>Annual Number of Respondents</w:t>
            </w:r>
            <w:r w:rsidRPr="00516EAB">
              <w:rPr>
                <w:b/>
              </w:rPr>
              <w:br/>
              <w:t>(1)</w:t>
            </w:r>
          </w:p>
        </w:tc>
        <w:tc>
          <w:tcPr>
            <w:tcW w:w="704" w:type="pct"/>
            <w:shd w:val="clear" w:color="auto" w:fill="D9D9D9" w:themeFill="background1" w:themeFillShade="D9"/>
            <w:vAlign w:val="bottom"/>
          </w:tcPr>
          <w:p w:rsidR="00516EAB" w:rsidRPr="00516EAB" w:rsidP="00516EAB" w14:paraId="6E9F575F" w14:textId="77777777">
            <w:pPr>
              <w:rPr>
                <w:b/>
              </w:rPr>
            </w:pPr>
            <w:r w:rsidRPr="00516EAB">
              <w:rPr>
                <w:b/>
              </w:rPr>
              <w:t>Annual Number of Responses per Respondent</w:t>
            </w:r>
          </w:p>
          <w:p w:rsidR="00516EAB" w:rsidRPr="00516EAB" w:rsidP="00516EAB" w14:paraId="71E7D95C" w14:textId="77777777">
            <w:pPr>
              <w:rPr>
                <w:b/>
              </w:rPr>
            </w:pPr>
            <w:r w:rsidRPr="00516EAB">
              <w:rPr>
                <w:b/>
              </w:rPr>
              <w:t>(2)</w:t>
            </w:r>
          </w:p>
        </w:tc>
        <w:tc>
          <w:tcPr>
            <w:tcW w:w="709" w:type="pct"/>
            <w:shd w:val="clear" w:color="auto" w:fill="D9D9D9" w:themeFill="background1" w:themeFillShade="D9"/>
            <w:vAlign w:val="bottom"/>
          </w:tcPr>
          <w:p w:rsidR="00516EAB" w:rsidRPr="00516EAB" w:rsidP="00516EAB" w14:paraId="668A9661" w14:textId="77777777">
            <w:pPr>
              <w:rPr>
                <w:b/>
              </w:rPr>
            </w:pPr>
            <w:r w:rsidRPr="00516EAB">
              <w:rPr>
                <w:b/>
              </w:rPr>
              <w:t xml:space="preserve">Total Number of Responses </w:t>
            </w:r>
          </w:p>
          <w:p w:rsidR="00516EAB" w:rsidRPr="00516EAB" w:rsidP="00516EAB" w14:paraId="6DB80018" w14:textId="77777777">
            <w:pPr>
              <w:rPr>
                <w:b/>
              </w:rPr>
            </w:pPr>
            <w:r w:rsidRPr="00516EAB">
              <w:rPr>
                <w:b/>
              </w:rPr>
              <w:t>(rounded)</w:t>
            </w:r>
          </w:p>
          <w:p w:rsidR="00516EAB" w:rsidRPr="00516EAB" w:rsidP="00516EAB" w14:paraId="46E89865" w14:textId="77777777">
            <w:pPr>
              <w:rPr>
                <w:b/>
              </w:rPr>
            </w:pPr>
            <w:r w:rsidRPr="00516EAB">
              <w:rPr>
                <w:b/>
              </w:rPr>
              <w:t>(1)*(2)=(3)</w:t>
            </w:r>
          </w:p>
        </w:tc>
        <w:tc>
          <w:tcPr>
            <w:tcW w:w="660" w:type="pct"/>
            <w:shd w:val="clear" w:color="auto" w:fill="D9D9D9" w:themeFill="background1" w:themeFillShade="D9"/>
            <w:vAlign w:val="bottom"/>
          </w:tcPr>
          <w:p w:rsidR="00516EAB" w:rsidRPr="00516EAB" w:rsidP="00516EAB" w14:paraId="642B484F" w14:textId="77777777">
            <w:pPr>
              <w:rPr>
                <w:b/>
              </w:rPr>
            </w:pPr>
            <w:r w:rsidRPr="00516EAB">
              <w:rPr>
                <w:b/>
              </w:rPr>
              <w:t>Average Burden &amp; Cost Per Response</w:t>
            </w:r>
          </w:p>
          <w:p w:rsidR="00516EAB" w:rsidRPr="00516EAB" w:rsidP="00516EAB" w14:paraId="6B81F4EF" w14:textId="77777777">
            <w:pPr>
              <w:rPr>
                <w:b/>
              </w:rPr>
            </w:pPr>
            <w:r w:rsidRPr="00516EAB">
              <w:rPr>
                <w:b/>
              </w:rPr>
              <w:t>(rounded)</w:t>
            </w:r>
          </w:p>
          <w:p w:rsidR="00516EAB" w:rsidRPr="00516EAB" w:rsidP="00516EAB" w14:paraId="739E66CA" w14:textId="77777777">
            <w:pPr>
              <w:rPr>
                <w:b/>
              </w:rPr>
            </w:pPr>
            <w:r w:rsidRPr="00516EAB">
              <w:rPr>
                <w:b/>
              </w:rPr>
              <w:t>(4)</w:t>
            </w:r>
          </w:p>
        </w:tc>
        <w:tc>
          <w:tcPr>
            <w:tcW w:w="921" w:type="pct"/>
            <w:shd w:val="clear" w:color="auto" w:fill="D9D9D9" w:themeFill="background1" w:themeFillShade="D9"/>
            <w:vAlign w:val="bottom"/>
          </w:tcPr>
          <w:p w:rsidR="00516EAB" w:rsidRPr="00516EAB" w:rsidP="00516EAB" w14:paraId="1EDA37DD" w14:textId="77777777">
            <w:pPr>
              <w:rPr>
                <w:b/>
              </w:rPr>
            </w:pPr>
            <w:r w:rsidRPr="00516EAB">
              <w:rPr>
                <w:b/>
              </w:rPr>
              <w:t>Total Annual Burden Hours &amp; Total Annual Cost</w:t>
            </w:r>
          </w:p>
          <w:p w:rsidR="00516EAB" w:rsidRPr="00516EAB" w:rsidP="00516EAB" w14:paraId="349DE317" w14:textId="77777777">
            <w:pPr>
              <w:rPr>
                <w:b/>
              </w:rPr>
            </w:pPr>
            <w:r w:rsidRPr="00516EAB">
              <w:rPr>
                <w:b/>
              </w:rPr>
              <w:t>(rounded)</w:t>
            </w:r>
          </w:p>
          <w:p w:rsidR="00516EAB" w:rsidRPr="00516EAB" w:rsidP="00516EAB" w14:paraId="281DBFF9" w14:textId="77777777">
            <w:pPr>
              <w:rPr>
                <w:b/>
              </w:rPr>
            </w:pPr>
            <w:r w:rsidRPr="00516EAB">
              <w:rPr>
                <w:b/>
              </w:rPr>
              <w:t>(3)*(4)=(5)</w:t>
            </w:r>
          </w:p>
        </w:tc>
        <w:tc>
          <w:tcPr>
            <w:tcW w:w="705" w:type="pct"/>
            <w:shd w:val="clear" w:color="auto" w:fill="D9D9D9" w:themeFill="background1" w:themeFillShade="D9"/>
            <w:vAlign w:val="bottom"/>
          </w:tcPr>
          <w:p w:rsidR="00516EAB" w:rsidRPr="00516EAB" w:rsidP="00516EAB" w14:paraId="185A8C66" w14:textId="77777777">
            <w:pPr>
              <w:rPr>
                <w:b/>
              </w:rPr>
            </w:pPr>
            <w:r w:rsidRPr="00516EAB">
              <w:rPr>
                <w:b/>
              </w:rPr>
              <w:t>Cost per Respondent</w:t>
            </w:r>
          </w:p>
          <w:p w:rsidR="00516EAB" w:rsidRPr="00516EAB" w:rsidP="00516EAB" w14:paraId="64C8EFD5" w14:textId="77777777">
            <w:pPr>
              <w:rPr>
                <w:b/>
              </w:rPr>
            </w:pPr>
            <w:r w:rsidRPr="00516EAB">
              <w:rPr>
                <w:b/>
              </w:rPr>
              <w:t xml:space="preserve"> ($)</w:t>
            </w:r>
          </w:p>
          <w:p w:rsidR="00516EAB" w:rsidRPr="00516EAB" w:rsidP="00516EAB" w14:paraId="0BA5A2DC" w14:textId="77777777">
            <w:pPr>
              <w:rPr>
                <w:b/>
              </w:rPr>
            </w:pPr>
            <w:r w:rsidRPr="00516EAB">
              <w:rPr>
                <w:b/>
              </w:rPr>
              <w:t>(rounded)</w:t>
            </w:r>
          </w:p>
          <w:p w:rsidR="00516EAB" w:rsidRPr="00516EAB" w:rsidP="00516EAB" w14:paraId="6C659BA6" w14:textId="77777777">
            <w:pPr>
              <w:rPr>
                <w:b/>
              </w:rPr>
            </w:pPr>
            <w:r w:rsidRPr="00516EAB">
              <w:rPr>
                <w:b/>
              </w:rPr>
              <w:t>(5)÷(1)</w:t>
            </w:r>
          </w:p>
        </w:tc>
      </w:tr>
      <w:tr w14:paraId="53B3AD33" w14:textId="77777777" w:rsidTr="008B41AC">
        <w:tblPrEx>
          <w:tblW w:w="5474" w:type="pct"/>
          <w:tblInd w:w="-72" w:type="dxa"/>
          <w:tblLayout w:type="fixed"/>
          <w:tblLook w:val="01E0"/>
        </w:tblPrEx>
        <w:trPr>
          <w:cantSplit/>
        </w:trPr>
        <w:tc>
          <w:tcPr>
            <w:tcW w:w="692" w:type="pct"/>
          </w:tcPr>
          <w:p w:rsidR="00516EAB" w:rsidRPr="00516EAB" w:rsidP="00516EAB" w14:paraId="59D1718F" w14:textId="77777777">
            <w:r w:rsidRPr="00516EAB">
              <w:t>Pipeline Certificate Filings and Storage Applications</w:t>
            </w:r>
          </w:p>
        </w:tc>
        <w:tc>
          <w:tcPr>
            <w:tcW w:w="609" w:type="pct"/>
          </w:tcPr>
          <w:p w:rsidR="00516EAB" w:rsidRPr="00516EAB" w:rsidP="00516EAB" w14:paraId="52FE72AF" w14:textId="77777777">
            <w:r w:rsidRPr="00516EAB">
              <w:t>48</w:t>
            </w:r>
          </w:p>
          <w:p w:rsidR="00516EAB" w:rsidRPr="00516EAB" w:rsidP="00516EAB" w14:paraId="06828775" w14:textId="77777777"/>
        </w:tc>
        <w:tc>
          <w:tcPr>
            <w:tcW w:w="704" w:type="pct"/>
          </w:tcPr>
          <w:p w:rsidR="00516EAB" w:rsidRPr="00516EAB" w:rsidP="00516EAB" w14:paraId="58934BD9" w14:textId="77777777">
            <w:r w:rsidRPr="00516EAB">
              <w:t>1</w:t>
            </w:r>
            <w:r>
              <w:rPr>
                <w:b/>
                <w:bCs/>
                <w:vertAlign w:val="superscript"/>
              </w:rPr>
              <w:footnoteReference w:id="13"/>
            </w:r>
          </w:p>
        </w:tc>
        <w:tc>
          <w:tcPr>
            <w:tcW w:w="709" w:type="pct"/>
          </w:tcPr>
          <w:p w:rsidR="00516EAB" w:rsidRPr="00516EAB" w:rsidP="00516EAB" w14:paraId="25D1B474" w14:textId="77777777">
            <w:r w:rsidRPr="00516EAB">
              <w:t>48</w:t>
            </w:r>
          </w:p>
        </w:tc>
        <w:tc>
          <w:tcPr>
            <w:tcW w:w="660" w:type="pct"/>
            <w:shd w:val="clear" w:color="auto" w:fill="auto"/>
          </w:tcPr>
          <w:p w:rsidR="00516EAB" w:rsidRPr="00516EAB" w:rsidP="00516EAB" w14:paraId="790479D7" w14:textId="77777777">
            <w:r w:rsidRPr="00516EAB">
              <w:t xml:space="preserve">500 hrs.; </w:t>
            </w:r>
          </w:p>
          <w:p w:rsidR="00516EAB" w:rsidRPr="00516EAB" w:rsidP="00516EAB" w14:paraId="3BC313AF" w14:textId="77777777">
            <w:r w:rsidRPr="00516EAB">
              <w:t>$50,000</w:t>
            </w:r>
          </w:p>
        </w:tc>
        <w:tc>
          <w:tcPr>
            <w:tcW w:w="921" w:type="pct"/>
            <w:shd w:val="clear" w:color="auto" w:fill="auto"/>
          </w:tcPr>
          <w:p w:rsidR="00516EAB" w:rsidRPr="00516EAB" w:rsidP="00516EAB" w14:paraId="45D6EDAD" w14:textId="77777777">
            <w:r w:rsidRPr="00516EAB">
              <w:t xml:space="preserve">  24,000 hrs.; </w:t>
            </w:r>
          </w:p>
          <w:p w:rsidR="00516EAB" w:rsidRPr="00516EAB" w:rsidP="00516EAB" w14:paraId="6168DC2A" w14:textId="77777777">
            <w:r w:rsidRPr="00516EAB">
              <w:t>$2,400,000</w:t>
            </w:r>
          </w:p>
        </w:tc>
        <w:tc>
          <w:tcPr>
            <w:tcW w:w="705" w:type="pct"/>
            <w:shd w:val="clear" w:color="auto" w:fill="auto"/>
          </w:tcPr>
          <w:p w:rsidR="00516EAB" w:rsidRPr="00516EAB" w:rsidP="00516EAB" w14:paraId="0ED31AB1" w14:textId="77777777">
            <w:r w:rsidRPr="00516EAB">
              <w:t>$50,000</w:t>
            </w:r>
          </w:p>
        </w:tc>
      </w:tr>
      <w:tr w14:paraId="0238B4BE" w14:textId="77777777" w:rsidTr="008B41AC">
        <w:tblPrEx>
          <w:tblW w:w="5474" w:type="pct"/>
          <w:tblInd w:w="-72" w:type="dxa"/>
          <w:tblLayout w:type="fixed"/>
          <w:tblLook w:val="01E0"/>
        </w:tblPrEx>
        <w:trPr>
          <w:cantSplit/>
        </w:trPr>
        <w:tc>
          <w:tcPr>
            <w:tcW w:w="692" w:type="pct"/>
          </w:tcPr>
          <w:p w:rsidR="00516EAB" w:rsidRPr="00516EAB" w:rsidP="00516EAB" w14:paraId="2F086082" w14:textId="77777777">
            <w:r w:rsidRPr="00516EAB">
              <w:t>Project Area Labor Wage</w:t>
            </w:r>
            <w:r>
              <w:rPr>
                <w:b/>
                <w:bCs/>
                <w:vertAlign w:val="superscript"/>
              </w:rPr>
              <w:footnoteReference w:id="14"/>
            </w:r>
          </w:p>
        </w:tc>
        <w:tc>
          <w:tcPr>
            <w:tcW w:w="609" w:type="pct"/>
          </w:tcPr>
          <w:p w:rsidR="00516EAB" w:rsidRPr="00516EAB" w:rsidP="00516EAB" w14:paraId="6F6B330A" w14:textId="77777777">
            <w:r w:rsidRPr="00516EAB">
              <w:t>16</w:t>
            </w:r>
          </w:p>
        </w:tc>
        <w:tc>
          <w:tcPr>
            <w:tcW w:w="704" w:type="pct"/>
          </w:tcPr>
          <w:p w:rsidR="00516EAB" w:rsidRPr="00516EAB" w:rsidP="00516EAB" w14:paraId="7E920256" w14:textId="77777777">
            <w:r w:rsidRPr="00516EAB">
              <w:t>1</w:t>
            </w:r>
          </w:p>
        </w:tc>
        <w:tc>
          <w:tcPr>
            <w:tcW w:w="709" w:type="pct"/>
          </w:tcPr>
          <w:p w:rsidR="00516EAB" w:rsidRPr="00516EAB" w:rsidP="00516EAB" w14:paraId="42709940" w14:textId="77777777">
            <w:r w:rsidRPr="00516EAB">
              <w:t>16</w:t>
            </w:r>
          </w:p>
        </w:tc>
        <w:tc>
          <w:tcPr>
            <w:tcW w:w="660" w:type="pct"/>
            <w:shd w:val="clear" w:color="auto" w:fill="auto"/>
          </w:tcPr>
          <w:p w:rsidR="00516EAB" w:rsidRPr="00516EAB" w:rsidP="00516EAB" w14:paraId="74B3F766" w14:textId="77777777">
            <w:r w:rsidRPr="00516EAB">
              <w:t>15 hrs;</w:t>
            </w:r>
          </w:p>
          <w:p w:rsidR="00516EAB" w:rsidRPr="00516EAB" w:rsidP="00516EAB" w14:paraId="37270B60" w14:textId="77777777">
            <w:r w:rsidRPr="00516EAB">
              <w:t>$1,500</w:t>
            </w:r>
          </w:p>
        </w:tc>
        <w:tc>
          <w:tcPr>
            <w:tcW w:w="921" w:type="pct"/>
            <w:shd w:val="clear" w:color="auto" w:fill="auto"/>
          </w:tcPr>
          <w:p w:rsidR="00516EAB" w:rsidRPr="00516EAB" w:rsidP="00516EAB" w14:paraId="6FEC3D82" w14:textId="77777777">
            <w:r w:rsidRPr="00516EAB">
              <w:t>240 hrs;</w:t>
            </w:r>
          </w:p>
          <w:p w:rsidR="00516EAB" w:rsidRPr="00516EAB" w:rsidP="00516EAB" w14:paraId="5500AA0C" w14:textId="77777777">
            <w:r w:rsidRPr="00516EAB">
              <w:t>$24,000</w:t>
            </w:r>
          </w:p>
        </w:tc>
        <w:tc>
          <w:tcPr>
            <w:tcW w:w="705" w:type="pct"/>
            <w:shd w:val="clear" w:color="auto" w:fill="auto"/>
          </w:tcPr>
          <w:p w:rsidR="00516EAB" w:rsidRPr="00516EAB" w:rsidP="00516EAB" w14:paraId="15887816" w14:textId="77777777">
            <w:r w:rsidRPr="00516EAB">
              <w:t>15 hrs:</w:t>
            </w:r>
          </w:p>
          <w:p w:rsidR="00516EAB" w:rsidRPr="00516EAB" w:rsidP="00516EAB" w14:paraId="2F73A2C9" w14:textId="77777777">
            <w:r w:rsidRPr="00516EAB">
              <w:t>$1,500</w:t>
            </w:r>
          </w:p>
        </w:tc>
      </w:tr>
      <w:tr w14:paraId="1CF7F627" w14:textId="77777777" w:rsidTr="008B41AC">
        <w:tblPrEx>
          <w:tblW w:w="5474" w:type="pct"/>
          <w:tblInd w:w="-72" w:type="dxa"/>
          <w:tblLayout w:type="fixed"/>
          <w:tblLook w:val="01E0"/>
        </w:tblPrEx>
        <w:trPr>
          <w:cantSplit/>
        </w:trPr>
        <w:tc>
          <w:tcPr>
            <w:tcW w:w="692" w:type="pct"/>
          </w:tcPr>
          <w:p w:rsidR="00516EAB" w:rsidRPr="00516EAB" w:rsidP="00516EAB" w14:paraId="547A8795" w14:textId="77777777">
            <w:r w:rsidRPr="00516EAB">
              <w:t>Totals</w:t>
            </w:r>
          </w:p>
        </w:tc>
        <w:tc>
          <w:tcPr>
            <w:tcW w:w="609" w:type="pct"/>
          </w:tcPr>
          <w:p w:rsidR="00516EAB" w:rsidRPr="00516EAB" w:rsidP="00516EAB" w14:paraId="7BB03F90" w14:textId="77777777">
            <w:r w:rsidRPr="00516EAB">
              <w:t>64</w:t>
            </w:r>
          </w:p>
        </w:tc>
        <w:tc>
          <w:tcPr>
            <w:tcW w:w="704" w:type="pct"/>
            <w:shd w:val="clear" w:color="auto" w:fill="E7E6E6" w:themeFill="background2"/>
          </w:tcPr>
          <w:p w:rsidR="00516EAB" w:rsidRPr="00516EAB" w:rsidP="00516EAB" w14:paraId="33835F64" w14:textId="77777777"/>
        </w:tc>
        <w:tc>
          <w:tcPr>
            <w:tcW w:w="709" w:type="pct"/>
          </w:tcPr>
          <w:p w:rsidR="00516EAB" w:rsidRPr="00516EAB" w:rsidP="00516EAB" w14:paraId="51EF3E58" w14:textId="77777777">
            <w:r w:rsidRPr="00516EAB">
              <w:t>64</w:t>
            </w:r>
          </w:p>
        </w:tc>
        <w:tc>
          <w:tcPr>
            <w:tcW w:w="660" w:type="pct"/>
            <w:shd w:val="clear" w:color="auto" w:fill="auto"/>
          </w:tcPr>
          <w:p w:rsidR="00516EAB" w:rsidRPr="00516EAB" w:rsidP="00516EAB" w14:paraId="62378697" w14:textId="77777777">
            <w:r w:rsidRPr="00516EAB">
              <w:t xml:space="preserve">515 hrs. </w:t>
            </w:r>
          </w:p>
          <w:p w:rsidR="00516EAB" w:rsidRPr="00516EAB" w:rsidP="00516EAB" w14:paraId="073339C8" w14:textId="77777777">
            <w:r w:rsidRPr="00516EAB">
              <w:t>$51,500</w:t>
            </w:r>
          </w:p>
        </w:tc>
        <w:tc>
          <w:tcPr>
            <w:tcW w:w="921" w:type="pct"/>
            <w:shd w:val="clear" w:color="auto" w:fill="auto"/>
          </w:tcPr>
          <w:p w:rsidR="00516EAB" w:rsidRPr="00516EAB" w:rsidP="00516EAB" w14:paraId="533C68D9" w14:textId="77777777">
            <w:r w:rsidRPr="00516EAB">
              <w:t>24,240 hrs.</w:t>
            </w:r>
          </w:p>
          <w:p w:rsidR="00516EAB" w:rsidRPr="00516EAB" w:rsidP="00516EAB" w14:paraId="4F8F39B4" w14:textId="77777777">
            <w:r w:rsidRPr="00516EAB">
              <w:t>$2,424,000</w:t>
            </w:r>
          </w:p>
        </w:tc>
        <w:tc>
          <w:tcPr>
            <w:tcW w:w="705" w:type="pct"/>
            <w:shd w:val="clear" w:color="auto" w:fill="E7E6E6" w:themeFill="background2"/>
          </w:tcPr>
          <w:p w:rsidR="00516EAB" w:rsidRPr="00516EAB" w:rsidP="00516EAB" w14:paraId="44A5854F" w14:textId="77777777"/>
        </w:tc>
      </w:tr>
    </w:tbl>
    <w:p w:rsidR="00DB2C75" w:rsidRPr="00964205" w:rsidP="00516EAB" w14:paraId="60237885" w14:textId="77777777">
      <w:pPr>
        <w:widowControl/>
        <w:rPr>
          <w:sz w:val="26"/>
        </w:rPr>
      </w:pPr>
    </w:p>
    <w:p w:rsidR="00F53486" w:rsidRPr="00964205" w:rsidP="00B05B7C" w14:paraId="4BD36A45" w14:textId="77777777">
      <w:pPr>
        <w:widowControl/>
        <w:numPr>
          <w:ilvl w:val="0"/>
          <w:numId w:val="4"/>
        </w:numPr>
        <w:tabs>
          <w:tab w:val="left" w:pos="720"/>
        </w:tabs>
        <w:ind w:left="720" w:hanging="720"/>
        <w:rPr>
          <w:b/>
          <w:sz w:val="26"/>
        </w:rPr>
      </w:pPr>
      <w:r w:rsidRPr="00964205">
        <w:rPr>
          <w:b/>
          <w:sz w:val="26"/>
        </w:rPr>
        <w:t xml:space="preserve"> </w:t>
      </w:r>
      <w:r w:rsidRPr="00964205">
        <w:rPr>
          <w:b/>
          <w:sz w:val="26"/>
        </w:rPr>
        <w:t>ESTIMATE OF</w:t>
      </w:r>
      <w:r w:rsidRPr="00964205">
        <w:rPr>
          <w:b/>
          <w:sz w:val="26"/>
        </w:rPr>
        <w:t xml:space="preserve"> TOTAL ANNUAL COST OF BURDEN TO</w:t>
      </w:r>
    </w:p>
    <w:p w:rsidR="00F53486" w:rsidRPr="00964205" w:rsidP="00B05B7C" w14:paraId="08A0BEBF" w14:textId="77777777">
      <w:pPr>
        <w:widowControl/>
        <w:tabs>
          <w:tab w:val="left" w:pos="720"/>
        </w:tabs>
        <w:rPr>
          <w:b/>
          <w:sz w:val="26"/>
        </w:rPr>
      </w:pPr>
      <w:r w:rsidRPr="00964205">
        <w:rPr>
          <w:b/>
          <w:sz w:val="26"/>
        </w:rPr>
        <w:tab/>
        <w:t xml:space="preserve"> </w:t>
      </w:r>
      <w:r w:rsidRPr="00964205">
        <w:rPr>
          <w:b/>
          <w:sz w:val="26"/>
        </w:rPr>
        <w:t>RESPONDENTS</w:t>
      </w:r>
    </w:p>
    <w:p w:rsidR="005B500A" w:rsidRPr="00964205" w:rsidP="00305758" w14:paraId="19C26B86" w14:textId="77777777">
      <w:pPr>
        <w:widowControl/>
        <w:rPr>
          <w:sz w:val="26"/>
        </w:rPr>
      </w:pPr>
    </w:p>
    <w:p w:rsidR="00F53486" w:rsidRPr="00964205" w:rsidP="00181B23" w14:paraId="52A3A7C1" w14:textId="77777777">
      <w:pPr>
        <w:widowControl/>
        <w:rPr>
          <w:sz w:val="26"/>
        </w:rPr>
      </w:pPr>
      <w:r w:rsidRPr="00964205">
        <w:rPr>
          <w:sz w:val="26"/>
        </w:rPr>
        <w:t xml:space="preserve">There </w:t>
      </w:r>
      <w:r w:rsidRPr="00964205" w:rsidR="00181B23">
        <w:rPr>
          <w:sz w:val="26"/>
        </w:rPr>
        <w:t>are no non-labor start-up costs. All costs are related to burden hours and are addressed in Questions #12 and #15.</w:t>
      </w:r>
    </w:p>
    <w:p w:rsidR="00181B23" w:rsidRPr="00964205" w:rsidP="00181B23" w14:paraId="6B677A2B" w14:textId="77777777">
      <w:pPr>
        <w:widowControl/>
        <w:rPr>
          <w:b/>
          <w:sz w:val="26"/>
        </w:rPr>
      </w:pPr>
    </w:p>
    <w:p w:rsidR="00FF5CA4" w:rsidRPr="00964205" w:rsidP="00B05B7C" w14:paraId="7BC6A267" w14:textId="77777777">
      <w:pPr>
        <w:widowControl/>
        <w:tabs>
          <w:tab w:val="left" w:pos="720"/>
        </w:tabs>
        <w:ind w:left="720" w:hanging="720"/>
        <w:rPr>
          <w:b/>
          <w:sz w:val="26"/>
        </w:rPr>
      </w:pPr>
      <w:r w:rsidRPr="00964205">
        <w:rPr>
          <w:b/>
          <w:sz w:val="26"/>
        </w:rPr>
        <w:t>14.</w:t>
      </w:r>
      <w:r w:rsidRPr="00964205">
        <w:rPr>
          <w:sz w:val="26"/>
        </w:rPr>
        <w:tab/>
      </w:r>
      <w:r w:rsidRPr="00964205">
        <w:rPr>
          <w:sz w:val="26"/>
        </w:rPr>
        <w:t xml:space="preserve"> </w:t>
      </w:r>
      <w:r w:rsidRPr="00964205">
        <w:rPr>
          <w:b/>
          <w:sz w:val="26"/>
        </w:rPr>
        <w:t>ESTIM</w:t>
      </w:r>
      <w:r w:rsidRPr="00964205">
        <w:rPr>
          <w:b/>
          <w:sz w:val="26"/>
        </w:rPr>
        <w:t>ATED ANNUALIZED COST TO FEDERAL</w:t>
      </w:r>
    </w:p>
    <w:p w:rsidR="00F53486" w:rsidRPr="00964205" w:rsidP="00B05B7C" w14:paraId="0E514115" w14:textId="77777777">
      <w:pPr>
        <w:widowControl/>
        <w:tabs>
          <w:tab w:val="left" w:pos="720"/>
        </w:tabs>
        <w:ind w:left="720" w:hanging="720"/>
        <w:rPr>
          <w:b/>
          <w:sz w:val="26"/>
        </w:rPr>
      </w:pPr>
      <w:r w:rsidRPr="00964205">
        <w:rPr>
          <w:b/>
          <w:sz w:val="26"/>
        </w:rPr>
        <w:t xml:space="preserve">       </w:t>
      </w:r>
      <w:r w:rsidRPr="00964205" w:rsidR="00B05B7C">
        <w:rPr>
          <w:b/>
          <w:sz w:val="26"/>
        </w:rPr>
        <w:tab/>
        <w:t xml:space="preserve"> </w:t>
      </w:r>
      <w:r w:rsidRPr="00964205" w:rsidR="00A7570B">
        <w:rPr>
          <w:b/>
          <w:sz w:val="26"/>
        </w:rPr>
        <w:t>GOVERNMENT</w:t>
      </w:r>
    </w:p>
    <w:p w:rsidR="00F53486" w:rsidRPr="00964205" w:rsidP="00F53486" w14:paraId="5E3A7940" w14:textId="77777777">
      <w:pPr>
        <w:tabs>
          <w:tab w:val="left" w:pos="-1440"/>
        </w:tabs>
        <w:ind w:left="5040" w:hanging="4320"/>
        <w:rPr>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78"/>
        <w:gridCol w:w="2871"/>
        <w:gridCol w:w="2881"/>
      </w:tblGrid>
      <w:tr w14:paraId="02D6ED3E" w14:textId="77777777" w:rsidTr="48E9ABC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938" w:type="dxa"/>
            <w:shd w:val="clear" w:color="auto" w:fill="CCCCCC"/>
          </w:tcPr>
          <w:p w:rsidR="0053577B" w:rsidRPr="00964205" w:rsidP="0053577B" w14:paraId="044A760D" w14:textId="77777777">
            <w:pPr>
              <w:rPr>
                <w:sz w:val="26"/>
              </w:rPr>
            </w:pPr>
          </w:p>
        </w:tc>
        <w:tc>
          <w:tcPr>
            <w:tcW w:w="2953" w:type="dxa"/>
            <w:shd w:val="clear" w:color="auto" w:fill="CCCCCC"/>
          </w:tcPr>
          <w:p w:rsidR="0053577B" w:rsidRPr="00964205" w:rsidP="0053577B" w14:paraId="379F967B" w14:textId="77777777">
            <w:pPr>
              <w:rPr>
                <w:b/>
                <w:sz w:val="26"/>
              </w:rPr>
            </w:pPr>
            <w:r w:rsidRPr="00964205">
              <w:rPr>
                <w:b/>
                <w:sz w:val="26"/>
              </w:rPr>
              <w:t>Number of Employees (FTEs)</w:t>
            </w:r>
          </w:p>
        </w:tc>
        <w:tc>
          <w:tcPr>
            <w:tcW w:w="2965" w:type="dxa"/>
            <w:shd w:val="clear" w:color="auto" w:fill="CCCCCC"/>
          </w:tcPr>
          <w:p w:rsidR="0053577B" w:rsidRPr="00964205" w:rsidP="0053577B" w14:paraId="005CCAA6" w14:textId="77777777">
            <w:pPr>
              <w:rPr>
                <w:b/>
                <w:sz w:val="26"/>
              </w:rPr>
            </w:pPr>
            <w:r w:rsidRPr="00964205">
              <w:rPr>
                <w:b/>
                <w:sz w:val="26"/>
              </w:rPr>
              <w:t>Estimated Annual Federal Cost</w:t>
            </w:r>
          </w:p>
        </w:tc>
      </w:tr>
      <w:tr w14:paraId="7BAB0868" w14:textId="77777777" w:rsidTr="48E9ABC2">
        <w:tblPrEx>
          <w:tblW w:w="0" w:type="auto"/>
          <w:tblLook w:val="01E0"/>
        </w:tblPrEx>
        <w:tc>
          <w:tcPr>
            <w:tcW w:w="2938" w:type="dxa"/>
            <w:shd w:val="clear" w:color="auto" w:fill="auto"/>
          </w:tcPr>
          <w:p w:rsidR="007822C4" w:rsidRPr="00964205" w:rsidP="0053577B" w14:paraId="0A581A14" w14:textId="77777777">
            <w:pPr>
              <w:rPr>
                <w:sz w:val="26"/>
              </w:rPr>
            </w:pPr>
            <w:r w:rsidRPr="00964205">
              <w:rPr>
                <w:sz w:val="26"/>
                <w:szCs w:val="26"/>
              </w:rPr>
              <w:t>PRA</w:t>
            </w:r>
            <w:r>
              <w:rPr>
                <w:rStyle w:val="FootnoteReference"/>
                <w:b w:val="0"/>
              </w:rPr>
              <w:footnoteReference w:id="15"/>
            </w:r>
            <w:r w:rsidRPr="48E9ABC2">
              <w:rPr>
                <w:b/>
                <w:bCs/>
                <w:sz w:val="26"/>
                <w:szCs w:val="26"/>
              </w:rPr>
              <w:t xml:space="preserve"> </w:t>
            </w:r>
            <w:r w:rsidRPr="00964205">
              <w:rPr>
                <w:sz w:val="26"/>
                <w:szCs w:val="26"/>
              </w:rPr>
              <w:t>Administration Cost</w:t>
            </w:r>
            <w:r>
              <w:rPr>
                <w:b/>
                <w:bCs/>
                <w:sz w:val="26"/>
                <w:szCs w:val="26"/>
                <w:vertAlign w:val="superscript"/>
              </w:rPr>
              <w:footnoteReference w:id="16"/>
            </w:r>
            <w:r w:rsidRPr="00964205">
              <w:rPr>
                <w:sz w:val="26"/>
                <w:szCs w:val="26"/>
              </w:rPr>
              <w:t xml:space="preserve"> </w:t>
            </w:r>
          </w:p>
        </w:tc>
        <w:tc>
          <w:tcPr>
            <w:tcW w:w="2953" w:type="dxa"/>
            <w:shd w:val="clear" w:color="auto" w:fill="auto"/>
          </w:tcPr>
          <w:p w:rsidR="007822C4" w:rsidRPr="00964205" w:rsidP="0053577B" w14:paraId="70ED15BE" w14:textId="77777777">
            <w:pPr>
              <w:jc w:val="right"/>
              <w:rPr>
                <w:sz w:val="26"/>
              </w:rPr>
            </w:pPr>
            <w:r w:rsidRPr="00964205">
              <w:rPr>
                <w:sz w:val="26"/>
              </w:rPr>
              <w:t>-</w:t>
            </w:r>
          </w:p>
        </w:tc>
        <w:tc>
          <w:tcPr>
            <w:tcW w:w="2965" w:type="dxa"/>
            <w:shd w:val="clear" w:color="auto" w:fill="auto"/>
          </w:tcPr>
          <w:p w:rsidR="007822C4" w:rsidRPr="00964205" w:rsidP="00181B23" w14:paraId="52680595" w14:textId="195BFA2C">
            <w:pPr>
              <w:jc w:val="right"/>
              <w:rPr>
                <w:sz w:val="26"/>
              </w:rPr>
            </w:pPr>
            <w:r w:rsidRPr="00964205">
              <w:rPr>
                <w:sz w:val="26"/>
              </w:rPr>
              <w:t>$</w:t>
            </w:r>
            <w:r w:rsidRPr="00A41612" w:rsidR="00A41612">
              <w:rPr>
                <w:sz w:val="26"/>
              </w:rPr>
              <w:t>8,396</w:t>
            </w:r>
          </w:p>
        </w:tc>
      </w:tr>
      <w:tr w14:paraId="41B11F88" w14:textId="77777777" w:rsidTr="48E9ABC2">
        <w:tblPrEx>
          <w:tblW w:w="0" w:type="auto"/>
          <w:tblLook w:val="01E0"/>
        </w:tblPrEx>
        <w:tc>
          <w:tcPr>
            <w:tcW w:w="2938" w:type="dxa"/>
            <w:shd w:val="clear" w:color="auto" w:fill="auto"/>
          </w:tcPr>
          <w:p w:rsidR="00181B23" w:rsidRPr="00964205" w:rsidP="0053577B" w14:paraId="6B6E7178" w14:textId="6C75150A">
            <w:pPr>
              <w:rPr>
                <w:sz w:val="26"/>
                <w:szCs w:val="26"/>
              </w:rPr>
            </w:pPr>
            <w:r w:rsidRPr="00964205">
              <w:rPr>
                <w:sz w:val="26"/>
                <w:szCs w:val="26"/>
              </w:rPr>
              <w:t>Data Processing and Analysis</w:t>
            </w:r>
            <w:r>
              <w:rPr>
                <w:sz w:val="26"/>
                <w:szCs w:val="26"/>
                <w:vertAlign w:val="superscript"/>
              </w:rPr>
              <w:footnoteReference w:id="17"/>
            </w:r>
          </w:p>
        </w:tc>
        <w:tc>
          <w:tcPr>
            <w:tcW w:w="2953" w:type="dxa"/>
            <w:shd w:val="clear" w:color="auto" w:fill="auto"/>
          </w:tcPr>
          <w:p w:rsidR="00181B23" w:rsidRPr="00964205" w:rsidP="0053577B" w14:paraId="0703F3D2" w14:textId="77777777">
            <w:pPr>
              <w:jc w:val="right"/>
              <w:rPr>
                <w:sz w:val="26"/>
              </w:rPr>
            </w:pPr>
            <w:r w:rsidRPr="00964205">
              <w:rPr>
                <w:sz w:val="26"/>
              </w:rPr>
              <w:t>0</w:t>
            </w:r>
            <w:r w:rsidRPr="00964205" w:rsidR="00900190">
              <w:rPr>
                <w:sz w:val="26"/>
              </w:rPr>
              <w:t>.</w:t>
            </w:r>
            <w:r w:rsidRPr="00964205" w:rsidR="001144BE">
              <w:rPr>
                <w:sz w:val="26"/>
              </w:rPr>
              <w:t>75</w:t>
            </w:r>
          </w:p>
        </w:tc>
        <w:tc>
          <w:tcPr>
            <w:tcW w:w="2965" w:type="dxa"/>
            <w:shd w:val="clear" w:color="auto" w:fill="auto"/>
          </w:tcPr>
          <w:p w:rsidR="00181B23" w:rsidRPr="00964205" w:rsidP="00181B23" w14:paraId="3DAD7011" w14:textId="06841DB0">
            <w:pPr>
              <w:jc w:val="right"/>
              <w:rPr>
                <w:sz w:val="26"/>
              </w:rPr>
            </w:pPr>
            <w:r w:rsidRPr="00964205">
              <w:rPr>
                <w:sz w:val="26"/>
              </w:rPr>
              <w:t>$</w:t>
            </w:r>
            <w:r w:rsidR="001F40C3">
              <w:t xml:space="preserve"> </w:t>
            </w:r>
            <w:r w:rsidRPr="001F40C3" w:rsidR="001F40C3">
              <w:rPr>
                <w:sz w:val="26"/>
              </w:rPr>
              <w:t>155,839.5</w:t>
            </w:r>
            <w:r w:rsidR="001F40C3">
              <w:rPr>
                <w:sz w:val="26"/>
              </w:rPr>
              <w:t>0</w:t>
            </w:r>
          </w:p>
        </w:tc>
      </w:tr>
      <w:tr w14:paraId="6E0DBBD3" w14:textId="77777777" w:rsidTr="48E9ABC2">
        <w:tblPrEx>
          <w:tblW w:w="0" w:type="auto"/>
          <w:tblLook w:val="01E0"/>
        </w:tblPrEx>
        <w:tc>
          <w:tcPr>
            <w:tcW w:w="2938" w:type="dxa"/>
            <w:shd w:val="clear" w:color="auto" w:fill="auto"/>
          </w:tcPr>
          <w:p w:rsidR="00181B23" w:rsidRPr="00964205" w:rsidP="0053577B" w14:paraId="431378B3" w14:textId="77777777">
            <w:pPr>
              <w:rPr>
                <w:sz w:val="26"/>
                <w:szCs w:val="26"/>
              </w:rPr>
            </w:pPr>
            <w:r w:rsidRPr="00964205">
              <w:rPr>
                <w:sz w:val="26"/>
                <w:szCs w:val="26"/>
              </w:rPr>
              <w:t>FERC Total</w:t>
            </w:r>
          </w:p>
        </w:tc>
        <w:tc>
          <w:tcPr>
            <w:tcW w:w="2953" w:type="dxa"/>
            <w:tcBorders>
              <w:bottom w:val="single" w:sz="4" w:space="0" w:color="auto"/>
            </w:tcBorders>
            <w:shd w:val="clear" w:color="auto" w:fill="BFBFBF" w:themeFill="background1" w:themeFillShade="BF"/>
          </w:tcPr>
          <w:p w:rsidR="00181B23" w:rsidRPr="00964205" w:rsidP="0053577B" w14:paraId="5D0A5221" w14:textId="77777777">
            <w:pPr>
              <w:jc w:val="right"/>
              <w:rPr>
                <w:sz w:val="26"/>
              </w:rPr>
            </w:pPr>
          </w:p>
        </w:tc>
        <w:tc>
          <w:tcPr>
            <w:tcW w:w="2965" w:type="dxa"/>
            <w:shd w:val="clear" w:color="auto" w:fill="auto"/>
          </w:tcPr>
          <w:p w:rsidR="00181B23" w:rsidRPr="00964205" w:rsidP="00181B23" w14:paraId="6FFD936D" w14:textId="38D5DA7C">
            <w:pPr>
              <w:jc w:val="right"/>
              <w:rPr>
                <w:sz w:val="26"/>
              </w:rPr>
            </w:pPr>
            <w:r w:rsidRPr="00964205">
              <w:rPr>
                <w:sz w:val="26"/>
              </w:rPr>
              <w:t>$</w:t>
            </w:r>
            <w:r w:rsidR="00306301">
              <w:t xml:space="preserve"> </w:t>
            </w:r>
            <w:r w:rsidRPr="00306301" w:rsidR="00306301">
              <w:rPr>
                <w:sz w:val="26"/>
              </w:rPr>
              <w:t>164,235.5</w:t>
            </w:r>
            <w:r w:rsidR="00306301">
              <w:rPr>
                <w:sz w:val="26"/>
              </w:rPr>
              <w:t>0</w:t>
            </w:r>
          </w:p>
        </w:tc>
      </w:tr>
    </w:tbl>
    <w:p w:rsidR="00F53486" w:rsidRPr="00964205" w:rsidP="00F53486" w14:paraId="1FEB77FA" w14:textId="77777777">
      <w:pPr>
        <w:widowControl/>
        <w:rPr>
          <w:sz w:val="26"/>
        </w:rPr>
      </w:pPr>
    </w:p>
    <w:p w:rsidR="009237E8" w:rsidRPr="00964205" w:rsidP="004F1164" w14:paraId="27668212" w14:textId="77777777">
      <w:pPr>
        <w:tabs>
          <w:tab w:val="center" w:pos="4680"/>
        </w:tabs>
        <w:rPr>
          <w:sz w:val="26"/>
        </w:rPr>
      </w:pPr>
      <w:r w:rsidRPr="00964205">
        <w:rPr>
          <w:sz w:val="26"/>
        </w:rPr>
        <w:t>The Commission bases its estimate of the “</w:t>
      </w:r>
      <w:r w:rsidRPr="00964205" w:rsidR="00EA28D2">
        <w:rPr>
          <w:sz w:val="26"/>
        </w:rPr>
        <w:t xml:space="preserve">Data </w:t>
      </w:r>
      <w:r w:rsidRPr="00964205">
        <w:rPr>
          <w:sz w:val="26"/>
        </w:rPr>
        <w:t xml:space="preserve">Processing </w:t>
      </w:r>
      <w:r w:rsidRPr="00964205" w:rsidR="00EA28D2">
        <w:rPr>
          <w:sz w:val="26"/>
        </w:rPr>
        <w:t>and Analysis”</w:t>
      </w:r>
      <w:r w:rsidRPr="00964205">
        <w:rPr>
          <w:sz w:val="26"/>
        </w:rPr>
        <w:t xml:space="preserve"> cost to the Federal Government on salaries and benefits for professional and clerical support.  This estimated cost represents staff analysis, decision making, and review of any actual filings made in response to the information collection.</w:t>
      </w:r>
      <w:r w:rsidRPr="00964205">
        <w:rPr>
          <w:sz w:val="26"/>
        </w:rPr>
        <w:t xml:space="preserve">  </w:t>
      </w:r>
    </w:p>
    <w:p w:rsidR="00F53486" w:rsidRPr="00964205" w:rsidP="00F53486" w14:paraId="2298B49F" w14:textId="77777777">
      <w:pPr>
        <w:rPr>
          <w:sz w:val="26"/>
        </w:rPr>
      </w:pPr>
    </w:p>
    <w:p w:rsidR="00F53486" w:rsidRPr="00964205" w:rsidP="48E9ABC2" w14:paraId="5756078F" w14:textId="5BDD9A61">
      <w:pPr>
        <w:widowControl/>
        <w:tabs>
          <w:tab w:val="left" w:pos="720"/>
        </w:tabs>
        <w:ind w:left="720" w:hanging="720"/>
        <w:rPr>
          <w:b/>
          <w:bCs/>
          <w:sz w:val="26"/>
          <w:szCs w:val="26"/>
        </w:rPr>
      </w:pPr>
      <w:r w:rsidRPr="48E9ABC2">
        <w:rPr>
          <w:b/>
          <w:bCs/>
          <w:sz w:val="26"/>
          <w:szCs w:val="26"/>
        </w:rPr>
        <w:t>15.</w:t>
      </w:r>
      <w:r>
        <w:tab/>
      </w:r>
      <w:r w:rsidRPr="48E9ABC2">
        <w:rPr>
          <w:b/>
          <w:bCs/>
          <w:sz w:val="26"/>
          <w:szCs w:val="26"/>
        </w:rPr>
        <w:t xml:space="preserve">REASONS FOR CHANGES IN BURDEN INCLUDING THE NEED </w:t>
      </w:r>
      <w:r w:rsidRPr="48E9ABC2" w:rsidR="00A941B2">
        <w:rPr>
          <w:b/>
          <w:bCs/>
          <w:sz w:val="26"/>
          <w:szCs w:val="26"/>
        </w:rPr>
        <w:t xml:space="preserve">  </w:t>
      </w:r>
      <w:r w:rsidRPr="48E9ABC2">
        <w:rPr>
          <w:b/>
          <w:bCs/>
          <w:sz w:val="26"/>
          <w:szCs w:val="26"/>
        </w:rPr>
        <w:t>FOR ANY INCREASE</w:t>
      </w:r>
    </w:p>
    <w:p w:rsidR="003A0AB1" w:rsidRPr="00964205" w:rsidP="00181B23" w14:paraId="57B7D301" w14:textId="60B83E40">
      <w:pPr>
        <w:rPr>
          <w:sz w:val="26"/>
        </w:rPr>
      </w:pPr>
    </w:p>
    <w:p w:rsidR="00EF6431" w:rsidRPr="00964205" w:rsidP="48E9ABC2" w14:paraId="4F3ABA60" w14:textId="2D2C7863">
      <w:pPr>
        <w:rPr>
          <w:sz w:val="26"/>
          <w:szCs w:val="26"/>
        </w:rPr>
      </w:pPr>
      <w:r w:rsidRPr="48E9ABC2">
        <w:rPr>
          <w:sz w:val="26"/>
          <w:szCs w:val="26"/>
        </w:rPr>
        <w:t xml:space="preserve">The annual </w:t>
      </w:r>
      <w:r w:rsidRPr="48E9ABC2" w:rsidR="00722DBC">
        <w:rPr>
          <w:sz w:val="26"/>
          <w:szCs w:val="26"/>
        </w:rPr>
        <w:t xml:space="preserve">burden hours </w:t>
      </w:r>
      <w:r w:rsidRPr="48E9ABC2">
        <w:rPr>
          <w:sz w:val="26"/>
          <w:szCs w:val="26"/>
        </w:rPr>
        <w:t xml:space="preserve">decreased from </w:t>
      </w:r>
      <w:r w:rsidRPr="48E9ABC2" w:rsidR="00722DBC">
        <w:rPr>
          <w:sz w:val="26"/>
          <w:szCs w:val="26"/>
        </w:rPr>
        <w:t>37</w:t>
      </w:r>
      <w:r w:rsidRPr="48E9ABC2" w:rsidR="36CC487F">
        <w:rPr>
          <w:sz w:val="26"/>
          <w:szCs w:val="26"/>
        </w:rPr>
        <w:t>,</w:t>
      </w:r>
      <w:r w:rsidRPr="48E9ABC2" w:rsidR="0D3C3960">
        <w:rPr>
          <w:sz w:val="26"/>
          <w:szCs w:val="26"/>
        </w:rPr>
        <w:t>483</w:t>
      </w:r>
      <w:r w:rsidRPr="48E9ABC2">
        <w:rPr>
          <w:sz w:val="26"/>
          <w:szCs w:val="26"/>
        </w:rPr>
        <w:t xml:space="preserve"> to </w:t>
      </w:r>
      <w:r w:rsidRPr="48E9ABC2" w:rsidR="00550794">
        <w:rPr>
          <w:sz w:val="26"/>
          <w:szCs w:val="26"/>
        </w:rPr>
        <w:t>24,000</w:t>
      </w:r>
      <w:r w:rsidRPr="48E9ABC2">
        <w:rPr>
          <w:sz w:val="26"/>
          <w:szCs w:val="26"/>
        </w:rPr>
        <w:t xml:space="preserve"> </w:t>
      </w:r>
      <w:r w:rsidRPr="48E9ABC2" w:rsidR="00722DBC">
        <w:rPr>
          <w:sz w:val="26"/>
          <w:szCs w:val="26"/>
        </w:rPr>
        <w:t xml:space="preserve">due to better accuracy in the estimate </w:t>
      </w:r>
      <w:r w:rsidRPr="48E9ABC2" w:rsidR="781B8D2B">
        <w:rPr>
          <w:sz w:val="26"/>
          <w:szCs w:val="26"/>
        </w:rPr>
        <w:t>and</w:t>
      </w:r>
      <w:r w:rsidRPr="48E9ABC2" w:rsidR="00722DBC">
        <w:rPr>
          <w:sz w:val="26"/>
          <w:szCs w:val="26"/>
        </w:rPr>
        <w:t xml:space="preserve"> there was a </w:t>
      </w:r>
      <w:r w:rsidRPr="48E9ABC2" w:rsidR="777F2669">
        <w:rPr>
          <w:sz w:val="26"/>
          <w:szCs w:val="26"/>
        </w:rPr>
        <w:t>small in</w:t>
      </w:r>
      <w:r w:rsidRPr="48E9ABC2" w:rsidR="00722DBC">
        <w:rPr>
          <w:sz w:val="26"/>
          <w:szCs w:val="26"/>
        </w:rPr>
        <w:t xml:space="preserve">crease in the number of respondents from </w:t>
      </w:r>
      <w:r w:rsidRPr="48E9ABC2" w:rsidR="6C178075">
        <w:rPr>
          <w:sz w:val="26"/>
          <w:szCs w:val="26"/>
        </w:rPr>
        <w:t>47</w:t>
      </w:r>
      <w:r w:rsidRPr="48E9ABC2" w:rsidR="00722DBC">
        <w:rPr>
          <w:sz w:val="26"/>
          <w:szCs w:val="26"/>
        </w:rPr>
        <w:t xml:space="preserve"> to 4</w:t>
      </w:r>
      <w:r w:rsidRPr="48E9ABC2" w:rsidR="24F7FC7B">
        <w:rPr>
          <w:sz w:val="26"/>
          <w:szCs w:val="26"/>
        </w:rPr>
        <w:t>8</w:t>
      </w:r>
      <w:r w:rsidRPr="48E9ABC2" w:rsidR="00722DBC">
        <w:rPr>
          <w:sz w:val="26"/>
          <w:szCs w:val="26"/>
        </w:rPr>
        <w:t xml:space="preserve"> </w:t>
      </w:r>
      <w:r w:rsidRPr="48E9ABC2">
        <w:rPr>
          <w:sz w:val="26"/>
          <w:szCs w:val="26"/>
        </w:rPr>
        <w:t>f</w:t>
      </w:r>
      <w:r w:rsidRPr="48E9ABC2">
        <w:rPr>
          <w:sz w:val="26"/>
          <w:szCs w:val="26"/>
        </w:rPr>
        <w:t xml:space="preserve">rom </w:t>
      </w:r>
      <w:r w:rsidRPr="48E9ABC2" w:rsidR="003D77C3">
        <w:rPr>
          <w:sz w:val="26"/>
          <w:szCs w:val="26"/>
        </w:rPr>
        <w:t xml:space="preserve">the </w:t>
      </w:r>
      <w:r w:rsidRPr="48E9ABC2">
        <w:rPr>
          <w:sz w:val="26"/>
          <w:szCs w:val="26"/>
        </w:rPr>
        <w:t>last</w:t>
      </w:r>
      <w:r w:rsidRPr="48E9ABC2">
        <w:rPr>
          <w:sz w:val="26"/>
          <w:szCs w:val="26"/>
        </w:rPr>
        <w:t xml:space="preserve"> renewal</w:t>
      </w:r>
      <w:r w:rsidRPr="48E9ABC2" w:rsidR="5953D9DA">
        <w:rPr>
          <w:sz w:val="26"/>
          <w:szCs w:val="26"/>
        </w:rPr>
        <w:t xml:space="preserve">.  The annual number of tariff and rate filings </w:t>
      </w:r>
      <w:r w:rsidRPr="48E9ABC2" w:rsidR="1A54CBE1">
        <w:rPr>
          <w:sz w:val="26"/>
          <w:szCs w:val="26"/>
        </w:rPr>
        <w:t xml:space="preserve">submitted </w:t>
      </w:r>
      <w:r w:rsidRPr="48E9ABC2" w:rsidR="5953D9DA">
        <w:rPr>
          <w:sz w:val="26"/>
          <w:szCs w:val="26"/>
        </w:rPr>
        <w:t>by a respondent</w:t>
      </w:r>
      <w:r w:rsidRPr="48E9ABC2" w:rsidR="47A2D4AE">
        <w:rPr>
          <w:sz w:val="26"/>
          <w:szCs w:val="26"/>
        </w:rPr>
        <w:t xml:space="preserve"> </w:t>
      </w:r>
      <w:r w:rsidRPr="48E9ABC2" w:rsidR="58AF6564">
        <w:rPr>
          <w:sz w:val="26"/>
          <w:szCs w:val="26"/>
        </w:rPr>
        <w:t xml:space="preserve">and </w:t>
      </w:r>
      <w:r w:rsidRPr="48E9ABC2" w:rsidR="47A2D4AE">
        <w:rPr>
          <w:sz w:val="26"/>
          <w:szCs w:val="26"/>
        </w:rPr>
        <w:t>received at the Commission will fluctuate from year to year due to the business requirements and needs of the industry</w:t>
      </w:r>
      <w:r w:rsidRPr="48E9ABC2" w:rsidR="2678846E">
        <w:rPr>
          <w:sz w:val="26"/>
          <w:szCs w:val="26"/>
        </w:rPr>
        <w:t>.</w:t>
      </w:r>
      <w:r w:rsidRPr="48E9ABC2" w:rsidR="00D6330B">
        <w:rPr>
          <w:sz w:val="26"/>
          <w:szCs w:val="26"/>
        </w:rPr>
        <w:t xml:space="preserve">  However, the Commission made no program changes regarding burden imposed upon respondents and the FERC-546 requirements remain unchanged from previously approved clearance packages.</w:t>
      </w:r>
      <w:r w:rsidRPr="48E9ABC2" w:rsidR="007A2B36">
        <w:rPr>
          <w:sz w:val="26"/>
          <w:szCs w:val="26"/>
        </w:rPr>
        <w:t xml:space="preserve"> </w:t>
      </w:r>
      <w:r w:rsidRPr="48E9ABC2">
        <w:rPr>
          <w:sz w:val="26"/>
          <w:szCs w:val="26"/>
        </w:rPr>
        <w:t xml:space="preserve">  </w:t>
      </w:r>
    </w:p>
    <w:p w:rsidR="003A0AB1" w:rsidRPr="00964205" w:rsidP="00181B23" w14:paraId="173900D5" w14:textId="53647072">
      <w:pPr>
        <w:rPr>
          <w:sz w:val="26"/>
        </w:rPr>
      </w:pPr>
      <w:r w:rsidRPr="00964205">
        <w:rPr>
          <w:sz w:val="26"/>
        </w:rPr>
        <w:t xml:space="preserve"> </w:t>
      </w:r>
    </w:p>
    <w:p w:rsidR="00181B23" w:rsidRPr="00964205" w:rsidP="00181B23" w14:paraId="7DEF7D5D" w14:textId="77777777">
      <w:pPr>
        <w:rPr>
          <w:sz w:val="26"/>
          <w:szCs w:val="26"/>
        </w:rPr>
      </w:pPr>
      <w:r w:rsidRPr="00964205">
        <w:rPr>
          <w:sz w:val="26"/>
          <w:szCs w:val="26"/>
        </w:rPr>
        <w:t xml:space="preserve">The following table shows the total burden of the new collection of information.  </w:t>
      </w:r>
      <w:r w:rsidRPr="00964205">
        <w:rPr>
          <w:sz w:val="26"/>
          <w:szCs w:val="26"/>
        </w:rPr>
        <w:t>The format, labels, and definitions of the table follow the ROCIS submission system’s “Information Collection Request Summary of Burden” for the metadata.</w:t>
      </w:r>
    </w:p>
    <w:p w:rsidR="00CA23F7" w:rsidRPr="00964205" w:rsidP="00F53486" w14:paraId="67A9552A" w14:textId="77777777">
      <w:pPr>
        <w:widowControl/>
        <w:ind w:firstLine="720"/>
        <w:rPr>
          <w:b/>
          <w:sz w:val="26"/>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1779"/>
        <w:gridCol w:w="1959"/>
        <w:gridCol w:w="1958"/>
        <w:gridCol w:w="1504"/>
      </w:tblGrid>
      <w:tr w14:paraId="35F90114" w14:textId="77777777" w:rsidTr="48E9ABC2">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70"/>
        </w:trPr>
        <w:tc>
          <w:tcPr>
            <w:tcW w:w="2160" w:type="dxa"/>
            <w:shd w:val="clear" w:color="auto" w:fill="D9D9D9" w:themeFill="background1" w:themeFillShade="D9"/>
            <w:vAlign w:val="bottom"/>
          </w:tcPr>
          <w:p w:rsidR="00CA23F7" w:rsidRPr="00964205" w:rsidP="00CA23F7" w14:paraId="66351A2D" w14:textId="77777777">
            <w:pPr>
              <w:jc w:val="center"/>
              <w:rPr>
                <w:b/>
                <w:sz w:val="26"/>
              </w:rPr>
            </w:pPr>
            <w:r w:rsidRPr="00964205">
              <w:rPr>
                <w:b/>
                <w:sz w:val="26"/>
              </w:rPr>
              <w:t>F</w:t>
            </w:r>
            <w:r w:rsidRPr="00964205" w:rsidR="00FA7A8F">
              <w:rPr>
                <w:b/>
                <w:sz w:val="26"/>
              </w:rPr>
              <w:t>ERC-546</w:t>
            </w:r>
          </w:p>
        </w:tc>
        <w:tc>
          <w:tcPr>
            <w:tcW w:w="1779" w:type="dxa"/>
            <w:shd w:val="clear" w:color="auto" w:fill="D9D9D9" w:themeFill="background1" w:themeFillShade="D9"/>
            <w:vAlign w:val="bottom"/>
          </w:tcPr>
          <w:p w:rsidR="00CA23F7" w:rsidRPr="00964205" w:rsidP="00CA23F7" w14:paraId="1E3A1C19" w14:textId="77777777">
            <w:pPr>
              <w:jc w:val="center"/>
              <w:rPr>
                <w:b/>
                <w:sz w:val="26"/>
              </w:rPr>
            </w:pPr>
            <w:r w:rsidRPr="00964205">
              <w:rPr>
                <w:b/>
                <w:sz w:val="26"/>
              </w:rPr>
              <w:t>Total Request</w:t>
            </w:r>
          </w:p>
        </w:tc>
        <w:tc>
          <w:tcPr>
            <w:tcW w:w="1959" w:type="dxa"/>
            <w:shd w:val="clear" w:color="auto" w:fill="D9D9D9" w:themeFill="background1" w:themeFillShade="D9"/>
            <w:vAlign w:val="bottom"/>
          </w:tcPr>
          <w:p w:rsidR="00CA23F7" w:rsidRPr="00964205" w:rsidP="00CA23F7" w14:paraId="3654A634" w14:textId="77777777">
            <w:pPr>
              <w:jc w:val="center"/>
              <w:rPr>
                <w:b/>
                <w:sz w:val="26"/>
              </w:rPr>
            </w:pPr>
            <w:r w:rsidRPr="00964205">
              <w:rPr>
                <w:b/>
                <w:sz w:val="26"/>
              </w:rPr>
              <w:t>Previously Approved</w:t>
            </w:r>
          </w:p>
        </w:tc>
        <w:tc>
          <w:tcPr>
            <w:tcW w:w="1958" w:type="dxa"/>
            <w:shd w:val="clear" w:color="auto" w:fill="D9D9D9" w:themeFill="background1" w:themeFillShade="D9"/>
            <w:vAlign w:val="bottom"/>
          </w:tcPr>
          <w:p w:rsidR="00CA23F7" w:rsidRPr="00964205" w:rsidP="00CA23F7" w14:paraId="6878D86D" w14:textId="77777777">
            <w:pPr>
              <w:jc w:val="center"/>
              <w:rPr>
                <w:b/>
                <w:sz w:val="26"/>
              </w:rPr>
            </w:pPr>
            <w:r w:rsidRPr="00964205">
              <w:rPr>
                <w:b/>
                <w:sz w:val="26"/>
              </w:rPr>
              <w:t>Change due to Adjustment in Estimate</w:t>
            </w:r>
          </w:p>
        </w:tc>
        <w:tc>
          <w:tcPr>
            <w:tcW w:w="1504" w:type="dxa"/>
            <w:shd w:val="clear" w:color="auto" w:fill="D9D9D9" w:themeFill="background1" w:themeFillShade="D9"/>
            <w:vAlign w:val="bottom"/>
          </w:tcPr>
          <w:p w:rsidR="00CA23F7" w:rsidRPr="00964205" w:rsidP="00CA23F7" w14:paraId="7F13CEFF" w14:textId="77777777">
            <w:pPr>
              <w:jc w:val="center"/>
              <w:rPr>
                <w:b/>
                <w:sz w:val="26"/>
              </w:rPr>
            </w:pPr>
            <w:r w:rsidRPr="00964205">
              <w:rPr>
                <w:b/>
                <w:sz w:val="26"/>
              </w:rPr>
              <w:t>Change Due to Agency Discretion</w:t>
            </w:r>
          </w:p>
        </w:tc>
      </w:tr>
      <w:tr w14:paraId="6059A6CE" w14:textId="77777777" w:rsidTr="48E9ABC2">
        <w:tblPrEx>
          <w:tblW w:w="9360" w:type="dxa"/>
          <w:tblInd w:w="108" w:type="dxa"/>
          <w:tblLook w:val="01E0"/>
        </w:tblPrEx>
        <w:trPr>
          <w:trHeight w:val="591"/>
        </w:trPr>
        <w:tc>
          <w:tcPr>
            <w:tcW w:w="2160" w:type="dxa"/>
            <w:shd w:val="clear" w:color="auto" w:fill="auto"/>
          </w:tcPr>
          <w:p w:rsidR="00CA23F7" w:rsidRPr="00964205" w:rsidP="00CA23F7" w14:paraId="2CAB1A3C" w14:textId="77777777">
            <w:pPr>
              <w:jc w:val="center"/>
              <w:rPr>
                <w:sz w:val="26"/>
              </w:rPr>
            </w:pPr>
            <w:r w:rsidRPr="00964205">
              <w:rPr>
                <w:sz w:val="26"/>
              </w:rPr>
              <w:t>Annual Number of Responses</w:t>
            </w:r>
          </w:p>
        </w:tc>
        <w:tc>
          <w:tcPr>
            <w:tcW w:w="1779" w:type="dxa"/>
            <w:shd w:val="clear" w:color="auto" w:fill="auto"/>
            <w:vAlign w:val="center"/>
          </w:tcPr>
          <w:p w:rsidR="00CA23F7" w:rsidRPr="00964205" w:rsidP="48E9ABC2" w14:paraId="3B1A2B97" w14:textId="1E133839">
            <w:pPr>
              <w:jc w:val="right"/>
              <w:rPr>
                <w:sz w:val="26"/>
                <w:szCs w:val="26"/>
              </w:rPr>
            </w:pPr>
            <w:r w:rsidRPr="48E9ABC2">
              <w:rPr>
                <w:sz w:val="26"/>
                <w:szCs w:val="26"/>
              </w:rPr>
              <w:t>48</w:t>
            </w:r>
          </w:p>
        </w:tc>
        <w:tc>
          <w:tcPr>
            <w:tcW w:w="1959" w:type="dxa"/>
            <w:shd w:val="clear" w:color="auto" w:fill="auto"/>
            <w:vAlign w:val="center"/>
          </w:tcPr>
          <w:p w:rsidR="00CA23F7" w:rsidRPr="00964205" w:rsidP="48E9ABC2" w14:paraId="760717BE" w14:textId="5F284540">
            <w:pPr>
              <w:jc w:val="right"/>
              <w:rPr>
                <w:sz w:val="26"/>
                <w:szCs w:val="26"/>
              </w:rPr>
            </w:pPr>
            <w:r>
              <w:rPr>
                <w:sz w:val="26"/>
                <w:szCs w:val="26"/>
              </w:rPr>
              <w:t>91</w:t>
            </w:r>
          </w:p>
        </w:tc>
        <w:tc>
          <w:tcPr>
            <w:tcW w:w="1958" w:type="dxa"/>
            <w:shd w:val="clear" w:color="auto" w:fill="auto"/>
            <w:vAlign w:val="center"/>
          </w:tcPr>
          <w:p w:rsidR="00CA23F7" w:rsidRPr="00964205" w:rsidP="00CA23F7" w14:paraId="0926D6B4" w14:textId="6043D480">
            <w:pPr>
              <w:jc w:val="right"/>
              <w:rPr>
                <w:sz w:val="26"/>
              </w:rPr>
            </w:pPr>
            <w:r>
              <w:rPr>
                <w:sz w:val="26"/>
              </w:rPr>
              <w:t>-27</w:t>
            </w:r>
          </w:p>
        </w:tc>
        <w:tc>
          <w:tcPr>
            <w:tcW w:w="1504" w:type="dxa"/>
            <w:shd w:val="clear" w:color="auto" w:fill="auto"/>
            <w:vAlign w:val="center"/>
          </w:tcPr>
          <w:p w:rsidR="00CA23F7" w:rsidRPr="00964205" w:rsidP="00CA23F7" w14:paraId="3207627A" w14:textId="77777777">
            <w:pPr>
              <w:jc w:val="right"/>
              <w:rPr>
                <w:sz w:val="26"/>
              </w:rPr>
            </w:pPr>
            <w:r w:rsidRPr="00964205">
              <w:rPr>
                <w:sz w:val="26"/>
              </w:rPr>
              <w:t>0</w:t>
            </w:r>
          </w:p>
        </w:tc>
      </w:tr>
      <w:tr w14:paraId="64AACC4D" w14:textId="77777777" w:rsidTr="48E9ABC2">
        <w:tblPrEx>
          <w:tblW w:w="9360" w:type="dxa"/>
          <w:tblInd w:w="108" w:type="dxa"/>
          <w:tblLook w:val="01E0"/>
        </w:tblPrEx>
        <w:trPr>
          <w:trHeight w:val="575"/>
        </w:trPr>
        <w:tc>
          <w:tcPr>
            <w:tcW w:w="2160" w:type="dxa"/>
            <w:shd w:val="clear" w:color="auto" w:fill="auto"/>
          </w:tcPr>
          <w:p w:rsidR="00CA23F7" w:rsidRPr="00964205" w:rsidP="00CA23F7" w14:paraId="6A61076C" w14:textId="77777777">
            <w:pPr>
              <w:jc w:val="center"/>
              <w:rPr>
                <w:sz w:val="26"/>
              </w:rPr>
            </w:pPr>
            <w:r w:rsidRPr="00964205">
              <w:rPr>
                <w:sz w:val="26"/>
              </w:rPr>
              <w:t>Annual Time Burden (Hr)</w:t>
            </w:r>
          </w:p>
        </w:tc>
        <w:tc>
          <w:tcPr>
            <w:tcW w:w="1779" w:type="dxa"/>
            <w:shd w:val="clear" w:color="auto" w:fill="auto"/>
            <w:vAlign w:val="center"/>
          </w:tcPr>
          <w:p w:rsidR="00CA23F7" w:rsidRPr="00964205" w:rsidP="48E9ABC2" w14:paraId="2766AB3A" w14:textId="62609668">
            <w:pPr>
              <w:jc w:val="right"/>
              <w:rPr>
                <w:sz w:val="26"/>
                <w:szCs w:val="26"/>
              </w:rPr>
            </w:pPr>
            <w:r w:rsidRPr="48E9ABC2">
              <w:rPr>
                <w:sz w:val="26"/>
                <w:szCs w:val="26"/>
              </w:rPr>
              <w:t>24,000</w:t>
            </w:r>
          </w:p>
        </w:tc>
        <w:tc>
          <w:tcPr>
            <w:tcW w:w="1959" w:type="dxa"/>
            <w:shd w:val="clear" w:color="auto" w:fill="auto"/>
            <w:vAlign w:val="center"/>
          </w:tcPr>
          <w:p w:rsidR="00CA23F7" w:rsidRPr="00964205" w:rsidP="48E9ABC2" w14:paraId="28C3A69D" w14:textId="564FCDCC">
            <w:pPr>
              <w:jc w:val="right"/>
              <w:rPr>
                <w:sz w:val="26"/>
                <w:szCs w:val="26"/>
              </w:rPr>
            </w:pPr>
            <w:r w:rsidRPr="48E9ABC2">
              <w:rPr>
                <w:sz w:val="26"/>
                <w:szCs w:val="26"/>
              </w:rPr>
              <w:t>37,</w:t>
            </w:r>
            <w:r w:rsidR="00423B8C">
              <w:rPr>
                <w:sz w:val="26"/>
                <w:szCs w:val="26"/>
              </w:rPr>
              <w:t>723</w:t>
            </w:r>
          </w:p>
        </w:tc>
        <w:tc>
          <w:tcPr>
            <w:tcW w:w="1958" w:type="dxa"/>
            <w:shd w:val="clear" w:color="auto" w:fill="auto"/>
            <w:vAlign w:val="center"/>
          </w:tcPr>
          <w:p w:rsidR="00CA23F7" w:rsidRPr="00964205" w:rsidP="48E9ABC2" w14:paraId="74DBA701" w14:textId="3E06D320">
            <w:pPr>
              <w:jc w:val="right"/>
              <w:rPr>
                <w:sz w:val="26"/>
                <w:szCs w:val="26"/>
              </w:rPr>
            </w:pPr>
            <w:r>
              <w:rPr>
                <w:sz w:val="26"/>
                <w:szCs w:val="26"/>
              </w:rPr>
              <w:t>-</w:t>
            </w:r>
            <w:r w:rsidRPr="48E9ABC2" w:rsidR="00904DF2">
              <w:rPr>
                <w:sz w:val="26"/>
                <w:szCs w:val="26"/>
              </w:rPr>
              <w:t>1</w:t>
            </w:r>
            <w:r w:rsidRPr="48E9ABC2" w:rsidR="1C58E4D4">
              <w:rPr>
                <w:sz w:val="26"/>
                <w:szCs w:val="26"/>
              </w:rPr>
              <w:t>3,483</w:t>
            </w:r>
          </w:p>
        </w:tc>
        <w:tc>
          <w:tcPr>
            <w:tcW w:w="1504" w:type="dxa"/>
            <w:shd w:val="clear" w:color="auto" w:fill="auto"/>
            <w:vAlign w:val="center"/>
          </w:tcPr>
          <w:p w:rsidR="00CA23F7" w:rsidRPr="00964205" w:rsidP="00CA23F7" w14:paraId="29A2C6A1" w14:textId="77777777">
            <w:pPr>
              <w:jc w:val="right"/>
              <w:rPr>
                <w:sz w:val="26"/>
              </w:rPr>
            </w:pPr>
            <w:r w:rsidRPr="00964205">
              <w:rPr>
                <w:sz w:val="26"/>
              </w:rPr>
              <w:t>0</w:t>
            </w:r>
          </w:p>
        </w:tc>
      </w:tr>
      <w:tr w14:paraId="0D2AF269" w14:textId="77777777" w:rsidTr="48E9ABC2">
        <w:tblPrEx>
          <w:tblW w:w="9360" w:type="dxa"/>
          <w:tblInd w:w="108" w:type="dxa"/>
          <w:tblLook w:val="01E0"/>
        </w:tblPrEx>
        <w:trPr>
          <w:trHeight w:val="295"/>
        </w:trPr>
        <w:tc>
          <w:tcPr>
            <w:tcW w:w="2160" w:type="dxa"/>
            <w:tcBorders>
              <w:bottom w:val="single" w:sz="4" w:space="0" w:color="auto"/>
            </w:tcBorders>
            <w:shd w:val="clear" w:color="auto" w:fill="auto"/>
          </w:tcPr>
          <w:p w:rsidR="00CA23F7" w:rsidRPr="00964205" w:rsidP="00CA23F7" w14:paraId="076CA08F" w14:textId="77777777">
            <w:pPr>
              <w:jc w:val="center"/>
              <w:rPr>
                <w:sz w:val="26"/>
              </w:rPr>
            </w:pPr>
            <w:r w:rsidRPr="00964205">
              <w:rPr>
                <w:sz w:val="26"/>
              </w:rPr>
              <w:t>Annual Cost Burden ($)</w:t>
            </w:r>
          </w:p>
        </w:tc>
        <w:tc>
          <w:tcPr>
            <w:tcW w:w="1779" w:type="dxa"/>
            <w:tcBorders>
              <w:bottom w:val="single" w:sz="4" w:space="0" w:color="auto"/>
            </w:tcBorders>
            <w:shd w:val="clear" w:color="auto" w:fill="auto"/>
            <w:vAlign w:val="center"/>
          </w:tcPr>
          <w:p w:rsidR="00CA23F7" w:rsidRPr="00964205" w:rsidP="00CA23F7" w14:paraId="6D5847B7" w14:textId="77777777">
            <w:pPr>
              <w:jc w:val="right"/>
              <w:rPr>
                <w:sz w:val="26"/>
              </w:rPr>
            </w:pPr>
            <w:r w:rsidRPr="00964205">
              <w:rPr>
                <w:sz w:val="26"/>
              </w:rPr>
              <w:t>0</w:t>
            </w:r>
          </w:p>
        </w:tc>
        <w:tc>
          <w:tcPr>
            <w:tcW w:w="1959" w:type="dxa"/>
            <w:tcBorders>
              <w:bottom w:val="single" w:sz="4" w:space="0" w:color="auto"/>
            </w:tcBorders>
            <w:shd w:val="clear" w:color="auto" w:fill="auto"/>
            <w:vAlign w:val="center"/>
          </w:tcPr>
          <w:p w:rsidR="00CA23F7" w:rsidRPr="00964205" w:rsidP="00CA23F7" w14:paraId="6EC43967" w14:textId="77777777">
            <w:pPr>
              <w:jc w:val="right"/>
              <w:rPr>
                <w:sz w:val="26"/>
              </w:rPr>
            </w:pPr>
            <w:r w:rsidRPr="00964205">
              <w:rPr>
                <w:sz w:val="26"/>
              </w:rPr>
              <w:t>0</w:t>
            </w:r>
          </w:p>
        </w:tc>
        <w:tc>
          <w:tcPr>
            <w:tcW w:w="1958" w:type="dxa"/>
            <w:tcBorders>
              <w:bottom w:val="single" w:sz="4" w:space="0" w:color="auto"/>
            </w:tcBorders>
            <w:shd w:val="clear" w:color="auto" w:fill="auto"/>
            <w:vAlign w:val="center"/>
          </w:tcPr>
          <w:p w:rsidR="00CA23F7" w:rsidRPr="00964205" w:rsidP="00CA23F7" w14:paraId="78DB236B" w14:textId="77777777">
            <w:pPr>
              <w:jc w:val="right"/>
              <w:rPr>
                <w:sz w:val="26"/>
              </w:rPr>
            </w:pPr>
            <w:r w:rsidRPr="00964205">
              <w:rPr>
                <w:sz w:val="26"/>
              </w:rPr>
              <w:t>0</w:t>
            </w:r>
          </w:p>
        </w:tc>
        <w:tc>
          <w:tcPr>
            <w:tcW w:w="1504" w:type="dxa"/>
            <w:tcBorders>
              <w:bottom w:val="single" w:sz="4" w:space="0" w:color="auto"/>
            </w:tcBorders>
            <w:shd w:val="clear" w:color="auto" w:fill="auto"/>
            <w:vAlign w:val="center"/>
          </w:tcPr>
          <w:p w:rsidR="00CA23F7" w:rsidRPr="00964205" w:rsidP="00CA23F7" w14:paraId="09EABB95" w14:textId="77777777">
            <w:pPr>
              <w:jc w:val="right"/>
              <w:rPr>
                <w:sz w:val="26"/>
              </w:rPr>
            </w:pPr>
            <w:r w:rsidRPr="00964205">
              <w:rPr>
                <w:sz w:val="26"/>
              </w:rPr>
              <w:t>0</w:t>
            </w:r>
          </w:p>
        </w:tc>
      </w:tr>
    </w:tbl>
    <w:p w:rsidR="00CA23F7" w:rsidRPr="00964205" w:rsidP="00C90BA2" w14:paraId="43A27139" w14:textId="77777777">
      <w:pPr>
        <w:widowControl/>
        <w:rPr>
          <w:sz w:val="26"/>
        </w:rPr>
      </w:pPr>
    </w:p>
    <w:p w:rsidR="00CA23F7" w:rsidRPr="00964205" w:rsidP="00CA23F7" w14:paraId="49DE71B2" w14:textId="77777777">
      <w:pPr>
        <w:rPr>
          <w:b/>
          <w:bCs/>
          <w:sz w:val="26"/>
        </w:rPr>
      </w:pPr>
      <w:r w:rsidRPr="00964205">
        <w:rPr>
          <w:bCs/>
          <w:sz w:val="26"/>
        </w:rPr>
        <w:t>The format, labels, and definitions of the table above follow the ROCIS system’s “ICR Summary of Burden” for the meta-data.</w:t>
      </w:r>
      <w:r w:rsidRPr="00964205">
        <w:rPr>
          <w:b/>
          <w:bCs/>
          <w:sz w:val="26"/>
        </w:rPr>
        <w:tab/>
      </w:r>
    </w:p>
    <w:p w:rsidR="000C12A0" w:rsidRPr="00964205" w:rsidP="00FA7A8F" w14:paraId="75BC9945" w14:textId="77777777">
      <w:pPr>
        <w:widowControl/>
        <w:rPr>
          <w:sz w:val="26"/>
        </w:rPr>
      </w:pPr>
    </w:p>
    <w:p w:rsidR="00F53486" w:rsidRPr="00964205" w:rsidP="00A941B2" w14:paraId="5F50E393" w14:textId="77777777">
      <w:pPr>
        <w:widowControl/>
        <w:numPr>
          <w:ilvl w:val="0"/>
          <w:numId w:val="5"/>
        </w:numPr>
        <w:tabs>
          <w:tab w:val="num" w:pos="720"/>
          <w:tab w:val="clear" w:pos="1080"/>
        </w:tabs>
        <w:ind w:left="720" w:hanging="720"/>
        <w:rPr>
          <w:b/>
          <w:sz w:val="26"/>
        </w:rPr>
      </w:pPr>
      <w:r w:rsidRPr="00964205">
        <w:rPr>
          <w:b/>
          <w:sz w:val="26"/>
        </w:rPr>
        <w:t xml:space="preserve"> </w:t>
      </w:r>
      <w:r w:rsidRPr="00964205">
        <w:rPr>
          <w:b/>
          <w:sz w:val="26"/>
        </w:rPr>
        <w:t>TIME SCHEDULE FOR PUBLICATION OF DATA</w:t>
      </w:r>
    </w:p>
    <w:p w:rsidR="00F53486" w:rsidRPr="00964205" w:rsidP="00F53486" w14:paraId="3D3773D1" w14:textId="77777777">
      <w:pPr>
        <w:widowControl/>
        <w:ind w:left="720"/>
        <w:rPr>
          <w:b/>
          <w:sz w:val="26"/>
        </w:rPr>
      </w:pPr>
    </w:p>
    <w:p w:rsidR="00801837" w:rsidRPr="00964205" w:rsidP="00801837" w14:paraId="1362E49B" w14:textId="20FCBEEF">
      <w:pPr>
        <w:widowControl/>
        <w:rPr>
          <w:sz w:val="26"/>
        </w:rPr>
      </w:pPr>
      <w:r w:rsidRPr="00964205">
        <w:rPr>
          <w:sz w:val="26"/>
        </w:rPr>
        <w:t>There are no tabulating, statistical</w:t>
      </w:r>
      <w:r w:rsidRPr="00964205" w:rsidR="00904DF2">
        <w:rPr>
          <w:sz w:val="26"/>
        </w:rPr>
        <w:t xml:space="preserve">, </w:t>
      </w:r>
      <w:r w:rsidRPr="00964205">
        <w:rPr>
          <w:sz w:val="26"/>
        </w:rPr>
        <w:t>tabulating analysis</w:t>
      </w:r>
      <w:r w:rsidRPr="00964205" w:rsidR="00904DF2">
        <w:rPr>
          <w:sz w:val="26"/>
        </w:rPr>
        <w:t>,</w:t>
      </w:r>
      <w:r w:rsidRPr="00964205">
        <w:rPr>
          <w:sz w:val="26"/>
        </w:rPr>
        <w:t xml:space="preserve"> or publication plans for the collection of information.  The data are used for regulatory purposes only.</w:t>
      </w:r>
    </w:p>
    <w:p w:rsidR="00F53486" w:rsidRPr="00964205" w:rsidP="00F53486" w14:paraId="53E8D351" w14:textId="77777777">
      <w:pPr>
        <w:widowControl/>
        <w:ind w:firstLine="720"/>
        <w:rPr>
          <w:sz w:val="26"/>
        </w:rPr>
      </w:pPr>
    </w:p>
    <w:p w:rsidR="00F53486" w:rsidRPr="00964205" w:rsidP="00A941B2" w14:paraId="25FFAF6E" w14:textId="77777777">
      <w:pPr>
        <w:widowControl/>
        <w:tabs>
          <w:tab w:val="left" w:pos="720"/>
        </w:tabs>
        <w:ind w:left="720" w:hanging="720"/>
        <w:rPr>
          <w:b/>
          <w:sz w:val="26"/>
        </w:rPr>
      </w:pPr>
      <w:r w:rsidRPr="00964205">
        <w:rPr>
          <w:b/>
          <w:sz w:val="26"/>
        </w:rPr>
        <w:t>17.</w:t>
      </w:r>
      <w:r w:rsidRPr="00964205">
        <w:rPr>
          <w:sz w:val="26"/>
        </w:rPr>
        <w:tab/>
      </w:r>
      <w:r w:rsidRPr="00964205" w:rsidR="00FF5CA4">
        <w:rPr>
          <w:sz w:val="26"/>
        </w:rPr>
        <w:t xml:space="preserve"> </w:t>
      </w:r>
      <w:r w:rsidRPr="00964205">
        <w:rPr>
          <w:b/>
          <w:sz w:val="26"/>
        </w:rPr>
        <w:t>DISPLAY OF EXPIRATION DATE</w:t>
      </w:r>
    </w:p>
    <w:p w:rsidR="00F53486" w:rsidRPr="00964205" w:rsidP="00F53486" w14:paraId="5CF9E31B" w14:textId="77777777">
      <w:pPr>
        <w:widowControl/>
        <w:ind w:firstLine="720"/>
        <w:rPr>
          <w:b/>
          <w:sz w:val="26"/>
        </w:rPr>
      </w:pPr>
    </w:p>
    <w:p w:rsidR="00091110" w:rsidRPr="00964205" w:rsidP="00091110" w14:paraId="6E57E06F" w14:textId="77777777">
      <w:pPr>
        <w:widowControl/>
        <w:autoSpaceDE/>
        <w:autoSpaceDN/>
        <w:adjustRightInd/>
        <w:rPr>
          <w:rFonts w:eastAsia="Calibri"/>
          <w:sz w:val="26"/>
        </w:rPr>
      </w:pPr>
      <w:r w:rsidRPr="00964205">
        <w:rPr>
          <w:rFonts w:eastAsia="Calibri"/>
          <w:sz w:val="26"/>
        </w:rPr>
        <w:t xml:space="preserve">The expiration date is displayed in a table posted on ferc.gov at </w:t>
      </w:r>
      <w:hyperlink r:id="rId11" w:history="1">
        <w:r w:rsidRPr="00964205">
          <w:rPr>
            <w:rFonts w:eastAsia="Calibri"/>
            <w:color w:val="0000FF"/>
            <w:sz w:val="26"/>
            <w:u w:val="single"/>
          </w:rPr>
          <w:t>https://www.ferc.gov/information-collections</w:t>
        </w:r>
      </w:hyperlink>
      <w:r w:rsidRPr="00964205">
        <w:rPr>
          <w:rFonts w:eastAsia="Calibri"/>
          <w:color w:val="0000FF"/>
          <w:sz w:val="26"/>
          <w:u w:val="single"/>
        </w:rPr>
        <w:t>.</w:t>
      </w:r>
    </w:p>
    <w:p w:rsidR="00397224" w:rsidRPr="00964205" w:rsidP="00F53486" w14:paraId="4BF73F24" w14:textId="77777777">
      <w:pPr>
        <w:widowControl/>
        <w:ind w:firstLine="720"/>
        <w:rPr>
          <w:sz w:val="26"/>
        </w:rPr>
      </w:pPr>
    </w:p>
    <w:p w:rsidR="00F53486" w:rsidRPr="00964205" w:rsidP="00A941B2" w14:paraId="673E2044" w14:textId="77777777">
      <w:pPr>
        <w:widowControl/>
        <w:numPr>
          <w:ilvl w:val="0"/>
          <w:numId w:val="6"/>
        </w:numPr>
        <w:tabs>
          <w:tab w:val="num" w:pos="720"/>
          <w:tab w:val="clear" w:pos="1080"/>
        </w:tabs>
        <w:ind w:left="720" w:hanging="720"/>
        <w:rPr>
          <w:b/>
          <w:sz w:val="26"/>
        </w:rPr>
      </w:pPr>
      <w:r w:rsidRPr="00964205">
        <w:rPr>
          <w:b/>
          <w:sz w:val="26"/>
        </w:rPr>
        <w:t xml:space="preserve"> EXCEPTIONS TO THE CERTIFICATION STATEMENT</w:t>
      </w:r>
    </w:p>
    <w:p w:rsidR="00F53486" w:rsidRPr="00964205" w:rsidP="00F53486" w14:paraId="5568C8E3" w14:textId="77777777">
      <w:pPr>
        <w:widowControl/>
        <w:ind w:left="720"/>
        <w:rPr>
          <w:b/>
          <w:sz w:val="26"/>
        </w:rPr>
      </w:pPr>
    </w:p>
    <w:p w:rsidR="00801837" w:rsidRPr="00964205" w:rsidP="00801837" w14:paraId="2FEF93CB" w14:textId="77777777">
      <w:pPr>
        <w:rPr>
          <w:sz w:val="26"/>
        </w:rPr>
      </w:pPr>
      <w:r w:rsidRPr="00964205">
        <w:rPr>
          <w:sz w:val="26"/>
        </w:rPr>
        <w:t>There are no exceptions.</w:t>
      </w:r>
    </w:p>
    <w:p w:rsidR="00112165" w:rsidRPr="00964205" w:rsidP="00801837" w14:paraId="150598BB" w14:textId="77777777">
      <w:pPr>
        <w:widowControl/>
        <w:ind w:firstLine="720"/>
        <w:rPr>
          <w:sz w:val="26"/>
        </w:rPr>
      </w:pPr>
    </w:p>
    <w:sectPr>
      <w:headerReference w:type="default" r:id="rId12"/>
      <w:footerReference w:type="even" r:id="rId13"/>
      <w:footerReference w:type="default" r:id="rId1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570B" w:rsidP="00F53486" w14:paraId="20382317"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7570B" w:rsidP="00F53486" w14:paraId="24A6DA3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570B" w:rsidP="00F53486" w14:paraId="262BB6F1"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3686A">
      <w:rPr>
        <w:rStyle w:val="PageNumber"/>
        <w:noProof/>
      </w:rPr>
      <w:t>1</w:t>
    </w:r>
    <w:r>
      <w:rPr>
        <w:rStyle w:val="PageNumber"/>
      </w:rPr>
      <w:fldChar w:fldCharType="end"/>
    </w:r>
  </w:p>
  <w:p w:rsidR="00A7570B" w:rsidP="00F53486" w14:paraId="7615FCA9"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23F01" w14:paraId="0D5074CE" w14:textId="77777777">
      <w:r>
        <w:separator/>
      </w:r>
    </w:p>
  </w:footnote>
  <w:footnote w:type="continuationSeparator" w:id="1">
    <w:p w:rsidR="00223F01" w14:paraId="57BE28DA" w14:textId="77777777">
      <w:r>
        <w:continuationSeparator/>
      </w:r>
    </w:p>
  </w:footnote>
  <w:footnote w:type="continuationNotice" w:id="2">
    <w:p w:rsidR="00223F01" w14:paraId="6091B13E" w14:textId="77777777"/>
  </w:footnote>
  <w:footnote w:id="3">
    <w:p w:rsidR="003E742E" w:rsidRPr="00964205" w:rsidP="00AB2BC4" w14:paraId="765E63A3" w14:textId="77777777">
      <w:pPr>
        <w:pStyle w:val="FootnoteText"/>
        <w:spacing w:after="0"/>
        <w:rPr>
          <w:sz w:val="26"/>
        </w:rPr>
      </w:pPr>
      <w:r w:rsidRPr="00964205">
        <w:rPr>
          <w:rStyle w:val="FootnoteReference"/>
          <w:b w:val="0"/>
          <w:szCs w:val="20"/>
        </w:rPr>
        <w:footnoteRef/>
      </w:r>
      <w:r w:rsidRPr="00964205">
        <w:rPr>
          <w:sz w:val="26"/>
        </w:rPr>
        <w:t xml:space="preserve"> More specifically requirements are contained within 18 CFR 154.4, 154.7, 154.202, 154.204-208, 154.602-603 and 284.501-505</w:t>
      </w:r>
      <w:r w:rsidRPr="00964205" w:rsidR="0093782D">
        <w:rPr>
          <w:sz w:val="26"/>
        </w:rPr>
        <w:t>.</w:t>
      </w:r>
    </w:p>
  </w:footnote>
  <w:footnote w:id="4">
    <w:p w:rsidR="003E742E" w:rsidRPr="00964205" w:rsidP="00AB2BC4" w14:paraId="1E216193" w14:textId="041BC739">
      <w:pPr>
        <w:pStyle w:val="FootnoteText"/>
        <w:spacing w:after="0"/>
        <w:rPr>
          <w:sz w:val="26"/>
        </w:rPr>
      </w:pPr>
      <w:r w:rsidRPr="00964205">
        <w:rPr>
          <w:rStyle w:val="FootnoteReference"/>
          <w:b w:val="0"/>
          <w:szCs w:val="20"/>
        </w:rPr>
        <w:footnoteRef/>
      </w:r>
      <w:r w:rsidRPr="00964205">
        <w:rPr>
          <w:sz w:val="26"/>
        </w:rPr>
        <w:t xml:space="preserve"> Also known as a “greenfield” pipeline</w:t>
      </w:r>
      <w:r w:rsidRPr="00964205" w:rsidR="00D70436">
        <w:rPr>
          <w:sz w:val="26"/>
        </w:rPr>
        <w:t>.</w:t>
      </w:r>
    </w:p>
  </w:footnote>
  <w:footnote w:id="5">
    <w:p w:rsidR="003E742E" w:rsidRPr="00964205" w:rsidP="00AF122D" w14:paraId="01A8F389" w14:textId="77777777">
      <w:pPr>
        <w:pStyle w:val="FootnoteText"/>
        <w:spacing w:after="0"/>
        <w:ind w:firstLine="0"/>
        <w:rPr>
          <w:sz w:val="26"/>
        </w:rPr>
      </w:pPr>
      <w:r w:rsidRPr="00964205">
        <w:rPr>
          <w:rStyle w:val="FootnoteReference"/>
          <w:b w:val="0"/>
          <w:szCs w:val="20"/>
        </w:rPr>
        <w:footnoteRef/>
      </w:r>
      <w:r w:rsidRPr="00964205">
        <w:rPr>
          <w:sz w:val="26"/>
        </w:rPr>
        <w:t xml:space="preserve"> Hinshaw pipelines are those that receive all out-of-state gas from entities within or at the boundary of a state if all the natural gas so received is ultimately consumed within the state in which it is received, 15 USC 717(c). </w:t>
      </w:r>
      <w:r w:rsidRPr="00964205" w:rsidR="00451521">
        <w:rPr>
          <w:sz w:val="26"/>
        </w:rPr>
        <w:t xml:space="preserve"> </w:t>
      </w:r>
      <w:r w:rsidRPr="00964205">
        <w:rPr>
          <w:sz w:val="26"/>
        </w:rPr>
        <w:t>Congress concluded that Hinshaw pipelines are "matters primarily of local concern," and so are more appropriately regulated by pertinent state agencies rather than by FERC.  The Natural Gas Act section 1(c) exempts Hinshaw pipelines from FERC jurisdiction.  A Hinshaw pipeline, however, may apply for a FERC certificate to transport gas outside of state lines.</w:t>
      </w:r>
    </w:p>
  </w:footnote>
  <w:footnote w:id="6">
    <w:p w:rsidR="003E742E" w:rsidRPr="00964205" w:rsidP="00AF122D" w14:paraId="49938BE9" w14:textId="77777777">
      <w:pPr>
        <w:pStyle w:val="FootnoteText"/>
        <w:spacing w:after="0"/>
        <w:ind w:firstLine="0"/>
        <w:rPr>
          <w:sz w:val="26"/>
        </w:rPr>
      </w:pPr>
      <w:r w:rsidRPr="00964205">
        <w:rPr>
          <w:rStyle w:val="FootnoteReference"/>
          <w:b w:val="0"/>
          <w:szCs w:val="20"/>
        </w:rPr>
        <w:footnoteRef/>
      </w:r>
      <w:r w:rsidRPr="00964205">
        <w:rPr>
          <w:sz w:val="26"/>
        </w:rPr>
        <w:t xml:space="preserve"> 73 FR 57515</w:t>
      </w:r>
    </w:p>
  </w:footnote>
  <w:footnote w:id="7">
    <w:p w:rsidR="00A7570B" w:rsidRPr="00964205" w:rsidP="00616ACA" w14:paraId="3C6B4BE1" w14:textId="77777777">
      <w:pPr>
        <w:pStyle w:val="FootnoteText"/>
        <w:spacing w:after="0"/>
        <w:rPr>
          <w:sz w:val="26"/>
          <w:lang w:val="fr-FR"/>
        </w:rPr>
      </w:pPr>
      <w:r w:rsidRPr="00964205">
        <w:rPr>
          <w:rStyle w:val="FootnoteReference"/>
          <w:b w:val="0"/>
          <w:szCs w:val="20"/>
        </w:rPr>
        <w:footnoteRef/>
      </w:r>
      <w:r w:rsidRPr="00964205">
        <w:rPr>
          <w:sz w:val="26"/>
          <w:lang w:val="fr-FR"/>
        </w:rPr>
        <w:t xml:space="preserve"> 5 CFR 1320.8(d)</w:t>
      </w:r>
    </w:p>
  </w:footnote>
  <w:footnote w:id="8">
    <w:p w:rsidR="00A7570B" w:rsidRPr="00964205" w:rsidP="00616ACA" w14:paraId="7B4ABAB2" w14:textId="485F38C7">
      <w:pPr>
        <w:pStyle w:val="FootnoteText"/>
        <w:spacing w:after="0"/>
        <w:rPr>
          <w:sz w:val="26"/>
          <w:lang w:val="fr-FR"/>
        </w:rPr>
      </w:pPr>
      <w:r w:rsidRPr="00964205">
        <w:rPr>
          <w:rStyle w:val="FootnoteReference"/>
          <w:b w:val="0"/>
          <w:szCs w:val="20"/>
        </w:rPr>
        <w:footnoteRef/>
      </w:r>
      <w:r w:rsidRPr="00964205" w:rsidR="00AA1E9C">
        <w:rPr>
          <w:sz w:val="26"/>
          <w:lang w:val="fr-FR"/>
        </w:rPr>
        <w:t xml:space="preserve"> </w:t>
      </w:r>
      <w:r w:rsidRPr="00944F94" w:rsidR="00944F94">
        <w:rPr>
          <w:sz w:val="26"/>
          <w:lang w:val="fr-FR"/>
        </w:rPr>
        <w:t>89 FR 95765</w:t>
      </w:r>
    </w:p>
  </w:footnote>
  <w:footnote w:id="9">
    <w:p w:rsidR="00A7570B" w:rsidRPr="00964205" w:rsidP="00616ACA" w14:paraId="7CE93532" w14:textId="1235630E">
      <w:pPr>
        <w:pStyle w:val="FootnoteText"/>
        <w:spacing w:after="0"/>
        <w:rPr>
          <w:sz w:val="26"/>
          <w:lang w:val="fr-FR"/>
        </w:rPr>
      </w:pPr>
      <w:r w:rsidRPr="00964205">
        <w:rPr>
          <w:rStyle w:val="FootnoteReference"/>
          <w:b w:val="0"/>
          <w:szCs w:val="20"/>
        </w:rPr>
        <w:footnoteRef/>
      </w:r>
      <w:r w:rsidRPr="00964205" w:rsidR="00135FB3">
        <w:rPr>
          <w:sz w:val="26"/>
          <w:lang w:val="fr-FR"/>
        </w:rPr>
        <w:t xml:space="preserve"> </w:t>
      </w:r>
      <w:r w:rsidRPr="00F46B2D" w:rsidR="00F46B2D">
        <w:rPr>
          <w:sz w:val="26"/>
          <w:lang w:val="fr-FR"/>
        </w:rPr>
        <w:t>90 FR 11310</w:t>
      </w:r>
    </w:p>
  </w:footnote>
  <w:footnote w:id="10">
    <w:p w:rsidR="0063011A" w:rsidRPr="00964205" w:rsidP="00616ACA" w14:paraId="19AACD28" w14:textId="77777777">
      <w:pPr>
        <w:pStyle w:val="FootnoteText"/>
        <w:spacing w:after="0"/>
        <w:rPr>
          <w:sz w:val="26"/>
        </w:rPr>
      </w:pPr>
      <w:r w:rsidRPr="00964205">
        <w:rPr>
          <w:rStyle w:val="FootnoteReference"/>
          <w:b w:val="0"/>
          <w:szCs w:val="20"/>
        </w:rPr>
        <w:footnoteRef/>
      </w:r>
      <w:r w:rsidRPr="00964205">
        <w:rPr>
          <w:sz w:val="26"/>
        </w:rPr>
        <w:t xml:space="preserve"> 18 CFR 388.112</w:t>
      </w:r>
    </w:p>
  </w:footnote>
  <w:footnote w:id="11">
    <w:p w:rsidR="00401A8E" w14:paraId="29B0BE70" w14:textId="5DC25613">
      <w:pPr>
        <w:pStyle w:val="FootnoteText"/>
      </w:pPr>
      <w:r>
        <w:rPr>
          <w:rStyle w:val="FootnoteReference"/>
        </w:rPr>
        <w:footnoteRef/>
      </w:r>
      <w:r>
        <w:t xml:space="preserve"> </w:t>
      </w:r>
      <w:r w:rsidRPr="00401A8E">
        <w:t>“Burden” is the total time, effort, or financial resources expended by persons to generate, maintain, retain, or disclose or provide information to or for a Federal agency. For further explanation of what is included in the information collection burden, refer to Title 5 Code of Federal Regulations 1320.3.</w:t>
      </w:r>
    </w:p>
  </w:footnote>
  <w:footnote w:id="12">
    <w:p w:rsidR="00401A8E" w14:paraId="7B22CA1D" w14:textId="3EC08B3E">
      <w:pPr>
        <w:pStyle w:val="FootnoteText"/>
      </w:pPr>
      <w:r>
        <w:rPr>
          <w:rStyle w:val="FootnoteReference"/>
        </w:rPr>
        <w:footnoteRef/>
      </w:r>
      <w:r>
        <w:t xml:space="preserve"> </w:t>
      </w:r>
      <w:r w:rsidRPr="003C33A5" w:rsidR="003C33A5">
        <w:t>Commission staff estimates that the industry’s skill set and cost (for wages and benefits) are approximately the same as the Commission’s average cost.  The FERC 2024 average salary plus benefits for one FERC full-time equivalent (FTE) is $207,786/year (or $100/hour).</w:t>
      </w:r>
    </w:p>
  </w:footnote>
  <w:footnote w:id="13">
    <w:p w:rsidR="00516EAB" w:rsidRPr="00073790" w:rsidP="00516EAB" w14:paraId="6FAAF076" w14:textId="77777777">
      <w:pPr>
        <w:pStyle w:val="FootnoteText"/>
        <w:rPr>
          <w:sz w:val="26"/>
          <w:szCs w:val="26"/>
        </w:rPr>
      </w:pPr>
      <w:r w:rsidRPr="00CF6342">
        <w:rPr>
          <w:rStyle w:val="FootnoteReference"/>
        </w:rPr>
        <w:footnoteRef/>
      </w:r>
      <w:r w:rsidRPr="00CF6342">
        <w:rPr>
          <w:sz w:val="26"/>
          <w:szCs w:val="26"/>
        </w:rPr>
        <w:t xml:space="preserve"> This figure was calculated by dividing the total number of responses (111) by the total number of respondents (83).  The resulting figure was then rounded to the nearest thousandth place.</w:t>
      </w:r>
    </w:p>
  </w:footnote>
  <w:footnote w:id="14">
    <w:p w:rsidR="00516EAB" w:rsidP="00516EAB" w14:paraId="0BD7C4D9" w14:textId="77777777">
      <w:pPr>
        <w:ind w:firstLine="720"/>
      </w:pPr>
      <w:r w:rsidRPr="00A45A26">
        <w:rPr>
          <w:b/>
          <w:bCs/>
          <w:szCs w:val="22"/>
          <w:vertAlign w:val="superscript"/>
        </w:rPr>
        <w:footnoteRef/>
      </w:r>
      <w:r w:rsidRPr="00A45A26">
        <w:rPr>
          <w:szCs w:val="22"/>
          <w:vertAlign w:val="superscript"/>
        </w:rPr>
        <w:t xml:space="preserve"> </w:t>
      </w:r>
      <w:r>
        <w:t>Project-Area Wage Standards in the Labor Cost Component of Cost-of-Service Rates under Docket No. PL24-1-000 was issued on March 21, 2024, which allows jurisdictional entities to include wages consistent with project-area standards in cost-of-service rates filed with the Commission where the record supports that outcome.</w:t>
      </w:r>
    </w:p>
  </w:footnote>
  <w:footnote w:id="15">
    <w:p w:rsidR="00181B23" w:rsidRPr="00964205" w:rsidP="00084D9D" w14:paraId="6A460E51" w14:textId="77777777">
      <w:pPr>
        <w:pStyle w:val="FootnoteText"/>
        <w:spacing w:after="0"/>
        <w:rPr>
          <w:sz w:val="26"/>
        </w:rPr>
      </w:pPr>
      <w:r w:rsidRPr="00964205">
        <w:rPr>
          <w:rStyle w:val="FootnoteReference"/>
          <w:b w:val="0"/>
          <w:szCs w:val="20"/>
        </w:rPr>
        <w:footnoteRef/>
      </w:r>
      <w:r w:rsidRPr="00964205">
        <w:rPr>
          <w:sz w:val="26"/>
        </w:rPr>
        <w:t xml:space="preserve"> Paperwork Reduction Act of 1995 (PRA).</w:t>
      </w:r>
    </w:p>
  </w:footnote>
  <w:footnote w:id="16">
    <w:p w:rsidR="00181B23" w:rsidRPr="00964205" w:rsidP="00084D9D" w14:paraId="1CA02493" w14:textId="4DF8B298">
      <w:pPr>
        <w:pStyle w:val="FootnoteText"/>
        <w:spacing w:after="0"/>
        <w:rPr>
          <w:sz w:val="26"/>
        </w:rPr>
      </w:pPr>
      <w:r w:rsidRPr="00964205">
        <w:rPr>
          <w:rStyle w:val="FootnoteReference"/>
          <w:b w:val="0"/>
          <w:szCs w:val="20"/>
        </w:rPr>
        <w:footnoteRef/>
      </w:r>
      <w:r w:rsidRPr="00964205">
        <w:rPr>
          <w:sz w:val="26"/>
        </w:rPr>
        <w:t xml:space="preserve"> The P</w:t>
      </w:r>
      <w:r w:rsidRPr="00964205" w:rsidR="00AA1E9C">
        <w:rPr>
          <w:sz w:val="26"/>
        </w:rPr>
        <w:t>RA Administration Cost is $</w:t>
      </w:r>
      <w:r w:rsidRPr="00084D9D" w:rsidR="00084D9D">
        <w:rPr>
          <w:sz w:val="26"/>
        </w:rPr>
        <w:t>8,396</w:t>
      </w:r>
      <w:r w:rsidR="00084D9D">
        <w:rPr>
          <w:sz w:val="26"/>
        </w:rPr>
        <w:t xml:space="preserve"> </w:t>
      </w:r>
      <w:r w:rsidRPr="00964205">
        <w:rPr>
          <w:sz w:val="26"/>
        </w:rPr>
        <w:t>and includes preparing supporting statements, notices, and other activities associated with Paperwork Reduction Act compliance.</w:t>
      </w:r>
    </w:p>
  </w:footnote>
  <w:footnote w:id="17">
    <w:p w:rsidR="00AF122D" w:rsidRPr="00084D9D" w:rsidP="00084D9D" w14:paraId="62B520FC" w14:textId="3D11C6CD">
      <w:pPr>
        <w:pStyle w:val="FootnoteText"/>
      </w:pPr>
      <w:r w:rsidRPr="00964205">
        <w:rPr>
          <w:rStyle w:val="FootnoteReference"/>
          <w:b w:val="0"/>
          <w:szCs w:val="20"/>
        </w:rPr>
        <w:footnoteRef/>
      </w:r>
      <w:r w:rsidRPr="00964205">
        <w:rPr>
          <w:sz w:val="26"/>
        </w:rPr>
        <w:t xml:space="preserve"> </w:t>
      </w:r>
      <w:r w:rsidRPr="003C33A5" w:rsidR="00084D9D">
        <w:t>The FERC 2024 average salary plus benefits for one FERC full-time equivalent (FTE) is $207,786/year (or $100/hour).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570B" w:rsidRPr="0018303F" w14:paraId="7E882602" w14:textId="77777777">
    <w:pPr>
      <w:spacing w:line="240" w:lineRule="exact"/>
    </w:pPr>
    <w:r w:rsidRPr="0018303F">
      <w:t>FER</w:t>
    </w:r>
    <w:r w:rsidRPr="0018303F" w:rsidR="003E742E">
      <w:t>C-546 (OMB Control No. 1902-0155</w:t>
    </w:r>
    <w:r w:rsidRPr="0018303F">
      <w:t>)</w:t>
    </w:r>
    <w:r w:rsidRPr="0018303F">
      <w:tab/>
    </w:r>
    <w:r w:rsidRPr="0018303F">
      <w:tab/>
    </w:r>
    <w:r w:rsidRPr="0018303F">
      <w:tab/>
    </w:r>
    <w:r w:rsidRPr="0018303F">
      <w:tab/>
    </w:r>
    <w:r w:rsidRPr="0018303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92AE7EA"/>
    <w:multiLevelType w:val="hybridMultilevel"/>
    <w:tmpl w:val="C3A138AC"/>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F0C552D5"/>
    <w:multiLevelType w:val="hybridMultilevel"/>
    <w:tmpl w:val="001BB747"/>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0D651A1B"/>
    <w:multiLevelType w:val="hybridMultilevel"/>
    <w:tmpl w:val="734EEF40"/>
    <w:lvl w:ilvl="0">
      <w:start w:val="13"/>
      <w:numFmt w:val="decimal"/>
      <w:lvlText w:val="%1."/>
      <w:lvlJc w:val="left"/>
      <w:pPr>
        <w:tabs>
          <w:tab w:val="num" w:pos="24840"/>
        </w:tabs>
        <w:ind w:left="24840" w:hanging="360"/>
      </w:pPr>
      <w:rPr>
        <w:rFonts w:hint="default"/>
      </w:rPr>
    </w:lvl>
    <w:lvl w:ilvl="1" w:tentative="1">
      <w:start w:val="1"/>
      <w:numFmt w:val="lowerLetter"/>
      <w:lvlText w:val="%2."/>
      <w:lvlJc w:val="left"/>
      <w:pPr>
        <w:tabs>
          <w:tab w:val="num" w:pos="25560"/>
        </w:tabs>
        <w:ind w:left="25560" w:hanging="360"/>
      </w:pPr>
    </w:lvl>
    <w:lvl w:ilvl="2" w:tentative="1">
      <w:start w:val="1"/>
      <w:numFmt w:val="lowerRoman"/>
      <w:lvlText w:val="%3."/>
      <w:lvlJc w:val="right"/>
      <w:pPr>
        <w:tabs>
          <w:tab w:val="num" w:pos="26280"/>
        </w:tabs>
        <w:ind w:left="26280" w:hanging="180"/>
      </w:pPr>
    </w:lvl>
    <w:lvl w:ilvl="3" w:tentative="1">
      <w:start w:val="1"/>
      <w:numFmt w:val="decimal"/>
      <w:lvlText w:val="%4."/>
      <w:lvlJc w:val="left"/>
      <w:pPr>
        <w:tabs>
          <w:tab w:val="num" w:pos="27000"/>
        </w:tabs>
        <w:ind w:left="27000" w:hanging="360"/>
      </w:pPr>
    </w:lvl>
    <w:lvl w:ilvl="4" w:tentative="1">
      <w:start w:val="1"/>
      <w:numFmt w:val="lowerLetter"/>
      <w:lvlText w:val="%5."/>
      <w:lvlJc w:val="left"/>
      <w:pPr>
        <w:tabs>
          <w:tab w:val="num" w:pos="27720"/>
        </w:tabs>
        <w:ind w:left="27720" w:hanging="360"/>
      </w:pPr>
    </w:lvl>
    <w:lvl w:ilvl="5" w:tentative="1">
      <w:start w:val="1"/>
      <w:numFmt w:val="lowerRoman"/>
      <w:lvlText w:val="%6."/>
      <w:lvlJc w:val="right"/>
      <w:pPr>
        <w:tabs>
          <w:tab w:val="num" w:pos="28440"/>
        </w:tabs>
        <w:ind w:left="28440" w:hanging="180"/>
      </w:pPr>
    </w:lvl>
    <w:lvl w:ilvl="6" w:tentative="1">
      <w:start w:val="1"/>
      <w:numFmt w:val="decimal"/>
      <w:lvlText w:val="%7."/>
      <w:lvlJc w:val="left"/>
      <w:pPr>
        <w:tabs>
          <w:tab w:val="num" w:pos="29160"/>
        </w:tabs>
        <w:ind w:left="29160" w:hanging="360"/>
      </w:pPr>
    </w:lvl>
    <w:lvl w:ilvl="7" w:tentative="1">
      <w:start w:val="1"/>
      <w:numFmt w:val="lowerLetter"/>
      <w:lvlText w:val="%8."/>
      <w:lvlJc w:val="left"/>
      <w:pPr>
        <w:tabs>
          <w:tab w:val="num" w:pos="29880"/>
        </w:tabs>
        <w:ind w:left="29880" w:hanging="360"/>
      </w:pPr>
    </w:lvl>
    <w:lvl w:ilvl="8" w:tentative="1">
      <w:start w:val="1"/>
      <w:numFmt w:val="lowerRoman"/>
      <w:lvlText w:val="%9."/>
      <w:lvlJc w:val="right"/>
      <w:pPr>
        <w:tabs>
          <w:tab w:val="num" w:pos="30600"/>
        </w:tabs>
        <w:ind w:left="30600" w:hanging="180"/>
      </w:pPr>
    </w:lvl>
  </w:abstractNum>
  <w:abstractNum w:abstractNumId="3">
    <w:nsid w:val="15FF140A"/>
    <w:multiLevelType w:val="hybridMultilevel"/>
    <w:tmpl w:val="DECA9992"/>
    <w:lvl w:ilvl="0">
      <w:start w:val="1"/>
      <w:numFmt w:val="lowerLetter"/>
      <w:lvlText w:val="%1."/>
      <w:lvlJc w:val="left"/>
      <w:pPr>
        <w:tabs>
          <w:tab w:val="num" w:pos="2520"/>
        </w:tabs>
        <w:ind w:left="2520" w:hanging="360"/>
      </w:pPr>
      <w:rPr>
        <w:rFonts w:hint="default"/>
        <w:b/>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
    <w:nsid w:val="18D601BA"/>
    <w:multiLevelType w:val="hybridMultilevel"/>
    <w:tmpl w:val="6F6CE4EA"/>
    <w:lvl w:ilvl="0">
      <w:start w:val="16"/>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0285AF5"/>
    <w:multiLevelType w:val="hybridMultilevel"/>
    <w:tmpl w:val="BF769E0E"/>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270A5E69"/>
    <w:multiLevelType w:val="hybridMultilevel"/>
    <w:tmpl w:val="3D80A4D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
    <w:nsid w:val="32B3306C"/>
    <w:multiLevelType w:val="hybridMultilevel"/>
    <w:tmpl w:val="9C609F50"/>
    <w:lvl w:ilvl="0">
      <w:start w:val="2"/>
      <w:numFmt w:val="decimal"/>
      <w:lvlText w:val="%1."/>
      <w:lvlJc w:val="left"/>
      <w:pPr>
        <w:tabs>
          <w:tab w:val="num" w:pos="1815"/>
        </w:tabs>
        <w:ind w:left="1815" w:hanging="1095"/>
      </w:pPr>
      <w:rPr>
        <w:rFonts w:hint="default"/>
        <w:b/>
      </w:r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nsid w:val="3D3B395D"/>
    <w:multiLevelType w:val="hybridMultilevel"/>
    <w:tmpl w:val="D37CD8E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1D11FF3"/>
    <w:multiLevelType w:val="hybridMultilevel"/>
    <w:tmpl w:val="D29B6F6A"/>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48F803E2"/>
    <w:multiLevelType w:val="hybridMultilevel"/>
    <w:tmpl w:val="0BE239CA"/>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54381D49"/>
    <w:multiLevelType w:val="hybridMultilevel"/>
    <w:tmpl w:val="56A0902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56F06CC6"/>
    <w:multiLevelType w:val="hybridMultilevel"/>
    <w:tmpl w:val="A038F154"/>
    <w:lvl w:ilvl="0">
      <w:start w:val="1"/>
      <w:numFmt w:val="decimal"/>
      <w:lvlText w:val="(%1)"/>
      <w:lvlJc w:val="left"/>
      <w:pPr>
        <w:tabs>
          <w:tab w:val="num" w:pos="1155"/>
        </w:tabs>
        <w:ind w:left="1155" w:hanging="435"/>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nsid w:val="59E7312B"/>
    <w:multiLevelType w:val="hybridMultilevel"/>
    <w:tmpl w:val="2C68D9A6"/>
    <w:lvl w:ilvl="0">
      <w:start w:val="6"/>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nsid w:val="5EE719D3"/>
    <w:multiLevelType w:val="hybridMultilevel"/>
    <w:tmpl w:val="B9A2F77C"/>
    <w:lvl w:ilvl="0">
      <w:start w:val="1"/>
      <w:numFmt w:val="decimal"/>
      <w:pStyle w:val="FERCparanumber"/>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6CE18228"/>
    <w:multiLevelType w:val="hybridMultilevel"/>
    <w:tmpl w:val="9A7EF4B6"/>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
    <w:nsid w:val="74175FA3"/>
    <w:multiLevelType w:val="hybridMultilevel"/>
    <w:tmpl w:val="C144F9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E4A5A00"/>
    <w:multiLevelType w:val="hybridMultilevel"/>
    <w:tmpl w:val="E267F0BF"/>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1506507378">
    <w:abstractNumId w:val="14"/>
  </w:num>
  <w:num w:numId="2" w16cid:durableId="1782455301">
    <w:abstractNumId w:val="7"/>
  </w:num>
  <w:num w:numId="3" w16cid:durableId="1257205678">
    <w:abstractNumId w:val="13"/>
  </w:num>
  <w:num w:numId="4" w16cid:durableId="1796100390">
    <w:abstractNumId w:val="2"/>
  </w:num>
  <w:num w:numId="5" w16cid:durableId="1865753927">
    <w:abstractNumId w:val="4"/>
  </w:num>
  <w:num w:numId="6" w16cid:durableId="1352607267">
    <w:abstractNumId w:val="10"/>
  </w:num>
  <w:num w:numId="7" w16cid:durableId="1723946289">
    <w:abstractNumId w:val="3"/>
  </w:num>
  <w:num w:numId="8" w16cid:durableId="1041973384">
    <w:abstractNumId w:val="12"/>
  </w:num>
  <w:num w:numId="9" w16cid:durableId="1750687885">
    <w:abstractNumId w:val="5"/>
  </w:num>
  <w:num w:numId="10" w16cid:durableId="987514878">
    <w:abstractNumId w:val="15"/>
  </w:num>
  <w:num w:numId="11" w16cid:durableId="71977577">
    <w:abstractNumId w:val="17"/>
  </w:num>
  <w:num w:numId="12" w16cid:durableId="127212285">
    <w:abstractNumId w:val="0"/>
  </w:num>
  <w:num w:numId="13" w16cid:durableId="1434476046">
    <w:abstractNumId w:val="1"/>
  </w:num>
  <w:num w:numId="14" w16cid:durableId="2083719450">
    <w:abstractNumId w:val="9"/>
  </w:num>
  <w:num w:numId="15" w16cid:durableId="1752117284">
    <w:abstractNumId w:val="11"/>
  </w:num>
  <w:num w:numId="16" w16cid:durableId="268971054">
    <w:abstractNumId w:val="6"/>
  </w:num>
  <w:num w:numId="17" w16cid:durableId="1897280607">
    <w:abstractNumId w:val="8"/>
  </w:num>
  <w:num w:numId="18" w16cid:durableId="2651909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41B"/>
    <w:rsid w:val="00000363"/>
    <w:rsid w:val="00000E56"/>
    <w:rsid w:val="00001A60"/>
    <w:rsid w:val="00002B47"/>
    <w:rsid w:val="00002FFB"/>
    <w:rsid w:val="00004715"/>
    <w:rsid w:val="00005A6A"/>
    <w:rsid w:val="0000646C"/>
    <w:rsid w:val="00007461"/>
    <w:rsid w:val="00010709"/>
    <w:rsid w:val="00010F9E"/>
    <w:rsid w:val="00012456"/>
    <w:rsid w:val="00012C95"/>
    <w:rsid w:val="00012F33"/>
    <w:rsid w:val="00013533"/>
    <w:rsid w:val="00016043"/>
    <w:rsid w:val="00017112"/>
    <w:rsid w:val="000178F8"/>
    <w:rsid w:val="00021144"/>
    <w:rsid w:val="00021C4B"/>
    <w:rsid w:val="000222D5"/>
    <w:rsid w:val="00026CFB"/>
    <w:rsid w:val="00027DC3"/>
    <w:rsid w:val="0003097E"/>
    <w:rsid w:val="000317A1"/>
    <w:rsid w:val="00033652"/>
    <w:rsid w:val="000356C4"/>
    <w:rsid w:val="00040B30"/>
    <w:rsid w:val="00041919"/>
    <w:rsid w:val="0004337C"/>
    <w:rsid w:val="00043F30"/>
    <w:rsid w:val="000446C0"/>
    <w:rsid w:val="00045684"/>
    <w:rsid w:val="00046D56"/>
    <w:rsid w:val="000505EB"/>
    <w:rsid w:val="0005088D"/>
    <w:rsid w:val="0005159C"/>
    <w:rsid w:val="000515DB"/>
    <w:rsid w:val="000521BF"/>
    <w:rsid w:val="00052C67"/>
    <w:rsid w:val="000536CE"/>
    <w:rsid w:val="00056B57"/>
    <w:rsid w:val="00060041"/>
    <w:rsid w:val="0006213B"/>
    <w:rsid w:val="00062746"/>
    <w:rsid w:val="000637B3"/>
    <w:rsid w:val="00065808"/>
    <w:rsid w:val="00073790"/>
    <w:rsid w:val="00076AE2"/>
    <w:rsid w:val="000818B7"/>
    <w:rsid w:val="00081E83"/>
    <w:rsid w:val="00081F3A"/>
    <w:rsid w:val="00082F14"/>
    <w:rsid w:val="000841A8"/>
    <w:rsid w:val="00084D9D"/>
    <w:rsid w:val="0008557F"/>
    <w:rsid w:val="00087FF0"/>
    <w:rsid w:val="000903C1"/>
    <w:rsid w:val="00091110"/>
    <w:rsid w:val="00094779"/>
    <w:rsid w:val="0009760A"/>
    <w:rsid w:val="000A0764"/>
    <w:rsid w:val="000A1237"/>
    <w:rsid w:val="000A77D2"/>
    <w:rsid w:val="000B2D7B"/>
    <w:rsid w:val="000B2F75"/>
    <w:rsid w:val="000B48AE"/>
    <w:rsid w:val="000B603A"/>
    <w:rsid w:val="000B746B"/>
    <w:rsid w:val="000C0490"/>
    <w:rsid w:val="000C12A0"/>
    <w:rsid w:val="000C3447"/>
    <w:rsid w:val="000C772D"/>
    <w:rsid w:val="000D1AA2"/>
    <w:rsid w:val="000D62B6"/>
    <w:rsid w:val="000D65EF"/>
    <w:rsid w:val="000D6A7D"/>
    <w:rsid w:val="000D7294"/>
    <w:rsid w:val="000D7724"/>
    <w:rsid w:val="000D7C85"/>
    <w:rsid w:val="000E0677"/>
    <w:rsid w:val="000E10F7"/>
    <w:rsid w:val="000E25FE"/>
    <w:rsid w:val="000E3740"/>
    <w:rsid w:val="000E3C9A"/>
    <w:rsid w:val="000E7706"/>
    <w:rsid w:val="000F0C44"/>
    <w:rsid w:val="000F1984"/>
    <w:rsid w:val="000F2028"/>
    <w:rsid w:val="000F285F"/>
    <w:rsid w:val="000F4D2A"/>
    <w:rsid w:val="000F51D8"/>
    <w:rsid w:val="000F652D"/>
    <w:rsid w:val="000F7368"/>
    <w:rsid w:val="00105DF4"/>
    <w:rsid w:val="001117C2"/>
    <w:rsid w:val="00111D7B"/>
    <w:rsid w:val="00112165"/>
    <w:rsid w:val="0011326F"/>
    <w:rsid w:val="001137E9"/>
    <w:rsid w:val="001144BE"/>
    <w:rsid w:val="001178F6"/>
    <w:rsid w:val="00120591"/>
    <w:rsid w:val="0012164F"/>
    <w:rsid w:val="0012166C"/>
    <w:rsid w:val="001216AC"/>
    <w:rsid w:val="00121B59"/>
    <w:rsid w:val="00124C55"/>
    <w:rsid w:val="001261D4"/>
    <w:rsid w:val="00126CA1"/>
    <w:rsid w:val="00130B16"/>
    <w:rsid w:val="00130E0A"/>
    <w:rsid w:val="0013324A"/>
    <w:rsid w:val="00135FB3"/>
    <w:rsid w:val="00140B74"/>
    <w:rsid w:val="0014112C"/>
    <w:rsid w:val="0014123A"/>
    <w:rsid w:val="00142A35"/>
    <w:rsid w:val="00143007"/>
    <w:rsid w:val="00143200"/>
    <w:rsid w:val="001437C8"/>
    <w:rsid w:val="00144F33"/>
    <w:rsid w:val="001465D9"/>
    <w:rsid w:val="0014696E"/>
    <w:rsid w:val="00150BC2"/>
    <w:rsid w:val="00151456"/>
    <w:rsid w:val="00152123"/>
    <w:rsid w:val="00152AFE"/>
    <w:rsid w:val="00152F33"/>
    <w:rsid w:val="00152FA5"/>
    <w:rsid w:val="00156B00"/>
    <w:rsid w:val="00156B03"/>
    <w:rsid w:val="0015749E"/>
    <w:rsid w:val="001575D5"/>
    <w:rsid w:val="001612F8"/>
    <w:rsid w:val="00162E14"/>
    <w:rsid w:val="001630DC"/>
    <w:rsid w:val="001644A0"/>
    <w:rsid w:val="001644A3"/>
    <w:rsid w:val="0016491A"/>
    <w:rsid w:val="00166462"/>
    <w:rsid w:val="00171CB2"/>
    <w:rsid w:val="00173047"/>
    <w:rsid w:val="0017413C"/>
    <w:rsid w:val="0018066C"/>
    <w:rsid w:val="001809C5"/>
    <w:rsid w:val="00181179"/>
    <w:rsid w:val="001817AD"/>
    <w:rsid w:val="00181B23"/>
    <w:rsid w:val="001827BF"/>
    <w:rsid w:val="00182967"/>
    <w:rsid w:val="00182E32"/>
    <w:rsid w:val="0018303F"/>
    <w:rsid w:val="001873FE"/>
    <w:rsid w:val="0018747B"/>
    <w:rsid w:val="00192270"/>
    <w:rsid w:val="00196226"/>
    <w:rsid w:val="00197F8F"/>
    <w:rsid w:val="001A007E"/>
    <w:rsid w:val="001A35BC"/>
    <w:rsid w:val="001A4496"/>
    <w:rsid w:val="001A496C"/>
    <w:rsid w:val="001A6698"/>
    <w:rsid w:val="001A76AB"/>
    <w:rsid w:val="001A76CF"/>
    <w:rsid w:val="001B00E6"/>
    <w:rsid w:val="001B06D4"/>
    <w:rsid w:val="001B15A7"/>
    <w:rsid w:val="001B4702"/>
    <w:rsid w:val="001B5147"/>
    <w:rsid w:val="001B643B"/>
    <w:rsid w:val="001B7A77"/>
    <w:rsid w:val="001C0C2E"/>
    <w:rsid w:val="001C0D59"/>
    <w:rsid w:val="001C7E97"/>
    <w:rsid w:val="001D4A35"/>
    <w:rsid w:val="001D4E11"/>
    <w:rsid w:val="001D7CA4"/>
    <w:rsid w:val="001E00FC"/>
    <w:rsid w:val="001E10EA"/>
    <w:rsid w:val="001E1A33"/>
    <w:rsid w:val="001E4E81"/>
    <w:rsid w:val="001E6077"/>
    <w:rsid w:val="001F22E7"/>
    <w:rsid w:val="001F40C3"/>
    <w:rsid w:val="001F4264"/>
    <w:rsid w:val="00204BD0"/>
    <w:rsid w:val="0020642E"/>
    <w:rsid w:val="00206639"/>
    <w:rsid w:val="002069A8"/>
    <w:rsid w:val="00206BB3"/>
    <w:rsid w:val="00207676"/>
    <w:rsid w:val="00207C5A"/>
    <w:rsid w:val="00207DC8"/>
    <w:rsid w:val="00211146"/>
    <w:rsid w:val="002119FB"/>
    <w:rsid w:val="00214318"/>
    <w:rsid w:val="00214610"/>
    <w:rsid w:val="002154BE"/>
    <w:rsid w:val="00217B93"/>
    <w:rsid w:val="00217BBB"/>
    <w:rsid w:val="00222CFC"/>
    <w:rsid w:val="00223F01"/>
    <w:rsid w:val="00226598"/>
    <w:rsid w:val="00226D28"/>
    <w:rsid w:val="00230220"/>
    <w:rsid w:val="00231BB7"/>
    <w:rsid w:val="002323AB"/>
    <w:rsid w:val="0023772B"/>
    <w:rsid w:val="00240632"/>
    <w:rsid w:val="0024121D"/>
    <w:rsid w:val="00242D03"/>
    <w:rsid w:val="0024436C"/>
    <w:rsid w:val="00244715"/>
    <w:rsid w:val="00244CC1"/>
    <w:rsid w:val="00245529"/>
    <w:rsid w:val="00246703"/>
    <w:rsid w:val="00252D14"/>
    <w:rsid w:val="002561B9"/>
    <w:rsid w:val="00260F32"/>
    <w:rsid w:val="00261F7F"/>
    <w:rsid w:val="00263093"/>
    <w:rsid w:val="0026611F"/>
    <w:rsid w:val="002677EF"/>
    <w:rsid w:val="00270F2B"/>
    <w:rsid w:val="0027117C"/>
    <w:rsid w:val="0027232A"/>
    <w:rsid w:val="00274C0D"/>
    <w:rsid w:val="00280494"/>
    <w:rsid w:val="0028075E"/>
    <w:rsid w:val="002832DA"/>
    <w:rsid w:val="002835ED"/>
    <w:rsid w:val="00283D03"/>
    <w:rsid w:val="002850FF"/>
    <w:rsid w:val="002861B6"/>
    <w:rsid w:val="00291FE6"/>
    <w:rsid w:val="00293003"/>
    <w:rsid w:val="0029437C"/>
    <w:rsid w:val="0029499F"/>
    <w:rsid w:val="002A028B"/>
    <w:rsid w:val="002A2342"/>
    <w:rsid w:val="002A2918"/>
    <w:rsid w:val="002A43A4"/>
    <w:rsid w:val="002A64EE"/>
    <w:rsid w:val="002A756F"/>
    <w:rsid w:val="002B552F"/>
    <w:rsid w:val="002B62A0"/>
    <w:rsid w:val="002B6CE1"/>
    <w:rsid w:val="002C0D75"/>
    <w:rsid w:val="002C0ECB"/>
    <w:rsid w:val="002C12FC"/>
    <w:rsid w:val="002C1DAC"/>
    <w:rsid w:val="002C48E7"/>
    <w:rsid w:val="002C558A"/>
    <w:rsid w:val="002D006E"/>
    <w:rsid w:val="002D2879"/>
    <w:rsid w:val="002D4086"/>
    <w:rsid w:val="002D46F0"/>
    <w:rsid w:val="002D4EC2"/>
    <w:rsid w:val="002E069A"/>
    <w:rsid w:val="002E1BC3"/>
    <w:rsid w:val="002E3D93"/>
    <w:rsid w:val="002E51DE"/>
    <w:rsid w:val="002E57FB"/>
    <w:rsid w:val="002E768D"/>
    <w:rsid w:val="002E7CF3"/>
    <w:rsid w:val="002F05EC"/>
    <w:rsid w:val="002F0A06"/>
    <w:rsid w:val="002F0BD5"/>
    <w:rsid w:val="002F1A9A"/>
    <w:rsid w:val="002F28D4"/>
    <w:rsid w:val="002F6E9E"/>
    <w:rsid w:val="00302481"/>
    <w:rsid w:val="00302B8E"/>
    <w:rsid w:val="00303779"/>
    <w:rsid w:val="00305758"/>
    <w:rsid w:val="00306301"/>
    <w:rsid w:val="003063A4"/>
    <w:rsid w:val="00307748"/>
    <w:rsid w:val="003078D4"/>
    <w:rsid w:val="003078DD"/>
    <w:rsid w:val="003147E9"/>
    <w:rsid w:val="003153C4"/>
    <w:rsid w:val="00317F6A"/>
    <w:rsid w:val="003200B8"/>
    <w:rsid w:val="003215A7"/>
    <w:rsid w:val="003217CF"/>
    <w:rsid w:val="00322511"/>
    <w:rsid w:val="0033774F"/>
    <w:rsid w:val="003377D5"/>
    <w:rsid w:val="00337993"/>
    <w:rsid w:val="003421DE"/>
    <w:rsid w:val="00344460"/>
    <w:rsid w:val="00345650"/>
    <w:rsid w:val="00345D0C"/>
    <w:rsid w:val="003517F8"/>
    <w:rsid w:val="00353F93"/>
    <w:rsid w:val="003558D2"/>
    <w:rsid w:val="003564A5"/>
    <w:rsid w:val="00356954"/>
    <w:rsid w:val="00357C43"/>
    <w:rsid w:val="003600A3"/>
    <w:rsid w:val="00363D30"/>
    <w:rsid w:val="003641A4"/>
    <w:rsid w:val="003660A1"/>
    <w:rsid w:val="00366330"/>
    <w:rsid w:val="00367FD7"/>
    <w:rsid w:val="00370613"/>
    <w:rsid w:val="003707BE"/>
    <w:rsid w:val="003714DE"/>
    <w:rsid w:val="00371FE9"/>
    <w:rsid w:val="003735B7"/>
    <w:rsid w:val="003747FD"/>
    <w:rsid w:val="00375625"/>
    <w:rsid w:val="00376893"/>
    <w:rsid w:val="00377DAF"/>
    <w:rsid w:val="00377FD7"/>
    <w:rsid w:val="00380A8B"/>
    <w:rsid w:val="003840C6"/>
    <w:rsid w:val="0038584E"/>
    <w:rsid w:val="00387D9F"/>
    <w:rsid w:val="00390518"/>
    <w:rsid w:val="003910C0"/>
    <w:rsid w:val="00391F34"/>
    <w:rsid w:val="003950FD"/>
    <w:rsid w:val="00396D51"/>
    <w:rsid w:val="00397224"/>
    <w:rsid w:val="003A0AB1"/>
    <w:rsid w:val="003A1D7A"/>
    <w:rsid w:val="003A2F16"/>
    <w:rsid w:val="003A3FB5"/>
    <w:rsid w:val="003A429A"/>
    <w:rsid w:val="003A6A44"/>
    <w:rsid w:val="003A7313"/>
    <w:rsid w:val="003B0489"/>
    <w:rsid w:val="003B2E64"/>
    <w:rsid w:val="003B7EED"/>
    <w:rsid w:val="003C120B"/>
    <w:rsid w:val="003C1F91"/>
    <w:rsid w:val="003C33A5"/>
    <w:rsid w:val="003C43FB"/>
    <w:rsid w:val="003C5BBF"/>
    <w:rsid w:val="003D3040"/>
    <w:rsid w:val="003D77C3"/>
    <w:rsid w:val="003E19AF"/>
    <w:rsid w:val="003E3C7E"/>
    <w:rsid w:val="003E5AEE"/>
    <w:rsid w:val="003E742E"/>
    <w:rsid w:val="003F0178"/>
    <w:rsid w:val="003F3330"/>
    <w:rsid w:val="003F35D5"/>
    <w:rsid w:val="003F4092"/>
    <w:rsid w:val="003F4AAC"/>
    <w:rsid w:val="00400101"/>
    <w:rsid w:val="00400271"/>
    <w:rsid w:val="00401A8E"/>
    <w:rsid w:val="00405933"/>
    <w:rsid w:val="00405A82"/>
    <w:rsid w:val="004063CE"/>
    <w:rsid w:val="00406959"/>
    <w:rsid w:val="00406DBA"/>
    <w:rsid w:val="00407010"/>
    <w:rsid w:val="004103A0"/>
    <w:rsid w:val="00411626"/>
    <w:rsid w:val="00412248"/>
    <w:rsid w:val="004127D0"/>
    <w:rsid w:val="00412EC0"/>
    <w:rsid w:val="0041485E"/>
    <w:rsid w:val="0041677A"/>
    <w:rsid w:val="004179C8"/>
    <w:rsid w:val="00420560"/>
    <w:rsid w:val="0042183B"/>
    <w:rsid w:val="004237DF"/>
    <w:rsid w:val="00423B8C"/>
    <w:rsid w:val="00426BD5"/>
    <w:rsid w:val="0042746E"/>
    <w:rsid w:val="00427BBB"/>
    <w:rsid w:val="00431982"/>
    <w:rsid w:val="00435FF2"/>
    <w:rsid w:val="004405BF"/>
    <w:rsid w:val="00441AA9"/>
    <w:rsid w:val="0044342B"/>
    <w:rsid w:val="00443646"/>
    <w:rsid w:val="00444881"/>
    <w:rsid w:val="00450921"/>
    <w:rsid w:val="00451521"/>
    <w:rsid w:val="0045481D"/>
    <w:rsid w:val="00454F4D"/>
    <w:rsid w:val="0046023F"/>
    <w:rsid w:val="0046046E"/>
    <w:rsid w:val="0046104B"/>
    <w:rsid w:val="00461427"/>
    <w:rsid w:val="004620FA"/>
    <w:rsid w:val="004626E6"/>
    <w:rsid w:val="00464372"/>
    <w:rsid w:val="00465410"/>
    <w:rsid w:val="00470CBD"/>
    <w:rsid w:val="00470DC8"/>
    <w:rsid w:val="00471DB2"/>
    <w:rsid w:val="00472307"/>
    <w:rsid w:val="004808E2"/>
    <w:rsid w:val="004814E2"/>
    <w:rsid w:val="00481A3E"/>
    <w:rsid w:val="0048375B"/>
    <w:rsid w:val="00483D2D"/>
    <w:rsid w:val="00484A3B"/>
    <w:rsid w:val="00484B8A"/>
    <w:rsid w:val="00486CFB"/>
    <w:rsid w:val="00487256"/>
    <w:rsid w:val="00487C5C"/>
    <w:rsid w:val="004926FF"/>
    <w:rsid w:val="00493995"/>
    <w:rsid w:val="0049446B"/>
    <w:rsid w:val="00495050"/>
    <w:rsid w:val="00495552"/>
    <w:rsid w:val="004956D8"/>
    <w:rsid w:val="0049657A"/>
    <w:rsid w:val="00496EA8"/>
    <w:rsid w:val="004979A6"/>
    <w:rsid w:val="004A00E2"/>
    <w:rsid w:val="004A1449"/>
    <w:rsid w:val="004A2F0F"/>
    <w:rsid w:val="004A362D"/>
    <w:rsid w:val="004A43CC"/>
    <w:rsid w:val="004B05F7"/>
    <w:rsid w:val="004B0791"/>
    <w:rsid w:val="004B46A3"/>
    <w:rsid w:val="004B4EF4"/>
    <w:rsid w:val="004C11C4"/>
    <w:rsid w:val="004C352A"/>
    <w:rsid w:val="004C6CC5"/>
    <w:rsid w:val="004C715D"/>
    <w:rsid w:val="004D026E"/>
    <w:rsid w:val="004D1FFC"/>
    <w:rsid w:val="004D5C73"/>
    <w:rsid w:val="004E0D31"/>
    <w:rsid w:val="004E2BF1"/>
    <w:rsid w:val="004E5D48"/>
    <w:rsid w:val="004E7782"/>
    <w:rsid w:val="004F1164"/>
    <w:rsid w:val="004F15BA"/>
    <w:rsid w:val="004F3304"/>
    <w:rsid w:val="004F41D7"/>
    <w:rsid w:val="004F5B8F"/>
    <w:rsid w:val="004F67DA"/>
    <w:rsid w:val="004F782A"/>
    <w:rsid w:val="00501B2D"/>
    <w:rsid w:val="00504289"/>
    <w:rsid w:val="00506EC4"/>
    <w:rsid w:val="00512FB8"/>
    <w:rsid w:val="005134C9"/>
    <w:rsid w:val="005154D6"/>
    <w:rsid w:val="00516EAB"/>
    <w:rsid w:val="005172C6"/>
    <w:rsid w:val="005219CF"/>
    <w:rsid w:val="00523E93"/>
    <w:rsid w:val="00524507"/>
    <w:rsid w:val="00524ACB"/>
    <w:rsid w:val="00525B7E"/>
    <w:rsid w:val="00532DB1"/>
    <w:rsid w:val="00532DDA"/>
    <w:rsid w:val="0053310C"/>
    <w:rsid w:val="00533CF9"/>
    <w:rsid w:val="00533E86"/>
    <w:rsid w:val="0053474F"/>
    <w:rsid w:val="0053542D"/>
    <w:rsid w:val="0053577B"/>
    <w:rsid w:val="00536065"/>
    <w:rsid w:val="0054022C"/>
    <w:rsid w:val="0054122A"/>
    <w:rsid w:val="00541EB8"/>
    <w:rsid w:val="00543D6D"/>
    <w:rsid w:val="0054477B"/>
    <w:rsid w:val="005448D8"/>
    <w:rsid w:val="005463DB"/>
    <w:rsid w:val="005475F7"/>
    <w:rsid w:val="00550794"/>
    <w:rsid w:val="00556AC8"/>
    <w:rsid w:val="005573F3"/>
    <w:rsid w:val="005607C9"/>
    <w:rsid w:val="005611A6"/>
    <w:rsid w:val="00561335"/>
    <w:rsid w:val="00562389"/>
    <w:rsid w:val="0056274A"/>
    <w:rsid w:val="00563876"/>
    <w:rsid w:val="00563F43"/>
    <w:rsid w:val="005643C5"/>
    <w:rsid w:val="0056623B"/>
    <w:rsid w:val="00567FC5"/>
    <w:rsid w:val="005738A0"/>
    <w:rsid w:val="00576897"/>
    <w:rsid w:val="0057746D"/>
    <w:rsid w:val="00577AB2"/>
    <w:rsid w:val="0058061F"/>
    <w:rsid w:val="005820A9"/>
    <w:rsid w:val="005838B4"/>
    <w:rsid w:val="00583E7C"/>
    <w:rsid w:val="00584833"/>
    <w:rsid w:val="00584E02"/>
    <w:rsid w:val="005916D2"/>
    <w:rsid w:val="005939C1"/>
    <w:rsid w:val="00593A8A"/>
    <w:rsid w:val="00596032"/>
    <w:rsid w:val="00596216"/>
    <w:rsid w:val="005A4901"/>
    <w:rsid w:val="005A5B54"/>
    <w:rsid w:val="005A675D"/>
    <w:rsid w:val="005B3DE7"/>
    <w:rsid w:val="005B500A"/>
    <w:rsid w:val="005B5E21"/>
    <w:rsid w:val="005B629A"/>
    <w:rsid w:val="005B774B"/>
    <w:rsid w:val="005C0E05"/>
    <w:rsid w:val="005C10C9"/>
    <w:rsid w:val="005C12A4"/>
    <w:rsid w:val="005C1AED"/>
    <w:rsid w:val="005C1C67"/>
    <w:rsid w:val="005C4B20"/>
    <w:rsid w:val="005C55ED"/>
    <w:rsid w:val="005C68CA"/>
    <w:rsid w:val="005C6B50"/>
    <w:rsid w:val="005D0285"/>
    <w:rsid w:val="005D0CDE"/>
    <w:rsid w:val="005D3558"/>
    <w:rsid w:val="005D3C29"/>
    <w:rsid w:val="005D6D83"/>
    <w:rsid w:val="005E01D4"/>
    <w:rsid w:val="005E513B"/>
    <w:rsid w:val="005E7B49"/>
    <w:rsid w:val="005F2054"/>
    <w:rsid w:val="005F2929"/>
    <w:rsid w:val="005F2DDF"/>
    <w:rsid w:val="005F320D"/>
    <w:rsid w:val="005F4A17"/>
    <w:rsid w:val="005F5746"/>
    <w:rsid w:val="005F5B69"/>
    <w:rsid w:val="005F6C60"/>
    <w:rsid w:val="005F700E"/>
    <w:rsid w:val="005F796A"/>
    <w:rsid w:val="006006AC"/>
    <w:rsid w:val="006016BF"/>
    <w:rsid w:val="006022D7"/>
    <w:rsid w:val="00602606"/>
    <w:rsid w:val="00604A67"/>
    <w:rsid w:val="00604DA0"/>
    <w:rsid w:val="00604E58"/>
    <w:rsid w:val="006071F8"/>
    <w:rsid w:val="0061119B"/>
    <w:rsid w:val="00612C90"/>
    <w:rsid w:val="00614374"/>
    <w:rsid w:val="00615E89"/>
    <w:rsid w:val="00616ACA"/>
    <w:rsid w:val="00617678"/>
    <w:rsid w:val="00620FD4"/>
    <w:rsid w:val="00623688"/>
    <w:rsid w:val="0062370A"/>
    <w:rsid w:val="00623F94"/>
    <w:rsid w:val="006243CC"/>
    <w:rsid w:val="00625C24"/>
    <w:rsid w:val="00625E46"/>
    <w:rsid w:val="0063011A"/>
    <w:rsid w:val="006322DD"/>
    <w:rsid w:val="00633A78"/>
    <w:rsid w:val="006347C0"/>
    <w:rsid w:val="0063541B"/>
    <w:rsid w:val="0063692D"/>
    <w:rsid w:val="00637DDD"/>
    <w:rsid w:val="0064704F"/>
    <w:rsid w:val="00647951"/>
    <w:rsid w:val="00650ACC"/>
    <w:rsid w:val="006531D6"/>
    <w:rsid w:val="00653DCD"/>
    <w:rsid w:val="006562D9"/>
    <w:rsid w:val="006571FF"/>
    <w:rsid w:val="0066040D"/>
    <w:rsid w:val="00660E00"/>
    <w:rsid w:val="00661999"/>
    <w:rsid w:val="00661EED"/>
    <w:rsid w:val="00662710"/>
    <w:rsid w:val="006661D3"/>
    <w:rsid w:val="0066711C"/>
    <w:rsid w:val="00670B59"/>
    <w:rsid w:val="00671B10"/>
    <w:rsid w:val="0067250E"/>
    <w:rsid w:val="006725DA"/>
    <w:rsid w:val="00674A7C"/>
    <w:rsid w:val="00683538"/>
    <w:rsid w:val="006861E1"/>
    <w:rsid w:val="00686250"/>
    <w:rsid w:val="00690A8D"/>
    <w:rsid w:val="006914F3"/>
    <w:rsid w:val="0069287A"/>
    <w:rsid w:val="00692EFE"/>
    <w:rsid w:val="00693BAF"/>
    <w:rsid w:val="0069412C"/>
    <w:rsid w:val="00694A73"/>
    <w:rsid w:val="006965F8"/>
    <w:rsid w:val="00696BDA"/>
    <w:rsid w:val="00697B54"/>
    <w:rsid w:val="006A2ABF"/>
    <w:rsid w:val="006A4285"/>
    <w:rsid w:val="006A53D8"/>
    <w:rsid w:val="006A5BFE"/>
    <w:rsid w:val="006A6533"/>
    <w:rsid w:val="006B0205"/>
    <w:rsid w:val="006B0402"/>
    <w:rsid w:val="006B11A4"/>
    <w:rsid w:val="006B200C"/>
    <w:rsid w:val="006B2BE2"/>
    <w:rsid w:val="006B4206"/>
    <w:rsid w:val="006B4C3F"/>
    <w:rsid w:val="006B6A9B"/>
    <w:rsid w:val="006B70DF"/>
    <w:rsid w:val="006B71A4"/>
    <w:rsid w:val="006B7800"/>
    <w:rsid w:val="006C3153"/>
    <w:rsid w:val="006C31BD"/>
    <w:rsid w:val="006C4690"/>
    <w:rsid w:val="006C5B7B"/>
    <w:rsid w:val="006C6BC8"/>
    <w:rsid w:val="006C7D65"/>
    <w:rsid w:val="006D5678"/>
    <w:rsid w:val="006D5C1E"/>
    <w:rsid w:val="006D5CDC"/>
    <w:rsid w:val="006D6F07"/>
    <w:rsid w:val="006E2736"/>
    <w:rsid w:val="006E56E7"/>
    <w:rsid w:val="006F17A9"/>
    <w:rsid w:val="006F2ED9"/>
    <w:rsid w:val="006F5682"/>
    <w:rsid w:val="006F5C74"/>
    <w:rsid w:val="006F6478"/>
    <w:rsid w:val="006F76E1"/>
    <w:rsid w:val="006F7C84"/>
    <w:rsid w:val="006F7DA9"/>
    <w:rsid w:val="006F7F61"/>
    <w:rsid w:val="007028B3"/>
    <w:rsid w:val="00702A4D"/>
    <w:rsid w:val="0070318D"/>
    <w:rsid w:val="00703CD0"/>
    <w:rsid w:val="007052BD"/>
    <w:rsid w:val="0070582B"/>
    <w:rsid w:val="00706590"/>
    <w:rsid w:val="00706D2B"/>
    <w:rsid w:val="00710C5B"/>
    <w:rsid w:val="007119F7"/>
    <w:rsid w:val="007129A6"/>
    <w:rsid w:val="00714D85"/>
    <w:rsid w:val="007152BF"/>
    <w:rsid w:val="00721C06"/>
    <w:rsid w:val="00722DBC"/>
    <w:rsid w:val="007239F5"/>
    <w:rsid w:val="007251C2"/>
    <w:rsid w:val="00726047"/>
    <w:rsid w:val="0072643A"/>
    <w:rsid w:val="00730FBC"/>
    <w:rsid w:val="00731CBD"/>
    <w:rsid w:val="00732235"/>
    <w:rsid w:val="00732535"/>
    <w:rsid w:val="00732779"/>
    <w:rsid w:val="00732E8E"/>
    <w:rsid w:val="00733C05"/>
    <w:rsid w:val="00737F36"/>
    <w:rsid w:val="00741864"/>
    <w:rsid w:val="00742267"/>
    <w:rsid w:val="00744765"/>
    <w:rsid w:val="00744FF8"/>
    <w:rsid w:val="0074688A"/>
    <w:rsid w:val="0075010F"/>
    <w:rsid w:val="007503D1"/>
    <w:rsid w:val="00751054"/>
    <w:rsid w:val="00751D4F"/>
    <w:rsid w:val="007531D9"/>
    <w:rsid w:val="007546C3"/>
    <w:rsid w:val="00757ABF"/>
    <w:rsid w:val="00757B8C"/>
    <w:rsid w:val="00760E29"/>
    <w:rsid w:val="00764BA4"/>
    <w:rsid w:val="007653B0"/>
    <w:rsid w:val="00765980"/>
    <w:rsid w:val="00766850"/>
    <w:rsid w:val="00767146"/>
    <w:rsid w:val="00767464"/>
    <w:rsid w:val="007676F9"/>
    <w:rsid w:val="00772A21"/>
    <w:rsid w:val="00773922"/>
    <w:rsid w:val="00774137"/>
    <w:rsid w:val="00774F79"/>
    <w:rsid w:val="00775B42"/>
    <w:rsid w:val="00775E68"/>
    <w:rsid w:val="007767A9"/>
    <w:rsid w:val="00777446"/>
    <w:rsid w:val="007776A6"/>
    <w:rsid w:val="007822C4"/>
    <w:rsid w:val="0078241C"/>
    <w:rsid w:val="007872D2"/>
    <w:rsid w:val="00787766"/>
    <w:rsid w:val="007924A3"/>
    <w:rsid w:val="00793159"/>
    <w:rsid w:val="00793699"/>
    <w:rsid w:val="007941E5"/>
    <w:rsid w:val="00794D00"/>
    <w:rsid w:val="00795FED"/>
    <w:rsid w:val="007965C3"/>
    <w:rsid w:val="007965FF"/>
    <w:rsid w:val="007A0C6E"/>
    <w:rsid w:val="007A22B7"/>
    <w:rsid w:val="007A2B36"/>
    <w:rsid w:val="007A416A"/>
    <w:rsid w:val="007A5F1B"/>
    <w:rsid w:val="007A73C2"/>
    <w:rsid w:val="007A7FA8"/>
    <w:rsid w:val="007B059B"/>
    <w:rsid w:val="007B160B"/>
    <w:rsid w:val="007B241B"/>
    <w:rsid w:val="007B26EC"/>
    <w:rsid w:val="007B501F"/>
    <w:rsid w:val="007B5683"/>
    <w:rsid w:val="007B5FA4"/>
    <w:rsid w:val="007B6040"/>
    <w:rsid w:val="007B742B"/>
    <w:rsid w:val="007C0665"/>
    <w:rsid w:val="007C0750"/>
    <w:rsid w:val="007C11A8"/>
    <w:rsid w:val="007C3607"/>
    <w:rsid w:val="007C3BD7"/>
    <w:rsid w:val="007C5354"/>
    <w:rsid w:val="007C559A"/>
    <w:rsid w:val="007C6DBF"/>
    <w:rsid w:val="007D26E5"/>
    <w:rsid w:val="007D3283"/>
    <w:rsid w:val="007D6A14"/>
    <w:rsid w:val="007D73E2"/>
    <w:rsid w:val="007E181A"/>
    <w:rsid w:val="007E1DA0"/>
    <w:rsid w:val="007E1EF1"/>
    <w:rsid w:val="007E2455"/>
    <w:rsid w:val="007E68EB"/>
    <w:rsid w:val="007F1BCD"/>
    <w:rsid w:val="007F774D"/>
    <w:rsid w:val="00801837"/>
    <w:rsid w:val="008031F9"/>
    <w:rsid w:val="00803BA3"/>
    <w:rsid w:val="00804657"/>
    <w:rsid w:val="008059B1"/>
    <w:rsid w:val="008059F5"/>
    <w:rsid w:val="00807B11"/>
    <w:rsid w:val="00807EE8"/>
    <w:rsid w:val="008141E2"/>
    <w:rsid w:val="008143F7"/>
    <w:rsid w:val="00815A3F"/>
    <w:rsid w:val="008166A6"/>
    <w:rsid w:val="0082030A"/>
    <w:rsid w:val="00820D5E"/>
    <w:rsid w:val="00821D54"/>
    <w:rsid w:val="008241D8"/>
    <w:rsid w:val="00824EF5"/>
    <w:rsid w:val="00824F4A"/>
    <w:rsid w:val="00825406"/>
    <w:rsid w:val="0082566B"/>
    <w:rsid w:val="008266F7"/>
    <w:rsid w:val="008308FC"/>
    <w:rsid w:val="00832116"/>
    <w:rsid w:val="008339D1"/>
    <w:rsid w:val="00834733"/>
    <w:rsid w:val="00835890"/>
    <w:rsid w:val="0083686A"/>
    <w:rsid w:val="008368A8"/>
    <w:rsid w:val="00837365"/>
    <w:rsid w:val="00837CD5"/>
    <w:rsid w:val="0084057F"/>
    <w:rsid w:val="00840681"/>
    <w:rsid w:val="008416A7"/>
    <w:rsid w:val="008449DF"/>
    <w:rsid w:val="0084540E"/>
    <w:rsid w:val="00851401"/>
    <w:rsid w:val="00853324"/>
    <w:rsid w:val="00853BF3"/>
    <w:rsid w:val="008544BC"/>
    <w:rsid w:val="00857C13"/>
    <w:rsid w:val="0086309F"/>
    <w:rsid w:val="0086311B"/>
    <w:rsid w:val="008654FD"/>
    <w:rsid w:val="00866A9B"/>
    <w:rsid w:val="00867F63"/>
    <w:rsid w:val="008700C2"/>
    <w:rsid w:val="00871B10"/>
    <w:rsid w:val="008736EB"/>
    <w:rsid w:val="0087571B"/>
    <w:rsid w:val="0087699F"/>
    <w:rsid w:val="008778C6"/>
    <w:rsid w:val="008811E7"/>
    <w:rsid w:val="008823E6"/>
    <w:rsid w:val="008825A5"/>
    <w:rsid w:val="00883133"/>
    <w:rsid w:val="00883F07"/>
    <w:rsid w:val="0088438E"/>
    <w:rsid w:val="008854B8"/>
    <w:rsid w:val="0089026C"/>
    <w:rsid w:val="00891178"/>
    <w:rsid w:val="00891376"/>
    <w:rsid w:val="00894DE8"/>
    <w:rsid w:val="00894FE3"/>
    <w:rsid w:val="008950E2"/>
    <w:rsid w:val="00895629"/>
    <w:rsid w:val="00897406"/>
    <w:rsid w:val="0089783A"/>
    <w:rsid w:val="00897A22"/>
    <w:rsid w:val="008A0FCE"/>
    <w:rsid w:val="008A52AE"/>
    <w:rsid w:val="008A5681"/>
    <w:rsid w:val="008A57C8"/>
    <w:rsid w:val="008A643C"/>
    <w:rsid w:val="008B0F73"/>
    <w:rsid w:val="008B2F87"/>
    <w:rsid w:val="008B383A"/>
    <w:rsid w:val="008B48F3"/>
    <w:rsid w:val="008B4C83"/>
    <w:rsid w:val="008B5057"/>
    <w:rsid w:val="008B59B5"/>
    <w:rsid w:val="008B6C3B"/>
    <w:rsid w:val="008B7AEA"/>
    <w:rsid w:val="008C52E7"/>
    <w:rsid w:val="008C5749"/>
    <w:rsid w:val="008D03D9"/>
    <w:rsid w:val="008D1F20"/>
    <w:rsid w:val="008D46D4"/>
    <w:rsid w:val="008D7A1E"/>
    <w:rsid w:val="008E075B"/>
    <w:rsid w:val="008E1B21"/>
    <w:rsid w:val="008E1EC6"/>
    <w:rsid w:val="008E514F"/>
    <w:rsid w:val="008E672D"/>
    <w:rsid w:val="008E7D98"/>
    <w:rsid w:val="008F0BC5"/>
    <w:rsid w:val="008F1820"/>
    <w:rsid w:val="008F4BAE"/>
    <w:rsid w:val="008F4F08"/>
    <w:rsid w:val="00900190"/>
    <w:rsid w:val="00900EB6"/>
    <w:rsid w:val="00901BB8"/>
    <w:rsid w:val="0090248F"/>
    <w:rsid w:val="00902942"/>
    <w:rsid w:val="00902F6A"/>
    <w:rsid w:val="00904DF2"/>
    <w:rsid w:val="009063AA"/>
    <w:rsid w:val="00906B1C"/>
    <w:rsid w:val="00912ECE"/>
    <w:rsid w:val="0091536C"/>
    <w:rsid w:val="009161AD"/>
    <w:rsid w:val="0091686D"/>
    <w:rsid w:val="009168DB"/>
    <w:rsid w:val="00917EB8"/>
    <w:rsid w:val="009237E8"/>
    <w:rsid w:val="00927E38"/>
    <w:rsid w:val="0093782D"/>
    <w:rsid w:val="00937A1F"/>
    <w:rsid w:val="009415BD"/>
    <w:rsid w:val="00942ACF"/>
    <w:rsid w:val="0094411B"/>
    <w:rsid w:val="00944F94"/>
    <w:rsid w:val="00945AD5"/>
    <w:rsid w:val="00947B47"/>
    <w:rsid w:val="00947F24"/>
    <w:rsid w:val="00952DCD"/>
    <w:rsid w:val="00956997"/>
    <w:rsid w:val="00957087"/>
    <w:rsid w:val="00960B2B"/>
    <w:rsid w:val="009623A8"/>
    <w:rsid w:val="00964205"/>
    <w:rsid w:val="009659A2"/>
    <w:rsid w:val="00970097"/>
    <w:rsid w:val="00972A23"/>
    <w:rsid w:val="00980E7D"/>
    <w:rsid w:val="0098123A"/>
    <w:rsid w:val="009819F4"/>
    <w:rsid w:val="009831E4"/>
    <w:rsid w:val="009832F8"/>
    <w:rsid w:val="00983F30"/>
    <w:rsid w:val="00986B0D"/>
    <w:rsid w:val="00986FDF"/>
    <w:rsid w:val="00992281"/>
    <w:rsid w:val="00996B2E"/>
    <w:rsid w:val="00997824"/>
    <w:rsid w:val="009A1DB6"/>
    <w:rsid w:val="009A24BD"/>
    <w:rsid w:val="009A2B83"/>
    <w:rsid w:val="009A3A3B"/>
    <w:rsid w:val="009A3FB0"/>
    <w:rsid w:val="009A6C8C"/>
    <w:rsid w:val="009A7235"/>
    <w:rsid w:val="009A7A06"/>
    <w:rsid w:val="009B0922"/>
    <w:rsid w:val="009B2B80"/>
    <w:rsid w:val="009B437B"/>
    <w:rsid w:val="009C0270"/>
    <w:rsid w:val="009C0B57"/>
    <w:rsid w:val="009C453E"/>
    <w:rsid w:val="009C4D63"/>
    <w:rsid w:val="009C5270"/>
    <w:rsid w:val="009C6109"/>
    <w:rsid w:val="009C6269"/>
    <w:rsid w:val="009C6EA9"/>
    <w:rsid w:val="009D30F1"/>
    <w:rsid w:val="009D4559"/>
    <w:rsid w:val="009D4B17"/>
    <w:rsid w:val="009D6706"/>
    <w:rsid w:val="009D7587"/>
    <w:rsid w:val="009D772E"/>
    <w:rsid w:val="009E289E"/>
    <w:rsid w:val="009E4973"/>
    <w:rsid w:val="009E4A26"/>
    <w:rsid w:val="009E590B"/>
    <w:rsid w:val="009E611A"/>
    <w:rsid w:val="009E6915"/>
    <w:rsid w:val="009E6A77"/>
    <w:rsid w:val="009F0794"/>
    <w:rsid w:val="009F09E1"/>
    <w:rsid w:val="009F18B6"/>
    <w:rsid w:val="009F373D"/>
    <w:rsid w:val="009F3DF7"/>
    <w:rsid w:val="009F4FF1"/>
    <w:rsid w:val="009F7377"/>
    <w:rsid w:val="009F7F3E"/>
    <w:rsid w:val="00A003FC"/>
    <w:rsid w:val="00A1083A"/>
    <w:rsid w:val="00A11160"/>
    <w:rsid w:val="00A1717D"/>
    <w:rsid w:val="00A1769E"/>
    <w:rsid w:val="00A1787A"/>
    <w:rsid w:val="00A214D1"/>
    <w:rsid w:val="00A2188D"/>
    <w:rsid w:val="00A22602"/>
    <w:rsid w:val="00A229EF"/>
    <w:rsid w:val="00A2369B"/>
    <w:rsid w:val="00A252F8"/>
    <w:rsid w:val="00A2650D"/>
    <w:rsid w:val="00A26CAA"/>
    <w:rsid w:val="00A32287"/>
    <w:rsid w:val="00A323F7"/>
    <w:rsid w:val="00A32D6F"/>
    <w:rsid w:val="00A360F4"/>
    <w:rsid w:val="00A41266"/>
    <w:rsid w:val="00A41520"/>
    <w:rsid w:val="00A41612"/>
    <w:rsid w:val="00A42A73"/>
    <w:rsid w:val="00A43F32"/>
    <w:rsid w:val="00A45A26"/>
    <w:rsid w:val="00A46103"/>
    <w:rsid w:val="00A46BBC"/>
    <w:rsid w:val="00A502B9"/>
    <w:rsid w:val="00A514DA"/>
    <w:rsid w:val="00A5351E"/>
    <w:rsid w:val="00A54324"/>
    <w:rsid w:val="00A55225"/>
    <w:rsid w:val="00A56A25"/>
    <w:rsid w:val="00A5788F"/>
    <w:rsid w:val="00A57D3A"/>
    <w:rsid w:val="00A6121C"/>
    <w:rsid w:val="00A613B1"/>
    <w:rsid w:val="00A61FEA"/>
    <w:rsid w:val="00A63757"/>
    <w:rsid w:val="00A63F63"/>
    <w:rsid w:val="00A64615"/>
    <w:rsid w:val="00A64F4E"/>
    <w:rsid w:val="00A652BE"/>
    <w:rsid w:val="00A67D4B"/>
    <w:rsid w:val="00A701B9"/>
    <w:rsid w:val="00A71CBA"/>
    <w:rsid w:val="00A72438"/>
    <w:rsid w:val="00A74341"/>
    <w:rsid w:val="00A7570B"/>
    <w:rsid w:val="00A77F9E"/>
    <w:rsid w:val="00A81EB5"/>
    <w:rsid w:val="00A84A9D"/>
    <w:rsid w:val="00A85051"/>
    <w:rsid w:val="00A86DC2"/>
    <w:rsid w:val="00A9060D"/>
    <w:rsid w:val="00A906EA"/>
    <w:rsid w:val="00A92AD3"/>
    <w:rsid w:val="00A94001"/>
    <w:rsid w:val="00A941B2"/>
    <w:rsid w:val="00A945AA"/>
    <w:rsid w:val="00A95CA2"/>
    <w:rsid w:val="00A96FF2"/>
    <w:rsid w:val="00A97F38"/>
    <w:rsid w:val="00AA1685"/>
    <w:rsid w:val="00AA1E9C"/>
    <w:rsid w:val="00AA373D"/>
    <w:rsid w:val="00AA4749"/>
    <w:rsid w:val="00AA56D9"/>
    <w:rsid w:val="00AA6F6C"/>
    <w:rsid w:val="00AA7C70"/>
    <w:rsid w:val="00AA7E16"/>
    <w:rsid w:val="00AA7E17"/>
    <w:rsid w:val="00AB04AA"/>
    <w:rsid w:val="00AB0A99"/>
    <w:rsid w:val="00AB2BC4"/>
    <w:rsid w:val="00AB4B0E"/>
    <w:rsid w:val="00AB6149"/>
    <w:rsid w:val="00AB6EF9"/>
    <w:rsid w:val="00AB70CA"/>
    <w:rsid w:val="00AB7CE1"/>
    <w:rsid w:val="00AC29AE"/>
    <w:rsid w:val="00AC2E52"/>
    <w:rsid w:val="00AC45CA"/>
    <w:rsid w:val="00AC6B01"/>
    <w:rsid w:val="00AD03AC"/>
    <w:rsid w:val="00AD20B1"/>
    <w:rsid w:val="00AD2BA7"/>
    <w:rsid w:val="00AD322B"/>
    <w:rsid w:val="00AD37E5"/>
    <w:rsid w:val="00AD3E72"/>
    <w:rsid w:val="00AD4109"/>
    <w:rsid w:val="00AD4224"/>
    <w:rsid w:val="00AE03A8"/>
    <w:rsid w:val="00AE3DBA"/>
    <w:rsid w:val="00AE4C02"/>
    <w:rsid w:val="00AE4C65"/>
    <w:rsid w:val="00AE62F6"/>
    <w:rsid w:val="00AE72A7"/>
    <w:rsid w:val="00AE76F8"/>
    <w:rsid w:val="00AE7CC9"/>
    <w:rsid w:val="00AE7F2D"/>
    <w:rsid w:val="00AF122D"/>
    <w:rsid w:val="00AF205F"/>
    <w:rsid w:val="00AF2534"/>
    <w:rsid w:val="00AF2652"/>
    <w:rsid w:val="00B007FF"/>
    <w:rsid w:val="00B00B95"/>
    <w:rsid w:val="00B02DCE"/>
    <w:rsid w:val="00B05B7C"/>
    <w:rsid w:val="00B06752"/>
    <w:rsid w:val="00B069B9"/>
    <w:rsid w:val="00B10CA6"/>
    <w:rsid w:val="00B157E8"/>
    <w:rsid w:val="00B15E55"/>
    <w:rsid w:val="00B16238"/>
    <w:rsid w:val="00B1661B"/>
    <w:rsid w:val="00B16781"/>
    <w:rsid w:val="00B17D41"/>
    <w:rsid w:val="00B21628"/>
    <w:rsid w:val="00B22689"/>
    <w:rsid w:val="00B227E1"/>
    <w:rsid w:val="00B242B7"/>
    <w:rsid w:val="00B2558A"/>
    <w:rsid w:val="00B255A6"/>
    <w:rsid w:val="00B268AC"/>
    <w:rsid w:val="00B268B3"/>
    <w:rsid w:val="00B26C44"/>
    <w:rsid w:val="00B27B75"/>
    <w:rsid w:val="00B333D2"/>
    <w:rsid w:val="00B36CC0"/>
    <w:rsid w:val="00B37129"/>
    <w:rsid w:val="00B377A8"/>
    <w:rsid w:val="00B4017D"/>
    <w:rsid w:val="00B43419"/>
    <w:rsid w:val="00B44F76"/>
    <w:rsid w:val="00B46C8B"/>
    <w:rsid w:val="00B51773"/>
    <w:rsid w:val="00B51ADE"/>
    <w:rsid w:val="00B53FC8"/>
    <w:rsid w:val="00B54BCE"/>
    <w:rsid w:val="00B57E8F"/>
    <w:rsid w:val="00B6383C"/>
    <w:rsid w:val="00B63D77"/>
    <w:rsid w:val="00B6400A"/>
    <w:rsid w:val="00B64533"/>
    <w:rsid w:val="00B64C37"/>
    <w:rsid w:val="00B665DC"/>
    <w:rsid w:val="00B66750"/>
    <w:rsid w:val="00B67536"/>
    <w:rsid w:val="00B705B0"/>
    <w:rsid w:val="00B70BF5"/>
    <w:rsid w:val="00B71558"/>
    <w:rsid w:val="00B740A1"/>
    <w:rsid w:val="00B7441B"/>
    <w:rsid w:val="00B752DF"/>
    <w:rsid w:val="00B75595"/>
    <w:rsid w:val="00B76D95"/>
    <w:rsid w:val="00B80A0C"/>
    <w:rsid w:val="00B822B3"/>
    <w:rsid w:val="00B83C35"/>
    <w:rsid w:val="00B91803"/>
    <w:rsid w:val="00B92FC8"/>
    <w:rsid w:val="00B935D7"/>
    <w:rsid w:val="00B944AE"/>
    <w:rsid w:val="00B9456F"/>
    <w:rsid w:val="00B95663"/>
    <w:rsid w:val="00B96E2F"/>
    <w:rsid w:val="00B970FF"/>
    <w:rsid w:val="00B97206"/>
    <w:rsid w:val="00B975A9"/>
    <w:rsid w:val="00BA19E7"/>
    <w:rsid w:val="00BA2F67"/>
    <w:rsid w:val="00BA3B0E"/>
    <w:rsid w:val="00BA473D"/>
    <w:rsid w:val="00BA7BC8"/>
    <w:rsid w:val="00BB1D25"/>
    <w:rsid w:val="00BB30D5"/>
    <w:rsid w:val="00BB3901"/>
    <w:rsid w:val="00BC0770"/>
    <w:rsid w:val="00BC3AD4"/>
    <w:rsid w:val="00BC47A5"/>
    <w:rsid w:val="00BC5702"/>
    <w:rsid w:val="00BC6BCC"/>
    <w:rsid w:val="00BC78F7"/>
    <w:rsid w:val="00BC7F54"/>
    <w:rsid w:val="00BD3EB5"/>
    <w:rsid w:val="00BD5AB0"/>
    <w:rsid w:val="00BD5FD0"/>
    <w:rsid w:val="00BD6FB5"/>
    <w:rsid w:val="00BE1B19"/>
    <w:rsid w:val="00BE2035"/>
    <w:rsid w:val="00BE3A47"/>
    <w:rsid w:val="00BF1860"/>
    <w:rsid w:val="00BF41A9"/>
    <w:rsid w:val="00BF5D88"/>
    <w:rsid w:val="00BF6C06"/>
    <w:rsid w:val="00C015D3"/>
    <w:rsid w:val="00C03A3C"/>
    <w:rsid w:val="00C04D0A"/>
    <w:rsid w:val="00C0761A"/>
    <w:rsid w:val="00C10304"/>
    <w:rsid w:val="00C11E2B"/>
    <w:rsid w:val="00C13AD8"/>
    <w:rsid w:val="00C15783"/>
    <w:rsid w:val="00C174E8"/>
    <w:rsid w:val="00C200D9"/>
    <w:rsid w:val="00C21BD5"/>
    <w:rsid w:val="00C24336"/>
    <w:rsid w:val="00C25055"/>
    <w:rsid w:val="00C26B0D"/>
    <w:rsid w:val="00C306A2"/>
    <w:rsid w:val="00C332BC"/>
    <w:rsid w:val="00C342F7"/>
    <w:rsid w:val="00C36B99"/>
    <w:rsid w:val="00C37143"/>
    <w:rsid w:val="00C377D7"/>
    <w:rsid w:val="00C42FEF"/>
    <w:rsid w:val="00C51B80"/>
    <w:rsid w:val="00C524BB"/>
    <w:rsid w:val="00C5357E"/>
    <w:rsid w:val="00C53C77"/>
    <w:rsid w:val="00C54108"/>
    <w:rsid w:val="00C55329"/>
    <w:rsid w:val="00C5785E"/>
    <w:rsid w:val="00C57B5B"/>
    <w:rsid w:val="00C60156"/>
    <w:rsid w:val="00C60E60"/>
    <w:rsid w:val="00C73442"/>
    <w:rsid w:val="00C74091"/>
    <w:rsid w:val="00C76300"/>
    <w:rsid w:val="00C763FB"/>
    <w:rsid w:val="00C77D66"/>
    <w:rsid w:val="00C80B08"/>
    <w:rsid w:val="00C82A73"/>
    <w:rsid w:val="00C8383A"/>
    <w:rsid w:val="00C8586F"/>
    <w:rsid w:val="00C85A55"/>
    <w:rsid w:val="00C90BA2"/>
    <w:rsid w:val="00C90ED6"/>
    <w:rsid w:val="00C9111F"/>
    <w:rsid w:val="00C93E27"/>
    <w:rsid w:val="00C94769"/>
    <w:rsid w:val="00C95036"/>
    <w:rsid w:val="00C96042"/>
    <w:rsid w:val="00C969AA"/>
    <w:rsid w:val="00C96EA8"/>
    <w:rsid w:val="00C9766D"/>
    <w:rsid w:val="00CA10E6"/>
    <w:rsid w:val="00CA1345"/>
    <w:rsid w:val="00CA1680"/>
    <w:rsid w:val="00CA23F7"/>
    <w:rsid w:val="00CA27B2"/>
    <w:rsid w:val="00CA4042"/>
    <w:rsid w:val="00CA53C5"/>
    <w:rsid w:val="00CA662B"/>
    <w:rsid w:val="00CB0971"/>
    <w:rsid w:val="00CB09D0"/>
    <w:rsid w:val="00CB1857"/>
    <w:rsid w:val="00CB20FD"/>
    <w:rsid w:val="00CB4207"/>
    <w:rsid w:val="00CB48F5"/>
    <w:rsid w:val="00CB6D8B"/>
    <w:rsid w:val="00CC0803"/>
    <w:rsid w:val="00CC0D24"/>
    <w:rsid w:val="00CC301C"/>
    <w:rsid w:val="00CC4231"/>
    <w:rsid w:val="00CC460B"/>
    <w:rsid w:val="00CD01D0"/>
    <w:rsid w:val="00CD1588"/>
    <w:rsid w:val="00CD39CB"/>
    <w:rsid w:val="00CD6482"/>
    <w:rsid w:val="00CE2AEB"/>
    <w:rsid w:val="00CE2FE3"/>
    <w:rsid w:val="00CE450C"/>
    <w:rsid w:val="00CE45D7"/>
    <w:rsid w:val="00CE4953"/>
    <w:rsid w:val="00CE656C"/>
    <w:rsid w:val="00CF3B1D"/>
    <w:rsid w:val="00CF5531"/>
    <w:rsid w:val="00CF6342"/>
    <w:rsid w:val="00CF70FD"/>
    <w:rsid w:val="00CF7F44"/>
    <w:rsid w:val="00D002F9"/>
    <w:rsid w:val="00D018E5"/>
    <w:rsid w:val="00D035B7"/>
    <w:rsid w:val="00D0741E"/>
    <w:rsid w:val="00D07C3D"/>
    <w:rsid w:val="00D14B3A"/>
    <w:rsid w:val="00D14EA1"/>
    <w:rsid w:val="00D16C33"/>
    <w:rsid w:val="00D17ECC"/>
    <w:rsid w:val="00D20F09"/>
    <w:rsid w:val="00D222C7"/>
    <w:rsid w:val="00D24F6C"/>
    <w:rsid w:val="00D2584D"/>
    <w:rsid w:val="00D2693D"/>
    <w:rsid w:val="00D3284D"/>
    <w:rsid w:val="00D35EB4"/>
    <w:rsid w:val="00D36634"/>
    <w:rsid w:val="00D36947"/>
    <w:rsid w:val="00D4079E"/>
    <w:rsid w:val="00D40921"/>
    <w:rsid w:val="00D42016"/>
    <w:rsid w:val="00D423DB"/>
    <w:rsid w:val="00D42E77"/>
    <w:rsid w:val="00D43527"/>
    <w:rsid w:val="00D45B60"/>
    <w:rsid w:val="00D45F95"/>
    <w:rsid w:val="00D52043"/>
    <w:rsid w:val="00D5629A"/>
    <w:rsid w:val="00D6330B"/>
    <w:rsid w:val="00D642FA"/>
    <w:rsid w:val="00D649E8"/>
    <w:rsid w:val="00D67620"/>
    <w:rsid w:val="00D70436"/>
    <w:rsid w:val="00D7380A"/>
    <w:rsid w:val="00D74C14"/>
    <w:rsid w:val="00D755FB"/>
    <w:rsid w:val="00D76CD3"/>
    <w:rsid w:val="00D76D4B"/>
    <w:rsid w:val="00D77B4E"/>
    <w:rsid w:val="00D803E2"/>
    <w:rsid w:val="00D845B3"/>
    <w:rsid w:val="00D8569B"/>
    <w:rsid w:val="00D85A98"/>
    <w:rsid w:val="00D87C69"/>
    <w:rsid w:val="00D9001A"/>
    <w:rsid w:val="00D90E8D"/>
    <w:rsid w:val="00D92947"/>
    <w:rsid w:val="00DA3CB6"/>
    <w:rsid w:val="00DA5EC5"/>
    <w:rsid w:val="00DA751F"/>
    <w:rsid w:val="00DB12CA"/>
    <w:rsid w:val="00DB19F7"/>
    <w:rsid w:val="00DB2269"/>
    <w:rsid w:val="00DB2B90"/>
    <w:rsid w:val="00DB2C75"/>
    <w:rsid w:val="00DB574A"/>
    <w:rsid w:val="00DB7E85"/>
    <w:rsid w:val="00DC03E9"/>
    <w:rsid w:val="00DC1459"/>
    <w:rsid w:val="00DD044E"/>
    <w:rsid w:val="00DD1B86"/>
    <w:rsid w:val="00DD3B45"/>
    <w:rsid w:val="00DD4A02"/>
    <w:rsid w:val="00DD5145"/>
    <w:rsid w:val="00DD6032"/>
    <w:rsid w:val="00DD6EDC"/>
    <w:rsid w:val="00DD743A"/>
    <w:rsid w:val="00DD77B2"/>
    <w:rsid w:val="00DE326A"/>
    <w:rsid w:val="00DE36E3"/>
    <w:rsid w:val="00DE3B35"/>
    <w:rsid w:val="00DE4C21"/>
    <w:rsid w:val="00DF2673"/>
    <w:rsid w:val="00DF3932"/>
    <w:rsid w:val="00DF3DAF"/>
    <w:rsid w:val="00DF403D"/>
    <w:rsid w:val="00DF526C"/>
    <w:rsid w:val="00DF5657"/>
    <w:rsid w:val="00DF56D2"/>
    <w:rsid w:val="00DF6C93"/>
    <w:rsid w:val="00E00009"/>
    <w:rsid w:val="00E04022"/>
    <w:rsid w:val="00E049FB"/>
    <w:rsid w:val="00E05E6B"/>
    <w:rsid w:val="00E06D01"/>
    <w:rsid w:val="00E06F16"/>
    <w:rsid w:val="00E07C53"/>
    <w:rsid w:val="00E10452"/>
    <w:rsid w:val="00E10E3F"/>
    <w:rsid w:val="00E11853"/>
    <w:rsid w:val="00E11A17"/>
    <w:rsid w:val="00E11B98"/>
    <w:rsid w:val="00E11DC7"/>
    <w:rsid w:val="00E12BAB"/>
    <w:rsid w:val="00E1645C"/>
    <w:rsid w:val="00E20430"/>
    <w:rsid w:val="00E21C63"/>
    <w:rsid w:val="00E248A7"/>
    <w:rsid w:val="00E310B1"/>
    <w:rsid w:val="00E32BD2"/>
    <w:rsid w:val="00E33B8C"/>
    <w:rsid w:val="00E355FA"/>
    <w:rsid w:val="00E367BE"/>
    <w:rsid w:val="00E37A46"/>
    <w:rsid w:val="00E40FA3"/>
    <w:rsid w:val="00E43889"/>
    <w:rsid w:val="00E43F21"/>
    <w:rsid w:val="00E51CEB"/>
    <w:rsid w:val="00E53D3C"/>
    <w:rsid w:val="00E546E4"/>
    <w:rsid w:val="00E54B1B"/>
    <w:rsid w:val="00E55E3E"/>
    <w:rsid w:val="00E57768"/>
    <w:rsid w:val="00E57BB9"/>
    <w:rsid w:val="00E601A5"/>
    <w:rsid w:val="00E607D0"/>
    <w:rsid w:val="00E7121C"/>
    <w:rsid w:val="00E724E2"/>
    <w:rsid w:val="00E767B1"/>
    <w:rsid w:val="00E80561"/>
    <w:rsid w:val="00E80806"/>
    <w:rsid w:val="00E80E3F"/>
    <w:rsid w:val="00E82962"/>
    <w:rsid w:val="00E84100"/>
    <w:rsid w:val="00E8561F"/>
    <w:rsid w:val="00E90009"/>
    <w:rsid w:val="00E915D7"/>
    <w:rsid w:val="00E91D53"/>
    <w:rsid w:val="00E93003"/>
    <w:rsid w:val="00E95B96"/>
    <w:rsid w:val="00E965B4"/>
    <w:rsid w:val="00EA1D0E"/>
    <w:rsid w:val="00EA2040"/>
    <w:rsid w:val="00EA28D2"/>
    <w:rsid w:val="00EA3831"/>
    <w:rsid w:val="00EA3DDC"/>
    <w:rsid w:val="00EA4A6C"/>
    <w:rsid w:val="00EA4FA3"/>
    <w:rsid w:val="00EA5739"/>
    <w:rsid w:val="00EA79DC"/>
    <w:rsid w:val="00EB1A81"/>
    <w:rsid w:val="00EB2C39"/>
    <w:rsid w:val="00EB2DC1"/>
    <w:rsid w:val="00EB32AE"/>
    <w:rsid w:val="00EB3430"/>
    <w:rsid w:val="00EB5E00"/>
    <w:rsid w:val="00EB5FF4"/>
    <w:rsid w:val="00EB6BC5"/>
    <w:rsid w:val="00EB7300"/>
    <w:rsid w:val="00EC0D8E"/>
    <w:rsid w:val="00EC106E"/>
    <w:rsid w:val="00EC3F0A"/>
    <w:rsid w:val="00EC3F47"/>
    <w:rsid w:val="00EC5527"/>
    <w:rsid w:val="00EC6C18"/>
    <w:rsid w:val="00ED1657"/>
    <w:rsid w:val="00ED1A36"/>
    <w:rsid w:val="00ED1A49"/>
    <w:rsid w:val="00ED30BD"/>
    <w:rsid w:val="00ED4AF3"/>
    <w:rsid w:val="00ED6398"/>
    <w:rsid w:val="00ED64B1"/>
    <w:rsid w:val="00ED6C10"/>
    <w:rsid w:val="00ED765D"/>
    <w:rsid w:val="00EE28C1"/>
    <w:rsid w:val="00EE365B"/>
    <w:rsid w:val="00EE6521"/>
    <w:rsid w:val="00EF0A3A"/>
    <w:rsid w:val="00EF0AEF"/>
    <w:rsid w:val="00EF129C"/>
    <w:rsid w:val="00EF296D"/>
    <w:rsid w:val="00EF4877"/>
    <w:rsid w:val="00EF5788"/>
    <w:rsid w:val="00EF6071"/>
    <w:rsid w:val="00EF6431"/>
    <w:rsid w:val="00EF6C8B"/>
    <w:rsid w:val="00F012F7"/>
    <w:rsid w:val="00F05715"/>
    <w:rsid w:val="00F062A3"/>
    <w:rsid w:val="00F1031B"/>
    <w:rsid w:val="00F1392D"/>
    <w:rsid w:val="00F17D46"/>
    <w:rsid w:val="00F20FCC"/>
    <w:rsid w:val="00F23E09"/>
    <w:rsid w:val="00F240DC"/>
    <w:rsid w:val="00F24678"/>
    <w:rsid w:val="00F300A2"/>
    <w:rsid w:val="00F31A81"/>
    <w:rsid w:val="00F342CE"/>
    <w:rsid w:val="00F37FD3"/>
    <w:rsid w:val="00F40298"/>
    <w:rsid w:val="00F40537"/>
    <w:rsid w:val="00F411FA"/>
    <w:rsid w:val="00F42623"/>
    <w:rsid w:val="00F444CE"/>
    <w:rsid w:val="00F45917"/>
    <w:rsid w:val="00F46014"/>
    <w:rsid w:val="00F46B2D"/>
    <w:rsid w:val="00F47098"/>
    <w:rsid w:val="00F5012D"/>
    <w:rsid w:val="00F501AF"/>
    <w:rsid w:val="00F515F8"/>
    <w:rsid w:val="00F51F65"/>
    <w:rsid w:val="00F52415"/>
    <w:rsid w:val="00F52433"/>
    <w:rsid w:val="00F52963"/>
    <w:rsid w:val="00F53486"/>
    <w:rsid w:val="00F534F5"/>
    <w:rsid w:val="00F53E8C"/>
    <w:rsid w:val="00F54354"/>
    <w:rsid w:val="00F551FD"/>
    <w:rsid w:val="00F55285"/>
    <w:rsid w:val="00F5796C"/>
    <w:rsid w:val="00F57D31"/>
    <w:rsid w:val="00F6120D"/>
    <w:rsid w:val="00F63E9C"/>
    <w:rsid w:val="00F66D93"/>
    <w:rsid w:val="00F66DFD"/>
    <w:rsid w:val="00F701EB"/>
    <w:rsid w:val="00F724FF"/>
    <w:rsid w:val="00F72A76"/>
    <w:rsid w:val="00F73006"/>
    <w:rsid w:val="00F76F2B"/>
    <w:rsid w:val="00F77EF2"/>
    <w:rsid w:val="00F8011E"/>
    <w:rsid w:val="00F80EC1"/>
    <w:rsid w:val="00F83318"/>
    <w:rsid w:val="00F83C59"/>
    <w:rsid w:val="00F842FE"/>
    <w:rsid w:val="00F84330"/>
    <w:rsid w:val="00F84AB6"/>
    <w:rsid w:val="00F857D6"/>
    <w:rsid w:val="00F86995"/>
    <w:rsid w:val="00F90D8D"/>
    <w:rsid w:val="00F91748"/>
    <w:rsid w:val="00F9550D"/>
    <w:rsid w:val="00F96F55"/>
    <w:rsid w:val="00FA0F8D"/>
    <w:rsid w:val="00FA222E"/>
    <w:rsid w:val="00FA24F9"/>
    <w:rsid w:val="00FA2A52"/>
    <w:rsid w:val="00FA4FCC"/>
    <w:rsid w:val="00FA56BB"/>
    <w:rsid w:val="00FA5CA1"/>
    <w:rsid w:val="00FA6455"/>
    <w:rsid w:val="00FA68B5"/>
    <w:rsid w:val="00FA7686"/>
    <w:rsid w:val="00FA7A8F"/>
    <w:rsid w:val="00FB2E56"/>
    <w:rsid w:val="00FB3FEB"/>
    <w:rsid w:val="00FB40FB"/>
    <w:rsid w:val="00FB770F"/>
    <w:rsid w:val="00FC050D"/>
    <w:rsid w:val="00FC275D"/>
    <w:rsid w:val="00FC3183"/>
    <w:rsid w:val="00FC3B1B"/>
    <w:rsid w:val="00FC4FCC"/>
    <w:rsid w:val="00FC6081"/>
    <w:rsid w:val="00FD15FE"/>
    <w:rsid w:val="00FD1824"/>
    <w:rsid w:val="00FD5ED2"/>
    <w:rsid w:val="00FE02E2"/>
    <w:rsid w:val="00FE0EED"/>
    <w:rsid w:val="00FF1425"/>
    <w:rsid w:val="00FF2478"/>
    <w:rsid w:val="00FF2851"/>
    <w:rsid w:val="00FF5CA4"/>
    <w:rsid w:val="00FF6512"/>
    <w:rsid w:val="00FF7E47"/>
    <w:rsid w:val="048F35A5"/>
    <w:rsid w:val="04A93CA8"/>
    <w:rsid w:val="0A2C3FCB"/>
    <w:rsid w:val="0CD32CD9"/>
    <w:rsid w:val="0D3C3960"/>
    <w:rsid w:val="0F25F287"/>
    <w:rsid w:val="104820B6"/>
    <w:rsid w:val="1A54CBE1"/>
    <w:rsid w:val="1C1BF605"/>
    <w:rsid w:val="1C58E4D4"/>
    <w:rsid w:val="1F5AEA6D"/>
    <w:rsid w:val="2048F730"/>
    <w:rsid w:val="211BFB62"/>
    <w:rsid w:val="2382FE2C"/>
    <w:rsid w:val="24F7FC7B"/>
    <w:rsid w:val="2678846E"/>
    <w:rsid w:val="26ECD65D"/>
    <w:rsid w:val="2B4ED576"/>
    <w:rsid w:val="2C31B98F"/>
    <w:rsid w:val="315F4201"/>
    <w:rsid w:val="327FBCA4"/>
    <w:rsid w:val="36CC487F"/>
    <w:rsid w:val="3C04F658"/>
    <w:rsid w:val="3DDE1829"/>
    <w:rsid w:val="3DDEF126"/>
    <w:rsid w:val="3E8F5FFA"/>
    <w:rsid w:val="40C36DFB"/>
    <w:rsid w:val="424DCD9D"/>
    <w:rsid w:val="454D52CD"/>
    <w:rsid w:val="45EA905F"/>
    <w:rsid w:val="463CC45A"/>
    <w:rsid w:val="473A3EEB"/>
    <w:rsid w:val="47A2D4AE"/>
    <w:rsid w:val="487DF6B4"/>
    <w:rsid w:val="48E9ABC2"/>
    <w:rsid w:val="4CF904EC"/>
    <w:rsid w:val="4E44206C"/>
    <w:rsid w:val="54794EAC"/>
    <w:rsid w:val="5524839F"/>
    <w:rsid w:val="5880B68B"/>
    <w:rsid w:val="58AF6564"/>
    <w:rsid w:val="5953D9DA"/>
    <w:rsid w:val="5BB54F25"/>
    <w:rsid w:val="625ECB95"/>
    <w:rsid w:val="62852664"/>
    <w:rsid w:val="65D9D2F3"/>
    <w:rsid w:val="68FBAA53"/>
    <w:rsid w:val="69287B36"/>
    <w:rsid w:val="6C178075"/>
    <w:rsid w:val="6D59A576"/>
    <w:rsid w:val="6E54231D"/>
    <w:rsid w:val="70EDDF59"/>
    <w:rsid w:val="771B1EA0"/>
    <w:rsid w:val="777F2669"/>
    <w:rsid w:val="781B8D2B"/>
    <w:rsid w:val="78E73D9B"/>
    <w:rsid w:val="7A9B539B"/>
    <w:rsid w:val="7AD7C064"/>
    <w:rsid w:val="7B05436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E9D8CC6"/>
  <w15:docId w15:val="{5285ABB9-EFC9-4816-A0AB-51A18BDB8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53486"/>
    <w:pPr>
      <w:widowControl w:val="0"/>
      <w:autoSpaceDE w:val="0"/>
      <w:autoSpaceDN w:val="0"/>
      <w:adjustRightInd w:val="0"/>
    </w:pPr>
    <w:rPr>
      <w:sz w:val="24"/>
      <w:szCs w:val="24"/>
    </w:rPr>
  </w:style>
  <w:style w:type="paragraph" w:styleId="Heading2">
    <w:name w:val="heading 2"/>
    <w:basedOn w:val="Normal"/>
    <w:qFormat/>
    <w:rsid w:val="004B05F7"/>
    <w:pPr>
      <w:widowControl/>
      <w:autoSpaceDE/>
      <w:autoSpaceDN/>
      <w:adjustRightInd/>
      <w:spacing w:before="100" w:beforeAutospacing="1" w:after="100" w:afterAutospacing="1"/>
      <w:outlineLvl w:val="1"/>
    </w:pPr>
    <w:rPr>
      <w:color w:val="222255"/>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qFormat/>
    <w:rsid w:val="00487256"/>
    <w:rPr>
      <w:rFonts w:ascii="Times New Roman" w:hAnsi="Times New Roman"/>
      <w:b/>
      <w:sz w:val="26"/>
      <w:szCs w:val="26"/>
      <w:vertAlign w:val="superscript"/>
    </w:rPr>
  </w:style>
  <w:style w:type="paragraph" w:styleId="FootnoteText">
    <w:name w:val="footnote text"/>
    <w:aliases w:val=" Char,Char,Footnote Text Char,Footnote Text Char Char,Footnote Text Char Char Char,Footnote Text Char Char Char Char Char1,Footnote Text Char Char1,Footnote Text Char1,Footnote Text Char1 Char,Footnote Text Char1 Char Char Char1,fn,ft"/>
    <w:basedOn w:val="Normal"/>
    <w:link w:val="FootnoteTextChar2"/>
    <w:rsid w:val="00487256"/>
    <w:pPr>
      <w:spacing w:after="260"/>
      <w:ind w:firstLine="720"/>
    </w:pPr>
    <w:rPr>
      <w:szCs w:val="20"/>
    </w:rPr>
  </w:style>
  <w:style w:type="paragraph" w:styleId="Footer">
    <w:name w:val="footer"/>
    <w:basedOn w:val="Normal"/>
    <w:rsid w:val="00F53486"/>
    <w:pPr>
      <w:tabs>
        <w:tab w:val="center" w:pos="4320"/>
        <w:tab w:val="right" w:pos="8640"/>
      </w:tabs>
    </w:pPr>
  </w:style>
  <w:style w:type="character" w:styleId="PageNumber">
    <w:name w:val="page number"/>
    <w:basedOn w:val="DefaultParagraphFont"/>
    <w:rsid w:val="00F53486"/>
  </w:style>
  <w:style w:type="table" w:styleId="TableGrid">
    <w:name w:val="Table Grid"/>
    <w:basedOn w:val="TableNormal"/>
    <w:rsid w:val="00F5348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Format">
    <w:name w:val="Legal Format"/>
    <w:basedOn w:val="ListContinue"/>
    <w:autoRedefine/>
    <w:rsid w:val="00F53486"/>
    <w:pPr>
      <w:widowControl/>
      <w:tabs>
        <w:tab w:val="num" w:pos="0"/>
      </w:tabs>
      <w:autoSpaceDE/>
      <w:autoSpaceDN/>
      <w:adjustRightInd/>
      <w:spacing w:after="0"/>
      <w:ind w:left="0" w:hanging="18"/>
    </w:pPr>
    <w:rPr>
      <w:sz w:val="26"/>
      <w:szCs w:val="26"/>
    </w:rPr>
  </w:style>
  <w:style w:type="paragraph" w:styleId="ListContinue">
    <w:name w:val="List Continue"/>
    <w:basedOn w:val="Normal"/>
    <w:rsid w:val="00F53486"/>
    <w:pPr>
      <w:spacing w:after="120"/>
      <w:ind w:left="360"/>
    </w:pPr>
  </w:style>
  <w:style w:type="character" w:styleId="Hyperlink">
    <w:name w:val="Hyperlink"/>
    <w:rsid w:val="004B05F7"/>
    <w:rPr>
      <w:strike w:val="0"/>
      <w:dstrike w:val="0"/>
      <w:color w:val="000080"/>
      <w:u w:val="none"/>
      <w:effect w:val="none"/>
    </w:rPr>
  </w:style>
  <w:style w:type="character" w:styleId="Emphasis">
    <w:name w:val="Emphasis"/>
    <w:qFormat/>
    <w:rsid w:val="004B05F7"/>
    <w:rPr>
      <w:i/>
      <w:iCs/>
    </w:rPr>
  </w:style>
  <w:style w:type="paragraph" w:styleId="NormalWeb">
    <w:name w:val="Normal (Web)"/>
    <w:basedOn w:val="Normal"/>
    <w:rsid w:val="004B05F7"/>
    <w:pPr>
      <w:widowControl/>
      <w:autoSpaceDE/>
      <w:autoSpaceDN/>
      <w:adjustRightInd/>
      <w:spacing w:before="100" w:beforeAutospacing="1" w:after="100" w:afterAutospacing="1"/>
    </w:pPr>
  </w:style>
  <w:style w:type="character" w:customStyle="1" w:styleId="srchlead">
    <w:name w:val="srchlead"/>
    <w:rsid w:val="004B05F7"/>
    <w:rPr>
      <w:b w:val="0"/>
      <w:bCs w:val="0"/>
      <w:i/>
      <w:iCs/>
    </w:rPr>
  </w:style>
  <w:style w:type="character" w:customStyle="1" w:styleId="searchbox">
    <w:name w:val="searchbox"/>
    <w:rsid w:val="004B05F7"/>
    <w:rPr>
      <w:b w:val="0"/>
      <w:bCs w:val="0"/>
    </w:rPr>
  </w:style>
  <w:style w:type="paragraph" w:styleId="HTMLTopofForm">
    <w:name w:val="HTML Top of Form"/>
    <w:basedOn w:val="Normal"/>
    <w:next w:val="Normal"/>
    <w:hidden/>
    <w:rsid w:val="004B05F7"/>
    <w:pPr>
      <w:widowControl/>
      <w:pBdr>
        <w:bottom w:val="single" w:sz="6" w:space="1" w:color="auto"/>
      </w:pBdr>
      <w:autoSpaceDE/>
      <w:autoSpaceDN/>
      <w:adjustRightInd/>
      <w:jc w:val="center"/>
    </w:pPr>
    <w:rPr>
      <w:rFonts w:ascii="Arial" w:hAnsi="Arial" w:cs="Arial"/>
      <w:vanish/>
      <w:sz w:val="16"/>
      <w:szCs w:val="16"/>
    </w:rPr>
  </w:style>
  <w:style w:type="paragraph" w:styleId="HTMLBottomofForm">
    <w:name w:val="HTML Bottom of Form"/>
    <w:basedOn w:val="Normal"/>
    <w:next w:val="Normal"/>
    <w:hidden/>
    <w:rsid w:val="004B05F7"/>
    <w:pPr>
      <w:widowControl/>
      <w:pBdr>
        <w:top w:val="single" w:sz="6" w:space="1" w:color="auto"/>
      </w:pBdr>
      <w:autoSpaceDE/>
      <w:autoSpaceDN/>
      <w:adjustRightInd/>
      <w:jc w:val="center"/>
    </w:pPr>
    <w:rPr>
      <w:rFonts w:ascii="Arial" w:hAnsi="Arial" w:cs="Arial"/>
      <w:vanish/>
      <w:sz w:val="16"/>
      <w:szCs w:val="16"/>
    </w:rPr>
  </w:style>
  <w:style w:type="character" w:customStyle="1" w:styleId="topicref">
    <w:name w:val="topicref"/>
    <w:rsid w:val="004B05F7"/>
    <w:rPr>
      <w:b w:val="0"/>
      <w:bCs w:val="0"/>
    </w:rPr>
  </w:style>
  <w:style w:type="character" w:customStyle="1" w:styleId="ptext-1">
    <w:name w:val="ptext-1"/>
    <w:rsid w:val="004B05F7"/>
    <w:rPr>
      <w:b w:val="0"/>
      <w:bCs w:val="0"/>
    </w:rPr>
  </w:style>
  <w:style w:type="character" w:customStyle="1" w:styleId="ptext-2">
    <w:name w:val="ptext-2"/>
    <w:rsid w:val="004B05F7"/>
    <w:rPr>
      <w:b w:val="0"/>
      <w:bCs w:val="0"/>
    </w:rPr>
  </w:style>
  <w:style w:type="character" w:customStyle="1" w:styleId="ptext-3">
    <w:name w:val="ptext-3"/>
    <w:rsid w:val="004B05F7"/>
    <w:rPr>
      <w:b w:val="0"/>
      <w:bCs w:val="0"/>
    </w:rPr>
  </w:style>
  <w:style w:type="character" w:customStyle="1" w:styleId="ptext-4">
    <w:name w:val="ptext-4"/>
    <w:rsid w:val="004B05F7"/>
    <w:rPr>
      <w:b w:val="0"/>
      <w:bCs w:val="0"/>
    </w:rPr>
  </w:style>
  <w:style w:type="character" w:customStyle="1" w:styleId="enumbell">
    <w:name w:val="enumbell"/>
    <w:rsid w:val="004B05F7"/>
    <w:rPr>
      <w:b/>
      <w:bCs/>
    </w:rPr>
  </w:style>
  <w:style w:type="character" w:customStyle="1" w:styleId="enumlstr">
    <w:name w:val="enumlstr"/>
    <w:rsid w:val="004B05F7"/>
    <w:rPr>
      <w:b/>
      <w:bCs/>
      <w:color w:val="000066"/>
    </w:rPr>
  </w:style>
  <w:style w:type="character" w:customStyle="1" w:styleId="ptext-5">
    <w:name w:val="ptext-5"/>
    <w:rsid w:val="004B05F7"/>
    <w:rPr>
      <w:b w:val="0"/>
      <w:bCs w:val="0"/>
    </w:rPr>
  </w:style>
  <w:style w:type="paragraph" w:styleId="HTMLPreformatted">
    <w:name w:val="HTML Preformatted"/>
    <w:basedOn w:val="Normal"/>
    <w:rsid w:val="004B0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ypertext">
    <w:name w:val="Hypertext"/>
    <w:rsid w:val="004B05F7"/>
    <w:rPr>
      <w:color w:val="0000FF"/>
      <w:u w:val="single"/>
    </w:rPr>
  </w:style>
  <w:style w:type="paragraph" w:styleId="Header">
    <w:name w:val="header"/>
    <w:basedOn w:val="Normal"/>
    <w:rsid w:val="004B05F7"/>
    <w:pPr>
      <w:tabs>
        <w:tab w:val="center" w:pos="4320"/>
        <w:tab w:val="right" w:pos="8640"/>
      </w:tabs>
    </w:pPr>
  </w:style>
  <w:style w:type="paragraph" w:customStyle="1" w:styleId="BodyFootnote">
    <w:name w:val="Body Footnote"/>
    <w:basedOn w:val="FootnoteText"/>
    <w:autoRedefine/>
    <w:rsid w:val="004B05F7"/>
    <w:pPr>
      <w:spacing w:after="0"/>
    </w:pPr>
    <w:rPr>
      <w:sz w:val="26"/>
      <w:szCs w:val="26"/>
    </w:rPr>
  </w:style>
  <w:style w:type="character" w:customStyle="1" w:styleId="Hyperlink6">
    <w:name w:val="Hyperlink6"/>
    <w:rsid w:val="004B05F7"/>
    <w:rPr>
      <w:color w:val="3300CC"/>
      <w:u w:val="single"/>
    </w:rPr>
  </w:style>
  <w:style w:type="character" w:customStyle="1" w:styleId="msoins">
    <w:name w:val="msoins"/>
    <w:rsid w:val="004B05F7"/>
    <w:rPr>
      <w:color w:val="000080"/>
      <w:u w:val="single"/>
    </w:rPr>
  </w:style>
  <w:style w:type="paragraph" w:customStyle="1" w:styleId="FERCparanumberChar">
    <w:name w:val="FERC paranumber Char"/>
    <w:basedOn w:val="Normal"/>
    <w:rsid w:val="004B05F7"/>
    <w:pPr>
      <w:tabs>
        <w:tab w:val="num" w:pos="720"/>
      </w:tabs>
      <w:spacing w:after="240"/>
    </w:pPr>
    <w:rPr>
      <w:sz w:val="26"/>
      <w:szCs w:val="26"/>
    </w:rPr>
  </w:style>
  <w:style w:type="character" w:customStyle="1" w:styleId="FootnoteTextCharChar1Char">
    <w:name w:val="Footnote Text Char Char1 Char"/>
    <w:aliases w:val=" Char Char,Footnote Text Char Char Char Char,Footnote Text Char Char Char1,Footnote Text Char Char2,Footnote Text Char1 Char Char,Footnote Text Char1 Char1,Footnote Text Char1 Char1 Char Cha,Footnote Text Char2 Char,fn Char"/>
    <w:rsid w:val="004B05F7"/>
    <w:rPr>
      <w:sz w:val="26"/>
      <w:lang w:val="en-US" w:eastAsia="en-US" w:bidi="ar-SA"/>
    </w:rPr>
  </w:style>
  <w:style w:type="character" w:customStyle="1" w:styleId="FERCparanumberCharChar">
    <w:name w:val="FERC paranumber Char Char"/>
    <w:rsid w:val="004B05F7"/>
    <w:rPr>
      <w:sz w:val="26"/>
      <w:szCs w:val="26"/>
      <w:lang w:val="en-US" w:eastAsia="en-US" w:bidi="ar-SA"/>
    </w:rPr>
  </w:style>
  <w:style w:type="character" w:styleId="FollowedHyperlink">
    <w:name w:val="FollowedHyperlink"/>
    <w:rsid w:val="004B05F7"/>
    <w:rPr>
      <w:color w:val="800080"/>
      <w:u w:val="single"/>
    </w:rPr>
  </w:style>
  <w:style w:type="character" w:styleId="Strong">
    <w:name w:val="Strong"/>
    <w:qFormat/>
    <w:rsid w:val="00E51CEB"/>
    <w:rPr>
      <w:b/>
      <w:bCs/>
    </w:rPr>
  </w:style>
  <w:style w:type="paragraph" w:customStyle="1" w:styleId="Default">
    <w:name w:val="Default"/>
    <w:rsid w:val="00214318"/>
    <w:pPr>
      <w:autoSpaceDE w:val="0"/>
      <w:autoSpaceDN w:val="0"/>
      <w:adjustRightInd w:val="0"/>
    </w:pPr>
    <w:rPr>
      <w:color w:val="000000"/>
      <w:sz w:val="24"/>
      <w:szCs w:val="24"/>
    </w:rPr>
  </w:style>
  <w:style w:type="paragraph" w:customStyle="1" w:styleId="CCHCHART">
    <w:name w:val="CCHCHART"/>
    <w:rsid w:val="00B91803"/>
    <w:pPr>
      <w:widowControl w:val="0"/>
      <w:autoSpaceDE w:val="0"/>
      <w:autoSpaceDN w:val="0"/>
      <w:adjustRightInd w:val="0"/>
    </w:pPr>
    <w:rPr>
      <w:rFonts w:ascii="Courier New" w:hAnsi="Courier New" w:cs="Courier New"/>
    </w:rPr>
  </w:style>
  <w:style w:type="paragraph" w:styleId="BalloonText">
    <w:name w:val="Balloon Text"/>
    <w:basedOn w:val="Normal"/>
    <w:semiHidden/>
    <w:rsid w:val="00C90ED6"/>
    <w:rPr>
      <w:rFonts w:ascii="Tahoma" w:hAnsi="Tahoma" w:cs="Tahoma"/>
      <w:sz w:val="16"/>
      <w:szCs w:val="16"/>
    </w:rPr>
  </w:style>
  <w:style w:type="character" w:styleId="CommentReference">
    <w:name w:val="annotation reference"/>
    <w:semiHidden/>
    <w:rsid w:val="00A214D1"/>
    <w:rPr>
      <w:sz w:val="16"/>
      <w:szCs w:val="16"/>
    </w:rPr>
  </w:style>
  <w:style w:type="paragraph" w:styleId="CommentText">
    <w:name w:val="annotation text"/>
    <w:basedOn w:val="Normal"/>
    <w:semiHidden/>
    <w:rsid w:val="00A214D1"/>
    <w:rPr>
      <w:sz w:val="20"/>
      <w:szCs w:val="20"/>
    </w:rPr>
  </w:style>
  <w:style w:type="paragraph" w:styleId="CommentSubject">
    <w:name w:val="annotation subject"/>
    <w:basedOn w:val="CommentText"/>
    <w:next w:val="CommentText"/>
    <w:semiHidden/>
    <w:rsid w:val="00A214D1"/>
    <w:rPr>
      <w:b/>
      <w:bCs/>
    </w:rPr>
  </w:style>
  <w:style w:type="paragraph" w:styleId="Revision">
    <w:name w:val="Revision"/>
    <w:hidden/>
    <w:uiPriority w:val="99"/>
    <w:semiHidden/>
    <w:rsid w:val="007129A6"/>
    <w:rPr>
      <w:sz w:val="24"/>
      <w:szCs w:val="24"/>
    </w:rPr>
  </w:style>
  <w:style w:type="character" w:customStyle="1" w:styleId="FootnoteTextChar2">
    <w:name w:val="Footnote Text Char2"/>
    <w:aliases w:val=" Char Char1,Char Char,Footnote Text Char Char Char Char1,Footnote Text Char Char Char2,Footnote Text Char Char1 Char1,Footnote Text Char Char3,Footnote Text Char1 Char Char1,Footnote Text Char1 Char2,fn Char1,ft Char"/>
    <w:link w:val="FootnoteText"/>
    <w:uiPriority w:val="99"/>
    <w:locked/>
    <w:rsid w:val="0020642E"/>
    <w:rPr>
      <w:sz w:val="24"/>
    </w:rPr>
  </w:style>
  <w:style w:type="paragraph" w:styleId="BodyText2">
    <w:name w:val="Body Text 2"/>
    <w:basedOn w:val="Normal"/>
    <w:link w:val="BodyText2Char"/>
    <w:uiPriority w:val="99"/>
    <w:rsid w:val="0020642E"/>
    <w:pPr>
      <w:widowControl/>
      <w:autoSpaceDE/>
      <w:autoSpaceDN/>
      <w:adjustRightInd/>
      <w:spacing w:after="120" w:line="480" w:lineRule="auto"/>
    </w:pPr>
    <w:rPr>
      <w:rFonts w:ascii="Calibri" w:eastAsia="Calibri" w:hAnsi="Calibri"/>
      <w:sz w:val="22"/>
      <w:szCs w:val="22"/>
    </w:rPr>
  </w:style>
  <w:style w:type="character" w:customStyle="1" w:styleId="BodyText2Char">
    <w:name w:val="Body Text 2 Char"/>
    <w:link w:val="BodyText2"/>
    <w:uiPriority w:val="99"/>
    <w:rsid w:val="0020642E"/>
    <w:rPr>
      <w:rFonts w:ascii="Calibri" w:eastAsia="Calibri" w:hAnsi="Calibri"/>
      <w:sz w:val="22"/>
      <w:szCs w:val="22"/>
    </w:rPr>
  </w:style>
  <w:style w:type="paragraph" w:styleId="BodyTextIndent2">
    <w:name w:val="Body Text Indent 2"/>
    <w:basedOn w:val="Normal"/>
    <w:link w:val="BodyTextIndent2Char"/>
    <w:uiPriority w:val="99"/>
    <w:unhideWhenUsed/>
    <w:rsid w:val="003E742E"/>
    <w:pPr>
      <w:widowControl/>
      <w:autoSpaceDE/>
      <w:autoSpaceDN/>
      <w:adjustRightInd/>
      <w:spacing w:after="120" w:line="480" w:lineRule="auto"/>
      <w:ind w:left="360"/>
    </w:pPr>
    <w:rPr>
      <w:rFonts w:ascii="Calibri" w:eastAsia="Calibri" w:hAnsi="Calibri"/>
      <w:sz w:val="22"/>
      <w:szCs w:val="22"/>
    </w:rPr>
  </w:style>
  <w:style w:type="character" w:customStyle="1" w:styleId="BodyTextIndent2Char">
    <w:name w:val="Body Text Indent 2 Char"/>
    <w:link w:val="BodyTextIndent2"/>
    <w:uiPriority w:val="99"/>
    <w:rsid w:val="003E742E"/>
    <w:rPr>
      <w:rFonts w:ascii="Calibri" w:eastAsia="Calibri" w:hAnsi="Calibri"/>
      <w:sz w:val="22"/>
      <w:szCs w:val="22"/>
    </w:rPr>
  </w:style>
  <w:style w:type="character" w:customStyle="1" w:styleId="FootnoteTextChar2CharChar">
    <w:name w:val="Footnote Text Char2 Char Char"/>
    <w:aliases w:val="Footnote Text Char Char Char Char Char Char,Footnote Text Char Char1 Char Char,Footnote Text Char1 Char Char Char Char,Footnote Text Char1 Char Char Char Char Char Char Char Char"/>
    <w:rsid w:val="00584833"/>
    <w:rPr>
      <w:sz w:val="22"/>
    </w:rPr>
  </w:style>
  <w:style w:type="paragraph" w:styleId="ListParagraph">
    <w:name w:val="List Paragraph"/>
    <w:basedOn w:val="Normal"/>
    <w:uiPriority w:val="34"/>
    <w:qFormat/>
    <w:rsid w:val="0018303F"/>
    <w:pPr>
      <w:ind w:left="720"/>
      <w:contextualSpacing/>
    </w:pPr>
  </w:style>
  <w:style w:type="character" w:styleId="UnresolvedMention">
    <w:name w:val="Unresolved Mention"/>
    <w:basedOn w:val="DefaultParagraphFont"/>
    <w:uiPriority w:val="99"/>
    <w:semiHidden/>
    <w:unhideWhenUsed/>
    <w:rsid w:val="00EE65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yperlink" Target="https://www.ferc.gov/information-collections"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492A12D26BD054EAF7308A64C3FCB4C" ma:contentTypeVersion="8" ma:contentTypeDescription="Create a new document." ma:contentTypeScope="" ma:versionID="fd0c4adefb7ccba3149275f5b9dfc032">
  <xsd:schema xmlns:xsd="http://www.w3.org/2001/XMLSchema" xmlns:xs="http://www.w3.org/2001/XMLSchema" xmlns:p="http://schemas.microsoft.com/office/2006/metadata/properties" xmlns:ns2="5a7c6213-c3f8-4376-93f2-dc58e5c51d54" xmlns:ns3="7d39e18b-330b-455b-b1d2-f8885a4d610b" targetNamespace="http://schemas.microsoft.com/office/2006/metadata/properties" ma:root="true" ma:fieldsID="6322b8441fcd377c4a88bb2f6790f021" ns2:_="" ns3:_="">
    <xsd:import namespace="5a7c6213-c3f8-4376-93f2-dc58e5c51d54"/>
    <xsd:import namespace="7d39e18b-330b-455b-b1d2-f8885a4d610b"/>
    <xsd:element name="properties">
      <xsd:complexType>
        <xsd:sequence>
          <xsd:element name="documentManagement">
            <xsd:complexType>
              <xsd:all>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39e18b-330b-455b-b1d2-f8885a4d610b" elementFormDefault="qualified">
    <xsd:import namespace="http://schemas.microsoft.com/office/2006/documentManagement/types"/>
    <xsd:import namespace="http://schemas.microsoft.com/office/infopath/2007/PartnerControls"/>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F86FB-E6A7-454D-AC9C-D3C4AAD22445}">
  <ds:schemaRefs>
    <ds:schemaRef ds:uri="http://schemas.microsoft.com/office/2006/metadata/longProperties"/>
  </ds:schemaRefs>
</ds:datastoreItem>
</file>

<file path=customXml/itemProps2.xml><?xml version="1.0" encoding="utf-8"?>
<ds:datastoreItem xmlns:ds="http://schemas.openxmlformats.org/officeDocument/2006/customXml" ds:itemID="{05BF8446-5D88-4D75-B1D0-2DAAA67E098E}">
  <ds:schemaRefs>
    <ds:schemaRef ds:uri="http://schemas.microsoft.com/sharepoint/v3/contenttype/forms"/>
  </ds:schemaRefs>
</ds:datastoreItem>
</file>

<file path=customXml/itemProps3.xml><?xml version="1.0" encoding="utf-8"?>
<ds:datastoreItem xmlns:ds="http://schemas.openxmlformats.org/officeDocument/2006/customXml" ds:itemID="{937CA544-39B8-428A-80DD-A23F11F3F4F8}">
  <ds:schemaRefs>
    <ds:schemaRef ds:uri="http://purl.org/dc/terms/"/>
    <ds:schemaRef ds:uri="http://schemas.openxmlformats.org/package/2006/metadata/core-properties"/>
    <ds:schemaRef ds:uri="http://schemas.microsoft.com/office/2006/documentManagement/types"/>
    <ds:schemaRef ds:uri="5a7c6213-c3f8-4376-93f2-dc58e5c51d54"/>
    <ds:schemaRef ds:uri="http://purl.org/dc/elements/1.1/"/>
    <ds:schemaRef ds:uri="http://schemas.microsoft.com/office/2006/metadata/properties"/>
    <ds:schemaRef ds:uri="http://schemas.microsoft.com/office/infopath/2007/PartnerControls"/>
    <ds:schemaRef ds:uri="7d39e18b-330b-455b-b1d2-f8885a4d610b"/>
    <ds:schemaRef ds:uri="http://www.w3.org/XML/1998/namespace"/>
    <ds:schemaRef ds:uri="http://purl.org/dc/dcmitype/"/>
  </ds:schemaRefs>
</ds:datastoreItem>
</file>

<file path=customXml/itemProps4.xml><?xml version="1.0" encoding="utf-8"?>
<ds:datastoreItem xmlns:ds="http://schemas.openxmlformats.org/officeDocument/2006/customXml" ds:itemID="{190D1AF3-A971-4B84-86DC-EFE95CA92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c6213-c3f8-4376-93f2-dc58e5c51d54"/>
    <ds:schemaRef ds:uri="7d39e18b-330b-455b-b1d2-f8885a4d61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1A44514-5C84-4FC0-B4F8-F58FDB054117}">
  <ds:schemaRefs>
    <ds:schemaRef ds:uri="http://schemas.openxmlformats.org/officeDocument/2006/bibliography"/>
  </ds:schemaRefs>
</ds:datastoreItem>
</file>

<file path=customXml/itemProps6.xml><?xml version="1.0" encoding="utf-8"?>
<ds:datastoreItem xmlns:ds="http://schemas.openxmlformats.org/officeDocument/2006/customXml" ds:itemID="{8CE9634B-225D-4538-936F-71F44292D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1812</Words>
  <Characters>10333</Characters>
  <Application>Microsoft Office Word</Application>
  <DocSecurity>0</DocSecurity>
  <Lines>86</Lines>
  <Paragraphs>24</Paragraphs>
  <ScaleCrop>false</ScaleCrop>
  <Company>FERC</Company>
  <LinksUpToDate>false</LinksUpToDate>
  <CharactersWithSpaces>12121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FERC-546 supporting statement</dc:title>
  <dc:creator>Heather Dowding</dc:creator>
  <cp:lastModifiedBy>Christopher Kozler</cp:lastModifiedBy>
  <cp:revision>4</cp:revision>
  <cp:lastPrinted>2009-06-08T18:25:00Z</cp:lastPrinted>
  <dcterms:created xsi:type="dcterms:W3CDTF">2025-03-07T17:27:00Z</dcterms:created>
  <dcterms:modified xsi:type="dcterms:W3CDTF">2025-03-11T19:51:00Z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1. Collection Number">
    <vt:lpwstr>546</vt:lpwstr>
  </property>
  <property fmtid="{D5CDD505-2E9C-101B-9397-08002B2CF9AE}" pid="3" name="1. Docket Number">
    <vt:lpwstr>IC19-3</vt:lpwstr>
  </property>
  <property fmtid="{D5CDD505-2E9C-101B-9397-08002B2CF9AE}" pid="4" name="2. Collection Number">
    <vt:lpwstr/>
  </property>
  <property fmtid="{D5CDD505-2E9C-101B-9397-08002B2CF9AE}" pid="5" name="2. Docket Number">
    <vt:lpwstr/>
  </property>
  <property fmtid="{D5CDD505-2E9C-101B-9397-08002B2CF9AE}" pid="6" name="3. Collection Number">
    <vt:lpwstr/>
  </property>
  <property fmtid="{D5CDD505-2E9C-101B-9397-08002B2CF9AE}" pid="7" name="3. Docket Number">
    <vt:lpwstr/>
  </property>
  <property fmtid="{D5CDD505-2E9C-101B-9397-08002B2CF9AE}" pid="8" name="ContentTypeId">
    <vt:lpwstr>0x0101006492A12D26BD054EAF7308A64C3FCB4C</vt:lpwstr>
  </property>
  <property fmtid="{D5CDD505-2E9C-101B-9397-08002B2CF9AE}" pid="9" name="Date">
    <vt:lpwstr>2019-01-24T00:00:00Z</vt:lpwstr>
  </property>
  <property fmtid="{D5CDD505-2E9C-101B-9397-08002B2CF9AE}" pid="10" name="MSIP_Label_bd24d06a-0e85-4d57-b1e0-ba34b1abc708_ActionId">
    <vt:lpwstr>7509d83a-8407-4947-978a-c98548ce5167</vt:lpwstr>
  </property>
  <property fmtid="{D5CDD505-2E9C-101B-9397-08002B2CF9AE}" pid="11" name="MSIP_Label_bd24d06a-0e85-4d57-b1e0-ba34b1abc708_ContentBits">
    <vt:lpwstr>0</vt:lpwstr>
  </property>
  <property fmtid="{D5CDD505-2E9C-101B-9397-08002B2CF9AE}" pid="12" name="MSIP_Label_bd24d06a-0e85-4d57-b1e0-ba34b1abc708_Enabled">
    <vt:lpwstr>true</vt:lpwstr>
  </property>
  <property fmtid="{D5CDD505-2E9C-101B-9397-08002B2CF9AE}" pid="13" name="MSIP_Label_bd24d06a-0e85-4d57-b1e0-ba34b1abc708_Method">
    <vt:lpwstr>Privileged</vt:lpwstr>
  </property>
  <property fmtid="{D5CDD505-2E9C-101B-9397-08002B2CF9AE}" pid="14" name="MSIP_Label_bd24d06a-0e85-4d57-b1e0-ba34b1abc708_Name">
    <vt:lpwstr>bd24d06a-0e85-4d57-b1e0-ba34b1abc708</vt:lpwstr>
  </property>
  <property fmtid="{D5CDD505-2E9C-101B-9397-08002B2CF9AE}" pid="15" name="MSIP_Label_bd24d06a-0e85-4d57-b1e0-ba34b1abc708_SetDate">
    <vt:lpwstr>2025-01-22T19:13:21Z</vt:lpwstr>
  </property>
  <property fmtid="{D5CDD505-2E9C-101B-9397-08002B2CF9AE}" pid="16" name="MSIP_Label_bd24d06a-0e85-4d57-b1e0-ba34b1abc708_SiteId">
    <vt:lpwstr>19caa9e9-04ff-43fa-885f-d77fac387903</vt:lpwstr>
  </property>
  <property fmtid="{D5CDD505-2E9C-101B-9397-08002B2CF9AE}" pid="17" name="Renewal Document Type">
    <vt:lpwstr>OMB Supporting Statement</vt:lpwstr>
  </property>
  <property fmtid="{D5CDD505-2E9C-101B-9397-08002B2CF9AE}" pid="18" name="Rulemaking Document Type">
    <vt:lpwstr>None</vt:lpwstr>
  </property>
  <property fmtid="{D5CDD505-2E9C-101B-9397-08002B2CF9AE}" pid="19" name="Status">
    <vt:lpwstr>Draft</vt:lpwstr>
  </property>
  <property fmtid="{D5CDD505-2E9C-101B-9397-08002B2CF9AE}" pid="20" name="_DocHome">
    <vt:i4>1935980585</vt:i4>
  </property>
</Properties>
</file>