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rsidP="00722B85" w14:paraId="01E59A3B" w14:textId="021D3518">
      <w:pPr>
        <w:pStyle w:val="Title"/>
        <w:widowControl/>
        <w:rPr>
          <w:sz w:val="28"/>
          <w:szCs w:val="28"/>
          <w:u w:val="none"/>
        </w:rPr>
      </w:pPr>
      <w:r w:rsidRPr="7827EEF5">
        <w:rPr>
          <w:sz w:val="28"/>
          <w:szCs w:val="28"/>
          <w:u w:val="none"/>
        </w:rPr>
        <w:t>Department of Transportation</w:t>
      </w:r>
    </w:p>
    <w:p w:rsidR="00470720" w:rsidRPr="005612EB" w:rsidP="00722B85" w14:paraId="605A6EF9" w14:textId="6AF8305E">
      <w:pPr>
        <w:pStyle w:val="Title"/>
        <w:widowControl/>
        <w:outlineLvl w:val="0"/>
        <w:rPr>
          <w:sz w:val="32"/>
          <w:szCs w:val="32"/>
        </w:rPr>
      </w:pPr>
      <w:r>
        <w:rPr>
          <w:sz w:val="28"/>
          <w:szCs w:val="28"/>
          <w:u w:val="none"/>
        </w:rPr>
        <w:t>Federal Motor Carrier Safety Administration</w:t>
      </w:r>
    </w:p>
    <w:p w:rsidR="00470720" w:rsidRPr="005612EB" w:rsidP="00722B85" w14:paraId="08602061" w14:textId="77777777">
      <w:pPr>
        <w:pStyle w:val="Title"/>
        <w:widowControl/>
      </w:pPr>
    </w:p>
    <w:p w:rsidR="0004749E" w:rsidRPr="00DE585A" w:rsidP="00722B85" w14:paraId="6AC6CC27" w14:textId="77777777">
      <w:pPr>
        <w:pStyle w:val="Title"/>
        <w:widowControl/>
        <w:outlineLvl w:val="0"/>
        <w:rPr>
          <w:u w:val="none"/>
        </w:rPr>
      </w:pPr>
      <w:r w:rsidRPr="00DE585A">
        <w:rPr>
          <w:u w:val="none"/>
        </w:rPr>
        <w:t>SUPPORTING STATEMENT</w:t>
      </w:r>
    </w:p>
    <w:p w:rsidR="00DE585A" w:rsidP="00722B85" w14:paraId="6792E6BB" w14:textId="77777777">
      <w:pPr>
        <w:widowControl/>
        <w:jc w:val="center"/>
        <w:rPr>
          <w:b/>
          <w:bCs/>
        </w:rPr>
      </w:pPr>
      <w:r>
        <w:rPr>
          <w:b/>
          <w:bCs/>
        </w:rPr>
        <w:t>Commercial Driver Licensing and Testing Standards</w:t>
      </w:r>
    </w:p>
    <w:p w:rsidR="00BA732E" w:rsidP="00722B85" w14:paraId="033C66A0" w14:textId="771ED8AB">
      <w:pPr>
        <w:widowControl/>
        <w:jc w:val="center"/>
        <w:rPr>
          <w:b/>
          <w:bCs/>
        </w:rPr>
      </w:pPr>
      <w:r>
        <w:rPr>
          <w:b/>
          <w:bCs/>
        </w:rPr>
        <w:t>OMB Control No. 2126-0011</w:t>
      </w:r>
    </w:p>
    <w:p w:rsidR="00BA732E" w:rsidP="00722B85" w14:paraId="29239361" w14:textId="77777777">
      <w:pPr>
        <w:widowControl/>
        <w:jc w:val="center"/>
        <w:rPr>
          <w:color w:val="FF0000"/>
        </w:rPr>
      </w:pPr>
    </w:p>
    <w:p w:rsidR="0004749E" w:rsidRPr="005612EB" w:rsidP="00722B85" w14:paraId="09AA89CD" w14:textId="77777777">
      <w:pPr>
        <w:widowControl/>
        <w:rPr>
          <w:b/>
          <w:bCs/>
        </w:rPr>
      </w:pPr>
    </w:p>
    <w:p w:rsidR="00823467" w:rsidP="00722B85" w14:paraId="57B419D8" w14:textId="70B76C60">
      <w:pPr>
        <w:pStyle w:val="Subtitle"/>
        <w:widowControl/>
        <w:outlineLvl w:val="0"/>
      </w:pPr>
      <w:r>
        <w:t>SUMMARY</w:t>
      </w:r>
    </w:p>
    <w:p w:rsidR="00CE0927" w:rsidP="00722B85" w14:paraId="47C5902B" w14:textId="77777777">
      <w:pPr>
        <w:pStyle w:val="Subtitle"/>
        <w:widowControl/>
        <w:outlineLvl w:val="0"/>
      </w:pPr>
    </w:p>
    <w:p w:rsidR="00FD6430" w:rsidP="00FD6430" w14:paraId="6F19F3B0" w14:textId="319E2038">
      <w:pPr>
        <w:pStyle w:val="ListParagraph"/>
        <w:numPr>
          <w:ilvl w:val="0"/>
          <w:numId w:val="23"/>
        </w:numPr>
        <w:rPr>
          <w:color w:val="000000"/>
        </w:rPr>
      </w:pPr>
      <w:r w:rsidRPr="14056DD7">
        <w:rPr>
          <w:color w:val="000000" w:themeColor="text1"/>
        </w:rPr>
        <w:t>This ICR is a</w:t>
      </w:r>
      <w:r w:rsidR="00697D77">
        <w:rPr>
          <w:color w:val="000000" w:themeColor="text1"/>
        </w:rPr>
        <w:t>n extension of a currently approved collection.</w:t>
      </w:r>
      <w:r w:rsidRPr="14056DD7">
        <w:rPr>
          <w:color w:val="000000" w:themeColor="text1"/>
        </w:rPr>
        <w:t xml:space="preserve"> </w:t>
      </w:r>
    </w:p>
    <w:p w:rsidR="30A8FF3E" w:rsidRPr="004554F0" w:rsidP="004554F0" w14:paraId="7C8DC9AF" w14:textId="36CD3D6B">
      <w:pPr>
        <w:pStyle w:val="ListParagraph"/>
        <w:numPr>
          <w:ilvl w:val="0"/>
          <w:numId w:val="23"/>
        </w:numPr>
        <w:rPr>
          <w:color w:val="000000" w:themeColor="text1"/>
        </w:rPr>
      </w:pPr>
      <w:r>
        <w:t xml:space="preserve">The total annual burden hour </w:t>
      </w:r>
      <w:r>
        <w:t>increase</w:t>
      </w:r>
      <w:r>
        <w:t xml:space="preserve"> of 105,834 hours [2,806,735 proposed annual burden hours – 2,700,901 currently approved annual burden hours] is due to </w:t>
      </w:r>
      <w:r w:rsidRPr="5ECFBCA2">
        <w:rPr>
          <w:color w:val="000000" w:themeColor="text1"/>
        </w:rPr>
        <w:t>an increase in the number of CDL holders. Additionally, there was a 17,96</w:t>
      </w:r>
      <w:r w:rsidRPr="5ECFBCA2" w:rsidR="7808F325">
        <w:rPr>
          <w:color w:val="000000" w:themeColor="text1"/>
        </w:rPr>
        <w:t>3</w:t>
      </w:r>
      <w:r w:rsidRPr="5ECFBCA2">
        <w:rPr>
          <w:color w:val="000000" w:themeColor="text1"/>
        </w:rPr>
        <w:t xml:space="preserve"> increase in the number of respondents, and a $</w:t>
      </w:r>
      <w:r w:rsidRPr="5ECFBCA2" w:rsidR="1C458C19">
        <w:rPr>
          <w:color w:val="000000" w:themeColor="text1"/>
        </w:rPr>
        <w:t>44,014,896</w:t>
      </w:r>
      <w:r w:rsidRPr="5ECFBCA2">
        <w:rPr>
          <w:color w:val="000000" w:themeColor="text1"/>
        </w:rPr>
        <w:t xml:space="preserve"> decrease in the respondent cost. Please see section 15 for details on the proposed changes.</w:t>
      </w:r>
    </w:p>
    <w:p w:rsidR="00823467" w:rsidP="00722B85" w14:paraId="2B2DACA5" w14:textId="77777777">
      <w:pPr>
        <w:pStyle w:val="Subtitle"/>
        <w:widowControl/>
        <w:outlineLvl w:val="0"/>
      </w:pPr>
    </w:p>
    <w:p w:rsidR="0004749E" w:rsidRPr="005612EB" w:rsidP="00722B85" w14:paraId="6E75263B" w14:textId="158984B0">
      <w:pPr>
        <w:pStyle w:val="Subtitle"/>
        <w:widowControl/>
        <w:outlineLvl w:val="0"/>
      </w:pPr>
      <w:r w:rsidRPr="005612EB">
        <w:t>INTRODUCTION</w:t>
      </w:r>
    </w:p>
    <w:p w:rsidR="0004749E" w:rsidRPr="005612EB" w:rsidP="00722B85" w14:paraId="1F489E72" w14:textId="77777777">
      <w:pPr>
        <w:widowControl/>
        <w:rPr>
          <w:b/>
          <w:bCs/>
        </w:rPr>
      </w:pPr>
    </w:p>
    <w:p w:rsidR="00C41BDD" w:rsidRPr="00C41BDD" w:rsidP="00722B85" w14:paraId="0F012636" w14:textId="7AF796D3">
      <w:pPr>
        <w:widowControl/>
      </w:pPr>
      <w:r>
        <w:t>This is to request the Office of Management and Budget</w:t>
      </w:r>
      <w:r w:rsidR="00C92625">
        <w:t>’s</w:t>
      </w:r>
      <w:r>
        <w:t xml:space="preserve"> (OMB’s) </w:t>
      </w:r>
      <w:r w:rsidR="001F4BB9">
        <w:t xml:space="preserve">approval for the </w:t>
      </w:r>
      <w:r w:rsidR="00B675ED">
        <w:t xml:space="preserve">extension </w:t>
      </w:r>
      <w:r w:rsidR="001F4BB9">
        <w:t>of</w:t>
      </w:r>
      <w:r>
        <w:t xml:space="preserve"> </w:t>
      </w:r>
      <w:bookmarkStart w:id="0" w:name="_Hlk508097147"/>
      <w:r>
        <w:t>the information collection titled “Commercial Driver Licensing and Testing Standards” (OMB Control No. 2126-0011)</w:t>
      </w:r>
      <w:bookmarkEnd w:id="0"/>
      <w:r>
        <w:t>, which is currently d</w:t>
      </w:r>
      <w:r w:rsidR="009A41D9">
        <w:t xml:space="preserve">ue to expire on </w:t>
      </w:r>
      <w:r w:rsidR="001F4BB9">
        <w:t>April 30, 2025</w:t>
      </w:r>
      <w:r>
        <w:t xml:space="preserve">.  </w:t>
      </w:r>
      <w:r w:rsidR="00E36238">
        <w:t xml:space="preserve">In lieu of publishing a 60-day notice, FMCSA published an NPRM titled </w:t>
      </w:r>
      <w:r w:rsidR="00F25F7D">
        <w:t xml:space="preserve">“Amendments to the Commercial Driver’s License Requirements; Increased Flexibility for Testing and for Drivers After Passing the Skills Test” </w:t>
      </w:r>
      <w:r w:rsidR="00E36238">
        <w:t>(</w:t>
      </w:r>
      <w:r w:rsidR="00F25F7D">
        <w:t xml:space="preserve">RIN 2126-AC46, </w:t>
      </w:r>
      <w:r w:rsidR="00E36238">
        <w:t xml:space="preserve">89 FR 7327) </w:t>
      </w:r>
      <w:r w:rsidR="00F25F7D">
        <w:t xml:space="preserve">on February 2, 2024. </w:t>
      </w:r>
      <w:r w:rsidR="00E36238">
        <w:t>That NPRM included proposed changes to the information collection covered by this IC</w:t>
      </w:r>
      <w:r w:rsidR="002949E2">
        <w:t>R</w:t>
      </w:r>
      <w:r w:rsidR="00E36238">
        <w:t>. FMCSA intended to publish a final rule before the cu</w:t>
      </w:r>
      <w:r w:rsidR="00D7108B">
        <w:t>rrent IC</w:t>
      </w:r>
      <w:r w:rsidR="002949E2">
        <w:t>R</w:t>
      </w:r>
      <w:r w:rsidR="00D7108B">
        <w:t xml:space="preserve"> expired. </w:t>
      </w:r>
      <w:r w:rsidR="00F25F7D">
        <w:t xml:space="preserve">Unfortunately, with the rulemaking freeze following </w:t>
      </w:r>
      <w:r w:rsidR="00D7108B">
        <w:t>the</w:t>
      </w:r>
      <w:r w:rsidR="00F25F7D">
        <w:t xml:space="preserve"> change in Administration, the final rule will not be published in time to avoid the ICR expiration</w:t>
      </w:r>
      <w:r w:rsidR="00D7108B">
        <w:t xml:space="preserve">. Thus, </w:t>
      </w:r>
      <w:r w:rsidR="00F25F7D">
        <w:t xml:space="preserve">a 30-day </w:t>
      </w:r>
      <w:r w:rsidR="00D7108B">
        <w:t>notice</w:t>
      </w:r>
      <w:r w:rsidR="00F25F7D">
        <w:t xml:space="preserve"> is being published to address the extension of the </w:t>
      </w:r>
      <w:r w:rsidR="00D7108B">
        <w:t>current</w:t>
      </w:r>
      <w:r w:rsidR="00F25F7D">
        <w:t xml:space="preserve"> IC</w:t>
      </w:r>
      <w:r w:rsidR="002949E2">
        <w:t xml:space="preserve">R </w:t>
      </w:r>
      <w:r w:rsidR="00D7108B">
        <w:t>without any</w:t>
      </w:r>
      <w:r w:rsidR="00F25F7D">
        <w:t xml:space="preserve"> </w:t>
      </w:r>
      <w:r w:rsidR="00D7108B">
        <w:t xml:space="preserve">of the </w:t>
      </w:r>
      <w:r w:rsidR="00F25F7D">
        <w:t xml:space="preserve">changes that were proposed </w:t>
      </w:r>
      <w:r w:rsidR="00D7108B">
        <w:t>in</w:t>
      </w:r>
      <w:r w:rsidR="00F25F7D">
        <w:t xml:space="preserve"> the NPRM.</w:t>
      </w:r>
      <w:r w:rsidR="00C10B85">
        <w:t xml:space="preserve"> </w:t>
      </w:r>
      <w:r w:rsidR="002949E2">
        <w:t xml:space="preserve"> </w:t>
      </w:r>
      <w:r>
        <w:t>This current submission includes all information collection requirements contained in title 49 CFR part 383, titled</w:t>
      </w:r>
      <w:r w:rsidRPr="5ECFBCA2">
        <w:rPr>
          <w:i/>
          <w:iCs/>
        </w:rPr>
        <w:t xml:space="preserve"> </w:t>
      </w:r>
      <w:r>
        <w:t>“Commercial Driver's License Standards</w:t>
      </w:r>
      <w:r w:rsidR="00BF2D5B">
        <w:t>;</w:t>
      </w:r>
      <w:r>
        <w:t xml:space="preserve"> Requirements and Penalties</w:t>
      </w:r>
      <w:r w:rsidRPr="5ECFBCA2">
        <w:rPr>
          <w:i/>
          <w:iCs/>
        </w:rPr>
        <w:t>”</w:t>
      </w:r>
      <w:r>
        <w:t xml:space="preserve"> (Attachment A) and title 49 CFR part 384 titled, </w:t>
      </w:r>
      <w:r w:rsidRPr="5ECFBCA2">
        <w:rPr>
          <w:i/>
          <w:iCs/>
        </w:rPr>
        <w:t>“</w:t>
      </w:r>
      <w:r>
        <w:t>State Compliance with Commercial Driver’s License Program” (Attachment B).</w:t>
      </w:r>
    </w:p>
    <w:p w:rsidR="0004749E" w:rsidRPr="005612EB" w:rsidP="00722B85" w14:paraId="0555A122" w14:textId="77777777">
      <w:pPr>
        <w:widowControl/>
        <w:rPr>
          <w:b/>
          <w:bCs/>
        </w:rPr>
      </w:pPr>
    </w:p>
    <w:p w:rsidR="0004749E" w:rsidRPr="005612EB" w:rsidP="00722B85" w14:paraId="41134322" w14:textId="77777777">
      <w:pPr>
        <w:widowControl/>
        <w:tabs>
          <w:tab w:val="left" w:pos="-1440"/>
          <w:tab w:val="left" w:pos="-720"/>
        </w:tabs>
        <w:outlineLvl w:val="0"/>
        <w:rPr>
          <w:b/>
          <w:bCs/>
        </w:rPr>
      </w:pPr>
      <w:r w:rsidRPr="005612EB">
        <w:rPr>
          <w:b/>
          <w:bCs/>
          <w:u w:val="single"/>
        </w:rPr>
        <w:t>Part A. Justification</w:t>
      </w:r>
    </w:p>
    <w:p w:rsidR="0004749E" w:rsidRPr="005612EB" w:rsidP="00722B85" w14:paraId="1B034885" w14:textId="77777777">
      <w:pPr>
        <w:widowControl/>
        <w:tabs>
          <w:tab w:val="left" w:pos="-1440"/>
          <w:tab w:val="left" w:pos="-720"/>
        </w:tabs>
        <w:rPr>
          <w:b/>
          <w:bCs/>
        </w:rPr>
      </w:pPr>
    </w:p>
    <w:p w:rsidR="00C41BDD" w:rsidRPr="00DE585A" w:rsidP="00722B85" w14:paraId="6801CFA2" w14:textId="18287397">
      <w:pPr>
        <w:widowControl/>
        <w:numPr>
          <w:ilvl w:val="0"/>
          <w:numId w:val="2"/>
        </w:numPr>
        <w:tabs>
          <w:tab w:val="left" w:pos="-1440"/>
          <w:tab w:val="left" w:pos="-720"/>
        </w:tabs>
        <w:rPr>
          <w:b/>
          <w:bCs/>
          <w:u w:val="single"/>
        </w:rPr>
      </w:pPr>
      <w:r w:rsidRPr="00BE2F04">
        <w:rPr>
          <w:b/>
          <w:bCs/>
        </w:rPr>
        <w:t>CIRCUMSTANCES THAT MAKE THE COLLECTION OF INFORMATION NECESSARY</w:t>
      </w:r>
      <w:r w:rsidRPr="00BE2F04">
        <w:rPr>
          <w:b/>
          <w:bCs/>
        </w:rPr>
        <w:br/>
      </w:r>
    </w:p>
    <w:p w:rsidR="004B675F" w:rsidRPr="004B675F" w:rsidP="6217EC0E" w14:paraId="38CE583D" w14:textId="1E744744">
      <w:pPr>
        <w:widowControl/>
      </w:pPr>
      <w:r>
        <w:t xml:space="preserve">The licensed drivers in the United States deserve reasonable assurances that their fellow motorists are properly qualified to drive the vehicles they operate.  Before the Commercial Motor Vehicle Safety Act of 1986 (CMVSA or the Act) (Pub. L. No. 99 570, Title XII, 100 Stat. 3207-170, codified at 49 USC chapter 313) </w:t>
      </w:r>
      <w:r w:rsidR="002B29E0">
        <w:t xml:space="preserve">(Attachment C) </w:t>
      </w:r>
      <w:r>
        <w:t xml:space="preserve">was signed by the President on October 27, 1986, 18 States and the District of Columbia authorized any person licensed to drive an automobile to also legally drive a large truck or bus.  No special training or special license was required to drive these vehicles, even though it was widely recognized that operation of certain types of vehicles called for special skills, knowledge, and training.  Even in the 32 States that had a classified driver licensing system in place, only 12 of these States required an </w:t>
      </w:r>
      <w:r>
        <w:t>applicant to take a skills test in a representative vehicle.  Equally serious was the problem of drivers possessing multiple driver licenses.  By spreading their convictions among several States, CMV drivers could avoid punishment for their infringements, and stay behind the wheel.</w:t>
      </w:r>
    </w:p>
    <w:p w:rsidR="004B675F" w:rsidP="0063660E" w14:paraId="4E73EE69" w14:textId="77777777">
      <w:pPr>
        <w:widowControl/>
        <w:tabs>
          <w:tab w:val="left" w:pos="-1440"/>
          <w:tab w:val="left" w:pos="-720"/>
        </w:tabs>
      </w:pPr>
    </w:p>
    <w:p w:rsidR="004B675F" w:rsidP="59D91CA5" w14:paraId="5F1BEB6F" w14:textId="106A2D9D">
      <w:pPr>
        <w:widowControl/>
      </w:pPr>
      <w:r>
        <w:t xml:space="preserve">The CMVSA addressed these problems by requiring the Federal government to act and place minimum standards on all jurisdictions including the District of Columbia.  Section 12002 of the Act made it illegal for a CMV operator to have more than one driver's license.  Section 12003 required the CMV driver conducting operations in commerce to notify both the designated State of licensure official and the driver's employer of any convictions of State or local laws relating to traffic control (except parking tickets).  This section also required the promulgation of regulations to ensure each person who applies for employment as a CMV operator to notify prospective employers of all previous employment as a CMV operator for at least the previous 10 years. </w:t>
      </w:r>
    </w:p>
    <w:p w:rsidR="00B96D7E" w:rsidRPr="004B675F" w:rsidP="0063660E" w14:paraId="54649190" w14:textId="77777777">
      <w:pPr>
        <w:widowControl/>
        <w:tabs>
          <w:tab w:val="left" w:pos="-1440"/>
          <w:tab w:val="left" w:pos="-720"/>
        </w:tabs>
      </w:pPr>
    </w:p>
    <w:p w:rsidR="004B675F" w:rsidRPr="004B675F" w:rsidP="0063660E" w14:paraId="4D23E1E8" w14:textId="77777777">
      <w:pPr>
        <w:widowControl/>
        <w:tabs>
          <w:tab w:val="left" w:pos="-1440"/>
          <w:tab w:val="left" w:pos="-720"/>
        </w:tabs>
      </w:pPr>
      <w:r w:rsidRPr="004B675F">
        <w:t>In section 12005 of the Act, the Secretary of Transportation (Secretary) is required to develop minimum Federal standards for testing and licensing of operators of CMVs. Section 12007 of the Act also directed the Secretary, in cooperation with the States, to develop a clearinghouse to aid the States in implementing the one driver, one license, and one driving record requirement.  This clearinghouse is known as the Commercial Driver’s License Information System (CDLIS).</w:t>
      </w:r>
    </w:p>
    <w:p w:rsidR="004B675F" w:rsidP="0063660E" w14:paraId="7C3B34D8" w14:textId="77777777">
      <w:pPr>
        <w:widowControl/>
        <w:tabs>
          <w:tab w:val="left" w:pos="-1440"/>
          <w:tab w:val="left" w:pos="-720"/>
        </w:tabs>
      </w:pPr>
    </w:p>
    <w:p w:rsidR="00D7108B" w:rsidP="0063660E" w14:paraId="39B53B2E" w14:textId="77777777">
      <w:pPr>
        <w:widowControl/>
        <w:tabs>
          <w:tab w:val="left" w:pos="-1440"/>
          <w:tab w:val="left" w:pos="-720"/>
        </w:tabs>
      </w:pPr>
      <w:r w:rsidRPr="004B675F">
        <w:t>The CMVSA further required each person who has their CDL suspended, revoked</w:t>
      </w:r>
      <w:r>
        <w:t>,</w:t>
      </w:r>
      <w:r w:rsidRPr="004B675F">
        <w:t xml:space="preserve"> or canceled by a State, or who is disqualified from operating a CMV for any period, to notify his or her employer of such actions.  Drivers of CMVs must notify their employers within 1 business day of being notified of the license suspension, revocation, and cancellation, or of the lost right to operate or disqualification.  </w:t>
      </w:r>
    </w:p>
    <w:p w:rsidR="00D7108B" w:rsidP="0063660E" w14:paraId="4D9B7FBB" w14:textId="77777777">
      <w:pPr>
        <w:widowControl/>
        <w:tabs>
          <w:tab w:val="left" w:pos="-1440"/>
          <w:tab w:val="left" w:pos="-720"/>
        </w:tabs>
      </w:pPr>
    </w:p>
    <w:p w:rsidR="004B675F" w:rsidRPr="004B675F" w:rsidP="0063660E" w14:paraId="1F8B85BF" w14:textId="12792C0C">
      <w:pPr>
        <w:widowControl/>
        <w:tabs>
          <w:tab w:val="left" w:pos="-1440"/>
          <w:tab w:val="left" w:pos="-720"/>
        </w:tabs>
      </w:pPr>
      <w:r w:rsidRPr="004B675F">
        <w:t xml:space="preserve">These requirements are reflected in 49 CFR part 383, titled “Commercial Driver's License Standards; Requirements and Penalties.”  Specifically, section 383.21 prohibits a person from having more than one license; </w:t>
      </w:r>
      <w:r w:rsidR="00005A7B">
        <w:t>s</w:t>
      </w:r>
      <w:r w:rsidRPr="004B675F">
        <w:t>ection 383.31 requires notification of convictions for driver violations; section 383.33 requires notification of driver's license suspensions; section 383.35 requires notification of previous employment; and section 383.37 outlines employer responsibilities.  Section 383.111 requires the passing of a knowledge test by the driver and section 383.113 requires the passing of a skills test by the driver</w:t>
      </w:r>
      <w:r w:rsidR="00005A7B">
        <w:t>.</w:t>
      </w:r>
      <w:r w:rsidRPr="004B675F">
        <w:t xml:space="preserve"> </w:t>
      </w:r>
      <w:r w:rsidR="00005A7B">
        <w:t>S</w:t>
      </w:r>
      <w:r w:rsidRPr="004B675F">
        <w:t>ection 383.115 contains the requirement for the double/triple trailer endorsement; section 383.117 contains the requirement for the passenger endorsement; section 383.119 contains the requirement for the tank vehicle endorsement; and section 383.121 contains the requirement for the hazardous materials endorsement.</w:t>
      </w:r>
    </w:p>
    <w:p w:rsidR="004B675F" w:rsidP="0063660E" w14:paraId="60A1F449" w14:textId="00B51DC1">
      <w:pPr>
        <w:widowControl/>
        <w:tabs>
          <w:tab w:val="left" w:pos="-1440"/>
          <w:tab w:val="left" w:pos="-720"/>
        </w:tabs>
      </w:pPr>
    </w:p>
    <w:p w:rsidR="001F4BB9" w:rsidP="59D91CA5" w14:paraId="0D2606DA" w14:textId="177E68CE">
      <w:pPr>
        <w:widowControl/>
      </w:pPr>
      <w:r>
        <w:t xml:space="preserve">The </w:t>
      </w:r>
      <w:r w:rsidR="006717B4">
        <w:t>NPRM titled “Amendments to the Commercial Driver’s License Requirements; Increased Flexibility for Testing and for Drivers After Passing the Skills Test” (</w:t>
      </w:r>
      <w:r>
        <w:t xml:space="preserve">89 </w:t>
      </w:r>
      <w:r w:rsidR="006717B4">
        <w:t xml:space="preserve">FR </w:t>
      </w:r>
      <w:r>
        <w:t>7327</w:t>
      </w:r>
      <w:r w:rsidR="006717B4">
        <w:t xml:space="preserve">) (Attachment </w:t>
      </w:r>
      <w:r w:rsidR="6EAAC842">
        <w:t>D</w:t>
      </w:r>
      <w:r w:rsidR="006717B4">
        <w:t>)</w:t>
      </w:r>
      <w:r>
        <w:t xml:space="preserve"> proposed to update the regulations at 49 CFR 383 and 384</w:t>
      </w:r>
      <w:r w:rsidR="006717B4">
        <w:t xml:space="preserve">. The NPRM </w:t>
      </w:r>
      <w:r w:rsidRPr="5ECFBCA2" w:rsidR="4AEDBCFD">
        <w:rPr>
          <w:color w:val="000000" w:themeColor="text1"/>
        </w:rPr>
        <w:t>propose</w:t>
      </w:r>
      <w:r w:rsidRPr="5ECFBCA2">
        <w:rPr>
          <w:color w:val="000000" w:themeColor="text1"/>
        </w:rPr>
        <w:t>d</w:t>
      </w:r>
      <w:r w:rsidRPr="5ECFBCA2" w:rsidR="4AEDBCFD">
        <w:rPr>
          <w:color w:val="000000" w:themeColor="text1"/>
        </w:rPr>
        <w:t xml:space="preserve"> </w:t>
      </w:r>
      <w:r w:rsidR="4AEDBCFD">
        <w:t xml:space="preserve">to increase flexibility for State Driver Licensing Agencies (SDLAs) and commercial driver’s license (CDL) applicants by: (1) removing the restriction allowing a State to administer the CDL skills test to a commercial learner’s permit (CLP) holder who is domiciled in another State </w:t>
      </w:r>
      <w:r w:rsidRPr="5ECFBCA2" w:rsidR="4AEDBCFD">
        <w:rPr>
          <w:i/>
          <w:iCs/>
        </w:rPr>
        <w:t>only if</w:t>
      </w:r>
      <w:r w:rsidR="4AEDBCFD">
        <w:t xml:space="preserve"> the applicant obtained training in the testing State; (2) permitting a CLP holder who has passed the CDL skills test to operate a CMV on public roads for purposes other than behind-the-wheel (BTW) training, provided the CLP holder has evidence of passing the CDL skills test and a qualified CDL holder is physically present in the commercial motor vehicle (CMV); and (3) eliminating the </w:t>
      </w:r>
      <w:r w:rsidR="4AEDBCFD">
        <w:t xml:space="preserve">requirement that an applicant wait at least 14 days to take the CDL skills test following initial issuance of the CLP. Additionally, the NPRM </w:t>
      </w:r>
      <w:r w:rsidR="2B57FE4B">
        <w:t>proposed requiring</w:t>
      </w:r>
      <w:r w:rsidR="4AEDBCFD">
        <w:t xml:space="preserve"> that third party knowledge examiners be subject to the training, certification, and record check standards currently applicable to State knowledge examiners and the auditing and monitoring requirements now applicable to third party skills testers.</w:t>
      </w:r>
      <w:r>
        <w:t xml:space="preserve"> </w:t>
      </w:r>
      <w:bookmarkStart w:id="1" w:name="_Hlk192237653"/>
      <w:r w:rsidR="2B57FE4B">
        <w:t xml:space="preserve"> The NPRM included updated burden assessments associated with these proposals. However, FMCSA will not be issuing a final rule prior to the expiration of the current information collection. As a result, the burden calculations in this ICR DO NOT include the updated assessments from the NPRM. Instead, the burden calculations included in this ICR reflect only the existing regulations, not what was included in the NPRM. When FMCSA </w:t>
      </w:r>
      <w:r w:rsidR="2B57FE4B">
        <w:t>is able to</w:t>
      </w:r>
      <w:r w:rsidR="2B57FE4B">
        <w:t xml:space="preserve"> issue a final rule, it will update the assessments in the final rule analysis and seek a revision to the ICR.</w:t>
      </w:r>
    </w:p>
    <w:bookmarkEnd w:id="1"/>
    <w:p w:rsidR="00CC22D4" w:rsidP="0063660E" w14:paraId="62DDEF96" w14:textId="77777777">
      <w:pPr>
        <w:widowControl/>
        <w:tabs>
          <w:tab w:val="left" w:pos="-1440"/>
          <w:tab w:val="left" w:pos="-720"/>
        </w:tabs>
      </w:pPr>
    </w:p>
    <w:p w:rsidR="004B675F" w:rsidRPr="004B675F" w:rsidP="0063660E" w14:paraId="4696B924" w14:textId="1512DDB0">
      <w:pPr>
        <w:widowControl/>
        <w:tabs>
          <w:tab w:val="left" w:pos="-1440"/>
          <w:tab w:val="left" w:pos="-720"/>
        </w:tabs>
      </w:pPr>
      <w:r w:rsidRPr="004B675F">
        <w:t xml:space="preserve">This information collection supports the </w:t>
      </w:r>
      <w:r w:rsidR="00005A7B">
        <w:t>Department of Transportation (</w:t>
      </w:r>
      <w:r w:rsidRPr="004B675F">
        <w:t>DOT</w:t>
      </w:r>
      <w:r w:rsidR="00005A7B">
        <w:t xml:space="preserve"> or Department)</w:t>
      </w:r>
      <w:r w:rsidRPr="004B675F">
        <w:t xml:space="preserve"> Strategic Goal of Safety by requiring that drivers of CMVs are properly licensed according to all applicable Federal requirements.</w:t>
      </w:r>
    </w:p>
    <w:p w:rsidR="00C41BDD" w:rsidRPr="00DE585A" w:rsidP="00722B85" w14:paraId="3A8A6D90" w14:textId="77777777">
      <w:pPr>
        <w:widowControl/>
      </w:pPr>
    </w:p>
    <w:p w:rsidR="005770E6" w:rsidRPr="005770E6" w:rsidP="00722B85" w14:paraId="6B9A0BCB" w14:textId="77777777">
      <w:pPr>
        <w:widowControl/>
        <w:numPr>
          <w:ilvl w:val="0"/>
          <w:numId w:val="3"/>
        </w:numPr>
      </w:pPr>
      <w:r w:rsidRPr="00F358A1">
        <w:rPr>
          <w:b/>
          <w:bCs/>
        </w:rPr>
        <w:t>HOW, BY WHOM, AND FOR WHAT PURPOSE IS THE INFORMATION USED</w:t>
      </w:r>
    </w:p>
    <w:p w:rsidR="005770E6" w:rsidP="00722B85" w14:paraId="0FC36CD3" w14:textId="77777777">
      <w:pPr>
        <w:widowControl/>
      </w:pPr>
    </w:p>
    <w:p w:rsidR="00C41BDD" w:rsidRPr="00C41BDD" w:rsidP="00722B85" w14:paraId="57329AB7" w14:textId="77777777">
      <w:pPr>
        <w:widowControl/>
      </w:pPr>
      <w:r w:rsidRPr="00C41BDD">
        <w:t>The 10-year employment history information supplied by the CDL holder to the employer upon application for employment (49 CFR 383.35) is used to assist the employer in meeting his/her responsibilities to ensure that the applicant does not have a history of safety-risk behavior.</w:t>
      </w:r>
    </w:p>
    <w:p w:rsidR="00C41BDD" w:rsidRPr="00C41BDD" w:rsidP="00722B85" w14:paraId="4B6643EF" w14:textId="77777777">
      <w:pPr>
        <w:widowControl/>
        <w:ind w:left="360"/>
      </w:pPr>
    </w:p>
    <w:p w:rsidR="00C41BDD" w:rsidRPr="00C41BDD" w:rsidP="00722B85" w14:paraId="2D48FF6B" w14:textId="520B488D">
      <w:pPr>
        <w:widowControl/>
      </w:pPr>
      <w:r>
        <w:t xml:space="preserve">State officials use the information collected on the license application form (49 CFR 383.71) that is posted to the CDLIS driver record, the information collected on the </w:t>
      </w:r>
      <w:r w:rsidR="1A8D3900">
        <w:t>commercial learner’s permit (</w:t>
      </w:r>
      <w:r>
        <w:t>CLP</w:t>
      </w:r>
      <w:r w:rsidR="1A8D3900">
        <w:t>)</w:t>
      </w:r>
      <w:r>
        <w:t xml:space="preserve"> application form that is posted to the CDLIS driver record (49 CFR 383.71)</w:t>
      </w:r>
      <w:r w:rsidR="7B9E82AE">
        <w:t>,</w:t>
      </w:r>
      <w:r>
        <w:t xml:space="preserve"> and the conviction and disqualification data posted to the CDLIS driver record (49 CFR 383.73) to prevent </w:t>
      </w:r>
      <w:r w:rsidR="19A6FF5F">
        <w:t xml:space="preserve">ineligible, </w:t>
      </w:r>
      <w:r>
        <w:t>not-qualified</w:t>
      </w:r>
      <w:r w:rsidR="7B9E82AE">
        <w:t>,</w:t>
      </w:r>
      <w:r>
        <w:t xml:space="preserve"> and/or disqualified CLP and CDL holders and applicants from operating </w:t>
      </w:r>
      <w:r w:rsidR="1A8D3900">
        <w:t>commercial motor vehicles (</w:t>
      </w:r>
      <w:r>
        <w:t>CMVs</w:t>
      </w:r>
      <w:r w:rsidR="1A8D3900">
        <w:t>)</w:t>
      </w:r>
      <w:r>
        <w:t xml:space="preserve"> on the nation's highways.  </w:t>
      </w:r>
      <w:r w:rsidR="06E5EB27">
        <w:t xml:space="preserve">State officials are required to adopt and administer an FMCSA approved program for testing and ensuring the fitness of persons to operate a CMVs (49 CFR 384.201).  </w:t>
      </w:r>
      <w:r>
        <w:t xml:space="preserve">State officials are also required to administer knowledge and skills tests to CDL driver applicants (49 CFR 384.202).  The driver applicant is required to correctly answer at least 80 percent of the questions on each knowledge test </w:t>
      </w:r>
      <w:r>
        <w:t>in order to</w:t>
      </w:r>
      <w:r>
        <w:t xml:space="preserve"> achieve a passing score on that test.  To achieve a passing score on the skills test, the driver applicant must demonstrate that he/she can successfully perform </w:t>
      </w:r>
      <w:r>
        <w:t>all of</w:t>
      </w:r>
      <w:r>
        <w:t xml:space="preserve"> the skills listed in the regulations.  During State CDL compliance reviews, FMCSA officials review this information to ensure that the provisions of the regulations are being carried out.  Without the </w:t>
      </w:r>
      <w:r>
        <w:t>aforementioned requirements</w:t>
      </w:r>
      <w:r>
        <w:t>, there would be no uniform control over driver licensing practices to prevent uncertified and/or disqualified drivers from being issued a CLP or CDL and to prevent unsafe drivers from spreading their convictions among several licenses in several States and remaining behind the wheel of a CMV.  Failure to collect this information would render the regulations unenforceable.</w:t>
      </w:r>
    </w:p>
    <w:p w:rsidR="005770E6" w:rsidP="00722B85" w14:paraId="647B6C4F" w14:textId="77777777">
      <w:pPr>
        <w:widowControl/>
      </w:pPr>
    </w:p>
    <w:p w:rsidR="00470720" w:rsidRPr="005612EB" w:rsidP="00722B85" w14:paraId="6DF6F4A1" w14:textId="79FD3F5A">
      <w:pPr>
        <w:widowControl/>
      </w:pPr>
      <w:r w:rsidRPr="00C41BDD">
        <w:t>Information submitted by the States will be used by FMCSA to determine if individual States substantial</w:t>
      </w:r>
      <w:r w:rsidR="00BF2D5B">
        <w:t>ly</w:t>
      </w:r>
      <w:r w:rsidRPr="00C41BDD">
        <w:t xml:space="preserve"> compl</w:t>
      </w:r>
      <w:r w:rsidR="00BF2D5B">
        <w:t>y</w:t>
      </w:r>
      <w:r w:rsidRPr="00C41BDD">
        <w:t xml:space="preserve"> with section 12009(a) of the CMVSA [49 U.S.C. 31311(a)] (see section 12011(a) of CMVSA).  The FMCSA reviews information submitted by the States and conducts such reviews, audits, and investigations of each State as it deems necessary to make compliance determinations for all States and the District of Columbia.  If this information were not available, FMCSA would have no means of independently verifying State compliance.</w:t>
      </w:r>
    </w:p>
    <w:p w:rsidR="00A613EE" w:rsidP="00722B85" w14:paraId="3613ADD7" w14:textId="77777777">
      <w:pPr>
        <w:widowControl/>
        <w:rPr>
          <w:bCs/>
        </w:rPr>
      </w:pPr>
    </w:p>
    <w:p w:rsidR="000A2E19" w:rsidRPr="002C67AB" w:rsidP="00722B85" w14:paraId="2C00D392" w14:textId="55C5FDC5">
      <w:pPr>
        <w:widowControl/>
      </w:pPr>
      <w:r>
        <w:t xml:space="preserve">The </w:t>
      </w:r>
      <w:r w:rsidR="06E5EB27">
        <w:t>Foreign Conviction Withdrawal Database (</w:t>
      </w:r>
      <w:r>
        <w:t>FCWD</w:t>
      </w:r>
      <w:r w:rsidR="06E5EB27">
        <w:t>)</w:t>
      </w:r>
      <w:r>
        <w:t xml:space="preserve"> houses the convictions </w:t>
      </w:r>
      <w:r w:rsidR="7B9E82AE">
        <w:t xml:space="preserve">of </w:t>
      </w:r>
      <w:r>
        <w:t>Mexican</w:t>
      </w:r>
      <w:r w:rsidR="6452A9C1">
        <w:t xml:space="preserve"> and</w:t>
      </w:r>
      <w:r w:rsidR="7A901A94">
        <w:t xml:space="preserve"> </w:t>
      </w:r>
      <w:r>
        <w:t xml:space="preserve">Canadian </w:t>
      </w:r>
      <w:r w:rsidR="7A901A94">
        <w:t xml:space="preserve">CDL holders, and other foreign </w:t>
      </w:r>
      <w:r>
        <w:t>drivers</w:t>
      </w:r>
      <w:r w:rsidR="2B38E460">
        <w:t>,</w:t>
      </w:r>
      <w:r>
        <w:t xml:space="preserve"> receive</w:t>
      </w:r>
      <w:r w:rsidR="2B38E460">
        <w:t>d</w:t>
      </w:r>
      <w:r>
        <w:t xml:space="preserve"> while </w:t>
      </w:r>
      <w:r w:rsidR="512036BB">
        <w:t>operating</w:t>
      </w:r>
      <w:r>
        <w:t xml:space="preserve"> </w:t>
      </w:r>
      <w:r w:rsidR="7A901A94">
        <w:t xml:space="preserve">a CMV </w:t>
      </w:r>
      <w:r>
        <w:t xml:space="preserve">within the United States.  This enables </w:t>
      </w:r>
      <w:r w:rsidR="2593CD7F">
        <w:t>FMCSA</w:t>
      </w:r>
      <w:r>
        <w:t xml:space="preserve"> to impose the same conditions on Mexic</w:t>
      </w:r>
      <w:r w:rsidR="512036BB">
        <w:t>an</w:t>
      </w:r>
      <w:r>
        <w:t xml:space="preserve"> and Canadian drivers as are imposed on </w:t>
      </w:r>
      <w:r w:rsidR="2593CD7F">
        <w:t xml:space="preserve">U.S. </w:t>
      </w:r>
      <w:r>
        <w:t xml:space="preserve">drivers </w:t>
      </w:r>
      <w:r w:rsidR="2593CD7F">
        <w:t>by the States</w:t>
      </w:r>
      <w:r>
        <w:t>.  The system receives convictions from all</w:t>
      </w:r>
      <w:r w:rsidR="7A901A94">
        <w:t xml:space="preserve"> </w:t>
      </w:r>
      <w:r>
        <w:t xml:space="preserve">jurisdictions within the United States for drivers holding a </w:t>
      </w:r>
      <w:r w:rsidR="1A8D3900">
        <w:t>CDL</w:t>
      </w:r>
      <w:r>
        <w:t xml:space="preserve"> from Mexico and Canada. </w:t>
      </w:r>
      <w:r w:rsidR="0842886A">
        <w:t xml:space="preserve"> </w:t>
      </w:r>
      <w:r>
        <w:t>Th</w:t>
      </w:r>
      <w:r w:rsidR="734259A0">
        <w:t>ese</w:t>
      </w:r>
      <w:r>
        <w:t xml:space="preserve"> data, along with the data from </w:t>
      </w:r>
      <w:r>
        <w:t>eLicencia</w:t>
      </w:r>
      <w:r>
        <w:t xml:space="preserve"> in Mexico or the Canadian licensing jurisdiction is combined to give a complete driving record to the requesting enforcement official.</w:t>
      </w:r>
    </w:p>
    <w:p w:rsidR="000A2E19" w:rsidRPr="002C67AB" w:rsidP="00722B85" w14:paraId="62332310" w14:textId="77777777">
      <w:pPr>
        <w:widowControl/>
      </w:pPr>
    </w:p>
    <w:p w:rsidR="000A2E19" w:rsidP="00722B85" w14:paraId="5ED50124" w14:textId="51DE8C00">
      <w:pPr>
        <w:widowControl/>
      </w:pPr>
      <w:r>
        <w:t xml:space="preserve">Once the data </w:t>
      </w:r>
      <w:r w:rsidR="34083C9B">
        <w:t>are</w:t>
      </w:r>
      <w:r>
        <w:t xml:space="preserve"> in the FCWD</w:t>
      </w:r>
      <w:r w:rsidR="14E7290C">
        <w:t>,</w:t>
      </w:r>
      <w:r>
        <w:t xml:space="preserve"> the same rules that are applied to U.S. drivers are imposed on Mexican and Canadian drivers. </w:t>
      </w:r>
      <w:r w:rsidR="008F40B4">
        <w:t>I</w:t>
      </w:r>
      <w:r w:rsidR="002F31E1">
        <w:t xml:space="preserve">f a foreign commercial </w:t>
      </w:r>
      <w:r>
        <w:t xml:space="preserve">driver would have their driving privilege withdrawn for a </w:t>
      </w:r>
      <w:r w:rsidR="002F31E1">
        <w:t xml:space="preserve">U.S. </w:t>
      </w:r>
      <w:r>
        <w:t>conviction, then the conviction and withdrawal information is sent to the licensing jurisdiction in Mexico or Canada. Whenever a driver is checked through the CDLIS gateway (which includes Mexico and Canada</w:t>
      </w:r>
      <w:r w:rsidR="00200836">
        <w:t xml:space="preserve"> via the FCWD</w:t>
      </w:r>
      <w:r>
        <w:t>)</w:t>
      </w:r>
      <w:r w:rsidR="00005A7B">
        <w:t>,</w:t>
      </w:r>
      <w:r>
        <w:t xml:space="preserve"> the current driving status returned to the requesting services would include a meshed version of the license status from Mexico or Canada and</w:t>
      </w:r>
      <w:r w:rsidR="002210B4">
        <w:t xml:space="preserve"> what is contained </w:t>
      </w:r>
      <w:r w:rsidR="008F40B4">
        <w:t>with</w:t>
      </w:r>
      <w:r w:rsidR="002210B4">
        <w:t>in the FCWD</w:t>
      </w:r>
      <w:r>
        <w:t>.</w:t>
      </w:r>
    </w:p>
    <w:p w:rsidR="000A2E19" w:rsidP="00722B85" w14:paraId="2C99A43C" w14:textId="77777777">
      <w:pPr>
        <w:widowControl/>
        <w:rPr>
          <w:bCs/>
        </w:rPr>
      </w:pPr>
    </w:p>
    <w:p w:rsidR="005770E6" w:rsidRPr="005770E6" w:rsidP="00722B85" w14:paraId="1D3E69B1" w14:textId="77777777">
      <w:pPr>
        <w:widowControl/>
        <w:numPr>
          <w:ilvl w:val="0"/>
          <w:numId w:val="3"/>
        </w:numPr>
      </w:pPr>
      <w:r w:rsidRPr="00F358A1">
        <w:rPr>
          <w:b/>
          <w:bCs/>
        </w:rPr>
        <w:t>EXTENT OF AUTOMATED INFORMATION COLLECTION</w:t>
      </w:r>
      <w:r w:rsidRPr="005612EB" w:rsidR="009D4F72">
        <w:rPr>
          <w:b/>
          <w:bCs/>
        </w:rPr>
        <w:t xml:space="preserve"> </w:t>
      </w:r>
    </w:p>
    <w:p w:rsidR="005770E6" w:rsidP="00722B85" w14:paraId="7E69613F" w14:textId="77777777">
      <w:pPr>
        <w:widowControl/>
        <w:rPr>
          <w:b/>
          <w:bCs/>
        </w:rPr>
      </w:pPr>
    </w:p>
    <w:p w:rsidR="00A613EE" w:rsidP="00722B85" w14:paraId="32158897" w14:textId="070077C0">
      <w:pPr>
        <w:widowControl/>
      </w:pPr>
      <w:r>
        <w:t>The Government Paperwork Elimination Act (GPEA) (enacted on October 21, 1998, Title XVII of Pub L No. 105-277, 112 Stat. 2681), requires that agencies provide for the option of electronic submission of information and the use of electronic signatures, when practicable.  Currently, 49 States and the District of Columbia (98 percent of the jurisdictions) have the capability to electronically transmit 100 percent of the information that is required for the CDL program.  The 51 jurisdictions use CDLIS as the means of capturing and exchanging data that is required by 49 CFR parts 383 and 384.  CDLIS is a relational database that uses a central pointer or index with multiple distributed databases that allows the States and FMCSA to track the driver status and history of persons currently holding a valid CLP or CDL, as well as those persons who have been disqualified from operating CMVs that require the driver to have a valid CLP or CDL.  This means that jurisdictions can obtain or send information regarding any CLP or CDL holder in a different jurisdiction by conducting a single inquiry and receiv</w:t>
      </w:r>
      <w:r w:rsidR="0044797F">
        <w:t>ing</w:t>
      </w:r>
      <w:r>
        <w:t xml:space="preserve"> an immediate response.  There are over 16,000,000 CDLIS transactions annually.  </w:t>
      </w:r>
      <w:r w:rsidR="00115074">
        <w:t xml:space="preserve">There are over </w:t>
      </w:r>
      <w:r w:rsidR="009C2374">
        <w:t>8,000</w:t>
      </w:r>
      <w:r w:rsidR="00115074">
        <w:t xml:space="preserve"> convictions submitted to the FCWD annually</w:t>
      </w:r>
      <w:r w:rsidR="009C2374">
        <w:t xml:space="preserve"> from U.S. jurisdictions</w:t>
      </w:r>
      <w:r w:rsidR="00B1384A">
        <w:t>, 50% of which are electronic submissions</w:t>
      </w:r>
      <w:r w:rsidR="008F40B4">
        <w:t xml:space="preserve"> through CDLIS</w:t>
      </w:r>
      <w:r w:rsidR="00115074">
        <w:t xml:space="preserve">.  </w:t>
      </w:r>
      <w:r>
        <w:t>Information concerning any convictions of a CLP or CDL holder or a person required to have a CDL is transmitted by the State where the driver obtained the conviction to the State of licensure</w:t>
      </w:r>
      <w:r w:rsidR="00B1384A">
        <w:t xml:space="preserve"> o</w:t>
      </w:r>
      <w:r w:rsidR="009C2374">
        <w:t xml:space="preserve">r FCWD for </w:t>
      </w:r>
      <w:r w:rsidR="008F40B4">
        <w:t xml:space="preserve">a </w:t>
      </w:r>
      <w:r w:rsidR="009C2374">
        <w:t>foreign driver</w:t>
      </w:r>
      <w:r>
        <w:t xml:space="preserve">.  The State of licensure is to record the conviction on the driver’s CDLIS driver record, thereby maintaining the intent of the CMVSA of one driver, one license and one driver record. </w:t>
      </w:r>
      <w:r w:rsidR="009C2374">
        <w:t xml:space="preserve"> The FCWD is to record the conviction on the foreign driver’s FCWD conviction history, thereby </w:t>
      </w:r>
      <w:r w:rsidR="007327EA">
        <w:t>ensuring foreign drivers are held to the same standards as U.S. drivers</w:t>
      </w:r>
      <w:r w:rsidR="009C2374">
        <w:t xml:space="preserve">.  </w:t>
      </w:r>
      <w:r>
        <w:t xml:space="preserve">CDLIS precludes the need for duplicate driver records to be maintained by both the State of licensure and the State of conviction.  This information technology serves to reduce the amount of time that each individual State needs to comply with section 12009(a) of the CMVSA [49 U.S.C. 31311(a)].  Transaction data maintained by CDLIS </w:t>
      </w:r>
      <w:r w:rsidR="089F65E3">
        <w:t>are</w:t>
      </w:r>
      <w:r>
        <w:t xml:space="preserve"> also used by FMCSA for verifying State compliance and by Federal and State enforcement officials in verifying the identity and driver license status of all CDL holders in carrying out security and enforcement actions. </w:t>
      </w:r>
      <w:r w:rsidR="00115074">
        <w:t xml:space="preserve"> </w:t>
      </w:r>
    </w:p>
    <w:p w:rsidR="006C3234" w:rsidP="00722B85" w14:paraId="1E633F55" w14:textId="77777777">
      <w:pPr>
        <w:widowControl/>
      </w:pPr>
    </w:p>
    <w:p w:rsidR="006C3234" w:rsidRPr="005612EB" w:rsidP="00722B85" w14:paraId="5BD7E232" w14:textId="77777777">
      <w:pPr>
        <w:widowControl/>
      </w:pPr>
    </w:p>
    <w:p w:rsidR="005770E6" w:rsidRPr="005770E6" w:rsidP="005E52F0" w14:paraId="7F25C40C" w14:textId="77777777">
      <w:pPr>
        <w:pStyle w:val="NormalWeb"/>
        <w:numPr>
          <w:ilvl w:val="0"/>
          <w:numId w:val="3"/>
        </w:numPr>
        <w:spacing w:before="0" w:beforeAutospacing="0" w:after="0" w:afterAutospacing="0"/>
        <w:rPr>
          <w:rFonts w:ascii="Times New Roman" w:hAnsi="Times New Roman" w:cs="Times New Roman"/>
          <w:bCs/>
          <w:szCs w:val="20"/>
        </w:rPr>
      </w:pPr>
      <w:r w:rsidRPr="00F358A1">
        <w:rPr>
          <w:rFonts w:ascii="Times New Roman" w:hAnsi="Times New Roman" w:cs="Times New Roman"/>
          <w:b/>
          <w:bCs/>
          <w:szCs w:val="20"/>
        </w:rPr>
        <w:t>EFFORTS TO IDENTIFY DUPLICATION</w:t>
      </w:r>
    </w:p>
    <w:p w:rsidR="005770E6" w:rsidP="005770E6" w14:paraId="66DEED3A" w14:textId="77777777">
      <w:pPr>
        <w:pStyle w:val="NormalWeb"/>
        <w:spacing w:before="0" w:beforeAutospacing="0" w:after="0" w:afterAutospacing="0"/>
        <w:rPr>
          <w:rFonts w:ascii="Times New Roman" w:hAnsi="Times New Roman" w:cs="Times New Roman"/>
          <w:b/>
          <w:bCs/>
          <w:szCs w:val="20"/>
        </w:rPr>
      </w:pPr>
    </w:p>
    <w:p w:rsidR="00CA75F7" w:rsidRPr="00CA75F7" w:rsidP="15A85529" w14:paraId="113FC76E" w14:textId="007604AC">
      <w:pPr>
        <w:pStyle w:val="NormalWeb"/>
        <w:spacing w:before="0" w:beforeAutospacing="0" w:after="0" w:afterAutospacing="0"/>
        <w:rPr>
          <w:rFonts w:ascii="Times New Roman" w:hAnsi="Times New Roman" w:cs="Times New Roman"/>
        </w:rPr>
      </w:pPr>
      <w:r w:rsidRPr="5ECFBCA2">
        <w:rPr>
          <w:rFonts w:ascii="Times New Roman" w:hAnsi="Times New Roman" w:cs="Times New Roman"/>
        </w:rPr>
        <w:t xml:space="preserve">The FMCSA is the only agency with the authority to regulate the testing and issuance of CLPs and CDLs and the information contained in CDLIS.  While </w:t>
      </w:r>
      <w:r w:rsidRPr="5ECFBCA2" w:rsidR="00761977">
        <w:rPr>
          <w:rFonts w:ascii="Times New Roman" w:hAnsi="Times New Roman" w:cs="Times New Roman"/>
        </w:rPr>
        <w:t xml:space="preserve">the </w:t>
      </w:r>
      <w:r w:rsidRPr="5ECFBCA2" w:rsidR="00005A7B">
        <w:rPr>
          <w:rFonts w:ascii="Times New Roman" w:hAnsi="Times New Roman" w:cs="Times New Roman"/>
        </w:rPr>
        <w:t>Transportation Security Administration (</w:t>
      </w:r>
      <w:r w:rsidRPr="5ECFBCA2">
        <w:rPr>
          <w:rFonts w:ascii="Times New Roman" w:hAnsi="Times New Roman" w:cs="Times New Roman"/>
        </w:rPr>
        <w:t>TSA</w:t>
      </w:r>
      <w:r w:rsidRPr="5ECFBCA2" w:rsidR="00005A7B">
        <w:rPr>
          <w:rFonts w:ascii="Times New Roman" w:hAnsi="Times New Roman" w:cs="Times New Roman"/>
        </w:rPr>
        <w:t>)</w:t>
      </w:r>
      <w:r w:rsidRPr="5ECFBCA2">
        <w:rPr>
          <w:rFonts w:ascii="Times New Roman" w:hAnsi="Times New Roman" w:cs="Times New Roman"/>
        </w:rPr>
        <w:t xml:space="preserve"> has the authority to make the determination that a person is a security risk and therefore must be denied a hazardous materials endorsement on his/her CDL, State compliance with TSA requirements is administered by FMCSA as part of the State CDL compliance review process.  Therefore, the auditing and compliance review process administered by FMCSA is not duplicative of any other information collections.</w:t>
      </w:r>
    </w:p>
    <w:p w:rsidR="0004749E" w:rsidRPr="005612EB" w:rsidP="00CA75F7" w14:paraId="56D27604" w14:textId="77777777">
      <w:pPr>
        <w:pStyle w:val="NormalWeb"/>
        <w:spacing w:before="0" w:beforeAutospacing="0" w:after="0" w:afterAutospacing="0"/>
        <w:ind w:left="360"/>
        <w:rPr>
          <w:rFonts w:ascii="Times New Roman" w:hAnsi="Times New Roman"/>
        </w:rPr>
      </w:pPr>
    </w:p>
    <w:p w:rsidR="005770E6" w:rsidRPr="005770E6" w:rsidP="00722B85" w14:paraId="630653FD" w14:textId="77777777">
      <w:pPr>
        <w:widowControl/>
        <w:numPr>
          <w:ilvl w:val="0"/>
          <w:numId w:val="3"/>
        </w:numPr>
      </w:pPr>
      <w:r w:rsidRPr="00F358A1">
        <w:rPr>
          <w:b/>
          <w:bCs/>
        </w:rPr>
        <w:t>EFFORTS TO MINIMIZE THE BURDEN ON SMALL BUSINESSES</w:t>
      </w:r>
    </w:p>
    <w:p w:rsidR="005770E6" w:rsidP="00722B85" w14:paraId="04D0F744" w14:textId="77777777">
      <w:pPr>
        <w:widowControl/>
        <w:rPr>
          <w:b/>
          <w:bCs/>
        </w:rPr>
      </w:pPr>
    </w:p>
    <w:p w:rsidR="00CA75F7" w:rsidRPr="00CA75F7" w:rsidP="00722B85" w14:paraId="5FAAA3D3" w14:textId="0E91EE97">
      <w:pPr>
        <w:widowControl/>
      </w:pPr>
      <w:r w:rsidRPr="00CA75F7">
        <w:t>The regulatory and safety requirements for all CDL holders regardless of the size of the motor carrier they work for are the same.  No information for the CDL program is collected from employers.  The information needed to issue, renew, upgrade</w:t>
      </w:r>
      <w:r w:rsidR="00761977">
        <w:t>,</w:t>
      </w:r>
      <w:r w:rsidRPr="00CA75F7">
        <w:t xml:space="preserve"> or transfer a CDL is collected directly from the driver applicant and any other State where the driver was previously licensed.  All information contained on </w:t>
      </w:r>
      <w:r w:rsidR="0082181A">
        <w:t>the</w:t>
      </w:r>
      <w:r w:rsidRPr="00CA75F7" w:rsidR="0082181A">
        <w:t xml:space="preserve"> </w:t>
      </w:r>
      <w:r w:rsidRPr="00CA75F7">
        <w:t>driver record is obtained by the State of licensure from the driver applicant, States where the driver was previously licensed</w:t>
      </w:r>
      <w:r w:rsidR="00761977">
        <w:t>,</w:t>
      </w:r>
      <w:r w:rsidRPr="00CA75F7">
        <w:t xml:space="preserve"> and States where the driver was convicted of a traffic control violation.  All information needed by FMCSA to conduct auditing and compliance reviews of the States’ CDL programs is obtained directly from the States or CDLIS.</w:t>
      </w:r>
    </w:p>
    <w:p w:rsidR="005770E6" w:rsidP="00722B85" w14:paraId="305BB15E" w14:textId="77777777">
      <w:pPr>
        <w:widowControl/>
      </w:pPr>
    </w:p>
    <w:p w:rsidR="00CA75F7" w:rsidRPr="00CA75F7" w:rsidP="00722B85" w14:paraId="48B02336" w14:textId="77777777">
      <w:pPr>
        <w:widowControl/>
      </w:pPr>
      <w:r w:rsidRPr="00CA75F7">
        <w:t xml:space="preserve">The requirement under 49 CFR 383.73(b)(3)(iv) that States must request the complete driver record from all States where the driver applicant was previously licensed to drive any type of vehicle over the past 10 years reduces the burden on all employers, especially small businesses.  This requirement helps employers to employ only safe drivers by being able to obtain complete and accurate CDLIS driver history records from a single source, the current State of licensure. </w:t>
      </w:r>
    </w:p>
    <w:p w:rsidR="005770E6" w:rsidP="00722B85" w14:paraId="2843B412" w14:textId="77777777">
      <w:pPr>
        <w:widowControl/>
      </w:pPr>
    </w:p>
    <w:p w:rsidR="00A613EE" w:rsidRPr="005612EB" w:rsidP="00722B85" w14:paraId="485FEE21" w14:textId="2DF492A7">
      <w:pPr>
        <w:widowControl/>
      </w:pPr>
      <w:r w:rsidRPr="00CA75F7">
        <w:t>Since the information needed to administer the CDL program is being collected directly from drivers and States, FMCSA believes the information collection impact on small businesses or other small entities is not significant.</w:t>
      </w:r>
      <w:r w:rsidRPr="00A613EE" w:rsidR="008F2CDB">
        <w:br/>
      </w:r>
    </w:p>
    <w:p w:rsidR="005770E6" w:rsidRPr="005770E6" w:rsidP="00722B85" w14:paraId="233F4ECB" w14:textId="77777777">
      <w:pPr>
        <w:widowControl/>
        <w:numPr>
          <w:ilvl w:val="0"/>
          <w:numId w:val="3"/>
        </w:numPr>
      </w:pPr>
      <w:r w:rsidRPr="00F358A1">
        <w:rPr>
          <w:b/>
          <w:bCs/>
        </w:rPr>
        <w:t>IMPACT OF LESS FREQUENT COLLECTION OF INFORMATION</w:t>
      </w:r>
    </w:p>
    <w:p w:rsidR="005770E6" w:rsidP="00722B85" w14:paraId="4EBE7D50" w14:textId="77777777">
      <w:pPr>
        <w:widowControl/>
        <w:rPr>
          <w:b/>
        </w:rPr>
      </w:pPr>
    </w:p>
    <w:p w:rsidR="00CA75F7" w:rsidRPr="00CA75F7" w:rsidP="00722B85" w14:paraId="7CDA4F69" w14:textId="175F0080">
      <w:pPr>
        <w:widowControl/>
      </w:pPr>
      <w:r>
        <w:t xml:space="preserve">Currently, most of the information a driver applicant must provide the State </w:t>
      </w:r>
      <w:r w:rsidR="000F19CE">
        <w:t xml:space="preserve">in order </w:t>
      </w:r>
      <w:r>
        <w:t>to</w:t>
      </w:r>
      <w:r>
        <w:t xml:space="preserve"> be issued a CLP or CDL is only collected once</w:t>
      </w:r>
      <w:r w:rsidR="000F19CE">
        <w:t>,</w:t>
      </w:r>
      <w:r>
        <w:t xml:space="preserve"> at the initial application for the CLP or CDL</w:t>
      </w:r>
      <w:r w:rsidR="00761977">
        <w:t>,</w:t>
      </w:r>
      <w:r>
        <w:t xml:space="preserve"> and is recorded on the CDLIS driver record.  The driver is only required to update information no longer valid and self-certify his/her eligibility to continue holding a CLP or CDL when he/she renews the CLP or CDL.  The renewal period for a CDL is set by the individual State</w:t>
      </w:r>
      <w:r w:rsidR="35F7327F">
        <w:t>,</w:t>
      </w:r>
      <w:r>
        <w:t xml:space="preserve"> based on the number of drivers in the State, budget</w:t>
      </w:r>
      <w:r w:rsidR="00761977">
        <w:t>,</w:t>
      </w:r>
      <w:r>
        <w:t xml:space="preserve"> and staff available to process the issuance of licenses.  The average renewal period is currently 5 years.</w:t>
      </w:r>
    </w:p>
    <w:p w:rsidR="005770E6" w:rsidP="00722B85" w14:paraId="5E2557D1" w14:textId="77777777">
      <w:pPr>
        <w:widowControl/>
      </w:pPr>
    </w:p>
    <w:p w:rsidR="00CA75F7" w:rsidRPr="00CA75F7" w:rsidP="00722B85" w14:paraId="59A6E3B0" w14:textId="77777777">
      <w:pPr>
        <w:widowControl/>
      </w:pPr>
      <w:r>
        <w:t>Most of the information that a driver applicant must provide the State to be issued a CDL is collected when the driver applies for a CLP.  This moves up the initial data collection point from the CDL application to the CLP application.  The driver will only be required to update information that is no longer valid and self-certify his/her eligibility at the time of issuance of the CDL.</w:t>
      </w:r>
    </w:p>
    <w:p w:rsidR="005770E6" w:rsidP="00722B85" w14:paraId="7279ACF4" w14:textId="77777777">
      <w:pPr>
        <w:widowControl/>
      </w:pPr>
    </w:p>
    <w:p w:rsidR="00CA75F7" w:rsidRPr="00CA75F7" w:rsidP="00722B85" w14:paraId="40ECFA90" w14:textId="77777777">
      <w:pPr>
        <w:widowControl/>
      </w:pPr>
      <w:r>
        <w:t xml:space="preserve">Drivers currently must report </w:t>
      </w:r>
      <w:r w:rsidR="006316E7">
        <w:t xml:space="preserve">to their employer </w:t>
      </w:r>
      <w:r>
        <w:t xml:space="preserve">within 30 days of being convicted and disqualifications within </w:t>
      </w:r>
      <w:r w:rsidR="006316E7">
        <w:t>one (</w:t>
      </w:r>
      <w:r>
        <w:t>1</w:t>
      </w:r>
      <w:r w:rsidR="006316E7">
        <w:t xml:space="preserve">) </w:t>
      </w:r>
      <w:r>
        <w:t>business day of being notified of the driver’s disqualification by their State of licensure.  Less frequent reporting of convictions and disqualifications would expose the driving public</w:t>
      </w:r>
      <w:r w:rsidR="0044797F">
        <w:t xml:space="preserve"> to unsafe drivers</w:t>
      </w:r>
      <w:r>
        <w:t xml:space="preserve"> for longer periods of time and would be counterproductive to FMCSA’s efforts and goals to reduce CMV crashes and fatalities.</w:t>
      </w:r>
    </w:p>
    <w:p w:rsidR="005770E6" w:rsidP="00722B85" w14:paraId="5E552BC5" w14:textId="77777777">
      <w:pPr>
        <w:widowControl/>
      </w:pPr>
    </w:p>
    <w:p w:rsidR="00CA75F7" w:rsidRPr="00CA75F7" w:rsidP="00722B85" w14:paraId="047D0D05" w14:textId="65DBBA21">
      <w:pPr>
        <w:widowControl/>
      </w:pPr>
      <w:r w:rsidRPr="00CA75F7">
        <w:t>States are currently required to transmit out-of-State convictions to the State of licensure within 10 days of the conviction and disqualifications within 10 days of the disqualif</w:t>
      </w:r>
      <w:r w:rsidR="00FE234A">
        <w:t>ying</w:t>
      </w:r>
      <w:r w:rsidRPr="00CA75F7">
        <w:t xml:space="preserve"> action.  </w:t>
      </w:r>
      <w:r w:rsidRPr="00CA75F7" w:rsidR="00115074">
        <w:t>States are currently required to transmit convictions</w:t>
      </w:r>
      <w:r w:rsidR="008F40B4">
        <w:t xml:space="preserve"> and withdrawals</w:t>
      </w:r>
      <w:r w:rsidRPr="00CA75F7" w:rsidR="00115074">
        <w:t xml:space="preserve"> </w:t>
      </w:r>
      <w:r w:rsidR="00115074">
        <w:t xml:space="preserve">on foreign licensed drivers </w:t>
      </w:r>
      <w:r w:rsidRPr="00CA75F7" w:rsidR="00115074">
        <w:t xml:space="preserve">to the </w:t>
      </w:r>
      <w:r w:rsidR="00115074">
        <w:t>FCWD</w:t>
      </w:r>
      <w:r w:rsidRPr="00CA75F7" w:rsidR="00115074">
        <w:t xml:space="preserve"> within 10 days of the conviction.  </w:t>
      </w:r>
      <w:r w:rsidRPr="00CA75F7">
        <w:t xml:space="preserve">The State of licensure is currently required to post convictions to the CDLIS driver record within 10 days of receiving an out-of-State conviction or, in the case of an in-State conviction, within 10 days of the conviction.  </w:t>
      </w:r>
      <w:r w:rsidR="008F40B4">
        <w:t xml:space="preserve">The FCWD is held to the same standard as the States, in that the FCWD is required to post the conviction to the database within 10 days.  </w:t>
      </w:r>
      <w:r w:rsidRPr="00CA75F7">
        <w:t>Less frequent reporting of convictions and disqualifications would expose the driving public to unsafe drivers for longer periods of time and would be counterproductive to FMCSA’s efforts and goals to reduce CMV crashes and fatalities.</w:t>
      </w:r>
    </w:p>
    <w:p w:rsidR="005770E6" w:rsidP="00722B85" w14:paraId="4C69343C" w14:textId="77777777">
      <w:pPr>
        <w:widowControl/>
      </w:pPr>
    </w:p>
    <w:p w:rsidR="00C14920" w:rsidRPr="00CA75F7" w:rsidP="00722B85" w14:paraId="7B05BD35" w14:textId="2901313E">
      <w:pPr>
        <w:widowControl/>
      </w:pPr>
      <w:r>
        <w:t xml:space="preserve">The </w:t>
      </w:r>
      <w:r w:rsidR="00CA75F7">
        <w:t xml:space="preserve">FMCSA currently performs a CDL </w:t>
      </w:r>
      <w:r w:rsidR="00642453">
        <w:t>Annual Program Review (</w:t>
      </w:r>
      <w:r w:rsidR="001268EF">
        <w:t>APR</w:t>
      </w:r>
      <w:r w:rsidR="00642453">
        <w:t>)</w:t>
      </w:r>
      <w:r w:rsidR="00CA75F7">
        <w:t xml:space="preserve"> on a State </w:t>
      </w:r>
      <w:r w:rsidR="001268EF">
        <w:t>annually</w:t>
      </w:r>
      <w:r w:rsidR="00CA75F7">
        <w:t xml:space="preserve"> to make compliance determinations for all States and the District of Columbia.  In addition, a State is required to evaluate its</w:t>
      </w:r>
      <w:r w:rsidR="001268EF">
        <w:t xml:space="preserve"> own</w:t>
      </w:r>
      <w:r w:rsidR="00CA75F7">
        <w:t xml:space="preserve"> CDL program every year and send FMCSA a self-certification as to its current compliance with the Federal CDL requirements.  </w:t>
      </w:r>
      <w:r w:rsidR="00CA75F7">
        <w:t>In spite of</w:t>
      </w:r>
      <w:r w:rsidR="00CA75F7">
        <w:t xml:space="preserve"> these frequent reviews of State CDL programs, FMCSA continues to uncover new problems during each </w:t>
      </w:r>
      <w:r w:rsidR="05D8AD78">
        <w:t>APR</w:t>
      </w:r>
      <w:r w:rsidR="00CA75F7">
        <w:t xml:space="preserve">.  Less frequent reviews would greatly reduce the safety benefits of the CDL program in preventing unsafe drivers from obtaining a CDL and efforts to remove problem drivers from the nation’s highways.  It would also lead to a lack of national uniformity among the 51 jurisdictions with CDL programs.  </w:t>
      </w:r>
    </w:p>
    <w:p w:rsidR="008E4E78" w:rsidRPr="005612EB" w:rsidP="00722B85" w14:paraId="26388B2C" w14:textId="77777777">
      <w:pPr>
        <w:widowControl/>
      </w:pPr>
    </w:p>
    <w:p w:rsidR="005770E6" w:rsidRPr="005770E6" w:rsidP="00722B85" w14:paraId="623FE6A2" w14:textId="77777777">
      <w:pPr>
        <w:widowControl/>
        <w:numPr>
          <w:ilvl w:val="0"/>
          <w:numId w:val="3"/>
        </w:numPr>
      </w:pPr>
      <w:r w:rsidRPr="00F358A1">
        <w:rPr>
          <w:b/>
          <w:bCs/>
        </w:rPr>
        <w:t>SPECIAL CIRCUMSTANCES</w:t>
      </w:r>
      <w:r w:rsidRPr="00C14920" w:rsidR="00470720">
        <w:rPr>
          <w:b/>
          <w:bCs/>
        </w:rPr>
        <w:t xml:space="preserve">  </w:t>
      </w:r>
    </w:p>
    <w:p w:rsidR="005770E6" w:rsidP="00722B85" w14:paraId="487FB1EA" w14:textId="77777777">
      <w:pPr>
        <w:widowControl/>
      </w:pPr>
    </w:p>
    <w:p w:rsidR="001C2B34" w:rsidP="00722B85" w14:paraId="65D92869" w14:textId="77777777">
      <w:pPr>
        <w:widowControl/>
      </w:pPr>
      <w:r w:rsidRPr="00CA75F7">
        <w:t>There are no special circumstances related to this information collection.</w:t>
      </w:r>
    </w:p>
    <w:p w:rsidR="001C2B34" w:rsidP="00722B85" w14:paraId="56F02C25" w14:textId="77777777">
      <w:pPr>
        <w:widowControl/>
      </w:pPr>
    </w:p>
    <w:p w:rsidR="005770E6" w:rsidRPr="005770E6" w:rsidP="00722B85" w14:paraId="56DA65C6" w14:textId="77777777">
      <w:pPr>
        <w:widowControl/>
        <w:numPr>
          <w:ilvl w:val="0"/>
          <w:numId w:val="3"/>
        </w:numPr>
        <w:rPr>
          <w:b/>
          <w:bCs/>
        </w:rPr>
      </w:pPr>
      <w:r w:rsidRPr="00F358A1">
        <w:rPr>
          <w:b/>
          <w:bCs/>
        </w:rPr>
        <w:t>COMPLIANCE WITH 5 CFR 1320.8</w:t>
      </w:r>
    </w:p>
    <w:p w:rsidR="005770E6" w:rsidP="00722B85" w14:paraId="137F5112" w14:textId="77777777">
      <w:pPr>
        <w:widowControl/>
        <w:rPr>
          <w:b/>
          <w:bCs/>
        </w:rPr>
      </w:pPr>
    </w:p>
    <w:p w:rsidR="006D5F58" w:rsidP="006D5F58" w14:paraId="7FABE665" w14:textId="096EE76A">
      <w:r w:rsidRPr="001F4BB9">
        <w:t xml:space="preserve">On </w:t>
      </w:r>
      <w:r w:rsidR="00EA7836">
        <w:t>February 2, 2024</w:t>
      </w:r>
      <w:r w:rsidRPr="001F4BB9">
        <w:t>, FMCSA published an NPRM titled “Amendments to the Commercial Driver’s License Requirements; Increased Flexibility for Testing and for Drivers After Passing the Skills Test” (</w:t>
      </w:r>
      <w:r w:rsidR="00597698">
        <w:t>89</w:t>
      </w:r>
      <w:r w:rsidRPr="001F4BB9">
        <w:t xml:space="preserve"> FR </w:t>
      </w:r>
      <w:r w:rsidR="00597698">
        <w:t>7327</w:t>
      </w:r>
      <w:r w:rsidRPr="001F4BB9">
        <w:t>) with a 60-day comment period announcing its intention to seek OMB review and approval to update this ICR</w:t>
      </w:r>
      <w:r w:rsidR="00E70E34">
        <w:t>.</w:t>
      </w:r>
      <w:r w:rsidR="00785E68">
        <w:t xml:space="preserve">  </w:t>
      </w:r>
      <w:r>
        <w:t xml:space="preserve">The </w:t>
      </w:r>
      <w:r w:rsidR="00C10B85">
        <w:t xml:space="preserve">comment period </w:t>
      </w:r>
      <w:r>
        <w:t xml:space="preserve">closing date was April 2024, and 646 comments were received.  </w:t>
      </w:r>
      <w:r w:rsidR="00C10B85">
        <w:t xml:space="preserve">Because the NPRM is only serving as a 60-day FR and the changes that were proposed by the NPRM are not being implemented, only the comments received in reference to the original ICR itself and not in reference to the NPRM are being considered at this time.  </w:t>
      </w:r>
      <w:r>
        <w:t xml:space="preserve">Only </w:t>
      </w:r>
      <w:r w:rsidR="00083C48">
        <w:t>one</w:t>
      </w:r>
      <w:r>
        <w:t xml:space="preserve"> comment however was </w:t>
      </w:r>
      <w:r w:rsidR="002949E2">
        <w:t xml:space="preserve">received </w:t>
      </w:r>
      <w:r>
        <w:t>in reference to the original ICR itself and was not in reference to the impacts of the NPRM on the ICR.  That commenter</w:t>
      </w:r>
      <w:r w:rsidR="00083C48">
        <w:t>, the National Propane Gas Association,</w:t>
      </w:r>
      <w:r>
        <w:t xml:space="preserve"> stated they had no objections to the information collection requirements. </w:t>
      </w:r>
      <w:r w:rsidR="00C10B85">
        <w:t xml:space="preserve">Comments received in reference to the changes that were proposed from the NPRM </w:t>
      </w:r>
      <w:r w:rsidR="005B702C">
        <w:t>but are not being included in this ICR</w:t>
      </w:r>
      <w:r w:rsidR="00C10B85">
        <w:t xml:space="preserve">, will be addressed at the final rule stage, </w:t>
      </w:r>
      <w:r w:rsidR="005B702C">
        <w:t>assuming</w:t>
      </w:r>
      <w:r w:rsidR="00C10B85">
        <w:t xml:space="preserve"> a final rule is to be published.  </w:t>
      </w:r>
    </w:p>
    <w:p w:rsidR="00B352A6" w:rsidP="00722B85" w14:paraId="58316E92" w14:textId="00B2B9D0">
      <w:pPr>
        <w:widowControl/>
      </w:pPr>
    </w:p>
    <w:p w:rsidR="008E4E78" w:rsidRPr="005612EB" w:rsidP="00722B85" w14:paraId="03E09320" w14:textId="77777777">
      <w:pPr>
        <w:widowControl/>
      </w:pPr>
    </w:p>
    <w:p w:rsidR="005770E6" w:rsidRPr="005770E6" w:rsidP="00722B85" w14:paraId="5978F16A" w14:textId="77777777">
      <w:pPr>
        <w:widowControl/>
        <w:numPr>
          <w:ilvl w:val="0"/>
          <w:numId w:val="3"/>
        </w:numPr>
      </w:pPr>
      <w:r w:rsidRPr="009E43F8">
        <w:rPr>
          <w:b/>
          <w:bCs/>
        </w:rPr>
        <w:t>PAYMENTS OR GIFTS TO RESPONDENTS</w:t>
      </w:r>
    </w:p>
    <w:p w:rsidR="005770E6" w:rsidP="00722B85" w14:paraId="0FD25D17" w14:textId="77777777">
      <w:pPr>
        <w:widowControl/>
        <w:rPr>
          <w:b/>
          <w:bCs/>
        </w:rPr>
      </w:pPr>
    </w:p>
    <w:p w:rsidR="00F358A1" w:rsidRPr="005612EB" w:rsidP="00722B85" w14:paraId="1449ECF6" w14:textId="77777777">
      <w:pPr>
        <w:widowControl/>
      </w:pPr>
      <w:r w:rsidRPr="00CA75F7">
        <w:t>Respondents are not provided with any payments or gifts for this information collection.</w:t>
      </w:r>
    </w:p>
    <w:p w:rsidR="008E4E78" w:rsidRPr="005612EB" w:rsidP="00722B85" w14:paraId="73145648" w14:textId="77777777">
      <w:pPr>
        <w:widowControl/>
      </w:pPr>
    </w:p>
    <w:p w:rsidR="005770E6" w:rsidRPr="005770E6" w:rsidP="00722B85" w14:paraId="6E3EFBD8" w14:textId="77777777">
      <w:pPr>
        <w:widowControl/>
        <w:numPr>
          <w:ilvl w:val="0"/>
          <w:numId w:val="3"/>
        </w:numPr>
      </w:pPr>
      <w:r w:rsidRPr="009E43F8">
        <w:rPr>
          <w:b/>
          <w:bCs/>
        </w:rPr>
        <w:t>ASSURANCE OF CONFIDENTIALITY</w:t>
      </w:r>
    </w:p>
    <w:p w:rsidR="005770E6" w:rsidP="00722B85" w14:paraId="015078B2" w14:textId="77777777">
      <w:pPr>
        <w:widowControl/>
      </w:pPr>
    </w:p>
    <w:p w:rsidR="0004749E" w:rsidRPr="005612EB" w:rsidP="00722B85" w14:paraId="0732F572" w14:textId="1CE1B019">
      <w:pPr>
        <w:widowControl/>
      </w:pPr>
      <w:r w:rsidRPr="00CA75F7">
        <w:t>Under U.S.C. §§ 31309(c) and 31106(e), the Secretary may provide CDLIS driver record information to various parties.  The current policy was published in the Federal Register on January 13, 2005</w:t>
      </w:r>
      <w:r w:rsidR="004C527B">
        <w:t>,</w:t>
      </w:r>
      <w:r w:rsidRPr="00CA75F7">
        <w:t xml:space="preserve"> (70 FR 2454), titled “Policy on Availability of Information from the Commercial Driver’s License Information System” (Attachment </w:t>
      </w:r>
      <w:r w:rsidR="005834D5">
        <w:t>E</w:t>
      </w:r>
      <w:r w:rsidRPr="00CA75F7">
        <w:t>).  This notice of policy allows access to CDLIS driver record information by other Federal agencies that can provide the legal basis and need for the information and execute a Memorandum of Understanding (MOU) with the Department and/or FMCSA.</w:t>
      </w:r>
    </w:p>
    <w:p w:rsidR="001D4111" w:rsidRPr="005612EB" w:rsidP="00722B85" w14:paraId="48FED368" w14:textId="77777777">
      <w:pPr>
        <w:widowControl/>
        <w:rPr>
          <w:bCs/>
        </w:rPr>
      </w:pPr>
    </w:p>
    <w:p w:rsidR="005770E6" w:rsidRPr="005770E6" w:rsidP="00722B85" w14:paraId="73011C93" w14:textId="77777777">
      <w:pPr>
        <w:widowControl/>
        <w:numPr>
          <w:ilvl w:val="0"/>
          <w:numId w:val="3"/>
        </w:numPr>
      </w:pPr>
      <w:r w:rsidRPr="001C2B34">
        <w:rPr>
          <w:b/>
          <w:bCs/>
        </w:rPr>
        <w:t>JUSTIFICATION FOR COLLECTION OF SENSITIVE INFORMATION</w:t>
      </w:r>
      <w:r w:rsidRPr="001C2B34" w:rsidR="00470720">
        <w:t xml:space="preserve"> </w:t>
      </w:r>
    </w:p>
    <w:p w:rsidR="005770E6" w:rsidP="00722B85" w14:paraId="0CB22931" w14:textId="77777777">
      <w:pPr>
        <w:widowControl/>
      </w:pPr>
    </w:p>
    <w:p w:rsidR="00CA75F7" w:rsidP="00722B85" w14:paraId="29E304F5" w14:textId="77777777">
      <w:pPr>
        <w:widowControl/>
      </w:pPr>
      <w:r w:rsidRPr="003D16D2">
        <w:t>T</w:t>
      </w:r>
      <w:r w:rsidRPr="00005A7B">
        <w:t>here</w:t>
      </w:r>
      <w:r w:rsidRPr="00CA75F7">
        <w:t xml:space="preserve"> are no questions of a sensitive nature.</w:t>
      </w:r>
    </w:p>
    <w:p w:rsidR="00CA75F7" w:rsidP="00722B85" w14:paraId="054201C6" w14:textId="77777777">
      <w:pPr>
        <w:pStyle w:val="ListParagraph"/>
        <w:widowControl/>
      </w:pPr>
    </w:p>
    <w:p w:rsidR="00CA75F7" w:rsidP="00722B85" w14:paraId="504AC971" w14:textId="77777777">
      <w:pPr>
        <w:widowControl/>
        <w:numPr>
          <w:ilvl w:val="0"/>
          <w:numId w:val="3"/>
        </w:numPr>
      </w:pPr>
      <w:r w:rsidRPr="001C2B34">
        <w:rPr>
          <w:b/>
          <w:bCs/>
        </w:rPr>
        <w:t>ESTIMATE OF BURDEN HOURS FOR INFORMATION REQUESTED</w:t>
      </w:r>
      <w:r w:rsidRPr="001C2B34" w:rsidR="00A613EE">
        <w:br/>
      </w:r>
    </w:p>
    <w:p w:rsidR="00C91178" w:rsidP="00722B85" w14:paraId="601EDCF3" w14:textId="77777777">
      <w:pPr>
        <w:widowControl/>
      </w:pPr>
      <w:r>
        <w:t xml:space="preserve">The information collection </w:t>
      </w:r>
      <w:r w:rsidRPr="00CA75F7">
        <w:t>burden consist</w:t>
      </w:r>
      <w:r>
        <w:t>s</w:t>
      </w:r>
      <w:r w:rsidRPr="00CA75F7">
        <w:t xml:space="preserve"> of the following </w:t>
      </w:r>
      <w:r>
        <w:t xml:space="preserve">tasks and </w:t>
      </w:r>
      <w:r w:rsidRPr="00CA75F7">
        <w:t>recordkeeping activities</w:t>
      </w:r>
      <w:r>
        <w:t xml:space="preserve"> divided between information collections of drivers and information collections of </w:t>
      </w:r>
      <w:r w:rsidR="00BA38FA">
        <w:t>SDLAs</w:t>
      </w:r>
      <w:r w:rsidRPr="00CA75F7">
        <w:t>:</w:t>
      </w:r>
    </w:p>
    <w:p w:rsidR="00C91178" w:rsidP="00722B85" w14:paraId="1B0F3B82" w14:textId="77777777">
      <w:pPr>
        <w:widowControl/>
        <w:ind w:left="360"/>
      </w:pPr>
    </w:p>
    <w:p w:rsidR="00C91178" w:rsidP="00722B85" w14:paraId="326AACEA" w14:textId="77777777">
      <w:pPr>
        <w:widowControl/>
      </w:pPr>
      <w:bookmarkStart w:id="2" w:name="_Hlk508013516"/>
      <w:r>
        <w:t>IC-1</w:t>
      </w:r>
      <w:r w:rsidRPr="00CA75F7">
        <w:t xml:space="preserve"> CDL Driver Activities</w:t>
      </w:r>
    </w:p>
    <w:bookmarkEnd w:id="2"/>
    <w:p w:rsidR="00C91178" w:rsidRPr="00CA75F7" w:rsidP="00722B85" w14:paraId="417859CF" w14:textId="77777777">
      <w:pPr>
        <w:widowControl/>
        <w:numPr>
          <w:ilvl w:val="0"/>
          <w:numId w:val="5"/>
        </w:numPr>
      </w:pPr>
      <w:r>
        <w:t xml:space="preserve">IC-1.1 </w:t>
      </w:r>
      <w:r w:rsidRPr="00CA75F7">
        <w:t>Driver notification of convictions/disqualifications to employer</w:t>
      </w:r>
    </w:p>
    <w:p w:rsidR="00C91178" w:rsidRPr="00CA75F7" w:rsidP="00722B85" w14:paraId="411A3B02" w14:textId="77777777">
      <w:pPr>
        <w:widowControl/>
        <w:numPr>
          <w:ilvl w:val="0"/>
          <w:numId w:val="5"/>
        </w:numPr>
      </w:pPr>
      <w:r>
        <w:t xml:space="preserve">IC-1.2 </w:t>
      </w:r>
      <w:r w:rsidRPr="00CA75F7">
        <w:t>Driver providing previous employment history to new employer</w:t>
      </w:r>
    </w:p>
    <w:p w:rsidR="00C91178" w:rsidRPr="00CA75F7" w:rsidP="00722B85" w14:paraId="26568947" w14:textId="77777777">
      <w:pPr>
        <w:widowControl/>
        <w:numPr>
          <w:ilvl w:val="0"/>
          <w:numId w:val="5"/>
        </w:numPr>
      </w:pPr>
      <w:r>
        <w:t xml:space="preserve">IC-1.3 </w:t>
      </w:r>
      <w:r w:rsidRPr="00CA75F7">
        <w:t>Driver completion of the CDL application form</w:t>
      </w:r>
    </w:p>
    <w:p w:rsidR="00C91178" w:rsidP="00722B85" w14:paraId="60DD428E" w14:textId="77777777">
      <w:pPr>
        <w:widowControl/>
        <w:numPr>
          <w:ilvl w:val="0"/>
          <w:numId w:val="5"/>
        </w:numPr>
      </w:pPr>
      <w:r>
        <w:t xml:space="preserve">IC-1.4 </w:t>
      </w:r>
      <w:r w:rsidRPr="00CA75F7">
        <w:t>Driver completion of knowledge and skills tests</w:t>
      </w:r>
    </w:p>
    <w:p w:rsidR="00C91178" w:rsidP="00722B85" w14:paraId="234F32A8" w14:textId="77777777">
      <w:pPr>
        <w:widowControl/>
        <w:ind w:left="360"/>
      </w:pPr>
    </w:p>
    <w:p w:rsidR="00C91178" w:rsidP="00722B85" w14:paraId="30570E2E" w14:textId="77777777">
      <w:pPr>
        <w:widowControl/>
      </w:pPr>
      <w:r w:rsidRPr="00CA75F7">
        <w:t xml:space="preserve">IC-2: </w:t>
      </w:r>
      <w:r w:rsidR="00B20487">
        <w:t>SDLA</w:t>
      </w:r>
      <w:r w:rsidRPr="00CA75F7">
        <w:t xml:space="preserve"> CDL Activities</w:t>
      </w:r>
    </w:p>
    <w:p w:rsidR="00C91178" w:rsidRPr="00CA75F7" w:rsidP="00722B85" w14:paraId="16C7C890" w14:textId="77777777">
      <w:pPr>
        <w:widowControl/>
        <w:numPr>
          <w:ilvl w:val="0"/>
          <w:numId w:val="6"/>
        </w:numPr>
      </w:pPr>
      <w:r>
        <w:t xml:space="preserve">IC-2.1 </w:t>
      </w:r>
      <w:r w:rsidRPr="00CA75F7">
        <w:t>State recording of medical examiner’s certificate information</w:t>
      </w:r>
    </w:p>
    <w:p w:rsidR="00C91178" w:rsidRPr="00CA75F7" w:rsidP="00722B85" w14:paraId="09660B97" w14:textId="77777777">
      <w:pPr>
        <w:widowControl/>
        <w:numPr>
          <w:ilvl w:val="0"/>
          <w:numId w:val="6"/>
        </w:numPr>
      </w:pPr>
      <w:r>
        <w:t xml:space="preserve">IC-2.2 </w:t>
      </w:r>
      <w:r w:rsidRPr="00CA75F7">
        <w:t>State recording of self-certification of CMV operation</w:t>
      </w:r>
    </w:p>
    <w:p w:rsidR="00C91178" w:rsidRPr="00CA75F7" w:rsidP="00722B85" w14:paraId="2AD75A14" w14:textId="77777777">
      <w:pPr>
        <w:widowControl/>
        <w:numPr>
          <w:ilvl w:val="0"/>
          <w:numId w:val="6"/>
        </w:numPr>
      </w:pPr>
      <w:r>
        <w:t xml:space="preserve">IC-2.3 </w:t>
      </w:r>
      <w:r w:rsidRPr="00CA75F7">
        <w:t xml:space="preserve">State verification of medical certification status </w:t>
      </w:r>
    </w:p>
    <w:p w:rsidR="00C91178" w:rsidRPr="00CA75F7" w:rsidP="00722B85" w14:paraId="22A769EA" w14:textId="77777777">
      <w:pPr>
        <w:widowControl/>
        <w:numPr>
          <w:ilvl w:val="0"/>
          <w:numId w:val="6"/>
        </w:numPr>
      </w:pPr>
      <w:r>
        <w:t xml:space="preserve">IC-2.4 </w:t>
      </w:r>
      <w:r w:rsidRPr="00CA75F7">
        <w:t>Annual State certification of compliance</w:t>
      </w:r>
    </w:p>
    <w:p w:rsidR="00C91178" w:rsidRPr="00CA75F7" w:rsidP="00722B85" w14:paraId="0B96F5C6" w14:textId="77777777">
      <w:pPr>
        <w:widowControl/>
        <w:numPr>
          <w:ilvl w:val="0"/>
          <w:numId w:val="6"/>
        </w:numPr>
      </w:pPr>
      <w:r>
        <w:t xml:space="preserve">IC-2.5 </w:t>
      </w:r>
      <w:r w:rsidRPr="00CA75F7">
        <w:t xml:space="preserve">State preparing for and participating in Annual Program Review </w:t>
      </w:r>
    </w:p>
    <w:p w:rsidR="00C91178" w:rsidRPr="00CA75F7" w:rsidP="00722B85" w14:paraId="395F7683" w14:textId="77777777">
      <w:pPr>
        <w:widowControl/>
        <w:numPr>
          <w:ilvl w:val="0"/>
          <w:numId w:val="6"/>
        </w:numPr>
      </w:pPr>
      <w:r>
        <w:t xml:space="preserve">IC-2.6 </w:t>
      </w:r>
      <w:r w:rsidRPr="00CA75F7">
        <w:t>CDLIS/PDPS/State Recordkeeping</w:t>
      </w:r>
    </w:p>
    <w:p w:rsidR="00C91178" w:rsidRPr="00CA75F7" w:rsidP="00722B85" w14:paraId="1E52414E" w14:textId="77777777">
      <w:pPr>
        <w:widowControl/>
        <w:numPr>
          <w:ilvl w:val="0"/>
          <w:numId w:val="6"/>
        </w:numPr>
      </w:pPr>
      <w:r>
        <w:t xml:space="preserve">IC-2.7 </w:t>
      </w:r>
      <w:r w:rsidRPr="00CA75F7">
        <w:t>CDL Knowledge and Skills tests recordkeeping</w:t>
      </w:r>
    </w:p>
    <w:p w:rsidR="00C91178" w:rsidP="00722B85" w14:paraId="54A00C46" w14:textId="319FB88A">
      <w:pPr>
        <w:widowControl/>
        <w:numPr>
          <w:ilvl w:val="0"/>
          <w:numId w:val="6"/>
        </w:numPr>
      </w:pPr>
      <w:r>
        <w:t>IC-2.8 Knowledge and skills test examiner certification</w:t>
      </w:r>
    </w:p>
    <w:p w:rsidR="00C91178" w:rsidP="00722B85" w14:paraId="1B03C973" w14:textId="77777777">
      <w:pPr>
        <w:widowControl/>
        <w:ind w:left="360"/>
      </w:pPr>
    </w:p>
    <w:p w:rsidR="00CA75F7" w:rsidP="00722B85" w14:paraId="7B540974" w14:textId="6AF3409E">
      <w:pPr>
        <w:widowControl/>
      </w:pPr>
      <w:r w:rsidRPr="00CA75F7">
        <w:t xml:space="preserve">For the purposes of this ICR, the Agency </w:t>
      </w:r>
      <w:r w:rsidR="0044797F">
        <w:t xml:space="preserve">derives </w:t>
      </w:r>
      <w:r w:rsidR="00A96737">
        <w:t xml:space="preserve">its </w:t>
      </w:r>
      <w:r w:rsidRPr="00CA75F7">
        <w:t>burden hour and burden hour cost estimates</w:t>
      </w:r>
      <w:r w:rsidR="0044797F">
        <w:t xml:space="preserve"> based</w:t>
      </w:r>
      <w:r w:rsidRPr="00CA75F7">
        <w:t xml:space="preserve"> on the following statistics:</w:t>
      </w:r>
      <w:r w:rsidR="00C8209F">
        <w:br/>
      </w:r>
    </w:p>
    <w:p w:rsidR="00131BA8" w:rsidP="00722B85" w14:paraId="61FBAEAF" w14:textId="7EF6C4ED">
      <w:pPr>
        <w:widowControl/>
        <w:numPr>
          <w:ilvl w:val="0"/>
          <w:numId w:val="14"/>
        </w:numPr>
        <w:rPr>
          <w:vertAlign w:val="superscript"/>
        </w:rPr>
      </w:pPr>
      <w:r>
        <w:t>There were 16,</w:t>
      </w:r>
      <w:r w:rsidR="100ECA66">
        <w:t>124,175</w:t>
      </w:r>
      <w:r w:rsidR="00046C87">
        <w:t xml:space="preserve"> </w:t>
      </w:r>
      <w:r w:rsidR="0062196F">
        <w:t>activ</w:t>
      </w:r>
      <w:r w:rsidR="00B20487">
        <w:t>e master pointer records (MPRs)</w:t>
      </w:r>
      <w:r w:rsidR="0062196F">
        <w:t xml:space="preserve"> in </w:t>
      </w:r>
      <w:r w:rsidR="00046C87">
        <w:t xml:space="preserve">CDLIS </w:t>
      </w:r>
      <w:r>
        <w:t xml:space="preserve">in </w:t>
      </w:r>
      <w:r w:rsidR="000314D4">
        <w:t>202</w:t>
      </w:r>
      <w:r w:rsidR="3AB6B983">
        <w:t>2</w:t>
      </w:r>
      <w:r w:rsidR="00A96737">
        <w:t>.</w:t>
      </w:r>
      <w:r w:rsidRPr="00A96737" w:rsidR="00A96737">
        <w:rPr>
          <w:vertAlign w:val="superscript"/>
        </w:rPr>
        <w:t>(</w:t>
      </w:r>
      <w:r>
        <w:rPr>
          <w:rStyle w:val="FootnoteReference"/>
        </w:rPr>
        <w:footnoteReference w:id="3"/>
      </w:r>
      <w:r w:rsidRPr="00A96737" w:rsidR="00A96737">
        <w:rPr>
          <w:vertAlign w:val="superscript"/>
        </w:rPr>
        <w:t>)</w:t>
      </w:r>
    </w:p>
    <w:p w:rsidR="00A96737" w:rsidRPr="00131BA8" w:rsidP="00722B85" w14:paraId="0F69600B" w14:textId="25F10AA9">
      <w:pPr>
        <w:widowControl/>
        <w:numPr>
          <w:ilvl w:val="0"/>
          <w:numId w:val="14"/>
        </w:numPr>
      </w:pPr>
      <w:r w:rsidRPr="00131BA8">
        <w:t>T</w:t>
      </w:r>
      <w:r w:rsidRPr="00131BA8" w:rsidR="006D2928">
        <w:t xml:space="preserve">here were </w:t>
      </w:r>
      <w:r w:rsidR="51E55608">
        <w:t>9,029,538</w:t>
      </w:r>
      <w:r w:rsidRPr="00131BA8" w:rsidR="00046C87">
        <w:t xml:space="preserve"> </w:t>
      </w:r>
      <w:r w:rsidR="00801E39">
        <w:t>CDLs in force</w:t>
      </w:r>
      <w:r w:rsidRPr="00131BA8" w:rsidR="001A1A67">
        <w:t xml:space="preserve"> </w:t>
      </w:r>
      <w:r w:rsidR="00146A56">
        <w:t xml:space="preserve">in </w:t>
      </w:r>
      <w:r w:rsidRPr="00131BA8">
        <w:t>20</w:t>
      </w:r>
      <w:r w:rsidR="000314D4">
        <w:t>2</w:t>
      </w:r>
      <w:r w:rsidR="185825A9">
        <w:t>2</w:t>
      </w:r>
      <w:r w:rsidRPr="00131BA8" w:rsidR="00046C87">
        <w:t>.</w:t>
      </w:r>
      <w:r w:rsidRPr="00131BA8">
        <w:rPr>
          <w:vertAlign w:val="superscript"/>
        </w:rPr>
        <w:t>(</w:t>
      </w:r>
      <w:r>
        <w:rPr>
          <w:rStyle w:val="FootnoteReference"/>
        </w:rPr>
        <w:footnoteReference w:id="4"/>
      </w:r>
      <w:r w:rsidRPr="7827EEF5">
        <w:rPr>
          <w:vertAlign w:val="superscript"/>
        </w:rPr>
        <w:t>)</w:t>
      </w:r>
      <w:r w:rsidR="00131BA8">
        <w:t xml:space="preserve">  The Agency assumes that each of the </w:t>
      </w:r>
      <w:r w:rsidRPr="00131BA8" w:rsidR="6DDCFBE5">
        <w:t>9,</w:t>
      </w:r>
      <w:r w:rsidRPr="00131BA8" w:rsidR="612304EE">
        <w:t>029,538</w:t>
      </w:r>
      <w:r w:rsidR="00131BA8">
        <w:t xml:space="preserve"> </w:t>
      </w:r>
      <w:r w:rsidRPr="00131BA8" w:rsidR="00801E39">
        <w:t>CDLs in force</w:t>
      </w:r>
      <w:r w:rsidR="00131BA8">
        <w:t xml:space="preserve"> represents an active CDL holder.</w:t>
      </w:r>
    </w:p>
    <w:p w:rsidR="00A96737" w:rsidRPr="00302E4B" w:rsidP="00722B85" w14:paraId="5896521F" w14:textId="547662CD">
      <w:pPr>
        <w:widowControl/>
        <w:numPr>
          <w:ilvl w:val="0"/>
          <w:numId w:val="14"/>
        </w:numPr>
      </w:pPr>
      <w:r>
        <w:t xml:space="preserve">Approximately </w:t>
      </w:r>
      <w:r w:rsidR="4DFCCC57">
        <w:t>408,617</w:t>
      </w:r>
      <w:r>
        <w:t xml:space="preserve"> </w:t>
      </w:r>
      <w:r w:rsidR="003364FA">
        <w:t>drivers</w:t>
      </w:r>
      <w:r>
        <w:t xml:space="preserve">, </w:t>
      </w:r>
      <w:r w:rsidR="003364FA">
        <w:t xml:space="preserve">or </w:t>
      </w:r>
      <w:r w:rsidR="003D329A">
        <w:t>about 5%</w:t>
      </w:r>
      <w:r w:rsidR="003364FA">
        <w:t xml:space="preserve"> of active CDL holders, </w:t>
      </w:r>
      <w:r>
        <w:t xml:space="preserve">transferred their CDL to a different State in </w:t>
      </w:r>
      <w:r>
        <w:t>20</w:t>
      </w:r>
      <w:r w:rsidR="003D329A">
        <w:t>2</w:t>
      </w:r>
      <w:r w:rsidR="446E3BD8">
        <w:t>2</w:t>
      </w:r>
      <w:r>
        <w:t>.</w:t>
      </w:r>
      <w:r w:rsidRPr="00A96737">
        <w:rPr>
          <w:vertAlign w:val="superscript"/>
        </w:rPr>
        <w:t>(</w:t>
      </w:r>
      <w:r>
        <w:rPr>
          <w:rStyle w:val="FootnoteReference"/>
        </w:rPr>
        <w:footnoteReference w:id="5"/>
      </w:r>
      <w:r w:rsidRPr="00A96737">
        <w:rPr>
          <w:vertAlign w:val="superscript"/>
        </w:rPr>
        <w:t>)</w:t>
      </w:r>
    </w:p>
    <w:p w:rsidR="00046C87" w:rsidP="00722B85" w14:paraId="19D95E15" w14:textId="0E8088F2">
      <w:pPr>
        <w:widowControl/>
        <w:numPr>
          <w:ilvl w:val="0"/>
          <w:numId w:val="14"/>
        </w:numPr>
      </w:pPr>
      <w:r>
        <w:t xml:space="preserve">Approximately </w:t>
      </w:r>
      <w:r w:rsidR="006D2928">
        <w:t>3,</w:t>
      </w:r>
      <w:r w:rsidR="5ED80074">
        <w:t>5</w:t>
      </w:r>
      <w:r w:rsidR="007D68BB">
        <w:t>00,</w:t>
      </w:r>
      <w:r w:rsidR="006D2928">
        <w:t xml:space="preserve">000 </w:t>
      </w:r>
      <w:r w:rsidR="00804FEE">
        <w:t>C</w:t>
      </w:r>
      <w:r>
        <w:t>D</w:t>
      </w:r>
      <w:r w:rsidR="00804FEE">
        <w:t>L</w:t>
      </w:r>
      <w:r w:rsidR="006D2928">
        <w:t xml:space="preserve"> holders engaged in interstate commerce</w:t>
      </w:r>
      <w:r>
        <w:t xml:space="preserve"> in </w:t>
      </w:r>
      <w:r w:rsidR="4EE36369">
        <w:t>202</w:t>
      </w:r>
      <w:r w:rsidR="00C5751E">
        <w:t>1</w:t>
      </w:r>
      <w:r w:rsidR="2A6BD79C">
        <w:t>.</w:t>
      </w:r>
      <w:r w:rsidRPr="00A96737" w:rsidR="5D67124F">
        <w:rPr>
          <w:vertAlign w:val="superscript"/>
        </w:rPr>
        <w:t>(</w:t>
      </w:r>
      <w:r>
        <w:rPr>
          <w:rStyle w:val="FootnoteReference"/>
        </w:rPr>
        <w:footnoteReference w:id="6"/>
      </w:r>
      <w:r w:rsidRPr="00A96737" w:rsidR="00A96737">
        <w:rPr>
          <w:vertAlign w:val="superscript"/>
        </w:rPr>
        <w:t>)</w:t>
      </w:r>
      <w:r w:rsidR="006D2928">
        <w:t xml:space="preserve"> </w:t>
      </w:r>
    </w:p>
    <w:p w:rsidR="00302E4B" w:rsidRPr="00804FEE" w:rsidP="00722B85" w14:paraId="42FB17E8" w14:textId="7FBFE98D">
      <w:pPr>
        <w:widowControl/>
        <w:numPr>
          <w:ilvl w:val="0"/>
          <w:numId w:val="14"/>
        </w:numPr>
      </w:pPr>
      <w:r>
        <w:t xml:space="preserve">There were approximately </w:t>
      </w:r>
      <w:r w:rsidR="6CA6C80B">
        <w:t>340,183</w:t>
      </w:r>
      <w:r w:rsidR="00A96737">
        <w:t xml:space="preserve"> new CDL drivers</w:t>
      </w:r>
      <w:r w:rsidR="00394111">
        <w:t xml:space="preserve"> in </w:t>
      </w:r>
      <w:r w:rsidR="00394111">
        <w:t>20</w:t>
      </w:r>
      <w:r w:rsidR="003D329A">
        <w:t>2</w:t>
      </w:r>
      <w:r w:rsidR="550DE50F">
        <w:t>2</w:t>
      </w:r>
      <w:r w:rsidR="00394111">
        <w:t>.</w:t>
      </w:r>
      <w:r w:rsidRPr="00A96737" w:rsidR="00394111">
        <w:rPr>
          <w:vertAlign w:val="superscript"/>
        </w:rPr>
        <w:t>(</w:t>
      </w:r>
      <w:r>
        <w:rPr>
          <w:rStyle w:val="FootnoteReference"/>
        </w:rPr>
        <w:footnoteReference w:id="7"/>
      </w:r>
      <w:r w:rsidRPr="00A96737" w:rsidR="00394111">
        <w:rPr>
          <w:vertAlign w:val="superscript"/>
        </w:rPr>
        <w:t>)</w:t>
      </w:r>
      <w:r w:rsidR="00E14E65">
        <w:t>.</w:t>
      </w:r>
      <w:r w:rsidR="00A96737">
        <w:t xml:space="preserve"> </w:t>
      </w:r>
    </w:p>
    <w:p w:rsidR="005839AA" w:rsidP="00722B85" w14:paraId="35D0F5AD" w14:textId="77777777">
      <w:pPr>
        <w:widowControl/>
      </w:pPr>
    </w:p>
    <w:p w:rsidR="00722B85" w:rsidP="00722B85" w14:paraId="1BA756BC" w14:textId="4785F7C3">
      <w:pPr>
        <w:widowControl/>
      </w:pPr>
      <w:r>
        <w:t>Next, the Agency applies a growth rate of 0.</w:t>
      </w:r>
      <w:r w:rsidR="007D68BB">
        <w:t>224</w:t>
      </w:r>
      <w:r>
        <w:t>%</w:t>
      </w:r>
      <w:r w:rsidRPr="00A96737">
        <w:rPr>
          <w:vertAlign w:val="superscript"/>
        </w:rPr>
        <w:t>(</w:t>
      </w:r>
      <w:r>
        <w:rPr>
          <w:rStyle w:val="FootnoteReference"/>
        </w:rPr>
        <w:footnoteReference w:id="8"/>
      </w:r>
      <w:r w:rsidRPr="00A96737">
        <w:rPr>
          <w:vertAlign w:val="superscript"/>
        </w:rPr>
        <w:t>)</w:t>
      </w:r>
      <w:r>
        <w:t xml:space="preserve"> </w:t>
      </w:r>
      <w:r w:rsidR="00A763FB">
        <w:t xml:space="preserve">to the above statistics </w:t>
      </w:r>
      <w:r>
        <w:t xml:space="preserve">to obtain </w:t>
      </w:r>
      <w:r w:rsidR="00A763FB">
        <w:t xml:space="preserve">estimated </w:t>
      </w:r>
      <w:r>
        <w:t xml:space="preserve">respondent numbers listed in </w:t>
      </w:r>
      <w:r w:rsidRPr="00804FEE">
        <w:fldChar w:fldCharType="begin"/>
      </w:r>
      <w:r w:rsidRPr="00804FEE">
        <w:instrText xml:space="preserve"> REF _Ref508025002 \h  \* MERGEFORMAT </w:instrText>
      </w:r>
      <w:r w:rsidRPr="00804FEE">
        <w:fldChar w:fldCharType="separate"/>
      </w:r>
      <w:r w:rsidRPr="006A6CBC" w:rsidR="006A6CBC">
        <w:t xml:space="preserve">Table </w:t>
      </w:r>
      <w:r w:rsidRPr="006A6CBC" w:rsidR="006A6CBC">
        <w:rPr>
          <w:noProof/>
        </w:rPr>
        <w:t>1</w:t>
      </w:r>
      <w:r w:rsidRPr="00804FEE">
        <w:fldChar w:fldCharType="end"/>
      </w:r>
      <w:r>
        <w:t>.</w:t>
      </w:r>
      <w:r w:rsidR="00FA3A82">
        <w:t xml:space="preserve"> </w:t>
      </w:r>
      <w:r w:rsidRPr="00D64E77" w:rsidR="00E657B4">
        <w:t>It is im</w:t>
      </w:r>
      <w:r w:rsidRPr="00D64E77" w:rsidR="002F5397">
        <w:t>portant to note that totals</w:t>
      </w:r>
      <w:r w:rsidRPr="00D64E77" w:rsidR="00E657B4">
        <w:t xml:space="preserve"> in the following tables</w:t>
      </w:r>
      <w:r w:rsidRPr="00D64E77" w:rsidR="002F5397">
        <w:t xml:space="preserve"> </w:t>
      </w:r>
      <w:r w:rsidRPr="00295067" w:rsidR="00295067">
        <w:t xml:space="preserve">are products of unrounded </w:t>
      </w:r>
      <w:r w:rsidR="00295067">
        <w:t>components</w:t>
      </w:r>
      <w:r w:rsidRPr="00D64E77" w:rsidR="002F5397">
        <w:t>.</w:t>
      </w:r>
      <w:r w:rsidRPr="00D64E77" w:rsidR="0092660B">
        <w:t xml:space="preserve"> This is done to ensure </w:t>
      </w:r>
      <w:r w:rsidRPr="00D64E77" w:rsidR="001948C4">
        <w:t>FMCSA provides</w:t>
      </w:r>
      <w:r w:rsidRPr="00D64E77" w:rsidR="0092660B">
        <w:t xml:space="preserve"> an accurate estimate. </w:t>
      </w:r>
    </w:p>
    <w:p w:rsidR="00CA75F7" w:rsidRPr="00CA75F7" w:rsidP="00722B85" w14:paraId="732A7145" w14:textId="77777777">
      <w:pPr>
        <w:widowControl/>
      </w:pPr>
    </w:p>
    <w:p w:rsidR="0008378A" w:rsidRPr="00D64E77" w:rsidP="00722B85" w14:paraId="56B8E7E1" w14:textId="6AF35ECC">
      <w:pPr>
        <w:pStyle w:val="Caption"/>
        <w:keepNext/>
        <w:widowControl/>
      </w:pPr>
      <w:bookmarkStart w:id="4" w:name="_Ref508025002"/>
      <w:bookmarkStart w:id="5" w:name="_Ref508098309"/>
      <w:r w:rsidRPr="00D64E77">
        <w:t xml:space="preserve">Table </w:t>
      </w:r>
      <w:r>
        <w:fldChar w:fldCharType="begin"/>
      </w:r>
      <w:r>
        <w:instrText>SEQ Table \* ARABIC</w:instrText>
      </w:r>
      <w:r>
        <w:fldChar w:fldCharType="separate"/>
      </w:r>
      <w:r w:rsidR="006A6CBC">
        <w:rPr>
          <w:noProof/>
        </w:rPr>
        <w:t>1</w:t>
      </w:r>
      <w:r>
        <w:fldChar w:fldCharType="end"/>
      </w:r>
      <w:bookmarkEnd w:id="4"/>
      <w:r w:rsidRPr="00D64E77">
        <w:t xml:space="preserve">. </w:t>
      </w:r>
      <w:bookmarkEnd w:id="5"/>
      <w:r w:rsidRPr="00D64E77" w:rsidR="00F94A52">
        <w:t xml:space="preserve">Estimations of </w:t>
      </w:r>
      <w:r w:rsidRPr="00D64E77" w:rsidR="0044797F">
        <w:t>D</w:t>
      </w:r>
      <w:r w:rsidRPr="00D64E77" w:rsidR="00F94A52">
        <w:t xml:space="preserve">river </w:t>
      </w:r>
      <w:r w:rsidRPr="00D64E77" w:rsidR="0044797F">
        <w:t>P</w:t>
      </w:r>
      <w:r w:rsidRPr="00D64E77" w:rsidR="00F94A52">
        <w:t>opulations</w:t>
      </w: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165"/>
        <w:gridCol w:w="1727"/>
        <w:gridCol w:w="1628"/>
        <w:gridCol w:w="1628"/>
        <w:gridCol w:w="1328"/>
        <w:gridCol w:w="1328"/>
        <w:gridCol w:w="1182"/>
      </w:tblGrid>
      <w:tr w14:paraId="53FFE745" w14:textId="66A79FA8" w:rsidTr="001A7839">
        <w:tblPrEx>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543"/>
        </w:trPr>
        <w:tc>
          <w:tcPr>
            <w:tcW w:w="583" w:type="pct"/>
            <w:shd w:val="clear" w:color="auto" w:fill="E0E0E0"/>
            <w:vAlign w:val="bottom"/>
            <w:hideMark/>
          </w:tcPr>
          <w:p w:rsidR="00684F9B" w:rsidRPr="00855244" w:rsidP="00BE2F04" w14:paraId="0EA47709" w14:textId="77777777">
            <w:pPr>
              <w:widowControl/>
              <w:autoSpaceDE/>
              <w:autoSpaceDN/>
              <w:adjustRightInd/>
              <w:jc w:val="center"/>
              <w:rPr>
                <w:b/>
                <w:bCs/>
                <w:color w:val="000000"/>
              </w:rPr>
            </w:pPr>
            <w:r w:rsidRPr="00855244">
              <w:rPr>
                <w:b/>
                <w:bCs/>
                <w:color w:val="000000"/>
              </w:rPr>
              <w:t>Year</w:t>
            </w:r>
          </w:p>
        </w:tc>
        <w:tc>
          <w:tcPr>
            <w:tcW w:w="865" w:type="pct"/>
            <w:shd w:val="clear" w:color="auto" w:fill="E0E0E0"/>
            <w:vAlign w:val="bottom"/>
          </w:tcPr>
          <w:p w:rsidR="00684F9B" w:rsidRPr="00804FEE" w:rsidP="00804FEE" w14:paraId="56775502" w14:textId="77777777">
            <w:pPr>
              <w:widowControl/>
              <w:autoSpaceDE/>
              <w:autoSpaceDN/>
              <w:adjustRightInd/>
              <w:jc w:val="center"/>
              <w:rPr>
                <w:b/>
                <w:bCs/>
                <w:color w:val="000000"/>
              </w:rPr>
            </w:pPr>
            <w:r w:rsidRPr="00804FEE">
              <w:rPr>
                <w:b/>
                <w:bCs/>
                <w:color w:val="000000"/>
              </w:rPr>
              <w:t>CDLIS Driver Records</w:t>
            </w:r>
          </w:p>
        </w:tc>
        <w:tc>
          <w:tcPr>
            <w:tcW w:w="815" w:type="pct"/>
            <w:shd w:val="clear" w:color="auto" w:fill="E0E0E0"/>
            <w:vAlign w:val="bottom"/>
            <w:hideMark/>
          </w:tcPr>
          <w:p w:rsidR="00684F9B" w:rsidRPr="00804FEE" w:rsidP="00804FEE" w14:paraId="3B05052B" w14:textId="77777777">
            <w:pPr>
              <w:widowControl/>
              <w:autoSpaceDE/>
              <w:autoSpaceDN/>
              <w:adjustRightInd/>
              <w:jc w:val="center"/>
              <w:rPr>
                <w:b/>
                <w:bCs/>
                <w:color w:val="000000"/>
              </w:rPr>
            </w:pPr>
            <w:r w:rsidRPr="00804FEE">
              <w:rPr>
                <w:b/>
                <w:bCs/>
                <w:color w:val="000000"/>
              </w:rPr>
              <w:t xml:space="preserve">Active </w:t>
            </w:r>
            <w:r>
              <w:rPr>
                <w:b/>
                <w:bCs/>
                <w:color w:val="000000"/>
              </w:rPr>
              <w:t>CDL Drivers</w:t>
            </w:r>
          </w:p>
        </w:tc>
        <w:tc>
          <w:tcPr>
            <w:tcW w:w="815" w:type="pct"/>
            <w:shd w:val="clear" w:color="auto" w:fill="E0E0E0"/>
            <w:vAlign w:val="bottom"/>
          </w:tcPr>
          <w:p w:rsidR="00684F9B" w:rsidRPr="00446553" w:rsidP="00446553" w14:paraId="4AA41B7C" w14:textId="77777777">
            <w:pPr>
              <w:widowControl/>
              <w:autoSpaceDE/>
              <w:autoSpaceDN/>
              <w:adjustRightInd/>
              <w:jc w:val="center"/>
              <w:rPr>
                <w:b/>
                <w:bCs/>
                <w:color w:val="000000"/>
              </w:rPr>
            </w:pPr>
            <w:r w:rsidRPr="00446553">
              <w:rPr>
                <w:b/>
                <w:bCs/>
                <w:color w:val="000000"/>
              </w:rPr>
              <w:t>Active Interstate CDL Holders</w:t>
            </w:r>
          </w:p>
        </w:tc>
        <w:tc>
          <w:tcPr>
            <w:tcW w:w="665" w:type="pct"/>
            <w:shd w:val="clear" w:color="auto" w:fill="E0E0E0"/>
            <w:vAlign w:val="bottom"/>
            <w:hideMark/>
          </w:tcPr>
          <w:p w:rsidR="00684F9B" w:rsidRPr="00804FEE" w:rsidP="00804FEE" w14:paraId="14BF4E39" w14:textId="77777777">
            <w:pPr>
              <w:widowControl/>
              <w:autoSpaceDE/>
              <w:autoSpaceDN/>
              <w:adjustRightInd/>
              <w:jc w:val="center"/>
              <w:rPr>
                <w:b/>
                <w:bCs/>
                <w:color w:val="000000"/>
              </w:rPr>
            </w:pPr>
            <w:r w:rsidRPr="00804FEE">
              <w:rPr>
                <w:b/>
                <w:bCs/>
                <w:color w:val="000000"/>
              </w:rPr>
              <w:t>Active CDL Holder Transfer Drivers</w:t>
            </w:r>
          </w:p>
        </w:tc>
        <w:tc>
          <w:tcPr>
            <w:tcW w:w="665" w:type="pct"/>
            <w:shd w:val="clear" w:color="auto" w:fill="E0E0E0"/>
            <w:vAlign w:val="bottom"/>
            <w:hideMark/>
          </w:tcPr>
          <w:p w:rsidR="00684F9B" w:rsidRPr="00804FEE" w:rsidP="00804FEE" w14:paraId="0A28A2F2" w14:textId="77777777">
            <w:pPr>
              <w:widowControl/>
              <w:autoSpaceDE/>
              <w:autoSpaceDN/>
              <w:adjustRightInd/>
              <w:jc w:val="center"/>
              <w:rPr>
                <w:b/>
                <w:bCs/>
                <w:color w:val="000000"/>
              </w:rPr>
            </w:pPr>
            <w:r w:rsidRPr="00804FEE">
              <w:rPr>
                <w:b/>
                <w:bCs/>
                <w:color w:val="000000"/>
              </w:rPr>
              <w:t>New CDL Holders</w:t>
            </w:r>
          </w:p>
        </w:tc>
        <w:tc>
          <w:tcPr>
            <w:tcW w:w="593" w:type="pct"/>
            <w:shd w:val="clear" w:color="auto" w:fill="E0E0E0"/>
            <w:vAlign w:val="bottom"/>
          </w:tcPr>
          <w:p w:rsidR="00684F9B" w:rsidRPr="00804FEE" w:rsidP="00DB18FC" w14:paraId="47A4E30C" w14:textId="0F1850A0">
            <w:pPr>
              <w:widowControl/>
              <w:autoSpaceDE/>
              <w:autoSpaceDN/>
              <w:adjustRightInd/>
              <w:jc w:val="center"/>
              <w:rPr>
                <w:b/>
                <w:bCs/>
                <w:color w:val="000000"/>
              </w:rPr>
            </w:pPr>
            <w:r>
              <w:rPr>
                <w:b/>
                <w:bCs/>
                <w:color w:val="000000"/>
              </w:rPr>
              <w:t>Renewed CDL Holders</w:t>
            </w:r>
          </w:p>
        </w:tc>
      </w:tr>
      <w:tr w14:paraId="037133E7" w14:textId="2511A916" w:rsidTr="001A7839">
        <w:tblPrEx>
          <w:tblW w:w="5340" w:type="pct"/>
          <w:tblCellMar>
            <w:left w:w="29" w:type="dxa"/>
            <w:right w:w="29" w:type="dxa"/>
          </w:tblCellMar>
          <w:tblLook w:val="04A0"/>
        </w:tblPrEx>
        <w:trPr>
          <w:trHeight w:val="270"/>
        </w:trPr>
        <w:tc>
          <w:tcPr>
            <w:tcW w:w="583" w:type="pct"/>
            <w:shd w:val="clear" w:color="auto" w:fill="auto"/>
            <w:vAlign w:val="bottom"/>
            <w:hideMark/>
          </w:tcPr>
          <w:p w:rsidR="00684F9B" w:rsidRPr="00855244" w:rsidP="00684F9B" w14:paraId="1B58153D" w14:textId="69E570CF">
            <w:pPr>
              <w:widowControl/>
              <w:autoSpaceDE/>
              <w:autoSpaceDN/>
              <w:adjustRightInd/>
              <w:jc w:val="center"/>
              <w:rPr>
                <w:color w:val="000000"/>
              </w:rPr>
            </w:pPr>
            <w:r w:rsidRPr="00855244">
              <w:rPr>
                <w:color w:val="000000"/>
              </w:rPr>
              <w:t>1</w:t>
            </w:r>
            <w:r>
              <w:rPr>
                <w:color w:val="000000"/>
              </w:rPr>
              <w:t xml:space="preserve"> (202</w:t>
            </w:r>
            <w:r w:rsidRPr="00324DD6" w:rsidR="001A7839">
              <w:rPr>
                <w:color w:val="000000" w:themeColor="text1"/>
              </w:rPr>
              <w:t>3</w:t>
            </w:r>
            <w:r>
              <w:rPr>
                <w:color w:val="000000"/>
              </w:rPr>
              <w:t>)</w:t>
            </w:r>
          </w:p>
        </w:tc>
        <w:tc>
          <w:tcPr>
            <w:tcW w:w="865" w:type="pct"/>
            <w:vAlign w:val="bottom"/>
          </w:tcPr>
          <w:p w:rsidR="00684F9B" w:rsidRPr="00804FEE" w:rsidP="00684F9B" w14:paraId="1D339077" w14:textId="04A81AB7">
            <w:pPr>
              <w:widowControl/>
              <w:autoSpaceDE/>
              <w:autoSpaceDN/>
              <w:adjustRightInd/>
              <w:jc w:val="center"/>
            </w:pPr>
            <w:r>
              <w:t xml:space="preserve"> </w:t>
            </w:r>
            <w:r w:rsidRPr="00324DD6">
              <w:t>16,160,293</w:t>
            </w:r>
          </w:p>
        </w:tc>
        <w:tc>
          <w:tcPr>
            <w:tcW w:w="815" w:type="pct"/>
            <w:shd w:val="clear" w:color="auto" w:fill="auto"/>
            <w:vAlign w:val="bottom"/>
          </w:tcPr>
          <w:p w:rsidR="00684F9B" w:rsidRPr="00804FEE" w:rsidP="00684F9B" w14:paraId="5E39EDC2" w14:textId="40158DFC">
            <w:pPr>
              <w:widowControl/>
              <w:autoSpaceDE/>
              <w:autoSpaceDN/>
              <w:adjustRightInd/>
              <w:jc w:val="center"/>
              <w:rPr>
                <w:color w:val="000000"/>
              </w:rPr>
            </w:pPr>
            <w:r>
              <w:t xml:space="preserve"> </w:t>
            </w:r>
            <w:r w:rsidRPr="00324DD6">
              <w:t>9,049,764</w:t>
            </w:r>
          </w:p>
        </w:tc>
        <w:tc>
          <w:tcPr>
            <w:tcW w:w="815" w:type="pct"/>
            <w:vAlign w:val="bottom"/>
          </w:tcPr>
          <w:p w:rsidR="00684F9B" w:rsidRPr="00446553" w:rsidP="00684F9B" w14:paraId="6F632515" w14:textId="15F4DC88">
            <w:pPr>
              <w:widowControl/>
              <w:autoSpaceDE/>
              <w:autoSpaceDN/>
              <w:adjustRightInd/>
              <w:jc w:val="center"/>
            </w:pPr>
            <w:r>
              <w:t xml:space="preserve"> </w:t>
            </w:r>
            <w:r w:rsidRPr="00324DD6">
              <w:t>3,430,567</w:t>
            </w:r>
          </w:p>
        </w:tc>
        <w:tc>
          <w:tcPr>
            <w:tcW w:w="665" w:type="pct"/>
            <w:shd w:val="clear" w:color="auto" w:fill="auto"/>
            <w:vAlign w:val="bottom"/>
          </w:tcPr>
          <w:p w:rsidR="00684F9B" w:rsidRPr="00804FEE" w:rsidP="00684F9B" w14:paraId="49928F43" w14:textId="74530498">
            <w:pPr>
              <w:widowControl/>
              <w:autoSpaceDE/>
              <w:autoSpaceDN/>
              <w:adjustRightInd/>
              <w:jc w:val="center"/>
              <w:rPr>
                <w:color w:val="000000"/>
              </w:rPr>
            </w:pPr>
            <w:r>
              <w:t xml:space="preserve"> </w:t>
            </w:r>
            <w:r w:rsidRPr="00324DD6">
              <w:t>409,532</w:t>
            </w:r>
          </w:p>
        </w:tc>
        <w:tc>
          <w:tcPr>
            <w:tcW w:w="665" w:type="pct"/>
            <w:shd w:val="clear" w:color="auto" w:fill="auto"/>
            <w:vAlign w:val="bottom"/>
          </w:tcPr>
          <w:p w:rsidR="00684F9B" w:rsidRPr="00804FEE" w:rsidP="00684F9B" w14:paraId="168EE844" w14:textId="2FE43F52">
            <w:pPr>
              <w:widowControl/>
              <w:autoSpaceDE/>
              <w:autoSpaceDN/>
              <w:adjustRightInd/>
              <w:jc w:val="center"/>
              <w:rPr>
                <w:color w:val="000000"/>
              </w:rPr>
            </w:pPr>
            <w:r>
              <w:t xml:space="preserve"> </w:t>
            </w:r>
            <w:r w:rsidRPr="00324DD6">
              <w:t>340,945</w:t>
            </w:r>
          </w:p>
        </w:tc>
        <w:tc>
          <w:tcPr>
            <w:tcW w:w="593" w:type="pct"/>
          </w:tcPr>
          <w:p w:rsidR="00684F9B" w:rsidRPr="00DB18FC" w:rsidP="00DB18FC" w14:paraId="319082BD" w14:textId="47CA52DB">
            <w:pPr>
              <w:widowControl/>
              <w:autoSpaceDE/>
              <w:autoSpaceDN/>
              <w:adjustRightInd/>
              <w:jc w:val="center"/>
            </w:pPr>
            <w:r>
              <w:t xml:space="preserve"> </w:t>
            </w:r>
            <w:r w:rsidRPr="00324DD6">
              <w:t xml:space="preserve">1,809,953 </w:t>
            </w:r>
          </w:p>
        </w:tc>
      </w:tr>
      <w:tr w14:paraId="37299243" w14:textId="3FD383DD" w:rsidTr="001A7839">
        <w:tblPrEx>
          <w:tblW w:w="5340" w:type="pct"/>
          <w:tblCellMar>
            <w:left w:w="29" w:type="dxa"/>
            <w:right w:w="29" w:type="dxa"/>
          </w:tblCellMar>
          <w:tblLook w:val="04A0"/>
        </w:tblPrEx>
        <w:trPr>
          <w:trHeight w:val="270"/>
        </w:trPr>
        <w:tc>
          <w:tcPr>
            <w:tcW w:w="583" w:type="pct"/>
            <w:shd w:val="clear" w:color="auto" w:fill="auto"/>
            <w:vAlign w:val="bottom"/>
            <w:hideMark/>
          </w:tcPr>
          <w:p w:rsidR="00684F9B" w:rsidRPr="00855244" w:rsidP="00684F9B" w14:paraId="28E0C510" w14:textId="37D97925">
            <w:pPr>
              <w:widowControl/>
              <w:autoSpaceDE/>
              <w:autoSpaceDN/>
              <w:adjustRightInd/>
              <w:jc w:val="center"/>
              <w:rPr>
                <w:color w:val="000000"/>
              </w:rPr>
            </w:pPr>
            <w:r w:rsidRPr="00855244">
              <w:rPr>
                <w:color w:val="000000"/>
              </w:rPr>
              <w:t>2</w:t>
            </w:r>
            <w:r>
              <w:rPr>
                <w:color w:val="000000"/>
              </w:rPr>
              <w:t xml:space="preserve"> (202</w:t>
            </w:r>
            <w:r w:rsidRPr="00324DD6" w:rsidR="001A7839">
              <w:rPr>
                <w:color w:val="000000" w:themeColor="text1"/>
              </w:rPr>
              <w:t>4</w:t>
            </w:r>
            <w:r>
              <w:rPr>
                <w:color w:val="000000"/>
              </w:rPr>
              <w:t>)</w:t>
            </w:r>
          </w:p>
        </w:tc>
        <w:tc>
          <w:tcPr>
            <w:tcW w:w="865" w:type="pct"/>
            <w:vAlign w:val="bottom"/>
          </w:tcPr>
          <w:p w:rsidR="00684F9B" w:rsidRPr="00804FEE" w:rsidP="00684F9B" w14:paraId="51F4CDBB" w14:textId="5A18B67E">
            <w:pPr>
              <w:widowControl/>
              <w:autoSpaceDE/>
              <w:autoSpaceDN/>
              <w:adjustRightInd/>
              <w:jc w:val="center"/>
            </w:pPr>
            <w:r>
              <w:t xml:space="preserve"> </w:t>
            </w:r>
            <w:r w:rsidRPr="00324DD6">
              <w:t>16,196,493</w:t>
            </w:r>
          </w:p>
        </w:tc>
        <w:tc>
          <w:tcPr>
            <w:tcW w:w="815" w:type="pct"/>
            <w:shd w:val="clear" w:color="auto" w:fill="auto"/>
            <w:vAlign w:val="bottom"/>
          </w:tcPr>
          <w:p w:rsidR="00684F9B" w:rsidRPr="00804FEE" w:rsidP="00684F9B" w14:paraId="37854D62" w14:textId="011DE0BC">
            <w:pPr>
              <w:widowControl/>
              <w:autoSpaceDE/>
              <w:autoSpaceDN/>
              <w:adjustRightInd/>
              <w:jc w:val="center"/>
              <w:rPr>
                <w:color w:val="000000"/>
              </w:rPr>
            </w:pPr>
            <w:r>
              <w:t xml:space="preserve"> </w:t>
            </w:r>
            <w:r w:rsidRPr="00324DD6">
              <w:t>9,070,036</w:t>
            </w:r>
          </w:p>
        </w:tc>
        <w:tc>
          <w:tcPr>
            <w:tcW w:w="815" w:type="pct"/>
            <w:vAlign w:val="bottom"/>
          </w:tcPr>
          <w:p w:rsidR="00684F9B" w:rsidRPr="00446553" w:rsidP="00684F9B" w14:paraId="0FF68943" w14:textId="7243416B">
            <w:pPr>
              <w:widowControl/>
              <w:autoSpaceDE/>
              <w:autoSpaceDN/>
              <w:adjustRightInd/>
              <w:jc w:val="center"/>
            </w:pPr>
            <w:r>
              <w:t xml:space="preserve"> </w:t>
            </w:r>
            <w:r w:rsidRPr="00324DD6">
              <w:t>3,438,251</w:t>
            </w:r>
          </w:p>
        </w:tc>
        <w:tc>
          <w:tcPr>
            <w:tcW w:w="665" w:type="pct"/>
            <w:shd w:val="clear" w:color="auto" w:fill="auto"/>
            <w:vAlign w:val="bottom"/>
          </w:tcPr>
          <w:p w:rsidR="00684F9B" w:rsidRPr="00804FEE" w:rsidP="00684F9B" w14:paraId="7FFC8EF3" w14:textId="19319DC3">
            <w:pPr>
              <w:widowControl/>
              <w:autoSpaceDE/>
              <w:autoSpaceDN/>
              <w:adjustRightInd/>
              <w:jc w:val="center"/>
              <w:rPr>
                <w:color w:val="000000"/>
              </w:rPr>
            </w:pPr>
            <w:r>
              <w:t xml:space="preserve"> </w:t>
            </w:r>
            <w:r w:rsidRPr="00324DD6">
              <w:t>410,450</w:t>
            </w:r>
          </w:p>
        </w:tc>
        <w:tc>
          <w:tcPr>
            <w:tcW w:w="665" w:type="pct"/>
            <w:shd w:val="clear" w:color="auto" w:fill="auto"/>
            <w:vAlign w:val="bottom"/>
          </w:tcPr>
          <w:p w:rsidR="00684F9B" w:rsidRPr="00804FEE" w:rsidP="00684F9B" w14:paraId="170508A6" w14:textId="1F7DF278">
            <w:pPr>
              <w:widowControl/>
              <w:autoSpaceDE/>
              <w:autoSpaceDN/>
              <w:adjustRightInd/>
              <w:jc w:val="center"/>
              <w:rPr>
                <w:color w:val="000000"/>
              </w:rPr>
            </w:pPr>
            <w:r>
              <w:t xml:space="preserve"> </w:t>
            </w:r>
            <w:r w:rsidRPr="00324DD6">
              <w:t>341,709</w:t>
            </w:r>
          </w:p>
        </w:tc>
        <w:tc>
          <w:tcPr>
            <w:tcW w:w="593" w:type="pct"/>
          </w:tcPr>
          <w:p w:rsidR="00684F9B" w:rsidRPr="00DB18FC" w:rsidP="00DB18FC" w14:paraId="30767DBE" w14:textId="3DCBBB03">
            <w:pPr>
              <w:widowControl/>
              <w:autoSpaceDE/>
              <w:autoSpaceDN/>
              <w:adjustRightInd/>
              <w:jc w:val="center"/>
            </w:pPr>
            <w:r w:rsidRPr="00324DD6">
              <w:t>1,814,007</w:t>
            </w:r>
          </w:p>
        </w:tc>
      </w:tr>
      <w:tr w14:paraId="0FE8B1BF" w14:textId="6286582E" w:rsidTr="001A7839">
        <w:tblPrEx>
          <w:tblW w:w="5340" w:type="pct"/>
          <w:tblCellMar>
            <w:left w:w="29" w:type="dxa"/>
            <w:right w:w="29" w:type="dxa"/>
          </w:tblCellMar>
          <w:tblLook w:val="04A0"/>
        </w:tblPrEx>
        <w:trPr>
          <w:trHeight w:val="270"/>
        </w:trPr>
        <w:tc>
          <w:tcPr>
            <w:tcW w:w="583" w:type="pct"/>
            <w:shd w:val="clear" w:color="auto" w:fill="auto"/>
            <w:vAlign w:val="bottom"/>
            <w:hideMark/>
          </w:tcPr>
          <w:p w:rsidR="00684F9B" w:rsidRPr="00855244" w:rsidP="00684F9B" w14:paraId="50DCD288" w14:textId="4BD23EA0">
            <w:pPr>
              <w:widowControl/>
              <w:autoSpaceDE/>
              <w:autoSpaceDN/>
              <w:adjustRightInd/>
              <w:jc w:val="center"/>
              <w:rPr>
                <w:color w:val="000000"/>
              </w:rPr>
            </w:pPr>
            <w:r w:rsidRPr="00855244">
              <w:rPr>
                <w:color w:val="000000"/>
              </w:rPr>
              <w:t>3</w:t>
            </w:r>
            <w:r>
              <w:rPr>
                <w:color w:val="000000"/>
              </w:rPr>
              <w:t xml:space="preserve"> (202</w:t>
            </w:r>
            <w:r w:rsidRPr="00324DD6" w:rsidR="001A7839">
              <w:rPr>
                <w:color w:val="000000" w:themeColor="text1"/>
              </w:rPr>
              <w:t>5</w:t>
            </w:r>
            <w:r>
              <w:rPr>
                <w:color w:val="000000"/>
              </w:rPr>
              <w:t>)</w:t>
            </w:r>
          </w:p>
        </w:tc>
        <w:tc>
          <w:tcPr>
            <w:tcW w:w="865" w:type="pct"/>
            <w:vAlign w:val="bottom"/>
          </w:tcPr>
          <w:p w:rsidR="00684F9B" w:rsidRPr="00804FEE" w:rsidP="00684F9B" w14:paraId="42857C1B" w14:textId="729D34CD">
            <w:pPr>
              <w:widowControl/>
              <w:autoSpaceDE/>
              <w:autoSpaceDN/>
              <w:adjustRightInd/>
              <w:jc w:val="center"/>
            </w:pPr>
            <w:r>
              <w:t xml:space="preserve"> </w:t>
            </w:r>
            <w:r w:rsidRPr="00324DD6">
              <w:t>16,232,773</w:t>
            </w:r>
          </w:p>
        </w:tc>
        <w:tc>
          <w:tcPr>
            <w:tcW w:w="815" w:type="pct"/>
            <w:shd w:val="clear" w:color="auto" w:fill="auto"/>
            <w:vAlign w:val="bottom"/>
          </w:tcPr>
          <w:p w:rsidR="00684F9B" w:rsidRPr="00804FEE" w:rsidP="00684F9B" w14:paraId="15F6E357" w14:textId="13FF9E8D">
            <w:pPr>
              <w:widowControl/>
              <w:autoSpaceDE/>
              <w:autoSpaceDN/>
              <w:adjustRightInd/>
              <w:jc w:val="center"/>
              <w:rPr>
                <w:color w:val="000000"/>
              </w:rPr>
            </w:pPr>
            <w:r>
              <w:t xml:space="preserve"> </w:t>
            </w:r>
            <w:r w:rsidRPr="00324DD6">
              <w:t>9,090,353</w:t>
            </w:r>
          </w:p>
        </w:tc>
        <w:tc>
          <w:tcPr>
            <w:tcW w:w="815" w:type="pct"/>
            <w:vAlign w:val="bottom"/>
          </w:tcPr>
          <w:p w:rsidR="00684F9B" w:rsidRPr="00446553" w:rsidP="00684F9B" w14:paraId="3B7C37AE" w14:textId="50724749">
            <w:pPr>
              <w:widowControl/>
              <w:autoSpaceDE/>
              <w:autoSpaceDN/>
              <w:adjustRightInd/>
              <w:jc w:val="center"/>
            </w:pPr>
            <w:r>
              <w:t xml:space="preserve"> </w:t>
            </w:r>
            <w:r w:rsidRPr="00324DD6">
              <w:t>3,445,953</w:t>
            </w:r>
          </w:p>
        </w:tc>
        <w:tc>
          <w:tcPr>
            <w:tcW w:w="665" w:type="pct"/>
            <w:shd w:val="clear" w:color="auto" w:fill="auto"/>
            <w:vAlign w:val="bottom"/>
          </w:tcPr>
          <w:p w:rsidR="00684F9B" w:rsidRPr="00804FEE" w:rsidP="00684F9B" w14:paraId="2770D518" w14:textId="4B25A0F9">
            <w:pPr>
              <w:widowControl/>
              <w:autoSpaceDE/>
              <w:autoSpaceDN/>
              <w:adjustRightInd/>
              <w:jc w:val="center"/>
              <w:rPr>
                <w:color w:val="000000"/>
              </w:rPr>
            </w:pPr>
            <w:r>
              <w:t xml:space="preserve"> </w:t>
            </w:r>
            <w:r w:rsidRPr="00324DD6">
              <w:t>406,793</w:t>
            </w:r>
          </w:p>
        </w:tc>
        <w:tc>
          <w:tcPr>
            <w:tcW w:w="665" w:type="pct"/>
            <w:shd w:val="clear" w:color="auto" w:fill="auto"/>
            <w:vAlign w:val="bottom"/>
          </w:tcPr>
          <w:p w:rsidR="00684F9B" w:rsidRPr="00804FEE" w:rsidP="00684F9B" w14:paraId="2EABCD1E" w14:textId="7D9D480B">
            <w:pPr>
              <w:widowControl/>
              <w:autoSpaceDE/>
              <w:autoSpaceDN/>
              <w:adjustRightInd/>
              <w:jc w:val="center"/>
              <w:rPr>
                <w:color w:val="000000"/>
              </w:rPr>
            </w:pPr>
            <w:r>
              <w:t xml:space="preserve"> </w:t>
            </w:r>
            <w:r w:rsidRPr="00324DD6">
              <w:t>342,474</w:t>
            </w:r>
          </w:p>
        </w:tc>
        <w:tc>
          <w:tcPr>
            <w:tcW w:w="593" w:type="pct"/>
          </w:tcPr>
          <w:p w:rsidR="00684F9B" w:rsidRPr="00DB18FC" w:rsidP="00DB18FC" w14:paraId="56F1DA37" w14:textId="14A195D4">
            <w:pPr>
              <w:widowControl/>
              <w:autoSpaceDE/>
              <w:autoSpaceDN/>
              <w:adjustRightInd/>
              <w:jc w:val="center"/>
            </w:pPr>
            <w:r>
              <w:t xml:space="preserve"> </w:t>
            </w:r>
            <w:r w:rsidRPr="00324DD6">
              <w:t xml:space="preserve">1,818,071 </w:t>
            </w:r>
          </w:p>
        </w:tc>
      </w:tr>
      <w:tr w14:paraId="01AB45B1" w14:textId="13A014E0" w:rsidTr="001A7839">
        <w:tblPrEx>
          <w:tblW w:w="5340" w:type="pct"/>
          <w:tblCellMar>
            <w:left w:w="29" w:type="dxa"/>
            <w:right w:w="29" w:type="dxa"/>
          </w:tblCellMar>
          <w:tblLook w:val="04A0"/>
        </w:tblPrEx>
        <w:trPr>
          <w:trHeight w:val="270"/>
        </w:trPr>
        <w:tc>
          <w:tcPr>
            <w:tcW w:w="583" w:type="pct"/>
            <w:shd w:val="clear" w:color="auto" w:fill="auto"/>
            <w:vAlign w:val="bottom"/>
            <w:hideMark/>
          </w:tcPr>
          <w:p w:rsidR="00684F9B" w:rsidRPr="00855244" w:rsidP="00684F9B" w14:paraId="6CF7A88D" w14:textId="77777777">
            <w:pPr>
              <w:widowControl/>
              <w:autoSpaceDE/>
              <w:autoSpaceDN/>
              <w:adjustRightInd/>
              <w:jc w:val="center"/>
              <w:rPr>
                <w:color w:val="000000"/>
              </w:rPr>
            </w:pPr>
            <w:r w:rsidRPr="00855244">
              <w:rPr>
                <w:color w:val="000000"/>
              </w:rPr>
              <w:t>Annualized</w:t>
            </w:r>
          </w:p>
        </w:tc>
        <w:tc>
          <w:tcPr>
            <w:tcW w:w="865" w:type="pct"/>
            <w:vAlign w:val="bottom"/>
          </w:tcPr>
          <w:p w:rsidR="00684F9B" w:rsidRPr="00804FEE" w:rsidP="00684F9B" w14:paraId="740A23F4" w14:textId="3F494DAD">
            <w:pPr>
              <w:widowControl/>
              <w:autoSpaceDE/>
              <w:autoSpaceDN/>
              <w:adjustRightInd/>
              <w:jc w:val="center"/>
            </w:pPr>
            <w:r>
              <w:t xml:space="preserve"> </w:t>
            </w:r>
            <w:r w:rsidRPr="00324DD6">
              <w:t>16,196,520</w:t>
            </w:r>
          </w:p>
        </w:tc>
        <w:tc>
          <w:tcPr>
            <w:tcW w:w="815" w:type="pct"/>
            <w:shd w:val="clear" w:color="auto" w:fill="auto"/>
            <w:vAlign w:val="bottom"/>
          </w:tcPr>
          <w:p w:rsidR="00684F9B" w:rsidRPr="00804FEE" w:rsidP="00684F9B" w14:paraId="441235DC" w14:textId="7A35B62B">
            <w:pPr>
              <w:widowControl/>
              <w:autoSpaceDE/>
              <w:autoSpaceDN/>
              <w:adjustRightInd/>
              <w:jc w:val="center"/>
              <w:rPr>
                <w:color w:val="000000"/>
              </w:rPr>
            </w:pPr>
            <w:r>
              <w:t xml:space="preserve"> </w:t>
            </w:r>
            <w:r w:rsidRPr="00324DD6">
              <w:t>9,070,051</w:t>
            </w:r>
          </w:p>
        </w:tc>
        <w:tc>
          <w:tcPr>
            <w:tcW w:w="815" w:type="pct"/>
            <w:vAlign w:val="bottom"/>
          </w:tcPr>
          <w:p w:rsidR="00684F9B" w:rsidRPr="00446553" w:rsidP="00684F9B" w14:paraId="09A91A42" w14:textId="799A8508">
            <w:pPr>
              <w:widowControl/>
              <w:autoSpaceDE/>
              <w:autoSpaceDN/>
              <w:adjustRightInd/>
              <w:jc w:val="center"/>
            </w:pPr>
            <w:r>
              <w:t xml:space="preserve"> </w:t>
            </w:r>
            <w:r w:rsidRPr="00324DD6">
              <w:t>3,438,257</w:t>
            </w:r>
          </w:p>
        </w:tc>
        <w:tc>
          <w:tcPr>
            <w:tcW w:w="665" w:type="pct"/>
            <w:shd w:val="clear" w:color="auto" w:fill="auto"/>
            <w:vAlign w:val="bottom"/>
          </w:tcPr>
          <w:p w:rsidR="00684F9B" w:rsidRPr="00804FEE" w:rsidP="00684F9B" w14:paraId="37610794" w14:textId="37EE7606">
            <w:pPr>
              <w:widowControl/>
              <w:autoSpaceDE/>
              <w:autoSpaceDN/>
              <w:adjustRightInd/>
              <w:jc w:val="center"/>
              <w:rPr>
                <w:color w:val="000000"/>
              </w:rPr>
            </w:pPr>
            <w:r>
              <w:t xml:space="preserve"> </w:t>
            </w:r>
            <w:r w:rsidRPr="00324DD6">
              <w:t>408,925</w:t>
            </w:r>
          </w:p>
        </w:tc>
        <w:tc>
          <w:tcPr>
            <w:tcW w:w="665" w:type="pct"/>
            <w:shd w:val="clear" w:color="auto" w:fill="auto"/>
            <w:vAlign w:val="bottom"/>
          </w:tcPr>
          <w:p w:rsidR="00684F9B" w:rsidRPr="00804FEE" w:rsidP="00684F9B" w14:paraId="206C9C0C" w14:textId="5232903B">
            <w:pPr>
              <w:widowControl/>
              <w:autoSpaceDE/>
              <w:autoSpaceDN/>
              <w:adjustRightInd/>
              <w:jc w:val="center"/>
              <w:rPr>
                <w:color w:val="000000"/>
              </w:rPr>
            </w:pPr>
            <w:r>
              <w:t xml:space="preserve"> </w:t>
            </w:r>
            <w:r w:rsidRPr="00324DD6">
              <w:t>341,709</w:t>
            </w:r>
          </w:p>
        </w:tc>
        <w:tc>
          <w:tcPr>
            <w:tcW w:w="593" w:type="pct"/>
          </w:tcPr>
          <w:p w:rsidR="00684F9B" w:rsidRPr="00DB18FC" w:rsidP="00DB18FC" w14:paraId="7F4D8673" w14:textId="78D40F48">
            <w:pPr>
              <w:widowControl/>
              <w:autoSpaceDE/>
              <w:autoSpaceDN/>
              <w:adjustRightInd/>
              <w:jc w:val="center"/>
            </w:pPr>
            <w:r>
              <w:t xml:space="preserve"> </w:t>
            </w:r>
            <w:r w:rsidRPr="00324DD6">
              <w:t>1,814,010</w:t>
            </w:r>
          </w:p>
        </w:tc>
      </w:tr>
    </w:tbl>
    <w:p w:rsidR="7827EEF5" w:rsidP="7827EEF5" w14:paraId="070177D2" w14:textId="0E24FE53">
      <w:pPr>
        <w:widowControl/>
        <w:rPr>
          <w:b/>
          <w:bCs/>
          <w:u w:val="single"/>
        </w:rPr>
      </w:pPr>
    </w:p>
    <w:p w:rsidR="0028285A" w:rsidRPr="005770E6" w:rsidP="00722B85" w14:paraId="0425AA2F" w14:textId="751530E9">
      <w:pPr>
        <w:widowControl/>
        <w:rPr>
          <w:b/>
          <w:u w:val="single"/>
        </w:rPr>
      </w:pPr>
      <w:r w:rsidRPr="005770E6">
        <w:rPr>
          <w:b/>
          <w:u w:val="single"/>
        </w:rPr>
        <w:t>IC-1 CDL Driver Activities</w:t>
      </w:r>
    </w:p>
    <w:p w:rsidR="0028285A" w:rsidP="00722B85" w14:paraId="33FE73BD" w14:textId="77777777">
      <w:pPr>
        <w:widowControl/>
      </w:pPr>
      <w:r>
        <w:t>Driver activities include four parts: 1) notifying a motor carrier of any convictions or disqualifications; 2) providing previous employment history to a new employer; 3) completing the CDL application for</w:t>
      </w:r>
      <w:r w:rsidR="00672E15">
        <w:t>m</w:t>
      </w:r>
      <w:r>
        <w:t>; and 4) completing the knowledge test and skills test.</w:t>
      </w:r>
    </w:p>
    <w:p w:rsidR="009F058D" w:rsidP="00722B85" w14:paraId="43AAE902" w14:textId="77777777">
      <w:pPr>
        <w:widowControl/>
        <w:ind w:left="360"/>
      </w:pPr>
    </w:p>
    <w:p w:rsidR="001C0EF3" w:rsidP="00722B85" w14:paraId="0EB9D948" w14:textId="34A88F07">
      <w:pPr>
        <w:widowControl/>
      </w:pPr>
      <w:r>
        <w:t xml:space="preserve">The FMCSA assumes these tasks will be carried out by individuals equivalent to a </w:t>
      </w:r>
      <w:r w:rsidR="002B3291">
        <w:t>H</w:t>
      </w:r>
      <w:r>
        <w:t>eavy an</w:t>
      </w:r>
      <w:r w:rsidR="002B3291">
        <w:t>d Tractor-trailer Truck D</w:t>
      </w:r>
      <w:r>
        <w:t>river (</w:t>
      </w:r>
      <w:r w:rsidR="005839AA">
        <w:t>Standard Occupational Classification</w:t>
      </w:r>
      <w:r>
        <w:t xml:space="preserve"> </w:t>
      </w:r>
      <w:r w:rsidR="003A6741">
        <w:t xml:space="preserve">(SOC) </w:t>
      </w:r>
      <w:r w:rsidR="002B3291">
        <w:t xml:space="preserve">Code 53-3032), Bus Drivers, </w:t>
      </w:r>
      <w:r w:rsidR="002B3291">
        <w:t>S</w:t>
      </w:r>
      <w:r>
        <w:t>cho</w:t>
      </w:r>
      <w:r w:rsidR="002B3291">
        <w:t>ol</w:t>
      </w:r>
      <w:r w:rsidR="002B3291">
        <w:t xml:space="preserve"> or Special C</w:t>
      </w:r>
      <w:r>
        <w:t>lient (</w:t>
      </w:r>
      <w:r w:rsidR="005839AA">
        <w:t>SOC Code</w:t>
      </w:r>
      <w:r w:rsidR="002B3291">
        <w:t xml:space="preserve"> 53-30</w:t>
      </w:r>
      <w:r w:rsidR="00630D7E">
        <w:t>52</w:t>
      </w:r>
      <w:r w:rsidR="002B3291">
        <w:t>), and Bus Drivers, Transit and I</w:t>
      </w:r>
      <w:r>
        <w:t>ntercity (</w:t>
      </w:r>
      <w:r w:rsidR="005839AA">
        <w:t>SOC</w:t>
      </w:r>
      <w:r>
        <w:t xml:space="preserve"> Code 53-30</w:t>
      </w:r>
      <w:r w:rsidR="00A24A29">
        <w:t>51</w:t>
      </w:r>
      <w:r>
        <w:t>).  To create a composite loaded hourly wage, the Agency weighted the median hourly wage for each occupation by total employment, as displayed in</w:t>
      </w:r>
      <w:r w:rsidR="00F94A52">
        <w:t xml:space="preserve"> </w:t>
      </w:r>
      <w:r>
        <w:fldChar w:fldCharType="begin"/>
      </w:r>
      <w:r>
        <w:instrText xml:space="preserve"> REF _Ref508266393 \h  \* MERGEFORMAT </w:instrText>
      </w:r>
      <w:r>
        <w:fldChar w:fldCharType="separate"/>
      </w:r>
      <w:r w:rsidR="006A6CBC">
        <w:t xml:space="preserve">Table </w:t>
      </w:r>
      <w:r w:rsidRPr="5ECFBCA2" w:rsidR="006A6CBC">
        <w:rPr>
          <w:noProof/>
        </w:rPr>
        <w:t>2</w:t>
      </w:r>
      <w:r>
        <w:fldChar w:fldCharType="end"/>
      </w:r>
      <w:r w:rsidR="006C3FF8">
        <w:t xml:space="preserve">, which resulted in a weighted </w:t>
      </w:r>
      <w:r w:rsidR="00450D12">
        <w:t xml:space="preserve">hourly </w:t>
      </w:r>
      <w:r w:rsidR="006C3FF8">
        <w:t>wage of $</w:t>
      </w:r>
      <w:r w:rsidR="00A24A29">
        <w:t>33.84</w:t>
      </w:r>
      <w:r w:rsidR="004771A4">
        <w:t xml:space="preserve">. </w:t>
      </w:r>
    </w:p>
    <w:p w:rsidR="001C0EF3" w:rsidP="00722B85" w14:paraId="0AD153AF" w14:textId="77777777">
      <w:pPr>
        <w:widowControl/>
      </w:pPr>
    </w:p>
    <w:p w:rsidR="00F26639" w:rsidRPr="00D64E77" w:rsidP="00722B85" w14:paraId="708D02A6" w14:textId="168A55C8">
      <w:pPr>
        <w:pStyle w:val="Caption"/>
        <w:keepNext/>
        <w:widowControl/>
        <w:rPr>
          <w:vertAlign w:val="superscript"/>
        </w:rPr>
      </w:pPr>
      <w:bookmarkStart w:id="6" w:name="_Ref508266393"/>
      <w:r w:rsidRPr="00D64E77">
        <w:t xml:space="preserve">Table </w:t>
      </w:r>
      <w:r>
        <w:fldChar w:fldCharType="begin"/>
      </w:r>
      <w:r>
        <w:instrText>SEQ Table \* ARABIC</w:instrText>
      </w:r>
      <w:r>
        <w:fldChar w:fldCharType="separate"/>
      </w:r>
      <w:r w:rsidR="006A6CBC">
        <w:rPr>
          <w:noProof/>
        </w:rPr>
        <w:t>2</w:t>
      </w:r>
      <w:r>
        <w:fldChar w:fldCharType="end"/>
      </w:r>
      <w:bookmarkEnd w:id="6"/>
      <w:r w:rsidRPr="00D64E77">
        <w:t xml:space="preserve">. </w:t>
      </w:r>
      <w:r w:rsidRPr="00D64E77" w:rsidR="600EE114">
        <w:t xml:space="preserve">Composite </w:t>
      </w:r>
      <w:r w:rsidRPr="00D64E77">
        <w:t xml:space="preserve">Driver </w:t>
      </w:r>
      <w:r w:rsidRPr="00D64E77" w:rsidR="64585D84">
        <w:t xml:space="preserve">Base </w:t>
      </w:r>
      <w:r w:rsidRPr="00D64E77" w:rsidR="2621C50A">
        <w:t>H</w:t>
      </w:r>
      <w:r w:rsidRPr="00D64E77" w:rsidR="0026204D">
        <w:t xml:space="preserve">ourly </w:t>
      </w:r>
      <w:r w:rsidRPr="00D64E77" w:rsidR="2621C50A">
        <w:t>W</w:t>
      </w:r>
      <w:r w:rsidRPr="00D64E77" w:rsidR="0026204D">
        <w:t xml:space="preserve">age </w:t>
      </w:r>
      <w:r w:rsidRPr="00D64E77" w:rsidR="2621C50A">
        <w:t>R</w:t>
      </w:r>
      <w:r w:rsidRPr="00D64E77" w:rsidR="0026204D">
        <w:t>ate</w:t>
      </w:r>
      <w:r w:rsidRPr="00573840" w:rsidR="6CFC83F0">
        <w:rPr>
          <w:vertAlign w:val="superscript"/>
        </w:rPr>
        <w:t>(</w:t>
      </w:r>
      <w:r>
        <w:rPr>
          <w:vertAlign w:val="superscript"/>
        </w:rPr>
        <w:footnoteReference w:id="9"/>
      </w:r>
      <w:r w:rsidRPr="001F217B" w:rsidR="6CFC83F0">
        <w:rPr>
          <w:vertAlign w:val="superscript"/>
        </w:rPr>
        <w:t>)</w:t>
      </w:r>
    </w:p>
    <w:tbl>
      <w:tblPr>
        <w:tblW w:w="0" w:type="auto"/>
        <w:tblLayout w:type="fixed"/>
        <w:tblCellMar>
          <w:left w:w="0" w:type="dxa"/>
          <w:right w:w="0" w:type="dxa"/>
        </w:tblCellMar>
        <w:tblLook w:val="04A0"/>
      </w:tblPr>
      <w:tblGrid>
        <w:gridCol w:w="2065"/>
        <w:gridCol w:w="1260"/>
        <w:gridCol w:w="1080"/>
        <w:gridCol w:w="1080"/>
        <w:gridCol w:w="1350"/>
        <w:gridCol w:w="1057"/>
        <w:gridCol w:w="1458"/>
      </w:tblGrid>
      <w:tr w14:paraId="4FA9A36D" w14:textId="77777777" w:rsidTr="5ECFBCA2">
        <w:tblPrEx>
          <w:tblW w:w="0" w:type="auto"/>
          <w:tblLayout w:type="fixed"/>
          <w:tblCellMar>
            <w:left w:w="0" w:type="dxa"/>
            <w:right w:w="0" w:type="dxa"/>
          </w:tblCellMar>
          <w:tblLook w:val="04A0"/>
        </w:tblPrEx>
        <w:trPr>
          <w:trHeight w:val="1020"/>
        </w:trPr>
        <w:tc>
          <w:tcPr>
            <w:tcW w:w="2065" w:type="dxa"/>
            <w:tcBorders>
              <w:top w:val="single" w:sz="4" w:space="0" w:color="auto"/>
              <w:left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F26639" w:rsidRPr="00D64E77" w:rsidP="2EA862CC" w14:paraId="6CAB8D2B" w14:textId="05AF2AF7">
            <w:pPr>
              <w:widowControl/>
              <w:rPr>
                <w:b/>
                <w:bCs/>
                <w:color w:val="000000"/>
              </w:rPr>
            </w:pPr>
            <w:r w:rsidRPr="5ECFBCA2">
              <w:rPr>
                <w:b/>
                <w:bCs/>
                <w:color w:val="000000" w:themeColor="text1"/>
              </w:rPr>
              <w:t>Standard Occupation</w:t>
            </w:r>
            <w:r w:rsidRPr="5ECFBCA2" w:rsidR="004771A4">
              <w:rPr>
                <w:b/>
                <w:bCs/>
                <w:color w:val="000000" w:themeColor="text1"/>
              </w:rPr>
              <w:t xml:space="preserve"> Classification (SOC) Code and Occupational</w:t>
            </w:r>
            <w:r w:rsidRPr="5ECFBCA2">
              <w:rPr>
                <w:b/>
                <w:bCs/>
                <w:color w:val="000000" w:themeColor="text1"/>
              </w:rPr>
              <w:t xml:space="preserve"> Title</w:t>
            </w:r>
          </w:p>
        </w:tc>
        <w:tc>
          <w:tcPr>
            <w:tcW w:w="1260" w:type="dxa"/>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F26639" w:rsidRPr="002608F8" w:rsidP="00722B85" w14:paraId="0C5395FF" w14:textId="12D3AD1B">
            <w:pPr>
              <w:widowControl/>
              <w:jc w:val="center"/>
              <w:rPr>
                <w:b/>
                <w:bCs/>
                <w:color w:val="000000"/>
              </w:rPr>
            </w:pPr>
            <w:r w:rsidRPr="5ECFBCA2">
              <w:rPr>
                <w:b/>
                <w:bCs/>
                <w:color w:val="000000" w:themeColor="text1"/>
              </w:rPr>
              <w:t>Total Drivers</w:t>
            </w:r>
            <w:r w:rsidRPr="5ECFBCA2" w:rsidR="00C46220">
              <w:rPr>
                <w:b/>
                <w:bCs/>
                <w:color w:val="000000" w:themeColor="text1"/>
              </w:rPr>
              <w:t xml:space="preserve"> (May 2021)</w:t>
            </w:r>
          </w:p>
        </w:tc>
        <w:tc>
          <w:tcPr>
            <w:tcW w:w="1080" w:type="dxa"/>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F26639" w:rsidRPr="00916DFA" w:rsidP="00722B85" w14:paraId="7DAE1659" w14:textId="77777777">
            <w:pPr>
              <w:widowControl/>
              <w:jc w:val="center"/>
              <w:rPr>
                <w:b/>
                <w:bCs/>
                <w:color w:val="000000"/>
              </w:rPr>
            </w:pPr>
            <w:r w:rsidRPr="00916DFA">
              <w:rPr>
                <w:b/>
                <w:bCs/>
                <w:color w:val="000000"/>
              </w:rPr>
              <w:t>% of Total Drivers</w:t>
            </w:r>
          </w:p>
        </w:tc>
        <w:tc>
          <w:tcPr>
            <w:tcW w:w="1080" w:type="dxa"/>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F26639" w:rsidRPr="00916DFA" w:rsidP="00722B85" w14:paraId="1A9C55D0" w14:textId="67D631DB">
            <w:pPr>
              <w:widowControl/>
              <w:jc w:val="center"/>
              <w:rPr>
                <w:b/>
                <w:bCs/>
                <w:color w:val="000000"/>
              </w:rPr>
            </w:pPr>
            <w:r w:rsidRPr="5ECFBCA2">
              <w:rPr>
                <w:b/>
                <w:bCs/>
                <w:color w:val="000000" w:themeColor="text1"/>
              </w:rPr>
              <w:t>Median Hourly Base Wage</w:t>
            </w:r>
            <w:r w:rsidRPr="5ECFBCA2" w:rsidR="00C46220">
              <w:rPr>
                <w:b/>
                <w:bCs/>
                <w:color w:val="000000" w:themeColor="text1"/>
              </w:rPr>
              <w:t xml:space="preserve"> (May 2021)</w:t>
            </w:r>
          </w:p>
        </w:tc>
        <w:tc>
          <w:tcPr>
            <w:tcW w:w="1350" w:type="dxa"/>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F26639" w:rsidRPr="00916DFA" w:rsidP="00722B85" w14:paraId="7A94BB3D" w14:textId="77777777">
            <w:pPr>
              <w:widowControl/>
              <w:jc w:val="center"/>
              <w:rPr>
                <w:b/>
                <w:bCs/>
                <w:color w:val="000000"/>
              </w:rPr>
            </w:pPr>
            <w:r w:rsidRPr="00916DFA">
              <w:rPr>
                <w:b/>
                <w:bCs/>
                <w:color w:val="000000"/>
              </w:rPr>
              <w:t>Weighted Hourly Base Wage</w:t>
            </w:r>
          </w:p>
        </w:tc>
        <w:tc>
          <w:tcPr>
            <w:tcW w:w="1057" w:type="dxa"/>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D041C0" w:rsidP="00D041C0" w14:paraId="2ED41EE0" w14:textId="77777777">
            <w:pPr>
              <w:widowControl/>
              <w:autoSpaceDE/>
              <w:autoSpaceDN/>
              <w:adjustRightInd/>
              <w:jc w:val="center"/>
              <w:rPr>
                <w:b/>
                <w:bCs/>
                <w:color w:val="000000"/>
              </w:rPr>
            </w:pPr>
            <w:r w:rsidRPr="5ECFBCA2">
              <w:rPr>
                <w:b/>
                <w:bCs/>
                <w:color w:val="000000" w:themeColor="text1"/>
              </w:rPr>
              <w:t>Loaded Wage Rate</w:t>
            </w:r>
          </w:p>
          <w:p w:rsidR="00F26639" w:rsidRPr="00916DFA" w:rsidP="00722B85" w14:paraId="36E01995" w14:textId="18A7BD71">
            <w:pPr>
              <w:widowControl/>
              <w:jc w:val="center"/>
              <w:rPr>
                <w:b/>
                <w:bCs/>
                <w:color w:val="000000"/>
              </w:rPr>
            </w:pPr>
          </w:p>
        </w:tc>
        <w:tc>
          <w:tcPr>
            <w:tcW w:w="1458" w:type="dxa"/>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F26639" w:rsidRPr="00916DFA" w:rsidP="00722B85" w14:paraId="4E423DDF" w14:textId="77777777">
            <w:pPr>
              <w:widowControl/>
              <w:jc w:val="center"/>
              <w:rPr>
                <w:b/>
                <w:bCs/>
                <w:color w:val="000000"/>
              </w:rPr>
            </w:pPr>
            <w:r w:rsidRPr="5ECFBCA2">
              <w:rPr>
                <w:b/>
                <w:bCs/>
                <w:color w:val="000000" w:themeColor="text1"/>
              </w:rPr>
              <w:t>Weighted Average Hourly Cost</w:t>
            </w:r>
          </w:p>
        </w:tc>
      </w:tr>
      <w:tr w14:paraId="0DDAE4CE" w14:textId="77777777" w:rsidTr="5ECFBCA2">
        <w:tblPrEx>
          <w:tblW w:w="0" w:type="auto"/>
          <w:tblLayout w:type="fixed"/>
          <w:tblCellMar>
            <w:left w:w="0" w:type="dxa"/>
            <w:right w:w="0" w:type="dxa"/>
          </w:tblCellMar>
          <w:tblLook w:val="04A0"/>
        </w:tblPrEx>
        <w:trPr>
          <w:trHeight w:val="300"/>
        </w:trPr>
        <w:tc>
          <w:tcPr>
            <w:tcW w:w="2065" w:type="dxa"/>
            <w:tcBorders>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center"/>
          </w:tcPr>
          <w:p w:rsidR="00195E4C" w:rsidRPr="00451905" w:rsidP="5ECFBCA2" w14:paraId="5E13CD65" w14:textId="6D709800">
            <w:pPr>
              <w:widowControl/>
              <w:jc w:val="center"/>
              <w:rPr>
                <w:b/>
                <w:bCs/>
                <w:color w:val="000000"/>
              </w:rPr>
            </w:pPr>
          </w:p>
        </w:tc>
        <w:tc>
          <w:tcPr>
            <w:tcW w:w="1260" w:type="dxa"/>
            <w:tcBorders>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195E4C" w:rsidRPr="00451905" w:rsidP="5ECFBCA2" w14:paraId="38BB87F7" w14:textId="77777777">
            <w:pPr>
              <w:widowControl/>
              <w:jc w:val="center"/>
              <w:rPr>
                <w:b/>
                <w:bCs/>
                <w:color w:val="000000"/>
              </w:rPr>
            </w:pPr>
            <w:r w:rsidRPr="5ECFBCA2">
              <w:rPr>
                <w:b/>
                <w:bCs/>
                <w:color w:val="000000" w:themeColor="text1"/>
              </w:rPr>
              <w:t>(a)</w:t>
            </w:r>
          </w:p>
        </w:tc>
        <w:tc>
          <w:tcPr>
            <w:tcW w:w="1080" w:type="dxa"/>
            <w:tcBorders>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195E4C" w:rsidRPr="00451905" w:rsidP="5ECFBCA2" w14:paraId="0D5BEB45" w14:textId="77777777">
            <w:pPr>
              <w:widowControl/>
              <w:jc w:val="center"/>
              <w:rPr>
                <w:b/>
                <w:bCs/>
                <w:color w:val="000000"/>
              </w:rPr>
            </w:pPr>
            <w:r w:rsidRPr="5ECFBCA2">
              <w:rPr>
                <w:b/>
                <w:bCs/>
                <w:color w:val="000000" w:themeColor="text1"/>
              </w:rPr>
              <w:t>(b)</w:t>
            </w:r>
          </w:p>
        </w:tc>
        <w:tc>
          <w:tcPr>
            <w:tcW w:w="1080" w:type="dxa"/>
            <w:tcBorders>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195E4C" w:rsidRPr="00451905" w:rsidP="5ECFBCA2" w14:paraId="1A5D760F" w14:textId="77777777">
            <w:pPr>
              <w:widowControl/>
              <w:jc w:val="center"/>
              <w:rPr>
                <w:b/>
                <w:bCs/>
                <w:color w:val="000000"/>
              </w:rPr>
            </w:pPr>
            <w:r w:rsidRPr="5ECFBCA2">
              <w:rPr>
                <w:b/>
                <w:bCs/>
                <w:color w:val="000000" w:themeColor="text1"/>
              </w:rPr>
              <w:t>(c)</w:t>
            </w:r>
          </w:p>
        </w:tc>
        <w:tc>
          <w:tcPr>
            <w:tcW w:w="1350" w:type="dxa"/>
            <w:tcBorders>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195E4C" w:rsidRPr="00451905" w:rsidP="5ECFBCA2" w14:paraId="0E86D593" w14:textId="77777777">
            <w:pPr>
              <w:widowControl/>
              <w:jc w:val="center"/>
              <w:rPr>
                <w:b/>
                <w:bCs/>
                <w:color w:val="000000"/>
              </w:rPr>
            </w:pPr>
            <w:r w:rsidRPr="5ECFBCA2">
              <w:rPr>
                <w:b/>
                <w:bCs/>
                <w:color w:val="000000" w:themeColor="text1"/>
              </w:rPr>
              <w:t>(b × c = d)</w:t>
            </w:r>
          </w:p>
        </w:tc>
        <w:tc>
          <w:tcPr>
            <w:tcW w:w="1057" w:type="dxa"/>
            <w:tcBorders>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195E4C" w:rsidRPr="00451905" w:rsidP="5ECFBCA2" w14:paraId="65BC1DC0" w14:textId="77777777">
            <w:pPr>
              <w:widowControl/>
              <w:jc w:val="center"/>
              <w:rPr>
                <w:b/>
                <w:bCs/>
                <w:color w:val="000000"/>
              </w:rPr>
            </w:pPr>
            <w:r w:rsidRPr="5ECFBCA2">
              <w:rPr>
                <w:b/>
                <w:bCs/>
                <w:color w:val="000000" w:themeColor="text1"/>
              </w:rPr>
              <w:t>(e)</w:t>
            </w:r>
          </w:p>
        </w:tc>
        <w:tc>
          <w:tcPr>
            <w:tcW w:w="1458" w:type="dxa"/>
            <w:tcBorders>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195E4C" w:rsidRPr="00451905" w:rsidP="5ECFBCA2" w14:paraId="7CCE352C" w14:textId="77777777">
            <w:pPr>
              <w:widowControl/>
              <w:jc w:val="center"/>
              <w:rPr>
                <w:b/>
                <w:bCs/>
                <w:color w:val="000000"/>
              </w:rPr>
            </w:pPr>
            <w:r w:rsidRPr="5ECFBCA2">
              <w:rPr>
                <w:b/>
                <w:bCs/>
                <w:color w:val="000000" w:themeColor="text1"/>
              </w:rPr>
              <w:t>(d × e = f)</w:t>
            </w:r>
          </w:p>
        </w:tc>
      </w:tr>
      <w:tr w14:paraId="1218761F" w14:textId="77777777" w:rsidTr="5ECFBCA2">
        <w:tblPrEx>
          <w:tblW w:w="0" w:type="auto"/>
          <w:tblLayout w:type="fixed"/>
          <w:tblCellMar>
            <w:left w:w="0" w:type="dxa"/>
            <w:right w:w="0" w:type="dxa"/>
          </w:tblCellMar>
          <w:tblLook w:val="04A0"/>
        </w:tblPrEx>
        <w:trPr>
          <w:trHeight w:val="300"/>
        </w:trPr>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DA0914" w:rsidP="00DA0914" w14:paraId="37A01907" w14:textId="77777777">
            <w:pPr>
              <w:widowControl/>
              <w:rPr>
                <w:color w:val="000000"/>
              </w:rPr>
            </w:pPr>
            <w:r>
              <w:rPr>
                <w:color w:val="000000"/>
              </w:rPr>
              <w:t>Heavy and Tractor Trailer drivers (53-3032)</w:t>
            </w:r>
          </w:p>
        </w:tc>
        <w:tc>
          <w:tcPr>
            <w:tcW w:w="1260"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13ECFCA9" w14:textId="67C907E5">
            <w:pPr>
              <w:widowControl/>
              <w:jc w:val="right"/>
              <w:rPr>
                <w:rFonts w:eastAsia="Calibri"/>
                <w:color w:val="000000"/>
              </w:rPr>
            </w:pPr>
            <w:r w:rsidRPr="5ECFBCA2">
              <w:rPr>
                <w:color w:val="000000" w:themeColor="text1"/>
              </w:rPr>
              <w:t>1,903,420</w:t>
            </w:r>
          </w:p>
        </w:tc>
        <w:tc>
          <w:tcPr>
            <w:tcW w:w="108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05A58E14" w14:textId="3BF68A8B">
            <w:pPr>
              <w:widowControl/>
              <w:jc w:val="right"/>
              <w:rPr>
                <w:rFonts w:eastAsia="Calibri"/>
                <w:color w:val="000000"/>
              </w:rPr>
            </w:pPr>
            <w:r w:rsidRPr="5ECFBCA2">
              <w:rPr>
                <w:color w:val="000000" w:themeColor="text1"/>
              </w:rPr>
              <w:t>79.0%</w:t>
            </w:r>
          </w:p>
        </w:tc>
        <w:tc>
          <w:tcPr>
            <w:tcW w:w="108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3B484EF6" w14:textId="7452D75F">
            <w:pPr>
              <w:widowControl/>
              <w:jc w:val="right"/>
              <w:rPr>
                <w:rFonts w:eastAsia="Calibri"/>
                <w:color w:val="000000"/>
              </w:rPr>
            </w:pPr>
            <w:r w:rsidRPr="5ECFBCA2">
              <w:rPr>
                <w:color w:val="000000" w:themeColor="text1"/>
              </w:rPr>
              <w:t xml:space="preserve">$23.23 </w:t>
            </w:r>
          </w:p>
        </w:tc>
        <w:tc>
          <w:tcPr>
            <w:tcW w:w="135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600A07F6" w14:textId="705BAB48">
            <w:pPr>
              <w:widowControl/>
              <w:jc w:val="right"/>
              <w:rPr>
                <w:rFonts w:eastAsia="Calibri"/>
                <w:color w:val="000000"/>
              </w:rPr>
            </w:pPr>
            <w:r w:rsidRPr="5ECFBCA2">
              <w:rPr>
                <w:color w:val="000000" w:themeColor="text1"/>
              </w:rPr>
              <w:t xml:space="preserve">$18.34 </w:t>
            </w:r>
          </w:p>
        </w:tc>
        <w:tc>
          <w:tcPr>
            <w:tcW w:w="1057"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7BE044FA" w14:textId="15A7400A">
            <w:pPr>
              <w:widowControl/>
              <w:jc w:val="right"/>
              <w:rPr>
                <w:rFonts w:eastAsia="Calibri"/>
                <w:color w:val="000000"/>
              </w:rPr>
            </w:pPr>
            <w:r w:rsidRPr="5ECFBCA2">
              <w:rPr>
                <w:color w:val="000000" w:themeColor="text1"/>
              </w:rPr>
              <w:t>1.476</w:t>
            </w:r>
          </w:p>
        </w:tc>
        <w:tc>
          <w:tcPr>
            <w:tcW w:w="1458"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65C31824" w14:textId="42B802EC">
            <w:pPr>
              <w:widowControl/>
              <w:jc w:val="right"/>
              <w:rPr>
                <w:rFonts w:eastAsia="Calibri"/>
                <w:color w:val="000000"/>
              </w:rPr>
            </w:pPr>
            <w:r w:rsidRPr="5ECFBCA2">
              <w:rPr>
                <w:color w:val="000000" w:themeColor="text1"/>
              </w:rPr>
              <w:t>$27.07</w:t>
            </w:r>
          </w:p>
        </w:tc>
      </w:tr>
      <w:tr w14:paraId="6CA165C7" w14:textId="77777777" w:rsidTr="5ECFBCA2">
        <w:tblPrEx>
          <w:tblW w:w="0" w:type="auto"/>
          <w:tblLayout w:type="fixed"/>
          <w:tblCellMar>
            <w:left w:w="0" w:type="dxa"/>
            <w:right w:w="0" w:type="dxa"/>
          </w:tblCellMar>
          <w:tblLook w:val="04A0"/>
        </w:tblPrEx>
        <w:trPr>
          <w:trHeight w:val="300"/>
        </w:trPr>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DA0914" w:rsidP="00DA0914" w14:paraId="7D016601" w14:textId="6CE652F2">
            <w:pPr>
              <w:widowControl/>
              <w:rPr>
                <w:color w:val="000000"/>
              </w:rPr>
            </w:pPr>
            <w:r w:rsidRPr="5ECFBCA2">
              <w:rPr>
                <w:color w:val="000000" w:themeColor="text1"/>
              </w:rPr>
              <w:t>Bus drivers, transit and intercity (53-30</w:t>
            </w:r>
            <w:r w:rsidRPr="5ECFBCA2" w:rsidR="33B70E1E">
              <w:rPr>
                <w:color w:val="000000" w:themeColor="text1"/>
              </w:rPr>
              <w:t>52</w:t>
            </w:r>
            <w:r w:rsidRPr="5ECFBCA2">
              <w:rPr>
                <w:color w:val="000000" w:themeColor="text1"/>
              </w:rPr>
              <w:t>)</w:t>
            </w:r>
          </w:p>
        </w:tc>
        <w:tc>
          <w:tcPr>
            <w:tcW w:w="1260"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39B33983" w14:textId="5A47D994">
            <w:pPr>
              <w:widowControl/>
              <w:jc w:val="right"/>
              <w:rPr>
                <w:rFonts w:eastAsia="Calibri"/>
                <w:color w:val="000000"/>
              </w:rPr>
            </w:pPr>
            <w:r w:rsidRPr="5ECFBCA2">
              <w:rPr>
                <w:color w:val="000000" w:themeColor="text1"/>
              </w:rPr>
              <w:t>145,720</w:t>
            </w:r>
          </w:p>
        </w:tc>
        <w:tc>
          <w:tcPr>
            <w:tcW w:w="108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2BB227E3" w14:textId="41E3FCCD">
            <w:pPr>
              <w:widowControl/>
              <w:jc w:val="right"/>
              <w:rPr>
                <w:rFonts w:eastAsia="Calibri"/>
                <w:color w:val="000000"/>
              </w:rPr>
            </w:pPr>
            <w:r w:rsidRPr="5ECFBCA2">
              <w:rPr>
                <w:color w:val="000000" w:themeColor="text1"/>
              </w:rPr>
              <w:t>6.0%</w:t>
            </w:r>
          </w:p>
        </w:tc>
        <w:tc>
          <w:tcPr>
            <w:tcW w:w="108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6CB10C60" w14:textId="39E832BD">
            <w:pPr>
              <w:widowControl/>
              <w:jc w:val="right"/>
              <w:rPr>
                <w:rFonts w:eastAsia="Calibri"/>
                <w:color w:val="000000"/>
              </w:rPr>
            </w:pPr>
            <w:r w:rsidRPr="5ECFBCA2">
              <w:rPr>
                <w:color w:val="000000" w:themeColor="text1"/>
              </w:rPr>
              <w:t xml:space="preserve">$23.37 </w:t>
            </w:r>
          </w:p>
        </w:tc>
        <w:tc>
          <w:tcPr>
            <w:tcW w:w="135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5F34A1B4" w14:textId="091A3C7F">
            <w:pPr>
              <w:widowControl/>
              <w:jc w:val="right"/>
              <w:rPr>
                <w:rFonts w:eastAsia="Calibri"/>
                <w:color w:val="000000"/>
              </w:rPr>
            </w:pPr>
            <w:r w:rsidRPr="5ECFBCA2">
              <w:rPr>
                <w:color w:val="000000" w:themeColor="text1"/>
              </w:rPr>
              <w:t xml:space="preserve">$1.41 </w:t>
            </w:r>
          </w:p>
        </w:tc>
        <w:tc>
          <w:tcPr>
            <w:tcW w:w="1057"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012C66B6" w14:textId="6795434C">
            <w:pPr>
              <w:widowControl/>
              <w:jc w:val="right"/>
              <w:rPr>
                <w:rFonts w:eastAsia="Calibri"/>
                <w:color w:val="000000"/>
              </w:rPr>
            </w:pPr>
            <w:r w:rsidRPr="5ECFBCA2">
              <w:rPr>
                <w:color w:val="000000" w:themeColor="text1"/>
              </w:rPr>
              <w:t>1.476</w:t>
            </w:r>
          </w:p>
        </w:tc>
        <w:tc>
          <w:tcPr>
            <w:tcW w:w="1458"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1F6D124F" w14:textId="4EDD3DD3">
            <w:pPr>
              <w:widowControl/>
              <w:jc w:val="right"/>
              <w:rPr>
                <w:rFonts w:eastAsia="Calibri"/>
                <w:color w:val="000000"/>
              </w:rPr>
            </w:pPr>
            <w:r w:rsidRPr="5ECFBCA2">
              <w:rPr>
                <w:color w:val="000000" w:themeColor="text1"/>
              </w:rPr>
              <w:t>$2.08</w:t>
            </w:r>
            <w:r w:rsidRPr="5ECFBCA2">
              <w:rPr>
                <w:color w:val="000000" w:themeColor="text1"/>
              </w:rPr>
              <w:t xml:space="preserve"> </w:t>
            </w:r>
          </w:p>
        </w:tc>
      </w:tr>
      <w:tr w14:paraId="6D2CFA84" w14:textId="77777777" w:rsidTr="5ECFBCA2">
        <w:tblPrEx>
          <w:tblW w:w="0" w:type="auto"/>
          <w:tblLayout w:type="fixed"/>
          <w:tblCellMar>
            <w:left w:w="0" w:type="dxa"/>
            <w:right w:w="0" w:type="dxa"/>
          </w:tblCellMar>
          <w:tblLook w:val="04A0"/>
        </w:tblPrEx>
        <w:trPr>
          <w:trHeight w:val="300"/>
        </w:trPr>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DA0914" w:rsidP="00DA0914" w14:paraId="3CC7ED16" w14:textId="7896C16E">
            <w:pPr>
              <w:widowControl/>
              <w:rPr>
                <w:color w:val="000000"/>
              </w:rPr>
            </w:pPr>
            <w:r w:rsidRPr="2EA862CC">
              <w:rPr>
                <w:color w:val="000000" w:themeColor="text1"/>
              </w:rPr>
              <w:t>Bus drivers, school (53-30</w:t>
            </w:r>
            <w:r w:rsidRPr="2EA862CC" w:rsidR="2AEC7CC2">
              <w:rPr>
                <w:color w:val="000000" w:themeColor="text1"/>
              </w:rPr>
              <w:t>51</w:t>
            </w:r>
            <w:r w:rsidRPr="2EA862CC">
              <w:rPr>
                <w:color w:val="000000" w:themeColor="text1"/>
              </w:rPr>
              <w:t>)</w:t>
            </w:r>
          </w:p>
        </w:tc>
        <w:tc>
          <w:tcPr>
            <w:tcW w:w="1260"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5CDF2AAD" w14:textId="329915A1">
            <w:pPr>
              <w:widowControl/>
              <w:jc w:val="right"/>
              <w:rPr>
                <w:rFonts w:eastAsia="Calibri"/>
                <w:color w:val="000000"/>
              </w:rPr>
            </w:pPr>
            <w:r w:rsidRPr="5ECFBCA2">
              <w:rPr>
                <w:color w:val="000000" w:themeColor="text1"/>
              </w:rPr>
              <w:t>361,420</w:t>
            </w:r>
          </w:p>
        </w:tc>
        <w:tc>
          <w:tcPr>
            <w:tcW w:w="108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787505D6" w14:textId="72FC2FFB">
            <w:pPr>
              <w:widowControl/>
              <w:jc w:val="right"/>
              <w:rPr>
                <w:rFonts w:eastAsia="Calibri"/>
                <w:color w:val="000000"/>
              </w:rPr>
            </w:pPr>
            <w:r w:rsidRPr="5ECFBCA2">
              <w:rPr>
                <w:color w:val="000000" w:themeColor="text1"/>
              </w:rPr>
              <w:t>15.0%</w:t>
            </w:r>
          </w:p>
        </w:tc>
        <w:tc>
          <w:tcPr>
            <w:tcW w:w="108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00DA0914" w14:paraId="3C6DDE86" w14:textId="64D78FF7">
            <w:pPr>
              <w:widowControl/>
              <w:jc w:val="right"/>
              <w:rPr>
                <w:color w:val="000000"/>
              </w:rPr>
            </w:pPr>
            <w:r w:rsidRPr="5ECFBCA2">
              <w:rPr>
                <w:color w:val="000000" w:themeColor="text1"/>
              </w:rPr>
              <w:t xml:space="preserve">$18.23 </w:t>
            </w:r>
          </w:p>
        </w:tc>
        <w:tc>
          <w:tcPr>
            <w:tcW w:w="1350"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5DFE9737" w14:textId="64965EB7">
            <w:pPr>
              <w:widowControl/>
              <w:jc w:val="right"/>
              <w:rPr>
                <w:rFonts w:eastAsia="Calibri"/>
                <w:color w:val="000000"/>
              </w:rPr>
            </w:pPr>
            <w:r w:rsidRPr="5ECFBCA2">
              <w:rPr>
                <w:color w:val="000000" w:themeColor="text1"/>
              </w:rPr>
              <w:t xml:space="preserve">$2.73 </w:t>
            </w:r>
          </w:p>
        </w:tc>
        <w:tc>
          <w:tcPr>
            <w:tcW w:w="1057"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rsidR="00DA0914" w:rsidRPr="00D64E77" w:rsidP="5ECFBCA2" w14:paraId="0AFBFF56" w14:textId="2975FDEE">
            <w:pPr>
              <w:widowControl/>
              <w:jc w:val="right"/>
              <w:rPr>
                <w:rFonts w:eastAsia="Calibri"/>
                <w:color w:val="000000"/>
              </w:rPr>
            </w:pPr>
            <w:r w:rsidRPr="5ECFBCA2">
              <w:rPr>
                <w:color w:val="000000" w:themeColor="text1"/>
              </w:rPr>
              <w:t>1.476</w:t>
            </w:r>
          </w:p>
        </w:tc>
        <w:tc>
          <w:tcPr>
            <w:tcW w:w="1458" w:type="dxa"/>
            <w:tcBorders>
              <w:top w:val="nil"/>
              <w:left w:val="nil"/>
              <w:bottom w:val="nil"/>
              <w:right w:val="single" w:sz="8" w:space="0" w:color="auto"/>
            </w:tcBorders>
            <w:shd w:val="clear" w:color="auto" w:fill="auto"/>
            <w:noWrap/>
            <w:tcMar>
              <w:top w:w="0" w:type="dxa"/>
              <w:left w:w="108" w:type="dxa"/>
              <w:bottom w:w="0" w:type="dxa"/>
              <w:right w:w="108" w:type="dxa"/>
            </w:tcMar>
            <w:vAlign w:val="bottom"/>
          </w:tcPr>
          <w:p w:rsidR="00DA0914" w:rsidRPr="00D64E77" w:rsidP="5ECFBCA2" w14:paraId="007F3E5E" w14:textId="3F296F72">
            <w:pPr>
              <w:widowControl/>
              <w:jc w:val="right"/>
              <w:rPr>
                <w:rFonts w:eastAsia="Calibri"/>
                <w:color w:val="000000"/>
              </w:rPr>
            </w:pPr>
            <w:r w:rsidRPr="5ECFBCA2">
              <w:rPr>
                <w:color w:val="000000" w:themeColor="text1"/>
              </w:rPr>
              <w:t>$</w:t>
            </w:r>
            <w:r w:rsidRPr="5ECFBCA2" w:rsidR="6D22DC99">
              <w:rPr>
                <w:color w:val="000000" w:themeColor="text1"/>
              </w:rPr>
              <w:t>4.03</w:t>
            </w:r>
            <w:r w:rsidRPr="5ECFBCA2">
              <w:rPr>
                <w:color w:val="000000" w:themeColor="text1"/>
              </w:rPr>
              <w:t xml:space="preserve"> </w:t>
            </w:r>
          </w:p>
        </w:tc>
      </w:tr>
      <w:tr w14:paraId="796EE466" w14:textId="77777777" w:rsidTr="5ECFBCA2">
        <w:tblPrEx>
          <w:tblW w:w="0" w:type="auto"/>
          <w:tblLayout w:type="fixed"/>
          <w:tblCellMar>
            <w:left w:w="0" w:type="dxa"/>
            <w:right w:w="0" w:type="dxa"/>
          </w:tblCellMar>
          <w:tblLook w:val="04A0"/>
        </w:tblPrEx>
        <w:trPr>
          <w:trHeight w:val="300"/>
        </w:trPr>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46220" w:rsidP="00C46220" w14:paraId="04AB5B92" w14:textId="18A6DCDE">
            <w:pPr>
              <w:widowControl/>
              <w:rPr>
                <w:color w:val="000000"/>
              </w:rPr>
            </w:pPr>
            <w:r>
              <w:rPr>
                <w:b/>
                <w:color w:val="000000"/>
              </w:rPr>
              <w:t>Sum (composite base hourly wage rate)</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C46220" w:rsidRPr="00D64E77" w:rsidP="00C46220" w14:paraId="3CE49444" w14:textId="5BDA41EA">
            <w:pPr>
              <w:widowControl/>
              <w:rPr>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C46220" w:rsidRPr="00D64E77" w:rsidP="00C46220" w14:paraId="2818DAF2" w14:textId="5F1FA105">
            <w:pPr>
              <w:widowControl/>
              <w:rPr>
                <w:color w:val="000000"/>
              </w:rPr>
            </w:pP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C46220" w:rsidRPr="00D64E77" w:rsidP="00C46220" w14:paraId="5C9436CD" w14:textId="5B71360D">
            <w:pPr>
              <w:widowControl/>
              <w:rPr>
                <w:color w:val="000000"/>
              </w:rPr>
            </w:pP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C46220" w:rsidRPr="00D64E77" w:rsidP="00C46220" w14:paraId="3D073BDA" w14:textId="21336685">
            <w:pPr>
              <w:widowControl/>
              <w:rPr>
                <w:color w:val="000000"/>
              </w:rPr>
            </w:pPr>
          </w:p>
        </w:tc>
        <w:tc>
          <w:tcPr>
            <w:tcW w:w="10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C46220" w:rsidRPr="00D64E77" w:rsidP="00C46220" w14:paraId="598FEAD1" w14:textId="4BF0AEF8">
            <w:pPr>
              <w:widowControl/>
              <w:rPr>
                <w:color w:val="000000"/>
              </w:rPr>
            </w:pP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C46220" w:rsidRPr="00D64E77" w:rsidP="5ECFBCA2" w14:paraId="01303EDA" w14:textId="0424ECE0">
            <w:pPr>
              <w:widowControl/>
              <w:spacing w:line="259" w:lineRule="auto"/>
              <w:jc w:val="right"/>
            </w:pPr>
            <w:r w:rsidRPr="5ECFBCA2">
              <w:rPr>
                <w:b/>
                <w:bCs/>
                <w:color w:val="000000" w:themeColor="text1"/>
              </w:rPr>
              <w:t xml:space="preserve"> </w:t>
            </w:r>
            <w:r w:rsidRPr="5ECFBCA2">
              <w:rPr>
                <w:rFonts w:eastAsia="Calibri"/>
                <w:b/>
                <w:bCs/>
                <w:color w:val="000000" w:themeColor="text1"/>
              </w:rPr>
              <w:t>$</w:t>
            </w:r>
            <w:r w:rsidRPr="5ECFBCA2" w:rsidR="46B4B55B">
              <w:rPr>
                <w:b/>
                <w:bCs/>
                <w:color w:val="000000" w:themeColor="text1"/>
              </w:rPr>
              <w:t>33.18</w:t>
            </w:r>
          </w:p>
        </w:tc>
      </w:tr>
    </w:tbl>
    <w:p w:rsidR="7827EEF5" w:rsidP="7827EEF5" w14:paraId="6FDB5FCF" w14:textId="0E8D4B67">
      <w:pPr>
        <w:widowControl/>
      </w:pPr>
    </w:p>
    <w:p w:rsidR="001C0EF3" w:rsidRPr="001C0EF3" w:rsidP="00722B85" w14:paraId="6BF26B0E" w14:textId="6B38E453">
      <w:pPr>
        <w:widowControl/>
      </w:pPr>
      <w:r>
        <w:t>To arrive at loaded wage</w:t>
      </w:r>
      <w:r w:rsidR="00A82ADB">
        <w:t xml:space="preserve"> rates</w:t>
      </w:r>
      <w:r>
        <w:t>, we divide the total cost of compensation for private industry workers of the transportation and material moving series ($</w:t>
      </w:r>
      <w:r w:rsidR="00EB4B49">
        <w:t>33.57</w:t>
      </w:r>
      <w:r>
        <w:t>) by the average cost of hourly wages and salaries ($2</w:t>
      </w:r>
      <w:r w:rsidR="00EB4B49">
        <w:t>2.75</w:t>
      </w:r>
      <w:r>
        <w:t xml:space="preserve">) in the same series as reported by the Bureau of Labor Statistics in its Employer Costs for Employee Compensation for </w:t>
      </w:r>
      <w:r w:rsidR="00EB4B49">
        <w:t>December</w:t>
      </w:r>
      <w:r>
        <w:t xml:space="preserve"> 2021,</w:t>
      </w:r>
      <w:r>
        <w:rPr>
          <w:vertAlign w:val="superscript"/>
        </w:rPr>
        <w:footnoteReference w:id="10"/>
      </w:r>
      <w:r>
        <w:t xml:space="preserve"> which results in an estimated load factor of 1.</w:t>
      </w:r>
      <w:r w:rsidR="00A82ADB">
        <w:t>476</w:t>
      </w:r>
      <w:r>
        <w:t xml:space="preserve">. </w:t>
      </w:r>
      <w:r w:rsidRPr="001C0EF3" w:rsidR="006717B4">
        <w:t xml:space="preserve"> </w:t>
      </w:r>
    </w:p>
    <w:p w:rsidR="007E3A3B" w:rsidP="00722B85" w14:paraId="4E01EE06" w14:textId="77777777">
      <w:pPr>
        <w:widowControl/>
        <w:rPr>
          <w:b/>
        </w:rPr>
      </w:pPr>
    </w:p>
    <w:p w:rsidR="0028285A" w:rsidRPr="0028285A" w:rsidP="00722B85" w14:paraId="3B15326C" w14:textId="77777777">
      <w:pPr>
        <w:widowControl/>
        <w:rPr>
          <w:b/>
        </w:rPr>
      </w:pPr>
      <w:r w:rsidRPr="0028285A">
        <w:rPr>
          <w:b/>
        </w:rPr>
        <w:t>IC-1.1 Driver notification of convictions/disqualifications to employer</w:t>
      </w:r>
      <w:r w:rsidR="00EB7923">
        <w:rPr>
          <w:b/>
        </w:rPr>
        <w:t xml:space="preserve"> </w:t>
      </w:r>
      <w:r w:rsidRPr="00352DAF" w:rsidR="00EB7923">
        <w:rPr>
          <w:b/>
        </w:rPr>
        <w:t>[49 CFR 383.31 and 383.33]</w:t>
      </w:r>
    </w:p>
    <w:p w:rsidR="0029422F" w:rsidP="00722B85" w14:paraId="373C35B2" w14:textId="29A99CDB">
      <w:pPr>
        <w:widowControl/>
      </w:pPr>
      <w:r>
        <w:t>A driver is required to</w:t>
      </w:r>
      <w:r w:rsidR="00FC3454">
        <w:t xml:space="preserve"> notify its motor carrier of any convictions or disqualifications.  </w:t>
      </w:r>
      <w:r>
        <w:t>To estimate burden hour and burden costs associated with this task, t</w:t>
      </w:r>
      <w:r w:rsidR="0028285A">
        <w:t xml:space="preserve">he Agency </w:t>
      </w:r>
      <w:r>
        <w:t xml:space="preserve">relies on the </w:t>
      </w:r>
      <w:r w:rsidR="0028285A">
        <w:t xml:space="preserve">statistics </w:t>
      </w:r>
      <w:r w:rsidR="000F2059">
        <w:t xml:space="preserve">and estimations </w:t>
      </w:r>
      <w:r w:rsidR="00C91178">
        <w:t xml:space="preserve">outline </w:t>
      </w:r>
      <w:r w:rsidR="0028285A">
        <w:t>above as well as the following</w:t>
      </w:r>
      <w:r w:rsidR="00F94A52">
        <w:t xml:space="preserve"> assumptions</w:t>
      </w:r>
      <w:r w:rsidR="0028285A">
        <w:t>:</w:t>
      </w:r>
      <w:r w:rsidR="00C8209F">
        <w:br/>
      </w:r>
    </w:p>
    <w:p w:rsidR="00C91178" w:rsidP="00722B85" w14:paraId="1BE4CD0D" w14:textId="77777777">
      <w:pPr>
        <w:widowControl/>
        <w:numPr>
          <w:ilvl w:val="0"/>
          <w:numId w:val="8"/>
        </w:numPr>
      </w:pPr>
      <w:r>
        <w:t>A driver</w:t>
      </w:r>
      <w:r w:rsidR="00711384">
        <w:t xml:space="preserve"> will</w:t>
      </w:r>
      <w:r>
        <w:t xml:space="preserve"> average approximately 1 conviction every 3 years.</w:t>
      </w:r>
    </w:p>
    <w:p w:rsidR="0028285A" w:rsidP="00722B85" w14:paraId="339B27F7" w14:textId="77777777">
      <w:pPr>
        <w:widowControl/>
        <w:numPr>
          <w:ilvl w:val="0"/>
          <w:numId w:val="8"/>
        </w:numPr>
      </w:pPr>
      <w:r>
        <w:t xml:space="preserve">A driver will spend approximately 10 minutes </w:t>
      </w:r>
      <w:r w:rsidR="00FA75EA">
        <w:t xml:space="preserve">(0.167 hours) </w:t>
      </w:r>
      <w:r>
        <w:t>notifying a motor carrier of a conviction.</w:t>
      </w:r>
    </w:p>
    <w:p w:rsidR="0028285A" w:rsidP="00722B85" w14:paraId="0CE41821" w14:textId="3F477EFB">
      <w:pPr>
        <w:widowControl/>
        <w:numPr>
          <w:ilvl w:val="0"/>
          <w:numId w:val="8"/>
        </w:numPr>
      </w:pPr>
      <w:r>
        <w:t>If a conviction also causes a disqualification, the driver will notify the employer of both actions at the same time.</w:t>
      </w:r>
    </w:p>
    <w:p w:rsidR="00D64E77" w:rsidRPr="00D64E77" w:rsidP="00722B85" w14:paraId="34DF481D" w14:textId="77777777">
      <w:pPr>
        <w:widowControl/>
      </w:pPr>
    </w:p>
    <w:p w:rsidR="00FA75EA" w:rsidP="5ECFBCA2" w14:paraId="7AE8BA81" w14:textId="46151061">
      <w:pPr>
        <w:widowControl/>
        <w:spacing w:line="259" w:lineRule="auto"/>
      </w:pPr>
      <w:r>
        <w:t>During the first year of this ICR, 3,</w:t>
      </w:r>
      <w:r w:rsidR="661ABA7D">
        <w:t>016,588</w:t>
      </w:r>
      <w:r>
        <w:t xml:space="preserve"> drivers, or </w:t>
      </w:r>
      <w:r w:rsidR="001948C4">
        <w:t>19%</w:t>
      </w:r>
      <w:r>
        <w:t xml:space="preserve"> of </w:t>
      </w:r>
      <w:r w:rsidR="0028285A">
        <w:t xml:space="preserve">the </w:t>
      </w:r>
      <w:r>
        <w:t>16,</w:t>
      </w:r>
      <w:r w:rsidR="0226DCB7">
        <w:t>160,293</w:t>
      </w:r>
      <w:r w:rsidR="00B546B4">
        <w:t xml:space="preserve"> </w:t>
      </w:r>
      <w:r w:rsidR="00F44537">
        <w:t xml:space="preserve">active CDL drivers, </w:t>
      </w:r>
      <w:r w:rsidR="00EB7923">
        <w:t xml:space="preserve">will receive a conviction.  Each driver will </w:t>
      </w:r>
      <w:r w:rsidR="00F44537">
        <w:t xml:space="preserve">spend </w:t>
      </w:r>
      <w:r>
        <w:t xml:space="preserve">0.167 hours </w:t>
      </w:r>
      <w:r w:rsidR="00EB7923">
        <w:t>notifying the motor carrier of the</w:t>
      </w:r>
      <w:r w:rsidR="00F44537">
        <w:t xml:space="preserve"> conviction, </w:t>
      </w:r>
      <w:r w:rsidR="00EB7923">
        <w:t>which results</w:t>
      </w:r>
      <w:r w:rsidR="00F44537">
        <w:t xml:space="preserve"> in a total annua</w:t>
      </w:r>
      <w:r w:rsidR="00C91178">
        <w:t xml:space="preserve">l burden of </w:t>
      </w:r>
      <w:r w:rsidR="68A7E397">
        <w:t>503,770</w:t>
      </w:r>
      <w:r w:rsidR="00C91178">
        <w:t xml:space="preserve"> hours</w:t>
      </w:r>
      <w:r w:rsidR="00AE23F9">
        <w:t xml:space="preserve"> </w:t>
      </w:r>
      <w:r w:rsidR="009F058D">
        <w:t xml:space="preserve">and </w:t>
      </w:r>
      <w:r>
        <w:t>an annual burden hour cost of</w:t>
      </w:r>
      <w:r w:rsidR="00BC745F">
        <w:t xml:space="preserve"> $</w:t>
      </w:r>
      <w:r w:rsidR="2396CA0D">
        <w:t>16,717,401</w:t>
      </w:r>
      <w:r>
        <w:t xml:space="preserve"> </w:t>
      </w:r>
      <w:r w:rsidR="00EB7923">
        <w:t>(</w:t>
      </w:r>
      <w:r>
        <w:fldChar w:fldCharType="begin"/>
      </w:r>
      <w:r>
        <w:instrText xml:space="preserve"> REF _Ref508015621 \h  \* MERGEFORMAT </w:instrText>
      </w:r>
      <w:r>
        <w:fldChar w:fldCharType="separate"/>
      </w:r>
      <w:r w:rsidR="006A6CBC">
        <w:t xml:space="preserve">Table </w:t>
      </w:r>
      <w:r w:rsidRPr="5ECFBCA2" w:rsidR="006A6CBC">
        <w:rPr>
          <w:noProof/>
        </w:rPr>
        <w:t>3</w:t>
      </w:r>
      <w:r>
        <w:fldChar w:fldCharType="end"/>
      </w:r>
      <w:r w:rsidR="00EB7923">
        <w:t>)</w:t>
      </w:r>
      <w:r w:rsidR="00C91178">
        <w:t>.</w:t>
      </w:r>
    </w:p>
    <w:p w:rsidR="00D64E77" w:rsidP="00722B85" w14:paraId="50C2643D" w14:textId="77777777">
      <w:pPr>
        <w:widowControl/>
      </w:pPr>
    </w:p>
    <w:p w:rsidR="00642453" w:rsidP="5ECFBCA2" w14:paraId="17255C86" w14:textId="130E47BB">
      <w:pPr>
        <w:widowControl/>
        <w:spacing w:line="259" w:lineRule="auto"/>
      </w:pPr>
      <w:r>
        <w:t xml:space="preserve">As detailed in </w:t>
      </w:r>
      <w:r>
        <w:fldChar w:fldCharType="begin"/>
      </w:r>
      <w:r>
        <w:instrText xml:space="preserve"> REF _Ref508015621 \h  \* MERGEFORMAT </w:instrText>
      </w:r>
      <w:r>
        <w:fldChar w:fldCharType="separate"/>
      </w:r>
      <w:r w:rsidR="006A6CBC">
        <w:t xml:space="preserve">Table </w:t>
      </w:r>
      <w:r w:rsidRPr="5ECFBCA2" w:rsidR="006A6CBC">
        <w:rPr>
          <w:noProof/>
        </w:rPr>
        <w:t>3</w:t>
      </w:r>
      <w:r>
        <w:fldChar w:fldCharType="end"/>
      </w:r>
      <w:r>
        <w:t>, IC-1.1 results in approximately 3,</w:t>
      </w:r>
      <w:r w:rsidR="4F602B98">
        <w:t>023,350</w:t>
      </w:r>
      <w:r w:rsidR="00FA75EA">
        <w:t xml:space="preserve"> drivers </w:t>
      </w:r>
      <w:r>
        <w:t xml:space="preserve">annually </w:t>
      </w:r>
      <w:r w:rsidR="00FA75EA">
        <w:t>spend</w:t>
      </w:r>
      <w:r>
        <w:t>ing</w:t>
      </w:r>
      <w:r w:rsidR="00FA75EA">
        <w:t xml:space="preserve"> a total of </w:t>
      </w:r>
      <w:r w:rsidR="68E1BD8E">
        <w:t>504,900</w:t>
      </w:r>
      <w:r w:rsidR="00FA75EA">
        <w:t xml:space="preserve"> hours </w:t>
      </w:r>
      <w:r>
        <w:t>notifying motor carriers of convictions, at a</w:t>
      </w:r>
      <w:r w:rsidR="00913AB6">
        <w:t>n annua</w:t>
      </w:r>
      <w:r w:rsidR="00AD7A78">
        <w:t>lized</w:t>
      </w:r>
      <w:r>
        <w:t xml:space="preserve"> cost of </w:t>
      </w:r>
      <w:r w:rsidR="009961C8">
        <w:t>$</w:t>
      </w:r>
      <w:r w:rsidR="79F652AC">
        <w:t>16,754,876</w:t>
      </w:r>
      <w:r>
        <w:t>.</w:t>
      </w:r>
    </w:p>
    <w:p w:rsidR="00FA75EA" w:rsidP="006B1E48" w14:paraId="594D565F" w14:textId="77777777">
      <w:pPr>
        <w:widowControl/>
      </w:pPr>
    </w:p>
    <w:p w:rsidR="001F2699" w:rsidRPr="00D64E77" w:rsidP="00722B85" w14:paraId="06F76178" w14:textId="2F129966">
      <w:pPr>
        <w:pStyle w:val="Caption"/>
        <w:keepNext/>
        <w:widowControl/>
      </w:pPr>
      <w:bookmarkStart w:id="7" w:name="_Ref508015621"/>
      <w:r w:rsidRPr="00D64E77">
        <w:t xml:space="preserve">Table </w:t>
      </w:r>
      <w:r>
        <w:fldChar w:fldCharType="begin"/>
      </w:r>
      <w:r>
        <w:instrText>SEQ Table \* ARABIC</w:instrText>
      </w:r>
      <w:r>
        <w:fldChar w:fldCharType="separate"/>
      </w:r>
      <w:r w:rsidR="006A6CBC">
        <w:rPr>
          <w:noProof/>
        </w:rPr>
        <w:t>3</w:t>
      </w:r>
      <w:r>
        <w:fldChar w:fldCharType="end"/>
      </w:r>
      <w:bookmarkEnd w:id="7"/>
      <w:r w:rsidRPr="00D64E77">
        <w:t xml:space="preserve">. Driver </w:t>
      </w:r>
      <w:r w:rsidRPr="00D64E77" w:rsidR="002D66E6">
        <w:t xml:space="preserve">Notification of Convictions/Disqualifications to Employer </w:t>
      </w:r>
      <w:r w:rsidRPr="00D64E77" w:rsidR="005770E6">
        <w:t>(IC-1.1)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337"/>
        <w:gridCol w:w="1471"/>
        <w:gridCol w:w="1272"/>
        <w:gridCol w:w="1190"/>
        <w:gridCol w:w="1019"/>
        <w:gridCol w:w="1190"/>
        <w:gridCol w:w="1871"/>
      </w:tblGrid>
      <w:tr w14:paraId="193F9691"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1050"/>
        </w:trPr>
        <w:tc>
          <w:tcPr>
            <w:tcW w:w="715" w:type="pct"/>
            <w:shd w:val="clear" w:color="auto" w:fill="E0E0E0"/>
            <w:vAlign w:val="bottom"/>
            <w:hideMark/>
          </w:tcPr>
          <w:p w:rsidR="00FA75EA" w:rsidRPr="009C27AA" w:rsidP="00BE2F04" w14:paraId="5B62DBBC" w14:textId="77777777">
            <w:pPr>
              <w:widowControl/>
              <w:autoSpaceDE/>
              <w:autoSpaceDN/>
              <w:adjustRightInd/>
              <w:jc w:val="center"/>
              <w:rPr>
                <w:b/>
                <w:bCs/>
                <w:color w:val="000000"/>
              </w:rPr>
            </w:pPr>
            <w:r w:rsidRPr="009C27AA">
              <w:rPr>
                <w:b/>
                <w:bCs/>
                <w:color w:val="000000"/>
              </w:rPr>
              <w:t>Year</w:t>
            </w:r>
          </w:p>
        </w:tc>
        <w:tc>
          <w:tcPr>
            <w:tcW w:w="787" w:type="pct"/>
            <w:shd w:val="clear" w:color="auto" w:fill="E0E0E0"/>
            <w:vAlign w:val="bottom"/>
            <w:hideMark/>
          </w:tcPr>
          <w:p w:rsidR="00FA75EA" w:rsidRPr="009C27AA" w:rsidP="00BE2F04" w14:paraId="7A949C67" w14:textId="77777777">
            <w:pPr>
              <w:widowControl/>
              <w:autoSpaceDE/>
              <w:autoSpaceDN/>
              <w:adjustRightInd/>
              <w:jc w:val="center"/>
              <w:rPr>
                <w:b/>
                <w:bCs/>
                <w:color w:val="000000"/>
              </w:rPr>
            </w:pPr>
            <w:r w:rsidRPr="009C27AA">
              <w:rPr>
                <w:b/>
                <w:bCs/>
                <w:color w:val="000000"/>
              </w:rPr>
              <w:t>Respondents</w:t>
            </w:r>
            <w:r w:rsidRPr="009C27AA">
              <w:rPr>
                <w:b/>
                <w:bCs/>
                <w:color w:val="000000"/>
              </w:rPr>
              <w:br/>
              <w:t>(a)</w:t>
            </w:r>
          </w:p>
        </w:tc>
        <w:tc>
          <w:tcPr>
            <w:tcW w:w="680" w:type="pct"/>
            <w:shd w:val="clear" w:color="auto" w:fill="E0E0E0"/>
            <w:vAlign w:val="bottom"/>
            <w:hideMark/>
          </w:tcPr>
          <w:p w:rsidR="00FA75EA" w:rsidRPr="009C27AA" w:rsidP="00BE2F04" w14:paraId="324104D8" w14:textId="77777777">
            <w:pPr>
              <w:widowControl/>
              <w:autoSpaceDE/>
              <w:autoSpaceDN/>
              <w:adjustRightInd/>
              <w:jc w:val="center"/>
              <w:rPr>
                <w:b/>
                <w:bCs/>
                <w:color w:val="000000"/>
              </w:rPr>
            </w:pPr>
            <w:r w:rsidRPr="009C27AA">
              <w:rPr>
                <w:b/>
                <w:bCs/>
                <w:color w:val="000000"/>
              </w:rPr>
              <w:t>Responses per Respondent</w:t>
            </w:r>
            <w:r w:rsidRPr="009C27AA">
              <w:rPr>
                <w:b/>
                <w:bCs/>
                <w:color w:val="000000"/>
              </w:rPr>
              <w:br/>
              <w:t>(b)</w:t>
            </w:r>
          </w:p>
        </w:tc>
        <w:tc>
          <w:tcPr>
            <w:tcW w:w="636" w:type="pct"/>
            <w:shd w:val="clear" w:color="auto" w:fill="E0E0E0"/>
            <w:vAlign w:val="bottom"/>
            <w:hideMark/>
          </w:tcPr>
          <w:p w:rsidR="00FA75EA" w:rsidRPr="009C27AA" w:rsidP="00BE2F04" w14:paraId="03639BD4" w14:textId="77777777">
            <w:pPr>
              <w:widowControl/>
              <w:autoSpaceDE/>
              <w:autoSpaceDN/>
              <w:adjustRightInd/>
              <w:jc w:val="center"/>
              <w:rPr>
                <w:b/>
                <w:bCs/>
                <w:color w:val="000000"/>
              </w:rPr>
            </w:pPr>
            <w:r w:rsidRPr="009C27AA">
              <w:rPr>
                <w:b/>
                <w:bCs/>
                <w:color w:val="000000"/>
              </w:rPr>
              <w:t>Total Annual Responses</w:t>
            </w:r>
            <w:r w:rsidRPr="009C27AA">
              <w:rPr>
                <w:b/>
                <w:bCs/>
                <w:color w:val="000000"/>
              </w:rPr>
              <w:br/>
              <w:t>(a × b = c)</w:t>
            </w:r>
          </w:p>
        </w:tc>
        <w:tc>
          <w:tcPr>
            <w:tcW w:w="545" w:type="pct"/>
            <w:shd w:val="clear" w:color="auto" w:fill="E0E0E0"/>
            <w:vAlign w:val="bottom"/>
            <w:hideMark/>
          </w:tcPr>
          <w:p w:rsidR="00FA75EA" w:rsidRPr="009C27AA" w:rsidP="00BE2F04" w14:paraId="1F5DC0D3" w14:textId="77777777">
            <w:pPr>
              <w:widowControl/>
              <w:autoSpaceDE/>
              <w:autoSpaceDN/>
              <w:adjustRightInd/>
              <w:jc w:val="center"/>
              <w:rPr>
                <w:b/>
                <w:bCs/>
                <w:color w:val="000000"/>
              </w:rPr>
            </w:pPr>
            <w:r w:rsidRPr="009C27AA">
              <w:rPr>
                <w:b/>
                <w:bCs/>
                <w:color w:val="000000"/>
              </w:rPr>
              <w:t>Burden Hours per Response</w:t>
            </w:r>
            <w:r w:rsidRPr="009C27AA">
              <w:rPr>
                <w:b/>
                <w:bCs/>
                <w:color w:val="000000"/>
              </w:rPr>
              <w:br/>
              <w:t>(d)</w:t>
            </w:r>
          </w:p>
        </w:tc>
        <w:tc>
          <w:tcPr>
            <w:tcW w:w="636" w:type="pct"/>
            <w:shd w:val="clear" w:color="auto" w:fill="E0E0E0"/>
            <w:vAlign w:val="bottom"/>
            <w:hideMark/>
          </w:tcPr>
          <w:p w:rsidR="00FA75EA" w:rsidRPr="009C27AA" w:rsidP="00BE2F04" w14:paraId="6ABB29F4" w14:textId="77777777">
            <w:pPr>
              <w:widowControl/>
              <w:autoSpaceDE/>
              <w:autoSpaceDN/>
              <w:adjustRightInd/>
              <w:jc w:val="center"/>
              <w:rPr>
                <w:b/>
                <w:bCs/>
                <w:color w:val="000000"/>
              </w:rPr>
            </w:pPr>
            <w:r w:rsidRPr="009C27AA">
              <w:rPr>
                <w:b/>
                <w:bCs/>
                <w:color w:val="000000"/>
              </w:rPr>
              <w:t>Total Annual Burden Hours</w:t>
            </w:r>
            <w:r w:rsidRPr="009C27AA">
              <w:rPr>
                <w:b/>
                <w:bCs/>
                <w:color w:val="000000"/>
              </w:rPr>
              <w:br/>
              <w:t>(c × d = e)</w:t>
            </w:r>
          </w:p>
        </w:tc>
        <w:tc>
          <w:tcPr>
            <w:tcW w:w="1001" w:type="pct"/>
            <w:shd w:val="clear" w:color="auto" w:fill="E0E0E0"/>
            <w:vAlign w:val="bottom"/>
            <w:hideMark/>
          </w:tcPr>
          <w:p w:rsidR="00FA75EA" w:rsidRPr="009C27AA" w:rsidP="00BE2F04" w14:paraId="29456489" w14:textId="6A04471B">
            <w:pPr>
              <w:widowControl/>
              <w:autoSpaceDE/>
              <w:autoSpaceDN/>
              <w:adjustRightInd/>
              <w:jc w:val="center"/>
              <w:rPr>
                <w:b/>
                <w:bCs/>
                <w:color w:val="000000"/>
              </w:rPr>
            </w:pPr>
            <w:r w:rsidRPr="5ECFBCA2">
              <w:rPr>
                <w:b/>
                <w:bCs/>
              </w:rPr>
              <w:t>Total Annual Respondent Cost</w:t>
            </w:r>
            <w:r>
              <w:br/>
            </w:r>
            <w:r w:rsidRPr="5ECFBCA2">
              <w:rPr>
                <w:b/>
                <w:bCs/>
              </w:rPr>
              <w:t>(e × $</w:t>
            </w:r>
            <w:r w:rsidRPr="5ECFBCA2" w:rsidR="0C397AB8">
              <w:rPr>
                <w:b/>
                <w:bCs/>
              </w:rPr>
              <w:t>33</w:t>
            </w:r>
            <w:r w:rsidRPr="5ECFBCA2" w:rsidR="00573EE8">
              <w:rPr>
                <w:b/>
                <w:bCs/>
              </w:rPr>
              <w:t>.</w:t>
            </w:r>
            <w:r w:rsidRPr="5ECFBCA2" w:rsidR="0FD713DD">
              <w:rPr>
                <w:b/>
                <w:bCs/>
              </w:rPr>
              <w:t>18</w:t>
            </w:r>
            <w:r w:rsidRPr="5ECFBCA2">
              <w:rPr>
                <w:b/>
                <w:bCs/>
              </w:rPr>
              <w:t>= f)</w:t>
            </w:r>
          </w:p>
        </w:tc>
      </w:tr>
      <w:tr w14:paraId="3A034BC4" w14:textId="77777777" w:rsidTr="006C3234">
        <w:tblPrEx>
          <w:tblW w:w="5000" w:type="pct"/>
          <w:tblCellMar>
            <w:left w:w="29" w:type="dxa"/>
            <w:right w:w="29" w:type="dxa"/>
          </w:tblCellMar>
          <w:tblLook w:val="04A0"/>
        </w:tblPrEx>
        <w:trPr>
          <w:trHeight w:val="270"/>
        </w:trPr>
        <w:tc>
          <w:tcPr>
            <w:tcW w:w="71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B157C3" w:rsidRPr="00EE119B" w:rsidP="00B157C3" w14:paraId="27FCFEBA" w14:textId="10C240E6">
            <w:pPr>
              <w:widowControl/>
              <w:autoSpaceDE/>
              <w:autoSpaceDN/>
              <w:adjustRightInd/>
              <w:jc w:val="center"/>
              <w:rPr>
                <w:color w:val="000000"/>
              </w:rPr>
            </w:pPr>
            <w:r w:rsidRPr="00EE119B">
              <w:rPr>
                <w:color w:val="000000"/>
              </w:rPr>
              <w:t>1</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2FC4E9FB" w14:textId="7D206478">
            <w:pPr>
              <w:widowControl/>
              <w:autoSpaceDE/>
              <w:autoSpaceDN/>
              <w:adjustRightInd/>
              <w:jc w:val="center"/>
              <w:rPr>
                <w:color w:val="000000"/>
              </w:rPr>
            </w:pPr>
            <w:r w:rsidRPr="00324DD6">
              <w:t>3,016,588</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305115CE" w14:textId="77777777">
            <w:pPr>
              <w:widowControl/>
              <w:autoSpaceDE/>
              <w:autoSpaceDN/>
              <w:adjustRightInd/>
              <w:jc w:val="center"/>
              <w:rPr>
                <w:color w:val="000000"/>
              </w:rPr>
            </w:pPr>
            <w:r w:rsidRPr="00EE119B">
              <w:t>1</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31BE4E96" w14:textId="5EBB44EE">
            <w:pPr>
              <w:widowControl/>
              <w:autoSpaceDE/>
              <w:autoSpaceDN/>
              <w:adjustRightInd/>
              <w:jc w:val="center"/>
              <w:rPr>
                <w:color w:val="000000"/>
              </w:rPr>
            </w:pPr>
            <w:r w:rsidRPr="00324DD6">
              <w:t>3,016,588</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6CD9A6A8" w14:textId="77777777">
            <w:pPr>
              <w:widowControl/>
              <w:autoSpaceDE/>
              <w:autoSpaceDN/>
              <w:adjustRightInd/>
              <w:jc w:val="center"/>
              <w:rPr>
                <w:color w:val="000000"/>
              </w:rPr>
            </w:pPr>
            <w:r w:rsidRPr="00EE119B">
              <w:t>0.167</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74DB76E3" w14:textId="102795A5">
            <w:pPr>
              <w:widowControl/>
              <w:autoSpaceDE/>
              <w:autoSpaceDN/>
              <w:adjustRightInd/>
              <w:jc w:val="center"/>
              <w:rPr>
                <w:color w:val="000000"/>
              </w:rPr>
            </w:pPr>
            <w:r w:rsidRPr="00324DD6">
              <w:t>503,770</w:t>
            </w:r>
          </w:p>
        </w:tc>
        <w:tc>
          <w:tcPr>
            <w:tcW w:w="100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B157C3" w:rsidRPr="00BC745F" w:rsidP="00B157C3" w14:paraId="226CC60C" w14:textId="0D2E3AD8">
            <w:pPr>
              <w:widowControl/>
              <w:autoSpaceDE/>
              <w:autoSpaceDN/>
              <w:adjustRightInd/>
              <w:jc w:val="center"/>
            </w:pPr>
            <w:r>
              <w:t xml:space="preserve"> $</w:t>
            </w:r>
            <w:r w:rsidR="1BA830D2">
              <w:t>16</w:t>
            </w:r>
            <w:r>
              <w:t>,</w:t>
            </w:r>
            <w:r w:rsidR="37099A51">
              <w:t>717</w:t>
            </w:r>
            <w:r>
              <w:t>,</w:t>
            </w:r>
            <w:r w:rsidR="7AFB676D">
              <w:t>401</w:t>
            </w:r>
            <w:r>
              <w:t xml:space="preserve"> </w:t>
            </w:r>
          </w:p>
        </w:tc>
      </w:tr>
      <w:tr w14:paraId="45F56CED" w14:textId="77777777" w:rsidTr="006C3234">
        <w:tblPrEx>
          <w:tblW w:w="5000" w:type="pct"/>
          <w:tblCellMar>
            <w:left w:w="29" w:type="dxa"/>
            <w:right w:w="29" w:type="dxa"/>
          </w:tblCellMar>
          <w:tblLook w:val="04A0"/>
        </w:tblPrEx>
        <w:trPr>
          <w:trHeight w:val="270"/>
        </w:trPr>
        <w:tc>
          <w:tcPr>
            <w:tcW w:w="71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B157C3" w:rsidRPr="00EE119B" w:rsidP="00B157C3" w14:paraId="2830A1C6" w14:textId="5ED0A4AD">
            <w:pPr>
              <w:widowControl/>
              <w:autoSpaceDE/>
              <w:autoSpaceDN/>
              <w:adjustRightInd/>
              <w:jc w:val="center"/>
              <w:rPr>
                <w:color w:val="000000"/>
              </w:rPr>
            </w:pPr>
            <w:r w:rsidRPr="00EE119B">
              <w:rPr>
                <w:color w:val="000000"/>
              </w:rPr>
              <w:t>2</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6CBAFD5F" w14:textId="195A2C26">
            <w:pPr>
              <w:widowControl/>
              <w:autoSpaceDE/>
              <w:autoSpaceDN/>
              <w:adjustRightInd/>
              <w:jc w:val="center"/>
              <w:rPr>
                <w:color w:val="000000"/>
              </w:rPr>
            </w:pPr>
            <w:r w:rsidRPr="00324DD6">
              <w:t>3,023,345</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5C971A8C" w14:textId="77777777">
            <w:pPr>
              <w:widowControl/>
              <w:autoSpaceDE/>
              <w:autoSpaceDN/>
              <w:adjustRightInd/>
              <w:jc w:val="center"/>
              <w:rPr>
                <w:color w:val="000000"/>
              </w:rPr>
            </w:pPr>
            <w:r w:rsidRPr="00EE119B">
              <w:t>1</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2BE26293" w14:textId="335C6E2B">
            <w:pPr>
              <w:widowControl/>
              <w:autoSpaceDE/>
              <w:autoSpaceDN/>
              <w:adjustRightInd/>
              <w:jc w:val="center"/>
              <w:rPr>
                <w:color w:val="000000"/>
              </w:rPr>
            </w:pPr>
            <w:r w:rsidRPr="00324DD6">
              <w:t>3,023,345</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26EC6298" w14:textId="77777777">
            <w:pPr>
              <w:widowControl/>
              <w:autoSpaceDE/>
              <w:autoSpaceDN/>
              <w:adjustRightInd/>
              <w:jc w:val="center"/>
              <w:rPr>
                <w:color w:val="000000"/>
              </w:rPr>
            </w:pPr>
            <w:r w:rsidRPr="00EE119B">
              <w:t>0.167</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1948C4" w:rsidP="00B157C3" w14:paraId="558F15BE" w14:textId="0DCB4ABE">
            <w:pPr>
              <w:widowControl/>
              <w:autoSpaceDE/>
              <w:autoSpaceDN/>
              <w:adjustRightInd/>
              <w:jc w:val="center"/>
              <w:rPr>
                <w:color w:val="000000"/>
              </w:rPr>
            </w:pPr>
            <w:r w:rsidRPr="00324DD6">
              <w:t>504,899</w:t>
            </w:r>
          </w:p>
        </w:tc>
        <w:tc>
          <w:tcPr>
            <w:tcW w:w="100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B157C3" w:rsidRPr="001948C4" w:rsidP="00B157C3" w14:paraId="6D420086" w14:textId="10E1BAEA">
            <w:pPr>
              <w:widowControl/>
              <w:autoSpaceDE/>
              <w:autoSpaceDN/>
              <w:adjustRightInd/>
              <w:jc w:val="center"/>
            </w:pPr>
            <w:r>
              <w:t xml:space="preserve"> $</w:t>
            </w:r>
            <w:r w:rsidR="22F80382">
              <w:t>16,754,847</w:t>
            </w:r>
          </w:p>
        </w:tc>
      </w:tr>
      <w:tr w14:paraId="10E2FCC4" w14:textId="77777777" w:rsidTr="006C3234">
        <w:tblPrEx>
          <w:tblW w:w="5000" w:type="pct"/>
          <w:tblCellMar>
            <w:left w:w="29" w:type="dxa"/>
            <w:right w:w="29" w:type="dxa"/>
          </w:tblCellMar>
          <w:tblLook w:val="04A0"/>
        </w:tblPrEx>
        <w:trPr>
          <w:trHeight w:val="270"/>
        </w:trPr>
        <w:tc>
          <w:tcPr>
            <w:tcW w:w="71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B157C3" w:rsidRPr="00EE119B" w:rsidP="00B157C3" w14:paraId="5F0615FD" w14:textId="2F5B7D2F">
            <w:pPr>
              <w:widowControl/>
              <w:autoSpaceDE/>
              <w:autoSpaceDN/>
              <w:adjustRightInd/>
              <w:jc w:val="center"/>
              <w:rPr>
                <w:color w:val="000000"/>
              </w:rPr>
            </w:pPr>
            <w:r w:rsidRPr="00EE119B">
              <w:rPr>
                <w:color w:val="000000"/>
              </w:rPr>
              <w:t>3</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0786790F" w14:textId="71363B99">
            <w:pPr>
              <w:widowControl/>
              <w:autoSpaceDE/>
              <w:autoSpaceDN/>
              <w:adjustRightInd/>
              <w:jc w:val="center"/>
              <w:rPr>
                <w:color w:val="000000"/>
              </w:rPr>
            </w:pPr>
            <w:r w:rsidRPr="00324DD6">
              <w:t>3,030,118</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4CDEE860" w14:textId="77777777">
            <w:pPr>
              <w:widowControl/>
              <w:autoSpaceDE/>
              <w:autoSpaceDN/>
              <w:adjustRightInd/>
              <w:jc w:val="center"/>
              <w:rPr>
                <w:color w:val="000000"/>
              </w:rPr>
            </w:pPr>
            <w:r w:rsidRPr="00EE119B">
              <w:t>1</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B546B4" w:rsidP="00B157C3" w14:paraId="1E857FFF" w14:textId="489944F5">
            <w:pPr>
              <w:widowControl/>
              <w:autoSpaceDE/>
              <w:autoSpaceDN/>
              <w:adjustRightInd/>
              <w:jc w:val="center"/>
              <w:rPr>
                <w:color w:val="000000"/>
              </w:rPr>
            </w:pPr>
            <w:r w:rsidRPr="00324DD6">
              <w:t>3,030,118</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028C1A4E" w14:textId="77777777">
            <w:pPr>
              <w:widowControl/>
              <w:autoSpaceDE/>
              <w:autoSpaceDN/>
              <w:adjustRightInd/>
              <w:jc w:val="center"/>
              <w:rPr>
                <w:color w:val="000000"/>
              </w:rPr>
            </w:pPr>
            <w:r w:rsidRPr="00EE119B">
              <w:t>0.167</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53D9CC72" w14:textId="4FF10BE3">
            <w:pPr>
              <w:widowControl/>
              <w:autoSpaceDE/>
              <w:autoSpaceDN/>
              <w:adjustRightInd/>
              <w:jc w:val="center"/>
              <w:rPr>
                <w:color w:val="000000"/>
              </w:rPr>
            </w:pPr>
            <w:r w:rsidRPr="00324DD6">
              <w:t>506,030</w:t>
            </w:r>
          </w:p>
        </w:tc>
        <w:tc>
          <w:tcPr>
            <w:tcW w:w="100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B157C3" w:rsidRPr="00BC745F" w:rsidP="5ECFBCA2" w14:paraId="65850E67" w14:textId="0AA6BA23">
            <w:pPr>
              <w:widowControl/>
              <w:spacing w:line="259" w:lineRule="auto"/>
              <w:jc w:val="center"/>
            </w:pPr>
            <w:r>
              <w:t xml:space="preserve"> $</w:t>
            </w:r>
            <w:r w:rsidR="71A0173C">
              <w:t>16,792,382</w:t>
            </w:r>
            <w:r>
              <w:t xml:space="preserve"> </w:t>
            </w:r>
          </w:p>
        </w:tc>
      </w:tr>
      <w:tr w14:paraId="0B14EAF0" w14:textId="77777777" w:rsidTr="006C3234">
        <w:tblPrEx>
          <w:tblW w:w="5000" w:type="pct"/>
          <w:tblCellMar>
            <w:left w:w="29" w:type="dxa"/>
            <w:right w:w="29" w:type="dxa"/>
          </w:tblCellMar>
          <w:tblLook w:val="04A0"/>
        </w:tblPrEx>
        <w:trPr>
          <w:trHeight w:val="270"/>
        </w:trPr>
        <w:tc>
          <w:tcPr>
            <w:tcW w:w="71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B157C3" w:rsidRPr="00EE119B" w:rsidP="00B157C3" w14:paraId="0A18379E" w14:textId="1856E485">
            <w:pPr>
              <w:widowControl/>
              <w:autoSpaceDE/>
              <w:autoSpaceDN/>
              <w:adjustRightInd/>
              <w:jc w:val="center"/>
              <w:rPr>
                <w:color w:val="000000"/>
              </w:rPr>
            </w:pPr>
            <w:r w:rsidRPr="00EE119B">
              <w:rPr>
                <w:color w:val="000000"/>
              </w:rPr>
              <w:t>Total</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5E1A60D1" w14:textId="3B412255">
            <w:pPr>
              <w:widowControl/>
              <w:autoSpaceDE/>
              <w:autoSpaceDN/>
              <w:adjustRightInd/>
              <w:jc w:val="center"/>
              <w:rPr>
                <w:color w:val="000000"/>
              </w:rPr>
            </w:pPr>
            <w:r w:rsidRPr="00324DD6">
              <w:t>9,070,051</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35012983" w14:textId="77777777">
            <w:pPr>
              <w:widowControl/>
              <w:autoSpaceDE/>
              <w:autoSpaceDN/>
              <w:adjustRightInd/>
              <w:jc w:val="center"/>
              <w:rPr>
                <w:color w:val="000000"/>
              </w:rPr>
            </w:pPr>
            <w:r w:rsidRPr="00EE119B">
              <w:t>-</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08A25C89" w14:textId="4CCEDCF0">
            <w:pPr>
              <w:widowControl/>
              <w:autoSpaceDE/>
              <w:autoSpaceDN/>
              <w:adjustRightInd/>
              <w:jc w:val="center"/>
              <w:rPr>
                <w:color w:val="000000"/>
              </w:rPr>
            </w:pPr>
            <w:r w:rsidRPr="00324DD6">
              <w:t>9,070,051</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57C4B45B" w14:textId="77777777">
            <w:pPr>
              <w:widowControl/>
              <w:autoSpaceDE/>
              <w:autoSpaceDN/>
              <w:adjustRightInd/>
              <w:jc w:val="center"/>
              <w:rPr>
                <w:color w:val="000000"/>
              </w:rPr>
            </w:pPr>
            <w:r w:rsidRPr="00EE119B">
              <w:t>-</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3047F6EE" w14:textId="64B23235">
            <w:pPr>
              <w:widowControl/>
              <w:autoSpaceDE/>
              <w:autoSpaceDN/>
              <w:adjustRightInd/>
              <w:jc w:val="center"/>
              <w:rPr>
                <w:color w:val="000000"/>
              </w:rPr>
            </w:pPr>
            <w:r w:rsidRPr="00324DD6">
              <w:t>1,514,699</w:t>
            </w:r>
          </w:p>
        </w:tc>
        <w:tc>
          <w:tcPr>
            <w:tcW w:w="100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B157C3" w:rsidRPr="00BC745F" w:rsidP="5ECFBCA2" w14:paraId="53D8C334" w14:textId="5369EC87">
            <w:pPr>
              <w:widowControl/>
              <w:spacing w:line="259" w:lineRule="auto"/>
              <w:jc w:val="center"/>
            </w:pPr>
            <w:r>
              <w:t xml:space="preserve"> $</w:t>
            </w:r>
            <w:r w:rsidR="65A273D1">
              <w:t>50,264,629</w:t>
            </w:r>
            <w:r>
              <w:t xml:space="preserve"> </w:t>
            </w:r>
          </w:p>
        </w:tc>
      </w:tr>
      <w:tr w14:paraId="0B747532" w14:textId="77777777" w:rsidTr="006C3234">
        <w:tblPrEx>
          <w:tblW w:w="5000" w:type="pct"/>
          <w:tblCellMar>
            <w:left w:w="29" w:type="dxa"/>
            <w:right w:w="29" w:type="dxa"/>
          </w:tblCellMar>
          <w:tblLook w:val="04A0"/>
        </w:tblPrEx>
        <w:trPr>
          <w:trHeight w:val="270"/>
        </w:trPr>
        <w:tc>
          <w:tcPr>
            <w:tcW w:w="71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B157C3" w:rsidRPr="00EE119B" w:rsidP="00B157C3" w14:paraId="5E7E6BB4" w14:textId="3B4646CD">
            <w:pPr>
              <w:widowControl/>
              <w:autoSpaceDE/>
              <w:autoSpaceDN/>
              <w:adjustRightInd/>
              <w:jc w:val="center"/>
              <w:rPr>
                <w:color w:val="000000"/>
              </w:rPr>
            </w:pPr>
            <w:r w:rsidRPr="00EE119B">
              <w:rPr>
                <w:color w:val="000000"/>
              </w:rPr>
              <w:t>Annualized</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32F6CAF5" w14:textId="7542C380">
            <w:pPr>
              <w:widowControl/>
              <w:autoSpaceDE/>
              <w:autoSpaceDN/>
              <w:adjustRightInd/>
              <w:jc w:val="center"/>
              <w:rPr>
                <w:color w:val="000000"/>
              </w:rPr>
            </w:pPr>
            <w:r w:rsidRPr="00324DD6">
              <w:t>3,023,350</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40D4E86E" w14:textId="77777777">
            <w:pPr>
              <w:widowControl/>
              <w:autoSpaceDE/>
              <w:autoSpaceDN/>
              <w:adjustRightInd/>
              <w:jc w:val="center"/>
              <w:rPr>
                <w:color w:val="000000"/>
              </w:rPr>
            </w:pPr>
            <w:r w:rsidRPr="00EE119B">
              <w:t>-</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42E58C1E" w14:textId="1D52F00D">
            <w:pPr>
              <w:widowControl/>
              <w:autoSpaceDE/>
              <w:autoSpaceDN/>
              <w:adjustRightInd/>
              <w:jc w:val="center"/>
              <w:rPr>
                <w:color w:val="000000"/>
              </w:rPr>
            </w:pPr>
            <w:r w:rsidRPr="00324DD6">
              <w:t>3,023,350</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EE119B" w:rsidP="00B157C3" w14:paraId="7B3D31AA" w14:textId="77777777">
            <w:pPr>
              <w:widowControl/>
              <w:autoSpaceDE/>
              <w:autoSpaceDN/>
              <w:adjustRightInd/>
              <w:jc w:val="center"/>
              <w:rPr>
                <w:color w:val="000000"/>
              </w:rPr>
            </w:pPr>
            <w:r w:rsidRPr="00EE119B">
              <w:t>-</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B157C3" w:rsidRPr="001948C4" w:rsidP="00B157C3" w14:paraId="75A72DA2" w14:textId="6F0E208A">
            <w:pPr>
              <w:widowControl/>
              <w:autoSpaceDE/>
              <w:autoSpaceDN/>
              <w:adjustRightInd/>
              <w:jc w:val="center"/>
              <w:rPr>
                <w:color w:val="000000"/>
              </w:rPr>
            </w:pPr>
            <w:r w:rsidRPr="00324DD6">
              <w:t>504,900</w:t>
            </w:r>
          </w:p>
        </w:tc>
        <w:tc>
          <w:tcPr>
            <w:tcW w:w="100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B157C3" w:rsidRPr="001948C4" w:rsidP="5ECFBCA2" w14:paraId="298E88D4" w14:textId="03E5B9DC">
            <w:pPr>
              <w:widowControl/>
              <w:spacing w:line="259" w:lineRule="auto"/>
              <w:jc w:val="center"/>
            </w:pPr>
            <w:r>
              <w:t xml:space="preserve"> $</w:t>
            </w:r>
            <w:r w:rsidR="384B67ED">
              <w:t>16,754,876</w:t>
            </w:r>
          </w:p>
        </w:tc>
      </w:tr>
    </w:tbl>
    <w:p w:rsidR="00392752" w:rsidRPr="007E65CF" w:rsidP="00722B85" w14:paraId="536638D0" w14:textId="558AAB39">
      <w:pPr>
        <w:widowControl/>
        <w:rPr>
          <w:sz w:val="18"/>
          <w:szCs w:val="18"/>
        </w:rPr>
      </w:pPr>
      <w:r>
        <w:rPr>
          <w:sz w:val="18"/>
          <w:szCs w:val="18"/>
        </w:rPr>
        <w:t>Totals are the product of unrounded components</w:t>
      </w:r>
      <w:r w:rsidRPr="007E65CF">
        <w:rPr>
          <w:sz w:val="18"/>
          <w:szCs w:val="18"/>
        </w:rPr>
        <w:t>.</w:t>
      </w:r>
    </w:p>
    <w:p w:rsidR="005839AA" w:rsidP="00722B85" w14:paraId="6A2B33A1" w14:textId="77777777">
      <w:pPr>
        <w:widowControl/>
        <w:rPr>
          <w:b/>
        </w:rPr>
      </w:pPr>
    </w:p>
    <w:p w:rsidR="009D4362" w:rsidP="00722B85" w14:paraId="605D94C4" w14:textId="70BAD9E3">
      <w:pPr>
        <w:widowControl/>
      </w:pPr>
      <w:r>
        <w:t xml:space="preserve">The currently approved total burden for </w:t>
      </w:r>
      <w:r w:rsidR="00801E39">
        <w:t>driver notification of convictions/disqualifications to employers</w:t>
      </w:r>
      <w:r>
        <w:t xml:space="preserve"> is </w:t>
      </w:r>
      <w:r w:rsidR="565B1075">
        <w:t>503,771</w:t>
      </w:r>
      <w:r>
        <w:t xml:space="preserve"> hours.  The new</w:t>
      </w:r>
      <w:r w:rsidR="003E4B82">
        <w:t xml:space="preserve"> annualized</w:t>
      </w:r>
      <w:r>
        <w:t xml:space="preserve"> total of </w:t>
      </w:r>
      <w:r w:rsidR="038568AB">
        <w:t>504,900</w:t>
      </w:r>
      <w:r w:rsidR="00801E39">
        <w:t xml:space="preserve"> </w:t>
      </w:r>
      <w:r>
        <w:t>represents a</w:t>
      </w:r>
      <w:r w:rsidR="00B546B4">
        <w:t>n in</w:t>
      </w:r>
      <w:r>
        <w:t xml:space="preserve">crease of </w:t>
      </w:r>
      <w:r w:rsidR="262E5E5D">
        <w:t>1,129</w:t>
      </w:r>
      <w:r w:rsidR="00B546B4">
        <w:t xml:space="preserve"> </w:t>
      </w:r>
      <w:r>
        <w:t>hours.  This is due to a</w:t>
      </w:r>
      <w:r w:rsidR="00B546B4">
        <w:t>n increase</w:t>
      </w:r>
      <w:r>
        <w:t xml:space="preserve"> in the estimated number of active CDL drivers, a result of the availability of mo</w:t>
      </w:r>
      <w:r w:rsidR="00D7315C">
        <w:t>re accurate and</w:t>
      </w:r>
      <w:r>
        <w:t xml:space="preserve"> recent data.</w:t>
      </w:r>
    </w:p>
    <w:p w:rsidR="007E3A3B" w:rsidP="00722B85" w14:paraId="45721FF1" w14:textId="77777777">
      <w:pPr>
        <w:widowControl/>
      </w:pPr>
    </w:p>
    <w:p w:rsidR="00FA75EA" w:rsidRPr="00DE585A" w:rsidP="00722B85" w14:paraId="46403C56" w14:textId="77777777">
      <w:pPr>
        <w:widowControl/>
        <w:rPr>
          <w:b/>
        </w:rPr>
      </w:pPr>
      <w:r w:rsidRPr="00DE585A">
        <w:rPr>
          <w:b/>
        </w:rPr>
        <w:t>IC-1.2 Driver providing previous employment history to new employer</w:t>
      </w:r>
      <w:r w:rsidR="00EB7923">
        <w:rPr>
          <w:b/>
        </w:rPr>
        <w:t xml:space="preserve"> </w:t>
      </w:r>
      <w:r w:rsidRPr="00EB7923" w:rsidR="00EB7923">
        <w:rPr>
          <w:b/>
        </w:rPr>
        <w:t>[49 CFR 383.35]</w:t>
      </w:r>
    </w:p>
    <w:p w:rsidR="00984E3D" w:rsidP="00722B85" w14:paraId="29579CA4" w14:textId="11DE66AB">
      <w:pPr>
        <w:widowControl/>
      </w:pPr>
      <w:r>
        <w:t xml:space="preserve">In addition to 3 years of employment history required of all drivers, a CDL </w:t>
      </w:r>
      <w:r w:rsidR="00D7315C">
        <w:t xml:space="preserve">driver is required to provide </w:t>
      </w:r>
      <w:r w:rsidR="0074143D">
        <w:t>on a form a</w:t>
      </w:r>
      <w:r>
        <w:t xml:space="preserve"> </w:t>
      </w:r>
      <w:r w:rsidR="00D7315C">
        <w:t>further</w:t>
      </w:r>
      <w:r>
        <w:t xml:space="preserve"> 7 years of employment history</w:t>
      </w:r>
      <w:r w:rsidR="00EB7923">
        <w:t xml:space="preserve"> when applying to a company as a CDL driver</w:t>
      </w:r>
      <w:r>
        <w:t>.</w:t>
      </w:r>
      <w:r w:rsidR="0008378A">
        <w:t xml:space="preserve">  </w:t>
      </w:r>
      <w:r>
        <w:t xml:space="preserve">To estimate burden hour and burden costs associated with this task, the Agency relies on the statistics </w:t>
      </w:r>
      <w:r w:rsidR="000F2059">
        <w:t xml:space="preserve">and estimations </w:t>
      </w:r>
      <w:r>
        <w:t>outline</w:t>
      </w:r>
      <w:r w:rsidR="00626FE2">
        <w:t>d</w:t>
      </w:r>
      <w:r>
        <w:t xml:space="preserve"> above as well as the following</w:t>
      </w:r>
      <w:r w:rsidR="00F94A52">
        <w:t xml:space="preserve"> assumptions</w:t>
      </w:r>
      <w:r>
        <w:t>:</w:t>
      </w:r>
      <w:r>
        <w:br/>
      </w:r>
    </w:p>
    <w:p w:rsidR="00BE2F04" w:rsidP="00722B85" w14:paraId="2120FA8D" w14:textId="1C6C31BD">
      <w:pPr>
        <w:widowControl/>
        <w:numPr>
          <w:ilvl w:val="0"/>
          <w:numId w:val="9"/>
        </w:numPr>
      </w:pPr>
      <w:r>
        <w:t>The annual turnover rate</w:t>
      </w:r>
      <w:r w:rsidR="001769DC">
        <w:t xml:space="preserve"> of all active CDL holder</w:t>
      </w:r>
      <w:r>
        <w:t xml:space="preserve"> is approximately 14%.</w:t>
      </w:r>
    </w:p>
    <w:p w:rsidR="00FA75EA" w:rsidP="00722B85" w14:paraId="0938A4D4" w14:textId="33342358">
      <w:pPr>
        <w:widowControl/>
        <w:numPr>
          <w:ilvl w:val="0"/>
          <w:numId w:val="9"/>
        </w:numPr>
      </w:pPr>
      <w:r>
        <w:t xml:space="preserve">A CDL driver will spend </w:t>
      </w:r>
      <w:r w:rsidRPr="00BE2F04">
        <w:t xml:space="preserve">approximately 15 minutes </w:t>
      </w:r>
      <w:r>
        <w:t>(0.25 hours) completing</w:t>
      </w:r>
      <w:r w:rsidRPr="00BE2F04">
        <w:t xml:space="preserve"> the additional 7 years of employment history.</w:t>
      </w:r>
    </w:p>
    <w:p w:rsidR="001F2699" w:rsidP="00722B85" w14:paraId="5D1815EE" w14:textId="77777777">
      <w:pPr>
        <w:widowControl/>
        <w:ind w:left="360"/>
      </w:pPr>
    </w:p>
    <w:p w:rsidR="00984E3D" w:rsidP="5ECFBCA2" w14:paraId="000E3F28" w14:textId="66EA9EB3">
      <w:pPr>
        <w:widowControl/>
        <w:spacing w:line="259" w:lineRule="auto"/>
      </w:pPr>
      <w:r>
        <w:t>During the first year of this ICR, 1,</w:t>
      </w:r>
      <w:r w:rsidR="5D1241B4">
        <w:t>266,967</w:t>
      </w:r>
      <w:r>
        <w:t xml:space="preserve"> drivers (9,</w:t>
      </w:r>
      <w:r w:rsidR="6CAF77A9">
        <w:t>049,764</w:t>
      </w:r>
      <w:r>
        <w:t xml:space="preserve"> active CDL drivers × 14% turnover), will spend a total of 316,</w:t>
      </w:r>
      <w:r w:rsidR="7E44013D">
        <w:t>742</w:t>
      </w:r>
      <w:r>
        <w:t xml:space="preserve"> hours (1</w:t>
      </w:r>
      <w:r w:rsidR="2A8EB8F4">
        <w:t>,266,967</w:t>
      </w:r>
      <w:r>
        <w:t xml:space="preserve"> drivers × 0.25 hours per driver) providing an additional 7 years of employment history, resulting in an annual burden hour cost </w:t>
      </w:r>
      <w:r w:rsidR="0038035D">
        <w:t xml:space="preserve">of </w:t>
      </w:r>
      <w:r>
        <w:t>$</w:t>
      </w:r>
      <w:r w:rsidR="00435C54">
        <w:t>1</w:t>
      </w:r>
      <w:r w:rsidR="5F3AE4D4">
        <w:t>0,510,941</w:t>
      </w:r>
      <w:r w:rsidR="008632B8">
        <w:t xml:space="preserve"> </w:t>
      </w:r>
      <w:r>
        <w:t>(316,</w:t>
      </w:r>
      <w:r w:rsidR="30C2DA92">
        <w:t>742</w:t>
      </w:r>
      <w:r>
        <w:t xml:space="preserve"> hours × $</w:t>
      </w:r>
      <w:r w:rsidR="660E34B8">
        <w:t>33</w:t>
      </w:r>
      <w:r w:rsidR="00435C54">
        <w:t>.</w:t>
      </w:r>
      <w:r w:rsidR="159BA1CC">
        <w:t>18</w:t>
      </w:r>
      <w:r w:rsidR="00EB415C">
        <w:t xml:space="preserve"> </w:t>
      </w:r>
      <w:r>
        <w:t>per hour)</w:t>
      </w:r>
      <w:r w:rsidR="00EB7923">
        <w:t xml:space="preserve"> (</w:t>
      </w:r>
      <w:r>
        <w:fldChar w:fldCharType="begin"/>
      </w:r>
      <w:r>
        <w:instrText xml:space="preserve"> REF _Ref508023924 \h  \* MERGEFORMAT </w:instrText>
      </w:r>
      <w:r>
        <w:fldChar w:fldCharType="separate"/>
      </w:r>
      <w:r w:rsidR="006A6CBC">
        <w:t xml:space="preserve">Table </w:t>
      </w:r>
      <w:r w:rsidRPr="5ECFBCA2" w:rsidR="006A6CBC">
        <w:rPr>
          <w:noProof/>
        </w:rPr>
        <w:t>4</w:t>
      </w:r>
      <w:r>
        <w:fldChar w:fldCharType="end"/>
      </w:r>
      <w:r w:rsidR="00EB7923">
        <w:t>)</w:t>
      </w:r>
      <w:r>
        <w:t>.</w:t>
      </w:r>
    </w:p>
    <w:p w:rsidR="001F2699" w:rsidP="00722B85" w14:paraId="3D998007" w14:textId="77777777">
      <w:pPr>
        <w:widowControl/>
        <w:ind w:left="360"/>
      </w:pPr>
    </w:p>
    <w:p w:rsidR="00574DB8" w:rsidP="5ECFBCA2" w14:paraId="44D1639C" w14:textId="733FD284">
      <w:pPr>
        <w:widowControl/>
        <w:spacing w:line="259" w:lineRule="auto"/>
      </w:pPr>
      <w:r>
        <w:t xml:space="preserve">As detailed in </w:t>
      </w:r>
      <w:r>
        <w:fldChar w:fldCharType="begin"/>
      </w:r>
      <w:r>
        <w:instrText xml:space="preserve"> REF _Ref508023924 \h  \* MERGEFORMAT </w:instrText>
      </w:r>
      <w:r>
        <w:fldChar w:fldCharType="separate"/>
      </w:r>
      <w:r w:rsidR="006A6CBC">
        <w:t xml:space="preserve">Table </w:t>
      </w:r>
      <w:r w:rsidRPr="5ECFBCA2" w:rsidR="006A6CBC">
        <w:rPr>
          <w:noProof/>
        </w:rPr>
        <w:t>4</w:t>
      </w:r>
      <w:r>
        <w:fldChar w:fldCharType="end"/>
      </w:r>
      <w:r>
        <w:t>, IC-1.2 results in approximately 1,</w:t>
      </w:r>
      <w:r w:rsidR="3C5381B6">
        <w:t>269,807</w:t>
      </w:r>
      <w:r>
        <w:t xml:space="preserve"> drivers annually spending a total of </w:t>
      </w:r>
      <w:r w:rsidR="2BFC3663">
        <w:t>317,452</w:t>
      </w:r>
      <w:r>
        <w:t xml:space="preserve"> hours </w:t>
      </w:r>
      <w:r w:rsidR="0008378A">
        <w:t>completing an additional 7 years of employment history</w:t>
      </w:r>
      <w:r>
        <w:t>, at a</w:t>
      </w:r>
      <w:r w:rsidR="00016333">
        <w:t>n annualized</w:t>
      </w:r>
      <w:r>
        <w:t xml:space="preserve"> cost of </w:t>
      </w:r>
      <w:r w:rsidR="0073712F">
        <w:t>$</w:t>
      </w:r>
      <w:r w:rsidR="00016333">
        <w:t>1</w:t>
      </w:r>
      <w:r w:rsidR="11A6E5FD">
        <w:t>0,534,502</w:t>
      </w:r>
      <w:r>
        <w:t>.</w:t>
      </w:r>
    </w:p>
    <w:p w:rsidR="00392752" w:rsidP="00722B85" w14:paraId="6A3AB1CA" w14:textId="0F19095E">
      <w:pPr>
        <w:widowControl/>
        <w:ind w:left="360"/>
      </w:pPr>
    </w:p>
    <w:p w:rsidR="00574DB8" w:rsidRPr="00D64E77" w:rsidP="00722B85" w14:paraId="55D02454" w14:textId="3E096494">
      <w:pPr>
        <w:pStyle w:val="Caption"/>
        <w:keepNext/>
        <w:widowControl/>
      </w:pPr>
      <w:bookmarkStart w:id="8" w:name="_Ref508023924"/>
      <w:r w:rsidRPr="00D64E77">
        <w:t xml:space="preserve">Table </w:t>
      </w:r>
      <w:r>
        <w:fldChar w:fldCharType="begin"/>
      </w:r>
      <w:r>
        <w:instrText>SEQ Table \* ARABIC</w:instrText>
      </w:r>
      <w:r>
        <w:fldChar w:fldCharType="separate"/>
      </w:r>
      <w:r w:rsidR="006A6CBC">
        <w:rPr>
          <w:noProof/>
        </w:rPr>
        <w:t>4</w:t>
      </w:r>
      <w:r>
        <w:fldChar w:fldCharType="end"/>
      </w:r>
      <w:bookmarkEnd w:id="8"/>
      <w:r w:rsidRPr="00D64E77">
        <w:t xml:space="preserve">. Driver </w:t>
      </w:r>
      <w:r w:rsidRPr="00D64E77" w:rsidR="002D66E6">
        <w:t xml:space="preserve">Providing Previous Employment History to New Employer </w:t>
      </w:r>
      <w:r w:rsidRPr="00D64E77" w:rsidR="005770E6">
        <w:t>(IC-1.2)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338"/>
        <w:gridCol w:w="1365"/>
        <w:gridCol w:w="1272"/>
        <w:gridCol w:w="1190"/>
        <w:gridCol w:w="1019"/>
        <w:gridCol w:w="1053"/>
        <w:gridCol w:w="2113"/>
      </w:tblGrid>
      <w:tr w14:paraId="1E9A7B90"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1050"/>
        </w:trPr>
        <w:tc>
          <w:tcPr>
            <w:tcW w:w="716" w:type="pct"/>
            <w:shd w:val="clear" w:color="auto" w:fill="E0E0E0"/>
            <w:vAlign w:val="bottom"/>
            <w:hideMark/>
          </w:tcPr>
          <w:p w:rsidR="00BE2F04" w:rsidRPr="00C91178" w:rsidP="00BE2F04" w14:paraId="2D0E7C1D" w14:textId="77777777">
            <w:pPr>
              <w:widowControl/>
              <w:autoSpaceDE/>
              <w:autoSpaceDN/>
              <w:adjustRightInd/>
              <w:jc w:val="center"/>
              <w:rPr>
                <w:b/>
                <w:bCs/>
                <w:color w:val="000000"/>
              </w:rPr>
            </w:pPr>
            <w:r w:rsidRPr="00C91178">
              <w:rPr>
                <w:b/>
                <w:bCs/>
                <w:color w:val="000000"/>
              </w:rPr>
              <w:t>Year</w:t>
            </w:r>
          </w:p>
        </w:tc>
        <w:tc>
          <w:tcPr>
            <w:tcW w:w="730" w:type="pct"/>
            <w:shd w:val="clear" w:color="auto" w:fill="E0E0E0"/>
            <w:vAlign w:val="bottom"/>
            <w:hideMark/>
          </w:tcPr>
          <w:p w:rsidR="00BE2F04" w:rsidRPr="00C91178" w:rsidP="00BE2F04" w14:paraId="1FBC36F5" w14:textId="77777777">
            <w:pPr>
              <w:widowControl/>
              <w:autoSpaceDE/>
              <w:autoSpaceDN/>
              <w:adjustRightInd/>
              <w:jc w:val="center"/>
              <w:rPr>
                <w:b/>
                <w:bCs/>
                <w:color w:val="000000"/>
              </w:rPr>
            </w:pPr>
            <w:r w:rsidRPr="00C91178">
              <w:rPr>
                <w:b/>
                <w:bCs/>
                <w:color w:val="000000"/>
              </w:rPr>
              <w:t>Respondents</w:t>
            </w:r>
            <w:r w:rsidRPr="00C91178">
              <w:rPr>
                <w:b/>
                <w:bCs/>
                <w:color w:val="000000"/>
              </w:rPr>
              <w:br/>
              <w:t>(a)</w:t>
            </w:r>
          </w:p>
        </w:tc>
        <w:tc>
          <w:tcPr>
            <w:tcW w:w="680" w:type="pct"/>
            <w:shd w:val="clear" w:color="auto" w:fill="E0E0E0"/>
            <w:vAlign w:val="bottom"/>
            <w:hideMark/>
          </w:tcPr>
          <w:p w:rsidR="00BE2F04" w:rsidRPr="00C91178" w:rsidP="00BE2F04" w14:paraId="1295275A" w14:textId="77777777">
            <w:pPr>
              <w:widowControl/>
              <w:autoSpaceDE/>
              <w:autoSpaceDN/>
              <w:adjustRightInd/>
              <w:jc w:val="center"/>
              <w:rPr>
                <w:b/>
                <w:bCs/>
                <w:color w:val="000000"/>
              </w:rPr>
            </w:pPr>
            <w:r>
              <w:rPr>
                <w:b/>
                <w:bCs/>
                <w:color w:val="000000"/>
              </w:rPr>
              <w:t>Responses per Respondent</w:t>
            </w:r>
            <w:r>
              <w:rPr>
                <w:b/>
                <w:bCs/>
                <w:color w:val="000000"/>
              </w:rPr>
              <w:br/>
              <w:t>(</w:t>
            </w:r>
            <w:r w:rsidRPr="00C91178">
              <w:rPr>
                <w:b/>
                <w:bCs/>
                <w:color w:val="000000"/>
              </w:rPr>
              <w:t>b)</w:t>
            </w:r>
          </w:p>
        </w:tc>
        <w:tc>
          <w:tcPr>
            <w:tcW w:w="636" w:type="pct"/>
            <w:shd w:val="clear" w:color="auto" w:fill="E0E0E0"/>
            <w:vAlign w:val="bottom"/>
            <w:hideMark/>
          </w:tcPr>
          <w:p w:rsidR="00BE2F04" w:rsidRPr="00C91178" w:rsidP="00BE2F04" w14:paraId="7F137312" w14:textId="77777777">
            <w:pPr>
              <w:widowControl/>
              <w:autoSpaceDE/>
              <w:autoSpaceDN/>
              <w:adjustRightInd/>
              <w:jc w:val="center"/>
              <w:rPr>
                <w:b/>
                <w:bCs/>
                <w:color w:val="000000"/>
              </w:rPr>
            </w:pPr>
            <w:r>
              <w:rPr>
                <w:b/>
                <w:bCs/>
                <w:color w:val="000000"/>
              </w:rPr>
              <w:t>Total Annual Responses</w:t>
            </w:r>
            <w:r>
              <w:rPr>
                <w:b/>
                <w:bCs/>
                <w:color w:val="000000"/>
              </w:rPr>
              <w:br/>
              <w:t>(a</w:t>
            </w:r>
            <w:r w:rsidRPr="00C91178">
              <w:rPr>
                <w:b/>
                <w:bCs/>
                <w:color w:val="000000"/>
              </w:rPr>
              <w:t xml:space="preserve"> ×</w:t>
            </w:r>
            <w:r>
              <w:rPr>
                <w:b/>
                <w:bCs/>
                <w:color w:val="000000"/>
              </w:rPr>
              <w:t xml:space="preserve"> b</w:t>
            </w:r>
            <w:r w:rsidRPr="00C91178">
              <w:rPr>
                <w:b/>
                <w:bCs/>
                <w:color w:val="000000"/>
              </w:rPr>
              <w:t xml:space="preserve"> = c)</w:t>
            </w:r>
          </w:p>
        </w:tc>
        <w:tc>
          <w:tcPr>
            <w:tcW w:w="545" w:type="pct"/>
            <w:shd w:val="clear" w:color="auto" w:fill="E0E0E0"/>
            <w:vAlign w:val="bottom"/>
            <w:hideMark/>
          </w:tcPr>
          <w:p w:rsidR="00BE2F04" w:rsidRPr="00C91178" w:rsidP="00BE2F04" w14:paraId="28326F67" w14:textId="77777777">
            <w:pPr>
              <w:widowControl/>
              <w:autoSpaceDE/>
              <w:autoSpaceDN/>
              <w:adjustRightInd/>
              <w:jc w:val="center"/>
              <w:rPr>
                <w:b/>
                <w:bCs/>
                <w:color w:val="000000"/>
              </w:rPr>
            </w:pPr>
            <w:r>
              <w:rPr>
                <w:b/>
                <w:bCs/>
                <w:color w:val="000000"/>
              </w:rPr>
              <w:t>Burden Hours per Response</w:t>
            </w:r>
            <w:r>
              <w:rPr>
                <w:b/>
                <w:bCs/>
                <w:color w:val="000000"/>
              </w:rPr>
              <w:br/>
              <w:t>(</w:t>
            </w:r>
            <w:r w:rsidRPr="00C91178">
              <w:rPr>
                <w:b/>
                <w:bCs/>
                <w:color w:val="000000"/>
              </w:rPr>
              <w:t>d)</w:t>
            </w:r>
          </w:p>
        </w:tc>
        <w:tc>
          <w:tcPr>
            <w:tcW w:w="563" w:type="pct"/>
            <w:shd w:val="clear" w:color="auto" w:fill="E0E0E0"/>
            <w:vAlign w:val="bottom"/>
            <w:hideMark/>
          </w:tcPr>
          <w:p w:rsidR="00BE2F04" w:rsidRPr="00C91178" w:rsidP="00BE2F04" w14:paraId="31E8919E" w14:textId="77777777">
            <w:pPr>
              <w:widowControl/>
              <w:autoSpaceDE/>
              <w:autoSpaceDN/>
              <w:adjustRightInd/>
              <w:jc w:val="center"/>
              <w:rPr>
                <w:b/>
                <w:bCs/>
                <w:color w:val="000000"/>
              </w:rPr>
            </w:pPr>
            <w:r>
              <w:rPr>
                <w:b/>
                <w:bCs/>
                <w:color w:val="000000"/>
              </w:rPr>
              <w:t>Total Annual Burden Hours</w:t>
            </w:r>
            <w:r>
              <w:rPr>
                <w:b/>
                <w:bCs/>
                <w:color w:val="000000"/>
              </w:rPr>
              <w:br/>
              <w:t xml:space="preserve">(c </w:t>
            </w:r>
            <w:r w:rsidRPr="00C91178">
              <w:rPr>
                <w:b/>
                <w:bCs/>
                <w:color w:val="000000"/>
              </w:rPr>
              <w:t xml:space="preserve">× </w:t>
            </w:r>
            <w:r>
              <w:rPr>
                <w:b/>
                <w:bCs/>
                <w:color w:val="000000"/>
              </w:rPr>
              <w:t>d</w:t>
            </w:r>
            <w:r w:rsidRPr="00C91178">
              <w:rPr>
                <w:b/>
                <w:bCs/>
                <w:color w:val="000000"/>
              </w:rPr>
              <w:t xml:space="preserve"> = e)</w:t>
            </w:r>
          </w:p>
        </w:tc>
        <w:tc>
          <w:tcPr>
            <w:tcW w:w="1130" w:type="pct"/>
            <w:shd w:val="clear" w:color="auto" w:fill="E0E0E0"/>
            <w:vAlign w:val="bottom"/>
            <w:hideMark/>
          </w:tcPr>
          <w:p w:rsidR="00BE2F04" w:rsidRPr="00C91178" w:rsidP="00BE2F04" w14:paraId="42273403" w14:textId="5F1DF94E">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03B827DD">
              <w:rPr>
                <w:b/>
                <w:bCs/>
                <w:color w:val="000000" w:themeColor="text1"/>
              </w:rPr>
              <w:t>33</w:t>
            </w:r>
            <w:r w:rsidRPr="5ECFBCA2" w:rsidR="20AA9F44">
              <w:rPr>
                <w:b/>
                <w:bCs/>
                <w:color w:val="000000" w:themeColor="text1"/>
              </w:rPr>
              <w:t>.</w:t>
            </w:r>
            <w:r w:rsidRPr="5ECFBCA2" w:rsidR="2F9574AC">
              <w:rPr>
                <w:b/>
                <w:bCs/>
                <w:color w:val="000000" w:themeColor="text1"/>
              </w:rPr>
              <w:t>18</w:t>
            </w:r>
            <w:r w:rsidRPr="5ECFBCA2">
              <w:rPr>
                <w:b/>
                <w:bCs/>
                <w:color w:val="000000" w:themeColor="text1"/>
              </w:rPr>
              <w:t>= f)</w:t>
            </w:r>
          </w:p>
        </w:tc>
      </w:tr>
      <w:tr w14:paraId="2782F657" w14:textId="77777777" w:rsidTr="006C3234">
        <w:tblPrEx>
          <w:tblW w:w="5000" w:type="pct"/>
          <w:tblCellMar>
            <w:left w:w="29" w:type="dxa"/>
            <w:right w:w="29" w:type="dxa"/>
          </w:tblCellMar>
          <w:tblLook w:val="04A0"/>
        </w:tblPrEx>
        <w:trPr>
          <w:trHeight w:val="270"/>
        </w:trPr>
        <w:tc>
          <w:tcPr>
            <w:tcW w:w="71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E27CDF" w:rsidRPr="003746CF" w:rsidP="00E27CDF" w14:paraId="17DD5C19" w14:textId="15685903">
            <w:pPr>
              <w:widowControl/>
              <w:autoSpaceDE/>
              <w:autoSpaceDN/>
              <w:adjustRightInd/>
              <w:jc w:val="center"/>
              <w:rPr>
                <w:color w:val="000000"/>
              </w:rPr>
            </w:pPr>
            <w:r w:rsidRPr="003746CF">
              <w:rPr>
                <w:color w:val="000000"/>
              </w:rPr>
              <w:t>1</w:t>
            </w:r>
          </w:p>
        </w:tc>
        <w:tc>
          <w:tcPr>
            <w:tcW w:w="7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2222F856" w14:textId="5DC97820">
            <w:pPr>
              <w:widowControl/>
              <w:autoSpaceDE/>
              <w:autoSpaceDN/>
              <w:adjustRightInd/>
              <w:jc w:val="center"/>
              <w:rPr>
                <w:color w:val="000000"/>
              </w:rPr>
            </w:pPr>
            <w:r w:rsidRPr="0054065A">
              <w:rPr>
                <w:color w:val="000000" w:themeColor="text1"/>
              </w:rPr>
              <w:t>1,266,967</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329DB922" w14:textId="77777777">
            <w:pPr>
              <w:widowControl/>
              <w:autoSpaceDE/>
              <w:autoSpaceDN/>
              <w:adjustRightInd/>
              <w:jc w:val="center"/>
              <w:rPr>
                <w:color w:val="000000"/>
              </w:rPr>
            </w:pPr>
            <w:r w:rsidRPr="006B3DD2">
              <w:t>1</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67D4288A" w14:textId="1512573E">
            <w:pPr>
              <w:widowControl/>
              <w:autoSpaceDE/>
              <w:autoSpaceDN/>
              <w:adjustRightInd/>
              <w:jc w:val="center"/>
              <w:rPr>
                <w:color w:val="000000"/>
              </w:rPr>
            </w:pPr>
            <w:r w:rsidRPr="0054065A">
              <w:rPr>
                <w:color w:val="000000" w:themeColor="text1"/>
              </w:rPr>
              <w:t>1,266,967</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51241225" w14:textId="77777777">
            <w:pPr>
              <w:widowControl/>
              <w:autoSpaceDE/>
              <w:autoSpaceDN/>
              <w:adjustRightInd/>
              <w:jc w:val="center"/>
              <w:rPr>
                <w:color w:val="000000"/>
              </w:rPr>
            </w:pPr>
            <w:r w:rsidRPr="006B3DD2">
              <w:t>0.25</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6FD8F160" w14:textId="5FEB2198">
            <w:pPr>
              <w:widowControl/>
              <w:autoSpaceDE/>
              <w:autoSpaceDN/>
              <w:adjustRightInd/>
              <w:jc w:val="center"/>
              <w:rPr>
                <w:color w:val="000000"/>
              </w:rPr>
            </w:pPr>
            <w:r w:rsidRPr="0054065A">
              <w:rPr>
                <w:color w:val="000000" w:themeColor="text1"/>
              </w:rPr>
              <w:t>316,742</w:t>
            </w:r>
          </w:p>
        </w:tc>
        <w:tc>
          <w:tcPr>
            <w:tcW w:w="11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E27CDF" w:rsidRPr="003746CF" w:rsidP="5ECFBCA2" w14:paraId="70B0EB34" w14:textId="2CE45729">
            <w:pPr>
              <w:widowControl/>
              <w:spacing w:line="259" w:lineRule="auto"/>
              <w:jc w:val="center"/>
              <w:rPr>
                <w:color w:val="000000" w:themeColor="text1"/>
              </w:rPr>
            </w:pPr>
            <w:r>
              <w:t xml:space="preserve"> $1</w:t>
            </w:r>
            <w:r w:rsidR="343AAAB1">
              <w:t>0,510,941</w:t>
            </w:r>
            <w:r>
              <w:t xml:space="preserve"> </w:t>
            </w:r>
          </w:p>
        </w:tc>
      </w:tr>
      <w:tr w14:paraId="4128411E" w14:textId="77777777" w:rsidTr="006C3234">
        <w:tblPrEx>
          <w:tblW w:w="5000" w:type="pct"/>
          <w:tblCellMar>
            <w:left w:w="29" w:type="dxa"/>
            <w:right w:w="29" w:type="dxa"/>
          </w:tblCellMar>
          <w:tblLook w:val="04A0"/>
        </w:tblPrEx>
        <w:trPr>
          <w:trHeight w:val="270"/>
        </w:trPr>
        <w:tc>
          <w:tcPr>
            <w:tcW w:w="71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E27CDF" w:rsidRPr="003746CF" w:rsidP="00E27CDF" w14:paraId="7510AD7F" w14:textId="0EC8A66D">
            <w:pPr>
              <w:widowControl/>
              <w:autoSpaceDE/>
              <w:autoSpaceDN/>
              <w:adjustRightInd/>
              <w:jc w:val="center"/>
              <w:rPr>
                <w:color w:val="000000"/>
              </w:rPr>
            </w:pPr>
            <w:r w:rsidRPr="003746CF">
              <w:rPr>
                <w:color w:val="000000"/>
              </w:rPr>
              <w:t>2</w:t>
            </w:r>
          </w:p>
        </w:tc>
        <w:tc>
          <w:tcPr>
            <w:tcW w:w="7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1BDCE277" w14:textId="5CCBE81A">
            <w:pPr>
              <w:widowControl/>
              <w:autoSpaceDE/>
              <w:autoSpaceDN/>
              <w:adjustRightInd/>
              <w:jc w:val="center"/>
              <w:rPr>
                <w:color w:val="000000"/>
              </w:rPr>
            </w:pPr>
            <w:r w:rsidRPr="0054065A">
              <w:rPr>
                <w:color w:val="000000" w:themeColor="text1"/>
              </w:rPr>
              <w:t>1,269,805</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03E8B67E" w14:textId="77777777">
            <w:pPr>
              <w:widowControl/>
              <w:autoSpaceDE/>
              <w:autoSpaceDN/>
              <w:adjustRightInd/>
              <w:jc w:val="center"/>
              <w:rPr>
                <w:color w:val="000000"/>
              </w:rPr>
            </w:pPr>
            <w:r w:rsidRPr="006B3DD2">
              <w:t>1</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11ADA949" w14:textId="6398263B">
            <w:pPr>
              <w:widowControl/>
              <w:autoSpaceDE/>
              <w:autoSpaceDN/>
              <w:adjustRightInd/>
              <w:jc w:val="center"/>
              <w:rPr>
                <w:color w:val="000000"/>
              </w:rPr>
            </w:pPr>
            <w:r w:rsidRPr="0054065A">
              <w:rPr>
                <w:color w:val="000000" w:themeColor="text1"/>
              </w:rPr>
              <w:t>1,269,805</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4E44211F" w14:textId="77777777">
            <w:pPr>
              <w:widowControl/>
              <w:autoSpaceDE/>
              <w:autoSpaceDN/>
              <w:adjustRightInd/>
              <w:jc w:val="center"/>
              <w:rPr>
                <w:color w:val="000000"/>
              </w:rPr>
            </w:pPr>
            <w:r w:rsidRPr="006B3DD2">
              <w:t>0.25</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26B786AB" w14:textId="5EFFA15D">
            <w:pPr>
              <w:widowControl/>
              <w:autoSpaceDE/>
              <w:autoSpaceDN/>
              <w:adjustRightInd/>
              <w:jc w:val="center"/>
              <w:rPr>
                <w:color w:val="000000"/>
              </w:rPr>
            </w:pPr>
            <w:r w:rsidRPr="0054065A">
              <w:rPr>
                <w:color w:val="000000" w:themeColor="text1"/>
              </w:rPr>
              <w:t>317,451</w:t>
            </w:r>
          </w:p>
        </w:tc>
        <w:tc>
          <w:tcPr>
            <w:tcW w:w="11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E27CDF" w:rsidRPr="003746CF" w:rsidP="5ECFBCA2" w14:paraId="69B610E1" w14:textId="51011E13">
            <w:pPr>
              <w:widowControl/>
              <w:spacing w:line="259" w:lineRule="auto"/>
              <w:jc w:val="center"/>
            </w:pPr>
            <w:r>
              <w:t xml:space="preserve"> $</w:t>
            </w:r>
            <w:r w:rsidR="50E16B76">
              <w:t>10,534,485</w:t>
            </w:r>
          </w:p>
        </w:tc>
      </w:tr>
      <w:tr w14:paraId="00AE77BC" w14:textId="77777777" w:rsidTr="006C3234">
        <w:tblPrEx>
          <w:tblW w:w="5000" w:type="pct"/>
          <w:tblCellMar>
            <w:left w:w="29" w:type="dxa"/>
            <w:right w:w="29" w:type="dxa"/>
          </w:tblCellMar>
          <w:tblLook w:val="04A0"/>
        </w:tblPrEx>
        <w:trPr>
          <w:trHeight w:val="270"/>
        </w:trPr>
        <w:tc>
          <w:tcPr>
            <w:tcW w:w="71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E27CDF" w:rsidRPr="003746CF" w:rsidP="00E27CDF" w14:paraId="432D24B3" w14:textId="2AAFEE91">
            <w:pPr>
              <w:widowControl/>
              <w:autoSpaceDE/>
              <w:autoSpaceDN/>
              <w:adjustRightInd/>
              <w:jc w:val="center"/>
              <w:rPr>
                <w:color w:val="000000"/>
              </w:rPr>
            </w:pPr>
            <w:r w:rsidRPr="003746CF">
              <w:rPr>
                <w:color w:val="000000"/>
              </w:rPr>
              <w:t>3</w:t>
            </w:r>
          </w:p>
        </w:tc>
        <w:tc>
          <w:tcPr>
            <w:tcW w:w="7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35E5B4F4" w14:textId="5FC65D16">
            <w:pPr>
              <w:widowControl/>
              <w:autoSpaceDE/>
              <w:autoSpaceDN/>
              <w:adjustRightInd/>
              <w:jc w:val="center"/>
              <w:rPr>
                <w:color w:val="000000"/>
              </w:rPr>
            </w:pPr>
            <w:r w:rsidRPr="0054065A">
              <w:rPr>
                <w:color w:val="000000" w:themeColor="text1"/>
              </w:rPr>
              <w:t>1,272,649</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485BCAE2" w14:textId="77777777">
            <w:pPr>
              <w:widowControl/>
              <w:autoSpaceDE/>
              <w:autoSpaceDN/>
              <w:adjustRightInd/>
              <w:jc w:val="center"/>
              <w:rPr>
                <w:color w:val="000000"/>
              </w:rPr>
            </w:pPr>
            <w:r w:rsidRPr="006B3DD2">
              <w:t>1</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04831C91" w14:textId="57EDF43A">
            <w:pPr>
              <w:widowControl/>
              <w:autoSpaceDE/>
              <w:autoSpaceDN/>
              <w:adjustRightInd/>
              <w:jc w:val="center"/>
              <w:rPr>
                <w:color w:val="000000"/>
              </w:rPr>
            </w:pPr>
            <w:r w:rsidRPr="0054065A">
              <w:rPr>
                <w:color w:val="000000" w:themeColor="text1"/>
              </w:rPr>
              <w:t>1,272,649</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34EB9FB2" w14:textId="77777777">
            <w:pPr>
              <w:widowControl/>
              <w:autoSpaceDE/>
              <w:autoSpaceDN/>
              <w:adjustRightInd/>
              <w:jc w:val="center"/>
              <w:rPr>
                <w:color w:val="000000"/>
              </w:rPr>
            </w:pPr>
            <w:r w:rsidRPr="006B3DD2">
              <w:t>0.25</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4E5A5245" w14:textId="5EBF29BD">
            <w:pPr>
              <w:widowControl/>
              <w:autoSpaceDE/>
              <w:autoSpaceDN/>
              <w:adjustRightInd/>
              <w:jc w:val="center"/>
              <w:rPr>
                <w:color w:val="000000"/>
              </w:rPr>
            </w:pPr>
            <w:r w:rsidRPr="0054065A">
              <w:rPr>
                <w:color w:val="000000" w:themeColor="text1"/>
              </w:rPr>
              <w:t>318,162</w:t>
            </w:r>
          </w:p>
        </w:tc>
        <w:tc>
          <w:tcPr>
            <w:tcW w:w="11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E27CDF" w:rsidRPr="003746CF" w:rsidP="5ECFBCA2" w14:paraId="7A12FC67" w14:textId="3D1B78BE">
            <w:pPr>
              <w:widowControl/>
              <w:spacing w:line="259" w:lineRule="auto"/>
              <w:jc w:val="center"/>
            </w:pPr>
            <w:r>
              <w:t xml:space="preserve"> $</w:t>
            </w:r>
            <w:r w:rsidR="6907A8EE">
              <w:t>10,558,080</w:t>
            </w:r>
          </w:p>
        </w:tc>
      </w:tr>
      <w:tr w14:paraId="7CF505C9" w14:textId="77777777" w:rsidTr="006C3234">
        <w:tblPrEx>
          <w:tblW w:w="5000" w:type="pct"/>
          <w:tblCellMar>
            <w:left w:w="29" w:type="dxa"/>
            <w:right w:w="29" w:type="dxa"/>
          </w:tblCellMar>
          <w:tblLook w:val="04A0"/>
        </w:tblPrEx>
        <w:trPr>
          <w:trHeight w:val="270"/>
        </w:trPr>
        <w:tc>
          <w:tcPr>
            <w:tcW w:w="71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E27CDF" w:rsidRPr="003746CF" w:rsidP="00E27CDF" w14:paraId="0A911AFF" w14:textId="12E5457B">
            <w:pPr>
              <w:widowControl/>
              <w:autoSpaceDE/>
              <w:autoSpaceDN/>
              <w:adjustRightInd/>
              <w:jc w:val="center"/>
              <w:rPr>
                <w:color w:val="000000"/>
              </w:rPr>
            </w:pPr>
            <w:r w:rsidRPr="003746CF">
              <w:rPr>
                <w:color w:val="000000"/>
              </w:rPr>
              <w:t>Total</w:t>
            </w:r>
          </w:p>
        </w:tc>
        <w:tc>
          <w:tcPr>
            <w:tcW w:w="7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7BC565ED" w14:textId="336EDC5C">
            <w:pPr>
              <w:widowControl/>
              <w:autoSpaceDE/>
              <w:autoSpaceDN/>
              <w:adjustRightInd/>
              <w:jc w:val="center"/>
              <w:rPr>
                <w:color w:val="000000"/>
              </w:rPr>
            </w:pPr>
            <w:r w:rsidRPr="0054065A">
              <w:rPr>
                <w:color w:val="000000" w:themeColor="text1"/>
              </w:rPr>
              <w:t>3,809,421</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5EE42544" w14:textId="77777777">
            <w:pPr>
              <w:widowControl/>
              <w:autoSpaceDE/>
              <w:autoSpaceDN/>
              <w:adjustRightInd/>
              <w:jc w:val="center"/>
              <w:rPr>
                <w:color w:val="000000"/>
              </w:rPr>
            </w:pPr>
            <w:r w:rsidRPr="006B3DD2">
              <w:t>-</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71767864" w14:textId="3F089029">
            <w:pPr>
              <w:widowControl/>
              <w:autoSpaceDE/>
              <w:autoSpaceDN/>
              <w:adjustRightInd/>
              <w:jc w:val="center"/>
              <w:rPr>
                <w:color w:val="000000"/>
              </w:rPr>
            </w:pPr>
            <w:r w:rsidRPr="0054065A">
              <w:rPr>
                <w:color w:val="000000" w:themeColor="text1"/>
              </w:rPr>
              <w:t>3,809,421</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68F59A99" w14:textId="77777777">
            <w:pPr>
              <w:widowControl/>
              <w:autoSpaceDE/>
              <w:autoSpaceDN/>
              <w:adjustRightInd/>
              <w:jc w:val="center"/>
              <w:rPr>
                <w:color w:val="000000"/>
              </w:rPr>
            </w:pPr>
            <w:r w:rsidRPr="006B3DD2">
              <w:t>-</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3138CC9B" w14:textId="468F4D76">
            <w:pPr>
              <w:widowControl/>
              <w:autoSpaceDE/>
              <w:autoSpaceDN/>
              <w:adjustRightInd/>
              <w:jc w:val="center"/>
              <w:rPr>
                <w:color w:val="000000"/>
              </w:rPr>
            </w:pPr>
            <w:r w:rsidRPr="0054065A">
              <w:rPr>
                <w:color w:val="000000" w:themeColor="text1"/>
              </w:rPr>
              <w:t>952,355</w:t>
            </w:r>
          </w:p>
        </w:tc>
        <w:tc>
          <w:tcPr>
            <w:tcW w:w="11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E27CDF" w:rsidRPr="003746CF" w:rsidP="5ECFBCA2" w14:paraId="6B0E14CC" w14:textId="14D9B8F5">
            <w:pPr>
              <w:widowControl/>
              <w:spacing w:line="259" w:lineRule="auto"/>
              <w:jc w:val="center"/>
            </w:pPr>
            <w:r>
              <w:t xml:space="preserve"> $</w:t>
            </w:r>
            <w:r w:rsidR="5DF344B6">
              <w:t>31,603,506</w:t>
            </w:r>
          </w:p>
        </w:tc>
      </w:tr>
      <w:tr w14:paraId="5FEE6C54" w14:textId="77777777" w:rsidTr="006C3234">
        <w:tblPrEx>
          <w:tblW w:w="5000" w:type="pct"/>
          <w:tblCellMar>
            <w:left w:w="29" w:type="dxa"/>
            <w:right w:w="29" w:type="dxa"/>
          </w:tblCellMar>
          <w:tblLook w:val="04A0"/>
        </w:tblPrEx>
        <w:trPr>
          <w:trHeight w:val="270"/>
        </w:trPr>
        <w:tc>
          <w:tcPr>
            <w:tcW w:w="71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hideMark/>
          </w:tcPr>
          <w:p w:rsidR="00E27CDF" w:rsidRPr="003746CF" w:rsidP="00E27CDF" w14:paraId="4D796EB1" w14:textId="0E1BF8F5">
            <w:pPr>
              <w:widowControl/>
              <w:autoSpaceDE/>
              <w:autoSpaceDN/>
              <w:adjustRightInd/>
              <w:jc w:val="center"/>
              <w:rPr>
                <w:color w:val="000000"/>
              </w:rPr>
            </w:pPr>
            <w:r w:rsidRPr="003746CF">
              <w:rPr>
                <w:color w:val="000000"/>
              </w:rPr>
              <w:t>Annualized</w:t>
            </w:r>
          </w:p>
        </w:tc>
        <w:tc>
          <w:tcPr>
            <w:tcW w:w="7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46986234" w14:textId="21112258">
            <w:pPr>
              <w:widowControl/>
              <w:autoSpaceDE/>
              <w:autoSpaceDN/>
              <w:adjustRightInd/>
              <w:jc w:val="center"/>
              <w:rPr>
                <w:color w:val="000000"/>
              </w:rPr>
            </w:pPr>
            <w:r w:rsidRPr="0054065A">
              <w:rPr>
                <w:color w:val="000000" w:themeColor="text1"/>
              </w:rPr>
              <w:t>1,269,807</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5EFC3FED" w14:textId="77777777">
            <w:pPr>
              <w:widowControl/>
              <w:autoSpaceDE/>
              <w:autoSpaceDN/>
              <w:adjustRightInd/>
              <w:jc w:val="center"/>
              <w:rPr>
                <w:color w:val="000000"/>
              </w:rPr>
            </w:pPr>
            <w:r w:rsidRPr="006B3DD2">
              <w:t>-</w:t>
            </w:r>
          </w:p>
        </w:tc>
        <w:tc>
          <w:tcPr>
            <w:tcW w:w="636"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0E2D5B8A" w14:textId="295F51D4">
            <w:pPr>
              <w:widowControl/>
              <w:autoSpaceDE/>
              <w:autoSpaceDN/>
              <w:adjustRightInd/>
              <w:jc w:val="center"/>
              <w:rPr>
                <w:color w:val="000000"/>
              </w:rPr>
            </w:pPr>
            <w:r w:rsidRPr="0054065A">
              <w:rPr>
                <w:color w:val="000000" w:themeColor="text1"/>
              </w:rPr>
              <w:t>1,269,807</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6B3DD2" w:rsidP="00E27CDF" w14:paraId="7D1D7AF2" w14:textId="77777777">
            <w:pPr>
              <w:widowControl/>
              <w:autoSpaceDE/>
              <w:autoSpaceDN/>
              <w:adjustRightInd/>
              <w:jc w:val="center"/>
              <w:rPr>
                <w:color w:val="000000"/>
              </w:rPr>
            </w:pPr>
            <w:r w:rsidRPr="006B3DD2">
              <w:t>-</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E27CDF" w:rsidRPr="003746CF" w:rsidP="00E27CDF" w14:paraId="6F02907F" w14:textId="48D303E9">
            <w:pPr>
              <w:widowControl/>
              <w:autoSpaceDE/>
              <w:autoSpaceDN/>
              <w:adjustRightInd/>
              <w:jc w:val="center"/>
              <w:rPr>
                <w:color w:val="000000"/>
              </w:rPr>
            </w:pPr>
            <w:r w:rsidRPr="0054065A">
              <w:rPr>
                <w:color w:val="000000" w:themeColor="text1"/>
              </w:rPr>
              <w:t>317,452</w:t>
            </w:r>
          </w:p>
        </w:tc>
        <w:tc>
          <w:tcPr>
            <w:tcW w:w="113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E27CDF" w:rsidRPr="003746CF" w:rsidP="5ECFBCA2" w14:paraId="506E3845" w14:textId="0B09595D">
            <w:pPr>
              <w:widowControl/>
              <w:spacing w:line="259" w:lineRule="auto"/>
              <w:jc w:val="center"/>
            </w:pPr>
            <w:r>
              <w:t xml:space="preserve"> $1</w:t>
            </w:r>
            <w:r w:rsidR="0C048D8C">
              <w:t>0,534,502</w:t>
            </w:r>
          </w:p>
        </w:tc>
      </w:tr>
    </w:tbl>
    <w:p w:rsidR="00392752" w:rsidRPr="007E65CF" w:rsidP="00722B85" w14:paraId="4AD92621" w14:textId="2F7E243E">
      <w:pPr>
        <w:widowControl/>
        <w:rPr>
          <w:sz w:val="18"/>
          <w:szCs w:val="18"/>
        </w:rPr>
      </w:pPr>
      <w:r>
        <w:rPr>
          <w:sz w:val="18"/>
          <w:szCs w:val="18"/>
        </w:rPr>
        <w:t>Totals are the product of unrounded components</w:t>
      </w:r>
      <w:r w:rsidRPr="007E65CF">
        <w:rPr>
          <w:sz w:val="18"/>
          <w:szCs w:val="18"/>
        </w:rPr>
        <w:t>.</w:t>
      </w:r>
    </w:p>
    <w:p w:rsidR="00FA75EA" w:rsidP="00722B85" w14:paraId="31E2FADA" w14:textId="77777777">
      <w:pPr>
        <w:widowControl/>
      </w:pPr>
    </w:p>
    <w:p w:rsidR="00D7315C" w:rsidP="00722B85" w14:paraId="6BBE4067" w14:textId="74F50EAA">
      <w:pPr>
        <w:widowControl/>
      </w:pPr>
      <w:r>
        <w:t>The currently approved total burden for driver</w:t>
      </w:r>
      <w:r w:rsidR="00791723">
        <w:t>s providing previous employment history to a new employer</w:t>
      </w:r>
      <w:r>
        <w:t xml:space="preserve"> is </w:t>
      </w:r>
      <w:r w:rsidR="203C1F62">
        <w:t>316,742</w:t>
      </w:r>
      <w:r>
        <w:t xml:space="preserve"> hours.  The new</w:t>
      </w:r>
      <w:r w:rsidR="003E4B82">
        <w:t xml:space="preserve"> annualized</w:t>
      </w:r>
      <w:r>
        <w:t xml:space="preserve"> total of </w:t>
      </w:r>
      <w:r w:rsidR="69724B47">
        <w:t>317,452</w:t>
      </w:r>
      <w:r>
        <w:t xml:space="preserve"> represents a</w:t>
      </w:r>
      <w:r w:rsidR="00825DB3">
        <w:t>n</w:t>
      </w:r>
      <w:r>
        <w:t xml:space="preserve"> </w:t>
      </w:r>
      <w:r w:rsidR="00825DB3">
        <w:t>in</w:t>
      </w:r>
      <w:r>
        <w:t xml:space="preserve">crease of </w:t>
      </w:r>
      <w:r w:rsidR="3524E445">
        <w:t>710</w:t>
      </w:r>
      <w:r>
        <w:t xml:space="preserve"> hours.  This is due to a</w:t>
      </w:r>
      <w:r w:rsidR="00825DB3">
        <w:t>n</w:t>
      </w:r>
      <w:r>
        <w:t xml:space="preserve"> </w:t>
      </w:r>
      <w:r w:rsidR="00825DB3">
        <w:t>in</w:t>
      </w:r>
      <w:r>
        <w:t>crease in the estimated number of active CDL drivers, a result of the availability of more accurate and recent data.</w:t>
      </w:r>
    </w:p>
    <w:p w:rsidR="007B52ED" w:rsidP="00722B85" w14:paraId="7CB9ACFF" w14:textId="77777777">
      <w:pPr>
        <w:widowControl/>
        <w:rPr>
          <w:b/>
        </w:rPr>
      </w:pPr>
    </w:p>
    <w:p w:rsidR="0008378A" w:rsidRPr="00DE585A" w:rsidP="00722B85" w14:paraId="7A2E9CF5" w14:textId="77777777">
      <w:pPr>
        <w:widowControl/>
        <w:rPr>
          <w:b/>
        </w:rPr>
      </w:pPr>
      <w:r w:rsidRPr="00DE585A">
        <w:rPr>
          <w:b/>
        </w:rPr>
        <w:t>IC-1.3 Driver completion of the CDL application form</w:t>
      </w:r>
      <w:r w:rsidR="00D7315C">
        <w:rPr>
          <w:b/>
        </w:rPr>
        <w:t xml:space="preserve"> </w:t>
      </w:r>
      <w:r w:rsidRPr="00D7315C" w:rsidR="00D7315C">
        <w:rPr>
          <w:b/>
        </w:rPr>
        <w:t>[49 CFR 383.71]</w:t>
      </w:r>
    </w:p>
    <w:p w:rsidR="0008378A" w:rsidP="00722B85" w14:paraId="6948599D" w14:textId="35E191F8">
      <w:pPr>
        <w:widowControl/>
      </w:pPr>
      <w:r>
        <w:t xml:space="preserve">To obtain, transfer, or renew a CDL, an individual is required to provide </w:t>
      </w:r>
      <w:r w:rsidR="005839AA">
        <w:t>certain</w:t>
      </w:r>
      <w:r>
        <w:t xml:space="preserve"> information.  </w:t>
      </w:r>
      <w:r w:rsidRPr="0008378A">
        <w:t xml:space="preserve">To estimate burden hour and burden costs associated with this task, the Agency relies on the statistics </w:t>
      </w:r>
      <w:r w:rsidR="000F2059">
        <w:t xml:space="preserve">and estimations </w:t>
      </w:r>
      <w:r w:rsidRPr="0008378A">
        <w:t>outline</w:t>
      </w:r>
      <w:r w:rsidR="0044797F">
        <w:t>d</w:t>
      </w:r>
      <w:r w:rsidRPr="0008378A">
        <w:t xml:space="preserve"> above as well as the following</w:t>
      </w:r>
      <w:r w:rsidRPr="00F94A52" w:rsidR="00F94A52">
        <w:t xml:space="preserve"> </w:t>
      </w:r>
      <w:r w:rsidR="00F94A52">
        <w:t>assumptions</w:t>
      </w:r>
      <w:r w:rsidRPr="0008378A">
        <w:t>:</w:t>
      </w:r>
      <w:r w:rsidR="00C8209F">
        <w:br/>
      </w:r>
    </w:p>
    <w:p w:rsidR="0008378A" w:rsidP="00722B85" w14:paraId="17A2CA8F" w14:textId="77777777">
      <w:pPr>
        <w:widowControl/>
        <w:numPr>
          <w:ilvl w:val="0"/>
          <w:numId w:val="10"/>
        </w:numPr>
      </w:pPr>
      <w:r>
        <w:t>CDL applicants</w:t>
      </w:r>
      <w:r w:rsidR="009C27AA">
        <w:t>, transfer drivers, and drivers renewing their CDL</w:t>
      </w:r>
      <w:r>
        <w:t xml:space="preserve"> require approximately 1 minute </w:t>
      </w:r>
      <w:r w:rsidR="00855244">
        <w:t xml:space="preserve">(0.017 hours) </w:t>
      </w:r>
      <w:r>
        <w:t>to complete the CDL portion of the driver’s license application</w:t>
      </w:r>
      <w:r w:rsidR="009C27AA">
        <w:t xml:space="preserve"> form</w:t>
      </w:r>
      <w:r>
        <w:t>.</w:t>
      </w:r>
    </w:p>
    <w:p w:rsidR="0008378A" w:rsidP="00722B85" w14:paraId="5B41805A" w14:textId="77777777">
      <w:pPr>
        <w:widowControl/>
        <w:numPr>
          <w:ilvl w:val="0"/>
          <w:numId w:val="10"/>
        </w:numPr>
      </w:pPr>
      <w:r>
        <w:t>On average,</w:t>
      </w:r>
      <w:r w:rsidR="009C27AA">
        <w:t xml:space="preserve"> </w:t>
      </w:r>
      <w:r>
        <w:t>CDLs are renewed every 5 years.</w:t>
      </w:r>
    </w:p>
    <w:p w:rsidR="009C27AA" w:rsidP="00722B85" w14:paraId="7AE5E392" w14:textId="77777777">
      <w:pPr>
        <w:widowControl/>
        <w:ind w:left="720"/>
      </w:pPr>
    </w:p>
    <w:p w:rsidR="009C27AA" w:rsidP="5ECFBCA2" w14:paraId="605840F0" w14:textId="20436326">
      <w:pPr>
        <w:widowControl/>
        <w:spacing w:line="259" w:lineRule="auto"/>
      </w:pPr>
      <w:r>
        <w:t>During the first year of this ICR, 340,</w:t>
      </w:r>
      <w:r w:rsidR="5878CB91">
        <w:t>945</w:t>
      </w:r>
      <w:r w:rsidR="006B3DD2">
        <w:t xml:space="preserve"> </w:t>
      </w:r>
      <w:r>
        <w:t xml:space="preserve">new drivers, </w:t>
      </w:r>
      <w:r w:rsidR="46A14744">
        <w:t>409,532</w:t>
      </w:r>
      <w:r>
        <w:t xml:space="preserve"> transfer drivers, and 1,</w:t>
      </w:r>
      <w:r w:rsidR="27965683">
        <w:t>809,953</w:t>
      </w:r>
      <w:r w:rsidR="006B3DD2">
        <w:t xml:space="preserve"> </w:t>
      </w:r>
      <w:r w:rsidR="00684F9B">
        <w:t xml:space="preserve">drivers renewing their CDL that </w:t>
      </w:r>
      <w:r>
        <w:t>will each spend 1 minute completing the CDL application form</w:t>
      </w:r>
      <w:r w:rsidR="00BE1502">
        <w:t xml:space="preserve"> (see </w:t>
      </w:r>
      <w:r>
        <w:fldChar w:fldCharType="begin"/>
      </w:r>
      <w:r>
        <w:instrText xml:space="preserve"> REF _Ref508025002 \h  \* MERGEFORMAT </w:instrText>
      </w:r>
      <w:r>
        <w:fldChar w:fldCharType="separate"/>
      </w:r>
      <w:r w:rsidR="006A6CBC">
        <w:t xml:space="preserve">Table </w:t>
      </w:r>
      <w:r w:rsidRPr="5ECFBCA2" w:rsidR="006A6CBC">
        <w:rPr>
          <w:noProof/>
        </w:rPr>
        <w:t>1</w:t>
      </w:r>
      <w:r>
        <w:fldChar w:fldCharType="end"/>
      </w:r>
      <w:r w:rsidR="00BE1502">
        <w:t>)</w:t>
      </w:r>
      <w:r>
        <w:t xml:space="preserve">.  </w:t>
      </w:r>
      <w:r w:rsidR="00217A58">
        <w:t xml:space="preserve">This results in a total of </w:t>
      </w:r>
      <w:r>
        <w:t>2,</w:t>
      </w:r>
      <w:r w:rsidR="5D554DA8">
        <w:t>560,430</w:t>
      </w:r>
      <w:r w:rsidR="00217A58">
        <w:t xml:space="preserve"> respondents </w:t>
      </w:r>
      <w:r w:rsidR="00855244">
        <w:t xml:space="preserve">and </w:t>
      </w:r>
      <w:r>
        <w:t>43,</w:t>
      </w:r>
      <w:r w:rsidR="1CBBE3AE">
        <w:t>527</w:t>
      </w:r>
      <w:r w:rsidR="00855244">
        <w:t xml:space="preserve"> burden hours (</w:t>
      </w:r>
      <w:r>
        <w:t>2,</w:t>
      </w:r>
      <w:r w:rsidR="7057FE8A">
        <w:t>560,430</w:t>
      </w:r>
      <w:r w:rsidR="00855244">
        <w:t xml:space="preserve"> × 0.017 hours)</w:t>
      </w:r>
      <w:r w:rsidR="0058264D">
        <w:t>,</w:t>
      </w:r>
      <w:r w:rsidR="00855244">
        <w:t xml:space="preserve"> at a cost of </w:t>
      </w:r>
      <w:r w:rsidR="00FF1B10">
        <w:t>$</w:t>
      </w:r>
      <w:r w:rsidR="57C40CFC">
        <w:t>1,444,435</w:t>
      </w:r>
      <w:r w:rsidR="005839AA">
        <w:t>(</w:t>
      </w:r>
      <w:r>
        <w:t>43,</w:t>
      </w:r>
      <w:r w:rsidR="47E66543">
        <w:t>527</w:t>
      </w:r>
      <w:r w:rsidR="005839AA">
        <w:t xml:space="preserve"> hours × $</w:t>
      </w:r>
      <w:r w:rsidR="1BAB9AC9">
        <w:t>33.18</w:t>
      </w:r>
      <w:r w:rsidR="005839AA">
        <w:t xml:space="preserve"> per hour)</w:t>
      </w:r>
      <w:r w:rsidR="00855244">
        <w:t>.</w:t>
      </w:r>
    </w:p>
    <w:p w:rsidR="00715519" w:rsidP="00722B85" w14:paraId="34C01C6B" w14:textId="77777777">
      <w:pPr>
        <w:widowControl/>
        <w:ind w:left="720"/>
      </w:pPr>
    </w:p>
    <w:p w:rsidR="00873952" w:rsidRPr="00873952" w:rsidP="5ECFBCA2" w14:paraId="684B2576" w14:textId="2F3D2FFB">
      <w:pPr>
        <w:widowControl/>
        <w:spacing w:line="259" w:lineRule="auto"/>
      </w:pPr>
      <w:r>
        <w:t xml:space="preserve">As detailed in </w:t>
      </w:r>
      <w:r>
        <w:fldChar w:fldCharType="begin"/>
      </w:r>
      <w:r>
        <w:instrText xml:space="preserve"> REF _Ref508029662 \h  \* MERGEFORMAT </w:instrText>
      </w:r>
      <w:r>
        <w:fldChar w:fldCharType="separate"/>
      </w:r>
      <w:r w:rsidR="006A6CBC">
        <w:t xml:space="preserve">Table </w:t>
      </w:r>
      <w:r w:rsidRPr="5ECFBCA2" w:rsidR="006A6CBC">
        <w:rPr>
          <w:noProof/>
        </w:rPr>
        <w:t>5</w:t>
      </w:r>
      <w:r>
        <w:fldChar w:fldCharType="end"/>
      </w:r>
      <w:r>
        <w:t>, IC-1.3</w:t>
      </w:r>
      <w:r w:rsidR="00715519">
        <w:t xml:space="preserve"> results in approximately </w:t>
      </w:r>
      <w:r>
        <w:t>2,</w:t>
      </w:r>
      <w:r w:rsidR="35946856">
        <w:t>564,644</w:t>
      </w:r>
      <w:r w:rsidR="00715519">
        <w:t xml:space="preserve"> drivers annually spending a total of </w:t>
      </w:r>
      <w:r>
        <w:t>43,</w:t>
      </w:r>
      <w:r w:rsidR="2D5388FA">
        <w:t>599</w:t>
      </w:r>
      <w:r w:rsidR="00FF1B10">
        <w:t xml:space="preserve"> </w:t>
      </w:r>
      <w:r w:rsidR="00715519">
        <w:t xml:space="preserve">hours completing </w:t>
      </w:r>
      <w:r>
        <w:t>the CDL application form</w:t>
      </w:r>
      <w:r w:rsidR="00715519">
        <w:t>, at a</w:t>
      </w:r>
      <w:r w:rsidR="00A156BA">
        <w:t>n annualized</w:t>
      </w:r>
      <w:r w:rsidR="00715519">
        <w:t xml:space="preserve"> cost of </w:t>
      </w:r>
      <w:r w:rsidR="00FF1B10">
        <w:t>$</w:t>
      </w:r>
      <w:r w:rsidR="5F397A6A">
        <w:t>1,446,813</w:t>
      </w:r>
      <w:r w:rsidR="00715519">
        <w:t>.</w:t>
      </w:r>
    </w:p>
    <w:p w:rsidR="009C27AA" w:rsidP="00722B85" w14:paraId="565171F1" w14:textId="77777777">
      <w:pPr>
        <w:pStyle w:val="Caption"/>
        <w:keepNext/>
        <w:widowControl/>
      </w:pPr>
    </w:p>
    <w:p w:rsidR="00F62736" w:rsidRPr="00D64E77" w:rsidP="00722B85" w14:paraId="3D4FA78F" w14:textId="539F5B04">
      <w:pPr>
        <w:pStyle w:val="Caption"/>
        <w:keepNext/>
        <w:widowControl/>
      </w:pPr>
      <w:bookmarkStart w:id="9" w:name="_Ref508029662"/>
      <w:r w:rsidRPr="00D64E77">
        <w:t xml:space="preserve">Table </w:t>
      </w:r>
      <w:r>
        <w:fldChar w:fldCharType="begin"/>
      </w:r>
      <w:r>
        <w:instrText>SEQ Table \* ARABIC</w:instrText>
      </w:r>
      <w:r>
        <w:fldChar w:fldCharType="separate"/>
      </w:r>
      <w:r w:rsidR="006A6CBC">
        <w:rPr>
          <w:noProof/>
        </w:rPr>
        <w:t>5</w:t>
      </w:r>
      <w:r>
        <w:fldChar w:fldCharType="end"/>
      </w:r>
      <w:bookmarkEnd w:id="9"/>
      <w:r w:rsidRPr="00D64E77">
        <w:t xml:space="preserve">. </w:t>
      </w:r>
      <w:r w:rsidRPr="00D64E77" w:rsidR="002245A4">
        <w:t xml:space="preserve">Driver </w:t>
      </w:r>
      <w:r w:rsidRPr="00D64E77" w:rsidR="002D66E6">
        <w:t xml:space="preserve">Completion of The </w:t>
      </w:r>
      <w:r w:rsidRPr="00D64E77" w:rsidR="002245A4">
        <w:t>CD</w:t>
      </w:r>
      <w:r w:rsidRPr="00D64E77">
        <w:t xml:space="preserve">L </w:t>
      </w:r>
      <w:r w:rsidRPr="00D64E77" w:rsidR="002D66E6">
        <w:t xml:space="preserve">Application Form </w:t>
      </w:r>
      <w:r w:rsidRPr="00D64E77" w:rsidR="005770E6">
        <w:t>(IC-1.3)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6"/>
        <w:gridCol w:w="1350"/>
        <w:gridCol w:w="1260"/>
        <w:gridCol w:w="1259"/>
        <w:gridCol w:w="1081"/>
        <w:gridCol w:w="1440"/>
        <w:gridCol w:w="1614"/>
      </w:tblGrid>
      <w:tr w14:paraId="23DCA697"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656"/>
        </w:trPr>
        <w:tc>
          <w:tcPr>
            <w:tcW w:w="720" w:type="pct"/>
            <w:shd w:val="clear" w:color="auto" w:fill="E0E0E0"/>
            <w:tcMar>
              <w:left w:w="0" w:type="dxa"/>
              <w:right w:w="0" w:type="dxa"/>
            </w:tcMar>
            <w:vAlign w:val="center"/>
            <w:hideMark/>
          </w:tcPr>
          <w:p w:rsidR="00BE1502" w:rsidRPr="009C27AA" w:rsidP="00187AF5" w14:paraId="33DBE680" w14:textId="467BF868">
            <w:pPr>
              <w:widowControl/>
              <w:autoSpaceDE/>
              <w:autoSpaceDN/>
              <w:adjustRightInd/>
              <w:jc w:val="center"/>
              <w:rPr>
                <w:b/>
                <w:bCs/>
                <w:color w:val="000000"/>
              </w:rPr>
            </w:pPr>
            <w:r w:rsidRPr="009C27AA">
              <w:rPr>
                <w:b/>
                <w:bCs/>
                <w:color w:val="000000"/>
              </w:rPr>
              <w:t>Year</w:t>
            </w:r>
          </w:p>
        </w:tc>
        <w:tc>
          <w:tcPr>
            <w:tcW w:w="722" w:type="pct"/>
            <w:shd w:val="clear" w:color="auto" w:fill="E0E0E0"/>
            <w:tcMar>
              <w:left w:w="0" w:type="dxa"/>
              <w:right w:w="0" w:type="dxa"/>
            </w:tcMar>
            <w:vAlign w:val="center"/>
            <w:hideMark/>
          </w:tcPr>
          <w:p w:rsidR="00BE1502" w:rsidRPr="009C27AA" w:rsidP="00187AF5" w14:paraId="16269644" w14:textId="123B521E">
            <w:pPr>
              <w:widowControl/>
              <w:autoSpaceDE/>
              <w:autoSpaceDN/>
              <w:adjustRightInd/>
              <w:jc w:val="center"/>
              <w:rPr>
                <w:b/>
                <w:bCs/>
                <w:color w:val="000000"/>
              </w:rPr>
            </w:pPr>
            <w:r w:rsidRPr="009C27AA">
              <w:rPr>
                <w:b/>
                <w:bCs/>
                <w:color w:val="000000"/>
              </w:rPr>
              <w:t>Respondents</w:t>
            </w:r>
            <w:r w:rsidRPr="009C27AA">
              <w:rPr>
                <w:b/>
                <w:bCs/>
                <w:color w:val="000000"/>
              </w:rPr>
              <w:br/>
              <w:t>(a)</w:t>
            </w:r>
          </w:p>
        </w:tc>
        <w:tc>
          <w:tcPr>
            <w:tcW w:w="674" w:type="pct"/>
            <w:shd w:val="clear" w:color="auto" w:fill="E0E0E0"/>
            <w:tcMar>
              <w:left w:w="0" w:type="dxa"/>
              <w:right w:w="0" w:type="dxa"/>
            </w:tcMar>
            <w:vAlign w:val="center"/>
            <w:hideMark/>
          </w:tcPr>
          <w:p w:rsidR="00BE1502" w:rsidRPr="009C27AA" w:rsidP="00187AF5" w14:paraId="615F7968" w14:textId="4A1A0712">
            <w:pPr>
              <w:widowControl/>
              <w:autoSpaceDE/>
              <w:autoSpaceDN/>
              <w:adjustRightInd/>
              <w:jc w:val="center"/>
              <w:rPr>
                <w:b/>
                <w:bCs/>
                <w:color w:val="000000"/>
              </w:rPr>
            </w:pPr>
            <w:r w:rsidRPr="009C27AA">
              <w:rPr>
                <w:b/>
                <w:bCs/>
                <w:color w:val="000000"/>
              </w:rPr>
              <w:t>Responses per Respondent</w:t>
            </w:r>
            <w:r w:rsidRPr="009C27AA">
              <w:rPr>
                <w:b/>
                <w:bCs/>
                <w:color w:val="000000"/>
              </w:rPr>
              <w:br/>
              <w:t>(b)</w:t>
            </w:r>
          </w:p>
        </w:tc>
        <w:tc>
          <w:tcPr>
            <w:tcW w:w="673" w:type="pct"/>
            <w:shd w:val="clear" w:color="auto" w:fill="E0E0E0"/>
            <w:tcMar>
              <w:left w:w="0" w:type="dxa"/>
              <w:right w:w="0" w:type="dxa"/>
            </w:tcMar>
            <w:vAlign w:val="center"/>
            <w:hideMark/>
          </w:tcPr>
          <w:p w:rsidR="00BE1502" w:rsidRPr="009C27AA" w:rsidP="00187AF5" w14:paraId="26C1684B" w14:textId="5C23E16B">
            <w:pPr>
              <w:widowControl/>
              <w:autoSpaceDE/>
              <w:autoSpaceDN/>
              <w:adjustRightInd/>
              <w:jc w:val="center"/>
              <w:rPr>
                <w:b/>
                <w:bCs/>
                <w:color w:val="000000"/>
              </w:rPr>
            </w:pPr>
            <w:r w:rsidRPr="009C27AA">
              <w:rPr>
                <w:b/>
                <w:bCs/>
                <w:color w:val="000000"/>
              </w:rPr>
              <w:t>Total Annual Responses</w:t>
            </w:r>
            <w:r w:rsidRPr="009C27AA">
              <w:rPr>
                <w:b/>
                <w:bCs/>
                <w:color w:val="000000"/>
              </w:rPr>
              <w:br/>
              <w:t>(a × b = c)</w:t>
            </w:r>
          </w:p>
        </w:tc>
        <w:tc>
          <w:tcPr>
            <w:tcW w:w="578" w:type="pct"/>
            <w:shd w:val="clear" w:color="auto" w:fill="E0E0E0"/>
            <w:tcMar>
              <w:left w:w="0" w:type="dxa"/>
              <w:right w:w="0" w:type="dxa"/>
            </w:tcMar>
            <w:vAlign w:val="center"/>
            <w:hideMark/>
          </w:tcPr>
          <w:p w:rsidR="00BE1502" w:rsidRPr="009C27AA" w:rsidP="00187AF5" w14:paraId="64CAD318" w14:textId="75A29672">
            <w:pPr>
              <w:widowControl/>
              <w:autoSpaceDE/>
              <w:autoSpaceDN/>
              <w:adjustRightInd/>
              <w:jc w:val="center"/>
              <w:rPr>
                <w:b/>
                <w:bCs/>
                <w:color w:val="000000"/>
              </w:rPr>
            </w:pPr>
            <w:r w:rsidRPr="009C27AA">
              <w:rPr>
                <w:b/>
                <w:bCs/>
                <w:color w:val="000000"/>
              </w:rPr>
              <w:t>Burden Hours per Response</w:t>
            </w:r>
            <w:r w:rsidRPr="009C27AA">
              <w:rPr>
                <w:b/>
                <w:bCs/>
                <w:color w:val="000000"/>
              </w:rPr>
              <w:br/>
              <w:t>(d)</w:t>
            </w:r>
          </w:p>
        </w:tc>
        <w:tc>
          <w:tcPr>
            <w:tcW w:w="770" w:type="pct"/>
            <w:shd w:val="clear" w:color="auto" w:fill="E0E0E0"/>
            <w:tcMar>
              <w:left w:w="0" w:type="dxa"/>
              <w:right w:w="0" w:type="dxa"/>
            </w:tcMar>
            <w:vAlign w:val="center"/>
            <w:hideMark/>
          </w:tcPr>
          <w:p w:rsidR="00BE1502" w:rsidRPr="009C27AA" w:rsidP="00187AF5" w14:paraId="5411355B" w14:textId="3A739348">
            <w:pPr>
              <w:widowControl/>
              <w:autoSpaceDE/>
              <w:autoSpaceDN/>
              <w:adjustRightInd/>
              <w:jc w:val="center"/>
              <w:rPr>
                <w:b/>
                <w:bCs/>
                <w:color w:val="000000"/>
              </w:rPr>
            </w:pPr>
            <w:r w:rsidRPr="009C27AA">
              <w:rPr>
                <w:b/>
                <w:bCs/>
                <w:color w:val="000000"/>
              </w:rPr>
              <w:t>Total Annual Burden Hours</w:t>
            </w:r>
            <w:r w:rsidRPr="009C27AA">
              <w:rPr>
                <w:b/>
                <w:bCs/>
                <w:color w:val="000000"/>
              </w:rPr>
              <w:br/>
              <w:t>(c × d = e)</w:t>
            </w:r>
          </w:p>
        </w:tc>
        <w:tc>
          <w:tcPr>
            <w:tcW w:w="863" w:type="pct"/>
            <w:shd w:val="clear" w:color="auto" w:fill="E0E0E0"/>
            <w:tcMar>
              <w:left w:w="0" w:type="dxa"/>
              <w:right w:w="0" w:type="dxa"/>
            </w:tcMar>
            <w:vAlign w:val="center"/>
            <w:hideMark/>
          </w:tcPr>
          <w:p w:rsidR="00BE1502" w:rsidRPr="009C27AA" w:rsidP="5ECFBCA2" w14:paraId="3338C4A4" w14:textId="6592A98D">
            <w:pPr>
              <w:widowControl/>
              <w:spacing w:line="259" w:lineRule="auto"/>
              <w:jc w:val="center"/>
              <w:rPr>
                <w:b/>
                <w:bCs/>
                <w:color w:val="000000" w:themeColor="text1"/>
              </w:rPr>
            </w:pPr>
            <w:r w:rsidRPr="5ECFBCA2">
              <w:rPr>
                <w:b/>
                <w:bCs/>
                <w:color w:val="000000" w:themeColor="text1"/>
              </w:rPr>
              <w:t>Total Annual Respondent Cost</w:t>
            </w:r>
            <w:r>
              <w:br/>
            </w:r>
            <w:r w:rsidRPr="5ECFBCA2">
              <w:rPr>
                <w:b/>
                <w:bCs/>
                <w:color w:val="000000" w:themeColor="text1"/>
              </w:rPr>
              <w:t>(e × $</w:t>
            </w:r>
            <w:r w:rsidRPr="5ECFBCA2" w:rsidR="018FA98D">
              <w:rPr>
                <w:b/>
                <w:bCs/>
                <w:color w:val="000000" w:themeColor="text1"/>
              </w:rPr>
              <w:t>33.18</w:t>
            </w:r>
            <w:r w:rsidRPr="5ECFBCA2" w:rsidR="0073712F">
              <w:rPr>
                <w:b/>
                <w:bCs/>
                <w:color w:val="000000" w:themeColor="text1"/>
              </w:rPr>
              <w:t xml:space="preserve"> </w:t>
            </w:r>
            <w:r w:rsidRPr="5ECFBCA2">
              <w:rPr>
                <w:b/>
                <w:bCs/>
                <w:color w:val="000000" w:themeColor="text1"/>
              </w:rPr>
              <w:t>= f)</w:t>
            </w:r>
          </w:p>
        </w:tc>
      </w:tr>
      <w:tr w14:paraId="48414082"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hideMark/>
          </w:tcPr>
          <w:p w:rsidR="0083586A" w:rsidRPr="006B3DD2" w:rsidP="0083586A" w14:paraId="62EFAE9E" w14:textId="658F9206">
            <w:pPr>
              <w:widowControl/>
              <w:autoSpaceDE/>
              <w:autoSpaceDN/>
              <w:adjustRightInd/>
              <w:jc w:val="center"/>
              <w:rPr>
                <w:color w:val="000000"/>
              </w:rPr>
            </w:pPr>
            <w:r w:rsidRPr="006B3DD2">
              <w:rPr>
                <w:color w:val="000000"/>
              </w:rPr>
              <w:t>1</w:t>
            </w:r>
          </w:p>
        </w:tc>
        <w:tc>
          <w:tcPr>
            <w:tcW w:w="722" w:type="pct"/>
            <w:shd w:val="clear" w:color="auto" w:fill="auto"/>
            <w:tcMar>
              <w:left w:w="115" w:type="dxa"/>
              <w:right w:w="115" w:type="dxa"/>
            </w:tcMar>
          </w:tcPr>
          <w:p w:rsidR="0083586A" w:rsidRPr="006B3DD2" w:rsidP="0083586A" w14:paraId="200AD358" w14:textId="4E6CCBE4">
            <w:pPr>
              <w:widowControl/>
              <w:autoSpaceDE/>
              <w:autoSpaceDN/>
              <w:adjustRightInd/>
              <w:jc w:val="center"/>
              <w:rPr>
                <w:color w:val="000000"/>
              </w:rPr>
            </w:pPr>
            <w:r w:rsidRPr="00324DD6">
              <w:rPr>
                <w:rFonts w:eastAsia="Calibri"/>
                <w:color w:val="000000" w:themeColor="text1"/>
              </w:rPr>
              <w:t>2,560,430</w:t>
            </w:r>
          </w:p>
        </w:tc>
        <w:tc>
          <w:tcPr>
            <w:tcW w:w="674" w:type="pct"/>
            <w:shd w:val="clear" w:color="auto" w:fill="auto"/>
            <w:tcMar>
              <w:left w:w="115" w:type="dxa"/>
              <w:right w:w="115" w:type="dxa"/>
            </w:tcMar>
          </w:tcPr>
          <w:p w:rsidR="0083586A" w:rsidRPr="00DB18FC" w:rsidP="0083586A" w14:paraId="5A5A98AE" w14:textId="1B471688">
            <w:pPr>
              <w:widowControl/>
              <w:autoSpaceDE/>
              <w:autoSpaceDN/>
              <w:adjustRightInd/>
              <w:jc w:val="center"/>
              <w:rPr>
                <w:color w:val="000000"/>
              </w:rPr>
            </w:pPr>
            <w:r w:rsidRPr="00DB18FC">
              <w:t>1</w:t>
            </w:r>
          </w:p>
        </w:tc>
        <w:tc>
          <w:tcPr>
            <w:tcW w:w="673" w:type="pct"/>
            <w:shd w:val="clear" w:color="auto" w:fill="auto"/>
            <w:tcMar>
              <w:left w:w="115" w:type="dxa"/>
              <w:right w:w="115" w:type="dxa"/>
            </w:tcMar>
          </w:tcPr>
          <w:p w:rsidR="0083586A" w:rsidRPr="006B3DD2" w:rsidP="0083586A" w14:paraId="60A03083" w14:textId="3ED6C790">
            <w:pPr>
              <w:widowControl/>
              <w:autoSpaceDE/>
              <w:autoSpaceDN/>
              <w:adjustRightInd/>
              <w:jc w:val="center"/>
              <w:rPr>
                <w:color w:val="000000"/>
              </w:rPr>
            </w:pPr>
            <w:r w:rsidRPr="00324DD6">
              <w:rPr>
                <w:rFonts w:eastAsia="Calibri"/>
                <w:color w:val="000000" w:themeColor="text1"/>
              </w:rPr>
              <w:t>2,560,430</w:t>
            </w:r>
          </w:p>
        </w:tc>
        <w:tc>
          <w:tcPr>
            <w:tcW w:w="578" w:type="pct"/>
            <w:shd w:val="clear" w:color="auto" w:fill="auto"/>
            <w:tcMar>
              <w:left w:w="115" w:type="dxa"/>
              <w:right w:w="115" w:type="dxa"/>
            </w:tcMar>
          </w:tcPr>
          <w:p w:rsidR="0083586A" w:rsidRPr="00DB18FC" w:rsidP="0083586A" w14:paraId="7C72019B" w14:textId="3A625B6F">
            <w:pPr>
              <w:widowControl/>
              <w:autoSpaceDE/>
              <w:autoSpaceDN/>
              <w:adjustRightInd/>
              <w:jc w:val="center"/>
              <w:rPr>
                <w:color w:val="000000"/>
              </w:rPr>
            </w:pPr>
            <w:r w:rsidRPr="00DB18FC">
              <w:t>0.017</w:t>
            </w:r>
          </w:p>
        </w:tc>
        <w:tc>
          <w:tcPr>
            <w:tcW w:w="770" w:type="pct"/>
            <w:shd w:val="clear" w:color="auto" w:fill="auto"/>
            <w:tcMar>
              <w:left w:w="115" w:type="dxa"/>
              <w:right w:w="115" w:type="dxa"/>
            </w:tcMar>
          </w:tcPr>
          <w:p w:rsidR="0083586A" w:rsidRPr="006B3DD2" w:rsidP="0083586A" w14:paraId="3CB4865A" w14:textId="50B2C211">
            <w:pPr>
              <w:widowControl/>
              <w:autoSpaceDE/>
              <w:autoSpaceDN/>
              <w:adjustRightInd/>
              <w:jc w:val="center"/>
              <w:rPr>
                <w:color w:val="000000"/>
              </w:rPr>
            </w:pPr>
            <w:r w:rsidRPr="00324DD6">
              <w:rPr>
                <w:rFonts w:eastAsia="Calibri"/>
                <w:color w:val="000000" w:themeColor="text1"/>
              </w:rPr>
              <w:t>43,527</w:t>
            </w:r>
          </w:p>
        </w:tc>
        <w:tc>
          <w:tcPr>
            <w:tcW w:w="863" w:type="pct"/>
            <w:shd w:val="clear" w:color="auto" w:fill="auto"/>
            <w:tcMar>
              <w:left w:w="115" w:type="dxa"/>
              <w:right w:w="115" w:type="dxa"/>
            </w:tcMar>
          </w:tcPr>
          <w:p w:rsidR="0083586A" w:rsidRPr="006B3DD2" w:rsidP="5ECFBCA2" w14:paraId="74930C06" w14:textId="5C3DF65E">
            <w:pPr>
              <w:widowControl/>
              <w:spacing w:line="259" w:lineRule="auto"/>
              <w:jc w:val="center"/>
              <w:rPr>
                <w:rFonts w:eastAsia="Calibri"/>
                <w:color w:val="000000" w:themeColor="text1"/>
              </w:rPr>
            </w:pPr>
            <w:r>
              <w:t xml:space="preserve"> $</w:t>
            </w:r>
            <w:r w:rsidR="15D0EE17">
              <w:t>1,444,435</w:t>
            </w:r>
            <w:r>
              <w:t xml:space="preserve"> </w:t>
            </w:r>
          </w:p>
        </w:tc>
      </w:tr>
      <w:tr w14:paraId="1CD7F454"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hideMark/>
          </w:tcPr>
          <w:p w:rsidR="0083586A" w:rsidRPr="006B3DD2" w:rsidP="0083586A" w14:paraId="0A549EA9" w14:textId="27EE545B">
            <w:pPr>
              <w:widowControl/>
              <w:autoSpaceDE/>
              <w:autoSpaceDN/>
              <w:adjustRightInd/>
              <w:jc w:val="center"/>
              <w:rPr>
                <w:color w:val="000000"/>
              </w:rPr>
            </w:pPr>
            <w:r w:rsidRPr="006B3DD2">
              <w:rPr>
                <w:color w:val="000000"/>
              </w:rPr>
              <w:t>2</w:t>
            </w:r>
          </w:p>
        </w:tc>
        <w:tc>
          <w:tcPr>
            <w:tcW w:w="722" w:type="pct"/>
            <w:shd w:val="clear" w:color="auto" w:fill="auto"/>
            <w:tcMar>
              <w:left w:w="115" w:type="dxa"/>
              <w:right w:w="115" w:type="dxa"/>
            </w:tcMar>
          </w:tcPr>
          <w:p w:rsidR="0083586A" w:rsidRPr="006B3DD2" w:rsidP="0083586A" w14:paraId="6B576E4B" w14:textId="4EADF07C">
            <w:pPr>
              <w:widowControl/>
              <w:autoSpaceDE/>
              <w:autoSpaceDN/>
              <w:adjustRightInd/>
              <w:jc w:val="center"/>
              <w:rPr>
                <w:color w:val="000000"/>
              </w:rPr>
            </w:pPr>
            <w:r w:rsidRPr="00324DD6">
              <w:rPr>
                <w:rFonts w:eastAsia="Calibri"/>
                <w:color w:val="000000" w:themeColor="text1"/>
              </w:rPr>
              <w:t>2,566,165</w:t>
            </w:r>
          </w:p>
        </w:tc>
        <w:tc>
          <w:tcPr>
            <w:tcW w:w="674" w:type="pct"/>
            <w:shd w:val="clear" w:color="auto" w:fill="auto"/>
            <w:tcMar>
              <w:left w:w="115" w:type="dxa"/>
              <w:right w:w="115" w:type="dxa"/>
            </w:tcMar>
          </w:tcPr>
          <w:p w:rsidR="0083586A" w:rsidRPr="00DB18FC" w:rsidP="0083586A" w14:paraId="142F163B" w14:textId="5FFB19AD">
            <w:pPr>
              <w:widowControl/>
              <w:autoSpaceDE/>
              <w:autoSpaceDN/>
              <w:adjustRightInd/>
              <w:jc w:val="center"/>
              <w:rPr>
                <w:color w:val="000000"/>
              </w:rPr>
            </w:pPr>
            <w:r w:rsidRPr="00DB18FC">
              <w:t>1</w:t>
            </w:r>
          </w:p>
        </w:tc>
        <w:tc>
          <w:tcPr>
            <w:tcW w:w="673" w:type="pct"/>
            <w:shd w:val="clear" w:color="auto" w:fill="auto"/>
            <w:tcMar>
              <w:left w:w="115" w:type="dxa"/>
              <w:right w:w="115" w:type="dxa"/>
            </w:tcMar>
          </w:tcPr>
          <w:p w:rsidR="0083586A" w:rsidRPr="006B3DD2" w:rsidP="0083586A" w14:paraId="6D7486F5" w14:textId="01EF997F">
            <w:pPr>
              <w:widowControl/>
              <w:autoSpaceDE/>
              <w:autoSpaceDN/>
              <w:adjustRightInd/>
              <w:jc w:val="center"/>
              <w:rPr>
                <w:color w:val="000000"/>
              </w:rPr>
            </w:pPr>
            <w:r w:rsidRPr="00324DD6">
              <w:rPr>
                <w:rFonts w:eastAsia="Calibri"/>
                <w:color w:val="000000" w:themeColor="text1"/>
              </w:rPr>
              <w:t>2,566,165</w:t>
            </w:r>
          </w:p>
        </w:tc>
        <w:tc>
          <w:tcPr>
            <w:tcW w:w="578" w:type="pct"/>
            <w:shd w:val="clear" w:color="auto" w:fill="auto"/>
            <w:tcMar>
              <w:left w:w="115" w:type="dxa"/>
              <w:right w:w="115" w:type="dxa"/>
            </w:tcMar>
          </w:tcPr>
          <w:p w:rsidR="0083586A" w:rsidRPr="00DB18FC" w:rsidP="0083586A" w14:paraId="2A6A67AE" w14:textId="21EA8C91">
            <w:pPr>
              <w:widowControl/>
              <w:autoSpaceDE/>
              <w:autoSpaceDN/>
              <w:adjustRightInd/>
              <w:jc w:val="center"/>
              <w:rPr>
                <w:color w:val="000000"/>
              </w:rPr>
            </w:pPr>
            <w:r w:rsidRPr="00DB18FC">
              <w:t>0.017</w:t>
            </w:r>
          </w:p>
        </w:tc>
        <w:tc>
          <w:tcPr>
            <w:tcW w:w="770" w:type="pct"/>
            <w:shd w:val="clear" w:color="auto" w:fill="auto"/>
            <w:tcMar>
              <w:left w:w="115" w:type="dxa"/>
              <w:right w:w="115" w:type="dxa"/>
            </w:tcMar>
          </w:tcPr>
          <w:p w:rsidR="0083586A" w:rsidRPr="006B3DD2" w:rsidP="0083586A" w14:paraId="4F184FA8" w14:textId="5FE04572">
            <w:pPr>
              <w:widowControl/>
              <w:autoSpaceDE/>
              <w:autoSpaceDN/>
              <w:adjustRightInd/>
              <w:jc w:val="center"/>
              <w:rPr>
                <w:color w:val="000000"/>
              </w:rPr>
            </w:pPr>
            <w:r w:rsidRPr="00324DD6">
              <w:rPr>
                <w:rFonts w:eastAsia="Calibri"/>
                <w:color w:val="000000" w:themeColor="text1"/>
              </w:rPr>
              <w:t>43,625</w:t>
            </w:r>
          </w:p>
        </w:tc>
        <w:tc>
          <w:tcPr>
            <w:tcW w:w="863" w:type="pct"/>
            <w:shd w:val="clear" w:color="auto" w:fill="auto"/>
            <w:tcMar>
              <w:left w:w="115" w:type="dxa"/>
              <w:right w:w="115" w:type="dxa"/>
            </w:tcMar>
          </w:tcPr>
          <w:p w:rsidR="0083586A" w:rsidRPr="006B3DD2" w:rsidP="5ECFBCA2" w14:paraId="72B4CAE0" w14:textId="692EFB84">
            <w:pPr>
              <w:widowControl/>
              <w:spacing w:line="259" w:lineRule="auto"/>
              <w:jc w:val="center"/>
              <w:rPr>
                <w:rFonts w:eastAsia="Calibri"/>
                <w:color w:val="000000" w:themeColor="text1"/>
              </w:rPr>
            </w:pPr>
            <w:r>
              <w:t xml:space="preserve"> $</w:t>
            </w:r>
            <w:r w:rsidR="797AF807">
              <w:t>1,447,671</w:t>
            </w:r>
            <w:r>
              <w:t xml:space="preserve"> </w:t>
            </w:r>
          </w:p>
        </w:tc>
      </w:tr>
      <w:tr w14:paraId="0ECAE54C"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hideMark/>
          </w:tcPr>
          <w:p w:rsidR="0083586A" w:rsidRPr="006B3DD2" w:rsidP="0083586A" w14:paraId="23C50539" w14:textId="703C61C0">
            <w:pPr>
              <w:widowControl/>
              <w:autoSpaceDE/>
              <w:autoSpaceDN/>
              <w:adjustRightInd/>
              <w:jc w:val="center"/>
              <w:rPr>
                <w:color w:val="000000"/>
              </w:rPr>
            </w:pPr>
            <w:r w:rsidRPr="006B3DD2">
              <w:rPr>
                <w:color w:val="000000"/>
              </w:rPr>
              <w:t>3</w:t>
            </w:r>
          </w:p>
        </w:tc>
        <w:tc>
          <w:tcPr>
            <w:tcW w:w="722" w:type="pct"/>
            <w:shd w:val="clear" w:color="auto" w:fill="auto"/>
            <w:tcMar>
              <w:left w:w="115" w:type="dxa"/>
              <w:right w:w="115" w:type="dxa"/>
            </w:tcMar>
          </w:tcPr>
          <w:p w:rsidR="0083586A" w:rsidRPr="006B3DD2" w:rsidP="0083586A" w14:paraId="586612DA" w14:textId="3F9F3670">
            <w:pPr>
              <w:widowControl/>
              <w:autoSpaceDE/>
              <w:autoSpaceDN/>
              <w:adjustRightInd/>
              <w:jc w:val="center"/>
              <w:rPr>
                <w:color w:val="000000"/>
              </w:rPr>
            </w:pPr>
            <w:r w:rsidRPr="00324DD6">
              <w:rPr>
                <w:rFonts w:eastAsia="Calibri"/>
                <w:color w:val="000000" w:themeColor="text1"/>
              </w:rPr>
              <w:t>2,567,337</w:t>
            </w:r>
          </w:p>
        </w:tc>
        <w:tc>
          <w:tcPr>
            <w:tcW w:w="674" w:type="pct"/>
            <w:shd w:val="clear" w:color="auto" w:fill="auto"/>
            <w:tcMar>
              <w:left w:w="115" w:type="dxa"/>
              <w:right w:w="115" w:type="dxa"/>
            </w:tcMar>
          </w:tcPr>
          <w:p w:rsidR="0083586A" w:rsidRPr="00DB18FC" w:rsidP="0083586A" w14:paraId="5EEE2968" w14:textId="037BFB28">
            <w:pPr>
              <w:widowControl/>
              <w:autoSpaceDE/>
              <w:autoSpaceDN/>
              <w:adjustRightInd/>
              <w:jc w:val="center"/>
              <w:rPr>
                <w:color w:val="000000"/>
              </w:rPr>
            </w:pPr>
            <w:r w:rsidRPr="00DB18FC">
              <w:t>1</w:t>
            </w:r>
          </w:p>
        </w:tc>
        <w:tc>
          <w:tcPr>
            <w:tcW w:w="673" w:type="pct"/>
            <w:shd w:val="clear" w:color="auto" w:fill="auto"/>
            <w:tcMar>
              <w:left w:w="115" w:type="dxa"/>
              <w:right w:w="115" w:type="dxa"/>
            </w:tcMar>
          </w:tcPr>
          <w:p w:rsidR="0083586A" w:rsidRPr="006B3DD2" w:rsidP="0083586A" w14:paraId="71B7706A" w14:textId="59F840C0">
            <w:pPr>
              <w:widowControl/>
              <w:autoSpaceDE/>
              <w:autoSpaceDN/>
              <w:adjustRightInd/>
              <w:jc w:val="center"/>
              <w:rPr>
                <w:color w:val="000000"/>
              </w:rPr>
            </w:pPr>
            <w:r w:rsidRPr="00324DD6">
              <w:rPr>
                <w:rFonts w:eastAsia="Calibri"/>
                <w:color w:val="000000" w:themeColor="text1"/>
              </w:rPr>
              <w:t>2,567,337</w:t>
            </w:r>
          </w:p>
        </w:tc>
        <w:tc>
          <w:tcPr>
            <w:tcW w:w="578" w:type="pct"/>
            <w:shd w:val="clear" w:color="auto" w:fill="auto"/>
            <w:tcMar>
              <w:left w:w="115" w:type="dxa"/>
              <w:right w:w="115" w:type="dxa"/>
            </w:tcMar>
          </w:tcPr>
          <w:p w:rsidR="0083586A" w:rsidRPr="00DB18FC" w:rsidP="0083586A" w14:paraId="25609975" w14:textId="3DBABF2A">
            <w:pPr>
              <w:widowControl/>
              <w:autoSpaceDE/>
              <w:autoSpaceDN/>
              <w:adjustRightInd/>
              <w:jc w:val="center"/>
              <w:rPr>
                <w:color w:val="000000"/>
              </w:rPr>
            </w:pPr>
            <w:r w:rsidRPr="00DB18FC">
              <w:t>0.017</w:t>
            </w:r>
          </w:p>
        </w:tc>
        <w:tc>
          <w:tcPr>
            <w:tcW w:w="770" w:type="pct"/>
            <w:shd w:val="clear" w:color="auto" w:fill="auto"/>
            <w:tcMar>
              <w:left w:w="115" w:type="dxa"/>
              <w:right w:w="115" w:type="dxa"/>
            </w:tcMar>
          </w:tcPr>
          <w:p w:rsidR="0083586A" w:rsidRPr="006B3DD2" w:rsidP="0083586A" w14:paraId="05EBD63A" w14:textId="23D8EC54">
            <w:pPr>
              <w:widowControl/>
              <w:autoSpaceDE/>
              <w:autoSpaceDN/>
              <w:adjustRightInd/>
              <w:jc w:val="center"/>
              <w:rPr>
                <w:color w:val="000000"/>
              </w:rPr>
            </w:pPr>
            <w:r w:rsidRPr="00324DD6">
              <w:rPr>
                <w:rFonts w:eastAsia="Calibri"/>
                <w:color w:val="000000" w:themeColor="text1"/>
              </w:rPr>
              <w:t>43,645</w:t>
            </w:r>
          </w:p>
        </w:tc>
        <w:tc>
          <w:tcPr>
            <w:tcW w:w="863" w:type="pct"/>
            <w:shd w:val="clear" w:color="auto" w:fill="auto"/>
            <w:tcMar>
              <w:left w:w="115" w:type="dxa"/>
              <w:right w:w="115" w:type="dxa"/>
            </w:tcMar>
          </w:tcPr>
          <w:p w:rsidR="0083586A" w:rsidRPr="00DB18FC" w:rsidP="5ECFBCA2" w14:paraId="438635CD" w14:textId="2B55DE48">
            <w:pPr>
              <w:widowControl/>
              <w:spacing w:line="259" w:lineRule="auto"/>
              <w:jc w:val="center"/>
              <w:rPr>
                <w:rFonts w:eastAsia="Calibri"/>
                <w:color w:val="000000" w:themeColor="text1"/>
              </w:rPr>
            </w:pPr>
            <w:r>
              <w:t xml:space="preserve"> $</w:t>
            </w:r>
            <w:r w:rsidR="66FA8AB6">
              <w:t>1,448,332</w:t>
            </w:r>
          </w:p>
        </w:tc>
      </w:tr>
      <w:tr w14:paraId="5BCC9937"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hideMark/>
          </w:tcPr>
          <w:p w:rsidR="0083586A" w:rsidRPr="006B3DD2" w:rsidP="0083586A" w14:paraId="18CB56B3" w14:textId="11227EA8">
            <w:pPr>
              <w:widowControl/>
              <w:autoSpaceDE/>
              <w:autoSpaceDN/>
              <w:adjustRightInd/>
              <w:jc w:val="center"/>
              <w:rPr>
                <w:color w:val="000000"/>
              </w:rPr>
            </w:pPr>
            <w:r w:rsidRPr="006B3DD2">
              <w:rPr>
                <w:color w:val="000000"/>
              </w:rPr>
              <w:t>Total</w:t>
            </w:r>
          </w:p>
        </w:tc>
        <w:tc>
          <w:tcPr>
            <w:tcW w:w="722" w:type="pct"/>
            <w:shd w:val="clear" w:color="auto" w:fill="auto"/>
            <w:tcMar>
              <w:left w:w="115" w:type="dxa"/>
              <w:right w:w="115" w:type="dxa"/>
            </w:tcMar>
          </w:tcPr>
          <w:p w:rsidR="0083586A" w:rsidRPr="006B3DD2" w:rsidP="0083586A" w14:paraId="4BC9CC72" w14:textId="0639D406">
            <w:pPr>
              <w:widowControl/>
              <w:autoSpaceDE/>
              <w:autoSpaceDN/>
              <w:adjustRightInd/>
              <w:jc w:val="center"/>
              <w:rPr>
                <w:color w:val="000000"/>
              </w:rPr>
            </w:pPr>
            <w:r>
              <w:rPr>
                <w:color w:val="000000"/>
              </w:rPr>
              <w:t xml:space="preserve"> </w:t>
            </w:r>
            <w:r w:rsidRPr="00324DD6">
              <w:rPr>
                <w:rFonts w:eastAsia="Calibri"/>
                <w:color w:val="000000" w:themeColor="text1"/>
              </w:rPr>
              <w:t>7,693,932</w:t>
            </w:r>
          </w:p>
        </w:tc>
        <w:tc>
          <w:tcPr>
            <w:tcW w:w="674" w:type="pct"/>
            <w:shd w:val="clear" w:color="auto" w:fill="auto"/>
            <w:tcMar>
              <w:left w:w="115" w:type="dxa"/>
              <w:right w:w="115" w:type="dxa"/>
            </w:tcMar>
          </w:tcPr>
          <w:p w:rsidR="0083586A" w:rsidRPr="00DB18FC" w:rsidP="0083586A" w14:paraId="17B50CD4" w14:textId="0191C8A4">
            <w:pPr>
              <w:widowControl/>
              <w:autoSpaceDE/>
              <w:autoSpaceDN/>
              <w:adjustRightInd/>
              <w:jc w:val="center"/>
              <w:rPr>
                <w:color w:val="000000"/>
              </w:rPr>
            </w:pPr>
            <w:r w:rsidRPr="00DB18FC">
              <w:t>-</w:t>
            </w:r>
          </w:p>
        </w:tc>
        <w:tc>
          <w:tcPr>
            <w:tcW w:w="673" w:type="pct"/>
            <w:shd w:val="clear" w:color="auto" w:fill="auto"/>
            <w:tcMar>
              <w:left w:w="115" w:type="dxa"/>
              <w:right w:w="115" w:type="dxa"/>
            </w:tcMar>
          </w:tcPr>
          <w:p w:rsidR="0083586A" w:rsidRPr="006B3DD2" w:rsidP="0083586A" w14:paraId="17B9EB92" w14:textId="34E045E5">
            <w:pPr>
              <w:widowControl/>
              <w:autoSpaceDE/>
              <w:autoSpaceDN/>
              <w:adjustRightInd/>
              <w:jc w:val="center"/>
              <w:rPr>
                <w:color w:val="000000"/>
              </w:rPr>
            </w:pPr>
            <w:r>
              <w:rPr>
                <w:color w:val="000000"/>
              </w:rPr>
              <w:t xml:space="preserve"> </w:t>
            </w:r>
            <w:r w:rsidRPr="00324DD6">
              <w:rPr>
                <w:rFonts w:eastAsia="Calibri"/>
                <w:color w:val="000000" w:themeColor="text1"/>
              </w:rPr>
              <w:t xml:space="preserve">7,693,932 </w:t>
            </w:r>
          </w:p>
        </w:tc>
        <w:tc>
          <w:tcPr>
            <w:tcW w:w="578" w:type="pct"/>
            <w:shd w:val="clear" w:color="auto" w:fill="auto"/>
            <w:tcMar>
              <w:left w:w="115" w:type="dxa"/>
              <w:right w:w="115" w:type="dxa"/>
            </w:tcMar>
          </w:tcPr>
          <w:p w:rsidR="0083586A" w:rsidRPr="00DB18FC" w:rsidP="0083586A" w14:paraId="528F0F9D" w14:textId="67DE7753">
            <w:pPr>
              <w:widowControl/>
              <w:autoSpaceDE/>
              <w:autoSpaceDN/>
              <w:adjustRightInd/>
              <w:jc w:val="center"/>
              <w:rPr>
                <w:color w:val="000000"/>
              </w:rPr>
            </w:pPr>
            <w:r w:rsidRPr="00DB18FC">
              <w:t>-</w:t>
            </w:r>
          </w:p>
        </w:tc>
        <w:tc>
          <w:tcPr>
            <w:tcW w:w="770" w:type="pct"/>
            <w:shd w:val="clear" w:color="auto" w:fill="auto"/>
            <w:tcMar>
              <w:left w:w="115" w:type="dxa"/>
              <w:right w:w="115" w:type="dxa"/>
            </w:tcMar>
          </w:tcPr>
          <w:p w:rsidR="0083586A" w:rsidRPr="006B3DD2" w:rsidP="0083586A" w14:paraId="5556D020" w14:textId="1AE62840">
            <w:pPr>
              <w:widowControl/>
              <w:autoSpaceDE/>
              <w:autoSpaceDN/>
              <w:adjustRightInd/>
              <w:jc w:val="center"/>
              <w:rPr>
                <w:color w:val="000000"/>
              </w:rPr>
            </w:pPr>
            <w:r w:rsidRPr="00324DD6">
              <w:rPr>
                <w:rFonts w:eastAsia="Calibri"/>
                <w:color w:val="000000" w:themeColor="text1"/>
              </w:rPr>
              <w:t>130,797</w:t>
            </w:r>
          </w:p>
        </w:tc>
        <w:tc>
          <w:tcPr>
            <w:tcW w:w="863" w:type="pct"/>
            <w:shd w:val="clear" w:color="auto" w:fill="auto"/>
            <w:tcMar>
              <w:left w:w="115" w:type="dxa"/>
              <w:right w:w="115" w:type="dxa"/>
            </w:tcMar>
          </w:tcPr>
          <w:p w:rsidR="0083586A" w:rsidRPr="006B3DD2" w:rsidP="5ECFBCA2" w14:paraId="7E7B5082" w14:textId="4FE3BE8F">
            <w:pPr>
              <w:widowControl/>
              <w:spacing w:line="259" w:lineRule="auto"/>
              <w:jc w:val="center"/>
              <w:rPr>
                <w:rFonts w:eastAsia="Calibri"/>
                <w:color w:val="000000" w:themeColor="text1"/>
              </w:rPr>
            </w:pPr>
            <w:r>
              <w:t xml:space="preserve"> $</w:t>
            </w:r>
            <w:r w:rsidR="202B00D5">
              <w:t>4,340,438</w:t>
            </w:r>
          </w:p>
        </w:tc>
      </w:tr>
      <w:tr w14:paraId="58661C54"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hideMark/>
          </w:tcPr>
          <w:p w:rsidR="0083586A" w:rsidRPr="006B3DD2" w:rsidP="0083586A" w14:paraId="531EB4E9" w14:textId="09D1642D">
            <w:pPr>
              <w:widowControl/>
              <w:autoSpaceDE/>
              <w:autoSpaceDN/>
              <w:adjustRightInd/>
              <w:jc w:val="center"/>
              <w:rPr>
                <w:color w:val="000000"/>
              </w:rPr>
            </w:pPr>
            <w:r w:rsidRPr="006B3DD2">
              <w:rPr>
                <w:color w:val="000000"/>
              </w:rPr>
              <w:t>Annualized</w:t>
            </w:r>
          </w:p>
        </w:tc>
        <w:tc>
          <w:tcPr>
            <w:tcW w:w="722" w:type="pct"/>
            <w:shd w:val="clear" w:color="auto" w:fill="auto"/>
            <w:tcMar>
              <w:left w:w="115" w:type="dxa"/>
              <w:right w:w="115" w:type="dxa"/>
            </w:tcMar>
          </w:tcPr>
          <w:p w:rsidR="0083586A" w:rsidRPr="006B3DD2" w:rsidP="0083586A" w14:paraId="5C0F37FE" w14:textId="28466406">
            <w:pPr>
              <w:widowControl/>
              <w:autoSpaceDE/>
              <w:autoSpaceDN/>
              <w:adjustRightInd/>
              <w:jc w:val="center"/>
              <w:rPr>
                <w:color w:val="000000"/>
              </w:rPr>
            </w:pPr>
            <w:r w:rsidRPr="00324DD6">
              <w:rPr>
                <w:rFonts w:eastAsia="Calibri"/>
                <w:color w:val="000000" w:themeColor="text1"/>
              </w:rPr>
              <w:t>2,564,644</w:t>
            </w:r>
          </w:p>
        </w:tc>
        <w:tc>
          <w:tcPr>
            <w:tcW w:w="674" w:type="pct"/>
            <w:shd w:val="clear" w:color="auto" w:fill="auto"/>
            <w:tcMar>
              <w:left w:w="115" w:type="dxa"/>
              <w:right w:w="115" w:type="dxa"/>
            </w:tcMar>
          </w:tcPr>
          <w:p w:rsidR="0083586A" w:rsidRPr="00DB18FC" w:rsidP="0083586A" w14:paraId="4EE3F3F3" w14:textId="7B4257A1">
            <w:pPr>
              <w:widowControl/>
              <w:autoSpaceDE/>
              <w:autoSpaceDN/>
              <w:adjustRightInd/>
              <w:jc w:val="center"/>
              <w:rPr>
                <w:color w:val="000000"/>
              </w:rPr>
            </w:pPr>
            <w:r w:rsidRPr="00DB18FC">
              <w:t>-</w:t>
            </w:r>
          </w:p>
        </w:tc>
        <w:tc>
          <w:tcPr>
            <w:tcW w:w="673" w:type="pct"/>
            <w:shd w:val="clear" w:color="auto" w:fill="auto"/>
            <w:tcMar>
              <w:left w:w="115" w:type="dxa"/>
              <w:right w:w="115" w:type="dxa"/>
            </w:tcMar>
          </w:tcPr>
          <w:p w:rsidR="0083586A" w:rsidRPr="006B3DD2" w:rsidP="0083586A" w14:paraId="1A12819A" w14:textId="27946FD1">
            <w:pPr>
              <w:widowControl/>
              <w:autoSpaceDE/>
              <w:autoSpaceDN/>
              <w:adjustRightInd/>
              <w:jc w:val="center"/>
              <w:rPr>
                <w:color w:val="000000"/>
              </w:rPr>
            </w:pPr>
            <w:r>
              <w:rPr>
                <w:color w:val="000000"/>
              </w:rPr>
              <w:t xml:space="preserve"> </w:t>
            </w:r>
            <w:r w:rsidRPr="00324DD6">
              <w:rPr>
                <w:rFonts w:eastAsia="Calibri"/>
                <w:color w:val="000000" w:themeColor="text1"/>
              </w:rPr>
              <w:t xml:space="preserve">2,564,644 </w:t>
            </w:r>
          </w:p>
        </w:tc>
        <w:tc>
          <w:tcPr>
            <w:tcW w:w="578" w:type="pct"/>
            <w:shd w:val="clear" w:color="auto" w:fill="auto"/>
            <w:tcMar>
              <w:left w:w="115" w:type="dxa"/>
              <w:right w:w="115" w:type="dxa"/>
            </w:tcMar>
          </w:tcPr>
          <w:p w:rsidR="0083586A" w:rsidRPr="00DB18FC" w:rsidP="0083586A" w14:paraId="5302BFFE" w14:textId="0623D907">
            <w:pPr>
              <w:widowControl/>
              <w:autoSpaceDE/>
              <w:autoSpaceDN/>
              <w:adjustRightInd/>
              <w:jc w:val="center"/>
              <w:rPr>
                <w:color w:val="000000"/>
              </w:rPr>
            </w:pPr>
            <w:r w:rsidRPr="00DB18FC">
              <w:t>-</w:t>
            </w:r>
          </w:p>
        </w:tc>
        <w:tc>
          <w:tcPr>
            <w:tcW w:w="770" w:type="pct"/>
            <w:shd w:val="clear" w:color="auto" w:fill="auto"/>
            <w:tcMar>
              <w:left w:w="115" w:type="dxa"/>
              <w:right w:w="115" w:type="dxa"/>
            </w:tcMar>
          </w:tcPr>
          <w:p w:rsidR="0083586A" w:rsidRPr="006B3DD2" w:rsidP="0083586A" w14:paraId="2B8C6551" w14:textId="0492691D">
            <w:pPr>
              <w:widowControl/>
              <w:autoSpaceDE/>
              <w:autoSpaceDN/>
              <w:adjustRightInd/>
              <w:jc w:val="center"/>
              <w:rPr>
                <w:color w:val="000000"/>
              </w:rPr>
            </w:pPr>
            <w:r w:rsidRPr="00324DD6">
              <w:rPr>
                <w:rFonts w:eastAsia="Calibri"/>
                <w:color w:val="000000" w:themeColor="text1"/>
              </w:rPr>
              <w:t>43,599</w:t>
            </w:r>
          </w:p>
        </w:tc>
        <w:tc>
          <w:tcPr>
            <w:tcW w:w="863" w:type="pct"/>
            <w:shd w:val="clear" w:color="auto" w:fill="auto"/>
            <w:tcMar>
              <w:left w:w="115" w:type="dxa"/>
              <w:right w:w="115" w:type="dxa"/>
            </w:tcMar>
          </w:tcPr>
          <w:p w:rsidR="0083586A" w:rsidRPr="006B3DD2" w:rsidP="5ECFBCA2" w14:paraId="4417996F" w14:textId="55F2F400">
            <w:pPr>
              <w:widowControl/>
              <w:spacing w:line="259" w:lineRule="auto"/>
              <w:jc w:val="center"/>
              <w:rPr>
                <w:rFonts w:eastAsia="Calibri"/>
                <w:color w:val="000000" w:themeColor="text1"/>
              </w:rPr>
            </w:pPr>
            <w:r>
              <w:t xml:space="preserve"> $</w:t>
            </w:r>
            <w:r w:rsidR="0936BCDB">
              <w:t>1,446,813</w:t>
            </w:r>
            <w:r>
              <w:t xml:space="preserve"> </w:t>
            </w:r>
          </w:p>
        </w:tc>
      </w:tr>
    </w:tbl>
    <w:p w:rsidR="00FA4698" w:rsidRPr="007E65CF" w:rsidP="00722B85" w14:paraId="17E93CF2" w14:textId="77777777">
      <w:pPr>
        <w:widowControl/>
        <w:rPr>
          <w:sz w:val="18"/>
          <w:szCs w:val="18"/>
        </w:rPr>
      </w:pPr>
      <w:r>
        <w:rPr>
          <w:sz w:val="18"/>
          <w:szCs w:val="18"/>
        </w:rPr>
        <w:t>Totals are the product of unrounded components</w:t>
      </w:r>
      <w:r w:rsidRPr="007E65CF">
        <w:rPr>
          <w:sz w:val="18"/>
          <w:szCs w:val="18"/>
        </w:rPr>
        <w:t>.</w:t>
      </w:r>
    </w:p>
    <w:p w:rsidR="00FA4698" w:rsidP="00722B85" w14:paraId="244C4C39" w14:textId="77777777">
      <w:pPr>
        <w:widowControl/>
      </w:pPr>
    </w:p>
    <w:p w:rsidR="00791723" w:rsidP="00722B85" w14:paraId="67F5AA8F" w14:textId="7E5970A0">
      <w:pPr>
        <w:widowControl/>
      </w:pPr>
      <w:r>
        <w:t xml:space="preserve">The currently approved total burden for drivers completing the CDL application form is </w:t>
      </w:r>
      <w:r w:rsidR="3D8D0DD3">
        <w:t>43,527</w:t>
      </w:r>
      <w:r>
        <w:t xml:space="preserve"> hours.  The new total of 43,</w:t>
      </w:r>
      <w:r w:rsidR="637CBD66">
        <w:t>599</w:t>
      </w:r>
      <w:r>
        <w:t xml:space="preserve"> represents a</w:t>
      </w:r>
      <w:r w:rsidR="00506B47">
        <w:t>n</w:t>
      </w:r>
      <w:r>
        <w:t xml:space="preserve"> </w:t>
      </w:r>
      <w:r w:rsidR="00506B47">
        <w:t>in</w:t>
      </w:r>
      <w:r>
        <w:t xml:space="preserve">crease of </w:t>
      </w:r>
      <w:r w:rsidR="2E5533C6">
        <w:t>72</w:t>
      </w:r>
      <w:r>
        <w:t xml:space="preserve"> hours.  This is due to a</w:t>
      </w:r>
      <w:r w:rsidR="00506B47">
        <w:t>n in</w:t>
      </w:r>
      <w:r>
        <w:t xml:space="preserve">crease in the estimated number of </w:t>
      </w:r>
      <w:r w:rsidR="542E83DA">
        <w:t>transfer drivers</w:t>
      </w:r>
      <w:r>
        <w:t>, a result of the availability of more accurate and recent data.</w:t>
      </w:r>
    </w:p>
    <w:p w:rsidR="007B52ED" w:rsidP="00722B85" w14:paraId="569D0FA2" w14:textId="77777777">
      <w:pPr>
        <w:widowControl/>
        <w:rPr>
          <w:b/>
        </w:rPr>
      </w:pPr>
    </w:p>
    <w:p w:rsidR="00577BA3" w:rsidRPr="00F133A4" w:rsidP="00722B85" w14:paraId="626D91F7" w14:textId="77777777">
      <w:pPr>
        <w:widowControl/>
        <w:rPr>
          <w:b/>
        </w:rPr>
      </w:pPr>
      <w:r w:rsidRPr="00F133A4">
        <w:rPr>
          <w:b/>
        </w:rPr>
        <w:t>IC-1.4 Driver completion of knowledge and skills tests</w:t>
      </w:r>
      <w:r w:rsidR="00791723">
        <w:rPr>
          <w:b/>
        </w:rPr>
        <w:t xml:space="preserve"> </w:t>
      </w:r>
      <w:r w:rsidRPr="00791723" w:rsidR="00791723">
        <w:rPr>
          <w:b/>
        </w:rPr>
        <w:t>[49 CFR 383.71(a)(2)(ii) and (b)(2)]</w:t>
      </w:r>
    </w:p>
    <w:p w:rsidR="00F133A4" w:rsidP="00722B85" w14:paraId="2085A1F3" w14:textId="4EF2ACC3">
      <w:pPr>
        <w:widowControl/>
      </w:pPr>
      <w:r>
        <w:t xml:space="preserve">CDL applicants are required to complete a knowledge test and a skills test.  </w:t>
      </w:r>
      <w:r w:rsidRPr="0008378A">
        <w:t xml:space="preserve">To estimate burden hour and burden costs associated with this task, the Agency relies on the statistics </w:t>
      </w:r>
      <w:r w:rsidR="000F2059">
        <w:t xml:space="preserve">and estimations </w:t>
      </w:r>
      <w:r w:rsidRPr="0008378A">
        <w:t>outline</w:t>
      </w:r>
      <w:r w:rsidR="00626FE2">
        <w:t>d</w:t>
      </w:r>
      <w:r w:rsidRPr="0008378A">
        <w:t xml:space="preserve"> above as well as the following</w:t>
      </w:r>
      <w:r w:rsidRPr="00F94A52" w:rsidR="00F94A52">
        <w:t xml:space="preserve"> </w:t>
      </w:r>
      <w:r w:rsidR="00F94A52">
        <w:t>assumptions</w:t>
      </w:r>
      <w:r w:rsidRPr="0008378A">
        <w:t>:</w:t>
      </w:r>
      <w:r w:rsidR="00C8209F">
        <w:br/>
      </w:r>
    </w:p>
    <w:p w:rsidR="00577BA3" w:rsidRPr="00BE7D4B" w:rsidP="00722B85" w14:paraId="41A2AC5D" w14:textId="4AB1745F">
      <w:pPr>
        <w:widowControl/>
        <w:numPr>
          <w:ilvl w:val="0"/>
          <w:numId w:val="11"/>
        </w:numPr>
      </w:pPr>
      <w:r>
        <w:t xml:space="preserve">Approximately </w:t>
      </w:r>
      <w:r w:rsidR="00506B47">
        <w:t>25</w:t>
      </w:r>
      <w:r>
        <w:t xml:space="preserve"> percent of applicants fail the CDL knowledge and skills tests the first time they take the </w:t>
      </w:r>
      <w:r>
        <w:t>tests.</w:t>
      </w:r>
      <w:r w:rsidRPr="00F94A52" w:rsidR="00F94A52">
        <w:rPr>
          <w:vertAlign w:val="superscript"/>
        </w:rPr>
        <w:t>(</w:t>
      </w:r>
      <w:bookmarkStart w:id="10" w:name="_Ref508721700"/>
      <w:r>
        <w:rPr>
          <w:rStyle w:val="FootnoteReference"/>
        </w:rPr>
        <w:footnoteReference w:id="11"/>
      </w:r>
      <w:bookmarkEnd w:id="10"/>
      <w:r w:rsidRPr="00F94A52" w:rsidR="00F94A52">
        <w:rPr>
          <w:vertAlign w:val="superscript"/>
        </w:rPr>
        <w:t>)</w:t>
      </w:r>
    </w:p>
    <w:p w:rsidR="00043F59" w:rsidRPr="00BE7D4B" w:rsidP="00BE7D4B" w14:paraId="14CA3735" w14:textId="4772BADC">
      <w:pPr>
        <w:widowControl/>
        <w:numPr>
          <w:ilvl w:val="0"/>
          <w:numId w:val="11"/>
        </w:numPr>
      </w:pPr>
      <w:r>
        <w:t xml:space="preserve">All applicants who fail the exam will retake and pass the test. </w:t>
      </w:r>
    </w:p>
    <w:p w:rsidR="00F133A4" w:rsidP="00722B85" w14:paraId="18BB3165" w14:textId="77777777">
      <w:pPr>
        <w:widowControl/>
        <w:numPr>
          <w:ilvl w:val="0"/>
          <w:numId w:val="11"/>
        </w:numPr>
      </w:pPr>
      <w:r>
        <w:t xml:space="preserve">An applicant will spend approximately 45 minutes </w:t>
      </w:r>
      <w:r w:rsidR="002245A4">
        <w:t xml:space="preserve">(0.75 hours) </w:t>
      </w:r>
      <w:r>
        <w:t>completing the knowledge test</w:t>
      </w:r>
      <w:r w:rsidR="002245A4">
        <w:t>.</w:t>
      </w:r>
    </w:p>
    <w:p w:rsidR="00F133A4" w:rsidP="00722B85" w14:paraId="6062BFB7" w14:textId="34B263EF">
      <w:pPr>
        <w:widowControl/>
        <w:numPr>
          <w:ilvl w:val="0"/>
          <w:numId w:val="11"/>
        </w:numPr>
      </w:pPr>
      <w:r>
        <w:t xml:space="preserve">An applicant will spend approximately 90 minutes </w:t>
      </w:r>
      <w:r w:rsidR="002245A4">
        <w:t xml:space="preserve">(1.5 hours) </w:t>
      </w:r>
      <w:r>
        <w:t>completing the skills test</w:t>
      </w:r>
      <w:r w:rsidR="002245A4">
        <w:t>.</w:t>
      </w:r>
    </w:p>
    <w:p w:rsidR="00F133A4" w:rsidP="00722B85" w14:paraId="4761A905" w14:textId="77777777">
      <w:pPr>
        <w:widowControl/>
        <w:ind w:left="720"/>
      </w:pPr>
    </w:p>
    <w:p w:rsidR="00F133A4" w:rsidP="5ECFBCA2" w14:paraId="089E00FB" w14:textId="58320484">
      <w:pPr>
        <w:widowControl/>
        <w:spacing w:line="259" w:lineRule="auto"/>
      </w:pPr>
      <w:r>
        <w:t xml:space="preserve">During the first year of this ICR, </w:t>
      </w:r>
      <w:bookmarkStart w:id="11" w:name="_Hlk514353970"/>
      <w:r w:rsidR="66B4032C">
        <w:t>426,181</w:t>
      </w:r>
      <w:r>
        <w:t xml:space="preserve"> driver applicants </w:t>
      </w:r>
      <w:bookmarkEnd w:id="11"/>
      <w:r>
        <w:t>will attempt the knowledge test.</w:t>
      </w:r>
      <w:r w:rsidR="00187AF5">
        <w:t xml:space="preserve">  Approximately </w:t>
      </w:r>
      <w:r w:rsidR="00DB18FC">
        <w:t>25</w:t>
      </w:r>
      <w:r w:rsidR="00187AF5">
        <w:t xml:space="preserve"> percent will fail and retake the test, resulting in </w:t>
      </w:r>
      <w:r w:rsidR="58E575F6">
        <w:t>532,726</w:t>
      </w:r>
      <w:r w:rsidR="007E4D48">
        <w:t xml:space="preserve"> </w:t>
      </w:r>
      <w:r w:rsidR="00187AF5">
        <w:t>responses (</w:t>
      </w:r>
      <w:r w:rsidR="1DD423D9">
        <w:t>426,181</w:t>
      </w:r>
      <w:r w:rsidR="00187AF5">
        <w:t xml:space="preserve"> × 1.</w:t>
      </w:r>
      <w:r w:rsidR="00F72F84">
        <w:t>2</w:t>
      </w:r>
      <w:r w:rsidR="00187AF5">
        <w:t xml:space="preserve">5) and </w:t>
      </w:r>
      <w:r w:rsidR="1848B90C">
        <w:t>399,545</w:t>
      </w:r>
      <w:r w:rsidR="007E4D48">
        <w:t xml:space="preserve"> </w:t>
      </w:r>
      <w:r w:rsidR="00187AF5">
        <w:t>burden hours (</w:t>
      </w:r>
      <w:r w:rsidR="524F706B">
        <w:t>532,726</w:t>
      </w:r>
      <w:r w:rsidR="00187AF5">
        <w:t xml:space="preserve"> × 0.75 hours), at a cost of </w:t>
      </w:r>
      <w:r w:rsidR="00FF1B10">
        <w:t>$</w:t>
      </w:r>
      <w:r w:rsidR="415413F2">
        <w:t>13,258,723</w:t>
      </w:r>
      <w:r w:rsidR="000F2059">
        <w:t xml:space="preserve"> (</w:t>
      </w:r>
      <w:r w:rsidR="16D6B9DF">
        <w:t>399,545</w:t>
      </w:r>
      <w:r w:rsidR="000F2059">
        <w:t xml:space="preserve"> × $</w:t>
      </w:r>
      <w:r w:rsidR="44158A01">
        <w:t>33.18</w:t>
      </w:r>
      <w:r w:rsidR="000F2059">
        <w:t xml:space="preserve"> per hour)</w:t>
      </w:r>
      <w:r w:rsidR="00FF1B10">
        <w:t xml:space="preserve"> </w:t>
      </w:r>
      <w:r w:rsidR="00187AF5">
        <w:t>(</w:t>
      </w:r>
      <w:r>
        <w:fldChar w:fldCharType="begin"/>
      </w:r>
      <w:r>
        <w:instrText xml:space="preserve"> REF _Ref508098959 \h  \* MERGEFORMAT </w:instrText>
      </w:r>
      <w:r>
        <w:fldChar w:fldCharType="separate"/>
      </w:r>
      <w:r w:rsidR="006A6CBC">
        <w:t xml:space="preserve">Table </w:t>
      </w:r>
      <w:r w:rsidRPr="5ECFBCA2" w:rsidR="006A6CBC">
        <w:rPr>
          <w:noProof/>
        </w:rPr>
        <w:t>6</w:t>
      </w:r>
      <w:r>
        <w:fldChar w:fldCharType="end"/>
      </w:r>
      <w:r w:rsidR="00187AF5">
        <w:t>).</w:t>
      </w:r>
    </w:p>
    <w:p w:rsidR="00F133A4" w:rsidP="00722B85" w14:paraId="309860B2" w14:textId="77777777">
      <w:pPr>
        <w:widowControl/>
        <w:ind w:left="720"/>
      </w:pPr>
    </w:p>
    <w:p w:rsidR="00187AF5" w:rsidRPr="00D64E77" w:rsidP="00722B85" w14:paraId="60C25964" w14:textId="52752A0B">
      <w:pPr>
        <w:pStyle w:val="Caption"/>
        <w:keepNext/>
        <w:widowControl/>
      </w:pPr>
      <w:bookmarkStart w:id="12" w:name="_Ref508098959"/>
      <w:r w:rsidRPr="00D64E77">
        <w:t xml:space="preserve">Table </w:t>
      </w:r>
      <w:r>
        <w:fldChar w:fldCharType="begin"/>
      </w:r>
      <w:r>
        <w:instrText>SEQ Table \* ARABIC</w:instrText>
      </w:r>
      <w:r>
        <w:fldChar w:fldCharType="separate"/>
      </w:r>
      <w:r w:rsidR="006A6CBC">
        <w:rPr>
          <w:noProof/>
        </w:rPr>
        <w:t>6</w:t>
      </w:r>
      <w:r>
        <w:fldChar w:fldCharType="end"/>
      </w:r>
      <w:bookmarkEnd w:id="12"/>
      <w:r w:rsidRPr="00D64E77">
        <w:t xml:space="preserve">. Driver </w:t>
      </w:r>
      <w:r w:rsidRPr="00D64E77" w:rsidR="002D66E6">
        <w:t>Completion of Knowledge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7"/>
        <w:gridCol w:w="1444"/>
        <w:gridCol w:w="1348"/>
        <w:gridCol w:w="1260"/>
        <w:gridCol w:w="989"/>
        <w:gridCol w:w="1260"/>
        <w:gridCol w:w="1702"/>
      </w:tblGrid>
      <w:tr w14:paraId="6FC2D44D"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55"/>
        </w:trPr>
        <w:tc>
          <w:tcPr>
            <w:tcW w:w="720" w:type="pct"/>
            <w:shd w:val="clear" w:color="auto" w:fill="E0E0E0"/>
            <w:tcMar>
              <w:left w:w="0" w:type="dxa"/>
              <w:right w:w="0" w:type="dxa"/>
            </w:tcMar>
            <w:vAlign w:val="bottom"/>
            <w:hideMark/>
          </w:tcPr>
          <w:p w:rsidR="00187AF5" w:rsidRPr="009C27AA" w:rsidP="00187AF5" w14:paraId="1AEC2B2B" w14:textId="77777777">
            <w:pPr>
              <w:widowControl/>
              <w:autoSpaceDE/>
              <w:autoSpaceDN/>
              <w:adjustRightInd/>
              <w:jc w:val="center"/>
              <w:rPr>
                <w:b/>
                <w:bCs/>
                <w:color w:val="000000"/>
              </w:rPr>
            </w:pPr>
            <w:r w:rsidRPr="009C27AA">
              <w:rPr>
                <w:b/>
                <w:bCs/>
                <w:color w:val="000000"/>
              </w:rPr>
              <w:t>Year</w:t>
            </w:r>
          </w:p>
        </w:tc>
        <w:tc>
          <w:tcPr>
            <w:tcW w:w="772" w:type="pct"/>
            <w:shd w:val="clear" w:color="auto" w:fill="E0E0E0"/>
            <w:tcMar>
              <w:left w:w="0" w:type="dxa"/>
              <w:right w:w="0" w:type="dxa"/>
            </w:tcMar>
            <w:vAlign w:val="bottom"/>
            <w:hideMark/>
          </w:tcPr>
          <w:p w:rsidR="00187AF5" w:rsidRPr="009C27AA" w:rsidP="00187AF5" w14:paraId="7140E24A" w14:textId="77777777">
            <w:pPr>
              <w:widowControl/>
              <w:autoSpaceDE/>
              <w:autoSpaceDN/>
              <w:adjustRightInd/>
              <w:jc w:val="center"/>
              <w:rPr>
                <w:b/>
                <w:bCs/>
                <w:color w:val="000000"/>
              </w:rPr>
            </w:pPr>
            <w:r w:rsidRPr="009C27AA">
              <w:rPr>
                <w:b/>
                <w:bCs/>
                <w:color w:val="000000"/>
              </w:rPr>
              <w:t>Respondents</w:t>
            </w:r>
            <w:r w:rsidRPr="009C27AA">
              <w:rPr>
                <w:b/>
                <w:bCs/>
                <w:color w:val="000000"/>
              </w:rPr>
              <w:br/>
              <w:t>(a)</w:t>
            </w:r>
          </w:p>
        </w:tc>
        <w:tc>
          <w:tcPr>
            <w:tcW w:w="721" w:type="pct"/>
            <w:shd w:val="clear" w:color="auto" w:fill="E0E0E0"/>
            <w:tcMar>
              <w:left w:w="0" w:type="dxa"/>
              <w:right w:w="0" w:type="dxa"/>
            </w:tcMar>
            <w:vAlign w:val="bottom"/>
            <w:hideMark/>
          </w:tcPr>
          <w:p w:rsidR="00187AF5" w:rsidRPr="009C27AA" w:rsidP="00187AF5" w14:paraId="613630A2" w14:textId="77777777">
            <w:pPr>
              <w:widowControl/>
              <w:autoSpaceDE/>
              <w:autoSpaceDN/>
              <w:adjustRightInd/>
              <w:jc w:val="center"/>
              <w:rPr>
                <w:b/>
                <w:bCs/>
                <w:color w:val="000000"/>
              </w:rPr>
            </w:pPr>
            <w:r w:rsidRPr="009C27AA">
              <w:rPr>
                <w:b/>
                <w:bCs/>
                <w:color w:val="000000"/>
              </w:rPr>
              <w:t>Responses per Respondent</w:t>
            </w:r>
            <w:r w:rsidRPr="009C27AA">
              <w:rPr>
                <w:b/>
                <w:bCs/>
                <w:color w:val="000000"/>
              </w:rPr>
              <w:br/>
              <w:t>(b)</w:t>
            </w:r>
          </w:p>
        </w:tc>
        <w:tc>
          <w:tcPr>
            <w:tcW w:w="674" w:type="pct"/>
            <w:shd w:val="clear" w:color="auto" w:fill="E0E0E0"/>
            <w:tcMar>
              <w:left w:w="0" w:type="dxa"/>
              <w:right w:w="0" w:type="dxa"/>
            </w:tcMar>
            <w:vAlign w:val="bottom"/>
            <w:hideMark/>
          </w:tcPr>
          <w:p w:rsidR="00187AF5" w:rsidRPr="009C27AA" w:rsidP="00187AF5" w14:paraId="76F4AB83" w14:textId="77777777">
            <w:pPr>
              <w:widowControl/>
              <w:autoSpaceDE/>
              <w:autoSpaceDN/>
              <w:adjustRightInd/>
              <w:jc w:val="center"/>
              <w:rPr>
                <w:b/>
                <w:bCs/>
                <w:color w:val="000000"/>
              </w:rPr>
            </w:pPr>
            <w:r w:rsidRPr="009C27AA">
              <w:rPr>
                <w:b/>
                <w:bCs/>
                <w:color w:val="000000"/>
              </w:rPr>
              <w:t>Total Annual Responses</w:t>
            </w:r>
            <w:r w:rsidRPr="009C27AA">
              <w:rPr>
                <w:b/>
                <w:bCs/>
                <w:color w:val="000000"/>
              </w:rPr>
              <w:br/>
              <w:t>(a × b = c)</w:t>
            </w:r>
          </w:p>
        </w:tc>
        <w:tc>
          <w:tcPr>
            <w:tcW w:w="529" w:type="pct"/>
            <w:shd w:val="clear" w:color="auto" w:fill="E0E0E0"/>
            <w:tcMar>
              <w:left w:w="0" w:type="dxa"/>
              <w:right w:w="0" w:type="dxa"/>
            </w:tcMar>
            <w:vAlign w:val="bottom"/>
            <w:hideMark/>
          </w:tcPr>
          <w:p w:rsidR="00187AF5" w:rsidRPr="009C27AA" w:rsidP="00187AF5" w14:paraId="2364B9AD" w14:textId="77777777">
            <w:pPr>
              <w:widowControl/>
              <w:autoSpaceDE/>
              <w:autoSpaceDN/>
              <w:adjustRightInd/>
              <w:jc w:val="center"/>
              <w:rPr>
                <w:b/>
                <w:bCs/>
                <w:color w:val="000000"/>
              </w:rPr>
            </w:pPr>
            <w:r w:rsidRPr="009C27AA">
              <w:rPr>
                <w:b/>
                <w:bCs/>
                <w:color w:val="000000"/>
              </w:rPr>
              <w:t>Burden Hours per Response</w:t>
            </w:r>
            <w:r w:rsidRPr="009C27AA">
              <w:rPr>
                <w:b/>
                <w:bCs/>
                <w:color w:val="000000"/>
              </w:rPr>
              <w:br/>
              <w:t>(d)</w:t>
            </w:r>
          </w:p>
        </w:tc>
        <w:tc>
          <w:tcPr>
            <w:tcW w:w="674" w:type="pct"/>
            <w:shd w:val="clear" w:color="auto" w:fill="E0E0E0"/>
            <w:tcMar>
              <w:left w:w="0" w:type="dxa"/>
              <w:right w:w="0" w:type="dxa"/>
            </w:tcMar>
            <w:vAlign w:val="bottom"/>
            <w:hideMark/>
          </w:tcPr>
          <w:p w:rsidR="00187AF5" w:rsidRPr="009C27AA" w:rsidP="00187AF5" w14:paraId="6A33E9B4" w14:textId="77777777">
            <w:pPr>
              <w:widowControl/>
              <w:autoSpaceDE/>
              <w:autoSpaceDN/>
              <w:adjustRightInd/>
              <w:jc w:val="center"/>
              <w:rPr>
                <w:b/>
                <w:bCs/>
                <w:color w:val="000000"/>
              </w:rPr>
            </w:pPr>
            <w:r w:rsidRPr="009C27AA">
              <w:rPr>
                <w:b/>
                <w:bCs/>
                <w:color w:val="000000"/>
              </w:rPr>
              <w:t>Total Annual Burden Hours</w:t>
            </w:r>
            <w:r w:rsidRPr="009C27AA">
              <w:rPr>
                <w:b/>
                <w:bCs/>
                <w:color w:val="000000"/>
              </w:rPr>
              <w:br/>
              <w:t>(c × d = e)</w:t>
            </w:r>
          </w:p>
        </w:tc>
        <w:tc>
          <w:tcPr>
            <w:tcW w:w="910" w:type="pct"/>
            <w:shd w:val="clear" w:color="auto" w:fill="E0E0E0"/>
            <w:tcMar>
              <w:left w:w="0" w:type="dxa"/>
              <w:right w:w="0" w:type="dxa"/>
            </w:tcMar>
            <w:vAlign w:val="bottom"/>
            <w:hideMark/>
          </w:tcPr>
          <w:p w:rsidR="00187AF5" w:rsidRPr="009C27AA" w:rsidP="5ECFBCA2" w14:paraId="64997FA5" w14:textId="6B304F05">
            <w:pPr>
              <w:widowControl/>
              <w:spacing w:line="259" w:lineRule="auto"/>
              <w:jc w:val="center"/>
              <w:rPr>
                <w:b/>
                <w:bCs/>
                <w:color w:val="000000" w:themeColor="text1"/>
              </w:rPr>
            </w:pPr>
            <w:r w:rsidRPr="5ECFBCA2">
              <w:rPr>
                <w:b/>
                <w:bCs/>
                <w:color w:val="000000" w:themeColor="text1"/>
              </w:rPr>
              <w:t>Total Annual Respondent Cost</w:t>
            </w:r>
            <w:r>
              <w:br/>
            </w:r>
            <w:r w:rsidRPr="5ECFBCA2">
              <w:rPr>
                <w:b/>
                <w:bCs/>
                <w:color w:val="000000" w:themeColor="text1"/>
              </w:rPr>
              <w:t>(e × $</w:t>
            </w:r>
            <w:r w:rsidRPr="5ECFBCA2" w:rsidR="1BE672D2">
              <w:rPr>
                <w:b/>
                <w:bCs/>
                <w:color w:val="000000" w:themeColor="text1"/>
              </w:rPr>
              <w:t>33.18</w:t>
            </w:r>
            <w:r w:rsidRPr="5ECFBCA2">
              <w:rPr>
                <w:b/>
                <w:bCs/>
                <w:color w:val="000000" w:themeColor="text1"/>
              </w:rPr>
              <w:t>= f)</w:t>
            </w:r>
          </w:p>
        </w:tc>
      </w:tr>
      <w:tr w14:paraId="443A248D"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F7758" w:rsidRPr="009C27AA" w:rsidP="003F7758" w14:paraId="20577560" w14:textId="6D50E9B5">
            <w:pPr>
              <w:widowControl/>
              <w:autoSpaceDE/>
              <w:autoSpaceDN/>
              <w:adjustRightInd/>
              <w:jc w:val="center"/>
              <w:rPr>
                <w:color w:val="000000"/>
              </w:rPr>
            </w:pPr>
            <w:r w:rsidRPr="009C27AA">
              <w:rPr>
                <w:color w:val="000000"/>
              </w:rPr>
              <w:t>1</w:t>
            </w:r>
          </w:p>
        </w:tc>
        <w:tc>
          <w:tcPr>
            <w:tcW w:w="772" w:type="pct"/>
            <w:shd w:val="clear" w:color="auto" w:fill="auto"/>
            <w:tcMar>
              <w:left w:w="115" w:type="dxa"/>
              <w:right w:w="115" w:type="dxa"/>
            </w:tcMar>
          </w:tcPr>
          <w:p w:rsidR="003F7758" w:rsidRPr="00DB18FC" w:rsidP="003F7758" w14:paraId="563EB0D3" w14:textId="0FE97F1D">
            <w:pPr>
              <w:widowControl/>
              <w:autoSpaceDE/>
              <w:autoSpaceDN/>
              <w:adjustRightInd/>
              <w:jc w:val="center"/>
              <w:rPr>
                <w:color w:val="000000"/>
              </w:rPr>
            </w:pPr>
            <w:r w:rsidRPr="00E35F7D">
              <w:rPr>
                <w:color w:val="000000" w:themeColor="text1"/>
              </w:rPr>
              <w:t>426,181</w:t>
            </w:r>
          </w:p>
        </w:tc>
        <w:tc>
          <w:tcPr>
            <w:tcW w:w="721" w:type="pct"/>
            <w:shd w:val="clear" w:color="auto" w:fill="auto"/>
            <w:tcMar>
              <w:left w:w="115" w:type="dxa"/>
              <w:right w:w="115" w:type="dxa"/>
            </w:tcMar>
          </w:tcPr>
          <w:p w:rsidR="003F7758" w:rsidRPr="00DB18FC" w:rsidP="003F7758" w14:paraId="3E127D66" w14:textId="438B505D">
            <w:pPr>
              <w:widowControl/>
              <w:autoSpaceDE/>
              <w:autoSpaceDN/>
              <w:adjustRightInd/>
              <w:jc w:val="center"/>
              <w:rPr>
                <w:color w:val="000000"/>
              </w:rPr>
            </w:pPr>
            <w:r w:rsidRPr="00D64E77">
              <w:rPr>
                <w:color w:val="000000"/>
              </w:rPr>
              <w:t>1.25</w:t>
            </w:r>
          </w:p>
        </w:tc>
        <w:tc>
          <w:tcPr>
            <w:tcW w:w="674" w:type="pct"/>
            <w:shd w:val="clear" w:color="auto" w:fill="auto"/>
            <w:tcMar>
              <w:left w:w="115" w:type="dxa"/>
              <w:right w:w="115" w:type="dxa"/>
            </w:tcMar>
          </w:tcPr>
          <w:p w:rsidR="003F7758" w:rsidRPr="00F72F84" w:rsidP="003F7758" w14:paraId="6661775D" w14:textId="0BBE3F33">
            <w:pPr>
              <w:widowControl/>
              <w:autoSpaceDE/>
              <w:autoSpaceDN/>
              <w:adjustRightInd/>
              <w:jc w:val="center"/>
              <w:rPr>
                <w:color w:val="000000"/>
              </w:rPr>
            </w:pPr>
            <w:r w:rsidRPr="00E35F7D">
              <w:rPr>
                <w:color w:val="000000" w:themeColor="text1"/>
              </w:rPr>
              <w:t>532,726</w:t>
            </w:r>
          </w:p>
        </w:tc>
        <w:tc>
          <w:tcPr>
            <w:tcW w:w="529" w:type="pct"/>
            <w:shd w:val="clear" w:color="auto" w:fill="auto"/>
            <w:tcMar>
              <w:left w:w="115" w:type="dxa"/>
              <w:right w:w="115" w:type="dxa"/>
            </w:tcMar>
          </w:tcPr>
          <w:p w:rsidR="003F7758" w:rsidRPr="00DB18FC" w:rsidP="003F7758" w14:paraId="442D054C" w14:textId="7FE2A3E6">
            <w:pPr>
              <w:widowControl/>
              <w:autoSpaceDE/>
              <w:autoSpaceDN/>
              <w:adjustRightInd/>
              <w:jc w:val="center"/>
              <w:rPr>
                <w:color w:val="000000"/>
              </w:rPr>
            </w:pPr>
            <w:r w:rsidRPr="00D64E77">
              <w:rPr>
                <w:color w:val="000000"/>
              </w:rPr>
              <w:t xml:space="preserve">0.75 </w:t>
            </w:r>
          </w:p>
        </w:tc>
        <w:tc>
          <w:tcPr>
            <w:tcW w:w="674" w:type="pct"/>
            <w:shd w:val="clear" w:color="auto" w:fill="auto"/>
            <w:tcMar>
              <w:left w:w="115" w:type="dxa"/>
              <w:right w:w="115" w:type="dxa"/>
            </w:tcMar>
          </w:tcPr>
          <w:p w:rsidR="003F7758" w:rsidRPr="00F72F84" w:rsidP="003F7758" w14:paraId="0E311EA3" w14:textId="1C8B3BD4">
            <w:pPr>
              <w:widowControl/>
              <w:autoSpaceDE/>
              <w:autoSpaceDN/>
              <w:adjustRightInd/>
              <w:jc w:val="center"/>
              <w:rPr>
                <w:color w:val="000000"/>
              </w:rPr>
            </w:pPr>
            <w:r w:rsidRPr="00E35F7D">
              <w:rPr>
                <w:color w:val="000000" w:themeColor="text1"/>
              </w:rPr>
              <w:t>399,545</w:t>
            </w:r>
          </w:p>
        </w:tc>
        <w:tc>
          <w:tcPr>
            <w:tcW w:w="910" w:type="pct"/>
            <w:shd w:val="clear" w:color="auto" w:fill="auto"/>
            <w:tcMar>
              <w:left w:w="115" w:type="dxa"/>
              <w:right w:w="115" w:type="dxa"/>
            </w:tcMar>
          </w:tcPr>
          <w:p w:rsidR="003F7758" w:rsidRPr="00DB18FC" w:rsidP="5ECFBCA2" w14:paraId="0D710785" w14:textId="77ECBC10">
            <w:pPr>
              <w:widowControl/>
              <w:spacing w:line="259" w:lineRule="auto"/>
              <w:jc w:val="center"/>
              <w:rPr>
                <w:color w:val="000000" w:themeColor="text1"/>
              </w:rPr>
            </w:pPr>
            <w:r>
              <w:t xml:space="preserve"> $</w:t>
            </w:r>
            <w:r w:rsidR="015E854C">
              <w:t>13,258,723</w:t>
            </w:r>
          </w:p>
        </w:tc>
      </w:tr>
      <w:tr w14:paraId="1C147A55"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F7758" w:rsidRPr="009C27AA" w:rsidP="003F7758" w14:paraId="059907A6" w14:textId="1EA7B11E">
            <w:pPr>
              <w:widowControl/>
              <w:autoSpaceDE/>
              <w:autoSpaceDN/>
              <w:adjustRightInd/>
              <w:jc w:val="center"/>
              <w:rPr>
                <w:color w:val="000000"/>
              </w:rPr>
            </w:pPr>
            <w:r w:rsidRPr="009C27AA">
              <w:rPr>
                <w:color w:val="000000"/>
              </w:rPr>
              <w:t>2</w:t>
            </w:r>
          </w:p>
        </w:tc>
        <w:tc>
          <w:tcPr>
            <w:tcW w:w="772" w:type="pct"/>
            <w:shd w:val="clear" w:color="auto" w:fill="auto"/>
            <w:tcMar>
              <w:left w:w="115" w:type="dxa"/>
              <w:right w:w="115" w:type="dxa"/>
            </w:tcMar>
          </w:tcPr>
          <w:p w:rsidR="003F7758" w:rsidRPr="00DB18FC" w:rsidP="003F7758" w14:paraId="5AC71749" w14:textId="517B2A75">
            <w:pPr>
              <w:widowControl/>
              <w:autoSpaceDE/>
              <w:autoSpaceDN/>
              <w:adjustRightInd/>
              <w:jc w:val="center"/>
              <w:rPr>
                <w:color w:val="000000"/>
              </w:rPr>
            </w:pPr>
            <w:r w:rsidRPr="00E35F7D">
              <w:rPr>
                <w:color w:val="000000" w:themeColor="text1"/>
              </w:rPr>
              <w:t>427,136</w:t>
            </w:r>
          </w:p>
        </w:tc>
        <w:tc>
          <w:tcPr>
            <w:tcW w:w="721" w:type="pct"/>
            <w:shd w:val="clear" w:color="auto" w:fill="auto"/>
            <w:tcMar>
              <w:left w:w="115" w:type="dxa"/>
              <w:right w:w="115" w:type="dxa"/>
            </w:tcMar>
          </w:tcPr>
          <w:p w:rsidR="003F7758" w:rsidRPr="00DB18FC" w:rsidP="003F7758" w14:paraId="22D53D43" w14:textId="4A451244">
            <w:pPr>
              <w:widowControl/>
              <w:autoSpaceDE/>
              <w:autoSpaceDN/>
              <w:adjustRightInd/>
              <w:jc w:val="center"/>
              <w:rPr>
                <w:color w:val="000000"/>
              </w:rPr>
            </w:pPr>
            <w:r w:rsidRPr="00D64E77">
              <w:rPr>
                <w:color w:val="000000"/>
              </w:rPr>
              <w:t>1.25</w:t>
            </w:r>
          </w:p>
        </w:tc>
        <w:tc>
          <w:tcPr>
            <w:tcW w:w="674" w:type="pct"/>
            <w:shd w:val="clear" w:color="auto" w:fill="auto"/>
            <w:tcMar>
              <w:left w:w="115" w:type="dxa"/>
              <w:right w:w="115" w:type="dxa"/>
            </w:tcMar>
          </w:tcPr>
          <w:p w:rsidR="003F7758" w:rsidRPr="00F72F84" w:rsidP="003F7758" w14:paraId="699C02D6" w14:textId="7D189CD9">
            <w:pPr>
              <w:widowControl/>
              <w:autoSpaceDE/>
              <w:autoSpaceDN/>
              <w:adjustRightInd/>
              <w:jc w:val="center"/>
              <w:rPr>
                <w:color w:val="000000"/>
              </w:rPr>
            </w:pPr>
            <w:r w:rsidRPr="00E35F7D">
              <w:rPr>
                <w:color w:val="000000" w:themeColor="text1"/>
              </w:rPr>
              <w:t>533,920</w:t>
            </w:r>
          </w:p>
        </w:tc>
        <w:tc>
          <w:tcPr>
            <w:tcW w:w="529" w:type="pct"/>
            <w:shd w:val="clear" w:color="auto" w:fill="auto"/>
            <w:tcMar>
              <w:left w:w="115" w:type="dxa"/>
              <w:right w:w="115" w:type="dxa"/>
            </w:tcMar>
          </w:tcPr>
          <w:p w:rsidR="003F7758" w:rsidRPr="00DB18FC" w:rsidP="003F7758" w14:paraId="2125C13B" w14:textId="1AA108BF">
            <w:pPr>
              <w:widowControl/>
              <w:autoSpaceDE/>
              <w:autoSpaceDN/>
              <w:adjustRightInd/>
              <w:jc w:val="center"/>
              <w:rPr>
                <w:color w:val="000000"/>
              </w:rPr>
            </w:pPr>
            <w:r w:rsidRPr="00D64E77">
              <w:rPr>
                <w:color w:val="000000"/>
              </w:rPr>
              <w:t xml:space="preserve">0.75 </w:t>
            </w:r>
          </w:p>
        </w:tc>
        <w:tc>
          <w:tcPr>
            <w:tcW w:w="674" w:type="pct"/>
            <w:shd w:val="clear" w:color="auto" w:fill="auto"/>
            <w:tcMar>
              <w:left w:w="115" w:type="dxa"/>
              <w:right w:w="115" w:type="dxa"/>
            </w:tcMar>
          </w:tcPr>
          <w:p w:rsidR="003F7758" w:rsidRPr="00F72F84" w:rsidP="003F7758" w14:paraId="4072C714" w14:textId="34462293">
            <w:pPr>
              <w:widowControl/>
              <w:autoSpaceDE/>
              <w:autoSpaceDN/>
              <w:adjustRightInd/>
              <w:jc w:val="center"/>
              <w:rPr>
                <w:color w:val="000000"/>
              </w:rPr>
            </w:pPr>
            <w:r w:rsidRPr="00E35F7D">
              <w:rPr>
                <w:color w:val="000000" w:themeColor="text1"/>
              </w:rPr>
              <w:t>400,440</w:t>
            </w:r>
          </w:p>
        </w:tc>
        <w:tc>
          <w:tcPr>
            <w:tcW w:w="910" w:type="pct"/>
            <w:shd w:val="clear" w:color="auto" w:fill="auto"/>
            <w:tcMar>
              <w:left w:w="115" w:type="dxa"/>
              <w:right w:w="115" w:type="dxa"/>
            </w:tcMar>
          </w:tcPr>
          <w:p w:rsidR="003F7758" w:rsidRPr="00DB18FC" w:rsidP="5ECFBCA2" w14:paraId="0E4C3185" w14:textId="4FEE4082">
            <w:pPr>
              <w:widowControl/>
              <w:spacing w:line="259" w:lineRule="auto"/>
              <w:jc w:val="center"/>
              <w:rPr>
                <w:color w:val="000000" w:themeColor="text1"/>
              </w:rPr>
            </w:pPr>
            <w:r>
              <w:t xml:space="preserve"> $</w:t>
            </w:r>
            <w:r w:rsidR="7C7CC5D2">
              <w:t>13,288,422</w:t>
            </w:r>
            <w:r>
              <w:t xml:space="preserve"> </w:t>
            </w:r>
          </w:p>
        </w:tc>
      </w:tr>
      <w:tr w14:paraId="2316A5B3"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F7758" w:rsidRPr="009C27AA" w:rsidP="003F7758" w14:paraId="58A5DF80" w14:textId="7D1F32E7">
            <w:pPr>
              <w:widowControl/>
              <w:autoSpaceDE/>
              <w:autoSpaceDN/>
              <w:adjustRightInd/>
              <w:jc w:val="center"/>
              <w:rPr>
                <w:color w:val="000000"/>
              </w:rPr>
            </w:pPr>
            <w:r w:rsidRPr="009C27AA">
              <w:rPr>
                <w:color w:val="000000"/>
              </w:rPr>
              <w:t>3</w:t>
            </w:r>
          </w:p>
        </w:tc>
        <w:tc>
          <w:tcPr>
            <w:tcW w:w="772" w:type="pct"/>
            <w:shd w:val="clear" w:color="auto" w:fill="auto"/>
            <w:tcMar>
              <w:left w:w="115" w:type="dxa"/>
              <w:right w:w="115" w:type="dxa"/>
            </w:tcMar>
          </w:tcPr>
          <w:p w:rsidR="003F7758" w:rsidRPr="00DB18FC" w:rsidP="003F7758" w14:paraId="6E7C1C6C" w14:textId="52CB9CC8">
            <w:pPr>
              <w:widowControl/>
              <w:autoSpaceDE/>
              <w:autoSpaceDN/>
              <w:adjustRightInd/>
              <w:jc w:val="center"/>
              <w:rPr>
                <w:color w:val="000000"/>
              </w:rPr>
            </w:pPr>
            <w:r w:rsidRPr="00E35F7D">
              <w:rPr>
                <w:color w:val="000000" w:themeColor="text1"/>
              </w:rPr>
              <w:t>428,092</w:t>
            </w:r>
          </w:p>
        </w:tc>
        <w:tc>
          <w:tcPr>
            <w:tcW w:w="721" w:type="pct"/>
            <w:shd w:val="clear" w:color="auto" w:fill="auto"/>
            <w:tcMar>
              <w:left w:w="115" w:type="dxa"/>
              <w:right w:w="115" w:type="dxa"/>
            </w:tcMar>
          </w:tcPr>
          <w:p w:rsidR="003F7758" w:rsidRPr="00DB18FC" w:rsidP="003F7758" w14:paraId="2A5B3CCB" w14:textId="28AC6DA9">
            <w:pPr>
              <w:widowControl/>
              <w:autoSpaceDE/>
              <w:autoSpaceDN/>
              <w:adjustRightInd/>
              <w:jc w:val="center"/>
              <w:rPr>
                <w:color w:val="000000"/>
              </w:rPr>
            </w:pPr>
            <w:r w:rsidRPr="00D64E77">
              <w:rPr>
                <w:color w:val="000000"/>
              </w:rPr>
              <w:t>1.25</w:t>
            </w:r>
          </w:p>
        </w:tc>
        <w:tc>
          <w:tcPr>
            <w:tcW w:w="674" w:type="pct"/>
            <w:shd w:val="clear" w:color="auto" w:fill="auto"/>
            <w:tcMar>
              <w:left w:w="115" w:type="dxa"/>
              <w:right w:w="115" w:type="dxa"/>
            </w:tcMar>
          </w:tcPr>
          <w:p w:rsidR="003F7758" w:rsidRPr="00DB18FC" w:rsidP="003F7758" w14:paraId="0937FE68" w14:textId="105343B4">
            <w:pPr>
              <w:widowControl/>
              <w:autoSpaceDE/>
              <w:autoSpaceDN/>
              <w:adjustRightInd/>
              <w:jc w:val="center"/>
              <w:rPr>
                <w:color w:val="000000"/>
              </w:rPr>
            </w:pPr>
            <w:r w:rsidRPr="00E35F7D">
              <w:rPr>
                <w:color w:val="000000" w:themeColor="text1"/>
              </w:rPr>
              <w:t>535,116</w:t>
            </w:r>
          </w:p>
        </w:tc>
        <w:tc>
          <w:tcPr>
            <w:tcW w:w="529" w:type="pct"/>
            <w:shd w:val="clear" w:color="auto" w:fill="auto"/>
            <w:tcMar>
              <w:left w:w="115" w:type="dxa"/>
              <w:right w:w="115" w:type="dxa"/>
            </w:tcMar>
          </w:tcPr>
          <w:p w:rsidR="003F7758" w:rsidRPr="00DB18FC" w:rsidP="003F7758" w14:paraId="44279A46" w14:textId="2FE1AFF7">
            <w:pPr>
              <w:widowControl/>
              <w:autoSpaceDE/>
              <w:autoSpaceDN/>
              <w:adjustRightInd/>
              <w:jc w:val="center"/>
              <w:rPr>
                <w:color w:val="000000"/>
              </w:rPr>
            </w:pPr>
            <w:r w:rsidRPr="00D64E77">
              <w:rPr>
                <w:color w:val="000000"/>
              </w:rPr>
              <w:t xml:space="preserve">0.75 </w:t>
            </w:r>
          </w:p>
        </w:tc>
        <w:tc>
          <w:tcPr>
            <w:tcW w:w="674" w:type="pct"/>
            <w:shd w:val="clear" w:color="auto" w:fill="auto"/>
            <w:tcMar>
              <w:left w:w="115" w:type="dxa"/>
              <w:right w:w="115" w:type="dxa"/>
            </w:tcMar>
          </w:tcPr>
          <w:p w:rsidR="003F7758" w:rsidRPr="00DB18FC" w:rsidP="003F7758" w14:paraId="3E5635A3" w14:textId="65590058">
            <w:pPr>
              <w:widowControl/>
              <w:autoSpaceDE/>
              <w:autoSpaceDN/>
              <w:adjustRightInd/>
              <w:jc w:val="center"/>
              <w:rPr>
                <w:color w:val="000000"/>
              </w:rPr>
            </w:pPr>
            <w:r w:rsidRPr="00E35F7D">
              <w:rPr>
                <w:color w:val="000000" w:themeColor="text1"/>
              </w:rPr>
              <w:t>401,337</w:t>
            </w:r>
          </w:p>
        </w:tc>
        <w:tc>
          <w:tcPr>
            <w:tcW w:w="910" w:type="pct"/>
            <w:shd w:val="clear" w:color="auto" w:fill="auto"/>
            <w:tcMar>
              <w:left w:w="115" w:type="dxa"/>
              <w:right w:w="115" w:type="dxa"/>
            </w:tcMar>
          </w:tcPr>
          <w:p w:rsidR="003F7758" w:rsidRPr="00DB18FC" w:rsidP="5ECFBCA2" w14:paraId="0C548FA0" w14:textId="3C3CB28C">
            <w:pPr>
              <w:widowControl/>
              <w:spacing w:line="259" w:lineRule="auto"/>
              <w:jc w:val="center"/>
              <w:rPr>
                <w:color w:val="000000" w:themeColor="text1"/>
              </w:rPr>
            </w:pPr>
            <w:r>
              <w:t xml:space="preserve"> $</w:t>
            </w:r>
            <w:r w:rsidR="62174E51">
              <w:t>13,318,188</w:t>
            </w:r>
            <w:r>
              <w:t xml:space="preserve"> </w:t>
            </w:r>
          </w:p>
        </w:tc>
      </w:tr>
      <w:tr w14:paraId="678E732E"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F7758" w:rsidRPr="009C27AA" w:rsidP="003F7758" w14:paraId="36DF7CD3" w14:textId="353608C9">
            <w:pPr>
              <w:widowControl/>
              <w:autoSpaceDE/>
              <w:autoSpaceDN/>
              <w:adjustRightInd/>
              <w:jc w:val="center"/>
              <w:rPr>
                <w:color w:val="000000"/>
              </w:rPr>
            </w:pPr>
            <w:r w:rsidRPr="009C27AA">
              <w:rPr>
                <w:color w:val="000000"/>
              </w:rPr>
              <w:t>Total</w:t>
            </w:r>
          </w:p>
        </w:tc>
        <w:tc>
          <w:tcPr>
            <w:tcW w:w="772" w:type="pct"/>
            <w:shd w:val="clear" w:color="auto" w:fill="auto"/>
            <w:tcMar>
              <w:left w:w="115" w:type="dxa"/>
              <w:right w:w="115" w:type="dxa"/>
            </w:tcMar>
          </w:tcPr>
          <w:p w:rsidR="003F7758" w:rsidRPr="00DB18FC" w:rsidP="003F7758" w14:paraId="36C4785B" w14:textId="58E70568">
            <w:pPr>
              <w:widowControl/>
              <w:autoSpaceDE/>
              <w:autoSpaceDN/>
              <w:adjustRightInd/>
              <w:jc w:val="center"/>
              <w:rPr>
                <w:color w:val="000000"/>
              </w:rPr>
            </w:pPr>
            <w:r>
              <w:rPr>
                <w:color w:val="000000"/>
              </w:rPr>
              <w:t xml:space="preserve"> </w:t>
            </w:r>
            <w:r w:rsidRPr="00E35F7D">
              <w:rPr>
                <w:color w:val="000000" w:themeColor="text1"/>
              </w:rPr>
              <w:t xml:space="preserve">1,281,409 </w:t>
            </w:r>
          </w:p>
        </w:tc>
        <w:tc>
          <w:tcPr>
            <w:tcW w:w="721" w:type="pct"/>
            <w:shd w:val="clear" w:color="auto" w:fill="auto"/>
            <w:tcMar>
              <w:left w:w="115" w:type="dxa"/>
              <w:right w:w="115" w:type="dxa"/>
            </w:tcMar>
          </w:tcPr>
          <w:p w:rsidR="003F7758" w:rsidRPr="00DB18FC" w:rsidP="003F7758" w14:paraId="2A49FC66" w14:textId="7B738C8D">
            <w:pPr>
              <w:widowControl/>
              <w:autoSpaceDE/>
              <w:autoSpaceDN/>
              <w:adjustRightInd/>
              <w:jc w:val="center"/>
              <w:rPr>
                <w:color w:val="000000"/>
              </w:rPr>
            </w:pPr>
            <w:r w:rsidRPr="00D64E77">
              <w:rPr>
                <w:color w:val="000000"/>
              </w:rPr>
              <w:t xml:space="preserve">- </w:t>
            </w:r>
          </w:p>
        </w:tc>
        <w:tc>
          <w:tcPr>
            <w:tcW w:w="674" w:type="pct"/>
            <w:shd w:val="clear" w:color="auto" w:fill="auto"/>
            <w:tcMar>
              <w:left w:w="115" w:type="dxa"/>
              <w:right w:w="115" w:type="dxa"/>
            </w:tcMar>
          </w:tcPr>
          <w:p w:rsidR="003F7758" w:rsidRPr="00F72F84" w:rsidP="003F7758" w14:paraId="73649783" w14:textId="43B948ED">
            <w:pPr>
              <w:widowControl/>
              <w:autoSpaceDE/>
              <w:autoSpaceDN/>
              <w:adjustRightInd/>
              <w:jc w:val="center"/>
              <w:rPr>
                <w:color w:val="000000"/>
              </w:rPr>
            </w:pPr>
            <w:r>
              <w:rPr>
                <w:color w:val="000000"/>
              </w:rPr>
              <w:t xml:space="preserve"> </w:t>
            </w:r>
            <w:r w:rsidRPr="00E35F7D">
              <w:rPr>
                <w:color w:val="000000" w:themeColor="text1"/>
              </w:rPr>
              <w:t xml:space="preserve">1,601,762 </w:t>
            </w:r>
          </w:p>
        </w:tc>
        <w:tc>
          <w:tcPr>
            <w:tcW w:w="529" w:type="pct"/>
            <w:shd w:val="clear" w:color="auto" w:fill="auto"/>
            <w:tcMar>
              <w:left w:w="115" w:type="dxa"/>
              <w:right w:w="115" w:type="dxa"/>
            </w:tcMar>
          </w:tcPr>
          <w:p w:rsidR="003F7758" w:rsidRPr="00DB18FC" w:rsidP="003F7758" w14:paraId="75158136" w14:textId="39699A4E">
            <w:pPr>
              <w:widowControl/>
              <w:autoSpaceDE/>
              <w:autoSpaceDN/>
              <w:adjustRightInd/>
              <w:jc w:val="center"/>
              <w:rPr>
                <w:color w:val="000000"/>
              </w:rPr>
            </w:pPr>
            <w:r w:rsidRPr="00D64E77">
              <w:rPr>
                <w:color w:val="000000"/>
              </w:rPr>
              <w:t xml:space="preserve">- </w:t>
            </w:r>
          </w:p>
        </w:tc>
        <w:tc>
          <w:tcPr>
            <w:tcW w:w="674" w:type="pct"/>
            <w:shd w:val="clear" w:color="auto" w:fill="auto"/>
            <w:tcMar>
              <w:left w:w="115" w:type="dxa"/>
              <w:right w:w="115" w:type="dxa"/>
            </w:tcMar>
          </w:tcPr>
          <w:p w:rsidR="003F7758" w:rsidRPr="00F72F84" w:rsidP="003F7758" w14:paraId="550AE1F0" w14:textId="362F81AB">
            <w:pPr>
              <w:widowControl/>
              <w:autoSpaceDE/>
              <w:autoSpaceDN/>
              <w:adjustRightInd/>
              <w:jc w:val="center"/>
              <w:rPr>
                <w:color w:val="000000"/>
              </w:rPr>
            </w:pPr>
            <w:r w:rsidRPr="00E35F7D">
              <w:rPr>
                <w:color w:val="000000" w:themeColor="text1"/>
              </w:rPr>
              <w:t>1,201,321</w:t>
            </w:r>
          </w:p>
        </w:tc>
        <w:tc>
          <w:tcPr>
            <w:tcW w:w="910" w:type="pct"/>
            <w:shd w:val="clear" w:color="auto" w:fill="auto"/>
            <w:tcMar>
              <w:left w:w="115" w:type="dxa"/>
              <w:right w:w="115" w:type="dxa"/>
            </w:tcMar>
          </w:tcPr>
          <w:p w:rsidR="003F7758" w:rsidRPr="00DB18FC" w:rsidP="5ECFBCA2" w14:paraId="1D8A8EA1" w14:textId="1F5048B9">
            <w:pPr>
              <w:widowControl/>
              <w:spacing w:line="259" w:lineRule="auto"/>
              <w:jc w:val="center"/>
              <w:rPr>
                <w:color w:val="000000" w:themeColor="text1"/>
              </w:rPr>
            </w:pPr>
            <w:r>
              <w:t xml:space="preserve"> $</w:t>
            </w:r>
            <w:r w:rsidR="71E07DBE">
              <w:t>39,865,333</w:t>
            </w:r>
            <w:r>
              <w:t xml:space="preserve"> </w:t>
            </w:r>
          </w:p>
        </w:tc>
      </w:tr>
      <w:tr w14:paraId="2C8539E7"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F7758" w:rsidRPr="009C27AA" w:rsidP="003F7758" w14:paraId="5EE58A7E" w14:textId="103F3A77">
            <w:pPr>
              <w:widowControl/>
              <w:autoSpaceDE/>
              <w:autoSpaceDN/>
              <w:adjustRightInd/>
              <w:jc w:val="center"/>
              <w:rPr>
                <w:color w:val="000000"/>
              </w:rPr>
            </w:pPr>
            <w:r w:rsidRPr="009C27AA">
              <w:rPr>
                <w:color w:val="000000"/>
              </w:rPr>
              <w:t>Annualized</w:t>
            </w:r>
          </w:p>
        </w:tc>
        <w:tc>
          <w:tcPr>
            <w:tcW w:w="772" w:type="pct"/>
            <w:shd w:val="clear" w:color="auto" w:fill="auto"/>
            <w:tcMar>
              <w:left w:w="115" w:type="dxa"/>
              <w:right w:w="115" w:type="dxa"/>
            </w:tcMar>
          </w:tcPr>
          <w:p w:rsidR="003F7758" w:rsidRPr="00DB18FC" w:rsidP="003F7758" w14:paraId="26FEFB5C" w14:textId="043A8D43">
            <w:pPr>
              <w:widowControl/>
              <w:autoSpaceDE/>
              <w:autoSpaceDN/>
              <w:adjustRightInd/>
              <w:jc w:val="center"/>
              <w:rPr>
                <w:color w:val="000000"/>
              </w:rPr>
            </w:pPr>
            <w:bookmarkStart w:id="13" w:name="_Hlk514354247"/>
            <w:r>
              <w:rPr>
                <w:color w:val="000000"/>
              </w:rPr>
              <w:t xml:space="preserve"> </w:t>
            </w:r>
            <w:r w:rsidRPr="00E35F7D">
              <w:rPr>
                <w:color w:val="000000" w:themeColor="text1"/>
              </w:rPr>
              <w:t xml:space="preserve">427,136 </w:t>
            </w:r>
            <w:bookmarkEnd w:id="13"/>
          </w:p>
        </w:tc>
        <w:tc>
          <w:tcPr>
            <w:tcW w:w="721" w:type="pct"/>
            <w:shd w:val="clear" w:color="auto" w:fill="auto"/>
            <w:tcMar>
              <w:left w:w="115" w:type="dxa"/>
              <w:right w:w="115" w:type="dxa"/>
            </w:tcMar>
          </w:tcPr>
          <w:p w:rsidR="003F7758" w:rsidRPr="00DB18FC" w:rsidP="003F7758" w14:paraId="1EFDCE5E" w14:textId="072FFEA8">
            <w:pPr>
              <w:widowControl/>
              <w:autoSpaceDE/>
              <w:autoSpaceDN/>
              <w:adjustRightInd/>
              <w:jc w:val="center"/>
              <w:rPr>
                <w:color w:val="000000"/>
              </w:rPr>
            </w:pPr>
            <w:r w:rsidRPr="00D64E77">
              <w:rPr>
                <w:color w:val="000000"/>
              </w:rPr>
              <w:t xml:space="preserve">- </w:t>
            </w:r>
          </w:p>
        </w:tc>
        <w:tc>
          <w:tcPr>
            <w:tcW w:w="674" w:type="pct"/>
            <w:shd w:val="clear" w:color="auto" w:fill="auto"/>
            <w:tcMar>
              <w:left w:w="115" w:type="dxa"/>
              <w:right w:w="115" w:type="dxa"/>
            </w:tcMar>
          </w:tcPr>
          <w:p w:rsidR="003F7758" w:rsidRPr="00DB18FC" w:rsidP="003F7758" w14:paraId="09E2ACBE" w14:textId="5549F64B">
            <w:pPr>
              <w:widowControl/>
              <w:autoSpaceDE/>
              <w:autoSpaceDN/>
              <w:adjustRightInd/>
              <w:jc w:val="center"/>
              <w:rPr>
                <w:color w:val="000000"/>
              </w:rPr>
            </w:pPr>
            <w:r w:rsidRPr="00E35F7D">
              <w:rPr>
                <w:color w:val="000000" w:themeColor="text1"/>
              </w:rPr>
              <w:t>533,921</w:t>
            </w:r>
          </w:p>
        </w:tc>
        <w:tc>
          <w:tcPr>
            <w:tcW w:w="529" w:type="pct"/>
            <w:shd w:val="clear" w:color="auto" w:fill="auto"/>
            <w:tcMar>
              <w:left w:w="115" w:type="dxa"/>
              <w:right w:w="115" w:type="dxa"/>
            </w:tcMar>
          </w:tcPr>
          <w:p w:rsidR="003F7758" w:rsidRPr="00DB18FC" w:rsidP="003F7758" w14:paraId="5809982A" w14:textId="2EFA9C82">
            <w:pPr>
              <w:widowControl/>
              <w:autoSpaceDE/>
              <w:autoSpaceDN/>
              <w:adjustRightInd/>
              <w:jc w:val="center"/>
              <w:rPr>
                <w:color w:val="000000"/>
              </w:rPr>
            </w:pPr>
            <w:r w:rsidRPr="00D64E77">
              <w:rPr>
                <w:color w:val="000000"/>
              </w:rPr>
              <w:t xml:space="preserve">- </w:t>
            </w:r>
          </w:p>
        </w:tc>
        <w:tc>
          <w:tcPr>
            <w:tcW w:w="674" w:type="pct"/>
            <w:shd w:val="clear" w:color="auto" w:fill="auto"/>
            <w:tcMar>
              <w:left w:w="115" w:type="dxa"/>
              <w:right w:w="115" w:type="dxa"/>
            </w:tcMar>
          </w:tcPr>
          <w:p w:rsidR="003F7758" w:rsidRPr="00F72F84" w:rsidP="003F7758" w14:paraId="031F645E" w14:textId="117A6E01">
            <w:pPr>
              <w:widowControl/>
              <w:autoSpaceDE/>
              <w:autoSpaceDN/>
              <w:adjustRightInd/>
              <w:jc w:val="center"/>
              <w:rPr>
                <w:color w:val="000000"/>
              </w:rPr>
            </w:pPr>
            <w:r w:rsidRPr="00E35F7D">
              <w:rPr>
                <w:color w:val="000000" w:themeColor="text1"/>
              </w:rPr>
              <w:t>400,440</w:t>
            </w:r>
          </w:p>
        </w:tc>
        <w:tc>
          <w:tcPr>
            <w:tcW w:w="910" w:type="pct"/>
            <w:shd w:val="clear" w:color="auto" w:fill="auto"/>
            <w:tcMar>
              <w:left w:w="115" w:type="dxa"/>
              <w:right w:w="115" w:type="dxa"/>
            </w:tcMar>
          </w:tcPr>
          <w:p w:rsidR="003F7758" w:rsidRPr="00DB18FC" w:rsidP="5ECFBCA2" w14:paraId="665A2D35" w14:textId="0DC7A591">
            <w:pPr>
              <w:widowControl/>
              <w:spacing w:line="259" w:lineRule="auto"/>
              <w:jc w:val="center"/>
              <w:rPr>
                <w:color w:val="000000" w:themeColor="text1"/>
              </w:rPr>
            </w:pPr>
            <w:r>
              <w:t xml:space="preserve"> $</w:t>
            </w:r>
            <w:r w:rsidR="434DAD2D">
              <w:t>13,288,444</w:t>
            </w:r>
            <w:r>
              <w:t xml:space="preserve"> </w:t>
            </w:r>
          </w:p>
        </w:tc>
      </w:tr>
    </w:tbl>
    <w:p w:rsidR="00FA4698" w:rsidRPr="007E65CF" w:rsidP="00722B85" w14:paraId="06AD4569" w14:textId="77777777">
      <w:pPr>
        <w:widowControl/>
        <w:rPr>
          <w:sz w:val="18"/>
          <w:szCs w:val="18"/>
        </w:rPr>
      </w:pPr>
      <w:r>
        <w:rPr>
          <w:sz w:val="18"/>
          <w:szCs w:val="18"/>
        </w:rPr>
        <w:t>Totals are the product of unrounded components</w:t>
      </w:r>
      <w:r w:rsidRPr="007E65CF">
        <w:rPr>
          <w:sz w:val="18"/>
          <w:szCs w:val="18"/>
        </w:rPr>
        <w:t>.</w:t>
      </w:r>
    </w:p>
    <w:p w:rsidR="00F133A4" w:rsidP="00722B85" w14:paraId="6A211AF8" w14:textId="68357AA1">
      <w:pPr>
        <w:widowControl/>
      </w:pPr>
    </w:p>
    <w:p w:rsidR="00F133A4" w:rsidP="5ECFBCA2" w14:paraId="59687232" w14:textId="568AB9DE">
      <w:pPr>
        <w:widowControl/>
        <w:spacing w:line="259" w:lineRule="auto"/>
      </w:pPr>
      <w:r>
        <w:t xml:space="preserve">During the first year of this ICR, </w:t>
      </w:r>
      <w:r w:rsidR="4932A46A">
        <w:t>426,181</w:t>
      </w:r>
      <w:r>
        <w:t xml:space="preserve"> driver applicants will attempt the skills test.  Approximately </w:t>
      </w:r>
      <w:r w:rsidR="00B74A87">
        <w:t>25</w:t>
      </w:r>
      <w:r>
        <w:t xml:space="preserve"> percent will fail and retake the test, resulting in </w:t>
      </w:r>
      <w:r w:rsidR="4F993ACE">
        <w:t>532,726</w:t>
      </w:r>
      <w:r>
        <w:t xml:space="preserve"> responses (</w:t>
      </w:r>
      <w:r w:rsidR="7B09727C">
        <w:t>426,181</w:t>
      </w:r>
      <w:r>
        <w:t xml:space="preserve"> × 1.</w:t>
      </w:r>
      <w:r w:rsidR="00B74A87">
        <w:t>2</w:t>
      </w:r>
      <w:r>
        <w:t xml:space="preserve">5) and </w:t>
      </w:r>
      <w:r w:rsidR="37CB0FAD">
        <w:t>799,089</w:t>
      </w:r>
      <w:r>
        <w:t xml:space="preserve"> burden hours (</w:t>
      </w:r>
      <w:r w:rsidR="2AB7AD10">
        <w:t>532,726</w:t>
      </w:r>
      <w:r>
        <w:t xml:space="preserve"> × 1.5 hours), at a</w:t>
      </w:r>
      <w:r w:rsidR="003F7758">
        <w:t>n annualized</w:t>
      </w:r>
      <w:r>
        <w:t xml:space="preserve"> cost of $</w:t>
      </w:r>
      <w:r w:rsidR="05ADC055">
        <w:t>26,517,446</w:t>
      </w:r>
      <w:r w:rsidR="000F2059">
        <w:t xml:space="preserve"> (</w:t>
      </w:r>
      <w:r w:rsidR="20697EE8">
        <w:t>799,089</w:t>
      </w:r>
      <w:r w:rsidR="00B74A87">
        <w:t xml:space="preserve"> </w:t>
      </w:r>
      <w:r w:rsidR="000F2059">
        <w:t>× $</w:t>
      </w:r>
      <w:r w:rsidR="432B1C06">
        <w:t>33.18</w:t>
      </w:r>
      <w:r w:rsidR="000F2059">
        <w:t xml:space="preserve"> per hour) </w:t>
      </w:r>
      <w:r>
        <w:t>(</w:t>
      </w:r>
      <w:r>
        <w:fldChar w:fldCharType="begin"/>
      </w:r>
      <w:r>
        <w:instrText xml:space="preserve"> REF _Ref508099220 \h  \* MERGEFORMAT </w:instrText>
      </w:r>
      <w:r>
        <w:fldChar w:fldCharType="separate"/>
      </w:r>
      <w:r w:rsidR="006A6CBC">
        <w:t xml:space="preserve">Table </w:t>
      </w:r>
      <w:r w:rsidRPr="5ECFBCA2" w:rsidR="006A6CBC">
        <w:rPr>
          <w:noProof/>
        </w:rPr>
        <w:t>7</w:t>
      </w:r>
      <w:r>
        <w:fldChar w:fldCharType="end"/>
      </w:r>
      <w:r>
        <w:t>).</w:t>
      </w:r>
    </w:p>
    <w:p w:rsidR="00392752" w:rsidRPr="001407E9" w:rsidP="0063660E" w14:paraId="1DEDB00D" w14:textId="77777777">
      <w:pPr>
        <w:widowControl/>
      </w:pPr>
    </w:p>
    <w:p w:rsidR="002245A4" w:rsidRPr="00D64E77" w:rsidP="00722B85" w14:paraId="56E56CEB" w14:textId="563BA4F4">
      <w:pPr>
        <w:pStyle w:val="Caption"/>
        <w:keepNext/>
        <w:widowControl/>
      </w:pPr>
      <w:bookmarkStart w:id="14" w:name="_Ref508099220"/>
      <w:r w:rsidRPr="00D64E77">
        <w:t xml:space="preserve">Table </w:t>
      </w:r>
      <w:r>
        <w:fldChar w:fldCharType="begin"/>
      </w:r>
      <w:r>
        <w:instrText>SEQ Table \* ARABIC</w:instrText>
      </w:r>
      <w:r>
        <w:fldChar w:fldCharType="separate"/>
      </w:r>
      <w:r w:rsidR="006A6CBC">
        <w:rPr>
          <w:noProof/>
        </w:rPr>
        <w:t>7</w:t>
      </w:r>
      <w:r>
        <w:fldChar w:fldCharType="end"/>
      </w:r>
      <w:bookmarkEnd w:id="14"/>
      <w:r w:rsidRPr="00D64E77">
        <w:t xml:space="preserve">. Driver </w:t>
      </w:r>
      <w:r w:rsidRPr="00D64E77" w:rsidR="002D66E6">
        <w:t>Completion of Skills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5"/>
        <w:gridCol w:w="1350"/>
        <w:gridCol w:w="1350"/>
        <w:gridCol w:w="1260"/>
        <w:gridCol w:w="1081"/>
        <w:gridCol w:w="1348"/>
        <w:gridCol w:w="1616"/>
      </w:tblGrid>
      <w:tr w14:paraId="308FE39C"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55"/>
        </w:trPr>
        <w:tc>
          <w:tcPr>
            <w:tcW w:w="719" w:type="pct"/>
            <w:shd w:val="clear" w:color="auto" w:fill="E0E0E0"/>
            <w:tcMar>
              <w:left w:w="0" w:type="dxa"/>
              <w:right w:w="0" w:type="dxa"/>
            </w:tcMar>
            <w:vAlign w:val="bottom"/>
            <w:hideMark/>
          </w:tcPr>
          <w:p w:rsidR="002245A4" w:rsidRPr="009C27AA" w:rsidP="00AC6C69" w14:paraId="3A905348" w14:textId="77777777">
            <w:pPr>
              <w:widowControl/>
              <w:autoSpaceDE/>
              <w:autoSpaceDN/>
              <w:adjustRightInd/>
              <w:jc w:val="center"/>
              <w:rPr>
                <w:b/>
                <w:bCs/>
                <w:color w:val="000000"/>
              </w:rPr>
            </w:pPr>
            <w:r w:rsidRPr="009C27AA">
              <w:rPr>
                <w:b/>
                <w:bCs/>
                <w:color w:val="000000"/>
              </w:rPr>
              <w:t>Year</w:t>
            </w:r>
          </w:p>
        </w:tc>
        <w:tc>
          <w:tcPr>
            <w:tcW w:w="722" w:type="pct"/>
            <w:shd w:val="clear" w:color="auto" w:fill="E0E0E0"/>
            <w:tcMar>
              <w:left w:w="0" w:type="dxa"/>
              <w:right w:w="0" w:type="dxa"/>
            </w:tcMar>
            <w:vAlign w:val="bottom"/>
            <w:hideMark/>
          </w:tcPr>
          <w:p w:rsidR="002245A4" w:rsidRPr="009C27AA" w:rsidP="00AC6C69" w14:paraId="4DD7B7D0" w14:textId="77777777">
            <w:pPr>
              <w:widowControl/>
              <w:autoSpaceDE/>
              <w:autoSpaceDN/>
              <w:adjustRightInd/>
              <w:jc w:val="center"/>
              <w:rPr>
                <w:b/>
                <w:bCs/>
                <w:color w:val="000000"/>
              </w:rPr>
            </w:pPr>
            <w:r w:rsidRPr="009C27AA">
              <w:rPr>
                <w:b/>
                <w:bCs/>
                <w:color w:val="000000"/>
              </w:rPr>
              <w:t>Respondents</w:t>
            </w:r>
            <w:r w:rsidRPr="009C27AA">
              <w:rPr>
                <w:b/>
                <w:bCs/>
                <w:color w:val="000000"/>
              </w:rPr>
              <w:br/>
              <w:t>(a)</w:t>
            </w:r>
          </w:p>
        </w:tc>
        <w:tc>
          <w:tcPr>
            <w:tcW w:w="722" w:type="pct"/>
            <w:shd w:val="clear" w:color="auto" w:fill="E0E0E0"/>
            <w:tcMar>
              <w:left w:w="0" w:type="dxa"/>
              <w:right w:w="0" w:type="dxa"/>
            </w:tcMar>
            <w:vAlign w:val="bottom"/>
            <w:hideMark/>
          </w:tcPr>
          <w:p w:rsidR="002245A4" w:rsidRPr="009C27AA" w:rsidP="00AC6C69" w14:paraId="67B38B6A" w14:textId="77777777">
            <w:pPr>
              <w:widowControl/>
              <w:autoSpaceDE/>
              <w:autoSpaceDN/>
              <w:adjustRightInd/>
              <w:jc w:val="center"/>
              <w:rPr>
                <w:b/>
                <w:bCs/>
                <w:color w:val="000000"/>
              </w:rPr>
            </w:pPr>
            <w:r w:rsidRPr="009C27AA">
              <w:rPr>
                <w:b/>
                <w:bCs/>
                <w:color w:val="000000"/>
              </w:rPr>
              <w:t>Responses per Respondent</w:t>
            </w:r>
            <w:r w:rsidRPr="009C27AA">
              <w:rPr>
                <w:b/>
                <w:bCs/>
                <w:color w:val="000000"/>
              </w:rPr>
              <w:br/>
              <w:t>(b)</w:t>
            </w:r>
          </w:p>
        </w:tc>
        <w:tc>
          <w:tcPr>
            <w:tcW w:w="674" w:type="pct"/>
            <w:shd w:val="clear" w:color="auto" w:fill="E0E0E0"/>
            <w:tcMar>
              <w:left w:w="0" w:type="dxa"/>
              <w:right w:w="0" w:type="dxa"/>
            </w:tcMar>
            <w:vAlign w:val="bottom"/>
            <w:hideMark/>
          </w:tcPr>
          <w:p w:rsidR="002245A4" w:rsidRPr="009C27AA" w:rsidP="00AC6C69" w14:paraId="6DF84E14" w14:textId="77777777">
            <w:pPr>
              <w:widowControl/>
              <w:autoSpaceDE/>
              <w:autoSpaceDN/>
              <w:adjustRightInd/>
              <w:jc w:val="center"/>
              <w:rPr>
                <w:b/>
                <w:bCs/>
                <w:color w:val="000000"/>
              </w:rPr>
            </w:pPr>
            <w:r w:rsidRPr="009C27AA">
              <w:rPr>
                <w:b/>
                <w:bCs/>
                <w:color w:val="000000"/>
              </w:rPr>
              <w:t>Total Annual Responses</w:t>
            </w:r>
            <w:r w:rsidRPr="009C27AA">
              <w:rPr>
                <w:b/>
                <w:bCs/>
                <w:color w:val="000000"/>
              </w:rPr>
              <w:br/>
              <w:t>(a × b = c)</w:t>
            </w:r>
          </w:p>
        </w:tc>
        <w:tc>
          <w:tcPr>
            <w:tcW w:w="578" w:type="pct"/>
            <w:shd w:val="clear" w:color="auto" w:fill="E0E0E0"/>
            <w:tcMar>
              <w:left w:w="0" w:type="dxa"/>
              <w:right w:w="0" w:type="dxa"/>
            </w:tcMar>
            <w:vAlign w:val="bottom"/>
            <w:hideMark/>
          </w:tcPr>
          <w:p w:rsidR="002245A4" w:rsidRPr="009C27AA" w:rsidP="00AC6C69" w14:paraId="69D836AC" w14:textId="77777777">
            <w:pPr>
              <w:widowControl/>
              <w:autoSpaceDE/>
              <w:autoSpaceDN/>
              <w:adjustRightInd/>
              <w:jc w:val="center"/>
              <w:rPr>
                <w:b/>
                <w:bCs/>
                <w:color w:val="000000"/>
              </w:rPr>
            </w:pPr>
            <w:r w:rsidRPr="009C27AA">
              <w:rPr>
                <w:b/>
                <w:bCs/>
                <w:color w:val="000000"/>
              </w:rPr>
              <w:t>Burden Hours per Response</w:t>
            </w:r>
            <w:r w:rsidRPr="009C27AA">
              <w:rPr>
                <w:b/>
                <w:bCs/>
                <w:color w:val="000000"/>
              </w:rPr>
              <w:br/>
              <w:t>(d)</w:t>
            </w:r>
          </w:p>
        </w:tc>
        <w:tc>
          <w:tcPr>
            <w:tcW w:w="721" w:type="pct"/>
            <w:shd w:val="clear" w:color="auto" w:fill="E0E0E0"/>
            <w:tcMar>
              <w:left w:w="0" w:type="dxa"/>
              <w:right w:w="0" w:type="dxa"/>
            </w:tcMar>
            <w:vAlign w:val="bottom"/>
            <w:hideMark/>
          </w:tcPr>
          <w:p w:rsidR="002245A4" w:rsidRPr="009C27AA" w:rsidP="00AC6C69" w14:paraId="26B6436C" w14:textId="77777777">
            <w:pPr>
              <w:widowControl/>
              <w:autoSpaceDE/>
              <w:autoSpaceDN/>
              <w:adjustRightInd/>
              <w:jc w:val="center"/>
              <w:rPr>
                <w:b/>
                <w:bCs/>
                <w:color w:val="000000"/>
              </w:rPr>
            </w:pPr>
            <w:r w:rsidRPr="009C27AA">
              <w:rPr>
                <w:b/>
                <w:bCs/>
                <w:color w:val="000000"/>
              </w:rPr>
              <w:t>Total Annual Burden Hours</w:t>
            </w:r>
            <w:r w:rsidRPr="009C27AA">
              <w:rPr>
                <w:b/>
                <w:bCs/>
                <w:color w:val="000000"/>
              </w:rPr>
              <w:br/>
              <w:t>(c × d = e)</w:t>
            </w:r>
          </w:p>
        </w:tc>
        <w:tc>
          <w:tcPr>
            <w:tcW w:w="864" w:type="pct"/>
            <w:shd w:val="clear" w:color="auto" w:fill="E0E0E0"/>
            <w:tcMar>
              <w:left w:w="0" w:type="dxa"/>
              <w:right w:w="0" w:type="dxa"/>
            </w:tcMar>
            <w:vAlign w:val="bottom"/>
            <w:hideMark/>
          </w:tcPr>
          <w:p w:rsidR="002245A4" w:rsidRPr="009C27AA" w:rsidP="5ECFBCA2" w14:paraId="39453F08" w14:textId="00018C43">
            <w:pPr>
              <w:widowControl/>
              <w:spacing w:line="259" w:lineRule="auto"/>
              <w:jc w:val="center"/>
              <w:rPr>
                <w:b/>
                <w:bCs/>
                <w:color w:val="000000" w:themeColor="text1"/>
              </w:rPr>
            </w:pPr>
            <w:r w:rsidRPr="5ECFBCA2">
              <w:rPr>
                <w:b/>
                <w:bCs/>
                <w:color w:val="000000" w:themeColor="text1"/>
              </w:rPr>
              <w:t>Total Annual Respondent Cost</w:t>
            </w:r>
            <w:r>
              <w:br/>
            </w:r>
            <w:r w:rsidRPr="5ECFBCA2">
              <w:rPr>
                <w:b/>
                <w:bCs/>
                <w:color w:val="000000" w:themeColor="text1"/>
              </w:rPr>
              <w:t>(e × $</w:t>
            </w:r>
            <w:r w:rsidRPr="5ECFBCA2" w:rsidR="2763B4E0">
              <w:rPr>
                <w:b/>
                <w:bCs/>
                <w:color w:val="000000" w:themeColor="text1"/>
              </w:rPr>
              <w:t>33.18</w:t>
            </w:r>
            <w:r w:rsidRPr="5ECFBCA2" w:rsidR="0073712F">
              <w:rPr>
                <w:b/>
                <w:bCs/>
                <w:color w:val="000000" w:themeColor="text1"/>
              </w:rPr>
              <w:t xml:space="preserve"> </w:t>
            </w:r>
            <w:r w:rsidRPr="5ECFBCA2">
              <w:rPr>
                <w:b/>
                <w:bCs/>
                <w:color w:val="000000" w:themeColor="text1"/>
              </w:rPr>
              <w:t>= f)</w:t>
            </w:r>
          </w:p>
        </w:tc>
      </w:tr>
      <w:tr w14:paraId="7A77484B"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D719F3" w:rsidRPr="009C27AA" w:rsidP="00D719F3" w14:paraId="1B1B9903" w14:textId="3D42B0F1">
            <w:pPr>
              <w:widowControl/>
              <w:autoSpaceDE/>
              <w:autoSpaceDN/>
              <w:adjustRightInd/>
              <w:jc w:val="center"/>
              <w:rPr>
                <w:color w:val="000000"/>
              </w:rPr>
            </w:pPr>
            <w:r w:rsidRPr="009C27AA">
              <w:rPr>
                <w:color w:val="000000"/>
              </w:rPr>
              <w:t>1</w:t>
            </w:r>
          </w:p>
        </w:tc>
        <w:tc>
          <w:tcPr>
            <w:tcW w:w="722" w:type="pct"/>
            <w:shd w:val="clear" w:color="auto" w:fill="auto"/>
            <w:tcMar>
              <w:left w:w="115" w:type="dxa"/>
              <w:right w:w="115" w:type="dxa"/>
            </w:tcMar>
          </w:tcPr>
          <w:p w:rsidR="00D719F3" w:rsidRPr="00B74A87" w:rsidP="00D719F3" w14:paraId="0CC9CA8E" w14:textId="4F726EAE">
            <w:pPr>
              <w:widowControl/>
              <w:autoSpaceDE/>
              <w:autoSpaceDN/>
              <w:adjustRightInd/>
              <w:jc w:val="center"/>
              <w:rPr>
                <w:color w:val="000000"/>
              </w:rPr>
            </w:pPr>
            <w:r w:rsidRPr="00E35F7D">
              <w:rPr>
                <w:color w:val="000000" w:themeColor="text1"/>
              </w:rPr>
              <w:t>426,181</w:t>
            </w:r>
          </w:p>
        </w:tc>
        <w:tc>
          <w:tcPr>
            <w:tcW w:w="722" w:type="pct"/>
            <w:shd w:val="clear" w:color="auto" w:fill="auto"/>
            <w:tcMar>
              <w:left w:w="115" w:type="dxa"/>
              <w:right w:w="115" w:type="dxa"/>
            </w:tcMar>
          </w:tcPr>
          <w:p w:rsidR="00D719F3" w:rsidRPr="00B74A87" w:rsidP="00D719F3" w14:paraId="346C617C" w14:textId="638FEC99">
            <w:pPr>
              <w:widowControl/>
              <w:autoSpaceDE/>
              <w:autoSpaceDN/>
              <w:adjustRightInd/>
              <w:jc w:val="center"/>
              <w:rPr>
                <w:color w:val="000000"/>
              </w:rPr>
            </w:pPr>
            <w:r w:rsidRPr="00D64E77">
              <w:t>1.25</w:t>
            </w:r>
          </w:p>
        </w:tc>
        <w:tc>
          <w:tcPr>
            <w:tcW w:w="674" w:type="pct"/>
            <w:shd w:val="clear" w:color="auto" w:fill="auto"/>
            <w:tcMar>
              <w:left w:w="115" w:type="dxa"/>
              <w:right w:w="115" w:type="dxa"/>
            </w:tcMar>
          </w:tcPr>
          <w:p w:rsidR="00D719F3" w:rsidRPr="00B74A87" w:rsidP="00D719F3" w14:paraId="3CE498DB" w14:textId="740CFACD">
            <w:pPr>
              <w:widowControl/>
              <w:autoSpaceDE/>
              <w:autoSpaceDN/>
              <w:adjustRightInd/>
              <w:jc w:val="center"/>
              <w:rPr>
                <w:color w:val="000000"/>
              </w:rPr>
            </w:pPr>
            <w:r w:rsidRPr="00E35F7D">
              <w:t>532,726</w:t>
            </w:r>
          </w:p>
        </w:tc>
        <w:tc>
          <w:tcPr>
            <w:tcW w:w="578" w:type="pct"/>
            <w:shd w:val="clear" w:color="auto" w:fill="auto"/>
            <w:tcMar>
              <w:left w:w="115" w:type="dxa"/>
              <w:right w:w="115" w:type="dxa"/>
            </w:tcMar>
          </w:tcPr>
          <w:p w:rsidR="00D719F3" w:rsidRPr="00B74A87" w:rsidP="00D719F3" w14:paraId="28C8D5FD" w14:textId="49A303BB">
            <w:pPr>
              <w:widowControl/>
              <w:autoSpaceDE/>
              <w:autoSpaceDN/>
              <w:adjustRightInd/>
              <w:jc w:val="center"/>
            </w:pPr>
            <w:r w:rsidRPr="00D64E77">
              <w:t xml:space="preserve">1.50 </w:t>
            </w:r>
          </w:p>
        </w:tc>
        <w:tc>
          <w:tcPr>
            <w:tcW w:w="721" w:type="pct"/>
            <w:shd w:val="clear" w:color="auto" w:fill="auto"/>
            <w:tcMar>
              <w:left w:w="115" w:type="dxa"/>
              <w:right w:w="115" w:type="dxa"/>
            </w:tcMar>
          </w:tcPr>
          <w:p w:rsidR="00D719F3" w:rsidRPr="00B74A87" w:rsidP="00D719F3" w14:paraId="3BC608E0" w14:textId="30FE7266">
            <w:pPr>
              <w:widowControl/>
              <w:autoSpaceDE/>
              <w:autoSpaceDN/>
              <w:adjustRightInd/>
              <w:jc w:val="center"/>
              <w:rPr>
                <w:color w:val="000000"/>
              </w:rPr>
            </w:pPr>
            <w:r w:rsidRPr="00E35F7D">
              <w:t>799,089</w:t>
            </w:r>
          </w:p>
        </w:tc>
        <w:tc>
          <w:tcPr>
            <w:tcW w:w="864" w:type="pct"/>
            <w:shd w:val="clear" w:color="auto" w:fill="auto"/>
            <w:tcMar>
              <w:left w:w="115" w:type="dxa"/>
              <w:right w:w="115" w:type="dxa"/>
            </w:tcMar>
          </w:tcPr>
          <w:p w:rsidR="00D719F3" w:rsidRPr="00B74A87" w:rsidP="5ECFBCA2" w14:paraId="374F5B88" w14:textId="7C6DDC08">
            <w:pPr>
              <w:widowControl/>
              <w:spacing w:line="259" w:lineRule="auto"/>
              <w:jc w:val="center"/>
              <w:rPr>
                <w:color w:val="000000" w:themeColor="text1"/>
              </w:rPr>
            </w:pPr>
            <w:r>
              <w:t xml:space="preserve"> $</w:t>
            </w:r>
            <w:r w:rsidR="04F8E7C2">
              <w:t>26,517,446</w:t>
            </w:r>
            <w:r>
              <w:t xml:space="preserve"> </w:t>
            </w:r>
          </w:p>
        </w:tc>
      </w:tr>
      <w:tr w14:paraId="1E71D5EA"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D719F3" w:rsidRPr="009C27AA" w:rsidP="00D719F3" w14:paraId="4D1D67EC" w14:textId="0AC151D7">
            <w:pPr>
              <w:widowControl/>
              <w:autoSpaceDE/>
              <w:autoSpaceDN/>
              <w:adjustRightInd/>
              <w:jc w:val="center"/>
              <w:rPr>
                <w:color w:val="000000"/>
              </w:rPr>
            </w:pPr>
            <w:r w:rsidRPr="009C27AA">
              <w:rPr>
                <w:color w:val="000000"/>
              </w:rPr>
              <w:t>2</w:t>
            </w:r>
          </w:p>
        </w:tc>
        <w:tc>
          <w:tcPr>
            <w:tcW w:w="722" w:type="pct"/>
            <w:shd w:val="clear" w:color="auto" w:fill="auto"/>
            <w:tcMar>
              <w:left w:w="115" w:type="dxa"/>
              <w:right w:w="115" w:type="dxa"/>
            </w:tcMar>
          </w:tcPr>
          <w:p w:rsidR="00D719F3" w:rsidRPr="00B74A87" w:rsidP="00D719F3" w14:paraId="7C289A2E" w14:textId="01090301">
            <w:pPr>
              <w:widowControl/>
              <w:autoSpaceDE/>
              <w:autoSpaceDN/>
              <w:adjustRightInd/>
              <w:jc w:val="center"/>
              <w:rPr>
                <w:color w:val="000000"/>
              </w:rPr>
            </w:pPr>
            <w:r w:rsidRPr="00E35F7D">
              <w:rPr>
                <w:color w:val="000000" w:themeColor="text1"/>
              </w:rPr>
              <w:t>427,136</w:t>
            </w:r>
          </w:p>
        </w:tc>
        <w:tc>
          <w:tcPr>
            <w:tcW w:w="722" w:type="pct"/>
            <w:shd w:val="clear" w:color="auto" w:fill="auto"/>
            <w:tcMar>
              <w:left w:w="115" w:type="dxa"/>
              <w:right w:w="115" w:type="dxa"/>
            </w:tcMar>
          </w:tcPr>
          <w:p w:rsidR="00D719F3" w:rsidRPr="00B74A87" w:rsidP="00D719F3" w14:paraId="3CAFC18F" w14:textId="1E75B579">
            <w:pPr>
              <w:widowControl/>
              <w:autoSpaceDE/>
              <w:autoSpaceDN/>
              <w:adjustRightInd/>
              <w:jc w:val="center"/>
              <w:rPr>
                <w:color w:val="000000"/>
              </w:rPr>
            </w:pPr>
            <w:r w:rsidRPr="00D64E77">
              <w:t>1.25</w:t>
            </w:r>
          </w:p>
        </w:tc>
        <w:tc>
          <w:tcPr>
            <w:tcW w:w="674" w:type="pct"/>
            <w:shd w:val="clear" w:color="auto" w:fill="auto"/>
            <w:tcMar>
              <w:left w:w="115" w:type="dxa"/>
              <w:right w:w="115" w:type="dxa"/>
            </w:tcMar>
          </w:tcPr>
          <w:p w:rsidR="00D719F3" w:rsidRPr="00B74A87" w:rsidP="00D719F3" w14:paraId="3DA165B0" w14:textId="51C5012C">
            <w:pPr>
              <w:widowControl/>
              <w:autoSpaceDE/>
              <w:autoSpaceDN/>
              <w:adjustRightInd/>
              <w:jc w:val="center"/>
              <w:rPr>
                <w:color w:val="000000"/>
              </w:rPr>
            </w:pPr>
            <w:r w:rsidRPr="00E35F7D">
              <w:t>533,920</w:t>
            </w:r>
          </w:p>
        </w:tc>
        <w:tc>
          <w:tcPr>
            <w:tcW w:w="578" w:type="pct"/>
            <w:shd w:val="clear" w:color="auto" w:fill="auto"/>
            <w:tcMar>
              <w:left w:w="115" w:type="dxa"/>
              <w:right w:w="115" w:type="dxa"/>
            </w:tcMar>
          </w:tcPr>
          <w:p w:rsidR="00D719F3" w:rsidRPr="00B74A87" w:rsidP="00D719F3" w14:paraId="73C6E980" w14:textId="64E11328">
            <w:pPr>
              <w:widowControl/>
              <w:autoSpaceDE/>
              <w:autoSpaceDN/>
              <w:adjustRightInd/>
              <w:jc w:val="center"/>
              <w:rPr>
                <w:color w:val="000000"/>
              </w:rPr>
            </w:pPr>
            <w:r w:rsidRPr="00D64E77">
              <w:t xml:space="preserve">1.50 </w:t>
            </w:r>
          </w:p>
        </w:tc>
        <w:tc>
          <w:tcPr>
            <w:tcW w:w="721" w:type="pct"/>
            <w:shd w:val="clear" w:color="auto" w:fill="auto"/>
            <w:tcMar>
              <w:left w:w="115" w:type="dxa"/>
              <w:right w:w="115" w:type="dxa"/>
            </w:tcMar>
          </w:tcPr>
          <w:p w:rsidR="00D719F3" w:rsidRPr="00B74A87" w:rsidP="00D719F3" w14:paraId="30F8C82A" w14:textId="0DCADD97">
            <w:pPr>
              <w:widowControl/>
              <w:autoSpaceDE/>
              <w:autoSpaceDN/>
              <w:adjustRightInd/>
              <w:jc w:val="center"/>
              <w:rPr>
                <w:color w:val="000000"/>
              </w:rPr>
            </w:pPr>
            <w:r w:rsidRPr="00E35F7D">
              <w:t>800,879</w:t>
            </w:r>
          </w:p>
        </w:tc>
        <w:tc>
          <w:tcPr>
            <w:tcW w:w="864" w:type="pct"/>
            <w:shd w:val="clear" w:color="auto" w:fill="auto"/>
            <w:tcMar>
              <w:left w:w="115" w:type="dxa"/>
              <w:right w:w="115" w:type="dxa"/>
            </w:tcMar>
          </w:tcPr>
          <w:p w:rsidR="00D719F3" w:rsidRPr="00B74A87" w:rsidP="5ECFBCA2" w14:paraId="5323C60D" w14:textId="5B326B91">
            <w:pPr>
              <w:widowControl/>
              <w:spacing w:line="259" w:lineRule="auto"/>
              <w:jc w:val="center"/>
              <w:rPr>
                <w:color w:val="000000" w:themeColor="text1"/>
              </w:rPr>
            </w:pPr>
            <w:r>
              <w:t xml:space="preserve"> $</w:t>
            </w:r>
            <w:r w:rsidR="63EF13BD">
              <w:t>26,576,845</w:t>
            </w:r>
            <w:r>
              <w:t xml:space="preserve"> </w:t>
            </w:r>
          </w:p>
        </w:tc>
      </w:tr>
      <w:tr w14:paraId="00345DD7"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D719F3" w:rsidRPr="009C27AA" w:rsidP="00D719F3" w14:paraId="102828C9" w14:textId="2F30BE82">
            <w:pPr>
              <w:widowControl/>
              <w:autoSpaceDE/>
              <w:autoSpaceDN/>
              <w:adjustRightInd/>
              <w:jc w:val="center"/>
              <w:rPr>
                <w:color w:val="000000"/>
              </w:rPr>
            </w:pPr>
            <w:r w:rsidRPr="009C27AA">
              <w:rPr>
                <w:color w:val="000000"/>
              </w:rPr>
              <w:t>3</w:t>
            </w:r>
          </w:p>
        </w:tc>
        <w:tc>
          <w:tcPr>
            <w:tcW w:w="722" w:type="pct"/>
            <w:shd w:val="clear" w:color="auto" w:fill="auto"/>
            <w:tcMar>
              <w:left w:w="115" w:type="dxa"/>
              <w:right w:w="115" w:type="dxa"/>
            </w:tcMar>
          </w:tcPr>
          <w:p w:rsidR="00D719F3" w:rsidRPr="00B74A87" w:rsidP="00D719F3" w14:paraId="6FB15207" w14:textId="5A701EF0">
            <w:pPr>
              <w:widowControl/>
              <w:autoSpaceDE/>
              <w:autoSpaceDN/>
              <w:adjustRightInd/>
              <w:jc w:val="center"/>
              <w:rPr>
                <w:color w:val="000000"/>
              </w:rPr>
            </w:pPr>
            <w:r>
              <w:t xml:space="preserve"> </w:t>
            </w:r>
            <w:r w:rsidRPr="00E35F7D">
              <w:rPr>
                <w:color w:val="000000" w:themeColor="text1"/>
              </w:rPr>
              <w:t xml:space="preserve">428,092 </w:t>
            </w:r>
          </w:p>
        </w:tc>
        <w:tc>
          <w:tcPr>
            <w:tcW w:w="722" w:type="pct"/>
            <w:shd w:val="clear" w:color="auto" w:fill="auto"/>
            <w:tcMar>
              <w:left w:w="115" w:type="dxa"/>
              <w:right w:w="115" w:type="dxa"/>
            </w:tcMar>
          </w:tcPr>
          <w:p w:rsidR="00D719F3" w:rsidRPr="00B74A87" w:rsidP="00D719F3" w14:paraId="00A4BA6D" w14:textId="780D639B">
            <w:pPr>
              <w:widowControl/>
              <w:autoSpaceDE/>
              <w:autoSpaceDN/>
              <w:adjustRightInd/>
              <w:jc w:val="center"/>
              <w:rPr>
                <w:color w:val="000000"/>
              </w:rPr>
            </w:pPr>
            <w:r w:rsidRPr="00D64E77">
              <w:t>1.25</w:t>
            </w:r>
          </w:p>
        </w:tc>
        <w:tc>
          <w:tcPr>
            <w:tcW w:w="674" w:type="pct"/>
            <w:shd w:val="clear" w:color="auto" w:fill="auto"/>
            <w:tcMar>
              <w:left w:w="115" w:type="dxa"/>
              <w:right w:w="115" w:type="dxa"/>
            </w:tcMar>
          </w:tcPr>
          <w:p w:rsidR="00D719F3" w:rsidRPr="00B74A87" w:rsidP="00D719F3" w14:paraId="4A90A005" w14:textId="1A5FB8AD">
            <w:pPr>
              <w:widowControl/>
              <w:autoSpaceDE/>
              <w:autoSpaceDN/>
              <w:adjustRightInd/>
              <w:jc w:val="center"/>
              <w:rPr>
                <w:color w:val="000000"/>
              </w:rPr>
            </w:pPr>
            <w:r w:rsidRPr="00E35F7D">
              <w:t>535,116</w:t>
            </w:r>
          </w:p>
        </w:tc>
        <w:tc>
          <w:tcPr>
            <w:tcW w:w="578" w:type="pct"/>
            <w:shd w:val="clear" w:color="auto" w:fill="auto"/>
            <w:tcMar>
              <w:left w:w="115" w:type="dxa"/>
              <w:right w:w="115" w:type="dxa"/>
            </w:tcMar>
          </w:tcPr>
          <w:p w:rsidR="00D719F3" w:rsidRPr="00B74A87" w:rsidP="00D719F3" w14:paraId="2957B10B" w14:textId="5806B134">
            <w:pPr>
              <w:widowControl/>
              <w:autoSpaceDE/>
              <w:autoSpaceDN/>
              <w:adjustRightInd/>
              <w:jc w:val="center"/>
              <w:rPr>
                <w:color w:val="000000"/>
              </w:rPr>
            </w:pPr>
            <w:r w:rsidRPr="00D64E77">
              <w:t xml:space="preserve">1.50 </w:t>
            </w:r>
          </w:p>
        </w:tc>
        <w:tc>
          <w:tcPr>
            <w:tcW w:w="721" w:type="pct"/>
            <w:shd w:val="clear" w:color="auto" w:fill="auto"/>
            <w:tcMar>
              <w:left w:w="115" w:type="dxa"/>
              <w:right w:w="115" w:type="dxa"/>
            </w:tcMar>
          </w:tcPr>
          <w:p w:rsidR="00D719F3" w:rsidRPr="00B74A87" w:rsidP="00D719F3" w14:paraId="242FAE0B" w14:textId="653C965E">
            <w:pPr>
              <w:widowControl/>
              <w:autoSpaceDE/>
              <w:autoSpaceDN/>
              <w:adjustRightInd/>
              <w:jc w:val="center"/>
              <w:rPr>
                <w:color w:val="000000"/>
              </w:rPr>
            </w:pPr>
            <w:r w:rsidRPr="00E35F7D">
              <w:t>802,673</w:t>
            </w:r>
          </w:p>
        </w:tc>
        <w:tc>
          <w:tcPr>
            <w:tcW w:w="864" w:type="pct"/>
            <w:shd w:val="clear" w:color="auto" w:fill="auto"/>
            <w:tcMar>
              <w:left w:w="115" w:type="dxa"/>
              <w:right w:w="115" w:type="dxa"/>
            </w:tcMar>
          </w:tcPr>
          <w:p w:rsidR="00D719F3" w:rsidRPr="00B74A87" w:rsidP="5ECFBCA2" w14:paraId="54349491" w14:textId="2FD4852E">
            <w:pPr>
              <w:widowControl/>
              <w:spacing w:line="259" w:lineRule="auto"/>
              <w:jc w:val="center"/>
              <w:rPr>
                <w:color w:val="000000" w:themeColor="text1"/>
              </w:rPr>
            </w:pPr>
            <w:r>
              <w:t xml:space="preserve"> $</w:t>
            </w:r>
            <w:r w:rsidR="6C03517A">
              <w:t>26,636,377</w:t>
            </w:r>
          </w:p>
        </w:tc>
      </w:tr>
      <w:tr w14:paraId="09FFB921"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D719F3" w:rsidRPr="009C27AA" w:rsidP="00D719F3" w14:paraId="7400A871" w14:textId="37D76A11">
            <w:pPr>
              <w:widowControl/>
              <w:autoSpaceDE/>
              <w:autoSpaceDN/>
              <w:adjustRightInd/>
              <w:jc w:val="center"/>
              <w:rPr>
                <w:color w:val="000000"/>
              </w:rPr>
            </w:pPr>
            <w:r w:rsidRPr="009C27AA">
              <w:rPr>
                <w:color w:val="000000"/>
              </w:rPr>
              <w:t>Total</w:t>
            </w:r>
          </w:p>
        </w:tc>
        <w:tc>
          <w:tcPr>
            <w:tcW w:w="722" w:type="pct"/>
            <w:shd w:val="clear" w:color="auto" w:fill="auto"/>
            <w:tcMar>
              <w:left w:w="115" w:type="dxa"/>
              <w:right w:w="115" w:type="dxa"/>
            </w:tcMar>
          </w:tcPr>
          <w:p w:rsidR="00D719F3" w:rsidRPr="00B74A87" w:rsidP="00D719F3" w14:paraId="584ADEC0" w14:textId="185D2B33">
            <w:pPr>
              <w:widowControl/>
              <w:autoSpaceDE/>
              <w:autoSpaceDN/>
              <w:adjustRightInd/>
              <w:jc w:val="center"/>
              <w:rPr>
                <w:color w:val="000000"/>
              </w:rPr>
            </w:pPr>
            <w:r w:rsidRPr="00E35F7D">
              <w:t>1,281,409</w:t>
            </w:r>
          </w:p>
        </w:tc>
        <w:tc>
          <w:tcPr>
            <w:tcW w:w="722" w:type="pct"/>
            <w:shd w:val="clear" w:color="auto" w:fill="auto"/>
            <w:tcMar>
              <w:left w:w="115" w:type="dxa"/>
              <w:right w:w="115" w:type="dxa"/>
            </w:tcMar>
          </w:tcPr>
          <w:p w:rsidR="00D719F3" w:rsidRPr="00B74A87" w:rsidP="00D719F3" w14:paraId="4B5062F6" w14:textId="1D52C28A">
            <w:pPr>
              <w:widowControl/>
              <w:autoSpaceDE/>
              <w:autoSpaceDN/>
              <w:adjustRightInd/>
              <w:jc w:val="center"/>
              <w:rPr>
                <w:color w:val="000000"/>
              </w:rPr>
            </w:pPr>
            <w:r w:rsidRPr="00D64E77">
              <w:t xml:space="preserve">- </w:t>
            </w:r>
          </w:p>
        </w:tc>
        <w:tc>
          <w:tcPr>
            <w:tcW w:w="674" w:type="pct"/>
            <w:shd w:val="clear" w:color="auto" w:fill="auto"/>
            <w:tcMar>
              <w:left w:w="115" w:type="dxa"/>
              <w:right w:w="115" w:type="dxa"/>
            </w:tcMar>
          </w:tcPr>
          <w:p w:rsidR="00D719F3" w:rsidRPr="00B74A87" w:rsidP="00D719F3" w14:paraId="65F150D4" w14:textId="78ED4A6C">
            <w:pPr>
              <w:widowControl/>
              <w:autoSpaceDE/>
              <w:autoSpaceDN/>
              <w:adjustRightInd/>
              <w:jc w:val="center"/>
              <w:rPr>
                <w:color w:val="000000"/>
              </w:rPr>
            </w:pPr>
            <w:r>
              <w:t xml:space="preserve"> </w:t>
            </w:r>
            <w:r w:rsidRPr="00E35F7D">
              <w:t xml:space="preserve">1,601,762 </w:t>
            </w:r>
          </w:p>
        </w:tc>
        <w:tc>
          <w:tcPr>
            <w:tcW w:w="578" w:type="pct"/>
            <w:shd w:val="clear" w:color="auto" w:fill="auto"/>
            <w:tcMar>
              <w:left w:w="115" w:type="dxa"/>
              <w:right w:w="115" w:type="dxa"/>
            </w:tcMar>
          </w:tcPr>
          <w:p w:rsidR="00D719F3" w:rsidRPr="00B74A87" w:rsidP="00D719F3" w14:paraId="75B6D092" w14:textId="4C652D3A">
            <w:pPr>
              <w:widowControl/>
              <w:autoSpaceDE/>
              <w:autoSpaceDN/>
              <w:adjustRightInd/>
              <w:jc w:val="center"/>
              <w:rPr>
                <w:color w:val="000000"/>
              </w:rPr>
            </w:pPr>
            <w:r w:rsidRPr="00D64E77">
              <w:t xml:space="preserve">- </w:t>
            </w:r>
          </w:p>
        </w:tc>
        <w:tc>
          <w:tcPr>
            <w:tcW w:w="721" w:type="pct"/>
            <w:shd w:val="clear" w:color="auto" w:fill="auto"/>
            <w:tcMar>
              <w:left w:w="115" w:type="dxa"/>
              <w:right w:w="115" w:type="dxa"/>
            </w:tcMar>
          </w:tcPr>
          <w:p w:rsidR="00D719F3" w:rsidRPr="00B74A87" w:rsidP="00D719F3" w14:paraId="016C5F0A" w14:textId="424D1B54">
            <w:pPr>
              <w:widowControl/>
              <w:autoSpaceDE/>
              <w:autoSpaceDN/>
              <w:adjustRightInd/>
              <w:jc w:val="center"/>
              <w:rPr>
                <w:color w:val="000000"/>
              </w:rPr>
            </w:pPr>
            <w:r>
              <w:t xml:space="preserve"> </w:t>
            </w:r>
            <w:r w:rsidRPr="00E35F7D">
              <w:t>2,402,642</w:t>
            </w:r>
          </w:p>
        </w:tc>
        <w:tc>
          <w:tcPr>
            <w:tcW w:w="864" w:type="pct"/>
            <w:shd w:val="clear" w:color="auto" w:fill="auto"/>
            <w:tcMar>
              <w:left w:w="115" w:type="dxa"/>
              <w:right w:w="115" w:type="dxa"/>
            </w:tcMar>
          </w:tcPr>
          <w:p w:rsidR="00D719F3" w:rsidRPr="00B74A87" w:rsidP="5ECFBCA2" w14:paraId="3586A89F" w14:textId="7EB9ABDE">
            <w:pPr>
              <w:widowControl/>
              <w:spacing w:line="259" w:lineRule="auto"/>
              <w:jc w:val="center"/>
              <w:rPr>
                <w:color w:val="000000" w:themeColor="text1"/>
              </w:rPr>
            </w:pPr>
            <w:r>
              <w:t xml:space="preserve"> $</w:t>
            </w:r>
            <w:r w:rsidR="20E08873">
              <w:t>79,730,667</w:t>
            </w:r>
            <w:r>
              <w:t xml:space="preserve"> </w:t>
            </w:r>
          </w:p>
        </w:tc>
      </w:tr>
      <w:tr w14:paraId="170C7403"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D719F3" w:rsidRPr="009C27AA" w:rsidP="00D719F3" w14:paraId="326DCC01" w14:textId="3BFFCF84">
            <w:pPr>
              <w:widowControl/>
              <w:autoSpaceDE/>
              <w:autoSpaceDN/>
              <w:adjustRightInd/>
              <w:jc w:val="center"/>
              <w:rPr>
                <w:color w:val="000000"/>
              </w:rPr>
            </w:pPr>
            <w:r w:rsidRPr="009C27AA">
              <w:rPr>
                <w:color w:val="000000"/>
              </w:rPr>
              <w:t>Annualized</w:t>
            </w:r>
          </w:p>
        </w:tc>
        <w:tc>
          <w:tcPr>
            <w:tcW w:w="722" w:type="pct"/>
            <w:shd w:val="clear" w:color="auto" w:fill="auto"/>
            <w:tcMar>
              <w:left w:w="115" w:type="dxa"/>
              <w:right w:w="115" w:type="dxa"/>
            </w:tcMar>
          </w:tcPr>
          <w:p w:rsidR="00D719F3" w:rsidRPr="00B74A87" w:rsidP="00D719F3" w14:paraId="393811DD" w14:textId="59186740">
            <w:pPr>
              <w:widowControl/>
              <w:autoSpaceDE/>
              <w:autoSpaceDN/>
              <w:adjustRightInd/>
              <w:jc w:val="center"/>
              <w:rPr>
                <w:color w:val="000000"/>
              </w:rPr>
            </w:pPr>
            <w:r w:rsidRPr="00E35F7D">
              <w:t>427,136</w:t>
            </w:r>
          </w:p>
        </w:tc>
        <w:tc>
          <w:tcPr>
            <w:tcW w:w="722" w:type="pct"/>
            <w:shd w:val="clear" w:color="auto" w:fill="auto"/>
            <w:tcMar>
              <w:left w:w="115" w:type="dxa"/>
              <w:right w:w="115" w:type="dxa"/>
            </w:tcMar>
          </w:tcPr>
          <w:p w:rsidR="00D719F3" w:rsidRPr="00B74A87" w:rsidP="00D719F3" w14:paraId="37121A69" w14:textId="50AA27B9">
            <w:pPr>
              <w:widowControl/>
              <w:autoSpaceDE/>
              <w:autoSpaceDN/>
              <w:adjustRightInd/>
              <w:jc w:val="center"/>
              <w:rPr>
                <w:color w:val="000000"/>
              </w:rPr>
            </w:pPr>
            <w:r w:rsidRPr="00D64E77">
              <w:t xml:space="preserve">- </w:t>
            </w:r>
          </w:p>
        </w:tc>
        <w:tc>
          <w:tcPr>
            <w:tcW w:w="674" w:type="pct"/>
            <w:shd w:val="clear" w:color="auto" w:fill="auto"/>
            <w:tcMar>
              <w:left w:w="115" w:type="dxa"/>
              <w:right w:w="115" w:type="dxa"/>
            </w:tcMar>
          </w:tcPr>
          <w:p w:rsidR="00D719F3" w:rsidRPr="00B74A87" w:rsidP="00D719F3" w14:paraId="4C8C00CA" w14:textId="183DD772">
            <w:pPr>
              <w:widowControl/>
              <w:autoSpaceDE/>
              <w:autoSpaceDN/>
              <w:adjustRightInd/>
              <w:jc w:val="center"/>
              <w:rPr>
                <w:color w:val="000000"/>
              </w:rPr>
            </w:pPr>
            <w:r w:rsidRPr="00E35F7D">
              <w:t>533,921</w:t>
            </w:r>
          </w:p>
        </w:tc>
        <w:tc>
          <w:tcPr>
            <w:tcW w:w="578" w:type="pct"/>
            <w:shd w:val="clear" w:color="auto" w:fill="auto"/>
            <w:tcMar>
              <w:left w:w="115" w:type="dxa"/>
              <w:right w:w="115" w:type="dxa"/>
            </w:tcMar>
          </w:tcPr>
          <w:p w:rsidR="00D719F3" w:rsidRPr="00B74A87" w:rsidP="00D719F3" w14:paraId="32072CA3" w14:textId="0B358D38">
            <w:pPr>
              <w:widowControl/>
              <w:autoSpaceDE/>
              <w:autoSpaceDN/>
              <w:adjustRightInd/>
              <w:jc w:val="center"/>
              <w:rPr>
                <w:color w:val="000000"/>
              </w:rPr>
            </w:pPr>
            <w:r w:rsidRPr="00D64E77">
              <w:t xml:space="preserve">- </w:t>
            </w:r>
          </w:p>
        </w:tc>
        <w:tc>
          <w:tcPr>
            <w:tcW w:w="721" w:type="pct"/>
            <w:shd w:val="clear" w:color="auto" w:fill="auto"/>
            <w:tcMar>
              <w:left w:w="115" w:type="dxa"/>
              <w:right w:w="115" w:type="dxa"/>
            </w:tcMar>
          </w:tcPr>
          <w:p w:rsidR="00D719F3" w:rsidRPr="00B74A87" w:rsidP="00D719F3" w14:paraId="5848283A" w14:textId="177EF80C">
            <w:pPr>
              <w:widowControl/>
              <w:autoSpaceDE/>
              <w:autoSpaceDN/>
              <w:adjustRightInd/>
              <w:jc w:val="center"/>
              <w:rPr>
                <w:color w:val="000000"/>
              </w:rPr>
            </w:pPr>
            <w:r w:rsidRPr="00E35F7D">
              <w:t>800,881</w:t>
            </w:r>
          </w:p>
        </w:tc>
        <w:tc>
          <w:tcPr>
            <w:tcW w:w="864" w:type="pct"/>
            <w:shd w:val="clear" w:color="auto" w:fill="auto"/>
            <w:tcMar>
              <w:left w:w="115" w:type="dxa"/>
              <w:right w:w="115" w:type="dxa"/>
            </w:tcMar>
          </w:tcPr>
          <w:p w:rsidR="00D719F3" w:rsidRPr="00B74A87" w:rsidP="5ECFBCA2" w14:paraId="633C300E" w14:textId="6A0F8934">
            <w:pPr>
              <w:widowControl/>
              <w:spacing w:line="259" w:lineRule="auto"/>
              <w:jc w:val="center"/>
              <w:rPr>
                <w:color w:val="000000" w:themeColor="text1"/>
              </w:rPr>
            </w:pPr>
            <w:r>
              <w:t xml:space="preserve"> $</w:t>
            </w:r>
            <w:r w:rsidR="5CCAC165">
              <w:t>26,576,889</w:t>
            </w:r>
            <w:r>
              <w:t xml:space="preserve"> </w:t>
            </w:r>
          </w:p>
        </w:tc>
      </w:tr>
    </w:tbl>
    <w:p w:rsidR="00FA4698" w:rsidRPr="007E65CF" w:rsidP="00722B85" w14:paraId="5768DF4E" w14:textId="77777777">
      <w:pPr>
        <w:widowControl/>
        <w:rPr>
          <w:sz w:val="18"/>
          <w:szCs w:val="18"/>
        </w:rPr>
      </w:pPr>
      <w:r>
        <w:rPr>
          <w:sz w:val="18"/>
          <w:szCs w:val="18"/>
        </w:rPr>
        <w:t>Totals are the product of unrounded components</w:t>
      </w:r>
      <w:r w:rsidRPr="007E65CF">
        <w:rPr>
          <w:sz w:val="18"/>
          <w:szCs w:val="18"/>
        </w:rPr>
        <w:t>.</w:t>
      </w:r>
    </w:p>
    <w:p w:rsidR="00B74A87" w:rsidP="00722B85" w14:paraId="2F786F9B" w14:textId="77777777">
      <w:pPr>
        <w:widowControl/>
        <w:autoSpaceDE/>
        <w:autoSpaceDN/>
        <w:adjustRightInd/>
      </w:pPr>
    </w:p>
    <w:p w:rsidR="002245A4" w:rsidP="5ECFBCA2" w14:paraId="3A208107" w14:textId="07179B1B">
      <w:pPr>
        <w:widowControl/>
        <w:spacing w:line="259" w:lineRule="auto"/>
      </w:pPr>
      <w:r>
        <w:t>The knowledge and skills tests combined will result in an annualized total of 1,</w:t>
      </w:r>
      <w:r w:rsidR="58A7CDB5">
        <w:t>067,841</w:t>
      </w:r>
      <w:r>
        <w:t xml:space="preserve"> responses </w:t>
      </w:r>
      <w:r w:rsidR="00B90FE5">
        <w:t>(</w:t>
      </w:r>
      <w:r w:rsidR="00F06433">
        <w:t>533,921 + 533,921</w:t>
      </w:r>
      <w:r w:rsidR="00B90FE5">
        <w:t xml:space="preserve">) </w:t>
      </w:r>
      <w:r>
        <w:t>and 1,</w:t>
      </w:r>
      <w:r w:rsidR="6D909298">
        <w:t>201,321 burden hours</w:t>
      </w:r>
      <w:r w:rsidR="00B74A87">
        <w:t xml:space="preserve"> </w:t>
      </w:r>
      <w:r w:rsidR="00B90FE5">
        <w:t>(</w:t>
      </w:r>
      <w:r w:rsidR="42921563">
        <w:t>400,440 + 800,881</w:t>
      </w:r>
      <w:r w:rsidR="00B74A87">
        <w:t>)</w:t>
      </w:r>
      <w:r w:rsidR="00331257">
        <w:t>,</w:t>
      </w:r>
      <w:r>
        <w:t xml:space="preserve"> at a cost of </w:t>
      </w:r>
      <w:r w:rsidR="00870A3B">
        <w:t>$</w:t>
      </w:r>
      <w:r w:rsidR="481A812E">
        <w:t>39,865,333</w:t>
      </w:r>
      <w:r w:rsidR="0094714E">
        <w:t xml:space="preserve"> </w:t>
      </w:r>
      <w:r w:rsidR="00B90FE5">
        <w:t>($</w:t>
      </w:r>
      <w:r w:rsidR="1B98C876">
        <w:t>13,288,444</w:t>
      </w:r>
      <w:r w:rsidR="00F06433">
        <w:t xml:space="preserve"> + $</w:t>
      </w:r>
      <w:r w:rsidR="3FC97E16">
        <w:t>26,576,889</w:t>
      </w:r>
      <w:r w:rsidR="00B90FE5">
        <w:t>)</w:t>
      </w:r>
      <w:r w:rsidR="00DA3D8F">
        <w:t xml:space="preserve"> (</w:t>
      </w:r>
      <w:r>
        <w:fldChar w:fldCharType="begin"/>
      </w:r>
      <w:r>
        <w:instrText xml:space="preserve"> REF _Ref508377339 \h  \* MERGEFORMAT </w:instrText>
      </w:r>
      <w:r>
        <w:fldChar w:fldCharType="separate"/>
      </w:r>
      <w:r w:rsidR="006A6CBC">
        <w:t xml:space="preserve">Table </w:t>
      </w:r>
      <w:r w:rsidRPr="5ECFBCA2" w:rsidR="006A6CBC">
        <w:rPr>
          <w:noProof/>
        </w:rPr>
        <w:t>8</w:t>
      </w:r>
      <w:r>
        <w:fldChar w:fldCharType="end"/>
      </w:r>
      <w:r w:rsidR="00DA3D8F">
        <w:t>)</w:t>
      </w:r>
      <w:r>
        <w:t>.</w:t>
      </w:r>
    </w:p>
    <w:p w:rsidR="006E6588" w:rsidP="006B1E48" w14:paraId="4F3D4C8E" w14:textId="77777777">
      <w:pPr>
        <w:widowControl/>
      </w:pPr>
    </w:p>
    <w:p w:rsidR="005770E6" w:rsidRPr="00D64E77" w:rsidP="00722B85" w14:paraId="609E3D51" w14:textId="0CD1024F">
      <w:pPr>
        <w:pStyle w:val="Caption"/>
        <w:keepNext/>
        <w:widowControl/>
      </w:pPr>
      <w:bookmarkStart w:id="15" w:name="_Ref508377339"/>
      <w:r>
        <w:t xml:space="preserve">Table </w:t>
      </w:r>
      <w:r>
        <w:fldChar w:fldCharType="begin"/>
      </w:r>
      <w:r>
        <w:instrText>SEQ Table \* ARABIC</w:instrText>
      </w:r>
      <w:r>
        <w:fldChar w:fldCharType="separate"/>
      </w:r>
      <w:r w:rsidRPr="5ECFBCA2" w:rsidR="006A6CBC">
        <w:rPr>
          <w:noProof/>
        </w:rPr>
        <w:t>8</w:t>
      </w:r>
      <w:r>
        <w:fldChar w:fldCharType="end"/>
      </w:r>
      <w:bookmarkEnd w:id="15"/>
      <w:r>
        <w:t xml:space="preserve">. </w:t>
      </w:r>
      <w:r w:rsidR="002D66E6">
        <w:t xml:space="preserve">Annualized Driver Completion of Knowledge </w:t>
      </w:r>
      <w:r w:rsidR="005131E3">
        <w:t>a</w:t>
      </w:r>
      <w:r w:rsidR="002D66E6">
        <w:t xml:space="preserve">nd Skills Test </w:t>
      </w:r>
      <w:r w:rsidR="00F00D91">
        <w:t>(IC-1</w:t>
      </w:r>
      <w: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781"/>
        <w:gridCol w:w="1780"/>
        <w:gridCol w:w="1780"/>
        <w:gridCol w:w="1780"/>
        <w:gridCol w:w="2229"/>
      </w:tblGrid>
      <w:tr w14:paraId="24121A72"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269"/>
        </w:trPr>
        <w:tc>
          <w:tcPr>
            <w:tcW w:w="952" w:type="pct"/>
            <w:shd w:val="clear" w:color="auto" w:fill="E0E0E0"/>
            <w:tcMar>
              <w:left w:w="0" w:type="dxa"/>
              <w:right w:w="0" w:type="dxa"/>
            </w:tcMar>
            <w:vAlign w:val="bottom"/>
            <w:hideMark/>
          </w:tcPr>
          <w:p w:rsidR="00331257" w:rsidRPr="009C27AA" w:rsidP="00EB415C" w14:paraId="31A32D16" w14:textId="77777777">
            <w:pPr>
              <w:widowControl/>
              <w:autoSpaceDE/>
              <w:autoSpaceDN/>
              <w:adjustRightInd/>
              <w:jc w:val="center"/>
              <w:rPr>
                <w:b/>
                <w:bCs/>
                <w:color w:val="000000"/>
              </w:rPr>
            </w:pPr>
            <w:r>
              <w:rPr>
                <w:b/>
                <w:bCs/>
                <w:color w:val="000000"/>
              </w:rPr>
              <w:t>Test</w:t>
            </w:r>
          </w:p>
        </w:tc>
        <w:tc>
          <w:tcPr>
            <w:tcW w:w="952" w:type="pct"/>
            <w:shd w:val="clear" w:color="auto" w:fill="E0E0E0"/>
            <w:tcMar>
              <w:left w:w="0" w:type="dxa"/>
              <w:right w:w="0" w:type="dxa"/>
            </w:tcMar>
            <w:vAlign w:val="bottom"/>
            <w:hideMark/>
          </w:tcPr>
          <w:p w:rsidR="00331257" w:rsidRPr="009C27AA" w:rsidP="00EB415C" w14:paraId="5C05649B" w14:textId="77777777">
            <w:pPr>
              <w:widowControl/>
              <w:autoSpaceDE/>
              <w:autoSpaceDN/>
              <w:adjustRightInd/>
              <w:jc w:val="center"/>
              <w:rPr>
                <w:b/>
                <w:bCs/>
                <w:color w:val="000000"/>
              </w:rPr>
            </w:pPr>
            <w:r>
              <w:rPr>
                <w:b/>
                <w:bCs/>
                <w:color w:val="000000"/>
              </w:rPr>
              <w:t>Respondents</w:t>
            </w:r>
          </w:p>
        </w:tc>
        <w:tc>
          <w:tcPr>
            <w:tcW w:w="952" w:type="pct"/>
            <w:shd w:val="clear" w:color="auto" w:fill="E0E0E0"/>
            <w:tcMar>
              <w:left w:w="0" w:type="dxa"/>
              <w:right w:w="0" w:type="dxa"/>
            </w:tcMar>
            <w:vAlign w:val="bottom"/>
            <w:hideMark/>
          </w:tcPr>
          <w:p w:rsidR="00331257" w:rsidRPr="009C27AA" w:rsidP="00EB415C" w14:paraId="55F17050" w14:textId="77777777">
            <w:pPr>
              <w:widowControl/>
              <w:autoSpaceDE/>
              <w:autoSpaceDN/>
              <w:adjustRightInd/>
              <w:jc w:val="center"/>
              <w:rPr>
                <w:b/>
                <w:bCs/>
                <w:color w:val="000000"/>
              </w:rPr>
            </w:pPr>
            <w:r>
              <w:rPr>
                <w:b/>
                <w:bCs/>
                <w:color w:val="000000"/>
              </w:rPr>
              <w:t>Responses</w:t>
            </w:r>
          </w:p>
        </w:tc>
        <w:tc>
          <w:tcPr>
            <w:tcW w:w="952" w:type="pct"/>
            <w:shd w:val="clear" w:color="auto" w:fill="E0E0E0"/>
            <w:tcMar>
              <w:left w:w="0" w:type="dxa"/>
              <w:right w:w="0" w:type="dxa"/>
            </w:tcMar>
            <w:vAlign w:val="bottom"/>
            <w:hideMark/>
          </w:tcPr>
          <w:p w:rsidR="00331257" w:rsidRPr="009C27AA" w:rsidP="00EB415C" w14:paraId="2A6E9D62" w14:textId="77777777">
            <w:pPr>
              <w:widowControl/>
              <w:autoSpaceDE/>
              <w:autoSpaceDN/>
              <w:adjustRightInd/>
              <w:jc w:val="center"/>
              <w:rPr>
                <w:b/>
                <w:bCs/>
                <w:color w:val="000000"/>
              </w:rPr>
            </w:pPr>
            <w:r>
              <w:rPr>
                <w:b/>
                <w:bCs/>
                <w:color w:val="000000"/>
              </w:rPr>
              <w:t>Total Burden Hours</w:t>
            </w:r>
          </w:p>
        </w:tc>
        <w:tc>
          <w:tcPr>
            <w:tcW w:w="1192" w:type="pct"/>
            <w:shd w:val="clear" w:color="auto" w:fill="E0E0E0"/>
            <w:tcMar>
              <w:left w:w="0" w:type="dxa"/>
              <w:right w:w="0" w:type="dxa"/>
            </w:tcMar>
            <w:vAlign w:val="bottom"/>
            <w:hideMark/>
          </w:tcPr>
          <w:p w:rsidR="00331257" w:rsidRPr="009C27AA" w:rsidP="00EB415C" w14:paraId="709876CA" w14:textId="77777777">
            <w:pPr>
              <w:widowControl/>
              <w:autoSpaceDE/>
              <w:autoSpaceDN/>
              <w:adjustRightInd/>
              <w:jc w:val="center"/>
              <w:rPr>
                <w:b/>
                <w:bCs/>
                <w:color w:val="000000"/>
              </w:rPr>
            </w:pPr>
            <w:r>
              <w:rPr>
                <w:b/>
                <w:bCs/>
                <w:color w:val="000000"/>
              </w:rPr>
              <w:t>Total Burden Hour Cost</w:t>
            </w:r>
          </w:p>
        </w:tc>
      </w:tr>
      <w:tr w14:paraId="023C5BB9" w14:textId="77777777" w:rsidTr="5ECFBCA2">
        <w:tblPrEx>
          <w:tblW w:w="5000" w:type="pct"/>
          <w:tblCellMar>
            <w:left w:w="29" w:type="dxa"/>
            <w:right w:w="29" w:type="dxa"/>
          </w:tblCellMar>
          <w:tblLook w:val="04A0"/>
        </w:tblPrEx>
        <w:trPr>
          <w:trHeight w:val="270"/>
        </w:trPr>
        <w:tc>
          <w:tcPr>
            <w:tcW w:w="952" w:type="pct"/>
            <w:shd w:val="clear" w:color="auto" w:fill="auto"/>
            <w:tcMar>
              <w:left w:w="115" w:type="dxa"/>
              <w:right w:w="115" w:type="dxa"/>
            </w:tcMar>
            <w:vAlign w:val="bottom"/>
          </w:tcPr>
          <w:p w:rsidR="00FB3ED0" w:rsidRPr="005770E6" w:rsidP="00FB3ED0" w14:paraId="658D5304" w14:textId="14C6E504">
            <w:pPr>
              <w:widowControl/>
              <w:autoSpaceDE/>
              <w:autoSpaceDN/>
              <w:adjustRightInd/>
              <w:jc w:val="center"/>
              <w:rPr>
                <w:color w:val="000000"/>
              </w:rPr>
            </w:pPr>
            <w:r w:rsidRPr="005770E6">
              <w:rPr>
                <w:color w:val="000000"/>
              </w:rPr>
              <w:t>Knowledge</w:t>
            </w:r>
          </w:p>
        </w:tc>
        <w:tc>
          <w:tcPr>
            <w:tcW w:w="952" w:type="pct"/>
            <w:shd w:val="clear" w:color="auto" w:fill="auto"/>
            <w:tcMar>
              <w:left w:w="115" w:type="dxa"/>
              <w:right w:w="115" w:type="dxa"/>
            </w:tcMar>
          </w:tcPr>
          <w:p w:rsidR="00FB3ED0" w:rsidRPr="00B74A87" w:rsidP="00FB3ED0" w14:paraId="79B6A4DB" w14:textId="1A27E642">
            <w:pPr>
              <w:widowControl/>
              <w:autoSpaceDE/>
              <w:autoSpaceDN/>
              <w:adjustRightInd/>
              <w:jc w:val="center"/>
              <w:rPr>
                <w:color w:val="000000"/>
              </w:rPr>
            </w:pPr>
            <w:r>
              <w:rPr>
                <w:color w:val="000000"/>
              </w:rPr>
              <w:t xml:space="preserve"> </w:t>
            </w:r>
            <w:r w:rsidRPr="00E35F7D">
              <w:rPr>
                <w:color w:val="000000" w:themeColor="text1"/>
              </w:rPr>
              <w:t xml:space="preserve">427,136 </w:t>
            </w:r>
          </w:p>
        </w:tc>
        <w:tc>
          <w:tcPr>
            <w:tcW w:w="952" w:type="pct"/>
            <w:shd w:val="clear" w:color="auto" w:fill="auto"/>
            <w:tcMar>
              <w:left w:w="115" w:type="dxa"/>
              <w:right w:w="115" w:type="dxa"/>
            </w:tcMar>
          </w:tcPr>
          <w:p w:rsidR="00FB3ED0" w:rsidRPr="00B74A87" w:rsidP="00FB3ED0" w14:paraId="6EDF4EAE" w14:textId="07B92635">
            <w:pPr>
              <w:widowControl/>
              <w:autoSpaceDE/>
              <w:autoSpaceDN/>
              <w:adjustRightInd/>
              <w:jc w:val="center"/>
            </w:pPr>
            <w:r w:rsidRPr="00E35F7D">
              <w:rPr>
                <w:color w:val="000000" w:themeColor="text1"/>
              </w:rPr>
              <w:t>533,921</w:t>
            </w:r>
          </w:p>
        </w:tc>
        <w:tc>
          <w:tcPr>
            <w:tcW w:w="952" w:type="pct"/>
            <w:shd w:val="clear" w:color="auto" w:fill="auto"/>
            <w:tcMar>
              <w:left w:w="115" w:type="dxa"/>
              <w:right w:w="115" w:type="dxa"/>
            </w:tcMar>
          </w:tcPr>
          <w:p w:rsidR="00FB3ED0" w:rsidRPr="00B74A87" w:rsidP="00FB3ED0" w14:paraId="07DA636C" w14:textId="64FB6384">
            <w:pPr>
              <w:widowControl/>
              <w:autoSpaceDE/>
              <w:autoSpaceDN/>
              <w:adjustRightInd/>
              <w:jc w:val="center"/>
              <w:rPr>
                <w:color w:val="000000"/>
              </w:rPr>
            </w:pPr>
            <w:r w:rsidRPr="00E35F7D">
              <w:rPr>
                <w:color w:val="000000" w:themeColor="text1"/>
              </w:rPr>
              <w:t>400,440</w:t>
            </w:r>
          </w:p>
        </w:tc>
        <w:tc>
          <w:tcPr>
            <w:tcW w:w="1192" w:type="pct"/>
            <w:shd w:val="clear" w:color="auto" w:fill="auto"/>
            <w:tcMar>
              <w:left w:w="115" w:type="dxa"/>
              <w:right w:w="115" w:type="dxa"/>
            </w:tcMar>
          </w:tcPr>
          <w:p w:rsidR="00FB3ED0" w:rsidRPr="00B74A87" w:rsidP="5ECFBCA2" w14:paraId="6024E399" w14:textId="4495A767">
            <w:pPr>
              <w:widowControl/>
              <w:spacing w:line="259" w:lineRule="auto"/>
              <w:jc w:val="center"/>
            </w:pPr>
            <w:r>
              <w:t xml:space="preserve"> $</w:t>
            </w:r>
            <w:r w:rsidR="5F0A98FE">
              <w:t>13,288,444</w:t>
            </w:r>
          </w:p>
        </w:tc>
      </w:tr>
      <w:tr w14:paraId="45C16B61" w14:textId="77777777" w:rsidTr="5ECFBCA2">
        <w:tblPrEx>
          <w:tblW w:w="5000" w:type="pct"/>
          <w:tblCellMar>
            <w:left w:w="29" w:type="dxa"/>
            <w:right w:w="29" w:type="dxa"/>
          </w:tblCellMar>
          <w:tblLook w:val="04A0"/>
        </w:tblPrEx>
        <w:trPr>
          <w:trHeight w:val="270"/>
        </w:trPr>
        <w:tc>
          <w:tcPr>
            <w:tcW w:w="952" w:type="pct"/>
            <w:shd w:val="clear" w:color="auto" w:fill="auto"/>
            <w:tcMar>
              <w:left w:w="115" w:type="dxa"/>
              <w:right w:w="115" w:type="dxa"/>
            </w:tcMar>
            <w:vAlign w:val="bottom"/>
          </w:tcPr>
          <w:p w:rsidR="00FB3ED0" w:rsidRPr="005770E6" w:rsidP="00FB3ED0" w14:paraId="60977457" w14:textId="54D8FD07">
            <w:pPr>
              <w:widowControl/>
              <w:autoSpaceDE/>
              <w:autoSpaceDN/>
              <w:adjustRightInd/>
              <w:jc w:val="center"/>
              <w:rPr>
                <w:color w:val="000000"/>
              </w:rPr>
            </w:pPr>
            <w:r w:rsidRPr="005770E6">
              <w:rPr>
                <w:color w:val="000000"/>
              </w:rPr>
              <w:t>Skills</w:t>
            </w:r>
          </w:p>
        </w:tc>
        <w:tc>
          <w:tcPr>
            <w:tcW w:w="952" w:type="pct"/>
            <w:shd w:val="clear" w:color="auto" w:fill="auto"/>
            <w:tcMar>
              <w:left w:w="115" w:type="dxa"/>
              <w:right w:w="115" w:type="dxa"/>
            </w:tcMar>
          </w:tcPr>
          <w:p w:rsidR="00FB3ED0" w:rsidRPr="00B74A87" w:rsidP="00FB3ED0" w14:paraId="2D5706EC" w14:textId="0F69721F">
            <w:pPr>
              <w:widowControl/>
              <w:autoSpaceDE/>
              <w:autoSpaceDN/>
              <w:adjustRightInd/>
              <w:jc w:val="center"/>
              <w:rPr>
                <w:color w:val="000000"/>
              </w:rPr>
            </w:pPr>
            <w:r>
              <w:t xml:space="preserve"> </w:t>
            </w:r>
            <w:r w:rsidRPr="00E35F7D">
              <w:rPr>
                <w:color w:val="000000" w:themeColor="text1"/>
              </w:rPr>
              <w:t xml:space="preserve">427,136 </w:t>
            </w:r>
          </w:p>
        </w:tc>
        <w:tc>
          <w:tcPr>
            <w:tcW w:w="952" w:type="pct"/>
            <w:shd w:val="clear" w:color="auto" w:fill="auto"/>
            <w:tcMar>
              <w:left w:w="115" w:type="dxa"/>
              <w:right w:w="115" w:type="dxa"/>
            </w:tcMar>
          </w:tcPr>
          <w:p w:rsidR="00FB3ED0" w:rsidRPr="00B74A87" w:rsidP="00FB3ED0" w14:paraId="7EB169FE" w14:textId="5B4BCD27">
            <w:pPr>
              <w:widowControl/>
              <w:autoSpaceDE/>
              <w:autoSpaceDN/>
              <w:adjustRightInd/>
              <w:jc w:val="center"/>
              <w:rPr>
                <w:color w:val="000000"/>
              </w:rPr>
            </w:pPr>
            <w:r w:rsidRPr="00E35F7D">
              <w:rPr>
                <w:color w:val="000000" w:themeColor="text1"/>
              </w:rPr>
              <w:t>533,921</w:t>
            </w:r>
          </w:p>
        </w:tc>
        <w:tc>
          <w:tcPr>
            <w:tcW w:w="952" w:type="pct"/>
            <w:shd w:val="clear" w:color="auto" w:fill="auto"/>
            <w:tcMar>
              <w:left w:w="115" w:type="dxa"/>
              <w:right w:w="115" w:type="dxa"/>
            </w:tcMar>
          </w:tcPr>
          <w:p w:rsidR="00FB3ED0" w:rsidRPr="00B74A87" w:rsidP="00FB3ED0" w14:paraId="773C2271" w14:textId="060A2C5C">
            <w:pPr>
              <w:widowControl/>
              <w:autoSpaceDE/>
              <w:autoSpaceDN/>
              <w:adjustRightInd/>
              <w:jc w:val="center"/>
              <w:rPr>
                <w:color w:val="000000"/>
              </w:rPr>
            </w:pPr>
            <w:r w:rsidRPr="00E35F7D">
              <w:rPr>
                <w:color w:val="000000" w:themeColor="text1"/>
              </w:rPr>
              <w:t>800,881</w:t>
            </w:r>
          </w:p>
        </w:tc>
        <w:tc>
          <w:tcPr>
            <w:tcW w:w="1192" w:type="pct"/>
            <w:shd w:val="clear" w:color="auto" w:fill="auto"/>
            <w:tcMar>
              <w:left w:w="115" w:type="dxa"/>
              <w:right w:w="115" w:type="dxa"/>
            </w:tcMar>
          </w:tcPr>
          <w:p w:rsidR="00FB3ED0" w:rsidRPr="00B74A87" w:rsidP="5ECFBCA2" w14:paraId="59023BEA" w14:textId="0AE0D47D">
            <w:pPr>
              <w:widowControl/>
              <w:spacing w:line="259" w:lineRule="auto"/>
              <w:jc w:val="center"/>
            </w:pPr>
            <w:r>
              <w:t xml:space="preserve"> $</w:t>
            </w:r>
            <w:r w:rsidR="012C439D">
              <w:t>26,576,889</w:t>
            </w:r>
          </w:p>
        </w:tc>
      </w:tr>
      <w:tr w14:paraId="0BF9764F" w14:textId="77777777" w:rsidTr="5ECFBCA2">
        <w:tblPrEx>
          <w:tblW w:w="5000" w:type="pct"/>
          <w:tblCellMar>
            <w:left w:w="29" w:type="dxa"/>
            <w:right w:w="29" w:type="dxa"/>
          </w:tblCellMar>
          <w:tblLook w:val="04A0"/>
        </w:tblPrEx>
        <w:trPr>
          <w:trHeight w:val="270"/>
        </w:trPr>
        <w:tc>
          <w:tcPr>
            <w:tcW w:w="952" w:type="pct"/>
            <w:shd w:val="clear" w:color="auto" w:fill="auto"/>
            <w:tcMar>
              <w:left w:w="115" w:type="dxa"/>
              <w:right w:w="115" w:type="dxa"/>
            </w:tcMar>
            <w:vAlign w:val="bottom"/>
          </w:tcPr>
          <w:p w:rsidR="00FB3ED0" w:rsidRPr="005770E6" w:rsidP="00FB3ED0" w14:paraId="28414D3E" w14:textId="579CD185">
            <w:pPr>
              <w:widowControl/>
              <w:autoSpaceDE/>
              <w:autoSpaceDN/>
              <w:adjustRightInd/>
              <w:jc w:val="center"/>
              <w:rPr>
                <w:color w:val="000000"/>
              </w:rPr>
            </w:pPr>
            <w:r w:rsidRPr="005770E6">
              <w:rPr>
                <w:color w:val="000000"/>
              </w:rPr>
              <w:t>Total</w:t>
            </w:r>
          </w:p>
        </w:tc>
        <w:tc>
          <w:tcPr>
            <w:tcW w:w="952" w:type="pct"/>
            <w:shd w:val="clear" w:color="auto" w:fill="auto"/>
            <w:tcMar>
              <w:left w:w="115" w:type="dxa"/>
              <w:right w:w="115" w:type="dxa"/>
            </w:tcMar>
          </w:tcPr>
          <w:p w:rsidR="00FB3ED0" w:rsidRPr="00B74A87" w:rsidP="00FB3ED0" w14:paraId="6C3D17AA" w14:textId="2BFD464A">
            <w:pPr>
              <w:widowControl/>
              <w:autoSpaceDE/>
              <w:autoSpaceDN/>
              <w:adjustRightInd/>
              <w:jc w:val="center"/>
              <w:rPr>
                <w:color w:val="000000"/>
              </w:rPr>
            </w:pPr>
            <w:r>
              <w:rPr>
                <w:color w:val="000000"/>
              </w:rPr>
              <w:t xml:space="preserve"> </w:t>
            </w:r>
            <w:r w:rsidRPr="00E35F7D">
              <w:rPr>
                <w:color w:val="000000" w:themeColor="text1"/>
              </w:rPr>
              <w:t>854,273</w:t>
            </w:r>
          </w:p>
        </w:tc>
        <w:tc>
          <w:tcPr>
            <w:tcW w:w="952" w:type="pct"/>
            <w:shd w:val="clear" w:color="auto" w:fill="auto"/>
            <w:tcMar>
              <w:left w:w="115" w:type="dxa"/>
              <w:right w:w="115" w:type="dxa"/>
            </w:tcMar>
          </w:tcPr>
          <w:p w:rsidR="00FB3ED0" w:rsidRPr="00B74A87" w:rsidP="00FB3ED0" w14:paraId="7EC1D448" w14:textId="2E7E5E20">
            <w:pPr>
              <w:widowControl/>
              <w:autoSpaceDE/>
              <w:autoSpaceDN/>
              <w:adjustRightInd/>
              <w:jc w:val="center"/>
              <w:rPr>
                <w:color w:val="000000"/>
              </w:rPr>
            </w:pPr>
            <w:r w:rsidRPr="00E35F7D">
              <w:rPr>
                <w:color w:val="000000" w:themeColor="text1"/>
              </w:rPr>
              <w:t>1,067,841</w:t>
            </w:r>
          </w:p>
        </w:tc>
        <w:tc>
          <w:tcPr>
            <w:tcW w:w="952" w:type="pct"/>
            <w:shd w:val="clear" w:color="auto" w:fill="auto"/>
            <w:tcMar>
              <w:left w:w="115" w:type="dxa"/>
              <w:right w:w="115" w:type="dxa"/>
            </w:tcMar>
          </w:tcPr>
          <w:p w:rsidR="00FB3ED0" w:rsidRPr="00B74A87" w:rsidP="00FB3ED0" w14:paraId="6CF9D45A" w14:textId="40EDB1EA">
            <w:pPr>
              <w:widowControl/>
              <w:autoSpaceDE/>
              <w:autoSpaceDN/>
              <w:adjustRightInd/>
              <w:jc w:val="center"/>
              <w:rPr>
                <w:color w:val="000000"/>
              </w:rPr>
            </w:pPr>
            <w:r w:rsidRPr="00E35F7D">
              <w:rPr>
                <w:color w:val="000000" w:themeColor="text1"/>
              </w:rPr>
              <w:t>1,201,321</w:t>
            </w:r>
          </w:p>
        </w:tc>
        <w:tc>
          <w:tcPr>
            <w:tcW w:w="1192" w:type="pct"/>
            <w:shd w:val="clear" w:color="auto" w:fill="auto"/>
            <w:tcMar>
              <w:left w:w="115" w:type="dxa"/>
              <w:right w:w="115" w:type="dxa"/>
            </w:tcMar>
          </w:tcPr>
          <w:p w:rsidR="00FB3ED0" w:rsidRPr="00B74A87" w:rsidP="5ECFBCA2" w14:paraId="475466D3" w14:textId="3AF8EA09">
            <w:pPr>
              <w:widowControl/>
              <w:spacing w:line="259" w:lineRule="auto"/>
              <w:jc w:val="center"/>
              <w:rPr>
                <w:color w:val="000000" w:themeColor="text1"/>
              </w:rPr>
            </w:pPr>
            <w:r>
              <w:t xml:space="preserve"> $</w:t>
            </w:r>
            <w:r w:rsidR="11FC7F03">
              <w:t>39,865,333</w:t>
            </w:r>
            <w:r>
              <w:t xml:space="preserve"> </w:t>
            </w:r>
          </w:p>
        </w:tc>
      </w:tr>
    </w:tbl>
    <w:p w:rsidR="00FA4698" w:rsidRPr="007E65CF" w:rsidP="00722B85" w14:paraId="42AD0A4B" w14:textId="77777777">
      <w:pPr>
        <w:widowControl/>
        <w:rPr>
          <w:sz w:val="18"/>
          <w:szCs w:val="18"/>
        </w:rPr>
      </w:pPr>
      <w:r>
        <w:rPr>
          <w:sz w:val="18"/>
          <w:szCs w:val="18"/>
        </w:rPr>
        <w:t>Totals are the product of unrounded components</w:t>
      </w:r>
      <w:r w:rsidRPr="007E65CF">
        <w:rPr>
          <w:sz w:val="18"/>
          <w:szCs w:val="18"/>
        </w:rPr>
        <w:t>.</w:t>
      </w:r>
    </w:p>
    <w:p w:rsidR="005770E6" w:rsidP="00722B85" w14:paraId="7C3C7D60" w14:textId="77777777">
      <w:pPr>
        <w:widowControl/>
        <w:ind w:left="360" w:firstLine="360"/>
        <w:rPr>
          <w:b/>
        </w:rPr>
      </w:pPr>
    </w:p>
    <w:p w:rsidR="009D4362" w:rsidP="3E596ADD" w14:paraId="1D3D3FCD" w14:textId="21521630">
      <w:pPr>
        <w:widowControl/>
        <w:rPr>
          <w:b/>
          <w:bCs/>
        </w:rPr>
      </w:pPr>
      <w:r>
        <w:t xml:space="preserve">The currently approved total burden for drivers completing the knowledge and skills tests is </w:t>
      </w:r>
      <w:r w:rsidR="009C1F02">
        <w:t>1,198,636</w:t>
      </w:r>
      <w:r>
        <w:t xml:space="preserve">.  The new total of </w:t>
      </w:r>
      <w:r w:rsidRPr="5ECFBCA2" w:rsidR="007B7C1B">
        <w:rPr>
          <w:color w:val="000000" w:themeColor="text1"/>
        </w:rPr>
        <w:t>1,</w:t>
      </w:r>
      <w:r w:rsidRPr="5ECFBCA2" w:rsidR="009C1F02">
        <w:rPr>
          <w:color w:val="000000" w:themeColor="text1"/>
        </w:rPr>
        <w:t>201,321</w:t>
      </w:r>
      <w:r w:rsidRPr="5ECFBCA2" w:rsidR="00D62E1C">
        <w:rPr>
          <w:color w:val="000000" w:themeColor="text1"/>
        </w:rPr>
        <w:t xml:space="preserve"> </w:t>
      </w:r>
      <w:r>
        <w:t>represents a</w:t>
      </w:r>
      <w:r w:rsidR="00487834">
        <w:t>n increase</w:t>
      </w:r>
      <w:r>
        <w:t xml:space="preserve"> of </w:t>
      </w:r>
      <w:r w:rsidR="009B6B07">
        <w:t>2,68</w:t>
      </w:r>
      <w:r w:rsidR="00525796">
        <w:t>5</w:t>
      </w:r>
      <w:r w:rsidR="007B7C1B">
        <w:t xml:space="preserve"> </w:t>
      </w:r>
      <w:r>
        <w:t xml:space="preserve">hours.  </w:t>
      </w:r>
      <w:r w:rsidR="007B7C1B">
        <w:t xml:space="preserve"> </w:t>
      </w:r>
    </w:p>
    <w:p w:rsidR="009D4362" w:rsidP="00722B85" w14:paraId="1ABA4335" w14:textId="77777777">
      <w:pPr>
        <w:widowControl/>
        <w:rPr>
          <w:b/>
        </w:rPr>
      </w:pPr>
    </w:p>
    <w:p w:rsidR="00FA75EA" w:rsidP="00722B85" w14:paraId="1334F5BC" w14:textId="77777777">
      <w:pPr>
        <w:widowControl/>
      </w:pPr>
      <w:r w:rsidRPr="00B75783">
        <w:rPr>
          <w:b/>
        </w:rPr>
        <w:t>Estimated Burden for</w:t>
      </w:r>
      <w:r>
        <w:t xml:space="preserve"> </w:t>
      </w:r>
      <w:r w:rsidRPr="0028285A">
        <w:rPr>
          <w:b/>
        </w:rPr>
        <w:t>IC-1 CDL Driver Activities</w:t>
      </w:r>
    </w:p>
    <w:p w:rsidR="00E64259" w:rsidP="00722B85" w14:paraId="41011677" w14:textId="2C24EB4C">
      <w:pPr>
        <w:widowControl/>
      </w:pPr>
      <w:r>
        <w:t>Annualized over the three years covered by this ICR, t</w:t>
      </w:r>
      <w:r w:rsidR="00B75783">
        <w:t xml:space="preserve">he Agency estimates </w:t>
      </w:r>
      <w:r>
        <w:t>the four tasks included in IC-1 will result in 7,</w:t>
      </w:r>
      <w:r w:rsidR="6FF78C0B">
        <w:t>925,642</w:t>
      </w:r>
      <w:r>
        <w:t xml:space="preserve"> responses and 2,</w:t>
      </w:r>
      <w:r w:rsidR="66DD5BBE">
        <w:t>067,271</w:t>
      </w:r>
      <w:r w:rsidR="000F2059">
        <w:t xml:space="preserve"> burden hours, and a</w:t>
      </w:r>
      <w:r>
        <w:t xml:space="preserve"> $</w:t>
      </w:r>
      <w:r w:rsidR="008E721A">
        <w:t>115,091,983</w:t>
      </w:r>
      <w:r w:rsidR="00E8574A">
        <w:t xml:space="preserve"> </w:t>
      </w:r>
      <w:r w:rsidR="000F2059">
        <w:t>cost to respondents</w:t>
      </w:r>
      <w:r>
        <w:t xml:space="preserve"> (</w:t>
      </w:r>
      <w:r>
        <w:fldChar w:fldCharType="begin"/>
      </w:r>
      <w:r>
        <w:instrText xml:space="preserve"> REF _Ref508099877 \h  \* MERGEFORMAT </w:instrText>
      </w:r>
      <w:r>
        <w:fldChar w:fldCharType="separate"/>
      </w:r>
      <w:r w:rsidR="006A6CBC">
        <w:t xml:space="preserve">Table </w:t>
      </w:r>
      <w:r w:rsidRPr="5ECFBCA2" w:rsidR="006A6CBC">
        <w:rPr>
          <w:noProof/>
        </w:rPr>
        <w:t>9</w:t>
      </w:r>
      <w:r>
        <w:fldChar w:fldCharType="end"/>
      </w:r>
      <w:r>
        <w:t>).</w:t>
      </w:r>
    </w:p>
    <w:p w:rsidR="00E64259" w:rsidP="00722B85" w14:paraId="3D04C601" w14:textId="77777777">
      <w:pPr>
        <w:widowControl/>
        <w:ind w:left="360" w:firstLine="360"/>
      </w:pPr>
    </w:p>
    <w:p w:rsidR="006C3234" w:rsidP="00722B85" w14:paraId="14EC4A3E" w14:textId="77777777">
      <w:pPr>
        <w:widowControl/>
        <w:ind w:left="360" w:firstLine="360"/>
      </w:pPr>
    </w:p>
    <w:p w:rsidR="006C3234" w:rsidP="00722B85" w14:paraId="4D2DE2EE" w14:textId="77777777">
      <w:pPr>
        <w:widowControl/>
        <w:ind w:left="360" w:firstLine="360"/>
      </w:pPr>
    </w:p>
    <w:p w:rsidR="00AC1B8D" w:rsidRPr="00D64E77" w:rsidP="00722B85" w14:paraId="745007DE" w14:textId="4199E7DF">
      <w:pPr>
        <w:pStyle w:val="Caption"/>
        <w:keepNext/>
        <w:widowControl/>
      </w:pPr>
      <w:bookmarkStart w:id="16" w:name="_Ref508099877"/>
      <w:r w:rsidRPr="00D64E77">
        <w:t xml:space="preserve">Table </w:t>
      </w:r>
      <w:r>
        <w:fldChar w:fldCharType="begin"/>
      </w:r>
      <w:r>
        <w:instrText>SEQ Table \* ARABIC</w:instrText>
      </w:r>
      <w:r>
        <w:fldChar w:fldCharType="separate"/>
      </w:r>
      <w:r w:rsidR="006A6CBC">
        <w:rPr>
          <w:noProof/>
        </w:rPr>
        <w:t>9</w:t>
      </w:r>
      <w:r>
        <w:fldChar w:fldCharType="end"/>
      </w:r>
      <w:bookmarkEnd w:id="16"/>
      <w:r w:rsidRPr="00D64E77" w:rsidR="00F00D91">
        <w:t xml:space="preserve">. </w:t>
      </w:r>
      <w:r w:rsidRPr="00D64E77">
        <w:t>Annualized</w:t>
      </w:r>
      <w:r w:rsidRPr="00D64E77" w:rsidR="007B7C1B">
        <w:t xml:space="preserve"> Respondents,</w:t>
      </w:r>
      <w:r w:rsidRPr="00D64E77">
        <w:t xml:space="preserve"> </w:t>
      </w:r>
      <w:r w:rsidRPr="00D64E77" w:rsidR="002D66E6">
        <w:t xml:space="preserve">Responses, Burden Hours, and Burden Hour Cost for </w:t>
      </w:r>
      <w:r w:rsidRPr="00D64E77" w:rsidR="00F00D91">
        <w:t>IC</w:t>
      </w:r>
      <w:r w:rsidRPr="00D64E77" w:rsidR="002D66E6">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2967"/>
        <w:gridCol w:w="1532"/>
        <w:gridCol w:w="1348"/>
        <w:gridCol w:w="1440"/>
        <w:gridCol w:w="2063"/>
      </w:tblGrid>
      <w:tr w14:paraId="644B8B2B"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trPr>
        <w:tc>
          <w:tcPr>
            <w:tcW w:w="1587" w:type="pct"/>
            <w:shd w:val="clear" w:color="auto" w:fill="E0E0E0"/>
            <w:tcMar>
              <w:left w:w="0" w:type="dxa"/>
              <w:right w:w="0" w:type="dxa"/>
            </w:tcMar>
            <w:vAlign w:val="bottom"/>
            <w:hideMark/>
          </w:tcPr>
          <w:p w:rsidR="009849BF" w:rsidRPr="00E8574A" w:rsidP="009849BF" w14:paraId="3D4AC7FC" w14:textId="77777777">
            <w:pPr>
              <w:widowControl/>
              <w:autoSpaceDE/>
              <w:autoSpaceDN/>
              <w:adjustRightInd/>
              <w:jc w:val="center"/>
              <w:rPr>
                <w:b/>
                <w:bCs/>
                <w:color w:val="000000"/>
              </w:rPr>
            </w:pPr>
            <w:r w:rsidRPr="00E8574A">
              <w:rPr>
                <w:b/>
                <w:bCs/>
                <w:color w:val="000000"/>
              </w:rPr>
              <w:t>Information Collection</w:t>
            </w:r>
          </w:p>
        </w:tc>
        <w:tc>
          <w:tcPr>
            <w:tcW w:w="819" w:type="pct"/>
            <w:shd w:val="clear" w:color="auto" w:fill="E0E0E0"/>
            <w:tcMar>
              <w:left w:w="0" w:type="dxa"/>
              <w:right w:w="0" w:type="dxa"/>
            </w:tcMar>
            <w:vAlign w:val="bottom"/>
            <w:hideMark/>
          </w:tcPr>
          <w:p w:rsidR="009849BF" w:rsidRPr="00E8574A" w:rsidP="009849BF" w14:paraId="78E6DD98" w14:textId="77777777">
            <w:pPr>
              <w:widowControl/>
              <w:autoSpaceDE/>
              <w:autoSpaceDN/>
              <w:adjustRightInd/>
              <w:jc w:val="center"/>
              <w:rPr>
                <w:b/>
                <w:bCs/>
                <w:color w:val="000000"/>
              </w:rPr>
            </w:pPr>
            <w:r w:rsidRPr="00E8574A">
              <w:rPr>
                <w:b/>
                <w:bCs/>
                <w:color w:val="000000"/>
              </w:rPr>
              <w:t>Respondents</w:t>
            </w:r>
          </w:p>
        </w:tc>
        <w:tc>
          <w:tcPr>
            <w:tcW w:w="721" w:type="pct"/>
            <w:shd w:val="clear" w:color="auto" w:fill="E0E0E0"/>
            <w:tcMar>
              <w:left w:w="0" w:type="dxa"/>
              <w:right w:w="0" w:type="dxa"/>
            </w:tcMar>
            <w:vAlign w:val="bottom"/>
            <w:hideMark/>
          </w:tcPr>
          <w:p w:rsidR="009849BF" w:rsidRPr="00E8574A" w:rsidP="009849BF" w14:paraId="4BD00242" w14:textId="77777777">
            <w:pPr>
              <w:widowControl/>
              <w:autoSpaceDE/>
              <w:autoSpaceDN/>
              <w:adjustRightInd/>
              <w:jc w:val="center"/>
              <w:rPr>
                <w:b/>
                <w:bCs/>
                <w:color w:val="000000"/>
              </w:rPr>
            </w:pPr>
            <w:r w:rsidRPr="00E8574A">
              <w:rPr>
                <w:b/>
                <w:bCs/>
                <w:color w:val="000000"/>
              </w:rPr>
              <w:t>Responses</w:t>
            </w:r>
          </w:p>
        </w:tc>
        <w:tc>
          <w:tcPr>
            <w:tcW w:w="770" w:type="pct"/>
            <w:shd w:val="clear" w:color="auto" w:fill="E0E0E0"/>
            <w:tcMar>
              <w:left w:w="0" w:type="dxa"/>
              <w:right w:w="0" w:type="dxa"/>
            </w:tcMar>
            <w:vAlign w:val="bottom"/>
            <w:hideMark/>
          </w:tcPr>
          <w:p w:rsidR="009849BF" w:rsidRPr="00E8574A" w:rsidP="009849BF" w14:paraId="05F38981" w14:textId="77777777">
            <w:pPr>
              <w:widowControl/>
              <w:autoSpaceDE/>
              <w:autoSpaceDN/>
              <w:adjustRightInd/>
              <w:jc w:val="center"/>
              <w:rPr>
                <w:b/>
                <w:bCs/>
                <w:color w:val="000000"/>
              </w:rPr>
            </w:pPr>
            <w:r w:rsidRPr="00E8574A">
              <w:rPr>
                <w:b/>
                <w:bCs/>
                <w:color w:val="000000"/>
              </w:rPr>
              <w:t>Burden Hours</w:t>
            </w:r>
          </w:p>
        </w:tc>
        <w:tc>
          <w:tcPr>
            <w:tcW w:w="1103" w:type="pct"/>
            <w:shd w:val="clear" w:color="auto" w:fill="E0E0E0"/>
            <w:tcMar>
              <w:left w:w="0" w:type="dxa"/>
              <w:right w:w="0" w:type="dxa"/>
            </w:tcMar>
            <w:vAlign w:val="bottom"/>
          </w:tcPr>
          <w:p w:rsidR="009849BF" w:rsidRPr="00E8574A" w:rsidP="009849BF" w14:paraId="6AEEC013" w14:textId="77777777">
            <w:pPr>
              <w:widowControl/>
              <w:autoSpaceDE/>
              <w:autoSpaceDN/>
              <w:adjustRightInd/>
              <w:jc w:val="center"/>
              <w:rPr>
                <w:b/>
                <w:bCs/>
                <w:color w:val="000000"/>
              </w:rPr>
            </w:pPr>
            <w:r w:rsidRPr="00E8574A">
              <w:rPr>
                <w:b/>
              </w:rPr>
              <w:t>Burden Hour Cost</w:t>
            </w:r>
          </w:p>
        </w:tc>
      </w:tr>
      <w:tr w14:paraId="4DF4920F" w14:textId="77777777" w:rsidTr="006C3234">
        <w:tblPrEx>
          <w:tblW w:w="5000" w:type="pct"/>
          <w:tblLayout w:type="fixed"/>
          <w:tblCellMar>
            <w:left w:w="29" w:type="dxa"/>
            <w:right w:w="29" w:type="dxa"/>
          </w:tblCellMar>
          <w:tblLook w:val="04A0"/>
        </w:tblPrEx>
        <w:trPr>
          <w:trHeight w:val="270"/>
        </w:trPr>
        <w:tc>
          <w:tcPr>
            <w:tcW w:w="15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DE52E1" w:rsidRPr="00F00D91" w:rsidP="00DE52E1" w14:paraId="4126CA9C" w14:textId="77777777">
            <w:pPr>
              <w:widowControl/>
              <w:autoSpaceDE/>
              <w:autoSpaceDN/>
              <w:adjustRightInd/>
              <w:rPr>
                <w:color w:val="000000"/>
              </w:rPr>
            </w:pPr>
            <w:bookmarkStart w:id="17" w:name="_Hlk514362780"/>
            <w:r w:rsidRPr="00F00D91">
              <w:t>IC-1.1 Driver notification of convictions/disqualifications to employer</w:t>
            </w:r>
          </w:p>
        </w:tc>
        <w:tc>
          <w:tcPr>
            <w:tcW w:w="819"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0837A249" w14:textId="2AEDAA7A">
            <w:pPr>
              <w:widowControl/>
              <w:autoSpaceDE/>
              <w:autoSpaceDN/>
              <w:adjustRightInd/>
              <w:jc w:val="center"/>
              <w:rPr>
                <w:color w:val="000000"/>
              </w:rPr>
            </w:pPr>
            <w:r>
              <w:rPr>
                <w:color w:val="000000"/>
              </w:rPr>
              <w:t xml:space="preserve"> </w:t>
            </w:r>
            <w:r w:rsidRPr="00E35F7D">
              <w:rPr>
                <w:color w:val="000000" w:themeColor="text1"/>
              </w:rPr>
              <w:t>3,023,350</w:t>
            </w:r>
          </w:p>
        </w:tc>
        <w:tc>
          <w:tcPr>
            <w:tcW w:w="72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5959754D" w14:textId="7AB1E641">
            <w:pPr>
              <w:widowControl/>
              <w:autoSpaceDE/>
              <w:autoSpaceDN/>
              <w:adjustRightInd/>
              <w:jc w:val="center"/>
              <w:rPr>
                <w:color w:val="000000"/>
              </w:rPr>
            </w:pPr>
            <w:r>
              <w:rPr>
                <w:color w:val="000000"/>
              </w:rPr>
              <w:t xml:space="preserve"> </w:t>
            </w:r>
            <w:r w:rsidRPr="00E35F7D">
              <w:rPr>
                <w:color w:val="000000" w:themeColor="text1"/>
              </w:rPr>
              <w:t>3,023,350</w:t>
            </w:r>
          </w:p>
        </w:tc>
        <w:tc>
          <w:tcPr>
            <w:tcW w:w="77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57F6004F" w14:textId="15DB46F3">
            <w:pPr>
              <w:widowControl/>
              <w:autoSpaceDE/>
              <w:autoSpaceDN/>
              <w:adjustRightInd/>
              <w:jc w:val="center"/>
              <w:rPr>
                <w:color w:val="000000"/>
              </w:rPr>
            </w:pPr>
            <w:r>
              <w:rPr>
                <w:color w:val="000000"/>
              </w:rPr>
              <w:t xml:space="preserve"> </w:t>
            </w:r>
            <w:r w:rsidRPr="00E35F7D">
              <w:rPr>
                <w:color w:val="000000" w:themeColor="text1"/>
              </w:rPr>
              <w:t>504,900</w:t>
            </w:r>
          </w:p>
        </w:tc>
        <w:tc>
          <w:tcPr>
            <w:tcW w:w="110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DE52E1" w:rsidRPr="00E8574A" w:rsidP="5ECFBCA2" w14:paraId="1376C1C6" w14:textId="2395FACA">
            <w:pPr>
              <w:widowControl/>
              <w:spacing w:line="259" w:lineRule="auto"/>
              <w:jc w:val="center"/>
              <w:rPr>
                <w:color w:val="000000" w:themeColor="text1"/>
              </w:rPr>
            </w:pPr>
            <w:r>
              <w:t xml:space="preserve"> $</w:t>
            </w:r>
            <w:r w:rsidR="5F36CDF8">
              <w:t>16,754,876</w:t>
            </w:r>
            <w:r>
              <w:t xml:space="preserve"> </w:t>
            </w:r>
          </w:p>
        </w:tc>
      </w:tr>
      <w:bookmarkEnd w:id="17"/>
      <w:tr w14:paraId="623CA8DD" w14:textId="77777777" w:rsidTr="006C3234">
        <w:tblPrEx>
          <w:tblW w:w="5000" w:type="pct"/>
          <w:tblLayout w:type="fixed"/>
          <w:tblCellMar>
            <w:left w:w="29" w:type="dxa"/>
            <w:right w:w="29" w:type="dxa"/>
          </w:tblCellMar>
          <w:tblLook w:val="04A0"/>
        </w:tblPrEx>
        <w:trPr>
          <w:trHeight w:val="270"/>
        </w:trPr>
        <w:tc>
          <w:tcPr>
            <w:tcW w:w="15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DE52E1" w:rsidRPr="00F00D91" w:rsidP="00DE52E1" w14:paraId="3A942E14" w14:textId="7352979D">
            <w:pPr>
              <w:widowControl/>
              <w:autoSpaceDE/>
              <w:autoSpaceDN/>
              <w:adjustRightInd/>
              <w:rPr>
                <w:color w:val="000000"/>
              </w:rPr>
            </w:pPr>
            <w:r w:rsidRPr="00F00D91">
              <w:t>IC-1.2 Driver providing previous employment history to new employer</w:t>
            </w:r>
          </w:p>
        </w:tc>
        <w:tc>
          <w:tcPr>
            <w:tcW w:w="819"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61B88CEE" w14:textId="6967534F">
            <w:pPr>
              <w:widowControl/>
              <w:autoSpaceDE/>
              <w:autoSpaceDN/>
              <w:adjustRightInd/>
              <w:jc w:val="center"/>
              <w:rPr>
                <w:color w:val="000000"/>
              </w:rPr>
            </w:pPr>
            <w:r>
              <w:rPr>
                <w:color w:val="000000"/>
              </w:rPr>
              <w:t xml:space="preserve"> </w:t>
            </w:r>
            <w:r w:rsidRPr="00E35F7D">
              <w:rPr>
                <w:color w:val="000000" w:themeColor="text1"/>
              </w:rPr>
              <w:t>1,269,807</w:t>
            </w:r>
          </w:p>
        </w:tc>
        <w:tc>
          <w:tcPr>
            <w:tcW w:w="72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0003743C" w14:textId="3BF3FB6E">
            <w:pPr>
              <w:widowControl/>
              <w:autoSpaceDE/>
              <w:autoSpaceDN/>
              <w:adjustRightInd/>
              <w:jc w:val="center"/>
              <w:rPr>
                <w:color w:val="000000"/>
              </w:rPr>
            </w:pPr>
            <w:r>
              <w:rPr>
                <w:color w:val="000000"/>
              </w:rPr>
              <w:t xml:space="preserve"> </w:t>
            </w:r>
            <w:r w:rsidRPr="00E35F7D">
              <w:rPr>
                <w:color w:val="000000" w:themeColor="text1"/>
              </w:rPr>
              <w:t>1,269,807</w:t>
            </w:r>
          </w:p>
        </w:tc>
        <w:tc>
          <w:tcPr>
            <w:tcW w:w="77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1F8ED93F" w14:textId="1A017CDC">
            <w:pPr>
              <w:widowControl/>
              <w:autoSpaceDE/>
              <w:autoSpaceDN/>
              <w:adjustRightInd/>
              <w:jc w:val="center"/>
              <w:rPr>
                <w:color w:val="000000"/>
              </w:rPr>
            </w:pPr>
            <w:r>
              <w:rPr>
                <w:color w:val="000000"/>
              </w:rPr>
              <w:t xml:space="preserve"> </w:t>
            </w:r>
            <w:r w:rsidRPr="00E35F7D">
              <w:rPr>
                <w:color w:val="000000" w:themeColor="text1"/>
              </w:rPr>
              <w:t>317,452</w:t>
            </w:r>
          </w:p>
        </w:tc>
        <w:tc>
          <w:tcPr>
            <w:tcW w:w="110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DE52E1" w:rsidRPr="00E8574A" w:rsidP="5ECFBCA2" w14:paraId="46310940" w14:textId="1C5DA1F8">
            <w:pPr>
              <w:widowControl/>
              <w:spacing w:line="259" w:lineRule="auto"/>
              <w:jc w:val="center"/>
              <w:rPr>
                <w:color w:val="000000" w:themeColor="text1"/>
              </w:rPr>
            </w:pPr>
            <w:r>
              <w:t xml:space="preserve"> $</w:t>
            </w:r>
            <w:r w:rsidR="0E5235A2">
              <w:t>10,534,502</w:t>
            </w:r>
          </w:p>
        </w:tc>
      </w:tr>
      <w:tr w14:paraId="4E0B26AF" w14:textId="77777777" w:rsidTr="006C3234">
        <w:tblPrEx>
          <w:tblW w:w="5000" w:type="pct"/>
          <w:tblLayout w:type="fixed"/>
          <w:tblCellMar>
            <w:left w:w="29" w:type="dxa"/>
            <w:right w:w="29" w:type="dxa"/>
          </w:tblCellMar>
          <w:tblLook w:val="04A0"/>
        </w:tblPrEx>
        <w:trPr>
          <w:trHeight w:val="270"/>
        </w:trPr>
        <w:tc>
          <w:tcPr>
            <w:tcW w:w="15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DE52E1" w:rsidRPr="00F00D91" w:rsidP="00DE52E1" w14:paraId="4C2708E4" w14:textId="3FE322AD">
            <w:pPr>
              <w:widowControl/>
              <w:autoSpaceDE/>
              <w:autoSpaceDN/>
              <w:adjustRightInd/>
              <w:rPr>
                <w:color w:val="000000"/>
              </w:rPr>
            </w:pPr>
            <w:r w:rsidRPr="00F00D91">
              <w:t>IC-1.3 Driver completion of the CDL application form</w:t>
            </w:r>
          </w:p>
        </w:tc>
        <w:tc>
          <w:tcPr>
            <w:tcW w:w="819"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108CEE2B" w14:textId="4CDC526C">
            <w:pPr>
              <w:widowControl/>
              <w:autoSpaceDE/>
              <w:autoSpaceDN/>
              <w:adjustRightInd/>
              <w:jc w:val="center"/>
              <w:rPr>
                <w:color w:val="000000"/>
              </w:rPr>
            </w:pPr>
            <w:r>
              <w:t xml:space="preserve"> </w:t>
            </w:r>
            <w:r w:rsidRPr="00E35F7D">
              <w:t>2,564,644</w:t>
            </w:r>
          </w:p>
        </w:tc>
        <w:tc>
          <w:tcPr>
            <w:tcW w:w="72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0999AB36" w14:textId="718707F2">
            <w:pPr>
              <w:widowControl/>
              <w:autoSpaceDE/>
              <w:autoSpaceDN/>
              <w:adjustRightInd/>
              <w:jc w:val="center"/>
              <w:rPr>
                <w:color w:val="000000"/>
              </w:rPr>
            </w:pPr>
            <w:r>
              <w:t xml:space="preserve"> </w:t>
            </w:r>
            <w:r w:rsidRPr="00E35F7D">
              <w:t>2,564,644</w:t>
            </w:r>
          </w:p>
        </w:tc>
        <w:tc>
          <w:tcPr>
            <w:tcW w:w="77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6749E3F2" w14:textId="6448BEB5">
            <w:pPr>
              <w:widowControl/>
              <w:autoSpaceDE/>
              <w:autoSpaceDN/>
              <w:adjustRightInd/>
              <w:jc w:val="center"/>
              <w:rPr>
                <w:color w:val="000000"/>
              </w:rPr>
            </w:pPr>
            <w:r>
              <w:t xml:space="preserve"> </w:t>
            </w:r>
            <w:r w:rsidRPr="00E35F7D">
              <w:t>43,599</w:t>
            </w:r>
          </w:p>
        </w:tc>
        <w:tc>
          <w:tcPr>
            <w:tcW w:w="110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DE52E1" w:rsidRPr="00E8574A" w:rsidP="5ECFBCA2" w14:paraId="18BAB6FF" w14:textId="08A1318C">
            <w:pPr>
              <w:widowControl/>
              <w:spacing w:line="259" w:lineRule="auto"/>
              <w:jc w:val="center"/>
            </w:pPr>
            <w:r>
              <w:t xml:space="preserve"> $</w:t>
            </w:r>
            <w:r w:rsidR="4839DCEA">
              <w:t>1,446,813</w:t>
            </w:r>
            <w:r>
              <w:t xml:space="preserve"> </w:t>
            </w:r>
          </w:p>
        </w:tc>
      </w:tr>
      <w:tr w14:paraId="3DA1A219" w14:textId="77777777" w:rsidTr="006C3234">
        <w:tblPrEx>
          <w:tblW w:w="5000" w:type="pct"/>
          <w:tblLayout w:type="fixed"/>
          <w:tblCellMar>
            <w:left w:w="29" w:type="dxa"/>
            <w:right w:w="29" w:type="dxa"/>
          </w:tblCellMar>
          <w:tblLook w:val="04A0"/>
        </w:tblPrEx>
        <w:trPr>
          <w:trHeight w:val="270"/>
        </w:trPr>
        <w:tc>
          <w:tcPr>
            <w:tcW w:w="1587"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bottom"/>
          </w:tcPr>
          <w:p w:rsidR="00DE52E1" w:rsidRPr="00F00D91" w:rsidP="00DE52E1" w14:paraId="1CD7DD72" w14:textId="0F408252">
            <w:pPr>
              <w:widowControl/>
              <w:autoSpaceDE/>
              <w:autoSpaceDN/>
              <w:adjustRightInd/>
              <w:rPr>
                <w:color w:val="000000"/>
              </w:rPr>
            </w:pPr>
            <w:r w:rsidRPr="00F00D91">
              <w:t>IC-1.4 Driver completion of knowledge and skills tests</w:t>
            </w:r>
          </w:p>
        </w:tc>
        <w:tc>
          <w:tcPr>
            <w:tcW w:w="819"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CE5D9A" w:rsidP="00DE52E1" w14:paraId="20571809" w14:textId="1B0DBB60">
            <w:pPr>
              <w:widowControl/>
              <w:autoSpaceDE/>
              <w:autoSpaceDN/>
              <w:adjustRightInd/>
              <w:jc w:val="center"/>
            </w:pPr>
            <w:r>
              <w:t xml:space="preserve"> </w:t>
            </w:r>
            <w:r w:rsidRPr="00E35F7D">
              <w:t>854,273</w:t>
            </w:r>
          </w:p>
        </w:tc>
        <w:tc>
          <w:tcPr>
            <w:tcW w:w="721"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4841DEE5" w14:textId="62423A61">
            <w:pPr>
              <w:widowControl/>
              <w:autoSpaceDE/>
              <w:autoSpaceDN/>
              <w:adjustRightInd/>
              <w:jc w:val="center"/>
              <w:rPr>
                <w:color w:val="000000"/>
              </w:rPr>
            </w:pPr>
            <w:r>
              <w:t xml:space="preserve"> </w:t>
            </w:r>
            <w:r w:rsidRPr="00E35F7D">
              <w:t>1,067,841</w:t>
            </w:r>
          </w:p>
        </w:tc>
        <w:tc>
          <w:tcPr>
            <w:tcW w:w="770"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rsidR="00DE52E1" w:rsidRPr="00E8574A" w:rsidP="00DE52E1" w14:paraId="2210D7ED" w14:textId="570D4059">
            <w:pPr>
              <w:widowControl/>
              <w:autoSpaceDE/>
              <w:autoSpaceDN/>
              <w:adjustRightInd/>
              <w:jc w:val="center"/>
              <w:rPr>
                <w:color w:val="000000"/>
              </w:rPr>
            </w:pPr>
            <w:r>
              <w:t xml:space="preserve"> </w:t>
            </w:r>
            <w:r w:rsidRPr="00E35F7D">
              <w:t>1,201,321</w:t>
            </w:r>
          </w:p>
        </w:tc>
        <w:tc>
          <w:tcPr>
            <w:tcW w:w="1103" w:type="pct"/>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DE52E1" w:rsidRPr="00E8574A" w:rsidP="5ECFBCA2" w14:paraId="7B3865AD" w14:textId="32B4E8AF">
            <w:pPr>
              <w:widowControl/>
              <w:spacing w:line="259" w:lineRule="auto"/>
              <w:jc w:val="center"/>
            </w:pPr>
            <w:r>
              <w:t xml:space="preserve"> $</w:t>
            </w:r>
            <w:r w:rsidR="1BA106F2">
              <w:t>39,865,333</w:t>
            </w:r>
          </w:p>
        </w:tc>
      </w:tr>
      <w:tr w14:paraId="26D43CA8" w14:textId="77777777" w:rsidTr="5ECFBCA2">
        <w:tblPrEx>
          <w:tblW w:w="5000" w:type="pct"/>
          <w:tblLayout w:type="fixed"/>
          <w:tblCellMar>
            <w:left w:w="29" w:type="dxa"/>
            <w:right w:w="29" w:type="dxa"/>
          </w:tblCellMar>
          <w:tblLook w:val="04A0"/>
        </w:tblPrEx>
        <w:trPr>
          <w:trHeight w:val="270"/>
        </w:trPr>
        <w:tc>
          <w:tcPr>
            <w:tcW w:w="1587" w:type="pct"/>
            <w:shd w:val="clear" w:color="auto" w:fill="auto"/>
            <w:tcMar>
              <w:left w:w="115" w:type="dxa"/>
              <w:right w:w="115" w:type="dxa"/>
            </w:tcMar>
            <w:vAlign w:val="bottom"/>
          </w:tcPr>
          <w:p w:rsidR="00DE52E1" w:rsidRPr="00E8574A" w:rsidP="00DE52E1" w14:paraId="7CD4637C" w14:textId="1C0CFCE0">
            <w:pPr>
              <w:widowControl/>
              <w:autoSpaceDE/>
              <w:autoSpaceDN/>
              <w:adjustRightInd/>
              <w:jc w:val="center"/>
              <w:rPr>
                <w:color w:val="000000"/>
              </w:rPr>
            </w:pPr>
            <w:r w:rsidRPr="00E8574A">
              <w:t>Total</w:t>
            </w:r>
          </w:p>
        </w:tc>
        <w:tc>
          <w:tcPr>
            <w:tcW w:w="819" w:type="pct"/>
            <w:shd w:val="clear" w:color="auto" w:fill="auto"/>
            <w:tcMar>
              <w:left w:w="115" w:type="dxa"/>
              <w:right w:w="115" w:type="dxa"/>
            </w:tcMar>
          </w:tcPr>
          <w:p w:rsidR="00DE52E1" w:rsidRPr="001F19C1" w:rsidP="00DE52E1" w14:paraId="7AF9740B" w14:textId="1E675A36">
            <w:pPr>
              <w:widowControl/>
              <w:autoSpaceDE/>
              <w:autoSpaceDN/>
              <w:adjustRightInd/>
              <w:jc w:val="center"/>
              <w:rPr>
                <w:color w:val="000000"/>
              </w:rPr>
            </w:pPr>
            <w:r>
              <w:t xml:space="preserve"> </w:t>
            </w:r>
            <w:r w:rsidRPr="00E35F7D">
              <w:t>7,712,074</w:t>
            </w:r>
          </w:p>
        </w:tc>
        <w:tc>
          <w:tcPr>
            <w:tcW w:w="721" w:type="pct"/>
            <w:shd w:val="clear" w:color="auto" w:fill="auto"/>
            <w:tcMar>
              <w:left w:w="115" w:type="dxa"/>
              <w:right w:w="115" w:type="dxa"/>
            </w:tcMar>
          </w:tcPr>
          <w:p w:rsidR="00DE52E1" w:rsidRPr="001F19C1" w:rsidP="00DE52E1" w14:paraId="4EE5CEB2" w14:textId="7DFC93CB">
            <w:pPr>
              <w:widowControl/>
              <w:autoSpaceDE/>
              <w:autoSpaceDN/>
              <w:adjustRightInd/>
              <w:jc w:val="center"/>
              <w:rPr>
                <w:color w:val="000000"/>
              </w:rPr>
            </w:pPr>
            <w:r>
              <w:t xml:space="preserve"> </w:t>
            </w:r>
            <w:r w:rsidRPr="00E35F7D">
              <w:t>7,925,642</w:t>
            </w:r>
          </w:p>
        </w:tc>
        <w:tc>
          <w:tcPr>
            <w:tcW w:w="770" w:type="pct"/>
            <w:shd w:val="clear" w:color="auto" w:fill="auto"/>
            <w:tcMar>
              <w:left w:w="115" w:type="dxa"/>
              <w:right w:w="115" w:type="dxa"/>
            </w:tcMar>
          </w:tcPr>
          <w:p w:rsidR="00DE52E1" w:rsidRPr="001F19C1" w:rsidP="00DE52E1" w14:paraId="61375083" w14:textId="5DBECC34">
            <w:pPr>
              <w:widowControl/>
              <w:autoSpaceDE/>
              <w:autoSpaceDN/>
              <w:adjustRightInd/>
              <w:jc w:val="center"/>
              <w:rPr>
                <w:color w:val="000000"/>
              </w:rPr>
            </w:pPr>
            <w:r>
              <w:t xml:space="preserve"> 2,067,271</w:t>
            </w:r>
          </w:p>
        </w:tc>
        <w:tc>
          <w:tcPr>
            <w:tcW w:w="1103" w:type="pct"/>
            <w:shd w:val="clear" w:color="auto" w:fill="auto"/>
            <w:tcMar>
              <w:left w:w="115" w:type="dxa"/>
              <w:right w:w="115" w:type="dxa"/>
            </w:tcMar>
          </w:tcPr>
          <w:p w:rsidR="00DE52E1" w:rsidRPr="00E64259" w:rsidP="5ECFBCA2" w14:paraId="2218A73B" w14:textId="717F4AA7">
            <w:pPr>
              <w:widowControl/>
              <w:spacing w:line="259" w:lineRule="auto"/>
              <w:jc w:val="center"/>
            </w:pPr>
            <w:r>
              <w:t>$ 68,601,525</w:t>
            </w:r>
          </w:p>
        </w:tc>
      </w:tr>
    </w:tbl>
    <w:p w:rsidR="009849BF" w:rsidP="7827EEF5" w14:paraId="3727B1AE" w14:textId="6E78EB1A">
      <w:pPr>
        <w:widowControl/>
      </w:pPr>
      <w:bookmarkStart w:id="18" w:name="_Hlk75184984"/>
    </w:p>
    <w:p w:rsidR="00AC1B8D" w:rsidP="00722B85" w14:paraId="08D81FFB" w14:textId="41758174">
      <w:pPr>
        <w:widowControl/>
      </w:pPr>
      <w:r>
        <w:t>Estimated A</w:t>
      </w:r>
      <w:r w:rsidR="009849BF">
        <w:t>nnual Number of Respondents</w:t>
      </w:r>
      <w:r w:rsidR="00EB7D1F">
        <w:t xml:space="preserve"> for IC-1</w:t>
      </w:r>
      <w:r w:rsidR="009849BF">
        <w:t xml:space="preserve">: </w:t>
      </w:r>
      <w:r>
        <w:t>7,</w:t>
      </w:r>
      <w:r w:rsidR="4F49FEA4">
        <w:t>712,074</w:t>
      </w:r>
      <w:r w:rsidR="002F3A9C">
        <w:t>.</w:t>
      </w:r>
    </w:p>
    <w:p w:rsidR="00AC1B8D" w:rsidRPr="00B75783" w:rsidP="00722B85" w14:paraId="664F8366" w14:textId="113B7EEA">
      <w:pPr>
        <w:widowControl/>
      </w:pPr>
      <w:r>
        <w:t>Estimated Annual Number of Responses</w:t>
      </w:r>
      <w:r w:rsidR="00EB7D1F">
        <w:t xml:space="preserve"> for IC-1</w:t>
      </w:r>
      <w:r>
        <w:t>: 7,</w:t>
      </w:r>
      <w:r w:rsidR="29603CB6">
        <w:t>925,642</w:t>
      </w:r>
      <w:r w:rsidR="002F3A9C">
        <w:t>.</w:t>
      </w:r>
    </w:p>
    <w:p w:rsidR="00B75783" w:rsidRPr="00B75783" w:rsidP="00722B85" w14:paraId="1370C822" w14:textId="1E41340F">
      <w:pPr>
        <w:widowControl/>
      </w:pPr>
      <w:r>
        <w:t>Estimated Total Annual Burden</w:t>
      </w:r>
      <w:r w:rsidR="00EB7D1F">
        <w:t xml:space="preserve"> </w:t>
      </w:r>
      <w:r w:rsidR="00877F4E">
        <w:t xml:space="preserve">Hours </w:t>
      </w:r>
      <w:r w:rsidR="00EB7D1F">
        <w:t>for IC-1</w:t>
      </w:r>
      <w:r>
        <w:t>: 2,</w:t>
      </w:r>
      <w:r w:rsidR="5AD2A4E4">
        <w:t>067,271</w:t>
      </w:r>
      <w:r w:rsidR="002F3A9C">
        <w:t>.</w:t>
      </w:r>
    </w:p>
    <w:p w:rsidR="007B52ED" w:rsidP="00722B85" w14:paraId="55B229E6" w14:textId="6FAB91B2">
      <w:pPr>
        <w:widowControl/>
      </w:pPr>
      <w:r>
        <w:t>Estimated Annual Burden Hour Cost</w:t>
      </w:r>
      <w:r w:rsidR="00EB7D1F">
        <w:t xml:space="preserve"> for IC-1</w:t>
      </w:r>
      <w:r>
        <w:t>: $</w:t>
      </w:r>
      <w:r w:rsidR="04883CEC">
        <w:t>68,601,525</w:t>
      </w:r>
      <w:r w:rsidR="002F3A9C">
        <w:t>.</w:t>
      </w:r>
    </w:p>
    <w:bookmarkEnd w:id="18"/>
    <w:p w:rsidR="00873952" w:rsidP="00722B85" w14:paraId="7AD24F00" w14:textId="77777777">
      <w:pPr>
        <w:widowControl/>
      </w:pPr>
    </w:p>
    <w:p w:rsidR="003B6A77" w:rsidRPr="001A7839" w:rsidP="00722B85" w14:paraId="2EFE4B9A" w14:textId="77777777">
      <w:pPr>
        <w:widowControl/>
        <w:rPr>
          <w:b/>
          <w:u w:val="single"/>
        </w:rPr>
      </w:pPr>
      <w:r w:rsidRPr="001A7839">
        <w:rPr>
          <w:b/>
          <w:u w:val="single"/>
        </w:rPr>
        <w:t>IC-2 State Driver Licensing Agency CDL Activities</w:t>
      </w:r>
    </w:p>
    <w:p w:rsidR="0028285A" w:rsidP="00722B85" w14:paraId="6CA70DC3" w14:textId="52E3D27E">
      <w:pPr>
        <w:widowControl/>
      </w:pPr>
      <w:r>
        <w:t>SDLA activities include: 1) recording of medical examiner’s certificate information; 2) recording of self-certification of CMV operation; 3) verification of medical certification status; 4) annual State certification of compliance; 5) preparing for and participating in Annual Program Review; 6) CDLIS/</w:t>
      </w:r>
      <w:r w:rsidR="3877D127">
        <w:t>Problem Driver Pointer System (</w:t>
      </w:r>
      <w:r>
        <w:t>PDPS</w:t>
      </w:r>
      <w:r w:rsidR="3877D127">
        <w:t>)</w:t>
      </w:r>
      <w:r>
        <w:t>/State Recordkeeping; 7) CDL knowledge and skills tests recordkeeping</w:t>
      </w:r>
      <w:r w:rsidR="003B6A77">
        <w:t xml:space="preserve"> </w:t>
      </w:r>
      <w:r>
        <w:t>8) knowledge and skills test examiner certification</w:t>
      </w:r>
      <w:r w:rsidR="2A81832A">
        <w:t>; 9) issuing knowledge and skills tester certificates; and 10) knowledge and skills tester auditing and monitoring</w:t>
      </w:r>
      <w:r>
        <w:t>.</w:t>
      </w:r>
    </w:p>
    <w:p w:rsidR="006C3FF8" w:rsidP="00722B85" w14:paraId="5FC7E23B" w14:textId="77777777">
      <w:pPr>
        <w:widowControl/>
        <w:ind w:left="720"/>
      </w:pPr>
    </w:p>
    <w:p w:rsidR="00F00D91" w:rsidP="00722B85" w14:paraId="123EDCF5" w14:textId="090F1042">
      <w:pPr>
        <w:widowControl/>
      </w:pPr>
      <w:r w:rsidRPr="001C0EF3">
        <w:t xml:space="preserve">FMCSA assumes these tasks will be carried out by individuals equivalent to </w:t>
      </w:r>
      <w:r w:rsidRPr="00197672" w:rsidR="09DA92B0">
        <w:t>Office Clerks, General</w:t>
      </w:r>
      <w:r w:rsidR="00B90FE5">
        <w:t xml:space="preserve"> (</w:t>
      </w:r>
      <w:r w:rsidR="002B3291">
        <w:t xml:space="preserve">SOC Code </w:t>
      </w:r>
      <w:r w:rsidR="00B90FE5">
        <w:t>43-</w:t>
      </w:r>
      <w:r w:rsidR="0004074E">
        <w:t>9061</w:t>
      </w:r>
      <w:r w:rsidR="00B90FE5">
        <w:t xml:space="preserve">), </w:t>
      </w:r>
      <w:r w:rsidRPr="00197672" w:rsidR="00197672">
        <w:t>Court, Municipal, and License Clerks</w:t>
      </w:r>
      <w:r w:rsidR="00197672">
        <w:t xml:space="preserve"> (SOC</w:t>
      </w:r>
      <w:r w:rsidR="002B3291">
        <w:t xml:space="preserve"> Code</w:t>
      </w:r>
      <w:r w:rsidR="00197672">
        <w:t xml:space="preserve"> </w:t>
      </w:r>
      <w:r w:rsidR="008D2C4A">
        <w:t xml:space="preserve">43-4031), and </w:t>
      </w:r>
      <w:r w:rsidRPr="00197672" w:rsidR="00197672">
        <w:t>First-Line Supervisors of Office and Administrative Support Workers</w:t>
      </w:r>
      <w:r w:rsidR="008D2C4A">
        <w:t xml:space="preserve"> (SOC</w:t>
      </w:r>
      <w:r w:rsidR="00B90FE5">
        <w:t xml:space="preserve"> </w:t>
      </w:r>
      <w:r w:rsidR="002B3291">
        <w:t xml:space="preserve">Code </w:t>
      </w:r>
      <w:r w:rsidR="00B90FE5">
        <w:t>43-1011)</w:t>
      </w:r>
      <w:r w:rsidR="003A7E90">
        <w:t xml:space="preserve"> in the </w:t>
      </w:r>
      <w:r w:rsidRPr="003A7E90" w:rsidR="003A7E90">
        <w:t xml:space="preserve">Federal, State, and Local Government, excluding state and local schools and hospitals and the U.S. </w:t>
      </w:r>
      <w:r w:rsidR="003A7E90">
        <w:t>Postal Service (OES Designation</w:t>
      </w:r>
      <w:r w:rsidR="0017793D">
        <w:t>) (NAICS 999000)</w:t>
      </w:r>
      <w:r w:rsidR="00B90FE5">
        <w:t xml:space="preserve">.  The median hourly wage rates for these occupations </w:t>
      </w:r>
      <w:r w:rsidR="00614D56">
        <w:t xml:space="preserve">are displayed in </w:t>
      </w:r>
      <w:r w:rsidRPr="00614D56" w:rsidR="00614D56">
        <w:fldChar w:fldCharType="begin"/>
      </w:r>
      <w:r w:rsidRPr="00614D56" w:rsidR="00614D56">
        <w:instrText xml:space="preserve"> REF _Ref508369000 \h  \* MERGEFORMAT </w:instrText>
      </w:r>
      <w:r w:rsidRPr="00614D56" w:rsidR="00614D56">
        <w:fldChar w:fldCharType="separate"/>
      </w:r>
      <w:r w:rsidRPr="006A6CBC" w:rsidR="006A6CBC">
        <w:t xml:space="preserve">Table </w:t>
      </w:r>
      <w:r w:rsidRPr="006A6CBC" w:rsidR="006A6CBC">
        <w:rPr>
          <w:noProof/>
        </w:rPr>
        <w:t>10</w:t>
      </w:r>
      <w:r w:rsidRPr="00614D56" w:rsidR="00614D56">
        <w:fldChar w:fldCharType="end"/>
      </w:r>
      <w:r w:rsidR="00614D56">
        <w:t>.</w:t>
      </w:r>
      <w:r w:rsidRPr="002B3291" w:rsidR="002B3291">
        <w:rPr>
          <w:vertAlign w:val="superscript"/>
        </w:rPr>
        <w:t xml:space="preserve"> </w:t>
      </w:r>
      <w:r w:rsidR="002B3291">
        <w:rPr>
          <w:vertAlign w:val="superscript"/>
        </w:rPr>
        <w:t>(</w:t>
      </w:r>
      <w:r>
        <w:rPr>
          <w:vertAlign w:val="superscript"/>
        </w:rPr>
        <w:footnoteReference w:id="12"/>
      </w:r>
      <w:r w:rsidR="002B3291">
        <w:rPr>
          <w:vertAlign w:val="superscript"/>
        </w:rPr>
        <w:t>)</w:t>
      </w:r>
    </w:p>
    <w:p w:rsidR="00F00D91" w:rsidP="00722B85" w14:paraId="10AF6F95" w14:textId="77777777">
      <w:pPr>
        <w:widowControl/>
        <w:ind w:left="360"/>
      </w:pPr>
    </w:p>
    <w:p w:rsidR="00F00D91" w:rsidRPr="001C0EF3" w:rsidP="00722B85" w14:paraId="35587308" w14:textId="1B20B3C1">
      <w:pPr>
        <w:widowControl/>
      </w:pPr>
      <w:r>
        <w:t>To arrive at</w:t>
      </w:r>
      <w:r w:rsidRPr="001C0EF3">
        <w:t xml:space="preserve"> loaded hourly wage rate</w:t>
      </w:r>
      <w:r>
        <w:t>s for each occupation</w:t>
      </w:r>
      <w:r w:rsidRPr="001C0EF3">
        <w:t xml:space="preserve">, the Agency </w:t>
      </w:r>
      <w:r w:rsidR="58CFFDDB">
        <w:t xml:space="preserve">adjusted the median hourly wage rates to include fringe benefits and overhead. The Agency </w:t>
      </w:r>
      <w:r w:rsidRPr="001C0EF3">
        <w:t xml:space="preserve">first estimated a </w:t>
      </w:r>
      <w:r w:rsidR="3561FEA7">
        <w:t xml:space="preserve">fringe benefit </w:t>
      </w:r>
      <w:r w:rsidRPr="001C0EF3">
        <w:t>load factor o</w:t>
      </w:r>
      <w:r>
        <w:t>f 1.</w:t>
      </w:r>
      <w:r w:rsidR="00275744">
        <w:t>61</w:t>
      </w:r>
      <w:r w:rsidR="00C27B16">
        <w:t>2</w:t>
      </w:r>
      <w:r w:rsidRPr="001C0EF3">
        <w:t xml:space="preserve"> by dividing the total cost of </w:t>
      </w:r>
      <w:r>
        <w:t>compensation</w:t>
      </w:r>
      <w:r w:rsidRPr="001C0EF3">
        <w:t xml:space="preserve"> for </w:t>
      </w:r>
      <w:r>
        <w:t>state and local government</w:t>
      </w:r>
      <w:r w:rsidRPr="001C0EF3">
        <w:t xml:space="preserve"> workers</w:t>
      </w:r>
      <w:r w:rsidR="00DE0FE7">
        <w:t xml:space="preserve"> ($54.96)</w:t>
      </w:r>
      <w:r w:rsidRPr="001C0EF3">
        <w:t xml:space="preserve"> by the average cost of</w:t>
      </w:r>
      <w:r>
        <w:t xml:space="preserve"> hourly wages and salaries</w:t>
      </w:r>
      <w:r w:rsidR="00DE0FE7">
        <w:t xml:space="preserve"> ($34.09)</w:t>
      </w:r>
      <w:r>
        <w:t xml:space="preserve"> </w:t>
      </w:r>
      <w:r w:rsidRPr="001C0EF3">
        <w:t xml:space="preserve">as reported by the Bureau of Labor Statistics in its Employer Costs for Employee Compensation for </w:t>
      </w:r>
      <w:r w:rsidR="00C91E3F">
        <w:t>December 202</w:t>
      </w:r>
      <w:r w:rsidR="0760BD60">
        <w:t>1</w:t>
      </w:r>
      <w:r w:rsidRPr="001C0EF3">
        <w:t>.</w:t>
      </w:r>
      <w:r w:rsidRPr="00F94A52" w:rsidR="00F94A52">
        <w:rPr>
          <w:vertAlign w:val="superscript"/>
        </w:rPr>
        <w:t>(</w:t>
      </w:r>
      <w:r>
        <w:rPr>
          <w:vertAlign w:val="superscript"/>
        </w:rPr>
        <w:footnoteReference w:id="13"/>
      </w:r>
      <w:r w:rsidRPr="00F94A52" w:rsidR="00F94A52">
        <w:rPr>
          <w:vertAlign w:val="superscript"/>
        </w:rPr>
        <w:t>)</w:t>
      </w:r>
      <w:r>
        <w:t xml:space="preserve"> </w:t>
      </w:r>
      <w:r w:rsidR="21A6FE38">
        <w:t>The Agency then included a load factor of 1.21</w:t>
      </w:r>
      <w:r w:rsidR="4896D66D">
        <w:t xml:space="preserve">, estimated from </w:t>
      </w:r>
      <w:r w:rsidR="579D370E">
        <w:t xml:space="preserve">Table 5 of </w:t>
      </w:r>
      <w:r w:rsidR="4896D66D">
        <w:t>the</w:t>
      </w:r>
      <w:r w:rsidR="2267C4EE">
        <w:t xml:space="preserve"> US</w:t>
      </w:r>
      <w:r w:rsidR="4896D66D">
        <w:t xml:space="preserve"> Census Bureau Service Annual Sur</w:t>
      </w:r>
      <w:r w:rsidR="61BC3CB4">
        <w:t>ve</w:t>
      </w:r>
      <w:r w:rsidR="0C62D1B6">
        <w:t>y</w:t>
      </w:r>
      <w:r w:rsidR="050A8D6E">
        <w:t>,</w:t>
      </w:r>
      <w:r w:rsidR="21A6FE38">
        <w:t xml:space="preserve"> to account for overhead expenses</w:t>
      </w:r>
      <w:r w:rsidR="0DD15BB1">
        <w:t>.</w:t>
      </w:r>
      <w:r w:rsidR="21A6FE38">
        <w:t xml:space="preserve"> </w:t>
      </w:r>
      <w:r w:rsidRPr="001C0EF3">
        <w:t xml:space="preserve">Multiplying the </w:t>
      </w:r>
      <w:r w:rsidRPr="001C0EF3" w:rsidR="76902D16">
        <w:t xml:space="preserve">median </w:t>
      </w:r>
      <w:r w:rsidRPr="001C0EF3">
        <w:t>hourly wage by the load factor results in loaded hourly wage</w:t>
      </w:r>
      <w:r>
        <w:t>s</w:t>
      </w:r>
      <w:r w:rsidRPr="001C0EF3">
        <w:t xml:space="preserve"> </w:t>
      </w:r>
      <w:r>
        <w:t xml:space="preserve">displayed in </w:t>
      </w:r>
      <w:r w:rsidRPr="00614D56">
        <w:fldChar w:fldCharType="begin"/>
      </w:r>
      <w:r w:rsidRPr="00614D56">
        <w:instrText xml:space="preserve"> REF _Ref508369000 \h  \* MERGEFORMAT </w:instrText>
      </w:r>
      <w:r w:rsidRPr="00614D56">
        <w:fldChar w:fldCharType="separate"/>
      </w:r>
      <w:r w:rsidRPr="006A6CBC" w:rsidR="006A6CBC">
        <w:t xml:space="preserve">Table </w:t>
      </w:r>
      <w:r w:rsidRPr="006A6CBC" w:rsidR="006A6CBC">
        <w:rPr>
          <w:noProof/>
        </w:rPr>
        <w:t>10</w:t>
      </w:r>
      <w:r w:rsidRPr="00614D56">
        <w:fldChar w:fldCharType="end"/>
      </w:r>
      <w:r>
        <w:t>.</w:t>
      </w:r>
    </w:p>
    <w:p w:rsidR="00BA732E" w:rsidP="00722B85" w14:paraId="0D54C3DD" w14:textId="77777777">
      <w:pPr>
        <w:widowControl/>
        <w:ind w:left="360"/>
      </w:pPr>
    </w:p>
    <w:p w:rsidR="006C3FF8" w:rsidRPr="00D64E77" w:rsidP="00722B85" w14:paraId="0167F7EF" w14:textId="7BCC9939">
      <w:pPr>
        <w:pStyle w:val="Caption"/>
        <w:keepNext/>
        <w:widowControl/>
      </w:pPr>
      <w:bookmarkStart w:id="19" w:name="_Ref508369000"/>
      <w:bookmarkStart w:id="20" w:name="_Ref508368889"/>
      <w:r>
        <w:t xml:space="preserve">Table </w:t>
      </w:r>
      <w:r>
        <w:fldChar w:fldCharType="begin"/>
      </w:r>
      <w:r>
        <w:instrText>SEQ Table \* ARABIC</w:instrText>
      </w:r>
      <w:r>
        <w:fldChar w:fldCharType="separate"/>
      </w:r>
      <w:r w:rsidRPr="5ECFBCA2" w:rsidR="006A6CBC">
        <w:rPr>
          <w:noProof/>
        </w:rPr>
        <w:t>10</w:t>
      </w:r>
      <w:r>
        <w:fldChar w:fldCharType="end"/>
      </w:r>
      <w:bookmarkEnd w:id="19"/>
      <w:r>
        <w:t xml:space="preserve">. </w:t>
      </w:r>
      <w:r w:rsidR="00F00D91">
        <w:t>R</w:t>
      </w:r>
      <w:r w:rsidR="008D2C4A">
        <w:t>espondent</w:t>
      </w:r>
      <w:r>
        <w:t xml:space="preserve"> </w:t>
      </w:r>
      <w:r w:rsidR="002D66E6">
        <w:t>Wage Rate</w:t>
      </w:r>
      <w:bookmarkEnd w:id="20"/>
      <w:r w:rsidR="002D66E6">
        <w:t>s</w:t>
      </w:r>
      <w:r w:rsidR="00F00D91">
        <w:t xml:space="preserve"> for SDLA CDL </w:t>
      </w:r>
      <w:r w:rsidR="002D66E6">
        <w:t>A</w:t>
      </w:r>
      <w:r w:rsidR="00F00D91">
        <w:t>ctivities</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254"/>
        <w:gridCol w:w="4140"/>
        <w:gridCol w:w="1352"/>
        <w:gridCol w:w="1079"/>
        <w:gridCol w:w="1259"/>
      </w:tblGrid>
      <w:tr w14:paraId="53D2B455" w14:textId="77777777" w:rsidTr="5ECFBCA2">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853"/>
        </w:trPr>
        <w:tc>
          <w:tcPr>
            <w:tcW w:w="690" w:type="pct"/>
            <w:tcBorders>
              <w:bottom w:val="nil"/>
            </w:tcBorders>
            <w:shd w:val="clear" w:color="auto" w:fill="E0E0E0"/>
            <w:vAlign w:val="bottom"/>
            <w:hideMark/>
          </w:tcPr>
          <w:p w:rsidR="00BB328B" w:rsidRPr="00E35F7D" w:rsidP="00BB328B" w14:paraId="0C9F3ABC" w14:textId="77777777">
            <w:pPr>
              <w:widowControl/>
              <w:autoSpaceDE/>
              <w:autoSpaceDN/>
              <w:adjustRightInd/>
              <w:jc w:val="center"/>
              <w:rPr>
                <w:b/>
                <w:bCs/>
                <w:color w:val="000000"/>
              </w:rPr>
            </w:pPr>
            <w:r w:rsidRPr="00E35F7D">
              <w:rPr>
                <w:b/>
              </w:rPr>
              <w:t>SOC Code</w:t>
            </w:r>
          </w:p>
        </w:tc>
        <w:tc>
          <w:tcPr>
            <w:tcW w:w="2279" w:type="pct"/>
            <w:tcBorders>
              <w:bottom w:val="nil"/>
            </w:tcBorders>
            <w:shd w:val="clear" w:color="auto" w:fill="E0E0E0"/>
            <w:vAlign w:val="bottom"/>
            <w:hideMark/>
          </w:tcPr>
          <w:p w:rsidR="00BB328B" w:rsidRPr="00E35F7D" w:rsidP="00BB328B" w14:paraId="539CE689" w14:textId="77777777">
            <w:pPr>
              <w:widowControl/>
              <w:autoSpaceDE/>
              <w:autoSpaceDN/>
              <w:adjustRightInd/>
              <w:jc w:val="center"/>
              <w:rPr>
                <w:b/>
                <w:bCs/>
                <w:color w:val="000000"/>
              </w:rPr>
            </w:pPr>
            <w:r w:rsidRPr="00E35F7D">
              <w:rPr>
                <w:b/>
              </w:rPr>
              <w:t>Occupational Title</w:t>
            </w:r>
          </w:p>
        </w:tc>
        <w:tc>
          <w:tcPr>
            <w:tcW w:w="744" w:type="pct"/>
            <w:tcBorders>
              <w:bottom w:val="nil"/>
            </w:tcBorders>
            <w:shd w:val="clear" w:color="auto" w:fill="E0E0E0"/>
            <w:vAlign w:val="bottom"/>
            <w:hideMark/>
          </w:tcPr>
          <w:p w:rsidR="00BB328B" w:rsidRPr="00E35F7D" w:rsidP="15A85529" w14:paraId="7E330450" w14:textId="3CB1423B">
            <w:pPr>
              <w:widowControl/>
              <w:autoSpaceDE/>
              <w:autoSpaceDN/>
              <w:adjustRightInd/>
              <w:jc w:val="center"/>
              <w:rPr>
                <w:b/>
                <w:bCs/>
                <w:color w:val="000000" w:themeColor="text1"/>
              </w:rPr>
            </w:pPr>
            <w:r w:rsidRPr="5ECFBCA2">
              <w:rPr>
                <w:b/>
                <w:bCs/>
              </w:rPr>
              <w:t>Median Hourly Wage</w:t>
            </w:r>
          </w:p>
          <w:p w:rsidR="00BB328B" w:rsidRPr="00E35F7D" w:rsidP="15A85529" w14:paraId="4544E980" w14:textId="6474BF71">
            <w:pPr>
              <w:widowControl/>
              <w:autoSpaceDE/>
              <w:autoSpaceDN/>
              <w:adjustRightInd/>
              <w:jc w:val="center"/>
              <w:rPr>
                <w:b/>
                <w:bCs/>
              </w:rPr>
            </w:pPr>
            <w:r w:rsidRPr="5ECFBCA2">
              <w:rPr>
                <w:b/>
                <w:bCs/>
              </w:rPr>
              <w:t>(a)</w:t>
            </w:r>
          </w:p>
        </w:tc>
        <w:tc>
          <w:tcPr>
            <w:tcW w:w="594" w:type="pct"/>
            <w:tcBorders>
              <w:top w:val="single" w:sz="8" w:space="0" w:color="auto"/>
              <w:left w:val="nil"/>
              <w:bottom w:val="nil"/>
              <w:right w:val="single" w:sz="4" w:space="0" w:color="auto"/>
            </w:tcBorders>
            <w:shd w:val="clear" w:color="auto" w:fill="E0E0E0"/>
            <w:vAlign w:val="center"/>
          </w:tcPr>
          <w:p w:rsidR="00BB328B" w:rsidRPr="3E596ADD" w:rsidP="15A85529" w14:paraId="6728E2F8" w14:textId="26A94733">
            <w:pPr>
              <w:widowControl/>
              <w:autoSpaceDE/>
              <w:autoSpaceDN/>
              <w:adjustRightInd/>
              <w:jc w:val="center"/>
              <w:rPr>
                <w:b/>
                <w:bCs/>
              </w:rPr>
            </w:pPr>
            <w:r w:rsidRPr="5ECFBCA2">
              <w:rPr>
                <w:b/>
                <w:bCs/>
                <w:color w:val="000000" w:themeColor="text1"/>
                <w:sz w:val="22"/>
                <w:szCs w:val="22"/>
              </w:rPr>
              <w:t>Loaded Wage Rate</w:t>
            </w:r>
          </w:p>
          <w:p w:rsidR="00BB328B" w:rsidRPr="3E596ADD" w:rsidP="15A85529" w14:paraId="0B5C6597" w14:textId="4717A3A6">
            <w:pPr>
              <w:widowControl/>
              <w:autoSpaceDE/>
              <w:autoSpaceDN/>
              <w:adjustRightInd/>
              <w:jc w:val="center"/>
              <w:rPr>
                <w:b/>
                <w:bCs/>
                <w:color w:val="000000" w:themeColor="text1"/>
                <w:sz w:val="22"/>
                <w:szCs w:val="22"/>
              </w:rPr>
            </w:pPr>
            <w:r w:rsidRPr="5ECFBCA2">
              <w:rPr>
                <w:b/>
                <w:bCs/>
                <w:color w:val="000000" w:themeColor="text1"/>
                <w:sz w:val="22"/>
                <w:szCs w:val="22"/>
              </w:rPr>
              <w:t>(b)</w:t>
            </w:r>
          </w:p>
        </w:tc>
        <w:tc>
          <w:tcPr>
            <w:tcW w:w="694" w:type="pct"/>
            <w:tcBorders>
              <w:left w:val="single" w:sz="4" w:space="0" w:color="auto"/>
              <w:bottom w:val="nil"/>
            </w:tcBorders>
            <w:shd w:val="clear" w:color="auto" w:fill="E0E0E0"/>
            <w:vAlign w:val="bottom"/>
            <w:hideMark/>
          </w:tcPr>
          <w:p w:rsidR="00BB328B" w:rsidRPr="00E35F7D" w:rsidP="15A85529" w14:paraId="55E4EEDA" w14:textId="07247347">
            <w:pPr>
              <w:widowControl/>
              <w:autoSpaceDE/>
              <w:autoSpaceDN/>
              <w:adjustRightInd/>
              <w:jc w:val="center"/>
              <w:rPr>
                <w:b/>
                <w:bCs/>
                <w:color w:val="000000" w:themeColor="text1"/>
              </w:rPr>
            </w:pPr>
            <w:r w:rsidRPr="5ECFBCA2">
              <w:rPr>
                <w:b/>
                <w:bCs/>
              </w:rPr>
              <w:t>Loaded Hourly Wage</w:t>
            </w:r>
          </w:p>
          <w:p w:rsidR="00BB328B" w:rsidRPr="00E35F7D" w:rsidP="15A85529" w14:paraId="7FBEBFD8" w14:textId="376EA511">
            <w:pPr>
              <w:widowControl/>
              <w:autoSpaceDE/>
              <w:autoSpaceDN/>
              <w:adjustRightInd/>
              <w:jc w:val="center"/>
              <w:rPr>
                <w:b/>
                <w:bCs/>
              </w:rPr>
            </w:pPr>
            <w:r w:rsidRPr="5ECFBCA2">
              <w:rPr>
                <w:b/>
                <w:bCs/>
              </w:rPr>
              <w:t xml:space="preserve">(a </w:t>
            </w:r>
            <w:r w:rsidRPr="5ECFBCA2">
              <w:rPr>
                <w:b/>
                <w:bCs/>
                <w:color w:val="000000" w:themeColor="text1"/>
              </w:rPr>
              <w:t>×</w:t>
            </w:r>
            <w:r w:rsidRPr="5ECFBCA2">
              <w:rPr>
                <w:b/>
                <w:bCs/>
              </w:rPr>
              <w:t xml:space="preserve"> b)</w:t>
            </w:r>
          </w:p>
        </w:tc>
      </w:tr>
      <w:tr w14:paraId="44BC80D0" w14:textId="77777777" w:rsidTr="006C3234">
        <w:tblPrEx>
          <w:tblW w:w="4858" w:type="pct"/>
          <w:tblCellMar>
            <w:left w:w="29" w:type="dxa"/>
            <w:right w:w="29" w:type="dxa"/>
          </w:tblCellMar>
          <w:tblLook w:val="04A0"/>
        </w:tblPrEx>
        <w:trPr>
          <w:trHeight w:val="178"/>
        </w:trPr>
        <w:tc>
          <w:tcPr>
            <w:tcW w:w="690" w:type="pct"/>
            <w:tcBorders>
              <w:top w:val="nil"/>
              <w:left w:val="single" w:sz="4" w:space="0" w:color="auto"/>
              <w:bottom w:val="nil"/>
              <w:right w:val="single" w:sz="4" w:space="0" w:color="auto"/>
            </w:tcBorders>
            <w:shd w:val="clear" w:color="auto" w:fill="E0E0E0"/>
            <w:vAlign w:val="bottom"/>
          </w:tcPr>
          <w:p w:rsidR="00464CAE" w:rsidRPr="00E35F7D" w:rsidP="5ECFBCA2" w14:paraId="0CDC0AF8" w14:textId="77777777">
            <w:pPr>
              <w:widowControl/>
              <w:autoSpaceDE/>
              <w:autoSpaceDN/>
              <w:adjustRightInd/>
              <w:jc w:val="center"/>
              <w:rPr>
                <w:b/>
                <w:bCs/>
              </w:rPr>
            </w:pPr>
          </w:p>
        </w:tc>
        <w:tc>
          <w:tcPr>
            <w:tcW w:w="2279" w:type="pct"/>
            <w:tcBorders>
              <w:top w:val="nil"/>
              <w:left w:val="single" w:sz="4" w:space="0" w:color="auto"/>
              <w:bottom w:val="nil"/>
              <w:right w:val="single" w:sz="4" w:space="0" w:color="auto"/>
            </w:tcBorders>
            <w:shd w:val="clear" w:color="auto" w:fill="E0E0E0"/>
            <w:vAlign w:val="bottom"/>
          </w:tcPr>
          <w:p w:rsidR="00464CAE" w:rsidRPr="00E35F7D" w:rsidP="5ECFBCA2" w14:paraId="709D8410" w14:textId="77777777">
            <w:pPr>
              <w:widowControl/>
              <w:autoSpaceDE/>
              <w:autoSpaceDN/>
              <w:adjustRightInd/>
              <w:jc w:val="center"/>
              <w:rPr>
                <w:b/>
                <w:bCs/>
              </w:rPr>
            </w:pPr>
          </w:p>
        </w:tc>
        <w:tc>
          <w:tcPr>
            <w:tcW w:w="744" w:type="pct"/>
            <w:tcBorders>
              <w:top w:val="nil"/>
              <w:left w:val="single" w:sz="4" w:space="0" w:color="auto"/>
              <w:bottom w:val="nil"/>
              <w:right w:val="single" w:sz="4" w:space="0" w:color="auto"/>
            </w:tcBorders>
            <w:shd w:val="clear" w:color="auto" w:fill="E0E0E0"/>
            <w:vAlign w:val="bottom"/>
          </w:tcPr>
          <w:p w:rsidR="00464CAE" w:rsidRPr="00E35F7D" w:rsidP="5ECFBCA2" w14:paraId="65E04DF3" w14:textId="77777777">
            <w:pPr>
              <w:widowControl/>
              <w:autoSpaceDE/>
              <w:autoSpaceDN/>
              <w:adjustRightInd/>
              <w:jc w:val="center"/>
              <w:rPr>
                <w:b/>
                <w:bCs/>
              </w:rPr>
            </w:pPr>
          </w:p>
        </w:tc>
        <w:tc>
          <w:tcPr>
            <w:tcW w:w="594" w:type="pct"/>
            <w:tcBorders>
              <w:top w:val="nil"/>
              <w:left w:val="single" w:sz="4" w:space="0" w:color="auto"/>
              <w:bottom w:val="nil"/>
              <w:right w:val="single" w:sz="4" w:space="0" w:color="auto"/>
            </w:tcBorders>
            <w:shd w:val="clear" w:color="auto" w:fill="E0E0E0"/>
            <w:vAlign w:val="center"/>
          </w:tcPr>
          <w:p w:rsidR="00464CAE" w:rsidP="00BB328B" w14:paraId="691B5218" w14:textId="77777777">
            <w:pPr>
              <w:widowControl/>
              <w:autoSpaceDE/>
              <w:autoSpaceDN/>
              <w:adjustRightInd/>
              <w:jc w:val="center"/>
              <w:rPr>
                <w:b/>
                <w:bCs/>
                <w:color w:val="000000"/>
                <w:sz w:val="22"/>
                <w:szCs w:val="22"/>
              </w:rPr>
            </w:pPr>
          </w:p>
        </w:tc>
        <w:tc>
          <w:tcPr>
            <w:tcW w:w="694" w:type="pct"/>
            <w:tcBorders>
              <w:top w:val="nil"/>
              <w:left w:val="single" w:sz="4" w:space="0" w:color="auto"/>
              <w:bottom w:val="nil"/>
              <w:right w:val="single" w:sz="4" w:space="0" w:color="auto"/>
            </w:tcBorders>
            <w:shd w:val="clear" w:color="auto" w:fill="E0E0E0"/>
            <w:vAlign w:val="bottom"/>
          </w:tcPr>
          <w:p w:rsidR="00464CAE" w:rsidRPr="3E596ADD" w:rsidP="00BB328B" w14:paraId="5829555C" w14:textId="77777777">
            <w:pPr>
              <w:widowControl/>
              <w:autoSpaceDE/>
              <w:autoSpaceDN/>
              <w:adjustRightInd/>
              <w:jc w:val="center"/>
              <w:rPr>
                <w:b/>
                <w:bCs/>
              </w:rPr>
            </w:pPr>
          </w:p>
        </w:tc>
      </w:tr>
      <w:tr w14:paraId="3C24C335" w14:textId="77777777" w:rsidTr="5ECFBCA2">
        <w:tblPrEx>
          <w:tblW w:w="4858" w:type="pct"/>
          <w:tblCellMar>
            <w:left w:w="29" w:type="dxa"/>
            <w:right w:w="29" w:type="dxa"/>
          </w:tblCellMar>
          <w:tblLook w:val="04A0"/>
        </w:tblPrEx>
        <w:trPr>
          <w:trHeight w:val="270"/>
        </w:trPr>
        <w:tc>
          <w:tcPr>
            <w:tcW w:w="690" w:type="pct"/>
            <w:tcBorders>
              <w:top w:val="nil"/>
            </w:tcBorders>
            <w:shd w:val="clear" w:color="auto" w:fill="auto"/>
            <w:tcMar>
              <w:left w:w="115" w:type="dxa"/>
              <w:right w:w="115" w:type="dxa"/>
            </w:tcMar>
            <w:vAlign w:val="bottom"/>
          </w:tcPr>
          <w:p w:rsidR="00BB328B" w:rsidRPr="00E35F7D" w:rsidP="00BB328B" w14:paraId="555D0C40" w14:textId="0CAE934D">
            <w:pPr>
              <w:widowControl/>
              <w:autoSpaceDE/>
              <w:autoSpaceDN/>
              <w:adjustRightInd/>
              <w:jc w:val="center"/>
              <w:rPr>
                <w:color w:val="000000"/>
              </w:rPr>
            </w:pPr>
            <w:r w:rsidRPr="5ECFBCA2">
              <w:rPr>
                <w:color w:val="000000" w:themeColor="text1"/>
              </w:rPr>
              <w:t>43-</w:t>
            </w:r>
            <w:r w:rsidRPr="5ECFBCA2" w:rsidR="423CE753">
              <w:rPr>
                <w:color w:val="000000" w:themeColor="text1"/>
              </w:rPr>
              <w:t>9061</w:t>
            </w:r>
          </w:p>
        </w:tc>
        <w:tc>
          <w:tcPr>
            <w:tcW w:w="2279" w:type="pct"/>
            <w:tcBorders>
              <w:top w:val="nil"/>
            </w:tcBorders>
            <w:shd w:val="clear" w:color="auto" w:fill="auto"/>
            <w:tcMar>
              <w:left w:w="115" w:type="dxa"/>
              <w:right w:w="115" w:type="dxa"/>
            </w:tcMar>
            <w:vAlign w:val="bottom"/>
          </w:tcPr>
          <w:p w:rsidR="00BB328B" w:rsidRPr="00E35F7D" w:rsidP="5ECFBCA2" w14:paraId="6DABD840" w14:textId="01D74509">
            <w:pPr>
              <w:widowControl/>
              <w:spacing w:line="259" w:lineRule="auto"/>
              <w:rPr>
                <w:color w:val="000000" w:themeColor="text1"/>
              </w:rPr>
            </w:pPr>
            <w:r w:rsidRPr="5ECFBCA2">
              <w:rPr>
                <w:color w:val="000000" w:themeColor="text1"/>
              </w:rPr>
              <w:t>Office Clerks, General</w:t>
            </w:r>
          </w:p>
        </w:tc>
        <w:tc>
          <w:tcPr>
            <w:tcW w:w="744" w:type="pct"/>
            <w:tcBorders>
              <w:top w:val="nil"/>
            </w:tcBorders>
            <w:shd w:val="clear" w:color="auto" w:fill="auto"/>
            <w:tcMar>
              <w:left w:w="115" w:type="dxa"/>
              <w:right w:w="115" w:type="dxa"/>
            </w:tcMar>
          </w:tcPr>
          <w:p w:rsidR="00BB328B" w:rsidRPr="00E35F7D" w:rsidP="00BB328B" w14:paraId="749409C1" w14:textId="11786471">
            <w:pPr>
              <w:widowControl/>
              <w:spacing w:line="259" w:lineRule="auto"/>
              <w:jc w:val="center"/>
            </w:pPr>
            <w:r>
              <w:t>$17.81</w:t>
            </w:r>
          </w:p>
        </w:tc>
        <w:tc>
          <w:tcPr>
            <w:tcW w:w="594" w:type="pct"/>
            <w:tcBorders>
              <w:top w:val="nil"/>
              <w:left w:val="nil"/>
              <w:bottom w:val="single" w:sz="8" w:space="0" w:color="auto"/>
              <w:right w:val="single" w:sz="4" w:space="0" w:color="auto"/>
            </w:tcBorders>
            <w:shd w:val="clear" w:color="auto" w:fill="auto"/>
            <w:vAlign w:val="center"/>
          </w:tcPr>
          <w:p w:rsidR="00BB328B" w:rsidRPr="00E35F7D" w:rsidP="00BB328B" w14:paraId="0E3EAE98" w14:textId="1AFAA827">
            <w:pPr>
              <w:widowControl/>
              <w:autoSpaceDE/>
              <w:autoSpaceDN/>
              <w:adjustRightInd/>
              <w:jc w:val="center"/>
            </w:pPr>
            <w:r w:rsidRPr="5ECFBCA2">
              <w:rPr>
                <w:color w:val="000000" w:themeColor="text1"/>
                <w:sz w:val="22"/>
                <w:szCs w:val="22"/>
              </w:rPr>
              <w:t>1.612</w:t>
            </w:r>
          </w:p>
        </w:tc>
        <w:tc>
          <w:tcPr>
            <w:tcW w:w="694" w:type="pct"/>
            <w:tcBorders>
              <w:top w:val="nil"/>
              <w:left w:val="single" w:sz="4" w:space="0" w:color="auto"/>
              <w:bottom w:val="single" w:sz="8" w:space="0" w:color="auto"/>
              <w:right w:val="single" w:sz="8" w:space="0" w:color="auto"/>
            </w:tcBorders>
            <w:shd w:val="clear" w:color="auto" w:fill="auto"/>
            <w:tcMar>
              <w:left w:w="115" w:type="dxa"/>
              <w:right w:w="115" w:type="dxa"/>
            </w:tcMar>
            <w:vAlign w:val="center"/>
          </w:tcPr>
          <w:p w:rsidR="00BB328B" w:rsidRPr="00E35F7D" w:rsidP="5ECFBCA2" w14:paraId="6E4730B7" w14:textId="52EB1B86">
            <w:pPr>
              <w:widowControl/>
              <w:autoSpaceDE/>
              <w:autoSpaceDN/>
              <w:adjustRightInd/>
            </w:pPr>
            <w:r w:rsidRPr="5ECFBCA2">
              <w:rPr>
                <w:color w:val="000000" w:themeColor="text1"/>
                <w:sz w:val="22"/>
                <w:szCs w:val="22"/>
              </w:rPr>
              <w:t xml:space="preserve">$       28.71 </w:t>
            </w:r>
          </w:p>
        </w:tc>
      </w:tr>
      <w:tr w14:paraId="6A4EC231" w14:textId="77777777" w:rsidTr="5ECFBCA2">
        <w:tblPrEx>
          <w:tblW w:w="4858" w:type="pct"/>
          <w:tblCellMar>
            <w:left w:w="29" w:type="dxa"/>
            <w:right w:w="29" w:type="dxa"/>
          </w:tblCellMar>
          <w:tblLook w:val="04A0"/>
        </w:tblPrEx>
        <w:trPr>
          <w:trHeight w:val="270"/>
        </w:trPr>
        <w:tc>
          <w:tcPr>
            <w:tcW w:w="690" w:type="pct"/>
            <w:shd w:val="clear" w:color="auto" w:fill="auto"/>
            <w:tcMar>
              <w:left w:w="115" w:type="dxa"/>
              <w:right w:w="115" w:type="dxa"/>
            </w:tcMar>
            <w:vAlign w:val="bottom"/>
          </w:tcPr>
          <w:p w:rsidR="00BB328B" w:rsidRPr="00E35F7D" w:rsidP="00BB328B" w14:paraId="6961A34A" w14:textId="77777777">
            <w:pPr>
              <w:widowControl/>
              <w:autoSpaceDE/>
              <w:autoSpaceDN/>
              <w:adjustRightInd/>
              <w:jc w:val="center"/>
              <w:rPr>
                <w:color w:val="000000"/>
              </w:rPr>
            </w:pPr>
            <w:r w:rsidRPr="00E35F7D">
              <w:rPr>
                <w:color w:val="000000"/>
              </w:rPr>
              <w:t>43-4031</w:t>
            </w:r>
          </w:p>
        </w:tc>
        <w:tc>
          <w:tcPr>
            <w:tcW w:w="2279" w:type="pct"/>
            <w:shd w:val="clear" w:color="auto" w:fill="auto"/>
            <w:tcMar>
              <w:left w:w="115" w:type="dxa"/>
              <w:right w:w="115" w:type="dxa"/>
            </w:tcMar>
            <w:vAlign w:val="bottom"/>
          </w:tcPr>
          <w:p w:rsidR="00BB328B" w:rsidRPr="00E35F7D" w:rsidP="00BB328B" w14:paraId="61C24252" w14:textId="77777777">
            <w:pPr>
              <w:widowControl/>
              <w:autoSpaceDE/>
              <w:autoSpaceDN/>
              <w:adjustRightInd/>
              <w:rPr>
                <w:color w:val="000000"/>
              </w:rPr>
            </w:pPr>
            <w:r w:rsidRPr="00E35F7D">
              <w:rPr>
                <w:color w:val="000000"/>
              </w:rPr>
              <w:t>Court, Municipal, and License Clerks</w:t>
            </w:r>
          </w:p>
        </w:tc>
        <w:tc>
          <w:tcPr>
            <w:tcW w:w="744" w:type="pct"/>
            <w:shd w:val="clear" w:color="auto" w:fill="auto"/>
            <w:tcMar>
              <w:left w:w="115" w:type="dxa"/>
              <w:right w:w="115" w:type="dxa"/>
            </w:tcMar>
          </w:tcPr>
          <w:p w:rsidR="00BB328B" w:rsidRPr="00E35F7D" w:rsidP="00BB328B" w14:paraId="747727F7" w14:textId="34506CD7">
            <w:pPr>
              <w:widowControl/>
              <w:spacing w:line="259" w:lineRule="auto"/>
              <w:jc w:val="center"/>
            </w:pPr>
            <w:r w:rsidRPr="00E35F7D">
              <w:t>$21.45</w:t>
            </w:r>
          </w:p>
        </w:tc>
        <w:tc>
          <w:tcPr>
            <w:tcW w:w="594" w:type="pct"/>
            <w:tcBorders>
              <w:top w:val="nil"/>
              <w:left w:val="nil"/>
              <w:bottom w:val="single" w:sz="8" w:space="0" w:color="auto"/>
              <w:right w:val="single" w:sz="4" w:space="0" w:color="auto"/>
            </w:tcBorders>
            <w:shd w:val="clear" w:color="auto" w:fill="auto"/>
            <w:vAlign w:val="center"/>
          </w:tcPr>
          <w:p w:rsidR="00BB328B" w:rsidRPr="00E35F7D" w:rsidP="00BB328B" w14:paraId="41D50809" w14:textId="1D11AE05">
            <w:pPr>
              <w:widowControl/>
              <w:autoSpaceDE/>
              <w:autoSpaceDN/>
              <w:adjustRightInd/>
              <w:jc w:val="center"/>
            </w:pPr>
            <w:r w:rsidRPr="5ECFBCA2">
              <w:rPr>
                <w:color w:val="000000" w:themeColor="text1"/>
                <w:sz w:val="22"/>
                <w:szCs w:val="22"/>
              </w:rPr>
              <w:t>1.612</w:t>
            </w:r>
          </w:p>
        </w:tc>
        <w:tc>
          <w:tcPr>
            <w:tcW w:w="694" w:type="pct"/>
            <w:tcBorders>
              <w:top w:val="nil"/>
              <w:left w:val="single" w:sz="4" w:space="0" w:color="auto"/>
              <w:bottom w:val="single" w:sz="8" w:space="0" w:color="auto"/>
              <w:right w:val="single" w:sz="8" w:space="0" w:color="auto"/>
            </w:tcBorders>
            <w:shd w:val="clear" w:color="auto" w:fill="auto"/>
            <w:tcMar>
              <w:left w:w="115" w:type="dxa"/>
              <w:right w:w="115" w:type="dxa"/>
            </w:tcMar>
            <w:vAlign w:val="center"/>
          </w:tcPr>
          <w:p w:rsidR="00BB328B" w:rsidRPr="00E35F7D" w:rsidP="5ECFBCA2" w14:paraId="1A452951" w14:textId="2D5D99EA">
            <w:pPr>
              <w:widowControl/>
              <w:autoSpaceDE/>
              <w:autoSpaceDN/>
              <w:adjustRightInd/>
            </w:pPr>
            <w:r w:rsidRPr="5ECFBCA2">
              <w:rPr>
                <w:color w:val="000000" w:themeColor="text1"/>
                <w:sz w:val="22"/>
                <w:szCs w:val="22"/>
              </w:rPr>
              <w:t xml:space="preserve">$       34.58 </w:t>
            </w:r>
          </w:p>
        </w:tc>
      </w:tr>
      <w:tr w14:paraId="39CD8200" w14:textId="77777777" w:rsidTr="5ECFBCA2">
        <w:tblPrEx>
          <w:tblW w:w="4858" w:type="pct"/>
          <w:tblCellMar>
            <w:left w:w="29" w:type="dxa"/>
            <w:right w:w="29" w:type="dxa"/>
          </w:tblCellMar>
          <w:tblLook w:val="04A0"/>
        </w:tblPrEx>
        <w:trPr>
          <w:trHeight w:val="270"/>
        </w:trPr>
        <w:tc>
          <w:tcPr>
            <w:tcW w:w="690" w:type="pct"/>
            <w:shd w:val="clear" w:color="auto" w:fill="auto"/>
            <w:tcMar>
              <w:left w:w="115" w:type="dxa"/>
              <w:right w:w="115" w:type="dxa"/>
            </w:tcMar>
            <w:vAlign w:val="bottom"/>
          </w:tcPr>
          <w:p w:rsidR="00BB328B" w:rsidRPr="00E35F7D" w:rsidP="00BB328B" w14:paraId="6A7CD3B9" w14:textId="77777777">
            <w:pPr>
              <w:widowControl/>
              <w:autoSpaceDE/>
              <w:autoSpaceDN/>
              <w:adjustRightInd/>
              <w:jc w:val="center"/>
              <w:rPr>
                <w:color w:val="000000"/>
              </w:rPr>
            </w:pPr>
            <w:r w:rsidRPr="00E35F7D">
              <w:rPr>
                <w:color w:val="000000"/>
              </w:rPr>
              <w:t>43-1011</w:t>
            </w:r>
          </w:p>
        </w:tc>
        <w:tc>
          <w:tcPr>
            <w:tcW w:w="2279" w:type="pct"/>
            <w:shd w:val="clear" w:color="auto" w:fill="auto"/>
            <w:tcMar>
              <w:left w:w="115" w:type="dxa"/>
              <w:right w:w="115" w:type="dxa"/>
            </w:tcMar>
            <w:vAlign w:val="bottom"/>
          </w:tcPr>
          <w:p w:rsidR="00BB328B" w:rsidRPr="00E35F7D" w:rsidP="00BB328B" w14:paraId="51D35F0F" w14:textId="77777777">
            <w:pPr>
              <w:widowControl/>
              <w:autoSpaceDE/>
              <w:autoSpaceDN/>
              <w:adjustRightInd/>
              <w:rPr>
                <w:color w:val="000000"/>
              </w:rPr>
            </w:pPr>
            <w:r w:rsidRPr="00E35F7D">
              <w:rPr>
                <w:color w:val="000000"/>
              </w:rPr>
              <w:t>First-Line Supervisors of Office and Administrative Support Workers</w:t>
            </w:r>
          </w:p>
        </w:tc>
        <w:tc>
          <w:tcPr>
            <w:tcW w:w="744" w:type="pct"/>
            <w:shd w:val="clear" w:color="auto" w:fill="auto"/>
            <w:tcMar>
              <w:left w:w="115" w:type="dxa"/>
              <w:right w:w="115" w:type="dxa"/>
            </w:tcMar>
          </w:tcPr>
          <w:p w:rsidR="00BB328B" w:rsidRPr="00E35F7D" w:rsidP="00BB328B" w14:paraId="34F2B025" w14:textId="2DEC3D25">
            <w:pPr>
              <w:widowControl/>
              <w:autoSpaceDE/>
              <w:autoSpaceDN/>
              <w:adjustRightInd/>
              <w:jc w:val="center"/>
            </w:pPr>
            <w:r w:rsidRPr="00E35F7D">
              <w:t xml:space="preserve">$29.13 </w:t>
            </w:r>
          </w:p>
        </w:tc>
        <w:tc>
          <w:tcPr>
            <w:tcW w:w="594" w:type="pct"/>
            <w:tcBorders>
              <w:top w:val="nil"/>
              <w:left w:val="nil"/>
              <w:bottom w:val="single" w:sz="8" w:space="0" w:color="auto"/>
              <w:right w:val="single" w:sz="4" w:space="0" w:color="auto"/>
            </w:tcBorders>
            <w:shd w:val="clear" w:color="auto" w:fill="auto"/>
            <w:vAlign w:val="center"/>
          </w:tcPr>
          <w:p w:rsidR="00BB328B" w:rsidRPr="00E35F7D" w:rsidP="00BB328B" w14:paraId="72500C8C" w14:textId="4A4DC517">
            <w:pPr>
              <w:widowControl/>
              <w:autoSpaceDE/>
              <w:autoSpaceDN/>
              <w:adjustRightInd/>
              <w:jc w:val="center"/>
            </w:pPr>
            <w:r w:rsidRPr="5ECFBCA2">
              <w:rPr>
                <w:color w:val="000000" w:themeColor="text1"/>
                <w:sz w:val="22"/>
                <w:szCs w:val="22"/>
              </w:rPr>
              <w:t>1.612</w:t>
            </w:r>
          </w:p>
        </w:tc>
        <w:tc>
          <w:tcPr>
            <w:tcW w:w="694" w:type="pct"/>
            <w:tcBorders>
              <w:top w:val="nil"/>
              <w:left w:val="single" w:sz="4" w:space="0" w:color="auto"/>
              <w:bottom w:val="single" w:sz="8" w:space="0" w:color="auto"/>
              <w:right w:val="single" w:sz="8" w:space="0" w:color="auto"/>
            </w:tcBorders>
            <w:shd w:val="clear" w:color="auto" w:fill="auto"/>
            <w:tcMar>
              <w:left w:w="115" w:type="dxa"/>
              <w:right w:w="115" w:type="dxa"/>
            </w:tcMar>
            <w:vAlign w:val="center"/>
          </w:tcPr>
          <w:p w:rsidR="00BB328B" w:rsidRPr="00E35F7D" w:rsidP="5ECFBCA2" w14:paraId="5D5C5248" w14:textId="1228CCC1">
            <w:pPr>
              <w:widowControl/>
              <w:autoSpaceDE/>
              <w:autoSpaceDN/>
              <w:adjustRightInd/>
            </w:pPr>
            <w:r w:rsidRPr="5ECFBCA2">
              <w:rPr>
                <w:color w:val="000000" w:themeColor="text1"/>
                <w:sz w:val="22"/>
                <w:szCs w:val="22"/>
              </w:rPr>
              <w:t xml:space="preserve">$       46.96 </w:t>
            </w:r>
          </w:p>
        </w:tc>
      </w:tr>
    </w:tbl>
    <w:p w:rsidR="006C3FF8" w:rsidP="00722B85" w14:paraId="1C011EC8" w14:textId="77777777">
      <w:pPr>
        <w:widowControl/>
        <w:ind w:left="360"/>
      </w:pPr>
    </w:p>
    <w:p w:rsidR="003B6A77" w:rsidRPr="00331429" w:rsidP="00722B85" w14:paraId="72069DE5" w14:textId="77777777">
      <w:pPr>
        <w:widowControl/>
        <w:rPr>
          <w:b/>
        </w:rPr>
      </w:pPr>
      <w:r w:rsidRPr="00331429">
        <w:rPr>
          <w:b/>
        </w:rPr>
        <w:t xml:space="preserve">IC-2.1 </w:t>
      </w:r>
      <w:r w:rsidR="003A084F">
        <w:rPr>
          <w:b/>
        </w:rPr>
        <w:t>State recording of medical examiner’s certificate i</w:t>
      </w:r>
      <w:r w:rsidRPr="00331429">
        <w:rPr>
          <w:b/>
        </w:rPr>
        <w:t>nformation</w:t>
      </w:r>
      <w:r w:rsidR="00A10F00">
        <w:rPr>
          <w:b/>
        </w:rPr>
        <w:t xml:space="preserve"> </w:t>
      </w:r>
      <w:r w:rsidRPr="00A10F00" w:rsidR="00A10F00">
        <w:rPr>
          <w:b/>
        </w:rPr>
        <w:t>[49 CFR 383.73(b)(5) and (o)]</w:t>
      </w:r>
    </w:p>
    <w:p w:rsidR="000333C4" w:rsidP="00722B85" w14:paraId="02E43FB9" w14:textId="303A64C0">
      <w:pPr>
        <w:widowControl/>
      </w:pPr>
      <w:r>
        <w:t xml:space="preserve">A State must record a medical examiner’s certificate information </w:t>
      </w:r>
      <w:r w:rsidR="004323CD">
        <w:t xml:space="preserve">on the driver’s record </w:t>
      </w:r>
      <w:r>
        <w:t xml:space="preserve">when a new CDL is issued to an individual </w:t>
      </w:r>
      <w:r w:rsidR="004323CD">
        <w:t xml:space="preserve">who intends </w:t>
      </w:r>
      <w:r>
        <w:t xml:space="preserve">to be engaged in interstate commerce and when an existing CDL holder engaged in interstate commerce renews and submits a copy of their medical examiner’s certificate to the State.  </w:t>
      </w:r>
      <w:r w:rsidRPr="0008378A">
        <w:t>To estimate burden hour and burden costs associated with this task, the Agency relies on the assumptions and statistics outline</w:t>
      </w:r>
      <w:r w:rsidR="00F65C9D">
        <w:t>d</w:t>
      </w:r>
      <w:r w:rsidRPr="0008378A">
        <w:t xml:space="preserve"> above as well as the following</w:t>
      </w:r>
      <w:r w:rsidRPr="00F94A52" w:rsidR="00F94A52">
        <w:t xml:space="preserve"> </w:t>
      </w:r>
      <w:r w:rsidR="00F94A52">
        <w:t>assumptions</w:t>
      </w:r>
      <w:r w:rsidRPr="0008378A">
        <w:t>:</w:t>
      </w:r>
    </w:p>
    <w:p w:rsidR="000333C4" w:rsidP="00722B85" w14:paraId="096D547B" w14:textId="76302D1B">
      <w:pPr>
        <w:widowControl/>
        <w:numPr>
          <w:ilvl w:val="0"/>
          <w:numId w:val="12"/>
        </w:numPr>
      </w:pPr>
      <w:r>
        <w:t xml:space="preserve">Approximately </w:t>
      </w:r>
      <w:r w:rsidR="001F19C1">
        <w:t>50</w:t>
      </w:r>
      <w:r>
        <w:t xml:space="preserve">% of new drivers who obtain a CDL will be engaged in interstate </w:t>
      </w:r>
      <w:r>
        <w:t>commerce.</w:t>
      </w:r>
      <w:r w:rsidRPr="00EB415C" w:rsidR="00EB415C">
        <w:rPr>
          <w:vertAlign w:val="superscript"/>
        </w:rPr>
        <w:t>(</w:t>
      </w:r>
      <w:r>
        <w:rPr>
          <w:rStyle w:val="FootnoteReference"/>
        </w:rPr>
        <w:footnoteReference w:id="14"/>
      </w:r>
      <w:r w:rsidRPr="00EB415C" w:rsidR="00EB415C">
        <w:rPr>
          <w:vertAlign w:val="superscript"/>
        </w:rPr>
        <w:t>)</w:t>
      </w:r>
      <w:r>
        <w:t xml:space="preserve">  Note that </w:t>
      </w:r>
      <w:r w:rsidR="00B136E1">
        <w:t>s</w:t>
      </w:r>
      <w:r w:rsidRPr="005922ED">
        <w:t xml:space="preserve">ome of these drivers may be “excepted” from the medical certification requirements under §§ 390.3(f), 391.2 or 392.68, but FMCSA does not have any data on excepted drivers so our estimates here include them.  Therefore, the Agency is using the </w:t>
      </w:r>
      <w:r w:rsidRPr="005922ED" w:rsidR="001600C9">
        <w:t>worst-case</w:t>
      </w:r>
      <w:r w:rsidRPr="005922ED">
        <w:t xml:space="preserve"> scenario that</w:t>
      </w:r>
      <w:r w:rsidR="00F24468">
        <w:t xml:space="preserve"> assumes</w:t>
      </w:r>
      <w:r w:rsidRPr="005922ED">
        <w:t xml:space="preserve"> all interstate CDL drivers need a medical examiner’s certificate.</w:t>
      </w:r>
    </w:p>
    <w:p w:rsidR="005922ED" w:rsidRPr="005922ED" w:rsidP="00722B85" w14:paraId="424EB5F9" w14:textId="313F5CEB">
      <w:pPr>
        <w:widowControl/>
        <w:numPr>
          <w:ilvl w:val="0"/>
          <w:numId w:val="12"/>
        </w:numPr>
      </w:pPr>
      <w:r w:rsidRPr="005922ED">
        <w:t xml:space="preserve">Approximately </w:t>
      </w:r>
      <w:r w:rsidR="001F19C1">
        <w:t>55</w:t>
      </w:r>
      <w:r w:rsidRPr="005922ED">
        <w:t xml:space="preserve">% of interstate CDL holders </w:t>
      </w:r>
      <w:r>
        <w:t>will</w:t>
      </w:r>
      <w:r w:rsidRPr="005922ED">
        <w:t xml:space="preserve"> renew their medical certification every 2 years.</w:t>
      </w:r>
    </w:p>
    <w:p w:rsidR="005922ED" w:rsidP="00722B85" w14:paraId="60A7E045" w14:textId="66DC83CD">
      <w:pPr>
        <w:widowControl/>
        <w:numPr>
          <w:ilvl w:val="0"/>
          <w:numId w:val="12"/>
        </w:numPr>
      </w:pPr>
      <w:r w:rsidRPr="005922ED">
        <w:t xml:space="preserve">Approximately </w:t>
      </w:r>
      <w:r w:rsidR="001F19C1">
        <w:t>45</w:t>
      </w:r>
      <w:r w:rsidRPr="005922ED">
        <w:t xml:space="preserve">% of interstate CDL holders </w:t>
      </w:r>
      <w:r>
        <w:t>will</w:t>
      </w:r>
      <w:r w:rsidRPr="005922ED">
        <w:t xml:space="preserve"> renew their medical certification every year as a condition of a medical variance (i.e., an exemption, Skill Performance Evaluation (SPE) certificate or pilot program) or their employer requires another examination.</w:t>
      </w:r>
    </w:p>
    <w:p w:rsidR="00614D56" w:rsidP="5ECFBCA2" w14:paraId="2353AB48" w14:textId="58C792A7">
      <w:pPr>
        <w:widowControl/>
        <w:numPr>
          <w:ilvl w:val="0"/>
          <w:numId w:val="12"/>
        </w:numPr>
        <w:spacing w:line="259" w:lineRule="auto"/>
      </w:pPr>
      <w:r>
        <w:t>A</w:t>
      </w:r>
      <w:r w:rsidR="00164793">
        <w:t>n</w:t>
      </w:r>
      <w:r>
        <w:t xml:space="preserve"> SDLA employee</w:t>
      </w:r>
      <w:r w:rsidR="00582F85">
        <w:t xml:space="preserve"> equivalent to an </w:t>
      </w:r>
      <w:r w:rsidR="53C0E212">
        <w:t>Office Clerk</w:t>
      </w:r>
      <w:r w:rsidR="00582F85">
        <w:t xml:space="preserve"> (</w:t>
      </w:r>
      <w:r w:rsidR="003A6741">
        <w:t>SOC</w:t>
      </w:r>
      <w:r w:rsidR="00582F85">
        <w:t xml:space="preserve"> Code 43-</w:t>
      </w:r>
      <w:r w:rsidR="3BD26884">
        <w:t>9061</w:t>
      </w:r>
      <w:r w:rsidR="00582F85">
        <w:t>)</w:t>
      </w:r>
      <w:r>
        <w:t xml:space="preserve"> will perform this task a</w:t>
      </w:r>
      <w:r w:rsidR="00EB415C">
        <w:t>t a loaded hourly wage of $</w:t>
      </w:r>
      <w:r w:rsidR="01395274">
        <w:t>28</w:t>
      </w:r>
      <w:r w:rsidR="1B99F136">
        <w:t>.</w:t>
      </w:r>
      <w:r w:rsidR="6B0ADC47">
        <w:t>71</w:t>
      </w:r>
      <w:r>
        <w:t>.</w:t>
      </w:r>
      <w:r w:rsidR="001F19C1">
        <w:t xml:space="preserve"> (Table 10)</w:t>
      </w:r>
    </w:p>
    <w:p w:rsidR="00164793" w:rsidP="00722B85" w14:paraId="5BDEB86E" w14:textId="77777777">
      <w:pPr>
        <w:widowControl/>
        <w:numPr>
          <w:ilvl w:val="0"/>
          <w:numId w:val="12"/>
        </w:numPr>
      </w:pPr>
      <w:r>
        <w:t>An estimated 249 SDLA employees from the 50 States and the District of Columbia undertake this task.</w:t>
      </w:r>
    </w:p>
    <w:p w:rsidR="005922ED" w:rsidP="00722B85" w14:paraId="0A56348C" w14:textId="77777777">
      <w:pPr>
        <w:widowControl/>
        <w:numPr>
          <w:ilvl w:val="0"/>
          <w:numId w:val="12"/>
        </w:numPr>
      </w:pPr>
      <w:r>
        <w:t>An</w:t>
      </w:r>
      <w:r w:rsidR="00614D56">
        <w:t xml:space="preserve"> SDLA employee</w:t>
      </w:r>
      <w:r w:rsidR="00582F85">
        <w:t xml:space="preserve"> </w:t>
      </w:r>
      <w:r>
        <w:t xml:space="preserve">will spend approximately 2 minutes </w:t>
      </w:r>
      <w:r w:rsidR="0017614D">
        <w:t xml:space="preserve">(0.033 hours) </w:t>
      </w:r>
      <w:r>
        <w:t xml:space="preserve">recording </w:t>
      </w:r>
      <w:r w:rsidRPr="005922ED">
        <w:t>the medical examiner’s certificate information on the CDLIS driver record</w:t>
      </w:r>
      <w:r>
        <w:t>.</w:t>
      </w:r>
    </w:p>
    <w:p w:rsidR="006C3FF8" w:rsidP="00722B85" w14:paraId="282A9782" w14:textId="77777777">
      <w:pPr>
        <w:widowControl/>
        <w:ind w:left="360"/>
      </w:pPr>
    </w:p>
    <w:p w:rsidR="003A084F" w:rsidP="5ECFBCA2" w14:paraId="050315FF" w14:textId="2D9B971E">
      <w:pPr>
        <w:widowControl/>
        <w:spacing w:line="259" w:lineRule="auto"/>
      </w:pPr>
      <w:r>
        <w:t xml:space="preserve">During the first year of this ICR, </w:t>
      </w:r>
      <w:r w:rsidR="00223C6E">
        <w:t>249</w:t>
      </w:r>
      <w:r w:rsidR="00582F85">
        <w:t xml:space="preserve"> </w:t>
      </w:r>
      <w:r w:rsidR="4820CE96">
        <w:t>Office</w:t>
      </w:r>
      <w:r w:rsidR="00B136E1">
        <w:t xml:space="preserve"> </w:t>
      </w:r>
      <w:r w:rsidR="1B7A8421">
        <w:t>C</w:t>
      </w:r>
      <w:r w:rsidR="00B136E1">
        <w:t>lerk</w:t>
      </w:r>
      <w:r w:rsidR="00223C6E">
        <w:t>s</w:t>
      </w:r>
      <w:r>
        <w:t xml:space="preserve"> will record medical examiner’s certificate information for </w:t>
      </w:r>
      <w:bookmarkStart w:id="21" w:name="_Hlk514354567"/>
      <w:r>
        <w:t>2,</w:t>
      </w:r>
      <w:r w:rsidR="1124AA24">
        <w:t>499,320</w:t>
      </w:r>
      <w:r w:rsidR="00CE0016">
        <w:t xml:space="preserve"> </w:t>
      </w:r>
      <w:r>
        <w:t>new CDL drivers</w:t>
      </w:r>
      <w:r w:rsidR="00CE0016">
        <w:t xml:space="preserve"> and</w:t>
      </w:r>
      <w:r>
        <w:t xml:space="preserve"> </w:t>
      </w:r>
      <w:bookmarkEnd w:id="21"/>
      <w:r w:rsidR="001600C9">
        <w:t>existing</w:t>
      </w:r>
      <w:r w:rsidR="00B136E1">
        <w:t xml:space="preserve"> interstate CDL</w:t>
      </w:r>
      <w:r w:rsidR="001600C9">
        <w:t xml:space="preserve"> drivers</w:t>
      </w:r>
      <w:r w:rsidR="0017614D">
        <w:t xml:space="preserve">, resulting in </w:t>
      </w:r>
      <w:r>
        <w:t>2,</w:t>
      </w:r>
      <w:r w:rsidR="386D60A8">
        <w:t>499,320</w:t>
      </w:r>
      <w:r w:rsidR="0017614D">
        <w:t xml:space="preserve"> responses and </w:t>
      </w:r>
      <w:r w:rsidR="4FF17C5E">
        <w:t>82,</w:t>
      </w:r>
      <w:r w:rsidR="410D2AE5">
        <w:t>478</w:t>
      </w:r>
      <w:r w:rsidR="0017614D">
        <w:t xml:space="preserve"> burden hours</w:t>
      </w:r>
      <w:r w:rsidR="00582F85">
        <w:t>, at a cost of $</w:t>
      </w:r>
      <w:r w:rsidR="24FBBA83">
        <w:t>2</w:t>
      </w:r>
      <w:r w:rsidR="78212CAC">
        <w:t>,</w:t>
      </w:r>
      <w:r w:rsidR="704DDE59">
        <w:t>368</w:t>
      </w:r>
      <w:r w:rsidR="78212CAC">
        <w:t>,</w:t>
      </w:r>
      <w:r w:rsidR="113D8397">
        <w:t>206</w:t>
      </w:r>
      <w:r w:rsidR="00FC3454">
        <w:t>.</w:t>
      </w:r>
    </w:p>
    <w:p w:rsidR="006C3FF8" w:rsidP="00722B85" w14:paraId="626F7ADA" w14:textId="77777777">
      <w:pPr>
        <w:widowControl/>
        <w:ind w:left="360"/>
      </w:pPr>
    </w:p>
    <w:p w:rsidR="00FC3454" w:rsidP="00722B85" w14:paraId="69C8E545" w14:textId="2FEF35A4">
      <w:pPr>
        <w:widowControl/>
      </w:pPr>
      <w:r>
        <w:t>Annualized, IC-2.1 results in approximately 2,</w:t>
      </w:r>
      <w:r w:rsidR="62A58E3B">
        <w:t>504,923</w:t>
      </w:r>
      <w:r>
        <w:t xml:space="preserve"> responses totaling </w:t>
      </w:r>
      <w:r w:rsidR="7CD8E864">
        <w:t>82,662</w:t>
      </w:r>
      <w:r>
        <w:t xml:space="preserve"> burden hours at a cost of </w:t>
      </w:r>
      <w:r w:rsidR="00EB415C">
        <w:t>$</w:t>
      </w:r>
      <w:r w:rsidR="21C37C92">
        <w:t>2</w:t>
      </w:r>
      <w:r>
        <w:t>,</w:t>
      </w:r>
      <w:r w:rsidR="6754807D">
        <w:t>373</w:t>
      </w:r>
      <w:r w:rsidR="4773C149">
        <w:t>,</w:t>
      </w:r>
      <w:r w:rsidR="5EA4F3F2">
        <w:t>515</w:t>
      </w:r>
      <w:r w:rsidR="00EB415C">
        <w:t xml:space="preserve"> </w:t>
      </w:r>
      <w:r>
        <w:t>(</w:t>
      </w:r>
      <w:r>
        <w:fldChar w:fldCharType="begin"/>
      </w:r>
      <w:r>
        <w:instrText xml:space="preserve"> REF _Ref508105600 \h  \* MERGEFORMAT </w:instrText>
      </w:r>
      <w:r>
        <w:fldChar w:fldCharType="separate"/>
      </w:r>
      <w:r w:rsidR="006A6CBC">
        <w:t xml:space="preserve">Table </w:t>
      </w:r>
      <w:r w:rsidRPr="5ECFBCA2" w:rsidR="006A6CBC">
        <w:rPr>
          <w:noProof/>
        </w:rPr>
        <w:t>11</w:t>
      </w:r>
      <w:r>
        <w:fldChar w:fldCharType="end"/>
      </w:r>
      <w:r>
        <w:t>).</w:t>
      </w:r>
    </w:p>
    <w:p w:rsidR="00FC3454" w:rsidP="00722B85" w14:paraId="5B106D5E" w14:textId="77777777">
      <w:pPr>
        <w:widowControl/>
        <w:ind w:left="360" w:firstLine="360"/>
      </w:pPr>
    </w:p>
    <w:p w:rsidR="00FC3454" w:rsidRPr="00D64E77" w:rsidP="00722B85" w14:paraId="20409F2B" w14:textId="63F66F4C">
      <w:pPr>
        <w:pStyle w:val="Caption"/>
        <w:keepNext/>
        <w:widowControl/>
      </w:pPr>
      <w:bookmarkStart w:id="22" w:name="_Ref508105600"/>
      <w:r>
        <w:t xml:space="preserve">Table </w:t>
      </w:r>
      <w:r>
        <w:fldChar w:fldCharType="begin"/>
      </w:r>
      <w:r>
        <w:instrText>SEQ Table \* ARABIC</w:instrText>
      </w:r>
      <w:r>
        <w:fldChar w:fldCharType="separate"/>
      </w:r>
      <w:r w:rsidRPr="5ECFBCA2" w:rsidR="006A6CBC">
        <w:rPr>
          <w:noProof/>
        </w:rPr>
        <w:t>11</w:t>
      </w:r>
      <w:r>
        <w:fldChar w:fldCharType="end"/>
      </w:r>
      <w:bookmarkEnd w:id="22"/>
      <w:r>
        <w:t xml:space="preserve">. State </w:t>
      </w:r>
      <w:r w:rsidR="002D66E6">
        <w:t xml:space="preserve">Recording of Medical Examiner’s Certificate Information </w:t>
      </w:r>
      <w:r w:rsidR="00F00D91">
        <w:t>(IC-2.1)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6"/>
        <w:gridCol w:w="1350"/>
        <w:gridCol w:w="1348"/>
        <w:gridCol w:w="1517"/>
        <w:gridCol w:w="1129"/>
        <w:gridCol w:w="1315"/>
        <w:gridCol w:w="1345"/>
      </w:tblGrid>
      <w:tr w14:paraId="0A27D1CB"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395"/>
        </w:trPr>
        <w:tc>
          <w:tcPr>
            <w:tcW w:w="720" w:type="pct"/>
            <w:shd w:val="clear" w:color="auto" w:fill="E0E0E0"/>
            <w:tcMar>
              <w:left w:w="0" w:type="dxa"/>
              <w:right w:w="0" w:type="dxa"/>
            </w:tcMar>
            <w:vAlign w:val="bottom"/>
            <w:hideMark/>
          </w:tcPr>
          <w:p w:rsidR="00FC3454" w:rsidRPr="009C27AA" w:rsidP="00AC6C69" w14:paraId="6A26FD4D" w14:textId="77777777">
            <w:pPr>
              <w:widowControl/>
              <w:autoSpaceDE/>
              <w:autoSpaceDN/>
              <w:adjustRightInd/>
              <w:jc w:val="center"/>
              <w:rPr>
                <w:b/>
                <w:bCs/>
                <w:color w:val="000000"/>
              </w:rPr>
            </w:pPr>
            <w:r w:rsidRPr="009C27AA">
              <w:rPr>
                <w:b/>
                <w:bCs/>
                <w:color w:val="000000"/>
              </w:rPr>
              <w:t>Year</w:t>
            </w:r>
          </w:p>
        </w:tc>
        <w:tc>
          <w:tcPr>
            <w:tcW w:w="722" w:type="pct"/>
            <w:shd w:val="clear" w:color="auto" w:fill="E0E0E0"/>
            <w:tcMar>
              <w:left w:w="0" w:type="dxa"/>
              <w:right w:w="0" w:type="dxa"/>
            </w:tcMar>
            <w:vAlign w:val="bottom"/>
            <w:hideMark/>
          </w:tcPr>
          <w:p w:rsidR="00FC3454" w:rsidRPr="009C27AA" w:rsidP="00AC6C69" w14:paraId="74D05427" w14:textId="77777777">
            <w:pPr>
              <w:widowControl/>
              <w:autoSpaceDE/>
              <w:autoSpaceDN/>
              <w:adjustRightInd/>
              <w:jc w:val="center"/>
              <w:rPr>
                <w:b/>
                <w:bCs/>
                <w:color w:val="000000"/>
              </w:rPr>
            </w:pPr>
            <w:r w:rsidRPr="009C27AA">
              <w:rPr>
                <w:b/>
                <w:bCs/>
                <w:color w:val="000000"/>
              </w:rPr>
              <w:t>Number of Respondents</w:t>
            </w:r>
            <w:r w:rsidRPr="009C27AA">
              <w:rPr>
                <w:b/>
                <w:bCs/>
                <w:color w:val="000000"/>
              </w:rPr>
              <w:br/>
              <w:t>(a)</w:t>
            </w:r>
          </w:p>
        </w:tc>
        <w:tc>
          <w:tcPr>
            <w:tcW w:w="721" w:type="pct"/>
            <w:shd w:val="clear" w:color="auto" w:fill="E0E0E0"/>
            <w:tcMar>
              <w:left w:w="0" w:type="dxa"/>
              <w:right w:w="0" w:type="dxa"/>
            </w:tcMar>
            <w:vAlign w:val="bottom"/>
            <w:hideMark/>
          </w:tcPr>
          <w:p w:rsidR="00FC3454" w:rsidRPr="009C27AA" w:rsidP="00AC6C69" w14:paraId="77394C8F" w14:textId="77777777">
            <w:pPr>
              <w:widowControl/>
              <w:autoSpaceDE/>
              <w:autoSpaceDN/>
              <w:adjustRightInd/>
              <w:jc w:val="center"/>
              <w:rPr>
                <w:b/>
                <w:bCs/>
                <w:color w:val="000000"/>
              </w:rPr>
            </w:pPr>
            <w:r w:rsidRPr="5ECFBCA2">
              <w:rPr>
                <w:b/>
                <w:bCs/>
                <w:color w:val="000000" w:themeColor="text1"/>
              </w:rPr>
              <w:t>Average Responses per Respondent</w:t>
            </w:r>
            <w:r>
              <w:br/>
            </w:r>
            <w:r w:rsidRPr="5ECFBCA2">
              <w:rPr>
                <w:b/>
                <w:bCs/>
                <w:color w:val="000000" w:themeColor="text1"/>
              </w:rPr>
              <w:t>(b)</w:t>
            </w:r>
          </w:p>
        </w:tc>
        <w:tc>
          <w:tcPr>
            <w:tcW w:w="811" w:type="pct"/>
            <w:shd w:val="clear" w:color="auto" w:fill="E0E0E0"/>
            <w:tcMar>
              <w:left w:w="0" w:type="dxa"/>
              <w:right w:w="0" w:type="dxa"/>
            </w:tcMar>
            <w:vAlign w:val="bottom"/>
            <w:hideMark/>
          </w:tcPr>
          <w:p w:rsidR="00FC3454" w:rsidRPr="009C27AA" w:rsidP="00AC6C69" w14:paraId="6C3AF578" w14:textId="77777777">
            <w:pPr>
              <w:widowControl/>
              <w:autoSpaceDE/>
              <w:autoSpaceDN/>
              <w:adjustRightInd/>
              <w:jc w:val="center"/>
              <w:rPr>
                <w:b/>
                <w:bCs/>
                <w:color w:val="000000"/>
              </w:rPr>
            </w:pPr>
            <w:r w:rsidRPr="009C27AA">
              <w:rPr>
                <w:b/>
                <w:bCs/>
                <w:color w:val="000000"/>
              </w:rPr>
              <w:t>Total Annual Responses</w:t>
            </w:r>
            <w:r w:rsidRPr="009C27AA">
              <w:rPr>
                <w:b/>
                <w:bCs/>
                <w:color w:val="000000"/>
              </w:rPr>
              <w:br/>
              <w:t>(a × b = c)</w:t>
            </w:r>
          </w:p>
        </w:tc>
        <w:tc>
          <w:tcPr>
            <w:tcW w:w="604" w:type="pct"/>
            <w:shd w:val="clear" w:color="auto" w:fill="E0E0E0"/>
            <w:tcMar>
              <w:left w:w="0" w:type="dxa"/>
              <w:right w:w="0" w:type="dxa"/>
            </w:tcMar>
            <w:vAlign w:val="bottom"/>
            <w:hideMark/>
          </w:tcPr>
          <w:p w:rsidR="00FC3454" w:rsidRPr="009C27AA" w:rsidP="00AC6C69" w14:paraId="2CE7EF9C" w14:textId="77777777">
            <w:pPr>
              <w:widowControl/>
              <w:autoSpaceDE/>
              <w:autoSpaceDN/>
              <w:adjustRightInd/>
              <w:jc w:val="center"/>
              <w:rPr>
                <w:b/>
                <w:bCs/>
                <w:color w:val="000000"/>
              </w:rPr>
            </w:pPr>
            <w:r w:rsidRPr="009C27AA">
              <w:rPr>
                <w:b/>
                <w:bCs/>
                <w:color w:val="000000"/>
              </w:rPr>
              <w:t>Burden Hours per Response</w:t>
            </w:r>
            <w:r w:rsidRPr="009C27AA">
              <w:rPr>
                <w:b/>
                <w:bCs/>
                <w:color w:val="000000"/>
              </w:rPr>
              <w:br/>
              <w:t>(d)</w:t>
            </w:r>
          </w:p>
        </w:tc>
        <w:tc>
          <w:tcPr>
            <w:tcW w:w="703" w:type="pct"/>
            <w:shd w:val="clear" w:color="auto" w:fill="E0E0E0"/>
            <w:tcMar>
              <w:left w:w="0" w:type="dxa"/>
              <w:right w:w="0" w:type="dxa"/>
            </w:tcMar>
            <w:vAlign w:val="bottom"/>
            <w:hideMark/>
          </w:tcPr>
          <w:p w:rsidR="00FC3454" w:rsidRPr="009C27AA" w:rsidP="00AC6C69" w14:paraId="58E0069E" w14:textId="77777777">
            <w:pPr>
              <w:widowControl/>
              <w:autoSpaceDE/>
              <w:autoSpaceDN/>
              <w:adjustRightInd/>
              <w:jc w:val="center"/>
              <w:rPr>
                <w:b/>
                <w:bCs/>
                <w:color w:val="000000"/>
              </w:rPr>
            </w:pPr>
            <w:r w:rsidRPr="009C27AA">
              <w:rPr>
                <w:b/>
                <w:bCs/>
                <w:color w:val="000000"/>
              </w:rPr>
              <w:t>Total Annual Burden Hours</w:t>
            </w:r>
            <w:r w:rsidRPr="009C27AA">
              <w:rPr>
                <w:b/>
                <w:bCs/>
                <w:color w:val="000000"/>
              </w:rPr>
              <w:br/>
              <w:t>(c × d = e)</w:t>
            </w:r>
          </w:p>
        </w:tc>
        <w:tc>
          <w:tcPr>
            <w:tcW w:w="719" w:type="pct"/>
            <w:shd w:val="clear" w:color="auto" w:fill="E0E0E0"/>
            <w:tcMar>
              <w:left w:w="0" w:type="dxa"/>
              <w:right w:w="0" w:type="dxa"/>
            </w:tcMar>
            <w:vAlign w:val="bottom"/>
            <w:hideMark/>
          </w:tcPr>
          <w:p w:rsidR="00FC3454" w:rsidRPr="009C27AA" w:rsidP="00AC6C69" w14:paraId="256AB829" w14:textId="5E944D36">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w:t>
            </w:r>
            <w:r w:rsidRPr="5ECFBCA2" w:rsidR="00EB415C">
              <w:rPr>
                <w:b/>
                <w:bCs/>
                <w:color w:val="000000" w:themeColor="text1"/>
              </w:rPr>
              <w:t xml:space="preserve"> × $</w:t>
            </w:r>
            <w:r w:rsidRPr="5ECFBCA2" w:rsidR="76FC4B48">
              <w:rPr>
                <w:b/>
                <w:bCs/>
                <w:color w:val="000000" w:themeColor="text1"/>
              </w:rPr>
              <w:t>28.</w:t>
            </w:r>
            <w:r w:rsidRPr="5ECFBCA2" w:rsidR="76FC4B48">
              <w:rPr>
                <w:b/>
                <w:bCs/>
                <w:color w:val="000000" w:themeColor="text1"/>
              </w:rPr>
              <w:t>71</w:t>
            </w:r>
            <w:r w:rsidRPr="5ECFBCA2" w:rsidR="77FF1591">
              <w:rPr>
                <w:b/>
                <w:bCs/>
                <w:color w:val="000000" w:themeColor="text1"/>
              </w:rPr>
              <w:t xml:space="preserve"> </w:t>
            </w:r>
            <w:r w:rsidRPr="5ECFBCA2">
              <w:rPr>
                <w:b/>
                <w:bCs/>
                <w:color w:val="000000" w:themeColor="text1"/>
              </w:rPr>
              <w:t xml:space="preserve"> =</w:t>
            </w:r>
            <w:r w:rsidRPr="5ECFBCA2">
              <w:rPr>
                <w:b/>
                <w:bCs/>
                <w:color w:val="000000" w:themeColor="text1"/>
              </w:rPr>
              <w:t xml:space="preserve"> f)</w:t>
            </w:r>
          </w:p>
        </w:tc>
      </w:tr>
      <w:tr w14:paraId="11B03201"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260BC" w:rsidRPr="003260BC" w:rsidP="003260BC" w14:paraId="34A80481" w14:textId="77777777">
            <w:pPr>
              <w:widowControl/>
              <w:autoSpaceDE/>
              <w:autoSpaceDN/>
              <w:adjustRightInd/>
              <w:jc w:val="center"/>
              <w:rPr>
                <w:color w:val="000000"/>
              </w:rPr>
            </w:pPr>
            <w:r w:rsidRPr="003260BC">
              <w:rPr>
                <w:color w:val="000000"/>
              </w:rPr>
              <w:t>1</w:t>
            </w:r>
          </w:p>
        </w:tc>
        <w:tc>
          <w:tcPr>
            <w:tcW w:w="722" w:type="pct"/>
            <w:shd w:val="clear" w:color="auto" w:fill="auto"/>
            <w:tcMar>
              <w:left w:w="115" w:type="dxa"/>
              <w:right w:w="115" w:type="dxa"/>
            </w:tcMar>
          </w:tcPr>
          <w:p w:rsidR="003260BC" w:rsidRPr="003260BC" w:rsidP="003260BC" w14:paraId="2CC1A5B3" w14:textId="7B9F3B6D">
            <w:pPr>
              <w:widowControl/>
              <w:autoSpaceDE/>
              <w:autoSpaceDN/>
              <w:adjustRightInd/>
              <w:jc w:val="center"/>
              <w:rPr>
                <w:color w:val="000000"/>
              </w:rPr>
            </w:pPr>
            <w:r w:rsidRPr="003260BC">
              <w:t>249</w:t>
            </w:r>
          </w:p>
        </w:tc>
        <w:tc>
          <w:tcPr>
            <w:tcW w:w="721" w:type="pct"/>
            <w:shd w:val="clear" w:color="auto" w:fill="auto"/>
            <w:tcMar>
              <w:left w:w="115" w:type="dxa"/>
              <w:right w:w="115" w:type="dxa"/>
            </w:tcMar>
          </w:tcPr>
          <w:p w:rsidR="003260BC" w:rsidRPr="00300FFD" w:rsidP="003260BC" w14:paraId="1BFE9FE4" w14:textId="71621CCC">
            <w:pPr>
              <w:widowControl/>
              <w:autoSpaceDE/>
              <w:autoSpaceDN/>
              <w:adjustRightInd/>
              <w:jc w:val="center"/>
              <w:rPr>
                <w:color w:val="000000"/>
              </w:rPr>
            </w:pPr>
            <w:r>
              <w:t xml:space="preserve"> </w:t>
            </w:r>
            <w:r w:rsidRPr="00E35F7D">
              <w:rPr>
                <w:color w:val="000000" w:themeColor="text1"/>
              </w:rPr>
              <w:t>10,037</w:t>
            </w:r>
          </w:p>
        </w:tc>
        <w:tc>
          <w:tcPr>
            <w:tcW w:w="811" w:type="pct"/>
            <w:shd w:val="clear" w:color="auto" w:fill="auto"/>
            <w:tcMar>
              <w:left w:w="115" w:type="dxa"/>
              <w:right w:w="115" w:type="dxa"/>
            </w:tcMar>
          </w:tcPr>
          <w:p w:rsidR="003260BC" w:rsidRPr="003260BC" w:rsidP="003260BC" w14:paraId="1248BBD5" w14:textId="5BF7B52B">
            <w:pPr>
              <w:widowControl/>
              <w:autoSpaceDE/>
              <w:autoSpaceDN/>
              <w:adjustRightInd/>
              <w:jc w:val="center"/>
              <w:rPr>
                <w:color w:val="000000"/>
              </w:rPr>
            </w:pPr>
            <w:r>
              <w:t xml:space="preserve"> </w:t>
            </w:r>
            <w:r w:rsidRPr="15A85529">
              <w:rPr>
                <w:color w:val="000000" w:themeColor="text1"/>
              </w:rPr>
              <w:t>2,499,320</w:t>
            </w:r>
          </w:p>
        </w:tc>
        <w:tc>
          <w:tcPr>
            <w:tcW w:w="604" w:type="pct"/>
            <w:shd w:val="clear" w:color="auto" w:fill="auto"/>
            <w:tcMar>
              <w:left w:w="115" w:type="dxa"/>
              <w:right w:w="115" w:type="dxa"/>
            </w:tcMar>
          </w:tcPr>
          <w:p w:rsidR="003260BC" w:rsidRPr="003260BC" w:rsidP="003260BC" w14:paraId="0B5A913B" w14:textId="7F379F27">
            <w:pPr>
              <w:widowControl/>
              <w:autoSpaceDE/>
              <w:autoSpaceDN/>
              <w:adjustRightInd/>
              <w:jc w:val="center"/>
              <w:rPr>
                <w:color w:val="000000"/>
              </w:rPr>
            </w:pPr>
            <w:r w:rsidRPr="003260BC">
              <w:t>0.033</w:t>
            </w:r>
          </w:p>
        </w:tc>
        <w:tc>
          <w:tcPr>
            <w:tcW w:w="703" w:type="pct"/>
            <w:shd w:val="clear" w:color="auto" w:fill="auto"/>
            <w:tcMar>
              <w:left w:w="115" w:type="dxa"/>
              <w:right w:w="115" w:type="dxa"/>
            </w:tcMar>
          </w:tcPr>
          <w:p w:rsidR="003260BC" w:rsidRPr="003260BC" w:rsidP="003260BC" w14:paraId="2C82366A" w14:textId="48EE2496">
            <w:pPr>
              <w:widowControl/>
              <w:autoSpaceDE/>
              <w:autoSpaceDN/>
              <w:adjustRightInd/>
              <w:jc w:val="center"/>
              <w:rPr>
                <w:color w:val="000000"/>
              </w:rPr>
            </w:pPr>
            <w:r>
              <w:t xml:space="preserve"> </w:t>
            </w:r>
            <w:r w:rsidRPr="00E35F7D">
              <w:rPr>
                <w:color w:val="000000" w:themeColor="text1"/>
              </w:rPr>
              <w:t>82,478</w:t>
            </w:r>
          </w:p>
        </w:tc>
        <w:tc>
          <w:tcPr>
            <w:tcW w:w="719" w:type="pct"/>
            <w:shd w:val="clear" w:color="auto" w:fill="auto"/>
            <w:tcMar>
              <w:left w:w="115" w:type="dxa"/>
              <w:right w:w="115" w:type="dxa"/>
            </w:tcMar>
          </w:tcPr>
          <w:p w:rsidR="003260BC" w:rsidRPr="003260BC" w:rsidP="003260BC" w14:paraId="1A6E39E8" w14:textId="60782C8C">
            <w:pPr>
              <w:widowControl/>
              <w:autoSpaceDE/>
              <w:autoSpaceDN/>
              <w:adjustRightInd/>
              <w:jc w:val="center"/>
              <w:rPr>
                <w:color w:val="000000"/>
              </w:rPr>
            </w:pPr>
            <w:r>
              <w:t xml:space="preserve"> </w:t>
            </w:r>
            <w:r w:rsidRPr="5ECFBCA2">
              <w:rPr>
                <w:color w:val="000000" w:themeColor="text1"/>
              </w:rPr>
              <w:t>$</w:t>
            </w:r>
            <w:r w:rsidRPr="5ECFBCA2" w:rsidR="00B83DF4">
              <w:rPr>
                <w:color w:val="000000" w:themeColor="text1"/>
              </w:rPr>
              <w:t>2</w:t>
            </w:r>
            <w:r w:rsidRPr="5ECFBCA2">
              <w:rPr>
                <w:color w:val="000000" w:themeColor="text1"/>
              </w:rPr>
              <w:t>,</w:t>
            </w:r>
            <w:r w:rsidRPr="5ECFBCA2" w:rsidR="58E19426">
              <w:rPr>
                <w:color w:val="000000" w:themeColor="text1"/>
              </w:rPr>
              <w:t>368</w:t>
            </w:r>
            <w:r w:rsidRPr="5ECFBCA2">
              <w:rPr>
                <w:color w:val="000000" w:themeColor="text1"/>
              </w:rPr>
              <w:t>,</w:t>
            </w:r>
            <w:r w:rsidRPr="5ECFBCA2" w:rsidR="082F9B05">
              <w:rPr>
                <w:color w:val="000000" w:themeColor="text1"/>
              </w:rPr>
              <w:t>206</w:t>
            </w:r>
            <w:r w:rsidRPr="5ECFBCA2">
              <w:rPr>
                <w:color w:val="000000" w:themeColor="text1"/>
              </w:rPr>
              <w:t xml:space="preserve"> </w:t>
            </w:r>
            <w:r>
              <w:t xml:space="preserve"> </w:t>
            </w:r>
          </w:p>
        </w:tc>
      </w:tr>
      <w:tr w14:paraId="6A737047"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260BC" w:rsidRPr="003260BC" w:rsidP="003260BC" w14:paraId="2F7B1719" w14:textId="77777777">
            <w:pPr>
              <w:widowControl/>
              <w:autoSpaceDE/>
              <w:autoSpaceDN/>
              <w:adjustRightInd/>
              <w:jc w:val="center"/>
              <w:rPr>
                <w:color w:val="000000"/>
              </w:rPr>
            </w:pPr>
            <w:r w:rsidRPr="003260BC">
              <w:rPr>
                <w:color w:val="000000"/>
              </w:rPr>
              <w:t>2</w:t>
            </w:r>
          </w:p>
        </w:tc>
        <w:tc>
          <w:tcPr>
            <w:tcW w:w="722" w:type="pct"/>
            <w:shd w:val="clear" w:color="auto" w:fill="auto"/>
            <w:tcMar>
              <w:left w:w="115" w:type="dxa"/>
              <w:right w:w="115" w:type="dxa"/>
            </w:tcMar>
          </w:tcPr>
          <w:p w:rsidR="003260BC" w:rsidRPr="003260BC" w:rsidP="003260BC" w14:paraId="2031DF8B" w14:textId="38DCF866">
            <w:pPr>
              <w:widowControl/>
              <w:autoSpaceDE/>
              <w:autoSpaceDN/>
              <w:adjustRightInd/>
              <w:jc w:val="center"/>
              <w:rPr>
                <w:color w:val="000000"/>
              </w:rPr>
            </w:pPr>
            <w:r w:rsidRPr="003260BC">
              <w:t>249</w:t>
            </w:r>
          </w:p>
        </w:tc>
        <w:tc>
          <w:tcPr>
            <w:tcW w:w="721" w:type="pct"/>
            <w:shd w:val="clear" w:color="auto" w:fill="auto"/>
            <w:tcMar>
              <w:left w:w="115" w:type="dxa"/>
              <w:right w:w="115" w:type="dxa"/>
            </w:tcMar>
          </w:tcPr>
          <w:p w:rsidR="003260BC" w:rsidRPr="00300FFD" w:rsidP="003260BC" w14:paraId="34599995" w14:textId="268AA451">
            <w:pPr>
              <w:widowControl/>
              <w:autoSpaceDE/>
              <w:autoSpaceDN/>
              <w:adjustRightInd/>
              <w:jc w:val="center"/>
              <w:rPr>
                <w:color w:val="000000"/>
              </w:rPr>
            </w:pPr>
            <w:r>
              <w:t xml:space="preserve"> </w:t>
            </w:r>
            <w:r w:rsidRPr="00E35F7D">
              <w:rPr>
                <w:color w:val="000000" w:themeColor="text1"/>
              </w:rPr>
              <w:t>10,060</w:t>
            </w:r>
          </w:p>
        </w:tc>
        <w:tc>
          <w:tcPr>
            <w:tcW w:w="811" w:type="pct"/>
            <w:shd w:val="clear" w:color="auto" w:fill="auto"/>
            <w:tcMar>
              <w:left w:w="115" w:type="dxa"/>
              <w:right w:w="115" w:type="dxa"/>
            </w:tcMar>
          </w:tcPr>
          <w:p w:rsidR="003260BC" w:rsidRPr="003260BC" w:rsidP="003260BC" w14:paraId="6C65CAE8" w14:textId="21C1B9B9">
            <w:pPr>
              <w:widowControl/>
              <w:autoSpaceDE/>
              <w:autoSpaceDN/>
              <w:adjustRightInd/>
              <w:jc w:val="center"/>
              <w:rPr>
                <w:color w:val="000000"/>
              </w:rPr>
            </w:pPr>
            <w:r>
              <w:t xml:space="preserve"> </w:t>
            </w:r>
            <w:r w:rsidRPr="15A85529">
              <w:rPr>
                <w:color w:val="000000" w:themeColor="text1"/>
              </w:rPr>
              <w:t>2,504,919</w:t>
            </w:r>
          </w:p>
        </w:tc>
        <w:tc>
          <w:tcPr>
            <w:tcW w:w="604" w:type="pct"/>
            <w:shd w:val="clear" w:color="auto" w:fill="auto"/>
            <w:tcMar>
              <w:left w:w="115" w:type="dxa"/>
              <w:right w:w="115" w:type="dxa"/>
            </w:tcMar>
          </w:tcPr>
          <w:p w:rsidR="003260BC" w:rsidRPr="003260BC" w:rsidP="003260BC" w14:paraId="1826280F" w14:textId="2994A32E">
            <w:pPr>
              <w:widowControl/>
              <w:autoSpaceDE/>
              <w:autoSpaceDN/>
              <w:adjustRightInd/>
              <w:jc w:val="center"/>
              <w:rPr>
                <w:color w:val="000000"/>
              </w:rPr>
            </w:pPr>
            <w:r w:rsidRPr="003260BC">
              <w:t>0.033</w:t>
            </w:r>
          </w:p>
        </w:tc>
        <w:tc>
          <w:tcPr>
            <w:tcW w:w="703" w:type="pct"/>
            <w:shd w:val="clear" w:color="auto" w:fill="auto"/>
            <w:tcMar>
              <w:left w:w="115" w:type="dxa"/>
              <w:right w:w="115" w:type="dxa"/>
            </w:tcMar>
          </w:tcPr>
          <w:p w:rsidR="003260BC" w:rsidRPr="003260BC" w:rsidP="003260BC" w14:paraId="0ADB9202" w14:textId="1FFEB804">
            <w:pPr>
              <w:widowControl/>
              <w:autoSpaceDE/>
              <w:autoSpaceDN/>
              <w:adjustRightInd/>
              <w:jc w:val="center"/>
              <w:rPr>
                <w:color w:val="000000"/>
              </w:rPr>
            </w:pPr>
            <w:r>
              <w:t xml:space="preserve"> </w:t>
            </w:r>
            <w:r w:rsidRPr="00E35F7D">
              <w:rPr>
                <w:color w:val="000000" w:themeColor="text1"/>
              </w:rPr>
              <w:t>82,662</w:t>
            </w:r>
          </w:p>
        </w:tc>
        <w:tc>
          <w:tcPr>
            <w:tcW w:w="719" w:type="pct"/>
            <w:shd w:val="clear" w:color="auto" w:fill="auto"/>
            <w:tcMar>
              <w:left w:w="115" w:type="dxa"/>
              <w:right w:w="115" w:type="dxa"/>
            </w:tcMar>
          </w:tcPr>
          <w:p w:rsidR="003260BC" w:rsidRPr="003260BC" w:rsidP="003260BC" w14:paraId="247CFFF0" w14:textId="24C8AA74">
            <w:pPr>
              <w:widowControl/>
              <w:autoSpaceDE/>
              <w:autoSpaceDN/>
              <w:adjustRightInd/>
              <w:jc w:val="center"/>
              <w:rPr>
                <w:color w:val="000000"/>
              </w:rPr>
            </w:pPr>
            <w:r>
              <w:t xml:space="preserve"> </w:t>
            </w:r>
            <w:r w:rsidRPr="5ECFBCA2">
              <w:rPr>
                <w:color w:val="000000" w:themeColor="text1"/>
              </w:rPr>
              <w:t>$</w:t>
            </w:r>
            <w:r w:rsidRPr="5ECFBCA2" w:rsidR="1E677B34">
              <w:rPr>
                <w:color w:val="000000" w:themeColor="text1"/>
              </w:rPr>
              <w:t>2</w:t>
            </w:r>
            <w:r w:rsidRPr="5ECFBCA2">
              <w:rPr>
                <w:color w:val="000000" w:themeColor="text1"/>
              </w:rPr>
              <w:t>,</w:t>
            </w:r>
            <w:r w:rsidRPr="5ECFBCA2" w:rsidR="58FCF8BA">
              <w:rPr>
                <w:color w:val="000000" w:themeColor="text1"/>
              </w:rPr>
              <w:t>373</w:t>
            </w:r>
            <w:r w:rsidRPr="5ECFBCA2">
              <w:rPr>
                <w:color w:val="000000" w:themeColor="text1"/>
              </w:rPr>
              <w:t>,</w:t>
            </w:r>
            <w:r w:rsidRPr="5ECFBCA2" w:rsidR="04B3E39D">
              <w:rPr>
                <w:color w:val="000000" w:themeColor="text1"/>
              </w:rPr>
              <w:t>511</w:t>
            </w:r>
            <w:r w:rsidRPr="5ECFBCA2">
              <w:rPr>
                <w:color w:val="000000" w:themeColor="text1"/>
              </w:rPr>
              <w:t xml:space="preserve"> </w:t>
            </w:r>
            <w:r>
              <w:t xml:space="preserve"> </w:t>
            </w:r>
          </w:p>
        </w:tc>
      </w:tr>
      <w:tr w14:paraId="3B231323"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260BC" w:rsidRPr="003260BC" w:rsidP="003260BC" w14:paraId="69A748AE" w14:textId="77777777">
            <w:pPr>
              <w:widowControl/>
              <w:autoSpaceDE/>
              <w:autoSpaceDN/>
              <w:adjustRightInd/>
              <w:jc w:val="center"/>
              <w:rPr>
                <w:color w:val="000000"/>
              </w:rPr>
            </w:pPr>
            <w:r w:rsidRPr="003260BC">
              <w:rPr>
                <w:color w:val="000000"/>
              </w:rPr>
              <w:t>3</w:t>
            </w:r>
          </w:p>
        </w:tc>
        <w:tc>
          <w:tcPr>
            <w:tcW w:w="722" w:type="pct"/>
            <w:shd w:val="clear" w:color="auto" w:fill="auto"/>
            <w:tcMar>
              <w:left w:w="115" w:type="dxa"/>
              <w:right w:w="115" w:type="dxa"/>
            </w:tcMar>
          </w:tcPr>
          <w:p w:rsidR="003260BC" w:rsidRPr="003260BC" w:rsidP="003260BC" w14:paraId="519C22D6" w14:textId="627B72C0">
            <w:pPr>
              <w:widowControl/>
              <w:autoSpaceDE/>
              <w:autoSpaceDN/>
              <w:adjustRightInd/>
              <w:jc w:val="center"/>
              <w:rPr>
                <w:color w:val="000000"/>
              </w:rPr>
            </w:pPr>
            <w:r w:rsidRPr="003260BC">
              <w:t>249</w:t>
            </w:r>
          </w:p>
        </w:tc>
        <w:tc>
          <w:tcPr>
            <w:tcW w:w="721" w:type="pct"/>
            <w:shd w:val="clear" w:color="auto" w:fill="auto"/>
            <w:tcMar>
              <w:left w:w="115" w:type="dxa"/>
              <w:right w:w="115" w:type="dxa"/>
            </w:tcMar>
          </w:tcPr>
          <w:p w:rsidR="003260BC" w:rsidRPr="00300FFD" w:rsidP="003260BC" w14:paraId="6DF14D99" w14:textId="5CA7F5B1">
            <w:pPr>
              <w:widowControl/>
              <w:autoSpaceDE/>
              <w:autoSpaceDN/>
              <w:adjustRightInd/>
              <w:jc w:val="center"/>
              <w:rPr>
                <w:color w:val="000000"/>
              </w:rPr>
            </w:pPr>
            <w:r>
              <w:t xml:space="preserve"> </w:t>
            </w:r>
            <w:r w:rsidRPr="00E35F7D">
              <w:rPr>
                <w:color w:val="000000" w:themeColor="text1"/>
              </w:rPr>
              <w:t>10,082</w:t>
            </w:r>
          </w:p>
        </w:tc>
        <w:tc>
          <w:tcPr>
            <w:tcW w:w="811" w:type="pct"/>
            <w:shd w:val="clear" w:color="auto" w:fill="auto"/>
            <w:tcMar>
              <w:left w:w="115" w:type="dxa"/>
              <w:right w:w="115" w:type="dxa"/>
            </w:tcMar>
          </w:tcPr>
          <w:p w:rsidR="003260BC" w:rsidRPr="00300FFD" w:rsidP="5ECFBCA2" w14:paraId="5D3AC8F6" w14:textId="7FFC9345">
            <w:pPr>
              <w:widowControl/>
              <w:spacing w:line="259" w:lineRule="auto"/>
              <w:jc w:val="center"/>
            </w:pPr>
            <w:r w:rsidRPr="5ECFBCA2">
              <w:rPr>
                <w:color w:val="000000" w:themeColor="text1"/>
              </w:rPr>
              <w:t>2,510,530</w:t>
            </w:r>
          </w:p>
        </w:tc>
        <w:tc>
          <w:tcPr>
            <w:tcW w:w="604" w:type="pct"/>
            <w:shd w:val="clear" w:color="auto" w:fill="auto"/>
            <w:tcMar>
              <w:left w:w="115" w:type="dxa"/>
              <w:right w:w="115" w:type="dxa"/>
            </w:tcMar>
          </w:tcPr>
          <w:p w:rsidR="003260BC" w:rsidRPr="003260BC" w:rsidP="003260BC" w14:paraId="333C723D" w14:textId="0CF8CE8A">
            <w:pPr>
              <w:widowControl/>
              <w:autoSpaceDE/>
              <w:autoSpaceDN/>
              <w:adjustRightInd/>
              <w:jc w:val="center"/>
              <w:rPr>
                <w:color w:val="000000"/>
              </w:rPr>
            </w:pPr>
            <w:r w:rsidRPr="003260BC">
              <w:t>0.033</w:t>
            </w:r>
          </w:p>
        </w:tc>
        <w:tc>
          <w:tcPr>
            <w:tcW w:w="703" w:type="pct"/>
            <w:shd w:val="clear" w:color="auto" w:fill="auto"/>
            <w:tcMar>
              <w:left w:w="115" w:type="dxa"/>
              <w:right w:w="115" w:type="dxa"/>
            </w:tcMar>
          </w:tcPr>
          <w:p w:rsidR="003260BC" w:rsidRPr="003260BC" w:rsidP="003260BC" w14:paraId="30F76514" w14:textId="5EDE6B87">
            <w:pPr>
              <w:widowControl/>
              <w:autoSpaceDE/>
              <w:autoSpaceDN/>
              <w:adjustRightInd/>
              <w:jc w:val="center"/>
              <w:rPr>
                <w:color w:val="000000"/>
              </w:rPr>
            </w:pPr>
            <w:r>
              <w:t xml:space="preserve"> </w:t>
            </w:r>
            <w:r w:rsidRPr="00E35F7D">
              <w:rPr>
                <w:color w:val="000000" w:themeColor="text1"/>
              </w:rPr>
              <w:t>82,847</w:t>
            </w:r>
          </w:p>
        </w:tc>
        <w:tc>
          <w:tcPr>
            <w:tcW w:w="719" w:type="pct"/>
            <w:shd w:val="clear" w:color="auto" w:fill="auto"/>
            <w:tcMar>
              <w:left w:w="115" w:type="dxa"/>
              <w:right w:w="115" w:type="dxa"/>
            </w:tcMar>
          </w:tcPr>
          <w:p w:rsidR="003260BC" w:rsidRPr="003260BC" w:rsidP="003260BC" w14:paraId="1DED7EB8" w14:textId="2303FAC2">
            <w:pPr>
              <w:widowControl/>
              <w:autoSpaceDE/>
              <w:autoSpaceDN/>
              <w:adjustRightInd/>
              <w:jc w:val="center"/>
            </w:pPr>
            <w:r>
              <w:t xml:space="preserve"> </w:t>
            </w:r>
            <w:r w:rsidRPr="5ECFBCA2">
              <w:rPr>
                <w:color w:val="000000" w:themeColor="text1"/>
              </w:rPr>
              <w:t>$</w:t>
            </w:r>
            <w:r w:rsidRPr="5ECFBCA2" w:rsidR="7406E1AB">
              <w:rPr>
                <w:color w:val="000000" w:themeColor="text1"/>
              </w:rPr>
              <w:t>2</w:t>
            </w:r>
            <w:r w:rsidRPr="5ECFBCA2">
              <w:rPr>
                <w:color w:val="000000" w:themeColor="text1"/>
              </w:rPr>
              <w:t>,</w:t>
            </w:r>
            <w:r w:rsidRPr="5ECFBCA2" w:rsidR="4FDDB758">
              <w:rPr>
                <w:color w:val="000000" w:themeColor="text1"/>
              </w:rPr>
              <w:t>378</w:t>
            </w:r>
            <w:r w:rsidRPr="5ECFBCA2">
              <w:rPr>
                <w:color w:val="000000" w:themeColor="text1"/>
              </w:rPr>
              <w:t>,</w:t>
            </w:r>
            <w:r w:rsidRPr="5ECFBCA2" w:rsidR="192ACE2A">
              <w:rPr>
                <w:color w:val="000000" w:themeColor="text1"/>
              </w:rPr>
              <w:t>828</w:t>
            </w:r>
          </w:p>
        </w:tc>
      </w:tr>
      <w:tr w14:paraId="110263AD"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260BC" w:rsidRPr="003260BC" w:rsidP="003260BC" w14:paraId="4BA20BB1" w14:textId="77777777">
            <w:pPr>
              <w:widowControl/>
              <w:autoSpaceDE/>
              <w:autoSpaceDN/>
              <w:adjustRightInd/>
              <w:jc w:val="center"/>
              <w:rPr>
                <w:color w:val="000000"/>
              </w:rPr>
            </w:pPr>
            <w:r w:rsidRPr="003260BC">
              <w:rPr>
                <w:color w:val="000000"/>
              </w:rPr>
              <w:t>Total</w:t>
            </w:r>
          </w:p>
        </w:tc>
        <w:tc>
          <w:tcPr>
            <w:tcW w:w="722" w:type="pct"/>
            <w:shd w:val="clear" w:color="auto" w:fill="auto"/>
            <w:tcMar>
              <w:left w:w="115" w:type="dxa"/>
              <w:right w:w="115" w:type="dxa"/>
            </w:tcMar>
          </w:tcPr>
          <w:p w:rsidR="003260BC" w:rsidRPr="003260BC" w:rsidP="003260BC" w14:paraId="22A7674F" w14:textId="7B7EC8BC">
            <w:pPr>
              <w:widowControl/>
              <w:autoSpaceDE/>
              <w:autoSpaceDN/>
              <w:adjustRightInd/>
              <w:jc w:val="center"/>
              <w:rPr>
                <w:color w:val="000000"/>
              </w:rPr>
            </w:pPr>
            <w:r w:rsidRPr="003260BC">
              <w:t>747</w:t>
            </w:r>
          </w:p>
        </w:tc>
        <w:tc>
          <w:tcPr>
            <w:tcW w:w="721" w:type="pct"/>
            <w:shd w:val="clear" w:color="auto" w:fill="auto"/>
            <w:tcMar>
              <w:left w:w="115" w:type="dxa"/>
              <w:right w:w="115" w:type="dxa"/>
            </w:tcMar>
          </w:tcPr>
          <w:p w:rsidR="003260BC" w:rsidRPr="003260BC" w:rsidP="003260BC" w14:paraId="0B330BA8" w14:textId="49E7C391">
            <w:pPr>
              <w:widowControl/>
              <w:autoSpaceDE/>
              <w:autoSpaceDN/>
              <w:adjustRightInd/>
              <w:jc w:val="center"/>
              <w:rPr>
                <w:color w:val="000000"/>
              </w:rPr>
            </w:pPr>
            <w:r w:rsidRPr="003260BC">
              <w:t>-</w:t>
            </w:r>
          </w:p>
        </w:tc>
        <w:tc>
          <w:tcPr>
            <w:tcW w:w="811" w:type="pct"/>
            <w:shd w:val="clear" w:color="auto" w:fill="auto"/>
            <w:tcMar>
              <w:left w:w="115" w:type="dxa"/>
              <w:right w:w="115" w:type="dxa"/>
            </w:tcMar>
          </w:tcPr>
          <w:p w:rsidR="003260BC" w:rsidRPr="003260BC" w:rsidP="003260BC" w14:paraId="4052EA39" w14:textId="6921B05D">
            <w:pPr>
              <w:widowControl/>
              <w:autoSpaceDE/>
              <w:autoSpaceDN/>
              <w:adjustRightInd/>
              <w:jc w:val="center"/>
              <w:rPr>
                <w:color w:val="000000"/>
              </w:rPr>
            </w:pPr>
            <w:r>
              <w:t xml:space="preserve"> </w:t>
            </w:r>
            <w:r w:rsidRPr="00E35F7D">
              <w:rPr>
                <w:color w:val="000000" w:themeColor="text1"/>
              </w:rPr>
              <w:t>7,514,769</w:t>
            </w:r>
          </w:p>
        </w:tc>
        <w:tc>
          <w:tcPr>
            <w:tcW w:w="604" w:type="pct"/>
            <w:shd w:val="clear" w:color="auto" w:fill="auto"/>
            <w:tcMar>
              <w:left w:w="115" w:type="dxa"/>
              <w:right w:w="115" w:type="dxa"/>
            </w:tcMar>
          </w:tcPr>
          <w:p w:rsidR="003260BC" w:rsidRPr="003260BC" w:rsidP="003260BC" w14:paraId="47F05D68" w14:textId="361649F5">
            <w:pPr>
              <w:widowControl/>
              <w:autoSpaceDE/>
              <w:autoSpaceDN/>
              <w:adjustRightInd/>
              <w:jc w:val="center"/>
              <w:rPr>
                <w:color w:val="000000"/>
              </w:rPr>
            </w:pPr>
            <w:r w:rsidRPr="003260BC">
              <w:t>-</w:t>
            </w:r>
          </w:p>
        </w:tc>
        <w:tc>
          <w:tcPr>
            <w:tcW w:w="703" w:type="pct"/>
            <w:shd w:val="clear" w:color="auto" w:fill="auto"/>
            <w:tcMar>
              <w:left w:w="115" w:type="dxa"/>
              <w:right w:w="115" w:type="dxa"/>
            </w:tcMar>
          </w:tcPr>
          <w:p w:rsidR="003260BC" w:rsidRPr="003260BC" w:rsidP="003260BC" w14:paraId="6B3C2A4F" w14:textId="4C77BCD8">
            <w:pPr>
              <w:widowControl/>
              <w:autoSpaceDE/>
              <w:autoSpaceDN/>
              <w:adjustRightInd/>
              <w:jc w:val="center"/>
              <w:rPr>
                <w:color w:val="000000"/>
              </w:rPr>
            </w:pPr>
            <w:r>
              <w:t xml:space="preserve"> </w:t>
            </w:r>
            <w:r w:rsidRPr="00E35F7D">
              <w:rPr>
                <w:color w:val="000000" w:themeColor="text1"/>
              </w:rPr>
              <w:t>247,987</w:t>
            </w:r>
          </w:p>
        </w:tc>
        <w:tc>
          <w:tcPr>
            <w:tcW w:w="719" w:type="pct"/>
            <w:shd w:val="clear" w:color="auto" w:fill="auto"/>
            <w:tcMar>
              <w:left w:w="115" w:type="dxa"/>
              <w:right w:w="115" w:type="dxa"/>
            </w:tcMar>
          </w:tcPr>
          <w:p w:rsidR="003260BC" w:rsidRPr="003260BC" w:rsidP="003260BC" w14:paraId="7E2FF622" w14:textId="1A767495">
            <w:pPr>
              <w:widowControl/>
              <w:autoSpaceDE/>
              <w:autoSpaceDN/>
              <w:adjustRightInd/>
              <w:jc w:val="center"/>
              <w:rPr>
                <w:color w:val="000000"/>
              </w:rPr>
            </w:pPr>
            <w:r>
              <w:t xml:space="preserve"> </w:t>
            </w:r>
            <w:r w:rsidRPr="5ECFBCA2" w:rsidR="77FF1591">
              <w:rPr>
                <w:color w:val="000000" w:themeColor="text1"/>
              </w:rPr>
              <w:t>$</w:t>
            </w:r>
            <w:r w:rsidRPr="5ECFBCA2" w:rsidR="1CEE61D1">
              <w:rPr>
                <w:color w:val="000000" w:themeColor="text1"/>
              </w:rPr>
              <w:t>7</w:t>
            </w:r>
            <w:r w:rsidRPr="5ECFBCA2" w:rsidR="77FF1591">
              <w:rPr>
                <w:color w:val="000000" w:themeColor="text1"/>
              </w:rPr>
              <w:t>,</w:t>
            </w:r>
            <w:r w:rsidRPr="5ECFBCA2" w:rsidR="2CBC689A">
              <w:rPr>
                <w:color w:val="000000" w:themeColor="text1"/>
              </w:rPr>
              <w:t>120</w:t>
            </w:r>
            <w:r w:rsidRPr="5ECFBCA2" w:rsidR="77FF1591">
              <w:rPr>
                <w:color w:val="000000" w:themeColor="text1"/>
              </w:rPr>
              <w:t>,5</w:t>
            </w:r>
            <w:r w:rsidRPr="5ECFBCA2" w:rsidR="322048B6">
              <w:rPr>
                <w:color w:val="000000" w:themeColor="text1"/>
              </w:rPr>
              <w:t>44</w:t>
            </w:r>
          </w:p>
        </w:tc>
      </w:tr>
      <w:tr w14:paraId="6D9A9B99"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3260BC" w:rsidRPr="003260BC" w:rsidP="003260BC" w14:paraId="23B697ED" w14:textId="77777777">
            <w:pPr>
              <w:widowControl/>
              <w:autoSpaceDE/>
              <w:autoSpaceDN/>
              <w:adjustRightInd/>
              <w:jc w:val="center"/>
              <w:rPr>
                <w:color w:val="000000"/>
              </w:rPr>
            </w:pPr>
            <w:r w:rsidRPr="003260BC">
              <w:rPr>
                <w:color w:val="000000"/>
              </w:rPr>
              <w:t>Annualized</w:t>
            </w:r>
          </w:p>
        </w:tc>
        <w:tc>
          <w:tcPr>
            <w:tcW w:w="722" w:type="pct"/>
            <w:shd w:val="clear" w:color="auto" w:fill="auto"/>
            <w:tcMar>
              <w:left w:w="115" w:type="dxa"/>
              <w:right w:w="115" w:type="dxa"/>
            </w:tcMar>
          </w:tcPr>
          <w:p w:rsidR="003260BC" w:rsidRPr="003260BC" w:rsidP="003260BC" w14:paraId="2EEF1BCA" w14:textId="14637605">
            <w:pPr>
              <w:widowControl/>
              <w:autoSpaceDE/>
              <w:autoSpaceDN/>
              <w:adjustRightInd/>
              <w:jc w:val="center"/>
              <w:rPr>
                <w:color w:val="000000"/>
              </w:rPr>
            </w:pPr>
            <w:r w:rsidRPr="003260BC">
              <w:t>249</w:t>
            </w:r>
          </w:p>
        </w:tc>
        <w:tc>
          <w:tcPr>
            <w:tcW w:w="721" w:type="pct"/>
            <w:shd w:val="clear" w:color="auto" w:fill="auto"/>
            <w:tcMar>
              <w:left w:w="115" w:type="dxa"/>
              <w:right w:w="115" w:type="dxa"/>
            </w:tcMar>
          </w:tcPr>
          <w:p w:rsidR="003260BC" w:rsidRPr="003260BC" w:rsidP="003260BC" w14:paraId="2609F32B" w14:textId="46B368BF">
            <w:pPr>
              <w:widowControl/>
              <w:autoSpaceDE/>
              <w:autoSpaceDN/>
              <w:adjustRightInd/>
              <w:jc w:val="center"/>
              <w:rPr>
                <w:color w:val="000000"/>
              </w:rPr>
            </w:pPr>
            <w:r w:rsidRPr="003260BC">
              <w:t>-</w:t>
            </w:r>
          </w:p>
        </w:tc>
        <w:tc>
          <w:tcPr>
            <w:tcW w:w="811" w:type="pct"/>
            <w:shd w:val="clear" w:color="auto" w:fill="auto"/>
            <w:tcMar>
              <w:left w:w="115" w:type="dxa"/>
              <w:right w:w="115" w:type="dxa"/>
            </w:tcMar>
          </w:tcPr>
          <w:p w:rsidR="003260BC" w:rsidRPr="003260BC" w:rsidP="003260BC" w14:paraId="66C289D7" w14:textId="681434CC">
            <w:pPr>
              <w:widowControl/>
              <w:autoSpaceDE/>
              <w:autoSpaceDN/>
              <w:adjustRightInd/>
              <w:jc w:val="center"/>
              <w:rPr>
                <w:color w:val="000000"/>
              </w:rPr>
            </w:pPr>
            <w:r>
              <w:t xml:space="preserve"> </w:t>
            </w:r>
            <w:r w:rsidRPr="00E35F7D">
              <w:rPr>
                <w:color w:val="000000" w:themeColor="text1"/>
              </w:rPr>
              <w:t>2,504,923</w:t>
            </w:r>
          </w:p>
        </w:tc>
        <w:tc>
          <w:tcPr>
            <w:tcW w:w="604" w:type="pct"/>
            <w:shd w:val="clear" w:color="auto" w:fill="auto"/>
            <w:tcMar>
              <w:left w:w="115" w:type="dxa"/>
              <w:right w:w="115" w:type="dxa"/>
            </w:tcMar>
          </w:tcPr>
          <w:p w:rsidR="003260BC" w:rsidRPr="003260BC" w:rsidP="003260BC" w14:paraId="502EF969" w14:textId="2DB0378A">
            <w:pPr>
              <w:widowControl/>
              <w:autoSpaceDE/>
              <w:autoSpaceDN/>
              <w:adjustRightInd/>
              <w:jc w:val="center"/>
              <w:rPr>
                <w:color w:val="000000"/>
              </w:rPr>
            </w:pPr>
            <w:r w:rsidRPr="003260BC">
              <w:t>-</w:t>
            </w:r>
          </w:p>
        </w:tc>
        <w:tc>
          <w:tcPr>
            <w:tcW w:w="703" w:type="pct"/>
            <w:shd w:val="clear" w:color="auto" w:fill="auto"/>
            <w:tcMar>
              <w:left w:w="115" w:type="dxa"/>
              <w:right w:w="115" w:type="dxa"/>
            </w:tcMar>
          </w:tcPr>
          <w:p w:rsidR="003260BC" w:rsidRPr="003260BC" w:rsidP="003260BC" w14:paraId="35231819" w14:textId="6A3A5471">
            <w:pPr>
              <w:widowControl/>
              <w:autoSpaceDE/>
              <w:autoSpaceDN/>
              <w:adjustRightInd/>
              <w:jc w:val="center"/>
              <w:rPr>
                <w:color w:val="000000"/>
              </w:rPr>
            </w:pPr>
            <w:r>
              <w:t xml:space="preserve"> </w:t>
            </w:r>
            <w:r w:rsidRPr="00E35F7D">
              <w:rPr>
                <w:color w:val="000000" w:themeColor="text1"/>
              </w:rPr>
              <w:t>82,662</w:t>
            </w:r>
          </w:p>
        </w:tc>
        <w:tc>
          <w:tcPr>
            <w:tcW w:w="719" w:type="pct"/>
            <w:shd w:val="clear" w:color="auto" w:fill="auto"/>
            <w:tcMar>
              <w:left w:w="115" w:type="dxa"/>
              <w:right w:w="115" w:type="dxa"/>
            </w:tcMar>
          </w:tcPr>
          <w:p w:rsidR="003260BC" w:rsidRPr="003260BC" w:rsidP="003260BC" w14:paraId="1E604097" w14:textId="799A9070">
            <w:pPr>
              <w:widowControl/>
              <w:autoSpaceDE/>
              <w:autoSpaceDN/>
              <w:adjustRightInd/>
              <w:jc w:val="center"/>
              <w:rPr>
                <w:color w:val="000000"/>
              </w:rPr>
            </w:pPr>
            <w:r>
              <w:t xml:space="preserve"> </w:t>
            </w:r>
            <w:r w:rsidRPr="5ECFBCA2" w:rsidR="77FF1591">
              <w:rPr>
                <w:color w:val="000000" w:themeColor="text1"/>
              </w:rPr>
              <w:t>$</w:t>
            </w:r>
            <w:r w:rsidRPr="5ECFBCA2" w:rsidR="39C617F8">
              <w:rPr>
                <w:color w:val="000000" w:themeColor="text1"/>
              </w:rPr>
              <w:t>2</w:t>
            </w:r>
            <w:r w:rsidRPr="5ECFBCA2" w:rsidR="77FF1591">
              <w:rPr>
                <w:color w:val="000000" w:themeColor="text1"/>
              </w:rPr>
              <w:t>,</w:t>
            </w:r>
            <w:r w:rsidRPr="5ECFBCA2" w:rsidR="379891B0">
              <w:rPr>
                <w:color w:val="000000" w:themeColor="text1"/>
              </w:rPr>
              <w:t>373</w:t>
            </w:r>
            <w:r w:rsidRPr="5ECFBCA2" w:rsidR="77FF1591">
              <w:rPr>
                <w:color w:val="000000" w:themeColor="text1"/>
              </w:rPr>
              <w:t>,</w:t>
            </w:r>
            <w:r w:rsidRPr="5ECFBCA2" w:rsidR="6CE553A5">
              <w:rPr>
                <w:color w:val="000000" w:themeColor="text1"/>
              </w:rPr>
              <w:t>515</w:t>
            </w:r>
          </w:p>
        </w:tc>
      </w:tr>
    </w:tbl>
    <w:p w:rsidR="00FA4698" w:rsidRPr="007E65CF" w:rsidP="00722B85" w14:paraId="5D847B4F" w14:textId="77777777">
      <w:pPr>
        <w:widowControl/>
        <w:rPr>
          <w:sz w:val="18"/>
          <w:szCs w:val="18"/>
        </w:rPr>
      </w:pPr>
      <w:r>
        <w:rPr>
          <w:sz w:val="18"/>
          <w:szCs w:val="18"/>
        </w:rPr>
        <w:t>Totals are the product of unrounded components</w:t>
      </w:r>
      <w:r w:rsidRPr="007E65CF">
        <w:rPr>
          <w:sz w:val="18"/>
          <w:szCs w:val="18"/>
        </w:rPr>
        <w:t>.</w:t>
      </w:r>
    </w:p>
    <w:p w:rsidR="00A10F00" w:rsidRPr="003260BC" w:rsidP="00722B85" w14:paraId="5F502601" w14:textId="77777777">
      <w:pPr>
        <w:widowControl/>
      </w:pPr>
    </w:p>
    <w:p w:rsidR="00B136E1" w:rsidP="00722B85" w14:paraId="20CEE415" w14:textId="6D02733D">
      <w:pPr>
        <w:widowControl/>
      </w:pPr>
      <w:r>
        <w:t xml:space="preserve">The currently approved total burden for State recording of medical examiner’s certificate information is </w:t>
      </w:r>
      <w:r w:rsidR="0F4CBF31">
        <w:t>90,202</w:t>
      </w:r>
      <w:r>
        <w:t xml:space="preserve"> hours.  The new total of </w:t>
      </w:r>
      <w:r w:rsidR="15030D24">
        <w:t>82,662</w:t>
      </w:r>
      <w:r>
        <w:t xml:space="preserve"> represents </w:t>
      </w:r>
      <w:r w:rsidR="65D2ED28">
        <w:t>a decrease</w:t>
      </w:r>
      <w:r>
        <w:t xml:space="preserve"> of </w:t>
      </w:r>
      <w:r w:rsidR="2CBFE4D9">
        <w:t>7,540</w:t>
      </w:r>
      <w:r w:rsidR="00A10F00">
        <w:t xml:space="preserve"> hours due to </w:t>
      </w:r>
      <w:r w:rsidR="355FAF16">
        <w:t>a decrease</w:t>
      </w:r>
      <w:r>
        <w:t xml:space="preserve"> in the estimated number of active CDL drivers, a result of the availability of more accurate and recent data.</w:t>
      </w:r>
    </w:p>
    <w:p w:rsidR="00B136E1" w:rsidP="00722B85" w14:paraId="3C10CCCD" w14:textId="77777777">
      <w:pPr>
        <w:widowControl/>
        <w:rPr>
          <w:b/>
        </w:rPr>
      </w:pPr>
    </w:p>
    <w:p w:rsidR="00DA3D8F" w:rsidRPr="00DA3D8F" w:rsidP="00722B85" w14:paraId="6B8D9FC6" w14:textId="77777777">
      <w:pPr>
        <w:widowControl/>
        <w:rPr>
          <w:b/>
        </w:rPr>
      </w:pPr>
      <w:r w:rsidRPr="00DA3D8F">
        <w:rPr>
          <w:b/>
        </w:rPr>
        <w:t>IC-</w:t>
      </w:r>
      <w:r w:rsidR="00BB721B">
        <w:rPr>
          <w:b/>
        </w:rPr>
        <w:t>2.2 State recording of the self-c</w:t>
      </w:r>
      <w:r w:rsidRPr="00DA3D8F">
        <w:rPr>
          <w:b/>
        </w:rPr>
        <w:t xml:space="preserve">ertification of CMV </w:t>
      </w:r>
      <w:r w:rsidR="00507493">
        <w:rPr>
          <w:b/>
        </w:rPr>
        <w:t>o</w:t>
      </w:r>
      <w:r w:rsidRPr="00DA3D8F">
        <w:rPr>
          <w:b/>
        </w:rPr>
        <w:t>peration</w:t>
      </w:r>
      <w:r w:rsidR="00A63A64">
        <w:rPr>
          <w:b/>
        </w:rPr>
        <w:t xml:space="preserve"> </w:t>
      </w:r>
      <w:r w:rsidRPr="00A63A64" w:rsidR="00A63A64">
        <w:rPr>
          <w:b/>
        </w:rPr>
        <w:t>[49 CFR 383.71(a)]</w:t>
      </w:r>
    </w:p>
    <w:p w:rsidR="00BB721B" w:rsidP="00722B85" w14:paraId="33375DD3" w14:textId="77777777">
      <w:pPr>
        <w:widowControl/>
      </w:pPr>
      <w:r w:rsidRPr="002D708E">
        <w:t xml:space="preserve">All CDL holders </w:t>
      </w:r>
      <w:r>
        <w:t xml:space="preserve">must </w:t>
      </w:r>
      <w:r w:rsidRPr="002D708E">
        <w:t>have their self-certification of CMV operation information recorded on their CDLIS driver record as either “non-excepted inter</w:t>
      </w:r>
      <w:r>
        <w:t>state,” “excepted interstate,” “</w:t>
      </w:r>
      <w:r w:rsidRPr="002D708E">
        <w:t>non-excepted intrastate</w:t>
      </w:r>
      <w:r>
        <w:t>,</w:t>
      </w:r>
      <w:r w:rsidRPr="002D708E">
        <w:t>” or “excepted intrastate.”  Only CDL holders subject to part 391 (non-excepted, interstate drivers) [49 CFR 383.71(h)] would be required to submit a medical examiner’s certificate to th</w:t>
      </w:r>
      <w:r>
        <w:t>e State driver licensing agency</w:t>
      </w:r>
      <w:r w:rsidRPr="002D708E">
        <w:t>.</w:t>
      </w:r>
      <w:r>
        <w:t xml:space="preserve">  </w:t>
      </w:r>
      <w:r w:rsidRPr="00BB721B">
        <w:t>To estimate burden hour and burden costs associated with this task, the Agency relies on the assumptions and statistics outline</w:t>
      </w:r>
      <w:r w:rsidR="00F24468">
        <w:t>d</w:t>
      </w:r>
      <w:r w:rsidRPr="00BB721B">
        <w:t xml:space="preserve"> above as well as the following</w:t>
      </w:r>
      <w:r w:rsidRPr="00F94A52" w:rsidR="00F94A52">
        <w:t xml:space="preserve"> </w:t>
      </w:r>
      <w:r w:rsidR="00F94A52">
        <w:t>assumptions</w:t>
      </w:r>
      <w:r w:rsidRPr="00BB721B">
        <w:t>:</w:t>
      </w:r>
    </w:p>
    <w:p w:rsidR="003C3790" w:rsidP="00722B85" w14:paraId="6E173AE5" w14:textId="77777777">
      <w:pPr>
        <w:widowControl/>
        <w:numPr>
          <w:ilvl w:val="0"/>
          <w:numId w:val="15"/>
        </w:numPr>
      </w:pPr>
      <w:r>
        <w:t>On average, CDL drivers will self-certify every 5 years.</w:t>
      </w:r>
    </w:p>
    <w:p w:rsidR="00BB721B" w:rsidP="00722B85" w14:paraId="0C3B5BD4" w14:textId="41FE6457">
      <w:pPr>
        <w:widowControl/>
        <w:numPr>
          <w:ilvl w:val="0"/>
          <w:numId w:val="15"/>
        </w:numPr>
      </w:pPr>
      <w:r>
        <w:t>It takes approximately 5 seconds (0.</w:t>
      </w:r>
      <w:r w:rsidR="00EB415C">
        <w:t>001</w:t>
      </w:r>
      <w:r>
        <w:t xml:space="preserve"> hours</w:t>
      </w:r>
      <w:r w:rsidR="00EB415C">
        <w:t xml:space="preserve">) for </w:t>
      </w:r>
      <w:r w:rsidR="00635504">
        <w:t xml:space="preserve">an </w:t>
      </w:r>
      <w:r>
        <w:t>SDLA to record the medical certification status information on the CDLIS driver record.</w:t>
      </w:r>
    </w:p>
    <w:p w:rsidR="00BB721B" w:rsidP="00722B85" w14:paraId="5C3E9893" w14:textId="23BBC1A5">
      <w:pPr>
        <w:widowControl/>
        <w:numPr>
          <w:ilvl w:val="0"/>
          <w:numId w:val="15"/>
        </w:numPr>
      </w:pPr>
      <w:r>
        <w:t xml:space="preserve">An SDLA employee equivalent to an </w:t>
      </w:r>
      <w:r w:rsidR="54250A9B">
        <w:t>Office Clerk (SOC Code 43-9061</w:t>
      </w:r>
      <w:r>
        <w:t>) will perform this task a</w:t>
      </w:r>
      <w:r w:rsidR="00EB415C">
        <w:t>t a loaded hourly wage of $</w:t>
      </w:r>
      <w:r w:rsidR="243ADB45">
        <w:t>28</w:t>
      </w:r>
      <w:r w:rsidR="062FF330">
        <w:t>.</w:t>
      </w:r>
      <w:r w:rsidR="4242C074">
        <w:t>71</w:t>
      </w:r>
      <w:r w:rsidR="00A63A64">
        <w:t>.</w:t>
      </w:r>
    </w:p>
    <w:p w:rsidR="00E65156" w:rsidRPr="00E65156" w:rsidP="00722B85" w14:paraId="687020F5" w14:textId="77777777">
      <w:pPr>
        <w:widowControl/>
        <w:numPr>
          <w:ilvl w:val="0"/>
          <w:numId w:val="15"/>
        </w:numPr>
      </w:pPr>
      <w:r>
        <w:t>An estimated 249 SDLA employees from the 50 States and the District of Columbia undertake this task.</w:t>
      </w:r>
    </w:p>
    <w:p w:rsidR="00BB721B" w:rsidP="00722B85" w14:paraId="30AD43E0" w14:textId="77777777">
      <w:pPr>
        <w:widowControl/>
      </w:pPr>
    </w:p>
    <w:p w:rsidR="009D4362" w:rsidP="00722B85" w14:paraId="10CE779E" w14:textId="60171CFE">
      <w:pPr>
        <w:widowControl/>
      </w:pPr>
      <w:r>
        <w:t>During</w:t>
      </w:r>
      <w:r w:rsidR="00A10F00">
        <w:t xml:space="preserve"> the first year of this ICR, a </w:t>
      </w:r>
      <w:r w:rsidR="00A10F00">
        <w:t>S</w:t>
      </w:r>
      <w:r>
        <w:t>tate</w:t>
      </w:r>
      <w:r>
        <w:t xml:space="preserve"> </w:t>
      </w:r>
      <w:r w:rsidR="00A10F00">
        <w:t>employee</w:t>
      </w:r>
      <w:r>
        <w:t xml:space="preserve"> will </w:t>
      </w:r>
      <w:r w:rsidR="00A63A64">
        <w:t>record self-certifications</w:t>
      </w:r>
      <w:r>
        <w:t xml:space="preserve"> for 2,</w:t>
      </w:r>
      <w:r w:rsidR="7412B40B">
        <w:t>150,898</w:t>
      </w:r>
      <w:r>
        <w:t xml:space="preserve"> new CDL drivers and existing drivers</w:t>
      </w:r>
      <w:r w:rsidR="00D642B8">
        <w:t xml:space="preserve">, </w:t>
      </w:r>
      <w:r>
        <w:t>resulting in 2,</w:t>
      </w:r>
      <w:r w:rsidR="0C968994">
        <w:t>150,898</w:t>
      </w:r>
      <w:r>
        <w:t xml:space="preserve"> responses and 2,</w:t>
      </w:r>
      <w:r w:rsidR="06B42552">
        <w:t>987</w:t>
      </w:r>
      <w:r>
        <w:t xml:space="preserve"> burden hours</w:t>
      </w:r>
      <w:r w:rsidR="00295067">
        <w:t>,</w:t>
      </w:r>
      <w:r>
        <w:t xml:space="preserve"> at a cost of $</w:t>
      </w:r>
      <w:r w:rsidR="4D4B2561">
        <w:t>85</w:t>
      </w:r>
      <w:r w:rsidR="7474D64D">
        <w:t>,</w:t>
      </w:r>
      <w:r w:rsidR="1F125F1F">
        <w:t>777</w:t>
      </w:r>
      <w:r>
        <w:t>.</w:t>
      </w:r>
    </w:p>
    <w:p w:rsidR="009D4362" w:rsidP="00722B85" w14:paraId="469E91EB" w14:textId="4C50B9A4">
      <w:pPr>
        <w:widowControl/>
      </w:pPr>
    </w:p>
    <w:p w:rsidR="00BB721B" w:rsidP="00722B85" w14:paraId="3F778353" w14:textId="2E96E580">
      <w:pPr>
        <w:widowControl/>
      </w:pPr>
      <w:r>
        <w:t>Annualized, IC-2.2 results in approximately 2,</w:t>
      </w:r>
      <w:r w:rsidR="660697EA">
        <w:t>155,719</w:t>
      </w:r>
      <w:r>
        <w:t xml:space="preserve"> responses totaling 2,</w:t>
      </w:r>
      <w:r w:rsidR="1E44E6B8">
        <w:t>994</w:t>
      </w:r>
      <w:r>
        <w:t xml:space="preserve"> burden hours at a cost of $</w:t>
      </w:r>
      <w:r w:rsidR="6E747231">
        <w:t>85</w:t>
      </w:r>
      <w:r w:rsidR="11019C32">
        <w:t>,</w:t>
      </w:r>
      <w:r w:rsidR="575FBB1D">
        <w:t>969</w:t>
      </w:r>
      <w:r>
        <w:t xml:space="preserve"> (</w:t>
      </w:r>
      <w:r>
        <w:fldChar w:fldCharType="begin"/>
      </w:r>
      <w:r>
        <w:instrText xml:space="preserve"> REF _Ref508543683 \h  \* MERGEFORMAT </w:instrText>
      </w:r>
      <w:r>
        <w:fldChar w:fldCharType="separate"/>
      </w:r>
      <w:r w:rsidR="006A6CBC">
        <w:t xml:space="preserve">Table </w:t>
      </w:r>
      <w:r w:rsidRPr="5ECFBCA2" w:rsidR="006A6CBC">
        <w:rPr>
          <w:noProof/>
        </w:rPr>
        <w:t>12</w:t>
      </w:r>
      <w:r>
        <w:fldChar w:fldCharType="end"/>
      </w:r>
      <w:r>
        <w:t>).</w:t>
      </w:r>
    </w:p>
    <w:p w:rsidR="00BB721B" w:rsidP="00722B85" w14:paraId="66F5DDD8" w14:textId="77777777">
      <w:pPr>
        <w:widowControl/>
      </w:pPr>
    </w:p>
    <w:p w:rsidR="00BB721B" w:rsidRPr="00D64E77" w:rsidP="00722B85" w14:paraId="014C8762" w14:textId="0B5250AA">
      <w:pPr>
        <w:pStyle w:val="Caption"/>
        <w:keepNext/>
        <w:widowControl/>
      </w:pPr>
      <w:bookmarkStart w:id="23" w:name="_Ref508543683"/>
      <w:r>
        <w:t xml:space="preserve">Table </w:t>
      </w:r>
      <w:r>
        <w:fldChar w:fldCharType="begin"/>
      </w:r>
      <w:r>
        <w:instrText>SEQ Table \* ARABIC</w:instrText>
      </w:r>
      <w:r>
        <w:fldChar w:fldCharType="separate"/>
      </w:r>
      <w:r w:rsidRPr="5ECFBCA2" w:rsidR="006A6CBC">
        <w:rPr>
          <w:noProof/>
        </w:rPr>
        <w:t>12</w:t>
      </w:r>
      <w:r>
        <w:fldChar w:fldCharType="end"/>
      </w:r>
      <w:bookmarkEnd w:id="23"/>
      <w:r>
        <w:t xml:space="preserve">. State </w:t>
      </w:r>
      <w:r w:rsidR="002D66E6">
        <w:t xml:space="preserve">Recording of the Self-Certification of </w:t>
      </w:r>
      <w:r>
        <w:t>CMV Operation (IC-2.2)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4"/>
        <w:gridCol w:w="1350"/>
        <w:gridCol w:w="1260"/>
        <w:gridCol w:w="1229"/>
        <w:gridCol w:w="1472"/>
        <w:gridCol w:w="1350"/>
        <w:gridCol w:w="1345"/>
      </w:tblGrid>
      <w:tr w14:paraId="1B411479"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050"/>
        </w:trPr>
        <w:tc>
          <w:tcPr>
            <w:tcW w:w="719" w:type="pct"/>
            <w:shd w:val="clear" w:color="auto" w:fill="E0E0E0"/>
            <w:tcMar>
              <w:left w:w="0" w:type="dxa"/>
              <w:right w:w="0" w:type="dxa"/>
            </w:tcMar>
            <w:vAlign w:val="bottom"/>
            <w:hideMark/>
          </w:tcPr>
          <w:p w:rsidR="00BB721B" w:rsidRPr="00BB721B" w:rsidP="00BB721B" w14:paraId="6FF25AE5" w14:textId="77777777">
            <w:pPr>
              <w:widowControl/>
              <w:autoSpaceDE/>
              <w:autoSpaceDN/>
              <w:adjustRightInd/>
              <w:jc w:val="center"/>
              <w:rPr>
                <w:b/>
                <w:bCs/>
                <w:color w:val="000000"/>
              </w:rPr>
            </w:pPr>
            <w:r w:rsidRPr="00BB721B">
              <w:rPr>
                <w:b/>
                <w:bCs/>
                <w:color w:val="000000"/>
              </w:rPr>
              <w:t>Year</w:t>
            </w:r>
          </w:p>
        </w:tc>
        <w:tc>
          <w:tcPr>
            <w:tcW w:w="722" w:type="pct"/>
            <w:shd w:val="clear" w:color="auto" w:fill="E0E0E0"/>
            <w:tcMar>
              <w:left w:w="0" w:type="dxa"/>
              <w:right w:w="0" w:type="dxa"/>
            </w:tcMar>
            <w:vAlign w:val="bottom"/>
            <w:hideMark/>
          </w:tcPr>
          <w:p w:rsidR="00BB721B" w:rsidRPr="00BB721B" w:rsidP="00BB721B" w14:paraId="3F95E80C" w14:textId="77777777">
            <w:pPr>
              <w:widowControl/>
              <w:autoSpaceDE/>
              <w:autoSpaceDN/>
              <w:adjustRightInd/>
              <w:jc w:val="center"/>
              <w:rPr>
                <w:b/>
                <w:bCs/>
                <w:color w:val="000000"/>
              </w:rPr>
            </w:pPr>
            <w:r w:rsidRPr="00BB721B">
              <w:rPr>
                <w:b/>
                <w:bCs/>
                <w:color w:val="000000"/>
              </w:rPr>
              <w:t>Number of Respondents</w:t>
            </w:r>
            <w:r w:rsidRPr="00BB721B">
              <w:rPr>
                <w:b/>
                <w:bCs/>
                <w:color w:val="000000"/>
              </w:rPr>
              <w:br/>
              <w:t>(a)</w:t>
            </w:r>
          </w:p>
        </w:tc>
        <w:tc>
          <w:tcPr>
            <w:tcW w:w="674" w:type="pct"/>
            <w:shd w:val="clear" w:color="auto" w:fill="E0E0E0"/>
            <w:tcMar>
              <w:left w:w="0" w:type="dxa"/>
              <w:right w:w="0" w:type="dxa"/>
            </w:tcMar>
            <w:vAlign w:val="bottom"/>
            <w:hideMark/>
          </w:tcPr>
          <w:p w:rsidR="00BB721B" w:rsidRPr="00BB721B" w:rsidP="00BB721B" w14:paraId="74F3E61A" w14:textId="77777777">
            <w:pPr>
              <w:widowControl/>
              <w:autoSpaceDE/>
              <w:autoSpaceDN/>
              <w:adjustRightInd/>
              <w:jc w:val="center"/>
              <w:rPr>
                <w:b/>
                <w:bCs/>
                <w:color w:val="000000"/>
              </w:rPr>
            </w:pPr>
            <w:r>
              <w:rPr>
                <w:b/>
                <w:bCs/>
                <w:color w:val="000000"/>
              </w:rPr>
              <w:t xml:space="preserve">Average </w:t>
            </w:r>
            <w:r w:rsidRPr="00BB721B">
              <w:rPr>
                <w:b/>
                <w:bCs/>
                <w:color w:val="000000"/>
              </w:rPr>
              <w:t>Responses per Respondent</w:t>
            </w:r>
            <w:r w:rsidRPr="00BB721B">
              <w:rPr>
                <w:b/>
                <w:bCs/>
                <w:color w:val="000000"/>
              </w:rPr>
              <w:br/>
              <w:t>(b)</w:t>
            </w:r>
          </w:p>
        </w:tc>
        <w:tc>
          <w:tcPr>
            <w:tcW w:w="657" w:type="pct"/>
            <w:shd w:val="clear" w:color="auto" w:fill="E0E0E0"/>
            <w:tcMar>
              <w:left w:w="0" w:type="dxa"/>
              <w:right w:w="0" w:type="dxa"/>
            </w:tcMar>
            <w:vAlign w:val="bottom"/>
            <w:hideMark/>
          </w:tcPr>
          <w:p w:rsidR="00BB721B" w:rsidRPr="00BB721B" w:rsidP="00BB721B" w14:paraId="4BCF7A2A" w14:textId="77777777">
            <w:pPr>
              <w:widowControl/>
              <w:autoSpaceDE/>
              <w:autoSpaceDN/>
              <w:adjustRightInd/>
              <w:jc w:val="center"/>
              <w:rPr>
                <w:b/>
                <w:bCs/>
                <w:color w:val="000000"/>
              </w:rPr>
            </w:pPr>
            <w:r w:rsidRPr="00BB721B">
              <w:rPr>
                <w:b/>
                <w:bCs/>
                <w:color w:val="000000"/>
              </w:rPr>
              <w:t>Total Annual Responses</w:t>
            </w:r>
            <w:r w:rsidRPr="00BB721B">
              <w:rPr>
                <w:b/>
                <w:bCs/>
                <w:color w:val="000000"/>
              </w:rPr>
              <w:br/>
              <w:t>(a × b = c)</w:t>
            </w:r>
          </w:p>
        </w:tc>
        <w:tc>
          <w:tcPr>
            <w:tcW w:w="787" w:type="pct"/>
            <w:shd w:val="clear" w:color="auto" w:fill="E0E0E0"/>
            <w:tcMar>
              <w:left w:w="0" w:type="dxa"/>
              <w:right w:w="0" w:type="dxa"/>
            </w:tcMar>
            <w:vAlign w:val="bottom"/>
            <w:hideMark/>
          </w:tcPr>
          <w:p w:rsidR="00BB721B" w:rsidRPr="00BB721B" w:rsidP="00BB721B" w14:paraId="718E8DDF" w14:textId="77777777">
            <w:pPr>
              <w:widowControl/>
              <w:autoSpaceDE/>
              <w:autoSpaceDN/>
              <w:adjustRightInd/>
              <w:jc w:val="center"/>
              <w:rPr>
                <w:b/>
                <w:bCs/>
                <w:color w:val="000000"/>
              </w:rPr>
            </w:pPr>
            <w:r w:rsidRPr="00BB721B">
              <w:rPr>
                <w:b/>
                <w:bCs/>
                <w:color w:val="000000"/>
              </w:rPr>
              <w:t>Burden Hours per Response</w:t>
            </w:r>
            <w:r w:rsidRPr="00BB721B">
              <w:rPr>
                <w:b/>
                <w:bCs/>
                <w:color w:val="000000"/>
              </w:rPr>
              <w:br/>
              <w:t>(d)</w:t>
            </w:r>
          </w:p>
        </w:tc>
        <w:tc>
          <w:tcPr>
            <w:tcW w:w="722" w:type="pct"/>
            <w:shd w:val="clear" w:color="auto" w:fill="E0E0E0"/>
            <w:tcMar>
              <w:left w:w="0" w:type="dxa"/>
              <w:right w:w="0" w:type="dxa"/>
            </w:tcMar>
            <w:vAlign w:val="bottom"/>
            <w:hideMark/>
          </w:tcPr>
          <w:p w:rsidR="00BB721B" w:rsidRPr="00BB721B" w:rsidP="00BB721B" w14:paraId="04E5A471" w14:textId="77777777">
            <w:pPr>
              <w:widowControl/>
              <w:autoSpaceDE/>
              <w:autoSpaceDN/>
              <w:adjustRightInd/>
              <w:jc w:val="center"/>
              <w:rPr>
                <w:b/>
                <w:bCs/>
                <w:color w:val="000000"/>
              </w:rPr>
            </w:pPr>
            <w:r w:rsidRPr="00BB721B">
              <w:rPr>
                <w:b/>
                <w:bCs/>
                <w:color w:val="000000"/>
              </w:rPr>
              <w:t>Total Annual Burden Hours</w:t>
            </w:r>
            <w:r w:rsidRPr="00BB721B">
              <w:rPr>
                <w:b/>
                <w:bCs/>
                <w:color w:val="000000"/>
              </w:rPr>
              <w:br/>
              <w:t>(c × d = e)</w:t>
            </w:r>
          </w:p>
        </w:tc>
        <w:tc>
          <w:tcPr>
            <w:tcW w:w="719" w:type="pct"/>
            <w:shd w:val="clear" w:color="auto" w:fill="E0E0E0"/>
            <w:tcMar>
              <w:left w:w="0" w:type="dxa"/>
              <w:right w:w="0" w:type="dxa"/>
            </w:tcMar>
            <w:vAlign w:val="bottom"/>
            <w:hideMark/>
          </w:tcPr>
          <w:p w:rsidR="00BB721B" w:rsidRPr="00D52C1D" w:rsidP="15A85529" w14:paraId="78E24369" w14:textId="427EE0A9">
            <w:pPr>
              <w:widowControl/>
              <w:autoSpaceDE/>
              <w:autoSpaceDN/>
              <w:adjustRightInd/>
              <w:jc w:val="center"/>
              <w:rPr>
                <w:b/>
                <w:bCs/>
                <w:color w:val="000000"/>
              </w:rPr>
            </w:pPr>
            <w:r w:rsidRPr="5ECFBCA2">
              <w:rPr>
                <w:b/>
                <w:bCs/>
                <w:color w:val="000000" w:themeColor="text1"/>
              </w:rPr>
              <w:t>Total An</w:t>
            </w:r>
            <w:r w:rsidRPr="5ECFBCA2" w:rsidR="00EB415C">
              <w:rPr>
                <w:b/>
                <w:bCs/>
                <w:color w:val="000000" w:themeColor="text1"/>
              </w:rPr>
              <w:t>nual Respondent Cost</w:t>
            </w:r>
            <w:r>
              <w:br/>
            </w:r>
            <w:r w:rsidRPr="5ECFBCA2" w:rsidR="00EB415C">
              <w:rPr>
                <w:b/>
                <w:bCs/>
                <w:color w:val="000000" w:themeColor="text1"/>
              </w:rPr>
              <w:t>(e × $</w:t>
            </w:r>
            <w:r w:rsidRPr="5ECFBCA2" w:rsidR="4CB4AA7E">
              <w:rPr>
                <w:b/>
                <w:bCs/>
                <w:color w:val="000000" w:themeColor="text1"/>
              </w:rPr>
              <w:t>28.71</w:t>
            </w:r>
            <w:r w:rsidRPr="5ECFBCA2">
              <w:rPr>
                <w:b/>
                <w:bCs/>
                <w:color w:val="000000" w:themeColor="text1"/>
              </w:rPr>
              <w:t xml:space="preserve"> = f)</w:t>
            </w:r>
          </w:p>
        </w:tc>
      </w:tr>
      <w:tr w14:paraId="7ED29806"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260BC" w:rsidRPr="00BB721B" w:rsidP="003260BC" w14:paraId="2ABB2D37" w14:textId="77777777">
            <w:pPr>
              <w:widowControl/>
              <w:autoSpaceDE/>
              <w:autoSpaceDN/>
              <w:adjustRightInd/>
              <w:jc w:val="center"/>
              <w:rPr>
                <w:color w:val="000000"/>
              </w:rPr>
            </w:pPr>
            <w:r w:rsidRPr="00BB721B">
              <w:rPr>
                <w:color w:val="000000"/>
              </w:rPr>
              <w:t>1</w:t>
            </w:r>
          </w:p>
        </w:tc>
        <w:tc>
          <w:tcPr>
            <w:tcW w:w="722" w:type="pct"/>
            <w:shd w:val="clear" w:color="auto" w:fill="auto"/>
            <w:tcMar>
              <w:left w:w="115" w:type="dxa"/>
              <w:right w:w="115" w:type="dxa"/>
            </w:tcMar>
            <w:vAlign w:val="center"/>
          </w:tcPr>
          <w:p w:rsidR="003260BC" w:rsidRPr="00300FFD" w:rsidP="003260BC" w14:paraId="69C266DA" w14:textId="376B0B71">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3260BC" w:rsidRPr="00300FFD" w:rsidP="003260BC" w14:paraId="61F0AB29" w14:textId="5B7B9187">
            <w:pPr>
              <w:widowControl/>
              <w:autoSpaceDE/>
              <w:autoSpaceDN/>
              <w:adjustRightInd/>
              <w:jc w:val="center"/>
              <w:rPr>
                <w:color w:val="000000"/>
              </w:rPr>
            </w:pPr>
            <w:r>
              <w:rPr>
                <w:color w:val="000000"/>
              </w:rPr>
              <w:t xml:space="preserve"> </w:t>
            </w:r>
            <w:r w:rsidRPr="00E35F7D">
              <w:rPr>
                <w:color w:val="000000" w:themeColor="text1"/>
              </w:rPr>
              <w:t>8,638</w:t>
            </w:r>
          </w:p>
        </w:tc>
        <w:tc>
          <w:tcPr>
            <w:tcW w:w="657" w:type="pct"/>
            <w:shd w:val="clear" w:color="auto" w:fill="auto"/>
            <w:tcMar>
              <w:left w:w="115" w:type="dxa"/>
              <w:right w:w="115" w:type="dxa"/>
            </w:tcMar>
            <w:vAlign w:val="center"/>
          </w:tcPr>
          <w:p w:rsidR="003260BC" w:rsidRPr="00300FFD" w:rsidP="003260BC" w14:paraId="68E3284C" w14:textId="2E8ABCB7">
            <w:pPr>
              <w:widowControl/>
              <w:autoSpaceDE/>
              <w:autoSpaceDN/>
              <w:adjustRightInd/>
              <w:jc w:val="center"/>
              <w:rPr>
                <w:color w:val="000000"/>
              </w:rPr>
            </w:pPr>
            <w:r>
              <w:rPr>
                <w:color w:val="000000"/>
              </w:rPr>
              <w:t xml:space="preserve"> </w:t>
            </w:r>
            <w:r w:rsidRPr="00E35F7D">
              <w:rPr>
                <w:color w:val="000000" w:themeColor="text1"/>
              </w:rPr>
              <w:t>2,150,898</w:t>
            </w:r>
          </w:p>
        </w:tc>
        <w:tc>
          <w:tcPr>
            <w:tcW w:w="787" w:type="pct"/>
            <w:shd w:val="clear" w:color="auto" w:fill="auto"/>
            <w:tcMar>
              <w:left w:w="115" w:type="dxa"/>
              <w:right w:w="115" w:type="dxa"/>
            </w:tcMar>
            <w:vAlign w:val="center"/>
          </w:tcPr>
          <w:p w:rsidR="003260BC" w:rsidRPr="00300FFD" w:rsidP="003260BC" w14:paraId="6D8DD4BB" w14:textId="26A2B3D6">
            <w:pPr>
              <w:widowControl/>
              <w:autoSpaceDE/>
              <w:autoSpaceDN/>
              <w:adjustRightInd/>
              <w:jc w:val="center"/>
              <w:rPr>
                <w:color w:val="000000"/>
              </w:rPr>
            </w:pPr>
            <w:r w:rsidRPr="5ECFBCA2">
              <w:rPr>
                <w:color w:val="000000" w:themeColor="text1"/>
              </w:rPr>
              <w:t>0.001</w:t>
            </w:r>
          </w:p>
        </w:tc>
        <w:tc>
          <w:tcPr>
            <w:tcW w:w="722" w:type="pct"/>
            <w:shd w:val="clear" w:color="auto" w:fill="auto"/>
            <w:tcMar>
              <w:left w:w="115" w:type="dxa"/>
              <w:right w:w="115" w:type="dxa"/>
            </w:tcMar>
            <w:vAlign w:val="center"/>
          </w:tcPr>
          <w:p w:rsidR="003260BC" w:rsidRPr="00300FFD" w:rsidP="003260BC" w14:paraId="75270410" w14:textId="1B7675B3">
            <w:pPr>
              <w:widowControl/>
              <w:autoSpaceDE/>
              <w:autoSpaceDN/>
              <w:adjustRightInd/>
              <w:jc w:val="center"/>
              <w:rPr>
                <w:color w:val="000000"/>
              </w:rPr>
            </w:pPr>
            <w:r w:rsidRPr="15A85529">
              <w:rPr>
                <w:color w:val="000000" w:themeColor="text1"/>
              </w:rPr>
              <w:t xml:space="preserve"> 2,987</w:t>
            </w:r>
          </w:p>
        </w:tc>
        <w:tc>
          <w:tcPr>
            <w:tcW w:w="719" w:type="pct"/>
            <w:shd w:val="clear" w:color="auto" w:fill="auto"/>
            <w:tcMar>
              <w:left w:w="115" w:type="dxa"/>
              <w:right w:w="115" w:type="dxa"/>
            </w:tcMar>
            <w:vAlign w:val="center"/>
          </w:tcPr>
          <w:p w:rsidR="003260BC" w:rsidRPr="00300FFD" w:rsidP="5ECFBCA2" w14:paraId="74D3DD02" w14:textId="7D3B4314">
            <w:pPr>
              <w:widowControl/>
              <w:spacing w:line="259" w:lineRule="auto"/>
              <w:jc w:val="center"/>
            </w:pPr>
            <w:r w:rsidRPr="5ECFBCA2">
              <w:rPr>
                <w:color w:val="000000" w:themeColor="text1"/>
              </w:rPr>
              <w:t>$</w:t>
            </w:r>
            <w:r w:rsidRPr="5ECFBCA2" w:rsidR="71A78349">
              <w:rPr>
                <w:color w:val="000000" w:themeColor="text1"/>
              </w:rPr>
              <w:t>85,777</w:t>
            </w:r>
          </w:p>
        </w:tc>
      </w:tr>
      <w:tr w14:paraId="100E88CD"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260BC" w:rsidRPr="00BB721B" w:rsidP="003260BC" w14:paraId="701F1995" w14:textId="77777777">
            <w:pPr>
              <w:widowControl/>
              <w:autoSpaceDE/>
              <w:autoSpaceDN/>
              <w:adjustRightInd/>
              <w:jc w:val="center"/>
              <w:rPr>
                <w:color w:val="000000"/>
              </w:rPr>
            </w:pPr>
            <w:r w:rsidRPr="00BB721B">
              <w:rPr>
                <w:color w:val="000000"/>
              </w:rPr>
              <w:t>2</w:t>
            </w:r>
          </w:p>
        </w:tc>
        <w:tc>
          <w:tcPr>
            <w:tcW w:w="722" w:type="pct"/>
            <w:shd w:val="clear" w:color="auto" w:fill="auto"/>
            <w:tcMar>
              <w:left w:w="115" w:type="dxa"/>
              <w:right w:w="115" w:type="dxa"/>
            </w:tcMar>
            <w:vAlign w:val="center"/>
          </w:tcPr>
          <w:p w:rsidR="003260BC" w:rsidRPr="00300FFD" w:rsidP="003260BC" w14:paraId="74256F9F" w14:textId="0A5C10DA">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3260BC" w:rsidRPr="00300FFD" w:rsidP="003260BC" w14:paraId="5B3828C3" w14:textId="280FF706">
            <w:pPr>
              <w:widowControl/>
              <w:autoSpaceDE/>
              <w:autoSpaceDN/>
              <w:adjustRightInd/>
              <w:jc w:val="center"/>
              <w:rPr>
                <w:color w:val="000000"/>
              </w:rPr>
            </w:pPr>
            <w:r>
              <w:rPr>
                <w:color w:val="000000"/>
              </w:rPr>
              <w:t xml:space="preserve"> </w:t>
            </w:r>
            <w:r w:rsidRPr="00E35F7D">
              <w:rPr>
                <w:color w:val="000000" w:themeColor="text1"/>
              </w:rPr>
              <w:t>8,657</w:t>
            </w:r>
          </w:p>
        </w:tc>
        <w:tc>
          <w:tcPr>
            <w:tcW w:w="657" w:type="pct"/>
            <w:shd w:val="clear" w:color="auto" w:fill="auto"/>
            <w:tcMar>
              <w:left w:w="115" w:type="dxa"/>
              <w:right w:w="115" w:type="dxa"/>
            </w:tcMar>
            <w:vAlign w:val="center"/>
          </w:tcPr>
          <w:p w:rsidR="003260BC" w:rsidRPr="00300FFD" w:rsidP="003260BC" w14:paraId="1480A060" w14:textId="078479C0">
            <w:pPr>
              <w:widowControl/>
              <w:autoSpaceDE/>
              <w:autoSpaceDN/>
              <w:adjustRightInd/>
              <w:jc w:val="center"/>
              <w:rPr>
                <w:color w:val="000000"/>
              </w:rPr>
            </w:pPr>
            <w:r>
              <w:rPr>
                <w:color w:val="000000"/>
              </w:rPr>
              <w:t xml:space="preserve"> </w:t>
            </w:r>
            <w:r w:rsidRPr="00E35F7D">
              <w:rPr>
                <w:color w:val="000000" w:themeColor="text1"/>
              </w:rPr>
              <w:t>2,155,716</w:t>
            </w:r>
          </w:p>
        </w:tc>
        <w:tc>
          <w:tcPr>
            <w:tcW w:w="787" w:type="pct"/>
            <w:shd w:val="clear" w:color="auto" w:fill="auto"/>
            <w:tcMar>
              <w:left w:w="115" w:type="dxa"/>
              <w:right w:w="115" w:type="dxa"/>
            </w:tcMar>
            <w:vAlign w:val="center"/>
          </w:tcPr>
          <w:p w:rsidR="003260BC" w:rsidRPr="00300FFD" w:rsidP="003260BC" w14:paraId="25954D0E" w14:textId="0735D264">
            <w:pPr>
              <w:widowControl/>
              <w:autoSpaceDE/>
              <w:autoSpaceDN/>
              <w:adjustRightInd/>
              <w:jc w:val="center"/>
              <w:rPr>
                <w:color w:val="000000"/>
              </w:rPr>
            </w:pPr>
            <w:r w:rsidRPr="5ECFBCA2">
              <w:rPr>
                <w:color w:val="000000" w:themeColor="text1"/>
              </w:rPr>
              <w:t>0.001</w:t>
            </w:r>
          </w:p>
        </w:tc>
        <w:tc>
          <w:tcPr>
            <w:tcW w:w="722" w:type="pct"/>
            <w:shd w:val="clear" w:color="auto" w:fill="auto"/>
            <w:tcMar>
              <w:left w:w="115" w:type="dxa"/>
              <w:right w:w="115" w:type="dxa"/>
            </w:tcMar>
            <w:vAlign w:val="center"/>
          </w:tcPr>
          <w:p w:rsidR="003260BC" w:rsidRPr="00300FFD" w:rsidP="003260BC" w14:paraId="6BB9E52E" w14:textId="003F62B1">
            <w:pPr>
              <w:widowControl/>
              <w:autoSpaceDE/>
              <w:autoSpaceDN/>
              <w:adjustRightInd/>
              <w:jc w:val="center"/>
              <w:rPr>
                <w:color w:val="000000"/>
              </w:rPr>
            </w:pPr>
            <w:r>
              <w:rPr>
                <w:color w:val="000000"/>
              </w:rPr>
              <w:t xml:space="preserve"> </w:t>
            </w:r>
            <w:r w:rsidRPr="00E35F7D">
              <w:rPr>
                <w:color w:val="000000" w:themeColor="text1"/>
              </w:rPr>
              <w:t>2,994</w:t>
            </w:r>
          </w:p>
        </w:tc>
        <w:tc>
          <w:tcPr>
            <w:tcW w:w="719" w:type="pct"/>
            <w:shd w:val="clear" w:color="auto" w:fill="auto"/>
            <w:tcMar>
              <w:left w:w="115" w:type="dxa"/>
              <w:right w:w="115" w:type="dxa"/>
            </w:tcMar>
            <w:vAlign w:val="center"/>
          </w:tcPr>
          <w:p w:rsidR="003260BC" w:rsidRPr="00300FFD" w:rsidP="5ECFBCA2" w14:paraId="559A0068" w14:textId="24EB23CB">
            <w:pPr>
              <w:widowControl/>
              <w:spacing w:line="259" w:lineRule="auto"/>
              <w:jc w:val="center"/>
            </w:pPr>
            <w:r w:rsidRPr="5ECFBCA2">
              <w:rPr>
                <w:color w:val="000000" w:themeColor="text1"/>
              </w:rPr>
              <w:t>$</w:t>
            </w:r>
            <w:r w:rsidRPr="5ECFBCA2" w:rsidR="664EADDD">
              <w:rPr>
                <w:color w:val="000000" w:themeColor="text1"/>
              </w:rPr>
              <w:t>85,969</w:t>
            </w:r>
          </w:p>
        </w:tc>
      </w:tr>
      <w:tr w14:paraId="3E81BB7E"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260BC" w:rsidRPr="00BB721B" w:rsidP="003260BC" w14:paraId="18A2CCFC" w14:textId="77777777">
            <w:pPr>
              <w:widowControl/>
              <w:autoSpaceDE/>
              <w:autoSpaceDN/>
              <w:adjustRightInd/>
              <w:jc w:val="center"/>
              <w:rPr>
                <w:color w:val="000000"/>
              </w:rPr>
            </w:pPr>
            <w:r w:rsidRPr="00BB721B">
              <w:rPr>
                <w:color w:val="000000"/>
              </w:rPr>
              <w:t>3</w:t>
            </w:r>
          </w:p>
        </w:tc>
        <w:tc>
          <w:tcPr>
            <w:tcW w:w="722" w:type="pct"/>
            <w:shd w:val="clear" w:color="auto" w:fill="auto"/>
            <w:tcMar>
              <w:left w:w="115" w:type="dxa"/>
              <w:right w:w="115" w:type="dxa"/>
            </w:tcMar>
            <w:vAlign w:val="center"/>
          </w:tcPr>
          <w:p w:rsidR="003260BC" w:rsidRPr="00300FFD" w:rsidP="003260BC" w14:paraId="389E8EFA" w14:textId="500B34CB">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3260BC" w:rsidRPr="00300FFD" w:rsidP="003260BC" w14:paraId="35DFE5D6" w14:textId="64ED3740">
            <w:pPr>
              <w:widowControl/>
              <w:autoSpaceDE/>
              <w:autoSpaceDN/>
              <w:adjustRightInd/>
              <w:jc w:val="center"/>
              <w:rPr>
                <w:color w:val="000000"/>
              </w:rPr>
            </w:pPr>
            <w:r>
              <w:rPr>
                <w:color w:val="000000"/>
              </w:rPr>
              <w:t xml:space="preserve"> </w:t>
            </w:r>
            <w:r w:rsidRPr="00E35F7D">
              <w:rPr>
                <w:color w:val="000000" w:themeColor="text1"/>
              </w:rPr>
              <w:t>8,677</w:t>
            </w:r>
          </w:p>
        </w:tc>
        <w:tc>
          <w:tcPr>
            <w:tcW w:w="657" w:type="pct"/>
            <w:shd w:val="clear" w:color="auto" w:fill="auto"/>
            <w:tcMar>
              <w:left w:w="115" w:type="dxa"/>
              <w:right w:w="115" w:type="dxa"/>
            </w:tcMar>
            <w:vAlign w:val="center"/>
          </w:tcPr>
          <w:p w:rsidR="003260BC" w:rsidRPr="00300FFD" w:rsidP="003260BC" w14:paraId="6981147D" w14:textId="7B6D81E4">
            <w:pPr>
              <w:widowControl/>
              <w:autoSpaceDE/>
              <w:autoSpaceDN/>
              <w:adjustRightInd/>
              <w:jc w:val="center"/>
              <w:rPr>
                <w:color w:val="000000"/>
              </w:rPr>
            </w:pPr>
            <w:r>
              <w:rPr>
                <w:color w:val="000000"/>
              </w:rPr>
              <w:t xml:space="preserve"> </w:t>
            </w:r>
            <w:r w:rsidRPr="00E35F7D">
              <w:rPr>
                <w:color w:val="000000" w:themeColor="text1"/>
              </w:rPr>
              <w:t>2,160,545</w:t>
            </w:r>
          </w:p>
        </w:tc>
        <w:tc>
          <w:tcPr>
            <w:tcW w:w="787" w:type="pct"/>
            <w:shd w:val="clear" w:color="auto" w:fill="auto"/>
            <w:tcMar>
              <w:left w:w="115" w:type="dxa"/>
              <w:right w:w="115" w:type="dxa"/>
            </w:tcMar>
            <w:vAlign w:val="center"/>
          </w:tcPr>
          <w:p w:rsidR="003260BC" w:rsidRPr="00300FFD" w:rsidP="003260BC" w14:paraId="17FBDFC5" w14:textId="2C828A92">
            <w:pPr>
              <w:widowControl/>
              <w:autoSpaceDE/>
              <w:autoSpaceDN/>
              <w:adjustRightInd/>
              <w:jc w:val="center"/>
              <w:rPr>
                <w:color w:val="000000"/>
              </w:rPr>
            </w:pPr>
            <w:r w:rsidRPr="5ECFBCA2">
              <w:rPr>
                <w:color w:val="000000" w:themeColor="text1"/>
              </w:rPr>
              <w:t>0.001</w:t>
            </w:r>
          </w:p>
        </w:tc>
        <w:tc>
          <w:tcPr>
            <w:tcW w:w="722" w:type="pct"/>
            <w:shd w:val="clear" w:color="auto" w:fill="auto"/>
            <w:tcMar>
              <w:left w:w="115" w:type="dxa"/>
              <w:right w:w="115" w:type="dxa"/>
            </w:tcMar>
            <w:vAlign w:val="center"/>
          </w:tcPr>
          <w:p w:rsidR="003260BC" w:rsidRPr="00300FFD" w:rsidP="003260BC" w14:paraId="34C452AC" w14:textId="331CFA65">
            <w:pPr>
              <w:widowControl/>
              <w:autoSpaceDE/>
              <w:autoSpaceDN/>
              <w:adjustRightInd/>
              <w:jc w:val="center"/>
              <w:rPr>
                <w:color w:val="000000"/>
              </w:rPr>
            </w:pPr>
            <w:r>
              <w:rPr>
                <w:color w:val="000000"/>
              </w:rPr>
              <w:t xml:space="preserve"> </w:t>
            </w:r>
            <w:r w:rsidRPr="00E35F7D">
              <w:rPr>
                <w:color w:val="000000" w:themeColor="text1"/>
              </w:rPr>
              <w:t>3,001</w:t>
            </w:r>
          </w:p>
        </w:tc>
        <w:tc>
          <w:tcPr>
            <w:tcW w:w="719" w:type="pct"/>
            <w:shd w:val="clear" w:color="auto" w:fill="auto"/>
            <w:tcMar>
              <w:left w:w="115" w:type="dxa"/>
              <w:right w:w="115" w:type="dxa"/>
            </w:tcMar>
            <w:vAlign w:val="center"/>
          </w:tcPr>
          <w:p w:rsidR="003260BC" w:rsidRPr="00300FFD" w:rsidP="5ECFBCA2" w14:paraId="6AA45C9C" w14:textId="22053078">
            <w:pPr>
              <w:widowControl/>
              <w:spacing w:line="259" w:lineRule="auto"/>
              <w:jc w:val="center"/>
            </w:pPr>
            <w:r w:rsidRPr="5ECFBCA2">
              <w:rPr>
                <w:color w:val="000000" w:themeColor="text1"/>
              </w:rPr>
              <w:t>$</w:t>
            </w:r>
            <w:r w:rsidRPr="5ECFBCA2" w:rsidR="446FC77E">
              <w:rPr>
                <w:color w:val="000000" w:themeColor="text1"/>
              </w:rPr>
              <w:t>86,162</w:t>
            </w:r>
          </w:p>
        </w:tc>
      </w:tr>
      <w:tr w14:paraId="64C62FFC"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260BC" w:rsidRPr="00BB721B" w:rsidP="003260BC" w14:paraId="12029D0E" w14:textId="77777777">
            <w:pPr>
              <w:widowControl/>
              <w:autoSpaceDE/>
              <w:autoSpaceDN/>
              <w:adjustRightInd/>
              <w:jc w:val="center"/>
              <w:rPr>
                <w:color w:val="000000"/>
              </w:rPr>
            </w:pPr>
            <w:r w:rsidRPr="00BB721B">
              <w:rPr>
                <w:color w:val="000000"/>
              </w:rPr>
              <w:t>Total</w:t>
            </w:r>
          </w:p>
        </w:tc>
        <w:tc>
          <w:tcPr>
            <w:tcW w:w="722" w:type="pct"/>
            <w:shd w:val="clear" w:color="auto" w:fill="auto"/>
            <w:tcMar>
              <w:left w:w="115" w:type="dxa"/>
              <w:right w:w="115" w:type="dxa"/>
            </w:tcMar>
            <w:vAlign w:val="center"/>
          </w:tcPr>
          <w:p w:rsidR="003260BC" w:rsidRPr="00300FFD" w:rsidP="003260BC" w14:paraId="094FD21E" w14:textId="1FA5C2D5">
            <w:pPr>
              <w:widowControl/>
              <w:autoSpaceDE/>
              <w:autoSpaceDN/>
              <w:adjustRightInd/>
              <w:jc w:val="center"/>
              <w:rPr>
                <w:color w:val="000000"/>
              </w:rPr>
            </w:pPr>
            <w:r w:rsidRPr="00D64E77">
              <w:rPr>
                <w:color w:val="000000"/>
              </w:rPr>
              <w:t>747</w:t>
            </w:r>
          </w:p>
        </w:tc>
        <w:tc>
          <w:tcPr>
            <w:tcW w:w="674" w:type="pct"/>
            <w:shd w:val="clear" w:color="auto" w:fill="auto"/>
            <w:tcMar>
              <w:left w:w="115" w:type="dxa"/>
              <w:right w:w="115" w:type="dxa"/>
            </w:tcMar>
            <w:vAlign w:val="center"/>
          </w:tcPr>
          <w:p w:rsidR="003260BC" w:rsidRPr="00300FFD" w:rsidP="003260BC" w14:paraId="563C8CEF" w14:textId="35302FB5">
            <w:pPr>
              <w:widowControl/>
              <w:autoSpaceDE/>
              <w:autoSpaceDN/>
              <w:adjustRightInd/>
              <w:jc w:val="center"/>
              <w:rPr>
                <w:color w:val="000000"/>
              </w:rPr>
            </w:pPr>
            <w:r w:rsidRPr="00D64E77">
              <w:rPr>
                <w:color w:val="000000"/>
              </w:rPr>
              <w:t>-</w:t>
            </w:r>
          </w:p>
        </w:tc>
        <w:tc>
          <w:tcPr>
            <w:tcW w:w="657" w:type="pct"/>
            <w:shd w:val="clear" w:color="auto" w:fill="auto"/>
            <w:tcMar>
              <w:left w:w="115" w:type="dxa"/>
              <w:right w:w="115" w:type="dxa"/>
            </w:tcMar>
            <w:vAlign w:val="center"/>
          </w:tcPr>
          <w:p w:rsidR="003260BC" w:rsidRPr="00300FFD" w:rsidP="003260BC" w14:paraId="6BF783F7" w14:textId="26795AED">
            <w:pPr>
              <w:widowControl/>
              <w:autoSpaceDE/>
              <w:autoSpaceDN/>
              <w:adjustRightInd/>
              <w:jc w:val="center"/>
              <w:rPr>
                <w:color w:val="000000"/>
              </w:rPr>
            </w:pPr>
            <w:r w:rsidRPr="15A85529">
              <w:rPr>
                <w:color w:val="000000" w:themeColor="text1"/>
              </w:rPr>
              <w:t xml:space="preserve"> 6,467,158</w:t>
            </w:r>
          </w:p>
        </w:tc>
        <w:tc>
          <w:tcPr>
            <w:tcW w:w="787" w:type="pct"/>
            <w:shd w:val="clear" w:color="auto" w:fill="auto"/>
            <w:tcMar>
              <w:left w:w="115" w:type="dxa"/>
              <w:right w:w="115" w:type="dxa"/>
            </w:tcMar>
            <w:vAlign w:val="center"/>
          </w:tcPr>
          <w:p w:rsidR="003260BC" w:rsidRPr="00300FFD" w:rsidP="003260BC" w14:paraId="118E7E17" w14:textId="4F3AE87A">
            <w:pPr>
              <w:widowControl/>
              <w:autoSpaceDE/>
              <w:autoSpaceDN/>
              <w:adjustRightInd/>
              <w:jc w:val="center"/>
              <w:rPr>
                <w:color w:val="000000"/>
              </w:rPr>
            </w:pPr>
            <w:r w:rsidRPr="00D64E77">
              <w:rPr>
                <w:color w:val="000000"/>
              </w:rPr>
              <w:t>-</w:t>
            </w:r>
          </w:p>
        </w:tc>
        <w:tc>
          <w:tcPr>
            <w:tcW w:w="722" w:type="pct"/>
            <w:shd w:val="clear" w:color="auto" w:fill="auto"/>
            <w:tcMar>
              <w:left w:w="115" w:type="dxa"/>
              <w:right w:w="115" w:type="dxa"/>
            </w:tcMar>
            <w:vAlign w:val="center"/>
          </w:tcPr>
          <w:p w:rsidR="003260BC" w:rsidRPr="00300FFD" w:rsidP="003260BC" w14:paraId="2287E670" w14:textId="18A208BF">
            <w:pPr>
              <w:widowControl/>
              <w:autoSpaceDE/>
              <w:autoSpaceDN/>
              <w:adjustRightInd/>
              <w:jc w:val="center"/>
              <w:rPr>
                <w:color w:val="000000"/>
              </w:rPr>
            </w:pPr>
            <w:r>
              <w:rPr>
                <w:color w:val="000000"/>
              </w:rPr>
              <w:t xml:space="preserve"> </w:t>
            </w:r>
            <w:r w:rsidRPr="00E35F7D">
              <w:rPr>
                <w:color w:val="000000" w:themeColor="text1"/>
              </w:rPr>
              <w:t>8,982</w:t>
            </w:r>
          </w:p>
        </w:tc>
        <w:tc>
          <w:tcPr>
            <w:tcW w:w="719" w:type="pct"/>
            <w:shd w:val="clear" w:color="auto" w:fill="auto"/>
            <w:tcMar>
              <w:left w:w="115" w:type="dxa"/>
              <w:right w:w="115" w:type="dxa"/>
            </w:tcMar>
            <w:vAlign w:val="center"/>
          </w:tcPr>
          <w:p w:rsidR="003260BC" w:rsidRPr="00300FFD" w:rsidP="5ECFBCA2" w14:paraId="52A0255D" w14:textId="54A446DD">
            <w:pPr>
              <w:widowControl/>
              <w:spacing w:line="259" w:lineRule="auto"/>
              <w:jc w:val="center"/>
            </w:pPr>
            <w:r w:rsidRPr="5ECFBCA2">
              <w:rPr>
                <w:color w:val="000000" w:themeColor="text1"/>
              </w:rPr>
              <w:t>$</w:t>
            </w:r>
            <w:r w:rsidRPr="5ECFBCA2" w:rsidR="6CE9D8F8">
              <w:rPr>
                <w:color w:val="000000" w:themeColor="text1"/>
              </w:rPr>
              <w:t>257,908</w:t>
            </w:r>
          </w:p>
        </w:tc>
      </w:tr>
      <w:tr w14:paraId="088742D9"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260BC" w:rsidRPr="00BB721B" w:rsidP="003260BC" w14:paraId="222BB02A" w14:textId="77777777">
            <w:pPr>
              <w:widowControl/>
              <w:autoSpaceDE/>
              <w:autoSpaceDN/>
              <w:adjustRightInd/>
              <w:jc w:val="center"/>
              <w:rPr>
                <w:color w:val="000000"/>
              </w:rPr>
            </w:pPr>
            <w:r w:rsidRPr="00BB721B">
              <w:rPr>
                <w:color w:val="000000"/>
              </w:rPr>
              <w:t>Annualized</w:t>
            </w:r>
          </w:p>
        </w:tc>
        <w:tc>
          <w:tcPr>
            <w:tcW w:w="722" w:type="pct"/>
            <w:shd w:val="clear" w:color="auto" w:fill="auto"/>
            <w:tcMar>
              <w:left w:w="115" w:type="dxa"/>
              <w:right w:w="115" w:type="dxa"/>
            </w:tcMar>
            <w:vAlign w:val="center"/>
          </w:tcPr>
          <w:p w:rsidR="003260BC" w:rsidRPr="00300FFD" w:rsidP="003260BC" w14:paraId="0111F807" w14:textId="2ED38237">
            <w:pPr>
              <w:widowControl/>
              <w:autoSpaceDE/>
              <w:autoSpaceDN/>
              <w:adjustRightInd/>
              <w:jc w:val="center"/>
              <w:rPr>
                <w:color w:val="000000"/>
              </w:rPr>
            </w:pPr>
            <w:bookmarkStart w:id="24" w:name="_Hlk514354765"/>
            <w:r w:rsidRPr="00D64E77">
              <w:rPr>
                <w:color w:val="000000"/>
              </w:rPr>
              <w:t>249</w:t>
            </w:r>
            <w:bookmarkEnd w:id="24"/>
          </w:p>
        </w:tc>
        <w:tc>
          <w:tcPr>
            <w:tcW w:w="674" w:type="pct"/>
            <w:shd w:val="clear" w:color="auto" w:fill="auto"/>
            <w:tcMar>
              <w:left w:w="115" w:type="dxa"/>
              <w:right w:w="115" w:type="dxa"/>
            </w:tcMar>
            <w:vAlign w:val="center"/>
          </w:tcPr>
          <w:p w:rsidR="003260BC" w:rsidRPr="00300FFD" w:rsidP="003260BC" w14:paraId="2964E3EF" w14:textId="033754BF">
            <w:pPr>
              <w:widowControl/>
              <w:autoSpaceDE/>
              <w:autoSpaceDN/>
              <w:adjustRightInd/>
              <w:jc w:val="center"/>
              <w:rPr>
                <w:color w:val="000000"/>
              </w:rPr>
            </w:pPr>
            <w:r w:rsidRPr="00D64E77">
              <w:rPr>
                <w:color w:val="000000"/>
              </w:rPr>
              <w:t>-</w:t>
            </w:r>
          </w:p>
        </w:tc>
        <w:tc>
          <w:tcPr>
            <w:tcW w:w="657" w:type="pct"/>
            <w:shd w:val="clear" w:color="auto" w:fill="auto"/>
            <w:tcMar>
              <w:left w:w="115" w:type="dxa"/>
              <w:right w:w="115" w:type="dxa"/>
            </w:tcMar>
            <w:vAlign w:val="center"/>
          </w:tcPr>
          <w:p w:rsidR="003260BC" w:rsidRPr="00300FFD" w:rsidP="003260BC" w14:paraId="1E8914EE" w14:textId="0C7F8AD0">
            <w:pPr>
              <w:widowControl/>
              <w:autoSpaceDE/>
              <w:autoSpaceDN/>
              <w:adjustRightInd/>
              <w:jc w:val="center"/>
              <w:rPr>
                <w:color w:val="000000"/>
              </w:rPr>
            </w:pPr>
            <w:r>
              <w:rPr>
                <w:color w:val="000000"/>
              </w:rPr>
              <w:t xml:space="preserve"> </w:t>
            </w:r>
            <w:r w:rsidRPr="00E35F7D">
              <w:rPr>
                <w:color w:val="000000" w:themeColor="text1"/>
              </w:rPr>
              <w:t>2,155,719</w:t>
            </w:r>
          </w:p>
        </w:tc>
        <w:tc>
          <w:tcPr>
            <w:tcW w:w="787" w:type="pct"/>
            <w:shd w:val="clear" w:color="auto" w:fill="auto"/>
            <w:tcMar>
              <w:left w:w="115" w:type="dxa"/>
              <w:right w:w="115" w:type="dxa"/>
            </w:tcMar>
            <w:vAlign w:val="center"/>
          </w:tcPr>
          <w:p w:rsidR="003260BC" w:rsidRPr="00300FFD" w:rsidP="003260BC" w14:paraId="0BF4A9EC" w14:textId="2613F67F">
            <w:pPr>
              <w:widowControl/>
              <w:autoSpaceDE/>
              <w:autoSpaceDN/>
              <w:adjustRightInd/>
              <w:jc w:val="center"/>
              <w:rPr>
                <w:color w:val="000000"/>
              </w:rPr>
            </w:pPr>
            <w:r w:rsidRPr="00D64E77">
              <w:rPr>
                <w:color w:val="000000"/>
              </w:rPr>
              <w:t>-</w:t>
            </w:r>
          </w:p>
        </w:tc>
        <w:tc>
          <w:tcPr>
            <w:tcW w:w="722" w:type="pct"/>
            <w:shd w:val="clear" w:color="auto" w:fill="auto"/>
            <w:tcMar>
              <w:left w:w="115" w:type="dxa"/>
              <w:right w:w="115" w:type="dxa"/>
            </w:tcMar>
            <w:vAlign w:val="center"/>
          </w:tcPr>
          <w:p w:rsidR="003260BC" w:rsidRPr="00300FFD" w:rsidP="003260BC" w14:paraId="44276816" w14:textId="13FCF7D3">
            <w:pPr>
              <w:widowControl/>
              <w:autoSpaceDE/>
              <w:autoSpaceDN/>
              <w:adjustRightInd/>
              <w:jc w:val="center"/>
              <w:rPr>
                <w:color w:val="000000"/>
              </w:rPr>
            </w:pPr>
            <w:r>
              <w:rPr>
                <w:color w:val="000000"/>
              </w:rPr>
              <w:t xml:space="preserve"> </w:t>
            </w:r>
            <w:r w:rsidRPr="00E35F7D">
              <w:rPr>
                <w:color w:val="000000" w:themeColor="text1"/>
              </w:rPr>
              <w:t>2,994</w:t>
            </w:r>
          </w:p>
        </w:tc>
        <w:tc>
          <w:tcPr>
            <w:tcW w:w="719" w:type="pct"/>
            <w:shd w:val="clear" w:color="auto" w:fill="auto"/>
            <w:tcMar>
              <w:left w:w="115" w:type="dxa"/>
              <w:right w:w="115" w:type="dxa"/>
            </w:tcMar>
            <w:vAlign w:val="center"/>
          </w:tcPr>
          <w:p w:rsidR="003260BC" w:rsidRPr="00300FFD" w:rsidP="003260BC" w14:paraId="36D0EFAB" w14:textId="039F9CC8">
            <w:pPr>
              <w:widowControl/>
              <w:autoSpaceDE/>
              <w:autoSpaceDN/>
              <w:adjustRightInd/>
              <w:jc w:val="center"/>
              <w:rPr>
                <w:color w:val="000000"/>
              </w:rPr>
            </w:pPr>
            <w:r w:rsidRPr="5ECFBCA2">
              <w:rPr>
                <w:color w:val="000000" w:themeColor="text1"/>
              </w:rPr>
              <w:t xml:space="preserve"> $</w:t>
            </w:r>
            <w:r w:rsidRPr="5ECFBCA2" w:rsidR="43F072DC">
              <w:rPr>
                <w:color w:val="000000" w:themeColor="text1"/>
              </w:rPr>
              <w:t>85,969</w:t>
            </w:r>
          </w:p>
        </w:tc>
      </w:tr>
    </w:tbl>
    <w:p w:rsidR="00FA4698" w:rsidRPr="007E65CF" w:rsidP="00722B85" w14:paraId="4DCCC51C" w14:textId="77777777">
      <w:pPr>
        <w:widowControl/>
        <w:rPr>
          <w:sz w:val="18"/>
          <w:szCs w:val="18"/>
        </w:rPr>
      </w:pPr>
      <w:r>
        <w:rPr>
          <w:sz w:val="18"/>
          <w:szCs w:val="18"/>
        </w:rPr>
        <w:t>Totals are the product of unrounded components</w:t>
      </w:r>
      <w:r w:rsidRPr="007E65CF">
        <w:rPr>
          <w:sz w:val="18"/>
          <w:szCs w:val="18"/>
        </w:rPr>
        <w:t>.</w:t>
      </w:r>
    </w:p>
    <w:p w:rsidR="00BB721B" w:rsidP="00722B85" w14:paraId="481C3C7F" w14:textId="77777777">
      <w:pPr>
        <w:widowControl/>
      </w:pPr>
    </w:p>
    <w:p w:rsidR="00A63A64" w:rsidP="00722B85" w14:paraId="7E49C0C7" w14:textId="1F7B43B0">
      <w:pPr>
        <w:widowControl/>
      </w:pPr>
      <w:r>
        <w:t xml:space="preserve">The currently approved total burden for State recording of self-certifications is </w:t>
      </w:r>
      <w:r w:rsidR="757BC135">
        <w:t>2,987</w:t>
      </w:r>
      <w:r>
        <w:t xml:space="preserve"> hours.  The new total of 2,</w:t>
      </w:r>
      <w:r w:rsidR="41328D94">
        <w:t>994</w:t>
      </w:r>
      <w:r>
        <w:t xml:space="preserve"> represents </w:t>
      </w:r>
      <w:r w:rsidR="6F01C163">
        <w:t>an increase</w:t>
      </w:r>
      <w:r>
        <w:t xml:space="preserve"> of </w:t>
      </w:r>
      <w:r w:rsidR="3C3C3E82">
        <w:t>7</w:t>
      </w:r>
      <w:r>
        <w:t xml:space="preserve"> hours due to</w:t>
      </w:r>
      <w:r w:rsidR="00FC6CD6">
        <w:t xml:space="preserve"> </w:t>
      </w:r>
      <w:r w:rsidR="004F0082">
        <w:t xml:space="preserve">the </w:t>
      </w:r>
      <w:r w:rsidR="588A3F18">
        <w:t xml:space="preserve">increase </w:t>
      </w:r>
      <w:r w:rsidR="004F0082">
        <w:t>of the growth rate explained in</w:t>
      </w:r>
      <w:r w:rsidR="00FC6CD6">
        <w:t xml:space="preserve"> footnote (6) of</w:t>
      </w:r>
      <w:r w:rsidR="004F0082">
        <w:t xml:space="preserve"> IC</w:t>
      </w:r>
      <w:r w:rsidR="0094714E">
        <w:t>-</w:t>
      </w:r>
      <w:r w:rsidR="004F0082">
        <w:t xml:space="preserve">1. </w:t>
      </w:r>
    </w:p>
    <w:p w:rsidR="007B52ED" w:rsidRPr="005922ED" w:rsidP="00722B85" w14:paraId="6E75A107" w14:textId="77777777">
      <w:pPr>
        <w:widowControl/>
      </w:pPr>
    </w:p>
    <w:p w:rsidR="00BB721B" w:rsidRPr="00446553" w:rsidP="00722B85" w14:paraId="31AF8ACC" w14:textId="77777777">
      <w:pPr>
        <w:widowControl/>
        <w:rPr>
          <w:b/>
        </w:rPr>
      </w:pPr>
      <w:r w:rsidRPr="00446553">
        <w:rPr>
          <w:b/>
        </w:rPr>
        <w:t>IC-2.3 State verification of medical certification status</w:t>
      </w:r>
      <w:r w:rsidR="00DB06E6">
        <w:rPr>
          <w:b/>
        </w:rPr>
        <w:t xml:space="preserve"> </w:t>
      </w:r>
      <w:r w:rsidRPr="003E7BDB" w:rsidR="00DB06E6">
        <w:rPr>
          <w:b/>
          <w:bCs/>
        </w:rPr>
        <w:t>[49 CFR 383.73(a)-(d)]</w:t>
      </w:r>
    </w:p>
    <w:p w:rsidR="00446553" w:rsidP="00722B85" w14:paraId="366C7453" w14:textId="77777777">
      <w:pPr>
        <w:widowControl/>
      </w:pPr>
      <w:r>
        <w:t>States</w:t>
      </w:r>
      <w:r w:rsidR="003E22D7">
        <w:t xml:space="preserve"> must verify </w:t>
      </w:r>
      <w:r>
        <w:t xml:space="preserve">only </w:t>
      </w:r>
      <w:r w:rsidR="003E22D7">
        <w:t>medical certification status</w:t>
      </w:r>
      <w:r>
        <w:t xml:space="preserve"> </w:t>
      </w:r>
      <w:r w:rsidRPr="00446553">
        <w:t>information of CDL holders subject to part 391</w:t>
      </w:r>
      <w:r w:rsidR="00ED7C43">
        <w:t xml:space="preserve"> (active interstate CDL holders and transfer drivers)</w:t>
      </w:r>
      <w:r w:rsidRPr="00446553">
        <w:t xml:space="preserve"> </w:t>
      </w:r>
      <w:r w:rsidR="00242B56">
        <w:t xml:space="preserve">at the time of medical certification renewal </w:t>
      </w:r>
      <w:r w:rsidRPr="00446553">
        <w:t>because they are the only drivers required to be medically certified.</w:t>
      </w:r>
      <w:r>
        <w:t xml:space="preserve">  </w:t>
      </w:r>
      <w:r w:rsidRPr="00BB721B">
        <w:t>To estimate burden hour and burden costs associated with this task, the Agency relies on the assumptions and statistics outline</w:t>
      </w:r>
      <w:r w:rsidR="00511E15">
        <w:t>d</w:t>
      </w:r>
      <w:r w:rsidRPr="00BB721B">
        <w:t xml:space="preserve"> above as well as the following</w:t>
      </w:r>
      <w:r w:rsidRPr="00F94A52" w:rsidR="00F94A52">
        <w:t xml:space="preserve"> </w:t>
      </w:r>
      <w:r w:rsidR="00F94A52">
        <w:t>assumptions</w:t>
      </w:r>
      <w:r w:rsidRPr="00BB721B">
        <w:t>:</w:t>
      </w:r>
    </w:p>
    <w:p w:rsidR="00242B56" w:rsidRPr="005922ED" w:rsidP="00722B85" w14:paraId="79B7612D" w14:textId="77777777">
      <w:pPr>
        <w:widowControl/>
        <w:numPr>
          <w:ilvl w:val="0"/>
          <w:numId w:val="16"/>
        </w:numPr>
      </w:pPr>
      <w:r w:rsidRPr="005922ED">
        <w:t xml:space="preserve">Approximately 69% of interstate CDL holders </w:t>
      </w:r>
      <w:r>
        <w:t>will</w:t>
      </w:r>
      <w:r w:rsidRPr="005922ED">
        <w:t xml:space="preserve"> renew their medical certification every 2 years.</w:t>
      </w:r>
    </w:p>
    <w:p w:rsidR="00242B56" w:rsidP="00722B85" w14:paraId="0B17F110" w14:textId="77777777">
      <w:pPr>
        <w:widowControl/>
        <w:numPr>
          <w:ilvl w:val="0"/>
          <w:numId w:val="16"/>
        </w:numPr>
      </w:pPr>
      <w:r w:rsidRPr="005922ED">
        <w:t xml:space="preserve">Approximately 31% of interstate CDL holders </w:t>
      </w:r>
      <w:r>
        <w:t>will</w:t>
      </w:r>
      <w:r w:rsidRPr="005922ED">
        <w:t xml:space="preserve"> renew their medical certification every year as a condition of a medical variance (i.e., an exemption, Skill Performance Evaluation (SPE) certificate or pilot program) or their employer requires another examination.</w:t>
      </w:r>
    </w:p>
    <w:p w:rsidR="00ED7C43" w:rsidP="5ECFBCA2" w14:paraId="3087B414" w14:textId="4F36B7DC">
      <w:pPr>
        <w:widowControl/>
        <w:numPr>
          <w:ilvl w:val="0"/>
          <w:numId w:val="16"/>
        </w:numPr>
        <w:spacing w:line="259" w:lineRule="auto"/>
      </w:pPr>
      <w:r>
        <w:t xml:space="preserve">An SDLA employee equivalent to an </w:t>
      </w:r>
      <w:r w:rsidR="5B9B40A9">
        <w:t>Office Clerk</w:t>
      </w:r>
      <w:r>
        <w:t xml:space="preserve"> (</w:t>
      </w:r>
      <w:r w:rsidR="003A6741">
        <w:t xml:space="preserve">SOC </w:t>
      </w:r>
      <w:r>
        <w:t>Code 43-</w:t>
      </w:r>
      <w:r w:rsidR="2654F40F">
        <w:t>9061</w:t>
      </w:r>
      <w:r>
        <w:t>) will perform this task at a loaded hourly wage of $</w:t>
      </w:r>
      <w:r w:rsidR="6D462BD7">
        <w:t>38.00</w:t>
      </w:r>
      <w:r>
        <w:t>.</w:t>
      </w:r>
    </w:p>
    <w:p w:rsidR="00635504" w:rsidRPr="00635504" w:rsidP="00722B85" w14:paraId="61141EC2" w14:textId="77777777">
      <w:pPr>
        <w:widowControl/>
        <w:numPr>
          <w:ilvl w:val="0"/>
          <w:numId w:val="16"/>
        </w:numPr>
      </w:pPr>
      <w:r>
        <w:t>An estimated 249 SDLA employees from the 50 States and the District of Columbia undertake this task.</w:t>
      </w:r>
    </w:p>
    <w:p w:rsidR="00ED7C43" w:rsidP="00722B85" w14:paraId="5BECDADB" w14:textId="77777777">
      <w:pPr>
        <w:widowControl/>
        <w:numPr>
          <w:ilvl w:val="0"/>
          <w:numId w:val="16"/>
        </w:numPr>
      </w:pPr>
      <w:r>
        <w:t>I</w:t>
      </w:r>
      <w:r w:rsidRPr="00BB721B">
        <w:t xml:space="preserve">t </w:t>
      </w:r>
      <w:r>
        <w:t>takes approximately 5 seconds (0.</w:t>
      </w:r>
      <w:r w:rsidRPr="00EB415C">
        <w:t>001389</w:t>
      </w:r>
      <w:r>
        <w:t xml:space="preserve"> hours) for </w:t>
      </w:r>
      <w:r w:rsidR="00635504">
        <w:t xml:space="preserve">an </w:t>
      </w:r>
      <w:r w:rsidRPr="00BB721B">
        <w:t>SDLA to record the medical certification status information on the CDLIS driver record.</w:t>
      </w:r>
    </w:p>
    <w:p w:rsidR="003E22D7" w:rsidP="00722B85" w14:paraId="2894F05B" w14:textId="77777777">
      <w:pPr>
        <w:widowControl/>
      </w:pPr>
    </w:p>
    <w:p w:rsidR="00ED7C43" w:rsidP="5ECFBCA2" w14:paraId="74D5A301" w14:textId="04BDC4CC">
      <w:pPr>
        <w:widowControl/>
        <w:spacing w:line="259" w:lineRule="auto"/>
      </w:pPr>
      <w:r>
        <w:t xml:space="preserve">During the first year of this ICR, </w:t>
      </w:r>
      <w:r w:rsidR="00635504">
        <w:t>249</w:t>
      </w:r>
      <w:r>
        <w:t xml:space="preserve"> SDLA employee</w:t>
      </w:r>
      <w:r w:rsidR="00635504">
        <w:t>s</w:t>
      </w:r>
      <w:r>
        <w:t xml:space="preserve"> will record medical examiner’s certificate information for 3,</w:t>
      </w:r>
      <w:r w:rsidR="2BF350F8">
        <w:t>611,562</w:t>
      </w:r>
      <w:r w:rsidR="00635504">
        <w:t xml:space="preserve"> </w:t>
      </w:r>
      <w:r>
        <w:t>existing drivers and</w:t>
      </w:r>
      <w:r w:rsidR="00635504">
        <w:t xml:space="preserve"> </w:t>
      </w:r>
      <w:r>
        <w:t>transfer drivers, resulti</w:t>
      </w:r>
      <w:r w:rsidR="005D570E">
        <w:t xml:space="preserve">ng in </w:t>
      </w:r>
      <w:r>
        <w:t>3,</w:t>
      </w:r>
      <w:r w:rsidR="5026718A">
        <w:t>611,562</w:t>
      </w:r>
      <w:r>
        <w:t xml:space="preserve"> responses and 5,</w:t>
      </w:r>
      <w:r w:rsidR="75E5F614">
        <w:t>016</w:t>
      </w:r>
      <w:r>
        <w:t xml:space="preserve"> burden hours, at a cost of </w:t>
      </w:r>
      <w:r w:rsidR="005D570E">
        <w:t>$</w:t>
      </w:r>
      <w:r w:rsidR="57247D28">
        <w:t>144,028</w:t>
      </w:r>
      <w:r>
        <w:t>.</w:t>
      </w:r>
    </w:p>
    <w:p w:rsidR="005D570E" w:rsidP="00722B85" w14:paraId="42DB564C" w14:textId="77777777">
      <w:pPr>
        <w:widowControl/>
      </w:pPr>
    </w:p>
    <w:p w:rsidR="006B19EC" w:rsidP="00722B85" w14:paraId="392859DD" w14:textId="305D9B71">
      <w:pPr>
        <w:widowControl/>
      </w:pPr>
      <w:r>
        <w:t>Annualized, IC-2.3 results in approximately 3,</w:t>
      </w:r>
      <w:r w:rsidR="54DE2D42">
        <w:t>619,252</w:t>
      </w:r>
      <w:r>
        <w:t xml:space="preserve"> responses totaling 5,</w:t>
      </w:r>
      <w:r w:rsidR="24F66727">
        <w:t>027</w:t>
      </w:r>
      <w:r>
        <w:t xml:space="preserve"> burden hours at a cost of $</w:t>
      </w:r>
      <w:r w:rsidR="21103705">
        <w:t>1</w:t>
      </w:r>
      <w:r w:rsidR="7DC2B80E">
        <w:t>44,334</w:t>
      </w:r>
      <w:r>
        <w:t xml:space="preserve"> (</w:t>
      </w:r>
      <w:r>
        <w:fldChar w:fldCharType="begin"/>
      </w:r>
      <w:r>
        <w:instrText xml:space="preserve"> REF _Ref508611139 \h  \* MERGEFORMAT </w:instrText>
      </w:r>
      <w:r>
        <w:fldChar w:fldCharType="separate"/>
      </w:r>
      <w:r w:rsidR="006A6CBC">
        <w:t xml:space="preserve">Table </w:t>
      </w:r>
      <w:r w:rsidRPr="5ECFBCA2" w:rsidR="006A6CBC">
        <w:rPr>
          <w:noProof/>
        </w:rPr>
        <w:t>13</w:t>
      </w:r>
      <w:r>
        <w:fldChar w:fldCharType="end"/>
      </w:r>
      <w:r>
        <w:t>).</w:t>
      </w:r>
    </w:p>
    <w:p w:rsidR="00242B56" w:rsidP="00722B85" w14:paraId="23ABB112" w14:textId="77777777">
      <w:pPr>
        <w:widowControl/>
      </w:pPr>
    </w:p>
    <w:p w:rsidR="00ED7C43" w:rsidP="00722B85" w14:paraId="0CB4C7B3" w14:textId="0980FC06">
      <w:pPr>
        <w:pStyle w:val="Caption"/>
        <w:keepNext/>
        <w:widowControl/>
      </w:pPr>
      <w:bookmarkStart w:id="25" w:name="_Ref50861113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6A6CBC">
        <w:rPr>
          <w:noProof/>
        </w:rPr>
        <w:t>13</w:t>
      </w:r>
      <w:r w:rsidR="00413157">
        <w:rPr>
          <w:noProof/>
        </w:rPr>
        <w:fldChar w:fldCharType="end"/>
      </w:r>
      <w:bookmarkEnd w:id="25"/>
      <w:r>
        <w:t xml:space="preserve">. </w:t>
      </w:r>
      <w:r w:rsidRPr="00ED7C43">
        <w:t xml:space="preserve">State </w:t>
      </w:r>
      <w:r w:rsidRPr="00ED7C43" w:rsidR="002D66E6">
        <w:t xml:space="preserve">Verification </w:t>
      </w:r>
      <w:r w:rsidR="002D66E6">
        <w:t>o</w:t>
      </w:r>
      <w:r w:rsidRPr="00ED7C43" w:rsidR="002D66E6">
        <w:t>f Medical Certification Status</w:t>
      </w:r>
      <w:r w:rsidRPr="00BB721B" w:rsidR="002D66E6">
        <w:t xml:space="preserve"> </w:t>
      </w:r>
      <w:r>
        <w:t>(IC-2.3)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4"/>
        <w:gridCol w:w="1350"/>
        <w:gridCol w:w="1350"/>
        <w:gridCol w:w="1350"/>
        <w:gridCol w:w="1171"/>
        <w:gridCol w:w="1169"/>
        <w:gridCol w:w="1616"/>
      </w:tblGrid>
      <w:tr w14:paraId="5F467A24"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050"/>
        </w:trPr>
        <w:tc>
          <w:tcPr>
            <w:tcW w:w="719" w:type="pct"/>
            <w:shd w:val="clear" w:color="auto" w:fill="E0E0E0"/>
            <w:tcMar>
              <w:left w:w="0" w:type="dxa"/>
              <w:right w:w="0" w:type="dxa"/>
            </w:tcMar>
            <w:vAlign w:val="bottom"/>
            <w:hideMark/>
          </w:tcPr>
          <w:p w:rsidR="00ED7C43" w:rsidRPr="00BB721B" w:rsidP="00507928" w14:paraId="0E5DCE6F" w14:textId="77777777">
            <w:pPr>
              <w:widowControl/>
              <w:autoSpaceDE/>
              <w:autoSpaceDN/>
              <w:adjustRightInd/>
              <w:jc w:val="center"/>
              <w:rPr>
                <w:b/>
                <w:bCs/>
                <w:color w:val="000000"/>
              </w:rPr>
            </w:pPr>
            <w:r w:rsidRPr="00BB721B">
              <w:rPr>
                <w:b/>
                <w:bCs/>
                <w:color w:val="000000"/>
              </w:rPr>
              <w:t>Year</w:t>
            </w:r>
          </w:p>
        </w:tc>
        <w:tc>
          <w:tcPr>
            <w:tcW w:w="722" w:type="pct"/>
            <w:shd w:val="clear" w:color="auto" w:fill="E0E0E0"/>
            <w:tcMar>
              <w:left w:w="0" w:type="dxa"/>
              <w:right w:w="0" w:type="dxa"/>
            </w:tcMar>
            <w:vAlign w:val="bottom"/>
            <w:hideMark/>
          </w:tcPr>
          <w:p w:rsidR="00ED7C43" w:rsidRPr="00BB721B" w:rsidP="00507928" w14:paraId="3FC538D6" w14:textId="77777777">
            <w:pPr>
              <w:widowControl/>
              <w:autoSpaceDE/>
              <w:autoSpaceDN/>
              <w:adjustRightInd/>
              <w:jc w:val="center"/>
              <w:rPr>
                <w:b/>
                <w:bCs/>
                <w:color w:val="000000"/>
              </w:rPr>
            </w:pPr>
            <w:r w:rsidRPr="00BB721B">
              <w:rPr>
                <w:b/>
                <w:bCs/>
                <w:color w:val="000000"/>
              </w:rPr>
              <w:t>Number of Respondent</w:t>
            </w:r>
            <w:r w:rsidRPr="005F0A5D">
              <w:rPr>
                <w:b/>
                <w:bCs/>
                <w:color w:val="000000"/>
              </w:rPr>
              <w:t>s</w:t>
            </w:r>
            <w:r w:rsidRPr="00BB721B">
              <w:rPr>
                <w:b/>
                <w:bCs/>
                <w:color w:val="000000"/>
              </w:rPr>
              <w:br/>
              <w:t>(a)</w:t>
            </w:r>
          </w:p>
        </w:tc>
        <w:tc>
          <w:tcPr>
            <w:tcW w:w="722" w:type="pct"/>
            <w:shd w:val="clear" w:color="auto" w:fill="E0E0E0"/>
            <w:tcMar>
              <w:left w:w="0" w:type="dxa"/>
              <w:right w:w="0" w:type="dxa"/>
            </w:tcMar>
            <w:vAlign w:val="bottom"/>
            <w:hideMark/>
          </w:tcPr>
          <w:p w:rsidR="00ED7C43" w:rsidRPr="00BB721B" w:rsidP="00507928" w14:paraId="0C2252A5" w14:textId="77777777">
            <w:pPr>
              <w:widowControl/>
              <w:autoSpaceDE/>
              <w:autoSpaceDN/>
              <w:adjustRightInd/>
              <w:jc w:val="center"/>
              <w:rPr>
                <w:b/>
                <w:bCs/>
                <w:color w:val="000000"/>
              </w:rPr>
            </w:pPr>
            <w:r>
              <w:rPr>
                <w:b/>
                <w:bCs/>
                <w:color w:val="000000"/>
              </w:rPr>
              <w:t xml:space="preserve">Average </w:t>
            </w:r>
            <w:r w:rsidRPr="00BB721B">
              <w:rPr>
                <w:b/>
                <w:bCs/>
                <w:color w:val="000000"/>
              </w:rPr>
              <w:t>Responses per Respondent</w:t>
            </w:r>
            <w:r w:rsidRPr="00BB721B">
              <w:rPr>
                <w:b/>
                <w:bCs/>
                <w:color w:val="000000"/>
              </w:rPr>
              <w:br/>
              <w:t>(b)</w:t>
            </w:r>
          </w:p>
        </w:tc>
        <w:tc>
          <w:tcPr>
            <w:tcW w:w="722" w:type="pct"/>
            <w:shd w:val="clear" w:color="auto" w:fill="E0E0E0"/>
            <w:tcMar>
              <w:left w:w="0" w:type="dxa"/>
              <w:right w:w="0" w:type="dxa"/>
            </w:tcMar>
            <w:vAlign w:val="bottom"/>
            <w:hideMark/>
          </w:tcPr>
          <w:p w:rsidR="00ED7C43" w:rsidRPr="00BB721B" w:rsidP="00507928" w14:paraId="1BC942CF" w14:textId="77777777">
            <w:pPr>
              <w:widowControl/>
              <w:autoSpaceDE/>
              <w:autoSpaceDN/>
              <w:adjustRightInd/>
              <w:jc w:val="center"/>
              <w:rPr>
                <w:b/>
                <w:bCs/>
                <w:color w:val="000000"/>
              </w:rPr>
            </w:pPr>
            <w:r w:rsidRPr="00BB721B">
              <w:rPr>
                <w:b/>
                <w:bCs/>
                <w:color w:val="000000"/>
              </w:rPr>
              <w:t>Total Annual Responses</w:t>
            </w:r>
            <w:r w:rsidRPr="00BB721B">
              <w:rPr>
                <w:b/>
                <w:bCs/>
                <w:color w:val="000000"/>
              </w:rPr>
              <w:br/>
              <w:t>(a × b = c)</w:t>
            </w:r>
          </w:p>
        </w:tc>
        <w:tc>
          <w:tcPr>
            <w:tcW w:w="626" w:type="pct"/>
            <w:shd w:val="clear" w:color="auto" w:fill="E0E0E0"/>
            <w:tcMar>
              <w:left w:w="0" w:type="dxa"/>
              <w:right w:w="0" w:type="dxa"/>
            </w:tcMar>
            <w:vAlign w:val="bottom"/>
            <w:hideMark/>
          </w:tcPr>
          <w:p w:rsidR="00ED7C43" w:rsidRPr="00BB721B" w:rsidP="00507928" w14:paraId="1314C1E3" w14:textId="77777777">
            <w:pPr>
              <w:widowControl/>
              <w:autoSpaceDE/>
              <w:autoSpaceDN/>
              <w:adjustRightInd/>
              <w:jc w:val="center"/>
              <w:rPr>
                <w:b/>
                <w:bCs/>
                <w:color w:val="000000"/>
              </w:rPr>
            </w:pPr>
            <w:r w:rsidRPr="00BB721B">
              <w:rPr>
                <w:b/>
                <w:bCs/>
                <w:color w:val="000000"/>
              </w:rPr>
              <w:t>Burden Hours per Response</w:t>
            </w:r>
            <w:r w:rsidRPr="00BB721B">
              <w:rPr>
                <w:b/>
                <w:bCs/>
                <w:color w:val="000000"/>
              </w:rPr>
              <w:br/>
              <w:t>(d)</w:t>
            </w:r>
          </w:p>
        </w:tc>
        <w:tc>
          <w:tcPr>
            <w:tcW w:w="625" w:type="pct"/>
            <w:shd w:val="clear" w:color="auto" w:fill="E0E0E0"/>
            <w:tcMar>
              <w:left w:w="0" w:type="dxa"/>
              <w:right w:w="0" w:type="dxa"/>
            </w:tcMar>
            <w:vAlign w:val="bottom"/>
            <w:hideMark/>
          </w:tcPr>
          <w:p w:rsidR="00ED7C43" w:rsidRPr="00BB721B" w:rsidP="00507928" w14:paraId="1E5EEE45" w14:textId="77777777">
            <w:pPr>
              <w:widowControl/>
              <w:autoSpaceDE/>
              <w:autoSpaceDN/>
              <w:adjustRightInd/>
              <w:jc w:val="center"/>
              <w:rPr>
                <w:b/>
                <w:bCs/>
                <w:color w:val="000000"/>
              </w:rPr>
            </w:pPr>
            <w:r w:rsidRPr="00BB721B">
              <w:rPr>
                <w:b/>
                <w:bCs/>
                <w:color w:val="000000"/>
              </w:rPr>
              <w:t>Total Annual Burden Hours</w:t>
            </w:r>
            <w:r w:rsidRPr="00BB721B">
              <w:rPr>
                <w:b/>
                <w:bCs/>
                <w:color w:val="000000"/>
              </w:rPr>
              <w:br/>
              <w:t>(c × d = e)</w:t>
            </w:r>
          </w:p>
        </w:tc>
        <w:tc>
          <w:tcPr>
            <w:tcW w:w="864" w:type="pct"/>
            <w:shd w:val="clear" w:color="auto" w:fill="E0E0E0"/>
            <w:tcMar>
              <w:left w:w="0" w:type="dxa"/>
              <w:right w:w="0" w:type="dxa"/>
            </w:tcMar>
            <w:vAlign w:val="bottom"/>
            <w:hideMark/>
          </w:tcPr>
          <w:p w:rsidR="00ED7C43" w:rsidRPr="00BB721B" w:rsidP="00507928" w14:paraId="3AE78783" w14:textId="198380F7">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2691309B">
              <w:rPr>
                <w:b/>
                <w:bCs/>
                <w:color w:val="000000" w:themeColor="text1"/>
              </w:rPr>
              <w:t>28.71</w:t>
            </w:r>
            <w:r w:rsidRPr="5ECFBCA2">
              <w:rPr>
                <w:b/>
                <w:bCs/>
                <w:color w:val="000000" w:themeColor="text1"/>
              </w:rPr>
              <w:t xml:space="preserve"> = f)</w:t>
            </w:r>
          </w:p>
        </w:tc>
      </w:tr>
      <w:tr w14:paraId="42111716"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57E68" w:rsidRPr="00BB721B" w:rsidP="00357E68" w14:paraId="2DC890D8" w14:textId="77777777">
            <w:pPr>
              <w:widowControl/>
              <w:autoSpaceDE/>
              <w:autoSpaceDN/>
              <w:adjustRightInd/>
              <w:jc w:val="center"/>
              <w:rPr>
                <w:color w:val="000000"/>
              </w:rPr>
            </w:pPr>
            <w:r w:rsidRPr="00BB721B">
              <w:rPr>
                <w:color w:val="000000"/>
              </w:rPr>
              <w:t>1</w:t>
            </w:r>
          </w:p>
        </w:tc>
        <w:tc>
          <w:tcPr>
            <w:tcW w:w="722" w:type="pct"/>
            <w:shd w:val="clear" w:color="auto" w:fill="auto"/>
            <w:tcMar>
              <w:left w:w="115" w:type="dxa"/>
              <w:right w:w="115" w:type="dxa"/>
            </w:tcMar>
          </w:tcPr>
          <w:p w:rsidR="00357E68" w:rsidRPr="002047EA" w:rsidP="002047EA" w14:paraId="0269792D" w14:textId="51477A63">
            <w:pPr>
              <w:widowControl/>
              <w:autoSpaceDE/>
              <w:autoSpaceDN/>
              <w:adjustRightInd/>
              <w:jc w:val="center"/>
              <w:rPr>
                <w:color w:val="000000"/>
              </w:rPr>
            </w:pPr>
            <w:r w:rsidRPr="002047EA">
              <w:t>249</w:t>
            </w:r>
          </w:p>
        </w:tc>
        <w:tc>
          <w:tcPr>
            <w:tcW w:w="722" w:type="pct"/>
            <w:shd w:val="clear" w:color="auto" w:fill="auto"/>
            <w:tcMar>
              <w:left w:w="115" w:type="dxa"/>
              <w:right w:w="115" w:type="dxa"/>
            </w:tcMar>
          </w:tcPr>
          <w:p w:rsidR="00357E68" w:rsidRPr="002047EA" w:rsidP="002047EA" w14:paraId="235A6A7F" w14:textId="1A179E29">
            <w:pPr>
              <w:widowControl/>
              <w:autoSpaceDE/>
              <w:autoSpaceDN/>
              <w:adjustRightInd/>
              <w:jc w:val="center"/>
              <w:rPr>
                <w:color w:val="000000"/>
              </w:rPr>
            </w:pPr>
            <w:r>
              <w:t xml:space="preserve"> </w:t>
            </w:r>
            <w:r w:rsidRPr="00E35F7D">
              <w:rPr>
                <w:color w:val="000000" w:themeColor="text1"/>
              </w:rPr>
              <w:t>14,504</w:t>
            </w:r>
          </w:p>
        </w:tc>
        <w:tc>
          <w:tcPr>
            <w:tcW w:w="722" w:type="pct"/>
            <w:shd w:val="clear" w:color="auto" w:fill="auto"/>
            <w:tcMar>
              <w:left w:w="115" w:type="dxa"/>
              <w:right w:w="115" w:type="dxa"/>
            </w:tcMar>
          </w:tcPr>
          <w:p w:rsidR="00357E68" w:rsidRPr="002047EA" w:rsidP="00395C23" w14:paraId="5EB457FD" w14:textId="171B4DBC">
            <w:pPr>
              <w:widowControl/>
              <w:autoSpaceDE/>
              <w:autoSpaceDN/>
              <w:adjustRightInd/>
              <w:jc w:val="center"/>
              <w:rPr>
                <w:color w:val="000000"/>
              </w:rPr>
            </w:pPr>
            <w:r>
              <w:t xml:space="preserve"> </w:t>
            </w:r>
            <w:r w:rsidRPr="00E35F7D">
              <w:rPr>
                <w:color w:val="000000" w:themeColor="text1"/>
              </w:rPr>
              <w:t>3,611,562</w:t>
            </w:r>
          </w:p>
        </w:tc>
        <w:tc>
          <w:tcPr>
            <w:tcW w:w="626" w:type="pct"/>
            <w:shd w:val="clear" w:color="auto" w:fill="auto"/>
            <w:tcMar>
              <w:left w:w="115" w:type="dxa"/>
              <w:right w:w="115" w:type="dxa"/>
            </w:tcMar>
          </w:tcPr>
          <w:p w:rsidR="00357E68" w:rsidRPr="002047EA" w:rsidP="5ECFBCA2" w14:paraId="47A06B30" w14:textId="310E272D">
            <w:pPr>
              <w:widowControl/>
              <w:autoSpaceDE/>
              <w:autoSpaceDN/>
              <w:adjustRightInd/>
              <w:jc w:val="center"/>
            </w:pPr>
            <w:r>
              <w:t>0.001</w:t>
            </w:r>
          </w:p>
        </w:tc>
        <w:tc>
          <w:tcPr>
            <w:tcW w:w="625" w:type="pct"/>
            <w:shd w:val="clear" w:color="auto" w:fill="auto"/>
            <w:tcMar>
              <w:left w:w="115" w:type="dxa"/>
              <w:right w:w="115" w:type="dxa"/>
            </w:tcMar>
          </w:tcPr>
          <w:p w:rsidR="00357E68" w:rsidRPr="002047EA" w:rsidP="00395C23" w14:paraId="703CE7F3" w14:textId="0D81D9AD">
            <w:pPr>
              <w:widowControl/>
              <w:autoSpaceDE/>
              <w:autoSpaceDN/>
              <w:adjustRightInd/>
              <w:jc w:val="center"/>
              <w:rPr>
                <w:color w:val="000000"/>
              </w:rPr>
            </w:pPr>
            <w:r>
              <w:t xml:space="preserve"> </w:t>
            </w:r>
            <w:r w:rsidRPr="00E35F7D">
              <w:rPr>
                <w:color w:val="000000" w:themeColor="text1"/>
              </w:rPr>
              <w:t>5,016</w:t>
            </w:r>
          </w:p>
        </w:tc>
        <w:tc>
          <w:tcPr>
            <w:tcW w:w="864" w:type="pct"/>
            <w:shd w:val="clear" w:color="auto" w:fill="auto"/>
            <w:tcMar>
              <w:left w:w="115" w:type="dxa"/>
              <w:right w:w="115" w:type="dxa"/>
            </w:tcMar>
          </w:tcPr>
          <w:p w:rsidR="00357E68" w:rsidRPr="002047EA" w:rsidP="5ECFBCA2" w14:paraId="6B9B5B79" w14:textId="2DCFBE8D">
            <w:pPr>
              <w:widowControl/>
              <w:spacing w:line="259" w:lineRule="auto"/>
              <w:jc w:val="center"/>
              <w:rPr>
                <w:color w:val="000000" w:themeColor="text1"/>
              </w:rPr>
            </w:pPr>
            <w:r>
              <w:t xml:space="preserve"> </w:t>
            </w:r>
            <w:r w:rsidRPr="5ECFBCA2">
              <w:rPr>
                <w:color w:val="000000" w:themeColor="text1"/>
              </w:rPr>
              <w:t>$1</w:t>
            </w:r>
            <w:r w:rsidR="7F70B77A">
              <w:t>44,028</w:t>
            </w:r>
            <w:r w:rsidRPr="5ECFBCA2">
              <w:rPr>
                <w:color w:val="000000" w:themeColor="text1"/>
              </w:rPr>
              <w:t xml:space="preserve"> </w:t>
            </w:r>
            <w:r>
              <w:t xml:space="preserve"> </w:t>
            </w:r>
          </w:p>
        </w:tc>
      </w:tr>
      <w:tr w14:paraId="414ABA0F"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57E68" w:rsidRPr="00BB721B" w:rsidP="00357E68" w14:paraId="24AF70A6" w14:textId="77777777">
            <w:pPr>
              <w:widowControl/>
              <w:autoSpaceDE/>
              <w:autoSpaceDN/>
              <w:adjustRightInd/>
              <w:jc w:val="center"/>
              <w:rPr>
                <w:color w:val="000000"/>
              </w:rPr>
            </w:pPr>
            <w:r w:rsidRPr="00BB721B">
              <w:rPr>
                <w:color w:val="000000"/>
              </w:rPr>
              <w:t>2</w:t>
            </w:r>
          </w:p>
        </w:tc>
        <w:tc>
          <w:tcPr>
            <w:tcW w:w="722" w:type="pct"/>
            <w:shd w:val="clear" w:color="auto" w:fill="auto"/>
            <w:tcMar>
              <w:left w:w="115" w:type="dxa"/>
              <w:right w:w="115" w:type="dxa"/>
            </w:tcMar>
          </w:tcPr>
          <w:p w:rsidR="00357E68" w:rsidRPr="002047EA" w:rsidP="002047EA" w14:paraId="798158FB" w14:textId="348D8865">
            <w:pPr>
              <w:widowControl/>
              <w:autoSpaceDE/>
              <w:autoSpaceDN/>
              <w:adjustRightInd/>
              <w:jc w:val="center"/>
              <w:rPr>
                <w:color w:val="000000"/>
              </w:rPr>
            </w:pPr>
            <w:r w:rsidRPr="002047EA">
              <w:t>249</w:t>
            </w:r>
          </w:p>
        </w:tc>
        <w:tc>
          <w:tcPr>
            <w:tcW w:w="722" w:type="pct"/>
            <w:shd w:val="clear" w:color="auto" w:fill="auto"/>
            <w:tcMar>
              <w:left w:w="115" w:type="dxa"/>
              <w:right w:w="115" w:type="dxa"/>
            </w:tcMar>
          </w:tcPr>
          <w:p w:rsidR="00357E68" w:rsidP="002047EA" w14:paraId="26EEBB42" w14:textId="12D8E507">
            <w:pPr>
              <w:widowControl/>
              <w:autoSpaceDE/>
              <w:autoSpaceDN/>
              <w:adjustRightInd/>
              <w:jc w:val="center"/>
            </w:pPr>
          </w:p>
          <w:p w:rsidR="005F0A5D" w:rsidRPr="002047EA" w:rsidP="002047EA" w14:paraId="723F9CBA" w14:textId="2F929C42">
            <w:pPr>
              <w:widowControl/>
              <w:autoSpaceDE/>
              <w:autoSpaceDN/>
              <w:adjustRightInd/>
              <w:jc w:val="center"/>
              <w:rPr>
                <w:color w:val="000000"/>
              </w:rPr>
            </w:pPr>
            <w:r w:rsidRPr="00E35F7D">
              <w:rPr>
                <w:color w:val="000000" w:themeColor="text1"/>
              </w:rPr>
              <w:t>14,535</w:t>
            </w:r>
          </w:p>
        </w:tc>
        <w:tc>
          <w:tcPr>
            <w:tcW w:w="722" w:type="pct"/>
            <w:shd w:val="clear" w:color="auto" w:fill="auto"/>
            <w:tcMar>
              <w:left w:w="115" w:type="dxa"/>
              <w:right w:w="115" w:type="dxa"/>
            </w:tcMar>
          </w:tcPr>
          <w:p w:rsidR="005F0A5D" w:rsidRPr="005F0A5D" w:rsidP="005F0A5D" w14:paraId="0D6C7C0B" w14:textId="25D6E9E7">
            <w:pPr>
              <w:widowControl/>
              <w:autoSpaceDE/>
              <w:autoSpaceDN/>
              <w:adjustRightInd/>
              <w:jc w:val="center"/>
            </w:pPr>
            <w:r>
              <w:t xml:space="preserve"> </w:t>
            </w:r>
            <w:r w:rsidRPr="00E35F7D">
              <w:rPr>
                <w:color w:val="000000" w:themeColor="text1"/>
              </w:rPr>
              <w:t>3,619,246</w:t>
            </w:r>
          </w:p>
        </w:tc>
        <w:tc>
          <w:tcPr>
            <w:tcW w:w="626" w:type="pct"/>
            <w:shd w:val="clear" w:color="auto" w:fill="auto"/>
            <w:tcMar>
              <w:left w:w="115" w:type="dxa"/>
              <w:right w:w="115" w:type="dxa"/>
            </w:tcMar>
          </w:tcPr>
          <w:p w:rsidR="00357E68" w:rsidRPr="002047EA" w:rsidP="5ECFBCA2" w14:paraId="15DF57D6" w14:textId="6DE8D917">
            <w:pPr>
              <w:widowControl/>
              <w:autoSpaceDE/>
              <w:autoSpaceDN/>
              <w:adjustRightInd/>
              <w:jc w:val="center"/>
            </w:pPr>
            <w:r>
              <w:t>0.001</w:t>
            </w:r>
          </w:p>
        </w:tc>
        <w:tc>
          <w:tcPr>
            <w:tcW w:w="625" w:type="pct"/>
            <w:shd w:val="clear" w:color="auto" w:fill="auto"/>
            <w:tcMar>
              <w:left w:w="115" w:type="dxa"/>
              <w:right w:w="115" w:type="dxa"/>
            </w:tcMar>
          </w:tcPr>
          <w:p w:rsidR="00357E68" w:rsidRPr="002047EA" w:rsidP="00395C23" w14:paraId="34397C2B" w14:textId="40D80AC6">
            <w:pPr>
              <w:widowControl/>
              <w:autoSpaceDE/>
              <w:autoSpaceDN/>
              <w:adjustRightInd/>
              <w:jc w:val="center"/>
              <w:rPr>
                <w:color w:val="000000"/>
              </w:rPr>
            </w:pPr>
            <w:r>
              <w:t xml:space="preserve"> </w:t>
            </w:r>
            <w:r w:rsidRPr="00E35F7D">
              <w:rPr>
                <w:color w:val="000000" w:themeColor="text1"/>
              </w:rPr>
              <w:t>5,027</w:t>
            </w:r>
          </w:p>
        </w:tc>
        <w:tc>
          <w:tcPr>
            <w:tcW w:w="864" w:type="pct"/>
            <w:shd w:val="clear" w:color="auto" w:fill="auto"/>
            <w:tcMar>
              <w:left w:w="115" w:type="dxa"/>
              <w:right w:w="115" w:type="dxa"/>
            </w:tcMar>
          </w:tcPr>
          <w:p w:rsidR="00357E68" w:rsidRPr="002047EA" w:rsidP="5ECFBCA2" w14:paraId="1C5D45C8" w14:textId="68D258A4">
            <w:pPr>
              <w:widowControl/>
              <w:spacing w:line="259" w:lineRule="auto"/>
              <w:jc w:val="center"/>
              <w:rPr>
                <w:color w:val="000000" w:themeColor="text1"/>
              </w:rPr>
            </w:pPr>
            <w:r>
              <w:t xml:space="preserve"> </w:t>
            </w:r>
            <w:r w:rsidRPr="5ECFBCA2">
              <w:rPr>
                <w:color w:val="000000" w:themeColor="text1"/>
              </w:rPr>
              <w:t>$1</w:t>
            </w:r>
            <w:r w:rsidR="4E6BA5A3">
              <w:t>44,334</w:t>
            </w:r>
            <w:r>
              <w:t xml:space="preserve"> </w:t>
            </w:r>
          </w:p>
        </w:tc>
      </w:tr>
      <w:tr w14:paraId="0C2A3981"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57E68" w:rsidRPr="00BB721B" w:rsidP="00357E68" w14:paraId="6AD0B853" w14:textId="77777777">
            <w:pPr>
              <w:widowControl/>
              <w:autoSpaceDE/>
              <w:autoSpaceDN/>
              <w:adjustRightInd/>
              <w:jc w:val="center"/>
              <w:rPr>
                <w:color w:val="000000"/>
              </w:rPr>
            </w:pPr>
            <w:r w:rsidRPr="00BB721B">
              <w:rPr>
                <w:color w:val="000000"/>
              </w:rPr>
              <w:t>3</w:t>
            </w:r>
          </w:p>
        </w:tc>
        <w:tc>
          <w:tcPr>
            <w:tcW w:w="722" w:type="pct"/>
            <w:shd w:val="clear" w:color="auto" w:fill="auto"/>
            <w:tcMar>
              <w:left w:w="115" w:type="dxa"/>
              <w:right w:w="115" w:type="dxa"/>
            </w:tcMar>
          </w:tcPr>
          <w:p w:rsidR="00357E68" w:rsidRPr="002047EA" w:rsidP="002047EA" w14:paraId="643C310D" w14:textId="43412F84">
            <w:pPr>
              <w:widowControl/>
              <w:autoSpaceDE/>
              <w:autoSpaceDN/>
              <w:adjustRightInd/>
              <w:jc w:val="center"/>
              <w:rPr>
                <w:color w:val="000000"/>
              </w:rPr>
            </w:pPr>
            <w:r w:rsidRPr="002047EA">
              <w:t>249</w:t>
            </w:r>
          </w:p>
        </w:tc>
        <w:tc>
          <w:tcPr>
            <w:tcW w:w="722" w:type="pct"/>
            <w:shd w:val="clear" w:color="auto" w:fill="auto"/>
            <w:tcMar>
              <w:left w:w="115" w:type="dxa"/>
              <w:right w:w="115" w:type="dxa"/>
            </w:tcMar>
          </w:tcPr>
          <w:p w:rsidR="00357E68" w:rsidP="002047EA" w14:paraId="5C618FC7" w14:textId="29791570">
            <w:pPr>
              <w:widowControl/>
              <w:autoSpaceDE/>
              <w:autoSpaceDN/>
              <w:adjustRightInd/>
              <w:jc w:val="center"/>
            </w:pPr>
          </w:p>
          <w:p w:rsidR="005F0A5D" w:rsidRPr="002047EA" w:rsidP="002047EA" w14:paraId="7432A4F3" w14:textId="25D5AC2C">
            <w:pPr>
              <w:widowControl/>
              <w:autoSpaceDE/>
              <w:autoSpaceDN/>
              <w:adjustRightInd/>
              <w:jc w:val="center"/>
              <w:rPr>
                <w:color w:val="000000"/>
              </w:rPr>
            </w:pPr>
            <w:r w:rsidRPr="00E35F7D">
              <w:rPr>
                <w:color w:val="000000" w:themeColor="text1"/>
              </w:rPr>
              <w:t>14,566</w:t>
            </w:r>
          </w:p>
        </w:tc>
        <w:tc>
          <w:tcPr>
            <w:tcW w:w="722" w:type="pct"/>
            <w:shd w:val="clear" w:color="auto" w:fill="auto"/>
            <w:tcMar>
              <w:left w:w="115" w:type="dxa"/>
              <w:right w:w="115" w:type="dxa"/>
            </w:tcMar>
          </w:tcPr>
          <w:p w:rsidR="00357E68" w:rsidRPr="002047EA" w:rsidP="00395C23" w14:paraId="55EEE753" w14:textId="25382ABA">
            <w:pPr>
              <w:widowControl/>
              <w:autoSpaceDE/>
              <w:autoSpaceDN/>
              <w:adjustRightInd/>
              <w:jc w:val="center"/>
              <w:rPr>
                <w:color w:val="000000"/>
              </w:rPr>
            </w:pPr>
            <w:r>
              <w:t xml:space="preserve"> </w:t>
            </w:r>
            <w:r w:rsidRPr="00E35F7D">
              <w:rPr>
                <w:color w:val="000000" w:themeColor="text1"/>
              </w:rPr>
              <w:t>3,626,948</w:t>
            </w:r>
          </w:p>
        </w:tc>
        <w:tc>
          <w:tcPr>
            <w:tcW w:w="626" w:type="pct"/>
            <w:shd w:val="clear" w:color="auto" w:fill="auto"/>
            <w:tcMar>
              <w:left w:w="115" w:type="dxa"/>
              <w:right w:w="115" w:type="dxa"/>
            </w:tcMar>
          </w:tcPr>
          <w:p w:rsidR="00357E68" w:rsidRPr="002047EA" w:rsidP="5ECFBCA2" w14:paraId="492D4E77" w14:textId="4354F1BE">
            <w:pPr>
              <w:widowControl/>
              <w:autoSpaceDE/>
              <w:autoSpaceDN/>
              <w:adjustRightInd/>
              <w:jc w:val="center"/>
            </w:pPr>
            <w:r>
              <w:t>0.001</w:t>
            </w:r>
          </w:p>
        </w:tc>
        <w:tc>
          <w:tcPr>
            <w:tcW w:w="625" w:type="pct"/>
            <w:shd w:val="clear" w:color="auto" w:fill="auto"/>
            <w:tcMar>
              <w:left w:w="115" w:type="dxa"/>
              <w:right w:w="115" w:type="dxa"/>
            </w:tcMar>
          </w:tcPr>
          <w:p w:rsidR="00357E68" w:rsidRPr="002047EA" w:rsidP="00395C23" w14:paraId="6A2819F9" w14:textId="76CBEE85">
            <w:pPr>
              <w:widowControl/>
              <w:autoSpaceDE/>
              <w:autoSpaceDN/>
              <w:adjustRightInd/>
              <w:jc w:val="center"/>
              <w:rPr>
                <w:color w:val="000000"/>
              </w:rPr>
            </w:pPr>
            <w:r>
              <w:t xml:space="preserve"> </w:t>
            </w:r>
            <w:r w:rsidRPr="00E35F7D">
              <w:rPr>
                <w:color w:val="000000" w:themeColor="text1"/>
              </w:rPr>
              <w:t>5,037</w:t>
            </w:r>
          </w:p>
        </w:tc>
        <w:tc>
          <w:tcPr>
            <w:tcW w:w="864" w:type="pct"/>
            <w:shd w:val="clear" w:color="auto" w:fill="auto"/>
            <w:tcMar>
              <w:left w:w="115" w:type="dxa"/>
              <w:right w:w="115" w:type="dxa"/>
            </w:tcMar>
          </w:tcPr>
          <w:p w:rsidR="00357E68" w:rsidRPr="002047EA" w:rsidP="5ECFBCA2" w14:paraId="1F795122" w14:textId="50E8150E">
            <w:pPr>
              <w:widowControl/>
              <w:spacing w:line="259" w:lineRule="auto"/>
              <w:jc w:val="center"/>
            </w:pPr>
            <w:r>
              <w:t xml:space="preserve"> </w:t>
            </w:r>
            <w:r w:rsidRPr="5ECFBCA2" w:rsidR="77FF1591">
              <w:rPr>
                <w:color w:val="000000" w:themeColor="text1"/>
              </w:rPr>
              <w:t>$1</w:t>
            </w:r>
            <w:r w:rsidR="36CEDA25">
              <w:t>44,641</w:t>
            </w:r>
          </w:p>
        </w:tc>
      </w:tr>
      <w:tr w14:paraId="07709D82"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57E68" w:rsidRPr="00BB721B" w:rsidP="00357E68" w14:paraId="4AECCD86" w14:textId="77777777">
            <w:pPr>
              <w:widowControl/>
              <w:autoSpaceDE/>
              <w:autoSpaceDN/>
              <w:adjustRightInd/>
              <w:jc w:val="center"/>
              <w:rPr>
                <w:color w:val="000000"/>
              </w:rPr>
            </w:pPr>
            <w:r w:rsidRPr="00BB721B">
              <w:rPr>
                <w:color w:val="000000"/>
              </w:rPr>
              <w:t>Total</w:t>
            </w:r>
          </w:p>
        </w:tc>
        <w:tc>
          <w:tcPr>
            <w:tcW w:w="722" w:type="pct"/>
            <w:shd w:val="clear" w:color="auto" w:fill="auto"/>
            <w:tcMar>
              <w:left w:w="115" w:type="dxa"/>
              <w:right w:w="115" w:type="dxa"/>
            </w:tcMar>
          </w:tcPr>
          <w:p w:rsidR="00357E68" w:rsidRPr="002047EA" w:rsidP="002047EA" w14:paraId="79956857" w14:textId="6442A0EB">
            <w:pPr>
              <w:widowControl/>
              <w:autoSpaceDE/>
              <w:autoSpaceDN/>
              <w:adjustRightInd/>
              <w:jc w:val="center"/>
              <w:rPr>
                <w:color w:val="000000"/>
              </w:rPr>
            </w:pPr>
            <w:r w:rsidRPr="002047EA">
              <w:t>747</w:t>
            </w:r>
          </w:p>
        </w:tc>
        <w:tc>
          <w:tcPr>
            <w:tcW w:w="722" w:type="pct"/>
            <w:shd w:val="clear" w:color="auto" w:fill="auto"/>
            <w:tcMar>
              <w:left w:w="115" w:type="dxa"/>
              <w:right w:w="115" w:type="dxa"/>
            </w:tcMar>
          </w:tcPr>
          <w:p w:rsidR="00357E68" w:rsidRPr="002047EA" w:rsidP="002047EA" w14:paraId="73D0C990" w14:textId="6B2436D4">
            <w:pPr>
              <w:widowControl/>
              <w:autoSpaceDE/>
              <w:autoSpaceDN/>
              <w:adjustRightInd/>
              <w:jc w:val="center"/>
              <w:rPr>
                <w:color w:val="000000"/>
              </w:rPr>
            </w:pPr>
            <w:r w:rsidRPr="002047EA">
              <w:t>-</w:t>
            </w:r>
          </w:p>
        </w:tc>
        <w:tc>
          <w:tcPr>
            <w:tcW w:w="722" w:type="pct"/>
            <w:shd w:val="clear" w:color="auto" w:fill="auto"/>
            <w:tcMar>
              <w:left w:w="115" w:type="dxa"/>
              <w:right w:w="115" w:type="dxa"/>
            </w:tcMar>
          </w:tcPr>
          <w:p w:rsidR="00357E68" w:rsidRPr="002047EA" w:rsidP="00395C23" w14:paraId="2BD1922C" w14:textId="3DA15246">
            <w:pPr>
              <w:widowControl/>
              <w:autoSpaceDE/>
              <w:autoSpaceDN/>
              <w:adjustRightInd/>
              <w:jc w:val="center"/>
              <w:rPr>
                <w:color w:val="000000"/>
              </w:rPr>
            </w:pPr>
            <w:r>
              <w:t xml:space="preserve"> </w:t>
            </w:r>
            <w:r w:rsidRPr="00E35F7D">
              <w:rPr>
                <w:color w:val="000000" w:themeColor="text1"/>
              </w:rPr>
              <w:t>10,857,756</w:t>
            </w:r>
          </w:p>
        </w:tc>
        <w:tc>
          <w:tcPr>
            <w:tcW w:w="626" w:type="pct"/>
            <w:shd w:val="clear" w:color="auto" w:fill="auto"/>
            <w:tcMar>
              <w:left w:w="115" w:type="dxa"/>
              <w:right w:w="115" w:type="dxa"/>
            </w:tcMar>
          </w:tcPr>
          <w:p w:rsidR="00357E68" w:rsidRPr="002047EA" w:rsidP="00395C23" w14:paraId="21E17B60" w14:textId="417F1426">
            <w:pPr>
              <w:widowControl/>
              <w:autoSpaceDE/>
              <w:autoSpaceDN/>
              <w:adjustRightInd/>
              <w:jc w:val="center"/>
              <w:rPr>
                <w:color w:val="000000"/>
              </w:rPr>
            </w:pPr>
            <w:r w:rsidRPr="002047EA">
              <w:t>-</w:t>
            </w:r>
          </w:p>
        </w:tc>
        <w:tc>
          <w:tcPr>
            <w:tcW w:w="625" w:type="pct"/>
            <w:shd w:val="clear" w:color="auto" w:fill="auto"/>
            <w:tcMar>
              <w:left w:w="115" w:type="dxa"/>
              <w:right w:w="115" w:type="dxa"/>
            </w:tcMar>
          </w:tcPr>
          <w:p w:rsidR="00357E68" w:rsidRPr="00283CFF" w:rsidP="00395C23" w14:paraId="6246E019" w14:textId="70DE0984">
            <w:pPr>
              <w:widowControl/>
              <w:autoSpaceDE/>
              <w:autoSpaceDN/>
              <w:adjustRightInd/>
              <w:jc w:val="center"/>
              <w:rPr>
                <w:color w:val="000000"/>
              </w:rPr>
            </w:pPr>
            <w:r>
              <w:t xml:space="preserve"> </w:t>
            </w:r>
            <w:r w:rsidRPr="00E35F7D">
              <w:rPr>
                <w:color w:val="000000" w:themeColor="text1"/>
              </w:rPr>
              <w:t>15,080</w:t>
            </w:r>
          </w:p>
        </w:tc>
        <w:tc>
          <w:tcPr>
            <w:tcW w:w="864" w:type="pct"/>
            <w:shd w:val="clear" w:color="auto" w:fill="auto"/>
            <w:tcMar>
              <w:left w:w="115" w:type="dxa"/>
              <w:right w:w="115" w:type="dxa"/>
            </w:tcMar>
          </w:tcPr>
          <w:p w:rsidR="00357E68" w:rsidRPr="002047EA" w:rsidP="5ECFBCA2" w14:paraId="54101132" w14:textId="4AFC7B32">
            <w:pPr>
              <w:widowControl/>
              <w:spacing w:line="259" w:lineRule="auto"/>
              <w:jc w:val="center"/>
            </w:pPr>
            <w:r>
              <w:t xml:space="preserve"> </w:t>
            </w:r>
            <w:r w:rsidRPr="5ECFBCA2" w:rsidR="77FF1591">
              <w:rPr>
                <w:color w:val="000000" w:themeColor="text1"/>
              </w:rPr>
              <w:t>$</w:t>
            </w:r>
            <w:r w:rsidR="6618E3B1">
              <w:t>433,003</w:t>
            </w:r>
          </w:p>
        </w:tc>
      </w:tr>
      <w:tr w14:paraId="0709CA06"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357E68" w:rsidRPr="00BB721B" w:rsidP="00357E68" w14:paraId="06573EC0" w14:textId="03F71630">
            <w:pPr>
              <w:widowControl/>
              <w:autoSpaceDE/>
              <w:autoSpaceDN/>
              <w:adjustRightInd/>
              <w:jc w:val="center"/>
              <w:rPr>
                <w:color w:val="000000"/>
              </w:rPr>
            </w:pPr>
            <w:r w:rsidRPr="00BB721B">
              <w:rPr>
                <w:color w:val="000000"/>
              </w:rPr>
              <w:t>Annualiz</w:t>
            </w:r>
            <w:r>
              <w:rPr>
                <w:color w:val="000000"/>
              </w:rPr>
              <w:t>e</w:t>
            </w:r>
            <w:r w:rsidRPr="00BB721B">
              <w:rPr>
                <w:color w:val="000000"/>
              </w:rPr>
              <w:t>d</w:t>
            </w:r>
          </w:p>
        </w:tc>
        <w:tc>
          <w:tcPr>
            <w:tcW w:w="722" w:type="pct"/>
            <w:shd w:val="clear" w:color="auto" w:fill="auto"/>
            <w:tcMar>
              <w:left w:w="115" w:type="dxa"/>
              <w:right w:w="115" w:type="dxa"/>
            </w:tcMar>
          </w:tcPr>
          <w:p w:rsidR="00357E68" w:rsidRPr="002047EA" w:rsidP="002047EA" w14:paraId="5C0EF9E8" w14:textId="391AD979">
            <w:pPr>
              <w:widowControl/>
              <w:autoSpaceDE/>
              <w:autoSpaceDN/>
              <w:adjustRightInd/>
              <w:jc w:val="center"/>
              <w:rPr>
                <w:color w:val="000000"/>
              </w:rPr>
            </w:pPr>
            <w:bookmarkStart w:id="26" w:name="_Hlk514361142"/>
            <w:r w:rsidRPr="002047EA">
              <w:t>249</w:t>
            </w:r>
            <w:bookmarkEnd w:id="26"/>
          </w:p>
        </w:tc>
        <w:tc>
          <w:tcPr>
            <w:tcW w:w="722" w:type="pct"/>
            <w:shd w:val="clear" w:color="auto" w:fill="auto"/>
            <w:tcMar>
              <w:left w:w="115" w:type="dxa"/>
              <w:right w:w="115" w:type="dxa"/>
            </w:tcMar>
          </w:tcPr>
          <w:p w:rsidR="00357E68" w:rsidRPr="002047EA" w:rsidP="002047EA" w14:paraId="45960EED" w14:textId="5615CCF9">
            <w:pPr>
              <w:widowControl/>
              <w:autoSpaceDE/>
              <w:autoSpaceDN/>
              <w:adjustRightInd/>
              <w:jc w:val="center"/>
              <w:rPr>
                <w:color w:val="000000"/>
              </w:rPr>
            </w:pPr>
            <w:r w:rsidRPr="002047EA">
              <w:t>-</w:t>
            </w:r>
          </w:p>
        </w:tc>
        <w:tc>
          <w:tcPr>
            <w:tcW w:w="722" w:type="pct"/>
            <w:shd w:val="clear" w:color="auto" w:fill="auto"/>
            <w:tcMar>
              <w:left w:w="115" w:type="dxa"/>
              <w:right w:w="115" w:type="dxa"/>
            </w:tcMar>
          </w:tcPr>
          <w:p w:rsidR="00357E68" w:rsidRPr="002047EA" w:rsidP="00395C23" w14:paraId="28C7652D" w14:textId="11167DCA">
            <w:pPr>
              <w:widowControl/>
              <w:autoSpaceDE/>
              <w:autoSpaceDN/>
              <w:adjustRightInd/>
              <w:jc w:val="center"/>
              <w:rPr>
                <w:color w:val="000000"/>
              </w:rPr>
            </w:pPr>
            <w:r>
              <w:t xml:space="preserve"> </w:t>
            </w:r>
            <w:r w:rsidRPr="00E35F7D">
              <w:rPr>
                <w:color w:val="000000" w:themeColor="text1"/>
              </w:rPr>
              <w:t>3,619,252</w:t>
            </w:r>
          </w:p>
        </w:tc>
        <w:tc>
          <w:tcPr>
            <w:tcW w:w="626" w:type="pct"/>
            <w:shd w:val="clear" w:color="auto" w:fill="auto"/>
            <w:tcMar>
              <w:left w:w="115" w:type="dxa"/>
              <w:right w:w="115" w:type="dxa"/>
            </w:tcMar>
          </w:tcPr>
          <w:p w:rsidR="00357E68" w:rsidRPr="002047EA" w:rsidP="00395C23" w14:paraId="04814957" w14:textId="5449009F">
            <w:pPr>
              <w:widowControl/>
              <w:autoSpaceDE/>
              <w:autoSpaceDN/>
              <w:adjustRightInd/>
              <w:jc w:val="center"/>
              <w:rPr>
                <w:color w:val="000000"/>
              </w:rPr>
            </w:pPr>
            <w:r w:rsidRPr="002047EA">
              <w:t>-</w:t>
            </w:r>
          </w:p>
        </w:tc>
        <w:tc>
          <w:tcPr>
            <w:tcW w:w="625" w:type="pct"/>
            <w:shd w:val="clear" w:color="auto" w:fill="auto"/>
            <w:tcMar>
              <w:left w:w="115" w:type="dxa"/>
              <w:right w:w="115" w:type="dxa"/>
            </w:tcMar>
          </w:tcPr>
          <w:p w:rsidR="00357E68" w:rsidRPr="002047EA" w:rsidP="00395C23" w14:paraId="6EE747D9" w14:textId="26E4598B">
            <w:pPr>
              <w:widowControl/>
              <w:autoSpaceDE/>
              <w:autoSpaceDN/>
              <w:adjustRightInd/>
              <w:jc w:val="center"/>
              <w:rPr>
                <w:color w:val="000000"/>
              </w:rPr>
            </w:pPr>
            <w:r>
              <w:t xml:space="preserve"> </w:t>
            </w:r>
            <w:r w:rsidRPr="00E35F7D">
              <w:rPr>
                <w:color w:val="000000" w:themeColor="text1"/>
              </w:rPr>
              <w:t>5,027</w:t>
            </w:r>
          </w:p>
        </w:tc>
        <w:tc>
          <w:tcPr>
            <w:tcW w:w="864" w:type="pct"/>
            <w:shd w:val="clear" w:color="auto" w:fill="auto"/>
            <w:tcMar>
              <w:left w:w="115" w:type="dxa"/>
              <w:right w:w="115" w:type="dxa"/>
            </w:tcMar>
          </w:tcPr>
          <w:p w:rsidR="00357E68" w:rsidRPr="002047EA" w:rsidP="5ECFBCA2" w14:paraId="39BC4758" w14:textId="4F99A40B">
            <w:pPr>
              <w:widowControl/>
              <w:spacing w:line="259" w:lineRule="auto"/>
              <w:jc w:val="center"/>
            </w:pPr>
            <w:r>
              <w:t xml:space="preserve"> </w:t>
            </w:r>
            <w:r w:rsidRPr="5ECFBCA2" w:rsidR="77FF1591">
              <w:rPr>
                <w:color w:val="000000" w:themeColor="text1"/>
              </w:rPr>
              <w:t>$1</w:t>
            </w:r>
            <w:r w:rsidR="135D2BA6">
              <w:t>44,334</w:t>
            </w:r>
          </w:p>
        </w:tc>
      </w:tr>
    </w:tbl>
    <w:p w:rsidR="00FA4698" w:rsidRPr="007E65CF" w:rsidP="00722B85" w14:paraId="7C3F2D3F" w14:textId="77777777">
      <w:pPr>
        <w:widowControl/>
        <w:rPr>
          <w:sz w:val="18"/>
          <w:szCs w:val="18"/>
        </w:rPr>
      </w:pPr>
      <w:r>
        <w:rPr>
          <w:sz w:val="18"/>
          <w:szCs w:val="18"/>
        </w:rPr>
        <w:t>Totals are the product of unrounded components</w:t>
      </w:r>
      <w:r w:rsidRPr="007E65CF">
        <w:rPr>
          <w:sz w:val="18"/>
          <w:szCs w:val="18"/>
        </w:rPr>
        <w:t>.</w:t>
      </w:r>
    </w:p>
    <w:p w:rsidR="004E7296" w:rsidP="00722B85" w14:paraId="1D97ED7F" w14:textId="77777777">
      <w:pPr>
        <w:widowControl/>
      </w:pPr>
    </w:p>
    <w:p w:rsidR="00DB06E6" w:rsidRPr="004973E1" w:rsidP="4B0E4898" w14:paraId="687EE625" w14:textId="567C5812">
      <w:pPr>
        <w:widowControl/>
      </w:pPr>
      <w:r>
        <w:t xml:space="preserve">The currently approved total burden for State verification of medical certification status is </w:t>
      </w:r>
      <w:r w:rsidR="6867B15D">
        <w:t>5,330</w:t>
      </w:r>
      <w:r>
        <w:t xml:space="preserve"> hours.  The new total of </w:t>
      </w:r>
      <w:r w:rsidR="3039A6D4">
        <w:t>5,027</w:t>
      </w:r>
      <w:r>
        <w:t xml:space="preserve"> represents a </w:t>
      </w:r>
      <w:r w:rsidR="311AF11C">
        <w:t>decrease</w:t>
      </w:r>
      <w:r>
        <w:t xml:space="preserve"> of </w:t>
      </w:r>
      <w:r w:rsidR="559127C6">
        <w:t>303</w:t>
      </w:r>
      <w:r>
        <w:t xml:space="preserve"> hours.  </w:t>
      </w:r>
    </w:p>
    <w:p w:rsidR="007B52ED" w:rsidP="00722B85" w14:paraId="674FFE71" w14:textId="77777777">
      <w:pPr>
        <w:widowControl/>
      </w:pPr>
    </w:p>
    <w:p w:rsidR="004E7296" w:rsidRPr="00B063E1" w:rsidP="00722B85" w14:paraId="02E12F90" w14:textId="77777777">
      <w:pPr>
        <w:widowControl/>
        <w:rPr>
          <w:b/>
        </w:rPr>
      </w:pPr>
      <w:r w:rsidRPr="00B063E1">
        <w:rPr>
          <w:b/>
        </w:rPr>
        <w:t>IC-2.4 Annual State certification of compliance</w:t>
      </w:r>
      <w:r w:rsidR="004E540D">
        <w:rPr>
          <w:b/>
        </w:rPr>
        <w:t xml:space="preserve"> </w:t>
      </w:r>
      <w:r w:rsidRPr="003E7BDB" w:rsidR="004E540D">
        <w:rPr>
          <w:b/>
          <w:bCs/>
        </w:rPr>
        <w:t>[49 CFR 384.305]</w:t>
      </w:r>
    </w:p>
    <w:p w:rsidR="00B063E1" w:rsidP="00722B85" w14:paraId="13EA5A1E" w14:textId="3CACB6BD">
      <w:pPr>
        <w:widowControl/>
      </w:pPr>
      <w:r>
        <w:t xml:space="preserve">On an annual basis, all 50 States and the District of Columbia must complete compliance documents for FMCSA officials to review and </w:t>
      </w:r>
      <w:r w:rsidRPr="00C41BDD" w:rsidR="004E7296">
        <w:t>ensure that the provisions of the regulations are being carried out</w:t>
      </w:r>
      <w:r>
        <w:t xml:space="preserve"> by the State</w:t>
      </w:r>
      <w:r w:rsidRPr="00C41BDD" w:rsidR="004E7296">
        <w:t>.</w:t>
      </w:r>
      <w:r>
        <w:t xml:space="preserve"> </w:t>
      </w:r>
      <w:r w:rsidRPr="00BB721B">
        <w:t>To estimate burden hour and burden costs associated with this task, the Agency relies on the assumptions and statistics outline</w:t>
      </w:r>
      <w:r w:rsidR="006A11E0">
        <w:t>d</w:t>
      </w:r>
      <w:r w:rsidRPr="00BB721B">
        <w:t xml:space="preserve"> above as well as the following</w:t>
      </w:r>
      <w:r w:rsidRPr="00F94A52" w:rsidR="00F94A52">
        <w:t xml:space="preserve"> </w:t>
      </w:r>
      <w:r w:rsidR="00F94A52">
        <w:t>assumptions</w:t>
      </w:r>
      <w:r w:rsidRPr="00BB721B">
        <w:t>:</w:t>
      </w:r>
    </w:p>
    <w:p w:rsidR="00B063E1" w:rsidRPr="00B063E1" w:rsidP="00722B85" w14:paraId="208FEA39" w14:textId="630DD79D">
      <w:pPr>
        <w:widowControl/>
        <w:numPr>
          <w:ilvl w:val="0"/>
          <w:numId w:val="15"/>
        </w:numPr>
      </w:pPr>
      <w:r>
        <w:t>An</w:t>
      </w:r>
      <w:r w:rsidR="004A4CE3">
        <w:t xml:space="preserve"> SDLA employee equivalent to a first-line s</w:t>
      </w:r>
      <w:r>
        <w:t>upervisor of office and administrative support workers (SOC 43-1011) will perform this task at a loaded hourly wage of $</w:t>
      </w:r>
      <w:r w:rsidR="6D7B67AB">
        <w:t>46.96</w:t>
      </w:r>
      <w:r>
        <w:t>.</w:t>
      </w:r>
    </w:p>
    <w:p w:rsidR="00B063E1" w:rsidP="00722B85" w14:paraId="4C195576" w14:textId="77777777">
      <w:pPr>
        <w:widowControl/>
        <w:numPr>
          <w:ilvl w:val="0"/>
          <w:numId w:val="15"/>
        </w:numPr>
      </w:pPr>
      <w:r w:rsidRPr="00B063E1">
        <w:t>It takes an estimated average of 32 hours to fill out compliance documents</w:t>
      </w:r>
      <w:r>
        <w:t>.</w:t>
      </w:r>
    </w:p>
    <w:p w:rsidR="00B063E1" w:rsidP="00722B85" w14:paraId="02F07806" w14:textId="77777777">
      <w:pPr>
        <w:widowControl/>
      </w:pPr>
    </w:p>
    <w:p w:rsidR="00B063E1" w:rsidP="00722B85" w14:paraId="5E391DB9" w14:textId="3714F822">
      <w:pPr>
        <w:widowControl/>
      </w:pPr>
      <w:r>
        <w:t xml:space="preserve">Annualized, IC-2.4 results in 51 responses (50 States + District of Columbia) and </w:t>
      </w:r>
      <w:r w:rsidR="00914BD1">
        <w:t>1,632</w:t>
      </w:r>
      <w:r>
        <w:t xml:space="preserve"> burden hours, at a cost of $</w:t>
      </w:r>
      <w:r w:rsidR="0826F45D">
        <w:t>76,644</w:t>
      </w:r>
      <w:r>
        <w:t xml:space="preserve"> (</w:t>
      </w:r>
      <w:r>
        <w:fldChar w:fldCharType="begin"/>
      </w:r>
      <w:r>
        <w:instrText xml:space="preserve"> REF _Ref508612201 \h  \* MERGEFORMAT </w:instrText>
      </w:r>
      <w:r>
        <w:fldChar w:fldCharType="separate"/>
      </w:r>
      <w:r w:rsidR="006A6CBC">
        <w:t xml:space="preserve">Table </w:t>
      </w:r>
      <w:r w:rsidRPr="5ECFBCA2" w:rsidR="006A6CBC">
        <w:rPr>
          <w:noProof/>
        </w:rPr>
        <w:t>14</w:t>
      </w:r>
      <w:r>
        <w:fldChar w:fldCharType="end"/>
      </w:r>
      <w:r>
        <w:t>).</w:t>
      </w:r>
    </w:p>
    <w:p w:rsidR="006C3234" w:rsidP="00722B85" w14:paraId="735B4DC8" w14:textId="77777777">
      <w:pPr>
        <w:widowControl/>
      </w:pPr>
    </w:p>
    <w:p w:rsidR="00B063E1" w:rsidP="00722B85" w14:paraId="50362E1B" w14:textId="77777777">
      <w:pPr>
        <w:widowControl/>
      </w:pPr>
    </w:p>
    <w:p w:rsidR="006B2E59" w:rsidP="00722B85" w14:paraId="0EBCF32D" w14:textId="6CE6C129">
      <w:pPr>
        <w:pStyle w:val="Caption"/>
        <w:keepNext/>
        <w:widowControl/>
      </w:pPr>
      <w:bookmarkStart w:id="27" w:name="_Ref508612201"/>
      <w:r w:rsidRPr="00D64E77">
        <w:t xml:space="preserve">Table </w:t>
      </w:r>
      <w:r>
        <w:fldChar w:fldCharType="begin"/>
      </w:r>
      <w:r>
        <w:instrText>SEQ Table \* ARABIC</w:instrText>
      </w:r>
      <w:r>
        <w:fldChar w:fldCharType="separate"/>
      </w:r>
      <w:r w:rsidR="006A6CBC">
        <w:rPr>
          <w:noProof/>
        </w:rPr>
        <w:t>14</w:t>
      </w:r>
      <w:r>
        <w:fldChar w:fldCharType="end"/>
      </w:r>
      <w:bookmarkEnd w:id="27"/>
      <w:r w:rsidRPr="00D64E77">
        <w:t xml:space="preserve">. Annual State </w:t>
      </w:r>
      <w:r w:rsidRPr="00D64E77" w:rsidR="002D66E6">
        <w:t xml:space="preserve">Certification of Compliance </w:t>
      </w:r>
      <w:r w:rsidRPr="00D64E77">
        <w:t>(IC-2.4)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337"/>
        <w:gridCol w:w="1317"/>
        <w:gridCol w:w="1224"/>
        <w:gridCol w:w="1064"/>
        <w:gridCol w:w="1006"/>
        <w:gridCol w:w="1037"/>
        <w:gridCol w:w="2365"/>
      </w:tblGrid>
      <w:tr w14:paraId="6A4B2737"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1050"/>
        </w:trPr>
        <w:tc>
          <w:tcPr>
            <w:tcW w:w="615" w:type="pct"/>
            <w:shd w:val="clear" w:color="auto" w:fill="E0E0E0"/>
            <w:tcMar>
              <w:left w:w="0" w:type="dxa"/>
              <w:right w:w="0" w:type="dxa"/>
            </w:tcMar>
            <w:vAlign w:val="bottom"/>
            <w:hideMark/>
          </w:tcPr>
          <w:p w:rsidR="00E35F7D" w:rsidRPr="00BB721B" w:rsidP="005312A0" w14:paraId="7180D1E0" w14:textId="77777777">
            <w:pPr>
              <w:widowControl/>
              <w:autoSpaceDE/>
              <w:autoSpaceDN/>
              <w:adjustRightInd/>
              <w:jc w:val="center"/>
              <w:rPr>
                <w:b/>
                <w:bCs/>
                <w:color w:val="000000"/>
              </w:rPr>
            </w:pPr>
            <w:r w:rsidRPr="00BB721B">
              <w:rPr>
                <w:b/>
                <w:bCs/>
                <w:color w:val="000000"/>
              </w:rPr>
              <w:t>Year</w:t>
            </w:r>
          </w:p>
        </w:tc>
        <w:tc>
          <w:tcPr>
            <w:tcW w:w="612" w:type="pct"/>
            <w:shd w:val="clear" w:color="auto" w:fill="E0E0E0"/>
            <w:tcMar>
              <w:left w:w="0" w:type="dxa"/>
              <w:right w:w="0" w:type="dxa"/>
            </w:tcMar>
            <w:vAlign w:val="bottom"/>
            <w:hideMark/>
          </w:tcPr>
          <w:p w:rsidR="00E35F7D" w:rsidRPr="00BB721B" w:rsidP="005312A0" w14:paraId="76007476" w14:textId="77777777">
            <w:pPr>
              <w:widowControl/>
              <w:autoSpaceDE/>
              <w:autoSpaceDN/>
              <w:adjustRightInd/>
              <w:jc w:val="center"/>
              <w:rPr>
                <w:b/>
                <w:bCs/>
                <w:color w:val="000000"/>
              </w:rPr>
            </w:pPr>
            <w:r w:rsidRPr="00BB721B">
              <w:rPr>
                <w:b/>
                <w:bCs/>
                <w:color w:val="000000"/>
              </w:rPr>
              <w:t>Number of Respondents</w:t>
            </w:r>
            <w:r w:rsidRPr="00BB721B">
              <w:rPr>
                <w:b/>
                <w:bCs/>
                <w:color w:val="000000"/>
              </w:rPr>
              <w:br/>
              <w:t>(a)</w:t>
            </w:r>
          </w:p>
        </w:tc>
        <w:tc>
          <w:tcPr>
            <w:tcW w:w="613" w:type="pct"/>
            <w:shd w:val="clear" w:color="auto" w:fill="E0E0E0"/>
            <w:tcMar>
              <w:left w:w="0" w:type="dxa"/>
              <w:right w:w="0" w:type="dxa"/>
            </w:tcMar>
            <w:vAlign w:val="bottom"/>
            <w:hideMark/>
          </w:tcPr>
          <w:p w:rsidR="00E35F7D" w:rsidRPr="00BB721B" w:rsidP="005312A0" w14:paraId="0A80B6E6" w14:textId="77777777">
            <w:pPr>
              <w:widowControl/>
              <w:autoSpaceDE/>
              <w:autoSpaceDN/>
              <w:adjustRightInd/>
              <w:jc w:val="center"/>
              <w:rPr>
                <w:b/>
                <w:bCs/>
                <w:color w:val="000000"/>
              </w:rPr>
            </w:pPr>
            <w:r w:rsidRPr="00BB721B">
              <w:rPr>
                <w:b/>
                <w:bCs/>
                <w:color w:val="000000"/>
              </w:rPr>
              <w:t>Responses per Respondent</w:t>
            </w:r>
            <w:r w:rsidRPr="00BB721B">
              <w:rPr>
                <w:b/>
                <w:bCs/>
                <w:color w:val="000000"/>
              </w:rPr>
              <w:br/>
              <w:t>(b)</w:t>
            </w:r>
          </w:p>
        </w:tc>
        <w:tc>
          <w:tcPr>
            <w:tcW w:w="611" w:type="pct"/>
            <w:shd w:val="clear" w:color="auto" w:fill="E0E0E0"/>
            <w:tcMar>
              <w:left w:w="0" w:type="dxa"/>
              <w:right w:w="0" w:type="dxa"/>
            </w:tcMar>
            <w:vAlign w:val="bottom"/>
            <w:hideMark/>
          </w:tcPr>
          <w:p w:rsidR="00E35F7D" w:rsidRPr="00BB721B" w:rsidP="005312A0" w14:paraId="06F55BEB" w14:textId="77777777">
            <w:pPr>
              <w:widowControl/>
              <w:autoSpaceDE/>
              <w:autoSpaceDN/>
              <w:adjustRightInd/>
              <w:jc w:val="center"/>
              <w:rPr>
                <w:b/>
                <w:bCs/>
                <w:color w:val="000000"/>
              </w:rPr>
            </w:pPr>
            <w:r w:rsidRPr="00BB721B">
              <w:rPr>
                <w:b/>
                <w:bCs/>
                <w:color w:val="000000"/>
              </w:rPr>
              <w:t>Total Annual Responses</w:t>
            </w:r>
            <w:r w:rsidRPr="00BB721B">
              <w:rPr>
                <w:b/>
                <w:bCs/>
                <w:color w:val="000000"/>
              </w:rPr>
              <w:br/>
              <w:t>(a × b = c)</w:t>
            </w:r>
          </w:p>
        </w:tc>
        <w:tc>
          <w:tcPr>
            <w:tcW w:w="613" w:type="pct"/>
            <w:shd w:val="clear" w:color="auto" w:fill="E0E0E0"/>
            <w:tcMar>
              <w:left w:w="0" w:type="dxa"/>
              <w:right w:w="0" w:type="dxa"/>
            </w:tcMar>
            <w:vAlign w:val="bottom"/>
            <w:hideMark/>
          </w:tcPr>
          <w:p w:rsidR="00E35F7D" w:rsidRPr="00BB721B" w:rsidP="005312A0" w14:paraId="0DD3E8FE" w14:textId="77777777">
            <w:pPr>
              <w:widowControl/>
              <w:autoSpaceDE/>
              <w:autoSpaceDN/>
              <w:adjustRightInd/>
              <w:jc w:val="center"/>
              <w:rPr>
                <w:b/>
                <w:bCs/>
                <w:color w:val="000000"/>
              </w:rPr>
            </w:pPr>
            <w:r w:rsidRPr="00BB721B">
              <w:rPr>
                <w:b/>
                <w:bCs/>
                <w:color w:val="000000"/>
              </w:rPr>
              <w:t>Burden Hours per Response</w:t>
            </w:r>
            <w:r w:rsidRPr="00BB721B">
              <w:rPr>
                <w:b/>
                <w:bCs/>
                <w:color w:val="000000"/>
              </w:rPr>
              <w:br/>
              <w:t>(d)</w:t>
            </w:r>
          </w:p>
        </w:tc>
        <w:tc>
          <w:tcPr>
            <w:tcW w:w="613" w:type="pct"/>
            <w:shd w:val="clear" w:color="auto" w:fill="E0E0E0"/>
            <w:tcMar>
              <w:left w:w="0" w:type="dxa"/>
              <w:right w:w="0" w:type="dxa"/>
            </w:tcMar>
            <w:vAlign w:val="bottom"/>
            <w:hideMark/>
          </w:tcPr>
          <w:p w:rsidR="00E35F7D" w:rsidRPr="00BB721B" w:rsidP="005312A0" w14:paraId="159E089B" w14:textId="77777777">
            <w:pPr>
              <w:widowControl/>
              <w:autoSpaceDE/>
              <w:autoSpaceDN/>
              <w:adjustRightInd/>
              <w:jc w:val="center"/>
              <w:rPr>
                <w:b/>
                <w:bCs/>
                <w:color w:val="000000"/>
              </w:rPr>
            </w:pPr>
            <w:r w:rsidRPr="00BB721B">
              <w:rPr>
                <w:b/>
                <w:bCs/>
                <w:color w:val="000000"/>
              </w:rPr>
              <w:t>Total Annual Burden Hours</w:t>
            </w:r>
            <w:r w:rsidRPr="00BB721B">
              <w:rPr>
                <w:b/>
                <w:bCs/>
                <w:color w:val="000000"/>
              </w:rPr>
              <w:br/>
              <w:t>(c × d = e)</w:t>
            </w:r>
          </w:p>
        </w:tc>
        <w:tc>
          <w:tcPr>
            <w:tcW w:w="1323" w:type="pct"/>
            <w:shd w:val="clear" w:color="auto" w:fill="E0E0E0"/>
            <w:tcMar>
              <w:left w:w="0" w:type="dxa"/>
              <w:right w:w="0" w:type="dxa"/>
            </w:tcMar>
            <w:vAlign w:val="bottom"/>
            <w:hideMark/>
          </w:tcPr>
          <w:p w:rsidR="00E35F7D" w:rsidRPr="00BB721B" w:rsidP="005312A0" w14:paraId="6ABCDBDA" w14:textId="1579B9F7">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7AA39E8C">
              <w:rPr>
                <w:b/>
                <w:bCs/>
                <w:color w:val="000000" w:themeColor="text1"/>
              </w:rPr>
              <w:t>46.96</w:t>
            </w:r>
            <w:r w:rsidRPr="5ECFBCA2" w:rsidR="790EC570">
              <w:rPr>
                <w:b/>
                <w:bCs/>
                <w:color w:val="000000" w:themeColor="text1"/>
              </w:rPr>
              <w:t xml:space="preserve"> </w:t>
            </w:r>
            <w:r w:rsidRPr="5ECFBCA2">
              <w:rPr>
                <w:b/>
                <w:bCs/>
                <w:color w:val="000000" w:themeColor="text1"/>
              </w:rPr>
              <w:t>= f)</w:t>
            </w:r>
          </w:p>
        </w:tc>
      </w:tr>
      <w:tr w14:paraId="0B30C255" w14:textId="77777777" w:rsidTr="5ECFBCA2">
        <w:tblPrEx>
          <w:tblW w:w="5000" w:type="pct"/>
          <w:tblCellMar>
            <w:left w:w="29" w:type="dxa"/>
            <w:right w:w="29" w:type="dxa"/>
          </w:tblCellMar>
          <w:tblLook w:val="04A0"/>
        </w:tblPrEx>
        <w:trPr>
          <w:trHeight w:val="270"/>
        </w:trPr>
        <w:tc>
          <w:tcPr>
            <w:tcW w:w="615" w:type="pct"/>
            <w:shd w:val="clear" w:color="auto" w:fill="auto"/>
            <w:tcMar>
              <w:left w:w="115" w:type="dxa"/>
              <w:right w:w="115" w:type="dxa"/>
            </w:tcMar>
            <w:vAlign w:val="bottom"/>
            <w:hideMark/>
          </w:tcPr>
          <w:p w:rsidR="00E35F7D" w:rsidRPr="00BB721B" w:rsidP="005312A0" w14:paraId="602C4DD5" w14:textId="77777777">
            <w:pPr>
              <w:widowControl/>
              <w:autoSpaceDE/>
              <w:autoSpaceDN/>
              <w:adjustRightInd/>
              <w:jc w:val="center"/>
              <w:rPr>
                <w:color w:val="000000"/>
              </w:rPr>
            </w:pPr>
            <w:r w:rsidRPr="00BB721B">
              <w:rPr>
                <w:color w:val="000000"/>
              </w:rPr>
              <w:t>1</w:t>
            </w:r>
          </w:p>
        </w:tc>
        <w:tc>
          <w:tcPr>
            <w:tcW w:w="612" w:type="pct"/>
            <w:shd w:val="clear" w:color="auto" w:fill="auto"/>
            <w:tcMar>
              <w:left w:w="115" w:type="dxa"/>
              <w:right w:w="115" w:type="dxa"/>
            </w:tcMar>
          </w:tcPr>
          <w:p w:rsidR="00E35F7D" w:rsidRPr="002047EA" w:rsidP="005312A0" w14:paraId="1EB2D0F4" w14:textId="77777777">
            <w:pPr>
              <w:widowControl/>
              <w:autoSpaceDE/>
              <w:autoSpaceDN/>
              <w:adjustRightInd/>
              <w:jc w:val="center"/>
              <w:rPr>
                <w:color w:val="000000"/>
              </w:rPr>
            </w:pPr>
            <w:r w:rsidRPr="00D64E77">
              <w:t>51</w:t>
            </w:r>
          </w:p>
        </w:tc>
        <w:tc>
          <w:tcPr>
            <w:tcW w:w="613" w:type="pct"/>
            <w:shd w:val="clear" w:color="auto" w:fill="auto"/>
            <w:tcMar>
              <w:left w:w="115" w:type="dxa"/>
              <w:right w:w="115" w:type="dxa"/>
            </w:tcMar>
          </w:tcPr>
          <w:p w:rsidR="00E35F7D" w:rsidRPr="002047EA" w:rsidP="005312A0" w14:paraId="4D06DBAF" w14:textId="77777777">
            <w:pPr>
              <w:widowControl/>
              <w:autoSpaceDE/>
              <w:autoSpaceDN/>
              <w:adjustRightInd/>
              <w:jc w:val="center"/>
              <w:rPr>
                <w:color w:val="000000"/>
              </w:rPr>
            </w:pPr>
            <w:r w:rsidRPr="002047EA">
              <w:t>1</w:t>
            </w:r>
          </w:p>
        </w:tc>
        <w:tc>
          <w:tcPr>
            <w:tcW w:w="611" w:type="pct"/>
            <w:shd w:val="clear" w:color="auto" w:fill="auto"/>
            <w:tcMar>
              <w:left w:w="115" w:type="dxa"/>
              <w:right w:w="115" w:type="dxa"/>
            </w:tcMar>
          </w:tcPr>
          <w:p w:rsidR="00E35F7D" w:rsidRPr="002047EA" w:rsidP="005312A0" w14:paraId="1B26A783" w14:textId="77777777">
            <w:pPr>
              <w:widowControl/>
              <w:autoSpaceDE/>
              <w:autoSpaceDN/>
              <w:adjustRightInd/>
              <w:jc w:val="center"/>
              <w:rPr>
                <w:color w:val="000000"/>
              </w:rPr>
            </w:pPr>
            <w:r w:rsidRPr="00D64E77">
              <w:t>51</w:t>
            </w:r>
          </w:p>
        </w:tc>
        <w:tc>
          <w:tcPr>
            <w:tcW w:w="613" w:type="pct"/>
            <w:shd w:val="clear" w:color="auto" w:fill="auto"/>
            <w:tcMar>
              <w:left w:w="115" w:type="dxa"/>
              <w:right w:w="115" w:type="dxa"/>
            </w:tcMar>
          </w:tcPr>
          <w:p w:rsidR="00E35F7D" w:rsidRPr="002047EA" w:rsidP="005312A0" w14:paraId="34F50563" w14:textId="77777777">
            <w:pPr>
              <w:widowControl/>
              <w:autoSpaceDE/>
              <w:autoSpaceDN/>
              <w:adjustRightInd/>
              <w:jc w:val="center"/>
              <w:rPr>
                <w:color w:val="000000"/>
              </w:rPr>
            </w:pPr>
            <w:r w:rsidRPr="002047EA">
              <w:t>32</w:t>
            </w:r>
          </w:p>
        </w:tc>
        <w:tc>
          <w:tcPr>
            <w:tcW w:w="613" w:type="pct"/>
            <w:shd w:val="clear" w:color="auto" w:fill="auto"/>
            <w:tcMar>
              <w:left w:w="115" w:type="dxa"/>
              <w:right w:w="115" w:type="dxa"/>
            </w:tcMar>
          </w:tcPr>
          <w:p w:rsidR="00E35F7D" w:rsidRPr="002047EA" w:rsidP="005312A0" w14:paraId="36DC74AB" w14:textId="77777777">
            <w:pPr>
              <w:widowControl/>
              <w:autoSpaceDE/>
              <w:autoSpaceDN/>
              <w:adjustRightInd/>
              <w:jc w:val="center"/>
              <w:rPr>
                <w:color w:val="000000"/>
              </w:rPr>
            </w:pPr>
            <w:r w:rsidRPr="002047EA">
              <w:t>1,632</w:t>
            </w:r>
          </w:p>
        </w:tc>
        <w:tc>
          <w:tcPr>
            <w:tcW w:w="1323" w:type="pct"/>
            <w:shd w:val="clear" w:color="auto" w:fill="auto"/>
            <w:tcMar>
              <w:left w:w="115" w:type="dxa"/>
              <w:right w:w="115" w:type="dxa"/>
            </w:tcMar>
          </w:tcPr>
          <w:p w:rsidR="00E35F7D" w:rsidRPr="002047EA" w:rsidP="005312A0" w14:paraId="42748575" w14:textId="1A111AD1">
            <w:pPr>
              <w:widowControl/>
              <w:autoSpaceDE/>
              <w:autoSpaceDN/>
              <w:adjustRightInd/>
              <w:jc w:val="center"/>
              <w:rPr>
                <w:color w:val="000000"/>
              </w:rPr>
            </w:pPr>
            <w:r>
              <w:t xml:space="preserve"> </w:t>
            </w:r>
            <w:r w:rsidRPr="5ECFBCA2" w:rsidR="790EC570">
              <w:rPr>
                <w:color w:val="000000" w:themeColor="text1"/>
              </w:rPr>
              <w:t>$</w:t>
            </w:r>
            <w:r w:rsidRPr="5ECFBCA2" w:rsidR="7C4E20F6">
              <w:rPr>
                <w:color w:val="000000" w:themeColor="text1"/>
              </w:rPr>
              <w:t>76,644</w:t>
            </w:r>
          </w:p>
        </w:tc>
      </w:tr>
      <w:tr w14:paraId="19295656" w14:textId="77777777" w:rsidTr="5ECFBCA2">
        <w:tblPrEx>
          <w:tblW w:w="5000" w:type="pct"/>
          <w:tblCellMar>
            <w:left w:w="29" w:type="dxa"/>
            <w:right w:w="29" w:type="dxa"/>
          </w:tblCellMar>
          <w:tblLook w:val="04A0"/>
        </w:tblPrEx>
        <w:trPr>
          <w:trHeight w:val="270"/>
        </w:trPr>
        <w:tc>
          <w:tcPr>
            <w:tcW w:w="615" w:type="pct"/>
            <w:shd w:val="clear" w:color="auto" w:fill="auto"/>
            <w:tcMar>
              <w:left w:w="115" w:type="dxa"/>
              <w:right w:w="115" w:type="dxa"/>
            </w:tcMar>
            <w:vAlign w:val="bottom"/>
            <w:hideMark/>
          </w:tcPr>
          <w:p w:rsidR="00E35F7D" w:rsidRPr="00BB721B" w:rsidP="005312A0" w14:paraId="689BEEC6" w14:textId="77777777">
            <w:pPr>
              <w:widowControl/>
              <w:autoSpaceDE/>
              <w:autoSpaceDN/>
              <w:adjustRightInd/>
              <w:jc w:val="center"/>
              <w:rPr>
                <w:color w:val="000000"/>
              </w:rPr>
            </w:pPr>
            <w:r w:rsidRPr="00BB721B">
              <w:rPr>
                <w:color w:val="000000"/>
              </w:rPr>
              <w:t>2</w:t>
            </w:r>
          </w:p>
        </w:tc>
        <w:tc>
          <w:tcPr>
            <w:tcW w:w="612" w:type="pct"/>
            <w:shd w:val="clear" w:color="auto" w:fill="auto"/>
            <w:tcMar>
              <w:left w:w="115" w:type="dxa"/>
              <w:right w:w="115" w:type="dxa"/>
            </w:tcMar>
          </w:tcPr>
          <w:p w:rsidR="00E35F7D" w:rsidRPr="002047EA" w:rsidP="005312A0" w14:paraId="41240F1A" w14:textId="77777777">
            <w:pPr>
              <w:widowControl/>
              <w:autoSpaceDE/>
              <w:autoSpaceDN/>
              <w:adjustRightInd/>
              <w:jc w:val="center"/>
              <w:rPr>
                <w:color w:val="000000"/>
              </w:rPr>
            </w:pPr>
            <w:r w:rsidRPr="00D64E77">
              <w:t>51</w:t>
            </w:r>
          </w:p>
        </w:tc>
        <w:tc>
          <w:tcPr>
            <w:tcW w:w="613" w:type="pct"/>
            <w:shd w:val="clear" w:color="auto" w:fill="auto"/>
            <w:tcMar>
              <w:left w:w="115" w:type="dxa"/>
              <w:right w:w="115" w:type="dxa"/>
            </w:tcMar>
          </w:tcPr>
          <w:p w:rsidR="00E35F7D" w:rsidRPr="002047EA" w:rsidP="005312A0" w14:paraId="1F6424E0" w14:textId="77777777">
            <w:pPr>
              <w:widowControl/>
              <w:autoSpaceDE/>
              <w:autoSpaceDN/>
              <w:adjustRightInd/>
              <w:jc w:val="center"/>
              <w:rPr>
                <w:color w:val="000000"/>
              </w:rPr>
            </w:pPr>
            <w:r w:rsidRPr="002047EA">
              <w:t>1</w:t>
            </w:r>
          </w:p>
        </w:tc>
        <w:tc>
          <w:tcPr>
            <w:tcW w:w="611" w:type="pct"/>
            <w:shd w:val="clear" w:color="auto" w:fill="auto"/>
            <w:tcMar>
              <w:left w:w="115" w:type="dxa"/>
              <w:right w:w="115" w:type="dxa"/>
            </w:tcMar>
          </w:tcPr>
          <w:p w:rsidR="00E35F7D" w:rsidRPr="002047EA" w:rsidP="005312A0" w14:paraId="5FE76357" w14:textId="77777777">
            <w:pPr>
              <w:widowControl/>
              <w:autoSpaceDE/>
              <w:autoSpaceDN/>
              <w:adjustRightInd/>
              <w:jc w:val="center"/>
              <w:rPr>
                <w:color w:val="000000"/>
              </w:rPr>
            </w:pPr>
            <w:r w:rsidRPr="00D64E77">
              <w:t>51</w:t>
            </w:r>
          </w:p>
        </w:tc>
        <w:tc>
          <w:tcPr>
            <w:tcW w:w="613" w:type="pct"/>
            <w:shd w:val="clear" w:color="auto" w:fill="auto"/>
            <w:tcMar>
              <w:left w:w="115" w:type="dxa"/>
              <w:right w:w="115" w:type="dxa"/>
            </w:tcMar>
          </w:tcPr>
          <w:p w:rsidR="00E35F7D" w:rsidRPr="002047EA" w:rsidP="005312A0" w14:paraId="4ADAE2C3" w14:textId="77777777">
            <w:pPr>
              <w:widowControl/>
              <w:autoSpaceDE/>
              <w:autoSpaceDN/>
              <w:adjustRightInd/>
              <w:jc w:val="center"/>
              <w:rPr>
                <w:color w:val="000000"/>
              </w:rPr>
            </w:pPr>
            <w:r w:rsidRPr="002047EA">
              <w:t>32</w:t>
            </w:r>
          </w:p>
        </w:tc>
        <w:tc>
          <w:tcPr>
            <w:tcW w:w="613" w:type="pct"/>
            <w:shd w:val="clear" w:color="auto" w:fill="auto"/>
            <w:tcMar>
              <w:left w:w="115" w:type="dxa"/>
              <w:right w:w="115" w:type="dxa"/>
            </w:tcMar>
          </w:tcPr>
          <w:p w:rsidR="00E35F7D" w:rsidRPr="002047EA" w:rsidP="005312A0" w14:paraId="4A3A2ABB" w14:textId="77777777">
            <w:pPr>
              <w:widowControl/>
              <w:autoSpaceDE/>
              <w:autoSpaceDN/>
              <w:adjustRightInd/>
              <w:jc w:val="center"/>
              <w:rPr>
                <w:color w:val="000000"/>
              </w:rPr>
            </w:pPr>
            <w:r w:rsidRPr="002047EA">
              <w:t>1,632</w:t>
            </w:r>
          </w:p>
        </w:tc>
        <w:tc>
          <w:tcPr>
            <w:tcW w:w="1323" w:type="pct"/>
            <w:shd w:val="clear" w:color="auto" w:fill="auto"/>
            <w:tcMar>
              <w:left w:w="115" w:type="dxa"/>
              <w:right w:w="115" w:type="dxa"/>
            </w:tcMar>
          </w:tcPr>
          <w:p w:rsidR="00E35F7D" w:rsidRPr="002047EA" w:rsidP="5ECFBCA2" w14:paraId="3486243F" w14:textId="2F899059">
            <w:pPr>
              <w:widowControl/>
              <w:spacing w:line="259" w:lineRule="auto"/>
              <w:jc w:val="center"/>
            </w:pPr>
            <w:r>
              <w:t xml:space="preserve"> </w:t>
            </w:r>
            <w:r w:rsidRPr="5ECFBCA2">
              <w:rPr>
                <w:color w:val="000000" w:themeColor="text1"/>
              </w:rPr>
              <w:t>$</w:t>
            </w:r>
            <w:r w:rsidR="530A6B68">
              <w:t>76,644</w:t>
            </w:r>
          </w:p>
        </w:tc>
      </w:tr>
      <w:tr w14:paraId="7853CDFC" w14:textId="77777777" w:rsidTr="5ECFBCA2">
        <w:tblPrEx>
          <w:tblW w:w="5000" w:type="pct"/>
          <w:tblCellMar>
            <w:left w:w="29" w:type="dxa"/>
            <w:right w:w="29" w:type="dxa"/>
          </w:tblCellMar>
          <w:tblLook w:val="04A0"/>
        </w:tblPrEx>
        <w:trPr>
          <w:trHeight w:val="270"/>
        </w:trPr>
        <w:tc>
          <w:tcPr>
            <w:tcW w:w="615" w:type="pct"/>
            <w:shd w:val="clear" w:color="auto" w:fill="auto"/>
            <w:tcMar>
              <w:left w:w="115" w:type="dxa"/>
              <w:right w:w="115" w:type="dxa"/>
            </w:tcMar>
            <w:vAlign w:val="bottom"/>
            <w:hideMark/>
          </w:tcPr>
          <w:p w:rsidR="00E35F7D" w:rsidRPr="00BB721B" w:rsidP="005312A0" w14:paraId="61E1E5BA" w14:textId="77777777">
            <w:pPr>
              <w:widowControl/>
              <w:autoSpaceDE/>
              <w:autoSpaceDN/>
              <w:adjustRightInd/>
              <w:jc w:val="center"/>
              <w:rPr>
                <w:color w:val="000000"/>
              </w:rPr>
            </w:pPr>
            <w:r w:rsidRPr="00BB721B">
              <w:rPr>
                <w:color w:val="000000"/>
              </w:rPr>
              <w:t>3</w:t>
            </w:r>
          </w:p>
        </w:tc>
        <w:tc>
          <w:tcPr>
            <w:tcW w:w="612" w:type="pct"/>
            <w:shd w:val="clear" w:color="auto" w:fill="auto"/>
            <w:tcMar>
              <w:left w:w="115" w:type="dxa"/>
              <w:right w:w="115" w:type="dxa"/>
            </w:tcMar>
          </w:tcPr>
          <w:p w:rsidR="00E35F7D" w:rsidRPr="002047EA" w:rsidP="005312A0" w14:paraId="3236EB29" w14:textId="77777777">
            <w:pPr>
              <w:widowControl/>
              <w:autoSpaceDE/>
              <w:autoSpaceDN/>
              <w:adjustRightInd/>
              <w:jc w:val="center"/>
              <w:rPr>
                <w:color w:val="000000"/>
              </w:rPr>
            </w:pPr>
            <w:r w:rsidRPr="00D64E77">
              <w:t>51</w:t>
            </w:r>
          </w:p>
        </w:tc>
        <w:tc>
          <w:tcPr>
            <w:tcW w:w="613" w:type="pct"/>
            <w:shd w:val="clear" w:color="auto" w:fill="auto"/>
            <w:tcMar>
              <w:left w:w="115" w:type="dxa"/>
              <w:right w:w="115" w:type="dxa"/>
            </w:tcMar>
          </w:tcPr>
          <w:p w:rsidR="00E35F7D" w:rsidRPr="002047EA" w:rsidP="005312A0" w14:paraId="7FE84E85" w14:textId="77777777">
            <w:pPr>
              <w:widowControl/>
              <w:autoSpaceDE/>
              <w:autoSpaceDN/>
              <w:adjustRightInd/>
              <w:jc w:val="center"/>
              <w:rPr>
                <w:color w:val="000000"/>
              </w:rPr>
            </w:pPr>
            <w:r w:rsidRPr="002047EA">
              <w:t>1</w:t>
            </w:r>
          </w:p>
        </w:tc>
        <w:tc>
          <w:tcPr>
            <w:tcW w:w="611" w:type="pct"/>
            <w:shd w:val="clear" w:color="auto" w:fill="auto"/>
            <w:tcMar>
              <w:left w:w="115" w:type="dxa"/>
              <w:right w:w="115" w:type="dxa"/>
            </w:tcMar>
          </w:tcPr>
          <w:p w:rsidR="00E35F7D" w:rsidRPr="002047EA" w:rsidP="005312A0" w14:paraId="0E19413A" w14:textId="77777777">
            <w:pPr>
              <w:widowControl/>
              <w:autoSpaceDE/>
              <w:autoSpaceDN/>
              <w:adjustRightInd/>
              <w:jc w:val="center"/>
              <w:rPr>
                <w:color w:val="000000"/>
              </w:rPr>
            </w:pPr>
            <w:r w:rsidRPr="00D64E77">
              <w:t>51</w:t>
            </w:r>
          </w:p>
        </w:tc>
        <w:tc>
          <w:tcPr>
            <w:tcW w:w="613" w:type="pct"/>
            <w:shd w:val="clear" w:color="auto" w:fill="auto"/>
            <w:tcMar>
              <w:left w:w="115" w:type="dxa"/>
              <w:right w:w="115" w:type="dxa"/>
            </w:tcMar>
          </w:tcPr>
          <w:p w:rsidR="00E35F7D" w:rsidRPr="002047EA" w:rsidP="005312A0" w14:paraId="79E7F9C0" w14:textId="77777777">
            <w:pPr>
              <w:widowControl/>
              <w:autoSpaceDE/>
              <w:autoSpaceDN/>
              <w:adjustRightInd/>
              <w:jc w:val="center"/>
              <w:rPr>
                <w:color w:val="000000"/>
              </w:rPr>
            </w:pPr>
            <w:r w:rsidRPr="002047EA">
              <w:t>32</w:t>
            </w:r>
          </w:p>
        </w:tc>
        <w:tc>
          <w:tcPr>
            <w:tcW w:w="613" w:type="pct"/>
            <w:shd w:val="clear" w:color="auto" w:fill="auto"/>
            <w:tcMar>
              <w:left w:w="115" w:type="dxa"/>
              <w:right w:w="115" w:type="dxa"/>
            </w:tcMar>
          </w:tcPr>
          <w:p w:rsidR="00E35F7D" w:rsidRPr="002047EA" w:rsidP="005312A0" w14:paraId="536536FB" w14:textId="77777777">
            <w:pPr>
              <w:widowControl/>
              <w:autoSpaceDE/>
              <w:autoSpaceDN/>
              <w:adjustRightInd/>
              <w:jc w:val="center"/>
              <w:rPr>
                <w:color w:val="000000"/>
              </w:rPr>
            </w:pPr>
            <w:r w:rsidRPr="002047EA">
              <w:t>1,632</w:t>
            </w:r>
          </w:p>
        </w:tc>
        <w:tc>
          <w:tcPr>
            <w:tcW w:w="1323" w:type="pct"/>
            <w:shd w:val="clear" w:color="auto" w:fill="auto"/>
            <w:tcMar>
              <w:left w:w="115" w:type="dxa"/>
              <w:right w:w="115" w:type="dxa"/>
            </w:tcMar>
          </w:tcPr>
          <w:p w:rsidR="00E35F7D" w:rsidRPr="002047EA" w:rsidP="5ECFBCA2" w14:paraId="6CFB1B50" w14:textId="2E28E3CE">
            <w:pPr>
              <w:widowControl/>
              <w:spacing w:line="259" w:lineRule="auto"/>
              <w:jc w:val="center"/>
            </w:pPr>
            <w:r>
              <w:t xml:space="preserve"> </w:t>
            </w:r>
            <w:r w:rsidRPr="5ECFBCA2">
              <w:rPr>
                <w:color w:val="000000" w:themeColor="text1"/>
              </w:rPr>
              <w:t>$</w:t>
            </w:r>
            <w:r w:rsidR="24A6FA86">
              <w:t>76,644</w:t>
            </w:r>
          </w:p>
        </w:tc>
      </w:tr>
      <w:tr w14:paraId="504B3A7C" w14:textId="77777777" w:rsidTr="5ECFBCA2">
        <w:tblPrEx>
          <w:tblW w:w="5000" w:type="pct"/>
          <w:tblCellMar>
            <w:left w:w="29" w:type="dxa"/>
            <w:right w:w="29" w:type="dxa"/>
          </w:tblCellMar>
          <w:tblLook w:val="04A0"/>
        </w:tblPrEx>
        <w:trPr>
          <w:trHeight w:val="270"/>
        </w:trPr>
        <w:tc>
          <w:tcPr>
            <w:tcW w:w="615" w:type="pct"/>
            <w:shd w:val="clear" w:color="auto" w:fill="auto"/>
            <w:tcMar>
              <w:left w:w="115" w:type="dxa"/>
              <w:right w:w="115" w:type="dxa"/>
            </w:tcMar>
            <w:vAlign w:val="bottom"/>
            <w:hideMark/>
          </w:tcPr>
          <w:p w:rsidR="00E35F7D" w:rsidRPr="00BB721B" w:rsidP="005312A0" w14:paraId="42123B8D" w14:textId="77777777">
            <w:pPr>
              <w:widowControl/>
              <w:autoSpaceDE/>
              <w:autoSpaceDN/>
              <w:adjustRightInd/>
              <w:jc w:val="center"/>
              <w:rPr>
                <w:color w:val="000000"/>
              </w:rPr>
            </w:pPr>
            <w:r w:rsidRPr="00BB721B">
              <w:rPr>
                <w:color w:val="000000"/>
              </w:rPr>
              <w:t>Total</w:t>
            </w:r>
          </w:p>
        </w:tc>
        <w:tc>
          <w:tcPr>
            <w:tcW w:w="612" w:type="pct"/>
            <w:shd w:val="clear" w:color="auto" w:fill="auto"/>
            <w:tcMar>
              <w:left w:w="115" w:type="dxa"/>
              <w:right w:w="115" w:type="dxa"/>
            </w:tcMar>
          </w:tcPr>
          <w:p w:rsidR="00E35F7D" w:rsidRPr="002047EA" w:rsidP="005312A0" w14:paraId="50836591" w14:textId="77777777">
            <w:pPr>
              <w:widowControl/>
              <w:autoSpaceDE/>
              <w:autoSpaceDN/>
              <w:adjustRightInd/>
              <w:jc w:val="center"/>
              <w:rPr>
                <w:color w:val="000000"/>
              </w:rPr>
            </w:pPr>
            <w:r w:rsidRPr="00D64E77">
              <w:t>153</w:t>
            </w:r>
          </w:p>
        </w:tc>
        <w:tc>
          <w:tcPr>
            <w:tcW w:w="613" w:type="pct"/>
            <w:shd w:val="clear" w:color="auto" w:fill="auto"/>
            <w:tcMar>
              <w:left w:w="115" w:type="dxa"/>
              <w:right w:w="115" w:type="dxa"/>
            </w:tcMar>
          </w:tcPr>
          <w:p w:rsidR="00E35F7D" w:rsidRPr="002047EA" w:rsidP="005312A0" w14:paraId="5BDC413E" w14:textId="77777777">
            <w:pPr>
              <w:widowControl/>
              <w:autoSpaceDE/>
              <w:autoSpaceDN/>
              <w:adjustRightInd/>
              <w:jc w:val="center"/>
              <w:rPr>
                <w:color w:val="000000"/>
              </w:rPr>
            </w:pPr>
            <w:r w:rsidRPr="002047EA">
              <w:t>-</w:t>
            </w:r>
          </w:p>
        </w:tc>
        <w:tc>
          <w:tcPr>
            <w:tcW w:w="611" w:type="pct"/>
            <w:shd w:val="clear" w:color="auto" w:fill="auto"/>
            <w:tcMar>
              <w:left w:w="115" w:type="dxa"/>
              <w:right w:w="115" w:type="dxa"/>
            </w:tcMar>
          </w:tcPr>
          <w:p w:rsidR="00E35F7D" w:rsidRPr="002047EA" w:rsidP="005312A0" w14:paraId="2BBFD200" w14:textId="77777777">
            <w:pPr>
              <w:widowControl/>
              <w:autoSpaceDE/>
              <w:autoSpaceDN/>
              <w:adjustRightInd/>
              <w:jc w:val="center"/>
              <w:rPr>
                <w:color w:val="000000"/>
              </w:rPr>
            </w:pPr>
            <w:r w:rsidRPr="00D64E77">
              <w:t>153</w:t>
            </w:r>
          </w:p>
        </w:tc>
        <w:tc>
          <w:tcPr>
            <w:tcW w:w="613" w:type="pct"/>
            <w:shd w:val="clear" w:color="auto" w:fill="auto"/>
            <w:tcMar>
              <w:left w:w="115" w:type="dxa"/>
              <w:right w:w="115" w:type="dxa"/>
            </w:tcMar>
          </w:tcPr>
          <w:p w:rsidR="00E35F7D" w:rsidRPr="002047EA" w:rsidP="005312A0" w14:paraId="78E801BE" w14:textId="77777777">
            <w:pPr>
              <w:widowControl/>
              <w:autoSpaceDE/>
              <w:autoSpaceDN/>
              <w:adjustRightInd/>
              <w:jc w:val="center"/>
              <w:rPr>
                <w:color w:val="000000"/>
              </w:rPr>
            </w:pPr>
            <w:r w:rsidRPr="002047EA">
              <w:t>-</w:t>
            </w:r>
          </w:p>
        </w:tc>
        <w:tc>
          <w:tcPr>
            <w:tcW w:w="613" w:type="pct"/>
            <w:shd w:val="clear" w:color="auto" w:fill="auto"/>
            <w:tcMar>
              <w:left w:w="115" w:type="dxa"/>
              <w:right w:w="115" w:type="dxa"/>
            </w:tcMar>
          </w:tcPr>
          <w:p w:rsidR="00E35F7D" w:rsidRPr="002047EA" w:rsidP="005312A0" w14:paraId="7797DB9E" w14:textId="77777777">
            <w:pPr>
              <w:widowControl/>
              <w:autoSpaceDE/>
              <w:autoSpaceDN/>
              <w:adjustRightInd/>
              <w:jc w:val="center"/>
              <w:rPr>
                <w:color w:val="000000"/>
              </w:rPr>
            </w:pPr>
            <w:r w:rsidRPr="002047EA">
              <w:t>4,896</w:t>
            </w:r>
          </w:p>
        </w:tc>
        <w:tc>
          <w:tcPr>
            <w:tcW w:w="1323" w:type="pct"/>
            <w:shd w:val="clear" w:color="auto" w:fill="auto"/>
            <w:tcMar>
              <w:left w:w="115" w:type="dxa"/>
              <w:right w:w="115" w:type="dxa"/>
            </w:tcMar>
          </w:tcPr>
          <w:p w:rsidR="00E35F7D" w:rsidRPr="002047EA" w:rsidP="5ECFBCA2" w14:paraId="17D13782" w14:textId="64B1E872">
            <w:pPr>
              <w:widowControl/>
              <w:spacing w:line="259" w:lineRule="auto"/>
              <w:jc w:val="center"/>
            </w:pPr>
            <w:r>
              <w:t xml:space="preserve"> </w:t>
            </w:r>
            <w:r w:rsidRPr="5ECFBCA2" w:rsidR="790EC570">
              <w:rPr>
                <w:color w:val="000000" w:themeColor="text1"/>
              </w:rPr>
              <w:t>$</w:t>
            </w:r>
            <w:r w:rsidR="59802939">
              <w:t>229,933</w:t>
            </w:r>
          </w:p>
        </w:tc>
      </w:tr>
      <w:tr w14:paraId="44640B9E" w14:textId="77777777" w:rsidTr="5ECFBCA2">
        <w:tblPrEx>
          <w:tblW w:w="5000" w:type="pct"/>
          <w:tblCellMar>
            <w:left w:w="29" w:type="dxa"/>
            <w:right w:w="29" w:type="dxa"/>
          </w:tblCellMar>
          <w:tblLook w:val="04A0"/>
        </w:tblPrEx>
        <w:trPr>
          <w:trHeight w:val="270"/>
        </w:trPr>
        <w:tc>
          <w:tcPr>
            <w:tcW w:w="615" w:type="pct"/>
            <w:shd w:val="clear" w:color="auto" w:fill="auto"/>
            <w:tcMar>
              <w:left w:w="115" w:type="dxa"/>
              <w:right w:w="115" w:type="dxa"/>
            </w:tcMar>
            <w:vAlign w:val="bottom"/>
            <w:hideMark/>
          </w:tcPr>
          <w:p w:rsidR="00E35F7D" w:rsidRPr="00BB721B" w:rsidP="005312A0" w14:paraId="710F9317" w14:textId="77777777">
            <w:pPr>
              <w:widowControl/>
              <w:autoSpaceDE/>
              <w:autoSpaceDN/>
              <w:adjustRightInd/>
              <w:jc w:val="center"/>
              <w:rPr>
                <w:color w:val="000000"/>
              </w:rPr>
            </w:pPr>
            <w:r w:rsidRPr="00BB721B">
              <w:rPr>
                <w:color w:val="000000"/>
              </w:rPr>
              <w:t>Annualized</w:t>
            </w:r>
          </w:p>
        </w:tc>
        <w:tc>
          <w:tcPr>
            <w:tcW w:w="612" w:type="pct"/>
            <w:shd w:val="clear" w:color="auto" w:fill="auto"/>
            <w:tcMar>
              <w:left w:w="115" w:type="dxa"/>
              <w:right w:w="115" w:type="dxa"/>
            </w:tcMar>
          </w:tcPr>
          <w:p w:rsidR="00E35F7D" w:rsidRPr="002047EA" w:rsidP="005312A0" w14:paraId="7D8AD6B5" w14:textId="77777777">
            <w:pPr>
              <w:widowControl/>
              <w:autoSpaceDE/>
              <w:autoSpaceDN/>
              <w:adjustRightInd/>
              <w:jc w:val="center"/>
              <w:rPr>
                <w:color w:val="000000"/>
              </w:rPr>
            </w:pPr>
            <w:r w:rsidRPr="00D64E77">
              <w:t>51</w:t>
            </w:r>
          </w:p>
        </w:tc>
        <w:tc>
          <w:tcPr>
            <w:tcW w:w="613" w:type="pct"/>
            <w:shd w:val="clear" w:color="auto" w:fill="auto"/>
            <w:tcMar>
              <w:left w:w="115" w:type="dxa"/>
              <w:right w:w="115" w:type="dxa"/>
            </w:tcMar>
          </w:tcPr>
          <w:p w:rsidR="00E35F7D" w:rsidRPr="002047EA" w:rsidP="005312A0" w14:paraId="525BD99C" w14:textId="77777777">
            <w:pPr>
              <w:widowControl/>
              <w:autoSpaceDE/>
              <w:autoSpaceDN/>
              <w:adjustRightInd/>
              <w:jc w:val="center"/>
              <w:rPr>
                <w:color w:val="000000"/>
              </w:rPr>
            </w:pPr>
            <w:r w:rsidRPr="002047EA">
              <w:t>-</w:t>
            </w:r>
          </w:p>
        </w:tc>
        <w:tc>
          <w:tcPr>
            <w:tcW w:w="611" w:type="pct"/>
            <w:shd w:val="clear" w:color="auto" w:fill="auto"/>
            <w:tcMar>
              <w:left w:w="115" w:type="dxa"/>
              <w:right w:w="115" w:type="dxa"/>
            </w:tcMar>
          </w:tcPr>
          <w:p w:rsidR="00E35F7D" w:rsidRPr="002047EA" w:rsidP="005312A0" w14:paraId="28B81941" w14:textId="77777777">
            <w:pPr>
              <w:widowControl/>
              <w:autoSpaceDE/>
              <w:autoSpaceDN/>
              <w:adjustRightInd/>
              <w:jc w:val="center"/>
              <w:rPr>
                <w:color w:val="000000"/>
              </w:rPr>
            </w:pPr>
            <w:r w:rsidRPr="00D64E77">
              <w:t>51</w:t>
            </w:r>
          </w:p>
        </w:tc>
        <w:tc>
          <w:tcPr>
            <w:tcW w:w="613" w:type="pct"/>
            <w:shd w:val="clear" w:color="auto" w:fill="auto"/>
            <w:tcMar>
              <w:left w:w="115" w:type="dxa"/>
              <w:right w:w="115" w:type="dxa"/>
            </w:tcMar>
          </w:tcPr>
          <w:p w:rsidR="00E35F7D" w:rsidRPr="002047EA" w:rsidP="005312A0" w14:paraId="39AD9573" w14:textId="77777777">
            <w:pPr>
              <w:widowControl/>
              <w:autoSpaceDE/>
              <w:autoSpaceDN/>
              <w:adjustRightInd/>
              <w:jc w:val="center"/>
              <w:rPr>
                <w:color w:val="000000"/>
              </w:rPr>
            </w:pPr>
            <w:r w:rsidRPr="002047EA">
              <w:t>-</w:t>
            </w:r>
          </w:p>
        </w:tc>
        <w:tc>
          <w:tcPr>
            <w:tcW w:w="613" w:type="pct"/>
            <w:shd w:val="clear" w:color="auto" w:fill="auto"/>
            <w:tcMar>
              <w:left w:w="115" w:type="dxa"/>
              <w:right w:w="115" w:type="dxa"/>
            </w:tcMar>
          </w:tcPr>
          <w:p w:rsidR="00E35F7D" w:rsidRPr="002047EA" w:rsidP="005312A0" w14:paraId="534B3784" w14:textId="77777777">
            <w:pPr>
              <w:widowControl/>
              <w:autoSpaceDE/>
              <w:autoSpaceDN/>
              <w:adjustRightInd/>
              <w:jc w:val="center"/>
              <w:rPr>
                <w:color w:val="000000"/>
              </w:rPr>
            </w:pPr>
            <w:r w:rsidRPr="002047EA">
              <w:t>1,632</w:t>
            </w:r>
          </w:p>
        </w:tc>
        <w:tc>
          <w:tcPr>
            <w:tcW w:w="1323" w:type="pct"/>
            <w:shd w:val="clear" w:color="auto" w:fill="auto"/>
            <w:tcMar>
              <w:left w:w="115" w:type="dxa"/>
              <w:right w:w="115" w:type="dxa"/>
            </w:tcMar>
          </w:tcPr>
          <w:p w:rsidR="00E35F7D" w:rsidRPr="002047EA" w:rsidP="5ECFBCA2" w14:paraId="079D9B86" w14:textId="1F717C28">
            <w:pPr>
              <w:widowControl/>
              <w:spacing w:line="259" w:lineRule="auto"/>
              <w:jc w:val="center"/>
            </w:pPr>
            <w:r>
              <w:t xml:space="preserve"> </w:t>
            </w:r>
            <w:r w:rsidRPr="5ECFBCA2">
              <w:rPr>
                <w:color w:val="000000" w:themeColor="text1"/>
              </w:rPr>
              <w:t>$</w:t>
            </w:r>
            <w:r w:rsidR="7B788779">
              <w:t>76,644</w:t>
            </w:r>
          </w:p>
        </w:tc>
      </w:tr>
    </w:tbl>
    <w:p w:rsidR="00FA4698" w:rsidRPr="007E65CF" w:rsidP="00722B85" w14:paraId="6BA4F504" w14:textId="77777777">
      <w:pPr>
        <w:widowControl/>
        <w:rPr>
          <w:sz w:val="18"/>
          <w:szCs w:val="18"/>
        </w:rPr>
      </w:pPr>
      <w:r>
        <w:rPr>
          <w:sz w:val="18"/>
          <w:szCs w:val="18"/>
        </w:rPr>
        <w:t>Totals are the product of unrounded components</w:t>
      </w:r>
      <w:r w:rsidRPr="007E65CF">
        <w:rPr>
          <w:sz w:val="18"/>
          <w:szCs w:val="18"/>
        </w:rPr>
        <w:t>.</w:t>
      </w:r>
    </w:p>
    <w:p w:rsidR="004E7296" w:rsidP="00722B85" w14:paraId="6E6C7AD4" w14:textId="77777777">
      <w:pPr>
        <w:widowControl/>
      </w:pPr>
    </w:p>
    <w:p w:rsidR="0001283F" w:rsidP="00722B85" w14:paraId="52B10070" w14:textId="77777777">
      <w:pPr>
        <w:widowControl/>
      </w:pPr>
      <w:r>
        <w:t>The burden hours for IC-2.4 remain constant at 1,632 hours.</w:t>
      </w:r>
    </w:p>
    <w:p w:rsidR="007E3A3B" w:rsidP="00722B85" w14:paraId="6B6AB867" w14:textId="77777777">
      <w:pPr>
        <w:widowControl/>
        <w:rPr>
          <w:b/>
        </w:rPr>
      </w:pPr>
    </w:p>
    <w:p w:rsidR="00914BD1" w:rsidRPr="00914BD1" w:rsidP="00722B85" w14:paraId="783140F3" w14:textId="77777777">
      <w:pPr>
        <w:widowControl/>
        <w:rPr>
          <w:b/>
        </w:rPr>
      </w:pPr>
      <w:r w:rsidRPr="00914BD1">
        <w:rPr>
          <w:b/>
        </w:rPr>
        <w:t>IC-2.5 State preparing for and participating in annual program review</w:t>
      </w:r>
      <w:r w:rsidR="0001283F">
        <w:rPr>
          <w:b/>
        </w:rPr>
        <w:t xml:space="preserve"> </w:t>
      </w:r>
      <w:r w:rsidRPr="0001283F" w:rsidR="0001283F">
        <w:rPr>
          <w:b/>
        </w:rPr>
        <w:t>[49 CFR 384.307]</w:t>
      </w:r>
    </w:p>
    <w:p w:rsidR="00914BD1" w:rsidP="00722B85" w14:paraId="14959C19" w14:textId="26056BDC">
      <w:pPr>
        <w:widowControl/>
      </w:pPr>
      <w:r>
        <w:t>Each State and the District of Columbia conduct</w:t>
      </w:r>
      <w:r w:rsidR="00DC29F3">
        <w:t>s</w:t>
      </w:r>
      <w:r>
        <w:t xml:space="preserve"> a</w:t>
      </w:r>
      <w:r w:rsidR="00F24468">
        <w:t>n</w:t>
      </w:r>
      <w:r>
        <w:t xml:space="preserve"> annual CDL program review.  </w:t>
      </w:r>
      <w:r w:rsidRPr="00BB721B">
        <w:t>To estimate burden hour and burden costs associated with this task, the Agency relies on the assumptions and statistics outline</w:t>
      </w:r>
      <w:r w:rsidR="00A36540">
        <w:t>d</w:t>
      </w:r>
      <w:r w:rsidRPr="00BB721B">
        <w:t xml:space="preserve"> above as well as the following</w:t>
      </w:r>
      <w:r w:rsidR="00F94A52">
        <w:t xml:space="preserve"> assumptions</w:t>
      </w:r>
      <w:r w:rsidRPr="00BB721B">
        <w:t>:</w:t>
      </w:r>
      <w:r w:rsidR="00EC5EAF">
        <w:br/>
      </w:r>
    </w:p>
    <w:p w:rsidR="00914BD1" w:rsidP="00722B85" w14:paraId="4A921B43" w14:textId="77777777">
      <w:pPr>
        <w:widowControl/>
        <w:numPr>
          <w:ilvl w:val="0"/>
          <w:numId w:val="17"/>
        </w:numPr>
      </w:pPr>
      <w:r>
        <w:t xml:space="preserve">Approximately 5 State staff are involved </w:t>
      </w:r>
      <w:r w:rsidR="002520B5">
        <w:t>in the review process.</w:t>
      </w:r>
    </w:p>
    <w:p w:rsidR="002520B5" w:rsidP="00722B85" w14:paraId="622CAB4F" w14:textId="77777777">
      <w:pPr>
        <w:widowControl/>
        <w:numPr>
          <w:ilvl w:val="0"/>
          <w:numId w:val="17"/>
        </w:numPr>
      </w:pPr>
      <w:r>
        <w:t>Each State staffer will spend 5 days, or 40 hours (5 days × 8 hours per day) completing the annual program review: 3 days to prepare and 2 days to participate in the review.</w:t>
      </w:r>
    </w:p>
    <w:p w:rsidR="00914BD1" w:rsidRPr="00B063E1" w:rsidP="00722B85" w14:paraId="66B4EAF6" w14:textId="30304146">
      <w:pPr>
        <w:widowControl/>
        <w:numPr>
          <w:ilvl w:val="0"/>
          <w:numId w:val="15"/>
        </w:numPr>
      </w:pPr>
      <w:r>
        <w:t>A State employee equivalent to a first-line Supervisor of office and administrative support workers (SOC 43-1011) will perform this task at a loaded hourly wage of $</w:t>
      </w:r>
      <w:r w:rsidR="6DC07E05">
        <w:t>46.96</w:t>
      </w:r>
      <w:r>
        <w:t xml:space="preserve"> (see </w:t>
      </w:r>
      <w:r>
        <w:fldChar w:fldCharType="begin"/>
      </w:r>
      <w:r>
        <w:instrText xml:space="preserve"> REF _Ref508369000 \h  \* MERGEFORMAT </w:instrText>
      </w:r>
      <w:r>
        <w:fldChar w:fldCharType="separate"/>
      </w:r>
      <w:r w:rsidR="006A6CBC">
        <w:t xml:space="preserve">Table </w:t>
      </w:r>
      <w:r w:rsidRPr="5ECFBCA2" w:rsidR="006A6CBC">
        <w:rPr>
          <w:noProof/>
        </w:rPr>
        <w:t>10</w:t>
      </w:r>
      <w:r>
        <w:fldChar w:fldCharType="end"/>
      </w:r>
      <w:r>
        <w:t>).</w:t>
      </w:r>
    </w:p>
    <w:p w:rsidR="00914BD1" w:rsidP="00722B85" w14:paraId="45A6C379" w14:textId="77777777">
      <w:pPr>
        <w:widowControl/>
      </w:pPr>
    </w:p>
    <w:p w:rsidR="0001283F" w:rsidP="5ECFBCA2" w14:paraId="29A5C636" w14:textId="7971DC53">
      <w:pPr>
        <w:widowControl/>
        <w:spacing w:line="259" w:lineRule="auto"/>
      </w:pPr>
      <w:r>
        <w:t>Annualized, IC-2.5 results in 51 responses (50 States + District of Columbia)</w:t>
      </w:r>
      <w:r w:rsidR="00DC29F3">
        <w:t>, 255 respondents (51 responses × 5 employees per response)</w:t>
      </w:r>
      <w:r>
        <w:t xml:space="preserve"> and 10,200 burden hours (51 × 5 employees per state </w:t>
      </w:r>
      <w:r w:rsidR="002520B5">
        <w:t>× 40</w:t>
      </w:r>
      <w:r>
        <w:t xml:space="preserve"> hours), at a cost of $</w:t>
      </w:r>
      <w:r w:rsidR="68C85087">
        <w:t>479,027</w:t>
      </w:r>
      <w:r>
        <w:t xml:space="preserve"> (</w:t>
      </w:r>
      <w:r>
        <w:fldChar w:fldCharType="begin"/>
      </w:r>
      <w:r>
        <w:instrText xml:space="preserve"> REF _Ref508612780 \h  \* MERGEFORMAT </w:instrText>
      </w:r>
      <w:r>
        <w:fldChar w:fldCharType="separate"/>
      </w:r>
      <w:r w:rsidR="006A6CBC">
        <w:t xml:space="preserve">Table </w:t>
      </w:r>
      <w:r w:rsidRPr="5ECFBCA2" w:rsidR="006A6CBC">
        <w:rPr>
          <w:noProof/>
        </w:rPr>
        <w:t>15</w:t>
      </w:r>
      <w:r>
        <w:fldChar w:fldCharType="end"/>
      </w:r>
      <w:r>
        <w:t>).</w:t>
      </w:r>
    </w:p>
    <w:p w:rsidR="002520B5" w:rsidP="00722B85" w14:paraId="57B1C382" w14:textId="77777777">
      <w:pPr>
        <w:widowControl/>
      </w:pPr>
    </w:p>
    <w:p w:rsidR="00EC5EAF" w:rsidP="00722B85" w14:paraId="184D5590" w14:textId="2744434A">
      <w:pPr>
        <w:pStyle w:val="Caption"/>
        <w:keepNext/>
        <w:widowControl/>
      </w:pPr>
      <w:bookmarkStart w:id="28" w:name="_Ref508612780"/>
      <w:r w:rsidRPr="00D64E77">
        <w:t xml:space="preserve">Table </w:t>
      </w:r>
      <w:r>
        <w:fldChar w:fldCharType="begin"/>
      </w:r>
      <w:r>
        <w:instrText>SEQ Table \* ARABIC</w:instrText>
      </w:r>
      <w:r>
        <w:fldChar w:fldCharType="separate"/>
      </w:r>
      <w:r w:rsidR="006A6CBC">
        <w:rPr>
          <w:noProof/>
        </w:rPr>
        <w:t>15</w:t>
      </w:r>
      <w:r>
        <w:fldChar w:fldCharType="end"/>
      </w:r>
      <w:bookmarkEnd w:id="28"/>
      <w:r w:rsidRPr="00D64E77">
        <w:t xml:space="preserve">. State </w:t>
      </w:r>
      <w:r w:rsidRPr="00D64E77" w:rsidR="002D66E6">
        <w:t xml:space="preserve">Preparing for and Participating in Annual Program Review </w:t>
      </w:r>
      <w:r w:rsidRPr="00D64E77">
        <w:t>(IC-2.5)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337"/>
        <w:gridCol w:w="1334"/>
        <w:gridCol w:w="1336"/>
        <w:gridCol w:w="1334"/>
        <w:gridCol w:w="1337"/>
        <w:gridCol w:w="1335"/>
        <w:gridCol w:w="1337"/>
      </w:tblGrid>
      <w:tr w14:paraId="2F369DA8"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1050"/>
        </w:trPr>
        <w:tc>
          <w:tcPr>
            <w:tcW w:w="647" w:type="pct"/>
            <w:shd w:val="clear" w:color="auto" w:fill="E0E0E0"/>
            <w:tcMar>
              <w:left w:w="0" w:type="dxa"/>
              <w:right w:w="0" w:type="dxa"/>
            </w:tcMar>
            <w:vAlign w:val="bottom"/>
            <w:hideMark/>
          </w:tcPr>
          <w:p w:rsidR="00CF21B1" w:rsidRPr="00BB721B" w:rsidP="005312A0" w14:paraId="16966648" w14:textId="77777777">
            <w:pPr>
              <w:widowControl/>
              <w:autoSpaceDE/>
              <w:autoSpaceDN/>
              <w:adjustRightInd/>
              <w:jc w:val="center"/>
              <w:rPr>
                <w:b/>
                <w:bCs/>
                <w:color w:val="000000"/>
              </w:rPr>
            </w:pPr>
            <w:r w:rsidRPr="00BB721B">
              <w:rPr>
                <w:b/>
                <w:bCs/>
                <w:color w:val="000000"/>
              </w:rPr>
              <w:t>Year</w:t>
            </w:r>
          </w:p>
        </w:tc>
        <w:tc>
          <w:tcPr>
            <w:tcW w:w="725" w:type="pct"/>
            <w:shd w:val="clear" w:color="auto" w:fill="E0E0E0"/>
            <w:tcMar>
              <w:left w:w="0" w:type="dxa"/>
              <w:right w:w="0" w:type="dxa"/>
            </w:tcMar>
            <w:vAlign w:val="bottom"/>
            <w:hideMark/>
          </w:tcPr>
          <w:p w:rsidR="00CF21B1" w:rsidRPr="00BB721B" w:rsidP="005312A0" w14:paraId="22DE8531" w14:textId="77777777">
            <w:pPr>
              <w:widowControl/>
              <w:autoSpaceDE/>
              <w:autoSpaceDN/>
              <w:adjustRightInd/>
              <w:jc w:val="center"/>
              <w:rPr>
                <w:b/>
                <w:bCs/>
                <w:color w:val="000000"/>
              </w:rPr>
            </w:pPr>
            <w:r w:rsidRPr="00BB721B">
              <w:rPr>
                <w:b/>
                <w:bCs/>
                <w:color w:val="000000"/>
              </w:rPr>
              <w:t>Number of Respondents</w:t>
            </w:r>
            <w:r w:rsidRPr="00BB721B">
              <w:rPr>
                <w:b/>
                <w:bCs/>
                <w:color w:val="000000"/>
              </w:rPr>
              <w:br/>
              <w:t>(a)</w:t>
            </w:r>
          </w:p>
        </w:tc>
        <w:tc>
          <w:tcPr>
            <w:tcW w:w="726" w:type="pct"/>
            <w:shd w:val="clear" w:color="auto" w:fill="E0E0E0"/>
            <w:tcMar>
              <w:left w:w="0" w:type="dxa"/>
              <w:right w:w="0" w:type="dxa"/>
            </w:tcMar>
            <w:vAlign w:val="bottom"/>
            <w:hideMark/>
          </w:tcPr>
          <w:p w:rsidR="00CF21B1" w:rsidRPr="00BB721B" w:rsidP="005312A0" w14:paraId="4DA862A5" w14:textId="77777777">
            <w:pPr>
              <w:widowControl/>
              <w:autoSpaceDE/>
              <w:autoSpaceDN/>
              <w:adjustRightInd/>
              <w:jc w:val="center"/>
              <w:rPr>
                <w:b/>
                <w:bCs/>
                <w:color w:val="000000"/>
              </w:rPr>
            </w:pPr>
            <w:r w:rsidRPr="00BB721B">
              <w:rPr>
                <w:b/>
                <w:bCs/>
                <w:color w:val="000000"/>
              </w:rPr>
              <w:t>Responses per Respondent</w:t>
            </w:r>
            <w:r w:rsidRPr="00BB721B">
              <w:rPr>
                <w:b/>
                <w:bCs/>
                <w:color w:val="000000"/>
              </w:rPr>
              <w:br/>
              <w:t>(b)</w:t>
            </w:r>
          </w:p>
        </w:tc>
        <w:tc>
          <w:tcPr>
            <w:tcW w:w="725" w:type="pct"/>
            <w:shd w:val="clear" w:color="auto" w:fill="E0E0E0"/>
            <w:tcMar>
              <w:left w:w="0" w:type="dxa"/>
              <w:right w:w="0" w:type="dxa"/>
            </w:tcMar>
            <w:vAlign w:val="bottom"/>
            <w:hideMark/>
          </w:tcPr>
          <w:p w:rsidR="00CF21B1" w:rsidRPr="00BB721B" w:rsidP="005312A0" w14:paraId="4FDD3679" w14:textId="77777777">
            <w:pPr>
              <w:widowControl/>
              <w:autoSpaceDE/>
              <w:autoSpaceDN/>
              <w:adjustRightInd/>
              <w:jc w:val="center"/>
              <w:rPr>
                <w:b/>
                <w:bCs/>
                <w:color w:val="000000"/>
              </w:rPr>
            </w:pPr>
            <w:r w:rsidRPr="00BB721B">
              <w:rPr>
                <w:b/>
                <w:bCs/>
                <w:color w:val="000000"/>
              </w:rPr>
              <w:t>Total Annual Responses</w:t>
            </w:r>
            <w:r w:rsidRPr="00BB721B">
              <w:rPr>
                <w:b/>
                <w:bCs/>
                <w:color w:val="000000"/>
              </w:rPr>
              <w:br/>
              <w:t>(a × b = c)</w:t>
            </w:r>
          </w:p>
        </w:tc>
        <w:tc>
          <w:tcPr>
            <w:tcW w:w="726" w:type="pct"/>
            <w:shd w:val="clear" w:color="auto" w:fill="E0E0E0"/>
            <w:tcMar>
              <w:left w:w="0" w:type="dxa"/>
              <w:right w:w="0" w:type="dxa"/>
            </w:tcMar>
            <w:vAlign w:val="bottom"/>
            <w:hideMark/>
          </w:tcPr>
          <w:p w:rsidR="00CF21B1" w:rsidRPr="00BB721B" w:rsidP="005312A0" w14:paraId="747F9453" w14:textId="77777777">
            <w:pPr>
              <w:widowControl/>
              <w:autoSpaceDE/>
              <w:autoSpaceDN/>
              <w:adjustRightInd/>
              <w:jc w:val="center"/>
              <w:rPr>
                <w:b/>
                <w:bCs/>
                <w:color w:val="000000"/>
              </w:rPr>
            </w:pPr>
            <w:r w:rsidRPr="00BB721B">
              <w:rPr>
                <w:b/>
                <w:bCs/>
                <w:color w:val="000000"/>
              </w:rPr>
              <w:t>Burden Hours per Response</w:t>
            </w:r>
            <w:r w:rsidRPr="00BB721B">
              <w:rPr>
                <w:b/>
                <w:bCs/>
                <w:color w:val="000000"/>
              </w:rPr>
              <w:br/>
              <w:t>(d)</w:t>
            </w:r>
          </w:p>
        </w:tc>
        <w:tc>
          <w:tcPr>
            <w:tcW w:w="725" w:type="pct"/>
            <w:shd w:val="clear" w:color="auto" w:fill="E0E0E0"/>
            <w:tcMar>
              <w:left w:w="0" w:type="dxa"/>
              <w:right w:w="0" w:type="dxa"/>
            </w:tcMar>
            <w:vAlign w:val="bottom"/>
            <w:hideMark/>
          </w:tcPr>
          <w:p w:rsidR="00CF21B1" w:rsidRPr="00BB721B" w:rsidP="005312A0" w14:paraId="5D6A2238" w14:textId="77777777">
            <w:pPr>
              <w:widowControl/>
              <w:autoSpaceDE/>
              <w:autoSpaceDN/>
              <w:adjustRightInd/>
              <w:jc w:val="center"/>
              <w:rPr>
                <w:b/>
                <w:bCs/>
                <w:color w:val="000000"/>
              </w:rPr>
            </w:pPr>
            <w:r w:rsidRPr="00BB721B">
              <w:rPr>
                <w:b/>
                <w:bCs/>
                <w:color w:val="000000"/>
              </w:rPr>
              <w:t>Total Annual Burden Hours</w:t>
            </w:r>
            <w:r w:rsidRPr="00BB721B">
              <w:rPr>
                <w:b/>
                <w:bCs/>
                <w:color w:val="000000"/>
              </w:rPr>
              <w:br/>
              <w:t>(c × d = e)</w:t>
            </w:r>
          </w:p>
        </w:tc>
        <w:tc>
          <w:tcPr>
            <w:tcW w:w="726" w:type="pct"/>
            <w:shd w:val="clear" w:color="auto" w:fill="E0E0E0"/>
            <w:tcMar>
              <w:left w:w="0" w:type="dxa"/>
              <w:right w:w="0" w:type="dxa"/>
            </w:tcMar>
            <w:vAlign w:val="bottom"/>
            <w:hideMark/>
          </w:tcPr>
          <w:p w:rsidR="00CF21B1" w:rsidRPr="00BB721B" w:rsidP="005312A0" w14:paraId="4BAFB81A" w14:textId="2AFA2DF1">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3DAC8509">
              <w:rPr>
                <w:b/>
                <w:bCs/>
                <w:color w:val="000000" w:themeColor="text1"/>
              </w:rPr>
              <w:t>46.96</w:t>
            </w:r>
            <w:r w:rsidRPr="5ECFBCA2">
              <w:rPr>
                <w:b/>
                <w:bCs/>
                <w:color w:val="000000" w:themeColor="text1"/>
              </w:rPr>
              <w:t xml:space="preserve"> = f)</w:t>
            </w:r>
          </w:p>
        </w:tc>
      </w:tr>
      <w:tr w14:paraId="353ECE27" w14:textId="77777777" w:rsidTr="5ECFBCA2">
        <w:tblPrEx>
          <w:tblW w:w="5000" w:type="pct"/>
          <w:tblCellMar>
            <w:left w:w="29" w:type="dxa"/>
            <w:right w:w="29" w:type="dxa"/>
          </w:tblCellMar>
          <w:tblLook w:val="04A0"/>
        </w:tblPrEx>
        <w:trPr>
          <w:trHeight w:val="270"/>
        </w:trPr>
        <w:tc>
          <w:tcPr>
            <w:tcW w:w="647" w:type="pct"/>
            <w:shd w:val="clear" w:color="auto" w:fill="auto"/>
            <w:tcMar>
              <w:left w:w="115" w:type="dxa"/>
              <w:right w:w="115" w:type="dxa"/>
            </w:tcMar>
            <w:vAlign w:val="bottom"/>
            <w:hideMark/>
          </w:tcPr>
          <w:p w:rsidR="00CF21B1" w:rsidRPr="00BB721B" w:rsidP="005312A0" w14:paraId="5D4AF232" w14:textId="77777777">
            <w:pPr>
              <w:widowControl/>
              <w:autoSpaceDE/>
              <w:autoSpaceDN/>
              <w:adjustRightInd/>
              <w:jc w:val="center"/>
              <w:rPr>
                <w:color w:val="000000"/>
              </w:rPr>
            </w:pPr>
            <w:r w:rsidRPr="00BB721B">
              <w:rPr>
                <w:color w:val="000000"/>
              </w:rPr>
              <w:t>1</w:t>
            </w:r>
          </w:p>
        </w:tc>
        <w:tc>
          <w:tcPr>
            <w:tcW w:w="725" w:type="pct"/>
            <w:shd w:val="clear" w:color="auto" w:fill="auto"/>
            <w:tcMar>
              <w:left w:w="115" w:type="dxa"/>
              <w:right w:w="115" w:type="dxa"/>
            </w:tcMar>
            <w:vAlign w:val="center"/>
          </w:tcPr>
          <w:p w:rsidR="00CF21B1" w:rsidRPr="002047EA" w:rsidP="005312A0" w14:paraId="1F3A62E6" w14:textId="77777777">
            <w:pPr>
              <w:widowControl/>
              <w:autoSpaceDE/>
              <w:autoSpaceDN/>
              <w:adjustRightInd/>
              <w:jc w:val="center"/>
              <w:rPr>
                <w:color w:val="000000"/>
              </w:rPr>
            </w:pPr>
            <w:r w:rsidRPr="002047EA">
              <w:rPr>
                <w:color w:val="000000"/>
              </w:rPr>
              <w:t>255</w:t>
            </w:r>
          </w:p>
        </w:tc>
        <w:tc>
          <w:tcPr>
            <w:tcW w:w="726" w:type="pct"/>
            <w:shd w:val="clear" w:color="auto" w:fill="auto"/>
            <w:tcMar>
              <w:left w:w="115" w:type="dxa"/>
              <w:right w:w="115" w:type="dxa"/>
            </w:tcMar>
            <w:vAlign w:val="center"/>
          </w:tcPr>
          <w:p w:rsidR="00CF21B1" w:rsidRPr="002047EA" w:rsidP="005312A0" w14:paraId="1DF0D943" w14:textId="77777777">
            <w:pPr>
              <w:widowControl/>
              <w:autoSpaceDE/>
              <w:autoSpaceDN/>
              <w:adjustRightInd/>
              <w:jc w:val="center"/>
              <w:rPr>
                <w:color w:val="000000"/>
              </w:rPr>
            </w:pPr>
            <w:r w:rsidRPr="00D64E77">
              <w:rPr>
                <w:color w:val="000000"/>
              </w:rPr>
              <w:t>0.2</w:t>
            </w:r>
          </w:p>
        </w:tc>
        <w:tc>
          <w:tcPr>
            <w:tcW w:w="725" w:type="pct"/>
            <w:shd w:val="clear" w:color="auto" w:fill="auto"/>
            <w:tcMar>
              <w:left w:w="115" w:type="dxa"/>
              <w:right w:w="115" w:type="dxa"/>
            </w:tcMar>
            <w:vAlign w:val="center"/>
          </w:tcPr>
          <w:p w:rsidR="00CF21B1" w:rsidRPr="002047EA" w:rsidP="005312A0" w14:paraId="3BCBB2A9" w14:textId="77777777">
            <w:pPr>
              <w:widowControl/>
              <w:autoSpaceDE/>
              <w:autoSpaceDN/>
              <w:adjustRightInd/>
              <w:jc w:val="center"/>
              <w:rPr>
                <w:color w:val="000000"/>
              </w:rPr>
            </w:pPr>
            <w:r w:rsidRPr="002047EA">
              <w:rPr>
                <w:color w:val="000000"/>
              </w:rPr>
              <w:t>51</w:t>
            </w:r>
          </w:p>
        </w:tc>
        <w:tc>
          <w:tcPr>
            <w:tcW w:w="726" w:type="pct"/>
            <w:shd w:val="clear" w:color="auto" w:fill="auto"/>
            <w:tcMar>
              <w:left w:w="115" w:type="dxa"/>
              <w:right w:w="115" w:type="dxa"/>
            </w:tcMar>
            <w:vAlign w:val="center"/>
          </w:tcPr>
          <w:p w:rsidR="00CF21B1" w:rsidRPr="002047EA" w:rsidP="005312A0" w14:paraId="1091D6A3" w14:textId="77777777">
            <w:pPr>
              <w:widowControl/>
              <w:autoSpaceDE/>
              <w:autoSpaceDN/>
              <w:adjustRightInd/>
              <w:jc w:val="center"/>
              <w:rPr>
                <w:color w:val="000000"/>
              </w:rPr>
            </w:pPr>
            <w:r w:rsidRPr="00D64E77">
              <w:rPr>
                <w:color w:val="000000"/>
              </w:rPr>
              <w:t>200</w:t>
            </w:r>
          </w:p>
        </w:tc>
        <w:tc>
          <w:tcPr>
            <w:tcW w:w="725" w:type="pct"/>
            <w:shd w:val="clear" w:color="auto" w:fill="auto"/>
            <w:tcMar>
              <w:left w:w="115" w:type="dxa"/>
              <w:right w:w="115" w:type="dxa"/>
            </w:tcMar>
            <w:vAlign w:val="center"/>
          </w:tcPr>
          <w:p w:rsidR="00CF21B1" w:rsidRPr="002047EA" w:rsidP="005312A0" w14:paraId="45E3EB81" w14:textId="77777777">
            <w:pPr>
              <w:widowControl/>
              <w:autoSpaceDE/>
              <w:autoSpaceDN/>
              <w:adjustRightInd/>
              <w:jc w:val="center"/>
              <w:rPr>
                <w:color w:val="000000"/>
              </w:rPr>
            </w:pPr>
            <w:r w:rsidRPr="00D64E77">
              <w:rPr>
                <w:color w:val="000000"/>
              </w:rPr>
              <w:t>10,200</w:t>
            </w:r>
          </w:p>
        </w:tc>
        <w:tc>
          <w:tcPr>
            <w:tcW w:w="726" w:type="pct"/>
            <w:shd w:val="clear" w:color="auto" w:fill="auto"/>
            <w:tcMar>
              <w:left w:w="115" w:type="dxa"/>
              <w:right w:w="115" w:type="dxa"/>
            </w:tcMar>
            <w:vAlign w:val="center"/>
          </w:tcPr>
          <w:p w:rsidR="00CF21B1" w:rsidRPr="002047EA" w:rsidP="5ECFBCA2" w14:paraId="53CE87DB" w14:textId="1BACE3AF">
            <w:pPr>
              <w:widowControl/>
              <w:spacing w:line="259" w:lineRule="auto"/>
              <w:jc w:val="center"/>
            </w:pPr>
            <w:r w:rsidRPr="5ECFBCA2">
              <w:rPr>
                <w:color w:val="000000" w:themeColor="text1"/>
              </w:rPr>
              <w:t>$</w:t>
            </w:r>
            <w:r w:rsidRPr="5ECFBCA2" w:rsidR="38DD0797">
              <w:rPr>
                <w:color w:val="000000" w:themeColor="text1"/>
              </w:rPr>
              <w:t>479,027</w:t>
            </w:r>
          </w:p>
        </w:tc>
      </w:tr>
      <w:tr w14:paraId="42E0187C" w14:textId="77777777" w:rsidTr="5ECFBCA2">
        <w:tblPrEx>
          <w:tblW w:w="5000" w:type="pct"/>
          <w:tblCellMar>
            <w:left w:w="29" w:type="dxa"/>
            <w:right w:w="29" w:type="dxa"/>
          </w:tblCellMar>
          <w:tblLook w:val="04A0"/>
        </w:tblPrEx>
        <w:trPr>
          <w:trHeight w:val="270"/>
        </w:trPr>
        <w:tc>
          <w:tcPr>
            <w:tcW w:w="647" w:type="pct"/>
            <w:shd w:val="clear" w:color="auto" w:fill="auto"/>
            <w:tcMar>
              <w:left w:w="115" w:type="dxa"/>
              <w:right w:w="115" w:type="dxa"/>
            </w:tcMar>
            <w:vAlign w:val="bottom"/>
            <w:hideMark/>
          </w:tcPr>
          <w:p w:rsidR="00CF21B1" w:rsidRPr="00BB721B" w:rsidP="005312A0" w14:paraId="45776FBB" w14:textId="77777777">
            <w:pPr>
              <w:widowControl/>
              <w:autoSpaceDE/>
              <w:autoSpaceDN/>
              <w:adjustRightInd/>
              <w:jc w:val="center"/>
              <w:rPr>
                <w:color w:val="000000"/>
              </w:rPr>
            </w:pPr>
            <w:r w:rsidRPr="00BB721B">
              <w:rPr>
                <w:color w:val="000000"/>
              </w:rPr>
              <w:t>2</w:t>
            </w:r>
          </w:p>
        </w:tc>
        <w:tc>
          <w:tcPr>
            <w:tcW w:w="725" w:type="pct"/>
            <w:shd w:val="clear" w:color="auto" w:fill="auto"/>
            <w:tcMar>
              <w:left w:w="115" w:type="dxa"/>
              <w:right w:w="115" w:type="dxa"/>
            </w:tcMar>
            <w:vAlign w:val="center"/>
          </w:tcPr>
          <w:p w:rsidR="00CF21B1" w:rsidRPr="002047EA" w:rsidP="005312A0" w14:paraId="1206304E" w14:textId="77777777">
            <w:pPr>
              <w:widowControl/>
              <w:autoSpaceDE/>
              <w:autoSpaceDN/>
              <w:adjustRightInd/>
              <w:jc w:val="center"/>
              <w:rPr>
                <w:color w:val="000000"/>
              </w:rPr>
            </w:pPr>
            <w:r w:rsidRPr="002047EA">
              <w:rPr>
                <w:color w:val="000000"/>
              </w:rPr>
              <w:t>255</w:t>
            </w:r>
          </w:p>
        </w:tc>
        <w:tc>
          <w:tcPr>
            <w:tcW w:w="726" w:type="pct"/>
            <w:shd w:val="clear" w:color="auto" w:fill="auto"/>
            <w:tcMar>
              <w:left w:w="115" w:type="dxa"/>
              <w:right w:w="115" w:type="dxa"/>
            </w:tcMar>
            <w:vAlign w:val="center"/>
          </w:tcPr>
          <w:p w:rsidR="00CF21B1" w:rsidRPr="002047EA" w:rsidP="005312A0" w14:paraId="1277CBDF" w14:textId="77777777">
            <w:pPr>
              <w:widowControl/>
              <w:autoSpaceDE/>
              <w:autoSpaceDN/>
              <w:adjustRightInd/>
              <w:jc w:val="center"/>
              <w:rPr>
                <w:color w:val="000000"/>
              </w:rPr>
            </w:pPr>
            <w:r w:rsidRPr="00D64E77">
              <w:rPr>
                <w:color w:val="000000"/>
              </w:rPr>
              <w:t>0.2</w:t>
            </w:r>
          </w:p>
        </w:tc>
        <w:tc>
          <w:tcPr>
            <w:tcW w:w="725" w:type="pct"/>
            <w:shd w:val="clear" w:color="auto" w:fill="auto"/>
            <w:tcMar>
              <w:left w:w="115" w:type="dxa"/>
              <w:right w:w="115" w:type="dxa"/>
            </w:tcMar>
            <w:vAlign w:val="center"/>
          </w:tcPr>
          <w:p w:rsidR="00CF21B1" w:rsidRPr="002047EA" w:rsidP="005312A0" w14:paraId="18D4F1F2" w14:textId="77777777">
            <w:pPr>
              <w:widowControl/>
              <w:autoSpaceDE/>
              <w:autoSpaceDN/>
              <w:adjustRightInd/>
              <w:jc w:val="center"/>
              <w:rPr>
                <w:color w:val="000000"/>
              </w:rPr>
            </w:pPr>
            <w:r w:rsidRPr="002047EA">
              <w:rPr>
                <w:color w:val="000000"/>
              </w:rPr>
              <w:t>51</w:t>
            </w:r>
          </w:p>
        </w:tc>
        <w:tc>
          <w:tcPr>
            <w:tcW w:w="726" w:type="pct"/>
            <w:shd w:val="clear" w:color="auto" w:fill="auto"/>
            <w:tcMar>
              <w:left w:w="115" w:type="dxa"/>
              <w:right w:w="115" w:type="dxa"/>
            </w:tcMar>
            <w:vAlign w:val="center"/>
          </w:tcPr>
          <w:p w:rsidR="00CF21B1" w:rsidRPr="002047EA" w:rsidP="005312A0" w14:paraId="3C5292C7" w14:textId="77777777">
            <w:pPr>
              <w:widowControl/>
              <w:autoSpaceDE/>
              <w:autoSpaceDN/>
              <w:adjustRightInd/>
              <w:jc w:val="center"/>
              <w:rPr>
                <w:color w:val="000000"/>
              </w:rPr>
            </w:pPr>
            <w:r w:rsidRPr="00D64E77">
              <w:rPr>
                <w:color w:val="000000"/>
              </w:rPr>
              <w:t>200</w:t>
            </w:r>
          </w:p>
        </w:tc>
        <w:tc>
          <w:tcPr>
            <w:tcW w:w="725" w:type="pct"/>
            <w:shd w:val="clear" w:color="auto" w:fill="auto"/>
            <w:tcMar>
              <w:left w:w="115" w:type="dxa"/>
              <w:right w:w="115" w:type="dxa"/>
            </w:tcMar>
            <w:vAlign w:val="center"/>
          </w:tcPr>
          <w:p w:rsidR="00CF21B1" w:rsidRPr="002047EA" w:rsidP="005312A0" w14:paraId="46D5A92B" w14:textId="77777777">
            <w:pPr>
              <w:widowControl/>
              <w:autoSpaceDE/>
              <w:autoSpaceDN/>
              <w:adjustRightInd/>
              <w:jc w:val="center"/>
              <w:rPr>
                <w:color w:val="000000"/>
              </w:rPr>
            </w:pPr>
            <w:r w:rsidRPr="00D64E77">
              <w:rPr>
                <w:color w:val="000000"/>
              </w:rPr>
              <w:t>10,200</w:t>
            </w:r>
          </w:p>
        </w:tc>
        <w:tc>
          <w:tcPr>
            <w:tcW w:w="726" w:type="pct"/>
            <w:shd w:val="clear" w:color="auto" w:fill="auto"/>
            <w:tcMar>
              <w:left w:w="115" w:type="dxa"/>
              <w:right w:w="115" w:type="dxa"/>
            </w:tcMar>
            <w:vAlign w:val="center"/>
          </w:tcPr>
          <w:p w:rsidR="00CF21B1" w:rsidRPr="002047EA" w:rsidP="5ECFBCA2" w14:paraId="0DC7BE66" w14:textId="2E6ABD2D">
            <w:pPr>
              <w:widowControl/>
              <w:spacing w:line="259" w:lineRule="auto"/>
              <w:jc w:val="center"/>
              <w:rPr>
                <w:color w:val="000000" w:themeColor="text1"/>
              </w:rPr>
            </w:pPr>
            <w:r w:rsidRPr="5ECFBCA2">
              <w:rPr>
                <w:color w:val="000000" w:themeColor="text1"/>
              </w:rPr>
              <w:t xml:space="preserve"> $</w:t>
            </w:r>
            <w:r w:rsidRPr="5ECFBCA2" w:rsidR="441761CF">
              <w:rPr>
                <w:color w:val="000000" w:themeColor="text1"/>
              </w:rPr>
              <w:t>479,027</w:t>
            </w:r>
            <w:r w:rsidRPr="5ECFBCA2">
              <w:rPr>
                <w:color w:val="000000" w:themeColor="text1"/>
              </w:rPr>
              <w:t xml:space="preserve"> </w:t>
            </w:r>
          </w:p>
        </w:tc>
      </w:tr>
      <w:tr w14:paraId="414AF617" w14:textId="77777777" w:rsidTr="5ECFBCA2">
        <w:tblPrEx>
          <w:tblW w:w="5000" w:type="pct"/>
          <w:tblCellMar>
            <w:left w:w="29" w:type="dxa"/>
            <w:right w:w="29" w:type="dxa"/>
          </w:tblCellMar>
          <w:tblLook w:val="04A0"/>
        </w:tblPrEx>
        <w:trPr>
          <w:trHeight w:val="270"/>
        </w:trPr>
        <w:tc>
          <w:tcPr>
            <w:tcW w:w="647" w:type="pct"/>
            <w:shd w:val="clear" w:color="auto" w:fill="auto"/>
            <w:tcMar>
              <w:left w:w="115" w:type="dxa"/>
              <w:right w:w="115" w:type="dxa"/>
            </w:tcMar>
            <w:vAlign w:val="bottom"/>
            <w:hideMark/>
          </w:tcPr>
          <w:p w:rsidR="00CF21B1" w:rsidRPr="00BB721B" w:rsidP="005312A0" w14:paraId="2A182730" w14:textId="77777777">
            <w:pPr>
              <w:widowControl/>
              <w:autoSpaceDE/>
              <w:autoSpaceDN/>
              <w:adjustRightInd/>
              <w:jc w:val="center"/>
              <w:rPr>
                <w:color w:val="000000"/>
              </w:rPr>
            </w:pPr>
            <w:r w:rsidRPr="00BB721B">
              <w:rPr>
                <w:color w:val="000000"/>
              </w:rPr>
              <w:t>3</w:t>
            </w:r>
          </w:p>
        </w:tc>
        <w:tc>
          <w:tcPr>
            <w:tcW w:w="725" w:type="pct"/>
            <w:shd w:val="clear" w:color="auto" w:fill="auto"/>
            <w:tcMar>
              <w:left w:w="115" w:type="dxa"/>
              <w:right w:w="115" w:type="dxa"/>
            </w:tcMar>
            <w:vAlign w:val="center"/>
          </w:tcPr>
          <w:p w:rsidR="00CF21B1" w:rsidRPr="002047EA" w:rsidP="005312A0" w14:paraId="7BA4239E" w14:textId="77777777">
            <w:pPr>
              <w:widowControl/>
              <w:autoSpaceDE/>
              <w:autoSpaceDN/>
              <w:adjustRightInd/>
              <w:jc w:val="center"/>
              <w:rPr>
                <w:color w:val="000000"/>
              </w:rPr>
            </w:pPr>
            <w:r w:rsidRPr="002047EA">
              <w:rPr>
                <w:color w:val="000000"/>
              </w:rPr>
              <w:t>255</w:t>
            </w:r>
          </w:p>
        </w:tc>
        <w:tc>
          <w:tcPr>
            <w:tcW w:w="726" w:type="pct"/>
            <w:shd w:val="clear" w:color="auto" w:fill="auto"/>
            <w:tcMar>
              <w:left w:w="115" w:type="dxa"/>
              <w:right w:w="115" w:type="dxa"/>
            </w:tcMar>
            <w:vAlign w:val="center"/>
          </w:tcPr>
          <w:p w:rsidR="00CF21B1" w:rsidRPr="002047EA" w:rsidP="005312A0" w14:paraId="62F753AA" w14:textId="77777777">
            <w:pPr>
              <w:widowControl/>
              <w:autoSpaceDE/>
              <w:autoSpaceDN/>
              <w:adjustRightInd/>
              <w:jc w:val="center"/>
              <w:rPr>
                <w:color w:val="000000"/>
              </w:rPr>
            </w:pPr>
            <w:r w:rsidRPr="00D64E77">
              <w:rPr>
                <w:color w:val="000000"/>
              </w:rPr>
              <w:t>0.2</w:t>
            </w:r>
          </w:p>
        </w:tc>
        <w:tc>
          <w:tcPr>
            <w:tcW w:w="725" w:type="pct"/>
            <w:shd w:val="clear" w:color="auto" w:fill="auto"/>
            <w:tcMar>
              <w:left w:w="115" w:type="dxa"/>
              <w:right w:w="115" w:type="dxa"/>
            </w:tcMar>
            <w:vAlign w:val="center"/>
          </w:tcPr>
          <w:p w:rsidR="00CF21B1" w:rsidRPr="002047EA" w:rsidP="005312A0" w14:paraId="455196EB" w14:textId="77777777">
            <w:pPr>
              <w:widowControl/>
              <w:autoSpaceDE/>
              <w:autoSpaceDN/>
              <w:adjustRightInd/>
              <w:jc w:val="center"/>
              <w:rPr>
                <w:color w:val="000000"/>
              </w:rPr>
            </w:pPr>
            <w:r w:rsidRPr="002047EA">
              <w:rPr>
                <w:color w:val="000000"/>
              </w:rPr>
              <w:t>51</w:t>
            </w:r>
          </w:p>
        </w:tc>
        <w:tc>
          <w:tcPr>
            <w:tcW w:w="726" w:type="pct"/>
            <w:shd w:val="clear" w:color="auto" w:fill="auto"/>
            <w:tcMar>
              <w:left w:w="115" w:type="dxa"/>
              <w:right w:w="115" w:type="dxa"/>
            </w:tcMar>
            <w:vAlign w:val="center"/>
          </w:tcPr>
          <w:p w:rsidR="00CF21B1" w:rsidRPr="002047EA" w:rsidP="005312A0" w14:paraId="6617A05E" w14:textId="77777777">
            <w:pPr>
              <w:widowControl/>
              <w:autoSpaceDE/>
              <w:autoSpaceDN/>
              <w:adjustRightInd/>
              <w:jc w:val="center"/>
              <w:rPr>
                <w:color w:val="000000"/>
              </w:rPr>
            </w:pPr>
            <w:r w:rsidRPr="00D64E77">
              <w:rPr>
                <w:color w:val="000000"/>
              </w:rPr>
              <w:t>200</w:t>
            </w:r>
          </w:p>
        </w:tc>
        <w:tc>
          <w:tcPr>
            <w:tcW w:w="725" w:type="pct"/>
            <w:shd w:val="clear" w:color="auto" w:fill="auto"/>
            <w:tcMar>
              <w:left w:w="115" w:type="dxa"/>
              <w:right w:w="115" w:type="dxa"/>
            </w:tcMar>
            <w:vAlign w:val="center"/>
          </w:tcPr>
          <w:p w:rsidR="00CF21B1" w:rsidRPr="002047EA" w:rsidP="005312A0" w14:paraId="33701EAD" w14:textId="77777777">
            <w:pPr>
              <w:widowControl/>
              <w:autoSpaceDE/>
              <w:autoSpaceDN/>
              <w:adjustRightInd/>
              <w:jc w:val="center"/>
              <w:rPr>
                <w:color w:val="000000"/>
              </w:rPr>
            </w:pPr>
            <w:r w:rsidRPr="00D64E77">
              <w:rPr>
                <w:color w:val="000000"/>
              </w:rPr>
              <w:t>10,200</w:t>
            </w:r>
          </w:p>
        </w:tc>
        <w:tc>
          <w:tcPr>
            <w:tcW w:w="726" w:type="pct"/>
            <w:shd w:val="clear" w:color="auto" w:fill="auto"/>
            <w:tcMar>
              <w:left w:w="115" w:type="dxa"/>
              <w:right w:w="115" w:type="dxa"/>
            </w:tcMar>
            <w:vAlign w:val="center"/>
          </w:tcPr>
          <w:p w:rsidR="00CF21B1" w:rsidRPr="002047EA" w:rsidP="5ECFBCA2" w14:paraId="6F55953B" w14:textId="0869FF25">
            <w:pPr>
              <w:widowControl/>
              <w:spacing w:line="259" w:lineRule="auto"/>
              <w:jc w:val="center"/>
              <w:rPr>
                <w:color w:val="000000" w:themeColor="text1"/>
              </w:rPr>
            </w:pPr>
            <w:r w:rsidRPr="5ECFBCA2">
              <w:rPr>
                <w:color w:val="000000" w:themeColor="text1"/>
              </w:rPr>
              <w:t>$</w:t>
            </w:r>
            <w:r w:rsidRPr="5ECFBCA2" w:rsidR="4BB72C5D">
              <w:rPr>
                <w:color w:val="000000" w:themeColor="text1"/>
              </w:rPr>
              <w:t>479,027</w:t>
            </w:r>
          </w:p>
        </w:tc>
      </w:tr>
      <w:tr w14:paraId="02FFAA1B" w14:textId="77777777" w:rsidTr="5ECFBCA2">
        <w:tblPrEx>
          <w:tblW w:w="5000" w:type="pct"/>
          <w:tblCellMar>
            <w:left w:w="29" w:type="dxa"/>
            <w:right w:w="29" w:type="dxa"/>
          </w:tblCellMar>
          <w:tblLook w:val="04A0"/>
        </w:tblPrEx>
        <w:trPr>
          <w:trHeight w:val="270"/>
        </w:trPr>
        <w:tc>
          <w:tcPr>
            <w:tcW w:w="647" w:type="pct"/>
            <w:shd w:val="clear" w:color="auto" w:fill="auto"/>
            <w:tcMar>
              <w:left w:w="115" w:type="dxa"/>
              <w:right w:w="115" w:type="dxa"/>
            </w:tcMar>
            <w:vAlign w:val="bottom"/>
            <w:hideMark/>
          </w:tcPr>
          <w:p w:rsidR="00CF21B1" w:rsidRPr="00BB721B" w:rsidP="005312A0" w14:paraId="73CF9B5B" w14:textId="77777777">
            <w:pPr>
              <w:widowControl/>
              <w:autoSpaceDE/>
              <w:autoSpaceDN/>
              <w:adjustRightInd/>
              <w:jc w:val="center"/>
              <w:rPr>
                <w:color w:val="000000"/>
              </w:rPr>
            </w:pPr>
            <w:r w:rsidRPr="00BB721B">
              <w:rPr>
                <w:color w:val="000000"/>
              </w:rPr>
              <w:t>Total</w:t>
            </w:r>
          </w:p>
        </w:tc>
        <w:tc>
          <w:tcPr>
            <w:tcW w:w="725" w:type="pct"/>
            <w:shd w:val="clear" w:color="auto" w:fill="auto"/>
            <w:tcMar>
              <w:left w:w="115" w:type="dxa"/>
              <w:right w:w="115" w:type="dxa"/>
            </w:tcMar>
            <w:vAlign w:val="center"/>
          </w:tcPr>
          <w:p w:rsidR="00CF21B1" w:rsidRPr="002047EA" w:rsidP="005312A0" w14:paraId="7E87EB70" w14:textId="77777777">
            <w:pPr>
              <w:widowControl/>
              <w:autoSpaceDE/>
              <w:autoSpaceDN/>
              <w:adjustRightInd/>
              <w:jc w:val="center"/>
              <w:rPr>
                <w:color w:val="000000"/>
              </w:rPr>
            </w:pPr>
            <w:r w:rsidRPr="002047EA">
              <w:rPr>
                <w:color w:val="000000"/>
              </w:rPr>
              <w:t>765</w:t>
            </w:r>
          </w:p>
        </w:tc>
        <w:tc>
          <w:tcPr>
            <w:tcW w:w="726" w:type="pct"/>
            <w:shd w:val="clear" w:color="auto" w:fill="auto"/>
            <w:tcMar>
              <w:left w:w="115" w:type="dxa"/>
              <w:right w:w="115" w:type="dxa"/>
            </w:tcMar>
            <w:vAlign w:val="center"/>
          </w:tcPr>
          <w:p w:rsidR="00CF21B1" w:rsidRPr="002047EA" w:rsidP="005312A0" w14:paraId="3F6031C8" w14:textId="77777777">
            <w:pPr>
              <w:widowControl/>
              <w:autoSpaceDE/>
              <w:autoSpaceDN/>
              <w:adjustRightInd/>
              <w:jc w:val="center"/>
              <w:rPr>
                <w:color w:val="000000"/>
              </w:rPr>
            </w:pPr>
            <w:r w:rsidRPr="00D64E77">
              <w:rPr>
                <w:color w:val="000000"/>
              </w:rPr>
              <w:t>-</w:t>
            </w:r>
          </w:p>
        </w:tc>
        <w:tc>
          <w:tcPr>
            <w:tcW w:w="725" w:type="pct"/>
            <w:shd w:val="clear" w:color="auto" w:fill="auto"/>
            <w:tcMar>
              <w:left w:w="115" w:type="dxa"/>
              <w:right w:w="115" w:type="dxa"/>
            </w:tcMar>
            <w:vAlign w:val="center"/>
          </w:tcPr>
          <w:p w:rsidR="00CF21B1" w:rsidRPr="002047EA" w:rsidP="005312A0" w14:paraId="68629680" w14:textId="77777777">
            <w:pPr>
              <w:widowControl/>
              <w:autoSpaceDE/>
              <w:autoSpaceDN/>
              <w:adjustRightInd/>
              <w:jc w:val="center"/>
              <w:rPr>
                <w:color w:val="000000"/>
              </w:rPr>
            </w:pPr>
            <w:r w:rsidRPr="002047EA">
              <w:rPr>
                <w:color w:val="000000"/>
              </w:rPr>
              <w:t>153</w:t>
            </w:r>
          </w:p>
        </w:tc>
        <w:tc>
          <w:tcPr>
            <w:tcW w:w="726" w:type="pct"/>
            <w:shd w:val="clear" w:color="auto" w:fill="auto"/>
            <w:tcMar>
              <w:left w:w="115" w:type="dxa"/>
              <w:right w:w="115" w:type="dxa"/>
            </w:tcMar>
            <w:vAlign w:val="center"/>
          </w:tcPr>
          <w:p w:rsidR="00CF21B1" w:rsidRPr="002047EA" w:rsidP="005312A0" w14:paraId="2934AC54" w14:textId="77777777">
            <w:pPr>
              <w:widowControl/>
              <w:autoSpaceDE/>
              <w:autoSpaceDN/>
              <w:adjustRightInd/>
              <w:jc w:val="center"/>
              <w:rPr>
                <w:color w:val="000000"/>
              </w:rPr>
            </w:pPr>
            <w:r w:rsidRPr="00D64E77">
              <w:rPr>
                <w:color w:val="000000"/>
              </w:rPr>
              <w:t>-</w:t>
            </w:r>
          </w:p>
        </w:tc>
        <w:tc>
          <w:tcPr>
            <w:tcW w:w="725" w:type="pct"/>
            <w:shd w:val="clear" w:color="auto" w:fill="auto"/>
            <w:tcMar>
              <w:left w:w="115" w:type="dxa"/>
              <w:right w:w="115" w:type="dxa"/>
            </w:tcMar>
            <w:vAlign w:val="center"/>
          </w:tcPr>
          <w:p w:rsidR="00CF21B1" w:rsidRPr="002047EA" w:rsidP="005312A0" w14:paraId="64C3E7B5" w14:textId="77777777">
            <w:pPr>
              <w:widowControl/>
              <w:autoSpaceDE/>
              <w:autoSpaceDN/>
              <w:adjustRightInd/>
              <w:jc w:val="center"/>
              <w:rPr>
                <w:color w:val="000000"/>
              </w:rPr>
            </w:pPr>
            <w:r w:rsidRPr="00D64E77">
              <w:rPr>
                <w:color w:val="000000"/>
              </w:rPr>
              <w:t>30,600</w:t>
            </w:r>
          </w:p>
        </w:tc>
        <w:tc>
          <w:tcPr>
            <w:tcW w:w="726" w:type="pct"/>
            <w:shd w:val="clear" w:color="auto" w:fill="auto"/>
            <w:tcMar>
              <w:left w:w="115" w:type="dxa"/>
              <w:right w:w="115" w:type="dxa"/>
            </w:tcMar>
            <w:vAlign w:val="center"/>
          </w:tcPr>
          <w:p w:rsidR="00CF21B1" w:rsidRPr="002047EA" w:rsidP="5ECFBCA2" w14:paraId="4A9CF8C0" w14:textId="13109AFC">
            <w:pPr>
              <w:widowControl/>
              <w:spacing w:line="259" w:lineRule="auto"/>
              <w:jc w:val="center"/>
            </w:pPr>
            <w:r w:rsidRPr="5ECFBCA2">
              <w:rPr>
                <w:color w:val="000000" w:themeColor="text1"/>
              </w:rPr>
              <w:t>$1,</w:t>
            </w:r>
            <w:r w:rsidRPr="5ECFBCA2" w:rsidR="48B64024">
              <w:rPr>
                <w:color w:val="000000" w:themeColor="text1"/>
              </w:rPr>
              <w:t>437,082</w:t>
            </w:r>
          </w:p>
        </w:tc>
      </w:tr>
      <w:tr w14:paraId="61944B0E" w14:textId="77777777" w:rsidTr="5ECFBCA2">
        <w:tblPrEx>
          <w:tblW w:w="5000" w:type="pct"/>
          <w:tblCellMar>
            <w:left w:w="29" w:type="dxa"/>
            <w:right w:w="29" w:type="dxa"/>
          </w:tblCellMar>
          <w:tblLook w:val="04A0"/>
        </w:tblPrEx>
        <w:trPr>
          <w:trHeight w:val="270"/>
        </w:trPr>
        <w:tc>
          <w:tcPr>
            <w:tcW w:w="647" w:type="pct"/>
            <w:shd w:val="clear" w:color="auto" w:fill="auto"/>
            <w:tcMar>
              <w:left w:w="115" w:type="dxa"/>
              <w:right w:w="115" w:type="dxa"/>
            </w:tcMar>
            <w:vAlign w:val="bottom"/>
            <w:hideMark/>
          </w:tcPr>
          <w:p w:rsidR="00CF21B1" w:rsidRPr="00BB721B" w:rsidP="005312A0" w14:paraId="252D84CF" w14:textId="77777777">
            <w:pPr>
              <w:widowControl/>
              <w:autoSpaceDE/>
              <w:autoSpaceDN/>
              <w:adjustRightInd/>
              <w:jc w:val="center"/>
              <w:rPr>
                <w:color w:val="000000"/>
              </w:rPr>
            </w:pPr>
            <w:r w:rsidRPr="00BB721B">
              <w:rPr>
                <w:color w:val="000000"/>
              </w:rPr>
              <w:t>Annualized</w:t>
            </w:r>
          </w:p>
        </w:tc>
        <w:tc>
          <w:tcPr>
            <w:tcW w:w="725" w:type="pct"/>
            <w:shd w:val="clear" w:color="auto" w:fill="auto"/>
            <w:tcMar>
              <w:left w:w="115" w:type="dxa"/>
              <w:right w:w="115" w:type="dxa"/>
            </w:tcMar>
            <w:vAlign w:val="center"/>
          </w:tcPr>
          <w:p w:rsidR="00CF21B1" w:rsidRPr="002047EA" w:rsidP="005312A0" w14:paraId="5E4CB91D" w14:textId="77777777">
            <w:pPr>
              <w:widowControl/>
              <w:autoSpaceDE/>
              <w:autoSpaceDN/>
              <w:adjustRightInd/>
              <w:jc w:val="center"/>
              <w:rPr>
                <w:color w:val="000000"/>
              </w:rPr>
            </w:pPr>
            <w:r w:rsidRPr="002047EA">
              <w:rPr>
                <w:color w:val="000000"/>
              </w:rPr>
              <w:t>255</w:t>
            </w:r>
          </w:p>
        </w:tc>
        <w:tc>
          <w:tcPr>
            <w:tcW w:w="726" w:type="pct"/>
            <w:shd w:val="clear" w:color="auto" w:fill="auto"/>
            <w:tcMar>
              <w:left w:w="115" w:type="dxa"/>
              <w:right w:w="115" w:type="dxa"/>
            </w:tcMar>
            <w:vAlign w:val="center"/>
          </w:tcPr>
          <w:p w:rsidR="00CF21B1" w:rsidRPr="002047EA" w:rsidP="005312A0" w14:paraId="40667C0E" w14:textId="77777777">
            <w:pPr>
              <w:widowControl/>
              <w:autoSpaceDE/>
              <w:autoSpaceDN/>
              <w:adjustRightInd/>
              <w:jc w:val="center"/>
              <w:rPr>
                <w:color w:val="000000"/>
              </w:rPr>
            </w:pPr>
            <w:r w:rsidRPr="00D64E77">
              <w:rPr>
                <w:color w:val="000000"/>
              </w:rPr>
              <w:t>-</w:t>
            </w:r>
          </w:p>
        </w:tc>
        <w:tc>
          <w:tcPr>
            <w:tcW w:w="725" w:type="pct"/>
            <w:shd w:val="clear" w:color="auto" w:fill="auto"/>
            <w:tcMar>
              <w:left w:w="115" w:type="dxa"/>
              <w:right w:w="115" w:type="dxa"/>
            </w:tcMar>
            <w:vAlign w:val="center"/>
          </w:tcPr>
          <w:p w:rsidR="00CF21B1" w:rsidRPr="002047EA" w:rsidP="005312A0" w14:paraId="36B1FBDB" w14:textId="77777777">
            <w:pPr>
              <w:widowControl/>
              <w:autoSpaceDE/>
              <w:autoSpaceDN/>
              <w:adjustRightInd/>
              <w:jc w:val="center"/>
              <w:rPr>
                <w:color w:val="000000"/>
              </w:rPr>
            </w:pPr>
            <w:r w:rsidRPr="002047EA">
              <w:rPr>
                <w:color w:val="000000"/>
              </w:rPr>
              <w:t>51</w:t>
            </w:r>
          </w:p>
        </w:tc>
        <w:tc>
          <w:tcPr>
            <w:tcW w:w="726" w:type="pct"/>
            <w:shd w:val="clear" w:color="auto" w:fill="auto"/>
            <w:tcMar>
              <w:left w:w="115" w:type="dxa"/>
              <w:right w:w="115" w:type="dxa"/>
            </w:tcMar>
            <w:vAlign w:val="center"/>
          </w:tcPr>
          <w:p w:rsidR="00CF21B1" w:rsidRPr="002047EA" w:rsidP="005312A0" w14:paraId="6517C112" w14:textId="77777777">
            <w:pPr>
              <w:widowControl/>
              <w:autoSpaceDE/>
              <w:autoSpaceDN/>
              <w:adjustRightInd/>
              <w:jc w:val="center"/>
              <w:rPr>
                <w:color w:val="000000"/>
              </w:rPr>
            </w:pPr>
            <w:r w:rsidRPr="00D64E77">
              <w:rPr>
                <w:color w:val="000000"/>
              </w:rPr>
              <w:t>-</w:t>
            </w:r>
          </w:p>
        </w:tc>
        <w:tc>
          <w:tcPr>
            <w:tcW w:w="725" w:type="pct"/>
            <w:shd w:val="clear" w:color="auto" w:fill="auto"/>
            <w:tcMar>
              <w:left w:w="115" w:type="dxa"/>
              <w:right w:w="115" w:type="dxa"/>
            </w:tcMar>
            <w:vAlign w:val="center"/>
          </w:tcPr>
          <w:p w:rsidR="00CF21B1" w:rsidRPr="002047EA" w:rsidP="005312A0" w14:paraId="5B56B870" w14:textId="77777777">
            <w:pPr>
              <w:widowControl/>
              <w:autoSpaceDE/>
              <w:autoSpaceDN/>
              <w:adjustRightInd/>
              <w:jc w:val="center"/>
              <w:rPr>
                <w:color w:val="000000"/>
              </w:rPr>
            </w:pPr>
            <w:r w:rsidRPr="00D64E77">
              <w:rPr>
                <w:color w:val="000000"/>
              </w:rPr>
              <w:t>10,200</w:t>
            </w:r>
          </w:p>
        </w:tc>
        <w:tc>
          <w:tcPr>
            <w:tcW w:w="726" w:type="pct"/>
            <w:shd w:val="clear" w:color="auto" w:fill="auto"/>
            <w:tcMar>
              <w:left w:w="115" w:type="dxa"/>
              <w:right w:w="115" w:type="dxa"/>
            </w:tcMar>
            <w:vAlign w:val="center"/>
          </w:tcPr>
          <w:p w:rsidR="00CF21B1" w:rsidRPr="002047EA" w:rsidP="5ECFBCA2" w14:paraId="28EE85EB" w14:textId="70A05DB8">
            <w:pPr>
              <w:widowControl/>
              <w:spacing w:line="259" w:lineRule="auto"/>
              <w:jc w:val="center"/>
              <w:rPr>
                <w:color w:val="000000" w:themeColor="text1"/>
              </w:rPr>
            </w:pPr>
            <w:r w:rsidRPr="5ECFBCA2">
              <w:rPr>
                <w:color w:val="000000" w:themeColor="text1"/>
              </w:rPr>
              <w:t xml:space="preserve"> $</w:t>
            </w:r>
            <w:r w:rsidRPr="5ECFBCA2" w:rsidR="486424A5">
              <w:rPr>
                <w:color w:val="000000" w:themeColor="text1"/>
              </w:rPr>
              <w:t>479,027</w:t>
            </w:r>
          </w:p>
        </w:tc>
      </w:tr>
    </w:tbl>
    <w:p w:rsidR="00FA4698" w:rsidRPr="007E65CF" w:rsidP="00722B85" w14:paraId="1C3A8F6D" w14:textId="77777777">
      <w:pPr>
        <w:widowControl/>
        <w:rPr>
          <w:sz w:val="18"/>
          <w:szCs w:val="18"/>
        </w:rPr>
      </w:pPr>
      <w:r>
        <w:rPr>
          <w:sz w:val="18"/>
          <w:szCs w:val="18"/>
        </w:rPr>
        <w:t>Totals are the product of unrounded components</w:t>
      </w:r>
      <w:r w:rsidRPr="007E65CF">
        <w:rPr>
          <w:sz w:val="18"/>
          <w:szCs w:val="18"/>
        </w:rPr>
        <w:t>.</w:t>
      </w:r>
    </w:p>
    <w:p w:rsidR="004E7296" w:rsidP="00722B85" w14:paraId="2E2535A1" w14:textId="77777777">
      <w:pPr>
        <w:widowControl/>
      </w:pPr>
    </w:p>
    <w:p w:rsidR="007B52ED" w:rsidP="00722B85" w14:paraId="64871ABB" w14:textId="77777777">
      <w:pPr>
        <w:widowControl/>
      </w:pPr>
      <w:r>
        <w:t>The burden hours for IC-2.4 remain constant at 10,200 hours.</w:t>
      </w:r>
    </w:p>
    <w:p w:rsidR="00722B85" w:rsidP="00722B85" w14:paraId="1C4BA514" w14:textId="77777777">
      <w:pPr>
        <w:widowControl/>
        <w:rPr>
          <w:b/>
        </w:rPr>
      </w:pPr>
    </w:p>
    <w:p w:rsidR="002520B5" w:rsidRPr="002520B5" w:rsidP="00722B85" w14:paraId="20D53764" w14:textId="77777777">
      <w:pPr>
        <w:widowControl/>
        <w:rPr>
          <w:b/>
        </w:rPr>
      </w:pPr>
      <w:r w:rsidRPr="00D84B87">
        <w:rPr>
          <w:b/>
        </w:rPr>
        <w:t>IC-2.6 CDLIS/PDPS/State recordkeeping</w:t>
      </w:r>
      <w:r w:rsidRPr="00D84B87" w:rsidR="0001283F">
        <w:rPr>
          <w:b/>
        </w:rPr>
        <w:t xml:space="preserve"> [49 CFR 384.231 and 384.232]</w:t>
      </w:r>
    </w:p>
    <w:p w:rsidR="002520B5" w:rsidP="00722B85" w14:paraId="2EBABC0A" w14:textId="53DC0DA4">
      <w:pPr>
        <w:widowControl/>
      </w:pPr>
      <w:r>
        <w:t xml:space="preserve">The </w:t>
      </w:r>
      <w:r w:rsidRPr="002520B5">
        <w:t xml:space="preserve">50 States and the District of Columbia are required to enter data into CDLIS and to perform </w:t>
      </w:r>
      <w:r w:rsidR="006503FA">
        <w:t>recordkeeping actions</w:t>
      </w:r>
      <w:r w:rsidRPr="002520B5">
        <w:t xml:space="preserve"> </w:t>
      </w:r>
      <w:r w:rsidR="003F25FE">
        <w:t>for</w:t>
      </w:r>
      <w:r w:rsidRPr="002520B5">
        <w:t xml:space="preserve"> </w:t>
      </w:r>
      <w:r w:rsidR="006503FA">
        <w:t>certain activities</w:t>
      </w:r>
      <w:r w:rsidR="003F25FE">
        <w:t xml:space="preserve"> including: </w:t>
      </w:r>
      <w:r>
        <w:t xml:space="preserve">creating a new driver record, renewing driver CDLs, transferring driver records to a different state, </w:t>
      </w:r>
      <w:r w:rsidR="00870C46">
        <w:t>entering convictions and disqualifications, and checking U.S. citizen or resident alien status</w:t>
      </w:r>
      <w:r w:rsidR="00507928">
        <w:t xml:space="preserve"> for drivers renewing their CDL with a hazardous materials endorsement</w:t>
      </w:r>
      <w:r w:rsidR="00870C46">
        <w:t xml:space="preserve">.  </w:t>
      </w:r>
      <w:r w:rsidR="00043EE6">
        <w:t>The FMCSA serves as the 5</w:t>
      </w:r>
      <w:r w:rsidR="00D84B87">
        <w:t>2</w:t>
      </w:r>
      <w:r w:rsidRPr="00D84B87" w:rsidR="00D84B87">
        <w:rPr>
          <w:vertAlign w:val="superscript"/>
        </w:rPr>
        <w:t>nd</w:t>
      </w:r>
      <w:r w:rsidR="00D84B87">
        <w:t xml:space="preserve"> </w:t>
      </w:r>
      <w:r w:rsidR="00D24380">
        <w:t>State to enter</w:t>
      </w:r>
      <w:r w:rsidR="00D84B87">
        <w:t xml:space="preserve"> convictions for foreign drivers sent by the 50 States and the District of Columbia</w:t>
      </w:r>
      <w:r w:rsidR="00D24380">
        <w:t xml:space="preserve"> into the FCWD </w:t>
      </w:r>
      <w:r w:rsidR="00043EE6">
        <w:t xml:space="preserve">(a subsystem of CDLIS) </w:t>
      </w:r>
      <w:r w:rsidR="00D24380">
        <w:t>and perform recordkeeping actions for certain activities including: entering U.S. convictions for foreign drivers and FCWD disqualifications and reinstatements for a foreign driver</w:t>
      </w:r>
      <w:r w:rsidR="00807BC7">
        <w:t>’</w:t>
      </w:r>
      <w:r w:rsidR="00D24380">
        <w:t xml:space="preserve">s operating privileges in the United States. </w:t>
      </w:r>
      <w:r w:rsidRPr="00BB721B" w:rsidR="00D24380">
        <w:t xml:space="preserve"> </w:t>
      </w:r>
      <w:r w:rsidRPr="00BB721B">
        <w:t>To estimate burden hour and burden costs associated with this task, the Agency relies on the assumptions and statistics outline</w:t>
      </w:r>
      <w:r w:rsidR="00A36540">
        <w:t>d</w:t>
      </w:r>
      <w:r w:rsidRPr="00BB721B">
        <w:t xml:space="preserve"> above as well as the following</w:t>
      </w:r>
      <w:r w:rsidR="00F94A52">
        <w:t xml:space="preserve"> assumptions</w:t>
      </w:r>
      <w:r w:rsidRPr="00BB721B">
        <w:t>:</w:t>
      </w:r>
      <w:r w:rsidR="00EC5EAF">
        <w:br/>
      </w:r>
    </w:p>
    <w:p w:rsidR="006503FA" w:rsidP="00722B85" w14:paraId="4CCC94C3" w14:textId="77777777">
      <w:pPr>
        <w:widowControl/>
        <w:numPr>
          <w:ilvl w:val="0"/>
          <w:numId w:val="8"/>
        </w:numPr>
      </w:pPr>
      <w:r>
        <w:t>On average, CDLs are renewed every 5 years.</w:t>
      </w:r>
    </w:p>
    <w:p w:rsidR="006503FA" w:rsidP="00722B85" w14:paraId="5F73E178" w14:textId="794DD83B">
      <w:pPr>
        <w:widowControl/>
        <w:numPr>
          <w:ilvl w:val="0"/>
          <w:numId w:val="8"/>
        </w:numPr>
      </w:pPr>
      <w:r>
        <w:t>A CDL driver averages approximately 1 conviction every 3 years.</w:t>
      </w:r>
    </w:p>
    <w:p w:rsidR="006503FA" w:rsidP="00722B85" w14:paraId="7B9D9042" w14:textId="77777777">
      <w:pPr>
        <w:widowControl/>
        <w:numPr>
          <w:ilvl w:val="0"/>
          <w:numId w:val="8"/>
        </w:numPr>
      </w:pPr>
      <w:r>
        <w:t>Approximately 25% of convictions result in a disqualification.</w:t>
      </w:r>
    </w:p>
    <w:p w:rsidR="006503FA" w:rsidP="00722B85" w14:paraId="66B421BF" w14:textId="37EDEBB8">
      <w:pPr>
        <w:widowControl/>
        <w:numPr>
          <w:ilvl w:val="0"/>
          <w:numId w:val="8"/>
        </w:numPr>
      </w:pPr>
      <w:r>
        <w:t xml:space="preserve">Approximately </w:t>
      </w:r>
      <w:r w:rsidR="63C00BEF">
        <w:t>33</w:t>
      </w:r>
      <w:r>
        <w:t>% of active driver records have a hazardous materials endorsement.</w:t>
      </w:r>
    </w:p>
    <w:p w:rsidR="006503FA" w:rsidP="5ECFBCA2" w14:paraId="277F7A46" w14:textId="303D4F89">
      <w:pPr>
        <w:widowControl/>
        <w:numPr>
          <w:ilvl w:val="0"/>
          <w:numId w:val="8"/>
        </w:numPr>
        <w:spacing w:line="259" w:lineRule="auto"/>
      </w:pPr>
      <w:r>
        <w:t xml:space="preserve">An SDLA employee equivalent to an </w:t>
      </w:r>
      <w:r w:rsidR="20563853">
        <w:t>Office Clerk</w:t>
      </w:r>
      <w:r>
        <w:t xml:space="preserve"> (</w:t>
      </w:r>
      <w:r w:rsidR="003A6741">
        <w:t xml:space="preserve">SOC </w:t>
      </w:r>
      <w:r>
        <w:t>Code 43-</w:t>
      </w:r>
      <w:r w:rsidR="67FCE1A5">
        <w:t>9061</w:t>
      </w:r>
      <w:r>
        <w:t xml:space="preserve">) will perform </w:t>
      </w:r>
      <w:r w:rsidR="0001283F">
        <w:t>recordkeeping</w:t>
      </w:r>
      <w:r>
        <w:t xml:space="preserve"> task</w:t>
      </w:r>
      <w:r w:rsidR="0001283F">
        <w:t>s</w:t>
      </w:r>
      <w:r>
        <w:t xml:space="preserve"> at a loaded hourly wage of $</w:t>
      </w:r>
      <w:r w:rsidR="65490CAB">
        <w:t>28</w:t>
      </w:r>
      <w:r w:rsidR="25A3F58F">
        <w:t>.</w:t>
      </w:r>
      <w:r w:rsidR="4DC71741">
        <w:t>71</w:t>
      </w:r>
      <w:r>
        <w:t>.</w:t>
      </w:r>
    </w:p>
    <w:p w:rsidR="00567A22" w:rsidRPr="00567A22" w:rsidP="00722B85" w14:paraId="608299C2" w14:textId="77777777">
      <w:pPr>
        <w:widowControl/>
        <w:numPr>
          <w:ilvl w:val="0"/>
          <w:numId w:val="8"/>
        </w:numPr>
      </w:pPr>
      <w:r>
        <w:t>An estimated 249 SDLA employees from the 50 States and the District of Columbia undertake this task.</w:t>
      </w:r>
    </w:p>
    <w:p w:rsidR="002520B5" w:rsidRPr="006503FA" w:rsidP="00722B85" w14:paraId="0D518883" w14:textId="77777777">
      <w:pPr>
        <w:widowControl/>
        <w:numPr>
          <w:ilvl w:val="0"/>
          <w:numId w:val="8"/>
        </w:numPr>
      </w:pPr>
      <w:r>
        <w:t>An</w:t>
      </w:r>
      <w:r w:rsidRPr="006503FA">
        <w:t xml:space="preserve"> </w:t>
      </w:r>
      <w:r w:rsidRPr="006503FA" w:rsidR="006503FA">
        <w:t>SDLA employee will spend approximately 2 minutes (0.033 hours)</w:t>
      </w:r>
      <w:r w:rsidR="0001283F">
        <w:t xml:space="preserve"> per response performing recordkeeping activities</w:t>
      </w:r>
      <w:r w:rsidRPr="006503FA" w:rsidR="006503FA">
        <w:t>.</w:t>
      </w:r>
    </w:p>
    <w:p w:rsidR="006503FA" w:rsidP="00722B85" w14:paraId="0BEEC5B0" w14:textId="77777777">
      <w:pPr>
        <w:widowControl/>
      </w:pPr>
    </w:p>
    <w:p w:rsidR="002520B5" w:rsidP="5ECFBCA2" w14:paraId="622297F9" w14:textId="29DE85B5">
      <w:pPr>
        <w:widowControl/>
        <w:spacing w:line="259" w:lineRule="auto"/>
      </w:pPr>
      <w:r>
        <w:t xml:space="preserve">During the first year of this ICR, </w:t>
      </w:r>
      <w:r w:rsidR="00C76F1B">
        <w:t>2</w:t>
      </w:r>
      <w:r w:rsidR="00567A22">
        <w:t xml:space="preserve">49 </w:t>
      </w:r>
      <w:r>
        <w:t xml:space="preserve">SDLAs will </w:t>
      </w:r>
      <w:r w:rsidR="00EC73E7">
        <w:t>undertake recordkeeping activities</w:t>
      </w:r>
      <w:r w:rsidR="00B41506">
        <w:t xml:space="preserve"> for </w:t>
      </w:r>
      <w:r w:rsidR="05F185E0">
        <w:t>9,085,280</w:t>
      </w:r>
      <w:r w:rsidR="006503FA">
        <w:t xml:space="preserve"> records</w:t>
      </w:r>
      <w:r w:rsidR="00395C23">
        <w:t xml:space="preserve">. </w:t>
      </w:r>
      <w:r w:rsidR="006503FA">
        <w:t xml:space="preserve">This results in </w:t>
      </w:r>
      <w:r w:rsidR="1A8A8040">
        <w:t>302,843</w:t>
      </w:r>
      <w:r w:rsidR="006503FA">
        <w:t xml:space="preserve"> burden hours</w:t>
      </w:r>
      <w:r w:rsidR="001A1A67">
        <w:t xml:space="preserve"> </w:t>
      </w:r>
      <w:r w:rsidR="006503FA">
        <w:t xml:space="preserve">at a cost of </w:t>
      </w:r>
      <w:r w:rsidR="00201AFB">
        <w:t>$</w:t>
      </w:r>
      <w:r w:rsidR="749317CF">
        <w:t>8,695,623</w:t>
      </w:r>
      <w:r w:rsidR="00201AFB">
        <w:t>.</w:t>
      </w:r>
    </w:p>
    <w:p w:rsidR="001A1A67" w:rsidP="00722B85" w14:paraId="642D1DA5" w14:textId="77777777">
      <w:pPr>
        <w:widowControl/>
      </w:pPr>
    </w:p>
    <w:p w:rsidR="001A1A67" w:rsidP="5ECFBCA2" w14:paraId="31D73C40" w14:textId="07B9F06F">
      <w:pPr>
        <w:widowControl/>
        <w:spacing w:line="259" w:lineRule="auto"/>
      </w:pPr>
      <w:r>
        <w:t>As detailed in</w:t>
      </w:r>
      <w:r w:rsidR="00507928">
        <w:t xml:space="preserve"> </w:t>
      </w:r>
      <w:r>
        <w:fldChar w:fldCharType="begin"/>
      </w:r>
      <w:r>
        <w:instrText xml:space="preserve"> REF _Ref508616802 \h  \* MERGEFORMAT </w:instrText>
      </w:r>
      <w:r>
        <w:fldChar w:fldCharType="separate"/>
      </w:r>
      <w:r w:rsidR="006A6CBC">
        <w:t xml:space="preserve">Table </w:t>
      </w:r>
      <w:r w:rsidRPr="5ECFBCA2" w:rsidR="006A6CBC">
        <w:rPr>
          <w:noProof/>
        </w:rPr>
        <w:t>16</w:t>
      </w:r>
      <w:r>
        <w:fldChar w:fldCharType="end"/>
      </w:r>
      <w:r>
        <w:t xml:space="preserve">, IC-2.6 results in </w:t>
      </w:r>
      <w:r w:rsidR="00801E39">
        <w:t xml:space="preserve">an average of </w:t>
      </w:r>
      <w:r>
        <w:t xml:space="preserve">approximately </w:t>
      </w:r>
      <w:r w:rsidR="3F9FDC7B">
        <w:t>9,105,240</w:t>
      </w:r>
      <w:r>
        <w:t xml:space="preserve"> </w:t>
      </w:r>
      <w:r w:rsidR="00EF75F6">
        <w:t xml:space="preserve">responses requiring </w:t>
      </w:r>
      <w:r w:rsidR="0C581C44">
        <w:t>303,508</w:t>
      </w:r>
      <w:r w:rsidR="004075B0">
        <w:t xml:space="preserve"> </w:t>
      </w:r>
      <w:r>
        <w:t>hours, at a cost of $</w:t>
      </w:r>
      <w:r w:rsidR="6C576C94">
        <w:t>48,714,727</w:t>
      </w:r>
      <w:r>
        <w:t>.</w:t>
      </w:r>
    </w:p>
    <w:p w:rsidR="001A1A67" w:rsidP="00722B85" w14:paraId="292F4003" w14:textId="77777777">
      <w:pPr>
        <w:widowControl/>
      </w:pPr>
    </w:p>
    <w:p w:rsidR="001A1A67" w:rsidRPr="00D64E77" w:rsidP="00722B85" w14:paraId="14B787FD" w14:textId="63C658A2">
      <w:pPr>
        <w:pStyle w:val="Caption"/>
        <w:keepNext/>
        <w:widowControl/>
      </w:pPr>
      <w:bookmarkStart w:id="29" w:name="_Ref508616802"/>
      <w:r w:rsidRPr="00D64E77">
        <w:t xml:space="preserve">Table </w:t>
      </w:r>
      <w:r>
        <w:fldChar w:fldCharType="begin"/>
      </w:r>
      <w:r>
        <w:instrText>SEQ Table \* ARABIC</w:instrText>
      </w:r>
      <w:r>
        <w:fldChar w:fldCharType="separate"/>
      </w:r>
      <w:r w:rsidR="006A6CBC">
        <w:rPr>
          <w:noProof/>
        </w:rPr>
        <w:t>16</w:t>
      </w:r>
      <w:r>
        <w:fldChar w:fldCharType="end"/>
      </w:r>
      <w:bookmarkEnd w:id="29"/>
      <w:r w:rsidRPr="00D64E77">
        <w:t xml:space="preserve">. CDLIS/PDPS/State </w:t>
      </w:r>
      <w:r w:rsidRPr="00D64E77" w:rsidR="002D66E6">
        <w:t>R</w:t>
      </w:r>
      <w:r w:rsidRPr="00D64E77">
        <w:t>ecordkeeping (IC-2.6)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5"/>
        <w:gridCol w:w="1350"/>
        <w:gridCol w:w="1260"/>
        <w:gridCol w:w="1311"/>
        <w:gridCol w:w="1363"/>
        <w:gridCol w:w="1287"/>
        <w:gridCol w:w="1434"/>
      </w:tblGrid>
      <w:tr w14:paraId="6A6FA62F"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050"/>
        </w:trPr>
        <w:tc>
          <w:tcPr>
            <w:tcW w:w="719" w:type="pct"/>
            <w:shd w:val="clear" w:color="auto" w:fill="E0E0E0"/>
            <w:tcMar>
              <w:left w:w="0" w:type="dxa"/>
              <w:right w:w="0" w:type="dxa"/>
            </w:tcMar>
            <w:vAlign w:val="bottom"/>
            <w:hideMark/>
          </w:tcPr>
          <w:p w:rsidR="001A1A67" w:rsidRPr="009C27AA" w:rsidP="00507928" w14:paraId="5FE8A0AB" w14:textId="77777777">
            <w:pPr>
              <w:widowControl/>
              <w:autoSpaceDE/>
              <w:autoSpaceDN/>
              <w:adjustRightInd/>
              <w:jc w:val="center"/>
              <w:rPr>
                <w:b/>
                <w:bCs/>
                <w:color w:val="000000"/>
              </w:rPr>
            </w:pPr>
            <w:r w:rsidRPr="009C27AA">
              <w:rPr>
                <w:b/>
                <w:bCs/>
                <w:color w:val="000000"/>
              </w:rPr>
              <w:t>Year</w:t>
            </w:r>
          </w:p>
        </w:tc>
        <w:tc>
          <w:tcPr>
            <w:tcW w:w="722" w:type="pct"/>
            <w:shd w:val="clear" w:color="auto" w:fill="E0E0E0"/>
            <w:tcMar>
              <w:left w:w="0" w:type="dxa"/>
              <w:right w:w="0" w:type="dxa"/>
            </w:tcMar>
            <w:vAlign w:val="bottom"/>
            <w:hideMark/>
          </w:tcPr>
          <w:p w:rsidR="001A1A67" w:rsidRPr="009C27AA" w:rsidP="00507928" w14:paraId="7A689CF4" w14:textId="77777777">
            <w:pPr>
              <w:widowControl/>
              <w:autoSpaceDE/>
              <w:autoSpaceDN/>
              <w:adjustRightInd/>
              <w:jc w:val="center"/>
              <w:rPr>
                <w:b/>
                <w:bCs/>
                <w:color w:val="000000"/>
              </w:rPr>
            </w:pPr>
            <w:r w:rsidRPr="009C27AA">
              <w:rPr>
                <w:b/>
                <w:bCs/>
                <w:color w:val="000000"/>
              </w:rPr>
              <w:t>Number of Respondents</w:t>
            </w:r>
            <w:r w:rsidRPr="009C27AA">
              <w:rPr>
                <w:b/>
                <w:bCs/>
                <w:color w:val="000000"/>
              </w:rPr>
              <w:br/>
              <w:t>(a)</w:t>
            </w:r>
          </w:p>
        </w:tc>
        <w:tc>
          <w:tcPr>
            <w:tcW w:w="674" w:type="pct"/>
            <w:shd w:val="clear" w:color="auto" w:fill="E0E0E0"/>
            <w:tcMar>
              <w:left w:w="0" w:type="dxa"/>
              <w:right w:w="0" w:type="dxa"/>
            </w:tcMar>
            <w:vAlign w:val="bottom"/>
            <w:hideMark/>
          </w:tcPr>
          <w:p w:rsidR="001A1A67" w:rsidRPr="009C27AA" w:rsidP="00507928" w14:paraId="1A5A3EDE" w14:textId="77777777">
            <w:pPr>
              <w:widowControl/>
              <w:autoSpaceDE/>
              <w:autoSpaceDN/>
              <w:adjustRightInd/>
              <w:jc w:val="center"/>
              <w:rPr>
                <w:b/>
                <w:bCs/>
                <w:color w:val="000000"/>
              </w:rPr>
            </w:pPr>
            <w:r>
              <w:rPr>
                <w:b/>
                <w:bCs/>
                <w:color w:val="000000"/>
              </w:rPr>
              <w:t xml:space="preserve">Average </w:t>
            </w:r>
            <w:r w:rsidRPr="009C27AA">
              <w:rPr>
                <w:b/>
                <w:bCs/>
                <w:color w:val="000000"/>
              </w:rPr>
              <w:t>Responses per Respondent</w:t>
            </w:r>
            <w:r w:rsidRPr="009C27AA">
              <w:rPr>
                <w:b/>
                <w:bCs/>
                <w:color w:val="000000"/>
              </w:rPr>
              <w:br/>
              <w:t>(b)</w:t>
            </w:r>
          </w:p>
        </w:tc>
        <w:tc>
          <w:tcPr>
            <w:tcW w:w="701" w:type="pct"/>
            <w:shd w:val="clear" w:color="auto" w:fill="E0E0E0"/>
            <w:tcMar>
              <w:left w:w="0" w:type="dxa"/>
              <w:right w:w="0" w:type="dxa"/>
            </w:tcMar>
            <w:vAlign w:val="bottom"/>
            <w:hideMark/>
          </w:tcPr>
          <w:p w:rsidR="001A1A67" w:rsidRPr="009C27AA" w:rsidP="00507928" w14:paraId="132A98CD" w14:textId="77777777">
            <w:pPr>
              <w:widowControl/>
              <w:autoSpaceDE/>
              <w:autoSpaceDN/>
              <w:adjustRightInd/>
              <w:jc w:val="center"/>
              <w:rPr>
                <w:b/>
                <w:bCs/>
                <w:color w:val="000000"/>
              </w:rPr>
            </w:pPr>
            <w:r w:rsidRPr="009C27AA">
              <w:rPr>
                <w:b/>
                <w:bCs/>
                <w:color w:val="000000"/>
              </w:rPr>
              <w:t>Total Annual Responses</w:t>
            </w:r>
            <w:r w:rsidRPr="009C27AA">
              <w:rPr>
                <w:b/>
                <w:bCs/>
                <w:color w:val="000000"/>
              </w:rPr>
              <w:br/>
              <w:t>(a × b = c)</w:t>
            </w:r>
          </w:p>
        </w:tc>
        <w:tc>
          <w:tcPr>
            <w:tcW w:w="729" w:type="pct"/>
            <w:shd w:val="clear" w:color="auto" w:fill="E0E0E0"/>
            <w:tcMar>
              <w:left w:w="0" w:type="dxa"/>
              <w:right w:w="0" w:type="dxa"/>
            </w:tcMar>
            <w:vAlign w:val="bottom"/>
            <w:hideMark/>
          </w:tcPr>
          <w:p w:rsidR="001A1A67" w:rsidRPr="009C27AA" w:rsidP="00507928" w14:paraId="6434B541" w14:textId="77777777">
            <w:pPr>
              <w:widowControl/>
              <w:autoSpaceDE/>
              <w:autoSpaceDN/>
              <w:adjustRightInd/>
              <w:jc w:val="center"/>
              <w:rPr>
                <w:b/>
                <w:bCs/>
                <w:color w:val="000000"/>
              </w:rPr>
            </w:pPr>
            <w:r w:rsidRPr="009C27AA">
              <w:rPr>
                <w:b/>
                <w:bCs/>
                <w:color w:val="000000"/>
              </w:rPr>
              <w:t>Burden Hours per Response</w:t>
            </w:r>
            <w:r w:rsidRPr="009C27AA">
              <w:rPr>
                <w:b/>
                <w:bCs/>
                <w:color w:val="000000"/>
              </w:rPr>
              <w:br/>
              <w:t>(d)</w:t>
            </w:r>
          </w:p>
        </w:tc>
        <w:tc>
          <w:tcPr>
            <w:tcW w:w="688" w:type="pct"/>
            <w:shd w:val="clear" w:color="auto" w:fill="E0E0E0"/>
            <w:tcMar>
              <w:left w:w="0" w:type="dxa"/>
              <w:right w:w="0" w:type="dxa"/>
            </w:tcMar>
            <w:vAlign w:val="bottom"/>
            <w:hideMark/>
          </w:tcPr>
          <w:p w:rsidR="001A1A67" w:rsidRPr="009C27AA" w:rsidP="00507928" w14:paraId="551A7513" w14:textId="77777777">
            <w:pPr>
              <w:widowControl/>
              <w:autoSpaceDE/>
              <w:autoSpaceDN/>
              <w:adjustRightInd/>
              <w:jc w:val="center"/>
              <w:rPr>
                <w:b/>
                <w:bCs/>
                <w:color w:val="000000"/>
              </w:rPr>
            </w:pPr>
            <w:r w:rsidRPr="009C27AA">
              <w:rPr>
                <w:b/>
                <w:bCs/>
                <w:color w:val="000000"/>
              </w:rPr>
              <w:t>Total Annual Burden Hours</w:t>
            </w:r>
            <w:r w:rsidRPr="009C27AA">
              <w:rPr>
                <w:b/>
                <w:bCs/>
                <w:color w:val="000000"/>
              </w:rPr>
              <w:br/>
              <w:t>(c × d = e)</w:t>
            </w:r>
          </w:p>
        </w:tc>
        <w:tc>
          <w:tcPr>
            <w:tcW w:w="767" w:type="pct"/>
            <w:shd w:val="clear" w:color="auto" w:fill="E0E0E0"/>
            <w:tcMar>
              <w:left w:w="0" w:type="dxa"/>
              <w:right w:w="0" w:type="dxa"/>
            </w:tcMar>
            <w:vAlign w:val="bottom"/>
            <w:hideMark/>
          </w:tcPr>
          <w:p w:rsidR="001A1A67" w:rsidRPr="009C27AA" w:rsidP="00507928" w14:paraId="730A3A68" w14:textId="5EF8DBFA">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3BFE07BC">
              <w:rPr>
                <w:b/>
                <w:bCs/>
                <w:color w:val="000000" w:themeColor="text1"/>
              </w:rPr>
              <w:t>28.71</w:t>
            </w:r>
            <w:r w:rsidRPr="5ECFBCA2" w:rsidR="790EC570">
              <w:rPr>
                <w:b/>
                <w:bCs/>
                <w:color w:val="000000" w:themeColor="text1"/>
              </w:rPr>
              <w:t xml:space="preserve"> </w:t>
            </w:r>
            <w:r w:rsidRPr="5ECFBCA2">
              <w:rPr>
                <w:b/>
                <w:bCs/>
                <w:color w:val="000000" w:themeColor="text1"/>
              </w:rPr>
              <w:t>= f)</w:t>
            </w:r>
          </w:p>
        </w:tc>
      </w:tr>
      <w:tr w14:paraId="6F3C9592"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2047EA" w:rsidRPr="009C27AA" w:rsidP="002047EA" w14:paraId="58474365" w14:textId="77777777">
            <w:pPr>
              <w:widowControl/>
              <w:autoSpaceDE/>
              <w:autoSpaceDN/>
              <w:adjustRightInd/>
              <w:jc w:val="center"/>
              <w:rPr>
                <w:color w:val="000000"/>
              </w:rPr>
            </w:pPr>
            <w:r w:rsidRPr="009C27AA">
              <w:rPr>
                <w:color w:val="000000"/>
              </w:rPr>
              <w:t>1</w:t>
            </w:r>
          </w:p>
        </w:tc>
        <w:tc>
          <w:tcPr>
            <w:tcW w:w="722" w:type="pct"/>
            <w:shd w:val="clear" w:color="auto" w:fill="auto"/>
            <w:tcMar>
              <w:left w:w="115" w:type="dxa"/>
              <w:right w:w="115" w:type="dxa"/>
            </w:tcMar>
            <w:vAlign w:val="center"/>
          </w:tcPr>
          <w:p w:rsidR="002047EA" w:rsidRPr="002047EA" w:rsidP="002047EA" w14:paraId="40F1703A" w14:textId="2B89DC50">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8013D5" w:rsidRPr="00395C23" w:rsidP="008013D5" w14:paraId="096B488D" w14:textId="0E086386">
            <w:pPr>
              <w:widowControl/>
              <w:autoSpaceDE/>
              <w:autoSpaceDN/>
              <w:adjustRightInd/>
              <w:jc w:val="center"/>
              <w:rPr>
                <w:color w:val="000000"/>
              </w:rPr>
            </w:pPr>
            <w:r>
              <w:rPr>
                <w:color w:val="000000"/>
              </w:rPr>
              <w:t xml:space="preserve"> </w:t>
            </w:r>
            <w:r w:rsidRPr="00CF21B1">
              <w:rPr>
                <w:color w:val="000000" w:themeColor="text1"/>
              </w:rPr>
              <w:t>36,487</w:t>
            </w:r>
          </w:p>
        </w:tc>
        <w:tc>
          <w:tcPr>
            <w:tcW w:w="701" w:type="pct"/>
            <w:shd w:val="clear" w:color="auto" w:fill="auto"/>
            <w:tcMar>
              <w:left w:w="115" w:type="dxa"/>
              <w:right w:w="115" w:type="dxa"/>
            </w:tcMar>
            <w:vAlign w:val="center"/>
          </w:tcPr>
          <w:p w:rsidR="002047EA" w:rsidRPr="002047EA" w:rsidP="002047EA" w14:paraId="73CAF6C7" w14:textId="72DEBF74">
            <w:pPr>
              <w:widowControl/>
              <w:autoSpaceDE/>
              <w:autoSpaceDN/>
              <w:adjustRightInd/>
              <w:jc w:val="center"/>
              <w:rPr>
                <w:color w:val="000000"/>
              </w:rPr>
            </w:pPr>
            <w:r>
              <w:rPr>
                <w:color w:val="000000"/>
              </w:rPr>
              <w:t xml:space="preserve"> </w:t>
            </w:r>
            <w:r w:rsidRPr="00CF21B1">
              <w:rPr>
                <w:color w:val="000000" w:themeColor="text1"/>
              </w:rPr>
              <w:t>9,085,280</w:t>
            </w:r>
          </w:p>
        </w:tc>
        <w:tc>
          <w:tcPr>
            <w:tcW w:w="729" w:type="pct"/>
            <w:shd w:val="clear" w:color="auto" w:fill="auto"/>
            <w:tcMar>
              <w:left w:w="115" w:type="dxa"/>
              <w:right w:w="115" w:type="dxa"/>
            </w:tcMar>
            <w:vAlign w:val="center"/>
          </w:tcPr>
          <w:p w:rsidR="002047EA" w:rsidRPr="002047EA" w:rsidP="002047EA" w14:paraId="4C6A1AEA" w14:textId="3C8018BF">
            <w:pPr>
              <w:widowControl/>
              <w:autoSpaceDE/>
              <w:autoSpaceDN/>
              <w:adjustRightInd/>
              <w:jc w:val="center"/>
              <w:rPr>
                <w:color w:val="000000"/>
              </w:rPr>
            </w:pPr>
            <w:r w:rsidRPr="00D64E77">
              <w:rPr>
                <w:color w:val="000000"/>
              </w:rPr>
              <w:t>0.033</w:t>
            </w:r>
          </w:p>
        </w:tc>
        <w:tc>
          <w:tcPr>
            <w:tcW w:w="688" w:type="pct"/>
            <w:shd w:val="clear" w:color="auto" w:fill="auto"/>
            <w:tcMar>
              <w:left w:w="115" w:type="dxa"/>
              <w:right w:w="115" w:type="dxa"/>
            </w:tcMar>
            <w:vAlign w:val="center"/>
          </w:tcPr>
          <w:p w:rsidR="002047EA" w:rsidRPr="002047EA" w:rsidP="002047EA" w14:paraId="1D976F22" w14:textId="19CAD2FF">
            <w:pPr>
              <w:widowControl/>
              <w:autoSpaceDE/>
              <w:autoSpaceDN/>
              <w:adjustRightInd/>
              <w:jc w:val="center"/>
              <w:rPr>
                <w:color w:val="000000"/>
              </w:rPr>
            </w:pPr>
            <w:r>
              <w:rPr>
                <w:color w:val="000000"/>
              </w:rPr>
              <w:t xml:space="preserve"> </w:t>
            </w:r>
            <w:r w:rsidRPr="00CF21B1">
              <w:rPr>
                <w:color w:val="000000" w:themeColor="text1"/>
              </w:rPr>
              <w:t>302,843</w:t>
            </w:r>
          </w:p>
        </w:tc>
        <w:tc>
          <w:tcPr>
            <w:tcW w:w="767" w:type="pct"/>
            <w:shd w:val="clear" w:color="auto" w:fill="auto"/>
            <w:tcMar>
              <w:left w:w="115" w:type="dxa"/>
              <w:right w:w="115" w:type="dxa"/>
            </w:tcMar>
            <w:vAlign w:val="center"/>
          </w:tcPr>
          <w:p w:rsidR="002047EA" w:rsidRPr="002047EA" w:rsidP="5ECFBCA2" w14:paraId="558F22F3" w14:textId="1647243B">
            <w:pPr>
              <w:widowControl/>
              <w:spacing w:line="259" w:lineRule="auto"/>
              <w:jc w:val="center"/>
              <w:rPr>
                <w:color w:val="000000" w:themeColor="text1"/>
              </w:rPr>
            </w:pPr>
            <w:r w:rsidRPr="5ECFBCA2">
              <w:rPr>
                <w:color w:val="000000" w:themeColor="text1"/>
              </w:rPr>
              <w:t xml:space="preserve"> $</w:t>
            </w:r>
            <w:r w:rsidRPr="5ECFBCA2" w:rsidR="359C4E4C">
              <w:rPr>
                <w:color w:val="000000" w:themeColor="text1"/>
              </w:rPr>
              <w:t>8,695,623</w:t>
            </w:r>
          </w:p>
        </w:tc>
      </w:tr>
      <w:tr w14:paraId="3C85769F"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2047EA" w:rsidRPr="009C27AA" w:rsidP="002047EA" w14:paraId="02430551" w14:textId="77777777">
            <w:pPr>
              <w:widowControl/>
              <w:autoSpaceDE/>
              <w:autoSpaceDN/>
              <w:adjustRightInd/>
              <w:jc w:val="center"/>
              <w:rPr>
                <w:color w:val="000000"/>
              </w:rPr>
            </w:pPr>
            <w:r w:rsidRPr="009C27AA">
              <w:rPr>
                <w:color w:val="000000"/>
              </w:rPr>
              <w:t>2</w:t>
            </w:r>
          </w:p>
        </w:tc>
        <w:tc>
          <w:tcPr>
            <w:tcW w:w="722" w:type="pct"/>
            <w:shd w:val="clear" w:color="auto" w:fill="auto"/>
            <w:tcMar>
              <w:left w:w="115" w:type="dxa"/>
              <w:right w:w="115" w:type="dxa"/>
            </w:tcMar>
            <w:vAlign w:val="center"/>
          </w:tcPr>
          <w:p w:rsidR="002047EA" w:rsidRPr="002047EA" w:rsidP="002047EA" w14:paraId="602FB0E4" w14:textId="45E4BE6E">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2047EA" w:rsidRPr="00395C23" w:rsidP="002047EA" w14:paraId="20A20B13" w14:textId="3727A79D">
            <w:pPr>
              <w:widowControl/>
              <w:autoSpaceDE/>
              <w:autoSpaceDN/>
              <w:adjustRightInd/>
              <w:jc w:val="center"/>
              <w:rPr>
                <w:color w:val="000000"/>
              </w:rPr>
            </w:pPr>
            <w:r>
              <w:rPr>
                <w:color w:val="000000"/>
              </w:rPr>
              <w:t xml:space="preserve"> </w:t>
            </w:r>
            <w:r w:rsidRPr="00CF21B1">
              <w:rPr>
                <w:color w:val="000000" w:themeColor="text1"/>
              </w:rPr>
              <w:t>36,567</w:t>
            </w:r>
          </w:p>
        </w:tc>
        <w:tc>
          <w:tcPr>
            <w:tcW w:w="701" w:type="pct"/>
            <w:shd w:val="clear" w:color="auto" w:fill="auto"/>
            <w:tcMar>
              <w:left w:w="115" w:type="dxa"/>
              <w:right w:w="115" w:type="dxa"/>
            </w:tcMar>
            <w:vAlign w:val="center"/>
          </w:tcPr>
          <w:p w:rsidR="002047EA" w:rsidRPr="002047EA" w:rsidP="002047EA" w14:paraId="038FA622" w14:textId="0755F912">
            <w:pPr>
              <w:widowControl/>
              <w:autoSpaceDE/>
              <w:autoSpaceDN/>
              <w:adjustRightInd/>
              <w:jc w:val="center"/>
              <w:rPr>
                <w:color w:val="000000"/>
              </w:rPr>
            </w:pPr>
            <w:r>
              <w:rPr>
                <w:color w:val="000000"/>
              </w:rPr>
              <w:t xml:space="preserve"> </w:t>
            </w:r>
            <w:r w:rsidRPr="00CF21B1">
              <w:rPr>
                <w:color w:val="000000" w:themeColor="text1"/>
              </w:rPr>
              <w:t>9,105,225</w:t>
            </w:r>
          </w:p>
        </w:tc>
        <w:tc>
          <w:tcPr>
            <w:tcW w:w="729" w:type="pct"/>
            <w:shd w:val="clear" w:color="auto" w:fill="auto"/>
            <w:tcMar>
              <w:left w:w="115" w:type="dxa"/>
              <w:right w:w="115" w:type="dxa"/>
            </w:tcMar>
            <w:vAlign w:val="center"/>
          </w:tcPr>
          <w:p w:rsidR="002047EA" w:rsidRPr="002047EA" w:rsidP="002047EA" w14:paraId="38E50BBE" w14:textId="0A25B84E">
            <w:pPr>
              <w:widowControl/>
              <w:autoSpaceDE/>
              <w:autoSpaceDN/>
              <w:adjustRightInd/>
              <w:jc w:val="center"/>
              <w:rPr>
                <w:color w:val="000000"/>
              </w:rPr>
            </w:pPr>
            <w:r w:rsidRPr="00D64E77">
              <w:rPr>
                <w:color w:val="000000"/>
              </w:rPr>
              <w:t>0.033</w:t>
            </w:r>
          </w:p>
        </w:tc>
        <w:tc>
          <w:tcPr>
            <w:tcW w:w="688" w:type="pct"/>
            <w:shd w:val="clear" w:color="auto" w:fill="auto"/>
            <w:tcMar>
              <w:left w:w="115" w:type="dxa"/>
              <w:right w:w="115" w:type="dxa"/>
            </w:tcMar>
            <w:vAlign w:val="center"/>
          </w:tcPr>
          <w:p w:rsidR="002047EA" w:rsidRPr="00283CFF" w:rsidP="002047EA" w14:paraId="46004400" w14:textId="0840E283">
            <w:pPr>
              <w:widowControl/>
              <w:autoSpaceDE/>
              <w:autoSpaceDN/>
              <w:adjustRightInd/>
              <w:jc w:val="center"/>
              <w:rPr>
                <w:color w:val="000000"/>
              </w:rPr>
            </w:pPr>
            <w:r>
              <w:rPr>
                <w:color w:val="000000"/>
              </w:rPr>
              <w:t xml:space="preserve"> </w:t>
            </w:r>
            <w:r w:rsidRPr="00CF21B1">
              <w:rPr>
                <w:color w:val="000000" w:themeColor="text1"/>
              </w:rPr>
              <w:t>303,508</w:t>
            </w:r>
          </w:p>
        </w:tc>
        <w:tc>
          <w:tcPr>
            <w:tcW w:w="767" w:type="pct"/>
            <w:shd w:val="clear" w:color="auto" w:fill="auto"/>
            <w:tcMar>
              <w:left w:w="115" w:type="dxa"/>
              <w:right w:w="115" w:type="dxa"/>
            </w:tcMar>
            <w:vAlign w:val="center"/>
          </w:tcPr>
          <w:p w:rsidR="002047EA" w:rsidRPr="002047EA" w:rsidP="5ECFBCA2" w14:paraId="133D94E3" w14:textId="4B974511">
            <w:pPr>
              <w:widowControl/>
              <w:spacing w:line="259" w:lineRule="auto"/>
              <w:jc w:val="center"/>
            </w:pPr>
            <w:r w:rsidRPr="5ECFBCA2">
              <w:rPr>
                <w:color w:val="000000" w:themeColor="text1"/>
              </w:rPr>
              <w:t xml:space="preserve"> $</w:t>
            </w:r>
            <w:r w:rsidRPr="5ECFBCA2" w:rsidR="358DE51A">
              <w:rPr>
                <w:color w:val="000000" w:themeColor="text1"/>
              </w:rPr>
              <w:t>8,714,713</w:t>
            </w:r>
          </w:p>
        </w:tc>
      </w:tr>
      <w:tr w14:paraId="29372AB7"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2047EA" w:rsidRPr="009C27AA" w:rsidP="002047EA" w14:paraId="67248767" w14:textId="77777777">
            <w:pPr>
              <w:widowControl/>
              <w:autoSpaceDE/>
              <w:autoSpaceDN/>
              <w:adjustRightInd/>
              <w:jc w:val="center"/>
              <w:rPr>
                <w:color w:val="000000"/>
              </w:rPr>
            </w:pPr>
            <w:r w:rsidRPr="009C27AA">
              <w:rPr>
                <w:color w:val="000000"/>
              </w:rPr>
              <w:t>3</w:t>
            </w:r>
          </w:p>
        </w:tc>
        <w:tc>
          <w:tcPr>
            <w:tcW w:w="722" w:type="pct"/>
            <w:shd w:val="clear" w:color="auto" w:fill="auto"/>
            <w:tcMar>
              <w:left w:w="115" w:type="dxa"/>
              <w:right w:w="115" w:type="dxa"/>
            </w:tcMar>
            <w:vAlign w:val="center"/>
          </w:tcPr>
          <w:p w:rsidR="002047EA" w:rsidRPr="002047EA" w:rsidP="002047EA" w14:paraId="7F6B6BDB" w14:textId="1EC1AAAF">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2047EA" w:rsidRPr="00395C23" w:rsidP="002047EA" w14:paraId="5715B0E9" w14:textId="41EFD415">
            <w:pPr>
              <w:widowControl/>
              <w:autoSpaceDE/>
              <w:autoSpaceDN/>
              <w:adjustRightInd/>
              <w:jc w:val="center"/>
              <w:rPr>
                <w:color w:val="000000"/>
              </w:rPr>
            </w:pPr>
            <w:r>
              <w:rPr>
                <w:color w:val="000000"/>
              </w:rPr>
              <w:t xml:space="preserve"> </w:t>
            </w:r>
            <w:r w:rsidRPr="00CF21B1">
              <w:rPr>
                <w:color w:val="000000" w:themeColor="text1"/>
              </w:rPr>
              <w:t>36,647</w:t>
            </w:r>
          </w:p>
        </w:tc>
        <w:tc>
          <w:tcPr>
            <w:tcW w:w="701" w:type="pct"/>
            <w:shd w:val="clear" w:color="auto" w:fill="auto"/>
            <w:tcMar>
              <w:left w:w="115" w:type="dxa"/>
              <w:right w:w="115" w:type="dxa"/>
            </w:tcMar>
            <w:vAlign w:val="center"/>
          </w:tcPr>
          <w:p w:rsidR="002047EA" w:rsidRPr="002047EA" w:rsidP="002047EA" w14:paraId="7630BA53" w14:textId="28A7F6F5">
            <w:pPr>
              <w:widowControl/>
              <w:autoSpaceDE/>
              <w:autoSpaceDN/>
              <w:adjustRightInd/>
              <w:jc w:val="center"/>
              <w:rPr>
                <w:color w:val="000000"/>
              </w:rPr>
            </w:pPr>
            <w:r>
              <w:rPr>
                <w:color w:val="000000"/>
              </w:rPr>
              <w:t xml:space="preserve"> </w:t>
            </w:r>
            <w:r w:rsidRPr="00CF21B1">
              <w:rPr>
                <w:color w:val="000000" w:themeColor="text1"/>
              </w:rPr>
              <w:t>9,125,216</w:t>
            </w:r>
          </w:p>
        </w:tc>
        <w:tc>
          <w:tcPr>
            <w:tcW w:w="729" w:type="pct"/>
            <w:shd w:val="clear" w:color="auto" w:fill="auto"/>
            <w:tcMar>
              <w:left w:w="115" w:type="dxa"/>
              <w:right w:w="115" w:type="dxa"/>
            </w:tcMar>
            <w:vAlign w:val="center"/>
          </w:tcPr>
          <w:p w:rsidR="002047EA" w:rsidRPr="002047EA" w:rsidP="002047EA" w14:paraId="466900A2" w14:textId="08430E15">
            <w:pPr>
              <w:widowControl/>
              <w:autoSpaceDE/>
              <w:autoSpaceDN/>
              <w:adjustRightInd/>
              <w:jc w:val="center"/>
              <w:rPr>
                <w:color w:val="000000"/>
              </w:rPr>
            </w:pPr>
            <w:r w:rsidRPr="00D64E77">
              <w:rPr>
                <w:color w:val="000000"/>
              </w:rPr>
              <w:t>0.033</w:t>
            </w:r>
          </w:p>
        </w:tc>
        <w:tc>
          <w:tcPr>
            <w:tcW w:w="688" w:type="pct"/>
            <w:shd w:val="clear" w:color="auto" w:fill="auto"/>
            <w:tcMar>
              <w:left w:w="115" w:type="dxa"/>
              <w:right w:w="115" w:type="dxa"/>
            </w:tcMar>
            <w:vAlign w:val="center"/>
          </w:tcPr>
          <w:p w:rsidR="002047EA" w:rsidRPr="002047EA" w:rsidP="002047EA" w14:paraId="454A11B4" w14:textId="4EB9D9DD">
            <w:pPr>
              <w:widowControl/>
              <w:autoSpaceDE/>
              <w:autoSpaceDN/>
              <w:adjustRightInd/>
              <w:jc w:val="center"/>
              <w:rPr>
                <w:color w:val="000000"/>
              </w:rPr>
            </w:pPr>
            <w:r>
              <w:rPr>
                <w:color w:val="000000"/>
              </w:rPr>
              <w:t xml:space="preserve"> </w:t>
            </w:r>
            <w:r w:rsidRPr="00CF21B1">
              <w:rPr>
                <w:color w:val="000000" w:themeColor="text1"/>
              </w:rPr>
              <w:t>304,174</w:t>
            </w:r>
          </w:p>
        </w:tc>
        <w:tc>
          <w:tcPr>
            <w:tcW w:w="767" w:type="pct"/>
            <w:shd w:val="clear" w:color="auto" w:fill="auto"/>
            <w:tcMar>
              <w:left w:w="115" w:type="dxa"/>
              <w:right w:w="115" w:type="dxa"/>
            </w:tcMar>
            <w:vAlign w:val="center"/>
          </w:tcPr>
          <w:p w:rsidR="002047EA" w:rsidRPr="002047EA" w:rsidP="5ECFBCA2" w14:paraId="459611D6" w14:textId="1475C7A5">
            <w:pPr>
              <w:widowControl/>
              <w:spacing w:line="259" w:lineRule="auto"/>
              <w:jc w:val="center"/>
            </w:pPr>
            <w:r w:rsidRPr="5ECFBCA2">
              <w:rPr>
                <w:color w:val="000000" w:themeColor="text1"/>
              </w:rPr>
              <w:t xml:space="preserve"> $</w:t>
            </w:r>
            <w:r w:rsidRPr="5ECFBCA2" w:rsidR="72E20CBF">
              <w:rPr>
                <w:color w:val="000000" w:themeColor="text1"/>
              </w:rPr>
              <w:t>8,733,846</w:t>
            </w:r>
          </w:p>
        </w:tc>
      </w:tr>
      <w:tr w14:paraId="75100D13"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2047EA" w:rsidRPr="009C27AA" w:rsidP="002047EA" w14:paraId="446E7E81" w14:textId="77777777">
            <w:pPr>
              <w:widowControl/>
              <w:autoSpaceDE/>
              <w:autoSpaceDN/>
              <w:adjustRightInd/>
              <w:jc w:val="center"/>
              <w:rPr>
                <w:color w:val="000000"/>
              </w:rPr>
            </w:pPr>
            <w:r w:rsidRPr="009C27AA">
              <w:rPr>
                <w:color w:val="000000"/>
              </w:rPr>
              <w:t>Total</w:t>
            </w:r>
          </w:p>
        </w:tc>
        <w:tc>
          <w:tcPr>
            <w:tcW w:w="722" w:type="pct"/>
            <w:shd w:val="clear" w:color="auto" w:fill="auto"/>
            <w:tcMar>
              <w:left w:w="115" w:type="dxa"/>
              <w:right w:w="115" w:type="dxa"/>
            </w:tcMar>
            <w:vAlign w:val="center"/>
          </w:tcPr>
          <w:p w:rsidR="002047EA" w:rsidRPr="002047EA" w:rsidP="002047EA" w14:paraId="5DF7F467" w14:textId="4AD0484D">
            <w:pPr>
              <w:widowControl/>
              <w:autoSpaceDE/>
              <w:autoSpaceDN/>
              <w:adjustRightInd/>
              <w:jc w:val="center"/>
              <w:rPr>
                <w:color w:val="000000"/>
              </w:rPr>
            </w:pPr>
            <w:r w:rsidRPr="00D64E77">
              <w:rPr>
                <w:color w:val="000000"/>
              </w:rPr>
              <w:t>747</w:t>
            </w:r>
          </w:p>
        </w:tc>
        <w:tc>
          <w:tcPr>
            <w:tcW w:w="674" w:type="pct"/>
            <w:shd w:val="clear" w:color="auto" w:fill="auto"/>
            <w:tcMar>
              <w:left w:w="115" w:type="dxa"/>
              <w:right w:w="115" w:type="dxa"/>
            </w:tcMar>
            <w:vAlign w:val="center"/>
          </w:tcPr>
          <w:p w:rsidR="002047EA" w:rsidRPr="002047EA" w:rsidP="002047EA" w14:paraId="0C67EF95" w14:textId="337292A2">
            <w:pPr>
              <w:widowControl/>
              <w:autoSpaceDE/>
              <w:autoSpaceDN/>
              <w:adjustRightInd/>
              <w:jc w:val="center"/>
              <w:rPr>
                <w:color w:val="000000"/>
              </w:rPr>
            </w:pPr>
            <w:r w:rsidRPr="00D64E77">
              <w:rPr>
                <w:color w:val="000000"/>
              </w:rPr>
              <w:t>-</w:t>
            </w:r>
          </w:p>
        </w:tc>
        <w:tc>
          <w:tcPr>
            <w:tcW w:w="701" w:type="pct"/>
            <w:shd w:val="clear" w:color="auto" w:fill="auto"/>
            <w:tcMar>
              <w:left w:w="115" w:type="dxa"/>
              <w:right w:w="115" w:type="dxa"/>
            </w:tcMar>
            <w:vAlign w:val="center"/>
          </w:tcPr>
          <w:p w:rsidR="002047EA" w:rsidRPr="002047EA" w:rsidP="002047EA" w14:paraId="0A5EEAA5" w14:textId="394ABB15">
            <w:pPr>
              <w:widowControl/>
              <w:autoSpaceDE/>
              <w:autoSpaceDN/>
              <w:adjustRightInd/>
              <w:jc w:val="center"/>
              <w:rPr>
                <w:color w:val="000000"/>
              </w:rPr>
            </w:pPr>
            <w:r>
              <w:rPr>
                <w:color w:val="000000"/>
              </w:rPr>
              <w:t xml:space="preserve"> </w:t>
            </w:r>
            <w:r w:rsidRPr="00CF21B1">
              <w:rPr>
                <w:color w:val="000000" w:themeColor="text1"/>
              </w:rPr>
              <w:t>27,315,720</w:t>
            </w:r>
          </w:p>
        </w:tc>
        <w:tc>
          <w:tcPr>
            <w:tcW w:w="729" w:type="pct"/>
            <w:shd w:val="clear" w:color="auto" w:fill="auto"/>
            <w:tcMar>
              <w:left w:w="115" w:type="dxa"/>
              <w:right w:w="115" w:type="dxa"/>
            </w:tcMar>
            <w:vAlign w:val="center"/>
          </w:tcPr>
          <w:p w:rsidR="002047EA" w:rsidRPr="002047EA" w:rsidP="002047EA" w14:paraId="765C624D" w14:textId="7D34F91C">
            <w:pPr>
              <w:widowControl/>
              <w:autoSpaceDE/>
              <w:autoSpaceDN/>
              <w:adjustRightInd/>
              <w:jc w:val="center"/>
              <w:rPr>
                <w:color w:val="000000"/>
              </w:rPr>
            </w:pPr>
            <w:r w:rsidRPr="00D64E77">
              <w:rPr>
                <w:color w:val="000000"/>
              </w:rPr>
              <w:t>-</w:t>
            </w:r>
          </w:p>
        </w:tc>
        <w:tc>
          <w:tcPr>
            <w:tcW w:w="688" w:type="pct"/>
            <w:shd w:val="clear" w:color="auto" w:fill="auto"/>
            <w:tcMar>
              <w:left w:w="115" w:type="dxa"/>
              <w:right w:w="115" w:type="dxa"/>
            </w:tcMar>
            <w:vAlign w:val="center"/>
          </w:tcPr>
          <w:p w:rsidR="002047EA" w:rsidRPr="002047EA" w:rsidP="002047EA" w14:paraId="5134242D" w14:textId="02F7ED0C">
            <w:pPr>
              <w:widowControl/>
              <w:autoSpaceDE/>
              <w:autoSpaceDN/>
              <w:adjustRightInd/>
              <w:jc w:val="center"/>
              <w:rPr>
                <w:color w:val="000000"/>
              </w:rPr>
            </w:pPr>
            <w:r>
              <w:rPr>
                <w:color w:val="000000"/>
              </w:rPr>
              <w:t xml:space="preserve"> </w:t>
            </w:r>
            <w:r w:rsidRPr="00CF21B1">
              <w:rPr>
                <w:color w:val="000000" w:themeColor="text1"/>
              </w:rPr>
              <w:t>910,524</w:t>
            </w:r>
          </w:p>
        </w:tc>
        <w:tc>
          <w:tcPr>
            <w:tcW w:w="767" w:type="pct"/>
            <w:shd w:val="clear" w:color="auto" w:fill="auto"/>
            <w:tcMar>
              <w:left w:w="115" w:type="dxa"/>
              <w:right w:w="115" w:type="dxa"/>
            </w:tcMar>
            <w:vAlign w:val="center"/>
          </w:tcPr>
          <w:p w:rsidR="002047EA" w:rsidRPr="002047EA" w:rsidP="5ECFBCA2" w14:paraId="585CA418" w14:textId="5A40FD6C">
            <w:pPr>
              <w:widowControl/>
              <w:spacing w:line="259" w:lineRule="auto"/>
              <w:jc w:val="center"/>
            </w:pPr>
            <w:r w:rsidRPr="5ECFBCA2">
              <w:rPr>
                <w:color w:val="000000" w:themeColor="text1"/>
              </w:rPr>
              <w:t xml:space="preserve"> $</w:t>
            </w:r>
            <w:r w:rsidRPr="5ECFBCA2" w:rsidR="1066C8A7">
              <w:rPr>
                <w:color w:val="000000" w:themeColor="text1"/>
              </w:rPr>
              <w:t>26,144,181</w:t>
            </w:r>
          </w:p>
        </w:tc>
      </w:tr>
      <w:tr w14:paraId="6E0564EC"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2047EA" w:rsidRPr="009C27AA" w:rsidP="002047EA" w14:paraId="03D28260" w14:textId="77777777">
            <w:pPr>
              <w:widowControl/>
              <w:autoSpaceDE/>
              <w:autoSpaceDN/>
              <w:adjustRightInd/>
              <w:jc w:val="center"/>
              <w:rPr>
                <w:color w:val="000000"/>
              </w:rPr>
            </w:pPr>
            <w:r w:rsidRPr="009C27AA">
              <w:rPr>
                <w:color w:val="000000"/>
              </w:rPr>
              <w:t>Annualized</w:t>
            </w:r>
          </w:p>
        </w:tc>
        <w:tc>
          <w:tcPr>
            <w:tcW w:w="722" w:type="pct"/>
            <w:shd w:val="clear" w:color="auto" w:fill="auto"/>
            <w:tcMar>
              <w:left w:w="115" w:type="dxa"/>
              <w:right w:w="115" w:type="dxa"/>
            </w:tcMar>
            <w:vAlign w:val="center"/>
          </w:tcPr>
          <w:p w:rsidR="002047EA" w:rsidRPr="002047EA" w:rsidP="002047EA" w14:paraId="3DE042B7" w14:textId="6711BD6E">
            <w:pPr>
              <w:widowControl/>
              <w:autoSpaceDE/>
              <w:autoSpaceDN/>
              <w:adjustRightInd/>
              <w:jc w:val="center"/>
              <w:rPr>
                <w:color w:val="000000"/>
              </w:rPr>
            </w:pPr>
            <w:bookmarkStart w:id="30" w:name="_Hlk514361520"/>
            <w:r w:rsidRPr="00D64E77">
              <w:rPr>
                <w:color w:val="000000"/>
              </w:rPr>
              <w:t>249</w:t>
            </w:r>
            <w:bookmarkEnd w:id="30"/>
          </w:p>
        </w:tc>
        <w:tc>
          <w:tcPr>
            <w:tcW w:w="674" w:type="pct"/>
            <w:shd w:val="clear" w:color="auto" w:fill="auto"/>
            <w:tcMar>
              <w:left w:w="115" w:type="dxa"/>
              <w:right w:w="115" w:type="dxa"/>
            </w:tcMar>
            <w:vAlign w:val="center"/>
          </w:tcPr>
          <w:p w:rsidR="002047EA" w:rsidRPr="002047EA" w:rsidP="002047EA" w14:paraId="5F6C35E7" w14:textId="2E9D0120">
            <w:pPr>
              <w:widowControl/>
              <w:autoSpaceDE/>
              <w:autoSpaceDN/>
              <w:adjustRightInd/>
              <w:jc w:val="center"/>
              <w:rPr>
                <w:color w:val="000000"/>
              </w:rPr>
            </w:pPr>
            <w:r w:rsidRPr="00D64E77">
              <w:rPr>
                <w:color w:val="000000"/>
              </w:rPr>
              <w:t>-</w:t>
            </w:r>
          </w:p>
        </w:tc>
        <w:tc>
          <w:tcPr>
            <w:tcW w:w="701" w:type="pct"/>
            <w:shd w:val="clear" w:color="auto" w:fill="auto"/>
            <w:tcMar>
              <w:left w:w="115" w:type="dxa"/>
              <w:right w:w="115" w:type="dxa"/>
            </w:tcMar>
            <w:vAlign w:val="center"/>
          </w:tcPr>
          <w:p w:rsidR="002047EA" w:rsidRPr="002047EA" w:rsidP="002047EA" w14:paraId="555CCD70" w14:textId="49DB852C">
            <w:pPr>
              <w:widowControl/>
              <w:autoSpaceDE/>
              <w:autoSpaceDN/>
              <w:adjustRightInd/>
              <w:jc w:val="center"/>
              <w:rPr>
                <w:color w:val="000000"/>
              </w:rPr>
            </w:pPr>
            <w:r>
              <w:rPr>
                <w:color w:val="000000"/>
              </w:rPr>
              <w:t xml:space="preserve"> </w:t>
            </w:r>
            <w:r w:rsidRPr="00CF21B1">
              <w:rPr>
                <w:color w:val="000000" w:themeColor="text1"/>
              </w:rPr>
              <w:t>9,105,240</w:t>
            </w:r>
          </w:p>
        </w:tc>
        <w:tc>
          <w:tcPr>
            <w:tcW w:w="729" w:type="pct"/>
            <w:shd w:val="clear" w:color="auto" w:fill="auto"/>
            <w:tcMar>
              <w:left w:w="115" w:type="dxa"/>
              <w:right w:w="115" w:type="dxa"/>
            </w:tcMar>
            <w:vAlign w:val="center"/>
          </w:tcPr>
          <w:p w:rsidR="002047EA" w:rsidRPr="002047EA" w:rsidP="002047EA" w14:paraId="64421874" w14:textId="4DAFC771">
            <w:pPr>
              <w:widowControl/>
              <w:autoSpaceDE/>
              <w:autoSpaceDN/>
              <w:adjustRightInd/>
              <w:jc w:val="center"/>
              <w:rPr>
                <w:color w:val="000000"/>
              </w:rPr>
            </w:pPr>
            <w:r w:rsidRPr="00D64E77">
              <w:rPr>
                <w:color w:val="000000"/>
              </w:rPr>
              <w:t>-</w:t>
            </w:r>
          </w:p>
        </w:tc>
        <w:tc>
          <w:tcPr>
            <w:tcW w:w="688" w:type="pct"/>
            <w:shd w:val="clear" w:color="auto" w:fill="auto"/>
            <w:tcMar>
              <w:left w:w="115" w:type="dxa"/>
              <w:right w:w="115" w:type="dxa"/>
            </w:tcMar>
            <w:vAlign w:val="center"/>
          </w:tcPr>
          <w:p w:rsidR="002047EA" w:rsidRPr="002047EA" w:rsidP="002047EA" w14:paraId="56B10104" w14:textId="0590C72C">
            <w:pPr>
              <w:widowControl/>
              <w:autoSpaceDE/>
              <w:autoSpaceDN/>
              <w:adjustRightInd/>
              <w:jc w:val="center"/>
              <w:rPr>
                <w:color w:val="000000"/>
              </w:rPr>
            </w:pPr>
            <w:r>
              <w:rPr>
                <w:color w:val="000000"/>
              </w:rPr>
              <w:t xml:space="preserve"> </w:t>
            </w:r>
            <w:r w:rsidRPr="00CF21B1">
              <w:rPr>
                <w:color w:val="000000" w:themeColor="text1"/>
              </w:rPr>
              <w:t>303,508</w:t>
            </w:r>
          </w:p>
        </w:tc>
        <w:tc>
          <w:tcPr>
            <w:tcW w:w="767" w:type="pct"/>
            <w:shd w:val="clear" w:color="auto" w:fill="auto"/>
            <w:tcMar>
              <w:left w:w="115" w:type="dxa"/>
              <w:right w:w="115" w:type="dxa"/>
            </w:tcMar>
            <w:vAlign w:val="center"/>
          </w:tcPr>
          <w:p w:rsidR="002047EA" w:rsidRPr="002047EA" w:rsidP="5ECFBCA2" w14:paraId="5F80DF5A" w14:textId="2D249B9E">
            <w:pPr>
              <w:widowControl/>
              <w:spacing w:line="259" w:lineRule="auto"/>
              <w:jc w:val="center"/>
            </w:pPr>
            <w:r w:rsidRPr="5ECFBCA2">
              <w:rPr>
                <w:color w:val="000000" w:themeColor="text1"/>
              </w:rPr>
              <w:t xml:space="preserve"> $</w:t>
            </w:r>
            <w:r w:rsidRPr="5ECFBCA2" w:rsidR="2614120F">
              <w:rPr>
                <w:color w:val="000000" w:themeColor="text1"/>
              </w:rPr>
              <w:t>8,714,727</w:t>
            </w:r>
          </w:p>
        </w:tc>
      </w:tr>
    </w:tbl>
    <w:p w:rsidR="00FA4698" w:rsidRPr="007E65CF" w:rsidP="00722B85" w14:paraId="1A6DDCA1" w14:textId="77777777">
      <w:pPr>
        <w:widowControl/>
        <w:rPr>
          <w:sz w:val="18"/>
          <w:szCs w:val="18"/>
        </w:rPr>
      </w:pPr>
      <w:r>
        <w:rPr>
          <w:sz w:val="18"/>
          <w:szCs w:val="18"/>
        </w:rPr>
        <w:t>Totals are the product of unrounded components</w:t>
      </w:r>
      <w:r w:rsidRPr="007E65CF">
        <w:rPr>
          <w:sz w:val="18"/>
          <w:szCs w:val="18"/>
        </w:rPr>
        <w:t>.</w:t>
      </w:r>
    </w:p>
    <w:p w:rsidR="002520B5" w:rsidP="00722B85" w14:paraId="5FFD9AC8" w14:textId="77777777">
      <w:pPr>
        <w:widowControl/>
      </w:pPr>
    </w:p>
    <w:p w:rsidR="00873952" w:rsidP="7827EEF5" w14:paraId="624A4192" w14:textId="139407D0">
      <w:pPr>
        <w:widowControl/>
      </w:pPr>
      <w:r>
        <w:t xml:space="preserve">The currently approved total burden for CDLIS/PDPS/State recordkeeping is </w:t>
      </w:r>
      <w:r w:rsidR="08946E1A">
        <w:t>289,254</w:t>
      </w:r>
      <w:r w:rsidR="12D6EE5B">
        <w:t xml:space="preserve"> </w:t>
      </w:r>
      <w:r>
        <w:t xml:space="preserve">hours.  The new total of </w:t>
      </w:r>
      <w:r w:rsidR="373A4027">
        <w:t>303,508</w:t>
      </w:r>
      <w:r>
        <w:t xml:space="preserve"> represents a</w:t>
      </w:r>
      <w:r w:rsidR="07B13768">
        <w:t>n</w:t>
      </w:r>
      <w:r>
        <w:t xml:space="preserve"> </w:t>
      </w:r>
      <w:r w:rsidR="07B13768">
        <w:t>in</w:t>
      </w:r>
      <w:r>
        <w:t xml:space="preserve">crease of </w:t>
      </w:r>
      <w:r w:rsidR="646CF608">
        <w:t>14,254</w:t>
      </w:r>
      <w:r>
        <w:t xml:space="preserve"> hours.  This is due to a</w:t>
      </w:r>
      <w:r w:rsidR="07B13768">
        <w:t>n</w:t>
      </w:r>
      <w:r>
        <w:t xml:space="preserve"> </w:t>
      </w:r>
      <w:r w:rsidR="07B13768">
        <w:t>in</w:t>
      </w:r>
      <w:r>
        <w:t xml:space="preserve">crease in </w:t>
      </w:r>
      <w:r>
        <w:t>the estimated number of active CDL drivers, a result of the availability of mo</w:t>
      </w:r>
      <w:r w:rsidR="12D6EE5B">
        <w:t xml:space="preserve">re accurate and </w:t>
      </w:r>
      <w:r>
        <w:t>recent data.</w:t>
      </w:r>
    </w:p>
    <w:p w:rsidR="00722B85" w:rsidP="00722B85" w14:paraId="11CDDE50" w14:textId="77777777">
      <w:pPr>
        <w:widowControl/>
      </w:pPr>
    </w:p>
    <w:p w:rsidR="002520B5" w:rsidRPr="008211B1" w:rsidP="00722B85" w14:paraId="33653A6A" w14:textId="77777777">
      <w:pPr>
        <w:widowControl/>
        <w:rPr>
          <w:b/>
        </w:rPr>
      </w:pPr>
      <w:r w:rsidRPr="008211B1">
        <w:rPr>
          <w:b/>
        </w:rPr>
        <w:t>IC-2.7 CDL knowledge and skills tests recordkeeping</w:t>
      </w:r>
      <w:r w:rsidR="0001283F">
        <w:rPr>
          <w:b/>
        </w:rPr>
        <w:t xml:space="preserve"> </w:t>
      </w:r>
      <w:r w:rsidRPr="0001283F" w:rsidR="0001283F">
        <w:rPr>
          <w:b/>
        </w:rPr>
        <w:t>[49 CFR 384.202]</w:t>
      </w:r>
    </w:p>
    <w:p w:rsidR="008211B1" w:rsidP="00722B85" w14:paraId="4D7ECF05" w14:textId="4E8A4AE1">
      <w:pPr>
        <w:widowControl/>
      </w:pPr>
      <w:r>
        <w:t xml:space="preserve">SDLAs must record the results of every </w:t>
      </w:r>
      <w:r w:rsidR="00A75FE2">
        <w:t xml:space="preserve">CDL </w:t>
      </w:r>
      <w:r>
        <w:t xml:space="preserve">knowledge test and every </w:t>
      </w:r>
      <w:r w:rsidR="00A75FE2">
        <w:t xml:space="preserve">CDL </w:t>
      </w:r>
      <w:r>
        <w:t>skills test taken</w:t>
      </w:r>
      <w:r w:rsidR="42CA8C42">
        <w:t>, whether the test results are manually input</w:t>
      </w:r>
      <w:r w:rsidR="7A067D42">
        <w:t>ted</w:t>
      </w:r>
      <w:r w:rsidR="42CA8C42">
        <w:t xml:space="preserve"> by the SDLA </w:t>
      </w:r>
      <w:r w:rsidR="0E7D4B35">
        <w:t xml:space="preserve">into its test system </w:t>
      </w:r>
      <w:r w:rsidR="42CA8C42">
        <w:t>or transmitted electronically to</w:t>
      </w:r>
      <w:r w:rsidR="4F8D044E">
        <w:t xml:space="preserve"> the SDLA from third party testers</w:t>
      </w:r>
      <w:r>
        <w:t>.  To estimate burden hour and burden costs associated with this task, the Agency relies on the assumptions and statistics outline</w:t>
      </w:r>
      <w:r w:rsidR="006A5130">
        <w:t>d</w:t>
      </w:r>
      <w:r>
        <w:t xml:space="preserve"> above as well as the following:</w:t>
      </w:r>
      <w:r w:rsidR="00EC5EAF">
        <w:br/>
      </w:r>
    </w:p>
    <w:p w:rsidR="008E1445" w:rsidP="00722B85" w14:paraId="14D8DCD8" w14:textId="4CB0D228">
      <w:pPr>
        <w:widowControl/>
        <w:numPr>
          <w:ilvl w:val="0"/>
          <w:numId w:val="11"/>
        </w:numPr>
      </w:pPr>
      <w:r>
        <w:t xml:space="preserve">Approximately </w:t>
      </w:r>
      <w:r w:rsidR="0040637C">
        <w:t>25</w:t>
      </w:r>
      <w:r w:rsidR="005C1D7D">
        <w:t>%</w:t>
      </w:r>
      <w:r>
        <w:t xml:space="preserve"> of applicants fail the CDL knowledge and skills tests the first time they take the </w:t>
      </w:r>
      <w:r>
        <w:t>tests.</w:t>
      </w:r>
      <w:r w:rsidRPr="00A75FE2" w:rsidR="00A75FE2">
        <w:rPr>
          <w:vertAlign w:val="superscript"/>
        </w:rPr>
        <w:t>(</w:t>
      </w:r>
      <w:r>
        <w:rPr>
          <w:rStyle w:val="FootnoteReference"/>
        </w:rPr>
        <w:footnoteReference w:id="15"/>
      </w:r>
      <w:r w:rsidRPr="00A75FE2" w:rsidR="00A75FE2">
        <w:rPr>
          <w:vertAlign w:val="superscript"/>
        </w:rPr>
        <w:t>)</w:t>
      </w:r>
    </w:p>
    <w:p w:rsidR="00255D69" w:rsidRPr="00255D69" w:rsidP="5ECFBCA2" w14:paraId="5E9CFEC4" w14:textId="2742235B">
      <w:pPr>
        <w:widowControl/>
        <w:numPr>
          <w:ilvl w:val="0"/>
          <w:numId w:val="11"/>
        </w:numPr>
        <w:spacing w:line="259" w:lineRule="auto"/>
      </w:pPr>
      <w:r>
        <w:t xml:space="preserve">An SDLA employee equivalent to an </w:t>
      </w:r>
      <w:r w:rsidR="084BB258">
        <w:t>Office Clerk</w:t>
      </w:r>
      <w:r>
        <w:t xml:space="preserve"> (SOC 43-</w:t>
      </w:r>
      <w:r w:rsidR="54B5CBF1">
        <w:t>9061</w:t>
      </w:r>
      <w:r>
        <w:t>) will perform recordkeeping tasks at a loaded hourly wage of $</w:t>
      </w:r>
      <w:r w:rsidR="012BF697">
        <w:t>28</w:t>
      </w:r>
      <w:r w:rsidR="495E68B1">
        <w:t>.</w:t>
      </w:r>
      <w:r w:rsidR="40567A76">
        <w:t>71</w:t>
      </w:r>
      <w:r>
        <w:t>.</w:t>
      </w:r>
    </w:p>
    <w:p w:rsidR="00255D69" w:rsidRPr="00255D69" w:rsidP="00722B85" w14:paraId="47E69D2A" w14:textId="399F2AB7">
      <w:pPr>
        <w:widowControl/>
        <w:numPr>
          <w:ilvl w:val="0"/>
          <w:numId w:val="11"/>
        </w:numPr>
      </w:pPr>
      <w:r>
        <w:t xml:space="preserve">An estimated 249 SDLA employees from the 50 States and the District of Columbia </w:t>
      </w:r>
      <w:r w:rsidR="00737B26">
        <w:t>record the results of the knowledge tests and skills tests</w:t>
      </w:r>
      <w:r>
        <w:t>.</w:t>
      </w:r>
    </w:p>
    <w:p w:rsidR="005C1D7D" w:rsidP="00722B85" w14:paraId="752826AD" w14:textId="77777777">
      <w:pPr>
        <w:widowControl/>
        <w:numPr>
          <w:ilvl w:val="0"/>
          <w:numId w:val="11"/>
        </w:numPr>
      </w:pPr>
      <w:r>
        <w:t xml:space="preserve">It takes </w:t>
      </w:r>
      <w:r w:rsidRPr="00255D69" w:rsidR="00C76F1B">
        <w:t>an inform</w:t>
      </w:r>
      <w:r w:rsidR="00C76F1B">
        <w:t>ation and record clerk</w:t>
      </w:r>
      <w:r>
        <w:t xml:space="preserve"> approximately 2 minutes </w:t>
      </w:r>
      <w:r w:rsidRPr="005C1D7D">
        <w:t xml:space="preserve">(0.033 hours) </w:t>
      </w:r>
      <w:r>
        <w:t>per applicant to record the results of the CDL knowledge test.</w:t>
      </w:r>
    </w:p>
    <w:p w:rsidR="005C1D7D" w:rsidP="00722B85" w14:paraId="2060B38F" w14:textId="77777777">
      <w:pPr>
        <w:widowControl/>
        <w:numPr>
          <w:ilvl w:val="0"/>
          <w:numId w:val="11"/>
        </w:numPr>
      </w:pPr>
      <w:r>
        <w:t xml:space="preserve">It takes </w:t>
      </w:r>
      <w:r w:rsidRPr="00255D69" w:rsidR="00C76F1B">
        <w:t>an inform</w:t>
      </w:r>
      <w:r w:rsidR="00C76F1B">
        <w:t xml:space="preserve">ation and record clerk </w:t>
      </w:r>
      <w:r>
        <w:t>approximately 5</w:t>
      </w:r>
      <w:r w:rsidRPr="005C1D7D">
        <w:t xml:space="preserve"> minutes </w:t>
      </w:r>
      <w:r>
        <w:t xml:space="preserve">(0.083 hours) </w:t>
      </w:r>
      <w:r w:rsidRPr="005C1D7D">
        <w:t xml:space="preserve">per applicant to record the results of the CDL </w:t>
      </w:r>
      <w:r w:rsidR="00737B26">
        <w:t>skills</w:t>
      </w:r>
      <w:r w:rsidRPr="005C1D7D">
        <w:t xml:space="preserve"> test</w:t>
      </w:r>
      <w:r w:rsidR="00F24468">
        <w:t>.</w:t>
      </w:r>
    </w:p>
    <w:p w:rsidR="005C1D7D" w:rsidP="00722B85" w14:paraId="38D54067" w14:textId="77777777">
      <w:pPr>
        <w:widowControl/>
      </w:pPr>
    </w:p>
    <w:p w:rsidR="005B7814" w:rsidP="00722B85" w14:paraId="681485E2" w14:textId="668276B2">
      <w:pPr>
        <w:widowControl/>
      </w:pPr>
      <w:r>
        <w:t xml:space="preserve">As displayed in </w:t>
      </w:r>
      <w:r>
        <w:fldChar w:fldCharType="begin"/>
      </w:r>
      <w:r>
        <w:instrText xml:space="preserve"> REF _Ref508695832 \h  \* MERGEFORMAT </w:instrText>
      </w:r>
      <w:r>
        <w:fldChar w:fldCharType="separate"/>
      </w:r>
      <w:r w:rsidR="5D0BEBBC">
        <w:t xml:space="preserve">Table </w:t>
      </w:r>
      <w:r w:rsidRPr="5ECFBCA2" w:rsidR="5D0BEBBC">
        <w:rPr>
          <w:noProof/>
        </w:rPr>
        <w:t>17</w:t>
      </w:r>
      <w:r>
        <w:fldChar w:fldCharType="end"/>
      </w:r>
      <w:r>
        <w:t xml:space="preserve">, during the first year of this ICR, there will be approximately </w:t>
      </w:r>
      <w:r w:rsidR="3D081B6C">
        <w:t>426,481</w:t>
      </w:r>
      <w:r>
        <w:t xml:space="preserve"> responses</w:t>
      </w:r>
      <w:r w:rsidR="0CA10E80">
        <w:t xml:space="preserve"> </w:t>
      </w:r>
      <w:r>
        <w:t>and 14,</w:t>
      </w:r>
      <w:r w:rsidR="71A1C5C3">
        <w:t>206</w:t>
      </w:r>
      <w:r>
        <w:t xml:space="preserve"> burden hours</w:t>
      </w:r>
      <w:r w:rsidR="79CE2346">
        <w:t>,</w:t>
      </w:r>
      <w:r>
        <w:t xml:space="preserve"> at a cost of $</w:t>
      </w:r>
      <w:r w:rsidR="12219577">
        <w:t>407,903</w:t>
      </w:r>
      <w:r>
        <w:t>.</w:t>
      </w:r>
    </w:p>
    <w:p w:rsidR="005C1D7D" w:rsidP="00722B85" w14:paraId="76612077" w14:textId="77777777">
      <w:pPr>
        <w:widowControl/>
      </w:pPr>
    </w:p>
    <w:p w:rsidR="005C1D7D" w:rsidP="00722B85" w14:paraId="07276E9E" w14:textId="56CE1371">
      <w:pPr>
        <w:pStyle w:val="Caption"/>
        <w:keepNext/>
        <w:widowControl/>
      </w:pPr>
      <w:bookmarkStart w:id="31" w:name="_Ref508695832"/>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6A6CBC">
        <w:rPr>
          <w:noProof/>
        </w:rPr>
        <w:t>17</w:t>
      </w:r>
      <w:r w:rsidR="00413157">
        <w:rPr>
          <w:noProof/>
        </w:rPr>
        <w:fldChar w:fldCharType="end"/>
      </w:r>
      <w:bookmarkEnd w:id="31"/>
      <w:r>
        <w:t xml:space="preserve">. CDL </w:t>
      </w:r>
      <w:r w:rsidR="002D66E6">
        <w:t>K</w:t>
      </w:r>
      <w:r>
        <w:t>nowledge</w:t>
      </w:r>
      <w:r w:rsidR="00F24468">
        <w:t xml:space="preserve"> Test</w:t>
      </w:r>
      <w:r>
        <w:t xml:space="preserve"> </w:t>
      </w:r>
      <w:r w:rsidR="002D66E6">
        <w:t>R</w:t>
      </w:r>
      <w:r>
        <w:t>ecordkeeping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7"/>
        <w:gridCol w:w="1348"/>
        <w:gridCol w:w="1260"/>
        <w:gridCol w:w="1313"/>
        <w:gridCol w:w="1363"/>
        <w:gridCol w:w="1361"/>
        <w:gridCol w:w="1358"/>
      </w:tblGrid>
      <w:tr w14:paraId="548297A1"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050"/>
        </w:trPr>
        <w:tc>
          <w:tcPr>
            <w:tcW w:w="720" w:type="pct"/>
            <w:shd w:val="clear" w:color="auto" w:fill="E0E0E0"/>
            <w:tcMar>
              <w:left w:w="0" w:type="dxa"/>
              <w:right w:w="0" w:type="dxa"/>
            </w:tcMar>
            <w:vAlign w:val="bottom"/>
            <w:hideMark/>
          </w:tcPr>
          <w:p w:rsidR="005C1D7D" w:rsidRPr="009C27AA" w:rsidP="005B7814" w14:paraId="0ECB60C5" w14:textId="77777777">
            <w:pPr>
              <w:widowControl/>
              <w:autoSpaceDE/>
              <w:autoSpaceDN/>
              <w:adjustRightInd/>
              <w:jc w:val="center"/>
              <w:rPr>
                <w:b/>
                <w:bCs/>
                <w:color w:val="000000"/>
              </w:rPr>
            </w:pPr>
            <w:r w:rsidRPr="009C27AA">
              <w:rPr>
                <w:b/>
                <w:bCs/>
                <w:color w:val="000000"/>
              </w:rPr>
              <w:t>Year</w:t>
            </w:r>
          </w:p>
        </w:tc>
        <w:tc>
          <w:tcPr>
            <w:tcW w:w="721" w:type="pct"/>
            <w:shd w:val="clear" w:color="auto" w:fill="E0E0E0"/>
            <w:tcMar>
              <w:left w:w="0" w:type="dxa"/>
              <w:right w:w="0" w:type="dxa"/>
            </w:tcMar>
            <w:vAlign w:val="bottom"/>
            <w:hideMark/>
          </w:tcPr>
          <w:p w:rsidR="005C1D7D" w:rsidRPr="009C27AA" w:rsidP="005B7814" w14:paraId="2B4C0FFA" w14:textId="77777777">
            <w:pPr>
              <w:widowControl/>
              <w:autoSpaceDE/>
              <w:autoSpaceDN/>
              <w:adjustRightInd/>
              <w:jc w:val="center"/>
              <w:rPr>
                <w:b/>
                <w:bCs/>
                <w:color w:val="000000"/>
              </w:rPr>
            </w:pPr>
            <w:r w:rsidRPr="009C27AA">
              <w:rPr>
                <w:b/>
                <w:bCs/>
                <w:color w:val="000000"/>
              </w:rPr>
              <w:t>Number of Respondents</w:t>
            </w:r>
            <w:r w:rsidRPr="009C27AA">
              <w:rPr>
                <w:b/>
                <w:bCs/>
                <w:color w:val="000000"/>
              </w:rPr>
              <w:br/>
              <w:t>(a)</w:t>
            </w:r>
          </w:p>
        </w:tc>
        <w:tc>
          <w:tcPr>
            <w:tcW w:w="674" w:type="pct"/>
            <w:shd w:val="clear" w:color="auto" w:fill="E0E0E0"/>
            <w:tcMar>
              <w:left w:w="0" w:type="dxa"/>
              <w:right w:w="0" w:type="dxa"/>
            </w:tcMar>
            <w:vAlign w:val="bottom"/>
            <w:hideMark/>
          </w:tcPr>
          <w:p w:rsidR="005C1D7D" w:rsidRPr="009C27AA" w:rsidP="005B7814" w14:paraId="200DBC52" w14:textId="77777777">
            <w:pPr>
              <w:widowControl/>
              <w:autoSpaceDE/>
              <w:autoSpaceDN/>
              <w:adjustRightInd/>
              <w:jc w:val="center"/>
              <w:rPr>
                <w:b/>
                <w:bCs/>
                <w:color w:val="000000"/>
              </w:rPr>
            </w:pPr>
            <w:r>
              <w:rPr>
                <w:b/>
                <w:bCs/>
                <w:color w:val="000000"/>
              </w:rPr>
              <w:t xml:space="preserve">Average </w:t>
            </w:r>
            <w:r w:rsidRPr="009C27AA">
              <w:rPr>
                <w:b/>
                <w:bCs/>
                <w:color w:val="000000"/>
              </w:rPr>
              <w:t>Responses per Respondent</w:t>
            </w:r>
            <w:r w:rsidRPr="009C27AA">
              <w:rPr>
                <w:b/>
                <w:bCs/>
                <w:color w:val="000000"/>
              </w:rPr>
              <w:br/>
              <w:t>(b)</w:t>
            </w:r>
          </w:p>
        </w:tc>
        <w:tc>
          <w:tcPr>
            <w:tcW w:w="702" w:type="pct"/>
            <w:shd w:val="clear" w:color="auto" w:fill="E0E0E0"/>
            <w:tcMar>
              <w:left w:w="0" w:type="dxa"/>
              <w:right w:w="0" w:type="dxa"/>
            </w:tcMar>
            <w:vAlign w:val="bottom"/>
            <w:hideMark/>
          </w:tcPr>
          <w:p w:rsidR="005C1D7D" w:rsidRPr="009C27AA" w:rsidP="005B7814" w14:paraId="49FE48BD" w14:textId="77777777">
            <w:pPr>
              <w:widowControl/>
              <w:autoSpaceDE/>
              <w:autoSpaceDN/>
              <w:adjustRightInd/>
              <w:jc w:val="center"/>
              <w:rPr>
                <w:b/>
                <w:bCs/>
                <w:color w:val="000000"/>
              </w:rPr>
            </w:pPr>
            <w:r w:rsidRPr="009C27AA">
              <w:rPr>
                <w:b/>
                <w:bCs/>
                <w:color w:val="000000"/>
              </w:rPr>
              <w:t>Total Annual Responses</w:t>
            </w:r>
            <w:r w:rsidRPr="009C27AA">
              <w:rPr>
                <w:b/>
                <w:bCs/>
                <w:color w:val="000000"/>
              </w:rPr>
              <w:br/>
              <w:t>(a × b = c)</w:t>
            </w:r>
          </w:p>
        </w:tc>
        <w:tc>
          <w:tcPr>
            <w:tcW w:w="729" w:type="pct"/>
            <w:shd w:val="clear" w:color="auto" w:fill="E0E0E0"/>
            <w:tcMar>
              <w:left w:w="0" w:type="dxa"/>
              <w:right w:w="0" w:type="dxa"/>
            </w:tcMar>
            <w:vAlign w:val="bottom"/>
            <w:hideMark/>
          </w:tcPr>
          <w:p w:rsidR="005C1D7D" w:rsidRPr="009C27AA" w:rsidP="005B7814" w14:paraId="3B396848" w14:textId="77777777">
            <w:pPr>
              <w:widowControl/>
              <w:autoSpaceDE/>
              <w:autoSpaceDN/>
              <w:adjustRightInd/>
              <w:jc w:val="center"/>
              <w:rPr>
                <w:b/>
                <w:bCs/>
                <w:color w:val="000000"/>
              </w:rPr>
            </w:pPr>
            <w:r w:rsidRPr="009C27AA">
              <w:rPr>
                <w:b/>
                <w:bCs/>
                <w:color w:val="000000"/>
              </w:rPr>
              <w:t>Burden Hours per Response</w:t>
            </w:r>
            <w:r w:rsidRPr="009C27AA">
              <w:rPr>
                <w:b/>
                <w:bCs/>
                <w:color w:val="000000"/>
              </w:rPr>
              <w:br/>
              <w:t>(d)</w:t>
            </w:r>
          </w:p>
        </w:tc>
        <w:tc>
          <w:tcPr>
            <w:tcW w:w="728" w:type="pct"/>
            <w:shd w:val="clear" w:color="auto" w:fill="E0E0E0"/>
            <w:tcMar>
              <w:left w:w="0" w:type="dxa"/>
              <w:right w:w="0" w:type="dxa"/>
            </w:tcMar>
            <w:vAlign w:val="bottom"/>
            <w:hideMark/>
          </w:tcPr>
          <w:p w:rsidR="005C1D7D" w:rsidRPr="009C27AA" w:rsidP="005B7814" w14:paraId="24626208" w14:textId="77777777">
            <w:pPr>
              <w:widowControl/>
              <w:autoSpaceDE/>
              <w:autoSpaceDN/>
              <w:adjustRightInd/>
              <w:jc w:val="center"/>
              <w:rPr>
                <w:b/>
                <w:bCs/>
                <w:color w:val="000000"/>
              </w:rPr>
            </w:pPr>
            <w:r w:rsidRPr="009C27AA">
              <w:rPr>
                <w:b/>
                <w:bCs/>
                <w:color w:val="000000"/>
              </w:rPr>
              <w:t>Total Annual Burden Hours</w:t>
            </w:r>
            <w:r w:rsidRPr="009C27AA">
              <w:rPr>
                <w:b/>
                <w:bCs/>
                <w:color w:val="000000"/>
              </w:rPr>
              <w:br/>
              <w:t>(c × d = e)</w:t>
            </w:r>
          </w:p>
        </w:tc>
        <w:tc>
          <w:tcPr>
            <w:tcW w:w="726" w:type="pct"/>
            <w:shd w:val="clear" w:color="auto" w:fill="E0E0E0"/>
            <w:tcMar>
              <w:left w:w="0" w:type="dxa"/>
              <w:right w:w="0" w:type="dxa"/>
            </w:tcMar>
            <w:vAlign w:val="bottom"/>
            <w:hideMark/>
          </w:tcPr>
          <w:p w:rsidR="005C1D7D" w:rsidRPr="009C27AA" w:rsidP="005B7814" w14:paraId="6D579882" w14:textId="16915BAD">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w:t>
            </w:r>
            <w:r w:rsidRPr="5ECFBCA2" w:rsidR="3ECB3B9D">
              <w:rPr>
                <w:b/>
                <w:bCs/>
                <w:color w:val="000000" w:themeColor="text1"/>
              </w:rPr>
              <w:t xml:space="preserve"> × $</w:t>
            </w:r>
            <w:r w:rsidRPr="5ECFBCA2" w:rsidR="7EBB0437">
              <w:rPr>
                <w:b/>
                <w:bCs/>
                <w:color w:val="000000" w:themeColor="text1"/>
              </w:rPr>
              <w:t>28.71</w:t>
            </w:r>
            <w:r w:rsidRPr="5ECFBCA2">
              <w:rPr>
                <w:b/>
                <w:bCs/>
                <w:color w:val="000000" w:themeColor="text1"/>
              </w:rPr>
              <w:t xml:space="preserve"> = f)</w:t>
            </w:r>
          </w:p>
        </w:tc>
      </w:tr>
      <w:tr w14:paraId="403F659C"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B32739" w:rsidRPr="009C27AA" w:rsidP="00B32739" w14:paraId="30FFE49D" w14:textId="77777777">
            <w:pPr>
              <w:widowControl/>
              <w:autoSpaceDE/>
              <w:autoSpaceDN/>
              <w:adjustRightInd/>
              <w:jc w:val="center"/>
              <w:rPr>
                <w:color w:val="000000"/>
              </w:rPr>
            </w:pPr>
            <w:r w:rsidRPr="009C27AA">
              <w:rPr>
                <w:color w:val="000000"/>
              </w:rPr>
              <w:t>1</w:t>
            </w:r>
          </w:p>
        </w:tc>
        <w:tc>
          <w:tcPr>
            <w:tcW w:w="721" w:type="pct"/>
            <w:shd w:val="clear" w:color="auto" w:fill="auto"/>
            <w:tcMar>
              <w:left w:w="115" w:type="dxa"/>
              <w:right w:w="115" w:type="dxa"/>
            </w:tcMar>
            <w:vAlign w:val="center"/>
          </w:tcPr>
          <w:p w:rsidR="00B32739" w:rsidRPr="00283CFF" w:rsidP="00B32739" w14:paraId="63F22ECE" w14:textId="1BA960ED">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B32739" w:rsidRPr="00283CFF" w:rsidP="00B32739" w14:paraId="5CFA7185" w14:textId="320332A3">
            <w:pPr>
              <w:widowControl/>
              <w:autoSpaceDE/>
              <w:autoSpaceDN/>
              <w:adjustRightInd/>
              <w:jc w:val="center"/>
              <w:rPr>
                <w:color w:val="000000"/>
              </w:rPr>
            </w:pPr>
            <w:r>
              <w:rPr>
                <w:color w:val="000000"/>
              </w:rPr>
              <w:t xml:space="preserve"> </w:t>
            </w:r>
            <w:r w:rsidRPr="00CF21B1">
              <w:rPr>
                <w:color w:val="000000" w:themeColor="text1"/>
              </w:rPr>
              <w:t>1,712</w:t>
            </w:r>
          </w:p>
        </w:tc>
        <w:tc>
          <w:tcPr>
            <w:tcW w:w="702" w:type="pct"/>
            <w:shd w:val="clear" w:color="auto" w:fill="auto"/>
            <w:tcMar>
              <w:left w:w="115" w:type="dxa"/>
              <w:right w:w="115" w:type="dxa"/>
            </w:tcMar>
            <w:vAlign w:val="center"/>
          </w:tcPr>
          <w:p w:rsidR="00B32739" w:rsidRPr="00283CFF" w:rsidP="00B32739" w14:paraId="0EE1EF9C" w14:textId="3FBA6597">
            <w:pPr>
              <w:widowControl/>
              <w:autoSpaceDE/>
              <w:autoSpaceDN/>
              <w:adjustRightInd/>
              <w:jc w:val="center"/>
              <w:rPr>
                <w:color w:val="000000"/>
              </w:rPr>
            </w:pPr>
            <w:r>
              <w:rPr>
                <w:color w:val="000000"/>
              </w:rPr>
              <w:t xml:space="preserve"> </w:t>
            </w:r>
            <w:r w:rsidRPr="00CF21B1">
              <w:rPr>
                <w:color w:val="000000" w:themeColor="text1"/>
              </w:rPr>
              <w:t>426,181</w:t>
            </w:r>
          </w:p>
        </w:tc>
        <w:tc>
          <w:tcPr>
            <w:tcW w:w="729" w:type="pct"/>
            <w:shd w:val="clear" w:color="auto" w:fill="auto"/>
            <w:tcMar>
              <w:left w:w="115" w:type="dxa"/>
              <w:right w:w="115" w:type="dxa"/>
            </w:tcMar>
            <w:vAlign w:val="center"/>
          </w:tcPr>
          <w:p w:rsidR="00B32739" w:rsidRPr="00283CFF" w:rsidP="00B32739" w14:paraId="0CB1E38E" w14:textId="21F1CF3B">
            <w:pPr>
              <w:widowControl/>
              <w:autoSpaceDE/>
              <w:autoSpaceDN/>
              <w:adjustRightInd/>
              <w:jc w:val="center"/>
              <w:rPr>
                <w:color w:val="000000"/>
              </w:rPr>
            </w:pPr>
            <w:r w:rsidRPr="00D64E77">
              <w:rPr>
                <w:color w:val="000000"/>
              </w:rPr>
              <w:t>0.033</w:t>
            </w:r>
          </w:p>
        </w:tc>
        <w:tc>
          <w:tcPr>
            <w:tcW w:w="728" w:type="pct"/>
            <w:shd w:val="clear" w:color="auto" w:fill="auto"/>
            <w:tcMar>
              <w:left w:w="115" w:type="dxa"/>
              <w:right w:w="115" w:type="dxa"/>
            </w:tcMar>
            <w:vAlign w:val="center"/>
          </w:tcPr>
          <w:p w:rsidR="00B32739" w:rsidRPr="00283CFF" w:rsidP="00B32739" w14:paraId="1F7374B0" w14:textId="6CD82B8B">
            <w:pPr>
              <w:widowControl/>
              <w:autoSpaceDE/>
              <w:autoSpaceDN/>
              <w:adjustRightInd/>
              <w:jc w:val="center"/>
              <w:rPr>
                <w:color w:val="000000"/>
              </w:rPr>
            </w:pPr>
            <w:r>
              <w:rPr>
                <w:color w:val="000000"/>
              </w:rPr>
              <w:t xml:space="preserve"> </w:t>
            </w:r>
            <w:r w:rsidRPr="00CF21B1">
              <w:rPr>
                <w:color w:val="000000" w:themeColor="text1"/>
              </w:rPr>
              <w:t>14,206</w:t>
            </w:r>
          </w:p>
        </w:tc>
        <w:tc>
          <w:tcPr>
            <w:tcW w:w="726" w:type="pct"/>
            <w:shd w:val="clear" w:color="auto" w:fill="auto"/>
            <w:tcMar>
              <w:left w:w="115" w:type="dxa"/>
              <w:right w:w="115" w:type="dxa"/>
            </w:tcMar>
            <w:vAlign w:val="center"/>
          </w:tcPr>
          <w:p w:rsidR="00B32739" w:rsidRPr="00283CFF" w:rsidP="5ECFBCA2" w14:paraId="2B503CF6" w14:textId="4FF1DDF7">
            <w:pPr>
              <w:widowControl/>
              <w:spacing w:line="259" w:lineRule="auto"/>
              <w:jc w:val="center"/>
            </w:pPr>
            <w:r w:rsidRPr="5ECFBCA2">
              <w:rPr>
                <w:color w:val="000000" w:themeColor="text1"/>
              </w:rPr>
              <w:t xml:space="preserve"> </w:t>
            </w:r>
            <w:r w:rsidRPr="5ECFBCA2" w:rsidR="790EC570">
              <w:rPr>
                <w:color w:val="000000" w:themeColor="text1"/>
              </w:rPr>
              <w:t>$</w:t>
            </w:r>
            <w:r w:rsidRPr="5ECFBCA2" w:rsidR="48C5117A">
              <w:rPr>
                <w:color w:val="000000" w:themeColor="text1"/>
              </w:rPr>
              <w:t>407,903</w:t>
            </w:r>
          </w:p>
        </w:tc>
      </w:tr>
      <w:tr w14:paraId="64684622"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B32739" w:rsidRPr="009C27AA" w:rsidP="00B32739" w14:paraId="5B29ED02" w14:textId="77777777">
            <w:pPr>
              <w:widowControl/>
              <w:autoSpaceDE/>
              <w:autoSpaceDN/>
              <w:adjustRightInd/>
              <w:jc w:val="center"/>
              <w:rPr>
                <w:color w:val="000000"/>
              </w:rPr>
            </w:pPr>
            <w:r w:rsidRPr="009C27AA">
              <w:rPr>
                <w:color w:val="000000"/>
              </w:rPr>
              <w:t>2</w:t>
            </w:r>
          </w:p>
        </w:tc>
        <w:tc>
          <w:tcPr>
            <w:tcW w:w="721" w:type="pct"/>
            <w:shd w:val="clear" w:color="auto" w:fill="auto"/>
            <w:tcMar>
              <w:left w:w="115" w:type="dxa"/>
              <w:right w:w="115" w:type="dxa"/>
            </w:tcMar>
            <w:vAlign w:val="center"/>
          </w:tcPr>
          <w:p w:rsidR="00B32739" w:rsidRPr="00283CFF" w:rsidP="00B32739" w14:paraId="72764FAC" w14:textId="1BAE5561">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B32739" w:rsidRPr="00283CFF" w:rsidP="00B32739" w14:paraId="3FDB738B" w14:textId="1B1271DA">
            <w:pPr>
              <w:widowControl/>
              <w:autoSpaceDE/>
              <w:autoSpaceDN/>
              <w:adjustRightInd/>
              <w:jc w:val="center"/>
              <w:rPr>
                <w:color w:val="000000"/>
              </w:rPr>
            </w:pPr>
            <w:r>
              <w:rPr>
                <w:color w:val="000000"/>
              </w:rPr>
              <w:t xml:space="preserve"> </w:t>
            </w:r>
            <w:r w:rsidRPr="00CF21B1">
              <w:rPr>
                <w:color w:val="000000" w:themeColor="text1"/>
              </w:rPr>
              <w:t>1,715</w:t>
            </w:r>
          </w:p>
        </w:tc>
        <w:tc>
          <w:tcPr>
            <w:tcW w:w="702" w:type="pct"/>
            <w:shd w:val="clear" w:color="auto" w:fill="auto"/>
            <w:tcMar>
              <w:left w:w="115" w:type="dxa"/>
              <w:right w:w="115" w:type="dxa"/>
            </w:tcMar>
            <w:vAlign w:val="center"/>
          </w:tcPr>
          <w:p w:rsidR="00B32739" w:rsidRPr="00283CFF" w:rsidP="00B32739" w14:paraId="60EC714A" w14:textId="2DA685AC">
            <w:pPr>
              <w:widowControl/>
              <w:autoSpaceDE/>
              <w:autoSpaceDN/>
              <w:adjustRightInd/>
              <w:jc w:val="center"/>
              <w:rPr>
                <w:color w:val="000000"/>
              </w:rPr>
            </w:pPr>
            <w:r>
              <w:rPr>
                <w:color w:val="000000"/>
              </w:rPr>
              <w:t xml:space="preserve"> </w:t>
            </w:r>
            <w:r w:rsidRPr="00CF21B1">
              <w:rPr>
                <w:color w:val="000000" w:themeColor="text1"/>
              </w:rPr>
              <w:t>427,136</w:t>
            </w:r>
          </w:p>
        </w:tc>
        <w:tc>
          <w:tcPr>
            <w:tcW w:w="729" w:type="pct"/>
            <w:shd w:val="clear" w:color="auto" w:fill="auto"/>
            <w:tcMar>
              <w:left w:w="115" w:type="dxa"/>
              <w:right w:w="115" w:type="dxa"/>
            </w:tcMar>
            <w:vAlign w:val="center"/>
          </w:tcPr>
          <w:p w:rsidR="00B32739" w:rsidRPr="00283CFF" w:rsidP="00B32739" w14:paraId="69C2FCE5" w14:textId="4B14ED56">
            <w:pPr>
              <w:widowControl/>
              <w:autoSpaceDE/>
              <w:autoSpaceDN/>
              <w:adjustRightInd/>
              <w:jc w:val="center"/>
              <w:rPr>
                <w:color w:val="000000"/>
              </w:rPr>
            </w:pPr>
            <w:r w:rsidRPr="00D64E77">
              <w:rPr>
                <w:color w:val="000000"/>
              </w:rPr>
              <w:t>0.033</w:t>
            </w:r>
          </w:p>
        </w:tc>
        <w:tc>
          <w:tcPr>
            <w:tcW w:w="728" w:type="pct"/>
            <w:shd w:val="clear" w:color="auto" w:fill="auto"/>
            <w:tcMar>
              <w:left w:w="115" w:type="dxa"/>
              <w:right w:w="115" w:type="dxa"/>
            </w:tcMar>
            <w:vAlign w:val="center"/>
          </w:tcPr>
          <w:p w:rsidR="00B32739" w:rsidRPr="00283CFF" w:rsidP="00B32739" w14:paraId="786CD54C" w14:textId="6862EA47">
            <w:pPr>
              <w:widowControl/>
              <w:autoSpaceDE/>
              <w:autoSpaceDN/>
              <w:adjustRightInd/>
              <w:jc w:val="center"/>
              <w:rPr>
                <w:color w:val="000000"/>
              </w:rPr>
            </w:pPr>
            <w:r>
              <w:rPr>
                <w:color w:val="000000"/>
              </w:rPr>
              <w:t xml:space="preserve"> </w:t>
            </w:r>
            <w:r w:rsidRPr="00CF21B1">
              <w:rPr>
                <w:color w:val="000000" w:themeColor="text1"/>
              </w:rPr>
              <w:t>14,238</w:t>
            </w:r>
          </w:p>
        </w:tc>
        <w:tc>
          <w:tcPr>
            <w:tcW w:w="726" w:type="pct"/>
            <w:shd w:val="clear" w:color="auto" w:fill="auto"/>
            <w:tcMar>
              <w:left w:w="115" w:type="dxa"/>
              <w:right w:w="115" w:type="dxa"/>
            </w:tcMar>
            <w:vAlign w:val="center"/>
          </w:tcPr>
          <w:p w:rsidR="00B32739" w:rsidRPr="00283CFF" w:rsidP="5ECFBCA2" w14:paraId="023FCB56" w14:textId="0AC33931">
            <w:pPr>
              <w:widowControl/>
              <w:spacing w:line="259" w:lineRule="auto"/>
              <w:jc w:val="center"/>
              <w:rPr>
                <w:color w:val="000000" w:themeColor="text1"/>
              </w:rPr>
            </w:pPr>
            <w:r w:rsidRPr="5ECFBCA2">
              <w:rPr>
                <w:color w:val="000000" w:themeColor="text1"/>
              </w:rPr>
              <w:t xml:space="preserve"> $</w:t>
            </w:r>
            <w:r w:rsidRPr="5ECFBCA2" w:rsidR="48FCF0C9">
              <w:rPr>
                <w:color w:val="000000" w:themeColor="text1"/>
              </w:rPr>
              <w:t>408,816</w:t>
            </w:r>
            <w:r w:rsidRPr="5ECFBCA2">
              <w:rPr>
                <w:color w:val="000000" w:themeColor="text1"/>
              </w:rPr>
              <w:t xml:space="preserve">  </w:t>
            </w:r>
          </w:p>
        </w:tc>
      </w:tr>
      <w:tr w14:paraId="05F44706"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B32739" w:rsidRPr="009C27AA" w:rsidP="00B32739" w14:paraId="0F57606C" w14:textId="77777777">
            <w:pPr>
              <w:widowControl/>
              <w:autoSpaceDE/>
              <w:autoSpaceDN/>
              <w:adjustRightInd/>
              <w:jc w:val="center"/>
              <w:rPr>
                <w:color w:val="000000"/>
              </w:rPr>
            </w:pPr>
            <w:r w:rsidRPr="009C27AA">
              <w:rPr>
                <w:color w:val="000000"/>
              </w:rPr>
              <w:t>3</w:t>
            </w:r>
          </w:p>
        </w:tc>
        <w:tc>
          <w:tcPr>
            <w:tcW w:w="721" w:type="pct"/>
            <w:shd w:val="clear" w:color="auto" w:fill="auto"/>
            <w:tcMar>
              <w:left w:w="115" w:type="dxa"/>
              <w:right w:w="115" w:type="dxa"/>
            </w:tcMar>
            <w:vAlign w:val="center"/>
          </w:tcPr>
          <w:p w:rsidR="00B32739" w:rsidRPr="00283CFF" w:rsidP="00B32739" w14:paraId="261AC017" w14:textId="523A6326">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B32739" w:rsidRPr="00283CFF" w:rsidP="00B32739" w14:paraId="6B47F650" w14:textId="05C06C53">
            <w:pPr>
              <w:widowControl/>
              <w:autoSpaceDE/>
              <w:autoSpaceDN/>
              <w:adjustRightInd/>
              <w:jc w:val="center"/>
              <w:rPr>
                <w:color w:val="000000"/>
              </w:rPr>
            </w:pPr>
            <w:r>
              <w:rPr>
                <w:color w:val="000000"/>
              </w:rPr>
              <w:t xml:space="preserve"> </w:t>
            </w:r>
            <w:r w:rsidRPr="00CF21B1">
              <w:rPr>
                <w:color w:val="000000" w:themeColor="text1"/>
              </w:rPr>
              <w:t>1,719</w:t>
            </w:r>
          </w:p>
        </w:tc>
        <w:tc>
          <w:tcPr>
            <w:tcW w:w="702" w:type="pct"/>
            <w:shd w:val="clear" w:color="auto" w:fill="auto"/>
            <w:tcMar>
              <w:left w:w="115" w:type="dxa"/>
              <w:right w:w="115" w:type="dxa"/>
            </w:tcMar>
            <w:vAlign w:val="center"/>
          </w:tcPr>
          <w:p w:rsidR="00B32739" w:rsidRPr="00283CFF" w:rsidP="00B32739" w14:paraId="42C15199" w14:textId="42085729">
            <w:pPr>
              <w:widowControl/>
              <w:autoSpaceDE/>
              <w:autoSpaceDN/>
              <w:adjustRightInd/>
              <w:jc w:val="center"/>
              <w:rPr>
                <w:color w:val="000000"/>
              </w:rPr>
            </w:pPr>
            <w:r>
              <w:rPr>
                <w:color w:val="000000"/>
              </w:rPr>
              <w:t xml:space="preserve"> </w:t>
            </w:r>
            <w:r w:rsidRPr="00CF21B1">
              <w:rPr>
                <w:color w:val="000000" w:themeColor="text1"/>
              </w:rPr>
              <w:t>428,092</w:t>
            </w:r>
          </w:p>
        </w:tc>
        <w:tc>
          <w:tcPr>
            <w:tcW w:w="729" w:type="pct"/>
            <w:shd w:val="clear" w:color="auto" w:fill="auto"/>
            <w:tcMar>
              <w:left w:w="115" w:type="dxa"/>
              <w:right w:w="115" w:type="dxa"/>
            </w:tcMar>
            <w:vAlign w:val="center"/>
          </w:tcPr>
          <w:p w:rsidR="00B32739" w:rsidRPr="00283CFF" w:rsidP="00B32739" w14:paraId="0D644236" w14:textId="0A231283">
            <w:pPr>
              <w:widowControl/>
              <w:autoSpaceDE/>
              <w:autoSpaceDN/>
              <w:adjustRightInd/>
              <w:jc w:val="center"/>
              <w:rPr>
                <w:color w:val="000000"/>
              </w:rPr>
            </w:pPr>
            <w:r w:rsidRPr="00D64E77">
              <w:rPr>
                <w:color w:val="000000"/>
              </w:rPr>
              <w:t>0.033</w:t>
            </w:r>
          </w:p>
        </w:tc>
        <w:tc>
          <w:tcPr>
            <w:tcW w:w="728" w:type="pct"/>
            <w:shd w:val="clear" w:color="auto" w:fill="auto"/>
            <w:tcMar>
              <w:left w:w="115" w:type="dxa"/>
              <w:right w:w="115" w:type="dxa"/>
            </w:tcMar>
            <w:vAlign w:val="center"/>
          </w:tcPr>
          <w:p w:rsidR="00B32739" w:rsidRPr="00283CFF" w:rsidP="00B32739" w14:paraId="5A4CCD1C" w14:textId="5504A3C6">
            <w:pPr>
              <w:widowControl/>
              <w:autoSpaceDE/>
              <w:autoSpaceDN/>
              <w:adjustRightInd/>
              <w:jc w:val="center"/>
              <w:rPr>
                <w:color w:val="000000"/>
              </w:rPr>
            </w:pPr>
            <w:r>
              <w:rPr>
                <w:color w:val="000000"/>
              </w:rPr>
              <w:t xml:space="preserve"> </w:t>
            </w:r>
            <w:r w:rsidRPr="00CF21B1">
              <w:rPr>
                <w:color w:val="000000" w:themeColor="text1"/>
              </w:rPr>
              <w:t>14,270</w:t>
            </w:r>
          </w:p>
        </w:tc>
        <w:tc>
          <w:tcPr>
            <w:tcW w:w="726" w:type="pct"/>
            <w:shd w:val="clear" w:color="auto" w:fill="auto"/>
            <w:tcMar>
              <w:left w:w="115" w:type="dxa"/>
              <w:right w:w="115" w:type="dxa"/>
            </w:tcMar>
            <w:vAlign w:val="center"/>
          </w:tcPr>
          <w:p w:rsidR="00B32739" w:rsidRPr="00283CFF" w:rsidP="5ECFBCA2" w14:paraId="4F658D8D" w14:textId="6850291F">
            <w:pPr>
              <w:widowControl/>
              <w:spacing w:line="259" w:lineRule="auto"/>
              <w:jc w:val="center"/>
              <w:rPr>
                <w:color w:val="000000" w:themeColor="text1"/>
              </w:rPr>
            </w:pPr>
            <w:r w:rsidRPr="5ECFBCA2">
              <w:rPr>
                <w:color w:val="000000" w:themeColor="text1"/>
              </w:rPr>
              <w:t xml:space="preserve"> $</w:t>
            </w:r>
            <w:r w:rsidRPr="5ECFBCA2" w:rsidR="049DD46A">
              <w:rPr>
                <w:color w:val="000000" w:themeColor="text1"/>
              </w:rPr>
              <w:t>409,732</w:t>
            </w:r>
            <w:r w:rsidRPr="5ECFBCA2">
              <w:rPr>
                <w:color w:val="000000" w:themeColor="text1"/>
              </w:rPr>
              <w:t xml:space="preserve"> </w:t>
            </w:r>
          </w:p>
        </w:tc>
      </w:tr>
      <w:tr w14:paraId="5C8CF4B4"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B32739" w:rsidRPr="009C27AA" w:rsidP="00B32739" w14:paraId="07555AC5" w14:textId="77777777">
            <w:pPr>
              <w:widowControl/>
              <w:autoSpaceDE/>
              <w:autoSpaceDN/>
              <w:adjustRightInd/>
              <w:jc w:val="center"/>
              <w:rPr>
                <w:color w:val="000000"/>
              </w:rPr>
            </w:pPr>
            <w:r w:rsidRPr="009C27AA">
              <w:rPr>
                <w:color w:val="000000"/>
              </w:rPr>
              <w:t>Total</w:t>
            </w:r>
          </w:p>
        </w:tc>
        <w:tc>
          <w:tcPr>
            <w:tcW w:w="721" w:type="pct"/>
            <w:shd w:val="clear" w:color="auto" w:fill="auto"/>
            <w:tcMar>
              <w:left w:w="115" w:type="dxa"/>
              <w:right w:w="115" w:type="dxa"/>
            </w:tcMar>
            <w:vAlign w:val="center"/>
          </w:tcPr>
          <w:p w:rsidR="00B32739" w:rsidRPr="00283CFF" w:rsidP="00B32739" w14:paraId="7087E3C5" w14:textId="6987FBF0">
            <w:pPr>
              <w:widowControl/>
              <w:autoSpaceDE/>
              <w:autoSpaceDN/>
              <w:adjustRightInd/>
              <w:jc w:val="center"/>
              <w:rPr>
                <w:color w:val="000000"/>
              </w:rPr>
            </w:pPr>
            <w:r w:rsidRPr="00D64E77">
              <w:rPr>
                <w:color w:val="000000"/>
              </w:rPr>
              <w:t>747</w:t>
            </w:r>
          </w:p>
        </w:tc>
        <w:tc>
          <w:tcPr>
            <w:tcW w:w="674" w:type="pct"/>
            <w:shd w:val="clear" w:color="auto" w:fill="auto"/>
            <w:tcMar>
              <w:left w:w="115" w:type="dxa"/>
              <w:right w:w="115" w:type="dxa"/>
            </w:tcMar>
            <w:vAlign w:val="center"/>
          </w:tcPr>
          <w:p w:rsidR="00B32739" w:rsidRPr="00283CFF" w:rsidP="00B32739" w14:paraId="283A0337" w14:textId="20D925B8">
            <w:pPr>
              <w:widowControl/>
              <w:autoSpaceDE/>
              <w:autoSpaceDN/>
              <w:adjustRightInd/>
              <w:jc w:val="center"/>
              <w:rPr>
                <w:color w:val="000000"/>
              </w:rPr>
            </w:pPr>
            <w:r w:rsidRPr="00D64E77">
              <w:rPr>
                <w:color w:val="000000"/>
              </w:rPr>
              <w:t>-</w:t>
            </w:r>
          </w:p>
        </w:tc>
        <w:tc>
          <w:tcPr>
            <w:tcW w:w="702" w:type="pct"/>
            <w:shd w:val="clear" w:color="auto" w:fill="auto"/>
            <w:tcMar>
              <w:left w:w="115" w:type="dxa"/>
              <w:right w:w="115" w:type="dxa"/>
            </w:tcMar>
            <w:vAlign w:val="center"/>
          </w:tcPr>
          <w:p w:rsidR="00B32739" w:rsidRPr="00283CFF" w:rsidP="00B32739" w14:paraId="549A1831" w14:textId="14107AD6">
            <w:pPr>
              <w:widowControl/>
              <w:autoSpaceDE/>
              <w:autoSpaceDN/>
              <w:adjustRightInd/>
              <w:jc w:val="center"/>
              <w:rPr>
                <w:color w:val="000000"/>
              </w:rPr>
            </w:pPr>
            <w:r>
              <w:rPr>
                <w:color w:val="000000"/>
              </w:rPr>
              <w:t xml:space="preserve"> </w:t>
            </w:r>
            <w:r w:rsidRPr="00CF21B1">
              <w:rPr>
                <w:color w:val="000000" w:themeColor="text1"/>
              </w:rPr>
              <w:t>1,281,409</w:t>
            </w:r>
          </w:p>
        </w:tc>
        <w:tc>
          <w:tcPr>
            <w:tcW w:w="729" w:type="pct"/>
            <w:shd w:val="clear" w:color="auto" w:fill="auto"/>
            <w:tcMar>
              <w:left w:w="115" w:type="dxa"/>
              <w:right w:w="115" w:type="dxa"/>
            </w:tcMar>
            <w:vAlign w:val="center"/>
          </w:tcPr>
          <w:p w:rsidR="00B32739" w:rsidRPr="00283CFF" w:rsidP="00B32739" w14:paraId="369EE705" w14:textId="29CDCC60">
            <w:pPr>
              <w:widowControl/>
              <w:autoSpaceDE/>
              <w:autoSpaceDN/>
              <w:adjustRightInd/>
              <w:jc w:val="center"/>
              <w:rPr>
                <w:color w:val="000000"/>
              </w:rPr>
            </w:pPr>
            <w:r w:rsidRPr="00D64E77">
              <w:rPr>
                <w:color w:val="000000"/>
              </w:rPr>
              <w:t>-</w:t>
            </w:r>
          </w:p>
        </w:tc>
        <w:tc>
          <w:tcPr>
            <w:tcW w:w="728" w:type="pct"/>
            <w:shd w:val="clear" w:color="auto" w:fill="auto"/>
            <w:tcMar>
              <w:left w:w="115" w:type="dxa"/>
              <w:right w:w="115" w:type="dxa"/>
            </w:tcMar>
            <w:vAlign w:val="center"/>
          </w:tcPr>
          <w:p w:rsidR="00B32739" w:rsidRPr="00283CFF" w:rsidP="00B32739" w14:paraId="09116EC8" w14:textId="57451771">
            <w:pPr>
              <w:widowControl/>
              <w:autoSpaceDE/>
              <w:autoSpaceDN/>
              <w:adjustRightInd/>
              <w:jc w:val="center"/>
              <w:rPr>
                <w:color w:val="000000"/>
              </w:rPr>
            </w:pPr>
            <w:r>
              <w:rPr>
                <w:color w:val="000000"/>
              </w:rPr>
              <w:t xml:space="preserve"> </w:t>
            </w:r>
            <w:r w:rsidRPr="00CF21B1">
              <w:rPr>
                <w:color w:val="000000" w:themeColor="text1"/>
              </w:rPr>
              <w:t>42,714</w:t>
            </w:r>
          </w:p>
        </w:tc>
        <w:tc>
          <w:tcPr>
            <w:tcW w:w="726" w:type="pct"/>
            <w:shd w:val="clear" w:color="auto" w:fill="auto"/>
            <w:tcMar>
              <w:left w:w="115" w:type="dxa"/>
              <w:right w:w="115" w:type="dxa"/>
            </w:tcMar>
            <w:vAlign w:val="center"/>
          </w:tcPr>
          <w:p w:rsidR="00B32739" w:rsidRPr="00283CFF" w:rsidP="5ECFBCA2" w14:paraId="7CD39876" w14:textId="21F794BA">
            <w:pPr>
              <w:widowControl/>
              <w:spacing w:line="259" w:lineRule="auto"/>
              <w:jc w:val="center"/>
            </w:pPr>
            <w:r w:rsidRPr="5ECFBCA2">
              <w:rPr>
                <w:color w:val="000000" w:themeColor="text1"/>
              </w:rPr>
              <w:t xml:space="preserve"> $1,</w:t>
            </w:r>
            <w:r w:rsidRPr="5ECFBCA2" w:rsidR="2E4633A7">
              <w:rPr>
                <w:color w:val="000000" w:themeColor="text1"/>
              </w:rPr>
              <w:t>226,451</w:t>
            </w:r>
          </w:p>
        </w:tc>
      </w:tr>
      <w:tr w14:paraId="25FC52E0" w14:textId="77777777" w:rsidTr="5ECFBCA2">
        <w:tblPrEx>
          <w:tblW w:w="5000" w:type="pct"/>
          <w:tblLayout w:type="fixed"/>
          <w:tblCellMar>
            <w:left w:w="29" w:type="dxa"/>
            <w:right w:w="29" w:type="dxa"/>
          </w:tblCellMar>
          <w:tblLook w:val="04A0"/>
        </w:tblPrEx>
        <w:trPr>
          <w:trHeight w:val="270"/>
        </w:trPr>
        <w:tc>
          <w:tcPr>
            <w:tcW w:w="720" w:type="pct"/>
            <w:shd w:val="clear" w:color="auto" w:fill="auto"/>
            <w:tcMar>
              <w:left w:w="115" w:type="dxa"/>
              <w:right w:w="115" w:type="dxa"/>
            </w:tcMar>
            <w:vAlign w:val="bottom"/>
            <w:hideMark/>
          </w:tcPr>
          <w:p w:rsidR="00B32739" w:rsidRPr="009C27AA" w:rsidP="00B32739" w14:paraId="269497C0" w14:textId="77777777">
            <w:pPr>
              <w:widowControl/>
              <w:autoSpaceDE/>
              <w:autoSpaceDN/>
              <w:adjustRightInd/>
              <w:jc w:val="center"/>
              <w:rPr>
                <w:color w:val="000000"/>
              </w:rPr>
            </w:pPr>
            <w:r w:rsidRPr="009C27AA">
              <w:rPr>
                <w:color w:val="000000"/>
              </w:rPr>
              <w:t>Annualized</w:t>
            </w:r>
          </w:p>
        </w:tc>
        <w:tc>
          <w:tcPr>
            <w:tcW w:w="721" w:type="pct"/>
            <w:shd w:val="clear" w:color="auto" w:fill="auto"/>
            <w:tcMar>
              <w:left w:w="115" w:type="dxa"/>
              <w:right w:w="115" w:type="dxa"/>
            </w:tcMar>
            <w:vAlign w:val="center"/>
          </w:tcPr>
          <w:p w:rsidR="00B32739" w:rsidRPr="00283CFF" w:rsidP="00B32739" w14:paraId="2D8E6BFB" w14:textId="2EF5956D">
            <w:pPr>
              <w:widowControl/>
              <w:autoSpaceDE/>
              <w:autoSpaceDN/>
              <w:adjustRightInd/>
              <w:jc w:val="center"/>
              <w:rPr>
                <w:color w:val="000000"/>
              </w:rPr>
            </w:pPr>
            <w:r w:rsidRPr="00D64E77">
              <w:rPr>
                <w:color w:val="000000"/>
              </w:rPr>
              <w:t>249</w:t>
            </w:r>
          </w:p>
        </w:tc>
        <w:tc>
          <w:tcPr>
            <w:tcW w:w="674" w:type="pct"/>
            <w:shd w:val="clear" w:color="auto" w:fill="auto"/>
            <w:tcMar>
              <w:left w:w="115" w:type="dxa"/>
              <w:right w:w="115" w:type="dxa"/>
            </w:tcMar>
            <w:vAlign w:val="center"/>
          </w:tcPr>
          <w:p w:rsidR="00B32739" w:rsidRPr="00283CFF" w:rsidP="00B32739" w14:paraId="4BD13DBF" w14:textId="1E7246B3">
            <w:pPr>
              <w:widowControl/>
              <w:autoSpaceDE/>
              <w:autoSpaceDN/>
              <w:adjustRightInd/>
              <w:jc w:val="center"/>
              <w:rPr>
                <w:color w:val="000000"/>
              </w:rPr>
            </w:pPr>
            <w:r w:rsidRPr="00D64E77">
              <w:rPr>
                <w:color w:val="000000"/>
              </w:rPr>
              <w:t>-</w:t>
            </w:r>
          </w:p>
        </w:tc>
        <w:tc>
          <w:tcPr>
            <w:tcW w:w="702" w:type="pct"/>
            <w:shd w:val="clear" w:color="auto" w:fill="auto"/>
            <w:tcMar>
              <w:left w:w="115" w:type="dxa"/>
              <w:right w:w="115" w:type="dxa"/>
            </w:tcMar>
            <w:vAlign w:val="center"/>
          </w:tcPr>
          <w:p w:rsidR="00B32739" w:rsidRPr="00283CFF" w:rsidP="00B32739" w14:paraId="353A9FC1" w14:textId="12D35D85">
            <w:pPr>
              <w:widowControl/>
              <w:autoSpaceDE/>
              <w:autoSpaceDN/>
              <w:adjustRightInd/>
              <w:jc w:val="center"/>
              <w:rPr>
                <w:color w:val="000000"/>
              </w:rPr>
            </w:pPr>
            <w:r>
              <w:rPr>
                <w:color w:val="000000"/>
              </w:rPr>
              <w:t xml:space="preserve"> </w:t>
            </w:r>
            <w:r w:rsidRPr="00CF21B1">
              <w:rPr>
                <w:color w:val="000000" w:themeColor="text1"/>
              </w:rPr>
              <w:t>427,136</w:t>
            </w:r>
          </w:p>
        </w:tc>
        <w:tc>
          <w:tcPr>
            <w:tcW w:w="729" w:type="pct"/>
            <w:shd w:val="clear" w:color="auto" w:fill="auto"/>
            <w:tcMar>
              <w:left w:w="115" w:type="dxa"/>
              <w:right w:w="115" w:type="dxa"/>
            </w:tcMar>
            <w:vAlign w:val="center"/>
          </w:tcPr>
          <w:p w:rsidR="00B32739" w:rsidRPr="00283CFF" w:rsidP="00B32739" w14:paraId="250F8103" w14:textId="56C69F06">
            <w:pPr>
              <w:widowControl/>
              <w:autoSpaceDE/>
              <w:autoSpaceDN/>
              <w:adjustRightInd/>
              <w:jc w:val="center"/>
              <w:rPr>
                <w:color w:val="000000"/>
              </w:rPr>
            </w:pPr>
            <w:r w:rsidRPr="00D64E77">
              <w:rPr>
                <w:color w:val="000000"/>
              </w:rPr>
              <w:t>-</w:t>
            </w:r>
          </w:p>
        </w:tc>
        <w:tc>
          <w:tcPr>
            <w:tcW w:w="728" w:type="pct"/>
            <w:shd w:val="clear" w:color="auto" w:fill="auto"/>
            <w:tcMar>
              <w:left w:w="115" w:type="dxa"/>
              <w:right w:w="115" w:type="dxa"/>
            </w:tcMar>
            <w:vAlign w:val="center"/>
          </w:tcPr>
          <w:p w:rsidR="00B32739" w:rsidRPr="00283CFF" w:rsidP="00B32739" w14:paraId="5ED51805" w14:textId="51B7604D">
            <w:pPr>
              <w:widowControl/>
              <w:autoSpaceDE/>
              <w:autoSpaceDN/>
              <w:adjustRightInd/>
              <w:jc w:val="center"/>
              <w:rPr>
                <w:color w:val="000000"/>
              </w:rPr>
            </w:pPr>
            <w:r>
              <w:rPr>
                <w:color w:val="000000"/>
              </w:rPr>
              <w:t xml:space="preserve"> </w:t>
            </w:r>
            <w:r w:rsidRPr="00CF21B1">
              <w:rPr>
                <w:color w:val="000000" w:themeColor="text1"/>
              </w:rPr>
              <w:t>14,238</w:t>
            </w:r>
          </w:p>
        </w:tc>
        <w:tc>
          <w:tcPr>
            <w:tcW w:w="726" w:type="pct"/>
            <w:shd w:val="clear" w:color="auto" w:fill="auto"/>
            <w:tcMar>
              <w:left w:w="115" w:type="dxa"/>
              <w:right w:w="115" w:type="dxa"/>
            </w:tcMar>
            <w:vAlign w:val="center"/>
          </w:tcPr>
          <w:p w:rsidR="00B32739" w:rsidRPr="00283CFF" w:rsidP="5ECFBCA2" w14:paraId="3007600B" w14:textId="18274EDD">
            <w:pPr>
              <w:widowControl/>
              <w:spacing w:line="259" w:lineRule="auto"/>
              <w:jc w:val="center"/>
            </w:pPr>
            <w:r w:rsidRPr="5ECFBCA2">
              <w:rPr>
                <w:color w:val="000000" w:themeColor="text1"/>
              </w:rPr>
              <w:t>$</w:t>
            </w:r>
            <w:r w:rsidRPr="5ECFBCA2" w:rsidR="1A6FF869">
              <w:rPr>
                <w:color w:val="000000" w:themeColor="text1"/>
              </w:rPr>
              <w:t>408,817.02</w:t>
            </w:r>
          </w:p>
        </w:tc>
      </w:tr>
    </w:tbl>
    <w:p w:rsidR="00FA4698" w:rsidRPr="007E65CF" w:rsidP="00722B85" w14:paraId="0D02FE44" w14:textId="77777777">
      <w:pPr>
        <w:widowControl/>
        <w:rPr>
          <w:sz w:val="18"/>
          <w:szCs w:val="18"/>
        </w:rPr>
      </w:pPr>
      <w:r>
        <w:rPr>
          <w:sz w:val="18"/>
          <w:szCs w:val="18"/>
        </w:rPr>
        <w:t>Totals are the product of unrounded components</w:t>
      </w:r>
      <w:r w:rsidRPr="007E65CF">
        <w:rPr>
          <w:sz w:val="18"/>
          <w:szCs w:val="18"/>
        </w:rPr>
        <w:t>.</w:t>
      </w:r>
    </w:p>
    <w:p w:rsidR="005C1D7D" w:rsidP="00722B85" w14:paraId="5C041CC9" w14:textId="77777777">
      <w:pPr>
        <w:widowControl/>
      </w:pPr>
    </w:p>
    <w:p w:rsidR="005B7814" w:rsidP="00722B85" w14:paraId="24D13AD1" w14:textId="44F57D5E">
      <w:pPr>
        <w:widowControl/>
      </w:pPr>
      <w:r>
        <w:fldChar w:fldCharType="begin"/>
      </w:r>
      <w:r>
        <w:instrText xml:space="preserve"> REF _Ref508696307 \h  \* MERGEFORMAT </w:instrText>
      </w:r>
      <w:r>
        <w:fldChar w:fldCharType="separate"/>
      </w:r>
      <w:r w:rsidR="5D0BEBBC">
        <w:t xml:space="preserve">Table </w:t>
      </w:r>
      <w:r w:rsidRPr="5ECFBCA2" w:rsidR="5D0BEBBC">
        <w:rPr>
          <w:noProof/>
        </w:rPr>
        <w:t>18</w:t>
      </w:r>
      <w:r>
        <w:fldChar w:fldCharType="end"/>
      </w:r>
      <w:r w:rsidR="5EE84CFD">
        <w:t xml:space="preserve"> displays annual burden hours for recordkeeping activities related to the CDL skills test.  During the first year of this ICR, there will be approximately </w:t>
      </w:r>
      <w:r w:rsidR="11EDD2FA">
        <w:t xml:space="preserve">426,181 </w:t>
      </w:r>
      <w:r w:rsidR="5EE84CFD">
        <w:t xml:space="preserve">responses and </w:t>
      </w:r>
      <w:r>
        <w:t>35,</w:t>
      </w:r>
      <w:r w:rsidR="21495FC4">
        <w:t>515</w:t>
      </w:r>
      <w:r w:rsidR="5EE84CFD">
        <w:t xml:space="preserve"> burden hours, at a cost of $</w:t>
      </w:r>
      <w:r>
        <w:t>1,</w:t>
      </w:r>
      <w:r w:rsidR="766D73D1">
        <w:t>019,757</w:t>
      </w:r>
      <w:r w:rsidR="5EE84CFD">
        <w:t>.</w:t>
      </w:r>
    </w:p>
    <w:p w:rsidR="0090681A" w:rsidP="00722B85" w14:paraId="09CA17B4" w14:textId="77777777">
      <w:pPr>
        <w:widowControl/>
      </w:pPr>
    </w:p>
    <w:p w:rsidR="005B7814" w:rsidRPr="00D64E77" w:rsidP="00722B85" w14:paraId="28FC1B93" w14:textId="2E1D6429">
      <w:pPr>
        <w:pStyle w:val="Caption"/>
        <w:keepNext/>
        <w:widowControl/>
      </w:pPr>
      <w:bookmarkStart w:id="32" w:name="_Ref508696307"/>
      <w:r w:rsidRPr="00D64E77">
        <w:t xml:space="preserve">Table </w:t>
      </w:r>
      <w:r>
        <w:fldChar w:fldCharType="begin"/>
      </w:r>
      <w:r>
        <w:instrText>SEQ Table \* ARABIC</w:instrText>
      </w:r>
      <w:r>
        <w:fldChar w:fldCharType="separate"/>
      </w:r>
      <w:r w:rsidR="006A6CBC">
        <w:rPr>
          <w:noProof/>
        </w:rPr>
        <w:t>18</w:t>
      </w:r>
      <w:r>
        <w:fldChar w:fldCharType="end"/>
      </w:r>
      <w:bookmarkEnd w:id="32"/>
      <w:r w:rsidRPr="00D64E77">
        <w:t xml:space="preserve">. CDL </w:t>
      </w:r>
      <w:r w:rsidRPr="00D64E77" w:rsidR="002D66E6">
        <w:t>S</w:t>
      </w:r>
      <w:r w:rsidRPr="00D64E77">
        <w:t>kills</w:t>
      </w:r>
      <w:r w:rsidRPr="00D64E77" w:rsidR="00F24468">
        <w:t xml:space="preserve"> Test</w:t>
      </w:r>
      <w:r w:rsidRPr="00D64E77">
        <w:t xml:space="preserve"> </w:t>
      </w:r>
      <w:r w:rsidRPr="00D64E77" w:rsidR="002D66E6">
        <w:t>R</w:t>
      </w:r>
      <w:r w:rsidRPr="00D64E77">
        <w:t>ecordkeeping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45"/>
        <w:gridCol w:w="1350"/>
        <w:gridCol w:w="1260"/>
        <w:gridCol w:w="1311"/>
        <w:gridCol w:w="1363"/>
        <w:gridCol w:w="1105"/>
        <w:gridCol w:w="1616"/>
      </w:tblGrid>
      <w:tr w14:paraId="00CD1BE0"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050"/>
        </w:trPr>
        <w:tc>
          <w:tcPr>
            <w:tcW w:w="719" w:type="pct"/>
            <w:shd w:val="clear" w:color="auto" w:fill="E0E0E0"/>
            <w:tcMar>
              <w:left w:w="0" w:type="dxa"/>
              <w:right w:w="0" w:type="dxa"/>
            </w:tcMar>
            <w:vAlign w:val="bottom"/>
            <w:hideMark/>
          </w:tcPr>
          <w:p w:rsidR="005B7814" w:rsidRPr="009C27AA" w:rsidP="005B7814" w14:paraId="6ABA9F4E" w14:textId="77777777">
            <w:pPr>
              <w:widowControl/>
              <w:autoSpaceDE/>
              <w:autoSpaceDN/>
              <w:adjustRightInd/>
              <w:jc w:val="center"/>
              <w:rPr>
                <w:b/>
                <w:bCs/>
                <w:color w:val="000000"/>
              </w:rPr>
            </w:pPr>
            <w:r w:rsidRPr="009C27AA">
              <w:rPr>
                <w:b/>
                <w:bCs/>
                <w:color w:val="000000"/>
              </w:rPr>
              <w:t>Year</w:t>
            </w:r>
          </w:p>
        </w:tc>
        <w:tc>
          <w:tcPr>
            <w:tcW w:w="722" w:type="pct"/>
            <w:shd w:val="clear" w:color="auto" w:fill="E0E0E0"/>
            <w:tcMar>
              <w:left w:w="0" w:type="dxa"/>
              <w:right w:w="0" w:type="dxa"/>
            </w:tcMar>
            <w:vAlign w:val="bottom"/>
            <w:hideMark/>
          </w:tcPr>
          <w:p w:rsidR="005B7814" w:rsidRPr="009C27AA" w:rsidP="005B7814" w14:paraId="147E696D" w14:textId="77777777">
            <w:pPr>
              <w:widowControl/>
              <w:autoSpaceDE/>
              <w:autoSpaceDN/>
              <w:adjustRightInd/>
              <w:jc w:val="center"/>
              <w:rPr>
                <w:b/>
                <w:bCs/>
                <w:color w:val="000000"/>
              </w:rPr>
            </w:pPr>
            <w:r w:rsidRPr="009C27AA">
              <w:rPr>
                <w:b/>
                <w:bCs/>
                <w:color w:val="000000"/>
              </w:rPr>
              <w:t>Number of Respondents</w:t>
            </w:r>
            <w:r w:rsidRPr="009C27AA">
              <w:rPr>
                <w:b/>
                <w:bCs/>
                <w:color w:val="000000"/>
              </w:rPr>
              <w:br/>
              <w:t>(a)</w:t>
            </w:r>
          </w:p>
        </w:tc>
        <w:tc>
          <w:tcPr>
            <w:tcW w:w="674" w:type="pct"/>
            <w:shd w:val="clear" w:color="auto" w:fill="E0E0E0"/>
            <w:tcMar>
              <w:left w:w="0" w:type="dxa"/>
              <w:right w:w="0" w:type="dxa"/>
            </w:tcMar>
            <w:vAlign w:val="bottom"/>
            <w:hideMark/>
          </w:tcPr>
          <w:p w:rsidR="005B7814" w:rsidRPr="009C27AA" w:rsidP="005B7814" w14:paraId="509F3843" w14:textId="77777777">
            <w:pPr>
              <w:widowControl/>
              <w:autoSpaceDE/>
              <w:autoSpaceDN/>
              <w:adjustRightInd/>
              <w:jc w:val="center"/>
              <w:rPr>
                <w:b/>
                <w:bCs/>
                <w:color w:val="000000"/>
              </w:rPr>
            </w:pPr>
            <w:r>
              <w:rPr>
                <w:b/>
                <w:bCs/>
                <w:color w:val="000000"/>
              </w:rPr>
              <w:t xml:space="preserve">Average </w:t>
            </w:r>
            <w:r w:rsidRPr="009C27AA">
              <w:rPr>
                <w:b/>
                <w:bCs/>
                <w:color w:val="000000"/>
              </w:rPr>
              <w:t>Responses per Respondent</w:t>
            </w:r>
            <w:r w:rsidRPr="009C27AA">
              <w:rPr>
                <w:b/>
                <w:bCs/>
                <w:color w:val="000000"/>
              </w:rPr>
              <w:br/>
              <w:t>(b)</w:t>
            </w:r>
          </w:p>
        </w:tc>
        <w:tc>
          <w:tcPr>
            <w:tcW w:w="701" w:type="pct"/>
            <w:shd w:val="clear" w:color="auto" w:fill="E0E0E0"/>
            <w:tcMar>
              <w:left w:w="0" w:type="dxa"/>
              <w:right w:w="0" w:type="dxa"/>
            </w:tcMar>
            <w:vAlign w:val="bottom"/>
            <w:hideMark/>
          </w:tcPr>
          <w:p w:rsidR="005B7814" w:rsidRPr="009C27AA" w:rsidP="005B7814" w14:paraId="073E4EFD" w14:textId="77777777">
            <w:pPr>
              <w:widowControl/>
              <w:autoSpaceDE/>
              <w:autoSpaceDN/>
              <w:adjustRightInd/>
              <w:jc w:val="center"/>
              <w:rPr>
                <w:b/>
                <w:bCs/>
                <w:color w:val="000000"/>
              </w:rPr>
            </w:pPr>
            <w:r w:rsidRPr="009C27AA">
              <w:rPr>
                <w:b/>
                <w:bCs/>
                <w:color w:val="000000"/>
              </w:rPr>
              <w:t>Total Annual Responses</w:t>
            </w:r>
            <w:r w:rsidRPr="009C27AA">
              <w:rPr>
                <w:b/>
                <w:bCs/>
                <w:color w:val="000000"/>
              </w:rPr>
              <w:br/>
              <w:t>(a × b = c)</w:t>
            </w:r>
          </w:p>
        </w:tc>
        <w:tc>
          <w:tcPr>
            <w:tcW w:w="729" w:type="pct"/>
            <w:shd w:val="clear" w:color="auto" w:fill="E0E0E0"/>
            <w:tcMar>
              <w:left w:w="0" w:type="dxa"/>
              <w:right w:w="0" w:type="dxa"/>
            </w:tcMar>
            <w:vAlign w:val="bottom"/>
            <w:hideMark/>
          </w:tcPr>
          <w:p w:rsidR="005B7814" w:rsidRPr="009C27AA" w:rsidP="005B7814" w14:paraId="7C6901EB" w14:textId="77777777">
            <w:pPr>
              <w:widowControl/>
              <w:autoSpaceDE/>
              <w:autoSpaceDN/>
              <w:adjustRightInd/>
              <w:jc w:val="center"/>
              <w:rPr>
                <w:b/>
                <w:bCs/>
                <w:color w:val="000000"/>
              </w:rPr>
            </w:pPr>
            <w:r w:rsidRPr="009C27AA">
              <w:rPr>
                <w:b/>
                <w:bCs/>
                <w:color w:val="000000"/>
              </w:rPr>
              <w:t>Burden Hours per Response</w:t>
            </w:r>
            <w:r w:rsidRPr="009C27AA">
              <w:rPr>
                <w:b/>
                <w:bCs/>
                <w:color w:val="000000"/>
              </w:rPr>
              <w:br/>
              <w:t>(d)</w:t>
            </w:r>
          </w:p>
        </w:tc>
        <w:tc>
          <w:tcPr>
            <w:tcW w:w="591" w:type="pct"/>
            <w:shd w:val="clear" w:color="auto" w:fill="E0E0E0"/>
            <w:tcMar>
              <w:left w:w="0" w:type="dxa"/>
              <w:right w:w="0" w:type="dxa"/>
            </w:tcMar>
            <w:vAlign w:val="bottom"/>
            <w:hideMark/>
          </w:tcPr>
          <w:p w:rsidR="005B7814" w:rsidRPr="009C27AA" w:rsidP="005B7814" w14:paraId="637B958C" w14:textId="77777777">
            <w:pPr>
              <w:widowControl/>
              <w:autoSpaceDE/>
              <w:autoSpaceDN/>
              <w:adjustRightInd/>
              <w:jc w:val="center"/>
              <w:rPr>
                <w:b/>
                <w:bCs/>
                <w:color w:val="000000"/>
              </w:rPr>
            </w:pPr>
            <w:r w:rsidRPr="009C27AA">
              <w:rPr>
                <w:b/>
                <w:bCs/>
                <w:color w:val="000000"/>
              </w:rPr>
              <w:t>Total Annual Burden Hours</w:t>
            </w:r>
            <w:r w:rsidRPr="009C27AA">
              <w:rPr>
                <w:b/>
                <w:bCs/>
                <w:color w:val="000000"/>
              </w:rPr>
              <w:br/>
              <w:t>(c × d = e)</w:t>
            </w:r>
          </w:p>
        </w:tc>
        <w:tc>
          <w:tcPr>
            <w:tcW w:w="864" w:type="pct"/>
            <w:shd w:val="clear" w:color="auto" w:fill="E0E0E0"/>
            <w:tcMar>
              <w:left w:w="0" w:type="dxa"/>
              <w:right w:w="0" w:type="dxa"/>
            </w:tcMar>
            <w:vAlign w:val="bottom"/>
            <w:hideMark/>
          </w:tcPr>
          <w:p w:rsidR="005B7814" w:rsidRPr="009C27AA" w:rsidP="5ECFBCA2" w14:paraId="1724FB65" w14:textId="274EF814">
            <w:pPr>
              <w:widowControl/>
              <w:spacing w:line="259" w:lineRule="auto"/>
              <w:jc w:val="center"/>
              <w:rPr>
                <w:b/>
                <w:bCs/>
                <w:color w:val="000000" w:themeColor="text1"/>
              </w:rPr>
            </w:pPr>
            <w:r w:rsidRPr="5ECFBCA2">
              <w:rPr>
                <w:b/>
                <w:bCs/>
                <w:color w:val="000000" w:themeColor="text1"/>
              </w:rPr>
              <w:t>Total Annual Respondent Cost</w:t>
            </w:r>
            <w:r>
              <w:br/>
            </w:r>
            <w:r w:rsidRPr="5ECFBCA2">
              <w:rPr>
                <w:b/>
                <w:bCs/>
                <w:color w:val="000000" w:themeColor="text1"/>
              </w:rPr>
              <w:t xml:space="preserve">(e × </w:t>
            </w:r>
            <w:r w:rsidRPr="5ECFBCA2" w:rsidR="68AC8A08">
              <w:rPr>
                <w:b/>
                <w:bCs/>
                <w:color w:val="000000" w:themeColor="text1"/>
              </w:rPr>
              <w:t>28.71</w:t>
            </w:r>
            <w:r w:rsidRPr="5ECFBCA2" w:rsidR="790EC570">
              <w:rPr>
                <w:b/>
                <w:bCs/>
                <w:color w:val="000000" w:themeColor="text1"/>
              </w:rPr>
              <w:t xml:space="preserve"> </w:t>
            </w:r>
            <w:r w:rsidRPr="5ECFBCA2">
              <w:rPr>
                <w:b/>
                <w:bCs/>
                <w:color w:val="000000" w:themeColor="text1"/>
              </w:rPr>
              <w:t>= f)</w:t>
            </w:r>
          </w:p>
        </w:tc>
      </w:tr>
      <w:tr w14:paraId="075C45E6"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B32739" w:rsidRPr="009C27AA" w:rsidP="00B32739" w14:paraId="57B30D1B" w14:textId="77777777">
            <w:pPr>
              <w:widowControl/>
              <w:autoSpaceDE/>
              <w:autoSpaceDN/>
              <w:adjustRightInd/>
              <w:jc w:val="center"/>
              <w:rPr>
                <w:color w:val="000000"/>
              </w:rPr>
            </w:pPr>
            <w:r w:rsidRPr="009C27AA">
              <w:rPr>
                <w:color w:val="000000"/>
              </w:rPr>
              <w:t>1</w:t>
            </w:r>
          </w:p>
        </w:tc>
        <w:tc>
          <w:tcPr>
            <w:tcW w:w="722" w:type="pct"/>
            <w:shd w:val="clear" w:color="auto" w:fill="auto"/>
            <w:tcMar>
              <w:left w:w="115" w:type="dxa"/>
              <w:right w:w="115" w:type="dxa"/>
            </w:tcMar>
          </w:tcPr>
          <w:p w:rsidR="00B32739" w:rsidRPr="00283CFF" w:rsidP="00B32739" w14:paraId="0B0AAF83" w14:textId="0354AB4D">
            <w:pPr>
              <w:widowControl/>
              <w:autoSpaceDE/>
              <w:autoSpaceDN/>
              <w:adjustRightInd/>
              <w:jc w:val="center"/>
              <w:rPr>
                <w:color w:val="000000"/>
              </w:rPr>
            </w:pPr>
            <w:r w:rsidRPr="00283CFF">
              <w:t>249</w:t>
            </w:r>
          </w:p>
        </w:tc>
        <w:tc>
          <w:tcPr>
            <w:tcW w:w="674" w:type="pct"/>
            <w:shd w:val="clear" w:color="auto" w:fill="auto"/>
            <w:tcMar>
              <w:left w:w="115" w:type="dxa"/>
              <w:right w:w="115" w:type="dxa"/>
            </w:tcMar>
          </w:tcPr>
          <w:p w:rsidR="00B32739" w:rsidRPr="00283CFF" w:rsidP="00B32739" w14:paraId="33FBE658" w14:textId="21BF1A42">
            <w:pPr>
              <w:widowControl/>
              <w:autoSpaceDE/>
              <w:autoSpaceDN/>
              <w:adjustRightInd/>
              <w:jc w:val="center"/>
              <w:rPr>
                <w:color w:val="000000"/>
              </w:rPr>
            </w:pPr>
            <w:r>
              <w:t xml:space="preserve"> </w:t>
            </w:r>
            <w:r w:rsidRPr="00CF21B1">
              <w:rPr>
                <w:color w:val="000000" w:themeColor="text1"/>
              </w:rPr>
              <w:t>1,712</w:t>
            </w:r>
          </w:p>
        </w:tc>
        <w:tc>
          <w:tcPr>
            <w:tcW w:w="701" w:type="pct"/>
            <w:shd w:val="clear" w:color="auto" w:fill="auto"/>
            <w:tcMar>
              <w:left w:w="115" w:type="dxa"/>
              <w:right w:w="115" w:type="dxa"/>
            </w:tcMar>
          </w:tcPr>
          <w:p w:rsidR="00B32739" w:rsidRPr="00283CFF" w:rsidP="00B32739" w14:paraId="61C088D2" w14:textId="3B5F118C">
            <w:pPr>
              <w:widowControl/>
              <w:autoSpaceDE/>
              <w:autoSpaceDN/>
              <w:adjustRightInd/>
              <w:jc w:val="center"/>
              <w:rPr>
                <w:color w:val="000000"/>
              </w:rPr>
            </w:pPr>
            <w:r>
              <w:t xml:space="preserve"> </w:t>
            </w:r>
            <w:r w:rsidRPr="00CF21B1">
              <w:rPr>
                <w:color w:val="000000" w:themeColor="text1"/>
              </w:rPr>
              <w:t>426,181</w:t>
            </w:r>
          </w:p>
        </w:tc>
        <w:tc>
          <w:tcPr>
            <w:tcW w:w="729" w:type="pct"/>
            <w:shd w:val="clear" w:color="auto" w:fill="auto"/>
            <w:tcMar>
              <w:left w:w="115" w:type="dxa"/>
              <w:right w:w="115" w:type="dxa"/>
            </w:tcMar>
          </w:tcPr>
          <w:p w:rsidR="00B32739" w:rsidRPr="00283CFF" w:rsidP="00B32739" w14:paraId="324DCBBD" w14:textId="380FFF61">
            <w:pPr>
              <w:widowControl/>
              <w:autoSpaceDE/>
              <w:autoSpaceDN/>
              <w:adjustRightInd/>
              <w:jc w:val="center"/>
              <w:rPr>
                <w:color w:val="000000"/>
              </w:rPr>
            </w:pPr>
            <w:r w:rsidRPr="00283CFF">
              <w:t>0.083</w:t>
            </w:r>
          </w:p>
        </w:tc>
        <w:tc>
          <w:tcPr>
            <w:tcW w:w="591" w:type="pct"/>
            <w:shd w:val="clear" w:color="auto" w:fill="auto"/>
            <w:tcMar>
              <w:left w:w="115" w:type="dxa"/>
              <w:right w:w="115" w:type="dxa"/>
            </w:tcMar>
          </w:tcPr>
          <w:p w:rsidR="00B32739" w:rsidRPr="00F00DF4" w:rsidP="00B32739" w14:paraId="6D8DD744" w14:textId="4930EAD8">
            <w:pPr>
              <w:widowControl/>
              <w:autoSpaceDE/>
              <w:autoSpaceDN/>
              <w:adjustRightInd/>
              <w:jc w:val="center"/>
              <w:rPr>
                <w:color w:val="000000"/>
              </w:rPr>
            </w:pPr>
            <w:r>
              <w:t xml:space="preserve"> </w:t>
            </w:r>
            <w:r w:rsidRPr="00CF21B1">
              <w:rPr>
                <w:color w:val="000000" w:themeColor="text1"/>
              </w:rPr>
              <w:t>35,515</w:t>
            </w:r>
          </w:p>
        </w:tc>
        <w:tc>
          <w:tcPr>
            <w:tcW w:w="864" w:type="pct"/>
            <w:shd w:val="clear" w:color="auto" w:fill="auto"/>
            <w:tcMar>
              <w:left w:w="115" w:type="dxa"/>
              <w:right w:w="115" w:type="dxa"/>
            </w:tcMar>
          </w:tcPr>
          <w:p w:rsidR="00B32739" w:rsidRPr="00283CFF" w:rsidP="5ECFBCA2" w14:paraId="75884216" w14:textId="77BCFB70">
            <w:pPr>
              <w:widowControl/>
              <w:spacing w:line="259" w:lineRule="auto"/>
              <w:jc w:val="center"/>
              <w:rPr>
                <w:color w:val="000000" w:themeColor="text1"/>
              </w:rPr>
            </w:pPr>
            <w:r>
              <w:t xml:space="preserve"> </w:t>
            </w:r>
            <w:r w:rsidRPr="5ECFBCA2">
              <w:rPr>
                <w:color w:val="000000" w:themeColor="text1"/>
              </w:rPr>
              <w:t>$1,</w:t>
            </w:r>
            <w:r w:rsidR="7032FF97">
              <w:t>019,757</w:t>
            </w:r>
            <w:r>
              <w:t xml:space="preserve"> </w:t>
            </w:r>
          </w:p>
        </w:tc>
      </w:tr>
      <w:tr w14:paraId="5A17B56A"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B32739" w:rsidRPr="009C27AA" w:rsidP="00B32739" w14:paraId="79F23E6D" w14:textId="77777777">
            <w:pPr>
              <w:widowControl/>
              <w:autoSpaceDE/>
              <w:autoSpaceDN/>
              <w:adjustRightInd/>
              <w:jc w:val="center"/>
              <w:rPr>
                <w:color w:val="000000"/>
              </w:rPr>
            </w:pPr>
            <w:r w:rsidRPr="009C27AA">
              <w:rPr>
                <w:color w:val="000000"/>
              </w:rPr>
              <w:t>2</w:t>
            </w:r>
          </w:p>
        </w:tc>
        <w:tc>
          <w:tcPr>
            <w:tcW w:w="722" w:type="pct"/>
            <w:shd w:val="clear" w:color="auto" w:fill="auto"/>
            <w:tcMar>
              <w:left w:w="115" w:type="dxa"/>
              <w:right w:w="115" w:type="dxa"/>
            </w:tcMar>
          </w:tcPr>
          <w:p w:rsidR="00B32739" w:rsidRPr="00283CFF" w:rsidP="00B32739" w14:paraId="5D51CC70" w14:textId="511D7BC9">
            <w:pPr>
              <w:widowControl/>
              <w:autoSpaceDE/>
              <w:autoSpaceDN/>
              <w:adjustRightInd/>
              <w:jc w:val="center"/>
              <w:rPr>
                <w:color w:val="000000"/>
              </w:rPr>
            </w:pPr>
            <w:r w:rsidRPr="00283CFF">
              <w:t>249</w:t>
            </w:r>
          </w:p>
        </w:tc>
        <w:tc>
          <w:tcPr>
            <w:tcW w:w="674" w:type="pct"/>
            <w:shd w:val="clear" w:color="auto" w:fill="auto"/>
            <w:tcMar>
              <w:left w:w="115" w:type="dxa"/>
              <w:right w:w="115" w:type="dxa"/>
            </w:tcMar>
          </w:tcPr>
          <w:p w:rsidR="00B32739" w:rsidRPr="00283CFF" w:rsidP="00B32739" w14:paraId="261CD3CF" w14:textId="5D38E0C3">
            <w:pPr>
              <w:widowControl/>
              <w:autoSpaceDE/>
              <w:autoSpaceDN/>
              <w:adjustRightInd/>
              <w:jc w:val="center"/>
              <w:rPr>
                <w:color w:val="000000"/>
              </w:rPr>
            </w:pPr>
            <w:r>
              <w:t xml:space="preserve"> </w:t>
            </w:r>
            <w:r w:rsidRPr="00CF21B1">
              <w:rPr>
                <w:color w:val="000000" w:themeColor="text1"/>
              </w:rPr>
              <w:t>1,715</w:t>
            </w:r>
          </w:p>
        </w:tc>
        <w:tc>
          <w:tcPr>
            <w:tcW w:w="701" w:type="pct"/>
            <w:shd w:val="clear" w:color="auto" w:fill="auto"/>
            <w:tcMar>
              <w:left w:w="115" w:type="dxa"/>
              <w:right w:w="115" w:type="dxa"/>
            </w:tcMar>
          </w:tcPr>
          <w:p w:rsidR="00B32739" w:rsidRPr="00283CFF" w:rsidP="00B32739" w14:paraId="3AF66DFD" w14:textId="6A138E40">
            <w:pPr>
              <w:widowControl/>
              <w:autoSpaceDE/>
              <w:autoSpaceDN/>
              <w:adjustRightInd/>
              <w:jc w:val="center"/>
              <w:rPr>
                <w:color w:val="000000"/>
              </w:rPr>
            </w:pPr>
            <w:r>
              <w:t xml:space="preserve"> </w:t>
            </w:r>
            <w:r w:rsidRPr="00CF21B1">
              <w:rPr>
                <w:color w:val="000000" w:themeColor="text1"/>
              </w:rPr>
              <w:t>427,136</w:t>
            </w:r>
          </w:p>
        </w:tc>
        <w:tc>
          <w:tcPr>
            <w:tcW w:w="729" w:type="pct"/>
            <w:shd w:val="clear" w:color="auto" w:fill="auto"/>
            <w:tcMar>
              <w:left w:w="115" w:type="dxa"/>
              <w:right w:w="115" w:type="dxa"/>
            </w:tcMar>
          </w:tcPr>
          <w:p w:rsidR="00B32739" w:rsidRPr="00283CFF" w:rsidP="00B32739" w14:paraId="1AE648D2" w14:textId="44E0B245">
            <w:pPr>
              <w:widowControl/>
              <w:autoSpaceDE/>
              <w:autoSpaceDN/>
              <w:adjustRightInd/>
              <w:jc w:val="center"/>
              <w:rPr>
                <w:color w:val="000000"/>
              </w:rPr>
            </w:pPr>
            <w:r w:rsidRPr="00283CFF">
              <w:t>0.083</w:t>
            </w:r>
          </w:p>
        </w:tc>
        <w:tc>
          <w:tcPr>
            <w:tcW w:w="591" w:type="pct"/>
            <w:shd w:val="clear" w:color="auto" w:fill="auto"/>
            <w:tcMar>
              <w:left w:w="115" w:type="dxa"/>
              <w:right w:w="115" w:type="dxa"/>
            </w:tcMar>
          </w:tcPr>
          <w:p w:rsidR="00B32739" w:rsidRPr="00F00DF4" w:rsidP="00B32739" w14:paraId="0F8465D3" w14:textId="0B451F4B">
            <w:pPr>
              <w:widowControl/>
              <w:autoSpaceDE/>
              <w:autoSpaceDN/>
              <w:adjustRightInd/>
              <w:jc w:val="center"/>
              <w:rPr>
                <w:color w:val="000000"/>
              </w:rPr>
            </w:pPr>
            <w:r>
              <w:t xml:space="preserve"> </w:t>
            </w:r>
            <w:r w:rsidRPr="00CF21B1">
              <w:rPr>
                <w:color w:val="000000" w:themeColor="text1"/>
              </w:rPr>
              <w:t>35,595</w:t>
            </w:r>
          </w:p>
        </w:tc>
        <w:tc>
          <w:tcPr>
            <w:tcW w:w="864" w:type="pct"/>
            <w:shd w:val="clear" w:color="auto" w:fill="auto"/>
            <w:tcMar>
              <w:left w:w="115" w:type="dxa"/>
              <w:right w:w="115" w:type="dxa"/>
            </w:tcMar>
          </w:tcPr>
          <w:p w:rsidR="00B32739" w:rsidRPr="00283CFF" w:rsidP="5ECFBCA2" w14:paraId="654318B5" w14:textId="126BD1A6">
            <w:pPr>
              <w:widowControl/>
              <w:spacing w:line="259" w:lineRule="auto"/>
              <w:jc w:val="center"/>
            </w:pPr>
            <w:r>
              <w:t xml:space="preserve"> </w:t>
            </w:r>
            <w:r w:rsidRPr="5ECFBCA2" w:rsidR="307DEAEF">
              <w:rPr>
                <w:color w:val="000000" w:themeColor="text1"/>
              </w:rPr>
              <w:t>$1,</w:t>
            </w:r>
            <w:r w:rsidR="6FA03409">
              <w:t>022,041</w:t>
            </w:r>
          </w:p>
        </w:tc>
      </w:tr>
      <w:tr w14:paraId="0DBF6BBC"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B32739" w:rsidRPr="009C27AA" w:rsidP="00B32739" w14:paraId="5A977F4B" w14:textId="77777777">
            <w:pPr>
              <w:widowControl/>
              <w:autoSpaceDE/>
              <w:autoSpaceDN/>
              <w:adjustRightInd/>
              <w:jc w:val="center"/>
              <w:rPr>
                <w:color w:val="000000"/>
              </w:rPr>
            </w:pPr>
            <w:r w:rsidRPr="009C27AA">
              <w:rPr>
                <w:color w:val="000000"/>
              </w:rPr>
              <w:t>3</w:t>
            </w:r>
          </w:p>
        </w:tc>
        <w:tc>
          <w:tcPr>
            <w:tcW w:w="722" w:type="pct"/>
            <w:shd w:val="clear" w:color="auto" w:fill="auto"/>
            <w:tcMar>
              <w:left w:w="115" w:type="dxa"/>
              <w:right w:w="115" w:type="dxa"/>
            </w:tcMar>
          </w:tcPr>
          <w:p w:rsidR="00B32739" w:rsidRPr="00283CFF" w:rsidP="00B32739" w14:paraId="00FB4DA5" w14:textId="2B3EA011">
            <w:pPr>
              <w:widowControl/>
              <w:autoSpaceDE/>
              <w:autoSpaceDN/>
              <w:adjustRightInd/>
              <w:jc w:val="center"/>
              <w:rPr>
                <w:color w:val="000000"/>
              </w:rPr>
            </w:pPr>
            <w:r w:rsidRPr="00283CFF">
              <w:t>249</w:t>
            </w:r>
          </w:p>
        </w:tc>
        <w:tc>
          <w:tcPr>
            <w:tcW w:w="674" w:type="pct"/>
            <w:shd w:val="clear" w:color="auto" w:fill="auto"/>
            <w:tcMar>
              <w:left w:w="115" w:type="dxa"/>
              <w:right w:w="115" w:type="dxa"/>
            </w:tcMar>
          </w:tcPr>
          <w:p w:rsidR="00507B60" w:rsidRPr="00507B60" w:rsidP="00507B60" w14:paraId="43DE6DE9" w14:textId="0543B39F">
            <w:pPr>
              <w:widowControl/>
              <w:autoSpaceDE/>
              <w:autoSpaceDN/>
              <w:adjustRightInd/>
              <w:jc w:val="center"/>
            </w:pPr>
            <w:r>
              <w:t xml:space="preserve"> </w:t>
            </w:r>
            <w:r w:rsidRPr="00CF21B1">
              <w:rPr>
                <w:color w:val="000000" w:themeColor="text1"/>
              </w:rPr>
              <w:t>1,719</w:t>
            </w:r>
          </w:p>
        </w:tc>
        <w:tc>
          <w:tcPr>
            <w:tcW w:w="701" w:type="pct"/>
            <w:shd w:val="clear" w:color="auto" w:fill="auto"/>
            <w:tcMar>
              <w:left w:w="115" w:type="dxa"/>
              <w:right w:w="115" w:type="dxa"/>
            </w:tcMar>
          </w:tcPr>
          <w:p w:rsidR="00B32739" w:rsidRPr="00283CFF" w:rsidP="00B32739" w14:paraId="472B5B9D" w14:textId="114E888C">
            <w:pPr>
              <w:widowControl/>
              <w:autoSpaceDE/>
              <w:autoSpaceDN/>
              <w:adjustRightInd/>
              <w:jc w:val="center"/>
              <w:rPr>
                <w:color w:val="000000"/>
              </w:rPr>
            </w:pPr>
            <w:r>
              <w:t xml:space="preserve"> </w:t>
            </w:r>
            <w:r w:rsidRPr="00CF21B1">
              <w:rPr>
                <w:color w:val="000000" w:themeColor="text1"/>
              </w:rPr>
              <w:t>428,092</w:t>
            </w:r>
          </w:p>
        </w:tc>
        <w:tc>
          <w:tcPr>
            <w:tcW w:w="729" w:type="pct"/>
            <w:shd w:val="clear" w:color="auto" w:fill="auto"/>
            <w:tcMar>
              <w:left w:w="115" w:type="dxa"/>
              <w:right w:w="115" w:type="dxa"/>
            </w:tcMar>
          </w:tcPr>
          <w:p w:rsidR="00B32739" w:rsidRPr="00283CFF" w:rsidP="00B32739" w14:paraId="65665E6A" w14:textId="14C16C1E">
            <w:pPr>
              <w:widowControl/>
              <w:autoSpaceDE/>
              <w:autoSpaceDN/>
              <w:adjustRightInd/>
              <w:jc w:val="center"/>
              <w:rPr>
                <w:color w:val="000000"/>
              </w:rPr>
            </w:pPr>
            <w:r w:rsidRPr="00283CFF">
              <w:t>0.083</w:t>
            </w:r>
          </w:p>
        </w:tc>
        <w:tc>
          <w:tcPr>
            <w:tcW w:w="591" w:type="pct"/>
            <w:shd w:val="clear" w:color="auto" w:fill="auto"/>
            <w:tcMar>
              <w:left w:w="115" w:type="dxa"/>
              <w:right w:w="115" w:type="dxa"/>
            </w:tcMar>
          </w:tcPr>
          <w:p w:rsidR="00B32739" w:rsidRPr="00F00DF4" w:rsidP="00B32739" w14:paraId="2340F42F" w14:textId="0CD915AA">
            <w:pPr>
              <w:widowControl/>
              <w:autoSpaceDE/>
              <w:autoSpaceDN/>
              <w:adjustRightInd/>
              <w:jc w:val="center"/>
              <w:rPr>
                <w:color w:val="000000"/>
              </w:rPr>
            </w:pPr>
            <w:r>
              <w:t xml:space="preserve"> </w:t>
            </w:r>
            <w:r w:rsidRPr="00CF21B1">
              <w:rPr>
                <w:color w:val="000000" w:themeColor="text1"/>
              </w:rPr>
              <w:t>35,674</w:t>
            </w:r>
          </w:p>
        </w:tc>
        <w:tc>
          <w:tcPr>
            <w:tcW w:w="864" w:type="pct"/>
            <w:shd w:val="clear" w:color="auto" w:fill="auto"/>
            <w:tcMar>
              <w:left w:w="115" w:type="dxa"/>
              <w:right w:w="115" w:type="dxa"/>
            </w:tcMar>
          </w:tcPr>
          <w:p w:rsidR="00B32739" w:rsidRPr="00283CFF" w:rsidP="5ECFBCA2" w14:paraId="0DE4633A" w14:textId="6ED66E98">
            <w:pPr>
              <w:widowControl/>
              <w:spacing w:line="259" w:lineRule="auto"/>
              <w:jc w:val="center"/>
            </w:pPr>
            <w:r>
              <w:t xml:space="preserve"> </w:t>
            </w:r>
            <w:r w:rsidRPr="5ECFBCA2" w:rsidR="307DEAEF">
              <w:rPr>
                <w:color w:val="000000" w:themeColor="text1"/>
              </w:rPr>
              <w:t>$1,</w:t>
            </w:r>
            <w:r w:rsidR="0D30C2F6">
              <w:t>024,330</w:t>
            </w:r>
          </w:p>
        </w:tc>
      </w:tr>
      <w:tr w14:paraId="5EB23BBF"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B32739" w:rsidRPr="009C27AA" w:rsidP="00B32739" w14:paraId="0394BF9A" w14:textId="77777777">
            <w:pPr>
              <w:widowControl/>
              <w:autoSpaceDE/>
              <w:autoSpaceDN/>
              <w:adjustRightInd/>
              <w:jc w:val="center"/>
              <w:rPr>
                <w:color w:val="000000"/>
              </w:rPr>
            </w:pPr>
            <w:r w:rsidRPr="009C27AA">
              <w:rPr>
                <w:color w:val="000000"/>
              </w:rPr>
              <w:t>Total</w:t>
            </w:r>
          </w:p>
        </w:tc>
        <w:tc>
          <w:tcPr>
            <w:tcW w:w="722" w:type="pct"/>
            <w:shd w:val="clear" w:color="auto" w:fill="auto"/>
            <w:tcMar>
              <w:left w:w="115" w:type="dxa"/>
              <w:right w:w="115" w:type="dxa"/>
            </w:tcMar>
          </w:tcPr>
          <w:p w:rsidR="00B32739" w:rsidRPr="00283CFF" w:rsidP="00B32739" w14:paraId="7C87222D" w14:textId="20B4CBC1">
            <w:pPr>
              <w:widowControl/>
              <w:autoSpaceDE/>
              <w:autoSpaceDN/>
              <w:adjustRightInd/>
              <w:jc w:val="center"/>
              <w:rPr>
                <w:color w:val="000000"/>
              </w:rPr>
            </w:pPr>
            <w:r w:rsidRPr="00283CFF">
              <w:t>747</w:t>
            </w:r>
          </w:p>
        </w:tc>
        <w:tc>
          <w:tcPr>
            <w:tcW w:w="674" w:type="pct"/>
            <w:shd w:val="clear" w:color="auto" w:fill="auto"/>
            <w:tcMar>
              <w:left w:w="115" w:type="dxa"/>
              <w:right w:w="115" w:type="dxa"/>
            </w:tcMar>
          </w:tcPr>
          <w:p w:rsidR="00B32739" w:rsidRPr="00283CFF" w:rsidP="00B32739" w14:paraId="67371121" w14:textId="52F976F1">
            <w:pPr>
              <w:widowControl/>
              <w:autoSpaceDE/>
              <w:autoSpaceDN/>
              <w:adjustRightInd/>
              <w:jc w:val="center"/>
              <w:rPr>
                <w:color w:val="000000"/>
              </w:rPr>
            </w:pPr>
            <w:r w:rsidRPr="00283CFF">
              <w:t>-</w:t>
            </w:r>
          </w:p>
        </w:tc>
        <w:tc>
          <w:tcPr>
            <w:tcW w:w="701" w:type="pct"/>
            <w:shd w:val="clear" w:color="auto" w:fill="auto"/>
            <w:tcMar>
              <w:left w:w="115" w:type="dxa"/>
              <w:right w:w="115" w:type="dxa"/>
            </w:tcMar>
          </w:tcPr>
          <w:p w:rsidR="00B32739" w:rsidRPr="00283CFF" w:rsidP="00B32739" w14:paraId="469917B3" w14:textId="2974DB62">
            <w:pPr>
              <w:widowControl/>
              <w:autoSpaceDE/>
              <w:autoSpaceDN/>
              <w:adjustRightInd/>
              <w:jc w:val="center"/>
              <w:rPr>
                <w:color w:val="000000"/>
              </w:rPr>
            </w:pPr>
            <w:r>
              <w:t xml:space="preserve"> </w:t>
            </w:r>
            <w:r w:rsidRPr="00CF21B1">
              <w:rPr>
                <w:color w:val="000000" w:themeColor="text1"/>
              </w:rPr>
              <w:t>1,281,409</w:t>
            </w:r>
          </w:p>
        </w:tc>
        <w:tc>
          <w:tcPr>
            <w:tcW w:w="729" w:type="pct"/>
            <w:shd w:val="clear" w:color="auto" w:fill="auto"/>
            <w:tcMar>
              <w:left w:w="115" w:type="dxa"/>
              <w:right w:w="115" w:type="dxa"/>
            </w:tcMar>
          </w:tcPr>
          <w:p w:rsidR="00B32739" w:rsidRPr="00283CFF" w:rsidP="00B32739" w14:paraId="7A2EF967" w14:textId="1B82BAE7">
            <w:pPr>
              <w:widowControl/>
              <w:autoSpaceDE/>
              <w:autoSpaceDN/>
              <w:adjustRightInd/>
              <w:jc w:val="center"/>
              <w:rPr>
                <w:color w:val="000000"/>
              </w:rPr>
            </w:pPr>
            <w:r w:rsidRPr="00283CFF">
              <w:t>-</w:t>
            </w:r>
          </w:p>
        </w:tc>
        <w:tc>
          <w:tcPr>
            <w:tcW w:w="591" w:type="pct"/>
            <w:shd w:val="clear" w:color="auto" w:fill="auto"/>
            <w:tcMar>
              <w:left w:w="115" w:type="dxa"/>
              <w:right w:w="115" w:type="dxa"/>
            </w:tcMar>
          </w:tcPr>
          <w:p w:rsidR="00B32739" w:rsidRPr="00283CFF" w:rsidP="00B32739" w14:paraId="7722DA47" w14:textId="03110975">
            <w:pPr>
              <w:widowControl/>
              <w:autoSpaceDE/>
              <w:autoSpaceDN/>
              <w:adjustRightInd/>
              <w:jc w:val="center"/>
              <w:rPr>
                <w:color w:val="000000"/>
              </w:rPr>
            </w:pPr>
            <w:r>
              <w:t xml:space="preserve"> </w:t>
            </w:r>
            <w:r w:rsidRPr="00CF21B1">
              <w:rPr>
                <w:color w:val="000000" w:themeColor="text1"/>
              </w:rPr>
              <w:t>106,784</w:t>
            </w:r>
          </w:p>
        </w:tc>
        <w:tc>
          <w:tcPr>
            <w:tcW w:w="864" w:type="pct"/>
            <w:shd w:val="clear" w:color="auto" w:fill="auto"/>
            <w:tcMar>
              <w:left w:w="115" w:type="dxa"/>
              <w:right w:w="115" w:type="dxa"/>
            </w:tcMar>
          </w:tcPr>
          <w:p w:rsidR="00B32739" w:rsidRPr="00283CFF" w:rsidP="5ECFBCA2" w14:paraId="0F1CCB5C" w14:textId="711E1FB4">
            <w:pPr>
              <w:widowControl/>
              <w:spacing w:line="259" w:lineRule="auto"/>
              <w:jc w:val="center"/>
              <w:rPr>
                <w:color w:val="000000" w:themeColor="text1"/>
              </w:rPr>
            </w:pPr>
            <w:r>
              <w:t xml:space="preserve"> </w:t>
            </w:r>
            <w:r w:rsidRPr="5ECFBCA2" w:rsidR="307DEAEF">
              <w:rPr>
                <w:color w:val="000000" w:themeColor="text1"/>
              </w:rPr>
              <w:t>$</w:t>
            </w:r>
            <w:r w:rsidRPr="5ECFBCA2" w:rsidR="6C0AE227">
              <w:rPr>
                <w:color w:val="000000" w:themeColor="text1"/>
              </w:rPr>
              <w:t>3,066,128</w:t>
            </w:r>
          </w:p>
        </w:tc>
      </w:tr>
      <w:tr w14:paraId="234EF763" w14:textId="77777777" w:rsidTr="5ECFBCA2">
        <w:tblPrEx>
          <w:tblW w:w="5000" w:type="pct"/>
          <w:tblLayout w:type="fixed"/>
          <w:tblCellMar>
            <w:left w:w="29" w:type="dxa"/>
            <w:right w:w="29" w:type="dxa"/>
          </w:tblCellMar>
          <w:tblLook w:val="04A0"/>
        </w:tblPrEx>
        <w:trPr>
          <w:trHeight w:val="270"/>
        </w:trPr>
        <w:tc>
          <w:tcPr>
            <w:tcW w:w="719" w:type="pct"/>
            <w:shd w:val="clear" w:color="auto" w:fill="auto"/>
            <w:tcMar>
              <w:left w:w="115" w:type="dxa"/>
              <w:right w:w="115" w:type="dxa"/>
            </w:tcMar>
            <w:vAlign w:val="bottom"/>
            <w:hideMark/>
          </w:tcPr>
          <w:p w:rsidR="00B32739" w:rsidRPr="009C27AA" w:rsidP="00B32739" w14:paraId="76AAF87B" w14:textId="77777777">
            <w:pPr>
              <w:widowControl/>
              <w:autoSpaceDE/>
              <w:autoSpaceDN/>
              <w:adjustRightInd/>
              <w:jc w:val="center"/>
              <w:rPr>
                <w:color w:val="000000"/>
              </w:rPr>
            </w:pPr>
            <w:r w:rsidRPr="009C27AA">
              <w:rPr>
                <w:color w:val="000000"/>
              </w:rPr>
              <w:t>Annualized</w:t>
            </w:r>
          </w:p>
        </w:tc>
        <w:tc>
          <w:tcPr>
            <w:tcW w:w="722" w:type="pct"/>
            <w:shd w:val="clear" w:color="auto" w:fill="auto"/>
            <w:tcMar>
              <w:left w:w="115" w:type="dxa"/>
              <w:right w:w="115" w:type="dxa"/>
            </w:tcMar>
          </w:tcPr>
          <w:p w:rsidR="00B32739" w:rsidRPr="00283CFF" w:rsidP="00B32739" w14:paraId="180B8EAE" w14:textId="5B245B64">
            <w:pPr>
              <w:widowControl/>
              <w:autoSpaceDE/>
              <w:autoSpaceDN/>
              <w:adjustRightInd/>
              <w:jc w:val="center"/>
              <w:rPr>
                <w:color w:val="000000"/>
              </w:rPr>
            </w:pPr>
            <w:r w:rsidRPr="00283CFF">
              <w:t>249</w:t>
            </w:r>
          </w:p>
        </w:tc>
        <w:tc>
          <w:tcPr>
            <w:tcW w:w="674" w:type="pct"/>
            <w:shd w:val="clear" w:color="auto" w:fill="auto"/>
            <w:tcMar>
              <w:left w:w="115" w:type="dxa"/>
              <w:right w:w="115" w:type="dxa"/>
            </w:tcMar>
          </w:tcPr>
          <w:p w:rsidR="00B32739" w:rsidRPr="00283CFF" w:rsidP="00B32739" w14:paraId="0E6D76C4" w14:textId="1CD2F2A8">
            <w:pPr>
              <w:widowControl/>
              <w:autoSpaceDE/>
              <w:autoSpaceDN/>
              <w:adjustRightInd/>
              <w:jc w:val="center"/>
              <w:rPr>
                <w:color w:val="000000"/>
              </w:rPr>
            </w:pPr>
            <w:r w:rsidRPr="00283CFF">
              <w:t>-</w:t>
            </w:r>
          </w:p>
        </w:tc>
        <w:tc>
          <w:tcPr>
            <w:tcW w:w="701" w:type="pct"/>
            <w:shd w:val="clear" w:color="auto" w:fill="auto"/>
            <w:tcMar>
              <w:left w:w="115" w:type="dxa"/>
              <w:right w:w="115" w:type="dxa"/>
            </w:tcMar>
          </w:tcPr>
          <w:p w:rsidR="00B32739" w:rsidRPr="00283CFF" w:rsidP="00B32739" w14:paraId="1871F09B" w14:textId="27987078">
            <w:pPr>
              <w:widowControl/>
              <w:autoSpaceDE/>
              <w:autoSpaceDN/>
              <w:adjustRightInd/>
              <w:jc w:val="center"/>
              <w:rPr>
                <w:color w:val="000000"/>
              </w:rPr>
            </w:pPr>
            <w:r>
              <w:t xml:space="preserve"> </w:t>
            </w:r>
            <w:r w:rsidRPr="00CF21B1">
              <w:rPr>
                <w:color w:val="000000" w:themeColor="text1"/>
              </w:rPr>
              <w:t>427,136</w:t>
            </w:r>
          </w:p>
        </w:tc>
        <w:tc>
          <w:tcPr>
            <w:tcW w:w="729" w:type="pct"/>
            <w:shd w:val="clear" w:color="auto" w:fill="auto"/>
            <w:tcMar>
              <w:left w:w="115" w:type="dxa"/>
              <w:right w:w="115" w:type="dxa"/>
            </w:tcMar>
          </w:tcPr>
          <w:p w:rsidR="00B32739" w:rsidRPr="00283CFF" w:rsidP="00B32739" w14:paraId="66283503" w14:textId="0632AEF5">
            <w:pPr>
              <w:widowControl/>
              <w:autoSpaceDE/>
              <w:autoSpaceDN/>
              <w:adjustRightInd/>
              <w:jc w:val="center"/>
              <w:rPr>
                <w:color w:val="000000"/>
              </w:rPr>
            </w:pPr>
            <w:r w:rsidRPr="00283CFF">
              <w:t>-</w:t>
            </w:r>
          </w:p>
        </w:tc>
        <w:tc>
          <w:tcPr>
            <w:tcW w:w="591" w:type="pct"/>
            <w:shd w:val="clear" w:color="auto" w:fill="auto"/>
            <w:tcMar>
              <w:left w:w="115" w:type="dxa"/>
              <w:right w:w="115" w:type="dxa"/>
            </w:tcMar>
          </w:tcPr>
          <w:p w:rsidR="00B32739" w:rsidRPr="00F00DF4" w:rsidP="00B32739" w14:paraId="2F86919A" w14:textId="1E1F6C42">
            <w:pPr>
              <w:widowControl/>
              <w:autoSpaceDE/>
              <w:autoSpaceDN/>
              <w:adjustRightInd/>
              <w:jc w:val="center"/>
              <w:rPr>
                <w:color w:val="000000"/>
              </w:rPr>
            </w:pPr>
            <w:r>
              <w:t xml:space="preserve"> </w:t>
            </w:r>
            <w:r w:rsidRPr="00CF21B1">
              <w:rPr>
                <w:color w:val="000000" w:themeColor="text1"/>
              </w:rPr>
              <w:t>35,595</w:t>
            </w:r>
          </w:p>
        </w:tc>
        <w:tc>
          <w:tcPr>
            <w:tcW w:w="864" w:type="pct"/>
            <w:shd w:val="clear" w:color="auto" w:fill="auto"/>
            <w:tcMar>
              <w:left w:w="115" w:type="dxa"/>
              <w:right w:w="115" w:type="dxa"/>
            </w:tcMar>
          </w:tcPr>
          <w:p w:rsidR="00B32739" w:rsidRPr="00283CFF" w:rsidP="5ECFBCA2" w14:paraId="588C8ECB" w14:textId="5A222A9E">
            <w:pPr>
              <w:widowControl/>
              <w:spacing w:line="259" w:lineRule="auto"/>
              <w:jc w:val="center"/>
            </w:pPr>
            <w:r>
              <w:t xml:space="preserve"> </w:t>
            </w:r>
            <w:r w:rsidRPr="5ECFBCA2" w:rsidR="307DEAEF">
              <w:rPr>
                <w:color w:val="000000" w:themeColor="text1"/>
              </w:rPr>
              <w:t>$1,</w:t>
            </w:r>
            <w:r w:rsidR="1A2B9F24">
              <w:t>022,043</w:t>
            </w:r>
          </w:p>
        </w:tc>
      </w:tr>
    </w:tbl>
    <w:p w:rsidR="00FA4698" w:rsidRPr="007E65CF" w:rsidP="00722B85" w14:paraId="3EBB4650" w14:textId="77777777">
      <w:pPr>
        <w:widowControl/>
        <w:rPr>
          <w:sz w:val="18"/>
          <w:szCs w:val="18"/>
        </w:rPr>
      </w:pPr>
      <w:r>
        <w:rPr>
          <w:sz w:val="18"/>
          <w:szCs w:val="18"/>
        </w:rPr>
        <w:t>Totals are the product of unrounded components</w:t>
      </w:r>
      <w:r w:rsidRPr="007E65CF">
        <w:rPr>
          <w:sz w:val="18"/>
          <w:szCs w:val="18"/>
        </w:rPr>
        <w:t>.</w:t>
      </w:r>
    </w:p>
    <w:p w:rsidR="005C1D7D" w:rsidP="00722B85" w14:paraId="27754B30" w14:textId="77777777">
      <w:pPr>
        <w:widowControl/>
      </w:pPr>
    </w:p>
    <w:p w:rsidR="0090681A" w:rsidP="00722B85" w14:paraId="59D22915" w14:textId="51E70986">
      <w:pPr>
        <w:widowControl/>
      </w:pPr>
      <w:r>
        <w:t xml:space="preserve">Knowledge and skills tests recordkeeping combined will result in an annualized total of </w:t>
      </w:r>
      <w:r w:rsidR="2C2F4C4B">
        <w:t>854,273</w:t>
      </w:r>
      <w:r w:rsidR="3C6741DE">
        <w:t xml:space="preserve"> </w:t>
      </w:r>
      <w:r>
        <w:t>responses and 49,</w:t>
      </w:r>
      <w:r w:rsidR="2150DF1D">
        <w:t>833</w:t>
      </w:r>
      <w:r>
        <w:t xml:space="preserve"> burden hours, at a cost of $1,</w:t>
      </w:r>
      <w:r w:rsidR="5C758982">
        <w:t>430,860</w:t>
      </w:r>
      <w:r>
        <w:t xml:space="preserve"> (</w:t>
      </w:r>
      <w:r>
        <w:fldChar w:fldCharType="begin"/>
      </w:r>
      <w:r>
        <w:instrText xml:space="preserve"> REF _Ref508696737 \h  \* MERGEFORMAT </w:instrText>
      </w:r>
      <w:r>
        <w:fldChar w:fldCharType="separate"/>
      </w:r>
      <w:r w:rsidR="5D0BEBBC">
        <w:t xml:space="preserve">Table </w:t>
      </w:r>
      <w:r w:rsidRPr="5ECFBCA2" w:rsidR="5D0BEBBC">
        <w:rPr>
          <w:noProof/>
        </w:rPr>
        <w:t>19</w:t>
      </w:r>
      <w:r>
        <w:fldChar w:fldCharType="end"/>
      </w:r>
      <w:r>
        <w:t>).</w:t>
      </w:r>
    </w:p>
    <w:p w:rsidR="0090681A" w:rsidP="00722B85" w14:paraId="6E7EF0C1" w14:textId="77777777">
      <w:pPr>
        <w:widowControl/>
        <w:ind w:left="720"/>
      </w:pPr>
    </w:p>
    <w:p w:rsidR="0090681A" w:rsidRPr="00D64E77" w:rsidP="00722B85" w14:paraId="16E70C0F" w14:textId="720CDFEA">
      <w:pPr>
        <w:pStyle w:val="Caption"/>
        <w:keepNext/>
        <w:widowControl/>
      </w:pPr>
      <w:bookmarkStart w:id="33" w:name="_Ref508696737"/>
      <w:r w:rsidRPr="00D64E77">
        <w:t xml:space="preserve">Table </w:t>
      </w:r>
      <w:r>
        <w:fldChar w:fldCharType="begin"/>
      </w:r>
      <w:r>
        <w:instrText>SEQ Table \* ARABIC</w:instrText>
      </w:r>
      <w:r>
        <w:fldChar w:fldCharType="separate"/>
      </w:r>
      <w:r w:rsidR="006A6CBC">
        <w:rPr>
          <w:noProof/>
        </w:rPr>
        <w:t>19</w:t>
      </w:r>
      <w:r>
        <w:fldChar w:fldCharType="end"/>
      </w:r>
      <w:bookmarkEnd w:id="33"/>
      <w:r w:rsidRPr="00D64E77">
        <w:t xml:space="preserve">. Annualized </w:t>
      </w:r>
      <w:r w:rsidRPr="00D64E77" w:rsidR="002D66E6">
        <w:t xml:space="preserve">Knowledge and Skills Test Recordkeeping </w:t>
      </w:r>
      <w:r w:rsidRPr="00D64E77">
        <w:t>(IC-2.7)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870"/>
        <w:gridCol w:w="1870"/>
        <w:gridCol w:w="1870"/>
        <w:gridCol w:w="1870"/>
        <w:gridCol w:w="1870"/>
      </w:tblGrid>
      <w:tr w14:paraId="2DB14075"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576"/>
        </w:trPr>
        <w:tc>
          <w:tcPr>
            <w:tcW w:w="1000" w:type="pct"/>
            <w:shd w:val="clear" w:color="auto" w:fill="E0E0E0"/>
            <w:tcMar>
              <w:left w:w="0" w:type="dxa"/>
              <w:right w:w="0" w:type="dxa"/>
            </w:tcMar>
            <w:vAlign w:val="bottom"/>
            <w:hideMark/>
          </w:tcPr>
          <w:p w:rsidR="0090681A" w:rsidRPr="009C27AA" w:rsidP="00EB7D1F" w14:paraId="38C65D50" w14:textId="77777777">
            <w:pPr>
              <w:widowControl/>
              <w:autoSpaceDE/>
              <w:autoSpaceDN/>
              <w:adjustRightInd/>
              <w:jc w:val="center"/>
              <w:rPr>
                <w:b/>
                <w:bCs/>
                <w:color w:val="000000"/>
              </w:rPr>
            </w:pPr>
            <w:r>
              <w:rPr>
                <w:b/>
                <w:bCs/>
                <w:color w:val="000000"/>
              </w:rPr>
              <w:t>Test</w:t>
            </w:r>
          </w:p>
        </w:tc>
        <w:tc>
          <w:tcPr>
            <w:tcW w:w="1000" w:type="pct"/>
            <w:shd w:val="clear" w:color="auto" w:fill="E0E0E0"/>
            <w:tcMar>
              <w:left w:w="0" w:type="dxa"/>
              <w:right w:w="0" w:type="dxa"/>
            </w:tcMar>
            <w:vAlign w:val="bottom"/>
            <w:hideMark/>
          </w:tcPr>
          <w:p w:rsidR="0090681A" w:rsidRPr="009C27AA" w:rsidP="15A85529" w14:paraId="3694A6EC" w14:textId="1E138A6C">
            <w:pPr>
              <w:widowControl/>
              <w:autoSpaceDE/>
              <w:autoSpaceDN/>
              <w:adjustRightInd/>
              <w:jc w:val="center"/>
              <w:rPr>
                <w:b/>
                <w:bCs/>
                <w:color w:val="000000" w:themeColor="text1"/>
              </w:rPr>
            </w:pPr>
            <w:r w:rsidRPr="5ECFBCA2">
              <w:rPr>
                <w:b/>
                <w:bCs/>
                <w:color w:val="000000" w:themeColor="text1"/>
              </w:rPr>
              <w:t>Respondents</w:t>
            </w:r>
          </w:p>
          <w:p w:rsidR="0090681A" w:rsidRPr="009C27AA" w:rsidP="15A85529" w14:paraId="2CF692F1" w14:textId="6B44BC30">
            <w:pPr>
              <w:widowControl/>
              <w:autoSpaceDE/>
              <w:autoSpaceDN/>
              <w:adjustRightInd/>
              <w:jc w:val="center"/>
              <w:rPr>
                <w:b/>
                <w:bCs/>
                <w:color w:val="000000"/>
              </w:rPr>
            </w:pPr>
            <w:r w:rsidRPr="5ECFBCA2">
              <w:rPr>
                <w:b/>
                <w:bCs/>
                <w:color w:val="000000" w:themeColor="text1"/>
              </w:rPr>
              <w:t>(a)</w:t>
            </w:r>
          </w:p>
        </w:tc>
        <w:tc>
          <w:tcPr>
            <w:tcW w:w="1000" w:type="pct"/>
            <w:shd w:val="clear" w:color="auto" w:fill="E0E0E0"/>
            <w:tcMar>
              <w:left w:w="0" w:type="dxa"/>
              <w:right w:w="0" w:type="dxa"/>
            </w:tcMar>
            <w:vAlign w:val="bottom"/>
            <w:hideMark/>
          </w:tcPr>
          <w:p w:rsidR="0090681A" w:rsidRPr="009C27AA" w:rsidP="15A85529" w14:paraId="4B12A8C3" w14:textId="26174E24">
            <w:pPr>
              <w:widowControl/>
              <w:autoSpaceDE/>
              <w:autoSpaceDN/>
              <w:adjustRightInd/>
              <w:jc w:val="center"/>
              <w:rPr>
                <w:b/>
                <w:bCs/>
                <w:color w:val="000000" w:themeColor="text1"/>
              </w:rPr>
            </w:pPr>
            <w:r w:rsidRPr="5ECFBCA2">
              <w:rPr>
                <w:b/>
                <w:bCs/>
                <w:color w:val="000000" w:themeColor="text1"/>
              </w:rPr>
              <w:t>Responses</w:t>
            </w:r>
          </w:p>
          <w:p w:rsidR="0090681A" w:rsidRPr="009C27AA" w:rsidP="15A85529" w14:paraId="0A6FE8F7" w14:textId="4F1E0C46">
            <w:pPr>
              <w:widowControl/>
              <w:autoSpaceDE/>
              <w:autoSpaceDN/>
              <w:adjustRightInd/>
              <w:jc w:val="center"/>
              <w:rPr>
                <w:b/>
                <w:bCs/>
                <w:color w:val="000000"/>
              </w:rPr>
            </w:pPr>
            <w:r w:rsidRPr="5ECFBCA2">
              <w:rPr>
                <w:b/>
                <w:bCs/>
                <w:color w:val="000000" w:themeColor="text1"/>
              </w:rPr>
              <w:t>(b)</w:t>
            </w:r>
          </w:p>
        </w:tc>
        <w:tc>
          <w:tcPr>
            <w:tcW w:w="1000" w:type="pct"/>
            <w:shd w:val="clear" w:color="auto" w:fill="E0E0E0"/>
            <w:tcMar>
              <w:left w:w="0" w:type="dxa"/>
              <w:right w:w="0" w:type="dxa"/>
            </w:tcMar>
            <w:vAlign w:val="bottom"/>
            <w:hideMark/>
          </w:tcPr>
          <w:p w:rsidR="0090681A" w:rsidRPr="009C27AA" w:rsidP="15A85529" w14:paraId="4EAFA51C" w14:textId="4B87BC29">
            <w:pPr>
              <w:widowControl/>
              <w:autoSpaceDE/>
              <w:autoSpaceDN/>
              <w:adjustRightInd/>
              <w:jc w:val="center"/>
              <w:rPr>
                <w:b/>
                <w:bCs/>
                <w:color w:val="000000" w:themeColor="text1"/>
              </w:rPr>
            </w:pPr>
            <w:r w:rsidRPr="5ECFBCA2">
              <w:rPr>
                <w:b/>
                <w:bCs/>
                <w:color w:val="000000" w:themeColor="text1"/>
              </w:rPr>
              <w:t>Total Burden Hours</w:t>
            </w:r>
          </w:p>
          <w:p w:rsidR="0090681A" w:rsidRPr="009C27AA" w:rsidP="15A85529" w14:paraId="0249152A" w14:textId="2C4419C8">
            <w:pPr>
              <w:widowControl/>
              <w:autoSpaceDE/>
              <w:autoSpaceDN/>
              <w:adjustRightInd/>
              <w:jc w:val="center"/>
              <w:rPr>
                <w:b/>
                <w:bCs/>
                <w:color w:val="000000"/>
              </w:rPr>
            </w:pPr>
            <w:r w:rsidRPr="5ECFBCA2">
              <w:rPr>
                <w:b/>
                <w:bCs/>
                <w:color w:val="000000" w:themeColor="text1"/>
              </w:rPr>
              <w:t>(c)</w:t>
            </w:r>
          </w:p>
        </w:tc>
        <w:tc>
          <w:tcPr>
            <w:tcW w:w="1000" w:type="pct"/>
            <w:shd w:val="clear" w:color="auto" w:fill="E0E0E0"/>
            <w:tcMar>
              <w:left w:w="0" w:type="dxa"/>
              <w:right w:w="0" w:type="dxa"/>
            </w:tcMar>
            <w:vAlign w:val="bottom"/>
            <w:hideMark/>
          </w:tcPr>
          <w:p w:rsidR="0090681A" w:rsidRPr="009C27AA" w:rsidP="15A85529" w14:paraId="4839B869" w14:textId="39AA91CD">
            <w:pPr>
              <w:widowControl/>
              <w:autoSpaceDE/>
              <w:autoSpaceDN/>
              <w:adjustRightInd/>
              <w:jc w:val="center"/>
              <w:rPr>
                <w:b/>
                <w:bCs/>
                <w:color w:val="000000" w:themeColor="text1"/>
              </w:rPr>
            </w:pPr>
            <w:r w:rsidRPr="5ECFBCA2">
              <w:rPr>
                <w:b/>
                <w:bCs/>
                <w:color w:val="000000" w:themeColor="text1"/>
              </w:rPr>
              <w:t>Total Burden Hour Cost</w:t>
            </w:r>
          </w:p>
          <w:p w:rsidR="0090681A" w:rsidRPr="009C27AA" w:rsidP="15A85529" w14:paraId="48BDA008" w14:textId="24A6C776">
            <w:pPr>
              <w:widowControl/>
              <w:autoSpaceDE/>
              <w:autoSpaceDN/>
              <w:adjustRightInd/>
              <w:jc w:val="center"/>
              <w:rPr>
                <w:b/>
                <w:bCs/>
                <w:color w:val="000000"/>
              </w:rPr>
            </w:pPr>
            <w:r w:rsidRPr="5ECFBCA2">
              <w:rPr>
                <w:b/>
                <w:bCs/>
                <w:color w:val="000000" w:themeColor="text1"/>
              </w:rPr>
              <w:t>(c × 28.71 = d)</w:t>
            </w:r>
          </w:p>
        </w:tc>
      </w:tr>
      <w:tr w14:paraId="2B370F95" w14:textId="77777777" w:rsidTr="5ECFBCA2">
        <w:tblPrEx>
          <w:tblW w:w="5000" w:type="pct"/>
          <w:tblCellMar>
            <w:left w:w="29" w:type="dxa"/>
            <w:right w:w="29" w:type="dxa"/>
          </w:tblCellMar>
          <w:tblLook w:val="04A0"/>
        </w:tblPrEx>
        <w:trPr>
          <w:trHeight w:val="270"/>
        </w:trPr>
        <w:tc>
          <w:tcPr>
            <w:tcW w:w="1000" w:type="pct"/>
            <w:shd w:val="clear" w:color="auto" w:fill="auto"/>
            <w:tcMar>
              <w:left w:w="115" w:type="dxa"/>
              <w:right w:w="115" w:type="dxa"/>
            </w:tcMar>
            <w:vAlign w:val="bottom"/>
          </w:tcPr>
          <w:p w:rsidR="00831D8B" w:rsidRPr="005770E6" w:rsidP="00831D8B" w14:paraId="0402820E" w14:textId="77777777">
            <w:pPr>
              <w:widowControl/>
              <w:autoSpaceDE/>
              <w:autoSpaceDN/>
              <w:adjustRightInd/>
              <w:jc w:val="center"/>
              <w:rPr>
                <w:color w:val="000000"/>
              </w:rPr>
            </w:pPr>
            <w:r w:rsidRPr="005770E6">
              <w:rPr>
                <w:color w:val="000000"/>
              </w:rPr>
              <w:t>Knowledge</w:t>
            </w:r>
          </w:p>
        </w:tc>
        <w:tc>
          <w:tcPr>
            <w:tcW w:w="1000" w:type="pct"/>
            <w:shd w:val="clear" w:color="auto" w:fill="auto"/>
            <w:tcMar>
              <w:left w:w="115" w:type="dxa"/>
              <w:right w:w="115" w:type="dxa"/>
            </w:tcMar>
            <w:vAlign w:val="center"/>
          </w:tcPr>
          <w:p w:rsidR="00831D8B" w:rsidRPr="00283CFF" w:rsidP="00831D8B" w14:paraId="6F43F361" w14:textId="6A827059">
            <w:pPr>
              <w:widowControl/>
              <w:autoSpaceDE/>
              <w:autoSpaceDN/>
              <w:adjustRightInd/>
              <w:jc w:val="center"/>
              <w:rPr>
                <w:color w:val="000000"/>
              </w:rPr>
            </w:pPr>
            <w:r w:rsidRPr="00D64E77">
              <w:rPr>
                <w:color w:val="000000"/>
              </w:rPr>
              <w:t>249</w:t>
            </w:r>
          </w:p>
        </w:tc>
        <w:tc>
          <w:tcPr>
            <w:tcW w:w="1000" w:type="pct"/>
            <w:shd w:val="clear" w:color="auto" w:fill="auto"/>
            <w:tcMar>
              <w:left w:w="115" w:type="dxa"/>
              <w:right w:w="115" w:type="dxa"/>
            </w:tcMar>
            <w:vAlign w:val="center"/>
          </w:tcPr>
          <w:p w:rsidR="00831D8B" w:rsidRPr="00283CFF" w:rsidP="00831D8B" w14:paraId="1CDCB518" w14:textId="74C00C30">
            <w:pPr>
              <w:widowControl/>
              <w:autoSpaceDE/>
              <w:autoSpaceDN/>
              <w:adjustRightInd/>
              <w:jc w:val="center"/>
            </w:pPr>
            <w:r>
              <w:rPr>
                <w:color w:val="000000"/>
              </w:rPr>
              <w:t xml:space="preserve"> </w:t>
            </w:r>
            <w:r w:rsidRPr="00957123">
              <w:rPr>
                <w:color w:val="000000" w:themeColor="text1"/>
              </w:rPr>
              <w:t>427,136</w:t>
            </w:r>
          </w:p>
        </w:tc>
        <w:tc>
          <w:tcPr>
            <w:tcW w:w="1000" w:type="pct"/>
            <w:shd w:val="clear" w:color="auto" w:fill="auto"/>
            <w:tcMar>
              <w:left w:w="115" w:type="dxa"/>
              <w:right w:w="115" w:type="dxa"/>
            </w:tcMar>
            <w:vAlign w:val="center"/>
          </w:tcPr>
          <w:p w:rsidR="00831D8B" w:rsidRPr="00283CFF" w:rsidP="00831D8B" w14:paraId="5A1C2013" w14:textId="06A075D1">
            <w:pPr>
              <w:widowControl/>
              <w:autoSpaceDE/>
              <w:autoSpaceDN/>
              <w:adjustRightInd/>
              <w:jc w:val="center"/>
              <w:rPr>
                <w:color w:val="000000"/>
              </w:rPr>
            </w:pPr>
            <w:r>
              <w:rPr>
                <w:color w:val="000000"/>
              </w:rPr>
              <w:t xml:space="preserve"> </w:t>
            </w:r>
            <w:r w:rsidRPr="00957123">
              <w:rPr>
                <w:color w:val="000000" w:themeColor="text1"/>
              </w:rPr>
              <w:t>14,238</w:t>
            </w:r>
          </w:p>
        </w:tc>
        <w:tc>
          <w:tcPr>
            <w:tcW w:w="1000" w:type="pct"/>
            <w:shd w:val="clear" w:color="auto" w:fill="auto"/>
            <w:tcMar>
              <w:left w:w="115" w:type="dxa"/>
              <w:right w:w="115" w:type="dxa"/>
            </w:tcMar>
            <w:vAlign w:val="center"/>
          </w:tcPr>
          <w:p w:rsidR="00831D8B" w:rsidRPr="00283CFF" w:rsidP="5ECFBCA2" w14:paraId="04076840" w14:textId="3E895229">
            <w:pPr>
              <w:widowControl/>
              <w:spacing w:line="259" w:lineRule="auto"/>
              <w:jc w:val="center"/>
            </w:pPr>
            <w:r w:rsidRPr="5ECFBCA2">
              <w:rPr>
                <w:color w:val="000000" w:themeColor="text1"/>
              </w:rPr>
              <w:t xml:space="preserve"> $</w:t>
            </w:r>
            <w:r w:rsidRPr="5ECFBCA2" w:rsidR="140EE202">
              <w:rPr>
                <w:color w:val="000000" w:themeColor="text1"/>
              </w:rPr>
              <w:t>408,817</w:t>
            </w:r>
          </w:p>
        </w:tc>
      </w:tr>
      <w:tr w14:paraId="56383004" w14:textId="77777777" w:rsidTr="5ECFBCA2">
        <w:tblPrEx>
          <w:tblW w:w="5000" w:type="pct"/>
          <w:tblCellMar>
            <w:left w:w="29" w:type="dxa"/>
            <w:right w:w="29" w:type="dxa"/>
          </w:tblCellMar>
          <w:tblLook w:val="04A0"/>
        </w:tblPrEx>
        <w:trPr>
          <w:trHeight w:val="270"/>
        </w:trPr>
        <w:tc>
          <w:tcPr>
            <w:tcW w:w="1000" w:type="pct"/>
            <w:shd w:val="clear" w:color="auto" w:fill="auto"/>
            <w:tcMar>
              <w:left w:w="115" w:type="dxa"/>
              <w:right w:w="115" w:type="dxa"/>
            </w:tcMar>
            <w:vAlign w:val="bottom"/>
          </w:tcPr>
          <w:p w:rsidR="00831D8B" w:rsidRPr="005770E6" w:rsidP="00831D8B" w14:paraId="7A5D80AC" w14:textId="77777777">
            <w:pPr>
              <w:widowControl/>
              <w:autoSpaceDE/>
              <w:autoSpaceDN/>
              <w:adjustRightInd/>
              <w:jc w:val="center"/>
              <w:rPr>
                <w:color w:val="000000"/>
              </w:rPr>
            </w:pPr>
            <w:r w:rsidRPr="005770E6">
              <w:rPr>
                <w:color w:val="000000"/>
              </w:rPr>
              <w:t>Skills</w:t>
            </w:r>
          </w:p>
        </w:tc>
        <w:tc>
          <w:tcPr>
            <w:tcW w:w="1000" w:type="pct"/>
            <w:shd w:val="clear" w:color="auto" w:fill="auto"/>
            <w:tcMar>
              <w:left w:w="115" w:type="dxa"/>
              <w:right w:w="115" w:type="dxa"/>
            </w:tcMar>
            <w:vAlign w:val="center"/>
          </w:tcPr>
          <w:p w:rsidR="00831D8B" w:rsidRPr="00283CFF" w:rsidP="00831D8B" w14:paraId="701E3381" w14:textId="68A9BA10">
            <w:pPr>
              <w:widowControl/>
              <w:autoSpaceDE/>
              <w:autoSpaceDN/>
              <w:adjustRightInd/>
              <w:jc w:val="center"/>
              <w:rPr>
                <w:color w:val="000000"/>
              </w:rPr>
            </w:pPr>
            <w:r w:rsidRPr="00D64E77">
              <w:rPr>
                <w:color w:val="000000"/>
              </w:rPr>
              <w:t>249</w:t>
            </w:r>
          </w:p>
        </w:tc>
        <w:tc>
          <w:tcPr>
            <w:tcW w:w="1000" w:type="pct"/>
            <w:shd w:val="clear" w:color="auto" w:fill="auto"/>
            <w:tcMar>
              <w:left w:w="115" w:type="dxa"/>
              <w:right w:w="115" w:type="dxa"/>
            </w:tcMar>
            <w:vAlign w:val="center"/>
          </w:tcPr>
          <w:p w:rsidR="00831D8B" w:rsidRPr="00283CFF" w:rsidP="00831D8B" w14:paraId="51AAC0CA" w14:textId="299EE937">
            <w:pPr>
              <w:widowControl/>
              <w:autoSpaceDE/>
              <w:autoSpaceDN/>
              <w:adjustRightInd/>
              <w:jc w:val="center"/>
              <w:rPr>
                <w:color w:val="000000"/>
              </w:rPr>
            </w:pPr>
            <w:r>
              <w:rPr>
                <w:color w:val="000000"/>
              </w:rPr>
              <w:t xml:space="preserve"> </w:t>
            </w:r>
            <w:r w:rsidRPr="00957123">
              <w:rPr>
                <w:color w:val="000000" w:themeColor="text1"/>
              </w:rPr>
              <w:t>427,136</w:t>
            </w:r>
          </w:p>
        </w:tc>
        <w:tc>
          <w:tcPr>
            <w:tcW w:w="1000" w:type="pct"/>
            <w:shd w:val="clear" w:color="auto" w:fill="auto"/>
            <w:tcMar>
              <w:left w:w="115" w:type="dxa"/>
              <w:right w:w="115" w:type="dxa"/>
            </w:tcMar>
            <w:vAlign w:val="center"/>
          </w:tcPr>
          <w:p w:rsidR="00831D8B" w:rsidRPr="00283CFF" w:rsidP="00831D8B" w14:paraId="1EB2F900" w14:textId="5065B686">
            <w:pPr>
              <w:widowControl/>
              <w:autoSpaceDE/>
              <w:autoSpaceDN/>
              <w:adjustRightInd/>
              <w:jc w:val="center"/>
              <w:rPr>
                <w:color w:val="000000"/>
              </w:rPr>
            </w:pPr>
            <w:r>
              <w:rPr>
                <w:color w:val="000000"/>
              </w:rPr>
              <w:t xml:space="preserve"> </w:t>
            </w:r>
            <w:r w:rsidRPr="00957123">
              <w:rPr>
                <w:color w:val="000000" w:themeColor="text1"/>
              </w:rPr>
              <w:t>35,595</w:t>
            </w:r>
          </w:p>
        </w:tc>
        <w:tc>
          <w:tcPr>
            <w:tcW w:w="1000" w:type="pct"/>
            <w:shd w:val="clear" w:color="auto" w:fill="auto"/>
            <w:tcMar>
              <w:left w:w="115" w:type="dxa"/>
              <w:right w:w="115" w:type="dxa"/>
            </w:tcMar>
            <w:vAlign w:val="center"/>
          </w:tcPr>
          <w:p w:rsidR="00831D8B" w:rsidRPr="00283CFF" w:rsidP="5ECFBCA2" w14:paraId="530732E4" w14:textId="490976B8">
            <w:pPr>
              <w:widowControl/>
              <w:spacing w:line="259" w:lineRule="auto"/>
              <w:jc w:val="center"/>
            </w:pPr>
            <w:r w:rsidRPr="5ECFBCA2">
              <w:rPr>
                <w:color w:val="000000" w:themeColor="text1"/>
              </w:rPr>
              <w:t>$1,</w:t>
            </w:r>
            <w:r w:rsidRPr="5ECFBCA2" w:rsidR="5778C52D">
              <w:rPr>
                <w:color w:val="000000" w:themeColor="text1"/>
              </w:rPr>
              <w:t>022,043</w:t>
            </w:r>
          </w:p>
        </w:tc>
      </w:tr>
      <w:tr w14:paraId="4413DD82" w14:textId="77777777" w:rsidTr="5ECFBCA2">
        <w:tblPrEx>
          <w:tblW w:w="5000" w:type="pct"/>
          <w:tblCellMar>
            <w:left w:w="29" w:type="dxa"/>
            <w:right w:w="29" w:type="dxa"/>
          </w:tblCellMar>
          <w:tblLook w:val="04A0"/>
        </w:tblPrEx>
        <w:trPr>
          <w:trHeight w:val="270"/>
        </w:trPr>
        <w:tc>
          <w:tcPr>
            <w:tcW w:w="1000" w:type="pct"/>
            <w:shd w:val="clear" w:color="auto" w:fill="auto"/>
            <w:tcMar>
              <w:left w:w="115" w:type="dxa"/>
              <w:right w:w="115" w:type="dxa"/>
            </w:tcMar>
            <w:vAlign w:val="bottom"/>
          </w:tcPr>
          <w:p w:rsidR="00831D8B" w:rsidRPr="005770E6" w:rsidP="00831D8B" w14:paraId="4496E577" w14:textId="77777777">
            <w:pPr>
              <w:widowControl/>
              <w:autoSpaceDE/>
              <w:autoSpaceDN/>
              <w:adjustRightInd/>
              <w:jc w:val="center"/>
              <w:rPr>
                <w:color w:val="000000"/>
              </w:rPr>
            </w:pPr>
            <w:r w:rsidRPr="005770E6">
              <w:rPr>
                <w:color w:val="000000"/>
              </w:rPr>
              <w:t>Total</w:t>
            </w:r>
          </w:p>
        </w:tc>
        <w:tc>
          <w:tcPr>
            <w:tcW w:w="1000" w:type="pct"/>
            <w:shd w:val="clear" w:color="auto" w:fill="auto"/>
            <w:tcMar>
              <w:left w:w="115" w:type="dxa"/>
              <w:right w:w="115" w:type="dxa"/>
            </w:tcMar>
            <w:vAlign w:val="center"/>
          </w:tcPr>
          <w:p w:rsidR="00831D8B" w:rsidRPr="00F9139E" w:rsidP="00831D8B" w14:paraId="6BEDE22A" w14:textId="1A056445">
            <w:pPr>
              <w:widowControl/>
              <w:autoSpaceDE/>
              <w:autoSpaceDN/>
              <w:adjustRightInd/>
              <w:jc w:val="center"/>
              <w:rPr>
                <w:color w:val="000000"/>
              </w:rPr>
            </w:pPr>
            <w:r w:rsidRPr="00D64E77">
              <w:rPr>
                <w:color w:val="000000"/>
              </w:rPr>
              <w:t>489</w:t>
            </w:r>
          </w:p>
        </w:tc>
        <w:tc>
          <w:tcPr>
            <w:tcW w:w="1000" w:type="pct"/>
            <w:shd w:val="clear" w:color="auto" w:fill="auto"/>
            <w:tcMar>
              <w:left w:w="115" w:type="dxa"/>
              <w:right w:w="115" w:type="dxa"/>
            </w:tcMar>
            <w:vAlign w:val="center"/>
          </w:tcPr>
          <w:p w:rsidR="00831D8B" w:rsidRPr="00283CFF" w:rsidP="00831D8B" w14:paraId="200A6098" w14:textId="5DB018F0">
            <w:pPr>
              <w:widowControl/>
              <w:autoSpaceDE/>
              <w:autoSpaceDN/>
              <w:adjustRightInd/>
              <w:jc w:val="center"/>
              <w:rPr>
                <w:color w:val="000000"/>
              </w:rPr>
            </w:pPr>
            <w:r>
              <w:rPr>
                <w:color w:val="000000"/>
              </w:rPr>
              <w:t xml:space="preserve"> </w:t>
            </w:r>
            <w:r w:rsidRPr="00957123">
              <w:rPr>
                <w:color w:val="000000" w:themeColor="text1"/>
              </w:rPr>
              <w:t>854,273</w:t>
            </w:r>
          </w:p>
        </w:tc>
        <w:tc>
          <w:tcPr>
            <w:tcW w:w="1000" w:type="pct"/>
            <w:shd w:val="clear" w:color="auto" w:fill="auto"/>
            <w:tcMar>
              <w:left w:w="115" w:type="dxa"/>
              <w:right w:w="115" w:type="dxa"/>
            </w:tcMar>
            <w:vAlign w:val="center"/>
          </w:tcPr>
          <w:p w:rsidR="00831D8B" w:rsidRPr="00283CFF" w:rsidP="00831D8B" w14:paraId="49285A18" w14:textId="47B9AAAB">
            <w:pPr>
              <w:widowControl/>
              <w:autoSpaceDE/>
              <w:autoSpaceDN/>
              <w:adjustRightInd/>
              <w:jc w:val="center"/>
              <w:rPr>
                <w:color w:val="000000"/>
              </w:rPr>
            </w:pPr>
            <w:r>
              <w:rPr>
                <w:color w:val="000000"/>
              </w:rPr>
              <w:t xml:space="preserve"> </w:t>
            </w:r>
            <w:r w:rsidRPr="00957123">
              <w:rPr>
                <w:color w:val="000000" w:themeColor="text1"/>
              </w:rPr>
              <w:t>49,833</w:t>
            </w:r>
          </w:p>
        </w:tc>
        <w:tc>
          <w:tcPr>
            <w:tcW w:w="1000" w:type="pct"/>
            <w:shd w:val="clear" w:color="auto" w:fill="auto"/>
            <w:tcMar>
              <w:left w:w="115" w:type="dxa"/>
              <w:right w:w="115" w:type="dxa"/>
            </w:tcMar>
            <w:vAlign w:val="center"/>
          </w:tcPr>
          <w:p w:rsidR="00831D8B" w:rsidRPr="00283CFF" w:rsidP="5ECFBCA2" w14:paraId="2C15315F" w14:textId="59433A47">
            <w:pPr>
              <w:widowControl/>
              <w:spacing w:line="259" w:lineRule="auto"/>
              <w:jc w:val="center"/>
            </w:pPr>
            <w:r w:rsidRPr="5ECFBCA2">
              <w:rPr>
                <w:color w:val="000000" w:themeColor="text1"/>
              </w:rPr>
              <w:t>$1,</w:t>
            </w:r>
            <w:r w:rsidRPr="5ECFBCA2" w:rsidR="0FEB13AA">
              <w:rPr>
                <w:color w:val="000000" w:themeColor="text1"/>
              </w:rPr>
              <w:t>430,860</w:t>
            </w:r>
          </w:p>
        </w:tc>
      </w:tr>
    </w:tbl>
    <w:p w:rsidR="00FA4698" w:rsidRPr="007E65CF" w:rsidP="00722B85" w14:paraId="00A02383" w14:textId="77777777">
      <w:pPr>
        <w:widowControl/>
        <w:rPr>
          <w:sz w:val="18"/>
          <w:szCs w:val="18"/>
        </w:rPr>
      </w:pPr>
      <w:r>
        <w:rPr>
          <w:sz w:val="18"/>
          <w:szCs w:val="18"/>
        </w:rPr>
        <w:t>Totals are the product of unrounded components</w:t>
      </w:r>
      <w:r w:rsidRPr="007E65CF">
        <w:rPr>
          <w:sz w:val="18"/>
          <w:szCs w:val="18"/>
        </w:rPr>
        <w:t>.</w:t>
      </w:r>
    </w:p>
    <w:p w:rsidR="005C1D7D" w:rsidP="00722B85" w14:paraId="49258F74" w14:textId="77777777">
      <w:pPr>
        <w:widowControl/>
      </w:pPr>
    </w:p>
    <w:p w:rsidR="007B52ED" w:rsidP="00722B85" w14:paraId="4E1C8C8B" w14:textId="7B6095F6">
      <w:pPr>
        <w:widowControl/>
      </w:pPr>
      <w:r>
        <w:t xml:space="preserve">The currently approved total burden for knowledge and skills test recordkeeping is </w:t>
      </w:r>
      <w:r w:rsidR="7629B6B4">
        <w:t>49,721</w:t>
      </w:r>
      <w:r>
        <w:t xml:space="preserve"> hours.  The new total of </w:t>
      </w:r>
      <w:r w:rsidR="004B27E1">
        <w:t>49,</w:t>
      </w:r>
      <w:r w:rsidR="6831B814">
        <w:t>833</w:t>
      </w:r>
      <w:r>
        <w:t xml:space="preserve"> represents a</w:t>
      </w:r>
      <w:r w:rsidR="2241470D">
        <w:t>n</w:t>
      </w:r>
      <w:r w:rsidR="00EC5EAF">
        <w:t xml:space="preserve"> increase </w:t>
      </w:r>
      <w:r>
        <w:t xml:space="preserve">of </w:t>
      </w:r>
      <w:r w:rsidR="71473EAB">
        <w:t>112</w:t>
      </w:r>
      <w:r>
        <w:t xml:space="preserve"> hours.  </w:t>
      </w:r>
      <w:r w:rsidR="00EC5EAF">
        <w:br/>
      </w:r>
    </w:p>
    <w:p w:rsidR="005C1D7D" w:rsidRPr="007B52ED" w:rsidP="00722B85" w14:paraId="38488265" w14:textId="77777777">
      <w:pPr>
        <w:widowControl/>
        <w:rPr>
          <w:b/>
        </w:rPr>
      </w:pPr>
      <w:r w:rsidRPr="007B52ED">
        <w:rPr>
          <w:b/>
        </w:rPr>
        <w:t>IC-2.8</w:t>
      </w:r>
      <w:r w:rsidR="00DA250B">
        <w:rPr>
          <w:b/>
        </w:rPr>
        <w:t xml:space="preserve"> Knowledge and skills test examiner c</w:t>
      </w:r>
      <w:r w:rsidRPr="007B52ED">
        <w:rPr>
          <w:b/>
        </w:rPr>
        <w:t>ertification</w:t>
      </w:r>
      <w:r w:rsidR="002E770E">
        <w:rPr>
          <w:b/>
        </w:rPr>
        <w:t xml:space="preserve"> </w:t>
      </w:r>
      <w:r w:rsidRPr="002E770E" w:rsidR="002E770E">
        <w:rPr>
          <w:b/>
        </w:rPr>
        <w:t>[49 CFR § 384.228]</w:t>
      </w:r>
    </w:p>
    <w:p w:rsidR="007B52ED" w:rsidP="00722B85" w14:paraId="50BF249F" w14:textId="3C3A2066">
      <w:pPr>
        <w:widowControl/>
      </w:pPr>
      <w:r>
        <w:t xml:space="preserve">State and third-party knowledge and skills test examiner certification involves three tasks: training, background check, and recording of results.  All knowledge and skills test examiners must successfully complete a formal CDL test examiner training course and examination before </w:t>
      </w:r>
      <w:r w:rsidR="0C79EA43">
        <w:t xml:space="preserve">they can be </w:t>
      </w:r>
      <w:r>
        <w:t>certif</w:t>
      </w:r>
      <w:r w:rsidR="6BE80E1D">
        <w:t>ied</w:t>
      </w:r>
      <w:r>
        <w:t xml:space="preserve"> to administer CDL knowledge and skills tests.  States are required to process and evaluat</w:t>
      </w:r>
      <w:r w:rsidR="00C36D67">
        <w:t>e</w:t>
      </w:r>
      <w:r>
        <w:t xml:space="preserve"> criminal background checks for each knowledge and skills test examiner.  The results of training, certification, and criminal background checks must be recorded.</w:t>
      </w:r>
      <w:r w:rsidR="00DA250B">
        <w:t xml:space="preserve">  </w:t>
      </w:r>
      <w:r>
        <w:t>To estimate burden hour and burden costs associated with this task, the Agency relies on the assumptions and statistics outline</w:t>
      </w:r>
      <w:r w:rsidR="00F24468">
        <w:t>d</w:t>
      </w:r>
      <w:r>
        <w:t xml:space="preserve"> above as well as the following:</w:t>
      </w:r>
      <w:r w:rsidR="00EC5EAF">
        <w:br/>
      </w:r>
    </w:p>
    <w:p w:rsidR="005C1D7D" w:rsidP="00722B85" w14:paraId="4FECCFFC" w14:textId="3593F2E8">
      <w:pPr>
        <w:widowControl/>
        <w:numPr>
          <w:ilvl w:val="0"/>
          <w:numId w:val="18"/>
        </w:numPr>
      </w:pPr>
      <w:r>
        <w:t>Per a survey conducted by AAMVA that 38 out of 51 jurisdictions answered there are estimated to be about</w:t>
      </w:r>
      <w:r w:rsidR="00F9139E">
        <w:t xml:space="preserve"> </w:t>
      </w:r>
      <w:r w:rsidR="7D851E3D">
        <w:t>35,09</w:t>
      </w:r>
      <w:r w:rsidR="269B6E38">
        <w:t>9</w:t>
      </w:r>
      <w:r>
        <w:t xml:space="preserve"> examiners that administer CDL tests. </w:t>
      </w:r>
      <w:r w:rsidRPr="00C36D67" w:rsidR="00C36D67">
        <w:rPr>
          <w:vertAlign w:val="superscript"/>
        </w:rPr>
        <w:t>(</w:t>
      </w:r>
      <w:r>
        <w:rPr>
          <w:rStyle w:val="FootnoteReference"/>
        </w:rPr>
        <w:footnoteReference w:id="16"/>
      </w:r>
      <w:r w:rsidRPr="00C36D67" w:rsidR="00C36D67">
        <w:rPr>
          <w:vertAlign w:val="superscript"/>
        </w:rPr>
        <w:t>)</w:t>
      </w:r>
    </w:p>
    <w:p w:rsidR="00C36D67" w:rsidP="00722B85" w14:paraId="4AF3E9C9" w14:textId="30C7EC81">
      <w:pPr>
        <w:widowControl/>
        <w:numPr>
          <w:ilvl w:val="0"/>
          <w:numId w:val="18"/>
        </w:numPr>
      </w:pPr>
      <w:r>
        <w:t xml:space="preserve">Of the </w:t>
      </w:r>
      <w:r w:rsidR="35F44365">
        <w:t>35,099</w:t>
      </w:r>
      <w:r>
        <w:t xml:space="preserve"> trained and certified CDL examiners, </w:t>
      </w:r>
      <w:r w:rsidR="05EDE0D1">
        <w:t>28</w:t>
      </w:r>
      <w:r w:rsidR="00283CFF">
        <w:t>,1</w:t>
      </w:r>
      <w:r w:rsidR="005244A8">
        <w:t>54</w:t>
      </w:r>
      <w:r>
        <w:t xml:space="preserve"> administer the knowledge test</w:t>
      </w:r>
      <w:r w:rsidR="00797E3B">
        <w:t xml:space="preserve"> </w:t>
      </w:r>
      <w:r>
        <w:t>only</w:t>
      </w:r>
      <w:r w:rsidR="001247C5">
        <w:t>.</w:t>
      </w:r>
      <w:r w:rsidRPr="00C36D67">
        <w:rPr>
          <w:vertAlign w:val="superscript"/>
        </w:rPr>
        <w:t>(</w:t>
      </w:r>
      <w:r>
        <w:rPr>
          <w:rStyle w:val="FootnoteReference"/>
        </w:rPr>
        <w:footnoteReference w:id="17"/>
      </w:r>
      <w:r w:rsidRPr="00C36D67">
        <w:rPr>
          <w:vertAlign w:val="superscript"/>
        </w:rPr>
        <w:t>)</w:t>
      </w:r>
      <w:r>
        <w:t xml:space="preserve">  The remaining </w:t>
      </w:r>
      <w:r w:rsidR="00283CFF">
        <w:t>6</w:t>
      </w:r>
      <w:r>
        <w:t>,</w:t>
      </w:r>
      <w:r w:rsidR="00283CFF">
        <w:t>9</w:t>
      </w:r>
      <w:r w:rsidR="00F9139E">
        <w:t>4</w:t>
      </w:r>
      <w:r w:rsidR="7877245C">
        <w:t>5</w:t>
      </w:r>
      <w:r>
        <w:t xml:space="preserve"> </w:t>
      </w:r>
      <w:r w:rsidR="00EC3313">
        <w:t xml:space="preserve">examiners </w:t>
      </w:r>
      <w:r>
        <w:t>administer both knowledge and skills tests.</w:t>
      </w:r>
    </w:p>
    <w:p w:rsidR="00EC3313" w:rsidP="00722B85" w14:paraId="0A5CABCC" w14:textId="77777777">
      <w:pPr>
        <w:widowControl/>
        <w:numPr>
          <w:ilvl w:val="0"/>
          <w:numId w:val="18"/>
        </w:numPr>
      </w:pPr>
      <w:r>
        <w:t xml:space="preserve">The </w:t>
      </w:r>
      <w:r w:rsidRPr="00C36D67">
        <w:t>knowledge</w:t>
      </w:r>
      <w:r w:rsidR="00F616D6">
        <w:t>-</w:t>
      </w:r>
      <w:r>
        <w:t>only</w:t>
      </w:r>
      <w:r w:rsidRPr="00C36D67">
        <w:t xml:space="preserve"> test examiner training will take</w:t>
      </w:r>
      <w:r>
        <w:t xml:space="preserve"> an estimated 20</w:t>
      </w:r>
      <w:r w:rsidRPr="00C36D67">
        <w:t xml:space="preserve"> hours to complete</w:t>
      </w:r>
      <w:r>
        <w:t>.</w:t>
      </w:r>
    </w:p>
    <w:p w:rsidR="00C36D67" w:rsidP="00722B85" w14:paraId="20377A8B" w14:textId="77777777">
      <w:pPr>
        <w:widowControl/>
        <w:numPr>
          <w:ilvl w:val="0"/>
          <w:numId w:val="18"/>
        </w:numPr>
      </w:pPr>
      <w:r>
        <w:t xml:space="preserve">The combined </w:t>
      </w:r>
      <w:r w:rsidRPr="00C36D67">
        <w:t>knowledge and skills test examiner training will take</w:t>
      </w:r>
      <w:r>
        <w:t xml:space="preserve"> an estimated</w:t>
      </w:r>
      <w:r w:rsidRPr="00C36D67">
        <w:t xml:space="preserve"> 40 hours to complete</w:t>
      </w:r>
      <w:r>
        <w:t>.</w:t>
      </w:r>
    </w:p>
    <w:p w:rsidR="00C36D67" w:rsidP="00722B85" w14:paraId="0B64DA46" w14:textId="77777777">
      <w:pPr>
        <w:widowControl/>
        <w:numPr>
          <w:ilvl w:val="0"/>
          <w:numId w:val="18"/>
        </w:numPr>
      </w:pPr>
      <w:r>
        <w:t>CDL test examiners must successfully complete the formal CDL test examiner training course and examination every three years.</w:t>
      </w:r>
    </w:p>
    <w:p w:rsidR="00B515CA" w:rsidP="00722B85" w14:paraId="3716769D" w14:textId="61D10830">
      <w:pPr>
        <w:widowControl/>
        <w:numPr>
          <w:ilvl w:val="0"/>
          <w:numId w:val="18"/>
        </w:numPr>
      </w:pPr>
      <w:r>
        <w:t>A CDL test examiner equivalent to a court, municipal, and license clerk (SOC Code 43-4031) will complete the task of examiner skills and/or knowledge training and examination at a loaded hourly wage of $</w:t>
      </w:r>
      <w:r w:rsidR="782A5E7F">
        <w:t>34.58</w:t>
      </w:r>
      <w:r>
        <w:t>.</w:t>
      </w:r>
    </w:p>
    <w:p w:rsidR="003A6741" w:rsidRPr="00B515CA" w:rsidP="00722B85" w14:paraId="73D12DF0" w14:textId="77777777">
      <w:pPr>
        <w:widowControl/>
        <w:numPr>
          <w:ilvl w:val="0"/>
          <w:numId w:val="18"/>
        </w:numPr>
      </w:pPr>
      <w:r w:rsidRPr="00B515CA">
        <w:t xml:space="preserve">A criminal background check on an examiner will take approximately 15 minutes </w:t>
      </w:r>
      <w:r w:rsidR="00B515CA">
        <w:t xml:space="preserve">(0.25 hours) </w:t>
      </w:r>
      <w:r w:rsidRPr="00B515CA">
        <w:t>to process and evaluate the results.</w:t>
      </w:r>
    </w:p>
    <w:p w:rsidR="003A6741" w:rsidP="00722B85" w14:paraId="3ADC4646" w14:textId="40FEE480">
      <w:pPr>
        <w:widowControl/>
        <w:numPr>
          <w:ilvl w:val="0"/>
          <w:numId w:val="18"/>
        </w:numPr>
      </w:pPr>
      <w:r>
        <w:t>It takes approximately 2 minutes (0.033 hours)</w:t>
      </w:r>
      <w:r w:rsidRPr="00B515CA">
        <w:t xml:space="preserve"> to record results of examiner training, certification</w:t>
      </w:r>
      <w:r w:rsidR="00737B26">
        <w:t>,</w:t>
      </w:r>
      <w:r w:rsidRPr="00B515CA">
        <w:t xml:space="preserve"> and criminal background checks.</w:t>
      </w:r>
    </w:p>
    <w:p w:rsidR="00B515CA" w:rsidP="5ECFBCA2" w14:paraId="2F80CF76" w14:textId="608B9801">
      <w:pPr>
        <w:widowControl/>
        <w:numPr>
          <w:ilvl w:val="0"/>
          <w:numId w:val="18"/>
        </w:numPr>
        <w:spacing w:line="259" w:lineRule="auto"/>
      </w:pPr>
      <w:r>
        <w:t xml:space="preserve">An SDLA employee equivalent to an </w:t>
      </w:r>
      <w:r w:rsidR="17614E56">
        <w:t>Office Clerk</w:t>
      </w:r>
      <w:r>
        <w:t xml:space="preserve"> (SOC Code 43-</w:t>
      </w:r>
      <w:r w:rsidR="76E371CF">
        <w:t>9061</w:t>
      </w:r>
      <w:r>
        <w:t xml:space="preserve">) will process and evaluate criminal background checks and record results of examiner training, </w:t>
      </w:r>
      <w:r>
        <w:t>certification</w:t>
      </w:r>
      <w:r>
        <w:t xml:space="preserve"> and criminal background checks at a loaded hour</w:t>
      </w:r>
      <w:r w:rsidR="007E3A3B">
        <w:t>ly wage of $</w:t>
      </w:r>
      <w:r w:rsidR="167FD53E">
        <w:t>28.71</w:t>
      </w:r>
      <w:r>
        <w:t>.</w:t>
      </w:r>
    </w:p>
    <w:p w:rsidR="005C1D7D" w:rsidP="00722B85" w14:paraId="7BA3A826" w14:textId="77777777">
      <w:pPr>
        <w:widowControl/>
      </w:pPr>
    </w:p>
    <w:p w:rsidR="00B169B4" w:rsidP="00722B85" w14:paraId="5076A22E" w14:textId="7673B2C2">
      <w:pPr>
        <w:widowControl/>
      </w:pPr>
      <w:r>
        <w:t xml:space="preserve">Examiners that administer knowledge tests only will complete training and an examination every three years.  As shown in </w:t>
      </w:r>
      <w:r>
        <w:fldChar w:fldCharType="begin"/>
      </w:r>
      <w:r>
        <w:instrText xml:space="preserve"> REF _Ref508702528 \h  \* MERGEFORMAT </w:instrText>
      </w:r>
      <w:r>
        <w:fldChar w:fldCharType="separate"/>
      </w:r>
      <w:r w:rsidR="006A6CBC">
        <w:t xml:space="preserve">Table </w:t>
      </w:r>
      <w:r w:rsidRPr="5ECFBCA2" w:rsidR="006A6CBC">
        <w:rPr>
          <w:noProof/>
        </w:rPr>
        <w:t>20</w:t>
      </w:r>
      <w:r>
        <w:fldChar w:fldCharType="end"/>
      </w:r>
      <w:r>
        <w:t xml:space="preserve">, this results in an annual average of </w:t>
      </w:r>
      <w:r w:rsidR="379C469C">
        <w:t>9,385</w:t>
      </w:r>
      <w:r>
        <w:t xml:space="preserve"> responses (</w:t>
      </w:r>
      <w:r w:rsidR="040DFD74">
        <w:t>28,154</w:t>
      </w:r>
      <w:r>
        <w:t xml:space="preserve"> ÷ 3), </w:t>
      </w:r>
      <w:r w:rsidR="5715D627">
        <w:t>187,693</w:t>
      </w:r>
      <w:r>
        <w:t xml:space="preserve"> burden hours (</w:t>
      </w:r>
      <w:r w:rsidR="64A63CC3">
        <w:t>9,385</w:t>
      </w:r>
      <w:r>
        <w:t xml:space="preserve"> × 20) and a burden hour cost of $</w:t>
      </w:r>
      <w:r w:rsidR="5D8C4DFD">
        <w:t>6,490,765</w:t>
      </w:r>
      <w:r>
        <w:t xml:space="preserve"> (</w:t>
      </w:r>
      <w:r w:rsidR="53DB6E68">
        <w:t>187,693</w:t>
      </w:r>
      <w:r>
        <w:t xml:space="preserve"> × $</w:t>
      </w:r>
      <w:r w:rsidR="2C7FD816">
        <w:t>34.58</w:t>
      </w:r>
      <w:r>
        <w:t xml:space="preserve">). </w:t>
      </w:r>
    </w:p>
    <w:p w:rsidR="00B66B0D" w:rsidP="00722B85" w14:paraId="72389999" w14:textId="77777777">
      <w:pPr>
        <w:widowControl/>
      </w:pPr>
    </w:p>
    <w:p w:rsidR="00B169B4" w:rsidRPr="00D64E77" w:rsidP="00722B85" w14:paraId="00696917" w14:textId="4E2597C3">
      <w:pPr>
        <w:pStyle w:val="Caption"/>
        <w:keepNext/>
        <w:widowControl/>
      </w:pPr>
      <w:bookmarkStart w:id="34" w:name="_Ref508702528"/>
      <w:r w:rsidRPr="00D64E77">
        <w:t xml:space="preserve">Table </w:t>
      </w:r>
      <w:r>
        <w:fldChar w:fldCharType="begin"/>
      </w:r>
      <w:r>
        <w:instrText>SEQ Table \* ARABIC</w:instrText>
      </w:r>
      <w:r>
        <w:fldChar w:fldCharType="separate"/>
      </w:r>
      <w:r w:rsidR="006A6CBC">
        <w:rPr>
          <w:noProof/>
        </w:rPr>
        <w:t>20</w:t>
      </w:r>
      <w:r>
        <w:fldChar w:fldCharType="end"/>
      </w:r>
      <w:bookmarkEnd w:id="34"/>
      <w:r w:rsidRPr="00D64E77">
        <w:t xml:space="preserve">. </w:t>
      </w:r>
      <w:r w:rsidRPr="00D64E77" w:rsidR="00B66B0D">
        <w:t xml:space="preserve">Knowledge </w:t>
      </w:r>
      <w:r w:rsidRPr="00D64E77" w:rsidR="002D66E6">
        <w:t>Test Examiner Training and Examination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179"/>
        <w:gridCol w:w="1362"/>
        <w:gridCol w:w="1363"/>
        <w:gridCol w:w="1361"/>
        <w:gridCol w:w="1363"/>
        <w:gridCol w:w="1361"/>
        <w:gridCol w:w="1361"/>
      </w:tblGrid>
      <w:tr w14:paraId="2DDAE638"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050"/>
        </w:trPr>
        <w:tc>
          <w:tcPr>
            <w:tcW w:w="630" w:type="pct"/>
            <w:shd w:val="clear" w:color="auto" w:fill="E0E0E0"/>
            <w:tcMar>
              <w:left w:w="0" w:type="dxa"/>
              <w:right w:w="0" w:type="dxa"/>
            </w:tcMar>
            <w:vAlign w:val="bottom"/>
            <w:hideMark/>
          </w:tcPr>
          <w:p w:rsidR="00B169B4" w:rsidRPr="00957123" w:rsidP="00EB7D1F" w14:paraId="66F1370C" w14:textId="77777777">
            <w:pPr>
              <w:widowControl/>
              <w:autoSpaceDE/>
              <w:autoSpaceDN/>
              <w:adjustRightInd/>
              <w:jc w:val="center"/>
              <w:rPr>
                <w:b/>
                <w:bCs/>
                <w:color w:val="000000"/>
              </w:rPr>
            </w:pPr>
            <w:r w:rsidRPr="00957123">
              <w:rPr>
                <w:b/>
                <w:bCs/>
                <w:color w:val="000000"/>
              </w:rPr>
              <w:t>Year</w:t>
            </w:r>
          </w:p>
        </w:tc>
        <w:tc>
          <w:tcPr>
            <w:tcW w:w="728" w:type="pct"/>
            <w:shd w:val="clear" w:color="auto" w:fill="E0E0E0"/>
            <w:tcMar>
              <w:left w:w="0" w:type="dxa"/>
              <w:right w:w="0" w:type="dxa"/>
            </w:tcMar>
            <w:vAlign w:val="bottom"/>
            <w:hideMark/>
          </w:tcPr>
          <w:p w:rsidR="00B169B4" w:rsidRPr="00957123" w:rsidP="00EB7D1F" w14:paraId="4ED9C132" w14:textId="77777777">
            <w:pPr>
              <w:widowControl/>
              <w:autoSpaceDE/>
              <w:autoSpaceDN/>
              <w:adjustRightInd/>
              <w:jc w:val="center"/>
              <w:rPr>
                <w:b/>
                <w:bCs/>
                <w:color w:val="000000"/>
              </w:rPr>
            </w:pPr>
            <w:r w:rsidRPr="00957123">
              <w:rPr>
                <w:b/>
                <w:bCs/>
                <w:color w:val="000000"/>
              </w:rPr>
              <w:t>Number of Respondents</w:t>
            </w:r>
            <w:r w:rsidRPr="00957123">
              <w:rPr>
                <w:b/>
                <w:bCs/>
                <w:color w:val="000000"/>
              </w:rPr>
              <w:br/>
              <w:t>(a)</w:t>
            </w:r>
          </w:p>
        </w:tc>
        <w:tc>
          <w:tcPr>
            <w:tcW w:w="729" w:type="pct"/>
            <w:shd w:val="clear" w:color="auto" w:fill="E0E0E0"/>
            <w:tcMar>
              <w:left w:w="0" w:type="dxa"/>
              <w:right w:w="0" w:type="dxa"/>
            </w:tcMar>
            <w:vAlign w:val="bottom"/>
            <w:hideMark/>
          </w:tcPr>
          <w:p w:rsidR="00B169B4" w:rsidRPr="00957123" w:rsidP="00EB7D1F" w14:paraId="12D56A5E" w14:textId="77777777">
            <w:pPr>
              <w:widowControl/>
              <w:autoSpaceDE/>
              <w:autoSpaceDN/>
              <w:adjustRightInd/>
              <w:jc w:val="center"/>
              <w:rPr>
                <w:b/>
                <w:bCs/>
                <w:color w:val="000000"/>
              </w:rPr>
            </w:pPr>
            <w:r w:rsidRPr="00957123">
              <w:rPr>
                <w:b/>
                <w:bCs/>
                <w:color w:val="000000"/>
              </w:rPr>
              <w:t>Responses per Respondent</w:t>
            </w:r>
            <w:r w:rsidRPr="00957123">
              <w:rPr>
                <w:b/>
                <w:bCs/>
                <w:color w:val="000000"/>
              </w:rPr>
              <w:br/>
              <w:t>(b)</w:t>
            </w:r>
          </w:p>
        </w:tc>
        <w:tc>
          <w:tcPr>
            <w:tcW w:w="728" w:type="pct"/>
            <w:shd w:val="clear" w:color="auto" w:fill="E0E0E0"/>
            <w:tcMar>
              <w:left w:w="0" w:type="dxa"/>
              <w:right w:w="0" w:type="dxa"/>
            </w:tcMar>
            <w:vAlign w:val="bottom"/>
            <w:hideMark/>
          </w:tcPr>
          <w:p w:rsidR="00B169B4" w:rsidRPr="00957123" w:rsidP="00EB7D1F" w14:paraId="205E4B67" w14:textId="77777777">
            <w:pPr>
              <w:widowControl/>
              <w:autoSpaceDE/>
              <w:autoSpaceDN/>
              <w:adjustRightInd/>
              <w:jc w:val="center"/>
              <w:rPr>
                <w:b/>
                <w:bCs/>
                <w:color w:val="000000"/>
              </w:rPr>
            </w:pPr>
            <w:r w:rsidRPr="00957123">
              <w:rPr>
                <w:b/>
                <w:bCs/>
                <w:color w:val="000000"/>
              </w:rPr>
              <w:t>Total Annual Responses</w:t>
            </w:r>
            <w:r w:rsidRPr="00957123">
              <w:rPr>
                <w:b/>
                <w:bCs/>
                <w:color w:val="000000"/>
              </w:rPr>
              <w:br/>
              <w:t>(a × b = c)</w:t>
            </w:r>
          </w:p>
        </w:tc>
        <w:tc>
          <w:tcPr>
            <w:tcW w:w="729" w:type="pct"/>
            <w:shd w:val="clear" w:color="auto" w:fill="E0E0E0"/>
            <w:tcMar>
              <w:left w:w="0" w:type="dxa"/>
              <w:right w:w="0" w:type="dxa"/>
            </w:tcMar>
            <w:vAlign w:val="bottom"/>
            <w:hideMark/>
          </w:tcPr>
          <w:p w:rsidR="00B169B4" w:rsidRPr="00957123" w:rsidP="00EB7D1F" w14:paraId="5C7F6B2F" w14:textId="77777777">
            <w:pPr>
              <w:widowControl/>
              <w:autoSpaceDE/>
              <w:autoSpaceDN/>
              <w:adjustRightInd/>
              <w:jc w:val="center"/>
              <w:rPr>
                <w:b/>
                <w:bCs/>
                <w:color w:val="000000"/>
              </w:rPr>
            </w:pPr>
            <w:r w:rsidRPr="00957123">
              <w:rPr>
                <w:b/>
                <w:bCs/>
                <w:color w:val="000000"/>
              </w:rPr>
              <w:t>Burden Hours per Response</w:t>
            </w:r>
            <w:r w:rsidRPr="00957123">
              <w:rPr>
                <w:b/>
                <w:bCs/>
                <w:color w:val="000000"/>
              </w:rPr>
              <w:br/>
              <w:t>(d)</w:t>
            </w:r>
          </w:p>
        </w:tc>
        <w:tc>
          <w:tcPr>
            <w:tcW w:w="728" w:type="pct"/>
            <w:shd w:val="clear" w:color="auto" w:fill="E0E0E0"/>
            <w:tcMar>
              <w:left w:w="0" w:type="dxa"/>
              <w:right w:w="0" w:type="dxa"/>
            </w:tcMar>
            <w:vAlign w:val="bottom"/>
            <w:hideMark/>
          </w:tcPr>
          <w:p w:rsidR="00B169B4" w:rsidRPr="00957123" w:rsidP="00EB7D1F" w14:paraId="1F3FCFD4" w14:textId="77777777">
            <w:pPr>
              <w:widowControl/>
              <w:autoSpaceDE/>
              <w:autoSpaceDN/>
              <w:adjustRightInd/>
              <w:jc w:val="center"/>
              <w:rPr>
                <w:b/>
                <w:bCs/>
                <w:color w:val="000000"/>
              </w:rPr>
            </w:pPr>
            <w:r w:rsidRPr="00957123">
              <w:rPr>
                <w:b/>
                <w:bCs/>
                <w:color w:val="000000"/>
              </w:rPr>
              <w:t>Total Annual Burden Hours</w:t>
            </w:r>
            <w:r w:rsidRPr="00957123">
              <w:rPr>
                <w:b/>
                <w:bCs/>
                <w:color w:val="000000"/>
              </w:rPr>
              <w:br/>
              <w:t>(c × d = e)</w:t>
            </w:r>
          </w:p>
        </w:tc>
        <w:tc>
          <w:tcPr>
            <w:tcW w:w="728" w:type="pct"/>
            <w:shd w:val="clear" w:color="auto" w:fill="E0E0E0"/>
            <w:tcMar>
              <w:left w:w="0" w:type="dxa"/>
              <w:right w:w="0" w:type="dxa"/>
            </w:tcMar>
            <w:vAlign w:val="bottom"/>
            <w:hideMark/>
          </w:tcPr>
          <w:p w:rsidR="00B169B4" w:rsidRPr="00957123" w:rsidP="00EB7D1F" w14:paraId="6E14C51D" w14:textId="15B333B9">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2E0EEEB1">
              <w:rPr>
                <w:b/>
                <w:bCs/>
                <w:color w:val="000000" w:themeColor="text1"/>
              </w:rPr>
              <w:t>34.58</w:t>
            </w:r>
            <w:r w:rsidRPr="5ECFBCA2">
              <w:rPr>
                <w:b/>
                <w:bCs/>
                <w:color w:val="000000" w:themeColor="text1"/>
              </w:rPr>
              <w:t xml:space="preserve"> = f)</w:t>
            </w:r>
          </w:p>
        </w:tc>
      </w:tr>
      <w:tr w14:paraId="26960BDE"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283CFF" w:rsidRPr="00957123" w:rsidP="00283CFF" w14:paraId="41BEAF69" w14:textId="77777777">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283CFF" w:rsidRPr="00957123" w:rsidP="00283CFF" w14:paraId="4B5C2A68" w14:textId="257C1A0C">
            <w:pPr>
              <w:widowControl/>
              <w:autoSpaceDE/>
              <w:autoSpaceDN/>
              <w:adjustRightInd/>
              <w:jc w:val="center"/>
              <w:rPr>
                <w:color w:val="000000"/>
              </w:rPr>
            </w:pPr>
            <w:r w:rsidRPr="00957123">
              <w:rPr>
                <w:color w:val="000000" w:themeColor="text1"/>
              </w:rPr>
              <w:t>9,385</w:t>
            </w:r>
          </w:p>
        </w:tc>
        <w:tc>
          <w:tcPr>
            <w:tcW w:w="729" w:type="pct"/>
            <w:shd w:val="clear" w:color="auto" w:fill="auto"/>
            <w:tcMar>
              <w:left w:w="115" w:type="dxa"/>
              <w:right w:w="115" w:type="dxa"/>
            </w:tcMar>
            <w:vAlign w:val="center"/>
          </w:tcPr>
          <w:p w:rsidR="00283CFF" w:rsidRPr="00957123" w:rsidP="00283CFF" w14:paraId="29D3BAC3" w14:textId="4FD2A9E0">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283CFF" w:rsidRPr="00957123" w:rsidP="005F0A5D" w14:paraId="3AB0A2A8" w14:textId="6F0B857D">
            <w:pPr>
              <w:widowControl/>
              <w:spacing w:line="259" w:lineRule="auto"/>
              <w:jc w:val="center"/>
            </w:pPr>
            <w:r w:rsidRPr="00957123">
              <w:rPr>
                <w:color w:val="000000" w:themeColor="text1"/>
              </w:rPr>
              <w:t>9,385</w:t>
            </w:r>
          </w:p>
        </w:tc>
        <w:tc>
          <w:tcPr>
            <w:tcW w:w="729" w:type="pct"/>
            <w:shd w:val="clear" w:color="auto" w:fill="auto"/>
            <w:tcMar>
              <w:left w:w="115" w:type="dxa"/>
              <w:right w:w="115" w:type="dxa"/>
            </w:tcMar>
            <w:vAlign w:val="center"/>
          </w:tcPr>
          <w:p w:rsidR="00283CFF" w:rsidRPr="00957123" w:rsidP="00283CFF" w14:paraId="255CDC60" w14:textId="280D093E">
            <w:pPr>
              <w:widowControl/>
              <w:autoSpaceDE/>
              <w:autoSpaceDN/>
              <w:adjustRightInd/>
              <w:jc w:val="center"/>
              <w:rPr>
                <w:color w:val="000000"/>
              </w:rPr>
            </w:pPr>
            <w:r w:rsidRPr="00957123">
              <w:rPr>
                <w:color w:val="000000" w:themeColor="text1"/>
              </w:rPr>
              <w:t>20</w:t>
            </w:r>
          </w:p>
        </w:tc>
        <w:tc>
          <w:tcPr>
            <w:tcW w:w="728" w:type="pct"/>
            <w:shd w:val="clear" w:color="auto" w:fill="auto"/>
            <w:tcMar>
              <w:left w:w="115" w:type="dxa"/>
              <w:right w:w="115" w:type="dxa"/>
            </w:tcMar>
            <w:vAlign w:val="center"/>
          </w:tcPr>
          <w:p w:rsidR="00283CFF" w:rsidRPr="00957123" w:rsidP="00283CFF" w14:paraId="767F2471" w14:textId="17285AAE">
            <w:pPr>
              <w:widowControl/>
              <w:autoSpaceDE/>
              <w:autoSpaceDN/>
              <w:adjustRightInd/>
              <w:jc w:val="center"/>
              <w:rPr>
                <w:color w:val="000000"/>
              </w:rPr>
            </w:pPr>
            <w:r w:rsidRPr="00957123">
              <w:rPr>
                <w:color w:val="000000" w:themeColor="text1"/>
              </w:rPr>
              <w:t>187,693</w:t>
            </w:r>
          </w:p>
        </w:tc>
        <w:tc>
          <w:tcPr>
            <w:tcW w:w="728" w:type="pct"/>
            <w:shd w:val="clear" w:color="auto" w:fill="auto"/>
            <w:tcMar>
              <w:left w:w="115" w:type="dxa"/>
              <w:right w:w="115" w:type="dxa"/>
            </w:tcMar>
            <w:vAlign w:val="center"/>
          </w:tcPr>
          <w:p w:rsidR="00283CFF" w:rsidRPr="00957123" w:rsidP="5ECFBCA2" w14:paraId="06A5ED87" w14:textId="5D47C77C">
            <w:pPr>
              <w:widowControl/>
              <w:spacing w:line="259" w:lineRule="auto"/>
              <w:jc w:val="center"/>
              <w:rPr>
                <w:color w:val="000000" w:themeColor="text1"/>
              </w:rPr>
            </w:pPr>
            <w:r w:rsidRPr="5ECFBCA2">
              <w:rPr>
                <w:color w:val="000000" w:themeColor="text1"/>
              </w:rPr>
              <w:t>$</w:t>
            </w:r>
            <w:r w:rsidRPr="5ECFBCA2" w:rsidR="4BB6D4B0">
              <w:rPr>
                <w:color w:val="000000" w:themeColor="text1"/>
              </w:rPr>
              <w:t>6,490,765</w:t>
            </w:r>
            <w:r w:rsidRPr="5ECFBCA2">
              <w:rPr>
                <w:color w:val="000000" w:themeColor="text1"/>
              </w:rPr>
              <w:t xml:space="preserve"> </w:t>
            </w:r>
          </w:p>
        </w:tc>
      </w:tr>
      <w:tr w14:paraId="0953178D"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283CFF" w:rsidRPr="00957123" w:rsidP="00283CFF" w14:paraId="6552037C" w14:textId="77777777">
            <w:pPr>
              <w:widowControl/>
              <w:autoSpaceDE/>
              <w:autoSpaceDN/>
              <w:adjustRightInd/>
              <w:jc w:val="center"/>
              <w:rPr>
                <w:color w:val="000000"/>
              </w:rPr>
            </w:pPr>
            <w:r w:rsidRPr="00957123">
              <w:rPr>
                <w:color w:val="000000"/>
              </w:rPr>
              <w:t>2</w:t>
            </w:r>
          </w:p>
        </w:tc>
        <w:tc>
          <w:tcPr>
            <w:tcW w:w="728" w:type="pct"/>
            <w:shd w:val="clear" w:color="auto" w:fill="auto"/>
            <w:tcMar>
              <w:left w:w="115" w:type="dxa"/>
              <w:right w:w="115" w:type="dxa"/>
            </w:tcMar>
            <w:vAlign w:val="center"/>
          </w:tcPr>
          <w:p w:rsidR="00283CFF" w:rsidRPr="00957123" w:rsidP="00283CFF" w14:paraId="165CA2F6" w14:textId="4A830ABD">
            <w:pPr>
              <w:widowControl/>
              <w:autoSpaceDE/>
              <w:autoSpaceDN/>
              <w:adjustRightInd/>
              <w:jc w:val="center"/>
              <w:rPr>
                <w:color w:val="000000"/>
              </w:rPr>
            </w:pPr>
            <w:r w:rsidRPr="00957123">
              <w:rPr>
                <w:color w:val="000000" w:themeColor="text1"/>
              </w:rPr>
              <w:t>9,385</w:t>
            </w:r>
          </w:p>
        </w:tc>
        <w:tc>
          <w:tcPr>
            <w:tcW w:w="729" w:type="pct"/>
            <w:shd w:val="clear" w:color="auto" w:fill="auto"/>
            <w:tcMar>
              <w:left w:w="115" w:type="dxa"/>
              <w:right w:w="115" w:type="dxa"/>
            </w:tcMar>
            <w:vAlign w:val="center"/>
          </w:tcPr>
          <w:p w:rsidR="00283CFF" w:rsidRPr="00957123" w:rsidP="00283CFF" w14:paraId="7AE474F4" w14:textId="203FC07D">
            <w:pPr>
              <w:widowControl/>
              <w:autoSpaceDE/>
              <w:autoSpaceDN/>
              <w:adjustRightInd/>
              <w:jc w:val="center"/>
              <w:rPr>
                <w:color w:val="000000"/>
              </w:rPr>
            </w:pPr>
            <w:r w:rsidRPr="00957123">
              <w:rPr>
                <w:color w:val="000000" w:themeColor="text1"/>
              </w:rPr>
              <w:t>1</w:t>
            </w:r>
          </w:p>
        </w:tc>
        <w:tc>
          <w:tcPr>
            <w:tcW w:w="728" w:type="pct"/>
            <w:shd w:val="clear" w:color="auto" w:fill="auto"/>
            <w:tcMar>
              <w:left w:w="115" w:type="dxa"/>
              <w:right w:w="115" w:type="dxa"/>
            </w:tcMar>
            <w:vAlign w:val="center"/>
          </w:tcPr>
          <w:p w:rsidR="00283CFF" w:rsidRPr="00957123" w:rsidP="00283CFF" w14:paraId="2967C0AF" w14:textId="1B81AE2F">
            <w:pPr>
              <w:widowControl/>
              <w:autoSpaceDE/>
              <w:autoSpaceDN/>
              <w:adjustRightInd/>
              <w:jc w:val="center"/>
              <w:rPr>
                <w:color w:val="000000"/>
              </w:rPr>
            </w:pPr>
            <w:r w:rsidRPr="00957123">
              <w:rPr>
                <w:color w:val="000000" w:themeColor="text1"/>
              </w:rPr>
              <w:t>9,385</w:t>
            </w:r>
          </w:p>
        </w:tc>
        <w:tc>
          <w:tcPr>
            <w:tcW w:w="729" w:type="pct"/>
            <w:shd w:val="clear" w:color="auto" w:fill="auto"/>
            <w:tcMar>
              <w:left w:w="115" w:type="dxa"/>
              <w:right w:w="115" w:type="dxa"/>
            </w:tcMar>
            <w:vAlign w:val="center"/>
          </w:tcPr>
          <w:p w:rsidR="00283CFF" w:rsidRPr="00957123" w:rsidP="00283CFF" w14:paraId="0C57BFC9" w14:textId="59041332">
            <w:pPr>
              <w:widowControl/>
              <w:autoSpaceDE/>
              <w:autoSpaceDN/>
              <w:adjustRightInd/>
              <w:jc w:val="center"/>
              <w:rPr>
                <w:color w:val="000000"/>
              </w:rPr>
            </w:pPr>
            <w:r w:rsidRPr="00957123">
              <w:rPr>
                <w:color w:val="000000" w:themeColor="text1"/>
              </w:rPr>
              <w:t>20</w:t>
            </w:r>
          </w:p>
        </w:tc>
        <w:tc>
          <w:tcPr>
            <w:tcW w:w="728" w:type="pct"/>
            <w:shd w:val="clear" w:color="auto" w:fill="auto"/>
            <w:tcMar>
              <w:left w:w="115" w:type="dxa"/>
              <w:right w:w="115" w:type="dxa"/>
            </w:tcMar>
            <w:vAlign w:val="center"/>
          </w:tcPr>
          <w:p w:rsidR="00283CFF" w:rsidRPr="00957123" w:rsidP="00283CFF" w14:paraId="1D653D11" w14:textId="0C614201">
            <w:pPr>
              <w:widowControl/>
              <w:autoSpaceDE/>
              <w:autoSpaceDN/>
              <w:adjustRightInd/>
              <w:jc w:val="center"/>
              <w:rPr>
                <w:color w:val="000000"/>
              </w:rPr>
            </w:pPr>
            <w:r w:rsidRPr="00957123">
              <w:rPr>
                <w:color w:val="000000" w:themeColor="text1"/>
              </w:rPr>
              <w:t>187,693</w:t>
            </w:r>
          </w:p>
        </w:tc>
        <w:tc>
          <w:tcPr>
            <w:tcW w:w="728" w:type="pct"/>
            <w:shd w:val="clear" w:color="auto" w:fill="auto"/>
            <w:tcMar>
              <w:left w:w="115" w:type="dxa"/>
              <w:right w:w="115" w:type="dxa"/>
            </w:tcMar>
            <w:vAlign w:val="center"/>
          </w:tcPr>
          <w:p w:rsidR="00283CFF" w:rsidRPr="00957123" w:rsidP="5ECFBCA2" w14:paraId="4FE46DBF" w14:textId="78AF36D1">
            <w:pPr>
              <w:widowControl/>
              <w:spacing w:line="259" w:lineRule="auto"/>
              <w:jc w:val="center"/>
              <w:rPr>
                <w:color w:val="000000" w:themeColor="text1"/>
              </w:rPr>
            </w:pPr>
            <w:r w:rsidRPr="5ECFBCA2">
              <w:rPr>
                <w:color w:val="000000" w:themeColor="text1"/>
              </w:rPr>
              <w:t>$</w:t>
            </w:r>
            <w:r w:rsidRPr="5ECFBCA2" w:rsidR="0F07498A">
              <w:rPr>
                <w:color w:val="000000" w:themeColor="text1"/>
              </w:rPr>
              <w:t>6,490,765</w:t>
            </w:r>
            <w:r w:rsidRPr="5ECFBCA2">
              <w:rPr>
                <w:color w:val="000000" w:themeColor="text1"/>
              </w:rPr>
              <w:t xml:space="preserve"> </w:t>
            </w:r>
          </w:p>
        </w:tc>
      </w:tr>
      <w:tr w14:paraId="0097E68D"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283CFF" w:rsidRPr="00957123" w:rsidP="00283CFF" w14:paraId="53BB238F" w14:textId="77777777">
            <w:pPr>
              <w:widowControl/>
              <w:autoSpaceDE/>
              <w:autoSpaceDN/>
              <w:adjustRightInd/>
              <w:jc w:val="center"/>
              <w:rPr>
                <w:color w:val="000000"/>
              </w:rPr>
            </w:pPr>
            <w:r w:rsidRPr="00957123">
              <w:rPr>
                <w:color w:val="000000"/>
              </w:rPr>
              <w:t>3</w:t>
            </w:r>
          </w:p>
        </w:tc>
        <w:tc>
          <w:tcPr>
            <w:tcW w:w="728" w:type="pct"/>
            <w:shd w:val="clear" w:color="auto" w:fill="auto"/>
            <w:tcMar>
              <w:left w:w="115" w:type="dxa"/>
              <w:right w:w="115" w:type="dxa"/>
            </w:tcMar>
            <w:vAlign w:val="center"/>
          </w:tcPr>
          <w:p w:rsidR="00283CFF" w:rsidRPr="00957123" w:rsidP="00283CFF" w14:paraId="4D500CA6" w14:textId="21507931">
            <w:pPr>
              <w:widowControl/>
              <w:autoSpaceDE/>
              <w:autoSpaceDN/>
              <w:adjustRightInd/>
              <w:jc w:val="center"/>
              <w:rPr>
                <w:color w:val="000000"/>
              </w:rPr>
            </w:pPr>
            <w:r w:rsidRPr="00957123">
              <w:rPr>
                <w:color w:val="000000" w:themeColor="text1"/>
              </w:rPr>
              <w:t>9,385</w:t>
            </w:r>
          </w:p>
        </w:tc>
        <w:tc>
          <w:tcPr>
            <w:tcW w:w="729" w:type="pct"/>
            <w:shd w:val="clear" w:color="auto" w:fill="auto"/>
            <w:tcMar>
              <w:left w:w="115" w:type="dxa"/>
              <w:right w:w="115" w:type="dxa"/>
            </w:tcMar>
            <w:vAlign w:val="center"/>
          </w:tcPr>
          <w:p w:rsidR="00283CFF" w:rsidRPr="00957123" w:rsidP="00283CFF" w14:paraId="13022522" w14:textId="27460586">
            <w:pPr>
              <w:widowControl/>
              <w:autoSpaceDE/>
              <w:autoSpaceDN/>
              <w:adjustRightInd/>
              <w:jc w:val="center"/>
              <w:rPr>
                <w:color w:val="000000"/>
              </w:rPr>
            </w:pPr>
            <w:r w:rsidRPr="00957123">
              <w:rPr>
                <w:color w:val="000000" w:themeColor="text1"/>
              </w:rPr>
              <w:t>1</w:t>
            </w:r>
          </w:p>
        </w:tc>
        <w:tc>
          <w:tcPr>
            <w:tcW w:w="728" w:type="pct"/>
            <w:shd w:val="clear" w:color="auto" w:fill="auto"/>
            <w:tcMar>
              <w:left w:w="115" w:type="dxa"/>
              <w:right w:w="115" w:type="dxa"/>
            </w:tcMar>
            <w:vAlign w:val="center"/>
          </w:tcPr>
          <w:p w:rsidR="00283CFF" w:rsidRPr="00957123" w:rsidP="00283CFF" w14:paraId="5457413F" w14:textId="4025A32E">
            <w:pPr>
              <w:widowControl/>
              <w:autoSpaceDE/>
              <w:autoSpaceDN/>
              <w:adjustRightInd/>
              <w:jc w:val="center"/>
              <w:rPr>
                <w:color w:val="000000"/>
              </w:rPr>
            </w:pPr>
            <w:r w:rsidRPr="00957123">
              <w:rPr>
                <w:color w:val="000000" w:themeColor="text1"/>
              </w:rPr>
              <w:t>9,385</w:t>
            </w:r>
          </w:p>
        </w:tc>
        <w:tc>
          <w:tcPr>
            <w:tcW w:w="729" w:type="pct"/>
            <w:shd w:val="clear" w:color="auto" w:fill="auto"/>
            <w:tcMar>
              <w:left w:w="115" w:type="dxa"/>
              <w:right w:w="115" w:type="dxa"/>
            </w:tcMar>
            <w:vAlign w:val="center"/>
          </w:tcPr>
          <w:p w:rsidR="00283CFF" w:rsidRPr="00957123" w:rsidP="00283CFF" w14:paraId="326EFB0F" w14:textId="7EF1FD7D">
            <w:pPr>
              <w:widowControl/>
              <w:autoSpaceDE/>
              <w:autoSpaceDN/>
              <w:adjustRightInd/>
              <w:jc w:val="center"/>
              <w:rPr>
                <w:color w:val="000000"/>
              </w:rPr>
            </w:pPr>
            <w:r w:rsidRPr="00957123">
              <w:rPr>
                <w:color w:val="000000" w:themeColor="text1"/>
              </w:rPr>
              <w:t>20</w:t>
            </w:r>
          </w:p>
        </w:tc>
        <w:tc>
          <w:tcPr>
            <w:tcW w:w="728" w:type="pct"/>
            <w:shd w:val="clear" w:color="auto" w:fill="auto"/>
            <w:tcMar>
              <w:left w:w="115" w:type="dxa"/>
              <w:right w:w="115" w:type="dxa"/>
            </w:tcMar>
            <w:vAlign w:val="center"/>
          </w:tcPr>
          <w:p w:rsidR="00283CFF" w:rsidRPr="00957123" w:rsidP="00283CFF" w14:paraId="66A23AE0" w14:textId="2496A630">
            <w:pPr>
              <w:widowControl/>
              <w:autoSpaceDE/>
              <w:autoSpaceDN/>
              <w:adjustRightInd/>
              <w:jc w:val="center"/>
              <w:rPr>
                <w:color w:val="000000"/>
              </w:rPr>
            </w:pPr>
            <w:r w:rsidRPr="00957123">
              <w:rPr>
                <w:color w:val="000000" w:themeColor="text1"/>
              </w:rPr>
              <w:t>187,693</w:t>
            </w:r>
          </w:p>
        </w:tc>
        <w:tc>
          <w:tcPr>
            <w:tcW w:w="728" w:type="pct"/>
            <w:shd w:val="clear" w:color="auto" w:fill="auto"/>
            <w:tcMar>
              <w:left w:w="115" w:type="dxa"/>
              <w:right w:w="115" w:type="dxa"/>
            </w:tcMar>
            <w:vAlign w:val="center"/>
          </w:tcPr>
          <w:p w:rsidR="00283CFF" w:rsidRPr="00957123" w:rsidP="5ECFBCA2" w14:paraId="78B987B3" w14:textId="3FCABDC9">
            <w:pPr>
              <w:widowControl/>
              <w:spacing w:line="259" w:lineRule="auto"/>
              <w:jc w:val="center"/>
              <w:rPr>
                <w:color w:val="000000" w:themeColor="text1"/>
              </w:rPr>
            </w:pPr>
            <w:r w:rsidRPr="5ECFBCA2">
              <w:rPr>
                <w:color w:val="000000" w:themeColor="text1"/>
              </w:rPr>
              <w:t>$</w:t>
            </w:r>
            <w:r w:rsidRPr="5ECFBCA2" w:rsidR="67127D96">
              <w:rPr>
                <w:color w:val="000000" w:themeColor="text1"/>
              </w:rPr>
              <w:t>6,490,765</w:t>
            </w:r>
            <w:r w:rsidRPr="5ECFBCA2">
              <w:rPr>
                <w:color w:val="000000" w:themeColor="text1"/>
              </w:rPr>
              <w:t xml:space="preserve"> </w:t>
            </w:r>
          </w:p>
        </w:tc>
      </w:tr>
      <w:tr w14:paraId="441749C5"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283CFF" w:rsidRPr="00957123" w:rsidP="00283CFF" w14:paraId="5E7460E6" w14:textId="77777777">
            <w:pPr>
              <w:widowControl/>
              <w:autoSpaceDE/>
              <w:autoSpaceDN/>
              <w:adjustRightInd/>
              <w:jc w:val="center"/>
              <w:rPr>
                <w:color w:val="000000"/>
              </w:rPr>
            </w:pPr>
            <w:r w:rsidRPr="00957123">
              <w:rPr>
                <w:color w:val="000000"/>
              </w:rPr>
              <w:t>Total</w:t>
            </w:r>
          </w:p>
        </w:tc>
        <w:tc>
          <w:tcPr>
            <w:tcW w:w="728" w:type="pct"/>
            <w:shd w:val="clear" w:color="auto" w:fill="auto"/>
            <w:tcMar>
              <w:left w:w="115" w:type="dxa"/>
              <w:right w:w="115" w:type="dxa"/>
            </w:tcMar>
            <w:vAlign w:val="center"/>
          </w:tcPr>
          <w:p w:rsidR="00283CFF" w:rsidRPr="00957123" w:rsidP="00283CFF" w14:paraId="31B641CE" w14:textId="358D64D9">
            <w:pPr>
              <w:widowControl/>
              <w:autoSpaceDE/>
              <w:autoSpaceDN/>
              <w:adjustRightInd/>
              <w:jc w:val="center"/>
              <w:rPr>
                <w:color w:val="000000"/>
              </w:rPr>
            </w:pPr>
            <w:r w:rsidRPr="00957123">
              <w:rPr>
                <w:color w:val="000000" w:themeColor="text1"/>
              </w:rPr>
              <w:t>28,154</w:t>
            </w:r>
          </w:p>
        </w:tc>
        <w:tc>
          <w:tcPr>
            <w:tcW w:w="729" w:type="pct"/>
            <w:shd w:val="clear" w:color="auto" w:fill="auto"/>
            <w:tcMar>
              <w:left w:w="115" w:type="dxa"/>
              <w:right w:w="115" w:type="dxa"/>
            </w:tcMar>
            <w:vAlign w:val="center"/>
          </w:tcPr>
          <w:p w:rsidR="00283CFF" w:rsidRPr="00957123" w:rsidP="00283CFF" w14:paraId="38075081" w14:textId="41BE11CF">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283CFF" w:rsidRPr="00957123" w:rsidP="00283CFF" w14:paraId="0BA84872" w14:textId="0C62AEEE">
            <w:pPr>
              <w:widowControl/>
              <w:autoSpaceDE/>
              <w:autoSpaceDN/>
              <w:adjustRightInd/>
              <w:jc w:val="center"/>
              <w:rPr>
                <w:color w:val="000000"/>
              </w:rPr>
            </w:pPr>
            <w:r w:rsidRPr="00957123">
              <w:rPr>
                <w:color w:val="000000" w:themeColor="text1"/>
              </w:rPr>
              <w:t>28,154</w:t>
            </w:r>
          </w:p>
        </w:tc>
        <w:tc>
          <w:tcPr>
            <w:tcW w:w="729" w:type="pct"/>
            <w:shd w:val="clear" w:color="auto" w:fill="auto"/>
            <w:tcMar>
              <w:left w:w="115" w:type="dxa"/>
              <w:right w:w="115" w:type="dxa"/>
            </w:tcMar>
            <w:vAlign w:val="center"/>
          </w:tcPr>
          <w:p w:rsidR="00283CFF" w:rsidRPr="00957123" w:rsidP="00283CFF" w14:paraId="51F00040" w14:textId="1C8D510F">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283CFF" w:rsidRPr="00957123" w:rsidP="00283CFF" w14:paraId="7F4671FC" w14:textId="40DD889F">
            <w:pPr>
              <w:widowControl/>
              <w:autoSpaceDE/>
              <w:autoSpaceDN/>
              <w:adjustRightInd/>
              <w:jc w:val="center"/>
              <w:rPr>
                <w:color w:val="000000"/>
              </w:rPr>
            </w:pPr>
            <w:r w:rsidRPr="00957123">
              <w:rPr>
                <w:color w:val="000000" w:themeColor="text1"/>
              </w:rPr>
              <w:t>563,080</w:t>
            </w:r>
          </w:p>
        </w:tc>
        <w:tc>
          <w:tcPr>
            <w:tcW w:w="728" w:type="pct"/>
            <w:shd w:val="clear" w:color="auto" w:fill="auto"/>
            <w:tcMar>
              <w:left w:w="115" w:type="dxa"/>
              <w:right w:w="115" w:type="dxa"/>
            </w:tcMar>
            <w:vAlign w:val="center"/>
          </w:tcPr>
          <w:p w:rsidR="00283CFF" w:rsidRPr="00957123" w:rsidP="5ECFBCA2" w14:paraId="4C8FCF7A" w14:textId="15FC6D10">
            <w:pPr>
              <w:widowControl/>
              <w:spacing w:line="259" w:lineRule="auto"/>
              <w:jc w:val="center"/>
            </w:pPr>
            <w:r w:rsidRPr="5ECFBCA2">
              <w:rPr>
                <w:color w:val="000000" w:themeColor="text1"/>
              </w:rPr>
              <w:t>$</w:t>
            </w:r>
            <w:r w:rsidRPr="5ECFBCA2" w:rsidR="2C6E0968">
              <w:rPr>
                <w:color w:val="000000" w:themeColor="text1"/>
              </w:rPr>
              <w:t>19,472,294</w:t>
            </w:r>
          </w:p>
        </w:tc>
      </w:tr>
      <w:tr w14:paraId="0BAA79F1"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283CFF" w:rsidRPr="00957123" w:rsidP="00283CFF" w14:paraId="4C75EB39" w14:textId="77777777">
            <w:pPr>
              <w:widowControl/>
              <w:autoSpaceDE/>
              <w:autoSpaceDN/>
              <w:adjustRightInd/>
              <w:jc w:val="center"/>
              <w:rPr>
                <w:color w:val="000000"/>
              </w:rPr>
            </w:pPr>
            <w:r w:rsidRPr="00957123">
              <w:rPr>
                <w:color w:val="000000"/>
              </w:rPr>
              <w:t>Annualized</w:t>
            </w:r>
          </w:p>
        </w:tc>
        <w:tc>
          <w:tcPr>
            <w:tcW w:w="728" w:type="pct"/>
            <w:shd w:val="clear" w:color="auto" w:fill="auto"/>
            <w:tcMar>
              <w:left w:w="115" w:type="dxa"/>
              <w:right w:w="115" w:type="dxa"/>
            </w:tcMar>
            <w:vAlign w:val="center"/>
          </w:tcPr>
          <w:p w:rsidR="00283CFF" w:rsidRPr="00957123" w:rsidP="00283CFF" w14:paraId="62CDCFAF" w14:textId="48E09CEB">
            <w:pPr>
              <w:widowControl/>
              <w:autoSpaceDE/>
              <w:autoSpaceDN/>
              <w:adjustRightInd/>
              <w:jc w:val="center"/>
              <w:rPr>
                <w:color w:val="000000"/>
              </w:rPr>
            </w:pPr>
            <w:r w:rsidRPr="00957123">
              <w:rPr>
                <w:color w:val="000000" w:themeColor="text1"/>
              </w:rPr>
              <w:t>9,385</w:t>
            </w:r>
          </w:p>
        </w:tc>
        <w:tc>
          <w:tcPr>
            <w:tcW w:w="729" w:type="pct"/>
            <w:shd w:val="clear" w:color="auto" w:fill="auto"/>
            <w:tcMar>
              <w:left w:w="115" w:type="dxa"/>
              <w:right w:w="115" w:type="dxa"/>
            </w:tcMar>
            <w:vAlign w:val="center"/>
          </w:tcPr>
          <w:p w:rsidR="00283CFF" w:rsidRPr="00957123" w:rsidP="00283CFF" w14:paraId="0CA54E95" w14:textId="5A5DBDD8">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283CFF" w:rsidRPr="00957123" w:rsidP="00283CFF" w14:paraId="3CC47415" w14:textId="2E8560DB">
            <w:pPr>
              <w:widowControl/>
              <w:autoSpaceDE/>
              <w:autoSpaceDN/>
              <w:adjustRightInd/>
              <w:jc w:val="center"/>
              <w:rPr>
                <w:color w:val="000000"/>
              </w:rPr>
            </w:pPr>
            <w:r w:rsidRPr="00957123">
              <w:rPr>
                <w:color w:val="000000" w:themeColor="text1"/>
              </w:rPr>
              <w:t>9,385</w:t>
            </w:r>
          </w:p>
        </w:tc>
        <w:tc>
          <w:tcPr>
            <w:tcW w:w="729" w:type="pct"/>
            <w:shd w:val="clear" w:color="auto" w:fill="auto"/>
            <w:tcMar>
              <w:left w:w="115" w:type="dxa"/>
              <w:right w:w="115" w:type="dxa"/>
            </w:tcMar>
            <w:vAlign w:val="center"/>
          </w:tcPr>
          <w:p w:rsidR="00283CFF" w:rsidRPr="00957123" w:rsidP="00283CFF" w14:paraId="57A62E2E" w14:textId="5FC3F9A8">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283CFF" w:rsidRPr="00957123" w:rsidP="00283CFF" w14:paraId="1D4691C6" w14:textId="4DE182A1">
            <w:pPr>
              <w:widowControl/>
              <w:autoSpaceDE/>
              <w:autoSpaceDN/>
              <w:adjustRightInd/>
              <w:jc w:val="center"/>
              <w:rPr>
                <w:color w:val="000000"/>
              </w:rPr>
            </w:pPr>
            <w:r w:rsidRPr="00957123">
              <w:rPr>
                <w:color w:val="000000" w:themeColor="text1"/>
              </w:rPr>
              <w:t>92,600</w:t>
            </w:r>
          </w:p>
        </w:tc>
        <w:tc>
          <w:tcPr>
            <w:tcW w:w="728" w:type="pct"/>
            <w:shd w:val="clear" w:color="auto" w:fill="auto"/>
            <w:tcMar>
              <w:left w:w="115" w:type="dxa"/>
              <w:right w:w="115" w:type="dxa"/>
            </w:tcMar>
            <w:vAlign w:val="center"/>
          </w:tcPr>
          <w:p w:rsidR="00283CFF" w:rsidRPr="00957123" w:rsidP="5ECFBCA2" w14:paraId="37532475" w14:textId="5AB419A3">
            <w:pPr>
              <w:widowControl/>
              <w:spacing w:line="259" w:lineRule="auto"/>
              <w:jc w:val="center"/>
              <w:rPr>
                <w:color w:val="000000" w:themeColor="text1"/>
              </w:rPr>
            </w:pPr>
            <w:r w:rsidRPr="5ECFBCA2">
              <w:rPr>
                <w:color w:val="000000" w:themeColor="text1"/>
              </w:rPr>
              <w:t>$</w:t>
            </w:r>
            <w:r w:rsidRPr="5ECFBCA2" w:rsidR="6353023A">
              <w:rPr>
                <w:color w:val="000000" w:themeColor="text1"/>
              </w:rPr>
              <w:t>6,490,765</w:t>
            </w:r>
            <w:r w:rsidRPr="5ECFBCA2">
              <w:rPr>
                <w:color w:val="000000" w:themeColor="text1"/>
              </w:rPr>
              <w:t xml:space="preserve"> </w:t>
            </w:r>
          </w:p>
        </w:tc>
      </w:tr>
    </w:tbl>
    <w:p w:rsidR="00FA4698" w:rsidRPr="007E65CF" w:rsidP="00722B85" w14:paraId="71221954" w14:textId="77777777">
      <w:pPr>
        <w:widowControl/>
        <w:rPr>
          <w:sz w:val="18"/>
          <w:szCs w:val="18"/>
        </w:rPr>
      </w:pPr>
      <w:r>
        <w:rPr>
          <w:sz w:val="18"/>
          <w:szCs w:val="18"/>
        </w:rPr>
        <w:t>Totals are the product of unrounded components</w:t>
      </w:r>
      <w:r w:rsidRPr="007E65CF">
        <w:rPr>
          <w:sz w:val="18"/>
          <w:szCs w:val="18"/>
        </w:rPr>
        <w:t>.</w:t>
      </w:r>
    </w:p>
    <w:p w:rsidR="005C1D7D" w:rsidP="00722B85" w14:paraId="2614D96F" w14:textId="77777777">
      <w:pPr>
        <w:widowControl/>
      </w:pPr>
    </w:p>
    <w:p w:rsidR="005C1D7D" w:rsidP="00722B85" w14:paraId="08E64AB9" w14:textId="6BFE2258">
      <w:pPr>
        <w:widowControl/>
      </w:pPr>
      <w:r>
        <w:t xml:space="preserve">The </w:t>
      </w:r>
      <w:r w:rsidR="00F9139E">
        <w:t>6,</w:t>
      </w:r>
      <w:r w:rsidR="00AB4706">
        <w:t>94</w:t>
      </w:r>
      <w:r w:rsidR="69149FB1">
        <w:t>5</w:t>
      </w:r>
      <w:r>
        <w:t xml:space="preserve"> examiners that administer knowledge and skills tests will complete training and an examination every three years.  As </w:t>
      </w:r>
      <w:r>
        <w:fldChar w:fldCharType="begin"/>
      </w:r>
      <w:r>
        <w:instrText xml:space="preserve"> REF _Ref508717803 \h  \* MERGEFORMAT </w:instrText>
      </w:r>
      <w:r>
        <w:fldChar w:fldCharType="separate"/>
      </w:r>
      <w:r w:rsidR="006A6CBC">
        <w:t xml:space="preserve">Table </w:t>
      </w:r>
      <w:r w:rsidRPr="5ECFBCA2" w:rsidR="006A6CBC">
        <w:rPr>
          <w:noProof/>
        </w:rPr>
        <w:t>21</w:t>
      </w:r>
      <w:r>
        <w:fldChar w:fldCharType="end"/>
      </w:r>
      <w:r w:rsidR="009529D7">
        <w:t xml:space="preserve"> </w:t>
      </w:r>
      <w:r w:rsidR="00E06196">
        <w:t>details</w:t>
      </w:r>
      <w:r w:rsidR="00EC3313">
        <w:t xml:space="preserve">, this results in </w:t>
      </w:r>
      <w:r w:rsidR="00F9139E">
        <w:t>2,31</w:t>
      </w:r>
      <w:r w:rsidR="058CFD23">
        <w:t>5</w:t>
      </w:r>
      <w:r>
        <w:t xml:space="preserve"> examiners (</w:t>
      </w:r>
      <w:r w:rsidR="00F9139E">
        <w:t>6,94</w:t>
      </w:r>
      <w:r w:rsidR="0FD5F08A">
        <w:t>5</w:t>
      </w:r>
      <w:r>
        <w:t xml:space="preserve"> ÷ 3) annually spending a total of </w:t>
      </w:r>
      <w:r w:rsidR="00F9139E">
        <w:t>92,</w:t>
      </w:r>
      <w:r w:rsidR="5EBFD3BD">
        <w:t>600</w:t>
      </w:r>
      <w:r>
        <w:t xml:space="preserve"> hours</w:t>
      </w:r>
      <w:r w:rsidR="000E7485">
        <w:t>,</w:t>
      </w:r>
      <w:r>
        <w:t xml:space="preserve"> at a cost of $</w:t>
      </w:r>
      <w:r w:rsidR="120170F3">
        <w:t>3,202,270</w:t>
      </w:r>
      <w:r w:rsidR="000E7485">
        <w:t xml:space="preserve">. </w:t>
      </w:r>
    </w:p>
    <w:p w:rsidR="006C3234" w:rsidP="00722B85" w14:paraId="47AF5BD7" w14:textId="77777777">
      <w:pPr>
        <w:widowControl/>
      </w:pPr>
    </w:p>
    <w:p w:rsidR="006C3234" w:rsidP="00722B85" w14:paraId="51A2B6AD" w14:textId="77777777">
      <w:pPr>
        <w:widowControl/>
      </w:pPr>
    </w:p>
    <w:p w:rsidR="006C3234" w:rsidP="00722B85" w14:paraId="3E8ED0CA" w14:textId="77777777">
      <w:pPr>
        <w:widowControl/>
      </w:pPr>
    </w:p>
    <w:p w:rsidR="005C1D7D" w:rsidP="00722B85" w14:paraId="05CD550E" w14:textId="77777777">
      <w:pPr>
        <w:widowControl/>
      </w:pPr>
    </w:p>
    <w:p w:rsidR="00B66B0D" w:rsidRPr="00D64E77" w:rsidP="00722B85" w14:paraId="3144B641" w14:textId="4E8FC36D">
      <w:pPr>
        <w:pStyle w:val="Caption"/>
        <w:keepNext/>
        <w:widowControl/>
      </w:pPr>
      <w:bookmarkStart w:id="35" w:name="_Ref508717803"/>
      <w:r w:rsidRPr="00D64E77">
        <w:t xml:space="preserve">Table </w:t>
      </w:r>
      <w:r>
        <w:fldChar w:fldCharType="begin"/>
      </w:r>
      <w:r>
        <w:instrText>SEQ Table \* ARABIC</w:instrText>
      </w:r>
      <w:r>
        <w:fldChar w:fldCharType="separate"/>
      </w:r>
      <w:r w:rsidR="006A6CBC">
        <w:rPr>
          <w:noProof/>
        </w:rPr>
        <w:t>21</w:t>
      </w:r>
      <w:r>
        <w:fldChar w:fldCharType="end"/>
      </w:r>
      <w:bookmarkEnd w:id="35"/>
      <w:r w:rsidRPr="00D64E77">
        <w:t xml:space="preserve">. Knowledge and </w:t>
      </w:r>
      <w:r w:rsidRPr="00D64E77" w:rsidR="002D66E6">
        <w:t>Skills Test Examiner Training and Examination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179"/>
        <w:gridCol w:w="1362"/>
        <w:gridCol w:w="1363"/>
        <w:gridCol w:w="1361"/>
        <w:gridCol w:w="1363"/>
        <w:gridCol w:w="1361"/>
        <w:gridCol w:w="1361"/>
      </w:tblGrid>
      <w:tr w14:paraId="0A626078"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050"/>
        </w:trPr>
        <w:tc>
          <w:tcPr>
            <w:tcW w:w="630" w:type="pct"/>
            <w:shd w:val="clear" w:color="auto" w:fill="E0E0E0"/>
            <w:tcMar>
              <w:left w:w="0" w:type="dxa"/>
              <w:right w:w="0" w:type="dxa"/>
            </w:tcMar>
            <w:vAlign w:val="bottom"/>
            <w:hideMark/>
          </w:tcPr>
          <w:p w:rsidR="00B66B0D" w:rsidRPr="00957123" w:rsidP="00EB7D1F" w14:paraId="3410AFFC" w14:textId="77777777">
            <w:pPr>
              <w:widowControl/>
              <w:autoSpaceDE/>
              <w:autoSpaceDN/>
              <w:adjustRightInd/>
              <w:jc w:val="center"/>
              <w:rPr>
                <w:b/>
                <w:bCs/>
                <w:color w:val="000000"/>
              </w:rPr>
            </w:pPr>
            <w:r w:rsidRPr="00957123">
              <w:rPr>
                <w:b/>
                <w:bCs/>
                <w:color w:val="000000"/>
              </w:rPr>
              <w:t>Year</w:t>
            </w:r>
          </w:p>
        </w:tc>
        <w:tc>
          <w:tcPr>
            <w:tcW w:w="728" w:type="pct"/>
            <w:shd w:val="clear" w:color="auto" w:fill="E0E0E0"/>
            <w:tcMar>
              <w:left w:w="0" w:type="dxa"/>
              <w:right w:w="0" w:type="dxa"/>
            </w:tcMar>
            <w:vAlign w:val="bottom"/>
            <w:hideMark/>
          </w:tcPr>
          <w:p w:rsidR="00B66B0D" w:rsidRPr="00957123" w:rsidP="00EB7D1F" w14:paraId="7F3C1E40" w14:textId="77777777">
            <w:pPr>
              <w:widowControl/>
              <w:autoSpaceDE/>
              <w:autoSpaceDN/>
              <w:adjustRightInd/>
              <w:jc w:val="center"/>
              <w:rPr>
                <w:b/>
                <w:bCs/>
                <w:color w:val="000000"/>
              </w:rPr>
            </w:pPr>
            <w:r w:rsidRPr="00957123">
              <w:rPr>
                <w:b/>
                <w:bCs/>
                <w:color w:val="000000"/>
              </w:rPr>
              <w:t>Number of Respondents</w:t>
            </w:r>
            <w:r w:rsidRPr="00957123">
              <w:rPr>
                <w:b/>
                <w:bCs/>
                <w:color w:val="000000"/>
              </w:rPr>
              <w:br/>
              <w:t>(a)</w:t>
            </w:r>
          </w:p>
        </w:tc>
        <w:tc>
          <w:tcPr>
            <w:tcW w:w="729" w:type="pct"/>
            <w:shd w:val="clear" w:color="auto" w:fill="E0E0E0"/>
            <w:tcMar>
              <w:left w:w="0" w:type="dxa"/>
              <w:right w:w="0" w:type="dxa"/>
            </w:tcMar>
            <w:vAlign w:val="bottom"/>
            <w:hideMark/>
          </w:tcPr>
          <w:p w:rsidR="00B66B0D" w:rsidRPr="00957123" w:rsidP="00EB7D1F" w14:paraId="406176EF" w14:textId="77777777">
            <w:pPr>
              <w:widowControl/>
              <w:autoSpaceDE/>
              <w:autoSpaceDN/>
              <w:adjustRightInd/>
              <w:jc w:val="center"/>
              <w:rPr>
                <w:b/>
                <w:bCs/>
                <w:color w:val="000000"/>
              </w:rPr>
            </w:pPr>
            <w:r w:rsidRPr="00957123">
              <w:rPr>
                <w:b/>
                <w:bCs/>
                <w:color w:val="000000"/>
              </w:rPr>
              <w:t>Responses per Respondent</w:t>
            </w:r>
            <w:r w:rsidRPr="00957123">
              <w:rPr>
                <w:b/>
                <w:bCs/>
                <w:color w:val="000000"/>
              </w:rPr>
              <w:br/>
              <w:t>(b)</w:t>
            </w:r>
          </w:p>
        </w:tc>
        <w:tc>
          <w:tcPr>
            <w:tcW w:w="728" w:type="pct"/>
            <w:shd w:val="clear" w:color="auto" w:fill="E0E0E0"/>
            <w:tcMar>
              <w:left w:w="0" w:type="dxa"/>
              <w:right w:w="0" w:type="dxa"/>
            </w:tcMar>
            <w:vAlign w:val="bottom"/>
            <w:hideMark/>
          </w:tcPr>
          <w:p w:rsidR="00B66B0D" w:rsidRPr="00957123" w:rsidP="00EB7D1F" w14:paraId="761C8810" w14:textId="77777777">
            <w:pPr>
              <w:widowControl/>
              <w:autoSpaceDE/>
              <w:autoSpaceDN/>
              <w:adjustRightInd/>
              <w:jc w:val="center"/>
              <w:rPr>
                <w:b/>
                <w:bCs/>
                <w:color w:val="000000"/>
              </w:rPr>
            </w:pPr>
            <w:r w:rsidRPr="00957123">
              <w:rPr>
                <w:b/>
                <w:bCs/>
                <w:color w:val="000000"/>
              </w:rPr>
              <w:t>Total Annual Responses</w:t>
            </w:r>
            <w:r w:rsidRPr="00957123">
              <w:rPr>
                <w:b/>
                <w:bCs/>
                <w:color w:val="000000"/>
              </w:rPr>
              <w:br/>
              <w:t>(a × b = c)</w:t>
            </w:r>
          </w:p>
        </w:tc>
        <w:tc>
          <w:tcPr>
            <w:tcW w:w="729" w:type="pct"/>
            <w:shd w:val="clear" w:color="auto" w:fill="E0E0E0"/>
            <w:tcMar>
              <w:left w:w="0" w:type="dxa"/>
              <w:right w:w="0" w:type="dxa"/>
            </w:tcMar>
            <w:vAlign w:val="bottom"/>
            <w:hideMark/>
          </w:tcPr>
          <w:p w:rsidR="00B66B0D" w:rsidRPr="00957123" w:rsidP="00EB7D1F" w14:paraId="3F9CB477" w14:textId="77777777">
            <w:pPr>
              <w:widowControl/>
              <w:autoSpaceDE/>
              <w:autoSpaceDN/>
              <w:adjustRightInd/>
              <w:jc w:val="center"/>
              <w:rPr>
                <w:b/>
                <w:bCs/>
                <w:color w:val="000000"/>
              </w:rPr>
            </w:pPr>
            <w:r w:rsidRPr="00957123">
              <w:rPr>
                <w:b/>
                <w:bCs/>
                <w:color w:val="000000"/>
              </w:rPr>
              <w:t>Burden Hours per Response</w:t>
            </w:r>
            <w:r w:rsidRPr="00957123">
              <w:rPr>
                <w:b/>
                <w:bCs/>
                <w:color w:val="000000"/>
              </w:rPr>
              <w:br/>
              <w:t>(d)</w:t>
            </w:r>
          </w:p>
        </w:tc>
        <w:tc>
          <w:tcPr>
            <w:tcW w:w="728" w:type="pct"/>
            <w:shd w:val="clear" w:color="auto" w:fill="E0E0E0"/>
            <w:tcMar>
              <w:left w:w="0" w:type="dxa"/>
              <w:right w:w="0" w:type="dxa"/>
            </w:tcMar>
            <w:vAlign w:val="bottom"/>
            <w:hideMark/>
          </w:tcPr>
          <w:p w:rsidR="00B66B0D" w:rsidRPr="00957123" w:rsidP="00EB7D1F" w14:paraId="79C40D5F" w14:textId="77777777">
            <w:pPr>
              <w:widowControl/>
              <w:autoSpaceDE/>
              <w:autoSpaceDN/>
              <w:adjustRightInd/>
              <w:jc w:val="center"/>
              <w:rPr>
                <w:b/>
                <w:bCs/>
                <w:color w:val="000000"/>
              </w:rPr>
            </w:pPr>
            <w:r w:rsidRPr="00957123">
              <w:rPr>
                <w:b/>
                <w:bCs/>
                <w:color w:val="000000"/>
              </w:rPr>
              <w:t>Total Annual Burden Hours</w:t>
            </w:r>
            <w:r w:rsidRPr="00957123">
              <w:rPr>
                <w:b/>
                <w:bCs/>
                <w:color w:val="000000"/>
              </w:rPr>
              <w:br/>
              <w:t>(c × d = e)</w:t>
            </w:r>
          </w:p>
        </w:tc>
        <w:tc>
          <w:tcPr>
            <w:tcW w:w="728" w:type="pct"/>
            <w:shd w:val="clear" w:color="auto" w:fill="E0E0E0"/>
            <w:tcMar>
              <w:left w:w="0" w:type="dxa"/>
              <w:right w:w="0" w:type="dxa"/>
            </w:tcMar>
            <w:vAlign w:val="bottom"/>
            <w:hideMark/>
          </w:tcPr>
          <w:p w:rsidR="00B66B0D" w:rsidRPr="00957123" w:rsidP="00EB7D1F" w14:paraId="7141F509" w14:textId="416D01EC">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7C2C4E3F">
              <w:rPr>
                <w:b/>
                <w:bCs/>
                <w:color w:val="000000" w:themeColor="text1"/>
              </w:rPr>
              <w:t>34.58</w:t>
            </w:r>
            <w:r w:rsidRPr="5ECFBCA2">
              <w:rPr>
                <w:b/>
                <w:bCs/>
                <w:color w:val="000000" w:themeColor="text1"/>
              </w:rPr>
              <w:t xml:space="preserve"> = f)</w:t>
            </w:r>
          </w:p>
        </w:tc>
      </w:tr>
      <w:tr w14:paraId="0CD47C54"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7B1B9B5B" w14:textId="77777777">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F9139E" w:rsidRPr="00957123" w:rsidP="00F9139E" w14:paraId="6D23E200" w14:textId="17D605D9">
            <w:pPr>
              <w:widowControl/>
              <w:autoSpaceDE/>
              <w:autoSpaceDN/>
              <w:adjustRightInd/>
              <w:jc w:val="center"/>
              <w:rPr>
                <w:color w:val="000000"/>
              </w:rPr>
            </w:pPr>
            <w:r w:rsidRPr="00957123">
              <w:rPr>
                <w:color w:val="000000" w:themeColor="text1"/>
              </w:rPr>
              <w:t>2,31</w:t>
            </w:r>
            <w:r w:rsidRPr="00957123" w:rsidR="0C4F1DC1">
              <w:rPr>
                <w:color w:val="000000" w:themeColor="text1"/>
              </w:rPr>
              <w:t>5</w:t>
            </w:r>
          </w:p>
        </w:tc>
        <w:tc>
          <w:tcPr>
            <w:tcW w:w="729" w:type="pct"/>
            <w:shd w:val="clear" w:color="auto" w:fill="auto"/>
            <w:tcMar>
              <w:left w:w="115" w:type="dxa"/>
              <w:right w:w="115" w:type="dxa"/>
            </w:tcMar>
            <w:vAlign w:val="center"/>
          </w:tcPr>
          <w:p w:rsidR="00F9139E" w:rsidRPr="00957123" w:rsidP="00F9139E" w14:paraId="14A2023A" w14:textId="4F2C076F">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F9139E" w:rsidRPr="00957123" w:rsidP="00F9139E" w14:paraId="263C3806" w14:textId="08AB1141">
            <w:pPr>
              <w:widowControl/>
              <w:autoSpaceDE/>
              <w:autoSpaceDN/>
              <w:adjustRightInd/>
              <w:jc w:val="center"/>
              <w:rPr>
                <w:color w:val="000000"/>
              </w:rPr>
            </w:pPr>
            <w:r w:rsidRPr="00957123">
              <w:rPr>
                <w:color w:val="000000" w:themeColor="text1"/>
              </w:rPr>
              <w:t>2,31</w:t>
            </w:r>
            <w:r w:rsidRPr="00957123" w:rsidR="717F6E12">
              <w:rPr>
                <w:color w:val="000000" w:themeColor="text1"/>
              </w:rPr>
              <w:t>5</w:t>
            </w:r>
          </w:p>
        </w:tc>
        <w:tc>
          <w:tcPr>
            <w:tcW w:w="729" w:type="pct"/>
            <w:shd w:val="clear" w:color="auto" w:fill="auto"/>
            <w:tcMar>
              <w:left w:w="115" w:type="dxa"/>
              <w:right w:w="115" w:type="dxa"/>
            </w:tcMar>
            <w:vAlign w:val="center"/>
          </w:tcPr>
          <w:p w:rsidR="00F9139E" w:rsidRPr="00957123" w:rsidP="00F9139E" w14:paraId="6F3E068F" w14:textId="3B0A0F9E">
            <w:pPr>
              <w:widowControl/>
              <w:autoSpaceDE/>
              <w:autoSpaceDN/>
              <w:adjustRightInd/>
              <w:jc w:val="center"/>
              <w:rPr>
                <w:color w:val="000000"/>
              </w:rPr>
            </w:pPr>
            <w:r w:rsidRPr="00957123">
              <w:rPr>
                <w:color w:val="000000"/>
              </w:rPr>
              <w:t>40</w:t>
            </w:r>
          </w:p>
        </w:tc>
        <w:tc>
          <w:tcPr>
            <w:tcW w:w="728" w:type="pct"/>
            <w:shd w:val="clear" w:color="auto" w:fill="auto"/>
            <w:tcMar>
              <w:left w:w="115" w:type="dxa"/>
              <w:right w:w="115" w:type="dxa"/>
            </w:tcMar>
            <w:vAlign w:val="center"/>
          </w:tcPr>
          <w:p w:rsidR="00F9139E" w:rsidRPr="00957123" w:rsidP="00F9139E" w14:paraId="398E879F" w14:textId="25C19FAA">
            <w:pPr>
              <w:widowControl/>
              <w:autoSpaceDE/>
              <w:autoSpaceDN/>
              <w:adjustRightInd/>
              <w:jc w:val="center"/>
              <w:rPr>
                <w:color w:val="000000"/>
              </w:rPr>
            </w:pPr>
            <w:r w:rsidRPr="00957123">
              <w:rPr>
                <w:color w:val="000000" w:themeColor="text1"/>
              </w:rPr>
              <w:t>92,</w:t>
            </w:r>
            <w:r w:rsidRPr="00957123" w:rsidR="6ED331C1">
              <w:rPr>
                <w:color w:val="000000" w:themeColor="text1"/>
              </w:rPr>
              <w:t>600</w:t>
            </w:r>
          </w:p>
        </w:tc>
        <w:tc>
          <w:tcPr>
            <w:tcW w:w="728" w:type="pct"/>
            <w:shd w:val="clear" w:color="auto" w:fill="auto"/>
            <w:tcMar>
              <w:left w:w="115" w:type="dxa"/>
              <w:right w:w="115" w:type="dxa"/>
            </w:tcMar>
            <w:vAlign w:val="center"/>
          </w:tcPr>
          <w:p w:rsidR="00F9139E" w:rsidRPr="00957123" w:rsidP="00F9139E" w14:paraId="2BF5B95A" w14:textId="44FBB1CF">
            <w:pPr>
              <w:widowControl/>
              <w:autoSpaceDE/>
              <w:autoSpaceDN/>
              <w:adjustRightInd/>
              <w:jc w:val="center"/>
              <w:rPr>
                <w:color w:val="000000"/>
              </w:rPr>
            </w:pPr>
            <w:r w:rsidRPr="5ECFBCA2">
              <w:rPr>
                <w:color w:val="000000" w:themeColor="text1"/>
              </w:rPr>
              <w:t>$</w:t>
            </w:r>
            <w:r w:rsidRPr="5ECFBCA2" w:rsidR="10AFD8FA">
              <w:rPr>
                <w:color w:val="000000" w:themeColor="text1"/>
              </w:rPr>
              <w:t>3,202,27</w:t>
            </w:r>
            <w:r w:rsidRPr="5ECFBCA2" w:rsidR="4304B306">
              <w:rPr>
                <w:color w:val="000000" w:themeColor="text1"/>
              </w:rPr>
              <w:t>0</w:t>
            </w:r>
            <w:r w:rsidRPr="5ECFBCA2">
              <w:rPr>
                <w:color w:val="000000" w:themeColor="text1"/>
              </w:rPr>
              <w:t xml:space="preserve"> </w:t>
            </w:r>
          </w:p>
        </w:tc>
      </w:tr>
      <w:tr w14:paraId="1D68E4A1"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4EB252B2" w14:textId="77777777">
            <w:pPr>
              <w:widowControl/>
              <w:autoSpaceDE/>
              <w:autoSpaceDN/>
              <w:adjustRightInd/>
              <w:jc w:val="center"/>
              <w:rPr>
                <w:color w:val="000000"/>
              </w:rPr>
            </w:pPr>
            <w:r w:rsidRPr="00957123">
              <w:rPr>
                <w:color w:val="000000"/>
              </w:rPr>
              <w:t>2</w:t>
            </w:r>
          </w:p>
        </w:tc>
        <w:tc>
          <w:tcPr>
            <w:tcW w:w="728" w:type="pct"/>
            <w:shd w:val="clear" w:color="auto" w:fill="auto"/>
            <w:tcMar>
              <w:left w:w="115" w:type="dxa"/>
              <w:right w:w="115" w:type="dxa"/>
            </w:tcMar>
            <w:vAlign w:val="center"/>
          </w:tcPr>
          <w:p w:rsidR="00F9139E" w:rsidRPr="00957123" w:rsidP="00F9139E" w14:paraId="2A1B48A3" w14:textId="5E8057A3">
            <w:pPr>
              <w:widowControl/>
              <w:autoSpaceDE/>
              <w:autoSpaceDN/>
              <w:adjustRightInd/>
              <w:jc w:val="center"/>
              <w:rPr>
                <w:color w:val="000000"/>
              </w:rPr>
            </w:pPr>
            <w:r w:rsidRPr="00957123">
              <w:rPr>
                <w:color w:val="000000" w:themeColor="text1"/>
              </w:rPr>
              <w:t>2,31</w:t>
            </w:r>
            <w:r w:rsidRPr="00957123" w:rsidR="55211947">
              <w:rPr>
                <w:color w:val="000000" w:themeColor="text1"/>
              </w:rPr>
              <w:t>5</w:t>
            </w:r>
          </w:p>
        </w:tc>
        <w:tc>
          <w:tcPr>
            <w:tcW w:w="729" w:type="pct"/>
            <w:shd w:val="clear" w:color="auto" w:fill="auto"/>
            <w:tcMar>
              <w:left w:w="115" w:type="dxa"/>
              <w:right w:w="115" w:type="dxa"/>
            </w:tcMar>
            <w:vAlign w:val="center"/>
          </w:tcPr>
          <w:p w:rsidR="00F9139E" w:rsidRPr="00957123" w:rsidP="00F9139E" w14:paraId="73BE641D" w14:textId="386AF889">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F9139E" w:rsidRPr="00957123" w:rsidP="00F9139E" w14:paraId="6A1390A3" w14:textId="7CAEDE4E">
            <w:pPr>
              <w:widowControl/>
              <w:autoSpaceDE/>
              <w:autoSpaceDN/>
              <w:adjustRightInd/>
              <w:jc w:val="center"/>
              <w:rPr>
                <w:color w:val="000000"/>
              </w:rPr>
            </w:pPr>
            <w:r w:rsidRPr="00957123">
              <w:rPr>
                <w:color w:val="000000" w:themeColor="text1"/>
              </w:rPr>
              <w:t>2,31</w:t>
            </w:r>
            <w:r w:rsidRPr="00957123" w:rsidR="2BD721E7">
              <w:rPr>
                <w:color w:val="000000" w:themeColor="text1"/>
              </w:rPr>
              <w:t>5</w:t>
            </w:r>
          </w:p>
        </w:tc>
        <w:tc>
          <w:tcPr>
            <w:tcW w:w="729" w:type="pct"/>
            <w:shd w:val="clear" w:color="auto" w:fill="auto"/>
            <w:tcMar>
              <w:left w:w="115" w:type="dxa"/>
              <w:right w:w="115" w:type="dxa"/>
            </w:tcMar>
            <w:vAlign w:val="center"/>
          </w:tcPr>
          <w:p w:rsidR="00F9139E" w:rsidRPr="00957123" w:rsidP="00F9139E" w14:paraId="0BA0B0D5" w14:textId="37632B7C">
            <w:pPr>
              <w:widowControl/>
              <w:autoSpaceDE/>
              <w:autoSpaceDN/>
              <w:adjustRightInd/>
              <w:jc w:val="center"/>
              <w:rPr>
                <w:color w:val="000000"/>
              </w:rPr>
            </w:pPr>
            <w:r w:rsidRPr="00957123">
              <w:rPr>
                <w:color w:val="000000"/>
              </w:rPr>
              <w:t>40</w:t>
            </w:r>
          </w:p>
        </w:tc>
        <w:tc>
          <w:tcPr>
            <w:tcW w:w="728" w:type="pct"/>
            <w:shd w:val="clear" w:color="auto" w:fill="auto"/>
            <w:tcMar>
              <w:left w:w="115" w:type="dxa"/>
              <w:right w:w="115" w:type="dxa"/>
            </w:tcMar>
            <w:vAlign w:val="center"/>
          </w:tcPr>
          <w:p w:rsidR="00F9139E" w:rsidRPr="00957123" w:rsidP="00F9139E" w14:paraId="2EAC9945" w14:textId="5B934B39">
            <w:pPr>
              <w:widowControl/>
              <w:autoSpaceDE/>
              <w:autoSpaceDN/>
              <w:adjustRightInd/>
              <w:jc w:val="center"/>
              <w:rPr>
                <w:color w:val="000000"/>
              </w:rPr>
            </w:pPr>
            <w:r w:rsidRPr="00957123">
              <w:rPr>
                <w:color w:val="000000" w:themeColor="text1"/>
              </w:rPr>
              <w:t>92,</w:t>
            </w:r>
            <w:r w:rsidRPr="00957123" w:rsidR="6D0AC850">
              <w:rPr>
                <w:color w:val="000000" w:themeColor="text1"/>
              </w:rPr>
              <w:t>600</w:t>
            </w:r>
          </w:p>
        </w:tc>
        <w:tc>
          <w:tcPr>
            <w:tcW w:w="728" w:type="pct"/>
            <w:shd w:val="clear" w:color="auto" w:fill="auto"/>
            <w:tcMar>
              <w:left w:w="115" w:type="dxa"/>
              <w:right w:w="115" w:type="dxa"/>
            </w:tcMar>
            <w:vAlign w:val="center"/>
          </w:tcPr>
          <w:p w:rsidR="00F9139E" w:rsidRPr="00957123" w:rsidP="5ECFBCA2" w14:paraId="2E80C741" w14:textId="552763B0">
            <w:pPr>
              <w:widowControl/>
              <w:spacing w:line="259" w:lineRule="auto"/>
              <w:jc w:val="center"/>
              <w:rPr>
                <w:color w:val="000000" w:themeColor="text1"/>
              </w:rPr>
            </w:pPr>
            <w:r w:rsidRPr="5ECFBCA2">
              <w:rPr>
                <w:color w:val="000000" w:themeColor="text1"/>
              </w:rPr>
              <w:t>$</w:t>
            </w:r>
            <w:r w:rsidRPr="5ECFBCA2" w:rsidR="6DC1D372">
              <w:rPr>
                <w:color w:val="000000" w:themeColor="text1"/>
              </w:rPr>
              <w:t>3,202,270</w:t>
            </w:r>
            <w:r w:rsidRPr="5ECFBCA2">
              <w:rPr>
                <w:color w:val="000000" w:themeColor="text1"/>
              </w:rPr>
              <w:t xml:space="preserve"> </w:t>
            </w:r>
          </w:p>
        </w:tc>
      </w:tr>
      <w:tr w14:paraId="63338167"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5C17AA10" w14:textId="77777777">
            <w:pPr>
              <w:widowControl/>
              <w:autoSpaceDE/>
              <w:autoSpaceDN/>
              <w:adjustRightInd/>
              <w:jc w:val="center"/>
              <w:rPr>
                <w:color w:val="000000"/>
              </w:rPr>
            </w:pPr>
            <w:r w:rsidRPr="00957123">
              <w:rPr>
                <w:color w:val="000000"/>
              </w:rPr>
              <w:t>3</w:t>
            </w:r>
          </w:p>
        </w:tc>
        <w:tc>
          <w:tcPr>
            <w:tcW w:w="728" w:type="pct"/>
            <w:shd w:val="clear" w:color="auto" w:fill="auto"/>
            <w:tcMar>
              <w:left w:w="115" w:type="dxa"/>
              <w:right w:w="115" w:type="dxa"/>
            </w:tcMar>
            <w:vAlign w:val="center"/>
          </w:tcPr>
          <w:p w:rsidR="00F9139E" w:rsidRPr="00957123" w:rsidP="00F9139E" w14:paraId="12E3FCC9" w14:textId="3AD4EBBC">
            <w:pPr>
              <w:widowControl/>
              <w:autoSpaceDE/>
              <w:autoSpaceDN/>
              <w:adjustRightInd/>
              <w:jc w:val="center"/>
              <w:rPr>
                <w:color w:val="000000"/>
              </w:rPr>
            </w:pPr>
            <w:r w:rsidRPr="00957123">
              <w:rPr>
                <w:color w:val="000000" w:themeColor="text1"/>
              </w:rPr>
              <w:t>2,31</w:t>
            </w:r>
            <w:r w:rsidRPr="00957123" w:rsidR="428D1615">
              <w:rPr>
                <w:color w:val="000000" w:themeColor="text1"/>
              </w:rPr>
              <w:t>5</w:t>
            </w:r>
          </w:p>
        </w:tc>
        <w:tc>
          <w:tcPr>
            <w:tcW w:w="729" w:type="pct"/>
            <w:shd w:val="clear" w:color="auto" w:fill="auto"/>
            <w:tcMar>
              <w:left w:w="115" w:type="dxa"/>
              <w:right w:w="115" w:type="dxa"/>
            </w:tcMar>
            <w:vAlign w:val="center"/>
          </w:tcPr>
          <w:p w:rsidR="00F9139E" w:rsidRPr="00957123" w:rsidP="00F9139E" w14:paraId="4F655DBF" w14:textId="30C21D92">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F9139E" w:rsidRPr="00957123" w:rsidP="00F9139E" w14:paraId="7ECA4119" w14:textId="15646DAE">
            <w:pPr>
              <w:widowControl/>
              <w:autoSpaceDE/>
              <w:autoSpaceDN/>
              <w:adjustRightInd/>
              <w:jc w:val="center"/>
              <w:rPr>
                <w:color w:val="000000"/>
              </w:rPr>
            </w:pPr>
            <w:r w:rsidRPr="00957123">
              <w:rPr>
                <w:color w:val="000000" w:themeColor="text1"/>
              </w:rPr>
              <w:t>2,31</w:t>
            </w:r>
            <w:r w:rsidRPr="00957123" w:rsidR="41D39CF5">
              <w:rPr>
                <w:color w:val="000000" w:themeColor="text1"/>
              </w:rPr>
              <w:t>5</w:t>
            </w:r>
          </w:p>
        </w:tc>
        <w:tc>
          <w:tcPr>
            <w:tcW w:w="729" w:type="pct"/>
            <w:shd w:val="clear" w:color="auto" w:fill="auto"/>
            <w:tcMar>
              <w:left w:w="115" w:type="dxa"/>
              <w:right w:w="115" w:type="dxa"/>
            </w:tcMar>
            <w:vAlign w:val="center"/>
          </w:tcPr>
          <w:p w:rsidR="00F9139E" w:rsidRPr="00957123" w:rsidP="00F9139E" w14:paraId="30305EAF" w14:textId="54C1D3E2">
            <w:pPr>
              <w:widowControl/>
              <w:autoSpaceDE/>
              <w:autoSpaceDN/>
              <w:adjustRightInd/>
              <w:jc w:val="center"/>
              <w:rPr>
                <w:color w:val="000000"/>
              </w:rPr>
            </w:pPr>
            <w:r w:rsidRPr="00957123">
              <w:rPr>
                <w:color w:val="000000"/>
              </w:rPr>
              <w:t>40</w:t>
            </w:r>
          </w:p>
        </w:tc>
        <w:tc>
          <w:tcPr>
            <w:tcW w:w="728" w:type="pct"/>
            <w:shd w:val="clear" w:color="auto" w:fill="auto"/>
            <w:tcMar>
              <w:left w:w="115" w:type="dxa"/>
              <w:right w:w="115" w:type="dxa"/>
            </w:tcMar>
            <w:vAlign w:val="center"/>
          </w:tcPr>
          <w:p w:rsidR="00F9139E" w:rsidRPr="00957123" w:rsidP="00F9139E" w14:paraId="4AAD2A21" w14:textId="48D072A5">
            <w:pPr>
              <w:widowControl/>
              <w:autoSpaceDE/>
              <w:autoSpaceDN/>
              <w:adjustRightInd/>
              <w:jc w:val="center"/>
              <w:rPr>
                <w:color w:val="000000"/>
              </w:rPr>
            </w:pPr>
            <w:r w:rsidRPr="00957123">
              <w:rPr>
                <w:color w:val="000000" w:themeColor="text1"/>
              </w:rPr>
              <w:t>92,</w:t>
            </w:r>
            <w:r w:rsidRPr="00957123" w:rsidR="6C13E9CB">
              <w:rPr>
                <w:color w:val="000000" w:themeColor="text1"/>
              </w:rPr>
              <w:t>600</w:t>
            </w:r>
          </w:p>
        </w:tc>
        <w:tc>
          <w:tcPr>
            <w:tcW w:w="728" w:type="pct"/>
            <w:shd w:val="clear" w:color="auto" w:fill="auto"/>
            <w:tcMar>
              <w:left w:w="115" w:type="dxa"/>
              <w:right w:w="115" w:type="dxa"/>
            </w:tcMar>
            <w:vAlign w:val="center"/>
          </w:tcPr>
          <w:p w:rsidR="00F9139E" w:rsidRPr="00957123" w:rsidP="15A85529" w14:paraId="7036038F" w14:textId="52746B5A">
            <w:pPr>
              <w:widowControl/>
              <w:autoSpaceDE/>
              <w:autoSpaceDN/>
              <w:adjustRightInd/>
              <w:jc w:val="center"/>
            </w:pPr>
            <w:r w:rsidRPr="5ECFBCA2">
              <w:rPr>
                <w:color w:val="000000" w:themeColor="text1"/>
              </w:rPr>
              <w:t>$</w:t>
            </w:r>
            <w:r w:rsidRPr="5ECFBCA2" w:rsidR="409942A7">
              <w:rPr>
                <w:color w:val="000000" w:themeColor="text1"/>
              </w:rPr>
              <w:t>3,202,270</w:t>
            </w:r>
          </w:p>
        </w:tc>
      </w:tr>
      <w:tr w14:paraId="448A9EE0"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49F84161" w14:textId="77777777">
            <w:pPr>
              <w:widowControl/>
              <w:autoSpaceDE/>
              <w:autoSpaceDN/>
              <w:adjustRightInd/>
              <w:jc w:val="center"/>
              <w:rPr>
                <w:color w:val="000000"/>
              </w:rPr>
            </w:pPr>
            <w:r w:rsidRPr="00957123">
              <w:rPr>
                <w:color w:val="000000"/>
              </w:rPr>
              <w:t>Total</w:t>
            </w:r>
          </w:p>
        </w:tc>
        <w:tc>
          <w:tcPr>
            <w:tcW w:w="728" w:type="pct"/>
            <w:shd w:val="clear" w:color="auto" w:fill="auto"/>
            <w:tcMar>
              <w:left w:w="115" w:type="dxa"/>
              <w:right w:w="115" w:type="dxa"/>
            </w:tcMar>
            <w:vAlign w:val="center"/>
          </w:tcPr>
          <w:p w:rsidR="00F9139E" w:rsidRPr="00957123" w:rsidP="00F9139E" w14:paraId="53F114D5" w14:textId="27FB4467">
            <w:pPr>
              <w:widowControl/>
              <w:autoSpaceDE/>
              <w:autoSpaceDN/>
              <w:adjustRightInd/>
              <w:jc w:val="center"/>
              <w:rPr>
                <w:color w:val="000000"/>
              </w:rPr>
            </w:pPr>
            <w:r w:rsidRPr="00957123">
              <w:rPr>
                <w:color w:val="000000" w:themeColor="text1"/>
              </w:rPr>
              <w:t>6,94</w:t>
            </w:r>
            <w:r w:rsidRPr="00957123" w:rsidR="55DAC7C6">
              <w:rPr>
                <w:color w:val="000000" w:themeColor="text1"/>
              </w:rPr>
              <w:t>5</w:t>
            </w:r>
          </w:p>
        </w:tc>
        <w:tc>
          <w:tcPr>
            <w:tcW w:w="729" w:type="pct"/>
            <w:shd w:val="clear" w:color="auto" w:fill="auto"/>
            <w:tcMar>
              <w:left w:w="115" w:type="dxa"/>
              <w:right w:w="115" w:type="dxa"/>
            </w:tcMar>
            <w:vAlign w:val="center"/>
          </w:tcPr>
          <w:p w:rsidR="00F9139E" w:rsidRPr="00957123" w:rsidP="00F9139E" w14:paraId="62B90D1D" w14:textId="2037039F">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F9139E" w:rsidRPr="00957123" w:rsidP="00F9139E" w14:paraId="7038F44A" w14:textId="6D7BDD7C">
            <w:pPr>
              <w:widowControl/>
              <w:autoSpaceDE/>
              <w:autoSpaceDN/>
              <w:adjustRightInd/>
              <w:jc w:val="center"/>
              <w:rPr>
                <w:color w:val="000000"/>
              </w:rPr>
            </w:pPr>
            <w:r w:rsidRPr="00957123">
              <w:rPr>
                <w:color w:val="000000" w:themeColor="text1"/>
              </w:rPr>
              <w:t>6,94</w:t>
            </w:r>
            <w:r w:rsidRPr="00957123" w:rsidR="0F281487">
              <w:rPr>
                <w:color w:val="000000" w:themeColor="text1"/>
              </w:rPr>
              <w:t>5</w:t>
            </w:r>
          </w:p>
        </w:tc>
        <w:tc>
          <w:tcPr>
            <w:tcW w:w="729" w:type="pct"/>
            <w:shd w:val="clear" w:color="auto" w:fill="auto"/>
            <w:tcMar>
              <w:left w:w="115" w:type="dxa"/>
              <w:right w:w="115" w:type="dxa"/>
            </w:tcMar>
            <w:vAlign w:val="center"/>
          </w:tcPr>
          <w:p w:rsidR="00F9139E" w:rsidRPr="00957123" w:rsidP="00F9139E" w14:paraId="5400A428" w14:textId="0868C05D">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F9139E" w:rsidRPr="00957123" w:rsidP="00F9139E" w14:paraId="37A67450" w14:textId="43ECD57C">
            <w:pPr>
              <w:widowControl/>
              <w:autoSpaceDE/>
              <w:autoSpaceDN/>
              <w:adjustRightInd/>
              <w:jc w:val="center"/>
              <w:rPr>
                <w:color w:val="000000"/>
              </w:rPr>
            </w:pPr>
            <w:r w:rsidRPr="00957123">
              <w:rPr>
                <w:color w:val="000000" w:themeColor="text1"/>
              </w:rPr>
              <w:t>277,</w:t>
            </w:r>
            <w:r w:rsidRPr="00957123" w:rsidR="24CDAC23">
              <w:rPr>
                <w:color w:val="000000" w:themeColor="text1"/>
              </w:rPr>
              <w:t>800</w:t>
            </w:r>
          </w:p>
        </w:tc>
        <w:tc>
          <w:tcPr>
            <w:tcW w:w="728" w:type="pct"/>
            <w:shd w:val="clear" w:color="auto" w:fill="auto"/>
            <w:tcMar>
              <w:left w:w="115" w:type="dxa"/>
              <w:right w:w="115" w:type="dxa"/>
            </w:tcMar>
            <w:vAlign w:val="center"/>
          </w:tcPr>
          <w:p w:rsidR="00F9139E" w:rsidRPr="00957123" w:rsidP="00F9139E" w14:paraId="07C8FC7B" w14:textId="5B3E952A">
            <w:pPr>
              <w:widowControl/>
              <w:autoSpaceDE/>
              <w:autoSpaceDN/>
              <w:adjustRightInd/>
              <w:jc w:val="center"/>
              <w:rPr>
                <w:color w:val="000000"/>
              </w:rPr>
            </w:pPr>
            <w:r w:rsidRPr="5ECFBCA2">
              <w:rPr>
                <w:color w:val="000000" w:themeColor="text1"/>
              </w:rPr>
              <w:t>$</w:t>
            </w:r>
            <w:r w:rsidRPr="5ECFBCA2" w:rsidR="5D8DD6E1">
              <w:rPr>
                <w:color w:val="000000" w:themeColor="text1"/>
              </w:rPr>
              <w:t>9,606,811</w:t>
            </w:r>
          </w:p>
        </w:tc>
      </w:tr>
      <w:tr w14:paraId="256EC574"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14FDC6F4" w14:textId="77777777">
            <w:pPr>
              <w:widowControl/>
              <w:autoSpaceDE/>
              <w:autoSpaceDN/>
              <w:adjustRightInd/>
              <w:jc w:val="center"/>
              <w:rPr>
                <w:color w:val="000000"/>
              </w:rPr>
            </w:pPr>
            <w:r w:rsidRPr="00957123">
              <w:rPr>
                <w:color w:val="000000"/>
              </w:rPr>
              <w:t>Annualized</w:t>
            </w:r>
          </w:p>
        </w:tc>
        <w:tc>
          <w:tcPr>
            <w:tcW w:w="728" w:type="pct"/>
            <w:shd w:val="clear" w:color="auto" w:fill="auto"/>
            <w:tcMar>
              <w:left w:w="115" w:type="dxa"/>
              <w:right w:w="115" w:type="dxa"/>
            </w:tcMar>
            <w:vAlign w:val="center"/>
          </w:tcPr>
          <w:p w:rsidR="00F9139E" w:rsidRPr="00957123" w:rsidP="00F9139E" w14:paraId="66C62E5E" w14:textId="367BA7A9">
            <w:pPr>
              <w:widowControl/>
              <w:autoSpaceDE/>
              <w:autoSpaceDN/>
              <w:adjustRightInd/>
              <w:jc w:val="center"/>
              <w:rPr>
                <w:color w:val="000000"/>
              </w:rPr>
            </w:pPr>
            <w:r w:rsidRPr="00957123">
              <w:rPr>
                <w:color w:val="000000" w:themeColor="text1"/>
              </w:rPr>
              <w:t>2,31</w:t>
            </w:r>
            <w:r w:rsidRPr="00957123" w:rsidR="10CE42F7">
              <w:rPr>
                <w:color w:val="000000" w:themeColor="text1"/>
              </w:rPr>
              <w:t>5</w:t>
            </w:r>
          </w:p>
        </w:tc>
        <w:tc>
          <w:tcPr>
            <w:tcW w:w="729" w:type="pct"/>
            <w:shd w:val="clear" w:color="auto" w:fill="auto"/>
            <w:tcMar>
              <w:left w:w="115" w:type="dxa"/>
              <w:right w:w="115" w:type="dxa"/>
            </w:tcMar>
            <w:vAlign w:val="center"/>
          </w:tcPr>
          <w:p w:rsidR="00F9139E" w:rsidRPr="00957123" w:rsidP="00F9139E" w14:paraId="5BEDC109" w14:textId="30319E2B">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F9139E" w:rsidRPr="00957123" w:rsidP="00F9139E" w14:paraId="4B135DE5" w14:textId="40DBBF0F">
            <w:pPr>
              <w:widowControl/>
              <w:autoSpaceDE/>
              <w:autoSpaceDN/>
              <w:adjustRightInd/>
              <w:jc w:val="center"/>
              <w:rPr>
                <w:color w:val="000000"/>
              </w:rPr>
            </w:pPr>
            <w:r w:rsidRPr="00957123">
              <w:rPr>
                <w:color w:val="000000" w:themeColor="text1"/>
              </w:rPr>
              <w:t>2,31</w:t>
            </w:r>
            <w:r w:rsidRPr="00957123" w:rsidR="528CC414">
              <w:rPr>
                <w:color w:val="000000" w:themeColor="text1"/>
              </w:rPr>
              <w:t>5</w:t>
            </w:r>
          </w:p>
        </w:tc>
        <w:tc>
          <w:tcPr>
            <w:tcW w:w="729" w:type="pct"/>
            <w:shd w:val="clear" w:color="auto" w:fill="auto"/>
            <w:tcMar>
              <w:left w:w="115" w:type="dxa"/>
              <w:right w:w="115" w:type="dxa"/>
            </w:tcMar>
            <w:vAlign w:val="center"/>
          </w:tcPr>
          <w:p w:rsidR="00F9139E" w:rsidRPr="00957123" w:rsidP="00F9139E" w14:paraId="4105FC0C" w14:textId="28CC8E51">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F9139E" w:rsidRPr="00957123" w:rsidP="00F9139E" w14:paraId="1DA33ABE" w14:textId="493D72EC">
            <w:pPr>
              <w:widowControl/>
              <w:autoSpaceDE/>
              <w:autoSpaceDN/>
              <w:adjustRightInd/>
              <w:jc w:val="center"/>
              <w:rPr>
                <w:color w:val="000000"/>
              </w:rPr>
            </w:pPr>
            <w:r w:rsidRPr="00957123">
              <w:rPr>
                <w:color w:val="000000" w:themeColor="text1"/>
              </w:rPr>
              <w:t>92,</w:t>
            </w:r>
            <w:r w:rsidRPr="00957123" w:rsidR="61270A47">
              <w:rPr>
                <w:color w:val="000000" w:themeColor="text1"/>
              </w:rPr>
              <w:t>600</w:t>
            </w:r>
          </w:p>
        </w:tc>
        <w:tc>
          <w:tcPr>
            <w:tcW w:w="728" w:type="pct"/>
            <w:shd w:val="clear" w:color="auto" w:fill="auto"/>
            <w:tcMar>
              <w:left w:w="115" w:type="dxa"/>
              <w:right w:w="115" w:type="dxa"/>
            </w:tcMar>
            <w:vAlign w:val="center"/>
          </w:tcPr>
          <w:p w:rsidR="00F9139E" w:rsidRPr="00957123" w:rsidP="5ECFBCA2" w14:paraId="1A115175" w14:textId="128CFA22">
            <w:pPr>
              <w:widowControl/>
              <w:spacing w:line="259" w:lineRule="auto"/>
              <w:jc w:val="center"/>
            </w:pPr>
            <w:r w:rsidRPr="5ECFBCA2">
              <w:rPr>
                <w:color w:val="000000" w:themeColor="text1"/>
              </w:rPr>
              <w:t>$</w:t>
            </w:r>
            <w:r w:rsidRPr="5ECFBCA2" w:rsidR="413BD552">
              <w:rPr>
                <w:color w:val="000000" w:themeColor="text1"/>
              </w:rPr>
              <w:t>3,202,270</w:t>
            </w:r>
          </w:p>
        </w:tc>
      </w:tr>
    </w:tbl>
    <w:p w:rsidR="00FA4698" w:rsidRPr="007E65CF" w:rsidP="00722B85" w14:paraId="34C83ACF" w14:textId="77777777">
      <w:pPr>
        <w:widowControl/>
        <w:rPr>
          <w:sz w:val="18"/>
          <w:szCs w:val="18"/>
        </w:rPr>
      </w:pPr>
      <w:r>
        <w:rPr>
          <w:sz w:val="18"/>
          <w:szCs w:val="18"/>
        </w:rPr>
        <w:t>Totals are the product of unrounded components</w:t>
      </w:r>
      <w:r w:rsidRPr="007E65CF">
        <w:rPr>
          <w:sz w:val="18"/>
          <w:szCs w:val="18"/>
        </w:rPr>
        <w:t>.</w:t>
      </w:r>
    </w:p>
    <w:p w:rsidR="00B66B0D" w:rsidP="00722B85" w14:paraId="2599C5B7" w14:textId="77777777">
      <w:pPr>
        <w:widowControl/>
      </w:pPr>
    </w:p>
    <w:p w:rsidR="00E06196" w:rsidP="00722B85" w14:paraId="1742B767" w14:textId="1FE9A585">
      <w:pPr>
        <w:widowControl/>
      </w:pPr>
      <w:r>
        <w:t xml:space="preserve">All </w:t>
      </w:r>
      <w:r w:rsidR="5D953F93">
        <w:t>35</w:t>
      </w:r>
      <w:r w:rsidR="000E7485">
        <w:t>,0</w:t>
      </w:r>
      <w:r w:rsidR="005244A8">
        <w:t>9</w:t>
      </w:r>
      <w:r w:rsidR="002CF30B">
        <w:t>9</w:t>
      </w:r>
      <w:r>
        <w:t xml:space="preserve"> CDL examiners will have their criminal background check processed and evaluated at the time of their training and examination.  As shown in </w:t>
      </w:r>
      <w:r>
        <w:fldChar w:fldCharType="begin"/>
      </w:r>
      <w:r>
        <w:instrText xml:space="preserve"> REF _Ref508703360 \h  \* MERGEFORMAT </w:instrText>
      </w:r>
      <w:r>
        <w:fldChar w:fldCharType="separate"/>
      </w:r>
      <w:r w:rsidR="006A6CBC">
        <w:t xml:space="preserve">Table </w:t>
      </w:r>
      <w:r w:rsidRPr="5ECFBCA2" w:rsidR="006A6CBC">
        <w:rPr>
          <w:noProof/>
        </w:rPr>
        <w:t>22</w:t>
      </w:r>
      <w:r>
        <w:fldChar w:fldCharType="end"/>
      </w:r>
      <w:r>
        <w:t xml:space="preserve">, this results in </w:t>
      </w:r>
      <w:r w:rsidR="40D7D2F1">
        <w:t>11</w:t>
      </w:r>
      <w:r w:rsidR="00F9139E">
        <w:t>,</w:t>
      </w:r>
      <w:r w:rsidR="418CF17C">
        <w:t>700</w:t>
      </w:r>
      <w:r w:rsidR="00F9139E">
        <w:t xml:space="preserve"> a</w:t>
      </w:r>
      <w:r>
        <w:t>nnual background checks (</w:t>
      </w:r>
      <w:r w:rsidR="57F526F9">
        <w:t>35,099</w:t>
      </w:r>
      <w:r>
        <w:t xml:space="preserve"> ÷ 3) and </w:t>
      </w:r>
      <w:r w:rsidR="560CADE3">
        <w:t>2,925</w:t>
      </w:r>
      <w:r>
        <w:t xml:space="preserve"> burden hours, costing $</w:t>
      </w:r>
      <w:r w:rsidR="2DBCE2BB">
        <w:t>83,984</w:t>
      </w:r>
      <w:r>
        <w:t>.</w:t>
      </w:r>
    </w:p>
    <w:p w:rsidR="00E06196" w:rsidP="00722B85" w14:paraId="7582AD8D" w14:textId="77777777">
      <w:pPr>
        <w:widowControl/>
      </w:pPr>
    </w:p>
    <w:p w:rsidR="006C3234" w:rsidP="00722B85" w14:paraId="1C47A3AF" w14:textId="77777777">
      <w:pPr>
        <w:widowControl/>
      </w:pPr>
    </w:p>
    <w:p w:rsidR="00E06196" w:rsidRPr="00D64E77" w:rsidP="00722B85" w14:paraId="3148F0D6" w14:textId="45F5E688">
      <w:pPr>
        <w:pStyle w:val="Caption"/>
        <w:keepNext/>
        <w:widowControl/>
      </w:pPr>
      <w:bookmarkStart w:id="36" w:name="_Ref508703360"/>
      <w:r w:rsidRPr="00D64E77">
        <w:t xml:space="preserve">Table </w:t>
      </w:r>
      <w:r>
        <w:fldChar w:fldCharType="begin"/>
      </w:r>
      <w:r>
        <w:instrText>SEQ Table \* ARABIC</w:instrText>
      </w:r>
      <w:r>
        <w:fldChar w:fldCharType="separate"/>
      </w:r>
      <w:r w:rsidR="006A6CBC">
        <w:rPr>
          <w:noProof/>
        </w:rPr>
        <w:t>22</w:t>
      </w:r>
      <w:r>
        <w:fldChar w:fldCharType="end"/>
      </w:r>
      <w:bookmarkEnd w:id="36"/>
      <w:r w:rsidRPr="00D64E77">
        <w:t xml:space="preserve">. Criminal </w:t>
      </w:r>
      <w:r w:rsidRPr="00D64E77" w:rsidR="002D66E6">
        <w:t>Background Check Processing and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479"/>
        <w:gridCol w:w="1289"/>
        <w:gridCol w:w="1360"/>
        <w:gridCol w:w="980"/>
        <w:gridCol w:w="1146"/>
        <w:gridCol w:w="1819"/>
      </w:tblGrid>
      <w:tr w14:paraId="5FBE01D9"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trPr>
        <w:tc>
          <w:tcPr>
            <w:tcW w:w="1277" w:type="dxa"/>
            <w:shd w:val="clear" w:color="auto" w:fill="E0E0E0"/>
            <w:tcMar>
              <w:left w:w="0" w:type="dxa"/>
              <w:right w:w="0" w:type="dxa"/>
            </w:tcMar>
            <w:vAlign w:val="bottom"/>
            <w:hideMark/>
          </w:tcPr>
          <w:p w:rsidR="00E06196" w:rsidRPr="00957123" w:rsidP="00EB7D1F" w14:paraId="564C09E6" w14:textId="77777777">
            <w:pPr>
              <w:widowControl/>
              <w:autoSpaceDE/>
              <w:autoSpaceDN/>
              <w:adjustRightInd/>
              <w:jc w:val="center"/>
              <w:rPr>
                <w:b/>
                <w:bCs/>
                <w:color w:val="000000"/>
              </w:rPr>
            </w:pPr>
            <w:r w:rsidRPr="00957123">
              <w:rPr>
                <w:b/>
                <w:bCs/>
                <w:color w:val="000000"/>
              </w:rPr>
              <w:t>Year</w:t>
            </w:r>
          </w:p>
        </w:tc>
        <w:tc>
          <w:tcPr>
            <w:tcW w:w="1479" w:type="dxa"/>
            <w:shd w:val="clear" w:color="auto" w:fill="E0E0E0"/>
            <w:tcMar>
              <w:left w:w="0" w:type="dxa"/>
              <w:right w:w="0" w:type="dxa"/>
            </w:tcMar>
            <w:vAlign w:val="bottom"/>
            <w:hideMark/>
          </w:tcPr>
          <w:p w:rsidR="00E06196" w:rsidRPr="00957123" w:rsidP="00EB7D1F" w14:paraId="3E249352" w14:textId="77777777">
            <w:pPr>
              <w:widowControl/>
              <w:autoSpaceDE/>
              <w:autoSpaceDN/>
              <w:adjustRightInd/>
              <w:jc w:val="center"/>
              <w:rPr>
                <w:b/>
                <w:bCs/>
                <w:color w:val="000000"/>
              </w:rPr>
            </w:pPr>
            <w:r w:rsidRPr="00957123">
              <w:rPr>
                <w:b/>
                <w:bCs/>
                <w:color w:val="000000"/>
              </w:rPr>
              <w:t>Number of Respondents</w:t>
            </w:r>
            <w:r w:rsidRPr="00957123">
              <w:rPr>
                <w:b/>
                <w:bCs/>
                <w:color w:val="000000"/>
              </w:rPr>
              <w:br/>
              <w:t>(a)</w:t>
            </w:r>
          </w:p>
        </w:tc>
        <w:tc>
          <w:tcPr>
            <w:tcW w:w="1289" w:type="dxa"/>
            <w:shd w:val="clear" w:color="auto" w:fill="E0E0E0"/>
            <w:tcMar>
              <w:left w:w="0" w:type="dxa"/>
              <w:right w:w="0" w:type="dxa"/>
            </w:tcMar>
            <w:vAlign w:val="bottom"/>
            <w:hideMark/>
          </w:tcPr>
          <w:p w:rsidR="00E06196" w:rsidRPr="00957123" w:rsidP="00EB7D1F" w14:paraId="1C3497AB" w14:textId="77777777">
            <w:pPr>
              <w:widowControl/>
              <w:autoSpaceDE/>
              <w:autoSpaceDN/>
              <w:adjustRightInd/>
              <w:jc w:val="center"/>
              <w:rPr>
                <w:b/>
                <w:bCs/>
                <w:color w:val="000000"/>
              </w:rPr>
            </w:pPr>
            <w:r w:rsidRPr="00957123">
              <w:rPr>
                <w:b/>
                <w:bCs/>
                <w:color w:val="000000"/>
              </w:rPr>
              <w:t>Responses per Respondent</w:t>
            </w:r>
            <w:r w:rsidRPr="00957123">
              <w:rPr>
                <w:b/>
                <w:bCs/>
                <w:color w:val="000000"/>
              </w:rPr>
              <w:br/>
              <w:t>(b)</w:t>
            </w:r>
          </w:p>
        </w:tc>
        <w:tc>
          <w:tcPr>
            <w:tcW w:w="1360" w:type="dxa"/>
            <w:shd w:val="clear" w:color="auto" w:fill="E0E0E0"/>
            <w:tcMar>
              <w:left w:w="0" w:type="dxa"/>
              <w:right w:w="0" w:type="dxa"/>
            </w:tcMar>
            <w:vAlign w:val="bottom"/>
            <w:hideMark/>
          </w:tcPr>
          <w:p w:rsidR="00E06196" w:rsidRPr="00957123" w:rsidP="00EB7D1F" w14:paraId="28AB3DA9" w14:textId="77777777">
            <w:pPr>
              <w:widowControl/>
              <w:autoSpaceDE/>
              <w:autoSpaceDN/>
              <w:adjustRightInd/>
              <w:jc w:val="center"/>
              <w:rPr>
                <w:b/>
                <w:bCs/>
                <w:color w:val="000000"/>
              </w:rPr>
            </w:pPr>
            <w:r w:rsidRPr="00957123">
              <w:rPr>
                <w:b/>
                <w:bCs/>
                <w:color w:val="000000"/>
              </w:rPr>
              <w:t>Total Annual Responses</w:t>
            </w:r>
            <w:r w:rsidRPr="00957123">
              <w:rPr>
                <w:b/>
                <w:bCs/>
                <w:color w:val="000000"/>
              </w:rPr>
              <w:br/>
              <w:t>(a × b = c)</w:t>
            </w:r>
          </w:p>
        </w:tc>
        <w:tc>
          <w:tcPr>
            <w:tcW w:w="980" w:type="dxa"/>
            <w:shd w:val="clear" w:color="auto" w:fill="E0E0E0"/>
            <w:tcMar>
              <w:left w:w="0" w:type="dxa"/>
              <w:right w:w="0" w:type="dxa"/>
            </w:tcMar>
            <w:vAlign w:val="bottom"/>
            <w:hideMark/>
          </w:tcPr>
          <w:p w:rsidR="00E06196" w:rsidRPr="00957123" w:rsidP="00EB7D1F" w14:paraId="4C693B42" w14:textId="77777777">
            <w:pPr>
              <w:widowControl/>
              <w:autoSpaceDE/>
              <w:autoSpaceDN/>
              <w:adjustRightInd/>
              <w:jc w:val="center"/>
              <w:rPr>
                <w:b/>
                <w:bCs/>
                <w:color w:val="000000"/>
              </w:rPr>
            </w:pPr>
            <w:r w:rsidRPr="00957123">
              <w:rPr>
                <w:b/>
                <w:bCs/>
                <w:color w:val="000000"/>
              </w:rPr>
              <w:t>Burden Hours per Response</w:t>
            </w:r>
            <w:r w:rsidRPr="00957123">
              <w:rPr>
                <w:b/>
                <w:bCs/>
                <w:color w:val="000000"/>
              </w:rPr>
              <w:br/>
              <w:t>(d)</w:t>
            </w:r>
          </w:p>
        </w:tc>
        <w:tc>
          <w:tcPr>
            <w:tcW w:w="1146" w:type="dxa"/>
            <w:shd w:val="clear" w:color="auto" w:fill="E0E0E0"/>
            <w:tcMar>
              <w:left w:w="0" w:type="dxa"/>
              <w:right w:w="0" w:type="dxa"/>
            </w:tcMar>
            <w:vAlign w:val="bottom"/>
            <w:hideMark/>
          </w:tcPr>
          <w:p w:rsidR="00E06196" w:rsidRPr="00957123" w:rsidP="00EB7D1F" w14:paraId="7C133C06" w14:textId="77777777">
            <w:pPr>
              <w:widowControl/>
              <w:autoSpaceDE/>
              <w:autoSpaceDN/>
              <w:adjustRightInd/>
              <w:jc w:val="center"/>
              <w:rPr>
                <w:b/>
                <w:bCs/>
                <w:color w:val="000000"/>
              </w:rPr>
            </w:pPr>
            <w:r w:rsidRPr="00957123">
              <w:rPr>
                <w:b/>
                <w:bCs/>
                <w:color w:val="000000"/>
              </w:rPr>
              <w:t>Total Annual Burden Hours</w:t>
            </w:r>
            <w:r w:rsidRPr="00957123">
              <w:rPr>
                <w:b/>
                <w:bCs/>
                <w:color w:val="000000"/>
              </w:rPr>
              <w:br/>
              <w:t>(c × d = e)</w:t>
            </w:r>
          </w:p>
        </w:tc>
        <w:tc>
          <w:tcPr>
            <w:tcW w:w="1819" w:type="dxa"/>
            <w:shd w:val="clear" w:color="auto" w:fill="E0E0E0"/>
            <w:tcMar>
              <w:left w:w="0" w:type="dxa"/>
              <w:right w:w="0" w:type="dxa"/>
            </w:tcMar>
            <w:vAlign w:val="bottom"/>
            <w:hideMark/>
          </w:tcPr>
          <w:p w:rsidR="00E06196" w:rsidRPr="00957123" w:rsidP="00EB7D1F" w14:paraId="08F2A559" w14:textId="712F5CB0">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0E12241A">
              <w:rPr>
                <w:b/>
                <w:bCs/>
                <w:color w:val="000000" w:themeColor="text1"/>
              </w:rPr>
              <w:t>28.71</w:t>
            </w:r>
            <w:r w:rsidRPr="5ECFBCA2">
              <w:rPr>
                <w:b/>
                <w:bCs/>
                <w:color w:val="000000" w:themeColor="text1"/>
              </w:rPr>
              <w:t xml:space="preserve"> = f)</w:t>
            </w:r>
          </w:p>
        </w:tc>
      </w:tr>
      <w:tr w14:paraId="32793858" w14:textId="77777777" w:rsidTr="5ECFBCA2">
        <w:tblPrEx>
          <w:tblW w:w="5000" w:type="pct"/>
          <w:tblLayout w:type="fixed"/>
          <w:tblLook w:val="04A0"/>
        </w:tblPrEx>
        <w:trPr>
          <w:trHeight w:val="270"/>
        </w:trPr>
        <w:tc>
          <w:tcPr>
            <w:tcW w:w="1277" w:type="dxa"/>
            <w:shd w:val="clear" w:color="auto" w:fill="auto"/>
            <w:tcMar>
              <w:left w:w="115" w:type="dxa"/>
              <w:right w:w="115" w:type="dxa"/>
            </w:tcMar>
            <w:vAlign w:val="bottom"/>
            <w:hideMark/>
          </w:tcPr>
          <w:p w:rsidR="00F9139E" w:rsidRPr="00957123" w:rsidP="00F9139E" w14:paraId="1759DCB8" w14:textId="77777777">
            <w:pPr>
              <w:widowControl/>
              <w:autoSpaceDE/>
              <w:autoSpaceDN/>
              <w:adjustRightInd/>
              <w:jc w:val="center"/>
              <w:rPr>
                <w:color w:val="000000"/>
              </w:rPr>
            </w:pPr>
            <w:r w:rsidRPr="00957123">
              <w:rPr>
                <w:color w:val="000000"/>
              </w:rPr>
              <w:t>1</w:t>
            </w:r>
          </w:p>
        </w:tc>
        <w:tc>
          <w:tcPr>
            <w:tcW w:w="1479" w:type="dxa"/>
            <w:shd w:val="clear" w:color="auto" w:fill="auto"/>
            <w:tcMar>
              <w:left w:w="115" w:type="dxa"/>
              <w:right w:w="115" w:type="dxa"/>
            </w:tcMar>
            <w:vAlign w:val="center"/>
          </w:tcPr>
          <w:p w:rsidR="00F9139E" w:rsidRPr="00957123" w:rsidP="00957123" w14:paraId="6D752E1F" w14:textId="16C76CCB">
            <w:pPr>
              <w:widowControl/>
              <w:spacing w:line="259" w:lineRule="auto"/>
              <w:jc w:val="center"/>
            </w:pPr>
            <w:r w:rsidRPr="00957123">
              <w:rPr>
                <w:color w:val="000000" w:themeColor="text1"/>
              </w:rPr>
              <w:t>11,700</w:t>
            </w:r>
          </w:p>
        </w:tc>
        <w:tc>
          <w:tcPr>
            <w:tcW w:w="1289" w:type="dxa"/>
            <w:shd w:val="clear" w:color="auto" w:fill="auto"/>
            <w:tcMar>
              <w:left w:w="115" w:type="dxa"/>
              <w:right w:w="115" w:type="dxa"/>
            </w:tcMar>
            <w:vAlign w:val="center"/>
          </w:tcPr>
          <w:p w:rsidR="00F9139E" w:rsidRPr="00957123" w:rsidP="00F9139E" w14:paraId="43774CB4" w14:textId="272D8608">
            <w:pPr>
              <w:widowControl/>
              <w:autoSpaceDE/>
              <w:autoSpaceDN/>
              <w:adjustRightInd/>
              <w:jc w:val="center"/>
              <w:rPr>
                <w:color w:val="000000"/>
              </w:rPr>
            </w:pPr>
            <w:r w:rsidRPr="00957123">
              <w:rPr>
                <w:color w:val="000000"/>
              </w:rPr>
              <w:t>1</w:t>
            </w:r>
          </w:p>
        </w:tc>
        <w:tc>
          <w:tcPr>
            <w:tcW w:w="1360" w:type="dxa"/>
            <w:shd w:val="clear" w:color="auto" w:fill="auto"/>
            <w:tcMar>
              <w:left w:w="115" w:type="dxa"/>
              <w:right w:w="115" w:type="dxa"/>
            </w:tcMar>
            <w:vAlign w:val="center"/>
          </w:tcPr>
          <w:p w:rsidR="00F9139E" w:rsidRPr="00957123" w:rsidP="00957123" w14:paraId="52C66F87" w14:textId="7BA56EC6">
            <w:pPr>
              <w:widowControl/>
              <w:spacing w:line="259" w:lineRule="auto"/>
              <w:jc w:val="center"/>
            </w:pPr>
            <w:r w:rsidRPr="00957123">
              <w:rPr>
                <w:color w:val="000000" w:themeColor="text1"/>
              </w:rPr>
              <w:t xml:space="preserve"> 11,700</w:t>
            </w:r>
          </w:p>
        </w:tc>
        <w:tc>
          <w:tcPr>
            <w:tcW w:w="980" w:type="dxa"/>
            <w:shd w:val="clear" w:color="auto" w:fill="auto"/>
            <w:tcMar>
              <w:left w:w="115" w:type="dxa"/>
              <w:right w:w="115" w:type="dxa"/>
            </w:tcMar>
            <w:vAlign w:val="center"/>
          </w:tcPr>
          <w:p w:rsidR="00F9139E" w:rsidRPr="00957123" w:rsidP="00F9139E" w14:paraId="21B17B97" w14:textId="5CF1ABFB">
            <w:pPr>
              <w:widowControl/>
              <w:autoSpaceDE/>
              <w:autoSpaceDN/>
              <w:adjustRightInd/>
              <w:jc w:val="center"/>
              <w:rPr>
                <w:color w:val="000000"/>
              </w:rPr>
            </w:pPr>
            <w:r w:rsidRPr="00957123">
              <w:rPr>
                <w:color w:val="000000"/>
              </w:rPr>
              <w:t>0.25</w:t>
            </w:r>
          </w:p>
        </w:tc>
        <w:tc>
          <w:tcPr>
            <w:tcW w:w="1146" w:type="dxa"/>
            <w:shd w:val="clear" w:color="auto" w:fill="auto"/>
            <w:tcMar>
              <w:left w:w="115" w:type="dxa"/>
              <w:right w:w="115" w:type="dxa"/>
            </w:tcMar>
            <w:vAlign w:val="center"/>
          </w:tcPr>
          <w:p w:rsidR="00F9139E" w:rsidRPr="00957123" w:rsidP="00957123" w14:paraId="30DF18C3" w14:textId="1497A9A1">
            <w:pPr>
              <w:widowControl/>
              <w:spacing w:line="259" w:lineRule="auto"/>
              <w:jc w:val="center"/>
              <w:rPr>
                <w:color w:val="000000" w:themeColor="text1"/>
              </w:rPr>
            </w:pPr>
            <w:r w:rsidRPr="00957123">
              <w:rPr>
                <w:color w:val="000000" w:themeColor="text1"/>
              </w:rPr>
              <w:t xml:space="preserve"> 2,925</w:t>
            </w:r>
          </w:p>
        </w:tc>
        <w:tc>
          <w:tcPr>
            <w:tcW w:w="1819" w:type="dxa"/>
            <w:shd w:val="clear" w:color="auto" w:fill="auto"/>
            <w:tcMar>
              <w:left w:w="115" w:type="dxa"/>
              <w:right w:w="115" w:type="dxa"/>
            </w:tcMar>
            <w:vAlign w:val="center"/>
          </w:tcPr>
          <w:p w:rsidR="00F9139E" w:rsidRPr="00957123" w:rsidP="5ECFBCA2" w14:paraId="79C5C08F" w14:textId="75258CF4">
            <w:pPr>
              <w:widowControl/>
              <w:spacing w:line="259" w:lineRule="auto"/>
              <w:jc w:val="center"/>
            </w:pPr>
            <w:r w:rsidRPr="5ECFBCA2">
              <w:rPr>
                <w:color w:val="000000" w:themeColor="text1"/>
              </w:rPr>
              <w:t>$</w:t>
            </w:r>
            <w:r w:rsidRPr="5ECFBCA2" w:rsidR="483DAB20">
              <w:rPr>
                <w:color w:val="000000" w:themeColor="text1"/>
              </w:rPr>
              <w:t>83,984</w:t>
            </w:r>
          </w:p>
        </w:tc>
      </w:tr>
      <w:tr w14:paraId="7CF6FA30" w14:textId="77777777" w:rsidTr="5ECFBCA2">
        <w:tblPrEx>
          <w:tblW w:w="5000" w:type="pct"/>
          <w:tblLayout w:type="fixed"/>
          <w:tblLook w:val="04A0"/>
        </w:tblPrEx>
        <w:trPr>
          <w:trHeight w:val="270"/>
        </w:trPr>
        <w:tc>
          <w:tcPr>
            <w:tcW w:w="1277" w:type="dxa"/>
            <w:shd w:val="clear" w:color="auto" w:fill="auto"/>
            <w:tcMar>
              <w:left w:w="115" w:type="dxa"/>
              <w:right w:w="115" w:type="dxa"/>
            </w:tcMar>
            <w:vAlign w:val="bottom"/>
            <w:hideMark/>
          </w:tcPr>
          <w:p w:rsidR="00F9139E" w:rsidRPr="00957123" w:rsidP="00F9139E" w14:paraId="6F734E53" w14:textId="77777777">
            <w:pPr>
              <w:widowControl/>
              <w:autoSpaceDE/>
              <w:autoSpaceDN/>
              <w:adjustRightInd/>
              <w:jc w:val="center"/>
              <w:rPr>
                <w:color w:val="000000"/>
              </w:rPr>
            </w:pPr>
            <w:r w:rsidRPr="00957123">
              <w:rPr>
                <w:color w:val="000000"/>
              </w:rPr>
              <w:t>2</w:t>
            </w:r>
          </w:p>
        </w:tc>
        <w:tc>
          <w:tcPr>
            <w:tcW w:w="1479" w:type="dxa"/>
            <w:shd w:val="clear" w:color="auto" w:fill="auto"/>
            <w:tcMar>
              <w:left w:w="115" w:type="dxa"/>
              <w:right w:w="115" w:type="dxa"/>
            </w:tcMar>
            <w:vAlign w:val="center"/>
          </w:tcPr>
          <w:p w:rsidR="00F9139E" w:rsidRPr="00957123" w:rsidP="760FFB28" w14:paraId="3590B57F" w14:textId="5D16B363">
            <w:pPr>
              <w:widowControl/>
              <w:autoSpaceDE/>
              <w:autoSpaceDN/>
              <w:adjustRightInd/>
              <w:jc w:val="center"/>
            </w:pPr>
            <w:r w:rsidRPr="00957123">
              <w:rPr>
                <w:color w:val="000000" w:themeColor="text1"/>
              </w:rPr>
              <w:t>11,700</w:t>
            </w:r>
          </w:p>
        </w:tc>
        <w:tc>
          <w:tcPr>
            <w:tcW w:w="1289" w:type="dxa"/>
            <w:shd w:val="clear" w:color="auto" w:fill="auto"/>
            <w:tcMar>
              <w:left w:w="115" w:type="dxa"/>
              <w:right w:w="115" w:type="dxa"/>
            </w:tcMar>
            <w:vAlign w:val="center"/>
          </w:tcPr>
          <w:p w:rsidR="00F9139E" w:rsidRPr="00957123" w:rsidP="00F9139E" w14:paraId="0B8F9FFB" w14:textId="4E4E136F">
            <w:pPr>
              <w:widowControl/>
              <w:autoSpaceDE/>
              <w:autoSpaceDN/>
              <w:adjustRightInd/>
              <w:jc w:val="center"/>
              <w:rPr>
                <w:color w:val="000000"/>
              </w:rPr>
            </w:pPr>
            <w:r w:rsidRPr="00957123">
              <w:rPr>
                <w:color w:val="000000"/>
              </w:rPr>
              <w:t>1</w:t>
            </w:r>
          </w:p>
        </w:tc>
        <w:tc>
          <w:tcPr>
            <w:tcW w:w="1360" w:type="dxa"/>
            <w:shd w:val="clear" w:color="auto" w:fill="auto"/>
            <w:tcMar>
              <w:left w:w="115" w:type="dxa"/>
              <w:right w:w="115" w:type="dxa"/>
            </w:tcMar>
            <w:vAlign w:val="center"/>
          </w:tcPr>
          <w:p w:rsidR="00F9139E" w:rsidRPr="00957123" w:rsidP="760FFB28" w14:paraId="1FF927AB" w14:textId="4AECBDEC">
            <w:pPr>
              <w:widowControl/>
              <w:autoSpaceDE/>
              <w:autoSpaceDN/>
              <w:adjustRightInd/>
              <w:jc w:val="center"/>
            </w:pPr>
            <w:r w:rsidRPr="00957123">
              <w:rPr>
                <w:color w:val="000000" w:themeColor="text1"/>
              </w:rPr>
              <w:t>11,700</w:t>
            </w:r>
          </w:p>
        </w:tc>
        <w:tc>
          <w:tcPr>
            <w:tcW w:w="980" w:type="dxa"/>
            <w:shd w:val="clear" w:color="auto" w:fill="auto"/>
            <w:tcMar>
              <w:left w:w="115" w:type="dxa"/>
              <w:right w:w="115" w:type="dxa"/>
            </w:tcMar>
            <w:vAlign w:val="center"/>
          </w:tcPr>
          <w:p w:rsidR="00F9139E" w:rsidRPr="00957123" w:rsidP="00F9139E" w14:paraId="3473898A" w14:textId="228AA82A">
            <w:pPr>
              <w:widowControl/>
              <w:autoSpaceDE/>
              <w:autoSpaceDN/>
              <w:adjustRightInd/>
              <w:jc w:val="center"/>
              <w:rPr>
                <w:color w:val="000000"/>
              </w:rPr>
            </w:pPr>
            <w:r w:rsidRPr="00957123">
              <w:rPr>
                <w:color w:val="000000"/>
              </w:rPr>
              <w:t>0.25</w:t>
            </w:r>
          </w:p>
        </w:tc>
        <w:tc>
          <w:tcPr>
            <w:tcW w:w="1146" w:type="dxa"/>
            <w:shd w:val="clear" w:color="auto" w:fill="auto"/>
            <w:tcMar>
              <w:left w:w="115" w:type="dxa"/>
              <w:right w:w="115" w:type="dxa"/>
            </w:tcMar>
            <w:vAlign w:val="center"/>
          </w:tcPr>
          <w:p w:rsidR="00F9139E" w:rsidRPr="00957123" w:rsidP="760FFB28" w14:paraId="4F70325F" w14:textId="773EE238">
            <w:pPr>
              <w:widowControl/>
              <w:autoSpaceDE/>
              <w:autoSpaceDN/>
              <w:adjustRightInd/>
              <w:jc w:val="center"/>
              <w:rPr>
                <w:color w:val="000000"/>
              </w:rPr>
            </w:pPr>
            <w:r w:rsidRPr="00957123">
              <w:rPr>
                <w:color w:val="000000" w:themeColor="text1"/>
              </w:rPr>
              <w:t>2,925</w:t>
            </w:r>
          </w:p>
        </w:tc>
        <w:tc>
          <w:tcPr>
            <w:tcW w:w="1819" w:type="dxa"/>
            <w:shd w:val="clear" w:color="auto" w:fill="auto"/>
            <w:tcMar>
              <w:left w:w="115" w:type="dxa"/>
              <w:right w:w="115" w:type="dxa"/>
            </w:tcMar>
            <w:vAlign w:val="center"/>
          </w:tcPr>
          <w:p w:rsidR="00F9139E" w:rsidRPr="00957123" w:rsidP="15A85529" w14:paraId="1E494C0B" w14:textId="2C61E3A2">
            <w:pPr>
              <w:widowControl/>
              <w:autoSpaceDE/>
              <w:autoSpaceDN/>
              <w:adjustRightInd/>
              <w:jc w:val="center"/>
            </w:pPr>
            <w:r w:rsidRPr="5ECFBCA2">
              <w:rPr>
                <w:color w:val="000000" w:themeColor="text1"/>
              </w:rPr>
              <w:t>$</w:t>
            </w:r>
            <w:r w:rsidRPr="5ECFBCA2" w:rsidR="7BE345F7">
              <w:rPr>
                <w:color w:val="000000" w:themeColor="text1"/>
              </w:rPr>
              <w:t>83,984</w:t>
            </w:r>
          </w:p>
        </w:tc>
      </w:tr>
      <w:tr w14:paraId="5C7B8AF0" w14:textId="77777777" w:rsidTr="5ECFBCA2">
        <w:tblPrEx>
          <w:tblW w:w="5000" w:type="pct"/>
          <w:tblLayout w:type="fixed"/>
          <w:tblLook w:val="04A0"/>
        </w:tblPrEx>
        <w:trPr>
          <w:trHeight w:val="270"/>
        </w:trPr>
        <w:tc>
          <w:tcPr>
            <w:tcW w:w="1277" w:type="dxa"/>
            <w:shd w:val="clear" w:color="auto" w:fill="auto"/>
            <w:tcMar>
              <w:left w:w="115" w:type="dxa"/>
              <w:right w:w="115" w:type="dxa"/>
            </w:tcMar>
            <w:vAlign w:val="bottom"/>
            <w:hideMark/>
          </w:tcPr>
          <w:p w:rsidR="00F9139E" w:rsidRPr="00957123" w:rsidP="00F9139E" w14:paraId="29E90C7C" w14:textId="77777777">
            <w:pPr>
              <w:widowControl/>
              <w:autoSpaceDE/>
              <w:autoSpaceDN/>
              <w:adjustRightInd/>
              <w:jc w:val="center"/>
              <w:rPr>
                <w:color w:val="000000"/>
              </w:rPr>
            </w:pPr>
            <w:r w:rsidRPr="00957123">
              <w:rPr>
                <w:color w:val="000000"/>
              </w:rPr>
              <w:t>3</w:t>
            </w:r>
          </w:p>
        </w:tc>
        <w:tc>
          <w:tcPr>
            <w:tcW w:w="1479" w:type="dxa"/>
            <w:shd w:val="clear" w:color="auto" w:fill="auto"/>
            <w:tcMar>
              <w:left w:w="115" w:type="dxa"/>
              <w:right w:w="115" w:type="dxa"/>
            </w:tcMar>
            <w:vAlign w:val="center"/>
          </w:tcPr>
          <w:p w:rsidR="00F9139E" w:rsidRPr="00957123" w:rsidP="00957123" w14:paraId="6C90AD10" w14:textId="48B980E3">
            <w:pPr>
              <w:widowControl/>
              <w:spacing w:line="259" w:lineRule="auto"/>
              <w:jc w:val="center"/>
            </w:pPr>
            <w:r w:rsidRPr="00957123">
              <w:rPr>
                <w:color w:val="000000" w:themeColor="text1"/>
              </w:rPr>
              <w:t>11,700</w:t>
            </w:r>
          </w:p>
        </w:tc>
        <w:tc>
          <w:tcPr>
            <w:tcW w:w="1289" w:type="dxa"/>
            <w:shd w:val="clear" w:color="auto" w:fill="auto"/>
            <w:tcMar>
              <w:left w:w="115" w:type="dxa"/>
              <w:right w:w="115" w:type="dxa"/>
            </w:tcMar>
            <w:vAlign w:val="center"/>
          </w:tcPr>
          <w:p w:rsidR="00F9139E" w:rsidRPr="00957123" w:rsidP="00F9139E" w14:paraId="054C2B9D" w14:textId="5DCC635F">
            <w:pPr>
              <w:widowControl/>
              <w:autoSpaceDE/>
              <w:autoSpaceDN/>
              <w:adjustRightInd/>
              <w:jc w:val="center"/>
              <w:rPr>
                <w:color w:val="000000"/>
              </w:rPr>
            </w:pPr>
            <w:r w:rsidRPr="00957123">
              <w:rPr>
                <w:color w:val="000000"/>
              </w:rPr>
              <w:t>1</w:t>
            </w:r>
          </w:p>
        </w:tc>
        <w:tc>
          <w:tcPr>
            <w:tcW w:w="1360" w:type="dxa"/>
            <w:shd w:val="clear" w:color="auto" w:fill="auto"/>
            <w:tcMar>
              <w:left w:w="115" w:type="dxa"/>
              <w:right w:w="115" w:type="dxa"/>
            </w:tcMar>
            <w:vAlign w:val="center"/>
          </w:tcPr>
          <w:p w:rsidR="00F9139E" w:rsidRPr="00957123" w:rsidP="760FFB28" w14:paraId="5631CF9F" w14:textId="0F925AEF">
            <w:pPr>
              <w:widowControl/>
              <w:autoSpaceDE/>
              <w:autoSpaceDN/>
              <w:adjustRightInd/>
              <w:jc w:val="center"/>
            </w:pPr>
            <w:r w:rsidRPr="00957123">
              <w:rPr>
                <w:color w:val="000000" w:themeColor="text1"/>
              </w:rPr>
              <w:t>11,700</w:t>
            </w:r>
          </w:p>
        </w:tc>
        <w:tc>
          <w:tcPr>
            <w:tcW w:w="980" w:type="dxa"/>
            <w:shd w:val="clear" w:color="auto" w:fill="auto"/>
            <w:tcMar>
              <w:left w:w="115" w:type="dxa"/>
              <w:right w:w="115" w:type="dxa"/>
            </w:tcMar>
            <w:vAlign w:val="center"/>
          </w:tcPr>
          <w:p w:rsidR="00F9139E" w:rsidRPr="00957123" w:rsidP="00F9139E" w14:paraId="4FF6D955" w14:textId="6460BDDA">
            <w:pPr>
              <w:widowControl/>
              <w:autoSpaceDE/>
              <w:autoSpaceDN/>
              <w:adjustRightInd/>
              <w:jc w:val="center"/>
              <w:rPr>
                <w:color w:val="000000"/>
              </w:rPr>
            </w:pPr>
            <w:r w:rsidRPr="00957123">
              <w:rPr>
                <w:color w:val="000000"/>
              </w:rPr>
              <w:t>0.25</w:t>
            </w:r>
          </w:p>
        </w:tc>
        <w:tc>
          <w:tcPr>
            <w:tcW w:w="1146" w:type="dxa"/>
            <w:shd w:val="clear" w:color="auto" w:fill="auto"/>
            <w:tcMar>
              <w:left w:w="115" w:type="dxa"/>
              <w:right w:w="115" w:type="dxa"/>
            </w:tcMar>
            <w:vAlign w:val="center"/>
          </w:tcPr>
          <w:p w:rsidR="00F9139E" w:rsidRPr="00957123" w:rsidP="760FFB28" w14:paraId="4BFC7229" w14:textId="7CB74DD3">
            <w:pPr>
              <w:widowControl/>
              <w:autoSpaceDE/>
              <w:autoSpaceDN/>
              <w:adjustRightInd/>
              <w:jc w:val="center"/>
              <w:rPr>
                <w:color w:val="000000"/>
              </w:rPr>
            </w:pPr>
            <w:r w:rsidRPr="00957123">
              <w:rPr>
                <w:color w:val="000000" w:themeColor="text1"/>
              </w:rPr>
              <w:t>2,925</w:t>
            </w:r>
          </w:p>
        </w:tc>
        <w:tc>
          <w:tcPr>
            <w:tcW w:w="1819" w:type="dxa"/>
            <w:shd w:val="clear" w:color="auto" w:fill="auto"/>
            <w:tcMar>
              <w:left w:w="115" w:type="dxa"/>
              <w:right w:w="115" w:type="dxa"/>
            </w:tcMar>
            <w:vAlign w:val="center"/>
          </w:tcPr>
          <w:p w:rsidR="00F9139E" w:rsidRPr="00957123" w:rsidP="15A85529" w14:paraId="2EB47865" w14:textId="3CC23032">
            <w:pPr>
              <w:widowControl/>
              <w:autoSpaceDE/>
              <w:autoSpaceDN/>
              <w:adjustRightInd/>
              <w:jc w:val="center"/>
              <w:rPr>
                <w:color w:val="000000"/>
              </w:rPr>
            </w:pPr>
            <w:r w:rsidRPr="5ECFBCA2">
              <w:rPr>
                <w:color w:val="000000" w:themeColor="text1"/>
              </w:rPr>
              <w:t>$</w:t>
            </w:r>
            <w:r w:rsidRPr="5ECFBCA2" w:rsidR="57C81D9B">
              <w:rPr>
                <w:color w:val="000000" w:themeColor="text1"/>
              </w:rPr>
              <w:t>83,984</w:t>
            </w:r>
            <w:r w:rsidRPr="5ECFBCA2">
              <w:rPr>
                <w:color w:val="000000" w:themeColor="text1"/>
              </w:rPr>
              <w:t xml:space="preserve"> </w:t>
            </w:r>
          </w:p>
        </w:tc>
      </w:tr>
      <w:tr w14:paraId="49EB07D5" w14:textId="77777777" w:rsidTr="5ECFBCA2">
        <w:tblPrEx>
          <w:tblW w:w="5000" w:type="pct"/>
          <w:tblLayout w:type="fixed"/>
          <w:tblLook w:val="04A0"/>
        </w:tblPrEx>
        <w:trPr>
          <w:trHeight w:val="270"/>
        </w:trPr>
        <w:tc>
          <w:tcPr>
            <w:tcW w:w="1277" w:type="dxa"/>
            <w:shd w:val="clear" w:color="auto" w:fill="auto"/>
            <w:tcMar>
              <w:left w:w="115" w:type="dxa"/>
              <w:right w:w="115" w:type="dxa"/>
            </w:tcMar>
            <w:vAlign w:val="bottom"/>
            <w:hideMark/>
          </w:tcPr>
          <w:p w:rsidR="00F9139E" w:rsidRPr="00957123" w:rsidP="00F9139E" w14:paraId="0A8E07A3" w14:textId="77777777">
            <w:pPr>
              <w:widowControl/>
              <w:autoSpaceDE/>
              <w:autoSpaceDN/>
              <w:adjustRightInd/>
              <w:jc w:val="center"/>
              <w:rPr>
                <w:color w:val="000000"/>
              </w:rPr>
            </w:pPr>
            <w:r w:rsidRPr="00957123">
              <w:rPr>
                <w:color w:val="000000"/>
              </w:rPr>
              <w:t>Total</w:t>
            </w:r>
          </w:p>
        </w:tc>
        <w:tc>
          <w:tcPr>
            <w:tcW w:w="1479" w:type="dxa"/>
            <w:shd w:val="clear" w:color="auto" w:fill="auto"/>
            <w:tcMar>
              <w:left w:w="115" w:type="dxa"/>
              <w:right w:w="115" w:type="dxa"/>
            </w:tcMar>
            <w:vAlign w:val="center"/>
          </w:tcPr>
          <w:p w:rsidR="00F9139E" w:rsidRPr="00957123" w:rsidP="00957123" w14:paraId="05C7A1A7" w14:textId="4B95EA00">
            <w:pPr>
              <w:widowControl/>
              <w:spacing w:line="259" w:lineRule="auto"/>
              <w:jc w:val="center"/>
            </w:pPr>
            <w:r w:rsidRPr="00957123">
              <w:rPr>
                <w:color w:val="000000" w:themeColor="text1"/>
              </w:rPr>
              <w:t>35,099</w:t>
            </w:r>
          </w:p>
        </w:tc>
        <w:tc>
          <w:tcPr>
            <w:tcW w:w="1289" w:type="dxa"/>
            <w:shd w:val="clear" w:color="auto" w:fill="auto"/>
            <w:tcMar>
              <w:left w:w="115" w:type="dxa"/>
              <w:right w:w="115" w:type="dxa"/>
            </w:tcMar>
            <w:vAlign w:val="center"/>
          </w:tcPr>
          <w:p w:rsidR="00F9139E" w:rsidRPr="00957123" w:rsidP="00F9139E" w14:paraId="5691484D" w14:textId="55A82E3D">
            <w:pPr>
              <w:widowControl/>
              <w:autoSpaceDE/>
              <w:autoSpaceDN/>
              <w:adjustRightInd/>
              <w:jc w:val="center"/>
              <w:rPr>
                <w:color w:val="000000"/>
              </w:rPr>
            </w:pPr>
            <w:r w:rsidRPr="00957123">
              <w:rPr>
                <w:color w:val="000000"/>
              </w:rPr>
              <w:t>-</w:t>
            </w:r>
          </w:p>
        </w:tc>
        <w:tc>
          <w:tcPr>
            <w:tcW w:w="1360" w:type="dxa"/>
            <w:shd w:val="clear" w:color="auto" w:fill="auto"/>
            <w:tcMar>
              <w:left w:w="115" w:type="dxa"/>
              <w:right w:w="115" w:type="dxa"/>
            </w:tcMar>
            <w:vAlign w:val="center"/>
          </w:tcPr>
          <w:p w:rsidR="00F9139E" w:rsidRPr="00957123" w:rsidP="00957123" w14:paraId="1E8F9A80" w14:textId="513ED2C6">
            <w:pPr>
              <w:widowControl/>
              <w:spacing w:line="259" w:lineRule="auto"/>
              <w:jc w:val="center"/>
            </w:pPr>
            <w:r w:rsidRPr="00957123">
              <w:rPr>
                <w:color w:val="000000" w:themeColor="text1"/>
              </w:rPr>
              <w:t>35,099</w:t>
            </w:r>
          </w:p>
        </w:tc>
        <w:tc>
          <w:tcPr>
            <w:tcW w:w="980" w:type="dxa"/>
            <w:shd w:val="clear" w:color="auto" w:fill="auto"/>
            <w:tcMar>
              <w:left w:w="115" w:type="dxa"/>
              <w:right w:w="115" w:type="dxa"/>
            </w:tcMar>
            <w:vAlign w:val="center"/>
          </w:tcPr>
          <w:p w:rsidR="00F9139E" w:rsidRPr="00957123" w:rsidP="00F9139E" w14:paraId="0626E2E4" w14:textId="725B9A32">
            <w:pPr>
              <w:widowControl/>
              <w:autoSpaceDE/>
              <w:autoSpaceDN/>
              <w:adjustRightInd/>
              <w:jc w:val="center"/>
              <w:rPr>
                <w:color w:val="000000"/>
              </w:rPr>
            </w:pPr>
            <w:r w:rsidRPr="00957123">
              <w:rPr>
                <w:color w:val="000000"/>
              </w:rPr>
              <w:t>-</w:t>
            </w:r>
          </w:p>
        </w:tc>
        <w:tc>
          <w:tcPr>
            <w:tcW w:w="1146" w:type="dxa"/>
            <w:shd w:val="clear" w:color="auto" w:fill="auto"/>
            <w:tcMar>
              <w:left w:w="115" w:type="dxa"/>
              <w:right w:w="115" w:type="dxa"/>
            </w:tcMar>
            <w:vAlign w:val="center"/>
          </w:tcPr>
          <w:p w:rsidR="00F9139E" w:rsidRPr="00957123" w:rsidP="00F9139E" w14:paraId="1CDAF5C2" w14:textId="219DD6EA">
            <w:pPr>
              <w:widowControl/>
              <w:autoSpaceDE/>
              <w:autoSpaceDN/>
              <w:adjustRightInd/>
              <w:jc w:val="center"/>
              <w:rPr>
                <w:color w:val="000000"/>
              </w:rPr>
            </w:pPr>
            <w:r w:rsidRPr="00957123">
              <w:rPr>
                <w:color w:val="000000" w:themeColor="text1"/>
              </w:rPr>
              <w:t>8,775</w:t>
            </w:r>
          </w:p>
        </w:tc>
        <w:tc>
          <w:tcPr>
            <w:tcW w:w="1819" w:type="dxa"/>
            <w:shd w:val="clear" w:color="auto" w:fill="auto"/>
            <w:tcMar>
              <w:left w:w="115" w:type="dxa"/>
              <w:right w:w="115" w:type="dxa"/>
            </w:tcMar>
            <w:vAlign w:val="center"/>
          </w:tcPr>
          <w:p w:rsidR="00F9139E" w:rsidRPr="00957123" w:rsidP="5ECFBCA2" w14:paraId="1712DE68" w14:textId="1A0C8A64">
            <w:pPr>
              <w:widowControl/>
              <w:spacing w:line="259" w:lineRule="auto"/>
              <w:jc w:val="center"/>
            </w:pPr>
            <w:r w:rsidRPr="5ECFBCA2">
              <w:rPr>
                <w:color w:val="000000" w:themeColor="text1"/>
              </w:rPr>
              <w:t>$</w:t>
            </w:r>
            <w:r w:rsidRPr="5ECFBCA2" w:rsidR="5189C7F5">
              <w:rPr>
                <w:color w:val="000000" w:themeColor="text1"/>
              </w:rPr>
              <w:t>251,952</w:t>
            </w:r>
          </w:p>
        </w:tc>
      </w:tr>
      <w:tr w14:paraId="07A63A7F" w14:textId="77777777" w:rsidTr="5ECFBCA2">
        <w:tblPrEx>
          <w:tblW w:w="5000" w:type="pct"/>
          <w:tblLayout w:type="fixed"/>
          <w:tblLook w:val="04A0"/>
        </w:tblPrEx>
        <w:trPr>
          <w:trHeight w:val="270"/>
        </w:trPr>
        <w:tc>
          <w:tcPr>
            <w:tcW w:w="1277" w:type="dxa"/>
            <w:shd w:val="clear" w:color="auto" w:fill="auto"/>
            <w:tcMar>
              <w:left w:w="115" w:type="dxa"/>
              <w:right w:w="115" w:type="dxa"/>
            </w:tcMar>
            <w:vAlign w:val="bottom"/>
            <w:hideMark/>
          </w:tcPr>
          <w:p w:rsidR="00F9139E" w:rsidRPr="00957123" w:rsidP="00F9139E" w14:paraId="58985E3A" w14:textId="77777777">
            <w:pPr>
              <w:widowControl/>
              <w:autoSpaceDE/>
              <w:autoSpaceDN/>
              <w:adjustRightInd/>
              <w:jc w:val="center"/>
              <w:rPr>
                <w:color w:val="000000"/>
              </w:rPr>
            </w:pPr>
            <w:r w:rsidRPr="00957123">
              <w:rPr>
                <w:color w:val="000000"/>
              </w:rPr>
              <w:t>Annualized</w:t>
            </w:r>
          </w:p>
        </w:tc>
        <w:tc>
          <w:tcPr>
            <w:tcW w:w="1479" w:type="dxa"/>
            <w:shd w:val="clear" w:color="auto" w:fill="auto"/>
            <w:tcMar>
              <w:left w:w="115" w:type="dxa"/>
              <w:right w:w="115" w:type="dxa"/>
            </w:tcMar>
            <w:vAlign w:val="center"/>
          </w:tcPr>
          <w:p w:rsidR="00F9139E" w:rsidRPr="00957123" w:rsidP="00957123" w14:paraId="6863CDD4" w14:textId="08CBBF5F">
            <w:pPr>
              <w:widowControl/>
              <w:spacing w:line="259" w:lineRule="auto"/>
              <w:jc w:val="center"/>
              <w:rPr>
                <w:color w:val="000000" w:themeColor="text1"/>
              </w:rPr>
            </w:pPr>
            <w:r w:rsidRPr="00957123">
              <w:rPr>
                <w:color w:val="000000" w:themeColor="text1"/>
              </w:rPr>
              <w:t>11,700</w:t>
            </w:r>
          </w:p>
        </w:tc>
        <w:tc>
          <w:tcPr>
            <w:tcW w:w="1289" w:type="dxa"/>
            <w:shd w:val="clear" w:color="auto" w:fill="auto"/>
            <w:tcMar>
              <w:left w:w="115" w:type="dxa"/>
              <w:right w:w="115" w:type="dxa"/>
            </w:tcMar>
            <w:vAlign w:val="center"/>
          </w:tcPr>
          <w:p w:rsidR="00F9139E" w:rsidRPr="00957123" w:rsidP="00F9139E" w14:paraId="57DC3A65" w14:textId="1A9E4710">
            <w:pPr>
              <w:widowControl/>
              <w:autoSpaceDE/>
              <w:autoSpaceDN/>
              <w:adjustRightInd/>
              <w:jc w:val="center"/>
              <w:rPr>
                <w:color w:val="000000"/>
              </w:rPr>
            </w:pPr>
            <w:r w:rsidRPr="00957123">
              <w:rPr>
                <w:color w:val="000000"/>
              </w:rPr>
              <w:t>-</w:t>
            </w:r>
          </w:p>
        </w:tc>
        <w:tc>
          <w:tcPr>
            <w:tcW w:w="1360" w:type="dxa"/>
            <w:shd w:val="clear" w:color="auto" w:fill="auto"/>
            <w:tcMar>
              <w:left w:w="115" w:type="dxa"/>
              <w:right w:w="115" w:type="dxa"/>
            </w:tcMar>
            <w:vAlign w:val="center"/>
          </w:tcPr>
          <w:p w:rsidR="00F9139E" w:rsidRPr="00957123" w:rsidP="760FFB28" w14:paraId="36B9229D" w14:textId="0B795D8E">
            <w:pPr>
              <w:widowControl/>
              <w:autoSpaceDE/>
              <w:autoSpaceDN/>
              <w:adjustRightInd/>
              <w:jc w:val="center"/>
            </w:pPr>
            <w:r w:rsidRPr="00957123">
              <w:rPr>
                <w:color w:val="000000" w:themeColor="text1"/>
              </w:rPr>
              <w:t>11,700</w:t>
            </w:r>
          </w:p>
        </w:tc>
        <w:tc>
          <w:tcPr>
            <w:tcW w:w="980" w:type="dxa"/>
            <w:shd w:val="clear" w:color="auto" w:fill="auto"/>
            <w:tcMar>
              <w:left w:w="115" w:type="dxa"/>
              <w:right w:w="115" w:type="dxa"/>
            </w:tcMar>
            <w:vAlign w:val="center"/>
          </w:tcPr>
          <w:p w:rsidR="00F9139E" w:rsidRPr="00957123" w:rsidP="00F9139E" w14:paraId="7771A66A" w14:textId="69D20756">
            <w:pPr>
              <w:widowControl/>
              <w:autoSpaceDE/>
              <w:autoSpaceDN/>
              <w:adjustRightInd/>
              <w:jc w:val="center"/>
              <w:rPr>
                <w:color w:val="000000"/>
              </w:rPr>
            </w:pPr>
            <w:r w:rsidRPr="00957123">
              <w:rPr>
                <w:color w:val="000000"/>
              </w:rPr>
              <w:t>-</w:t>
            </w:r>
          </w:p>
        </w:tc>
        <w:tc>
          <w:tcPr>
            <w:tcW w:w="1146" w:type="dxa"/>
            <w:shd w:val="clear" w:color="auto" w:fill="auto"/>
            <w:tcMar>
              <w:left w:w="115" w:type="dxa"/>
              <w:right w:w="115" w:type="dxa"/>
            </w:tcMar>
            <w:vAlign w:val="center"/>
          </w:tcPr>
          <w:p w:rsidR="00F9139E" w:rsidRPr="00957123" w:rsidP="760FFB28" w14:paraId="5E0A385A" w14:textId="4A06D359">
            <w:pPr>
              <w:widowControl/>
              <w:autoSpaceDE/>
              <w:autoSpaceDN/>
              <w:adjustRightInd/>
              <w:jc w:val="center"/>
              <w:rPr>
                <w:color w:val="000000"/>
              </w:rPr>
            </w:pPr>
            <w:r w:rsidRPr="00957123">
              <w:rPr>
                <w:color w:val="000000" w:themeColor="text1"/>
              </w:rPr>
              <w:t>2,925</w:t>
            </w:r>
          </w:p>
        </w:tc>
        <w:tc>
          <w:tcPr>
            <w:tcW w:w="1819" w:type="dxa"/>
            <w:shd w:val="clear" w:color="auto" w:fill="auto"/>
            <w:tcMar>
              <w:left w:w="115" w:type="dxa"/>
              <w:right w:w="115" w:type="dxa"/>
            </w:tcMar>
            <w:vAlign w:val="center"/>
          </w:tcPr>
          <w:p w:rsidR="00F9139E" w:rsidRPr="00957123" w:rsidP="15A85529" w14:paraId="4920BAAC" w14:textId="567109CF">
            <w:pPr>
              <w:widowControl/>
              <w:autoSpaceDE/>
              <w:autoSpaceDN/>
              <w:adjustRightInd/>
              <w:jc w:val="center"/>
            </w:pPr>
            <w:r w:rsidRPr="5ECFBCA2">
              <w:rPr>
                <w:color w:val="000000" w:themeColor="text1"/>
              </w:rPr>
              <w:t>$</w:t>
            </w:r>
            <w:r w:rsidRPr="5ECFBCA2" w:rsidR="3A98B342">
              <w:rPr>
                <w:color w:val="000000" w:themeColor="text1"/>
              </w:rPr>
              <w:t>83,984</w:t>
            </w:r>
          </w:p>
        </w:tc>
      </w:tr>
    </w:tbl>
    <w:p w:rsidR="00FA4698" w:rsidRPr="007E65CF" w:rsidP="00722B85" w14:paraId="7E8A7B06" w14:textId="77777777">
      <w:pPr>
        <w:widowControl/>
        <w:rPr>
          <w:sz w:val="18"/>
          <w:szCs w:val="18"/>
        </w:rPr>
      </w:pPr>
      <w:r>
        <w:rPr>
          <w:sz w:val="18"/>
          <w:szCs w:val="18"/>
        </w:rPr>
        <w:t>Totals are the product of unrounded components</w:t>
      </w:r>
      <w:r w:rsidRPr="007E65CF">
        <w:rPr>
          <w:sz w:val="18"/>
          <w:szCs w:val="18"/>
        </w:rPr>
        <w:t>.</w:t>
      </w:r>
    </w:p>
    <w:p w:rsidR="00E06196" w:rsidP="00722B85" w14:paraId="0F1EBDBB" w14:textId="77777777">
      <w:pPr>
        <w:widowControl/>
      </w:pPr>
    </w:p>
    <w:p w:rsidR="00E06196" w:rsidP="760FFB28" w14:paraId="29616D20" w14:textId="634D7D7B">
      <w:pPr>
        <w:widowControl/>
      </w:pPr>
      <w:r>
        <w:t xml:space="preserve">As shown in </w:t>
      </w:r>
      <w:r>
        <w:fldChar w:fldCharType="begin"/>
      </w:r>
      <w:r>
        <w:instrText xml:space="preserve"> REF _Ref508703675 \h  \* MERGEFORMAT </w:instrText>
      </w:r>
      <w:r>
        <w:fldChar w:fldCharType="separate"/>
      </w:r>
      <w:r w:rsidR="006A6CBC">
        <w:t xml:space="preserve">Table </w:t>
      </w:r>
      <w:r w:rsidRPr="760FFB28" w:rsidR="006A6CBC">
        <w:rPr>
          <w:noProof/>
        </w:rPr>
        <w:t>23</w:t>
      </w:r>
      <w:r>
        <w:fldChar w:fldCharType="end"/>
      </w:r>
      <w:r>
        <w:t xml:space="preserve">, the recording of training, certification, and criminal background check results will result in an annual average of </w:t>
      </w:r>
      <w:r w:rsidR="5AB96B0C">
        <w:t>11,700</w:t>
      </w:r>
      <w:r>
        <w:t xml:space="preserve"> responses (</w:t>
      </w:r>
      <w:r w:rsidR="1D4FED3D">
        <w:t>35,099</w:t>
      </w:r>
      <w:r>
        <w:t xml:space="preserve"> ÷ 3) and </w:t>
      </w:r>
      <w:r w:rsidR="4E1139B3">
        <w:t>390</w:t>
      </w:r>
      <w:r>
        <w:t xml:space="preserve"> burden hours, costing $</w:t>
      </w:r>
      <w:r w:rsidR="04758B5B">
        <w:t>14,820</w:t>
      </w:r>
      <w:r>
        <w:t>.</w:t>
      </w:r>
    </w:p>
    <w:p w:rsidR="005C1D7D" w:rsidP="00722B85" w14:paraId="19A43553" w14:textId="77777777">
      <w:pPr>
        <w:widowControl/>
      </w:pPr>
    </w:p>
    <w:p w:rsidR="006C3234" w:rsidP="00722B85" w14:paraId="78DEFFE0" w14:textId="77777777">
      <w:pPr>
        <w:widowControl/>
      </w:pPr>
    </w:p>
    <w:p w:rsidR="006C3234" w:rsidP="00722B85" w14:paraId="1BDCEAF0" w14:textId="77777777">
      <w:pPr>
        <w:widowControl/>
      </w:pPr>
    </w:p>
    <w:p w:rsidR="006C3234" w:rsidP="00722B85" w14:paraId="78A73315" w14:textId="77777777">
      <w:pPr>
        <w:widowControl/>
      </w:pPr>
    </w:p>
    <w:p w:rsidR="006C3234" w:rsidP="00722B85" w14:paraId="25EDE90D" w14:textId="77777777">
      <w:pPr>
        <w:widowControl/>
      </w:pPr>
    </w:p>
    <w:p w:rsidR="006C3234" w:rsidP="00722B85" w14:paraId="0E0D02CF" w14:textId="77777777">
      <w:pPr>
        <w:widowControl/>
      </w:pPr>
    </w:p>
    <w:p w:rsidR="006C3234" w:rsidP="00722B85" w14:paraId="324FE773" w14:textId="77777777">
      <w:pPr>
        <w:widowControl/>
      </w:pPr>
    </w:p>
    <w:p w:rsidR="00E06196" w:rsidRPr="00D64E77" w:rsidP="00722B85" w14:paraId="4B9E7CAE" w14:textId="7ADD6F46">
      <w:pPr>
        <w:pStyle w:val="Caption"/>
        <w:keepNext/>
        <w:widowControl/>
      </w:pPr>
      <w:bookmarkStart w:id="37" w:name="_Ref508703675"/>
      <w:r w:rsidRPr="00D64E77">
        <w:t xml:space="preserve">Table </w:t>
      </w:r>
      <w:r>
        <w:fldChar w:fldCharType="begin"/>
      </w:r>
      <w:r>
        <w:instrText>SEQ Table \* ARABIC</w:instrText>
      </w:r>
      <w:r>
        <w:fldChar w:fldCharType="separate"/>
      </w:r>
      <w:r w:rsidR="006A6CBC">
        <w:rPr>
          <w:noProof/>
        </w:rPr>
        <w:t>23</w:t>
      </w:r>
      <w:r>
        <w:fldChar w:fldCharType="end"/>
      </w:r>
      <w:bookmarkEnd w:id="37"/>
      <w:r w:rsidRPr="00D64E77">
        <w:t xml:space="preserve">. </w:t>
      </w:r>
      <w:r w:rsidRPr="00D64E77" w:rsidR="00183DE1">
        <w:t xml:space="preserve">Recording of Training, Certification, and </w:t>
      </w:r>
      <w:r w:rsidRPr="00D64E77">
        <w:t xml:space="preserve">Criminal </w:t>
      </w:r>
      <w:r w:rsidRPr="00D64E77" w:rsidR="002D66E6">
        <w:t xml:space="preserve">Background Check </w:t>
      </w:r>
      <w:r w:rsidRPr="00D64E77" w:rsidR="00183DE1">
        <w:t>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179"/>
        <w:gridCol w:w="1361"/>
        <w:gridCol w:w="1363"/>
        <w:gridCol w:w="1361"/>
        <w:gridCol w:w="1030"/>
        <w:gridCol w:w="1440"/>
        <w:gridCol w:w="1616"/>
      </w:tblGrid>
      <w:tr w14:paraId="29050AC8"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1050"/>
        </w:trPr>
        <w:tc>
          <w:tcPr>
            <w:tcW w:w="630" w:type="pct"/>
            <w:shd w:val="clear" w:color="auto" w:fill="E0E0E0"/>
            <w:tcMar>
              <w:left w:w="0" w:type="dxa"/>
              <w:right w:w="0" w:type="dxa"/>
            </w:tcMar>
            <w:vAlign w:val="bottom"/>
            <w:hideMark/>
          </w:tcPr>
          <w:p w:rsidR="00E06196" w:rsidRPr="00957123" w:rsidP="00EB7D1F" w14:paraId="1A21FCA6" w14:textId="77777777">
            <w:pPr>
              <w:widowControl/>
              <w:autoSpaceDE/>
              <w:autoSpaceDN/>
              <w:adjustRightInd/>
              <w:jc w:val="center"/>
              <w:rPr>
                <w:b/>
                <w:bCs/>
                <w:color w:val="000000"/>
              </w:rPr>
            </w:pPr>
            <w:r w:rsidRPr="00957123">
              <w:rPr>
                <w:b/>
                <w:bCs/>
                <w:color w:val="000000"/>
              </w:rPr>
              <w:t>Year</w:t>
            </w:r>
          </w:p>
        </w:tc>
        <w:tc>
          <w:tcPr>
            <w:tcW w:w="728" w:type="pct"/>
            <w:shd w:val="clear" w:color="auto" w:fill="E0E0E0"/>
            <w:tcMar>
              <w:left w:w="0" w:type="dxa"/>
              <w:right w:w="0" w:type="dxa"/>
            </w:tcMar>
            <w:vAlign w:val="bottom"/>
            <w:hideMark/>
          </w:tcPr>
          <w:p w:rsidR="00E06196" w:rsidRPr="00957123" w:rsidP="00EB7D1F" w14:paraId="24E63330" w14:textId="77777777">
            <w:pPr>
              <w:widowControl/>
              <w:autoSpaceDE/>
              <w:autoSpaceDN/>
              <w:adjustRightInd/>
              <w:jc w:val="center"/>
              <w:rPr>
                <w:b/>
                <w:bCs/>
                <w:color w:val="000000"/>
              </w:rPr>
            </w:pPr>
            <w:r w:rsidRPr="00957123">
              <w:rPr>
                <w:b/>
                <w:bCs/>
                <w:color w:val="000000"/>
              </w:rPr>
              <w:t>Number of Respondents</w:t>
            </w:r>
            <w:r w:rsidRPr="00957123">
              <w:rPr>
                <w:b/>
                <w:bCs/>
                <w:color w:val="000000"/>
              </w:rPr>
              <w:br/>
              <w:t>(a)</w:t>
            </w:r>
          </w:p>
        </w:tc>
        <w:tc>
          <w:tcPr>
            <w:tcW w:w="729" w:type="pct"/>
            <w:shd w:val="clear" w:color="auto" w:fill="E0E0E0"/>
            <w:tcMar>
              <w:left w:w="0" w:type="dxa"/>
              <w:right w:w="0" w:type="dxa"/>
            </w:tcMar>
            <w:vAlign w:val="bottom"/>
            <w:hideMark/>
          </w:tcPr>
          <w:p w:rsidR="00E06196" w:rsidRPr="00957123" w:rsidP="00EB7D1F" w14:paraId="2E468BD6" w14:textId="77777777">
            <w:pPr>
              <w:widowControl/>
              <w:autoSpaceDE/>
              <w:autoSpaceDN/>
              <w:adjustRightInd/>
              <w:jc w:val="center"/>
              <w:rPr>
                <w:b/>
                <w:bCs/>
                <w:color w:val="000000"/>
              </w:rPr>
            </w:pPr>
            <w:r w:rsidRPr="00957123">
              <w:rPr>
                <w:b/>
                <w:bCs/>
                <w:color w:val="000000"/>
              </w:rPr>
              <w:t>Responses per Respondent</w:t>
            </w:r>
            <w:r w:rsidRPr="00957123">
              <w:rPr>
                <w:b/>
                <w:bCs/>
                <w:color w:val="000000"/>
              </w:rPr>
              <w:br/>
              <w:t>(b)</w:t>
            </w:r>
          </w:p>
        </w:tc>
        <w:tc>
          <w:tcPr>
            <w:tcW w:w="728" w:type="pct"/>
            <w:shd w:val="clear" w:color="auto" w:fill="E0E0E0"/>
            <w:tcMar>
              <w:left w:w="0" w:type="dxa"/>
              <w:right w:w="0" w:type="dxa"/>
            </w:tcMar>
            <w:vAlign w:val="bottom"/>
            <w:hideMark/>
          </w:tcPr>
          <w:p w:rsidR="00E06196" w:rsidRPr="00957123" w:rsidP="00EB7D1F" w14:paraId="636F4A96" w14:textId="77777777">
            <w:pPr>
              <w:widowControl/>
              <w:autoSpaceDE/>
              <w:autoSpaceDN/>
              <w:adjustRightInd/>
              <w:jc w:val="center"/>
              <w:rPr>
                <w:b/>
                <w:bCs/>
                <w:color w:val="000000"/>
              </w:rPr>
            </w:pPr>
            <w:r w:rsidRPr="00957123">
              <w:rPr>
                <w:b/>
                <w:bCs/>
                <w:color w:val="000000"/>
              </w:rPr>
              <w:t>Total Annual Responses</w:t>
            </w:r>
            <w:r w:rsidRPr="00957123">
              <w:rPr>
                <w:b/>
                <w:bCs/>
                <w:color w:val="000000"/>
              </w:rPr>
              <w:br/>
              <w:t>(a × b = c)</w:t>
            </w:r>
          </w:p>
        </w:tc>
        <w:tc>
          <w:tcPr>
            <w:tcW w:w="551" w:type="pct"/>
            <w:shd w:val="clear" w:color="auto" w:fill="E0E0E0"/>
            <w:tcMar>
              <w:left w:w="0" w:type="dxa"/>
              <w:right w:w="0" w:type="dxa"/>
            </w:tcMar>
            <w:vAlign w:val="bottom"/>
            <w:hideMark/>
          </w:tcPr>
          <w:p w:rsidR="00E06196" w:rsidRPr="00957123" w:rsidP="00EB7D1F" w14:paraId="3F8D3F06" w14:textId="77777777">
            <w:pPr>
              <w:widowControl/>
              <w:autoSpaceDE/>
              <w:autoSpaceDN/>
              <w:adjustRightInd/>
              <w:jc w:val="center"/>
              <w:rPr>
                <w:b/>
                <w:bCs/>
                <w:color w:val="000000"/>
              </w:rPr>
            </w:pPr>
            <w:r w:rsidRPr="00957123">
              <w:rPr>
                <w:b/>
                <w:bCs/>
                <w:color w:val="000000"/>
              </w:rPr>
              <w:t>Burden Hours per Response</w:t>
            </w:r>
            <w:r w:rsidRPr="00957123">
              <w:rPr>
                <w:b/>
                <w:bCs/>
                <w:color w:val="000000"/>
              </w:rPr>
              <w:br/>
              <w:t>(d)</w:t>
            </w:r>
          </w:p>
        </w:tc>
        <w:tc>
          <w:tcPr>
            <w:tcW w:w="770" w:type="pct"/>
            <w:shd w:val="clear" w:color="auto" w:fill="E0E0E0"/>
            <w:tcMar>
              <w:left w:w="0" w:type="dxa"/>
              <w:right w:w="0" w:type="dxa"/>
            </w:tcMar>
            <w:vAlign w:val="bottom"/>
            <w:hideMark/>
          </w:tcPr>
          <w:p w:rsidR="00E06196" w:rsidRPr="00957123" w:rsidP="00EB7D1F" w14:paraId="28B79D8D" w14:textId="77777777">
            <w:pPr>
              <w:widowControl/>
              <w:autoSpaceDE/>
              <w:autoSpaceDN/>
              <w:adjustRightInd/>
              <w:jc w:val="center"/>
              <w:rPr>
                <w:b/>
                <w:bCs/>
                <w:color w:val="000000"/>
              </w:rPr>
            </w:pPr>
            <w:r w:rsidRPr="00957123">
              <w:rPr>
                <w:b/>
                <w:bCs/>
                <w:color w:val="000000"/>
              </w:rPr>
              <w:t>Total Annual Burden Hours</w:t>
            </w:r>
            <w:r w:rsidRPr="00957123">
              <w:rPr>
                <w:b/>
                <w:bCs/>
                <w:color w:val="000000"/>
              </w:rPr>
              <w:br/>
              <w:t>(c × d = e)</w:t>
            </w:r>
          </w:p>
        </w:tc>
        <w:tc>
          <w:tcPr>
            <w:tcW w:w="864" w:type="pct"/>
            <w:shd w:val="clear" w:color="auto" w:fill="E0E0E0"/>
            <w:tcMar>
              <w:left w:w="0" w:type="dxa"/>
              <w:right w:w="0" w:type="dxa"/>
            </w:tcMar>
            <w:vAlign w:val="bottom"/>
            <w:hideMark/>
          </w:tcPr>
          <w:p w:rsidR="00E06196" w:rsidRPr="00957123" w:rsidP="00EB7D1F" w14:paraId="2723F1EE" w14:textId="473716FA">
            <w:pPr>
              <w:widowControl/>
              <w:autoSpaceDE/>
              <w:autoSpaceDN/>
              <w:adjustRightInd/>
              <w:jc w:val="center"/>
              <w:rPr>
                <w:b/>
                <w:bCs/>
                <w:color w:val="000000"/>
              </w:rPr>
            </w:pPr>
            <w:r w:rsidRPr="5ECFBCA2">
              <w:rPr>
                <w:b/>
                <w:bCs/>
                <w:color w:val="000000" w:themeColor="text1"/>
              </w:rPr>
              <w:t>Total Annual Respondent Cost</w:t>
            </w:r>
            <w:r>
              <w:br/>
            </w:r>
            <w:r w:rsidRPr="5ECFBCA2">
              <w:rPr>
                <w:b/>
                <w:bCs/>
                <w:color w:val="000000" w:themeColor="text1"/>
              </w:rPr>
              <w:t>(e × $</w:t>
            </w:r>
            <w:r w:rsidRPr="5ECFBCA2" w:rsidR="127935C3">
              <w:rPr>
                <w:b/>
                <w:bCs/>
                <w:color w:val="000000" w:themeColor="text1"/>
              </w:rPr>
              <w:t>28.71</w:t>
            </w:r>
            <w:r w:rsidRPr="5ECFBCA2">
              <w:rPr>
                <w:b/>
                <w:bCs/>
                <w:color w:val="000000" w:themeColor="text1"/>
              </w:rPr>
              <w:t xml:space="preserve"> = f)</w:t>
            </w:r>
          </w:p>
        </w:tc>
      </w:tr>
      <w:tr w14:paraId="7E4CEF53"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417B73E5" w14:textId="77777777">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F9139E" w:rsidRPr="00957123" w:rsidP="760FFB28" w14:paraId="3819FED8" w14:textId="2ED3CEE5">
            <w:pPr>
              <w:widowControl/>
              <w:autoSpaceDE/>
              <w:autoSpaceDN/>
              <w:adjustRightInd/>
              <w:jc w:val="center"/>
            </w:pPr>
            <w:r w:rsidRPr="00957123">
              <w:rPr>
                <w:color w:val="000000" w:themeColor="text1"/>
              </w:rPr>
              <w:t>11,700</w:t>
            </w:r>
          </w:p>
        </w:tc>
        <w:tc>
          <w:tcPr>
            <w:tcW w:w="729" w:type="pct"/>
            <w:shd w:val="clear" w:color="auto" w:fill="auto"/>
            <w:tcMar>
              <w:left w:w="115" w:type="dxa"/>
              <w:right w:w="115" w:type="dxa"/>
            </w:tcMar>
            <w:vAlign w:val="center"/>
          </w:tcPr>
          <w:p w:rsidR="00F9139E" w:rsidRPr="00957123" w:rsidP="00F9139E" w14:paraId="58527876" w14:textId="6C12DAB5">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F9139E" w:rsidRPr="00957123" w:rsidP="00957123" w14:paraId="6EE43875" w14:textId="494D32B4">
            <w:pPr>
              <w:widowControl/>
              <w:spacing w:line="259" w:lineRule="auto"/>
              <w:jc w:val="center"/>
            </w:pPr>
            <w:r w:rsidRPr="00957123">
              <w:rPr>
                <w:color w:val="000000" w:themeColor="text1"/>
              </w:rPr>
              <w:t xml:space="preserve"> 11,700</w:t>
            </w:r>
          </w:p>
        </w:tc>
        <w:tc>
          <w:tcPr>
            <w:tcW w:w="551" w:type="pct"/>
            <w:shd w:val="clear" w:color="auto" w:fill="auto"/>
            <w:tcMar>
              <w:left w:w="115" w:type="dxa"/>
              <w:right w:w="115" w:type="dxa"/>
            </w:tcMar>
            <w:vAlign w:val="center"/>
          </w:tcPr>
          <w:p w:rsidR="00F9139E" w:rsidRPr="00957123" w:rsidP="00F9139E" w14:paraId="4456C86E" w14:textId="58AAFAEC">
            <w:pPr>
              <w:widowControl/>
              <w:autoSpaceDE/>
              <w:autoSpaceDN/>
              <w:adjustRightInd/>
              <w:jc w:val="center"/>
              <w:rPr>
                <w:color w:val="000000"/>
              </w:rPr>
            </w:pPr>
            <w:r w:rsidRPr="00957123">
              <w:rPr>
                <w:color w:val="000000"/>
              </w:rPr>
              <w:t>0.033</w:t>
            </w:r>
          </w:p>
        </w:tc>
        <w:tc>
          <w:tcPr>
            <w:tcW w:w="770" w:type="pct"/>
            <w:shd w:val="clear" w:color="auto" w:fill="auto"/>
            <w:tcMar>
              <w:left w:w="115" w:type="dxa"/>
              <w:right w:w="115" w:type="dxa"/>
            </w:tcMar>
            <w:vAlign w:val="center"/>
          </w:tcPr>
          <w:p w:rsidR="00F9139E" w:rsidRPr="00957123" w:rsidP="00F9139E" w14:paraId="5053FB67" w14:textId="39602963">
            <w:pPr>
              <w:widowControl/>
              <w:autoSpaceDE/>
              <w:autoSpaceDN/>
              <w:adjustRightInd/>
              <w:jc w:val="center"/>
              <w:rPr>
                <w:color w:val="000000"/>
              </w:rPr>
            </w:pPr>
            <w:r w:rsidRPr="00957123">
              <w:rPr>
                <w:color w:val="000000" w:themeColor="text1"/>
              </w:rPr>
              <w:t>390</w:t>
            </w:r>
          </w:p>
        </w:tc>
        <w:tc>
          <w:tcPr>
            <w:tcW w:w="864" w:type="pct"/>
            <w:shd w:val="clear" w:color="auto" w:fill="auto"/>
            <w:tcMar>
              <w:left w:w="115" w:type="dxa"/>
              <w:right w:w="115" w:type="dxa"/>
            </w:tcMar>
            <w:vAlign w:val="center"/>
          </w:tcPr>
          <w:p w:rsidR="00F9139E" w:rsidRPr="00957123" w:rsidP="5ECFBCA2" w14:paraId="40E07748" w14:textId="6E54A1E7">
            <w:pPr>
              <w:widowControl/>
              <w:spacing w:line="259" w:lineRule="auto"/>
              <w:jc w:val="center"/>
            </w:pPr>
            <w:r w:rsidRPr="5ECFBCA2">
              <w:rPr>
                <w:color w:val="000000" w:themeColor="text1"/>
              </w:rPr>
              <w:t>$</w:t>
            </w:r>
            <w:r>
              <w:t>1</w:t>
            </w:r>
            <w:r w:rsidRPr="5ECFBCA2" w:rsidR="6D13A753">
              <w:rPr>
                <w:color w:val="000000" w:themeColor="text1"/>
              </w:rPr>
              <w:t>1,198</w:t>
            </w:r>
          </w:p>
        </w:tc>
      </w:tr>
      <w:tr w14:paraId="62992AEC"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6886521D" w14:textId="77777777">
            <w:pPr>
              <w:widowControl/>
              <w:autoSpaceDE/>
              <w:autoSpaceDN/>
              <w:adjustRightInd/>
              <w:jc w:val="center"/>
              <w:rPr>
                <w:color w:val="000000"/>
              </w:rPr>
            </w:pPr>
            <w:r w:rsidRPr="00957123">
              <w:rPr>
                <w:color w:val="000000"/>
              </w:rPr>
              <w:t>2</w:t>
            </w:r>
          </w:p>
        </w:tc>
        <w:tc>
          <w:tcPr>
            <w:tcW w:w="728" w:type="pct"/>
            <w:shd w:val="clear" w:color="auto" w:fill="auto"/>
            <w:tcMar>
              <w:left w:w="115" w:type="dxa"/>
              <w:right w:w="115" w:type="dxa"/>
            </w:tcMar>
            <w:vAlign w:val="center"/>
          </w:tcPr>
          <w:p w:rsidR="00F9139E" w:rsidRPr="00957123" w:rsidP="760FFB28" w14:paraId="04091242" w14:textId="3ECC5A72">
            <w:pPr>
              <w:widowControl/>
              <w:jc w:val="center"/>
              <w:rPr>
                <w:color w:val="000000" w:themeColor="text1"/>
              </w:rPr>
            </w:pPr>
            <w:r w:rsidRPr="00957123">
              <w:rPr>
                <w:color w:val="000000" w:themeColor="text1"/>
              </w:rPr>
              <w:t>11,700</w:t>
            </w:r>
          </w:p>
        </w:tc>
        <w:tc>
          <w:tcPr>
            <w:tcW w:w="729" w:type="pct"/>
            <w:shd w:val="clear" w:color="auto" w:fill="auto"/>
            <w:tcMar>
              <w:left w:w="115" w:type="dxa"/>
              <w:right w:w="115" w:type="dxa"/>
            </w:tcMar>
            <w:vAlign w:val="center"/>
          </w:tcPr>
          <w:p w:rsidR="00F9139E" w:rsidRPr="00957123" w:rsidP="00F9139E" w14:paraId="6B0E1AC8" w14:textId="7EF855F9">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F9139E" w:rsidRPr="00957123" w:rsidP="760FFB28" w14:paraId="17265C53" w14:textId="459A9216">
            <w:pPr>
              <w:widowControl/>
              <w:autoSpaceDE/>
              <w:autoSpaceDN/>
              <w:adjustRightInd/>
              <w:jc w:val="center"/>
            </w:pPr>
            <w:r w:rsidRPr="00957123">
              <w:rPr>
                <w:color w:val="000000" w:themeColor="text1"/>
              </w:rPr>
              <w:t>11,700</w:t>
            </w:r>
          </w:p>
        </w:tc>
        <w:tc>
          <w:tcPr>
            <w:tcW w:w="551" w:type="pct"/>
            <w:shd w:val="clear" w:color="auto" w:fill="auto"/>
            <w:tcMar>
              <w:left w:w="115" w:type="dxa"/>
              <w:right w:w="115" w:type="dxa"/>
            </w:tcMar>
            <w:vAlign w:val="center"/>
          </w:tcPr>
          <w:p w:rsidR="00F9139E" w:rsidRPr="00957123" w:rsidP="00F9139E" w14:paraId="35B0A4C2" w14:textId="63E1368E">
            <w:pPr>
              <w:widowControl/>
              <w:autoSpaceDE/>
              <w:autoSpaceDN/>
              <w:adjustRightInd/>
              <w:jc w:val="center"/>
              <w:rPr>
                <w:color w:val="000000"/>
              </w:rPr>
            </w:pPr>
            <w:r w:rsidRPr="00957123">
              <w:rPr>
                <w:color w:val="000000"/>
              </w:rPr>
              <w:t>0.033</w:t>
            </w:r>
          </w:p>
        </w:tc>
        <w:tc>
          <w:tcPr>
            <w:tcW w:w="770" w:type="pct"/>
            <w:shd w:val="clear" w:color="auto" w:fill="auto"/>
            <w:tcMar>
              <w:left w:w="115" w:type="dxa"/>
              <w:right w:w="115" w:type="dxa"/>
            </w:tcMar>
            <w:vAlign w:val="center"/>
          </w:tcPr>
          <w:p w:rsidR="00F9139E" w:rsidRPr="00957123" w:rsidP="00957123" w14:paraId="54AD80B0" w14:textId="55E33AEB">
            <w:pPr>
              <w:widowControl/>
              <w:spacing w:line="259" w:lineRule="auto"/>
              <w:jc w:val="center"/>
            </w:pPr>
            <w:r w:rsidRPr="00957123">
              <w:rPr>
                <w:color w:val="000000" w:themeColor="text1"/>
              </w:rPr>
              <w:t>390</w:t>
            </w:r>
          </w:p>
        </w:tc>
        <w:tc>
          <w:tcPr>
            <w:tcW w:w="864" w:type="pct"/>
            <w:shd w:val="clear" w:color="auto" w:fill="auto"/>
            <w:tcMar>
              <w:left w:w="115" w:type="dxa"/>
              <w:right w:w="115" w:type="dxa"/>
            </w:tcMar>
            <w:vAlign w:val="center"/>
          </w:tcPr>
          <w:p w:rsidR="00F9139E" w:rsidRPr="00957123" w:rsidP="15A85529" w14:paraId="1F2ED474" w14:textId="07A96BF8">
            <w:pPr>
              <w:widowControl/>
              <w:autoSpaceDE/>
              <w:autoSpaceDN/>
              <w:adjustRightInd/>
              <w:jc w:val="center"/>
            </w:pPr>
            <w:r w:rsidRPr="5ECFBCA2">
              <w:rPr>
                <w:color w:val="000000" w:themeColor="text1"/>
              </w:rPr>
              <w:t>$</w:t>
            </w:r>
            <w:r w:rsidR="7BAEA719">
              <w:t>1</w:t>
            </w:r>
            <w:r w:rsidRPr="5ECFBCA2" w:rsidR="7BAEA719">
              <w:rPr>
                <w:color w:val="000000" w:themeColor="text1"/>
              </w:rPr>
              <w:t>1,198</w:t>
            </w:r>
          </w:p>
        </w:tc>
      </w:tr>
      <w:tr w14:paraId="2A564355"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29109633" w14:textId="77777777">
            <w:pPr>
              <w:widowControl/>
              <w:autoSpaceDE/>
              <w:autoSpaceDN/>
              <w:adjustRightInd/>
              <w:jc w:val="center"/>
              <w:rPr>
                <w:color w:val="000000"/>
              </w:rPr>
            </w:pPr>
            <w:r w:rsidRPr="00957123">
              <w:rPr>
                <w:color w:val="000000"/>
              </w:rPr>
              <w:t>3</w:t>
            </w:r>
          </w:p>
        </w:tc>
        <w:tc>
          <w:tcPr>
            <w:tcW w:w="728" w:type="pct"/>
            <w:shd w:val="clear" w:color="auto" w:fill="auto"/>
            <w:tcMar>
              <w:left w:w="115" w:type="dxa"/>
              <w:right w:w="115" w:type="dxa"/>
            </w:tcMar>
            <w:vAlign w:val="center"/>
          </w:tcPr>
          <w:p w:rsidR="00F9139E" w:rsidRPr="00957123" w:rsidP="760FFB28" w14:paraId="7C5EDCAB" w14:textId="192593EF">
            <w:pPr>
              <w:widowControl/>
              <w:autoSpaceDE/>
              <w:autoSpaceDN/>
              <w:adjustRightInd/>
              <w:jc w:val="center"/>
            </w:pPr>
            <w:r w:rsidRPr="00957123">
              <w:rPr>
                <w:color w:val="000000" w:themeColor="text1"/>
              </w:rPr>
              <w:t>11,700</w:t>
            </w:r>
          </w:p>
        </w:tc>
        <w:tc>
          <w:tcPr>
            <w:tcW w:w="729" w:type="pct"/>
            <w:shd w:val="clear" w:color="auto" w:fill="auto"/>
            <w:tcMar>
              <w:left w:w="115" w:type="dxa"/>
              <w:right w:w="115" w:type="dxa"/>
            </w:tcMar>
            <w:vAlign w:val="center"/>
          </w:tcPr>
          <w:p w:rsidR="00F9139E" w:rsidRPr="00957123" w:rsidP="00F9139E" w14:paraId="5E448A86" w14:textId="235D487E">
            <w:pPr>
              <w:widowControl/>
              <w:autoSpaceDE/>
              <w:autoSpaceDN/>
              <w:adjustRightInd/>
              <w:jc w:val="center"/>
              <w:rPr>
                <w:color w:val="000000"/>
              </w:rPr>
            </w:pPr>
            <w:r w:rsidRPr="00957123">
              <w:rPr>
                <w:color w:val="000000"/>
              </w:rPr>
              <w:t>1</w:t>
            </w:r>
          </w:p>
        </w:tc>
        <w:tc>
          <w:tcPr>
            <w:tcW w:w="728" w:type="pct"/>
            <w:shd w:val="clear" w:color="auto" w:fill="auto"/>
            <w:tcMar>
              <w:left w:w="115" w:type="dxa"/>
              <w:right w:w="115" w:type="dxa"/>
            </w:tcMar>
            <w:vAlign w:val="center"/>
          </w:tcPr>
          <w:p w:rsidR="00F9139E" w:rsidRPr="00957123" w:rsidP="760FFB28" w14:paraId="06832102" w14:textId="2AB4575A">
            <w:pPr>
              <w:widowControl/>
              <w:autoSpaceDE/>
              <w:autoSpaceDN/>
              <w:adjustRightInd/>
              <w:jc w:val="center"/>
            </w:pPr>
            <w:r w:rsidRPr="00957123">
              <w:rPr>
                <w:color w:val="000000" w:themeColor="text1"/>
              </w:rPr>
              <w:t>11,700</w:t>
            </w:r>
          </w:p>
        </w:tc>
        <w:tc>
          <w:tcPr>
            <w:tcW w:w="551" w:type="pct"/>
            <w:shd w:val="clear" w:color="auto" w:fill="auto"/>
            <w:tcMar>
              <w:left w:w="115" w:type="dxa"/>
              <w:right w:w="115" w:type="dxa"/>
            </w:tcMar>
            <w:vAlign w:val="center"/>
          </w:tcPr>
          <w:p w:rsidR="00F9139E" w:rsidRPr="00957123" w:rsidP="00F9139E" w14:paraId="6F95F389" w14:textId="024F1831">
            <w:pPr>
              <w:widowControl/>
              <w:autoSpaceDE/>
              <w:autoSpaceDN/>
              <w:adjustRightInd/>
              <w:jc w:val="center"/>
              <w:rPr>
                <w:color w:val="000000"/>
              </w:rPr>
            </w:pPr>
            <w:r w:rsidRPr="00957123">
              <w:rPr>
                <w:color w:val="000000"/>
              </w:rPr>
              <w:t>0.033</w:t>
            </w:r>
          </w:p>
        </w:tc>
        <w:tc>
          <w:tcPr>
            <w:tcW w:w="770" w:type="pct"/>
            <w:shd w:val="clear" w:color="auto" w:fill="auto"/>
            <w:tcMar>
              <w:left w:w="115" w:type="dxa"/>
              <w:right w:w="115" w:type="dxa"/>
            </w:tcMar>
            <w:vAlign w:val="center"/>
          </w:tcPr>
          <w:p w:rsidR="00F9139E" w:rsidRPr="00957123" w:rsidP="00957123" w14:paraId="66ACB63E" w14:textId="6387DAE7">
            <w:pPr>
              <w:widowControl/>
              <w:spacing w:line="259" w:lineRule="auto"/>
              <w:jc w:val="center"/>
            </w:pPr>
            <w:r w:rsidRPr="00957123">
              <w:rPr>
                <w:color w:val="000000" w:themeColor="text1"/>
              </w:rPr>
              <w:t>390</w:t>
            </w:r>
          </w:p>
        </w:tc>
        <w:tc>
          <w:tcPr>
            <w:tcW w:w="864" w:type="pct"/>
            <w:shd w:val="clear" w:color="auto" w:fill="auto"/>
            <w:tcMar>
              <w:left w:w="115" w:type="dxa"/>
              <w:right w:w="115" w:type="dxa"/>
            </w:tcMar>
            <w:vAlign w:val="center"/>
          </w:tcPr>
          <w:p w:rsidR="00F9139E" w:rsidRPr="00957123" w:rsidP="15A85529" w14:paraId="0AD862E3" w14:textId="7CFB3AFF">
            <w:pPr>
              <w:widowControl/>
              <w:autoSpaceDE/>
              <w:autoSpaceDN/>
              <w:adjustRightInd/>
              <w:jc w:val="center"/>
              <w:rPr>
                <w:color w:val="000000"/>
              </w:rPr>
            </w:pPr>
            <w:r w:rsidRPr="5ECFBCA2">
              <w:rPr>
                <w:color w:val="000000" w:themeColor="text1"/>
              </w:rPr>
              <w:t>$</w:t>
            </w:r>
            <w:r w:rsidR="4184FD6F">
              <w:t>1</w:t>
            </w:r>
            <w:r w:rsidRPr="5ECFBCA2" w:rsidR="4184FD6F">
              <w:rPr>
                <w:color w:val="000000" w:themeColor="text1"/>
              </w:rPr>
              <w:t>1,198</w:t>
            </w:r>
            <w:r w:rsidRPr="5ECFBCA2">
              <w:rPr>
                <w:color w:val="000000" w:themeColor="text1"/>
              </w:rPr>
              <w:t xml:space="preserve"> </w:t>
            </w:r>
          </w:p>
        </w:tc>
      </w:tr>
      <w:tr w14:paraId="007D9A6B"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4A61D571" w14:textId="77777777">
            <w:pPr>
              <w:widowControl/>
              <w:autoSpaceDE/>
              <w:autoSpaceDN/>
              <w:adjustRightInd/>
              <w:jc w:val="center"/>
              <w:rPr>
                <w:color w:val="000000"/>
              </w:rPr>
            </w:pPr>
            <w:r w:rsidRPr="00957123">
              <w:rPr>
                <w:color w:val="000000"/>
              </w:rPr>
              <w:t>Total</w:t>
            </w:r>
          </w:p>
        </w:tc>
        <w:tc>
          <w:tcPr>
            <w:tcW w:w="728" w:type="pct"/>
            <w:shd w:val="clear" w:color="auto" w:fill="auto"/>
            <w:tcMar>
              <w:left w:w="115" w:type="dxa"/>
              <w:right w:w="115" w:type="dxa"/>
            </w:tcMar>
            <w:vAlign w:val="center"/>
          </w:tcPr>
          <w:p w:rsidR="00F9139E" w:rsidRPr="00957123" w:rsidP="00F9139E" w14:paraId="2646276B" w14:textId="186C5E1E">
            <w:pPr>
              <w:widowControl/>
              <w:autoSpaceDE/>
              <w:autoSpaceDN/>
              <w:adjustRightInd/>
              <w:jc w:val="center"/>
              <w:rPr>
                <w:color w:val="000000"/>
              </w:rPr>
            </w:pPr>
            <w:r w:rsidRPr="00957123">
              <w:rPr>
                <w:color w:val="000000" w:themeColor="text1"/>
              </w:rPr>
              <w:t>35,09</w:t>
            </w:r>
            <w:r w:rsidRPr="00957123" w:rsidR="7CF108D1">
              <w:rPr>
                <w:color w:val="000000" w:themeColor="text1"/>
              </w:rPr>
              <w:t>9</w:t>
            </w:r>
          </w:p>
        </w:tc>
        <w:tc>
          <w:tcPr>
            <w:tcW w:w="729" w:type="pct"/>
            <w:shd w:val="clear" w:color="auto" w:fill="auto"/>
            <w:tcMar>
              <w:left w:w="115" w:type="dxa"/>
              <w:right w:w="115" w:type="dxa"/>
            </w:tcMar>
            <w:vAlign w:val="center"/>
          </w:tcPr>
          <w:p w:rsidR="00F9139E" w:rsidRPr="00957123" w:rsidP="00F9139E" w14:paraId="6C6305C4" w14:textId="4E40A3EF">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F9139E" w:rsidRPr="00957123" w:rsidP="00957123" w14:paraId="2DE11E80" w14:textId="10636CFC">
            <w:pPr>
              <w:widowControl/>
              <w:spacing w:line="259" w:lineRule="auto"/>
              <w:jc w:val="center"/>
            </w:pPr>
            <w:r w:rsidRPr="00957123">
              <w:rPr>
                <w:color w:val="000000" w:themeColor="text1"/>
              </w:rPr>
              <w:t>35,099</w:t>
            </w:r>
          </w:p>
        </w:tc>
        <w:tc>
          <w:tcPr>
            <w:tcW w:w="551" w:type="pct"/>
            <w:shd w:val="clear" w:color="auto" w:fill="auto"/>
            <w:tcMar>
              <w:left w:w="115" w:type="dxa"/>
              <w:right w:w="115" w:type="dxa"/>
            </w:tcMar>
            <w:vAlign w:val="center"/>
          </w:tcPr>
          <w:p w:rsidR="00F9139E" w:rsidRPr="00957123" w:rsidP="00F9139E" w14:paraId="305BD65D" w14:textId="7AB40D99">
            <w:pPr>
              <w:widowControl/>
              <w:autoSpaceDE/>
              <w:autoSpaceDN/>
              <w:adjustRightInd/>
              <w:jc w:val="center"/>
              <w:rPr>
                <w:color w:val="000000"/>
              </w:rPr>
            </w:pPr>
            <w:r w:rsidRPr="00957123">
              <w:rPr>
                <w:color w:val="000000"/>
              </w:rPr>
              <w:t>-</w:t>
            </w:r>
          </w:p>
        </w:tc>
        <w:tc>
          <w:tcPr>
            <w:tcW w:w="770" w:type="pct"/>
            <w:shd w:val="clear" w:color="auto" w:fill="auto"/>
            <w:tcMar>
              <w:left w:w="115" w:type="dxa"/>
              <w:right w:w="115" w:type="dxa"/>
            </w:tcMar>
            <w:vAlign w:val="center"/>
          </w:tcPr>
          <w:p w:rsidR="00F9139E" w:rsidRPr="00957123" w:rsidP="00957123" w14:paraId="4E3B7AA9" w14:textId="5158A8FB">
            <w:pPr>
              <w:widowControl/>
              <w:spacing w:line="259" w:lineRule="auto"/>
              <w:jc w:val="center"/>
            </w:pPr>
            <w:r w:rsidRPr="00957123">
              <w:rPr>
                <w:color w:val="000000" w:themeColor="text1"/>
              </w:rPr>
              <w:t>1,170</w:t>
            </w:r>
          </w:p>
        </w:tc>
        <w:tc>
          <w:tcPr>
            <w:tcW w:w="864" w:type="pct"/>
            <w:shd w:val="clear" w:color="auto" w:fill="auto"/>
            <w:tcMar>
              <w:left w:w="115" w:type="dxa"/>
              <w:right w:w="115" w:type="dxa"/>
            </w:tcMar>
            <w:vAlign w:val="center"/>
          </w:tcPr>
          <w:p w:rsidR="00F9139E" w:rsidRPr="00957123" w:rsidP="5ECFBCA2" w14:paraId="5ADD8D2B" w14:textId="16884215">
            <w:pPr>
              <w:widowControl/>
              <w:spacing w:line="259" w:lineRule="auto"/>
              <w:jc w:val="center"/>
            </w:pPr>
            <w:r w:rsidRPr="5ECFBCA2">
              <w:rPr>
                <w:color w:val="000000" w:themeColor="text1"/>
              </w:rPr>
              <w:t>$</w:t>
            </w:r>
            <w:r w:rsidRPr="5ECFBCA2" w:rsidR="0B944FEF">
              <w:rPr>
                <w:color w:val="000000" w:themeColor="text1"/>
              </w:rPr>
              <w:t>33,594</w:t>
            </w:r>
          </w:p>
        </w:tc>
      </w:tr>
      <w:tr w14:paraId="59E24EE1" w14:textId="77777777" w:rsidTr="5ECFBCA2">
        <w:tblPrEx>
          <w:tblW w:w="5000" w:type="pct"/>
          <w:tblLayout w:type="fixed"/>
          <w:tblCellMar>
            <w:left w:w="29" w:type="dxa"/>
            <w:right w:w="29" w:type="dxa"/>
          </w:tblCellMar>
          <w:tblLook w:val="04A0"/>
        </w:tblPrEx>
        <w:trPr>
          <w:trHeight w:val="270"/>
        </w:trPr>
        <w:tc>
          <w:tcPr>
            <w:tcW w:w="630" w:type="pct"/>
            <w:shd w:val="clear" w:color="auto" w:fill="auto"/>
            <w:tcMar>
              <w:left w:w="115" w:type="dxa"/>
              <w:right w:w="115" w:type="dxa"/>
            </w:tcMar>
            <w:vAlign w:val="bottom"/>
            <w:hideMark/>
          </w:tcPr>
          <w:p w:rsidR="00F9139E" w:rsidRPr="00957123" w:rsidP="00F9139E" w14:paraId="6D99AEA5" w14:textId="77777777">
            <w:pPr>
              <w:widowControl/>
              <w:autoSpaceDE/>
              <w:autoSpaceDN/>
              <w:adjustRightInd/>
              <w:jc w:val="center"/>
              <w:rPr>
                <w:color w:val="000000"/>
              </w:rPr>
            </w:pPr>
            <w:r w:rsidRPr="00957123">
              <w:rPr>
                <w:color w:val="000000"/>
              </w:rPr>
              <w:t>Annualized</w:t>
            </w:r>
          </w:p>
        </w:tc>
        <w:tc>
          <w:tcPr>
            <w:tcW w:w="728" w:type="pct"/>
            <w:shd w:val="clear" w:color="auto" w:fill="auto"/>
            <w:tcMar>
              <w:left w:w="115" w:type="dxa"/>
              <w:right w:w="115" w:type="dxa"/>
            </w:tcMar>
            <w:vAlign w:val="center"/>
          </w:tcPr>
          <w:p w:rsidR="00F9139E" w:rsidRPr="00957123" w:rsidP="760FFB28" w14:paraId="3BCDDD7D" w14:textId="27431D3D">
            <w:pPr>
              <w:widowControl/>
              <w:autoSpaceDE/>
              <w:autoSpaceDN/>
              <w:adjustRightInd/>
              <w:jc w:val="center"/>
            </w:pPr>
            <w:r w:rsidRPr="00957123">
              <w:rPr>
                <w:color w:val="000000" w:themeColor="text1"/>
              </w:rPr>
              <w:t>11,700</w:t>
            </w:r>
          </w:p>
        </w:tc>
        <w:tc>
          <w:tcPr>
            <w:tcW w:w="729" w:type="pct"/>
            <w:shd w:val="clear" w:color="auto" w:fill="auto"/>
            <w:tcMar>
              <w:left w:w="115" w:type="dxa"/>
              <w:right w:w="115" w:type="dxa"/>
            </w:tcMar>
            <w:vAlign w:val="center"/>
          </w:tcPr>
          <w:p w:rsidR="00F9139E" w:rsidRPr="00957123" w:rsidP="00F9139E" w14:paraId="63B6D8DA" w14:textId="6656AD05">
            <w:pPr>
              <w:widowControl/>
              <w:autoSpaceDE/>
              <w:autoSpaceDN/>
              <w:adjustRightInd/>
              <w:jc w:val="center"/>
              <w:rPr>
                <w:color w:val="000000"/>
              </w:rPr>
            </w:pPr>
            <w:r w:rsidRPr="00957123">
              <w:rPr>
                <w:color w:val="000000"/>
              </w:rPr>
              <w:t>-</w:t>
            </w:r>
          </w:p>
        </w:tc>
        <w:tc>
          <w:tcPr>
            <w:tcW w:w="728" w:type="pct"/>
            <w:shd w:val="clear" w:color="auto" w:fill="auto"/>
            <w:tcMar>
              <w:left w:w="115" w:type="dxa"/>
              <w:right w:w="115" w:type="dxa"/>
            </w:tcMar>
            <w:vAlign w:val="center"/>
          </w:tcPr>
          <w:p w:rsidR="00F9139E" w:rsidRPr="00957123" w:rsidP="760FFB28" w14:paraId="78AA183B" w14:textId="54C56F8C">
            <w:pPr>
              <w:widowControl/>
              <w:autoSpaceDE/>
              <w:autoSpaceDN/>
              <w:adjustRightInd/>
              <w:jc w:val="center"/>
            </w:pPr>
            <w:r w:rsidRPr="00957123">
              <w:rPr>
                <w:color w:val="000000" w:themeColor="text1"/>
              </w:rPr>
              <w:t>11,700</w:t>
            </w:r>
          </w:p>
        </w:tc>
        <w:tc>
          <w:tcPr>
            <w:tcW w:w="551" w:type="pct"/>
            <w:shd w:val="clear" w:color="auto" w:fill="auto"/>
            <w:tcMar>
              <w:left w:w="115" w:type="dxa"/>
              <w:right w:w="115" w:type="dxa"/>
            </w:tcMar>
            <w:vAlign w:val="center"/>
          </w:tcPr>
          <w:p w:rsidR="00F9139E" w:rsidRPr="00957123" w:rsidP="00F9139E" w14:paraId="307084FF" w14:textId="5FF4F8CB">
            <w:pPr>
              <w:widowControl/>
              <w:autoSpaceDE/>
              <w:autoSpaceDN/>
              <w:adjustRightInd/>
              <w:jc w:val="center"/>
              <w:rPr>
                <w:color w:val="000000"/>
              </w:rPr>
            </w:pPr>
            <w:r w:rsidRPr="00957123">
              <w:rPr>
                <w:color w:val="000000"/>
              </w:rPr>
              <w:t>-</w:t>
            </w:r>
          </w:p>
        </w:tc>
        <w:tc>
          <w:tcPr>
            <w:tcW w:w="770" w:type="pct"/>
            <w:shd w:val="clear" w:color="auto" w:fill="auto"/>
            <w:tcMar>
              <w:left w:w="115" w:type="dxa"/>
              <w:right w:w="115" w:type="dxa"/>
            </w:tcMar>
            <w:vAlign w:val="center"/>
          </w:tcPr>
          <w:p w:rsidR="00F9139E" w:rsidRPr="00957123" w:rsidP="00957123" w14:paraId="67AB0453" w14:textId="35552527">
            <w:pPr>
              <w:widowControl/>
              <w:spacing w:line="259" w:lineRule="auto"/>
              <w:jc w:val="center"/>
            </w:pPr>
            <w:r w:rsidRPr="00957123">
              <w:rPr>
                <w:color w:val="000000" w:themeColor="text1"/>
              </w:rPr>
              <w:t>390</w:t>
            </w:r>
          </w:p>
        </w:tc>
        <w:tc>
          <w:tcPr>
            <w:tcW w:w="864" w:type="pct"/>
            <w:shd w:val="clear" w:color="auto" w:fill="auto"/>
            <w:tcMar>
              <w:left w:w="115" w:type="dxa"/>
              <w:right w:w="115" w:type="dxa"/>
            </w:tcMar>
            <w:vAlign w:val="center"/>
          </w:tcPr>
          <w:p w:rsidR="00F9139E" w:rsidRPr="00957123" w:rsidP="15A85529" w14:paraId="26D1CE41" w14:textId="27A75149">
            <w:pPr>
              <w:widowControl/>
              <w:autoSpaceDE/>
              <w:autoSpaceDN/>
              <w:adjustRightInd/>
              <w:jc w:val="center"/>
            </w:pPr>
            <w:r w:rsidRPr="5ECFBCA2">
              <w:rPr>
                <w:color w:val="000000" w:themeColor="text1"/>
              </w:rPr>
              <w:t>$</w:t>
            </w:r>
            <w:r w:rsidR="1BE4F1A3">
              <w:t>1</w:t>
            </w:r>
            <w:r w:rsidRPr="5ECFBCA2" w:rsidR="1BE4F1A3">
              <w:rPr>
                <w:color w:val="000000" w:themeColor="text1"/>
              </w:rPr>
              <w:t>1,198</w:t>
            </w:r>
          </w:p>
        </w:tc>
      </w:tr>
    </w:tbl>
    <w:p w:rsidR="00FA4698" w:rsidRPr="007E65CF" w:rsidP="00722B85" w14:paraId="187BD65A" w14:textId="77777777">
      <w:pPr>
        <w:widowControl/>
        <w:rPr>
          <w:sz w:val="18"/>
          <w:szCs w:val="18"/>
        </w:rPr>
      </w:pPr>
      <w:r>
        <w:rPr>
          <w:sz w:val="18"/>
          <w:szCs w:val="18"/>
        </w:rPr>
        <w:t>Totals are the product of unrounded components</w:t>
      </w:r>
      <w:r w:rsidRPr="007E65CF">
        <w:rPr>
          <w:sz w:val="18"/>
          <w:szCs w:val="18"/>
        </w:rPr>
        <w:t>.</w:t>
      </w:r>
    </w:p>
    <w:p w:rsidR="00E06196" w:rsidP="00722B85" w14:paraId="59F90193" w14:textId="77777777">
      <w:pPr>
        <w:widowControl/>
      </w:pPr>
    </w:p>
    <w:p w:rsidR="005C1D7D" w:rsidP="5ECFBCA2" w14:paraId="40BE5D90" w14:textId="2180D73C">
      <w:pPr>
        <w:widowControl/>
        <w:spacing w:line="259" w:lineRule="auto"/>
      </w:pPr>
      <w:r>
        <w:t xml:space="preserve">These four tasks combined result in an annualized total of </w:t>
      </w:r>
      <w:r w:rsidR="439EA2AE">
        <w:t>35,099</w:t>
      </w:r>
      <w:r>
        <w:t xml:space="preserve"> responses and </w:t>
      </w:r>
      <w:r w:rsidR="3F73E9C9">
        <w:t xml:space="preserve">283,608 </w:t>
      </w:r>
      <w:r>
        <w:t>burden hours, costing $</w:t>
      </w:r>
      <w:r w:rsidR="6A3BF8B6">
        <w:t>9,788,217</w:t>
      </w:r>
      <w:r>
        <w:t xml:space="preserve"> (</w:t>
      </w:r>
      <w:r>
        <w:fldChar w:fldCharType="begin"/>
      </w:r>
      <w:r>
        <w:instrText xml:space="preserve"> REF _Ref508703916 \h  \* MERGEFORMAT </w:instrText>
      </w:r>
      <w:r>
        <w:fldChar w:fldCharType="separate"/>
      </w:r>
      <w:r w:rsidR="006A6CBC">
        <w:t xml:space="preserve">Table </w:t>
      </w:r>
      <w:r w:rsidRPr="5ECFBCA2" w:rsidR="006A6CBC">
        <w:rPr>
          <w:noProof/>
        </w:rPr>
        <w:t>24</w:t>
      </w:r>
      <w:r>
        <w:fldChar w:fldCharType="end"/>
      </w:r>
      <w:r>
        <w:t>).</w:t>
      </w:r>
    </w:p>
    <w:p w:rsidR="005C1D7D" w:rsidP="00722B85" w14:paraId="62182C23" w14:textId="77777777">
      <w:pPr>
        <w:widowControl/>
      </w:pPr>
    </w:p>
    <w:p w:rsidR="006C3234" w:rsidP="00722B85" w14:paraId="5B4D896A" w14:textId="77777777">
      <w:pPr>
        <w:widowControl/>
      </w:pPr>
    </w:p>
    <w:p w:rsidR="00DA250B" w:rsidRPr="00D64E77" w:rsidP="00722B85" w14:paraId="546217DA" w14:textId="6856E205">
      <w:pPr>
        <w:pStyle w:val="Caption"/>
        <w:keepNext/>
        <w:widowControl/>
      </w:pPr>
      <w:bookmarkStart w:id="38" w:name="_Ref508703916"/>
      <w:r w:rsidRPr="00D64E77">
        <w:t xml:space="preserve">Table </w:t>
      </w:r>
      <w:r>
        <w:fldChar w:fldCharType="begin"/>
      </w:r>
      <w:r>
        <w:instrText>SEQ Table \* ARABIC</w:instrText>
      </w:r>
      <w:r>
        <w:fldChar w:fldCharType="separate"/>
      </w:r>
      <w:r w:rsidR="006A6CBC">
        <w:rPr>
          <w:noProof/>
        </w:rPr>
        <w:t>24</w:t>
      </w:r>
      <w:r>
        <w:fldChar w:fldCharType="end"/>
      </w:r>
      <w:bookmarkEnd w:id="38"/>
      <w:r w:rsidRPr="00D64E77">
        <w:t xml:space="preserve">. Annualized </w:t>
      </w:r>
      <w:r w:rsidRPr="00D64E77" w:rsidR="002D66E6">
        <w:t>Knowledge and Skills Test Examiner Certification</w:t>
      </w:r>
      <w:r w:rsidRPr="00D64E77">
        <w:t xml:space="preserve"> (IC-2.8)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4203"/>
        <w:gridCol w:w="1317"/>
        <w:gridCol w:w="1260"/>
        <w:gridCol w:w="1260"/>
        <w:gridCol w:w="1310"/>
      </w:tblGrid>
      <w:tr w14:paraId="4A2B9339"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576"/>
        </w:trPr>
        <w:tc>
          <w:tcPr>
            <w:tcW w:w="2248" w:type="pct"/>
            <w:shd w:val="clear" w:color="auto" w:fill="E0E0E0"/>
            <w:tcMar>
              <w:left w:w="0" w:type="dxa"/>
              <w:right w:w="0" w:type="dxa"/>
            </w:tcMar>
            <w:vAlign w:val="bottom"/>
            <w:hideMark/>
          </w:tcPr>
          <w:p w:rsidR="00DA250B" w:rsidRPr="009C27AA" w:rsidP="00EB7D1F" w14:paraId="5239D791" w14:textId="77777777">
            <w:pPr>
              <w:widowControl/>
              <w:autoSpaceDE/>
              <w:autoSpaceDN/>
              <w:adjustRightInd/>
              <w:jc w:val="center"/>
              <w:rPr>
                <w:b/>
                <w:bCs/>
                <w:color w:val="000000"/>
              </w:rPr>
            </w:pPr>
            <w:r>
              <w:rPr>
                <w:b/>
                <w:bCs/>
                <w:color w:val="000000"/>
              </w:rPr>
              <w:t>Test</w:t>
            </w:r>
          </w:p>
        </w:tc>
        <w:tc>
          <w:tcPr>
            <w:tcW w:w="704" w:type="pct"/>
            <w:shd w:val="clear" w:color="auto" w:fill="E0E0E0"/>
            <w:tcMar>
              <w:left w:w="0" w:type="dxa"/>
              <w:right w:w="0" w:type="dxa"/>
            </w:tcMar>
            <w:vAlign w:val="bottom"/>
            <w:hideMark/>
          </w:tcPr>
          <w:p w:rsidR="00DA250B" w:rsidRPr="009C27AA" w:rsidP="00EB7D1F" w14:paraId="100FB98F" w14:textId="77777777">
            <w:pPr>
              <w:widowControl/>
              <w:autoSpaceDE/>
              <w:autoSpaceDN/>
              <w:adjustRightInd/>
              <w:jc w:val="center"/>
              <w:rPr>
                <w:b/>
                <w:bCs/>
                <w:color w:val="000000"/>
              </w:rPr>
            </w:pPr>
            <w:r>
              <w:rPr>
                <w:b/>
                <w:bCs/>
                <w:color w:val="000000"/>
              </w:rPr>
              <w:t>Respondents</w:t>
            </w:r>
          </w:p>
        </w:tc>
        <w:tc>
          <w:tcPr>
            <w:tcW w:w="674" w:type="pct"/>
            <w:shd w:val="clear" w:color="auto" w:fill="E0E0E0"/>
            <w:tcMar>
              <w:left w:w="0" w:type="dxa"/>
              <w:right w:w="0" w:type="dxa"/>
            </w:tcMar>
            <w:vAlign w:val="bottom"/>
            <w:hideMark/>
          </w:tcPr>
          <w:p w:rsidR="00DA250B" w:rsidRPr="009C27AA" w:rsidP="00EB7D1F" w14:paraId="464E5B4C" w14:textId="77777777">
            <w:pPr>
              <w:widowControl/>
              <w:autoSpaceDE/>
              <w:autoSpaceDN/>
              <w:adjustRightInd/>
              <w:jc w:val="center"/>
              <w:rPr>
                <w:b/>
                <w:bCs/>
                <w:color w:val="000000"/>
              </w:rPr>
            </w:pPr>
            <w:r>
              <w:rPr>
                <w:b/>
                <w:bCs/>
                <w:color w:val="000000"/>
              </w:rPr>
              <w:t>Responses</w:t>
            </w:r>
          </w:p>
        </w:tc>
        <w:tc>
          <w:tcPr>
            <w:tcW w:w="674" w:type="pct"/>
            <w:shd w:val="clear" w:color="auto" w:fill="E0E0E0"/>
            <w:tcMar>
              <w:left w:w="0" w:type="dxa"/>
              <w:right w:w="0" w:type="dxa"/>
            </w:tcMar>
            <w:vAlign w:val="bottom"/>
            <w:hideMark/>
          </w:tcPr>
          <w:p w:rsidR="00DA250B" w:rsidRPr="009C27AA" w:rsidP="00EB7D1F" w14:paraId="47113CDD" w14:textId="77777777">
            <w:pPr>
              <w:widowControl/>
              <w:autoSpaceDE/>
              <w:autoSpaceDN/>
              <w:adjustRightInd/>
              <w:jc w:val="center"/>
              <w:rPr>
                <w:b/>
                <w:bCs/>
                <w:color w:val="000000"/>
              </w:rPr>
            </w:pPr>
            <w:r>
              <w:rPr>
                <w:b/>
                <w:bCs/>
                <w:color w:val="000000"/>
              </w:rPr>
              <w:t>Total Burden Hours</w:t>
            </w:r>
          </w:p>
        </w:tc>
        <w:tc>
          <w:tcPr>
            <w:tcW w:w="701" w:type="pct"/>
            <w:shd w:val="clear" w:color="auto" w:fill="E0E0E0"/>
            <w:tcMar>
              <w:left w:w="0" w:type="dxa"/>
              <w:right w:w="0" w:type="dxa"/>
            </w:tcMar>
            <w:vAlign w:val="bottom"/>
            <w:hideMark/>
          </w:tcPr>
          <w:p w:rsidR="00DA250B" w:rsidRPr="009C27AA" w:rsidP="00EB7D1F" w14:paraId="7B58C458" w14:textId="77777777">
            <w:pPr>
              <w:widowControl/>
              <w:autoSpaceDE/>
              <w:autoSpaceDN/>
              <w:adjustRightInd/>
              <w:jc w:val="center"/>
              <w:rPr>
                <w:b/>
                <w:bCs/>
                <w:color w:val="000000"/>
              </w:rPr>
            </w:pPr>
            <w:r>
              <w:rPr>
                <w:b/>
                <w:bCs/>
                <w:color w:val="000000"/>
              </w:rPr>
              <w:t>Total Burden Hour Cost</w:t>
            </w:r>
          </w:p>
        </w:tc>
      </w:tr>
      <w:tr w14:paraId="2AEFDB2D" w14:textId="77777777" w:rsidTr="5ECFBCA2">
        <w:tblPrEx>
          <w:tblW w:w="5000" w:type="pct"/>
          <w:tblCellMar>
            <w:left w:w="29" w:type="dxa"/>
            <w:right w:w="29" w:type="dxa"/>
          </w:tblCellMar>
          <w:tblLook w:val="04A0"/>
        </w:tblPrEx>
        <w:trPr>
          <w:trHeight w:val="270"/>
        </w:trPr>
        <w:tc>
          <w:tcPr>
            <w:tcW w:w="2248" w:type="pct"/>
            <w:shd w:val="clear" w:color="auto" w:fill="auto"/>
            <w:tcMar>
              <w:left w:w="115" w:type="dxa"/>
              <w:right w:w="115" w:type="dxa"/>
            </w:tcMar>
            <w:vAlign w:val="bottom"/>
          </w:tcPr>
          <w:p w:rsidR="00507B60" w:rsidRPr="00DA250B" w:rsidP="00507B60" w14:paraId="760567BE" w14:textId="77777777">
            <w:pPr>
              <w:widowControl/>
              <w:autoSpaceDE/>
              <w:autoSpaceDN/>
              <w:adjustRightInd/>
              <w:rPr>
                <w:color w:val="000000"/>
              </w:rPr>
            </w:pPr>
            <w:r w:rsidRPr="00DA250B">
              <w:t>Examiner Knowledge Certification</w:t>
            </w:r>
          </w:p>
        </w:tc>
        <w:tc>
          <w:tcPr>
            <w:tcW w:w="704" w:type="pct"/>
            <w:shd w:val="clear" w:color="auto" w:fill="auto"/>
            <w:tcMar>
              <w:left w:w="115" w:type="dxa"/>
              <w:right w:w="115" w:type="dxa"/>
            </w:tcMar>
          </w:tcPr>
          <w:p w:rsidR="00507B60" w:rsidRPr="00F00DF4" w:rsidP="00507B60" w14:paraId="4869E0B4" w14:textId="176E46E7">
            <w:pPr>
              <w:widowControl/>
              <w:autoSpaceDE/>
              <w:autoSpaceDN/>
              <w:adjustRightInd/>
              <w:jc w:val="center"/>
              <w:rPr>
                <w:color w:val="000000"/>
              </w:rPr>
            </w:pPr>
            <w:r w:rsidRPr="00D64E77">
              <w:t xml:space="preserve"> </w:t>
            </w:r>
            <w:r w:rsidRPr="00957123">
              <w:rPr>
                <w:color w:val="000000" w:themeColor="text1"/>
              </w:rPr>
              <w:t>9,385</w:t>
            </w:r>
          </w:p>
        </w:tc>
        <w:tc>
          <w:tcPr>
            <w:tcW w:w="674" w:type="pct"/>
            <w:shd w:val="clear" w:color="auto" w:fill="auto"/>
            <w:tcMar>
              <w:left w:w="115" w:type="dxa"/>
              <w:right w:w="115" w:type="dxa"/>
            </w:tcMar>
          </w:tcPr>
          <w:p w:rsidR="00507B60" w:rsidRPr="00F00DF4" w:rsidP="00507B60" w14:paraId="20DE3CD3" w14:textId="7CA2D379">
            <w:pPr>
              <w:widowControl/>
              <w:autoSpaceDE/>
              <w:autoSpaceDN/>
              <w:adjustRightInd/>
              <w:jc w:val="center"/>
            </w:pPr>
            <w:r w:rsidRPr="00D64E77">
              <w:t xml:space="preserve"> </w:t>
            </w:r>
            <w:r w:rsidRPr="00957123">
              <w:rPr>
                <w:color w:val="000000" w:themeColor="text1"/>
              </w:rPr>
              <w:t>9,385</w:t>
            </w:r>
          </w:p>
        </w:tc>
        <w:tc>
          <w:tcPr>
            <w:tcW w:w="674" w:type="pct"/>
            <w:shd w:val="clear" w:color="auto" w:fill="auto"/>
            <w:tcMar>
              <w:left w:w="115" w:type="dxa"/>
              <w:right w:w="115" w:type="dxa"/>
            </w:tcMar>
          </w:tcPr>
          <w:p w:rsidR="00507B60" w:rsidRPr="00F00DF4" w:rsidP="00507B60" w14:paraId="08D01F8E" w14:textId="0D97B4B5">
            <w:pPr>
              <w:widowControl/>
              <w:autoSpaceDE/>
              <w:autoSpaceDN/>
              <w:adjustRightInd/>
              <w:jc w:val="center"/>
              <w:rPr>
                <w:color w:val="000000"/>
              </w:rPr>
            </w:pPr>
            <w:r w:rsidRPr="00D64E77">
              <w:t xml:space="preserve">  </w:t>
            </w:r>
            <w:r w:rsidRPr="00957123">
              <w:rPr>
                <w:color w:val="000000" w:themeColor="text1"/>
              </w:rPr>
              <w:t>187,693</w:t>
            </w:r>
          </w:p>
        </w:tc>
        <w:tc>
          <w:tcPr>
            <w:tcW w:w="701" w:type="pct"/>
            <w:shd w:val="clear" w:color="auto" w:fill="auto"/>
            <w:tcMar>
              <w:left w:w="115" w:type="dxa"/>
              <w:right w:w="115" w:type="dxa"/>
            </w:tcMar>
          </w:tcPr>
          <w:p w:rsidR="00507B60" w:rsidRPr="00F00DF4" w:rsidP="5ECFBCA2" w14:paraId="33574734" w14:textId="4FBC6F2A">
            <w:pPr>
              <w:widowControl/>
              <w:spacing w:line="259" w:lineRule="auto"/>
              <w:jc w:val="center"/>
              <w:rPr>
                <w:color w:val="000000" w:themeColor="text1"/>
              </w:rPr>
            </w:pPr>
            <w:r>
              <w:t xml:space="preserve"> </w:t>
            </w:r>
            <w:r w:rsidRPr="5ECFBCA2">
              <w:rPr>
                <w:color w:val="000000" w:themeColor="text1"/>
              </w:rPr>
              <w:t>$</w:t>
            </w:r>
            <w:r w:rsidR="05D18154">
              <w:t>6,490,765</w:t>
            </w:r>
            <w:r w:rsidRPr="5ECFBCA2">
              <w:rPr>
                <w:color w:val="000000" w:themeColor="text1"/>
              </w:rPr>
              <w:t xml:space="preserve"> </w:t>
            </w:r>
            <w:r>
              <w:t xml:space="preserve"> </w:t>
            </w:r>
          </w:p>
        </w:tc>
      </w:tr>
      <w:tr w14:paraId="12FDF755" w14:textId="77777777" w:rsidTr="5ECFBCA2">
        <w:tblPrEx>
          <w:tblW w:w="5000" w:type="pct"/>
          <w:tblCellMar>
            <w:left w:w="29" w:type="dxa"/>
            <w:right w:w="29" w:type="dxa"/>
          </w:tblCellMar>
          <w:tblLook w:val="04A0"/>
        </w:tblPrEx>
        <w:trPr>
          <w:trHeight w:val="270"/>
        </w:trPr>
        <w:tc>
          <w:tcPr>
            <w:tcW w:w="2248" w:type="pct"/>
            <w:shd w:val="clear" w:color="auto" w:fill="auto"/>
            <w:tcMar>
              <w:left w:w="115" w:type="dxa"/>
              <w:right w:w="115" w:type="dxa"/>
            </w:tcMar>
            <w:vAlign w:val="bottom"/>
          </w:tcPr>
          <w:p w:rsidR="00507B60" w:rsidRPr="00DA250B" w:rsidP="00507B60" w14:paraId="39A48E19" w14:textId="77777777">
            <w:pPr>
              <w:widowControl/>
              <w:autoSpaceDE/>
              <w:autoSpaceDN/>
              <w:adjustRightInd/>
              <w:rPr>
                <w:color w:val="000000"/>
              </w:rPr>
            </w:pPr>
            <w:r w:rsidRPr="00DA250B">
              <w:t>Examiner Knowledge &amp; Skills Certification</w:t>
            </w:r>
          </w:p>
        </w:tc>
        <w:tc>
          <w:tcPr>
            <w:tcW w:w="704" w:type="pct"/>
            <w:shd w:val="clear" w:color="auto" w:fill="auto"/>
            <w:tcMar>
              <w:left w:w="115" w:type="dxa"/>
              <w:right w:w="115" w:type="dxa"/>
            </w:tcMar>
          </w:tcPr>
          <w:p w:rsidR="00507B60" w:rsidRPr="00F00DF4" w:rsidP="00507B60" w14:paraId="78EC2AA6" w14:textId="40427DD4">
            <w:pPr>
              <w:widowControl/>
              <w:autoSpaceDE/>
              <w:autoSpaceDN/>
              <w:adjustRightInd/>
              <w:jc w:val="center"/>
              <w:rPr>
                <w:color w:val="000000"/>
              </w:rPr>
            </w:pPr>
            <w:r w:rsidRPr="00D64E77">
              <w:t xml:space="preserve"> </w:t>
            </w:r>
            <w:r w:rsidRPr="00957123">
              <w:rPr>
                <w:color w:val="000000" w:themeColor="text1"/>
              </w:rPr>
              <w:t>5</w:t>
            </w:r>
            <w:r w:rsidRPr="00D64E77">
              <w:t xml:space="preserve"> </w:t>
            </w:r>
          </w:p>
        </w:tc>
        <w:tc>
          <w:tcPr>
            <w:tcW w:w="674" w:type="pct"/>
            <w:shd w:val="clear" w:color="auto" w:fill="auto"/>
            <w:tcMar>
              <w:left w:w="115" w:type="dxa"/>
              <w:right w:w="115" w:type="dxa"/>
            </w:tcMar>
          </w:tcPr>
          <w:p w:rsidR="00507B60" w:rsidRPr="00F00DF4" w:rsidP="00507B60" w14:paraId="172D0CC8" w14:textId="51E1FCD7">
            <w:pPr>
              <w:widowControl/>
              <w:autoSpaceDE/>
              <w:autoSpaceDN/>
              <w:adjustRightInd/>
              <w:jc w:val="center"/>
              <w:rPr>
                <w:color w:val="000000"/>
              </w:rPr>
            </w:pPr>
            <w:r w:rsidRPr="00D64E77">
              <w:t xml:space="preserve"> </w:t>
            </w:r>
            <w:r w:rsidRPr="00957123">
              <w:rPr>
                <w:color w:val="000000" w:themeColor="text1"/>
              </w:rPr>
              <w:t>5</w:t>
            </w:r>
            <w:r w:rsidRPr="00D64E77">
              <w:t xml:space="preserve"> </w:t>
            </w:r>
          </w:p>
        </w:tc>
        <w:tc>
          <w:tcPr>
            <w:tcW w:w="674" w:type="pct"/>
            <w:shd w:val="clear" w:color="auto" w:fill="auto"/>
            <w:tcMar>
              <w:left w:w="115" w:type="dxa"/>
              <w:right w:w="115" w:type="dxa"/>
            </w:tcMar>
          </w:tcPr>
          <w:p w:rsidR="00507B60" w:rsidRPr="00F00DF4" w:rsidP="00507B60" w14:paraId="36500C7B" w14:textId="65ADA13D">
            <w:pPr>
              <w:widowControl/>
              <w:autoSpaceDE/>
              <w:autoSpaceDN/>
              <w:adjustRightInd/>
              <w:jc w:val="center"/>
              <w:rPr>
                <w:color w:val="000000"/>
              </w:rPr>
            </w:pPr>
            <w:r w:rsidRPr="00D64E77">
              <w:t xml:space="preserve">  </w:t>
            </w:r>
            <w:r w:rsidRPr="00957123">
              <w:rPr>
                <w:color w:val="000000" w:themeColor="text1"/>
              </w:rPr>
              <w:t>92,600</w:t>
            </w:r>
          </w:p>
        </w:tc>
        <w:tc>
          <w:tcPr>
            <w:tcW w:w="701" w:type="pct"/>
            <w:shd w:val="clear" w:color="auto" w:fill="auto"/>
            <w:tcMar>
              <w:left w:w="115" w:type="dxa"/>
              <w:right w:w="115" w:type="dxa"/>
            </w:tcMar>
          </w:tcPr>
          <w:p w:rsidR="00507B60" w:rsidRPr="00F00DF4" w:rsidP="5ECFBCA2" w14:paraId="37FB8A86" w14:textId="6DD2BEED">
            <w:pPr>
              <w:widowControl/>
              <w:spacing w:line="259" w:lineRule="auto"/>
              <w:jc w:val="center"/>
            </w:pPr>
            <w:r>
              <w:t xml:space="preserve"> </w:t>
            </w:r>
            <w:r w:rsidRPr="5ECFBCA2">
              <w:rPr>
                <w:color w:val="000000" w:themeColor="text1"/>
              </w:rPr>
              <w:t>$</w:t>
            </w:r>
            <w:r w:rsidR="3CBEC37B">
              <w:t>3,202,270</w:t>
            </w:r>
          </w:p>
        </w:tc>
      </w:tr>
      <w:tr w14:paraId="57FE58BB" w14:textId="77777777" w:rsidTr="5ECFBCA2">
        <w:tblPrEx>
          <w:tblW w:w="5000" w:type="pct"/>
          <w:tblCellMar>
            <w:left w:w="29" w:type="dxa"/>
            <w:right w:w="29" w:type="dxa"/>
          </w:tblCellMar>
          <w:tblLook w:val="04A0"/>
        </w:tblPrEx>
        <w:trPr>
          <w:trHeight w:val="270"/>
        </w:trPr>
        <w:tc>
          <w:tcPr>
            <w:tcW w:w="2248" w:type="pct"/>
            <w:shd w:val="clear" w:color="auto" w:fill="auto"/>
            <w:tcMar>
              <w:left w:w="115" w:type="dxa"/>
              <w:right w:w="115" w:type="dxa"/>
            </w:tcMar>
            <w:vAlign w:val="bottom"/>
          </w:tcPr>
          <w:p w:rsidR="00507B60" w:rsidRPr="00DA250B" w:rsidP="00507B60" w14:paraId="77682006" w14:textId="77777777">
            <w:pPr>
              <w:widowControl/>
              <w:autoSpaceDE/>
              <w:autoSpaceDN/>
              <w:adjustRightInd/>
              <w:rPr>
                <w:color w:val="000000"/>
              </w:rPr>
            </w:pPr>
            <w:r w:rsidRPr="00DA250B">
              <w:t>Process and evaluate criminal background check</w:t>
            </w:r>
          </w:p>
        </w:tc>
        <w:tc>
          <w:tcPr>
            <w:tcW w:w="704" w:type="pct"/>
            <w:shd w:val="clear" w:color="auto" w:fill="auto"/>
            <w:tcMar>
              <w:left w:w="115" w:type="dxa"/>
              <w:right w:w="115" w:type="dxa"/>
            </w:tcMar>
          </w:tcPr>
          <w:p w:rsidR="00507B60" w:rsidRPr="00F00DF4" w:rsidP="00507B60" w14:paraId="70A16BDB" w14:textId="5E696D12">
            <w:pPr>
              <w:widowControl/>
              <w:autoSpaceDE/>
              <w:autoSpaceDN/>
              <w:adjustRightInd/>
              <w:jc w:val="center"/>
              <w:rPr>
                <w:color w:val="000000"/>
              </w:rPr>
            </w:pPr>
            <w:r w:rsidRPr="00D64E77">
              <w:t xml:space="preserve">  </w:t>
            </w:r>
            <w:r w:rsidRPr="00957123">
              <w:rPr>
                <w:color w:val="000000" w:themeColor="text1"/>
              </w:rPr>
              <w:t>11,700</w:t>
            </w:r>
          </w:p>
        </w:tc>
        <w:tc>
          <w:tcPr>
            <w:tcW w:w="674" w:type="pct"/>
            <w:shd w:val="clear" w:color="auto" w:fill="auto"/>
            <w:tcMar>
              <w:left w:w="115" w:type="dxa"/>
              <w:right w:w="115" w:type="dxa"/>
            </w:tcMar>
          </w:tcPr>
          <w:p w:rsidR="00507B60" w:rsidRPr="00F00DF4" w:rsidP="00507B60" w14:paraId="7BB39D20" w14:textId="0D8A2A40">
            <w:pPr>
              <w:widowControl/>
              <w:autoSpaceDE/>
              <w:autoSpaceDN/>
              <w:adjustRightInd/>
              <w:jc w:val="center"/>
              <w:rPr>
                <w:color w:val="000000"/>
              </w:rPr>
            </w:pPr>
            <w:r w:rsidRPr="00D64E77">
              <w:t xml:space="preserve">  </w:t>
            </w:r>
            <w:r w:rsidRPr="00957123">
              <w:rPr>
                <w:color w:val="000000" w:themeColor="text1"/>
              </w:rPr>
              <w:t>11,700</w:t>
            </w:r>
          </w:p>
        </w:tc>
        <w:tc>
          <w:tcPr>
            <w:tcW w:w="674" w:type="pct"/>
            <w:shd w:val="clear" w:color="auto" w:fill="auto"/>
            <w:tcMar>
              <w:left w:w="115" w:type="dxa"/>
              <w:right w:w="115" w:type="dxa"/>
            </w:tcMar>
          </w:tcPr>
          <w:p w:rsidR="00507B60" w:rsidRPr="00F00DF4" w:rsidP="00507B60" w14:paraId="349FDC79" w14:textId="0883A382">
            <w:pPr>
              <w:widowControl/>
              <w:autoSpaceDE/>
              <w:autoSpaceDN/>
              <w:adjustRightInd/>
              <w:jc w:val="center"/>
              <w:rPr>
                <w:color w:val="000000"/>
              </w:rPr>
            </w:pPr>
            <w:r w:rsidRPr="00D64E77">
              <w:t xml:space="preserve">  </w:t>
            </w:r>
            <w:r w:rsidRPr="00957123">
              <w:rPr>
                <w:color w:val="000000" w:themeColor="text1"/>
              </w:rPr>
              <w:t>2</w:t>
            </w:r>
            <w:r>
              <w:rPr>
                <w:color w:val="000000" w:themeColor="text1"/>
              </w:rPr>
              <w:t>,</w:t>
            </w:r>
            <w:r w:rsidRPr="00957123">
              <w:rPr>
                <w:color w:val="000000" w:themeColor="text1"/>
              </w:rPr>
              <w:t>925</w:t>
            </w:r>
          </w:p>
        </w:tc>
        <w:tc>
          <w:tcPr>
            <w:tcW w:w="701" w:type="pct"/>
            <w:shd w:val="clear" w:color="auto" w:fill="auto"/>
            <w:tcMar>
              <w:left w:w="115" w:type="dxa"/>
              <w:right w:w="115" w:type="dxa"/>
            </w:tcMar>
          </w:tcPr>
          <w:p w:rsidR="00507B60" w:rsidRPr="00F00DF4" w:rsidP="5ECFBCA2" w14:paraId="73D9CD91" w14:textId="43467395">
            <w:pPr>
              <w:widowControl/>
              <w:spacing w:line="259" w:lineRule="auto"/>
              <w:jc w:val="center"/>
            </w:pPr>
            <w:r>
              <w:t xml:space="preserve"> </w:t>
            </w:r>
            <w:r w:rsidRPr="5ECFBCA2">
              <w:rPr>
                <w:color w:val="000000" w:themeColor="text1"/>
              </w:rPr>
              <w:t>$</w:t>
            </w:r>
            <w:r w:rsidR="46825FC0">
              <w:t>83,984</w:t>
            </w:r>
          </w:p>
        </w:tc>
      </w:tr>
      <w:tr w14:paraId="23353F1B" w14:textId="77777777" w:rsidTr="5ECFBCA2">
        <w:tblPrEx>
          <w:tblW w:w="5000" w:type="pct"/>
          <w:tblCellMar>
            <w:left w:w="29" w:type="dxa"/>
            <w:right w:w="29" w:type="dxa"/>
          </w:tblCellMar>
          <w:tblLook w:val="04A0"/>
        </w:tblPrEx>
        <w:trPr>
          <w:trHeight w:val="270"/>
        </w:trPr>
        <w:tc>
          <w:tcPr>
            <w:tcW w:w="2248" w:type="pct"/>
            <w:shd w:val="clear" w:color="auto" w:fill="auto"/>
            <w:tcMar>
              <w:left w:w="115" w:type="dxa"/>
              <w:right w:w="115" w:type="dxa"/>
            </w:tcMar>
            <w:vAlign w:val="bottom"/>
          </w:tcPr>
          <w:p w:rsidR="00507B60" w:rsidRPr="00DA250B" w:rsidP="00507B60" w14:paraId="54FC6250" w14:textId="77777777">
            <w:pPr>
              <w:widowControl/>
              <w:autoSpaceDE/>
              <w:autoSpaceDN/>
              <w:adjustRightInd/>
              <w:rPr>
                <w:color w:val="000000"/>
              </w:rPr>
            </w:pPr>
            <w:r w:rsidRPr="00DA250B">
              <w:t>Recordkeeping</w:t>
            </w:r>
          </w:p>
        </w:tc>
        <w:tc>
          <w:tcPr>
            <w:tcW w:w="704" w:type="pct"/>
            <w:shd w:val="clear" w:color="auto" w:fill="auto"/>
            <w:tcMar>
              <w:left w:w="115" w:type="dxa"/>
              <w:right w:w="115" w:type="dxa"/>
            </w:tcMar>
          </w:tcPr>
          <w:p w:rsidR="00507B60" w:rsidRPr="00F00DF4" w:rsidP="00507B60" w14:paraId="71547B9D" w14:textId="4498C8B9">
            <w:pPr>
              <w:widowControl/>
              <w:autoSpaceDE/>
              <w:autoSpaceDN/>
              <w:adjustRightInd/>
              <w:jc w:val="center"/>
            </w:pPr>
            <w:r w:rsidRPr="00D64E77">
              <w:t xml:space="preserve">  </w:t>
            </w:r>
            <w:r w:rsidRPr="00957123">
              <w:rPr>
                <w:color w:val="000000" w:themeColor="text1"/>
              </w:rPr>
              <w:t>11,700</w:t>
            </w:r>
          </w:p>
        </w:tc>
        <w:tc>
          <w:tcPr>
            <w:tcW w:w="674" w:type="pct"/>
            <w:shd w:val="clear" w:color="auto" w:fill="auto"/>
            <w:tcMar>
              <w:left w:w="115" w:type="dxa"/>
              <w:right w:w="115" w:type="dxa"/>
            </w:tcMar>
          </w:tcPr>
          <w:p w:rsidR="00507B60" w:rsidRPr="00F00DF4" w:rsidP="00507B60" w14:paraId="51172D18" w14:textId="345948C2">
            <w:pPr>
              <w:widowControl/>
              <w:autoSpaceDE/>
              <w:autoSpaceDN/>
              <w:adjustRightInd/>
              <w:jc w:val="center"/>
            </w:pPr>
            <w:r w:rsidRPr="00D64E77">
              <w:t xml:space="preserve">  </w:t>
            </w:r>
            <w:r w:rsidRPr="00957123">
              <w:rPr>
                <w:color w:val="000000" w:themeColor="text1"/>
              </w:rPr>
              <w:t>11,700</w:t>
            </w:r>
          </w:p>
        </w:tc>
        <w:tc>
          <w:tcPr>
            <w:tcW w:w="674" w:type="pct"/>
            <w:shd w:val="clear" w:color="auto" w:fill="auto"/>
            <w:tcMar>
              <w:left w:w="115" w:type="dxa"/>
              <w:right w:w="115" w:type="dxa"/>
            </w:tcMar>
          </w:tcPr>
          <w:p w:rsidR="00507B60" w:rsidRPr="00F00DF4" w:rsidP="00507B60" w14:paraId="0129E3B0" w14:textId="6049155D">
            <w:pPr>
              <w:widowControl/>
              <w:autoSpaceDE/>
              <w:autoSpaceDN/>
              <w:adjustRightInd/>
              <w:jc w:val="center"/>
            </w:pPr>
            <w:r w:rsidRPr="00D64E77">
              <w:t xml:space="preserve">  </w:t>
            </w:r>
            <w:r w:rsidRPr="00957123">
              <w:rPr>
                <w:color w:val="000000" w:themeColor="text1"/>
              </w:rPr>
              <w:t>390</w:t>
            </w:r>
          </w:p>
        </w:tc>
        <w:tc>
          <w:tcPr>
            <w:tcW w:w="701" w:type="pct"/>
            <w:shd w:val="clear" w:color="auto" w:fill="auto"/>
            <w:tcMar>
              <w:left w:w="115" w:type="dxa"/>
              <w:right w:w="115" w:type="dxa"/>
            </w:tcMar>
          </w:tcPr>
          <w:p w:rsidR="00507B60" w:rsidRPr="00F00DF4" w:rsidP="5ECFBCA2" w14:paraId="3F1094FA" w14:textId="5FE76BBB">
            <w:pPr>
              <w:widowControl/>
              <w:spacing w:line="259" w:lineRule="auto"/>
              <w:jc w:val="center"/>
            </w:pPr>
            <w:r>
              <w:t xml:space="preserve"> </w:t>
            </w:r>
            <w:r w:rsidRPr="5ECFBCA2">
              <w:rPr>
                <w:color w:val="000000" w:themeColor="text1"/>
              </w:rPr>
              <w:t>$1</w:t>
            </w:r>
            <w:r w:rsidR="31467982">
              <w:t>1,198</w:t>
            </w:r>
          </w:p>
        </w:tc>
      </w:tr>
      <w:tr w14:paraId="4C480A66" w14:textId="77777777" w:rsidTr="5ECFBCA2">
        <w:tblPrEx>
          <w:tblW w:w="5000" w:type="pct"/>
          <w:tblCellMar>
            <w:left w:w="29" w:type="dxa"/>
            <w:right w:w="29" w:type="dxa"/>
          </w:tblCellMar>
          <w:tblLook w:val="04A0"/>
        </w:tblPrEx>
        <w:trPr>
          <w:trHeight w:val="270"/>
        </w:trPr>
        <w:tc>
          <w:tcPr>
            <w:tcW w:w="2248" w:type="pct"/>
            <w:shd w:val="clear" w:color="auto" w:fill="auto"/>
            <w:tcMar>
              <w:left w:w="115" w:type="dxa"/>
              <w:right w:w="115" w:type="dxa"/>
            </w:tcMar>
            <w:vAlign w:val="bottom"/>
          </w:tcPr>
          <w:p w:rsidR="00507B60" w:rsidRPr="00DA250B" w:rsidP="00507B60" w14:paraId="23DFDA26" w14:textId="77777777">
            <w:pPr>
              <w:widowControl/>
              <w:autoSpaceDE/>
              <w:autoSpaceDN/>
              <w:adjustRightInd/>
              <w:rPr>
                <w:color w:val="000000"/>
              </w:rPr>
            </w:pPr>
            <w:r w:rsidRPr="00DA250B">
              <w:t>Total</w:t>
            </w:r>
          </w:p>
        </w:tc>
        <w:tc>
          <w:tcPr>
            <w:tcW w:w="704" w:type="pct"/>
            <w:shd w:val="clear" w:color="auto" w:fill="auto"/>
            <w:tcMar>
              <w:left w:w="115" w:type="dxa"/>
              <w:right w:w="115" w:type="dxa"/>
            </w:tcMar>
          </w:tcPr>
          <w:p w:rsidR="00507B60" w:rsidRPr="00F00DF4" w:rsidP="00507B60" w14:paraId="5DC0B88C" w14:textId="4A9922DD">
            <w:pPr>
              <w:widowControl/>
              <w:autoSpaceDE/>
              <w:autoSpaceDN/>
              <w:adjustRightInd/>
              <w:jc w:val="center"/>
            </w:pPr>
            <w:r w:rsidRPr="00D64E77">
              <w:t xml:space="preserve">  </w:t>
            </w:r>
            <w:r w:rsidRPr="00957123">
              <w:rPr>
                <w:color w:val="000000" w:themeColor="text1"/>
              </w:rPr>
              <w:t>35,099</w:t>
            </w:r>
          </w:p>
        </w:tc>
        <w:tc>
          <w:tcPr>
            <w:tcW w:w="674" w:type="pct"/>
            <w:shd w:val="clear" w:color="auto" w:fill="auto"/>
            <w:tcMar>
              <w:left w:w="115" w:type="dxa"/>
              <w:right w:w="115" w:type="dxa"/>
            </w:tcMar>
          </w:tcPr>
          <w:p w:rsidR="00507B60" w:rsidRPr="00F00DF4" w:rsidP="00507B60" w14:paraId="4574BD68" w14:textId="6FDB5292">
            <w:pPr>
              <w:widowControl/>
              <w:autoSpaceDE/>
              <w:autoSpaceDN/>
              <w:adjustRightInd/>
              <w:jc w:val="center"/>
            </w:pPr>
            <w:r w:rsidRPr="00D64E77">
              <w:t xml:space="preserve">  </w:t>
            </w:r>
            <w:r w:rsidRPr="00957123">
              <w:rPr>
                <w:color w:val="000000" w:themeColor="text1"/>
              </w:rPr>
              <w:t>35,099</w:t>
            </w:r>
          </w:p>
        </w:tc>
        <w:tc>
          <w:tcPr>
            <w:tcW w:w="674" w:type="pct"/>
            <w:shd w:val="clear" w:color="auto" w:fill="auto"/>
            <w:tcMar>
              <w:left w:w="115" w:type="dxa"/>
              <w:right w:w="115" w:type="dxa"/>
            </w:tcMar>
          </w:tcPr>
          <w:p w:rsidR="00507B60" w:rsidRPr="00F00DF4" w:rsidP="00507B60" w14:paraId="2A9323DC" w14:textId="4BFBA685">
            <w:pPr>
              <w:widowControl/>
              <w:autoSpaceDE/>
              <w:autoSpaceDN/>
              <w:adjustRightInd/>
              <w:jc w:val="center"/>
            </w:pPr>
            <w:r w:rsidRPr="00D64E77">
              <w:t xml:space="preserve">  </w:t>
            </w:r>
            <w:r w:rsidRPr="00957123">
              <w:rPr>
                <w:color w:val="000000" w:themeColor="text1"/>
              </w:rPr>
              <w:t>283,608</w:t>
            </w:r>
          </w:p>
        </w:tc>
        <w:tc>
          <w:tcPr>
            <w:tcW w:w="701" w:type="pct"/>
            <w:shd w:val="clear" w:color="auto" w:fill="auto"/>
            <w:tcMar>
              <w:left w:w="115" w:type="dxa"/>
              <w:right w:w="115" w:type="dxa"/>
            </w:tcMar>
          </w:tcPr>
          <w:p w:rsidR="00507B60" w:rsidRPr="00F00DF4" w:rsidP="5ECFBCA2" w14:paraId="69D38A08" w14:textId="3863633A">
            <w:pPr>
              <w:widowControl/>
              <w:autoSpaceDE/>
              <w:autoSpaceDN/>
              <w:adjustRightInd/>
              <w:jc w:val="center"/>
              <w:rPr>
                <w:color w:val="000000" w:themeColor="text1"/>
              </w:rPr>
            </w:pPr>
            <w:r w:rsidRPr="5ECFBCA2">
              <w:rPr>
                <w:color w:val="000000" w:themeColor="text1"/>
              </w:rPr>
              <w:t>$</w:t>
            </w:r>
            <w:r w:rsidRPr="5ECFBCA2" w:rsidR="1DFD2A1A">
              <w:rPr>
                <w:color w:val="000000" w:themeColor="text1"/>
              </w:rPr>
              <w:t>9,788,217</w:t>
            </w:r>
          </w:p>
        </w:tc>
      </w:tr>
    </w:tbl>
    <w:p w:rsidR="00FA4698" w:rsidRPr="007E65CF" w:rsidP="00722B85" w14:paraId="7934541A" w14:textId="77777777">
      <w:pPr>
        <w:widowControl/>
        <w:rPr>
          <w:sz w:val="18"/>
          <w:szCs w:val="18"/>
        </w:rPr>
      </w:pPr>
      <w:r>
        <w:rPr>
          <w:sz w:val="18"/>
          <w:szCs w:val="18"/>
        </w:rPr>
        <w:t>Totals are the product of unrounded components</w:t>
      </w:r>
      <w:r w:rsidRPr="007E65CF">
        <w:rPr>
          <w:sz w:val="18"/>
          <w:szCs w:val="18"/>
        </w:rPr>
        <w:t>.</w:t>
      </w:r>
    </w:p>
    <w:p w:rsidR="00DA250B" w:rsidP="00722B85" w14:paraId="440CED1F" w14:textId="77777777">
      <w:pPr>
        <w:widowControl/>
      </w:pPr>
    </w:p>
    <w:p w:rsidR="00EC3313" w:rsidP="00722B85" w14:paraId="3EF19302" w14:textId="0C10C4A5">
      <w:pPr>
        <w:widowControl/>
      </w:pPr>
      <w:r>
        <w:t xml:space="preserve">The currently approved total burden for knowledge and skills test examiner certification is </w:t>
      </w:r>
      <w:r w:rsidR="6F93F6D5">
        <w:t>188,899</w:t>
      </w:r>
      <w:r w:rsidR="00F00DF4">
        <w:t xml:space="preserve"> </w:t>
      </w:r>
      <w:r>
        <w:t xml:space="preserve">hours.  The new total of </w:t>
      </w:r>
      <w:r w:rsidR="3E2B0716">
        <w:t>283,608</w:t>
      </w:r>
      <w:r>
        <w:t xml:space="preserve"> represents an increase of </w:t>
      </w:r>
      <w:r w:rsidR="61651684">
        <w:t>94,709</w:t>
      </w:r>
      <w:r>
        <w:t xml:space="preserve"> hours.  This is due to an increase in the number of third-party knowledge test examiners.</w:t>
      </w:r>
    </w:p>
    <w:p w:rsidR="00DA250B" w:rsidP="14056DD7" w14:paraId="019A2902" w14:textId="14237287">
      <w:pPr>
        <w:widowControl/>
      </w:pPr>
    </w:p>
    <w:p w:rsidR="00DA250B" w:rsidP="14056DD7" w14:paraId="54A177E9" w14:textId="0BD94D28">
      <w:pPr>
        <w:widowControl/>
      </w:pPr>
    </w:p>
    <w:p w:rsidR="00DA250B" w:rsidP="00722B85" w14:paraId="51820AB9" w14:textId="77777777">
      <w:pPr>
        <w:widowControl/>
      </w:pPr>
      <w:r w:rsidRPr="00B75783">
        <w:rPr>
          <w:b/>
        </w:rPr>
        <w:t>Estimated Burden for</w:t>
      </w:r>
      <w:r>
        <w:t xml:space="preserve"> </w:t>
      </w:r>
      <w:r w:rsidRPr="0028285A">
        <w:rPr>
          <w:b/>
        </w:rPr>
        <w:t>IC-</w:t>
      </w:r>
      <w:r>
        <w:rPr>
          <w:b/>
        </w:rPr>
        <w:t>2</w:t>
      </w:r>
      <w:r w:rsidRPr="0028285A">
        <w:rPr>
          <w:b/>
        </w:rPr>
        <w:t xml:space="preserve"> </w:t>
      </w:r>
      <w:r w:rsidR="00EB7D1F">
        <w:rPr>
          <w:b/>
        </w:rPr>
        <w:t>State Driver Licensing Agency CDL Activities</w:t>
      </w:r>
    </w:p>
    <w:p w:rsidR="00DA250B" w:rsidP="5ECFBCA2" w14:paraId="04E23653" w14:textId="75771BA2">
      <w:pPr>
        <w:widowControl/>
        <w:spacing w:line="259" w:lineRule="auto"/>
      </w:pPr>
      <w:r>
        <w:t xml:space="preserve">Annualized over the three years covered by this ICR, the Agency estimates the </w:t>
      </w:r>
      <w:r w:rsidR="00D7280E">
        <w:t xml:space="preserve">8 </w:t>
      </w:r>
      <w:r w:rsidR="400FE664">
        <w:t>tasks included in IC-2</w:t>
      </w:r>
      <w:r>
        <w:t xml:space="preserve"> will result in </w:t>
      </w:r>
      <w:r w:rsidR="30ED8D56">
        <w:t>18,2</w:t>
      </w:r>
      <w:r w:rsidR="00D7280E">
        <w:t>74,608</w:t>
      </w:r>
      <w:r>
        <w:t xml:space="preserve"> responses and </w:t>
      </w:r>
      <w:r w:rsidR="2FE3630D">
        <w:t>7</w:t>
      </w:r>
      <w:r w:rsidR="00D7280E">
        <w:t>39,464</w:t>
      </w:r>
      <w:r>
        <w:t xml:space="preserve"> burden hours, and a </w:t>
      </w:r>
      <w:r w:rsidR="17AA94CF">
        <w:t>$</w:t>
      </w:r>
      <w:r w:rsidR="419F6DFE">
        <w:t>23,093,294</w:t>
      </w:r>
      <w:r>
        <w:t xml:space="preserve"> cost to respondents </w:t>
      </w:r>
      <w:r>
        <w:fldChar w:fldCharType="begin"/>
      </w:r>
      <w:r>
        <w:instrText xml:space="preserve"> REF _Ref508704552 \h  \* MERGEFORMAT </w:instrText>
      </w:r>
      <w:r w:rsidR="00000000">
        <w:fldChar w:fldCharType="separate"/>
      </w:r>
      <w:r>
        <w:fldChar w:fldCharType="end"/>
      </w:r>
      <w:r w:rsidR="4A21A1A4">
        <w:t xml:space="preserve"> (Table 2</w:t>
      </w:r>
      <w:r w:rsidR="224771DA">
        <w:t>5</w:t>
      </w:r>
      <w:r w:rsidR="4A21A1A4">
        <w:t>)</w:t>
      </w:r>
      <w:r>
        <w:t>.</w:t>
      </w:r>
    </w:p>
    <w:p w:rsidR="00DA250B" w:rsidP="00873952" w14:paraId="6D001B0D" w14:textId="77777777">
      <w:pPr>
        <w:widowControl/>
      </w:pPr>
    </w:p>
    <w:p w:rsidR="006C3234" w:rsidP="00873952" w14:paraId="37A46C5E" w14:textId="77777777">
      <w:pPr>
        <w:widowControl/>
      </w:pPr>
    </w:p>
    <w:p w:rsidR="006C3234" w:rsidP="00873952" w14:paraId="45E301F0" w14:textId="77777777">
      <w:pPr>
        <w:widowControl/>
      </w:pPr>
    </w:p>
    <w:p w:rsidR="006C3234" w:rsidP="00873952" w14:paraId="5D4C3D76" w14:textId="77777777">
      <w:pPr>
        <w:widowControl/>
      </w:pPr>
    </w:p>
    <w:p w:rsidR="00DA250B" w:rsidRPr="00D64E77" w:rsidP="00722B85" w14:paraId="4F3B1770" w14:textId="0D3C12AC">
      <w:pPr>
        <w:pStyle w:val="Caption"/>
        <w:keepNext/>
        <w:widowControl/>
      </w:pPr>
      <w:bookmarkStart w:id="39" w:name="_Ref508704552"/>
      <w:r>
        <w:t xml:space="preserve">Table </w:t>
      </w:r>
      <w:r w:rsidR="00AC64EF">
        <w:t>2</w:t>
      </w:r>
      <w:r w:rsidR="4301D18F">
        <w:t>5</w:t>
      </w:r>
      <w:bookmarkEnd w:id="39"/>
      <w:r>
        <w:t>. Annualized Responses, Burden Hours, and Burden Hour Cost for IC-2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3414"/>
        <w:gridCol w:w="1483"/>
        <w:gridCol w:w="1485"/>
        <w:gridCol w:w="1485"/>
        <w:gridCol w:w="1483"/>
      </w:tblGrid>
      <w:tr w14:paraId="71340958"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trPr>
        <w:tc>
          <w:tcPr>
            <w:tcW w:w="1826" w:type="pct"/>
            <w:shd w:val="clear" w:color="auto" w:fill="E0E0E0"/>
            <w:tcMar>
              <w:left w:w="0" w:type="dxa"/>
              <w:right w:w="0" w:type="dxa"/>
            </w:tcMar>
            <w:vAlign w:val="bottom"/>
            <w:hideMark/>
          </w:tcPr>
          <w:p w:rsidR="00DA250B" w:rsidRPr="00E8574A" w:rsidP="00EB7D1F" w14:paraId="28FEF86F" w14:textId="77777777">
            <w:pPr>
              <w:widowControl/>
              <w:autoSpaceDE/>
              <w:autoSpaceDN/>
              <w:adjustRightInd/>
              <w:jc w:val="center"/>
              <w:rPr>
                <w:b/>
                <w:bCs/>
                <w:color w:val="000000"/>
              </w:rPr>
            </w:pPr>
            <w:r w:rsidRPr="00E8574A">
              <w:rPr>
                <w:b/>
                <w:bCs/>
                <w:color w:val="000000"/>
              </w:rPr>
              <w:t>Information Collection</w:t>
            </w:r>
          </w:p>
        </w:tc>
        <w:tc>
          <w:tcPr>
            <w:tcW w:w="793" w:type="pct"/>
            <w:shd w:val="clear" w:color="auto" w:fill="E0E0E0"/>
            <w:tcMar>
              <w:left w:w="0" w:type="dxa"/>
              <w:right w:w="0" w:type="dxa"/>
            </w:tcMar>
            <w:vAlign w:val="bottom"/>
            <w:hideMark/>
          </w:tcPr>
          <w:p w:rsidR="00DA250B" w:rsidRPr="00E8574A" w:rsidP="00EB7D1F" w14:paraId="588D7E82" w14:textId="77777777">
            <w:pPr>
              <w:widowControl/>
              <w:autoSpaceDE/>
              <w:autoSpaceDN/>
              <w:adjustRightInd/>
              <w:jc w:val="center"/>
              <w:rPr>
                <w:b/>
                <w:bCs/>
                <w:color w:val="000000"/>
              </w:rPr>
            </w:pPr>
            <w:r w:rsidRPr="00E8574A">
              <w:rPr>
                <w:b/>
                <w:bCs/>
                <w:color w:val="000000"/>
              </w:rPr>
              <w:t>Respondents</w:t>
            </w:r>
          </w:p>
        </w:tc>
        <w:tc>
          <w:tcPr>
            <w:tcW w:w="794" w:type="pct"/>
            <w:shd w:val="clear" w:color="auto" w:fill="E0E0E0"/>
            <w:tcMar>
              <w:left w:w="0" w:type="dxa"/>
              <w:right w:w="0" w:type="dxa"/>
            </w:tcMar>
            <w:vAlign w:val="bottom"/>
            <w:hideMark/>
          </w:tcPr>
          <w:p w:rsidR="00DA250B" w:rsidRPr="00E8574A" w:rsidP="00EB7D1F" w14:paraId="473B264E" w14:textId="77777777">
            <w:pPr>
              <w:widowControl/>
              <w:autoSpaceDE/>
              <w:autoSpaceDN/>
              <w:adjustRightInd/>
              <w:jc w:val="center"/>
              <w:rPr>
                <w:b/>
                <w:bCs/>
                <w:color w:val="000000"/>
              </w:rPr>
            </w:pPr>
            <w:r w:rsidRPr="00E8574A">
              <w:rPr>
                <w:b/>
                <w:bCs/>
                <w:color w:val="000000"/>
              </w:rPr>
              <w:t>Responses</w:t>
            </w:r>
          </w:p>
        </w:tc>
        <w:tc>
          <w:tcPr>
            <w:tcW w:w="794" w:type="pct"/>
            <w:shd w:val="clear" w:color="auto" w:fill="E0E0E0"/>
            <w:tcMar>
              <w:left w:w="0" w:type="dxa"/>
              <w:right w:w="0" w:type="dxa"/>
            </w:tcMar>
            <w:vAlign w:val="bottom"/>
            <w:hideMark/>
          </w:tcPr>
          <w:p w:rsidR="00DA250B" w:rsidRPr="00E8574A" w:rsidP="00EB7D1F" w14:paraId="43395973" w14:textId="77777777">
            <w:pPr>
              <w:widowControl/>
              <w:autoSpaceDE/>
              <w:autoSpaceDN/>
              <w:adjustRightInd/>
              <w:jc w:val="center"/>
              <w:rPr>
                <w:b/>
                <w:bCs/>
                <w:color w:val="000000"/>
              </w:rPr>
            </w:pPr>
            <w:r w:rsidRPr="00E8574A">
              <w:rPr>
                <w:b/>
                <w:bCs/>
                <w:color w:val="000000"/>
              </w:rPr>
              <w:t>Burden Hours</w:t>
            </w:r>
          </w:p>
        </w:tc>
        <w:tc>
          <w:tcPr>
            <w:tcW w:w="793" w:type="pct"/>
            <w:shd w:val="clear" w:color="auto" w:fill="E0E0E0"/>
            <w:tcMar>
              <w:left w:w="0" w:type="dxa"/>
              <w:right w:w="0" w:type="dxa"/>
            </w:tcMar>
            <w:vAlign w:val="bottom"/>
          </w:tcPr>
          <w:p w:rsidR="00DA250B" w:rsidRPr="00E8574A" w:rsidP="00EB7D1F" w14:paraId="0A2965D3" w14:textId="77777777">
            <w:pPr>
              <w:widowControl/>
              <w:autoSpaceDE/>
              <w:autoSpaceDN/>
              <w:adjustRightInd/>
              <w:jc w:val="center"/>
              <w:rPr>
                <w:b/>
                <w:bCs/>
                <w:color w:val="000000"/>
              </w:rPr>
            </w:pPr>
            <w:r w:rsidRPr="00E8574A">
              <w:rPr>
                <w:b/>
              </w:rPr>
              <w:t>Burden Hour Cost</w:t>
            </w:r>
          </w:p>
        </w:tc>
      </w:tr>
      <w:tr w14:paraId="5A3E9ADC"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F00DF4" w:rsidRPr="00EB7D1F" w:rsidP="00B441B5" w14:paraId="74576FEC" w14:textId="77777777">
            <w:pPr>
              <w:widowControl/>
              <w:autoSpaceDE/>
              <w:autoSpaceDN/>
              <w:adjustRightInd/>
              <w:jc w:val="center"/>
              <w:rPr>
                <w:color w:val="000000"/>
              </w:rPr>
            </w:pPr>
            <w:r>
              <w:t>IC-</w:t>
            </w:r>
            <w:r w:rsidRPr="00EB7D1F">
              <w:t>2.1 State Recording of Medical Examiner’s Certificate Information</w:t>
            </w:r>
          </w:p>
        </w:tc>
        <w:tc>
          <w:tcPr>
            <w:tcW w:w="793" w:type="pct"/>
            <w:shd w:val="clear" w:color="auto" w:fill="auto"/>
            <w:tcMar>
              <w:left w:w="115" w:type="dxa"/>
              <w:right w:w="115" w:type="dxa"/>
            </w:tcMar>
            <w:vAlign w:val="bottom"/>
          </w:tcPr>
          <w:p w:rsidR="00F00DF4" w:rsidRPr="00F00DF4" w:rsidP="00F00DF4" w14:paraId="596DB3C8" w14:textId="2AFD8435">
            <w:pPr>
              <w:widowControl/>
              <w:autoSpaceDE/>
              <w:autoSpaceDN/>
              <w:adjustRightInd/>
              <w:jc w:val="center"/>
              <w:rPr>
                <w:color w:val="000000"/>
              </w:rPr>
            </w:pPr>
            <w:r w:rsidRPr="00D64E77">
              <w:rPr>
                <w:color w:val="000000"/>
              </w:rPr>
              <w:t>249</w:t>
            </w:r>
          </w:p>
        </w:tc>
        <w:tc>
          <w:tcPr>
            <w:tcW w:w="794" w:type="pct"/>
            <w:shd w:val="clear" w:color="auto" w:fill="auto"/>
            <w:tcMar>
              <w:left w:w="115" w:type="dxa"/>
              <w:right w:w="115" w:type="dxa"/>
            </w:tcMar>
            <w:vAlign w:val="bottom"/>
          </w:tcPr>
          <w:p w:rsidR="00F00DF4" w:rsidRPr="00F00DF4" w:rsidP="00F00DF4" w14:paraId="6096F405" w14:textId="7A54A250">
            <w:pPr>
              <w:widowControl/>
              <w:autoSpaceDE/>
              <w:autoSpaceDN/>
              <w:adjustRightInd/>
              <w:jc w:val="center"/>
              <w:rPr>
                <w:color w:val="000000"/>
              </w:rPr>
            </w:pPr>
            <w:r w:rsidRPr="00AC64EF">
              <w:rPr>
                <w:color w:val="000000" w:themeColor="text1"/>
              </w:rPr>
              <w:t>2,504,923</w:t>
            </w:r>
          </w:p>
        </w:tc>
        <w:tc>
          <w:tcPr>
            <w:tcW w:w="794" w:type="pct"/>
            <w:shd w:val="clear" w:color="auto" w:fill="auto"/>
            <w:tcMar>
              <w:left w:w="115" w:type="dxa"/>
              <w:right w:w="115" w:type="dxa"/>
            </w:tcMar>
            <w:vAlign w:val="bottom"/>
          </w:tcPr>
          <w:p w:rsidR="00F00DF4" w:rsidP="00F00DF4" w14:paraId="3F006F22" w14:textId="47BE3A8F">
            <w:pPr>
              <w:widowControl/>
              <w:autoSpaceDE/>
              <w:autoSpaceDN/>
              <w:adjustRightInd/>
              <w:jc w:val="center"/>
              <w:rPr>
                <w:color w:val="000000"/>
              </w:rPr>
            </w:pPr>
          </w:p>
          <w:p w:rsidR="00AC64EF" w:rsidRPr="00F00DF4" w:rsidP="00F00DF4" w14:paraId="1A1C4108" w14:textId="0EB43755">
            <w:pPr>
              <w:widowControl/>
              <w:autoSpaceDE/>
              <w:autoSpaceDN/>
              <w:adjustRightInd/>
              <w:jc w:val="center"/>
              <w:rPr>
                <w:color w:val="000000"/>
              </w:rPr>
            </w:pPr>
            <w:r w:rsidRPr="00AC64EF">
              <w:rPr>
                <w:color w:val="000000" w:themeColor="text1"/>
              </w:rPr>
              <w:t>82,662</w:t>
            </w:r>
          </w:p>
        </w:tc>
        <w:tc>
          <w:tcPr>
            <w:tcW w:w="793" w:type="pct"/>
            <w:shd w:val="clear" w:color="auto" w:fill="auto"/>
            <w:tcMar>
              <w:left w:w="115" w:type="dxa"/>
              <w:right w:w="115" w:type="dxa"/>
            </w:tcMar>
            <w:vAlign w:val="bottom"/>
          </w:tcPr>
          <w:p w:rsidR="00F00DF4" w:rsidRPr="00F00DF4" w:rsidP="5ECFBCA2" w14:paraId="48F781E2" w14:textId="6A7B2558">
            <w:pPr>
              <w:widowControl/>
              <w:spacing w:line="259" w:lineRule="auto"/>
              <w:jc w:val="center"/>
            </w:pPr>
            <w:r w:rsidRPr="5ECFBCA2">
              <w:rPr>
                <w:color w:val="000000" w:themeColor="text1"/>
              </w:rPr>
              <w:t>$</w:t>
            </w:r>
            <w:r w:rsidRPr="5ECFBCA2" w:rsidR="19B50261">
              <w:rPr>
                <w:color w:val="000000" w:themeColor="text1"/>
              </w:rPr>
              <w:t>2,373,515</w:t>
            </w:r>
          </w:p>
        </w:tc>
      </w:tr>
      <w:tr w14:paraId="3D8FAFFC"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F00DF4" w:rsidRPr="00EB7D1F" w:rsidP="00B441B5" w14:paraId="2EC7C902" w14:textId="77777777">
            <w:pPr>
              <w:widowControl/>
              <w:autoSpaceDE/>
              <w:autoSpaceDN/>
              <w:adjustRightInd/>
              <w:jc w:val="center"/>
              <w:rPr>
                <w:color w:val="000000"/>
              </w:rPr>
            </w:pPr>
            <w:r>
              <w:t>IC-</w:t>
            </w:r>
            <w:r w:rsidRPr="00EB7D1F">
              <w:t>2.2 State recording of Self Certification of CMV Operation</w:t>
            </w:r>
          </w:p>
        </w:tc>
        <w:tc>
          <w:tcPr>
            <w:tcW w:w="793" w:type="pct"/>
            <w:shd w:val="clear" w:color="auto" w:fill="auto"/>
            <w:tcMar>
              <w:left w:w="115" w:type="dxa"/>
              <w:right w:w="115" w:type="dxa"/>
            </w:tcMar>
            <w:vAlign w:val="bottom"/>
          </w:tcPr>
          <w:p w:rsidR="00F00DF4" w:rsidRPr="00F00DF4" w:rsidP="00F00DF4" w14:paraId="41771876" w14:textId="607D430E">
            <w:pPr>
              <w:widowControl/>
              <w:autoSpaceDE/>
              <w:autoSpaceDN/>
              <w:adjustRightInd/>
              <w:jc w:val="center"/>
              <w:rPr>
                <w:color w:val="000000"/>
              </w:rPr>
            </w:pPr>
            <w:r w:rsidRPr="00D64E77">
              <w:rPr>
                <w:color w:val="000000"/>
              </w:rPr>
              <w:t>249</w:t>
            </w:r>
          </w:p>
        </w:tc>
        <w:tc>
          <w:tcPr>
            <w:tcW w:w="794" w:type="pct"/>
            <w:shd w:val="clear" w:color="auto" w:fill="auto"/>
            <w:tcMar>
              <w:left w:w="115" w:type="dxa"/>
              <w:right w:w="115" w:type="dxa"/>
            </w:tcMar>
            <w:vAlign w:val="bottom"/>
          </w:tcPr>
          <w:p w:rsidR="00F00DF4" w:rsidRPr="00F00DF4" w:rsidP="00F00DF4" w14:paraId="10F22C54" w14:textId="0EBA7CDE">
            <w:pPr>
              <w:widowControl/>
              <w:autoSpaceDE/>
              <w:autoSpaceDN/>
              <w:adjustRightInd/>
              <w:jc w:val="center"/>
              <w:rPr>
                <w:color w:val="000000"/>
              </w:rPr>
            </w:pPr>
            <w:r w:rsidRPr="00AC64EF">
              <w:rPr>
                <w:color w:val="000000" w:themeColor="text1"/>
              </w:rPr>
              <w:t>2,155,719</w:t>
            </w:r>
          </w:p>
        </w:tc>
        <w:tc>
          <w:tcPr>
            <w:tcW w:w="794" w:type="pct"/>
            <w:shd w:val="clear" w:color="auto" w:fill="auto"/>
            <w:tcMar>
              <w:left w:w="115" w:type="dxa"/>
              <w:right w:w="115" w:type="dxa"/>
            </w:tcMar>
            <w:vAlign w:val="bottom"/>
          </w:tcPr>
          <w:p w:rsidR="00F00DF4" w:rsidP="00F00DF4" w14:paraId="3E5534A8" w14:textId="4636273D">
            <w:pPr>
              <w:widowControl/>
              <w:autoSpaceDE/>
              <w:autoSpaceDN/>
              <w:adjustRightInd/>
              <w:jc w:val="center"/>
              <w:rPr>
                <w:color w:val="000000"/>
              </w:rPr>
            </w:pPr>
          </w:p>
          <w:p w:rsidR="00AC64EF" w:rsidRPr="00F00DF4" w:rsidP="00F00DF4" w14:paraId="359B549A" w14:textId="43904651">
            <w:pPr>
              <w:widowControl/>
              <w:autoSpaceDE/>
              <w:autoSpaceDN/>
              <w:adjustRightInd/>
              <w:jc w:val="center"/>
              <w:rPr>
                <w:color w:val="000000"/>
              </w:rPr>
            </w:pPr>
            <w:r w:rsidRPr="00AC64EF">
              <w:rPr>
                <w:color w:val="000000" w:themeColor="text1"/>
              </w:rPr>
              <w:t>2,994</w:t>
            </w:r>
          </w:p>
        </w:tc>
        <w:tc>
          <w:tcPr>
            <w:tcW w:w="793" w:type="pct"/>
            <w:shd w:val="clear" w:color="auto" w:fill="auto"/>
            <w:tcMar>
              <w:left w:w="115" w:type="dxa"/>
              <w:right w:w="115" w:type="dxa"/>
            </w:tcMar>
            <w:vAlign w:val="bottom"/>
          </w:tcPr>
          <w:p w:rsidR="00AC64EF" w:rsidP="00F00DF4" w14:paraId="41FC20E3" w14:textId="268C16B8">
            <w:pPr>
              <w:widowControl/>
              <w:autoSpaceDE/>
              <w:autoSpaceDN/>
              <w:adjustRightInd/>
              <w:jc w:val="center"/>
              <w:rPr>
                <w:color w:val="000000"/>
              </w:rPr>
            </w:pPr>
          </w:p>
          <w:p w:rsidR="00F00DF4" w:rsidRPr="00F00DF4" w:rsidP="5ECFBCA2" w14:paraId="230979BB" w14:textId="24D03427">
            <w:pPr>
              <w:widowControl/>
              <w:spacing w:line="259" w:lineRule="auto"/>
              <w:jc w:val="center"/>
            </w:pPr>
            <w:r w:rsidRPr="5ECFBCA2">
              <w:rPr>
                <w:color w:val="000000" w:themeColor="text1"/>
              </w:rPr>
              <w:t>$</w:t>
            </w:r>
            <w:r w:rsidRPr="5ECFBCA2" w:rsidR="5E494585">
              <w:rPr>
                <w:color w:val="000000" w:themeColor="text1"/>
              </w:rPr>
              <w:t>85,969</w:t>
            </w:r>
          </w:p>
        </w:tc>
      </w:tr>
      <w:tr w14:paraId="3C178DA2"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F00DF4" w:rsidRPr="00EB7D1F" w:rsidP="00B441B5" w14:paraId="4C5F211A" w14:textId="77777777">
            <w:pPr>
              <w:widowControl/>
              <w:autoSpaceDE/>
              <w:autoSpaceDN/>
              <w:adjustRightInd/>
              <w:jc w:val="center"/>
              <w:rPr>
                <w:color w:val="000000"/>
              </w:rPr>
            </w:pPr>
            <w:r>
              <w:t>IC-</w:t>
            </w:r>
            <w:r w:rsidRPr="00EB7D1F">
              <w:t>2.3 State Verification of Medical Certification Status</w:t>
            </w:r>
          </w:p>
        </w:tc>
        <w:tc>
          <w:tcPr>
            <w:tcW w:w="793" w:type="pct"/>
            <w:shd w:val="clear" w:color="auto" w:fill="auto"/>
            <w:tcMar>
              <w:left w:w="115" w:type="dxa"/>
              <w:right w:w="115" w:type="dxa"/>
            </w:tcMar>
            <w:vAlign w:val="bottom"/>
          </w:tcPr>
          <w:p w:rsidR="00F00DF4" w:rsidRPr="00F00DF4" w:rsidP="00F00DF4" w14:paraId="7885B204" w14:textId="772AC514">
            <w:pPr>
              <w:widowControl/>
              <w:autoSpaceDE/>
              <w:autoSpaceDN/>
              <w:adjustRightInd/>
              <w:jc w:val="center"/>
              <w:rPr>
                <w:color w:val="000000"/>
              </w:rPr>
            </w:pPr>
            <w:r w:rsidRPr="00D64E77">
              <w:rPr>
                <w:color w:val="000000"/>
              </w:rPr>
              <w:t>249</w:t>
            </w:r>
          </w:p>
        </w:tc>
        <w:tc>
          <w:tcPr>
            <w:tcW w:w="794" w:type="pct"/>
            <w:shd w:val="clear" w:color="auto" w:fill="auto"/>
            <w:tcMar>
              <w:left w:w="115" w:type="dxa"/>
              <w:right w:w="115" w:type="dxa"/>
            </w:tcMar>
            <w:vAlign w:val="bottom"/>
          </w:tcPr>
          <w:p w:rsidR="00F00DF4" w:rsidRPr="00F00DF4" w:rsidP="00F00DF4" w14:paraId="3C0B3FE9" w14:textId="115DBC59">
            <w:pPr>
              <w:widowControl/>
              <w:autoSpaceDE/>
              <w:autoSpaceDN/>
              <w:adjustRightInd/>
              <w:jc w:val="center"/>
              <w:rPr>
                <w:color w:val="000000"/>
              </w:rPr>
            </w:pPr>
            <w:r w:rsidRPr="00AC64EF">
              <w:rPr>
                <w:color w:val="000000" w:themeColor="text1"/>
              </w:rPr>
              <w:t>3,619,252</w:t>
            </w:r>
          </w:p>
        </w:tc>
        <w:tc>
          <w:tcPr>
            <w:tcW w:w="794" w:type="pct"/>
            <w:shd w:val="clear" w:color="auto" w:fill="auto"/>
            <w:tcMar>
              <w:left w:w="115" w:type="dxa"/>
              <w:right w:w="115" w:type="dxa"/>
            </w:tcMar>
            <w:vAlign w:val="bottom"/>
          </w:tcPr>
          <w:p w:rsidR="00F00DF4" w:rsidRPr="00F00DF4" w:rsidP="00F00DF4" w14:paraId="169F9C3F" w14:textId="540F6C49">
            <w:pPr>
              <w:widowControl/>
              <w:autoSpaceDE/>
              <w:autoSpaceDN/>
              <w:adjustRightInd/>
              <w:jc w:val="center"/>
              <w:rPr>
                <w:color w:val="000000"/>
              </w:rPr>
            </w:pPr>
            <w:r w:rsidRPr="00AC64EF">
              <w:rPr>
                <w:color w:val="000000" w:themeColor="text1"/>
              </w:rPr>
              <w:t>5,027</w:t>
            </w:r>
          </w:p>
        </w:tc>
        <w:tc>
          <w:tcPr>
            <w:tcW w:w="793" w:type="pct"/>
            <w:shd w:val="clear" w:color="auto" w:fill="auto"/>
            <w:tcMar>
              <w:left w:w="115" w:type="dxa"/>
              <w:right w:w="115" w:type="dxa"/>
            </w:tcMar>
            <w:vAlign w:val="bottom"/>
          </w:tcPr>
          <w:p w:rsidR="00F00DF4" w:rsidRPr="00F00DF4" w:rsidP="5ECFBCA2" w14:paraId="0439E51F" w14:textId="4D62F248">
            <w:pPr>
              <w:widowControl/>
              <w:spacing w:line="259" w:lineRule="auto"/>
              <w:jc w:val="center"/>
            </w:pPr>
            <w:r w:rsidRPr="5ECFBCA2">
              <w:rPr>
                <w:color w:val="000000" w:themeColor="text1"/>
              </w:rPr>
              <w:t>$1</w:t>
            </w:r>
            <w:r w:rsidRPr="5ECFBCA2" w:rsidR="3A7E64DA">
              <w:rPr>
                <w:color w:val="000000" w:themeColor="text1"/>
              </w:rPr>
              <w:t>44,334</w:t>
            </w:r>
          </w:p>
        </w:tc>
      </w:tr>
      <w:tr w14:paraId="58BD63F0"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F00DF4" w:rsidRPr="00EB7D1F" w:rsidP="00B441B5" w14:paraId="6EA1629B" w14:textId="77777777">
            <w:pPr>
              <w:widowControl/>
              <w:autoSpaceDE/>
              <w:autoSpaceDN/>
              <w:adjustRightInd/>
              <w:jc w:val="center"/>
              <w:rPr>
                <w:color w:val="000000"/>
              </w:rPr>
            </w:pPr>
            <w:r>
              <w:t>IC-</w:t>
            </w:r>
            <w:r w:rsidRPr="00EB7D1F">
              <w:t>2.4 Annual State Certification of Compliance</w:t>
            </w:r>
          </w:p>
        </w:tc>
        <w:tc>
          <w:tcPr>
            <w:tcW w:w="793" w:type="pct"/>
            <w:shd w:val="clear" w:color="auto" w:fill="auto"/>
            <w:tcMar>
              <w:left w:w="115" w:type="dxa"/>
              <w:right w:w="115" w:type="dxa"/>
            </w:tcMar>
            <w:vAlign w:val="bottom"/>
          </w:tcPr>
          <w:p w:rsidR="00F00DF4" w:rsidRPr="00F00DF4" w:rsidP="00F00DF4" w14:paraId="4050BD95" w14:textId="65AA34BD">
            <w:pPr>
              <w:widowControl/>
              <w:autoSpaceDE/>
              <w:autoSpaceDN/>
              <w:adjustRightInd/>
              <w:jc w:val="center"/>
              <w:rPr>
                <w:color w:val="000000"/>
              </w:rPr>
            </w:pPr>
            <w:r w:rsidRPr="00D64E77">
              <w:rPr>
                <w:color w:val="000000"/>
              </w:rPr>
              <w:t>51</w:t>
            </w:r>
          </w:p>
        </w:tc>
        <w:tc>
          <w:tcPr>
            <w:tcW w:w="794" w:type="pct"/>
            <w:shd w:val="clear" w:color="auto" w:fill="auto"/>
            <w:tcMar>
              <w:left w:w="115" w:type="dxa"/>
              <w:right w:w="115" w:type="dxa"/>
            </w:tcMar>
            <w:vAlign w:val="bottom"/>
          </w:tcPr>
          <w:p w:rsidR="00F00DF4" w:rsidRPr="00F00DF4" w:rsidP="00F00DF4" w14:paraId="7485DEE8" w14:textId="4DB622B5">
            <w:pPr>
              <w:widowControl/>
              <w:autoSpaceDE/>
              <w:autoSpaceDN/>
              <w:adjustRightInd/>
              <w:jc w:val="center"/>
              <w:rPr>
                <w:color w:val="000000"/>
              </w:rPr>
            </w:pPr>
            <w:r w:rsidRPr="00D64E77">
              <w:rPr>
                <w:color w:val="000000"/>
              </w:rPr>
              <w:t>51</w:t>
            </w:r>
          </w:p>
        </w:tc>
        <w:tc>
          <w:tcPr>
            <w:tcW w:w="794" w:type="pct"/>
            <w:shd w:val="clear" w:color="auto" w:fill="auto"/>
            <w:tcMar>
              <w:left w:w="115" w:type="dxa"/>
              <w:right w:w="115" w:type="dxa"/>
            </w:tcMar>
            <w:vAlign w:val="bottom"/>
          </w:tcPr>
          <w:p w:rsidR="00F00DF4" w:rsidRPr="00F00DF4" w:rsidP="00F00DF4" w14:paraId="4EC56C0E" w14:textId="5F5E50BE">
            <w:pPr>
              <w:widowControl/>
              <w:autoSpaceDE/>
              <w:autoSpaceDN/>
              <w:adjustRightInd/>
              <w:jc w:val="center"/>
              <w:rPr>
                <w:color w:val="000000"/>
              </w:rPr>
            </w:pPr>
            <w:r w:rsidRPr="00D64E77">
              <w:rPr>
                <w:color w:val="000000"/>
              </w:rPr>
              <w:t>1,632</w:t>
            </w:r>
          </w:p>
        </w:tc>
        <w:tc>
          <w:tcPr>
            <w:tcW w:w="793" w:type="pct"/>
            <w:shd w:val="clear" w:color="auto" w:fill="auto"/>
            <w:tcMar>
              <w:left w:w="115" w:type="dxa"/>
              <w:right w:w="115" w:type="dxa"/>
            </w:tcMar>
            <w:vAlign w:val="bottom"/>
          </w:tcPr>
          <w:p w:rsidR="00F00DF4" w:rsidRPr="00F00DF4" w:rsidP="5ECFBCA2" w14:paraId="06CF4602" w14:textId="050DD8D8">
            <w:pPr>
              <w:widowControl/>
              <w:spacing w:line="259" w:lineRule="auto"/>
              <w:jc w:val="center"/>
            </w:pPr>
            <w:r w:rsidRPr="5ECFBCA2">
              <w:rPr>
                <w:color w:val="000000" w:themeColor="text1"/>
              </w:rPr>
              <w:t>$</w:t>
            </w:r>
            <w:r w:rsidRPr="5ECFBCA2" w:rsidR="058D4EF2">
              <w:rPr>
                <w:color w:val="000000" w:themeColor="text1"/>
              </w:rPr>
              <w:t>76,644</w:t>
            </w:r>
          </w:p>
        </w:tc>
      </w:tr>
      <w:tr w14:paraId="12C6363E"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F00DF4" w:rsidRPr="00EB7D1F" w:rsidP="00B441B5" w14:paraId="74AFC447" w14:textId="77777777">
            <w:pPr>
              <w:widowControl/>
              <w:autoSpaceDE/>
              <w:autoSpaceDN/>
              <w:adjustRightInd/>
              <w:jc w:val="center"/>
              <w:rPr>
                <w:color w:val="000000"/>
              </w:rPr>
            </w:pPr>
            <w:r>
              <w:t>IC-</w:t>
            </w:r>
            <w:r w:rsidRPr="00EB7D1F">
              <w:t>2.5 State preparing for and participating in Annual Program Review</w:t>
            </w:r>
          </w:p>
        </w:tc>
        <w:tc>
          <w:tcPr>
            <w:tcW w:w="793" w:type="pct"/>
            <w:shd w:val="clear" w:color="auto" w:fill="auto"/>
            <w:tcMar>
              <w:left w:w="115" w:type="dxa"/>
              <w:right w:w="115" w:type="dxa"/>
            </w:tcMar>
            <w:vAlign w:val="bottom"/>
          </w:tcPr>
          <w:p w:rsidR="00F00DF4" w:rsidRPr="00F00DF4" w:rsidP="00F00DF4" w14:paraId="1609CCAF" w14:textId="528FAF5F">
            <w:pPr>
              <w:widowControl/>
              <w:autoSpaceDE/>
              <w:autoSpaceDN/>
              <w:adjustRightInd/>
              <w:jc w:val="center"/>
              <w:rPr>
                <w:color w:val="000000"/>
              </w:rPr>
            </w:pPr>
            <w:r w:rsidRPr="00D64E77">
              <w:rPr>
                <w:color w:val="000000"/>
              </w:rPr>
              <w:t>255</w:t>
            </w:r>
          </w:p>
        </w:tc>
        <w:tc>
          <w:tcPr>
            <w:tcW w:w="794" w:type="pct"/>
            <w:shd w:val="clear" w:color="auto" w:fill="auto"/>
            <w:tcMar>
              <w:left w:w="115" w:type="dxa"/>
              <w:right w:w="115" w:type="dxa"/>
            </w:tcMar>
            <w:vAlign w:val="bottom"/>
          </w:tcPr>
          <w:p w:rsidR="00F00DF4" w:rsidRPr="00F00DF4" w:rsidP="00F00DF4" w14:paraId="10FE16D7" w14:textId="6D47B5DC">
            <w:pPr>
              <w:widowControl/>
              <w:autoSpaceDE/>
              <w:autoSpaceDN/>
              <w:adjustRightInd/>
              <w:jc w:val="center"/>
              <w:rPr>
                <w:color w:val="000000"/>
              </w:rPr>
            </w:pPr>
            <w:r w:rsidRPr="00D64E77">
              <w:rPr>
                <w:color w:val="000000"/>
              </w:rPr>
              <w:t>51</w:t>
            </w:r>
          </w:p>
        </w:tc>
        <w:tc>
          <w:tcPr>
            <w:tcW w:w="794" w:type="pct"/>
            <w:shd w:val="clear" w:color="auto" w:fill="auto"/>
            <w:tcMar>
              <w:left w:w="115" w:type="dxa"/>
              <w:right w:w="115" w:type="dxa"/>
            </w:tcMar>
            <w:vAlign w:val="bottom"/>
          </w:tcPr>
          <w:p w:rsidR="00F00DF4" w:rsidRPr="00F00DF4" w:rsidP="00F00DF4" w14:paraId="7EBEF198" w14:textId="7318BDC4">
            <w:pPr>
              <w:widowControl/>
              <w:autoSpaceDE/>
              <w:autoSpaceDN/>
              <w:adjustRightInd/>
              <w:jc w:val="center"/>
              <w:rPr>
                <w:color w:val="000000"/>
              </w:rPr>
            </w:pPr>
            <w:r w:rsidRPr="00D64E77">
              <w:rPr>
                <w:color w:val="000000"/>
              </w:rPr>
              <w:t>10,200</w:t>
            </w:r>
          </w:p>
        </w:tc>
        <w:tc>
          <w:tcPr>
            <w:tcW w:w="793" w:type="pct"/>
            <w:shd w:val="clear" w:color="auto" w:fill="auto"/>
            <w:tcMar>
              <w:left w:w="115" w:type="dxa"/>
              <w:right w:w="115" w:type="dxa"/>
            </w:tcMar>
            <w:vAlign w:val="bottom"/>
          </w:tcPr>
          <w:p w:rsidR="00F00DF4" w:rsidRPr="00F00DF4" w:rsidP="5ECFBCA2" w14:paraId="7E475CF6" w14:textId="1C70D289">
            <w:pPr>
              <w:widowControl/>
              <w:spacing w:line="259" w:lineRule="auto"/>
              <w:jc w:val="center"/>
            </w:pPr>
            <w:r w:rsidRPr="5ECFBCA2">
              <w:rPr>
                <w:color w:val="000000" w:themeColor="text1"/>
              </w:rPr>
              <w:t>$</w:t>
            </w:r>
            <w:r w:rsidRPr="5ECFBCA2" w:rsidR="1BB37AB7">
              <w:rPr>
                <w:color w:val="000000" w:themeColor="text1"/>
              </w:rPr>
              <w:t>479,027</w:t>
            </w:r>
          </w:p>
        </w:tc>
      </w:tr>
      <w:tr w14:paraId="6B4D728F"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F00DF4" w:rsidRPr="00EB7D1F" w:rsidP="00B441B5" w14:paraId="591B9927" w14:textId="77777777">
            <w:pPr>
              <w:widowControl/>
              <w:autoSpaceDE/>
              <w:autoSpaceDN/>
              <w:adjustRightInd/>
              <w:jc w:val="center"/>
            </w:pPr>
            <w:r>
              <w:t>IC-</w:t>
            </w:r>
            <w:r w:rsidRPr="00EB7D1F">
              <w:t>2.6 CDLIS/PDPS/State Recordkeeping</w:t>
            </w:r>
          </w:p>
        </w:tc>
        <w:tc>
          <w:tcPr>
            <w:tcW w:w="793" w:type="pct"/>
            <w:shd w:val="clear" w:color="auto" w:fill="auto"/>
            <w:tcMar>
              <w:left w:w="115" w:type="dxa"/>
              <w:right w:w="115" w:type="dxa"/>
            </w:tcMar>
            <w:vAlign w:val="bottom"/>
          </w:tcPr>
          <w:p w:rsidR="00F00DF4" w:rsidRPr="00F00DF4" w:rsidP="00F00DF4" w14:paraId="12CF4297" w14:textId="68DB0C2A">
            <w:pPr>
              <w:widowControl/>
              <w:autoSpaceDE/>
              <w:autoSpaceDN/>
              <w:adjustRightInd/>
              <w:jc w:val="center"/>
            </w:pPr>
            <w:r w:rsidRPr="00D64E77">
              <w:rPr>
                <w:color w:val="000000"/>
              </w:rPr>
              <w:t>249</w:t>
            </w:r>
          </w:p>
        </w:tc>
        <w:tc>
          <w:tcPr>
            <w:tcW w:w="794" w:type="pct"/>
            <w:shd w:val="clear" w:color="auto" w:fill="auto"/>
            <w:tcMar>
              <w:left w:w="115" w:type="dxa"/>
              <w:right w:w="115" w:type="dxa"/>
            </w:tcMar>
            <w:vAlign w:val="bottom"/>
          </w:tcPr>
          <w:p w:rsidR="00F00DF4" w:rsidRPr="00F00DF4" w:rsidP="00F00DF4" w14:paraId="343A5108" w14:textId="1A641B56">
            <w:pPr>
              <w:widowControl/>
              <w:autoSpaceDE/>
              <w:autoSpaceDN/>
              <w:adjustRightInd/>
              <w:jc w:val="center"/>
            </w:pPr>
            <w:r w:rsidRPr="00AC64EF">
              <w:rPr>
                <w:color w:val="000000" w:themeColor="text1"/>
              </w:rPr>
              <w:t>9,105,240</w:t>
            </w:r>
          </w:p>
        </w:tc>
        <w:tc>
          <w:tcPr>
            <w:tcW w:w="794" w:type="pct"/>
            <w:shd w:val="clear" w:color="auto" w:fill="auto"/>
            <w:tcMar>
              <w:left w:w="115" w:type="dxa"/>
              <w:right w:w="115" w:type="dxa"/>
            </w:tcMar>
            <w:vAlign w:val="bottom"/>
          </w:tcPr>
          <w:p w:rsidR="00F00DF4" w:rsidRPr="00F00DF4" w:rsidP="00F00DF4" w14:paraId="3C435FE5" w14:textId="0D7981E5">
            <w:pPr>
              <w:widowControl/>
              <w:autoSpaceDE/>
              <w:autoSpaceDN/>
              <w:adjustRightInd/>
              <w:jc w:val="center"/>
            </w:pPr>
            <w:r w:rsidRPr="00AC64EF">
              <w:rPr>
                <w:color w:val="000000" w:themeColor="text1"/>
              </w:rPr>
              <w:t>303,508</w:t>
            </w:r>
          </w:p>
        </w:tc>
        <w:tc>
          <w:tcPr>
            <w:tcW w:w="793" w:type="pct"/>
            <w:shd w:val="clear" w:color="auto" w:fill="auto"/>
            <w:tcMar>
              <w:left w:w="115" w:type="dxa"/>
              <w:right w:w="115" w:type="dxa"/>
            </w:tcMar>
            <w:vAlign w:val="bottom"/>
          </w:tcPr>
          <w:p w:rsidR="00F00DF4" w:rsidRPr="00F00DF4" w:rsidP="5ECFBCA2" w14:paraId="7FC2B2AC" w14:textId="77B302B3">
            <w:pPr>
              <w:widowControl/>
              <w:spacing w:line="259" w:lineRule="auto"/>
              <w:jc w:val="center"/>
            </w:pPr>
            <w:r w:rsidRPr="5ECFBCA2">
              <w:rPr>
                <w:color w:val="000000" w:themeColor="text1"/>
              </w:rPr>
              <w:t>$</w:t>
            </w:r>
            <w:r w:rsidRPr="5ECFBCA2" w:rsidR="152A170E">
              <w:rPr>
                <w:color w:val="000000" w:themeColor="text1"/>
              </w:rPr>
              <w:t>8,714,727</w:t>
            </w:r>
          </w:p>
        </w:tc>
      </w:tr>
      <w:tr w14:paraId="6909A4A9"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F00DF4" w:rsidRPr="00EB7D1F" w:rsidP="00B441B5" w14:paraId="1530BE61" w14:textId="77777777">
            <w:pPr>
              <w:widowControl/>
              <w:autoSpaceDE/>
              <w:autoSpaceDN/>
              <w:adjustRightInd/>
              <w:jc w:val="center"/>
            </w:pPr>
            <w:r>
              <w:t>IC-</w:t>
            </w:r>
            <w:r w:rsidRPr="00EB7D1F">
              <w:t>2.7 CDL knowledge and Skills Tests Recordkeeping</w:t>
            </w:r>
          </w:p>
        </w:tc>
        <w:tc>
          <w:tcPr>
            <w:tcW w:w="793" w:type="pct"/>
            <w:shd w:val="clear" w:color="auto" w:fill="auto"/>
            <w:tcMar>
              <w:left w:w="115" w:type="dxa"/>
              <w:right w:w="115" w:type="dxa"/>
            </w:tcMar>
            <w:vAlign w:val="bottom"/>
          </w:tcPr>
          <w:p w:rsidR="00F00DF4" w:rsidRPr="00F00DF4" w:rsidP="00F00DF4" w14:paraId="0A044E68" w14:textId="0D5F2154">
            <w:pPr>
              <w:widowControl/>
              <w:autoSpaceDE/>
              <w:autoSpaceDN/>
              <w:adjustRightInd/>
              <w:jc w:val="center"/>
            </w:pPr>
            <w:r w:rsidRPr="00D64E77">
              <w:rPr>
                <w:color w:val="000000"/>
              </w:rPr>
              <w:t>489</w:t>
            </w:r>
          </w:p>
        </w:tc>
        <w:tc>
          <w:tcPr>
            <w:tcW w:w="794" w:type="pct"/>
            <w:shd w:val="clear" w:color="auto" w:fill="auto"/>
            <w:tcMar>
              <w:left w:w="115" w:type="dxa"/>
              <w:right w:w="115" w:type="dxa"/>
            </w:tcMar>
            <w:vAlign w:val="bottom"/>
          </w:tcPr>
          <w:p w:rsidR="00F00DF4" w:rsidRPr="00F00DF4" w:rsidP="00F00DF4" w14:paraId="6240A3FA" w14:textId="3FC1C46F">
            <w:pPr>
              <w:widowControl/>
              <w:autoSpaceDE/>
              <w:autoSpaceDN/>
              <w:adjustRightInd/>
              <w:jc w:val="center"/>
            </w:pPr>
            <w:r w:rsidRPr="00AC64EF">
              <w:rPr>
                <w:color w:val="000000" w:themeColor="text1"/>
              </w:rPr>
              <w:t>854,273</w:t>
            </w:r>
          </w:p>
        </w:tc>
        <w:tc>
          <w:tcPr>
            <w:tcW w:w="794" w:type="pct"/>
            <w:shd w:val="clear" w:color="auto" w:fill="auto"/>
            <w:tcMar>
              <w:left w:w="115" w:type="dxa"/>
              <w:right w:w="115" w:type="dxa"/>
            </w:tcMar>
            <w:vAlign w:val="bottom"/>
          </w:tcPr>
          <w:p w:rsidR="00F00DF4" w:rsidRPr="00F00DF4" w:rsidP="00F00DF4" w14:paraId="64DF9080" w14:textId="0799B4AA">
            <w:pPr>
              <w:widowControl/>
              <w:autoSpaceDE/>
              <w:autoSpaceDN/>
              <w:adjustRightInd/>
              <w:jc w:val="center"/>
            </w:pPr>
            <w:r w:rsidRPr="00AC64EF">
              <w:rPr>
                <w:color w:val="000000" w:themeColor="text1"/>
              </w:rPr>
              <w:t>49,833</w:t>
            </w:r>
          </w:p>
        </w:tc>
        <w:tc>
          <w:tcPr>
            <w:tcW w:w="793" w:type="pct"/>
            <w:shd w:val="clear" w:color="auto" w:fill="auto"/>
            <w:tcMar>
              <w:left w:w="115" w:type="dxa"/>
              <w:right w:w="115" w:type="dxa"/>
            </w:tcMar>
            <w:vAlign w:val="bottom"/>
          </w:tcPr>
          <w:p w:rsidR="00F00DF4" w:rsidRPr="00F00DF4" w:rsidP="5ECFBCA2" w14:paraId="6FB760CE" w14:textId="7740AABD">
            <w:pPr>
              <w:widowControl/>
              <w:spacing w:line="259" w:lineRule="auto"/>
              <w:jc w:val="center"/>
            </w:pPr>
            <w:r w:rsidRPr="5ECFBCA2">
              <w:rPr>
                <w:color w:val="000000" w:themeColor="text1"/>
              </w:rPr>
              <w:t>$1,</w:t>
            </w:r>
            <w:r w:rsidRPr="5ECFBCA2" w:rsidR="2080F919">
              <w:rPr>
                <w:color w:val="000000" w:themeColor="text1"/>
              </w:rPr>
              <w:t>430,860</w:t>
            </w:r>
          </w:p>
        </w:tc>
      </w:tr>
      <w:tr w14:paraId="1D0EDCC3"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F00DF4" w:rsidRPr="00EB7D1F" w:rsidP="00B441B5" w14:paraId="31FEE1E7" w14:textId="77777777">
            <w:pPr>
              <w:widowControl/>
              <w:autoSpaceDE/>
              <w:autoSpaceDN/>
              <w:adjustRightInd/>
              <w:jc w:val="center"/>
            </w:pPr>
            <w:r>
              <w:t>IC-</w:t>
            </w:r>
            <w:r w:rsidRPr="00EB7D1F">
              <w:t>2.8 Knowledge and Skills Test Examiner Certification</w:t>
            </w:r>
          </w:p>
        </w:tc>
        <w:tc>
          <w:tcPr>
            <w:tcW w:w="793" w:type="pct"/>
            <w:shd w:val="clear" w:color="auto" w:fill="auto"/>
            <w:tcMar>
              <w:left w:w="115" w:type="dxa"/>
              <w:right w:w="115" w:type="dxa"/>
            </w:tcMar>
            <w:vAlign w:val="bottom"/>
          </w:tcPr>
          <w:p w:rsidR="00F00DF4" w:rsidRPr="00F00DF4" w:rsidP="00F00DF4" w14:paraId="1A2D3416" w14:textId="7E4F4895">
            <w:pPr>
              <w:widowControl/>
              <w:autoSpaceDE/>
              <w:autoSpaceDN/>
              <w:adjustRightInd/>
              <w:jc w:val="center"/>
            </w:pPr>
            <w:r w:rsidRPr="00AC64EF">
              <w:rPr>
                <w:color w:val="000000" w:themeColor="text1"/>
              </w:rPr>
              <w:t>35,099</w:t>
            </w:r>
          </w:p>
        </w:tc>
        <w:tc>
          <w:tcPr>
            <w:tcW w:w="794" w:type="pct"/>
            <w:shd w:val="clear" w:color="auto" w:fill="auto"/>
            <w:tcMar>
              <w:left w:w="115" w:type="dxa"/>
              <w:right w:w="115" w:type="dxa"/>
            </w:tcMar>
            <w:vAlign w:val="bottom"/>
          </w:tcPr>
          <w:p w:rsidR="00F00DF4" w:rsidRPr="00F00DF4" w:rsidP="00F00DF4" w14:paraId="5333E950" w14:textId="42A08120">
            <w:pPr>
              <w:widowControl/>
              <w:autoSpaceDE/>
              <w:autoSpaceDN/>
              <w:adjustRightInd/>
              <w:jc w:val="center"/>
            </w:pPr>
            <w:r w:rsidRPr="00AC64EF">
              <w:rPr>
                <w:color w:val="000000" w:themeColor="text1"/>
              </w:rPr>
              <w:t>35,099</w:t>
            </w:r>
          </w:p>
        </w:tc>
        <w:tc>
          <w:tcPr>
            <w:tcW w:w="794" w:type="pct"/>
            <w:shd w:val="clear" w:color="auto" w:fill="auto"/>
            <w:tcMar>
              <w:left w:w="115" w:type="dxa"/>
              <w:right w:w="115" w:type="dxa"/>
            </w:tcMar>
            <w:vAlign w:val="bottom"/>
          </w:tcPr>
          <w:p w:rsidR="00F00DF4" w:rsidRPr="00F00DF4" w:rsidP="00F00DF4" w14:paraId="098A7A2F" w14:textId="2286925A">
            <w:pPr>
              <w:widowControl/>
              <w:autoSpaceDE/>
              <w:autoSpaceDN/>
              <w:adjustRightInd/>
              <w:jc w:val="center"/>
            </w:pPr>
            <w:r w:rsidRPr="00AC64EF">
              <w:rPr>
                <w:color w:val="000000" w:themeColor="text1"/>
              </w:rPr>
              <w:t>283,608</w:t>
            </w:r>
          </w:p>
        </w:tc>
        <w:tc>
          <w:tcPr>
            <w:tcW w:w="793" w:type="pct"/>
            <w:shd w:val="clear" w:color="auto" w:fill="auto"/>
            <w:tcMar>
              <w:left w:w="115" w:type="dxa"/>
              <w:right w:w="115" w:type="dxa"/>
            </w:tcMar>
            <w:vAlign w:val="bottom"/>
          </w:tcPr>
          <w:p w:rsidR="00F00DF4" w:rsidRPr="00F00DF4" w:rsidP="5ECFBCA2" w14:paraId="207E0191" w14:textId="1C7EA71A">
            <w:pPr>
              <w:widowControl/>
              <w:autoSpaceDE/>
              <w:autoSpaceDN/>
              <w:adjustRightInd/>
              <w:jc w:val="center"/>
              <w:rPr>
                <w:color w:val="000000" w:themeColor="text1"/>
              </w:rPr>
            </w:pPr>
            <w:r w:rsidRPr="5ECFBCA2">
              <w:rPr>
                <w:color w:val="000000" w:themeColor="text1"/>
              </w:rPr>
              <w:t>$</w:t>
            </w:r>
            <w:r w:rsidRPr="5ECFBCA2" w:rsidR="5ADAE682">
              <w:rPr>
                <w:color w:val="000000" w:themeColor="text1"/>
              </w:rPr>
              <w:t>9,788,217</w:t>
            </w:r>
          </w:p>
        </w:tc>
      </w:tr>
      <w:tr w14:paraId="22A3F35B" w14:textId="77777777" w:rsidTr="5ECFBCA2">
        <w:tblPrEx>
          <w:tblW w:w="5000" w:type="pct"/>
          <w:tblLayout w:type="fixed"/>
          <w:tblCellMar>
            <w:left w:w="29" w:type="dxa"/>
            <w:right w:w="29" w:type="dxa"/>
          </w:tblCellMar>
          <w:tblLook w:val="04A0"/>
        </w:tblPrEx>
        <w:trPr>
          <w:trHeight w:val="270"/>
        </w:trPr>
        <w:tc>
          <w:tcPr>
            <w:tcW w:w="1826" w:type="pct"/>
            <w:shd w:val="clear" w:color="auto" w:fill="auto"/>
            <w:tcMar>
              <w:left w:w="115" w:type="dxa"/>
              <w:right w:w="115" w:type="dxa"/>
            </w:tcMar>
            <w:vAlign w:val="bottom"/>
          </w:tcPr>
          <w:p w:rsidR="00AC64EF" w:rsidRPr="00EB7D1F" w:rsidP="00B441B5" w14:paraId="5E37EA72" w14:textId="77777777">
            <w:pPr>
              <w:widowControl/>
              <w:autoSpaceDE/>
              <w:autoSpaceDN/>
              <w:adjustRightInd/>
              <w:jc w:val="center"/>
            </w:pPr>
            <w:r w:rsidRPr="00EB7D1F">
              <w:t>Total</w:t>
            </w:r>
          </w:p>
        </w:tc>
        <w:tc>
          <w:tcPr>
            <w:tcW w:w="793" w:type="pct"/>
            <w:shd w:val="clear" w:color="auto" w:fill="auto"/>
            <w:tcMar>
              <w:left w:w="115" w:type="dxa"/>
              <w:right w:w="115" w:type="dxa"/>
            </w:tcMar>
            <w:vAlign w:val="bottom"/>
          </w:tcPr>
          <w:p w:rsidR="00AC64EF" w:rsidRPr="00105AAA" w:rsidP="00D7280E" w14:paraId="222A0DCE" w14:textId="0BA14D2E">
            <w:pPr>
              <w:widowControl/>
              <w:autoSpaceDE/>
              <w:autoSpaceDN/>
              <w:adjustRightInd/>
              <w:jc w:val="center"/>
              <w:rPr>
                <w:color w:val="000000"/>
              </w:rPr>
            </w:pPr>
            <w:r>
              <w:rPr>
                <w:color w:val="000000" w:themeColor="text1"/>
              </w:rPr>
              <w:t>36,890</w:t>
            </w:r>
          </w:p>
        </w:tc>
        <w:tc>
          <w:tcPr>
            <w:tcW w:w="794" w:type="pct"/>
            <w:shd w:val="clear" w:color="auto" w:fill="auto"/>
            <w:tcMar>
              <w:left w:w="115" w:type="dxa"/>
              <w:right w:w="115" w:type="dxa"/>
            </w:tcMar>
            <w:vAlign w:val="bottom"/>
          </w:tcPr>
          <w:p w:rsidR="00AC64EF" w:rsidRPr="00105AAA" w:rsidP="00D7280E" w14:paraId="42604B03" w14:textId="461AA6C4">
            <w:pPr>
              <w:widowControl/>
              <w:autoSpaceDE/>
              <w:autoSpaceDN/>
              <w:adjustRightInd/>
              <w:jc w:val="center"/>
              <w:rPr>
                <w:color w:val="000000"/>
              </w:rPr>
            </w:pPr>
            <w:r>
              <w:rPr>
                <w:color w:val="000000" w:themeColor="text1"/>
              </w:rPr>
              <w:t>18,274,608</w:t>
            </w:r>
          </w:p>
        </w:tc>
        <w:tc>
          <w:tcPr>
            <w:tcW w:w="794" w:type="pct"/>
            <w:shd w:val="clear" w:color="auto" w:fill="auto"/>
            <w:tcMar>
              <w:left w:w="115" w:type="dxa"/>
              <w:right w:w="115" w:type="dxa"/>
            </w:tcMar>
            <w:vAlign w:val="bottom"/>
          </w:tcPr>
          <w:p w:rsidR="00AC64EF" w:rsidRPr="00105AAA" w:rsidP="00D7280E" w14:paraId="032A8E41" w14:textId="077C8ADE">
            <w:pPr>
              <w:widowControl/>
              <w:autoSpaceDE/>
              <w:autoSpaceDN/>
              <w:adjustRightInd/>
              <w:jc w:val="center"/>
              <w:rPr>
                <w:color w:val="000000"/>
              </w:rPr>
            </w:pPr>
            <w:r>
              <w:rPr>
                <w:color w:val="000000" w:themeColor="text1"/>
              </w:rPr>
              <w:t>739,464</w:t>
            </w:r>
          </w:p>
        </w:tc>
        <w:tc>
          <w:tcPr>
            <w:tcW w:w="793" w:type="pct"/>
            <w:shd w:val="clear" w:color="auto" w:fill="auto"/>
            <w:tcMar>
              <w:left w:w="115" w:type="dxa"/>
              <w:right w:w="115" w:type="dxa"/>
            </w:tcMar>
            <w:vAlign w:val="bottom"/>
          </w:tcPr>
          <w:p w:rsidR="00AC64EF" w:rsidRPr="00105AAA" w:rsidP="5ECFBCA2" w14:paraId="12A01720" w14:textId="512F4592">
            <w:pPr>
              <w:widowControl/>
              <w:spacing w:line="259" w:lineRule="auto"/>
              <w:jc w:val="center"/>
              <w:rPr>
                <w:color w:val="000000" w:themeColor="text1"/>
              </w:rPr>
            </w:pPr>
            <w:r w:rsidRPr="5ECFBCA2">
              <w:rPr>
                <w:color w:val="000000" w:themeColor="text1"/>
              </w:rPr>
              <w:t>$</w:t>
            </w:r>
            <w:r w:rsidRPr="5ECFBCA2" w:rsidR="5ABD097F">
              <w:rPr>
                <w:color w:val="000000" w:themeColor="text1"/>
              </w:rPr>
              <w:t>23,093,294</w:t>
            </w:r>
            <w:r w:rsidRPr="5ECFBCA2">
              <w:rPr>
                <w:color w:val="000000" w:themeColor="text1"/>
              </w:rPr>
              <w:t xml:space="preserve"> </w:t>
            </w:r>
          </w:p>
        </w:tc>
      </w:tr>
    </w:tbl>
    <w:p w:rsidR="00FA4698" w:rsidRPr="007E65CF" w:rsidP="00722B85" w14:paraId="080F6547" w14:textId="77777777">
      <w:pPr>
        <w:widowControl/>
        <w:rPr>
          <w:sz w:val="18"/>
          <w:szCs w:val="18"/>
        </w:rPr>
      </w:pPr>
      <w:r>
        <w:rPr>
          <w:sz w:val="18"/>
          <w:szCs w:val="18"/>
        </w:rPr>
        <w:t>Totals are the product of unrounded components</w:t>
      </w:r>
      <w:r w:rsidRPr="007E65CF">
        <w:rPr>
          <w:sz w:val="18"/>
          <w:szCs w:val="18"/>
        </w:rPr>
        <w:t>.</w:t>
      </w:r>
    </w:p>
    <w:p w:rsidR="00DA250B" w:rsidP="00722B85" w14:paraId="06BBB48B" w14:textId="77777777">
      <w:pPr>
        <w:widowControl/>
      </w:pPr>
    </w:p>
    <w:p w:rsidR="00DA250B" w:rsidP="00722B85" w14:paraId="6A09DABC" w14:textId="3F617128">
      <w:pPr>
        <w:widowControl/>
      </w:pPr>
      <w:r>
        <w:t>Estimated Annual Number of Respondents</w:t>
      </w:r>
      <w:r w:rsidR="00EB7D1F">
        <w:t xml:space="preserve"> for IC-2</w:t>
      </w:r>
      <w:r>
        <w:t xml:space="preserve">: </w:t>
      </w:r>
      <w:r w:rsidR="00D7280E">
        <w:t>36,890</w:t>
      </w:r>
      <w:r>
        <w:t>.</w:t>
      </w:r>
    </w:p>
    <w:p w:rsidR="00DA250B" w:rsidRPr="00B75783" w:rsidP="00722B85" w14:paraId="17195EE0" w14:textId="3FAA626B">
      <w:pPr>
        <w:widowControl/>
      </w:pPr>
      <w:r>
        <w:t>Estimated Annual Number of Responses</w:t>
      </w:r>
      <w:r w:rsidR="00EB7D1F">
        <w:t xml:space="preserve"> for IC-2</w:t>
      </w:r>
      <w:r>
        <w:t>: 18</w:t>
      </w:r>
      <w:r w:rsidR="00D7280E">
        <w:t>,274,608</w:t>
      </w:r>
      <w:r>
        <w:t>.</w:t>
      </w:r>
    </w:p>
    <w:p w:rsidR="00DA250B" w:rsidRPr="00B75783" w:rsidP="00722B85" w14:paraId="43598586" w14:textId="068E7033">
      <w:pPr>
        <w:widowControl/>
      </w:pPr>
      <w:r>
        <w:t>Estimated Total Annual Burden</w:t>
      </w:r>
      <w:r w:rsidR="00EB7D1F">
        <w:t xml:space="preserve"> </w:t>
      </w:r>
      <w:r w:rsidR="00CE6495">
        <w:t xml:space="preserve">Hours </w:t>
      </w:r>
      <w:r w:rsidR="00EB7D1F">
        <w:t>for IC-2</w:t>
      </w:r>
      <w:r>
        <w:t xml:space="preserve">: </w:t>
      </w:r>
      <w:r w:rsidR="375DDF02">
        <w:t>7</w:t>
      </w:r>
      <w:r w:rsidR="00D7280E">
        <w:t>39,464</w:t>
      </w:r>
      <w:r>
        <w:t>.</w:t>
      </w:r>
    </w:p>
    <w:p w:rsidR="004B675F" w:rsidP="5ECFBCA2" w14:paraId="3E33997A" w14:textId="37DEC18F">
      <w:pPr>
        <w:widowControl/>
        <w:spacing w:line="259" w:lineRule="auto"/>
      </w:pPr>
      <w:r>
        <w:t>Estimated Annual Burden Hour Cost</w:t>
      </w:r>
      <w:r w:rsidR="00EB7D1F">
        <w:t xml:space="preserve"> for IC-2</w:t>
      </w:r>
      <w:r>
        <w:t>: $</w:t>
      </w:r>
      <w:r w:rsidR="6FD20709">
        <w:t>23,093,294</w:t>
      </w:r>
      <w:r>
        <w:t>.</w:t>
      </w:r>
    </w:p>
    <w:p w:rsidR="005244A8" w:rsidP="00722B85" w14:paraId="2528CCCA" w14:textId="77777777">
      <w:pPr>
        <w:widowControl/>
      </w:pPr>
    </w:p>
    <w:p w:rsidR="00BA173C" w:rsidRPr="002B6854" w:rsidP="00722B85" w14:paraId="62342A0B" w14:textId="77777777">
      <w:pPr>
        <w:widowControl/>
        <w:rPr>
          <w:b/>
        </w:rPr>
      </w:pPr>
      <w:r w:rsidRPr="002B6854">
        <w:rPr>
          <w:b/>
        </w:rPr>
        <w:t>Total Estimated Burden</w:t>
      </w:r>
    </w:p>
    <w:p w:rsidR="002B6854" w:rsidP="00722B85" w14:paraId="063DC00A" w14:textId="05E34A74">
      <w:pPr>
        <w:widowControl/>
      </w:pPr>
      <w:r>
        <w:t xml:space="preserve">The total annualized number of respondents, responses, burden hours, and burden hour cost for this ICR is detailed in </w:t>
      </w:r>
      <w:r>
        <w:fldChar w:fldCharType="begin"/>
      </w:r>
      <w:r>
        <w:instrText xml:space="preserve"> REF _Ref508709537 \h  \* MERGEFORMAT </w:instrText>
      </w:r>
      <w:r>
        <w:fldChar w:fldCharType="separate"/>
      </w:r>
      <w:r w:rsidR="5D0BEBBC">
        <w:t xml:space="preserve">Table </w:t>
      </w:r>
      <w:r>
        <w:fldChar w:fldCharType="end"/>
      </w:r>
      <w:r w:rsidRPr="5ECFBCA2" w:rsidR="1EE0AC05">
        <w:rPr>
          <w:noProof/>
        </w:rPr>
        <w:t>2</w:t>
      </w:r>
      <w:r w:rsidRPr="5ECFBCA2" w:rsidR="05C01109">
        <w:rPr>
          <w:noProof/>
        </w:rPr>
        <w:t>6</w:t>
      </w:r>
      <w:r>
        <w:t>.</w:t>
      </w:r>
    </w:p>
    <w:p w:rsidR="0079688D" w:rsidP="00722B85" w14:paraId="09FD0385" w14:textId="77777777">
      <w:pPr>
        <w:widowControl/>
      </w:pPr>
    </w:p>
    <w:p w:rsidR="00BA732E" w:rsidP="00722B85" w14:paraId="70BD5548" w14:textId="77777777">
      <w:pPr>
        <w:widowControl/>
      </w:pPr>
    </w:p>
    <w:p w:rsidR="002B6854" w:rsidP="00722B85" w14:paraId="4A7CCE85" w14:textId="1EBFB7F1">
      <w:pPr>
        <w:pStyle w:val="Caption"/>
        <w:keepNext/>
        <w:widowControl/>
      </w:pPr>
      <w:bookmarkStart w:id="40" w:name="_Ref508709537"/>
      <w:r>
        <w:t xml:space="preserve">Table </w:t>
      </w:r>
      <w:r>
        <w:fldChar w:fldCharType="begin"/>
      </w:r>
      <w:r>
        <w:instrText>SEQ Table \* ARABIC</w:instrText>
      </w:r>
      <w:r w:rsidR="00000000">
        <w:fldChar w:fldCharType="separate"/>
      </w:r>
      <w:r>
        <w:fldChar w:fldCharType="end"/>
      </w:r>
      <w:r w:rsidRPr="5ECFBCA2" w:rsidR="78853C09">
        <w:rPr>
          <w:noProof/>
        </w:rPr>
        <w:t>2</w:t>
      </w:r>
      <w:r w:rsidRPr="5ECFBCA2" w:rsidR="750D0092">
        <w:rPr>
          <w:noProof/>
        </w:rPr>
        <w:t>6</w:t>
      </w:r>
      <w:bookmarkEnd w:id="40"/>
      <w:r>
        <w:t xml:space="preserve">. Annualized </w:t>
      </w:r>
      <w:r w:rsidR="51352ECE">
        <w:t xml:space="preserve">Respondents, Responses, Burden Hours, and Burden Hour Cost </w:t>
      </w:r>
      <w:r>
        <w:t>for IC-1 and IC-2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2873"/>
        <w:gridCol w:w="1386"/>
        <w:gridCol w:w="1431"/>
        <w:gridCol w:w="1330"/>
        <w:gridCol w:w="2330"/>
      </w:tblGrid>
      <w:tr w14:paraId="51C3C602" w14:textId="77777777" w:rsidTr="5ECFBC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trPr>
        <w:tc>
          <w:tcPr>
            <w:tcW w:w="1536" w:type="pct"/>
            <w:shd w:val="clear" w:color="auto" w:fill="E0E0E0"/>
            <w:tcMar>
              <w:left w:w="0" w:type="dxa"/>
              <w:right w:w="0" w:type="dxa"/>
            </w:tcMar>
            <w:vAlign w:val="bottom"/>
            <w:hideMark/>
          </w:tcPr>
          <w:p w:rsidR="00957123" w:rsidRPr="00E8574A" w:rsidP="005312A0" w14:paraId="715F07FA" w14:textId="77777777">
            <w:pPr>
              <w:widowControl/>
              <w:autoSpaceDE/>
              <w:autoSpaceDN/>
              <w:adjustRightInd/>
              <w:jc w:val="center"/>
              <w:rPr>
                <w:b/>
                <w:bCs/>
                <w:color w:val="000000"/>
              </w:rPr>
            </w:pPr>
            <w:r w:rsidRPr="00E8574A">
              <w:rPr>
                <w:b/>
                <w:bCs/>
                <w:color w:val="000000"/>
              </w:rPr>
              <w:t>Information Collection</w:t>
            </w:r>
          </w:p>
        </w:tc>
        <w:tc>
          <w:tcPr>
            <w:tcW w:w="741" w:type="pct"/>
            <w:shd w:val="clear" w:color="auto" w:fill="E0E0E0"/>
            <w:tcMar>
              <w:left w:w="0" w:type="dxa"/>
              <w:right w:w="0" w:type="dxa"/>
            </w:tcMar>
            <w:vAlign w:val="bottom"/>
            <w:hideMark/>
          </w:tcPr>
          <w:p w:rsidR="00957123" w:rsidRPr="00E8574A" w:rsidP="005312A0" w14:paraId="65C1EB78" w14:textId="77777777">
            <w:pPr>
              <w:widowControl/>
              <w:autoSpaceDE/>
              <w:autoSpaceDN/>
              <w:adjustRightInd/>
              <w:jc w:val="center"/>
              <w:rPr>
                <w:b/>
                <w:bCs/>
                <w:color w:val="000000"/>
              </w:rPr>
            </w:pPr>
            <w:r w:rsidRPr="00E8574A">
              <w:rPr>
                <w:b/>
                <w:bCs/>
                <w:color w:val="000000"/>
              </w:rPr>
              <w:t>Respondents</w:t>
            </w:r>
          </w:p>
        </w:tc>
        <w:tc>
          <w:tcPr>
            <w:tcW w:w="765" w:type="pct"/>
            <w:shd w:val="clear" w:color="auto" w:fill="E0E0E0"/>
            <w:tcMar>
              <w:left w:w="0" w:type="dxa"/>
              <w:right w:w="0" w:type="dxa"/>
            </w:tcMar>
            <w:vAlign w:val="bottom"/>
            <w:hideMark/>
          </w:tcPr>
          <w:p w:rsidR="00957123" w:rsidRPr="00E8574A" w:rsidP="005312A0" w14:paraId="5B7338ED" w14:textId="77777777">
            <w:pPr>
              <w:widowControl/>
              <w:autoSpaceDE/>
              <w:autoSpaceDN/>
              <w:adjustRightInd/>
              <w:jc w:val="center"/>
              <w:rPr>
                <w:b/>
                <w:bCs/>
                <w:color w:val="000000"/>
              </w:rPr>
            </w:pPr>
            <w:r w:rsidRPr="00E8574A">
              <w:rPr>
                <w:b/>
                <w:bCs/>
                <w:color w:val="000000"/>
              </w:rPr>
              <w:t>Responses</w:t>
            </w:r>
          </w:p>
        </w:tc>
        <w:tc>
          <w:tcPr>
            <w:tcW w:w="711" w:type="pct"/>
            <w:shd w:val="clear" w:color="auto" w:fill="E0E0E0"/>
            <w:tcMar>
              <w:left w:w="0" w:type="dxa"/>
              <w:right w:w="0" w:type="dxa"/>
            </w:tcMar>
            <w:vAlign w:val="bottom"/>
            <w:hideMark/>
          </w:tcPr>
          <w:p w:rsidR="00957123" w:rsidRPr="00E8574A" w:rsidP="005312A0" w14:paraId="6E5BD03C" w14:textId="77777777">
            <w:pPr>
              <w:widowControl/>
              <w:autoSpaceDE/>
              <w:autoSpaceDN/>
              <w:adjustRightInd/>
              <w:jc w:val="center"/>
              <w:rPr>
                <w:b/>
                <w:bCs/>
                <w:color w:val="000000"/>
              </w:rPr>
            </w:pPr>
            <w:r w:rsidRPr="00E8574A">
              <w:rPr>
                <w:b/>
                <w:bCs/>
                <w:color w:val="000000"/>
              </w:rPr>
              <w:t>Burden Hours</w:t>
            </w:r>
          </w:p>
        </w:tc>
        <w:tc>
          <w:tcPr>
            <w:tcW w:w="1246" w:type="pct"/>
            <w:shd w:val="clear" w:color="auto" w:fill="E0E0E0"/>
            <w:tcMar>
              <w:left w:w="0" w:type="dxa"/>
              <w:right w:w="0" w:type="dxa"/>
            </w:tcMar>
            <w:vAlign w:val="bottom"/>
          </w:tcPr>
          <w:p w:rsidR="00957123" w:rsidRPr="00E8574A" w:rsidP="005312A0" w14:paraId="53507C77" w14:textId="77777777">
            <w:pPr>
              <w:widowControl/>
              <w:autoSpaceDE/>
              <w:autoSpaceDN/>
              <w:adjustRightInd/>
              <w:jc w:val="center"/>
              <w:rPr>
                <w:b/>
                <w:bCs/>
                <w:color w:val="000000"/>
              </w:rPr>
            </w:pPr>
            <w:r w:rsidRPr="00E8574A">
              <w:rPr>
                <w:b/>
              </w:rPr>
              <w:t>Burden Hour Cost</w:t>
            </w:r>
          </w:p>
        </w:tc>
      </w:tr>
      <w:tr w14:paraId="6A1E838D" w14:textId="77777777" w:rsidTr="5ECFBCA2">
        <w:tblPrEx>
          <w:tblW w:w="5000" w:type="pct"/>
          <w:tblLayout w:type="fixed"/>
          <w:tblCellMar>
            <w:left w:w="29" w:type="dxa"/>
            <w:right w:w="29" w:type="dxa"/>
          </w:tblCellMar>
          <w:tblLook w:val="04A0"/>
        </w:tblPrEx>
        <w:trPr>
          <w:trHeight w:val="270"/>
        </w:trPr>
        <w:tc>
          <w:tcPr>
            <w:tcW w:w="1536" w:type="pct"/>
            <w:shd w:val="clear" w:color="auto" w:fill="auto"/>
            <w:tcMar>
              <w:left w:w="115" w:type="dxa"/>
              <w:right w:w="115" w:type="dxa"/>
            </w:tcMar>
            <w:vAlign w:val="bottom"/>
          </w:tcPr>
          <w:p w:rsidR="00957123" w:rsidRPr="00EB7D1F" w:rsidP="00B441B5" w14:paraId="5E902054" w14:textId="77777777">
            <w:pPr>
              <w:widowControl/>
              <w:autoSpaceDE/>
              <w:autoSpaceDN/>
              <w:adjustRightInd/>
              <w:jc w:val="center"/>
              <w:rPr>
                <w:color w:val="000000"/>
              </w:rPr>
            </w:pPr>
            <w:r>
              <w:t>IC-1 CDL Driver Activities</w:t>
            </w:r>
          </w:p>
        </w:tc>
        <w:tc>
          <w:tcPr>
            <w:tcW w:w="741" w:type="pct"/>
            <w:shd w:val="clear" w:color="auto" w:fill="auto"/>
            <w:tcMar>
              <w:left w:w="115" w:type="dxa"/>
              <w:right w:w="115" w:type="dxa"/>
            </w:tcMar>
            <w:vAlign w:val="bottom"/>
          </w:tcPr>
          <w:p w:rsidR="00957123" w:rsidRPr="00AC64EF" w:rsidP="005312A0" w14:paraId="5A351C0B" w14:textId="1756965A">
            <w:pPr>
              <w:widowControl/>
              <w:autoSpaceDE/>
              <w:autoSpaceDN/>
              <w:adjustRightInd/>
              <w:jc w:val="center"/>
              <w:rPr>
                <w:color w:val="000000"/>
              </w:rPr>
            </w:pPr>
            <w:r w:rsidRPr="00AC64EF">
              <w:t>7,712,074</w:t>
            </w:r>
          </w:p>
        </w:tc>
        <w:tc>
          <w:tcPr>
            <w:tcW w:w="765" w:type="pct"/>
            <w:shd w:val="clear" w:color="auto" w:fill="auto"/>
            <w:tcMar>
              <w:left w:w="115" w:type="dxa"/>
              <w:right w:w="115" w:type="dxa"/>
            </w:tcMar>
            <w:vAlign w:val="bottom"/>
          </w:tcPr>
          <w:p w:rsidR="00AC64EF" w:rsidP="005312A0" w14:paraId="6D47E63B" w14:textId="53B0A240">
            <w:pPr>
              <w:widowControl/>
              <w:autoSpaceDE/>
              <w:autoSpaceDN/>
              <w:adjustRightInd/>
              <w:jc w:val="center"/>
            </w:pPr>
          </w:p>
          <w:p w:rsidR="00957123" w:rsidRPr="00AC64EF" w:rsidP="005312A0" w14:paraId="4281B08E" w14:textId="491CB490">
            <w:pPr>
              <w:widowControl/>
              <w:autoSpaceDE/>
              <w:autoSpaceDN/>
              <w:adjustRightInd/>
              <w:jc w:val="center"/>
              <w:rPr>
                <w:color w:val="000000"/>
              </w:rPr>
            </w:pPr>
            <w:r w:rsidRPr="00AC64EF">
              <w:t>7,925,642</w:t>
            </w:r>
          </w:p>
        </w:tc>
        <w:tc>
          <w:tcPr>
            <w:tcW w:w="711" w:type="pct"/>
            <w:shd w:val="clear" w:color="auto" w:fill="auto"/>
            <w:tcMar>
              <w:left w:w="115" w:type="dxa"/>
              <w:right w:w="115" w:type="dxa"/>
            </w:tcMar>
            <w:vAlign w:val="bottom"/>
          </w:tcPr>
          <w:p w:rsidR="00957123" w:rsidRPr="00AC64EF" w:rsidP="005312A0" w14:paraId="045F1A45" w14:textId="6FD2B0B7">
            <w:pPr>
              <w:widowControl/>
              <w:autoSpaceDE/>
              <w:autoSpaceDN/>
              <w:adjustRightInd/>
              <w:jc w:val="center"/>
              <w:rPr>
                <w:color w:val="000000"/>
              </w:rPr>
            </w:pPr>
            <w:r w:rsidRPr="00AC64EF">
              <w:t>2,067,271</w:t>
            </w:r>
          </w:p>
        </w:tc>
        <w:tc>
          <w:tcPr>
            <w:tcW w:w="1246" w:type="pct"/>
            <w:shd w:val="clear" w:color="auto" w:fill="auto"/>
            <w:tcMar>
              <w:left w:w="115" w:type="dxa"/>
              <w:right w:w="115" w:type="dxa"/>
            </w:tcMar>
            <w:vAlign w:val="bottom"/>
          </w:tcPr>
          <w:p w:rsidR="00957123" w:rsidRPr="00AC64EF" w:rsidP="5ECFBCA2" w14:paraId="4F7F8502" w14:textId="479B93EF">
            <w:pPr>
              <w:widowControl/>
              <w:spacing w:line="259" w:lineRule="auto"/>
              <w:jc w:val="center"/>
            </w:pPr>
            <w:r>
              <w:t>$</w:t>
            </w:r>
            <w:r w:rsidR="22F889EA">
              <w:t>68,601,525</w:t>
            </w:r>
          </w:p>
        </w:tc>
      </w:tr>
      <w:tr w14:paraId="613F9E44" w14:textId="77777777" w:rsidTr="5ECFBCA2">
        <w:tblPrEx>
          <w:tblW w:w="5000" w:type="pct"/>
          <w:tblLayout w:type="fixed"/>
          <w:tblCellMar>
            <w:left w:w="29" w:type="dxa"/>
            <w:right w:w="29" w:type="dxa"/>
          </w:tblCellMar>
          <w:tblLook w:val="04A0"/>
        </w:tblPrEx>
        <w:trPr>
          <w:trHeight w:val="270"/>
        </w:trPr>
        <w:tc>
          <w:tcPr>
            <w:tcW w:w="1536" w:type="pct"/>
            <w:shd w:val="clear" w:color="auto" w:fill="auto"/>
            <w:tcMar>
              <w:left w:w="115" w:type="dxa"/>
              <w:right w:w="115" w:type="dxa"/>
            </w:tcMar>
            <w:vAlign w:val="bottom"/>
          </w:tcPr>
          <w:p w:rsidR="00957123" w:rsidRPr="00EB7D1F" w:rsidP="00B441B5" w14:paraId="2FA9B2A8" w14:textId="77777777">
            <w:pPr>
              <w:widowControl/>
              <w:autoSpaceDE/>
              <w:autoSpaceDN/>
              <w:adjustRightInd/>
              <w:jc w:val="center"/>
              <w:rPr>
                <w:color w:val="000000"/>
              </w:rPr>
            </w:pPr>
            <w:r w:rsidRPr="002B6854">
              <w:t xml:space="preserve">IC-2 </w:t>
            </w:r>
            <w:r>
              <w:t>SDLA</w:t>
            </w:r>
            <w:r w:rsidRPr="002B6854">
              <w:t xml:space="preserve"> CDL Activities</w:t>
            </w:r>
          </w:p>
        </w:tc>
        <w:tc>
          <w:tcPr>
            <w:tcW w:w="741" w:type="pct"/>
            <w:shd w:val="clear" w:color="auto" w:fill="auto"/>
            <w:tcMar>
              <w:left w:w="115" w:type="dxa"/>
              <w:right w:w="115" w:type="dxa"/>
            </w:tcMar>
            <w:vAlign w:val="bottom"/>
          </w:tcPr>
          <w:p w:rsidR="00957123" w:rsidRPr="00AC64EF" w:rsidP="005312A0" w14:paraId="1C37A93B" w14:textId="739D894A">
            <w:pPr>
              <w:widowControl/>
              <w:autoSpaceDE/>
              <w:autoSpaceDN/>
              <w:adjustRightInd/>
              <w:jc w:val="center"/>
              <w:rPr>
                <w:color w:val="000000"/>
              </w:rPr>
            </w:pPr>
            <w:r>
              <w:rPr>
                <w:color w:val="000000" w:themeColor="text1"/>
              </w:rPr>
              <w:t>36,890</w:t>
            </w:r>
          </w:p>
        </w:tc>
        <w:tc>
          <w:tcPr>
            <w:tcW w:w="765" w:type="pct"/>
            <w:shd w:val="clear" w:color="auto" w:fill="auto"/>
            <w:tcMar>
              <w:left w:w="115" w:type="dxa"/>
              <w:right w:w="115" w:type="dxa"/>
            </w:tcMar>
            <w:vAlign w:val="bottom"/>
          </w:tcPr>
          <w:p w:rsidR="00AC64EF" w:rsidP="005312A0" w14:paraId="47D6F6B7" w14:textId="5FE90AB7">
            <w:pPr>
              <w:widowControl/>
              <w:autoSpaceDE/>
              <w:autoSpaceDN/>
              <w:adjustRightInd/>
              <w:jc w:val="center"/>
              <w:rPr>
                <w:color w:val="000000"/>
              </w:rPr>
            </w:pPr>
          </w:p>
          <w:p w:rsidR="00957123" w:rsidRPr="00AC64EF" w:rsidP="005312A0" w14:paraId="1E63F9E1" w14:textId="7DA8DAA8">
            <w:pPr>
              <w:widowControl/>
              <w:autoSpaceDE/>
              <w:autoSpaceDN/>
              <w:adjustRightInd/>
              <w:jc w:val="center"/>
              <w:rPr>
                <w:color w:val="000000"/>
              </w:rPr>
            </w:pPr>
            <w:r w:rsidRPr="00AC64EF">
              <w:rPr>
                <w:color w:val="000000" w:themeColor="text1"/>
              </w:rPr>
              <w:t>18,</w:t>
            </w:r>
            <w:r w:rsidR="00D7280E">
              <w:rPr>
                <w:color w:val="000000" w:themeColor="text1"/>
              </w:rPr>
              <w:t>274,608</w:t>
            </w:r>
          </w:p>
        </w:tc>
        <w:tc>
          <w:tcPr>
            <w:tcW w:w="711" w:type="pct"/>
            <w:shd w:val="clear" w:color="auto" w:fill="auto"/>
            <w:tcMar>
              <w:left w:w="115" w:type="dxa"/>
              <w:right w:w="115" w:type="dxa"/>
            </w:tcMar>
            <w:vAlign w:val="bottom"/>
          </w:tcPr>
          <w:p w:rsidR="00957123" w:rsidRPr="00AC64EF" w:rsidP="005312A0" w14:paraId="7C75DE1D" w14:textId="51D96C1F">
            <w:pPr>
              <w:widowControl/>
              <w:autoSpaceDE/>
              <w:autoSpaceDN/>
              <w:adjustRightInd/>
              <w:jc w:val="center"/>
              <w:rPr>
                <w:color w:val="000000"/>
              </w:rPr>
            </w:pPr>
            <w:r w:rsidRPr="00AC64EF">
              <w:rPr>
                <w:color w:val="000000" w:themeColor="text1"/>
              </w:rPr>
              <w:t>7</w:t>
            </w:r>
            <w:r w:rsidR="00D7280E">
              <w:rPr>
                <w:color w:val="000000" w:themeColor="text1"/>
              </w:rPr>
              <w:t>39,464</w:t>
            </w:r>
          </w:p>
        </w:tc>
        <w:tc>
          <w:tcPr>
            <w:tcW w:w="1246" w:type="pct"/>
            <w:shd w:val="clear" w:color="auto" w:fill="auto"/>
            <w:tcMar>
              <w:left w:w="115" w:type="dxa"/>
              <w:right w:w="115" w:type="dxa"/>
            </w:tcMar>
            <w:vAlign w:val="bottom"/>
          </w:tcPr>
          <w:p w:rsidR="00957123" w:rsidRPr="00AC64EF" w:rsidP="5ECFBCA2" w14:paraId="50D6F346" w14:textId="32D72AB5">
            <w:pPr>
              <w:widowControl/>
              <w:spacing w:line="259" w:lineRule="auto"/>
              <w:jc w:val="center"/>
            </w:pPr>
            <w:r w:rsidRPr="5ECFBCA2">
              <w:rPr>
                <w:color w:val="000000" w:themeColor="text1"/>
              </w:rPr>
              <w:t>$</w:t>
            </w:r>
            <w:r w:rsidRPr="5ECFBCA2" w:rsidR="15C9988F">
              <w:rPr>
                <w:color w:val="000000" w:themeColor="text1"/>
              </w:rPr>
              <w:t>23,093,294</w:t>
            </w:r>
          </w:p>
        </w:tc>
      </w:tr>
      <w:tr w14:paraId="117A8CFD" w14:textId="77777777" w:rsidTr="5ECFBCA2">
        <w:tblPrEx>
          <w:tblW w:w="5000" w:type="pct"/>
          <w:tblLayout w:type="fixed"/>
          <w:tblCellMar>
            <w:left w:w="29" w:type="dxa"/>
            <w:right w:w="29" w:type="dxa"/>
          </w:tblCellMar>
          <w:tblLook w:val="04A0"/>
        </w:tblPrEx>
        <w:trPr>
          <w:trHeight w:val="494"/>
        </w:trPr>
        <w:tc>
          <w:tcPr>
            <w:tcW w:w="1536" w:type="pct"/>
            <w:shd w:val="clear" w:color="auto" w:fill="auto"/>
            <w:tcMar>
              <w:left w:w="115" w:type="dxa"/>
              <w:right w:w="115" w:type="dxa"/>
            </w:tcMar>
            <w:vAlign w:val="bottom"/>
          </w:tcPr>
          <w:p w:rsidR="00957123" w:rsidRPr="00EB7D1F" w:rsidP="00B441B5" w14:paraId="60A78EBD" w14:textId="77777777">
            <w:pPr>
              <w:widowControl/>
              <w:autoSpaceDE/>
              <w:autoSpaceDN/>
              <w:adjustRightInd/>
              <w:jc w:val="center"/>
            </w:pPr>
            <w:r w:rsidRPr="00EB7D1F">
              <w:t>Total</w:t>
            </w:r>
          </w:p>
        </w:tc>
        <w:tc>
          <w:tcPr>
            <w:tcW w:w="741" w:type="pct"/>
            <w:shd w:val="clear" w:color="auto" w:fill="auto"/>
            <w:tcMar>
              <w:left w:w="115" w:type="dxa"/>
              <w:right w:w="115" w:type="dxa"/>
            </w:tcMar>
            <w:vAlign w:val="bottom"/>
          </w:tcPr>
          <w:p w:rsidR="00957123" w:rsidRPr="00AC64EF" w:rsidP="00105AAA" w14:paraId="171BC20D" w14:textId="04F9365B">
            <w:pPr>
              <w:widowControl/>
              <w:autoSpaceDE/>
              <w:autoSpaceDN/>
              <w:adjustRightInd/>
            </w:pPr>
            <w:r>
              <w:rPr>
                <w:color w:val="000000"/>
              </w:rPr>
              <w:t>7,748,964</w:t>
            </w:r>
          </w:p>
        </w:tc>
        <w:tc>
          <w:tcPr>
            <w:tcW w:w="765" w:type="pct"/>
            <w:shd w:val="clear" w:color="auto" w:fill="auto"/>
            <w:tcMar>
              <w:left w:w="115" w:type="dxa"/>
              <w:right w:w="115" w:type="dxa"/>
            </w:tcMar>
            <w:vAlign w:val="bottom"/>
          </w:tcPr>
          <w:p w:rsidR="00957123" w:rsidRPr="00AC64EF" w:rsidP="00105AAA" w14:paraId="1EF03AF3" w14:textId="0BF17295">
            <w:pPr>
              <w:widowControl/>
              <w:autoSpaceDE/>
              <w:autoSpaceDN/>
              <w:adjustRightInd/>
            </w:pPr>
            <w:r>
              <w:rPr>
                <w:color w:val="000000"/>
              </w:rPr>
              <w:t>26,200,250</w:t>
            </w:r>
          </w:p>
        </w:tc>
        <w:tc>
          <w:tcPr>
            <w:tcW w:w="711" w:type="pct"/>
            <w:shd w:val="clear" w:color="auto" w:fill="auto"/>
            <w:tcMar>
              <w:left w:w="115" w:type="dxa"/>
              <w:right w:w="115" w:type="dxa"/>
            </w:tcMar>
            <w:vAlign w:val="bottom"/>
          </w:tcPr>
          <w:p w:rsidR="00957123" w:rsidRPr="00105AAA" w:rsidP="00AC7377" w14:paraId="01124809" w14:textId="48C57041">
            <w:pPr>
              <w:widowControl/>
              <w:autoSpaceDE/>
              <w:autoSpaceDN/>
              <w:adjustRightInd/>
              <w:jc w:val="center"/>
              <w:rPr>
                <w:color w:val="000000"/>
              </w:rPr>
            </w:pPr>
            <w:r>
              <w:rPr>
                <w:color w:val="000000" w:themeColor="text1"/>
              </w:rPr>
              <w:t>2,806,735</w:t>
            </w:r>
          </w:p>
        </w:tc>
        <w:tc>
          <w:tcPr>
            <w:tcW w:w="1246" w:type="pct"/>
            <w:shd w:val="clear" w:color="auto" w:fill="auto"/>
            <w:tcMar>
              <w:left w:w="115" w:type="dxa"/>
              <w:right w:w="115" w:type="dxa"/>
            </w:tcMar>
            <w:vAlign w:val="bottom"/>
          </w:tcPr>
          <w:p w:rsidR="00957123" w:rsidRPr="00105AAA" w:rsidP="5ECFBCA2" w14:paraId="356226E2" w14:textId="2A53D14D">
            <w:pPr>
              <w:widowControl/>
              <w:spacing w:line="259" w:lineRule="auto"/>
              <w:jc w:val="center"/>
            </w:pPr>
            <w:r w:rsidRPr="5ECFBCA2">
              <w:rPr>
                <w:color w:val="000000" w:themeColor="text1"/>
              </w:rPr>
              <w:t>$</w:t>
            </w:r>
            <w:r w:rsidRPr="5ECFBCA2" w:rsidR="1ACD0879">
              <w:rPr>
                <w:color w:val="000000" w:themeColor="text1"/>
              </w:rPr>
              <w:t>91,694,819</w:t>
            </w:r>
          </w:p>
        </w:tc>
      </w:tr>
    </w:tbl>
    <w:p w:rsidR="00FA4698" w:rsidRPr="007E65CF" w:rsidP="00722B85" w14:paraId="66CFAAE3" w14:textId="4D33C0A7">
      <w:pPr>
        <w:widowControl/>
        <w:rPr>
          <w:sz w:val="18"/>
          <w:szCs w:val="18"/>
        </w:rPr>
      </w:pPr>
      <w:r>
        <w:rPr>
          <w:sz w:val="18"/>
          <w:szCs w:val="18"/>
        </w:rPr>
        <w:t>Totals are the product of unrounded components</w:t>
      </w:r>
      <w:r w:rsidRPr="007E65CF">
        <w:rPr>
          <w:sz w:val="18"/>
          <w:szCs w:val="18"/>
        </w:rPr>
        <w:t>.</w:t>
      </w:r>
    </w:p>
    <w:p w:rsidR="002B6854" w:rsidP="00722B85" w14:paraId="7CEA2A8B" w14:textId="77777777">
      <w:pPr>
        <w:widowControl/>
      </w:pPr>
    </w:p>
    <w:p w:rsidR="002B6854" w:rsidRPr="00EC5EAF" w:rsidP="00722B85" w14:paraId="3E6F0949" w14:textId="2E2CE7FB">
      <w:pPr>
        <w:widowControl/>
      </w:pPr>
      <w:r w:rsidRPr="00957123">
        <w:t>Estimated Annual Number of Respondents:</w:t>
      </w:r>
      <w:r w:rsidRPr="00EC5EAF">
        <w:t xml:space="preserve"> 7,</w:t>
      </w:r>
      <w:r w:rsidRPr="00EC5EAF" w:rsidR="37989285">
        <w:t>7</w:t>
      </w:r>
      <w:r w:rsidR="00AC7377">
        <w:t>48,964.</w:t>
      </w:r>
    </w:p>
    <w:p w:rsidR="002B6854" w:rsidRPr="00EC5EAF" w:rsidP="00722B85" w14:paraId="44C419D9" w14:textId="0BCC469A">
      <w:pPr>
        <w:widowControl/>
      </w:pPr>
      <w:r w:rsidRPr="00957123">
        <w:t>Estimated Annual Number of Responses:</w:t>
      </w:r>
      <w:r w:rsidRPr="00EC5EAF">
        <w:t xml:space="preserve"> 26,</w:t>
      </w:r>
      <w:r w:rsidRPr="00EC5EAF" w:rsidR="4EA7A50F">
        <w:t>2</w:t>
      </w:r>
      <w:r w:rsidR="00AC7377">
        <w:t>00,250.</w:t>
      </w:r>
    </w:p>
    <w:p w:rsidR="002B6854" w:rsidRPr="00EC5EAF" w:rsidP="00722B85" w14:paraId="32207BFD" w14:textId="36BD4130">
      <w:pPr>
        <w:widowControl/>
      </w:pPr>
      <w:r w:rsidRPr="00957123">
        <w:t>Estimated Total Annual Burden:</w:t>
      </w:r>
      <w:r w:rsidRPr="00EC5EAF">
        <w:t xml:space="preserve"> 2,</w:t>
      </w:r>
      <w:r w:rsidRPr="00EC5EAF" w:rsidR="676D8A05">
        <w:t>8</w:t>
      </w:r>
      <w:r w:rsidR="00AC7377">
        <w:t>06,735.</w:t>
      </w:r>
    </w:p>
    <w:p w:rsidR="002B6854" w:rsidRPr="00EC5EAF" w:rsidP="00722B85" w14:paraId="234170CE" w14:textId="6CA77F17">
      <w:pPr>
        <w:widowControl/>
      </w:pPr>
      <w:r>
        <w:t xml:space="preserve">Estimated Annual Burden Hour Cost: </w:t>
      </w:r>
      <w:r w:rsidR="0079688D">
        <w:t>$</w:t>
      </w:r>
      <w:r w:rsidR="5A3E24A5">
        <w:t>91,694,819</w:t>
      </w:r>
      <w:r w:rsidR="00AC7377">
        <w:t>.</w:t>
      </w:r>
    </w:p>
    <w:p w:rsidR="002B6854" w:rsidP="00722B85" w14:paraId="209144C9" w14:textId="77777777">
      <w:pPr>
        <w:widowControl/>
      </w:pPr>
    </w:p>
    <w:p w:rsidR="002D4BEF" w:rsidRPr="005C1D7D" w:rsidP="00722B85" w14:paraId="0008A479" w14:textId="77777777">
      <w:pPr>
        <w:widowControl/>
        <w:numPr>
          <w:ilvl w:val="0"/>
          <w:numId w:val="3"/>
        </w:numPr>
      </w:pPr>
      <w:r w:rsidRPr="005C1D7D">
        <w:rPr>
          <w:b/>
          <w:bCs/>
        </w:rPr>
        <w:t>ESTIMATE OF TOTAL ANNUAL COSTS TO RESPONDENTS</w:t>
      </w:r>
    </w:p>
    <w:p w:rsidR="0079688D" w:rsidP="00722B85" w14:paraId="669A5414" w14:textId="77777777">
      <w:pPr>
        <w:widowControl/>
      </w:pPr>
    </w:p>
    <w:p w:rsidR="00FE5895" w:rsidRPr="005612EB" w:rsidP="006B1E48" w14:paraId="755572D2" w14:textId="5C5D7FAE">
      <w:pPr>
        <w:pStyle w:val="NormalWeb"/>
        <w:autoSpaceDE w:val="0"/>
        <w:autoSpaceDN w:val="0"/>
        <w:adjustRightInd w:val="0"/>
        <w:spacing w:before="0" w:beforeAutospacing="0" w:after="0" w:afterAutospacing="0"/>
      </w:pPr>
      <w:r w:rsidRPr="000918F9">
        <w:rPr>
          <w:rFonts w:ascii="Times New Roman" w:hAnsi="Times New Roman"/>
        </w:rPr>
        <w:t xml:space="preserve">The </w:t>
      </w:r>
      <w:r>
        <w:rPr>
          <w:rFonts w:ascii="Times New Roman" w:hAnsi="Times New Roman"/>
        </w:rPr>
        <w:t>Agency b</w:t>
      </w:r>
      <w:r w:rsidRPr="000918F9">
        <w:rPr>
          <w:rFonts w:ascii="Times New Roman" w:hAnsi="Times New Roman"/>
        </w:rPr>
        <w:t xml:space="preserve">elieves that there </w:t>
      </w:r>
      <w:r>
        <w:rPr>
          <w:rFonts w:ascii="Times New Roman" w:hAnsi="Times New Roman"/>
        </w:rPr>
        <w:t>are</w:t>
      </w:r>
      <w:r w:rsidRPr="000918F9">
        <w:rPr>
          <w:rFonts w:ascii="Times New Roman" w:hAnsi="Times New Roman"/>
        </w:rPr>
        <w:t xml:space="preserve"> no additional costs to the CDL drivers </w:t>
      </w:r>
      <w:r>
        <w:rPr>
          <w:rFonts w:ascii="Times New Roman" w:hAnsi="Times New Roman"/>
        </w:rPr>
        <w:t xml:space="preserve">or to the SDLAs </w:t>
      </w:r>
      <w:r w:rsidRPr="000918F9">
        <w:rPr>
          <w:rFonts w:ascii="Times New Roman" w:hAnsi="Times New Roman"/>
        </w:rPr>
        <w:t>associated with this information collection</w:t>
      </w:r>
      <w:r>
        <w:rPr>
          <w:rFonts w:ascii="Times New Roman" w:hAnsi="Times New Roman"/>
        </w:rPr>
        <w:t>.</w:t>
      </w:r>
    </w:p>
    <w:p w:rsidR="00722B85" w:rsidRPr="005612EB" w:rsidP="00722B85" w14:paraId="1E485513" w14:textId="77777777">
      <w:pPr>
        <w:pStyle w:val="NormalWeb"/>
        <w:autoSpaceDE w:val="0"/>
        <w:autoSpaceDN w:val="0"/>
        <w:adjustRightInd w:val="0"/>
        <w:spacing w:before="0" w:beforeAutospacing="0" w:after="0" w:afterAutospacing="0"/>
        <w:rPr>
          <w:rFonts w:ascii="Times New Roman" w:eastAsia="Times New Roman" w:hAnsi="Times New Roman" w:cs="Times New Roman"/>
          <w:szCs w:val="20"/>
        </w:rPr>
      </w:pPr>
    </w:p>
    <w:p w:rsidR="005C1D7D" w:rsidRPr="005C1D7D" w:rsidP="00722B85" w14:paraId="6A22E171" w14:textId="77777777">
      <w:pPr>
        <w:widowControl/>
        <w:numPr>
          <w:ilvl w:val="0"/>
          <w:numId w:val="3"/>
        </w:numPr>
      </w:pPr>
      <w:bookmarkStart w:id="41" w:name="_Hlk508097046"/>
      <w:r w:rsidRPr="009E43F8">
        <w:rPr>
          <w:b/>
          <w:bCs/>
        </w:rPr>
        <w:t>ESTIMATE OF COST TO THE FEDERAL GOVERNMENT</w:t>
      </w:r>
      <w:bookmarkStart w:id="42" w:name="_Hlk508096984"/>
      <w:bookmarkEnd w:id="41"/>
    </w:p>
    <w:p w:rsidR="0079688D" w:rsidP="00722B85" w14:paraId="572F8F54" w14:textId="77777777">
      <w:pPr>
        <w:widowControl/>
      </w:pPr>
    </w:p>
    <w:p w:rsidR="006842AD" w:rsidP="00722B85" w14:paraId="569A7D34" w14:textId="0749359A">
      <w:pPr>
        <w:widowControl/>
      </w:pPr>
      <w:r>
        <w:t>FMCSA estimates the total annual cost to the Agency to run the State Compliance Records Enterprise (SCORE), the computer system and data base to monitor State compliance with the Federal CDL requirements, at $</w:t>
      </w:r>
      <w:r w:rsidR="002B5943">
        <w:t>45</w:t>
      </w:r>
      <w:r w:rsidR="00533652">
        <w:t>1,464</w:t>
      </w:r>
      <w:r>
        <w:t>.</w:t>
      </w:r>
      <w:r w:rsidR="0026759D">
        <w:t xml:space="preserve">  The annual cost is based on a current vendor contract</w:t>
      </w:r>
      <w:r w:rsidR="00A215C2">
        <w:t xml:space="preserve"> and includes the cost of the contracting officer</w:t>
      </w:r>
      <w:r w:rsidR="00F2155B">
        <w:t>’s representative (COR)</w:t>
      </w:r>
      <w:r w:rsidR="0026759D">
        <w:t>.</w:t>
      </w:r>
      <w:r w:rsidR="00F2155B">
        <w:t xml:space="preserve"> It is estimated the COR will spend an average of </w:t>
      </w:r>
      <w:r w:rsidR="009C35B5">
        <w:t>2</w:t>
      </w:r>
      <w:r w:rsidR="002B5943">
        <w:t xml:space="preserve"> </w:t>
      </w:r>
      <w:r w:rsidR="00F2155B">
        <w:t xml:space="preserve">percent of their time on this project throughout the year. </w:t>
      </w:r>
      <w:r w:rsidR="00696675">
        <w:t>Hourly</w:t>
      </w:r>
      <w:r w:rsidR="00F2155B">
        <w:t xml:space="preserve"> employee compensation for the COR is shown in Table </w:t>
      </w:r>
      <w:r w:rsidR="69CBCD95">
        <w:t>27</w:t>
      </w:r>
      <w:r w:rsidR="00F2155B">
        <w:t xml:space="preserve">. </w:t>
      </w:r>
    </w:p>
    <w:p w:rsidR="0044224D" w:rsidP="00722B85" w14:paraId="441CC4AD" w14:textId="1EB20AB9">
      <w:pPr>
        <w:widowControl/>
      </w:pPr>
    </w:p>
    <w:p w:rsidR="00CE7CCF" w:rsidRPr="00D64E77" w:rsidP="00CE7CCF" w14:paraId="403E76C5" w14:textId="1F623239">
      <w:pPr>
        <w:pStyle w:val="Caption"/>
        <w:keepNext/>
        <w:widowControl/>
      </w:pPr>
      <w:r w:rsidRPr="00D64E77">
        <w:t xml:space="preserve">Table </w:t>
      </w:r>
      <w:r w:rsidRPr="00D64E77" w:rsidR="51E95D02">
        <w:t>27</w:t>
      </w:r>
      <w:r w:rsidRPr="00D64E77">
        <w:t xml:space="preserve">. </w:t>
      </w:r>
      <w:r>
        <w:t>Estimate of hourly employee compensation (Federal Government).</w:t>
      </w:r>
      <w:r>
        <w:rPr>
          <w:rStyle w:val="FootnoteReference"/>
        </w:rPr>
        <w:footnoteReference w:id="1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291"/>
        <w:gridCol w:w="2573"/>
        <w:gridCol w:w="1440"/>
        <w:gridCol w:w="1171"/>
        <w:gridCol w:w="1530"/>
        <w:gridCol w:w="1345"/>
      </w:tblGrid>
      <w:tr w14:paraId="4804F4A0" w14:textId="77777777" w:rsidTr="35F4F6B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trPr>
        <w:tc>
          <w:tcPr>
            <w:tcW w:w="690" w:type="pct"/>
            <w:shd w:val="clear" w:color="auto" w:fill="E0E0E0"/>
            <w:tcMar>
              <w:left w:w="0" w:type="dxa"/>
              <w:right w:w="0" w:type="dxa"/>
            </w:tcMar>
            <w:vAlign w:val="bottom"/>
            <w:hideMark/>
          </w:tcPr>
          <w:p w:rsidR="002E543F" w:rsidRPr="00E8574A" w:rsidP="00B352A6" w14:paraId="375F2EB8" w14:textId="02AE57C6">
            <w:pPr>
              <w:widowControl/>
              <w:autoSpaceDE/>
              <w:autoSpaceDN/>
              <w:adjustRightInd/>
              <w:jc w:val="center"/>
              <w:rPr>
                <w:b/>
                <w:bCs/>
                <w:color w:val="000000"/>
              </w:rPr>
            </w:pPr>
            <w:r>
              <w:rPr>
                <w:b/>
                <w:bCs/>
                <w:color w:val="000000"/>
              </w:rPr>
              <w:t>Federal Wage Series</w:t>
            </w:r>
          </w:p>
        </w:tc>
        <w:tc>
          <w:tcPr>
            <w:tcW w:w="1376" w:type="pct"/>
            <w:shd w:val="clear" w:color="auto" w:fill="E0E0E0"/>
            <w:tcMar>
              <w:left w:w="0" w:type="dxa"/>
              <w:right w:w="0" w:type="dxa"/>
            </w:tcMar>
            <w:vAlign w:val="bottom"/>
            <w:hideMark/>
          </w:tcPr>
          <w:p w:rsidR="002E543F" w:rsidRPr="00E8574A" w:rsidP="00B352A6" w14:paraId="599029CD" w14:textId="4477DE88">
            <w:pPr>
              <w:widowControl/>
              <w:autoSpaceDE/>
              <w:autoSpaceDN/>
              <w:adjustRightInd/>
              <w:jc w:val="center"/>
              <w:rPr>
                <w:b/>
                <w:bCs/>
                <w:color w:val="000000"/>
              </w:rPr>
            </w:pPr>
            <w:r>
              <w:rPr>
                <w:b/>
                <w:bCs/>
                <w:color w:val="000000"/>
              </w:rPr>
              <w:t>Occupation</w:t>
            </w:r>
          </w:p>
        </w:tc>
        <w:tc>
          <w:tcPr>
            <w:tcW w:w="770" w:type="pct"/>
            <w:shd w:val="clear" w:color="auto" w:fill="E0E0E0"/>
            <w:tcMar>
              <w:left w:w="0" w:type="dxa"/>
              <w:right w:w="0" w:type="dxa"/>
            </w:tcMar>
            <w:vAlign w:val="bottom"/>
            <w:hideMark/>
          </w:tcPr>
          <w:p w:rsidR="002E543F" w:rsidRPr="00E8574A" w:rsidP="00B352A6" w14:paraId="0AA078F7" w14:textId="1FEEF9FA">
            <w:pPr>
              <w:widowControl/>
              <w:autoSpaceDE/>
              <w:autoSpaceDN/>
              <w:adjustRightInd/>
              <w:jc w:val="center"/>
              <w:rPr>
                <w:b/>
                <w:bCs/>
                <w:color w:val="000000"/>
              </w:rPr>
            </w:pPr>
            <w:r>
              <w:rPr>
                <w:b/>
                <w:bCs/>
                <w:color w:val="000000"/>
              </w:rPr>
              <w:t>General Schedule Designation</w:t>
            </w:r>
          </w:p>
        </w:tc>
        <w:tc>
          <w:tcPr>
            <w:tcW w:w="626" w:type="pct"/>
            <w:shd w:val="clear" w:color="auto" w:fill="E0E0E0"/>
            <w:tcMar>
              <w:left w:w="0" w:type="dxa"/>
              <w:right w:w="0" w:type="dxa"/>
            </w:tcMar>
            <w:vAlign w:val="bottom"/>
            <w:hideMark/>
          </w:tcPr>
          <w:p w:rsidR="002E543F" w:rsidRPr="00E8574A" w:rsidP="00B352A6" w14:paraId="494D46E4" w14:textId="7E83AEBD">
            <w:pPr>
              <w:widowControl/>
              <w:autoSpaceDE/>
              <w:autoSpaceDN/>
              <w:adjustRightInd/>
              <w:jc w:val="center"/>
              <w:rPr>
                <w:b/>
                <w:bCs/>
                <w:color w:val="000000"/>
              </w:rPr>
            </w:pPr>
            <w:r>
              <w:rPr>
                <w:b/>
                <w:bCs/>
                <w:color w:val="000000"/>
              </w:rPr>
              <w:t>Hourly Wage</w:t>
            </w:r>
          </w:p>
        </w:tc>
        <w:tc>
          <w:tcPr>
            <w:tcW w:w="818" w:type="pct"/>
            <w:shd w:val="clear" w:color="auto" w:fill="E0E0E0"/>
            <w:vAlign w:val="bottom"/>
          </w:tcPr>
          <w:p w:rsidR="002E543F" w:rsidRPr="00E8574A" w:rsidP="002B5943" w14:paraId="57C36F88" w14:textId="72AF39D8">
            <w:pPr>
              <w:widowControl/>
              <w:autoSpaceDE/>
              <w:autoSpaceDN/>
              <w:adjustRightInd/>
              <w:jc w:val="center"/>
              <w:rPr>
                <w:b/>
              </w:rPr>
            </w:pPr>
            <w:r>
              <w:rPr>
                <w:b/>
              </w:rPr>
              <w:t>Locality Benefit</w:t>
            </w:r>
          </w:p>
        </w:tc>
        <w:tc>
          <w:tcPr>
            <w:tcW w:w="719" w:type="pct"/>
            <w:shd w:val="clear" w:color="auto" w:fill="E0E0E0"/>
            <w:tcMar>
              <w:left w:w="0" w:type="dxa"/>
              <w:right w:w="0" w:type="dxa"/>
            </w:tcMar>
            <w:vAlign w:val="bottom"/>
          </w:tcPr>
          <w:p w:rsidR="002E543F" w:rsidRPr="00E8574A" w:rsidP="00B352A6" w14:paraId="34A56448" w14:textId="343F56E5">
            <w:pPr>
              <w:widowControl/>
              <w:autoSpaceDE/>
              <w:autoSpaceDN/>
              <w:adjustRightInd/>
              <w:jc w:val="center"/>
              <w:rPr>
                <w:b/>
                <w:bCs/>
                <w:color w:val="000000"/>
              </w:rPr>
            </w:pPr>
            <w:r>
              <w:rPr>
                <w:b/>
              </w:rPr>
              <w:t>Hourly</w:t>
            </w:r>
            <w:r w:rsidRPr="00E8574A">
              <w:rPr>
                <w:b/>
              </w:rPr>
              <w:t xml:space="preserve"> Cost</w:t>
            </w:r>
          </w:p>
        </w:tc>
      </w:tr>
      <w:tr w14:paraId="45DAB77B" w14:textId="77777777" w:rsidTr="00B441B5">
        <w:tblPrEx>
          <w:tblW w:w="5000" w:type="pct"/>
          <w:tblLayout w:type="fixed"/>
          <w:tblCellMar>
            <w:left w:w="29" w:type="dxa"/>
            <w:right w:w="29" w:type="dxa"/>
          </w:tblCellMar>
          <w:tblLook w:val="04A0"/>
        </w:tblPrEx>
        <w:trPr>
          <w:trHeight w:val="270"/>
        </w:trPr>
        <w:tc>
          <w:tcPr>
            <w:tcW w:w="690" w:type="pct"/>
            <w:shd w:val="clear" w:color="auto" w:fill="auto"/>
            <w:tcMar>
              <w:left w:w="115" w:type="dxa"/>
              <w:right w:w="115" w:type="dxa"/>
            </w:tcMar>
            <w:vAlign w:val="bottom"/>
          </w:tcPr>
          <w:p w:rsidR="002E543F" w:rsidRPr="00EB7D1F" w:rsidP="00B441B5" w14:paraId="01296922" w14:textId="4A5F717A">
            <w:pPr>
              <w:widowControl/>
              <w:autoSpaceDE/>
              <w:autoSpaceDN/>
              <w:adjustRightInd/>
              <w:jc w:val="center"/>
              <w:rPr>
                <w:color w:val="000000"/>
              </w:rPr>
            </w:pPr>
            <w:r>
              <w:t>2101</w:t>
            </w:r>
          </w:p>
        </w:tc>
        <w:tc>
          <w:tcPr>
            <w:tcW w:w="1376" w:type="pct"/>
            <w:shd w:val="clear" w:color="auto" w:fill="auto"/>
            <w:tcMar>
              <w:left w:w="115" w:type="dxa"/>
              <w:right w:w="115" w:type="dxa"/>
            </w:tcMar>
            <w:vAlign w:val="bottom"/>
          </w:tcPr>
          <w:p w:rsidR="002E543F" w:rsidRPr="002B6854" w:rsidP="00B352A6" w14:paraId="2CB2EA03" w14:textId="478351E7">
            <w:pPr>
              <w:widowControl/>
              <w:autoSpaceDE/>
              <w:autoSpaceDN/>
              <w:adjustRightInd/>
              <w:jc w:val="center"/>
              <w:rPr>
                <w:color w:val="000000"/>
              </w:rPr>
            </w:pPr>
            <w:r>
              <w:rPr>
                <w:color w:val="000000"/>
              </w:rPr>
              <w:t>Transportation Specialist</w:t>
            </w:r>
          </w:p>
        </w:tc>
        <w:tc>
          <w:tcPr>
            <w:tcW w:w="770" w:type="pct"/>
            <w:shd w:val="clear" w:color="auto" w:fill="auto"/>
            <w:tcMar>
              <w:left w:w="115" w:type="dxa"/>
              <w:right w:w="115" w:type="dxa"/>
            </w:tcMar>
            <w:vAlign w:val="bottom"/>
          </w:tcPr>
          <w:p w:rsidR="002E543F" w:rsidRPr="002B6854" w:rsidP="00B352A6" w14:paraId="66C83275" w14:textId="4E475BE9">
            <w:pPr>
              <w:widowControl/>
              <w:autoSpaceDE/>
              <w:autoSpaceDN/>
              <w:adjustRightInd/>
              <w:jc w:val="center"/>
              <w:rPr>
                <w:color w:val="000000"/>
              </w:rPr>
            </w:pPr>
            <w:r>
              <w:t>13 Step 5</w:t>
            </w:r>
          </w:p>
        </w:tc>
        <w:tc>
          <w:tcPr>
            <w:tcW w:w="626" w:type="pct"/>
            <w:shd w:val="clear" w:color="auto" w:fill="auto"/>
            <w:tcMar>
              <w:left w:w="115" w:type="dxa"/>
              <w:right w:w="115" w:type="dxa"/>
            </w:tcMar>
            <w:vAlign w:val="bottom"/>
          </w:tcPr>
          <w:p w:rsidR="002E543F" w:rsidRPr="002B6854" w:rsidP="00B352A6" w14:paraId="29448EC8" w14:textId="41BDF4F2">
            <w:pPr>
              <w:widowControl/>
              <w:autoSpaceDE/>
              <w:autoSpaceDN/>
              <w:adjustRightInd/>
              <w:jc w:val="center"/>
              <w:rPr>
                <w:color w:val="000000"/>
              </w:rPr>
            </w:pPr>
            <w:r w:rsidRPr="35F4F6B6">
              <w:rPr>
                <w:color w:val="000000" w:themeColor="text1"/>
              </w:rPr>
              <w:t>$</w:t>
            </w:r>
            <w:r w:rsidRPr="35F4F6B6" w:rsidR="21C85189">
              <w:rPr>
                <w:color w:val="000000" w:themeColor="text1"/>
              </w:rPr>
              <w:t>45.91</w:t>
            </w:r>
          </w:p>
        </w:tc>
        <w:tc>
          <w:tcPr>
            <w:tcW w:w="818" w:type="pct"/>
            <w:vAlign w:val="bottom"/>
          </w:tcPr>
          <w:p w:rsidR="002E543F" w:rsidP="00B352A6" w14:paraId="6A57F5A3" w14:textId="2F6AD1CA">
            <w:pPr>
              <w:widowControl/>
              <w:autoSpaceDE/>
              <w:autoSpaceDN/>
              <w:adjustRightInd/>
              <w:jc w:val="center"/>
            </w:pPr>
            <w:r>
              <w:t>32.49%</w:t>
            </w:r>
          </w:p>
        </w:tc>
        <w:tc>
          <w:tcPr>
            <w:tcW w:w="719" w:type="pct"/>
            <w:shd w:val="clear" w:color="auto" w:fill="auto"/>
            <w:tcMar>
              <w:left w:w="115" w:type="dxa"/>
              <w:right w:w="115" w:type="dxa"/>
            </w:tcMar>
            <w:vAlign w:val="bottom"/>
          </w:tcPr>
          <w:p w:rsidR="002E543F" w:rsidRPr="002B6854" w:rsidP="00B352A6" w14:paraId="46264966" w14:textId="2FFEFF1C">
            <w:pPr>
              <w:widowControl/>
              <w:autoSpaceDE/>
              <w:autoSpaceDN/>
              <w:adjustRightInd/>
              <w:jc w:val="center"/>
              <w:rPr>
                <w:color w:val="000000"/>
              </w:rPr>
            </w:pPr>
            <w:r w:rsidRPr="35F4F6B6">
              <w:rPr>
                <w:color w:val="000000" w:themeColor="text1"/>
              </w:rPr>
              <w:t>$</w:t>
            </w:r>
            <w:r w:rsidRPr="35F4F6B6" w:rsidR="4EBED996">
              <w:rPr>
                <w:color w:val="000000" w:themeColor="text1"/>
              </w:rPr>
              <w:t>60.83</w:t>
            </w:r>
          </w:p>
        </w:tc>
      </w:tr>
    </w:tbl>
    <w:p w:rsidR="0044224D" w:rsidP="00722B85" w14:paraId="4F85F3BC" w14:textId="77777777">
      <w:pPr>
        <w:widowControl/>
      </w:pPr>
    </w:p>
    <w:p w:rsidR="002B5943" w:rsidP="00722B85" w14:paraId="1210A1E5" w14:textId="3A9A26D8">
      <w:pPr>
        <w:widowControl/>
      </w:pPr>
      <w:r>
        <w:t xml:space="preserve">The COR will spend approximately </w:t>
      </w:r>
      <w:r w:rsidR="009C35B5">
        <w:t>3.2</w:t>
      </w:r>
      <w:r>
        <w:t xml:space="preserve"> hours a month on this project, which is equivalent to </w:t>
      </w:r>
      <w:r w:rsidR="009C35B5">
        <w:t>38</w:t>
      </w:r>
      <w:r w:rsidR="00696675">
        <w:t xml:space="preserve"> hours over a year, </w:t>
      </w:r>
      <w:r w:rsidR="00FB00AF">
        <w:t xml:space="preserve">or </w:t>
      </w:r>
      <w:r w:rsidR="009C35B5">
        <w:t>26</w:t>
      </w:r>
      <w:r w:rsidR="00FB00AF">
        <w:t xml:space="preserve"> annualized hours. This leads to an estimated annualized cost of </w:t>
      </w:r>
      <w:r w:rsidR="00956320">
        <w:t>$</w:t>
      </w:r>
      <w:r>
        <w:t>1,</w:t>
      </w:r>
      <w:r w:rsidR="1A20B3ED">
        <w:t xml:space="preserve">582 </w:t>
      </w:r>
      <w:r w:rsidR="00FB00AF">
        <w:t>(</w:t>
      </w:r>
      <w:r w:rsidR="00533652">
        <w:t>26</w:t>
      </w:r>
      <w:r w:rsidR="00FB00AF">
        <w:t xml:space="preserve"> annualized hours x </w:t>
      </w:r>
      <w:r w:rsidR="00956320">
        <w:t>$</w:t>
      </w:r>
      <w:r w:rsidR="2936F38F">
        <w:t>60.83</w:t>
      </w:r>
      <w:r w:rsidR="0035106F">
        <w:t xml:space="preserve"> = </w:t>
      </w:r>
      <w:r w:rsidR="00956320">
        <w:t>$</w:t>
      </w:r>
      <w:r>
        <w:t>1,</w:t>
      </w:r>
      <w:r w:rsidR="61A23E2B">
        <w:t>582</w:t>
      </w:r>
      <w:r w:rsidR="0035106F">
        <w:t>)</w:t>
      </w:r>
      <w:r w:rsidR="00533652">
        <w:t>.</w:t>
      </w:r>
    </w:p>
    <w:p w:rsidR="00956320" w:rsidP="00722B85" w14:paraId="1C9B0216" w14:textId="7D11F643">
      <w:pPr>
        <w:widowControl/>
      </w:pPr>
    </w:p>
    <w:p w:rsidR="00956320" w:rsidP="00722B85" w14:paraId="69BB259F" w14:textId="35216BD7">
      <w:pPr>
        <w:widowControl/>
      </w:pPr>
    </w:p>
    <w:p w:rsidR="00956320" w:rsidRPr="00D64E77" w:rsidP="00956320" w14:paraId="4F3CB8E0" w14:textId="353D1ABD">
      <w:pPr>
        <w:pStyle w:val="Caption"/>
        <w:keepNext/>
        <w:widowControl/>
      </w:pPr>
      <w:r>
        <w:t xml:space="preserve">Table </w:t>
      </w:r>
      <w:r w:rsidR="313B5CE9">
        <w:t>28</w:t>
      </w:r>
      <w:r>
        <w:t>. Estimated annualized and total cost of Federal Labor.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291"/>
        <w:gridCol w:w="2573"/>
        <w:gridCol w:w="1440"/>
        <w:gridCol w:w="1171"/>
        <w:gridCol w:w="1530"/>
        <w:gridCol w:w="1345"/>
      </w:tblGrid>
      <w:tr w14:paraId="4915A381" w14:textId="77777777" w:rsidTr="35F4F6B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trPr>
        <w:tc>
          <w:tcPr>
            <w:tcW w:w="690" w:type="pct"/>
            <w:shd w:val="clear" w:color="auto" w:fill="E0E0E0"/>
            <w:tcMar>
              <w:left w:w="0" w:type="dxa"/>
              <w:right w:w="0" w:type="dxa"/>
            </w:tcMar>
            <w:vAlign w:val="bottom"/>
            <w:hideMark/>
          </w:tcPr>
          <w:p w:rsidR="00956320" w:rsidRPr="00E8574A" w:rsidP="00B352A6" w14:paraId="678D46A9" w14:textId="77777777">
            <w:pPr>
              <w:widowControl/>
              <w:autoSpaceDE/>
              <w:autoSpaceDN/>
              <w:adjustRightInd/>
              <w:jc w:val="center"/>
              <w:rPr>
                <w:b/>
                <w:bCs/>
                <w:color w:val="000000"/>
              </w:rPr>
            </w:pPr>
            <w:r>
              <w:rPr>
                <w:b/>
                <w:bCs/>
                <w:color w:val="000000"/>
              </w:rPr>
              <w:t>Federal Wage Series</w:t>
            </w:r>
          </w:p>
        </w:tc>
        <w:tc>
          <w:tcPr>
            <w:tcW w:w="1376" w:type="pct"/>
            <w:shd w:val="clear" w:color="auto" w:fill="E0E0E0"/>
            <w:tcMar>
              <w:left w:w="0" w:type="dxa"/>
              <w:right w:w="0" w:type="dxa"/>
            </w:tcMar>
            <w:vAlign w:val="bottom"/>
            <w:hideMark/>
          </w:tcPr>
          <w:p w:rsidR="00956320" w:rsidRPr="00E8574A" w:rsidP="00B352A6" w14:paraId="31DCA0B4" w14:textId="77777777">
            <w:pPr>
              <w:widowControl/>
              <w:autoSpaceDE/>
              <w:autoSpaceDN/>
              <w:adjustRightInd/>
              <w:jc w:val="center"/>
              <w:rPr>
                <w:b/>
                <w:bCs/>
                <w:color w:val="000000"/>
              </w:rPr>
            </w:pPr>
            <w:r>
              <w:rPr>
                <w:b/>
                <w:bCs/>
                <w:color w:val="000000"/>
              </w:rPr>
              <w:t>Occupation</w:t>
            </w:r>
          </w:p>
        </w:tc>
        <w:tc>
          <w:tcPr>
            <w:tcW w:w="770" w:type="pct"/>
            <w:shd w:val="clear" w:color="auto" w:fill="E0E0E0"/>
            <w:tcMar>
              <w:left w:w="0" w:type="dxa"/>
              <w:right w:w="0" w:type="dxa"/>
            </w:tcMar>
            <w:vAlign w:val="bottom"/>
            <w:hideMark/>
          </w:tcPr>
          <w:p w:rsidR="00956320" w:rsidRPr="00E8574A" w:rsidP="00B352A6" w14:paraId="780DF506" w14:textId="77777777">
            <w:pPr>
              <w:widowControl/>
              <w:autoSpaceDE/>
              <w:autoSpaceDN/>
              <w:adjustRightInd/>
              <w:jc w:val="center"/>
              <w:rPr>
                <w:b/>
                <w:bCs/>
                <w:color w:val="000000"/>
              </w:rPr>
            </w:pPr>
            <w:r>
              <w:rPr>
                <w:b/>
                <w:bCs/>
                <w:color w:val="000000"/>
              </w:rPr>
              <w:t>General Schedule Designation</w:t>
            </w:r>
          </w:p>
        </w:tc>
        <w:tc>
          <w:tcPr>
            <w:tcW w:w="626" w:type="pct"/>
            <w:shd w:val="clear" w:color="auto" w:fill="E0E0E0"/>
            <w:tcMar>
              <w:left w:w="0" w:type="dxa"/>
              <w:right w:w="0" w:type="dxa"/>
            </w:tcMar>
            <w:vAlign w:val="bottom"/>
            <w:hideMark/>
          </w:tcPr>
          <w:p w:rsidR="00956320" w:rsidRPr="00E8574A" w:rsidP="00B352A6" w14:paraId="4A7DED00" w14:textId="479F6060">
            <w:pPr>
              <w:widowControl/>
              <w:autoSpaceDE/>
              <w:autoSpaceDN/>
              <w:adjustRightInd/>
              <w:jc w:val="center"/>
              <w:rPr>
                <w:b/>
                <w:bCs/>
                <w:color w:val="000000"/>
              </w:rPr>
            </w:pPr>
            <w:r>
              <w:rPr>
                <w:b/>
                <w:bCs/>
                <w:color w:val="000000"/>
              </w:rPr>
              <w:t>Yearly Hours Worked</w:t>
            </w:r>
          </w:p>
        </w:tc>
        <w:tc>
          <w:tcPr>
            <w:tcW w:w="818" w:type="pct"/>
            <w:shd w:val="clear" w:color="auto" w:fill="E0E0E0"/>
            <w:vAlign w:val="bottom"/>
          </w:tcPr>
          <w:p w:rsidR="00956320" w:rsidRPr="00E8574A" w:rsidP="00B352A6" w14:paraId="5BFA02B9" w14:textId="1C42C061">
            <w:pPr>
              <w:widowControl/>
              <w:autoSpaceDE/>
              <w:autoSpaceDN/>
              <w:adjustRightInd/>
              <w:jc w:val="center"/>
              <w:rPr>
                <w:b/>
              </w:rPr>
            </w:pPr>
            <w:r w:rsidRPr="35F4F6B6">
              <w:rPr>
                <w:b/>
                <w:bCs/>
              </w:rPr>
              <w:t>Hourly Cost</w:t>
            </w:r>
          </w:p>
        </w:tc>
        <w:tc>
          <w:tcPr>
            <w:tcW w:w="719" w:type="pct"/>
            <w:shd w:val="clear" w:color="auto" w:fill="E0E0E0"/>
            <w:tcMar>
              <w:left w:w="0" w:type="dxa"/>
              <w:right w:w="0" w:type="dxa"/>
            </w:tcMar>
            <w:vAlign w:val="bottom"/>
          </w:tcPr>
          <w:p w:rsidR="00956320" w:rsidRPr="00E8574A" w:rsidP="00B352A6" w14:paraId="2147585D" w14:textId="1CA40A60">
            <w:pPr>
              <w:widowControl/>
              <w:autoSpaceDE/>
              <w:autoSpaceDN/>
              <w:adjustRightInd/>
              <w:jc w:val="center"/>
              <w:rPr>
                <w:b/>
                <w:bCs/>
                <w:color w:val="000000"/>
              </w:rPr>
            </w:pPr>
            <w:r>
              <w:rPr>
                <w:b/>
              </w:rPr>
              <w:t>Total Cost to Government</w:t>
            </w:r>
          </w:p>
        </w:tc>
      </w:tr>
      <w:tr w14:paraId="20DBE472" w14:textId="77777777" w:rsidTr="00B441B5">
        <w:tblPrEx>
          <w:tblW w:w="5000" w:type="pct"/>
          <w:tblLayout w:type="fixed"/>
          <w:tblCellMar>
            <w:left w:w="29" w:type="dxa"/>
            <w:right w:w="29" w:type="dxa"/>
          </w:tblCellMar>
          <w:tblLook w:val="04A0"/>
        </w:tblPrEx>
        <w:trPr>
          <w:trHeight w:val="270"/>
        </w:trPr>
        <w:tc>
          <w:tcPr>
            <w:tcW w:w="690" w:type="pct"/>
            <w:shd w:val="clear" w:color="auto" w:fill="auto"/>
            <w:tcMar>
              <w:left w:w="115" w:type="dxa"/>
              <w:right w:w="115" w:type="dxa"/>
            </w:tcMar>
            <w:vAlign w:val="bottom"/>
          </w:tcPr>
          <w:p w:rsidR="00956320" w:rsidRPr="00EB7D1F" w:rsidP="00B441B5" w14:paraId="5E2E5CC9" w14:textId="77777777">
            <w:pPr>
              <w:widowControl/>
              <w:autoSpaceDE/>
              <w:autoSpaceDN/>
              <w:adjustRightInd/>
              <w:jc w:val="center"/>
              <w:rPr>
                <w:color w:val="000000"/>
              </w:rPr>
            </w:pPr>
            <w:r>
              <w:t>2101</w:t>
            </w:r>
          </w:p>
        </w:tc>
        <w:tc>
          <w:tcPr>
            <w:tcW w:w="1376" w:type="pct"/>
            <w:shd w:val="clear" w:color="auto" w:fill="auto"/>
            <w:tcMar>
              <w:left w:w="115" w:type="dxa"/>
              <w:right w:w="115" w:type="dxa"/>
            </w:tcMar>
            <w:vAlign w:val="bottom"/>
          </w:tcPr>
          <w:p w:rsidR="00956320" w:rsidRPr="002B6854" w:rsidP="00B352A6" w14:paraId="33AA6B74" w14:textId="77777777">
            <w:pPr>
              <w:widowControl/>
              <w:autoSpaceDE/>
              <w:autoSpaceDN/>
              <w:adjustRightInd/>
              <w:jc w:val="center"/>
              <w:rPr>
                <w:color w:val="000000"/>
              </w:rPr>
            </w:pPr>
            <w:r>
              <w:rPr>
                <w:color w:val="000000"/>
              </w:rPr>
              <w:t>Transportation Specialist</w:t>
            </w:r>
          </w:p>
        </w:tc>
        <w:tc>
          <w:tcPr>
            <w:tcW w:w="770" w:type="pct"/>
            <w:shd w:val="clear" w:color="auto" w:fill="auto"/>
            <w:tcMar>
              <w:left w:w="115" w:type="dxa"/>
              <w:right w:w="115" w:type="dxa"/>
            </w:tcMar>
            <w:vAlign w:val="bottom"/>
          </w:tcPr>
          <w:p w:rsidR="00956320" w:rsidRPr="002B6854" w:rsidP="00B352A6" w14:paraId="2BE91237" w14:textId="77777777">
            <w:pPr>
              <w:widowControl/>
              <w:autoSpaceDE/>
              <w:autoSpaceDN/>
              <w:adjustRightInd/>
              <w:jc w:val="center"/>
              <w:rPr>
                <w:color w:val="000000"/>
              </w:rPr>
            </w:pPr>
            <w:r>
              <w:t>13 Step 5</w:t>
            </w:r>
          </w:p>
        </w:tc>
        <w:tc>
          <w:tcPr>
            <w:tcW w:w="626" w:type="pct"/>
            <w:shd w:val="clear" w:color="auto" w:fill="auto"/>
            <w:tcMar>
              <w:left w:w="115" w:type="dxa"/>
              <w:right w:w="115" w:type="dxa"/>
            </w:tcMar>
            <w:vAlign w:val="bottom"/>
          </w:tcPr>
          <w:p w:rsidR="00956320" w:rsidRPr="002B6854" w:rsidP="00B352A6" w14:paraId="276C8FFD" w14:textId="2CFDC162">
            <w:pPr>
              <w:widowControl/>
              <w:autoSpaceDE/>
              <w:autoSpaceDN/>
              <w:adjustRightInd/>
              <w:jc w:val="center"/>
              <w:rPr>
                <w:color w:val="000000"/>
              </w:rPr>
            </w:pPr>
            <w:r>
              <w:rPr>
                <w:color w:val="000000"/>
              </w:rPr>
              <w:t>26</w:t>
            </w:r>
          </w:p>
        </w:tc>
        <w:tc>
          <w:tcPr>
            <w:tcW w:w="818" w:type="pct"/>
            <w:vAlign w:val="bottom"/>
          </w:tcPr>
          <w:p w:rsidR="00956320" w:rsidP="00B352A6" w14:paraId="0ADCA5BE" w14:textId="37F84053">
            <w:pPr>
              <w:widowControl/>
              <w:autoSpaceDE/>
              <w:autoSpaceDN/>
              <w:adjustRightInd/>
              <w:jc w:val="center"/>
            </w:pPr>
            <w:r w:rsidRPr="35F4F6B6">
              <w:t>60.83</w:t>
            </w:r>
          </w:p>
        </w:tc>
        <w:tc>
          <w:tcPr>
            <w:tcW w:w="719" w:type="pct"/>
            <w:shd w:val="clear" w:color="auto" w:fill="auto"/>
            <w:tcMar>
              <w:left w:w="115" w:type="dxa"/>
              <w:right w:w="115" w:type="dxa"/>
            </w:tcMar>
            <w:vAlign w:val="bottom"/>
          </w:tcPr>
          <w:p w:rsidR="00956320" w:rsidRPr="002B6854" w:rsidP="00B352A6" w14:paraId="4DCF32C7" w14:textId="77EA3124">
            <w:pPr>
              <w:widowControl/>
              <w:autoSpaceDE/>
              <w:autoSpaceDN/>
              <w:adjustRightInd/>
              <w:jc w:val="center"/>
              <w:rPr>
                <w:color w:val="000000"/>
              </w:rPr>
            </w:pPr>
            <w:r w:rsidRPr="35F4F6B6">
              <w:rPr>
                <w:color w:val="000000" w:themeColor="text1"/>
              </w:rPr>
              <w:t>$1,582</w:t>
            </w:r>
          </w:p>
        </w:tc>
      </w:tr>
    </w:tbl>
    <w:p w:rsidR="35F4F6B6" w:rsidP="35F4F6B6" w14:paraId="366F79E2" w14:textId="3005DE4B">
      <w:pPr>
        <w:widowControl/>
      </w:pPr>
      <w:r>
        <w:t xml:space="preserve"> </w:t>
      </w:r>
    </w:p>
    <w:p w:rsidR="00956320" w:rsidP="00956320" w14:paraId="225485DA" w14:textId="74BDA0E7">
      <w:pPr>
        <w:widowControl/>
      </w:pPr>
      <w:r>
        <w:t xml:space="preserve">The </w:t>
      </w:r>
      <w:r w:rsidR="00A035E1">
        <w:t>FMCSA estimates the total annual cost to the Agency to run the FCWD, a subsystem of CDLIS that is used to perform recordkeeping actions for certain activities</w:t>
      </w:r>
      <w:r w:rsidR="00F2155B">
        <w:t xml:space="preserve"> </w:t>
      </w:r>
      <w:r w:rsidR="009C35B5">
        <w:t>mentioned</w:t>
      </w:r>
      <w:r w:rsidR="00F2155B">
        <w:t xml:space="preserve"> in IC</w:t>
      </w:r>
      <w:r>
        <w:t>-</w:t>
      </w:r>
      <w:r w:rsidR="00F2155B">
        <w:t>2.6</w:t>
      </w:r>
      <w:r w:rsidR="00A035E1">
        <w:t xml:space="preserve">, at </w:t>
      </w:r>
      <w:r w:rsidR="00696675">
        <w:t>$3,12</w:t>
      </w:r>
      <w:r>
        <w:t>4,448</w:t>
      </w:r>
      <w:r w:rsidR="00A035E1">
        <w:t>. The annual cost is based on a current vendor contract</w:t>
      </w:r>
      <w:r w:rsidR="00A215C2">
        <w:t xml:space="preserve"> and includes the cost of the </w:t>
      </w:r>
      <w:r>
        <w:t>COR</w:t>
      </w:r>
      <w:r w:rsidR="00A215C2">
        <w:t>.</w:t>
      </w:r>
      <w:r w:rsidR="002B5943">
        <w:t xml:space="preserve"> It is estimated the COR will spend an average of 6 percent </w:t>
      </w:r>
      <w:r>
        <w:t xml:space="preserve">of their time on this project through the year. Hourly employee compensation for the COR is shown in Table </w:t>
      </w:r>
      <w:r w:rsidR="10805FAA">
        <w:t>28</w:t>
      </w:r>
      <w:r>
        <w:t xml:space="preserve">. </w:t>
      </w:r>
    </w:p>
    <w:p w:rsidR="00956320" w:rsidP="00956320" w14:paraId="1F9FB66B" w14:textId="0F4C4C26">
      <w:pPr>
        <w:widowControl/>
      </w:pPr>
    </w:p>
    <w:p w:rsidR="00956320" w:rsidRPr="00D64E77" w:rsidP="00956320" w14:paraId="4D25EB05" w14:textId="2C7F409D">
      <w:pPr>
        <w:pStyle w:val="Caption"/>
        <w:keepNext/>
        <w:widowControl/>
      </w:pPr>
      <w:r>
        <w:t xml:space="preserve">Table </w:t>
      </w:r>
      <w:r w:rsidR="3684C94F">
        <w:t>29</w:t>
      </w:r>
      <w:r>
        <w:t>. Estimate of hourly employee compensation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291"/>
        <w:gridCol w:w="2573"/>
        <w:gridCol w:w="1440"/>
        <w:gridCol w:w="1171"/>
        <w:gridCol w:w="1530"/>
        <w:gridCol w:w="1345"/>
      </w:tblGrid>
      <w:tr w14:paraId="6B3F7A8C" w14:textId="77777777" w:rsidTr="35F4F6B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trPr>
        <w:tc>
          <w:tcPr>
            <w:tcW w:w="690" w:type="pct"/>
            <w:shd w:val="clear" w:color="auto" w:fill="E0E0E0"/>
            <w:tcMar>
              <w:left w:w="0" w:type="dxa"/>
              <w:right w:w="0" w:type="dxa"/>
            </w:tcMar>
            <w:vAlign w:val="bottom"/>
            <w:hideMark/>
          </w:tcPr>
          <w:p w:rsidR="00956320" w:rsidRPr="00E8574A" w:rsidP="00B352A6" w14:paraId="42B5ED3B" w14:textId="77777777">
            <w:pPr>
              <w:widowControl/>
              <w:autoSpaceDE/>
              <w:autoSpaceDN/>
              <w:adjustRightInd/>
              <w:jc w:val="center"/>
              <w:rPr>
                <w:b/>
                <w:bCs/>
                <w:color w:val="000000"/>
              </w:rPr>
            </w:pPr>
            <w:r>
              <w:rPr>
                <w:b/>
                <w:bCs/>
                <w:color w:val="000000"/>
              </w:rPr>
              <w:t>Federal Wage Series</w:t>
            </w:r>
          </w:p>
        </w:tc>
        <w:tc>
          <w:tcPr>
            <w:tcW w:w="1376" w:type="pct"/>
            <w:shd w:val="clear" w:color="auto" w:fill="E0E0E0"/>
            <w:tcMar>
              <w:left w:w="0" w:type="dxa"/>
              <w:right w:w="0" w:type="dxa"/>
            </w:tcMar>
            <w:vAlign w:val="bottom"/>
            <w:hideMark/>
          </w:tcPr>
          <w:p w:rsidR="00956320" w:rsidRPr="00E8574A" w:rsidP="00B352A6" w14:paraId="585ABA76" w14:textId="77777777">
            <w:pPr>
              <w:widowControl/>
              <w:autoSpaceDE/>
              <w:autoSpaceDN/>
              <w:adjustRightInd/>
              <w:jc w:val="center"/>
              <w:rPr>
                <w:b/>
                <w:bCs/>
                <w:color w:val="000000"/>
              </w:rPr>
            </w:pPr>
            <w:r>
              <w:rPr>
                <w:b/>
                <w:bCs/>
                <w:color w:val="000000"/>
              </w:rPr>
              <w:t>Occupation</w:t>
            </w:r>
          </w:p>
        </w:tc>
        <w:tc>
          <w:tcPr>
            <w:tcW w:w="770" w:type="pct"/>
            <w:shd w:val="clear" w:color="auto" w:fill="E0E0E0"/>
            <w:tcMar>
              <w:left w:w="0" w:type="dxa"/>
              <w:right w:w="0" w:type="dxa"/>
            </w:tcMar>
            <w:vAlign w:val="bottom"/>
            <w:hideMark/>
          </w:tcPr>
          <w:p w:rsidR="00956320" w:rsidRPr="00E8574A" w:rsidP="00B352A6" w14:paraId="2BB02C64" w14:textId="77777777">
            <w:pPr>
              <w:widowControl/>
              <w:autoSpaceDE/>
              <w:autoSpaceDN/>
              <w:adjustRightInd/>
              <w:jc w:val="center"/>
              <w:rPr>
                <w:b/>
                <w:bCs/>
                <w:color w:val="000000"/>
              </w:rPr>
            </w:pPr>
            <w:r>
              <w:rPr>
                <w:b/>
                <w:bCs/>
                <w:color w:val="000000"/>
              </w:rPr>
              <w:t>General Schedule Designation</w:t>
            </w:r>
          </w:p>
        </w:tc>
        <w:tc>
          <w:tcPr>
            <w:tcW w:w="626" w:type="pct"/>
            <w:shd w:val="clear" w:color="auto" w:fill="E0E0E0"/>
            <w:tcMar>
              <w:left w:w="0" w:type="dxa"/>
              <w:right w:w="0" w:type="dxa"/>
            </w:tcMar>
            <w:vAlign w:val="bottom"/>
            <w:hideMark/>
          </w:tcPr>
          <w:p w:rsidR="00956320" w:rsidRPr="00E8574A" w:rsidP="00B352A6" w14:paraId="20A3C4E8" w14:textId="77777777">
            <w:pPr>
              <w:widowControl/>
              <w:autoSpaceDE/>
              <w:autoSpaceDN/>
              <w:adjustRightInd/>
              <w:jc w:val="center"/>
              <w:rPr>
                <w:b/>
                <w:bCs/>
                <w:color w:val="000000"/>
              </w:rPr>
            </w:pPr>
            <w:r>
              <w:rPr>
                <w:b/>
                <w:bCs/>
                <w:color w:val="000000"/>
              </w:rPr>
              <w:t>Hourly Wage</w:t>
            </w:r>
          </w:p>
        </w:tc>
        <w:tc>
          <w:tcPr>
            <w:tcW w:w="818" w:type="pct"/>
            <w:shd w:val="clear" w:color="auto" w:fill="E0E0E0"/>
            <w:vAlign w:val="bottom"/>
          </w:tcPr>
          <w:p w:rsidR="00956320" w:rsidRPr="00E8574A" w:rsidP="00B352A6" w14:paraId="45C5C42F" w14:textId="77777777">
            <w:pPr>
              <w:widowControl/>
              <w:autoSpaceDE/>
              <w:autoSpaceDN/>
              <w:adjustRightInd/>
              <w:jc w:val="center"/>
              <w:rPr>
                <w:b/>
              </w:rPr>
            </w:pPr>
            <w:r>
              <w:rPr>
                <w:b/>
              </w:rPr>
              <w:t>Locality Benefit</w:t>
            </w:r>
          </w:p>
        </w:tc>
        <w:tc>
          <w:tcPr>
            <w:tcW w:w="719" w:type="pct"/>
            <w:shd w:val="clear" w:color="auto" w:fill="E0E0E0"/>
            <w:tcMar>
              <w:left w:w="0" w:type="dxa"/>
              <w:right w:w="0" w:type="dxa"/>
            </w:tcMar>
            <w:vAlign w:val="bottom"/>
          </w:tcPr>
          <w:p w:rsidR="00956320" w:rsidRPr="00E8574A" w:rsidP="00B352A6" w14:paraId="4F0418FD" w14:textId="77777777">
            <w:pPr>
              <w:widowControl/>
              <w:autoSpaceDE/>
              <w:autoSpaceDN/>
              <w:adjustRightInd/>
              <w:jc w:val="center"/>
              <w:rPr>
                <w:b/>
                <w:bCs/>
                <w:color w:val="000000"/>
              </w:rPr>
            </w:pPr>
            <w:r>
              <w:rPr>
                <w:b/>
              </w:rPr>
              <w:t>Hourly</w:t>
            </w:r>
            <w:r w:rsidRPr="00E8574A">
              <w:rPr>
                <w:b/>
              </w:rPr>
              <w:t xml:space="preserve"> Cost</w:t>
            </w:r>
          </w:p>
        </w:tc>
      </w:tr>
      <w:tr w14:paraId="43C82291" w14:textId="77777777" w:rsidTr="35F4F6B6">
        <w:tblPrEx>
          <w:tblW w:w="5000" w:type="pct"/>
          <w:tblLayout w:type="fixed"/>
          <w:tblCellMar>
            <w:left w:w="29" w:type="dxa"/>
            <w:right w:w="29" w:type="dxa"/>
          </w:tblCellMar>
          <w:tblLook w:val="04A0"/>
        </w:tblPrEx>
        <w:trPr>
          <w:trHeight w:val="270"/>
        </w:trPr>
        <w:tc>
          <w:tcPr>
            <w:tcW w:w="690" w:type="pct"/>
            <w:shd w:val="clear" w:color="auto" w:fill="auto"/>
            <w:tcMar>
              <w:left w:w="115" w:type="dxa"/>
              <w:right w:w="115" w:type="dxa"/>
            </w:tcMar>
            <w:vAlign w:val="bottom"/>
          </w:tcPr>
          <w:p w:rsidR="00956320" w:rsidRPr="00EB7D1F" w:rsidP="00B352A6" w14:paraId="7D4D487D" w14:textId="77777777">
            <w:pPr>
              <w:widowControl/>
              <w:autoSpaceDE/>
              <w:autoSpaceDN/>
              <w:adjustRightInd/>
              <w:rPr>
                <w:color w:val="000000"/>
              </w:rPr>
            </w:pPr>
            <w:r>
              <w:t>2101</w:t>
            </w:r>
          </w:p>
        </w:tc>
        <w:tc>
          <w:tcPr>
            <w:tcW w:w="1376" w:type="pct"/>
            <w:shd w:val="clear" w:color="auto" w:fill="auto"/>
            <w:tcMar>
              <w:left w:w="115" w:type="dxa"/>
              <w:right w:w="115" w:type="dxa"/>
            </w:tcMar>
          </w:tcPr>
          <w:p w:rsidR="00956320" w:rsidRPr="002B6854" w:rsidP="00B352A6" w14:paraId="18E2D887" w14:textId="77777777">
            <w:pPr>
              <w:widowControl/>
              <w:autoSpaceDE/>
              <w:autoSpaceDN/>
              <w:adjustRightInd/>
              <w:jc w:val="center"/>
              <w:rPr>
                <w:color w:val="000000"/>
              </w:rPr>
            </w:pPr>
            <w:r>
              <w:rPr>
                <w:color w:val="000000"/>
              </w:rPr>
              <w:t>Transportation Specialist</w:t>
            </w:r>
          </w:p>
        </w:tc>
        <w:tc>
          <w:tcPr>
            <w:tcW w:w="770" w:type="pct"/>
            <w:shd w:val="clear" w:color="auto" w:fill="auto"/>
            <w:tcMar>
              <w:left w:w="115" w:type="dxa"/>
              <w:right w:w="115" w:type="dxa"/>
            </w:tcMar>
          </w:tcPr>
          <w:p w:rsidR="00956320" w:rsidRPr="002B6854" w:rsidP="00B352A6" w14:paraId="519962EC" w14:textId="77777777">
            <w:pPr>
              <w:widowControl/>
              <w:autoSpaceDE/>
              <w:autoSpaceDN/>
              <w:adjustRightInd/>
              <w:jc w:val="center"/>
              <w:rPr>
                <w:color w:val="000000"/>
              </w:rPr>
            </w:pPr>
            <w:r>
              <w:t>13 Step 5</w:t>
            </w:r>
          </w:p>
        </w:tc>
        <w:tc>
          <w:tcPr>
            <w:tcW w:w="626" w:type="pct"/>
            <w:shd w:val="clear" w:color="auto" w:fill="auto"/>
            <w:tcMar>
              <w:left w:w="115" w:type="dxa"/>
              <w:right w:w="115" w:type="dxa"/>
            </w:tcMar>
          </w:tcPr>
          <w:p w:rsidR="00956320" w:rsidRPr="002B6854" w:rsidP="00B352A6" w14:paraId="0474D433" w14:textId="46107764">
            <w:pPr>
              <w:widowControl/>
              <w:autoSpaceDE/>
              <w:autoSpaceDN/>
              <w:adjustRightInd/>
              <w:jc w:val="center"/>
              <w:rPr>
                <w:color w:val="000000"/>
              </w:rPr>
            </w:pPr>
            <w:r w:rsidRPr="35F4F6B6">
              <w:rPr>
                <w:color w:val="000000" w:themeColor="text1"/>
              </w:rPr>
              <w:t>$</w:t>
            </w:r>
            <w:r w:rsidRPr="35F4F6B6" w:rsidR="62C1EB70">
              <w:rPr>
                <w:color w:val="000000" w:themeColor="text1"/>
              </w:rPr>
              <w:t>45.91</w:t>
            </w:r>
          </w:p>
        </w:tc>
        <w:tc>
          <w:tcPr>
            <w:tcW w:w="818" w:type="pct"/>
          </w:tcPr>
          <w:p w:rsidR="00956320" w:rsidP="00B352A6" w14:paraId="10FD618D" w14:textId="77777777">
            <w:pPr>
              <w:widowControl/>
              <w:autoSpaceDE/>
              <w:autoSpaceDN/>
              <w:adjustRightInd/>
              <w:jc w:val="center"/>
            </w:pPr>
            <w:r>
              <w:t>30.48%</w:t>
            </w:r>
          </w:p>
        </w:tc>
        <w:tc>
          <w:tcPr>
            <w:tcW w:w="719" w:type="pct"/>
            <w:shd w:val="clear" w:color="auto" w:fill="auto"/>
            <w:tcMar>
              <w:left w:w="115" w:type="dxa"/>
              <w:right w:w="115" w:type="dxa"/>
            </w:tcMar>
          </w:tcPr>
          <w:p w:rsidR="00956320" w:rsidRPr="002B6854" w:rsidP="00B352A6" w14:paraId="63941A77" w14:textId="00C107CE">
            <w:pPr>
              <w:widowControl/>
              <w:autoSpaceDE/>
              <w:autoSpaceDN/>
              <w:adjustRightInd/>
              <w:jc w:val="center"/>
              <w:rPr>
                <w:color w:val="000000"/>
              </w:rPr>
            </w:pPr>
            <w:r w:rsidRPr="35F4F6B6">
              <w:rPr>
                <w:color w:val="000000" w:themeColor="text1"/>
              </w:rPr>
              <w:t>$</w:t>
            </w:r>
            <w:r w:rsidRPr="35F4F6B6" w:rsidR="17AFFD67">
              <w:rPr>
                <w:color w:val="000000" w:themeColor="text1"/>
              </w:rPr>
              <w:t>60.83</w:t>
            </w:r>
          </w:p>
        </w:tc>
      </w:tr>
    </w:tbl>
    <w:p w:rsidR="00956320" w:rsidP="00956320" w14:paraId="6FE2FE9F" w14:textId="77777777">
      <w:pPr>
        <w:widowControl/>
      </w:pPr>
    </w:p>
    <w:p w:rsidR="000918F9" w:rsidP="00722B85" w14:paraId="7FC21F1C" w14:textId="70719773">
      <w:pPr>
        <w:widowControl/>
      </w:pPr>
      <w:r>
        <w:t>The COR will spend approximately 9.6 hours a month on this project, which is equivalent to 115 hours over a year, or 79 annualized hours. This leads to an estimated annualized cost of $4,</w:t>
      </w:r>
      <w:r w:rsidR="60F0EFD0">
        <w:t>806</w:t>
      </w:r>
      <w:r>
        <w:t xml:space="preserve"> (79 annualized hours x $</w:t>
      </w:r>
      <w:r w:rsidR="347F2868">
        <w:t>60.83</w:t>
      </w:r>
      <w:r>
        <w:t xml:space="preserve"> = $4,</w:t>
      </w:r>
      <w:r w:rsidR="77646924">
        <w:t>806</w:t>
      </w:r>
      <w:r>
        <w:t>)</w:t>
      </w:r>
      <w:r w:rsidR="491601A9">
        <w:t>.</w:t>
      </w:r>
      <w:r>
        <w:t xml:space="preserve"> </w:t>
      </w:r>
      <w:r w:rsidR="000A0EB9">
        <w:br/>
      </w:r>
    </w:p>
    <w:p w:rsidR="009C35B5" w:rsidRPr="00D64E77" w:rsidP="009C35B5" w14:paraId="62232816" w14:textId="6F996F8A">
      <w:pPr>
        <w:pStyle w:val="Caption"/>
        <w:keepNext/>
        <w:widowControl/>
      </w:pPr>
      <w:r>
        <w:t xml:space="preserve">Table </w:t>
      </w:r>
      <w:r w:rsidR="17538242">
        <w:t>3</w:t>
      </w:r>
      <w:r w:rsidR="4E5B7D6D">
        <w:t>0</w:t>
      </w:r>
      <w:r>
        <w:t>. Estimated annualized and total cost of Federal Labor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291"/>
        <w:gridCol w:w="2573"/>
        <w:gridCol w:w="1440"/>
        <w:gridCol w:w="1171"/>
        <w:gridCol w:w="1530"/>
        <w:gridCol w:w="1345"/>
      </w:tblGrid>
      <w:tr w14:paraId="45013953" w14:textId="77777777" w:rsidTr="35F4F6B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trPr>
        <w:tc>
          <w:tcPr>
            <w:tcW w:w="690" w:type="pct"/>
            <w:shd w:val="clear" w:color="auto" w:fill="E0E0E0"/>
            <w:tcMar>
              <w:left w:w="0" w:type="dxa"/>
              <w:right w:w="0" w:type="dxa"/>
            </w:tcMar>
            <w:vAlign w:val="bottom"/>
            <w:hideMark/>
          </w:tcPr>
          <w:p w:rsidR="009C35B5" w:rsidRPr="00E8574A" w:rsidP="00B352A6" w14:paraId="79C5B58C" w14:textId="77777777">
            <w:pPr>
              <w:widowControl/>
              <w:autoSpaceDE/>
              <w:autoSpaceDN/>
              <w:adjustRightInd/>
              <w:jc w:val="center"/>
              <w:rPr>
                <w:b/>
                <w:bCs/>
                <w:color w:val="000000"/>
              </w:rPr>
            </w:pPr>
            <w:r>
              <w:rPr>
                <w:b/>
                <w:bCs/>
                <w:color w:val="000000"/>
              </w:rPr>
              <w:t>Federal Wage Series</w:t>
            </w:r>
          </w:p>
        </w:tc>
        <w:tc>
          <w:tcPr>
            <w:tcW w:w="1376" w:type="pct"/>
            <w:shd w:val="clear" w:color="auto" w:fill="E0E0E0"/>
            <w:tcMar>
              <w:left w:w="0" w:type="dxa"/>
              <w:right w:w="0" w:type="dxa"/>
            </w:tcMar>
            <w:vAlign w:val="bottom"/>
            <w:hideMark/>
          </w:tcPr>
          <w:p w:rsidR="009C35B5" w:rsidRPr="00E8574A" w:rsidP="00B352A6" w14:paraId="30D2A8BB" w14:textId="77777777">
            <w:pPr>
              <w:widowControl/>
              <w:autoSpaceDE/>
              <w:autoSpaceDN/>
              <w:adjustRightInd/>
              <w:jc w:val="center"/>
              <w:rPr>
                <w:b/>
                <w:bCs/>
                <w:color w:val="000000"/>
              </w:rPr>
            </w:pPr>
            <w:r>
              <w:rPr>
                <w:b/>
                <w:bCs/>
                <w:color w:val="000000"/>
              </w:rPr>
              <w:t>Occupation</w:t>
            </w:r>
          </w:p>
        </w:tc>
        <w:tc>
          <w:tcPr>
            <w:tcW w:w="770" w:type="pct"/>
            <w:shd w:val="clear" w:color="auto" w:fill="E0E0E0"/>
            <w:tcMar>
              <w:left w:w="0" w:type="dxa"/>
              <w:right w:w="0" w:type="dxa"/>
            </w:tcMar>
            <w:vAlign w:val="bottom"/>
            <w:hideMark/>
          </w:tcPr>
          <w:p w:rsidR="009C35B5" w:rsidRPr="00E8574A" w:rsidP="00B352A6" w14:paraId="1C9FE4EE" w14:textId="77777777">
            <w:pPr>
              <w:widowControl/>
              <w:autoSpaceDE/>
              <w:autoSpaceDN/>
              <w:adjustRightInd/>
              <w:jc w:val="center"/>
              <w:rPr>
                <w:b/>
                <w:bCs/>
                <w:color w:val="000000"/>
              </w:rPr>
            </w:pPr>
            <w:r>
              <w:rPr>
                <w:b/>
                <w:bCs/>
                <w:color w:val="000000"/>
              </w:rPr>
              <w:t>General Schedule Designation</w:t>
            </w:r>
          </w:p>
        </w:tc>
        <w:tc>
          <w:tcPr>
            <w:tcW w:w="626" w:type="pct"/>
            <w:shd w:val="clear" w:color="auto" w:fill="E0E0E0"/>
            <w:tcMar>
              <w:left w:w="0" w:type="dxa"/>
              <w:right w:w="0" w:type="dxa"/>
            </w:tcMar>
            <w:vAlign w:val="bottom"/>
            <w:hideMark/>
          </w:tcPr>
          <w:p w:rsidR="009C35B5" w:rsidRPr="00E8574A" w:rsidP="00B352A6" w14:paraId="3D1E2D84" w14:textId="77777777">
            <w:pPr>
              <w:widowControl/>
              <w:autoSpaceDE/>
              <w:autoSpaceDN/>
              <w:adjustRightInd/>
              <w:jc w:val="center"/>
              <w:rPr>
                <w:b/>
                <w:bCs/>
                <w:color w:val="000000"/>
              </w:rPr>
            </w:pPr>
            <w:r>
              <w:rPr>
                <w:b/>
                <w:bCs/>
                <w:color w:val="000000"/>
              </w:rPr>
              <w:t>Yearly Hours Worked</w:t>
            </w:r>
          </w:p>
        </w:tc>
        <w:tc>
          <w:tcPr>
            <w:tcW w:w="818" w:type="pct"/>
            <w:shd w:val="clear" w:color="auto" w:fill="E0E0E0"/>
            <w:vAlign w:val="bottom"/>
          </w:tcPr>
          <w:p w:rsidR="009C35B5" w:rsidRPr="00E8574A" w:rsidP="00B352A6" w14:paraId="49C4FD7D" w14:textId="6C432CA8">
            <w:pPr>
              <w:widowControl/>
              <w:autoSpaceDE/>
              <w:autoSpaceDN/>
              <w:adjustRightInd/>
              <w:jc w:val="center"/>
              <w:rPr>
                <w:b/>
              </w:rPr>
            </w:pPr>
            <w:r w:rsidRPr="35F4F6B6">
              <w:rPr>
                <w:b/>
                <w:bCs/>
              </w:rPr>
              <w:t>Hourly Cost</w:t>
            </w:r>
          </w:p>
        </w:tc>
        <w:tc>
          <w:tcPr>
            <w:tcW w:w="719" w:type="pct"/>
            <w:shd w:val="clear" w:color="auto" w:fill="E0E0E0"/>
            <w:tcMar>
              <w:left w:w="0" w:type="dxa"/>
              <w:right w:w="0" w:type="dxa"/>
            </w:tcMar>
            <w:vAlign w:val="bottom"/>
          </w:tcPr>
          <w:p w:rsidR="009C35B5" w:rsidRPr="00E8574A" w:rsidP="00B352A6" w14:paraId="253D8AC4" w14:textId="77777777">
            <w:pPr>
              <w:widowControl/>
              <w:autoSpaceDE/>
              <w:autoSpaceDN/>
              <w:adjustRightInd/>
              <w:jc w:val="center"/>
              <w:rPr>
                <w:b/>
                <w:bCs/>
                <w:color w:val="000000"/>
              </w:rPr>
            </w:pPr>
            <w:r>
              <w:rPr>
                <w:b/>
              </w:rPr>
              <w:t>Total Cost to Government</w:t>
            </w:r>
          </w:p>
        </w:tc>
      </w:tr>
      <w:tr w14:paraId="473EFA15" w14:textId="77777777" w:rsidTr="35F4F6B6">
        <w:tblPrEx>
          <w:tblW w:w="5000" w:type="pct"/>
          <w:tblLayout w:type="fixed"/>
          <w:tblCellMar>
            <w:left w:w="29" w:type="dxa"/>
            <w:right w:w="29" w:type="dxa"/>
          </w:tblCellMar>
          <w:tblLook w:val="04A0"/>
        </w:tblPrEx>
        <w:trPr>
          <w:trHeight w:val="270"/>
        </w:trPr>
        <w:tc>
          <w:tcPr>
            <w:tcW w:w="690" w:type="pct"/>
            <w:shd w:val="clear" w:color="auto" w:fill="auto"/>
            <w:tcMar>
              <w:left w:w="115" w:type="dxa"/>
              <w:right w:w="115" w:type="dxa"/>
            </w:tcMar>
            <w:vAlign w:val="bottom"/>
          </w:tcPr>
          <w:p w:rsidR="009C35B5" w:rsidRPr="00EB7D1F" w:rsidP="00B352A6" w14:paraId="5B0100DD" w14:textId="77777777">
            <w:pPr>
              <w:widowControl/>
              <w:autoSpaceDE/>
              <w:autoSpaceDN/>
              <w:adjustRightInd/>
              <w:rPr>
                <w:color w:val="000000"/>
              </w:rPr>
            </w:pPr>
            <w:r>
              <w:t>2101</w:t>
            </w:r>
          </w:p>
        </w:tc>
        <w:tc>
          <w:tcPr>
            <w:tcW w:w="1376" w:type="pct"/>
            <w:shd w:val="clear" w:color="auto" w:fill="auto"/>
            <w:tcMar>
              <w:left w:w="115" w:type="dxa"/>
              <w:right w:w="115" w:type="dxa"/>
            </w:tcMar>
          </w:tcPr>
          <w:p w:rsidR="009C35B5" w:rsidRPr="002B6854" w:rsidP="00B352A6" w14:paraId="508B04B6" w14:textId="77777777">
            <w:pPr>
              <w:widowControl/>
              <w:autoSpaceDE/>
              <w:autoSpaceDN/>
              <w:adjustRightInd/>
              <w:jc w:val="center"/>
              <w:rPr>
                <w:color w:val="000000"/>
              </w:rPr>
            </w:pPr>
            <w:r>
              <w:rPr>
                <w:color w:val="000000"/>
              </w:rPr>
              <w:t>Transportation Specialist</w:t>
            </w:r>
          </w:p>
        </w:tc>
        <w:tc>
          <w:tcPr>
            <w:tcW w:w="770" w:type="pct"/>
            <w:shd w:val="clear" w:color="auto" w:fill="auto"/>
            <w:tcMar>
              <w:left w:w="115" w:type="dxa"/>
              <w:right w:w="115" w:type="dxa"/>
            </w:tcMar>
          </w:tcPr>
          <w:p w:rsidR="009C35B5" w:rsidRPr="002B6854" w:rsidP="00B352A6" w14:paraId="00409F93" w14:textId="77777777">
            <w:pPr>
              <w:widowControl/>
              <w:autoSpaceDE/>
              <w:autoSpaceDN/>
              <w:adjustRightInd/>
              <w:jc w:val="center"/>
              <w:rPr>
                <w:color w:val="000000"/>
              </w:rPr>
            </w:pPr>
            <w:r>
              <w:t>13 Step 5</w:t>
            </w:r>
          </w:p>
        </w:tc>
        <w:tc>
          <w:tcPr>
            <w:tcW w:w="626" w:type="pct"/>
            <w:shd w:val="clear" w:color="auto" w:fill="auto"/>
            <w:tcMar>
              <w:left w:w="115" w:type="dxa"/>
              <w:right w:w="115" w:type="dxa"/>
            </w:tcMar>
          </w:tcPr>
          <w:p w:rsidR="009C35B5" w:rsidRPr="002B6854" w:rsidP="00B352A6" w14:paraId="4A367BA1" w14:textId="77777777">
            <w:pPr>
              <w:widowControl/>
              <w:autoSpaceDE/>
              <w:autoSpaceDN/>
              <w:adjustRightInd/>
              <w:jc w:val="center"/>
              <w:rPr>
                <w:color w:val="000000"/>
              </w:rPr>
            </w:pPr>
            <w:r>
              <w:rPr>
                <w:color w:val="000000"/>
              </w:rPr>
              <w:t>79</w:t>
            </w:r>
          </w:p>
        </w:tc>
        <w:tc>
          <w:tcPr>
            <w:tcW w:w="818" w:type="pct"/>
          </w:tcPr>
          <w:p w:rsidR="009C35B5" w:rsidP="00B352A6" w14:paraId="2731B64B" w14:textId="68150710">
            <w:pPr>
              <w:widowControl/>
              <w:autoSpaceDE/>
              <w:autoSpaceDN/>
              <w:adjustRightInd/>
              <w:jc w:val="center"/>
            </w:pPr>
            <w:r w:rsidRPr="35F4F6B6">
              <w:t>60.83</w:t>
            </w:r>
          </w:p>
        </w:tc>
        <w:tc>
          <w:tcPr>
            <w:tcW w:w="719" w:type="pct"/>
            <w:shd w:val="clear" w:color="auto" w:fill="auto"/>
            <w:tcMar>
              <w:left w:w="115" w:type="dxa"/>
              <w:right w:w="115" w:type="dxa"/>
            </w:tcMar>
          </w:tcPr>
          <w:p w:rsidR="009C35B5" w:rsidRPr="002B6854" w:rsidP="00B352A6" w14:paraId="392B2533" w14:textId="303D7AB6">
            <w:pPr>
              <w:widowControl/>
              <w:autoSpaceDE/>
              <w:autoSpaceDN/>
              <w:adjustRightInd/>
              <w:jc w:val="center"/>
              <w:rPr>
                <w:color w:val="000000"/>
              </w:rPr>
            </w:pPr>
            <w:r w:rsidRPr="35F4F6B6">
              <w:rPr>
                <w:color w:val="000000" w:themeColor="text1"/>
              </w:rPr>
              <w:t>$4,806</w:t>
            </w:r>
          </w:p>
        </w:tc>
      </w:tr>
    </w:tbl>
    <w:p w:rsidR="00F2155B" w:rsidP="35F4F6B6" w14:paraId="15425D47" w14:textId="3EF976E9">
      <w:pPr>
        <w:widowControl/>
      </w:pPr>
    </w:p>
    <w:p w:rsidR="00797B1A" w:rsidP="00722B85" w14:paraId="772614E3" w14:textId="377ECCA0">
      <w:pPr>
        <w:widowControl/>
      </w:pPr>
      <w:r>
        <w:t>In total, estimated cost to the federal government is $3,</w:t>
      </w:r>
      <w:r w:rsidR="63FD4FCF">
        <w:t>582,299</w:t>
      </w:r>
      <w:r>
        <w:t xml:space="preserve"> ($451,464 + $3,124,448</w:t>
      </w:r>
      <w:r w:rsidR="0DA0F938">
        <w:t xml:space="preserve"> + $1,582 + $4,806</w:t>
      </w:r>
      <w:r>
        <w:t xml:space="preserve"> = $3,</w:t>
      </w:r>
      <w:r w:rsidR="63CDFD5E">
        <w:t>582,299</w:t>
      </w:r>
      <w:r>
        <w:t>).</w:t>
      </w:r>
    </w:p>
    <w:p w:rsidR="00797B1A" w:rsidP="00722B85" w14:paraId="608E3BD1" w14:textId="77777777">
      <w:pPr>
        <w:widowControl/>
      </w:pPr>
    </w:p>
    <w:p w:rsidR="006C3234" w:rsidRPr="000918F9" w:rsidP="00722B85" w14:paraId="6B491CF6" w14:textId="77777777">
      <w:pPr>
        <w:widowControl/>
      </w:pPr>
    </w:p>
    <w:bookmarkEnd w:id="42"/>
    <w:p w:rsidR="005C1D7D" w:rsidRPr="005C1D7D" w:rsidP="00722B85" w14:paraId="5530729A" w14:textId="77777777">
      <w:pPr>
        <w:widowControl/>
        <w:numPr>
          <w:ilvl w:val="0"/>
          <w:numId w:val="3"/>
        </w:numPr>
        <w:rPr>
          <w:bCs/>
        </w:rPr>
      </w:pPr>
      <w:r w:rsidRPr="009E43F8">
        <w:rPr>
          <w:b/>
          <w:bCs/>
        </w:rPr>
        <w:t>EXPLANATION OF PROGRAM CHANGES OR ADJUSTMENTS</w:t>
      </w:r>
    </w:p>
    <w:p w:rsidR="0079688D" w:rsidP="00722B85" w14:paraId="3EA95A7B" w14:textId="77777777">
      <w:pPr>
        <w:widowControl/>
        <w:rPr>
          <w:bCs/>
        </w:rPr>
      </w:pPr>
    </w:p>
    <w:p w:rsidR="000A0EB9" w:rsidP="5ECFBCA2" w14:paraId="142A438B" w14:textId="2564B4F4">
      <w:pPr>
        <w:widowControl/>
        <w:spacing w:line="259" w:lineRule="auto"/>
      </w:pPr>
      <w:r>
        <w:t xml:space="preserve">The total annual burden hour </w:t>
      </w:r>
      <w:r w:rsidR="1B133557">
        <w:t>increase</w:t>
      </w:r>
      <w:r w:rsidR="1B133557">
        <w:t xml:space="preserve"> </w:t>
      </w:r>
      <w:r>
        <w:t xml:space="preserve">of </w:t>
      </w:r>
      <w:r w:rsidR="5D0E019D">
        <w:t>1</w:t>
      </w:r>
      <w:r w:rsidR="00B675ED">
        <w:t>05,834</w:t>
      </w:r>
      <w:r w:rsidR="648A8B37">
        <w:t xml:space="preserve"> </w:t>
      </w:r>
      <w:r>
        <w:t>hours [2,</w:t>
      </w:r>
      <w:r w:rsidR="072A6BB0">
        <w:t>8</w:t>
      </w:r>
      <w:r w:rsidR="00B675ED">
        <w:t>06,735</w:t>
      </w:r>
      <w:r w:rsidR="072A6BB0">
        <w:t xml:space="preserve"> </w:t>
      </w:r>
      <w:r w:rsidR="4DA52F35">
        <w:t xml:space="preserve">proposed </w:t>
      </w:r>
      <w:r>
        <w:t xml:space="preserve">annual burden hours </w:t>
      </w:r>
      <w:r w:rsidR="4DA52F35">
        <w:t>–</w:t>
      </w:r>
      <w:r>
        <w:t xml:space="preserve"> 2,</w:t>
      </w:r>
      <w:r w:rsidR="1008857D">
        <w:t>700,901</w:t>
      </w:r>
      <w:r w:rsidR="2D662E70">
        <w:t xml:space="preserve"> </w:t>
      </w:r>
      <w:r>
        <w:t xml:space="preserve">currently approved annual burden hours] </w:t>
      </w:r>
      <w:r w:rsidR="4DA52F35">
        <w:t xml:space="preserve">is </w:t>
      </w:r>
      <w:r w:rsidR="494FA342">
        <w:t xml:space="preserve">due to </w:t>
      </w:r>
      <w:r w:rsidRPr="5ECFBCA2" w:rsidR="00B675ED">
        <w:rPr>
          <w:color w:val="000000" w:themeColor="text1"/>
        </w:rPr>
        <w:t xml:space="preserve">an increase in the number of CDL holders from 9,029,538 to 9,049,764, and an increase in the number of CDL examiners from 21,095 to 35,099.  The increase in the number of CDL holders and examiners heavily impacted burden estimates for each component of IC-1, IC-2.1 through IC-2.3, IC-2.6, and IC-2.7. The adjustment of the number of CDL holders and CDL examiners </w:t>
      </w:r>
      <w:r w:rsidRPr="5ECFBCA2" w:rsidR="6A06599F">
        <w:rPr>
          <w:color w:val="000000" w:themeColor="text1"/>
        </w:rPr>
        <w:t>w</w:t>
      </w:r>
      <w:r w:rsidRPr="5ECFBCA2" w:rsidR="5D95D662">
        <w:rPr>
          <w:color w:val="000000" w:themeColor="text1"/>
        </w:rPr>
        <w:t>as</w:t>
      </w:r>
      <w:r w:rsidRPr="5ECFBCA2" w:rsidR="6A06599F">
        <w:rPr>
          <w:color w:val="000000" w:themeColor="text1"/>
        </w:rPr>
        <w:t xml:space="preserve"> </w:t>
      </w:r>
      <w:r w:rsidRPr="5ECFBCA2" w:rsidR="00B675ED">
        <w:rPr>
          <w:color w:val="000000" w:themeColor="text1"/>
        </w:rPr>
        <w:t xml:space="preserve">prompted </w:t>
      </w:r>
      <w:r w:rsidRPr="5ECFBCA2" w:rsidR="4ECA6C69">
        <w:rPr>
          <w:color w:val="000000" w:themeColor="text1"/>
        </w:rPr>
        <w:t xml:space="preserve">by </w:t>
      </w:r>
      <w:r w:rsidRPr="5ECFBCA2" w:rsidR="00B675ED">
        <w:rPr>
          <w:color w:val="000000" w:themeColor="text1"/>
        </w:rPr>
        <w:t>the availability of more accurate and recent data. In addition to the program adjustments, there were calculation adjustments made due to more accurate and recent data.  Specifically, the failure rates of CDL applicants remained constant at 25%</w:t>
      </w:r>
      <w:r w:rsidRPr="5ECFBCA2" w:rsidR="51D1C349">
        <w:rPr>
          <w:color w:val="000000" w:themeColor="text1"/>
        </w:rPr>
        <w:t xml:space="preserve"> </w:t>
      </w:r>
      <w:r w:rsidRPr="5ECFBCA2" w:rsidR="51D1C349">
        <w:rPr>
          <w:color w:val="000000" w:themeColor="text1"/>
          <w:vertAlign w:val="superscript"/>
        </w:rPr>
        <w:t>(10)</w:t>
      </w:r>
      <w:r w:rsidRPr="5ECFBCA2" w:rsidR="00B675ED">
        <w:rPr>
          <w:color w:val="000000" w:themeColor="text1"/>
        </w:rPr>
        <w:t>, and the growth rate of new CDL holders remained constant at .224%</w:t>
      </w:r>
      <w:r w:rsidRPr="5ECFBCA2" w:rsidR="37B37041">
        <w:rPr>
          <w:color w:val="000000" w:themeColor="text1"/>
        </w:rPr>
        <w:t xml:space="preserve"> </w:t>
      </w:r>
      <w:r w:rsidRPr="5ECFBCA2" w:rsidR="37B37041">
        <w:rPr>
          <w:color w:val="000000" w:themeColor="text1"/>
          <w:vertAlign w:val="superscript"/>
        </w:rPr>
        <w:t>(6)</w:t>
      </w:r>
      <w:r w:rsidRPr="5ECFBCA2" w:rsidR="00B675ED">
        <w:rPr>
          <w:color w:val="000000" w:themeColor="text1"/>
        </w:rPr>
        <w:t>.</w:t>
      </w:r>
      <w:r w:rsidR="00B675ED">
        <w:t xml:space="preserve"> </w:t>
      </w:r>
      <w:r w:rsidR="41174C1C">
        <w:t>Table 3</w:t>
      </w:r>
      <w:r w:rsidR="7ABC9B4E">
        <w:t>1</w:t>
      </w:r>
      <w:r w:rsidR="41174C1C">
        <w:t xml:space="preserve"> displays the changes in burden from the currently approved collection.</w:t>
      </w:r>
    </w:p>
    <w:p w:rsidR="000A0EB9" w:rsidP="35F4F6B6" w14:paraId="01208B86" w14:textId="58953C4A">
      <w:pPr>
        <w:widowControl/>
      </w:pPr>
    </w:p>
    <w:p w:rsidR="006C3234" w:rsidP="35F4F6B6" w14:paraId="617EAEA7" w14:textId="77777777">
      <w:pPr>
        <w:widowControl/>
      </w:pPr>
    </w:p>
    <w:p w:rsidR="006C3234" w:rsidP="35F4F6B6" w14:paraId="7BE14CF7" w14:textId="77777777">
      <w:pPr>
        <w:widowControl/>
      </w:pPr>
    </w:p>
    <w:p w:rsidR="006C3234" w:rsidP="35F4F6B6" w14:paraId="341F38F9" w14:textId="77777777">
      <w:pPr>
        <w:widowControl/>
      </w:pPr>
    </w:p>
    <w:p w:rsidR="006C3234" w:rsidP="35F4F6B6" w14:paraId="2B497EBF" w14:textId="77777777">
      <w:pPr>
        <w:widowControl/>
      </w:pPr>
    </w:p>
    <w:p w:rsidR="006C3234" w:rsidP="35F4F6B6" w14:paraId="5E752CAB" w14:textId="77777777">
      <w:pPr>
        <w:widowControl/>
      </w:pPr>
    </w:p>
    <w:p w:rsidR="006C3234" w:rsidP="35F4F6B6" w14:paraId="2F777AB4" w14:textId="77777777">
      <w:pPr>
        <w:widowControl/>
      </w:pPr>
    </w:p>
    <w:p w:rsidR="006C3234" w:rsidP="35F4F6B6" w14:paraId="5D846ADC" w14:textId="77777777">
      <w:pPr>
        <w:widowControl/>
      </w:pPr>
    </w:p>
    <w:p w:rsidR="006C3234" w:rsidP="35F4F6B6" w14:paraId="0FD9F150" w14:textId="77777777">
      <w:pPr>
        <w:widowControl/>
      </w:pPr>
    </w:p>
    <w:p w:rsidR="006C3234" w:rsidP="35F4F6B6" w14:paraId="46A638E6" w14:textId="77777777">
      <w:pPr>
        <w:widowControl/>
      </w:pPr>
    </w:p>
    <w:p w:rsidR="006C3234" w:rsidP="35F4F6B6" w14:paraId="77E1C83C" w14:textId="77777777">
      <w:pPr>
        <w:widowControl/>
      </w:pPr>
    </w:p>
    <w:tbl>
      <w:tblPr>
        <w:tblW w:w="7440" w:type="dxa"/>
        <w:tblLook w:val="04A0"/>
      </w:tblPr>
      <w:tblGrid>
        <w:gridCol w:w="1920"/>
        <w:gridCol w:w="1600"/>
        <w:gridCol w:w="1300"/>
        <w:gridCol w:w="1300"/>
        <w:gridCol w:w="1320"/>
      </w:tblGrid>
      <w:tr w14:paraId="6E76BD47" w14:textId="77777777" w:rsidTr="5ECFBCA2">
        <w:tblPrEx>
          <w:tblW w:w="7440" w:type="dxa"/>
          <w:tblLook w:val="04A0"/>
        </w:tblPrEx>
        <w:trPr>
          <w:trHeight w:val="340"/>
        </w:trPr>
        <w:tc>
          <w:tcPr>
            <w:tcW w:w="4820" w:type="dxa"/>
            <w:gridSpan w:val="3"/>
            <w:tcBorders>
              <w:top w:val="nil"/>
              <w:left w:val="nil"/>
              <w:bottom w:val="single" w:sz="4" w:space="0" w:color="auto"/>
              <w:right w:val="nil"/>
            </w:tcBorders>
            <w:shd w:val="clear" w:color="auto" w:fill="auto"/>
            <w:noWrap/>
            <w:vAlign w:val="center"/>
            <w:hideMark/>
          </w:tcPr>
          <w:p w:rsidR="00B675ED" w:rsidRPr="00B675ED" w:rsidP="00B675ED" w14:paraId="4714C21D" w14:textId="4A389C86">
            <w:pPr>
              <w:widowControl/>
              <w:autoSpaceDE/>
              <w:autoSpaceDN/>
              <w:adjustRightInd/>
              <w:rPr>
                <w:b/>
                <w:bCs/>
                <w:color w:val="000000"/>
              </w:rPr>
            </w:pPr>
            <w:r w:rsidRPr="5ECFBCA2">
              <w:rPr>
                <w:b/>
                <w:bCs/>
                <w:color w:val="000000" w:themeColor="text1"/>
              </w:rPr>
              <w:t>Table 3</w:t>
            </w:r>
            <w:r w:rsidRPr="5ECFBCA2" w:rsidR="06DB6E76">
              <w:rPr>
                <w:b/>
                <w:bCs/>
                <w:color w:val="000000" w:themeColor="text1"/>
              </w:rPr>
              <w:t>1</w:t>
            </w:r>
            <w:r w:rsidRPr="5ECFBCA2">
              <w:rPr>
                <w:b/>
                <w:bCs/>
                <w:color w:val="000000" w:themeColor="text1"/>
              </w:rPr>
              <w:t>. Change in burden from approved collection</w:t>
            </w:r>
          </w:p>
        </w:tc>
        <w:tc>
          <w:tcPr>
            <w:tcW w:w="1300" w:type="dxa"/>
            <w:tcBorders>
              <w:top w:val="nil"/>
              <w:left w:val="nil"/>
              <w:bottom w:val="single" w:sz="4" w:space="0" w:color="auto"/>
              <w:right w:val="nil"/>
            </w:tcBorders>
            <w:shd w:val="clear" w:color="auto" w:fill="auto"/>
            <w:noWrap/>
            <w:vAlign w:val="bottom"/>
            <w:hideMark/>
          </w:tcPr>
          <w:p w:rsidR="00B675ED" w:rsidRPr="00B675ED" w:rsidP="00B675ED" w14:paraId="0267A8EE" w14:textId="77777777">
            <w:pPr>
              <w:widowControl/>
              <w:autoSpaceDE/>
              <w:autoSpaceDN/>
              <w:adjustRightInd/>
              <w:rPr>
                <w:b/>
                <w:bCs/>
                <w:color w:val="000000"/>
              </w:rPr>
            </w:pPr>
          </w:p>
        </w:tc>
        <w:tc>
          <w:tcPr>
            <w:tcW w:w="1320" w:type="dxa"/>
            <w:tcBorders>
              <w:top w:val="nil"/>
              <w:left w:val="nil"/>
              <w:bottom w:val="single" w:sz="4" w:space="0" w:color="auto"/>
              <w:right w:val="nil"/>
            </w:tcBorders>
            <w:shd w:val="clear" w:color="auto" w:fill="auto"/>
            <w:vAlign w:val="center"/>
            <w:hideMark/>
          </w:tcPr>
          <w:p w:rsidR="00B675ED" w:rsidRPr="00B675ED" w:rsidP="00B675ED" w14:paraId="5DC8767F" w14:textId="77777777">
            <w:pPr>
              <w:widowControl/>
              <w:autoSpaceDE/>
              <w:autoSpaceDN/>
              <w:adjustRightInd/>
              <w:rPr>
                <w:color w:val="000000"/>
              </w:rPr>
            </w:pPr>
            <w:r w:rsidRPr="00B675ED">
              <w:rPr>
                <w:color w:val="000000"/>
              </w:rPr>
              <w:t> </w:t>
            </w:r>
          </w:p>
        </w:tc>
      </w:tr>
      <w:tr w14:paraId="14007561" w14:textId="77777777" w:rsidTr="5ECFBCA2">
        <w:tblPrEx>
          <w:tblW w:w="7440" w:type="dxa"/>
          <w:tblLook w:val="04A0"/>
        </w:tblPrEx>
        <w:trPr>
          <w:trHeight w:val="1060"/>
        </w:trPr>
        <w:tc>
          <w:tcPr>
            <w:tcW w:w="192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675ED" w:rsidRPr="00B675ED" w:rsidP="00B675ED" w14:paraId="5C484726" w14:textId="77777777">
            <w:pPr>
              <w:widowControl/>
              <w:autoSpaceDE/>
              <w:autoSpaceDN/>
              <w:adjustRightInd/>
              <w:jc w:val="center"/>
              <w:rPr>
                <w:b/>
                <w:bCs/>
                <w:color w:val="000000"/>
              </w:rPr>
            </w:pPr>
            <w:r w:rsidRPr="00B675ED">
              <w:rPr>
                <w:b/>
                <w:bCs/>
              </w:rPr>
              <w:t>Information Collection Version</w:t>
            </w:r>
          </w:p>
        </w:tc>
        <w:tc>
          <w:tcPr>
            <w:tcW w:w="160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675ED" w:rsidRPr="00B675ED" w:rsidP="00B675ED" w14:paraId="5BDE6E78" w14:textId="77777777">
            <w:pPr>
              <w:widowControl/>
              <w:autoSpaceDE/>
              <w:autoSpaceDN/>
              <w:adjustRightInd/>
              <w:jc w:val="center"/>
              <w:rPr>
                <w:b/>
                <w:bCs/>
                <w:color w:val="000000"/>
              </w:rPr>
            </w:pPr>
            <w:r w:rsidRPr="00B675ED">
              <w:rPr>
                <w:b/>
                <w:bCs/>
              </w:rPr>
              <w:t>Annual Number of Responses</w:t>
            </w:r>
          </w:p>
        </w:tc>
        <w:tc>
          <w:tcPr>
            <w:tcW w:w="130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675ED" w:rsidRPr="00B675ED" w:rsidP="00B675ED" w14:paraId="7F40E07C" w14:textId="77777777">
            <w:pPr>
              <w:widowControl/>
              <w:autoSpaceDE/>
              <w:autoSpaceDN/>
              <w:adjustRightInd/>
              <w:jc w:val="center"/>
              <w:rPr>
                <w:b/>
                <w:bCs/>
                <w:color w:val="000000"/>
              </w:rPr>
            </w:pPr>
            <w:r w:rsidRPr="00B675ED">
              <w:rPr>
                <w:b/>
                <w:bCs/>
              </w:rPr>
              <w:t>Annual Burden Hours</w:t>
            </w:r>
          </w:p>
        </w:tc>
        <w:tc>
          <w:tcPr>
            <w:tcW w:w="262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B675ED" w:rsidRPr="00B675ED" w:rsidP="00B675ED" w14:paraId="76F0EEA7" w14:textId="77777777">
            <w:pPr>
              <w:widowControl/>
              <w:autoSpaceDE/>
              <w:autoSpaceDN/>
              <w:adjustRightInd/>
              <w:jc w:val="center"/>
              <w:rPr>
                <w:b/>
                <w:bCs/>
                <w:color w:val="000000"/>
              </w:rPr>
            </w:pPr>
            <w:r w:rsidRPr="00B675ED">
              <w:rPr>
                <w:b/>
                <w:bCs/>
              </w:rPr>
              <w:t>Annual Cost Burden</w:t>
            </w:r>
          </w:p>
        </w:tc>
      </w:tr>
      <w:tr w14:paraId="7AC4082D" w14:textId="77777777" w:rsidTr="5ECFBCA2">
        <w:tblPrEx>
          <w:tblW w:w="7440" w:type="dxa"/>
          <w:tblLook w:val="04A0"/>
        </w:tblPrEx>
        <w:trPr>
          <w:trHeight w:val="1740"/>
        </w:trPr>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00B675ED" w14:paraId="70A3D5B0" w14:textId="77777777">
            <w:pPr>
              <w:widowControl/>
              <w:autoSpaceDE/>
              <w:autoSpaceDN/>
              <w:adjustRightInd/>
              <w:jc w:val="center"/>
              <w:rPr>
                <w:color w:val="000000"/>
              </w:rPr>
            </w:pPr>
            <w:r w:rsidRPr="00B675ED">
              <w:t>Currently Approved under OMB Control Number 2126-0011</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00B675ED" w14:paraId="5849BDC4" w14:textId="77777777">
            <w:pPr>
              <w:widowControl/>
              <w:autoSpaceDE/>
              <w:autoSpaceDN/>
              <w:adjustRightInd/>
              <w:jc w:val="center"/>
              <w:rPr>
                <w:color w:val="000000"/>
              </w:rPr>
            </w:pPr>
            <w:r w:rsidRPr="00B675ED">
              <w:t>26,182,288</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00B675ED" w14:paraId="2001F992" w14:textId="77777777">
            <w:pPr>
              <w:widowControl/>
              <w:autoSpaceDE/>
              <w:autoSpaceDN/>
              <w:adjustRightInd/>
              <w:jc w:val="center"/>
              <w:rPr>
                <w:color w:val="000000"/>
              </w:rPr>
            </w:pPr>
            <w:r w:rsidRPr="00B675ED">
              <w:t>2,700,901</w:t>
            </w:r>
          </w:p>
        </w:tc>
        <w:tc>
          <w:tcPr>
            <w:tcW w:w="26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00B675ED" w14:paraId="06D02910" w14:textId="77777777">
            <w:pPr>
              <w:widowControl/>
              <w:autoSpaceDE/>
              <w:autoSpaceDN/>
              <w:adjustRightInd/>
              <w:jc w:val="center"/>
              <w:rPr>
                <w:color w:val="000000"/>
              </w:rPr>
            </w:pPr>
            <w:r w:rsidRPr="00B675ED">
              <w:t xml:space="preserve">$135,709,715 </w:t>
            </w:r>
          </w:p>
        </w:tc>
      </w:tr>
      <w:tr w14:paraId="68933729" w14:textId="77777777" w:rsidTr="5ECFBCA2">
        <w:tblPrEx>
          <w:tblW w:w="7440" w:type="dxa"/>
          <w:tblLook w:val="04A0"/>
        </w:tblPrEx>
        <w:trPr>
          <w:trHeight w:val="820"/>
        </w:trPr>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00B675ED" w14:paraId="4D7A9D7C" w14:textId="77777777">
            <w:pPr>
              <w:widowControl/>
              <w:autoSpaceDE/>
              <w:autoSpaceDN/>
              <w:adjustRightInd/>
              <w:jc w:val="center"/>
              <w:rPr>
                <w:color w:val="000000"/>
              </w:rPr>
            </w:pPr>
            <w:r w:rsidRPr="00B675ED">
              <w:t>Revised Estimates</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5ECFBCA2" w14:paraId="73F8708A" w14:textId="67AE4D3F">
            <w:pPr>
              <w:widowControl/>
              <w:autoSpaceDE/>
              <w:autoSpaceDN/>
              <w:adjustRightInd/>
              <w:jc w:val="center"/>
            </w:pPr>
            <w:r>
              <w:t>26,200,25</w:t>
            </w:r>
            <w:r w:rsidR="5629A6C2">
              <w:t>1</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00B675ED" w14:paraId="1D025DD0" w14:textId="77777777">
            <w:pPr>
              <w:widowControl/>
              <w:autoSpaceDE/>
              <w:autoSpaceDN/>
              <w:adjustRightInd/>
              <w:jc w:val="center"/>
              <w:rPr>
                <w:color w:val="000000"/>
              </w:rPr>
            </w:pPr>
            <w:r w:rsidRPr="00B675ED">
              <w:t>2,806,735</w:t>
            </w:r>
          </w:p>
        </w:tc>
        <w:tc>
          <w:tcPr>
            <w:tcW w:w="26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5ECFBCA2" w14:paraId="7ED5BBD1" w14:textId="222A6615">
            <w:pPr>
              <w:widowControl/>
              <w:spacing w:line="259" w:lineRule="auto"/>
              <w:jc w:val="center"/>
            </w:pPr>
            <w:r>
              <w:t>$</w:t>
            </w:r>
            <w:r w:rsidR="01E98F9C">
              <w:t>91,694,819</w:t>
            </w:r>
          </w:p>
        </w:tc>
      </w:tr>
      <w:tr w14:paraId="59D0B9FF" w14:textId="77777777" w:rsidTr="5ECFBCA2">
        <w:tblPrEx>
          <w:tblW w:w="7440" w:type="dxa"/>
          <w:tblLook w:val="04A0"/>
        </w:tblPrEx>
        <w:trPr>
          <w:trHeight w:val="2080"/>
        </w:trPr>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00B675ED" w14:paraId="72B811DC" w14:textId="77777777">
            <w:pPr>
              <w:widowControl/>
              <w:autoSpaceDE/>
              <w:autoSpaceDN/>
              <w:adjustRightInd/>
              <w:jc w:val="center"/>
              <w:rPr>
                <w:b/>
                <w:bCs/>
                <w:color w:val="000000"/>
              </w:rPr>
            </w:pPr>
            <w:r w:rsidRPr="00B675ED">
              <w:rPr>
                <w:b/>
                <w:bCs/>
              </w:rPr>
              <w:t>Total Change in Burden from the Currently Approved Collection of Information</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5ECFBCA2" w14:paraId="1A920954" w14:textId="6DEE2882">
            <w:pPr>
              <w:widowControl/>
              <w:autoSpaceDE/>
              <w:autoSpaceDN/>
              <w:adjustRightInd/>
              <w:jc w:val="center"/>
              <w:rPr>
                <w:b/>
                <w:bCs/>
              </w:rPr>
            </w:pPr>
            <w:r w:rsidRPr="5ECFBCA2">
              <w:rPr>
                <w:b/>
                <w:bCs/>
              </w:rPr>
              <w:t>17,96</w:t>
            </w:r>
            <w:r w:rsidRPr="5ECFBCA2" w:rsidR="7AA78773">
              <w:rPr>
                <w:b/>
                <w:bCs/>
              </w:rPr>
              <w:t>3</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00B675ED" w14:paraId="6F7C9E46" w14:textId="77777777">
            <w:pPr>
              <w:widowControl/>
              <w:autoSpaceDE/>
              <w:autoSpaceDN/>
              <w:adjustRightInd/>
              <w:jc w:val="center"/>
              <w:rPr>
                <w:b/>
                <w:bCs/>
                <w:color w:val="000000"/>
              </w:rPr>
            </w:pPr>
            <w:r w:rsidRPr="00B675ED">
              <w:rPr>
                <w:b/>
                <w:bCs/>
              </w:rPr>
              <w:t>105,834</w:t>
            </w:r>
          </w:p>
        </w:tc>
        <w:tc>
          <w:tcPr>
            <w:tcW w:w="26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75ED" w:rsidRPr="00B675ED" w:rsidP="5ECFBCA2" w14:paraId="1AD0DD91" w14:textId="1C789810">
            <w:pPr>
              <w:widowControl/>
              <w:spacing w:line="259" w:lineRule="auto"/>
              <w:jc w:val="center"/>
              <w:rPr>
                <w:color w:val="000000" w:themeColor="text1"/>
              </w:rPr>
            </w:pPr>
            <w:r>
              <w:t>($</w:t>
            </w:r>
            <w:r w:rsidR="32AE077C">
              <w:t>44,014,896</w:t>
            </w:r>
            <w:r>
              <w:t>)</w:t>
            </w:r>
          </w:p>
        </w:tc>
      </w:tr>
    </w:tbl>
    <w:p w:rsidR="00CA7F0B" w:rsidP="35F4F6B6" w14:paraId="26563A53" w14:textId="77777777">
      <w:pPr>
        <w:widowControl/>
      </w:pPr>
    </w:p>
    <w:p w:rsidR="00BE7D4B" w:rsidRPr="005612EB" w:rsidP="00722B85" w14:paraId="799FE18B" w14:textId="77777777">
      <w:pPr>
        <w:widowControl/>
        <w:rPr>
          <w:bCs/>
        </w:rPr>
      </w:pPr>
    </w:p>
    <w:p w:rsidR="005C1D7D" w:rsidP="00722B85" w14:paraId="5B703794" w14:textId="77777777">
      <w:pPr>
        <w:widowControl/>
        <w:numPr>
          <w:ilvl w:val="0"/>
          <w:numId w:val="3"/>
        </w:numPr>
        <w:rPr>
          <w:b/>
        </w:rPr>
      </w:pPr>
      <w:r w:rsidRPr="009E43F8">
        <w:rPr>
          <w:b/>
          <w:bCs/>
        </w:rPr>
        <w:t>PUBLICATION OF RESULTS OF DATA COLLECTION</w:t>
      </w:r>
    </w:p>
    <w:p w:rsidR="0079688D" w:rsidP="00722B85" w14:paraId="7B110034" w14:textId="77777777">
      <w:pPr>
        <w:widowControl/>
      </w:pPr>
    </w:p>
    <w:p w:rsidR="002D4BEF" w:rsidRPr="001C2B34" w:rsidP="35F4F6B6" w14:paraId="5641CA1E" w14:textId="04067152">
      <w:pPr>
        <w:widowControl/>
        <w:rPr>
          <w:b/>
          <w:bCs/>
        </w:rPr>
      </w:pPr>
      <w:r w:rsidRPr="35F4F6B6">
        <w:t xml:space="preserve">The FMCSA </w:t>
      </w:r>
      <w:r w:rsidRPr="35F4F6B6" w:rsidR="00E70BAF">
        <w:t>will not</w:t>
      </w:r>
      <w:r w:rsidRPr="35F4F6B6">
        <w:t xml:space="preserve"> publish the information collected.</w:t>
      </w:r>
    </w:p>
    <w:p w:rsidR="009E2F2D" w:rsidRPr="00FE7FAC" w:rsidP="35F4F6B6" w14:paraId="34F3CB39" w14:textId="7777777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color w:val="auto"/>
        </w:rPr>
      </w:pPr>
    </w:p>
    <w:p w:rsidR="005C1D7D" w:rsidRPr="005C1D7D" w:rsidP="35F4F6B6" w14:paraId="07C819E2" w14:textId="77777777">
      <w:pPr>
        <w:pStyle w:val="BodyText3"/>
        <w:widowControl/>
        <w:numPr>
          <w:ilvl w:val="0"/>
          <w:numId w:val="3"/>
        </w:numPr>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color w:val="auto"/>
        </w:rPr>
      </w:pPr>
      <w:r w:rsidRPr="35F4F6B6">
        <w:rPr>
          <w:b/>
          <w:bCs/>
          <w:color w:val="auto"/>
        </w:rPr>
        <w:t>APPROVAL FOR NOT DISPLAYING THE EXPIRATION DATE OF OMB APPROVAL</w:t>
      </w:r>
    </w:p>
    <w:p w:rsidR="0079688D" w:rsidP="00722B85" w14:paraId="2295B437" w14:textId="77777777">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color w:val="auto"/>
        </w:rPr>
      </w:pPr>
    </w:p>
    <w:p w:rsidR="000918F9" w:rsidRPr="000918F9" w:rsidP="00722B85" w14:paraId="642F75E6" w14:textId="77777777">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Cs/>
          <w:color w:val="auto"/>
          <w:szCs w:val="20"/>
        </w:rPr>
      </w:pPr>
      <w:r>
        <w:rPr>
          <w:color w:val="auto"/>
        </w:rPr>
        <w:t>The Agency is not seeking approval for not displaying the expiration date of OMB approval.</w:t>
      </w:r>
    </w:p>
    <w:p w:rsidR="00E24314" w:rsidP="00722B85" w14:paraId="0BCAE32E" w14:textId="77777777">
      <w:pPr>
        <w:widowControl/>
        <w:rPr>
          <w:bCs/>
          <w:u w:val="single"/>
        </w:rPr>
      </w:pPr>
    </w:p>
    <w:p w:rsidR="005C1D7D" w:rsidRPr="00CC22D4" w:rsidP="00CC22D4" w14:paraId="017A2166" w14:textId="77777777">
      <w:pPr>
        <w:widowControl/>
        <w:numPr>
          <w:ilvl w:val="0"/>
          <w:numId w:val="3"/>
        </w:numPr>
        <w:rPr>
          <w:b/>
          <w:bCs/>
        </w:rPr>
      </w:pPr>
      <w:r w:rsidRPr="00CC22D4">
        <w:rPr>
          <w:b/>
          <w:bCs/>
        </w:rPr>
        <w:t>EXCEPTIONS TO CERTIFICATION STATEMENT</w:t>
      </w:r>
    </w:p>
    <w:p w:rsidR="0079688D" w:rsidP="00722B85" w14:paraId="455FF6AF" w14:textId="77777777">
      <w:pPr>
        <w:widowControl/>
      </w:pPr>
    </w:p>
    <w:p w:rsidR="004B675F" w:rsidP="00722B85" w14:paraId="2CA3199A" w14:textId="293AF0B6">
      <w:pPr>
        <w:widowControl/>
      </w:pPr>
      <w:r w:rsidRPr="000918F9">
        <w:t>FMCSA would not request exceptions to the certification statement.</w:t>
      </w:r>
    </w:p>
    <w:p w:rsidR="00BE7D4B" w:rsidP="00722B85" w14:paraId="60C82635" w14:textId="6CEF0E52">
      <w:pPr>
        <w:widowControl/>
      </w:pPr>
    </w:p>
    <w:p w:rsidR="009D4362" w:rsidP="00722B85" w14:paraId="2A056337" w14:textId="77777777">
      <w:pPr>
        <w:widowControl/>
      </w:pPr>
    </w:p>
    <w:p w:rsidR="006C3234" w:rsidP="00722B85" w14:paraId="3AE64B33" w14:textId="77777777">
      <w:pPr>
        <w:widowControl/>
      </w:pPr>
    </w:p>
    <w:p w:rsidR="006C3234" w:rsidP="00722B85" w14:paraId="36F49F5D" w14:textId="77777777">
      <w:pPr>
        <w:widowControl/>
      </w:pPr>
    </w:p>
    <w:p w:rsidR="006C3234" w:rsidP="00722B85" w14:paraId="4B35A9CF" w14:textId="77777777">
      <w:pPr>
        <w:widowControl/>
      </w:pPr>
    </w:p>
    <w:p w:rsidR="006C3234" w:rsidP="00722B85" w14:paraId="40609566" w14:textId="77777777">
      <w:pPr>
        <w:widowControl/>
      </w:pPr>
    </w:p>
    <w:p w:rsidR="006C3234" w:rsidP="00722B85" w14:paraId="24FEE8BD" w14:textId="77777777">
      <w:pPr>
        <w:widowControl/>
      </w:pPr>
    </w:p>
    <w:p w:rsidR="006C3234" w:rsidP="00722B85" w14:paraId="67406FC1" w14:textId="77777777">
      <w:pPr>
        <w:widowControl/>
      </w:pPr>
    </w:p>
    <w:p w:rsidR="006C3234" w:rsidP="00722B85" w14:paraId="223CEDC5" w14:textId="77777777">
      <w:pPr>
        <w:widowControl/>
      </w:pPr>
    </w:p>
    <w:p w:rsidR="006C3234" w:rsidP="00722B85" w14:paraId="70EEBC08" w14:textId="77777777">
      <w:pPr>
        <w:widowControl/>
      </w:pPr>
    </w:p>
    <w:p w:rsidR="006C3234" w:rsidP="00722B85" w14:paraId="397998D2" w14:textId="77777777">
      <w:pPr>
        <w:widowControl/>
      </w:pPr>
    </w:p>
    <w:p w:rsidR="00051BD5" w:rsidRPr="005612EB" w:rsidP="3081E048" w14:paraId="024A0FFC" w14:textId="3F47FD1B">
      <w:pPr>
        <w:pStyle w:val="NormalWeb"/>
        <w:spacing w:before="0" w:beforeAutospacing="0" w:after="0" w:afterAutospacing="0"/>
        <w:rPr>
          <w:rFonts w:ascii="Times New Roman" w:hAnsi="Times New Roman" w:cs="Times New Roman"/>
          <w:b/>
          <w:bCs/>
        </w:rPr>
      </w:pPr>
      <w:r w:rsidRPr="3081E048">
        <w:rPr>
          <w:rFonts w:ascii="Times New Roman" w:hAnsi="Times New Roman" w:cs="Times New Roman"/>
          <w:b/>
          <w:bCs/>
        </w:rPr>
        <w:t>ATTACHMENTS:</w:t>
      </w:r>
    </w:p>
    <w:p w:rsidR="00051BD5" w:rsidRPr="00E76F29" w:rsidP="00722B85" w14:paraId="6E53D87D" w14:textId="77777777">
      <w:pPr>
        <w:widowControl/>
        <w:tabs>
          <w:tab w:val="left" w:pos="-1440"/>
          <w:tab w:val="left" w:pos="-720"/>
        </w:tabs>
        <w:ind w:left="270" w:hanging="270"/>
      </w:pPr>
      <w:r>
        <w:t xml:space="preserve">A. </w:t>
      </w:r>
      <w:r w:rsidRPr="00E76F29">
        <w:t>49 CFR part 383, titled “Commercial Driver's License Standards: Requirements and Penalties.”</w:t>
      </w:r>
    </w:p>
    <w:p w:rsidR="00051BD5" w:rsidRPr="00E76F29" w:rsidP="00722B85" w14:paraId="21A5181E" w14:textId="77777777">
      <w:pPr>
        <w:widowControl/>
        <w:tabs>
          <w:tab w:val="left" w:pos="-1440"/>
          <w:tab w:val="left" w:pos="-720"/>
        </w:tabs>
        <w:ind w:left="270" w:hanging="270"/>
      </w:pPr>
      <w:r w:rsidRPr="00E76F29">
        <w:t>B. 49 CFR part 384 titled, “State Compliance with Commercial Driver’s License Program.”</w:t>
      </w:r>
    </w:p>
    <w:p w:rsidR="00051BD5" w:rsidRPr="00E76F29" w:rsidP="00722B85" w14:paraId="559B063F" w14:textId="77777777">
      <w:pPr>
        <w:widowControl/>
        <w:tabs>
          <w:tab w:val="left" w:pos="-1440"/>
          <w:tab w:val="left" w:pos="-720"/>
        </w:tabs>
        <w:ind w:left="270" w:hanging="270"/>
      </w:pPr>
      <w:r w:rsidRPr="00E76F29">
        <w:t>C. Commercial Motor Vehicle Safety Act of 1986 (CMVSA or the Act).</w:t>
      </w:r>
    </w:p>
    <w:p w:rsidR="00051BD5" w:rsidRPr="00E76F29" w:rsidP="00722B85" w14:paraId="374B8670" w14:textId="3D7460B3">
      <w:pPr>
        <w:widowControl/>
        <w:tabs>
          <w:tab w:val="left" w:pos="-1440"/>
          <w:tab w:val="left" w:pos="-720"/>
        </w:tabs>
        <w:ind w:left="270" w:hanging="270"/>
      </w:pPr>
      <w:r w:rsidRPr="00E76F29">
        <w:t xml:space="preserve">D. </w:t>
      </w:r>
      <w:r w:rsidR="005834D5">
        <w:t xml:space="preserve">NPRM, “Amendments to the Commercial Driver’s License Requirements; Increased Flexibility for Testing and for Drivers After Passing the Skills Test” </w:t>
      </w:r>
      <w:r w:rsidR="00C764E3">
        <w:t>89</w:t>
      </w:r>
      <w:r w:rsidR="005834D5">
        <w:t xml:space="preserve"> FR </w:t>
      </w:r>
      <w:r w:rsidR="00C764E3">
        <w:t>7327</w:t>
      </w:r>
      <w:r w:rsidR="005834D5">
        <w:t xml:space="preserve">, </w:t>
      </w:r>
      <w:r w:rsidR="00C764E3">
        <w:t>(February 2, 2024).</w:t>
      </w:r>
    </w:p>
    <w:p w:rsidR="00051BD5" w:rsidRPr="00E76F29" w:rsidP="00722B85" w14:paraId="67715193" w14:textId="1C1B680A">
      <w:pPr>
        <w:widowControl/>
        <w:tabs>
          <w:tab w:val="left" w:pos="-1440"/>
          <w:tab w:val="left" w:pos="-720"/>
        </w:tabs>
        <w:ind w:left="270" w:hanging="270"/>
      </w:pPr>
      <w:r w:rsidRPr="00E76F29">
        <w:t xml:space="preserve">E. </w:t>
      </w:r>
      <w:r w:rsidRPr="00E76F29" w:rsidR="005834D5">
        <w:t>Policy on Availability of Information from the Commercial Driver’s License Information System, January 13, 2005 (70 FR 2454).</w:t>
      </w:r>
    </w:p>
    <w:p w:rsidR="00971C45" w:rsidP="00722B85" w14:paraId="0366F126" w14:textId="77777777">
      <w:pPr>
        <w:widowControl/>
        <w:tabs>
          <w:tab w:val="left" w:pos="-1440"/>
          <w:tab w:val="left" w:pos="-720"/>
        </w:tabs>
      </w:pPr>
    </w:p>
    <w:sectPr w:rsidSect="007A721D">
      <w:footerReference w:type="default" r:id="rId9"/>
      <w:footnotePr>
        <w:numRestart w:val="eachSect"/>
      </w:footnotePr>
      <w:endnotePr>
        <w:numFmt w:val="decimal"/>
      </w:endnotePr>
      <w:pgSz w:w="12240" w:h="15840" w:code="1"/>
      <w:pgMar w:top="1296" w:right="1440" w:bottom="117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151" w:rsidRPr="00C91178" w14:paraId="333DEFAF" w14:textId="75089246">
    <w:pPr>
      <w:pStyle w:val="Footer"/>
      <w:framePr w:w="576" w:wrap="auto" w:vAnchor="page" w:hAnchor="page" w:x="5545" w:y="15121"/>
      <w:jc w:val="right"/>
      <w:rPr>
        <w:rStyle w:val="PageNumber"/>
      </w:rPr>
    </w:pPr>
    <w:r w:rsidRPr="00C91178">
      <w:rPr>
        <w:rStyle w:val="PageNumber"/>
      </w:rPr>
      <w:fldChar w:fldCharType="begin"/>
    </w:r>
    <w:r w:rsidRPr="00C91178">
      <w:rPr>
        <w:rStyle w:val="PageNumber"/>
      </w:rPr>
      <w:instrText xml:space="preserve">PAGE  </w:instrText>
    </w:r>
    <w:r w:rsidRPr="00C91178">
      <w:rPr>
        <w:rStyle w:val="PageNumber"/>
      </w:rPr>
      <w:fldChar w:fldCharType="separate"/>
    </w:r>
    <w:r>
      <w:rPr>
        <w:rStyle w:val="PageNumber"/>
        <w:noProof/>
      </w:rPr>
      <w:t>26</w:t>
    </w:r>
    <w:r w:rsidRPr="00C91178">
      <w:rPr>
        <w:rStyle w:val="PageNumber"/>
      </w:rPr>
      <w:fldChar w:fldCharType="end"/>
    </w:r>
  </w:p>
  <w:p w:rsidR="00A30151" w14:paraId="6A20D2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3B53" w14:paraId="2A08A539" w14:textId="77777777">
      <w:r>
        <w:separator/>
      </w:r>
    </w:p>
  </w:footnote>
  <w:footnote w:type="continuationSeparator" w:id="1">
    <w:p w:rsidR="00293B53" w14:paraId="1C458E70" w14:textId="77777777">
      <w:r>
        <w:continuationSeparator/>
      </w:r>
    </w:p>
  </w:footnote>
  <w:footnote w:type="continuationNotice" w:id="2">
    <w:p w:rsidR="00293B53" w14:paraId="57E515EA" w14:textId="77777777"/>
  </w:footnote>
  <w:footnote w:id="3">
    <w:p w:rsidR="00A30151" w:rsidRPr="00C97039" w14:paraId="24B116F4" w14:textId="40362A5A">
      <w:pPr>
        <w:pStyle w:val="FootnoteText"/>
      </w:pPr>
      <w:r w:rsidRPr="00C97039">
        <w:rPr>
          <w:vertAlign w:val="superscript"/>
        </w:rPr>
        <w:t>(</w:t>
      </w:r>
      <w:r w:rsidRPr="00C97039">
        <w:rPr>
          <w:rStyle w:val="FootnoteReference"/>
        </w:rPr>
        <w:footnoteRef/>
      </w:r>
      <w:r w:rsidRPr="00C97039">
        <w:rPr>
          <w:vertAlign w:val="superscript"/>
        </w:rPr>
        <w:t>)</w:t>
      </w:r>
      <w:r w:rsidRPr="00C97039">
        <w:t xml:space="preserve"> </w:t>
      </w:r>
      <w:r w:rsidRPr="00B20487">
        <w:t xml:space="preserve">Information collected by </w:t>
      </w:r>
      <w:r w:rsidRPr="003F36A4">
        <w:t>U.S. Department of Transportation (DOT), Federal Motor Carrier Safety Administration (FMCSA)</w:t>
      </w:r>
      <w:r w:rsidRPr="00B20487">
        <w:t xml:space="preserve"> MC-ESL in </w:t>
      </w:r>
      <w:r>
        <w:t>February</w:t>
      </w:r>
      <w:r w:rsidRPr="00B20487">
        <w:t xml:space="preserve"> 20</w:t>
      </w:r>
      <w:r>
        <w:t>21</w:t>
      </w:r>
      <w:r w:rsidRPr="00B20487">
        <w:t xml:space="preserve"> from </w:t>
      </w:r>
      <w:r>
        <w:t>the American Association of Motor Vehicles Administrators (AAMVA).</w:t>
      </w:r>
      <w:r w:rsidR="32597AAE">
        <w:t xml:space="preserve"> A growth rate was utilized to generate the 2022 figure. </w:t>
      </w:r>
    </w:p>
  </w:footnote>
  <w:footnote w:id="4">
    <w:p w:rsidR="00A30151" w:rsidRPr="00C97039" w14:paraId="38CA554C" w14:textId="2CD368ED">
      <w:pPr>
        <w:pStyle w:val="FootnoteText"/>
      </w:pPr>
      <w:r w:rsidRPr="00C97039">
        <w:rPr>
          <w:vertAlign w:val="superscript"/>
        </w:rPr>
        <w:t>(</w:t>
      </w:r>
      <w:r w:rsidRPr="00C97039">
        <w:rPr>
          <w:rStyle w:val="FootnoteReference"/>
        </w:rPr>
        <w:footnoteRef/>
      </w:r>
      <w:r w:rsidRPr="00C97039">
        <w:rPr>
          <w:vertAlign w:val="superscript"/>
        </w:rPr>
        <w:t>)</w:t>
      </w:r>
      <w:r w:rsidRPr="00C97039">
        <w:t xml:space="preserve"> </w:t>
      </w:r>
      <w:r>
        <w:t>Information collected from AAMVA by the U.S. DOT, FMCSA MC-ESL and analyzed by MC-P in February 2021.</w:t>
      </w:r>
      <w:r w:rsidR="32597AAE">
        <w:t xml:space="preserve"> A growth rate was utilized to generate the 2022 figure.</w:t>
      </w:r>
    </w:p>
  </w:footnote>
  <w:footnote w:id="5">
    <w:p w:rsidR="00A30151" w:rsidRPr="00C97039" w14:paraId="45372976" w14:textId="628B1B94">
      <w:pPr>
        <w:pStyle w:val="FootnoteText"/>
      </w:pPr>
      <w:r w:rsidRPr="00C97039">
        <w:rPr>
          <w:vertAlign w:val="superscript"/>
        </w:rPr>
        <w:t>(</w:t>
      </w:r>
      <w:r w:rsidRPr="00C97039">
        <w:rPr>
          <w:rStyle w:val="FootnoteReference"/>
        </w:rPr>
        <w:footnoteRef/>
      </w:r>
      <w:r w:rsidRPr="00C97039">
        <w:rPr>
          <w:vertAlign w:val="superscript"/>
        </w:rPr>
        <w:t>)</w:t>
      </w:r>
      <w:r w:rsidRPr="00C97039">
        <w:t xml:space="preserve"> </w:t>
      </w:r>
      <w:r w:rsidRPr="00B20487">
        <w:t>AAMVA</w:t>
      </w:r>
      <w:r>
        <w:t>,</w:t>
      </w:r>
      <w:r w:rsidRPr="00B20487">
        <w:t xml:space="preserve"> </w:t>
      </w:r>
      <w:r>
        <w:t>“</w:t>
      </w:r>
      <w:r w:rsidRPr="00B20487">
        <w:t>CDLIS MPR Summary Report CD90.7.2 for CY20</w:t>
      </w:r>
      <w:r>
        <w:t>20</w:t>
      </w:r>
      <w:r w:rsidRPr="00B20487">
        <w:t xml:space="preserve"> for all 51 CDLIS jurisdictions</w:t>
      </w:r>
      <w:r>
        <w:t>” (February 2021).</w:t>
      </w:r>
      <w:r w:rsidR="32597AAE">
        <w:t xml:space="preserve"> A growth rate was utilized to generate the 2022 figure.</w:t>
      </w:r>
    </w:p>
  </w:footnote>
  <w:footnote w:id="6">
    <w:p w:rsidR="00A30151" w:rsidRPr="00C97039" w:rsidP="7827EEF5" w14:paraId="703E8070" w14:textId="77C8FB06">
      <w:pPr>
        <w:pStyle w:val="FootnoteText"/>
      </w:pPr>
      <w:bookmarkStart w:id="3" w:name="_Hlk527727184"/>
      <w:r w:rsidRPr="00C97039">
        <w:rPr>
          <w:vertAlign w:val="superscript"/>
        </w:rPr>
        <w:t>(</w:t>
      </w:r>
      <w:r w:rsidRPr="00C97039">
        <w:rPr>
          <w:rStyle w:val="FootnoteReference"/>
        </w:rPr>
        <w:footnoteRef/>
      </w:r>
      <w:r w:rsidRPr="00C97039">
        <w:rPr>
          <w:vertAlign w:val="superscript"/>
        </w:rPr>
        <w:t>)</w:t>
      </w:r>
      <w:r w:rsidRPr="00C97039">
        <w:t xml:space="preserve"> </w:t>
      </w:r>
      <w:r w:rsidRPr="003F36A4">
        <w:t>U.S. Department of Transportation (DOT), Federal Motor Carrier Safety Administration (FMCSA)</w:t>
      </w:r>
      <w:r>
        <w:t xml:space="preserve">, “2022 Pocket Guide to Large Truck and Bus Statistics.” December 2022. Available at </w:t>
      </w:r>
      <w:r w:rsidRPr="00D6519E" w:rsidR="00D6519E">
        <w:t>https://www.fmcsa.dot.gov/sites/fmcsa.dot.gov/files/2022-12/FMCSA%20Pocket%20Guide%202022-FINAL%20508%20121922_0.pdf</w:t>
      </w:r>
      <w:r w:rsidRPr="7827EEF5">
        <w:rPr>
          <w:rStyle w:val="Hyperlink"/>
        </w:rPr>
        <w:t>.</w:t>
      </w:r>
    </w:p>
    <w:bookmarkEnd w:id="3"/>
  </w:footnote>
  <w:footnote w:id="7">
    <w:p w:rsidR="00A30151" w:rsidP="00911461" w14:paraId="28D22A19" w14:textId="0F6BE902">
      <w:pPr>
        <w:pStyle w:val="FootnoteText"/>
      </w:pPr>
      <w:r w:rsidRPr="00C97039">
        <w:rPr>
          <w:vertAlign w:val="superscript"/>
        </w:rPr>
        <w:t>(</w:t>
      </w:r>
      <w:r w:rsidRPr="00C97039">
        <w:rPr>
          <w:rStyle w:val="FootnoteReference"/>
        </w:rPr>
        <w:footnoteRef/>
      </w:r>
      <w:r w:rsidRPr="00C97039">
        <w:rPr>
          <w:vertAlign w:val="superscript"/>
        </w:rPr>
        <w:t>)</w:t>
      </w:r>
      <w:r>
        <w:rPr>
          <w:vertAlign w:val="superscript"/>
        </w:rPr>
        <w:t xml:space="preserve"> </w:t>
      </w:r>
      <w:r w:rsidRPr="00B20487">
        <w:t>AAMVA</w:t>
      </w:r>
      <w:r>
        <w:t>,</w:t>
      </w:r>
      <w:r w:rsidRPr="00B20487">
        <w:t xml:space="preserve"> </w:t>
      </w:r>
      <w:r>
        <w:t>“</w:t>
      </w:r>
      <w:r w:rsidRPr="00B20487">
        <w:t>CDLIS MPR Summary Report CD90.7.2 for CY20</w:t>
      </w:r>
      <w:r>
        <w:t>20</w:t>
      </w:r>
      <w:r w:rsidRPr="00B20487">
        <w:t xml:space="preserve"> for all 51 CDLIS jurisdictions</w:t>
      </w:r>
      <w:r>
        <w:t>” (February 2021).</w:t>
      </w:r>
      <w:r w:rsidR="32597AAE">
        <w:t xml:space="preserve"> A growth rate was utilized to generate the 2022 figure.</w:t>
      </w:r>
    </w:p>
  </w:footnote>
  <w:footnote w:id="8">
    <w:p w:rsidR="00A30151" w:rsidP="009C040A" w14:paraId="6DD01AD3" w14:textId="3F0E1AD6">
      <w:pPr>
        <w:pStyle w:val="FootnoteText"/>
      </w:pPr>
      <w:r w:rsidRPr="00C97039">
        <w:rPr>
          <w:vertAlign w:val="superscript"/>
        </w:rPr>
        <w:t>(</w:t>
      </w:r>
      <w:r w:rsidRPr="00C97039" w:rsidR="006717B4">
        <w:rPr>
          <w:rStyle w:val="FootnoteReference"/>
        </w:rPr>
        <w:footnoteRef/>
      </w:r>
      <w:r w:rsidRPr="00C97039">
        <w:rPr>
          <w:vertAlign w:val="superscript"/>
        </w:rPr>
        <w:t>)</w:t>
      </w:r>
      <w:r w:rsidRPr="00C97039">
        <w:t xml:space="preserve"> </w:t>
      </w:r>
      <w:r w:rsidRPr="00E8574A">
        <w:t>Bureau</w:t>
      </w:r>
      <w:r>
        <w:t xml:space="preserve"> of Labor Statistics,</w:t>
      </w:r>
      <w:r w:rsidRPr="00E8574A">
        <w:t xml:space="preserve"> </w:t>
      </w:r>
      <w:r>
        <w:t xml:space="preserve">“Employment Growth Projections (2016-2026).” Available at </w:t>
      </w:r>
      <w:hyperlink r:id="rId1" w:history="1">
        <w:r w:rsidRPr="004379D7">
          <w:rPr>
            <w:rStyle w:val="Hyperlink"/>
          </w:rPr>
          <w:t>data.bls.gov/projections/</w:t>
        </w:r>
        <w:r w:rsidRPr="004379D7">
          <w:rPr>
            <w:rStyle w:val="Hyperlink"/>
          </w:rPr>
          <w:t>occupationProj</w:t>
        </w:r>
      </w:hyperlink>
      <w:r>
        <w:t xml:space="preserve"> .  The Agency created a composite growth rate for driver occupations typically or potentially r</w:t>
      </w:r>
      <w:r w:rsidRPr="009C040A">
        <w:t>equiring a CDL</w:t>
      </w:r>
      <w:r>
        <w:t xml:space="preserve"> by weighting the compound annual growth rate in e</w:t>
      </w:r>
      <w:r w:rsidRPr="009C040A">
        <w:t>mployment (2016-2026)</w:t>
      </w:r>
      <w:r>
        <w:t xml:space="preserve"> for h</w:t>
      </w:r>
      <w:r w:rsidRPr="009C040A">
        <w:t>eavy and tractor-trailer truck drivers</w:t>
      </w:r>
      <w:r>
        <w:t xml:space="preserve"> (Standard Occupational Classification (SOC Code 53-3032), b</w:t>
      </w:r>
      <w:r w:rsidRPr="009C040A">
        <w:t xml:space="preserve">us drivers, </w:t>
      </w:r>
      <w:r w:rsidRPr="009C040A">
        <w:t>school</w:t>
      </w:r>
      <w:r w:rsidRPr="009C040A">
        <w:t xml:space="preserve"> or special client</w:t>
      </w:r>
      <w:r>
        <w:t xml:space="preserve"> (SOC Code 53-3022), and b</w:t>
      </w:r>
      <w:r w:rsidRPr="009C040A">
        <w:t>us drivers, transit and intercity</w:t>
      </w:r>
      <w:r>
        <w:t xml:space="preserve"> (SOC Code </w:t>
      </w:r>
      <w:r w:rsidRPr="009C040A">
        <w:t>53-3021</w:t>
      </w:r>
      <w:r>
        <w:t>) by total employment in each SOC in 2016.</w:t>
      </w:r>
    </w:p>
  </w:footnote>
  <w:footnote w:id="9">
    <w:p w:rsidR="00A30151" w:rsidRPr="00E8574A" w:rsidP="006C3FF8" w14:paraId="63A204B7" w14:textId="66E8D492">
      <w:pPr>
        <w:pStyle w:val="FootnoteText"/>
      </w:pPr>
      <w:r w:rsidRPr="00E8574A">
        <w:rPr>
          <w:vertAlign w:val="superscript"/>
        </w:rPr>
        <w:t>(</w:t>
      </w:r>
      <w:r w:rsidRPr="00E8574A">
        <w:rPr>
          <w:rStyle w:val="FootnoteReference"/>
        </w:rPr>
        <w:footnoteRef/>
      </w:r>
      <w:r w:rsidRPr="00E8574A">
        <w:rPr>
          <w:vertAlign w:val="superscript"/>
        </w:rPr>
        <w:t>)</w:t>
      </w:r>
      <w:r w:rsidRPr="00E8574A">
        <w:t xml:space="preserve"> Bureau</w:t>
      </w:r>
      <w:r>
        <w:t xml:space="preserve"> of Labor Statistics,</w:t>
      </w:r>
      <w:r w:rsidRPr="00E8574A">
        <w:t xml:space="preserve"> “May 2021 National Occupational Employment and Wage Estimates</w:t>
      </w:r>
    </w:p>
    <w:p w:rsidR="00A30151" w:rsidRPr="00E8574A" w:rsidP="006C3FF8" w14:paraId="599BC841" w14:textId="30BD75D0">
      <w:pPr>
        <w:pStyle w:val="FootnoteText"/>
      </w:pPr>
      <w:r>
        <w:t>United States.” Available at https://www.bls.gov/oes/2021/may/oes_stru.htm#53-0000.</w:t>
      </w:r>
    </w:p>
  </w:footnote>
  <w:footnote w:id="10">
    <w:p w:rsidR="00F548CD" w:rsidRPr="00F01C9E" w:rsidP="00F548CD" w14:paraId="038CCACB" w14:textId="3E78D179">
      <w:pPr>
        <w:pStyle w:val="FootnoteText"/>
      </w:pPr>
      <w:r w:rsidRPr="15A85529">
        <w:rPr>
          <w:rStyle w:val="FootnoteReference"/>
        </w:rPr>
        <w:t>(</w:t>
      </w:r>
      <w:r w:rsidRPr="00F01C9E">
        <w:rPr>
          <w:rStyle w:val="FootnoteReference"/>
        </w:rPr>
        <w:footnoteRef/>
      </w:r>
      <w:r w:rsidRPr="15A85529">
        <w:rPr>
          <w:rStyle w:val="FootnoteReference"/>
        </w:rPr>
        <w:t>)</w:t>
      </w:r>
      <w:r>
        <w:t xml:space="preserve"> Bureau of Labor Statistics (2019). “Table 4. Employer Costs for Employee Compensation for private industry workers by occupational and industry group, May 2021.” Available at </w:t>
      </w:r>
      <w:hyperlink r:id="rId2" w:history="1">
        <w:r w:rsidRPr="15A85529">
          <w:rPr>
            <w:rStyle w:val="Hyperlink"/>
          </w:rPr>
          <w:t>https://www.bls.gov/news.release/ecec.t04.htm</w:t>
        </w:r>
      </w:hyperlink>
      <w:r>
        <w:t xml:space="preserve"> (accessed August 12, 2021).</w:t>
      </w:r>
    </w:p>
  </w:footnote>
  <w:footnote w:id="11">
    <w:p w:rsidR="00A30151" w:rsidRPr="002C138A" w14:paraId="65FF50EB" w14:textId="3245AC99">
      <w:pPr>
        <w:pStyle w:val="FootnoteText"/>
      </w:pPr>
      <w:r w:rsidRPr="002C138A">
        <w:rPr>
          <w:vertAlign w:val="superscript"/>
        </w:rPr>
        <w:t>(</w:t>
      </w:r>
      <w:r w:rsidRPr="002C138A">
        <w:rPr>
          <w:rStyle w:val="FootnoteReference"/>
        </w:rPr>
        <w:footnoteRef/>
      </w:r>
      <w:r w:rsidRPr="002C138A">
        <w:rPr>
          <w:vertAlign w:val="superscript"/>
        </w:rPr>
        <w:t>)</w:t>
      </w:r>
      <w:r>
        <w:rPr>
          <w:vertAlign w:val="superscript"/>
        </w:rPr>
        <w:t xml:space="preserve"> </w:t>
      </w:r>
      <w:r>
        <w:t>Government Accountability Office, “Commercial Driver’s Licensing: Federal Oversight of State Programs Could be Improved</w:t>
      </w:r>
      <w:r w:rsidRPr="002C138A">
        <w:t>.</w:t>
      </w:r>
      <w:r>
        <w:t xml:space="preserve">” Available at </w:t>
      </w:r>
      <w:hyperlink r:id="rId3" w:history="1">
        <w:r w:rsidRPr="004379D7">
          <w:rPr>
            <w:rStyle w:val="Hyperlink"/>
          </w:rPr>
          <w:t>www.gao.gov/products/GAO-15-607</w:t>
        </w:r>
      </w:hyperlink>
      <w:r>
        <w:rPr>
          <w:rStyle w:val="Hyperlink"/>
        </w:rPr>
        <w:t xml:space="preserve"> </w:t>
      </w:r>
      <w:r w:rsidRPr="007F2CB7">
        <w:rPr>
          <w:rStyle w:val="Hyperlink"/>
          <w:color w:val="auto"/>
        </w:rPr>
        <w:t>(</w:t>
      </w:r>
      <w:r>
        <w:t xml:space="preserve">accessed March 1, 2018).  The GAO notes that of the 50 licensing agencies surveyed, 31 “reported that, in 2014, between 20 and 50 percent of applicants failed the test on their first attempt.” FMCSA believes the assumption of a 25% failure rate is reasonable considering the </w:t>
      </w:r>
      <w:r w:rsidRPr="00947861">
        <w:t xml:space="preserve">average skills failure rate when </w:t>
      </w:r>
      <w:r w:rsidRPr="00947861">
        <w:t>taking into account</w:t>
      </w:r>
      <w:r w:rsidRPr="00947861">
        <w:t xml:space="preserve"> tests that allow banking (19%) and tests </w:t>
      </w:r>
      <w:r>
        <w:t>that don't allow banking (28%), and w</w:t>
      </w:r>
      <w:r w:rsidRPr="00947861">
        <w:t>hen looking at s</w:t>
      </w:r>
      <w:r>
        <w:t>t</w:t>
      </w:r>
      <w:r w:rsidRPr="00947861">
        <w:t xml:space="preserve">ates using only state testing locations vs allowing third-party sites, the mean failure rate came out to 22%. </w:t>
      </w:r>
    </w:p>
  </w:footnote>
  <w:footnote w:id="12">
    <w:p w:rsidR="00A30151" w:rsidRPr="00F94A52" w:rsidP="002B3291" w14:paraId="648AE446" w14:textId="23585DE9">
      <w:pPr>
        <w:pStyle w:val="FootnoteText"/>
      </w:pPr>
      <w:r w:rsidRPr="00F94A52">
        <w:rPr>
          <w:vertAlign w:val="superscript"/>
        </w:rPr>
        <w:t>(</w:t>
      </w:r>
      <w:r w:rsidRPr="00F94A52" w:rsidR="006717B4">
        <w:rPr>
          <w:rStyle w:val="FootnoteReference"/>
        </w:rPr>
        <w:footnoteRef/>
      </w:r>
      <w:r w:rsidRPr="00F94A52">
        <w:rPr>
          <w:vertAlign w:val="superscript"/>
        </w:rPr>
        <w:t>)</w:t>
      </w:r>
      <w:r w:rsidRPr="00F94A52">
        <w:t xml:space="preserve"> Bureau of Labor Sta</w:t>
      </w:r>
      <w:r>
        <w:t>tistics,</w:t>
      </w:r>
      <w:r w:rsidRPr="00F94A52">
        <w:t xml:space="preserve"> “May 20</w:t>
      </w:r>
      <w:r>
        <w:t>21</w:t>
      </w:r>
      <w:r w:rsidRPr="00F94A52">
        <w:t xml:space="preserve"> National Occupational Employment and Wage Estimates</w:t>
      </w:r>
      <w:r>
        <w:t xml:space="preserve"> </w:t>
      </w:r>
      <w:r w:rsidRPr="00F94A52">
        <w:t xml:space="preserve">United States: NAICS 999000 - Federal, State, and Local Government, excluding state and local schools and hospitals and the U.S. Postal Service (OES Designation).” Available at </w:t>
      </w:r>
      <w:hyperlink r:id="rId4" w:history="1">
        <w:r w:rsidRPr="001F19C1">
          <w:rPr>
            <w:rStyle w:val="Hyperlink"/>
          </w:rPr>
          <w:t>www.bls.gov/oes/current/naics3_999000.htm</w:t>
        </w:r>
      </w:hyperlink>
      <w:r w:rsidRPr="00F94A52">
        <w:t>.</w:t>
      </w:r>
    </w:p>
  </w:footnote>
  <w:footnote w:id="13">
    <w:p w:rsidR="00A30151" w:rsidRPr="00F94A52" w:rsidP="00F00D91" w14:paraId="3F644784" w14:textId="43D55DF4">
      <w:pPr>
        <w:pStyle w:val="FootnoteText"/>
      </w:pPr>
      <w:r w:rsidRPr="00F94A52">
        <w:rPr>
          <w:vertAlign w:val="superscript"/>
        </w:rPr>
        <w:t>(</w:t>
      </w:r>
      <w:r w:rsidRPr="00F94A52" w:rsidR="006717B4">
        <w:rPr>
          <w:rStyle w:val="FootnoteReference"/>
        </w:rPr>
        <w:footnoteRef/>
      </w:r>
      <w:r w:rsidRPr="00F94A52">
        <w:rPr>
          <w:vertAlign w:val="superscript"/>
        </w:rPr>
        <w:t>)</w:t>
      </w:r>
      <w:r w:rsidRPr="00F94A52">
        <w:t xml:space="preserve"> Bureau of</w:t>
      </w:r>
      <w:r>
        <w:t xml:space="preserve"> Labor Statistics,</w:t>
      </w:r>
      <w:r w:rsidRPr="00F94A52">
        <w:t xml:space="preserve"> “Table 3. State and local government, by major occupational and industry group.” </w:t>
      </w:r>
      <w:hyperlink r:id="rId5" w:history="1">
        <w:r w:rsidRPr="001C2E79">
          <w:rPr>
            <w:color w:val="0000FF"/>
            <w:u w:val="single"/>
          </w:rPr>
          <w:t>Employer Costs for Employee Compensation - December 2021</w:t>
        </w:r>
      </w:hyperlink>
      <w:r w:rsidRPr="00F94A52">
        <w:t>.</w:t>
      </w:r>
    </w:p>
  </w:footnote>
  <w:footnote w:id="14">
    <w:p w:rsidR="00A30151" w14:paraId="051876FC" w14:textId="14B853C6">
      <w:pPr>
        <w:pStyle w:val="FootnoteText"/>
      </w:pPr>
      <w:r w:rsidRPr="00F94A52">
        <w:rPr>
          <w:vertAlign w:val="superscript"/>
        </w:rPr>
        <w:t>(</w:t>
      </w:r>
      <w:r w:rsidRPr="00F94A52">
        <w:rPr>
          <w:rStyle w:val="FootnoteReference"/>
        </w:rPr>
        <w:footnoteRef/>
      </w:r>
      <w:r w:rsidRPr="00F94A52">
        <w:rPr>
          <w:vertAlign w:val="superscript"/>
        </w:rPr>
        <w:t>)</w:t>
      </w:r>
      <w:r w:rsidRPr="00F94A52">
        <w:t xml:space="preserve"> </w:t>
      </w:r>
      <w:r w:rsidRPr="003F36A4">
        <w:t>U.S. Department of Transportation (DOT), Federal Motor Carrier Safety Administration (FMCSA)</w:t>
      </w:r>
      <w:r>
        <w:t xml:space="preserve">, “2020 Pocket Guide to Large Truck and Bus Statistics.” Available at </w:t>
      </w:r>
      <w:hyperlink r:id="rId6" w:history="1">
        <w:r w:rsidRPr="004379D7">
          <w:rPr>
            <w:rStyle w:val="Hyperlink"/>
          </w:rPr>
          <w:t>www.fmcsa.dot.gov/safety/data-and-statistics/commercial-motor-vehicle-facts</w:t>
        </w:r>
      </w:hyperlink>
      <w:r>
        <w:t xml:space="preserve">.  </w:t>
      </w:r>
    </w:p>
  </w:footnote>
  <w:footnote w:id="15">
    <w:p w:rsidR="00A30151" w:rsidRPr="00A75FE2" w14:paraId="169967D5" w14:textId="25C8356B">
      <w:pPr>
        <w:pStyle w:val="FootnoteText"/>
      </w:pPr>
      <w:r w:rsidRPr="00A75FE2">
        <w:rPr>
          <w:vertAlign w:val="superscript"/>
        </w:rPr>
        <w:t>(</w:t>
      </w:r>
      <w:r w:rsidRPr="00A75FE2">
        <w:rPr>
          <w:rStyle w:val="FootnoteReference"/>
        </w:rPr>
        <w:footnoteRef/>
      </w:r>
      <w:r w:rsidRPr="00A75FE2">
        <w:rPr>
          <w:vertAlign w:val="superscript"/>
        </w:rPr>
        <w:t>)</w:t>
      </w:r>
      <w:r w:rsidRPr="00A75FE2">
        <w:t xml:space="preserve"> Id. at </w:t>
      </w:r>
      <w:r w:rsidRPr="00A75FE2">
        <w:fldChar w:fldCharType="begin"/>
      </w:r>
      <w:r w:rsidRPr="00A75FE2">
        <w:instrText xml:space="preserve"> NOTEREF _Ref508721700 \h </w:instrText>
      </w:r>
      <w:r>
        <w:instrText xml:space="preserve"> \* MERGEFORMAT </w:instrText>
      </w:r>
      <w:r w:rsidRPr="00A75FE2">
        <w:fldChar w:fldCharType="separate"/>
      </w:r>
      <w:r w:rsidR="006A6CBC">
        <w:t>9</w:t>
      </w:r>
      <w:r w:rsidRPr="00A75FE2">
        <w:fldChar w:fldCharType="end"/>
      </w:r>
      <w:r w:rsidRPr="00A75FE2">
        <w:t>.</w:t>
      </w:r>
    </w:p>
  </w:footnote>
  <w:footnote w:id="16">
    <w:p w:rsidR="00A30151" w:rsidRPr="00220FE6" w14:paraId="16311865" w14:textId="57CE0588">
      <w:pPr>
        <w:pStyle w:val="FootnoteText"/>
      </w:pPr>
      <w:r w:rsidRPr="00220FE6">
        <w:rPr>
          <w:vertAlign w:val="superscript"/>
        </w:rPr>
        <w:t>(</w:t>
      </w:r>
      <w:r w:rsidRPr="00220FE6">
        <w:rPr>
          <w:rStyle w:val="FootnoteReference"/>
        </w:rPr>
        <w:footnoteRef/>
      </w:r>
      <w:r w:rsidRPr="00220FE6">
        <w:rPr>
          <w:vertAlign w:val="superscript"/>
        </w:rPr>
        <w:t>)</w:t>
      </w:r>
      <w:r w:rsidRPr="00220FE6">
        <w:t xml:space="preserve"> </w:t>
      </w:r>
      <w:r>
        <w:t xml:space="preserve">Email from </w:t>
      </w:r>
      <w:r w:rsidRPr="004B27E1">
        <w:t>American Association of Motor Vehicle Administrators</w:t>
      </w:r>
      <w:r>
        <w:t xml:space="preserve"> (AAMVA) to FMCSA on March</w:t>
      </w:r>
      <w:r w:rsidRPr="00220FE6">
        <w:t xml:space="preserve"> 1</w:t>
      </w:r>
      <w:r>
        <w:t>1</w:t>
      </w:r>
      <w:r w:rsidRPr="00220FE6">
        <w:t>,</w:t>
      </w:r>
      <w:r>
        <w:t xml:space="preserve"> </w:t>
      </w:r>
      <w:r w:rsidRPr="00220FE6">
        <w:t>20</w:t>
      </w:r>
      <w:r>
        <w:t>21</w:t>
      </w:r>
      <w:r w:rsidRPr="00220FE6">
        <w:t>.</w:t>
      </w:r>
    </w:p>
  </w:footnote>
  <w:footnote w:id="17">
    <w:p w:rsidR="00A30151" w14:paraId="74818F23" w14:textId="77777777">
      <w:pPr>
        <w:pStyle w:val="FootnoteText"/>
      </w:pPr>
      <w:r w:rsidRPr="00220FE6">
        <w:rPr>
          <w:vertAlign w:val="superscript"/>
        </w:rPr>
        <w:t>(</w:t>
      </w:r>
      <w:r w:rsidRPr="00220FE6">
        <w:rPr>
          <w:rStyle w:val="FootnoteReference"/>
        </w:rPr>
        <w:footnoteRef/>
      </w:r>
      <w:r w:rsidRPr="00220FE6">
        <w:rPr>
          <w:vertAlign w:val="superscript"/>
        </w:rPr>
        <w:t>)</w:t>
      </w:r>
      <w:r w:rsidRPr="00220FE6">
        <w:t xml:space="preserve"> </w:t>
      </w:r>
      <w:r>
        <w:t>Id</w:t>
      </w:r>
      <w:r w:rsidRPr="00220FE6">
        <w:t>.</w:t>
      </w:r>
    </w:p>
  </w:footnote>
  <w:footnote w:id="18">
    <w:p w:rsidR="00A30151" w:rsidP="35F4F6B6" w14:paraId="7D4841D8" w14:textId="3E239FAE">
      <w:pPr>
        <w:pStyle w:val="FootnoteText"/>
      </w:pPr>
      <w:r>
        <w:rPr>
          <w:rStyle w:val="FootnoteReference"/>
        </w:rPr>
        <w:footnoteRef/>
      </w:r>
      <w:r w:rsidR="35F4F6B6">
        <w:t xml:space="preserve"> Office of Personnel Management, “2023 General Schedule (GS) Locality Pay Tables”. </w:t>
      </w:r>
      <w:hyperlink r:id="rId7" w:history="1">
        <w:r w:rsidRPr="35F4F6B6" w:rsidR="35F4F6B6">
          <w:rPr>
            <w:rStyle w:val="Hyperlink"/>
          </w:rPr>
          <w:t>SALARY TABLE 2023-DCB (opm.gov)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11A08A0"/>
    <w:lvl w:ilvl="0">
      <w:start w:val="1"/>
      <w:numFmt w:val="decimal"/>
      <w:lvlText w:val="%1."/>
      <w:lvlJc w:val="left"/>
      <w:pPr>
        <w:tabs>
          <w:tab w:val="num" w:pos="1800"/>
        </w:tabs>
        <w:ind w:left="1800" w:hanging="360"/>
      </w:pPr>
    </w:lvl>
  </w:abstractNum>
  <w:abstractNum w:abstractNumId="1">
    <w:nsid w:val="FFFFFF7D"/>
    <w:multiLevelType w:val="singleLevel"/>
    <w:tmpl w:val="47DE975C"/>
    <w:lvl w:ilvl="0">
      <w:start w:val="1"/>
      <w:numFmt w:val="decimal"/>
      <w:lvlText w:val="%1."/>
      <w:lvlJc w:val="left"/>
      <w:pPr>
        <w:tabs>
          <w:tab w:val="num" w:pos="1440"/>
        </w:tabs>
        <w:ind w:left="1440" w:hanging="360"/>
      </w:pPr>
    </w:lvl>
  </w:abstractNum>
  <w:abstractNum w:abstractNumId="2">
    <w:nsid w:val="FFFFFF7E"/>
    <w:multiLevelType w:val="singleLevel"/>
    <w:tmpl w:val="1DD4B4CA"/>
    <w:lvl w:ilvl="0">
      <w:start w:val="1"/>
      <w:numFmt w:val="decimal"/>
      <w:lvlText w:val="%1."/>
      <w:lvlJc w:val="left"/>
      <w:pPr>
        <w:tabs>
          <w:tab w:val="num" w:pos="1080"/>
        </w:tabs>
        <w:ind w:left="1080" w:hanging="360"/>
      </w:pPr>
    </w:lvl>
  </w:abstractNum>
  <w:abstractNum w:abstractNumId="3">
    <w:nsid w:val="FFFFFF7F"/>
    <w:multiLevelType w:val="singleLevel"/>
    <w:tmpl w:val="89FE569C"/>
    <w:lvl w:ilvl="0">
      <w:start w:val="1"/>
      <w:numFmt w:val="decimal"/>
      <w:lvlText w:val="%1."/>
      <w:lvlJc w:val="left"/>
      <w:pPr>
        <w:tabs>
          <w:tab w:val="num" w:pos="720"/>
        </w:tabs>
        <w:ind w:left="720" w:hanging="360"/>
      </w:pPr>
    </w:lvl>
  </w:abstractNum>
  <w:abstractNum w:abstractNumId="4">
    <w:nsid w:val="FFFFFF80"/>
    <w:multiLevelType w:val="singleLevel"/>
    <w:tmpl w:val="1436B7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1A59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6F263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ACF0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8FED742"/>
    <w:lvl w:ilvl="0">
      <w:start w:val="1"/>
      <w:numFmt w:val="decimal"/>
      <w:lvlText w:val="%1."/>
      <w:lvlJc w:val="left"/>
      <w:pPr>
        <w:tabs>
          <w:tab w:val="num" w:pos="360"/>
        </w:tabs>
        <w:ind w:left="360" w:hanging="360"/>
      </w:pPr>
    </w:lvl>
  </w:abstractNum>
  <w:abstractNum w:abstractNumId="9">
    <w:nsid w:val="FFFFFF89"/>
    <w:multiLevelType w:val="singleLevel"/>
    <w:tmpl w:val="1D08208C"/>
    <w:lvl w:ilvl="0">
      <w:start w:val="1"/>
      <w:numFmt w:val="bullet"/>
      <w:lvlText w:val=""/>
      <w:lvlJc w:val="left"/>
      <w:pPr>
        <w:tabs>
          <w:tab w:val="num" w:pos="360"/>
        </w:tabs>
        <w:ind w:left="360" w:hanging="360"/>
      </w:pPr>
      <w:rPr>
        <w:rFonts w:ascii="Symbol" w:hAnsi="Symbol" w:hint="default"/>
      </w:rPr>
    </w:lvl>
  </w:abstractNum>
  <w:abstractNum w:abstractNumId="10">
    <w:nsid w:val="072E10CE"/>
    <w:multiLevelType w:val="hybridMultilevel"/>
    <w:tmpl w:val="FA9830F6"/>
    <w:lvl w:ilvl="0">
      <w:start w:val="1"/>
      <w:numFmt w:val="decimal"/>
      <w:lvlText w:val="%1."/>
      <w:lvlJc w:val="left"/>
      <w:pPr>
        <w:ind w:left="720" w:hanging="360"/>
      </w:pPr>
      <w:rPr>
        <w:rFonts w:ascii="Letter Gothic 12cpi" w:hAnsi="Letter Gothic 12cp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D6518A"/>
    <w:multiLevelType w:val="hybridMultilevel"/>
    <w:tmpl w:val="6FF0E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02D50D3"/>
    <w:multiLevelType w:val="hybridMultilevel"/>
    <w:tmpl w:val="D174E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EB2C19"/>
    <w:multiLevelType w:val="hybridMultilevel"/>
    <w:tmpl w:val="5418B4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1F35C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35F45A0"/>
    <w:multiLevelType w:val="hybridMultilevel"/>
    <w:tmpl w:val="9B603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BF132FB"/>
    <w:multiLevelType w:val="hybridMultilevel"/>
    <w:tmpl w:val="4D54E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9D510E"/>
    <w:multiLevelType w:val="hybridMultilevel"/>
    <w:tmpl w:val="B706F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FB80CCC"/>
    <w:multiLevelType w:val="hybridMultilevel"/>
    <w:tmpl w:val="3EEE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AD07BF"/>
    <w:multiLevelType w:val="hybridMultilevel"/>
    <w:tmpl w:val="A9C20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2E73C1"/>
    <w:multiLevelType w:val="hybridMultilevel"/>
    <w:tmpl w:val="ECAAF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2249E1"/>
    <w:multiLevelType w:val="hybridMultilevel"/>
    <w:tmpl w:val="15548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5D033B"/>
    <w:multiLevelType w:val="hybridMultilevel"/>
    <w:tmpl w:val="3466B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99964FE"/>
    <w:multiLevelType w:val="hybridMultilevel"/>
    <w:tmpl w:val="7BC26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4055C0"/>
    <w:multiLevelType w:val="hybridMultilevel"/>
    <w:tmpl w:val="C7823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6A449B"/>
    <w:multiLevelType w:val="hybridMultilevel"/>
    <w:tmpl w:val="57749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AE3D1F"/>
    <w:multiLevelType w:val="hybridMultilevel"/>
    <w:tmpl w:val="3C6C6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2C60350"/>
    <w:multiLevelType w:val="hybridMultilevel"/>
    <w:tmpl w:val="8FAC4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7F6A7B"/>
    <w:multiLevelType w:val="hybridMultilevel"/>
    <w:tmpl w:val="8098A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5504FAB"/>
    <w:multiLevelType w:val="hybridMultilevel"/>
    <w:tmpl w:val="286E5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9D6886"/>
    <w:multiLevelType w:val="hybridMultilevel"/>
    <w:tmpl w:val="46629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B10FB0"/>
    <w:multiLevelType w:val="hybridMultilevel"/>
    <w:tmpl w:val="7282465E"/>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FC62A11"/>
    <w:multiLevelType w:val="hybridMultilevel"/>
    <w:tmpl w:val="9EB638EE"/>
    <w:lvl w:ilvl="0">
      <w:start w:val="2"/>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7938653">
    <w:abstractNumId w:val="14"/>
  </w:num>
  <w:num w:numId="2" w16cid:durableId="377122360">
    <w:abstractNumId w:val="31"/>
  </w:num>
  <w:num w:numId="3" w16cid:durableId="1859808109">
    <w:abstractNumId w:val="32"/>
  </w:num>
  <w:num w:numId="4" w16cid:durableId="1754623915">
    <w:abstractNumId w:val="23"/>
  </w:num>
  <w:num w:numId="5" w16cid:durableId="1385834963">
    <w:abstractNumId w:val="28"/>
  </w:num>
  <w:num w:numId="6" w16cid:durableId="1700155773">
    <w:abstractNumId w:val="24"/>
  </w:num>
  <w:num w:numId="7" w16cid:durableId="1184635532">
    <w:abstractNumId w:val="18"/>
  </w:num>
  <w:num w:numId="8" w16cid:durableId="1217666489">
    <w:abstractNumId w:val="25"/>
  </w:num>
  <w:num w:numId="9" w16cid:durableId="912278090">
    <w:abstractNumId w:val="15"/>
  </w:num>
  <w:num w:numId="10" w16cid:durableId="505242998">
    <w:abstractNumId w:val="27"/>
  </w:num>
  <w:num w:numId="11" w16cid:durableId="869689559">
    <w:abstractNumId w:val="30"/>
  </w:num>
  <w:num w:numId="12" w16cid:durableId="349574602">
    <w:abstractNumId w:val="17"/>
  </w:num>
  <w:num w:numId="13" w16cid:durableId="547649865">
    <w:abstractNumId w:val="13"/>
  </w:num>
  <w:num w:numId="14" w16cid:durableId="693924263">
    <w:abstractNumId w:val="22"/>
  </w:num>
  <w:num w:numId="15" w16cid:durableId="1263027865">
    <w:abstractNumId w:val="26"/>
  </w:num>
  <w:num w:numId="16" w16cid:durableId="1467043490">
    <w:abstractNumId w:val="12"/>
  </w:num>
  <w:num w:numId="17" w16cid:durableId="2022123880">
    <w:abstractNumId w:val="29"/>
  </w:num>
  <w:num w:numId="18" w16cid:durableId="426732012">
    <w:abstractNumId w:val="21"/>
  </w:num>
  <w:num w:numId="19" w16cid:durableId="467020049">
    <w:abstractNumId w:val="10"/>
  </w:num>
  <w:num w:numId="20" w16cid:durableId="2088770401">
    <w:abstractNumId w:val="16"/>
  </w:num>
  <w:num w:numId="21" w16cid:durableId="849182098">
    <w:abstractNumId w:val="19"/>
  </w:num>
  <w:num w:numId="22" w16cid:durableId="930309429">
    <w:abstractNumId w:val="20"/>
  </w:num>
  <w:num w:numId="23" w16cid:durableId="1148128514">
    <w:abstractNumId w:val="11"/>
  </w:num>
  <w:num w:numId="24" w16cid:durableId="813110113">
    <w:abstractNumId w:val="9"/>
  </w:num>
  <w:num w:numId="25" w16cid:durableId="720637136">
    <w:abstractNumId w:val="7"/>
  </w:num>
  <w:num w:numId="26" w16cid:durableId="476848928">
    <w:abstractNumId w:val="6"/>
  </w:num>
  <w:num w:numId="27" w16cid:durableId="1950352689">
    <w:abstractNumId w:val="5"/>
  </w:num>
  <w:num w:numId="28" w16cid:durableId="510216056">
    <w:abstractNumId w:val="4"/>
  </w:num>
  <w:num w:numId="29" w16cid:durableId="1653026622">
    <w:abstractNumId w:val="8"/>
  </w:num>
  <w:num w:numId="30" w16cid:durableId="1296981435">
    <w:abstractNumId w:val="3"/>
  </w:num>
  <w:num w:numId="31" w16cid:durableId="1919096841">
    <w:abstractNumId w:val="2"/>
  </w:num>
  <w:num w:numId="32" w16cid:durableId="339738947">
    <w:abstractNumId w:val="1"/>
  </w:num>
  <w:num w:numId="33" w16cid:durableId="37265810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B81"/>
    <w:rsid w:val="00001668"/>
    <w:rsid w:val="00005A7B"/>
    <w:rsid w:val="00005F75"/>
    <w:rsid w:val="0001283F"/>
    <w:rsid w:val="0001379C"/>
    <w:rsid w:val="00016333"/>
    <w:rsid w:val="00016640"/>
    <w:rsid w:val="00024AF3"/>
    <w:rsid w:val="0002554F"/>
    <w:rsid w:val="0002559A"/>
    <w:rsid w:val="00030F06"/>
    <w:rsid w:val="000314D4"/>
    <w:rsid w:val="000333C4"/>
    <w:rsid w:val="000350DF"/>
    <w:rsid w:val="0004074E"/>
    <w:rsid w:val="00041797"/>
    <w:rsid w:val="00043EE6"/>
    <w:rsid w:val="00043F59"/>
    <w:rsid w:val="00046C87"/>
    <w:rsid w:val="0004749E"/>
    <w:rsid w:val="00047D5E"/>
    <w:rsid w:val="00051BD5"/>
    <w:rsid w:val="00053A29"/>
    <w:rsid w:val="00057931"/>
    <w:rsid w:val="00061F55"/>
    <w:rsid w:val="00062CB2"/>
    <w:rsid w:val="00070801"/>
    <w:rsid w:val="0007203B"/>
    <w:rsid w:val="00072B0A"/>
    <w:rsid w:val="0007580E"/>
    <w:rsid w:val="00075EFF"/>
    <w:rsid w:val="000819BE"/>
    <w:rsid w:val="000819E4"/>
    <w:rsid w:val="0008270D"/>
    <w:rsid w:val="0008378A"/>
    <w:rsid w:val="00083C48"/>
    <w:rsid w:val="00085382"/>
    <w:rsid w:val="00085729"/>
    <w:rsid w:val="0009091C"/>
    <w:rsid w:val="00090AD9"/>
    <w:rsid w:val="00091849"/>
    <w:rsid w:val="000918F9"/>
    <w:rsid w:val="00095161"/>
    <w:rsid w:val="000A0EB9"/>
    <w:rsid w:val="000A2E19"/>
    <w:rsid w:val="000B0C9C"/>
    <w:rsid w:val="000B3757"/>
    <w:rsid w:val="000B661D"/>
    <w:rsid w:val="000C2F9E"/>
    <w:rsid w:val="000D0081"/>
    <w:rsid w:val="000D0920"/>
    <w:rsid w:val="000D1072"/>
    <w:rsid w:val="000D1CF2"/>
    <w:rsid w:val="000D28B5"/>
    <w:rsid w:val="000E16F1"/>
    <w:rsid w:val="000E65C8"/>
    <w:rsid w:val="000E7485"/>
    <w:rsid w:val="000E76F7"/>
    <w:rsid w:val="000F19CE"/>
    <w:rsid w:val="000F2059"/>
    <w:rsid w:val="001026E7"/>
    <w:rsid w:val="00103851"/>
    <w:rsid w:val="00105AAA"/>
    <w:rsid w:val="00105F8E"/>
    <w:rsid w:val="00106E60"/>
    <w:rsid w:val="00106E7C"/>
    <w:rsid w:val="00107163"/>
    <w:rsid w:val="00110DD1"/>
    <w:rsid w:val="00113D67"/>
    <w:rsid w:val="00115074"/>
    <w:rsid w:val="001247C5"/>
    <w:rsid w:val="001268EF"/>
    <w:rsid w:val="00131BA8"/>
    <w:rsid w:val="001321FE"/>
    <w:rsid w:val="00135442"/>
    <w:rsid w:val="001407E9"/>
    <w:rsid w:val="00140A64"/>
    <w:rsid w:val="00140D3B"/>
    <w:rsid w:val="00146A56"/>
    <w:rsid w:val="00147D57"/>
    <w:rsid w:val="00152C82"/>
    <w:rsid w:val="00152EB0"/>
    <w:rsid w:val="0015D732"/>
    <w:rsid w:val="001600C9"/>
    <w:rsid w:val="0016141B"/>
    <w:rsid w:val="00164793"/>
    <w:rsid w:val="00165690"/>
    <w:rsid w:val="00172231"/>
    <w:rsid w:val="0017614D"/>
    <w:rsid w:val="0017628C"/>
    <w:rsid w:val="001769DC"/>
    <w:rsid w:val="001777D7"/>
    <w:rsid w:val="0017793D"/>
    <w:rsid w:val="00183DE1"/>
    <w:rsid w:val="0018681B"/>
    <w:rsid w:val="001870DD"/>
    <w:rsid w:val="00187AF5"/>
    <w:rsid w:val="00191AE3"/>
    <w:rsid w:val="001948C4"/>
    <w:rsid w:val="00195E4C"/>
    <w:rsid w:val="001969E6"/>
    <w:rsid w:val="00197672"/>
    <w:rsid w:val="001A0136"/>
    <w:rsid w:val="001A1131"/>
    <w:rsid w:val="001A1A67"/>
    <w:rsid w:val="001A300B"/>
    <w:rsid w:val="001A6298"/>
    <w:rsid w:val="001A7839"/>
    <w:rsid w:val="001B1FF2"/>
    <w:rsid w:val="001B27E4"/>
    <w:rsid w:val="001B4284"/>
    <w:rsid w:val="001B52C3"/>
    <w:rsid w:val="001B7BF7"/>
    <w:rsid w:val="001C0EF3"/>
    <w:rsid w:val="001C2B34"/>
    <w:rsid w:val="001C2E79"/>
    <w:rsid w:val="001C3A0E"/>
    <w:rsid w:val="001C4A00"/>
    <w:rsid w:val="001C5AB6"/>
    <w:rsid w:val="001C645D"/>
    <w:rsid w:val="001C6F8E"/>
    <w:rsid w:val="001D3324"/>
    <w:rsid w:val="001D3FD0"/>
    <w:rsid w:val="001D4111"/>
    <w:rsid w:val="001D4B19"/>
    <w:rsid w:val="001E059C"/>
    <w:rsid w:val="001E10FF"/>
    <w:rsid w:val="001F19C1"/>
    <w:rsid w:val="001F217B"/>
    <w:rsid w:val="001F2699"/>
    <w:rsid w:val="001F2A47"/>
    <w:rsid w:val="001F4BB9"/>
    <w:rsid w:val="001F4FE6"/>
    <w:rsid w:val="00200836"/>
    <w:rsid w:val="00201AFB"/>
    <w:rsid w:val="002047EA"/>
    <w:rsid w:val="0020593C"/>
    <w:rsid w:val="00206DB2"/>
    <w:rsid w:val="0021009F"/>
    <w:rsid w:val="0021200E"/>
    <w:rsid w:val="0021333D"/>
    <w:rsid w:val="00216208"/>
    <w:rsid w:val="00217A58"/>
    <w:rsid w:val="0022097E"/>
    <w:rsid w:val="00220FE6"/>
    <w:rsid w:val="002210B4"/>
    <w:rsid w:val="00221C4A"/>
    <w:rsid w:val="00222E16"/>
    <w:rsid w:val="00223C6E"/>
    <w:rsid w:val="002245A4"/>
    <w:rsid w:val="002249EB"/>
    <w:rsid w:val="00224BCB"/>
    <w:rsid w:val="0023190C"/>
    <w:rsid w:val="002365AE"/>
    <w:rsid w:val="0023715C"/>
    <w:rsid w:val="00240BD0"/>
    <w:rsid w:val="00242B56"/>
    <w:rsid w:val="002520B5"/>
    <w:rsid w:val="002527E8"/>
    <w:rsid w:val="00255D69"/>
    <w:rsid w:val="00255E20"/>
    <w:rsid w:val="002608F8"/>
    <w:rsid w:val="00261DA1"/>
    <w:rsid w:val="0026204D"/>
    <w:rsid w:val="0026759D"/>
    <w:rsid w:val="00274B3A"/>
    <w:rsid w:val="00275744"/>
    <w:rsid w:val="00276C1F"/>
    <w:rsid w:val="00277D1B"/>
    <w:rsid w:val="002800E2"/>
    <w:rsid w:val="002816AE"/>
    <w:rsid w:val="00281852"/>
    <w:rsid w:val="00282586"/>
    <w:rsid w:val="0028285A"/>
    <w:rsid w:val="00283CFF"/>
    <w:rsid w:val="002843AF"/>
    <w:rsid w:val="00285F29"/>
    <w:rsid w:val="0028F4A5"/>
    <w:rsid w:val="00292707"/>
    <w:rsid w:val="0029322D"/>
    <w:rsid w:val="00293B53"/>
    <w:rsid w:val="0029422F"/>
    <w:rsid w:val="002949E2"/>
    <w:rsid w:val="00294BC8"/>
    <w:rsid w:val="00295067"/>
    <w:rsid w:val="002A0731"/>
    <w:rsid w:val="002A4115"/>
    <w:rsid w:val="002A5CFC"/>
    <w:rsid w:val="002A6878"/>
    <w:rsid w:val="002B205A"/>
    <w:rsid w:val="002B29E0"/>
    <w:rsid w:val="002B2B8E"/>
    <w:rsid w:val="002B3291"/>
    <w:rsid w:val="002B3BBD"/>
    <w:rsid w:val="002B4473"/>
    <w:rsid w:val="002B5943"/>
    <w:rsid w:val="002B66D6"/>
    <w:rsid w:val="002B6854"/>
    <w:rsid w:val="002B7B50"/>
    <w:rsid w:val="002C0D90"/>
    <w:rsid w:val="002C138A"/>
    <w:rsid w:val="002C13B5"/>
    <w:rsid w:val="002C2AE7"/>
    <w:rsid w:val="002C5EBA"/>
    <w:rsid w:val="002C619A"/>
    <w:rsid w:val="002C67AB"/>
    <w:rsid w:val="002C76FB"/>
    <w:rsid w:val="002CF30B"/>
    <w:rsid w:val="002D1A92"/>
    <w:rsid w:val="002D28B3"/>
    <w:rsid w:val="002D4BEF"/>
    <w:rsid w:val="002D5C39"/>
    <w:rsid w:val="002D66E6"/>
    <w:rsid w:val="002D708E"/>
    <w:rsid w:val="002E401A"/>
    <w:rsid w:val="002E47CE"/>
    <w:rsid w:val="002E5025"/>
    <w:rsid w:val="002E543F"/>
    <w:rsid w:val="002E6BF5"/>
    <w:rsid w:val="002E770E"/>
    <w:rsid w:val="002F1BE9"/>
    <w:rsid w:val="002F31E1"/>
    <w:rsid w:val="002F3A9C"/>
    <w:rsid w:val="002F3B13"/>
    <w:rsid w:val="002F40B0"/>
    <w:rsid w:val="002F4534"/>
    <w:rsid w:val="002F5397"/>
    <w:rsid w:val="002F55E8"/>
    <w:rsid w:val="00300DB2"/>
    <w:rsid w:val="00300FFD"/>
    <w:rsid w:val="003026EB"/>
    <w:rsid w:val="00302E4B"/>
    <w:rsid w:val="00305125"/>
    <w:rsid w:val="003062CA"/>
    <w:rsid w:val="00315CFC"/>
    <w:rsid w:val="00315F89"/>
    <w:rsid w:val="0031609C"/>
    <w:rsid w:val="00316F0B"/>
    <w:rsid w:val="0032091C"/>
    <w:rsid w:val="00321F4E"/>
    <w:rsid w:val="00321F52"/>
    <w:rsid w:val="00324DD6"/>
    <w:rsid w:val="0032564F"/>
    <w:rsid w:val="003260BC"/>
    <w:rsid w:val="00331257"/>
    <w:rsid w:val="00331429"/>
    <w:rsid w:val="003314F8"/>
    <w:rsid w:val="0033207D"/>
    <w:rsid w:val="00336219"/>
    <w:rsid w:val="003364FA"/>
    <w:rsid w:val="00341619"/>
    <w:rsid w:val="00346352"/>
    <w:rsid w:val="00347FEE"/>
    <w:rsid w:val="0035106F"/>
    <w:rsid w:val="00352DAF"/>
    <w:rsid w:val="00353C80"/>
    <w:rsid w:val="00357DAE"/>
    <w:rsid w:val="00357E68"/>
    <w:rsid w:val="00357F03"/>
    <w:rsid w:val="0036593A"/>
    <w:rsid w:val="00367B73"/>
    <w:rsid w:val="003746CF"/>
    <w:rsid w:val="00375017"/>
    <w:rsid w:val="00377B3F"/>
    <w:rsid w:val="003802BB"/>
    <w:rsid w:val="0038035D"/>
    <w:rsid w:val="00382FE7"/>
    <w:rsid w:val="0038521F"/>
    <w:rsid w:val="00392752"/>
    <w:rsid w:val="00392F4D"/>
    <w:rsid w:val="003935C6"/>
    <w:rsid w:val="00394111"/>
    <w:rsid w:val="00395495"/>
    <w:rsid w:val="00395C23"/>
    <w:rsid w:val="003A068B"/>
    <w:rsid w:val="003A084F"/>
    <w:rsid w:val="003A1AE7"/>
    <w:rsid w:val="003A6741"/>
    <w:rsid w:val="003A703B"/>
    <w:rsid w:val="003A7E90"/>
    <w:rsid w:val="003B38DD"/>
    <w:rsid w:val="003B6A77"/>
    <w:rsid w:val="003B6CF4"/>
    <w:rsid w:val="003C1950"/>
    <w:rsid w:val="003C3790"/>
    <w:rsid w:val="003C4A61"/>
    <w:rsid w:val="003C52E8"/>
    <w:rsid w:val="003C59D7"/>
    <w:rsid w:val="003C70F0"/>
    <w:rsid w:val="003C7CB1"/>
    <w:rsid w:val="003D16D2"/>
    <w:rsid w:val="003D1F16"/>
    <w:rsid w:val="003D329A"/>
    <w:rsid w:val="003D3654"/>
    <w:rsid w:val="003D550F"/>
    <w:rsid w:val="003E22D7"/>
    <w:rsid w:val="003E35EB"/>
    <w:rsid w:val="003E3900"/>
    <w:rsid w:val="003E4B82"/>
    <w:rsid w:val="003E7BDB"/>
    <w:rsid w:val="003E86DD"/>
    <w:rsid w:val="003F22EC"/>
    <w:rsid w:val="003F25FE"/>
    <w:rsid w:val="003F2DEA"/>
    <w:rsid w:val="003F36A4"/>
    <w:rsid w:val="003F60C3"/>
    <w:rsid w:val="003F7578"/>
    <w:rsid w:val="003F7758"/>
    <w:rsid w:val="004009D2"/>
    <w:rsid w:val="004026BC"/>
    <w:rsid w:val="00403C45"/>
    <w:rsid w:val="0040637C"/>
    <w:rsid w:val="004075B0"/>
    <w:rsid w:val="00407E96"/>
    <w:rsid w:val="00413157"/>
    <w:rsid w:val="0041430C"/>
    <w:rsid w:val="00415141"/>
    <w:rsid w:val="004172AD"/>
    <w:rsid w:val="00427F10"/>
    <w:rsid w:val="004316C5"/>
    <w:rsid w:val="00431C21"/>
    <w:rsid w:val="004323CD"/>
    <w:rsid w:val="00432903"/>
    <w:rsid w:val="00432AA4"/>
    <w:rsid w:val="00432CD5"/>
    <w:rsid w:val="004333E7"/>
    <w:rsid w:val="00433F8D"/>
    <w:rsid w:val="00435161"/>
    <w:rsid w:val="00435C54"/>
    <w:rsid w:val="004379D7"/>
    <w:rsid w:val="00437BB5"/>
    <w:rsid w:val="0044224D"/>
    <w:rsid w:val="00446553"/>
    <w:rsid w:val="0044797F"/>
    <w:rsid w:val="00450A4C"/>
    <w:rsid w:val="00450D12"/>
    <w:rsid w:val="004510BE"/>
    <w:rsid w:val="00451905"/>
    <w:rsid w:val="00452B52"/>
    <w:rsid w:val="004554F0"/>
    <w:rsid w:val="00455C56"/>
    <w:rsid w:val="004576F7"/>
    <w:rsid w:val="00461745"/>
    <w:rsid w:val="00462B64"/>
    <w:rsid w:val="00463612"/>
    <w:rsid w:val="00464CAE"/>
    <w:rsid w:val="00464F04"/>
    <w:rsid w:val="004655F4"/>
    <w:rsid w:val="00466843"/>
    <w:rsid w:val="00470720"/>
    <w:rsid w:val="00472BF4"/>
    <w:rsid w:val="0047583F"/>
    <w:rsid w:val="004771A4"/>
    <w:rsid w:val="00480D9C"/>
    <w:rsid w:val="0048343F"/>
    <w:rsid w:val="00487834"/>
    <w:rsid w:val="00495327"/>
    <w:rsid w:val="004957ED"/>
    <w:rsid w:val="004970B9"/>
    <w:rsid w:val="004973E1"/>
    <w:rsid w:val="004A278C"/>
    <w:rsid w:val="004A2D73"/>
    <w:rsid w:val="004A2DB2"/>
    <w:rsid w:val="004A2F87"/>
    <w:rsid w:val="004A3D4C"/>
    <w:rsid w:val="004A43AE"/>
    <w:rsid w:val="004A4CE3"/>
    <w:rsid w:val="004B27E1"/>
    <w:rsid w:val="004B5B84"/>
    <w:rsid w:val="004B675F"/>
    <w:rsid w:val="004B7ED0"/>
    <w:rsid w:val="004B7FB6"/>
    <w:rsid w:val="004C18DD"/>
    <w:rsid w:val="004C4ABD"/>
    <w:rsid w:val="004C4BD0"/>
    <w:rsid w:val="004C527B"/>
    <w:rsid w:val="004C60F6"/>
    <w:rsid w:val="004E4222"/>
    <w:rsid w:val="004E540D"/>
    <w:rsid w:val="004E5911"/>
    <w:rsid w:val="004E7296"/>
    <w:rsid w:val="004E7EA3"/>
    <w:rsid w:val="004F0082"/>
    <w:rsid w:val="004F0AAE"/>
    <w:rsid w:val="004F2ACA"/>
    <w:rsid w:val="004F386E"/>
    <w:rsid w:val="00502E77"/>
    <w:rsid w:val="00504F08"/>
    <w:rsid w:val="00506B47"/>
    <w:rsid w:val="00507493"/>
    <w:rsid w:val="00507928"/>
    <w:rsid w:val="00507B60"/>
    <w:rsid w:val="00507CB3"/>
    <w:rsid w:val="005114C1"/>
    <w:rsid w:val="00511E15"/>
    <w:rsid w:val="005120EC"/>
    <w:rsid w:val="005131E3"/>
    <w:rsid w:val="00515FDD"/>
    <w:rsid w:val="00516DB8"/>
    <w:rsid w:val="00522753"/>
    <w:rsid w:val="005244A8"/>
    <w:rsid w:val="00525796"/>
    <w:rsid w:val="00527739"/>
    <w:rsid w:val="005312A0"/>
    <w:rsid w:val="0053245A"/>
    <w:rsid w:val="00533652"/>
    <w:rsid w:val="00537B9B"/>
    <w:rsid w:val="005403BE"/>
    <w:rsid w:val="0054065A"/>
    <w:rsid w:val="00542BF5"/>
    <w:rsid w:val="0054432F"/>
    <w:rsid w:val="005466DC"/>
    <w:rsid w:val="005519E5"/>
    <w:rsid w:val="0055377C"/>
    <w:rsid w:val="0055407D"/>
    <w:rsid w:val="00557018"/>
    <w:rsid w:val="005612EB"/>
    <w:rsid w:val="00561670"/>
    <w:rsid w:val="00562F34"/>
    <w:rsid w:val="00563CCD"/>
    <w:rsid w:val="00564582"/>
    <w:rsid w:val="00565CDB"/>
    <w:rsid w:val="00566C92"/>
    <w:rsid w:val="00567A22"/>
    <w:rsid w:val="00573840"/>
    <w:rsid w:val="00573EE8"/>
    <w:rsid w:val="00574938"/>
    <w:rsid w:val="00574DB8"/>
    <w:rsid w:val="005770E6"/>
    <w:rsid w:val="005775A8"/>
    <w:rsid w:val="00577BA3"/>
    <w:rsid w:val="0058264D"/>
    <w:rsid w:val="00582F85"/>
    <w:rsid w:val="005834D5"/>
    <w:rsid w:val="005839AA"/>
    <w:rsid w:val="005922ED"/>
    <w:rsid w:val="00597698"/>
    <w:rsid w:val="005A07E6"/>
    <w:rsid w:val="005A2A99"/>
    <w:rsid w:val="005A4234"/>
    <w:rsid w:val="005B702C"/>
    <w:rsid w:val="005B774A"/>
    <w:rsid w:val="005B777A"/>
    <w:rsid w:val="005B7814"/>
    <w:rsid w:val="005C1D7D"/>
    <w:rsid w:val="005C5507"/>
    <w:rsid w:val="005D0829"/>
    <w:rsid w:val="005D2038"/>
    <w:rsid w:val="005D570E"/>
    <w:rsid w:val="005D74F5"/>
    <w:rsid w:val="005E12E5"/>
    <w:rsid w:val="005E2534"/>
    <w:rsid w:val="005E3021"/>
    <w:rsid w:val="005E3382"/>
    <w:rsid w:val="005E4469"/>
    <w:rsid w:val="005E52F0"/>
    <w:rsid w:val="005E6257"/>
    <w:rsid w:val="005E66B5"/>
    <w:rsid w:val="005E7B5B"/>
    <w:rsid w:val="005F0A5D"/>
    <w:rsid w:val="005F3B3A"/>
    <w:rsid w:val="005F4258"/>
    <w:rsid w:val="005F47D4"/>
    <w:rsid w:val="005F6C45"/>
    <w:rsid w:val="00600991"/>
    <w:rsid w:val="00601AB4"/>
    <w:rsid w:val="006146B9"/>
    <w:rsid w:val="00614D56"/>
    <w:rsid w:val="00617878"/>
    <w:rsid w:val="0062196F"/>
    <w:rsid w:val="00623E68"/>
    <w:rsid w:val="00624212"/>
    <w:rsid w:val="0062422D"/>
    <w:rsid w:val="00624CDC"/>
    <w:rsid w:val="006256E0"/>
    <w:rsid w:val="0062639D"/>
    <w:rsid w:val="00626FE2"/>
    <w:rsid w:val="00627E98"/>
    <w:rsid w:val="00630D7E"/>
    <w:rsid w:val="006316E7"/>
    <w:rsid w:val="00633CA7"/>
    <w:rsid w:val="006350E2"/>
    <w:rsid w:val="00635504"/>
    <w:rsid w:val="0063660E"/>
    <w:rsid w:val="00637EBA"/>
    <w:rsid w:val="00641CE1"/>
    <w:rsid w:val="0064225B"/>
    <w:rsid w:val="00642453"/>
    <w:rsid w:val="00644FD3"/>
    <w:rsid w:val="00646C4C"/>
    <w:rsid w:val="006503FA"/>
    <w:rsid w:val="00650A3B"/>
    <w:rsid w:val="0065251E"/>
    <w:rsid w:val="00653897"/>
    <w:rsid w:val="00656E8B"/>
    <w:rsid w:val="00661366"/>
    <w:rsid w:val="0066180B"/>
    <w:rsid w:val="0066693C"/>
    <w:rsid w:val="006717B4"/>
    <w:rsid w:val="006725A3"/>
    <w:rsid w:val="00672E15"/>
    <w:rsid w:val="006842AD"/>
    <w:rsid w:val="00684F9B"/>
    <w:rsid w:val="00686EE0"/>
    <w:rsid w:val="0069413D"/>
    <w:rsid w:val="006951C3"/>
    <w:rsid w:val="00696217"/>
    <w:rsid w:val="00696675"/>
    <w:rsid w:val="00697D77"/>
    <w:rsid w:val="006A08D2"/>
    <w:rsid w:val="006A11E0"/>
    <w:rsid w:val="006A226C"/>
    <w:rsid w:val="006A4546"/>
    <w:rsid w:val="006A5130"/>
    <w:rsid w:val="006A6CBC"/>
    <w:rsid w:val="006B19EC"/>
    <w:rsid w:val="006B1BD7"/>
    <w:rsid w:val="006B1E48"/>
    <w:rsid w:val="006B2E59"/>
    <w:rsid w:val="006B3DD2"/>
    <w:rsid w:val="006B487F"/>
    <w:rsid w:val="006B5029"/>
    <w:rsid w:val="006B5C1D"/>
    <w:rsid w:val="006B79DB"/>
    <w:rsid w:val="006C14F1"/>
    <w:rsid w:val="006C3234"/>
    <w:rsid w:val="006C3762"/>
    <w:rsid w:val="006C3FF8"/>
    <w:rsid w:val="006C714E"/>
    <w:rsid w:val="006D01FC"/>
    <w:rsid w:val="006D2928"/>
    <w:rsid w:val="006D2ED0"/>
    <w:rsid w:val="006D3311"/>
    <w:rsid w:val="006D3E4C"/>
    <w:rsid w:val="006D4F60"/>
    <w:rsid w:val="006D5F58"/>
    <w:rsid w:val="006D75CD"/>
    <w:rsid w:val="006D7DC7"/>
    <w:rsid w:val="006E0380"/>
    <w:rsid w:val="006E2326"/>
    <w:rsid w:val="006E51E6"/>
    <w:rsid w:val="006E5AAC"/>
    <w:rsid w:val="006E6588"/>
    <w:rsid w:val="006E684C"/>
    <w:rsid w:val="006E7C36"/>
    <w:rsid w:val="006F0D1B"/>
    <w:rsid w:val="006F342B"/>
    <w:rsid w:val="006F4DFC"/>
    <w:rsid w:val="007010AC"/>
    <w:rsid w:val="00702041"/>
    <w:rsid w:val="007028B1"/>
    <w:rsid w:val="00704CEC"/>
    <w:rsid w:val="007100FB"/>
    <w:rsid w:val="00711384"/>
    <w:rsid w:val="00713514"/>
    <w:rsid w:val="00713937"/>
    <w:rsid w:val="00715519"/>
    <w:rsid w:val="0072190F"/>
    <w:rsid w:val="00721CEF"/>
    <w:rsid w:val="00722B85"/>
    <w:rsid w:val="00724CCB"/>
    <w:rsid w:val="00726AD1"/>
    <w:rsid w:val="007327EA"/>
    <w:rsid w:val="00733762"/>
    <w:rsid w:val="0073712F"/>
    <w:rsid w:val="00737212"/>
    <w:rsid w:val="00737B26"/>
    <w:rsid w:val="0074143D"/>
    <w:rsid w:val="00743F09"/>
    <w:rsid w:val="007471D2"/>
    <w:rsid w:val="0074CA64"/>
    <w:rsid w:val="00752C68"/>
    <w:rsid w:val="007540F8"/>
    <w:rsid w:val="00754FAD"/>
    <w:rsid w:val="007578DB"/>
    <w:rsid w:val="00757A1A"/>
    <w:rsid w:val="00761977"/>
    <w:rsid w:val="00762388"/>
    <w:rsid w:val="00763B66"/>
    <w:rsid w:val="00766DC6"/>
    <w:rsid w:val="00770D1C"/>
    <w:rsid w:val="00775EE6"/>
    <w:rsid w:val="00780524"/>
    <w:rsid w:val="00780CEB"/>
    <w:rsid w:val="00782A1D"/>
    <w:rsid w:val="007838E7"/>
    <w:rsid w:val="00783ACA"/>
    <w:rsid w:val="00785E68"/>
    <w:rsid w:val="00786949"/>
    <w:rsid w:val="007908FC"/>
    <w:rsid w:val="00791723"/>
    <w:rsid w:val="00791D93"/>
    <w:rsid w:val="00793C3D"/>
    <w:rsid w:val="007946AB"/>
    <w:rsid w:val="0079506A"/>
    <w:rsid w:val="0079649B"/>
    <w:rsid w:val="0079688D"/>
    <w:rsid w:val="007979F6"/>
    <w:rsid w:val="00797B1A"/>
    <w:rsid w:val="00797E3B"/>
    <w:rsid w:val="007A0C49"/>
    <w:rsid w:val="007A721D"/>
    <w:rsid w:val="007B1F0C"/>
    <w:rsid w:val="007B4B08"/>
    <w:rsid w:val="007B52ED"/>
    <w:rsid w:val="007B7C1B"/>
    <w:rsid w:val="007C3D03"/>
    <w:rsid w:val="007C55A7"/>
    <w:rsid w:val="007D0081"/>
    <w:rsid w:val="007D1433"/>
    <w:rsid w:val="007D413D"/>
    <w:rsid w:val="007D68BB"/>
    <w:rsid w:val="007E3A3B"/>
    <w:rsid w:val="007E4D48"/>
    <w:rsid w:val="007E65CF"/>
    <w:rsid w:val="007E77A5"/>
    <w:rsid w:val="007E7F35"/>
    <w:rsid w:val="007F0515"/>
    <w:rsid w:val="007F0936"/>
    <w:rsid w:val="007F2CB7"/>
    <w:rsid w:val="007F3423"/>
    <w:rsid w:val="007F58DD"/>
    <w:rsid w:val="007F6E2C"/>
    <w:rsid w:val="008013D5"/>
    <w:rsid w:val="00801E39"/>
    <w:rsid w:val="00804FEE"/>
    <w:rsid w:val="00807BC7"/>
    <w:rsid w:val="00811DEC"/>
    <w:rsid w:val="00813A6D"/>
    <w:rsid w:val="00816BD7"/>
    <w:rsid w:val="00816E57"/>
    <w:rsid w:val="0081739B"/>
    <w:rsid w:val="00821168"/>
    <w:rsid w:val="008211B1"/>
    <w:rsid w:val="0082181A"/>
    <w:rsid w:val="00823467"/>
    <w:rsid w:val="00824535"/>
    <w:rsid w:val="00824A54"/>
    <w:rsid w:val="00825DB3"/>
    <w:rsid w:val="00830F5D"/>
    <w:rsid w:val="00831D8B"/>
    <w:rsid w:val="00834ACC"/>
    <w:rsid w:val="0083586A"/>
    <w:rsid w:val="008367B9"/>
    <w:rsid w:val="008413E0"/>
    <w:rsid w:val="0084300D"/>
    <w:rsid w:val="00843128"/>
    <w:rsid w:val="0084333B"/>
    <w:rsid w:val="0084429B"/>
    <w:rsid w:val="00846C36"/>
    <w:rsid w:val="0084796E"/>
    <w:rsid w:val="0085049D"/>
    <w:rsid w:val="008513D2"/>
    <w:rsid w:val="00855244"/>
    <w:rsid w:val="00856108"/>
    <w:rsid w:val="00856C22"/>
    <w:rsid w:val="008617BF"/>
    <w:rsid w:val="00862D55"/>
    <w:rsid w:val="008632B8"/>
    <w:rsid w:val="00870A3B"/>
    <w:rsid w:val="00870C46"/>
    <w:rsid w:val="00872F6E"/>
    <w:rsid w:val="00873952"/>
    <w:rsid w:val="0087712C"/>
    <w:rsid w:val="00877F4E"/>
    <w:rsid w:val="00881B75"/>
    <w:rsid w:val="00884B7D"/>
    <w:rsid w:val="0089015F"/>
    <w:rsid w:val="008957A0"/>
    <w:rsid w:val="00897908"/>
    <w:rsid w:val="008A2B64"/>
    <w:rsid w:val="008A589E"/>
    <w:rsid w:val="008B1B8B"/>
    <w:rsid w:val="008B5870"/>
    <w:rsid w:val="008B67DD"/>
    <w:rsid w:val="008B70E6"/>
    <w:rsid w:val="008C165B"/>
    <w:rsid w:val="008C2117"/>
    <w:rsid w:val="008C21D2"/>
    <w:rsid w:val="008C6E53"/>
    <w:rsid w:val="008D2C4A"/>
    <w:rsid w:val="008D34A3"/>
    <w:rsid w:val="008E1445"/>
    <w:rsid w:val="008E42BB"/>
    <w:rsid w:val="008E48B4"/>
    <w:rsid w:val="008E4E78"/>
    <w:rsid w:val="008E5048"/>
    <w:rsid w:val="008E5834"/>
    <w:rsid w:val="008E611F"/>
    <w:rsid w:val="008E721A"/>
    <w:rsid w:val="008F0C87"/>
    <w:rsid w:val="008F1782"/>
    <w:rsid w:val="008F17BD"/>
    <w:rsid w:val="008F2CDB"/>
    <w:rsid w:val="008F40B4"/>
    <w:rsid w:val="008F5BE0"/>
    <w:rsid w:val="0090289A"/>
    <w:rsid w:val="00902DFA"/>
    <w:rsid w:val="00904513"/>
    <w:rsid w:val="009059FD"/>
    <w:rsid w:val="0090681A"/>
    <w:rsid w:val="00907ECE"/>
    <w:rsid w:val="00911461"/>
    <w:rsid w:val="009132E3"/>
    <w:rsid w:val="00913AB6"/>
    <w:rsid w:val="00914BD1"/>
    <w:rsid w:val="00915323"/>
    <w:rsid w:val="0091655D"/>
    <w:rsid w:val="00916CB0"/>
    <w:rsid w:val="00916DFA"/>
    <w:rsid w:val="00917034"/>
    <w:rsid w:val="00922694"/>
    <w:rsid w:val="00922A95"/>
    <w:rsid w:val="0092660B"/>
    <w:rsid w:val="00930731"/>
    <w:rsid w:val="009326A6"/>
    <w:rsid w:val="00933B54"/>
    <w:rsid w:val="009347EF"/>
    <w:rsid w:val="009368D5"/>
    <w:rsid w:val="00936B45"/>
    <w:rsid w:val="00937B7C"/>
    <w:rsid w:val="009412C1"/>
    <w:rsid w:val="00944F67"/>
    <w:rsid w:val="0094714E"/>
    <w:rsid w:val="00947861"/>
    <w:rsid w:val="009529D7"/>
    <w:rsid w:val="00953CFD"/>
    <w:rsid w:val="00955965"/>
    <w:rsid w:val="00956320"/>
    <w:rsid w:val="00957123"/>
    <w:rsid w:val="00957385"/>
    <w:rsid w:val="00961F7B"/>
    <w:rsid w:val="00971C45"/>
    <w:rsid w:val="00973ED9"/>
    <w:rsid w:val="009752B7"/>
    <w:rsid w:val="00976969"/>
    <w:rsid w:val="0098060C"/>
    <w:rsid w:val="009849BF"/>
    <w:rsid w:val="00984AA3"/>
    <w:rsid w:val="00984E3D"/>
    <w:rsid w:val="0098502F"/>
    <w:rsid w:val="009914C3"/>
    <w:rsid w:val="009961C8"/>
    <w:rsid w:val="009A41D9"/>
    <w:rsid w:val="009A4B53"/>
    <w:rsid w:val="009A5743"/>
    <w:rsid w:val="009B0658"/>
    <w:rsid w:val="009B51E6"/>
    <w:rsid w:val="009B630F"/>
    <w:rsid w:val="009B6B07"/>
    <w:rsid w:val="009B7D7B"/>
    <w:rsid w:val="009C0059"/>
    <w:rsid w:val="009C040A"/>
    <w:rsid w:val="009C1F02"/>
    <w:rsid w:val="009C2374"/>
    <w:rsid w:val="009C27AA"/>
    <w:rsid w:val="009C35B5"/>
    <w:rsid w:val="009D264D"/>
    <w:rsid w:val="009D3988"/>
    <w:rsid w:val="009D4362"/>
    <w:rsid w:val="009D4F72"/>
    <w:rsid w:val="009E0597"/>
    <w:rsid w:val="009E139B"/>
    <w:rsid w:val="009E2F2D"/>
    <w:rsid w:val="009E43F8"/>
    <w:rsid w:val="009E572D"/>
    <w:rsid w:val="009F058D"/>
    <w:rsid w:val="009F1343"/>
    <w:rsid w:val="009F2324"/>
    <w:rsid w:val="009F6AAB"/>
    <w:rsid w:val="00A016AB"/>
    <w:rsid w:val="00A035E1"/>
    <w:rsid w:val="00A06595"/>
    <w:rsid w:val="00A10F00"/>
    <w:rsid w:val="00A11480"/>
    <w:rsid w:val="00A156BA"/>
    <w:rsid w:val="00A215C2"/>
    <w:rsid w:val="00A24A29"/>
    <w:rsid w:val="00A30151"/>
    <w:rsid w:val="00A30E5A"/>
    <w:rsid w:val="00A31AB3"/>
    <w:rsid w:val="00A33077"/>
    <w:rsid w:val="00A36540"/>
    <w:rsid w:val="00A4048A"/>
    <w:rsid w:val="00A4177D"/>
    <w:rsid w:val="00A47427"/>
    <w:rsid w:val="00A47AEA"/>
    <w:rsid w:val="00A47C65"/>
    <w:rsid w:val="00A50EF6"/>
    <w:rsid w:val="00A5293D"/>
    <w:rsid w:val="00A53E45"/>
    <w:rsid w:val="00A5782A"/>
    <w:rsid w:val="00A613EE"/>
    <w:rsid w:val="00A636A3"/>
    <w:rsid w:val="00A63A64"/>
    <w:rsid w:val="00A65D43"/>
    <w:rsid w:val="00A67E42"/>
    <w:rsid w:val="00A6F2E5"/>
    <w:rsid w:val="00A7087E"/>
    <w:rsid w:val="00A72E59"/>
    <w:rsid w:val="00A75FE2"/>
    <w:rsid w:val="00A763FB"/>
    <w:rsid w:val="00A773C6"/>
    <w:rsid w:val="00A82ADB"/>
    <w:rsid w:val="00A83275"/>
    <w:rsid w:val="00A858C0"/>
    <w:rsid w:val="00A9148C"/>
    <w:rsid w:val="00A92F14"/>
    <w:rsid w:val="00A938EC"/>
    <w:rsid w:val="00A94B7E"/>
    <w:rsid w:val="00A95929"/>
    <w:rsid w:val="00A96737"/>
    <w:rsid w:val="00AA0E15"/>
    <w:rsid w:val="00AA4C17"/>
    <w:rsid w:val="00AA5DAD"/>
    <w:rsid w:val="00AA6198"/>
    <w:rsid w:val="00AB4706"/>
    <w:rsid w:val="00AC14F8"/>
    <w:rsid w:val="00AC1801"/>
    <w:rsid w:val="00AC1B8D"/>
    <w:rsid w:val="00AC64EF"/>
    <w:rsid w:val="00AC6C69"/>
    <w:rsid w:val="00AC6DFC"/>
    <w:rsid w:val="00AC6F02"/>
    <w:rsid w:val="00AC7377"/>
    <w:rsid w:val="00AC78D8"/>
    <w:rsid w:val="00AC7F26"/>
    <w:rsid w:val="00AD2546"/>
    <w:rsid w:val="00AD2D2E"/>
    <w:rsid w:val="00AD7A78"/>
    <w:rsid w:val="00AE16AF"/>
    <w:rsid w:val="00AE23F9"/>
    <w:rsid w:val="00AE6C83"/>
    <w:rsid w:val="00AE74CD"/>
    <w:rsid w:val="00AF4C7C"/>
    <w:rsid w:val="00AF551F"/>
    <w:rsid w:val="00B003EB"/>
    <w:rsid w:val="00B00543"/>
    <w:rsid w:val="00B0159E"/>
    <w:rsid w:val="00B063E1"/>
    <w:rsid w:val="00B10044"/>
    <w:rsid w:val="00B10128"/>
    <w:rsid w:val="00B1336B"/>
    <w:rsid w:val="00B136E1"/>
    <w:rsid w:val="00B1384A"/>
    <w:rsid w:val="00B154CE"/>
    <w:rsid w:val="00B157C3"/>
    <w:rsid w:val="00B169B4"/>
    <w:rsid w:val="00B17AF7"/>
    <w:rsid w:val="00B20487"/>
    <w:rsid w:val="00B2051C"/>
    <w:rsid w:val="00B22478"/>
    <w:rsid w:val="00B22C4B"/>
    <w:rsid w:val="00B25DBC"/>
    <w:rsid w:val="00B25E6D"/>
    <w:rsid w:val="00B30E66"/>
    <w:rsid w:val="00B32739"/>
    <w:rsid w:val="00B34286"/>
    <w:rsid w:val="00B352A6"/>
    <w:rsid w:val="00B35BF3"/>
    <w:rsid w:val="00B41506"/>
    <w:rsid w:val="00B4159B"/>
    <w:rsid w:val="00B415D7"/>
    <w:rsid w:val="00B441B5"/>
    <w:rsid w:val="00B44DBE"/>
    <w:rsid w:val="00B50FE9"/>
    <w:rsid w:val="00B515CA"/>
    <w:rsid w:val="00B546B4"/>
    <w:rsid w:val="00B5702F"/>
    <w:rsid w:val="00B60A29"/>
    <w:rsid w:val="00B6296E"/>
    <w:rsid w:val="00B66B0D"/>
    <w:rsid w:val="00B675ED"/>
    <w:rsid w:val="00B70405"/>
    <w:rsid w:val="00B70DD5"/>
    <w:rsid w:val="00B71F9D"/>
    <w:rsid w:val="00B72046"/>
    <w:rsid w:val="00B74270"/>
    <w:rsid w:val="00B74A87"/>
    <w:rsid w:val="00B75783"/>
    <w:rsid w:val="00B76E73"/>
    <w:rsid w:val="00B83DF4"/>
    <w:rsid w:val="00B8451C"/>
    <w:rsid w:val="00B84ED4"/>
    <w:rsid w:val="00B87A5D"/>
    <w:rsid w:val="00B90FE5"/>
    <w:rsid w:val="00B96D7E"/>
    <w:rsid w:val="00B97360"/>
    <w:rsid w:val="00BA0605"/>
    <w:rsid w:val="00BA09BD"/>
    <w:rsid w:val="00BA106D"/>
    <w:rsid w:val="00BA173C"/>
    <w:rsid w:val="00BA38FA"/>
    <w:rsid w:val="00BA3FE1"/>
    <w:rsid w:val="00BA732E"/>
    <w:rsid w:val="00BB06E6"/>
    <w:rsid w:val="00BB10F3"/>
    <w:rsid w:val="00BB328B"/>
    <w:rsid w:val="00BB4C74"/>
    <w:rsid w:val="00BB6134"/>
    <w:rsid w:val="00BB721B"/>
    <w:rsid w:val="00BC1946"/>
    <w:rsid w:val="00BC22B9"/>
    <w:rsid w:val="00BC3D43"/>
    <w:rsid w:val="00BC5522"/>
    <w:rsid w:val="00BC745F"/>
    <w:rsid w:val="00BD3AE9"/>
    <w:rsid w:val="00BD43B0"/>
    <w:rsid w:val="00BE1502"/>
    <w:rsid w:val="00BE2F04"/>
    <w:rsid w:val="00BE31D1"/>
    <w:rsid w:val="00BE484B"/>
    <w:rsid w:val="00BE6F02"/>
    <w:rsid w:val="00BE7D4B"/>
    <w:rsid w:val="00BF0CA1"/>
    <w:rsid w:val="00BF2D5B"/>
    <w:rsid w:val="00BF371E"/>
    <w:rsid w:val="00BF6861"/>
    <w:rsid w:val="00BF6F7A"/>
    <w:rsid w:val="00C0139E"/>
    <w:rsid w:val="00C02224"/>
    <w:rsid w:val="00C04A92"/>
    <w:rsid w:val="00C07328"/>
    <w:rsid w:val="00C10B85"/>
    <w:rsid w:val="00C11FFB"/>
    <w:rsid w:val="00C14920"/>
    <w:rsid w:val="00C21869"/>
    <w:rsid w:val="00C22D5F"/>
    <w:rsid w:val="00C234EF"/>
    <w:rsid w:val="00C24547"/>
    <w:rsid w:val="00C25EDD"/>
    <w:rsid w:val="00C2604F"/>
    <w:rsid w:val="00C27B16"/>
    <w:rsid w:val="00C3461A"/>
    <w:rsid w:val="00C34BDF"/>
    <w:rsid w:val="00C352A6"/>
    <w:rsid w:val="00C363DE"/>
    <w:rsid w:val="00C36D67"/>
    <w:rsid w:val="00C41BDD"/>
    <w:rsid w:val="00C42663"/>
    <w:rsid w:val="00C45804"/>
    <w:rsid w:val="00C46220"/>
    <w:rsid w:val="00C53EB5"/>
    <w:rsid w:val="00C5751E"/>
    <w:rsid w:val="00C63CF5"/>
    <w:rsid w:val="00C652F8"/>
    <w:rsid w:val="00C65764"/>
    <w:rsid w:val="00C65935"/>
    <w:rsid w:val="00C722E8"/>
    <w:rsid w:val="00C74B65"/>
    <w:rsid w:val="00C75F74"/>
    <w:rsid w:val="00C75FFE"/>
    <w:rsid w:val="00C764E3"/>
    <w:rsid w:val="00C76B73"/>
    <w:rsid w:val="00C76F1B"/>
    <w:rsid w:val="00C80A89"/>
    <w:rsid w:val="00C818B3"/>
    <w:rsid w:val="00C8209F"/>
    <w:rsid w:val="00C91178"/>
    <w:rsid w:val="00C91E3F"/>
    <w:rsid w:val="00C92625"/>
    <w:rsid w:val="00C96EC8"/>
    <w:rsid w:val="00C97039"/>
    <w:rsid w:val="00CA0A35"/>
    <w:rsid w:val="00CA2F8B"/>
    <w:rsid w:val="00CA39A2"/>
    <w:rsid w:val="00CA75F7"/>
    <w:rsid w:val="00CA7F0B"/>
    <w:rsid w:val="00CAB1EC"/>
    <w:rsid w:val="00CB09F1"/>
    <w:rsid w:val="00CB21A6"/>
    <w:rsid w:val="00CB46D4"/>
    <w:rsid w:val="00CB5063"/>
    <w:rsid w:val="00CB50C3"/>
    <w:rsid w:val="00CB523C"/>
    <w:rsid w:val="00CB6C62"/>
    <w:rsid w:val="00CC0FCE"/>
    <w:rsid w:val="00CC1702"/>
    <w:rsid w:val="00CC22D4"/>
    <w:rsid w:val="00CC3A12"/>
    <w:rsid w:val="00CC4F38"/>
    <w:rsid w:val="00CD373A"/>
    <w:rsid w:val="00CD41A4"/>
    <w:rsid w:val="00CD4CC4"/>
    <w:rsid w:val="00CD69CD"/>
    <w:rsid w:val="00CD7321"/>
    <w:rsid w:val="00CD7543"/>
    <w:rsid w:val="00CE0016"/>
    <w:rsid w:val="00CE0927"/>
    <w:rsid w:val="00CE1C25"/>
    <w:rsid w:val="00CE5D9A"/>
    <w:rsid w:val="00CE6495"/>
    <w:rsid w:val="00CE7CCF"/>
    <w:rsid w:val="00CF04BD"/>
    <w:rsid w:val="00CF21B1"/>
    <w:rsid w:val="00CF5EE1"/>
    <w:rsid w:val="00CF73C5"/>
    <w:rsid w:val="00D041C0"/>
    <w:rsid w:val="00D05210"/>
    <w:rsid w:val="00D054CE"/>
    <w:rsid w:val="00D154BC"/>
    <w:rsid w:val="00D15BE9"/>
    <w:rsid w:val="00D16E16"/>
    <w:rsid w:val="00D2297C"/>
    <w:rsid w:val="00D24380"/>
    <w:rsid w:val="00D25320"/>
    <w:rsid w:val="00D26C13"/>
    <w:rsid w:val="00D33955"/>
    <w:rsid w:val="00D34007"/>
    <w:rsid w:val="00D3748F"/>
    <w:rsid w:val="00D519A1"/>
    <w:rsid w:val="00D52811"/>
    <w:rsid w:val="00D52C1D"/>
    <w:rsid w:val="00D55081"/>
    <w:rsid w:val="00D5510E"/>
    <w:rsid w:val="00D569DC"/>
    <w:rsid w:val="00D579E9"/>
    <w:rsid w:val="00D602FB"/>
    <w:rsid w:val="00D628A5"/>
    <w:rsid w:val="00D628C9"/>
    <w:rsid w:val="00D62E1C"/>
    <w:rsid w:val="00D642B8"/>
    <w:rsid w:val="00D64E77"/>
    <w:rsid w:val="00D6519E"/>
    <w:rsid w:val="00D6541A"/>
    <w:rsid w:val="00D67704"/>
    <w:rsid w:val="00D6F26D"/>
    <w:rsid w:val="00D7108B"/>
    <w:rsid w:val="00D719F3"/>
    <w:rsid w:val="00D7280E"/>
    <w:rsid w:val="00D7315C"/>
    <w:rsid w:val="00D7407A"/>
    <w:rsid w:val="00D77566"/>
    <w:rsid w:val="00D77B15"/>
    <w:rsid w:val="00D84B87"/>
    <w:rsid w:val="00D91771"/>
    <w:rsid w:val="00D926AA"/>
    <w:rsid w:val="00D93CC6"/>
    <w:rsid w:val="00D95223"/>
    <w:rsid w:val="00D9773F"/>
    <w:rsid w:val="00DA0914"/>
    <w:rsid w:val="00DA250B"/>
    <w:rsid w:val="00DA3713"/>
    <w:rsid w:val="00DA37A7"/>
    <w:rsid w:val="00DA3D8F"/>
    <w:rsid w:val="00DB06E6"/>
    <w:rsid w:val="00DB18FC"/>
    <w:rsid w:val="00DB1F32"/>
    <w:rsid w:val="00DB269A"/>
    <w:rsid w:val="00DC15B4"/>
    <w:rsid w:val="00DC29F3"/>
    <w:rsid w:val="00DC48E0"/>
    <w:rsid w:val="00DC4EA3"/>
    <w:rsid w:val="00DC6650"/>
    <w:rsid w:val="00DD3BF1"/>
    <w:rsid w:val="00DD7136"/>
    <w:rsid w:val="00DE0FE7"/>
    <w:rsid w:val="00DE1304"/>
    <w:rsid w:val="00DE52E1"/>
    <w:rsid w:val="00DE585A"/>
    <w:rsid w:val="00DF66E9"/>
    <w:rsid w:val="00E02F86"/>
    <w:rsid w:val="00E045DE"/>
    <w:rsid w:val="00E06196"/>
    <w:rsid w:val="00E10870"/>
    <w:rsid w:val="00E12930"/>
    <w:rsid w:val="00E13B50"/>
    <w:rsid w:val="00E14E65"/>
    <w:rsid w:val="00E17013"/>
    <w:rsid w:val="00E204D5"/>
    <w:rsid w:val="00E24314"/>
    <w:rsid w:val="00E27CDF"/>
    <w:rsid w:val="00E32697"/>
    <w:rsid w:val="00E3436C"/>
    <w:rsid w:val="00E351FE"/>
    <w:rsid w:val="00E35F7D"/>
    <w:rsid w:val="00E36238"/>
    <w:rsid w:val="00E3FC4E"/>
    <w:rsid w:val="00E41A99"/>
    <w:rsid w:val="00E45438"/>
    <w:rsid w:val="00E45FF2"/>
    <w:rsid w:val="00E479BD"/>
    <w:rsid w:val="00E562E0"/>
    <w:rsid w:val="00E56969"/>
    <w:rsid w:val="00E56A13"/>
    <w:rsid w:val="00E61106"/>
    <w:rsid w:val="00E6179D"/>
    <w:rsid w:val="00E61EFC"/>
    <w:rsid w:val="00E64259"/>
    <w:rsid w:val="00E646F1"/>
    <w:rsid w:val="00E65156"/>
    <w:rsid w:val="00E657B4"/>
    <w:rsid w:val="00E66E36"/>
    <w:rsid w:val="00E6736B"/>
    <w:rsid w:val="00E674CF"/>
    <w:rsid w:val="00E677EB"/>
    <w:rsid w:val="00E67BA3"/>
    <w:rsid w:val="00E70BAF"/>
    <w:rsid w:val="00E70E34"/>
    <w:rsid w:val="00E72F2B"/>
    <w:rsid w:val="00E73F3D"/>
    <w:rsid w:val="00E741F4"/>
    <w:rsid w:val="00E76F29"/>
    <w:rsid w:val="00E77C46"/>
    <w:rsid w:val="00E82D9D"/>
    <w:rsid w:val="00E84FF5"/>
    <w:rsid w:val="00E8574A"/>
    <w:rsid w:val="00E85FD5"/>
    <w:rsid w:val="00E87316"/>
    <w:rsid w:val="00E9213A"/>
    <w:rsid w:val="00E93AB6"/>
    <w:rsid w:val="00E9500F"/>
    <w:rsid w:val="00E95130"/>
    <w:rsid w:val="00E95611"/>
    <w:rsid w:val="00E95ED4"/>
    <w:rsid w:val="00EA01C8"/>
    <w:rsid w:val="00EA436B"/>
    <w:rsid w:val="00EA7836"/>
    <w:rsid w:val="00EB1B68"/>
    <w:rsid w:val="00EB415C"/>
    <w:rsid w:val="00EB474A"/>
    <w:rsid w:val="00EB4B49"/>
    <w:rsid w:val="00EB737E"/>
    <w:rsid w:val="00EB7923"/>
    <w:rsid w:val="00EB7D1F"/>
    <w:rsid w:val="00EC3313"/>
    <w:rsid w:val="00EC45EB"/>
    <w:rsid w:val="00EC5654"/>
    <w:rsid w:val="00EC5EAF"/>
    <w:rsid w:val="00EC73E7"/>
    <w:rsid w:val="00ED624F"/>
    <w:rsid w:val="00ED631D"/>
    <w:rsid w:val="00ED7C43"/>
    <w:rsid w:val="00EE03FB"/>
    <w:rsid w:val="00EE119B"/>
    <w:rsid w:val="00EF04AC"/>
    <w:rsid w:val="00EF1BE9"/>
    <w:rsid w:val="00EF52E4"/>
    <w:rsid w:val="00EF567B"/>
    <w:rsid w:val="00EF75F6"/>
    <w:rsid w:val="00EF799A"/>
    <w:rsid w:val="00F00D91"/>
    <w:rsid w:val="00F00DF4"/>
    <w:rsid w:val="00F01C9E"/>
    <w:rsid w:val="00F0396C"/>
    <w:rsid w:val="00F03D8E"/>
    <w:rsid w:val="00F06433"/>
    <w:rsid w:val="00F133A4"/>
    <w:rsid w:val="00F169EC"/>
    <w:rsid w:val="00F2155B"/>
    <w:rsid w:val="00F24468"/>
    <w:rsid w:val="00F25F7D"/>
    <w:rsid w:val="00F26639"/>
    <w:rsid w:val="00F27996"/>
    <w:rsid w:val="00F307C6"/>
    <w:rsid w:val="00F32AC6"/>
    <w:rsid w:val="00F358A1"/>
    <w:rsid w:val="00F37F6F"/>
    <w:rsid w:val="00F40879"/>
    <w:rsid w:val="00F41D58"/>
    <w:rsid w:val="00F4410D"/>
    <w:rsid w:val="00F44537"/>
    <w:rsid w:val="00F44A21"/>
    <w:rsid w:val="00F45412"/>
    <w:rsid w:val="00F478C0"/>
    <w:rsid w:val="00F47C7D"/>
    <w:rsid w:val="00F511C7"/>
    <w:rsid w:val="00F5152E"/>
    <w:rsid w:val="00F528EE"/>
    <w:rsid w:val="00F53FB7"/>
    <w:rsid w:val="00F548CD"/>
    <w:rsid w:val="00F54F6E"/>
    <w:rsid w:val="00F56D0A"/>
    <w:rsid w:val="00F616D6"/>
    <w:rsid w:val="00F61B56"/>
    <w:rsid w:val="00F6206F"/>
    <w:rsid w:val="00F62736"/>
    <w:rsid w:val="00F6364B"/>
    <w:rsid w:val="00F6585E"/>
    <w:rsid w:val="00F65C9D"/>
    <w:rsid w:val="00F662DC"/>
    <w:rsid w:val="00F72F84"/>
    <w:rsid w:val="00F7778B"/>
    <w:rsid w:val="00F77AAC"/>
    <w:rsid w:val="00F851B4"/>
    <w:rsid w:val="00F8594A"/>
    <w:rsid w:val="00F9139E"/>
    <w:rsid w:val="00F91651"/>
    <w:rsid w:val="00F92057"/>
    <w:rsid w:val="00F92E85"/>
    <w:rsid w:val="00F94A52"/>
    <w:rsid w:val="00F94AED"/>
    <w:rsid w:val="00F97D7F"/>
    <w:rsid w:val="00FA153C"/>
    <w:rsid w:val="00FA25A1"/>
    <w:rsid w:val="00FA3A82"/>
    <w:rsid w:val="00FA4698"/>
    <w:rsid w:val="00FA75EA"/>
    <w:rsid w:val="00FB00AF"/>
    <w:rsid w:val="00FB1B88"/>
    <w:rsid w:val="00FB3ED0"/>
    <w:rsid w:val="00FB55FA"/>
    <w:rsid w:val="00FB6840"/>
    <w:rsid w:val="00FC0B76"/>
    <w:rsid w:val="00FC3454"/>
    <w:rsid w:val="00FC6B2D"/>
    <w:rsid w:val="00FC6CD6"/>
    <w:rsid w:val="00FC6FC8"/>
    <w:rsid w:val="00FC7BBF"/>
    <w:rsid w:val="00FD2E19"/>
    <w:rsid w:val="00FD5325"/>
    <w:rsid w:val="00FD608A"/>
    <w:rsid w:val="00FD6430"/>
    <w:rsid w:val="00FD6D72"/>
    <w:rsid w:val="00FE234A"/>
    <w:rsid w:val="00FE3192"/>
    <w:rsid w:val="00FE5895"/>
    <w:rsid w:val="00FE6D27"/>
    <w:rsid w:val="00FE7FAC"/>
    <w:rsid w:val="00FF1158"/>
    <w:rsid w:val="00FF1B10"/>
    <w:rsid w:val="00FF24E0"/>
    <w:rsid w:val="00FF3CB7"/>
    <w:rsid w:val="0102D865"/>
    <w:rsid w:val="01061C7C"/>
    <w:rsid w:val="010DB3E1"/>
    <w:rsid w:val="012BF697"/>
    <w:rsid w:val="012C439D"/>
    <w:rsid w:val="01395274"/>
    <w:rsid w:val="01477A61"/>
    <w:rsid w:val="015E854C"/>
    <w:rsid w:val="018FA98D"/>
    <w:rsid w:val="01CDBDA1"/>
    <w:rsid w:val="01E59FC4"/>
    <w:rsid w:val="01E98F9C"/>
    <w:rsid w:val="01EE2B4F"/>
    <w:rsid w:val="0226DCB7"/>
    <w:rsid w:val="022EF2CC"/>
    <w:rsid w:val="0250DB6C"/>
    <w:rsid w:val="02809D30"/>
    <w:rsid w:val="028E4C6E"/>
    <w:rsid w:val="02B6FC42"/>
    <w:rsid w:val="02BE06BE"/>
    <w:rsid w:val="02D457B0"/>
    <w:rsid w:val="02E3278E"/>
    <w:rsid w:val="03178A50"/>
    <w:rsid w:val="031CEBA1"/>
    <w:rsid w:val="033264E7"/>
    <w:rsid w:val="038568AB"/>
    <w:rsid w:val="03B827DD"/>
    <w:rsid w:val="040AC882"/>
    <w:rsid w:val="040DFD74"/>
    <w:rsid w:val="04758B5B"/>
    <w:rsid w:val="04883CEC"/>
    <w:rsid w:val="048C6926"/>
    <w:rsid w:val="049DD46A"/>
    <w:rsid w:val="04A08463"/>
    <w:rsid w:val="04B3E39D"/>
    <w:rsid w:val="04DA915E"/>
    <w:rsid w:val="04F8E7C2"/>
    <w:rsid w:val="04F9BD7D"/>
    <w:rsid w:val="04F9E6ED"/>
    <w:rsid w:val="050A8D6E"/>
    <w:rsid w:val="051744BD"/>
    <w:rsid w:val="0540F47B"/>
    <w:rsid w:val="0551BBDC"/>
    <w:rsid w:val="057306FC"/>
    <w:rsid w:val="058CFD23"/>
    <w:rsid w:val="058D4EF2"/>
    <w:rsid w:val="05965419"/>
    <w:rsid w:val="05AA77E6"/>
    <w:rsid w:val="05ADC055"/>
    <w:rsid w:val="05C01109"/>
    <w:rsid w:val="05C47253"/>
    <w:rsid w:val="05D18154"/>
    <w:rsid w:val="05D8AD78"/>
    <w:rsid w:val="05EDE0D1"/>
    <w:rsid w:val="05F185E0"/>
    <w:rsid w:val="05F88BF8"/>
    <w:rsid w:val="05F9FBE8"/>
    <w:rsid w:val="05FEB14F"/>
    <w:rsid w:val="0614F668"/>
    <w:rsid w:val="062B6F63"/>
    <w:rsid w:val="062FF330"/>
    <w:rsid w:val="0632F0E9"/>
    <w:rsid w:val="0646EA66"/>
    <w:rsid w:val="0672DE96"/>
    <w:rsid w:val="06B42552"/>
    <w:rsid w:val="06DB6E76"/>
    <w:rsid w:val="06DD2163"/>
    <w:rsid w:val="06E2F0C5"/>
    <w:rsid w:val="06E5EB27"/>
    <w:rsid w:val="072A6BB0"/>
    <w:rsid w:val="07394C27"/>
    <w:rsid w:val="07425D0A"/>
    <w:rsid w:val="07520EE2"/>
    <w:rsid w:val="07595436"/>
    <w:rsid w:val="07604A89"/>
    <w:rsid w:val="0760BD60"/>
    <w:rsid w:val="076F7D3F"/>
    <w:rsid w:val="07B13768"/>
    <w:rsid w:val="07E4697B"/>
    <w:rsid w:val="07F68C5D"/>
    <w:rsid w:val="080EAEF7"/>
    <w:rsid w:val="08117A01"/>
    <w:rsid w:val="08138718"/>
    <w:rsid w:val="0826F45D"/>
    <w:rsid w:val="082F9B05"/>
    <w:rsid w:val="0842886A"/>
    <w:rsid w:val="0849F1F8"/>
    <w:rsid w:val="084BB258"/>
    <w:rsid w:val="08518B2E"/>
    <w:rsid w:val="08946E1A"/>
    <w:rsid w:val="089D667F"/>
    <w:rsid w:val="089F65E3"/>
    <w:rsid w:val="08A047F8"/>
    <w:rsid w:val="08A6CAB2"/>
    <w:rsid w:val="08D401A8"/>
    <w:rsid w:val="08EFA5BF"/>
    <w:rsid w:val="0914BAEB"/>
    <w:rsid w:val="09310532"/>
    <w:rsid w:val="0936BCDB"/>
    <w:rsid w:val="093EF59C"/>
    <w:rsid w:val="096902FC"/>
    <w:rsid w:val="096A4DCA"/>
    <w:rsid w:val="096AB25F"/>
    <w:rsid w:val="099854BA"/>
    <w:rsid w:val="099AEFD0"/>
    <w:rsid w:val="09B8883A"/>
    <w:rsid w:val="09C22425"/>
    <w:rsid w:val="09DA92B0"/>
    <w:rsid w:val="09DE2454"/>
    <w:rsid w:val="0A1CEAAC"/>
    <w:rsid w:val="0A44194B"/>
    <w:rsid w:val="0A5EC812"/>
    <w:rsid w:val="0A7CA4E9"/>
    <w:rsid w:val="0A94CABB"/>
    <w:rsid w:val="0AE6CA36"/>
    <w:rsid w:val="0AE6E393"/>
    <w:rsid w:val="0AECF7EB"/>
    <w:rsid w:val="0B274A06"/>
    <w:rsid w:val="0B468485"/>
    <w:rsid w:val="0B82D8A7"/>
    <w:rsid w:val="0B944FEF"/>
    <w:rsid w:val="0BCF085C"/>
    <w:rsid w:val="0BF8B554"/>
    <w:rsid w:val="0C048D8C"/>
    <w:rsid w:val="0C0A1970"/>
    <w:rsid w:val="0C17EC8E"/>
    <w:rsid w:val="0C1D464A"/>
    <w:rsid w:val="0C397AB8"/>
    <w:rsid w:val="0C3A2B6E"/>
    <w:rsid w:val="0C4BE099"/>
    <w:rsid w:val="0C4F1DC1"/>
    <w:rsid w:val="0C581C44"/>
    <w:rsid w:val="0C6020CF"/>
    <w:rsid w:val="0C6225C2"/>
    <w:rsid w:val="0C62D1B6"/>
    <w:rsid w:val="0C79EA43"/>
    <w:rsid w:val="0C968994"/>
    <w:rsid w:val="0CA10E80"/>
    <w:rsid w:val="0CC85B23"/>
    <w:rsid w:val="0D012157"/>
    <w:rsid w:val="0D30C2F6"/>
    <w:rsid w:val="0D34C510"/>
    <w:rsid w:val="0D5BF42C"/>
    <w:rsid w:val="0D91A1BC"/>
    <w:rsid w:val="0DA0F938"/>
    <w:rsid w:val="0DA2AAA1"/>
    <w:rsid w:val="0DC0FA1F"/>
    <w:rsid w:val="0DD15BB1"/>
    <w:rsid w:val="0DD262F5"/>
    <w:rsid w:val="0DD8B893"/>
    <w:rsid w:val="0DDF0C4A"/>
    <w:rsid w:val="0DE53F9F"/>
    <w:rsid w:val="0DE7B0FA"/>
    <w:rsid w:val="0E021970"/>
    <w:rsid w:val="0E12241A"/>
    <w:rsid w:val="0E1E078C"/>
    <w:rsid w:val="0E482865"/>
    <w:rsid w:val="0E5235A2"/>
    <w:rsid w:val="0E79150A"/>
    <w:rsid w:val="0E7D4B35"/>
    <w:rsid w:val="0EB9241D"/>
    <w:rsid w:val="0ECEE348"/>
    <w:rsid w:val="0EEAFA80"/>
    <w:rsid w:val="0EF5A94E"/>
    <w:rsid w:val="0F060D2A"/>
    <w:rsid w:val="0F07498A"/>
    <w:rsid w:val="0F1D9894"/>
    <w:rsid w:val="0F281487"/>
    <w:rsid w:val="0F468091"/>
    <w:rsid w:val="0F4BC571"/>
    <w:rsid w:val="0F4CBF31"/>
    <w:rsid w:val="0F639C04"/>
    <w:rsid w:val="0F6CC18C"/>
    <w:rsid w:val="0F7C7042"/>
    <w:rsid w:val="0F88FF86"/>
    <w:rsid w:val="0FCB8B35"/>
    <w:rsid w:val="0FD5F08A"/>
    <w:rsid w:val="0FD713DD"/>
    <w:rsid w:val="0FE06352"/>
    <w:rsid w:val="0FEB13AA"/>
    <w:rsid w:val="0FFD7801"/>
    <w:rsid w:val="1008857D"/>
    <w:rsid w:val="100ABDDB"/>
    <w:rsid w:val="100ECA66"/>
    <w:rsid w:val="1044C42E"/>
    <w:rsid w:val="1066C8A7"/>
    <w:rsid w:val="107E66AC"/>
    <w:rsid w:val="10805FAA"/>
    <w:rsid w:val="1093A3FB"/>
    <w:rsid w:val="10AFD8FA"/>
    <w:rsid w:val="10CE42F7"/>
    <w:rsid w:val="10E08DD5"/>
    <w:rsid w:val="10EF00CC"/>
    <w:rsid w:val="10F0EADB"/>
    <w:rsid w:val="10FE2248"/>
    <w:rsid w:val="11019C32"/>
    <w:rsid w:val="1104E505"/>
    <w:rsid w:val="111106F8"/>
    <w:rsid w:val="111C2EB4"/>
    <w:rsid w:val="1124AA24"/>
    <w:rsid w:val="1139CDFF"/>
    <w:rsid w:val="113D8397"/>
    <w:rsid w:val="114D609A"/>
    <w:rsid w:val="1153ABDD"/>
    <w:rsid w:val="11935A26"/>
    <w:rsid w:val="11A07BC1"/>
    <w:rsid w:val="11A6E5FD"/>
    <w:rsid w:val="11AA9AC7"/>
    <w:rsid w:val="11EDD2FA"/>
    <w:rsid w:val="11F0C419"/>
    <w:rsid w:val="11FC7F03"/>
    <w:rsid w:val="120170F3"/>
    <w:rsid w:val="1201B830"/>
    <w:rsid w:val="121378E3"/>
    <w:rsid w:val="12219577"/>
    <w:rsid w:val="1226F065"/>
    <w:rsid w:val="1250EA63"/>
    <w:rsid w:val="127935C3"/>
    <w:rsid w:val="12A9238E"/>
    <w:rsid w:val="12ABCDD2"/>
    <w:rsid w:val="12D151B4"/>
    <w:rsid w:val="12D6EE5B"/>
    <w:rsid w:val="12E7FEF2"/>
    <w:rsid w:val="12F58BA2"/>
    <w:rsid w:val="12F8FE62"/>
    <w:rsid w:val="12FB2CE3"/>
    <w:rsid w:val="13250268"/>
    <w:rsid w:val="135D2BA6"/>
    <w:rsid w:val="13838866"/>
    <w:rsid w:val="13840491"/>
    <w:rsid w:val="13B1A7A0"/>
    <w:rsid w:val="13C4CFC1"/>
    <w:rsid w:val="13D9A677"/>
    <w:rsid w:val="13ED272C"/>
    <w:rsid w:val="14048CF2"/>
    <w:rsid w:val="14056DD7"/>
    <w:rsid w:val="140EE202"/>
    <w:rsid w:val="143B2828"/>
    <w:rsid w:val="144BB391"/>
    <w:rsid w:val="144DB65D"/>
    <w:rsid w:val="14557010"/>
    <w:rsid w:val="14BA1B21"/>
    <w:rsid w:val="14D69211"/>
    <w:rsid w:val="14DE94A0"/>
    <w:rsid w:val="14E4F96C"/>
    <w:rsid w:val="14E7290C"/>
    <w:rsid w:val="15030D24"/>
    <w:rsid w:val="15051EA1"/>
    <w:rsid w:val="152A170E"/>
    <w:rsid w:val="1550C950"/>
    <w:rsid w:val="1552E161"/>
    <w:rsid w:val="1576A7C3"/>
    <w:rsid w:val="15782AC8"/>
    <w:rsid w:val="1590E607"/>
    <w:rsid w:val="159BA1CC"/>
    <w:rsid w:val="15A85529"/>
    <w:rsid w:val="15ACAEAB"/>
    <w:rsid w:val="15C0252D"/>
    <w:rsid w:val="15C1E17B"/>
    <w:rsid w:val="15C9988F"/>
    <w:rsid w:val="15D0EE17"/>
    <w:rsid w:val="15DA114D"/>
    <w:rsid w:val="15FFE220"/>
    <w:rsid w:val="161F1F42"/>
    <w:rsid w:val="166DB5FB"/>
    <w:rsid w:val="167FD53E"/>
    <w:rsid w:val="16CEBB97"/>
    <w:rsid w:val="16D3CEC5"/>
    <w:rsid w:val="16D6B9DF"/>
    <w:rsid w:val="16FDB4F6"/>
    <w:rsid w:val="1701BCEF"/>
    <w:rsid w:val="170FA19A"/>
    <w:rsid w:val="1732828F"/>
    <w:rsid w:val="17538242"/>
    <w:rsid w:val="17614E56"/>
    <w:rsid w:val="1781F7DA"/>
    <w:rsid w:val="1783F557"/>
    <w:rsid w:val="17AA94CF"/>
    <w:rsid w:val="17AFFD67"/>
    <w:rsid w:val="17F9CC85"/>
    <w:rsid w:val="1827DB7E"/>
    <w:rsid w:val="1848B90C"/>
    <w:rsid w:val="185825A9"/>
    <w:rsid w:val="187720D2"/>
    <w:rsid w:val="188DC828"/>
    <w:rsid w:val="189F58F7"/>
    <w:rsid w:val="18B8C782"/>
    <w:rsid w:val="18CC23A8"/>
    <w:rsid w:val="190029F8"/>
    <w:rsid w:val="19202BEF"/>
    <w:rsid w:val="192ACE2A"/>
    <w:rsid w:val="1930DA8D"/>
    <w:rsid w:val="19672088"/>
    <w:rsid w:val="1976C6BC"/>
    <w:rsid w:val="19860460"/>
    <w:rsid w:val="19874FBC"/>
    <w:rsid w:val="198E24D2"/>
    <w:rsid w:val="1995124D"/>
    <w:rsid w:val="19A6FF5F"/>
    <w:rsid w:val="19B50261"/>
    <w:rsid w:val="19DA4EC2"/>
    <w:rsid w:val="19E5C8A9"/>
    <w:rsid w:val="19EEC556"/>
    <w:rsid w:val="1A01C172"/>
    <w:rsid w:val="1A05EABD"/>
    <w:rsid w:val="1A20B3ED"/>
    <w:rsid w:val="1A2B9F24"/>
    <w:rsid w:val="1A2F33C2"/>
    <w:rsid w:val="1A2F3B12"/>
    <w:rsid w:val="1A50F7B6"/>
    <w:rsid w:val="1A61039D"/>
    <w:rsid w:val="1A6FF869"/>
    <w:rsid w:val="1A707197"/>
    <w:rsid w:val="1A8A8040"/>
    <w:rsid w:val="1A8D3900"/>
    <w:rsid w:val="1A980DBD"/>
    <w:rsid w:val="1AB111AB"/>
    <w:rsid w:val="1AC42290"/>
    <w:rsid w:val="1ACD0879"/>
    <w:rsid w:val="1AEEE141"/>
    <w:rsid w:val="1B133557"/>
    <w:rsid w:val="1B2C9157"/>
    <w:rsid w:val="1B324C79"/>
    <w:rsid w:val="1B7A8421"/>
    <w:rsid w:val="1B8C87DB"/>
    <w:rsid w:val="1B98C876"/>
    <w:rsid w:val="1B99F136"/>
    <w:rsid w:val="1BA106F2"/>
    <w:rsid w:val="1BA3EE0B"/>
    <w:rsid w:val="1BA42278"/>
    <w:rsid w:val="1BA830D2"/>
    <w:rsid w:val="1BAB9AC9"/>
    <w:rsid w:val="1BAC9174"/>
    <w:rsid w:val="1BAE2A1C"/>
    <w:rsid w:val="1BB37AB7"/>
    <w:rsid w:val="1BB7B05B"/>
    <w:rsid w:val="1BD1E267"/>
    <w:rsid w:val="1BE4F1A3"/>
    <w:rsid w:val="1BE672D2"/>
    <w:rsid w:val="1C05ECC5"/>
    <w:rsid w:val="1C458C19"/>
    <w:rsid w:val="1C49AA7A"/>
    <w:rsid w:val="1C5B246F"/>
    <w:rsid w:val="1C67B033"/>
    <w:rsid w:val="1CA7258D"/>
    <w:rsid w:val="1CBBE3AE"/>
    <w:rsid w:val="1CEE61D1"/>
    <w:rsid w:val="1D4FED3D"/>
    <w:rsid w:val="1D5C5361"/>
    <w:rsid w:val="1D60C987"/>
    <w:rsid w:val="1D66779A"/>
    <w:rsid w:val="1D6A078C"/>
    <w:rsid w:val="1D877A58"/>
    <w:rsid w:val="1D980CE7"/>
    <w:rsid w:val="1DB743D9"/>
    <w:rsid w:val="1DD423D9"/>
    <w:rsid w:val="1DF9145F"/>
    <w:rsid w:val="1DFD2A1A"/>
    <w:rsid w:val="1E013226"/>
    <w:rsid w:val="1E0B2CA5"/>
    <w:rsid w:val="1E3BE241"/>
    <w:rsid w:val="1E44E6B8"/>
    <w:rsid w:val="1E59B56A"/>
    <w:rsid w:val="1E677B34"/>
    <w:rsid w:val="1E7CEE54"/>
    <w:rsid w:val="1ECB69F4"/>
    <w:rsid w:val="1ECF6A10"/>
    <w:rsid w:val="1EE0AC05"/>
    <w:rsid w:val="1EF54680"/>
    <w:rsid w:val="1EFA2E60"/>
    <w:rsid w:val="1F125F1F"/>
    <w:rsid w:val="1F1B8397"/>
    <w:rsid w:val="1F31B239"/>
    <w:rsid w:val="1F6E4D48"/>
    <w:rsid w:val="1F97E1CF"/>
    <w:rsid w:val="1FCC5820"/>
    <w:rsid w:val="200186C0"/>
    <w:rsid w:val="2008C9E2"/>
    <w:rsid w:val="2016BCB9"/>
    <w:rsid w:val="201C782E"/>
    <w:rsid w:val="202078B7"/>
    <w:rsid w:val="202B00D5"/>
    <w:rsid w:val="203C1F62"/>
    <w:rsid w:val="20563853"/>
    <w:rsid w:val="20614E85"/>
    <w:rsid w:val="20685FD0"/>
    <w:rsid w:val="20697EE8"/>
    <w:rsid w:val="206EA1E6"/>
    <w:rsid w:val="207A4DE0"/>
    <w:rsid w:val="2080F919"/>
    <w:rsid w:val="208A7722"/>
    <w:rsid w:val="209A9905"/>
    <w:rsid w:val="209D6B4E"/>
    <w:rsid w:val="20AA9F44"/>
    <w:rsid w:val="20BFC77F"/>
    <w:rsid w:val="20C1C75C"/>
    <w:rsid w:val="20C502B0"/>
    <w:rsid w:val="20D1796A"/>
    <w:rsid w:val="20E08873"/>
    <w:rsid w:val="20E766E9"/>
    <w:rsid w:val="21005487"/>
    <w:rsid w:val="21103705"/>
    <w:rsid w:val="212E6AA5"/>
    <w:rsid w:val="213072E2"/>
    <w:rsid w:val="2138D58C"/>
    <w:rsid w:val="21495FC4"/>
    <w:rsid w:val="2150DF1D"/>
    <w:rsid w:val="215F4D65"/>
    <w:rsid w:val="2190082B"/>
    <w:rsid w:val="219576FB"/>
    <w:rsid w:val="219C4F10"/>
    <w:rsid w:val="21A6FE38"/>
    <w:rsid w:val="21BD7C4F"/>
    <w:rsid w:val="21C37C92"/>
    <w:rsid w:val="21C85189"/>
    <w:rsid w:val="221BC767"/>
    <w:rsid w:val="22210D01"/>
    <w:rsid w:val="2226ECBD"/>
    <w:rsid w:val="222F1D23"/>
    <w:rsid w:val="223E6BE2"/>
    <w:rsid w:val="2241470D"/>
    <w:rsid w:val="224771DA"/>
    <w:rsid w:val="22621AE9"/>
    <w:rsid w:val="2267C4EE"/>
    <w:rsid w:val="2288258C"/>
    <w:rsid w:val="229E757C"/>
    <w:rsid w:val="22AB27BE"/>
    <w:rsid w:val="22AD06B7"/>
    <w:rsid w:val="22F50D79"/>
    <w:rsid w:val="22F80382"/>
    <w:rsid w:val="22F889EA"/>
    <w:rsid w:val="23288F58"/>
    <w:rsid w:val="236CE207"/>
    <w:rsid w:val="237F59C6"/>
    <w:rsid w:val="238A610F"/>
    <w:rsid w:val="2396CA0D"/>
    <w:rsid w:val="23AB7700"/>
    <w:rsid w:val="23BE176C"/>
    <w:rsid w:val="23BF2F14"/>
    <w:rsid w:val="23DC0862"/>
    <w:rsid w:val="243ADB45"/>
    <w:rsid w:val="2446F81F"/>
    <w:rsid w:val="24489664"/>
    <w:rsid w:val="245F5EB1"/>
    <w:rsid w:val="246ACA8C"/>
    <w:rsid w:val="247A31BF"/>
    <w:rsid w:val="247DECC6"/>
    <w:rsid w:val="24A6FA86"/>
    <w:rsid w:val="24B18FF1"/>
    <w:rsid w:val="24CDAC23"/>
    <w:rsid w:val="24D10C13"/>
    <w:rsid w:val="24F66727"/>
    <w:rsid w:val="24FBBA83"/>
    <w:rsid w:val="2522DB55"/>
    <w:rsid w:val="2528C238"/>
    <w:rsid w:val="258A4E4F"/>
    <w:rsid w:val="2593CD7F"/>
    <w:rsid w:val="25A3F58F"/>
    <w:rsid w:val="25BF78EF"/>
    <w:rsid w:val="25C0551C"/>
    <w:rsid w:val="260A03A6"/>
    <w:rsid w:val="2614120F"/>
    <w:rsid w:val="2621C50A"/>
    <w:rsid w:val="262E5E5D"/>
    <w:rsid w:val="2634DF76"/>
    <w:rsid w:val="264BD1C9"/>
    <w:rsid w:val="26531957"/>
    <w:rsid w:val="2654F40F"/>
    <w:rsid w:val="267643FD"/>
    <w:rsid w:val="2691309B"/>
    <w:rsid w:val="269B6E38"/>
    <w:rsid w:val="26A7A3D5"/>
    <w:rsid w:val="26AF72A4"/>
    <w:rsid w:val="26BCE1DF"/>
    <w:rsid w:val="26C14A90"/>
    <w:rsid w:val="26F00E36"/>
    <w:rsid w:val="271A5574"/>
    <w:rsid w:val="2720712E"/>
    <w:rsid w:val="2763B4E0"/>
    <w:rsid w:val="27723B0B"/>
    <w:rsid w:val="2780B2C4"/>
    <w:rsid w:val="27965683"/>
    <w:rsid w:val="27994FD3"/>
    <w:rsid w:val="279EA97E"/>
    <w:rsid w:val="27B2E30F"/>
    <w:rsid w:val="27B39EB2"/>
    <w:rsid w:val="27C5E3C9"/>
    <w:rsid w:val="27C87E9C"/>
    <w:rsid w:val="27DD6A4B"/>
    <w:rsid w:val="27EDF265"/>
    <w:rsid w:val="27FE287F"/>
    <w:rsid w:val="2810928D"/>
    <w:rsid w:val="28399C97"/>
    <w:rsid w:val="28761A0E"/>
    <w:rsid w:val="28A3E42E"/>
    <w:rsid w:val="28DD5A8C"/>
    <w:rsid w:val="28FF6BDE"/>
    <w:rsid w:val="29155C5E"/>
    <w:rsid w:val="2936F38F"/>
    <w:rsid w:val="293A0989"/>
    <w:rsid w:val="29603CB6"/>
    <w:rsid w:val="29BA73F6"/>
    <w:rsid w:val="29E27F67"/>
    <w:rsid w:val="29F5EAB1"/>
    <w:rsid w:val="2A0D4C9D"/>
    <w:rsid w:val="2A6BD79C"/>
    <w:rsid w:val="2A77FAE5"/>
    <w:rsid w:val="2A79E9EE"/>
    <w:rsid w:val="2A81832A"/>
    <w:rsid w:val="2A8EB8F4"/>
    <w:rsid w:val="2A92CDF2"/>
    <w:rsid w:val="2AABC8C3"/>
    <w:rsid w:val="2AB7AD10"/>
    <w:rsid w:val="2AB9D175"/>
    <w:rsid w:val="2AC7E7D1"/>
    <w:rsid w:val="2AD64A40"/>
    <w:rsid w:val="2AEC7CC2"/>
    <w:rsid w:val="2B0F9601"/>
    <w:rsid w:val="2B185DA3"/>
    <w:rsid w:val="2B279939"/>
    <w:rsid w:val="2B38E460"/>
    <w:rsid w:val="2B467562"/>
    <w:rsid w:val="2B57FE4B"/>
    <w:rsid w:val="2B5CE20D"/>
    <w:rsid w:val="2B5DFAB9"/>
    <w:rsid w:val="2B69BBC1"/>
    <w:rsid w:val="2B713D59"/>
    <w:rsid w:val="2B895132"/>
    <w:rsid w:val="2B9A670A"/>
    <w:rsid w:val="2BD721E7"/>
    <w:rsid w:val="2BE8CF04"/>
    <w:rsid w:val="2BF350F8"/>
    <w:rsid w:val="2BFC3663"/>
    <w:rsid w:val="2C2F4C4B"/>
    <w:rsid w:val="2C321B76"/>
    <w:rsid w:val="2C503994"/>
    <w:rsid w:val="2C58A292"/>
    <w:rsid w:val="2C58B900"/>
    <w:rsid w:val="2C6E0968"/>
    <w:rsid w:val="2C7FD816"/>
    <w:rsid w:val="2CA8A91C"/>
    <w:rsid w:val="2CBC689A"/>
    <w:rsid w:val="2CBFE4D9"/>
    <w:rsid w:val="2CDBD284"/>
    <w:rsid w:val="2D0D3107"/>
    <w:rsid w:val="2D2F07C4"/>
    <w:rsid w:val="2D5388FA"/>
    <w:rsid w:val="2D662E70"/>
    <w:rsid w:val="2D91E416"/>
    <w:rsid w:val="2D956DF6"/>
    <w:rsid w:val="2DBCE2BB"/>
    <w:rsid w:val="2E012A20"/>
    <w:rsid w:val="2E0EEEB1"/>
    <w:rsid w:val="2E2393CD"/>
    <w:rsid w:val="2E4633A7"/>
    <w:rsid w:val="2E5533C6"/>
    <w:rsid w:val="2E857F75"/>
    <w:rsid w:val="2E8E97AD"/>
    <w:rsid w:val="2E8FA46B"/>
    <w:rsid w:val="2E9DC3A0"/>
    <w:rsid w:val="2EA862CC"/>
    <w:rsid w:val="2EBDF145"/>
    <w:rsid w:val="2EC1104E"/>
    <w:rsid w:val="2EF6F3DC"/>
    <w:rsid w:val="2F1500E7"/>
    <w:rsid w:val="2F3183CF"/>
    <w:rsid w:val="2F500215"/>
    <w:rsid w:val="2F55901F"/>
    <w:rsid w:val="2F66D1DC"/>
    <w:rsid w:val="2F678A25"/>
    <w:rsid w:val="2F9574AC"/>
    <w:rsid w:val="2FA9543E"/>
    <w:rsid w:val="2FBF8509"/>
    <w:rsid w:val="2FCABD47"/>
    <w:rsid w:val="2FE3630D"/>
    <w:rsid w:val="2FF90877"/>
    <w:rsid w:val="3001DBB2"/>
    <w:rsid w:val="301FB681"/>
    <w:rsid w:val="30336CBE"/>
    <w:rsid w:val="3039A6D4"/>
    <w:rsid w:val="305B6AC5"/>
    <w:rsid w:val="306C3154"/>
    <w:rsid w:val="307DEAEF"/>
    <w:rsid w:val="3081E048"/>
    <w:rsid w:val="3092D154"/>
    <w:rsid w:val="30A8FF3E"/>
    <w:rsid w:val="30AE2B17"/>
    <w:rsid w:val="30C2DA92"/>
    <w:rsid w:val="30CFF7A2"/>
    <w:rsid w:val="30ED8D56"/>
    <w:rsid w:val="311AF11C"/>
    <w:rsid w:val="313B5CE9"/>
    <w:rsid w:val="31467982"/>
    <w:rsid w:val="314F0478"/>
    <w:rsid w:val="3154F242"/>
    <w:rsid w:val="316139BE"/>
    <w:rsid w:val="3180AFEB"/>
    <w:rsid w:val="31BFBCD0"/>
    <w:rsid w:val="31C4F4EA"/>
    <w:rsid w:val="31D453F3"/>
    <w:rsid w:val="31DCF527"/>
    <w:rsid w:val="31DD6DF1"/>
    <w:rsid w:val="31DE038E"/>
    <w:rsid w:val="320468DB"/>
    <w:rsid w:val="322048B6"/>
    <w:rsid w:val="3244719B"/>
    <w:rsid w:val="32495DC8"/>
    <w:rsid w:val="32597AAE"/>
    <w:rsid w:val="32622D05"/>
    <w:rsid w:val="3279D6AF"/>
    <w:rsid w:val="329E9249"/>
    <w:rsid w:val="329EB1A5"/>
    <w:rsid w:val="32AE077C"/>
    <w:rsid w:val="32B56DC3"/>
    <w:rsid w:val="33044AA3"/>
    <w:rsid w:val="332B3791"/>
    <w:rsid w:val="3334731C"/>
    <w:rsid w:val="334A5BDA"/>
    <w:rsid w:val="336B7C1D"/>
    <w:rsid w:val="338B4411"/>
    <w:rsid w:val="3397C61C"/>
    <w:rsid w:val="33B50E7B"/>
    <w:rsid w:val="33B70E1E"/>
    <w:rsid w:val="33BAA159"/>
    <w:rsid w:val="33CA1B70"/>
    <w:rsid w:val="33CDE627"/>
    <w:rsid w:val="33DEAFE7"/>
    <w:rsid w:val="33E03AE5"/>
    <w:rsid w:val="34083C9B"/>
    <w:rsid w:val="341F63A9"/>
    <w:rsid w:val="343AAAB1"/>
    <w:rsid w:val="345607BA"/>
    <w:rsid w:val="347ACD8C"/>
    <w:rsid w:val="347F2868"/>
    <w:rsid w:val="34A4AE78"/>
    <w:rsid w:val="34A5C1E4"/>
    <w:rsid w:val="34A9193D"/>
    <w:rsid w:val="34B908C8"/>
    <w:rsid w:val="34C59B8D"/>
    <w:rsid w:val="34E1A7F0"/>
    <w:rsid w:val="34F1E169"/>
    <w:rsid w:val="3524E445"/>
    <w:rsid w:val="352C81B0"/>
    <w:rsid w:val="353B7023"/>
    <w:rsid w:val="3550DEDC"/>
    <w:rsid w:val="355FAF16"/>
    <w:rsid w:val="3561FEA7"/>
    <w:rsid w:val="358DE51A"/>
    <w:rsid w:val="35946856"/>
    <w:rsid w:val="359C4E4C"/>
    <w:rsid w:val="35BDFD5B"/>
    <w:rsid w:val="35DAC3C0"/>
    <w:rsid w:val="35DC6CEB"/>
    <w:rsid w:val="35F44365"/>
    <w:rsid w:val="35F4F6B6"/>
    <w:rsid w:val="35F7327F"/>
    <w:rsid w:val="36140E1B"/>
    <w:rsid w:val="3638D444"/>
    <w:rsid w:val="363CB449"/>
    <w:rsid w:val="3682EF5B"/>
    <w:rsid w:val="3684C94F"/>
    <w:rsid w:val="368DE49B"/>
    <w:rsid w:val="36CEDA25"/>
    <w:rsid w:val="36E6B0BB"/>
    <w:rsid w:val="3701928F"/>
    <w:rsid w:val="37099A51"/>
    <w:rsid w:val="37154707"/>
    <w:rsid w:val="371D6C9B"/>
    <w:rsid w:val="373226B4"/>
    <w:rsid w:val="373A4027"/>
    <w:rsid w:val="375DDF02"/>
    <w:rsid w:val="37724CBF"/>
    <w:rsid w:val="3792F69F"/>
    <w:rsid w:val="379891B0"/>
    <w:rsid w:val="37989285"/>
    <w:rsid w:val="379C469C"/>
    <w:rsid w:val="37B37041"/>
    <w:rsid w:val="37CB0FAD"/>
    <w:rsid w:val="38110D51"/>
    <w:rsid w:val="381E1046"/>
    <w:rsid w:val="383B040D"/>
    <w:rsid w:val="383BB3A4"/>
    <w:rsid w:val="384A4438"/>
    <w:rsid w:val="384AE14D"/>
    <w:rsid w:val="384B67ED"/>
    <w:rsid w:val="386D60A8"/>
    <w:rsid w:val="386F5741"/>
    <w:rsid w:val="3877D127"/>
    <w:rsid w:val="38805591"/>
    <w:rsid w:val="38C2DE52"/>
    <w:rsid w:val="38C7A2B6"/>
    <w:rsid w:val="38DB3F35"/>
    <w:rsid w:val="38DD0797"/>
    <w:rsid w:val="38FA4894"/>
    <w:rsid w:val="390D91BF"/>
    <w:rsid w:val="3941AB53"/>
    <w:rsid w:val="3947E6DF"/>
    <w:rsid w:val="39711E43"/>
    <w:rsid w:val="3971AB23"/>
    <w:rsid w:val="39C617F8"/>
    <w:rsid w:val="3A091472"/>
    <w:rsid w:val="3A0C059E"/>
    <w:rsid w:val="3A1C5C23"/>
    <w:rsid w:val="3A55B4D7"/>
    <w:rsid w:val="3A6E27DA"/>
    <w:rsid w:val="3A7B9243"/>
    <w:rsid w:val="3A7E64DA"/>
    <w:rsid w:val="3A98B342"/>
    <w:rsid w:val="3AB6B983"/>
    <w:rsid w:val="3ACAB4FD"/>
    <w:rsid w:val="3AE7B7AB"/>
    <w:rsid w:val="3B77DA66"/>
    <w:rsid w:val="3B7835DE"/>
    <w:rsid w:val="3B8DD4B7"/>
    <w:rsid w:val="3BBCB6C7"/>
    <w:rsid w:val="3BD26884"/>
    <w:rsid w:val="3BE87566"/>
    <w:rsid w:val="3BFE07BC"/>
    <w:rsid w:val="3C0E2DC8"/>
    <w:rsid w:val="3C31D96C"/>
    <w:rsid w:val="3C3BE4B2"/>
    <w:rsid w:val="3C3C3E82"/>
    <w:rsid w:val="3C5381B6"/>
    <w:rsid w:val="3C66855E"/>
    <w:rsid w:val="3C6741DE"/>
    <w:rsid w:val="3C7A6965"/>
    <w:rsid w:val="3CBEC37B"/>
    <w:rsid w:val="3D081B6C"/>
    <w:rsid w:val="3D0FB868"/>
    <w:rsid w:val="3D14624A"/>
    <w:rsid w:val="3D1585D2"/>
    <w:rsid w:val="3D8D0DD3"/>
    <w:rsid w:val="3D904C76"/>
    <w:rsid w:val="3D934693"/>
    <w:rsid w:val="3DAC8509"/>
    <w:rsid w:val="3E2B0716"/>
    <w:rsid w:val="3E2BC1F2"/>
    <w:rsid w:val="3E33BC76"/>
    <w:rsid w:val="3E5790A5"/>
    <w:rsid w:val="3E596ADD"/>
    <w:rsid w:val="3E6F11D4"/>
    <w:rsid w:val="3E90A95F"/>
    <w:rsid w:val="3EA762D5"/>
    <w:rsid w:val="3EB683D7"/>
    <w:rsid w:val="3ECB3B9D"/>
    <w:rsid w:val="3ECDA99D"/>
    <w:rsid w:val="3EE94833"/>
    <w:rsid w:val="3EFB7AC6"/>
    <w:rsid w:val="3F052F87"/>
    <w:rsid w:val="3F0A2DBB"/>
    <w:rsid w:val="3F354BF5"/>
    <w:rsid w:val="3F578D20"/>
    <w:rsid w:val="3F695549"/>
    <w:rsid w:val="3F73E9C9"/>
    <w:rsid w:val="3F76D209"/>
    <w:rsid w:val="3F789D52"/>
    <w:rsid w:val="3F95A75C"/>
    <w:rsid w:val="3F9FDC7B"/>
    <w:rsid w:val="3FA6FBC7"/>
    <w:rsid w:val="3FAA4791"/>
    <w:rsid w:val="3FC3DAA8"/>
    <w:rsid w:val="3FC97E16"/>
    <w:rsid w:val="3FEF74B7"/>
    <w:rsid w:val="400FE664"/>
    <w:rsid w:val="401660D4"/>
    <w:rsid w:val="40283541"/>
    <w:rsid w:val="4046FC51"/>
    <w:rsid w:val="4055C4D1"/>
    <w:rsid w:val="40567A76"/>
    <w:rsid w:val="4078D342"/>
    <w:rsid w:val="40939183"/>
    <w:rsid w:val="409942A7"/>
    <w:rsid w:val="40997C6E"/>
    <w:rsid w:val="40A7131A"/>
    <w:rsid w:val="40AFD428"/>
    <w:rsid w:val="40C6E269"/>
    <w:rsid w:val="40CA12C1"/>
    <w:rsid w:val="40D7D2F1"/>
    <w:rsid w:val="40F11ABA"/>
    <w:rsid w:val="4106A692"/>
    <w:rsid w:val="410D2AE5"/>
    <w:rsid w:val="41174C1C"/>
    <w:rsid w:val="412F0292"/>
    <w:rsid w:val="4130FD6A"/>
    <w:rsid w:val="41328D94"/>
    <w:rsid w:val="413BD552"/>
    <w:rsid w:val="415413F2"/>
    <w:rsid w:val="4163B95A"/>
    <w:rsid w:val="41654D68"/>
    <w:rsid w:val="417A0AAD"/>
    <w:rsid w:val="4182F791"/>
    <w:rsid w:val="4184FD6F"/>
    <w:rsid w:val="41868603"/>
    <w:rsid w:val="418CF17C"/>
    <w:rsid w:val="41959E28"/>
    <w:rsid w:val="419F6DFE"/>
    <w:rsid w:val="41D39CF5"/>
    <w:rsid w:val="41D7960E"/>
    <w:rsid w:val="41FAD41B"/>
    <w:rsid w:val="41FB6621"/>
    <w:rsid w:val="41FE902D"/>
    <w:rsid w:val="42163987"/>
    <w:rsid w:val="421CD215"/>
    <w:rsid w:val="423310F0"/>
    <w:rsid w:val="42381F33"/>
    <w:rsid w:val="423A3EC5"/>
    <w:rsid w:val="423CE753"/>
    <w:rsid w:val="4242C074"/>
    <w:rsid w:val="42513E95"/>
    <w:rsid w:val="42529282"/>
    <w:rsid w:val="42680703"/>
    <w:rsid w:val="42812EE8"/>
    <w:rsid w:val="4283C840"/>
    <w:rsid w:val="428CD923"/>
    <w:rsid w:val="428D1615"/>
    <w:rsid w:val="42921563"/>
    <w:rsid w:val="42AA9F64"/>
    <w:rsid w:val="42B49397"/>
    <w:rsid w:val="42CA5129"/>
    <w:rsid w:val="42CA8C42"/>
    <w:rsid w:val="42F67C52"/>
    <w:rsid w:val="4301D18F"/>
    <w:rsid w:val="4304B306"/>
    <w:rsid w:val="43141992"/>
    <w:rsid w:val="432054F4"/>
    <w:rsid w:val="4325511C"/>
    <w:rsid w:val="432B1C06"/>
    <w:rsid w:val="434DAD2D"/>
    <w:rsid w:val="4357FA47"/>
    <w:rsid w:val="437315CD"/>
    <w:rsid w:val="439EA2AE"/>
    <w:rsid w:val="43B209E8"/>
    <w:rsid w:val="43C96C39"/>
    <w:rsid w:val="43DE10E4"/>
    <w:rsid w:val="43E3BD94"/>
    <w:rsid w:val="43E41705"/>
    <w:rsid w:val="43F072DC"/>
    <w:rsid w:val="44158A01"/>
    <w:rsid w:val="441761CF"/>
    <w:rsid w:val="446E3BD8"/>
    <w:rsid w:val="446FC77E"/>
    <w:rsid w:val="44774330"/>
    <w:rsid w:val="4480308B"/>
    <w:rsid w:val="44948868"/>
    <w:rsid w:val="44CEAB7C"/>
    <w:rsid w:val="44EB8279"/>
    <w:rsid w:val="451AC3E3"/>
    <w:rsid w:val="454489A4"/>
    <w:rsid w:val="454511CA"/>
    <w:rsid w:val="454DDA49"/>
    <w:rsid w:val="4560978B"/>
    <w:rsid w:val="457ACFA0"/>
    <w:rsid w:val="45865D36"/>
    <w:rsid w:val="458CA939"/>
    <w:rsid w:val="4596AC7E"/>
    <w:rsid w:val="45B3C90A"/>
    <w:rsid w:val="45DE7723"/>
    <w:rsid w:val="45E447C1"/>
    <w:rsid w:val="45F011BE"/>
    <w:rsid w:val="4618843E"/>
    <w:rsid w:val="4624BEE8"/>
    <w:rsid w:val="466C068C"/>
    <w:rsid w:val="4670720E"/>
    <w:rsid w:val="46825FC0"/>
    <w:rsid w:val="4686A40A"/>
    <w:rsid w:val="468D607F"/>
    <w:rsid w:val="46A14744"/>
    <w:rsid w:val="46B4B55B"/>
    <w:rsid w:val="46E1A797"/>
    <w:rsid w:val="46E8638A"/>
    <w:rsid w:val="46EF90D8"/>
    <w:rsid w:val="46F50E76"/>
    <w:rsid w:val="4710E2AC"/>
    <w:rsid w:val="4773C149"/>
    <w:rsid w:val="4774EADE"/>
    <w:rsid w:val="47843C2C"/>
    <w:rsid w:val="47E66543"/>
    <w:rsid w:val="47F49FBE"/>
    <w:rsid w:val="4807D6ED"/>
    <w:rsid w:val="481A812E"/>
    <w:rsid w:val="4820CE96"/>
    <w:rsid w:val="48311D88"/>
    <w:rsid w:val="4839DCEA"/>
    <w:rsid w:val="483DAB20"/>
    <w:rsid w:val="484A5451"/>
    <w:rsid w:val="486424A5"/>
    <w:rsid w:val="48830985"/>
    <w:rsid w:val="4896D66D"/>
    <w:rsid w:val="489ECBDC"/>
    <w:rsid w:val="48A77A1A"/>
    <w:rsid w:val="48B64024"/>
    <w:rsid w:val="48C5117A"/>
    <w:rsid w:val="48E39EF3"/>
    <w:rsid w:val="48FCF0C9"/>
    <w:rsid w:val="490B0DE8"/>
    <w:rsid w:val="491601A9"/>
    <w:rsid w:val="49264D1B"/>
    <w:rsid w:val="4932A46A"/>
    <w:rsid w:val="494FA342"/>
    <w:rsid w:val="49592766"/>
    <w:rsid w:val="495D859C"/>
    <w:rsid w:val="495E68B1"/>
    <w:rsid w:val="496691CC"/>
    <w:rsid w:val="498B9693"/>
    <w:rsid w:val="49A79300"/>
    <w:rsid w:val="49C833A0"/>
    <w:rsid w:val="49D2A487"/>
    <w:rsid w:val="49D7A4CB"/>
    <w:rsid w:val="49DC1ACD"/>
    <w:rsid w:val="49DFDC67"/>
    <w:rsid w:val="4A21A1A4"/>
    <w:rsid w:val="4A929F03"/>
    <w:rsid w:val="4AB70F66"/>
    <w:rsid w:val="4AC1DA6E"/>
    <w:rsid w:val="4AE0D380"/>
    <w:rsid w:val="4AE3D78C"/>
    <w:rsid w:val="4AEB43F5"/>
    <w:rsid w:val="4AEB65DA"/>
    <w:rsid w:val="4AEDBCFD"/>
    <w:rsid w:val="4B0931AF"/>
    <w:rsid w:val="4B0E4898"/>
    <w:rsid w:val="4B1F020D"/>
    <w:rsid w:val="4B3421A7"/>
    <w:rsid w:val="4B37FB73"/>
    <w:rsid w:val="4B429107"/>
    <w:rsid w:val="4B78DAA3"/>
    <w:rsid w:val="4B92AE5D"/>
    <w:rsid w:val="4BB6D4B0"/>
    <w:rsid w:val="4BB72C5D"/>
    <w:rsid w:val="4BC299B8"/>
    <w:rsid w:val="4BC3E2E0"/>
    <w:rsid w:val="4C291F27"/>
    <w:rsid w:val="4C7E04FC"/>
    <w:rsid w:val="4C931E57"/>
    <w:rsid w:val="4CAA1873"/>
    <w:rsid w:val="4CB4AA7E"/>
    <w:rsid w:val="4CFD1B28"/>
    <w:rsid w:val="4D3ABE24"/>
    <w:rsid w:val="4D4B2561"/>
    <w:rsid w:val="4D6D0CC3"/>
    <w:rsid w:val="4D704E7F"/>
    <w:rsid w:val="4D73424C"/>
    <w:rsid w:val="4D8B7B6E"/>
    <w:rsid w:val="4D954AF8"/>
    <w:rsid w:val="4DA52F35"/>
    <w:rsid w:val="4DC71741"/>
    <w:rsid w:val="4DD129CD"/>
    <w:rsid w:val="4DFCCC57"/>
    <w:rsid w:val="4E1139B3"/>
    <w:rsid w:val="4E13024D"/>
    <w:rsid w:val="4E16D3A5"/>
    <w:rsid w:val="4E1C32EE"/>
    <w:rsid w:val="4E24EB33"/>
    <w:rsid w:val="4E476581"/>
    <w:rsid w:val="4E57D831"/>
    <w:rsid w:val="4E5B7D6D"/>
    <w:rsid w:val="4E5BE2FE"/>
    <w:rsid w:val="4E615608"/>
    <w:rsid w:val="4E6BA5A3"/>
    <w:rsid w:val="4E885FCC"/>
    <w:rsid w:val="4E98C85F"/>
    <w:rsid w:val="4EA7A50F"/>
    <w:rsid w:val="4EB70EFA"/>
    <w:rsid w:val="4EBED996"/>
    <w:rsid w:val="4ECA6C69"/>
    <w:rsid w:val="4EE36369"/>
    <w:rsid w:val="4EE6A1B5"/>
    <w:rsid w:val="4EED722A"/>
    <w:rsid w:val="4EFC1406"/>
    <w:rsid w:val="4F05DAD6"/>
    <w:rsid w:val="4F12EB48"/>
    <w:rsid w:val="4F29C9E3"/>
    <w:rsid w:val="4F2A5E2C"/>
    <w:rsid w:val="4F3088C1"/>
    <w:rsid w:val="4F37918A"/>
    <w:rsid w:val="4F41E6DA"/>
    <w:rsid w:val="4F49FEA4"/>
    <w:rsid w:val="4F602B98"/>
    <w:rsid w:val="4F8BBFBD"/>
    <w:rsid w:val="4F8D044E"/>
    <w:rsid w:val="4F993ACE"/>
    <w:rsid w:val="4F9B03F1"/>
    <w:rsid w:val="4FAC5377"/>
    <w:rsid w:val="4FC26926"/>
    <w:rsid w:val="4FDDB758"/>
    <w:rsid w:val="4FF17C5E"/>
    <w:rsid w:val="501ECE3A"/>
    <w:rsid w:val="5026718A"/>
    <w:rsid w:val="502B3896"/>
    <w:rsid w:val="50382009"/>
    <w:rsid w:val="507557C2"/>
    <w:rsid w:val="508AFA7A"/>
    <w:rsid w:val="50956CD2"/>
    <w:rsid w:val="509E3F5F"/>
    <w:rsid w:val="50C407CA"/>
    <w:rsid w:val="50E04086"/>
    <w:rsid w:val="50E16B76"/>
    <w:rsid w:val="50F9E885"/>
    <w:rsid w:val="511D6EE8"/>
    <w:rsid w:val="512036BB"/>
    <w:rsid w:val="51352ECE"/>
    <w:rsid w:val="51386D04"/>
    <w:rsid w:val="5154B311"/>
    <w:rsid w:val="5189C7F5"/>
    <w:rsid w:val="518C30CE"/>
    <w:rsid w:val="51997C88"/>
    <w:rsid w:val="51D1C349"/>
    <w:rsid w:val="51E55608"/>
    <w:rsid w:val="51E95D02"/>
    <w:rsid w:val="51FB0700"/>
    <w:rsid w:val="5207A653"/>
    <w:rsid w:val="524F706B"/>
    <w:rsid w:val="5281A2C1"/>
    <w:rsid w:val="528661CD"/>
    <w:rsid w:val="528CC414"/>
    <w:rsid w:val="52A61E31"/>
    <w:rsid w:val="52E0B27D"/>
    <w:rsid w:val="52E72A8E"/>
    <w:rsid w:val="52EDE0CD"/>
    <w:rsid w:val="52FA09E8"/>
    <w:rsid w:val="530A6B68"/>
    <w:rsid w:val="53147FC1"/>
    <w:rsid w:val="532B0887"/>
    <w:rsid w:val="533224C5"/>
    <w:rsid w:val="535CE871"/>
    <w:rsid w:val="53C0E212"/>
    <w:rsid w:val="53C7E3E4"/>
    <w:rsid w:val="53DB6E68"/>
    <w:rsid w:val="54128E3F"/>
    <w:rsid w:val="54250A9B"/>
    <w:rsid w:val="542E83DA"/>
    <w:rsid w:val="54464D01"/>
    <w:rsid w:val="5447267F"/>
    <w:rsid w:val="54672B08"/>
    <w:rsid w:val="54AA37CC"/>
    <w:rsid w:val="54B5CBF1"/>
    <w:rsid w:val="54DE2D42"/>
    <w:rsid w:val="5501AEF1"/>
    <w:rsid w:val="550DE50F"/>
    <w:rsid w:val="55211947"/>
    <w:rsid w:val="552F74D7"/>
    <w:rsid w:val="553601C0"/>
    <w:rsid w:val="554C6E72"/>
    <w:rsid w:val="55688759"/>
    <w:rsid w:val="5579A778"/>
    <w:rsid w:val="5580C627"/>
    <w:rsid w:val="558B622C"/>
    <w:rsid w:val="559127C6"/>
    <w:rsid w:val="559B73CF"/>
    <w:rsid w:val="55DAC7C6"/>
    <w:rsid w:val="55E9FC3C"/>
    <w:rsid w:val="55EF43B4"/>
    <w:rsid w:val="55F2F56F"/>
    <w:rsid w:val="55F69CC7"/>
    <w:rsid w:val="560CADE3"/>
    <w:rsid w:val="5629A6C2"/>
    <w:rsid w:val="565B1075"/>
    <w:rsid w:val="56887E64"/>
    <w:rsid w:val="568D2681"/>
    <w:rsid w:val="569A18A5"/>
    <w:rsid w:val="56DF0F94"/>
    <w:rsid w:val="56DF6B01"/>
    <w:rsid w:val="56E4AC00"/>
    <w:rsid w:val="56FE0868"/>
    <w:rsid w:val="5715D627"/>
    <w:rsid w:val="571C3BD8"/>
    <w:rsid w:val="5720ED6C"/>
    <w:rsid w:val="57247D28"/>
    <w:rsid w:val="5759D2F0"/>
    <w:rsid w:val="575FBB1D"/>
    <w:rsid w:val="576D25A8"/>
    <w:rsid w:val="57781ED6"/>
    <w:rsid w:val="5778C52D"/>
    <w:rsid w:val="579D370E"/>
    <w:rsid w:val="57ACEDD4"/>
    <w:rsid w:val="57B6B23D"/>
    <w:rsid w:val="57C21452"/>
    <w:rsid w:val="57C40CFC"/>
    <w:rsid w:val="57C81D9B"/>
    <w:rsid w:val="57CCEC57"/>
    <w:rsid w:val="57DC82ED"/>
    <w:rsid w:val="57F526F9"/>
    <w:rsid w:val="57FBDE35"/>
    <w:rsid w:val="5808BDC8"/>
    <w:rsid w:val="58244EC5"/>
    <w:rsid w:val="5833BDF7"/>
    <w:rsid w:val="5878CB91"/>
    <w:rsid w:val="588A3F18"/>
    <w:rsid w:val="5898BAD7"/>
    <w:rsid w:val="58A7CDB5"/>
    <w:rsid w:val="58B2166E"/>
    <w:rsid w:val="58CFFDDB"/>
    <w:rsid w:val="58E19426"/>
    <w:rsid w:val="58E575F6"/>
    <w:rsid w:val="58FCF8BA"/>
    <w:rsid w:val="58FE40E0"/>
    <w:rsid w:val="5949D3BD"/>
    <w:rsid w:val="59802939"/>
    <w:rsid w:val="59D91CA5"/>
    <w:rsid w:val="59FB1B02"/>
    <w:rsid w:val="5A1BB085"/>
    <w:rsid w:val="5A3E24A5"/>
    <w:rsid w:val="5A457345"/>
    <w:rsid w:val="5A46AF78"/>
    <w:rsid w:val="5A486BD5"/>
    <w:rsid w:val="5A4DADB5"/>
    <w:rsid w:val="5A7F18B7"/>
    <w:rsid w:val="5AA60076"/>
    <w:rsid w:val="5AB96B0C"/>
    <w:rsid w:val="5ABD097F"/>
    <w:rsid w:val="5ACD0C45"/>
    <w:rsid w:val="5AD2A4E4"/>
    <w:rsid w:val="5ADAE682"/>
    <w:rsid w:val="5AE5A41E"/>
    <w:rsid w:val="5B0CA9FE"/>
    <w:rsid w:val="5B0F684D"/>
    <w:rsid w:val="5B511989"/>
    <w:rsid w:val="5B5B899B"/>
    <w:rsid w:val="5B786FA9"/>
    <w:rsid w:val="5B9B40A9"/>
    <w:rsid w:val="5BB83FB3"/>
    <w:rsid w:val="5BDB2D1D"/>
    <w:rsid w:val="5BFB3A02"/>
    <w:rsid w:val="5C01888C"/>
    <w:rsid w:val="5C691966"/>
    <w:rsid w:val="5C6A9CC0"/>
    <w:rsid w:val="5C758982"/>
    <w:rsid w:val="5C99EF31"/>
    <w:rsid w:val="5CA526BA"/>
    <w:rsid w:val="5CBFCC33"/>
    <w:rsid w:val="5CC9B7A3"/>
    <w:rsid w:val="5CCAC165"/>
    <w:rsid w:val="5CD3629F"/>
    <w:rsid w:val="5CF5BCF2"/>
    <w:rsid w:val="5CF63F6B"/>
    <w:rsid w:val="5CFFA736"/>
    <w:rsid w:val="5D0B7314"/>
    <w:rsid w:val="5D0BEBBC"/>
    <w:rsid w:val="5D0E019D"/>
    <w:rsid w:val="5D1241B4"/>
    <w:rsid w:val="5D2E4402"/>
    <w:rsid w:val="5D4CEF57"/>
    <w:rsid w:val="5D554DA8"/>
    <w:rsid w:val="5D67124F"/>
    <w:rsid w:val="5D8C4DFD"/>
    <w:rsid w:val="5D8DD6E1"/>
    <w:rsid w:val="5D953F93"/>
    <w:rsid w:val="5D95D662"/>
    <w:rsid w:val="5D9E037A"/>
    <w:rsid w:val="5D9E71AB"/>
    <w:rsid w:val="5DBF8151"/>
    <w:rsid w:val="5DC02BEB"/>
    <w:rsid w:val="5DCF9F09"/>
    <w:rsid w:val="5DDB7A5E"/>
    <w:rsid w:val="5DF344B6"/>
    <w:rsid w:val="5E045869"/>
    <w:rsid w:val="5E138F21"/>
    <w:rsid w:val="5E282165"/>
    <w:rsid w:val="5E2B5EA8"/>
    <w:rsid w:val="5E2C3845"/>
    <w:rsid w:val="5E47090F"/>
    <w:rsid w:val="5E494585"/>
    <w:rsid w:val="5E4D7C94"/>
    <w:rsid w:val="5E64A909"/>
    <w:rsid w:val="5E6C7B3C"/>
    <w:rsid w:val="5E764B76"/>
    <w:rsid w:val="5EA4F3F2"/>
    <w:rsid w:val="5EAD766B"/>
    <w:rsid w:val="5EBFD3BD"/>
    <w:rsid w:val="5EC3D3D0"/>
    <w:rsid w:val="5EC5E674"/>
    <w:rsid w:val="5ECFBCA2"/>
    <w:rsid w:val="5ED80074"/>
    <w:rsid w:val="5EE84CFD"/>
    <w:rsid w:val="5F003E10"/>
    <w:rsid w:val="5F0A98FE"/>
    <w:rsid w:val="5F36CDF8"/>
    <w:rsid w:val="5F397A6A"/>
    <w:rsid w:val="5F3AE4D4"/>
    <w:rsid w:val="5F417BF5"/>
    <w:rsid w:val="5F43DCB6"/>
    <w:rsid w:val="5F5B7E72"/>
    <w:rsid w:val="5F734AF9"/>
    <w:rsid w:val="5F82A854"/>
    <w:rsid w:val="5F93A9CC"/>
    <w:rsid w:val="5F94757A"/>
    <w:rsid w:val="5FAA5435"/>
    <w:rsid w:val="5FB497E5"/>
    <w:rsid w:val="5FC3AA6D"/>
    <w:rsid w:val="5FF1A74E"/>
    <w:rsid w:val="600E568B"/>
    <w:rsid w:val="600EE114"/>
    <w:rsid w:val="6014260F"/>
    <w:rsid w:val="602586C8"/>
    <w:rsid w:val="604B95D4"/>
    <w:rsid w:val="605FA431"/>
    <w:rsid w:val="607B9BB8"/>
    <w:rsid w:val="607D9C19"/>
    <w:rsid w:val="609B02A0"/>
    <w:rsid w:val="60A7D593"/>
    <w:rsid w:val="60F0EFD0"/>
    <w:rsid w:val="612304EE"/>
    <w:rsid w:val="61270A47"/>
    <w:rsid w:val="61359225"/>
    <w:rsid w:val="6155BD14"/>
    <w:rsid w:val="61651684"/>
    <w:rsid w:val="6187E3DE"/>
    <w:rsid w:val="61A23E2B"/>
    <w:rsid w:val="61A2BB99"/>
    <w:rsid w:val="61A4F69E"/>
    <w:rsid w:val="61A9D419"/>
    <w:rsid w:val="61B0A752"/>
    <w:rsid w:val="61BC3CB4"/>
    <w:rsid w:val="61EA00E7"/>
    <w:rsid w:val="62074BDB"/>
    <w:rsid w:val="620D5F3B"/>
    <w:rsid w:val="62174E51"/>
    <w:rsid w:val="6217EC0E"/>
    <w:rsid w:val="621A54A0"/>
    <w:rsid w:val="624D90CD"/>
    <w:rsid w:val="62A58E3B"/>
    <w:rsid w:val="62AF564F"/>
    <w:rsid w:val="62C1EB70"/>
    <w:rsid w:val="62EC49FA"/>
    <w:rsid w:val="6308777C"/>
    <w:rsid w:val="63141677"/>
    <w:rsid w:val="631D1068"/>
    <w:rsid w:val="631D63AB"/>
    <w:rsid w:val="6353023A"/>
    <w:rsid w:val="636EEEF2"/>
    <w:rsid w:val="637CBD66"/>
    <w:rsid w:val="638B9BF1"/>
    <w:rsid w:val="6391ECD9"/>
    <w:rsid w:val="63B7637D"/>
    <w:rsid w:val="63C00BEF"/>
    <w:rsid w:val="63C7FDF3"/>
    <w:rsid w:val="63CD9977"/>
    <w:rsid w:val="63CDFD5E"/>
    <w:rsid w:val="63DE09FD"/>
    <w:rsid w:val="63EF13BD"/>
    <w:rsid w:val="63F13671"/>
    <w:rsid w:val="63F580FF"/>
    <w:rsid w:val="63FD4FCF"/>
    <w:rsid w:val="643C0B82"/>
    <w:rsid w:val="644C3015"/>
    <w:rsid w:val="644FB787"/>
    <w:rsid w:val="6452A9C1"/>
    <w:rsid w:val="64585D84"/>
    <w:rsid w:val="646C5961"/>
    <w:rsid w:val="646CF608"/>
    <w:rsid w:val="648A8B37"/>
    <w:rsid w:val="64927AA2"/>
    <w:rsid w:val="64A63CC3"/>
    <w:rsid w:val="64B122BE"/>
    <w:rsid w:val="64B2948F"/>
    <w:rsid w:val="64F379D9"/>
    <w:rsid w:val="651118FC"/>
    <w:rsid w:val="65254649"/>
    <w:rsid w:val="652838ED"/>
    <w:rsid w:val="65457B55"/>
    <w:rsid w:val="65490CAB"/>
    <w:rsid w:val="654910CF"/>
    <w:rsid w:val="65579C95"/>
    <w:rsid w:val="657300D9"/>
    <w:rsid w:val="657D57E2"/>
    <w:rsid w:val="658698A9"/>
    <w:rsid w:val="65A273D1"/>
    <w:rsid w:val="65D14BBB"/>
    <w:rsid w:val="65D2ED28"/>
    <w:rsid w:val="65E87ADF"/>
    <w:rsid w:val="660697EA"/>
    <w:rsid w:val="660E34B8"/>
    <w:rsid w:val="6618E3B1"/>
    <w:rsid w:val="661ABA7D"/>
    <w:rsid w:val="6636C71E"/>
    <w:rsid w:val="664EADDD"/>
    <w:rsid w:val="668AB5A8"/>
    <w:rsid w:val="66A49043"/>
    <w:rsid w:val="66B4032C"/>
    <w:rsid w:val="66DB3E22"/>
    <w:rsid w:val="66DD5BBE"/>
    <w:rsid w:val="66EFC2D6"/>
    <w:rsid w:val="66FA8AB6"/>
    <w:rsid w:val="670B52EA"/>
    <w:rsid w:val="67127D96"/>
    <w:rsid w:val="673CEE77"/>
    <w:rsid w:val="6754807D"/>
    <w:rsid w:val="676D8A05"/>
    <w:rsid w:val="677DBA29"/>
    <w:rsid w:val="67984FB1"/>
    <w:rsid w:val="67D92673"/>
    <w:rsid w:val="67E0EF4C"/>
    <w:rsid w:val="67F72562"/>
    <w:rsid w:val="67F94A23"/>
    <w:rsid w:val="67FCE1A5"/>
    <w:rsid w:val="68025F21"/>
    <w:rsid w:val="68082587"/>
    <w:rsid w:val="68205A16"/>
    <w:rsid w:val="6823820D"/>
    <w:rsid w:val="682A0B99"/>
    <w:rsid w:val="6831B814"/>
    <w:rsid w:val="683F4742"/>
    <w:rsid w:val="685796FB"/>
    <w:rsid w:val="6861A85D"/>
    <w:rsid w:val="68653003"/>
    <w:rsid w:val="6867B15D"/>
    <w:rsid w:val="68878093"/>
    <w:rsid w:val="68A3FCD3"/>
    <w:rsid w:val="68A7E397"/>
    <w:rsid w:val="68AC8A08"/>
    <w:rsid w:val="68AF74C8"/>
    <w:rsid w:val="68C85087"/>
    <w:rsid w:val="68D1969F"/>
    <w:rsid w:val="68E1BD8E"/>
    <w:rsid w:val="6907A8EE"/>
    <w:rsid w:val="69149FB1"/>
    <w:rsid w:val="69162490"/>
    <w:rsid w:val="691774E8"/>
    <w:rsid w:val="691A1261"/>
    <w:rsid w:val="693F53B3"/>
    <w:rsid w:val="69614E1D"/>
    <w:rsid w:val="696A8051"/>
    <w:rsid w:val="69724B47"/>
    <w:rsid w:val="698765CD"/>
    <w:rsid w:val="698B6821"/>
    <w:rsid w:val="698E1790"/>
    <w:rsid w:val="699CBAA0"/>
    <w:rsid w:val="69BA48CC"/>
    <w:rsid w:val="69CBCD95"/>
    <w:rsid w:val="69F083A0"/>
    <w:rsid w:val="69FD7D46"/>
    <w:rsid w:val="6A06599F"/>
    <w:rsid w:val="6A215586"/>
    <w:rsid w:val="6A3BF8B6"/>
    <w:rsid w:val="6A7ADC44"/>
    <w:rsid w:val="6A7B4D09"/>
    <w:rsid w:val="6A9C3973"/>
    <w:rsid w:val="6AB0879B"/>
    <w:rsid w:val="6ADB2414"/>
    <w:rsid w:val="6AE02695"/>
    <w:rsid w:val="6AF6FD2D"/>
    <w:rsid w:val="6B0ADC47"/>
    <w:rsid w:val="6B0EF69A"/>
    <w:rsid w:val="6B1D107B"/>
    <w:rsid w:val="6B2AD8E9"/>
    <w:rsid w:val="6B2F7AD3"/>
    <w:rsid w:val="6B38FBC6"/>
    <w:rsid w:val="6B45DF39"/>
    <w:rsid w:val="6B4D79DD"/>
    <w:rsid w:val="6BB9D486"/>
    <w:rsid w:val="6BBF4AFF"/>
    <w:rsid w:val="6BE80E1D"/>
    <w:rsid w:val="6C03517A"/>
    <w:rsid w:val="6C0AE227"/>
    <w:rsid w:val="6C13E9CB"/>
    <w:rsid w:val="6C24D736"/>
    <w:rsid w:val="6C2FBFC2"/>
    <w:rsid w:val="6C576C94"/>
    <w:rsid w:val="6C84E7EA"/>
    <w:rsid w:val="6C8FBF72"/>
    <w:rsid w:val="6CA6C80B"/>
    <w:rsid w:val="6CA784C9"/>
    <w:rsid w:val="6CAF77A9"/>
    <w:rsid w:val="6CB74732"/>
    <w:rsid w:val="6CE553A5"/>
    <w:rsid w:val="6CE9D8F8"/>
    <w:rsid w:val="6CFB364A"/>
    <w:rsid w:val="6CFC83F0"/>
    <w:rsid w:val="6D0AC850"/>
    <w:rsid w:val="6D0E0BD3"/>
    <w:rsid w:val="6D13A753"/>
    <w:rsid w:val="6D22DC99"/>
    <w:rsid w:val="6D264E51"/>
    <w:rsid w:val="6D462BD7"/>
    <w:rsid w:val="6D4E3C9E"/>
    <w:rsid w:val="6D612A93"/>
    <w:rsid w:val="6D7232DF"/>
    <w:rsid w:val="6D7B67AB"/>
    <w:rsid w:val="6D909298"/>
    <w:rsid w:val="6D90A36E"/>
    <w:rsid w:val="6D9AE2D8"/>
    <w:rsid w:val="6DA24760"/>
    <w:rsid w:val="6DA49B9F"/>
    <w:rsid w:val="6DADEB42"/>
    <w:rsid w:val="6DAF9AAA"/>
    <w:rsid w:val="6DBC1206"/>
    <w:rsid w:val="6DC07E05"/>
    <w:rsid w:val="6DC1D372"/>
    <w:rsid w:val="6DD5728D"/>
    <w:rsid w:val="6DDCFBE5"/>
    <w:rsid w:val="6DE1AAAE"/>
    <w:rsid w:val="6DE1E1B3"/>
    <w:rsid w:val="6DFA9C27"/>
    <w:rsid w:val="6E00882E"/>
    <w:rsid w:val="6E0108F5"/>
    <w:rsid w:val="6E2E0677"/>
    <w:rsid w:val="6E48047D"/>
    <w:rsid w:val="6E65DCD0"/>
    <w:rsid w:val="6E747231"/>
    <w:rsid w:val="6EAAC842"/>
    <w:rsid w:val="6ED331C1"/>
    <w:rsid w:val="6ED39070"/>
    <w:rsid w:val="6ED8D59C"/>
    <w:rsid w:val="6ED953D0"/>
    <w:rsid w:val="6F01C163"/>
    <w:rsid w:val="6F2CE46D"/>
    <w:rsid w:val="6F423C42"/>
    <w:rsid w:val="6F50F1FB"/>
    <w:rsid w:val="6F5BED55"/>
    <w:rsid w:val="6F93F6D5"/>
    <w:rsid w:val="6FA03409"/>
    <w:rsid w:val="6FAD48E0"/>
    <w:rsid w:val="6FD20709"/>
    <w:rsid w:val="6FD84486"/>
    <w:rsid w:val="6FE58BC1"/>
    <w:rsid w:val="6FEB5F70"/>
    <w:rsid w:val="6FF78C0B"/>
    <w:rsid w:val="7032FF97"/>
    <w:rsid w:val="7036D2E3"/>
    <w:rsid w:val="704D69C4"/>
    <w:rsid w:val="704DDE59"/>
    <w:rsid w:val="7057FE8A"/>
    <w:rsid w:val="709FC94C"/>
    <w:rsid w:val="70A5ED7F"/>
    <w:rsid w:val="70C94B50"/>
    <w:rsid w:val="70D74BBC"/>
    <w:rsid w:val="70EA664F"/>
    <w:rsid w:val="70F02D85"/>
    <w:rsid w:val="70FDEE9E"/>
    <w:rsid w:val="710CB906"/>
    <w:rsid w:val="711F122F"/>
    <w:rsid w:val="712A559D"/>
    <w:rsid w:val="7146869A"/>
    <w:rsid w:val="71473EAB"/>
    <w:rsid w:val="714787A9"/>
    <w:rsid w:val="7178658E"/>
    <w:rsid w:val="717F6E12"/>
    <w:rsid w:val="71A0173C"/>
    <w:rsid w:val="71A0E07B"/>
    <w:rsid w:val="71A1C5C3"/>
    <w:rsid w:val="71A78349"/>
    <w:rsid w:val="71C4568D"/>
    <w:rsid w:val="71D019FE"/>
    <w:rsid w:val="71E07DBE"/>
    <w:rsid w:val="71E66920"/>
    <w:rsid w:val="71F88DAA"/>
    <w:rsid w:val="71FD9F43"/>
    <w:rsid w:val="72433F99"/>
    <w:rsid w:val="72B14FD6"/>
    <w:rsid w:val="72E20CBF"/>
    <w:rsid w:val="7341DB03"/>
    <w:rsid w:val="734259A0"/>
    <w:rsid w:val="7344A868"/>
    <w:rsid w:val="736399F9"/>
    <w:rsid w:val="736BEA5F"/>
    <w:rsid w:val="737D963C"/>
    <w:rsid w:val="738C646C"/>
    <w:rsid w:val="7392D93D"/>
    <w:rsid w:val="73987024"/>
    <w:rsid w:val="73A35EE5"/>
    <w:rsid w:val="7406E1AB"/>
    <w:rsid w:val="7407ADA1"/>
    <w:rsid w:val="7412B40B"/>
    <w:rsid w:val="74152085"/>
    <w:rsid w:val="74253F73"/>
    <w:rsid w:val="743B89C4"/>
    <w:rsid w:val="74682962"/>
    <w:rsid w:val="746AA114"/>
    <w:rsid w:val="7474D64D"/>
    <w:rsid w:val="74899E1C"/>
    <w:rsid w:val="7490B125"/>
    <w:rsid w:val="749317CF"/>
    <w:rsid w:val="749BA9DF"/>
    <w:rsid w:val="74BAED45"/>
    <w:rsid w:val="74C29827"/>
    <w:rsid w:val="74C88473"/>
    <w:rsid w:val="74C8E0A3"/>
    <w:rsid w:val="74CBF8B7"/>
    <w:rsid w:val="74F04E33"/>
    <w:rsid w:val="750D0092"/>
    <w:rsid w:val="752295DC"/>
    <w:rsid w:val="752A3C07"/>
    <w:rsid w:val="7546D7D7"/>
    <w:rsid w:val="757A0BCA"/>
    <w:rsid w:val="757BC135"/>
    <w:rsid w:val="75803A77"/>
    <w:rsid w:val="759239DE"/>
    <w:rsid w:val="7593A7EF"/>
    <w:rsid w:val="75982E3F"/>
    <w:rsid w:val="75BCB65F"/>
    <w:rsid w:val="75DB5DC2"/>
    <w:rsid w:val="75DE762C"/>
    <w:rsid w:val="75E08472"/>
    <w:rsid w:val="75E5F614"/>
    <w:rsid w:val="75E9C74C"/>
    <w:rsid w:val="760FFB28"/>
    <w:rsid w:val="7629B6B4"/>
    <w:rsid w:val="76369922"/>
    <w:rsid w:val="76598E65"/>
    <w:rsid w:val="766454D4"/>
    <w:rsid w:val="766D73D1"/>
    <w:rsid w:val="76902D16"/>
    <w:rsid w:val="7695A411"/>
    <w:rsid w:val="76A60BDB"/>
    <w:rsid w:val="76DD366F"/>
    <w:rsid w:val="76E371CF"/>
    <w:rsid w:val="76E43297"/>
    <w:rsid w:val="76FC4B48"/>
    <w:rsid w:val="770DCA7E"/>
    <w:rsid w:val="771497C9"/>
    <w:rsid w:val="772FDECE"/>
    <w:rsid w:val="77392D38"/>
    <w:rsid w:val="773D2BCB"/>
    <w:rsid w:val="77646924"/>
    <w:rsid w:val="77A3679C"/>
    <w:rsid w:val="77C468F2"/>
    <w:rsid w:val="77EE7417"/>
    <w:rsid w:val="77FF1591"/>
    <w:rsid w:val="7808F325"/>
    <w:rsid w:val="780E9E24"/>
    <w:rsid w:val="7814890F"/>
    <w:rsid w:val="78171D25"/>
    <w:rsid w:val="78212CAC"/>
    <w:rsid w:val="7827EEF5"/>
    <w:rsid w:val="782A5E7F"/>
    <w:rsid w:val="782B5AE1"/>
    <w:rsid w:val="7835EA44"/>
    <w:rsid w:val="784CFF84"/>
    <w:rsid w:val="7877245C"/>
    <w:rsid w:val="78853C09"/>
    <w:rsid w:val="78CBA147"/>
    <w:rsid w:val="78FD7579"/>
    <w:rsid w:val="790EC570"/>
    <w:rsid w:val="793C12B2"/>
    <w:rsid w:val="7947A0A9"/>
    <w:rsid w:val="79677BBE"/>
    <w:rsid w:val="79732685"/>
    <w:rsid w:val="797AF807"/>
    <w:rsid w:val="798CE7B6"/>
    <w:rsid w:val="7997DEB6"/>
    <w:rsid w:val="799D9926"/>
    <w:rsid w:val="79BD9217"/>
    <w:rsid w:val="79CE2346"/>
    <w:rsid w:val="79E5C313"/>
    <w:rsid w:val="79F652AC"/>
    <w:rsid w:val="79FA221B"/>
    <w:rsid w:val="79FD2E25"/>
    <w:rsid w:val="7A067D42"/>
    <w:rsid w:val="7A31259B"/>
    <w:rsid w:val="7A4855E8"/>
    <w:rsid w:val="7A4EBE56"/>
    <w:rsid w:val="7A6A732D"/>
    <w:rsid w:val="7A8692ED"/>
    <w:rsid w:val="7A901A94"/>
    <w:rsid w:val="7AA39E8C"/>
    <w:rsid w:val="7AA78773"/>
    <w:rsid w:val="7ABA61DA"/>
    <w:rsid w:val="7ABC9B4E"/>
    <w:rsid w:val="7AC388C7"/>
    <w:rsid w:val="7AFB676D"/>
    <w:rsid w:val="7AFCFE15"/>
    <w:rsid w:val="7B09727C"/>
    <w:rsid w:val="7B160EE4"/>
    <w:rsid w:val="7B18BB6F"/>
    <w:rsid w:val="7B2A39D0"/>
    <w:rsid w:val="7B35FA3D"/>
    <w:rsid w:val="7B3876AF"/>
    <w:rsid w:val="7B538DDD"/>
    <w:rsid w:val="7B66F873"/>
    <w:rsid w:val="7B788779"/>
    <w:rsid w:val="7B7953EC"/>
    <w:rsid w:val="7B8AAF70"/>
    <w:rsid w:val="7B8D67E3"/>
    <w:rsid w:val="7B95F27C"/>
    <w:rsid w:val="7B9BE226"/>
    <w:rsid w:val="7B9E82AE"/>
    <w:rsid w:val="7BA4106B"/>
    <w:rsid w:val="7BAEA719"/>
    <w:rsid w:val="7BB15ABA"/>
    <w:rsid w:val="7BB32A6D"/>
    <w:rsid w:val="7BC3F605"/>
    <w:rsid w:val="7BD4F555"/>
    <w:rsid w:val="7BE345F7"/>
    <w:rsid w:val="7BE3E3D8"/>
    <w:rsid w:val="7C2C4E3F"/>
    <w:rsid w:val="7C378519"/>
    <w:rsid w:val="7C4E20F6"/>
    <w:rsid w:val="7C6338FC"/>
    <w:rsid w:val="7C6552B2"/>
    <w:rsid w:val="7C729AF2"/>
    <w:rsid w:val="7C7CC5D2"/>
    <w:rsid w:val="7C8EE695"/>
    <w:rsid w:val="7C9B7C2B"/>
    <w:rsid w:val="7C9E0F75"/>
    <w:rsid w:val="7CCC9CDA"/>
    <w:rsid w:val="7CCF7F78"/>
    <w:rsid w:val="7CD350AC"/>
    <w:rsid w:val="7CD8324D"/>
    <w:rsid w:val="7CD8E864"/>
    <w:rsid w:val="7CE0C827"/>
    <w:rsid w:val="7CF108D1"/>
    <w:rsid w:val="7D3485B3"/>
    <w:rsid w:val="7D851E3D"/>
    <w:rsid w:val="7D86ADD0"/>
    <w:rsid w:val="7DBCA9DD"/>
    <w:rsid w:val="7DC2B80E"/>
    <w:rsid w:val="7DE41BEC"/>
    <w:rsid w:val="7E103F57"/>
    <w:rsid w:val="7E2CB1BD"/>
    <w:rsid w:val="7E2F77B4"/>
    <w:rsid w:val="7E44013D"/>
    <w:rsid w:val="7E8D0E4A"/>
    <w:rsid w:val="7EBB0437"/>
    <w:rsid w:val="7EC25032"/>
    <w:rsid w:val="7ED4D6B5"/>
    <w:rsid w:val="7EE328B6"/>
    <w:rsid w:val="7EED982B"/>
    <w:rsid w:val="7F008226"/>
    <w:rsid w:val="7F04AACA"/>
    <w:rsid w:val="7F092020"/>
    <w:rsid w:val="7F0946AD"/>
    <w:rsid w:val="7F29C2B0"/>
    <w:rsid w:val="7F70B77A"/>
    <w:rsid w:val="7F70F817"/>
    <w:rsid w:val="7F778D86"/>
    <w:rsid w:val="7F7FEC4D"/>
    <w:rsid w:val="7F83A71C"/>
    <w:rsid w:val="7FB40B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8F479B"/>
  <w15:docId w15:val="{8C1C7B7F-A4AA-4FDC-8829-87632A44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2D4"/>
    <w:pPr>
      <w:widowControl w:val="0"/>
      <w:autoSpaceDE w:val="0"/>
      <w:autoSpaceDN w:val="0"/>
      <w:adjustRightInd w:val="0"/>
    </w:p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style>
  <w:style w:type="paragraph" w:styleId="Heading2">
    <w:name w:val="heading 2"/>
    <w:basedOn w:val="Normal"/>
    <w:next w:val="Normal"/>
    <w:link w:val="Heading2Char"/>
    <w:semiHidden/>
    <w:unhideWhenUsed/>
    <w:qFormat/>
    <w:rsid w:val="0026204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u w:val="single"/>
    </w:rPr>
  </w:style>
  <w:style w:type="paragraph" w:styleId="Subtitle">
    <w:name w:val="Subtitle"/>
    <w:basedOn w:val="Normal"/>
    <w:qFormat/>
    <w:rPr>
      <w:b/>
      <w:bCs/>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CC22D4"/>
    <w:rPr>
      <w:rFonts w:ascii="Segoe UI" w:hAnsi="Segoe UI" w:cs="Tahoma"/>
      <w:sz w:val="18"/>
      <w:szCs w:val="16"/>
    </w:rPr>
  </w:style>
  <w:style w:type="character" w:customStyle="1" w:styleId="BalloonTextChar">
    <w:name w:val="Balloon Text Char"/>
    <w:link w:val="BalloonText"/>
    <w:rsid w:val="00CC22D4"/>
    <w:rPr>
      <w:rFonts w:ascii="Segoe UI" w:hAnsi="Segoe UI" w:cs="Tahoma"/>
      <w:sz w:val="18"/>
      <w:szCs w:val="16"/>
    </w:rPr>
  </w:style>
  <w:style w:type="character" w:styleId="CommentReference">
    <w:name w:val="annotation reference"/>
    <w:rsid w:val="00CC22D4"/>
    <w:rPr>
      <w:rFonts w:ascii="Times New Roman" w:hAnsi="Times New Roman"/>
      <w:sz w:val="16"/>
      <w:szCs w:val="16"/>
    </w:rPr>
  </w:style>
  <w:style w:type="paragraph" w:styleId="CommentText">
    <w:name w:val="annotation text"/>
    <w:basedOn w:val="Normal"/>
    <w:link w:val="CommentTextChar"/>
    <w:uiPriority w:val="99"/>
    <w:rsid w:val="00CC22D4"/>
  </w:style>
  <w:style w:type="character" w:customStyle="1" w:styleId="CommentTextChar">
    <w:name w:val="Comment Text Char"/>
    <w:link w:val="CommentText"/>
    <w:uiPriority w:val="99"/>
    <w:rsid w:val="00CC22D4"/>
  </w:style>
  <w:style w:type="paragraph" w:styleId="CommentSubject">
    <w:name w:val="annotation subject"/>
    <w:basedOn w:val="CommentText"/>
    <w:next w:val="CommentText"/>
    <w:link w:val="CommentSubjectChar"/>
    <w:rsid w:val="000918F9"/>
    <w:rPr>
      <w:rFonts w:ascii="Letter Gothic 12cpi" w:hAnsi="Letter Gothic 12cpi"/>
      <w:b/>
      <w:bCs/>
    </w:rPr>
  </w:style>
  <w:style w:type="character" w:customStyle="1" w:styleId="CommentSubjectChar">
    <w:name w:val="Comment Subject Char"/>
    <w:link w:val="CommentSubject"/>
    <w:rsid w:val="000918F9"/>
    <w:rPr>
      <w:rFonts w:ascii="Letter Gothic 12cpi" w:hAnsi="Letter Gothic 12cpi"/>
      <w:b/>
      <w:bCs/>
    </w:rPr>
  </w:style>
  <w:style w:type="paragraph" w:styleId="Caption">
    <w:name w:val="caption"/>
    <w:basedOn w:val="Normal"/>
    <w:next w:val="Normal"/>
    <w:unhideWhenUsed/>
    <w:qFormat/>
    <w:rsid w:val="001F2699"/>
    <w:rPr>
      <w:b/>
      <w:bCs/>
    </w:rPr>
  </w:style>
  <w:style w:type="paragraph" w:styleId="Revision">
    <w:name w:val="Revision"/>
    <w:hidden/>
    <w:uiPriority w:val="99"/>
    <w:semiHidden/>
    <w:rsid w:val="00BE2F04"/>
    <w:rPr>
      <w:rFonts w:ascii="Letter Gothic 12cpi" w:hAnsi="Letter Gothic 12cpi"/>
    </w:rPr>
  </w:style>
  <w:style w:type="paragraph" w:styleId="BodyTextIndent3">
    <w:name w:val="Body Text Indent 3"/>
    <w:basedOn w:val="Normal"/>
    <w:link w:val="BodyTextIndent3Char"/>
    <w:rsid w:val="005922ED"/>
    <w:pPr>
      <w:spacing w:after="120"/>
      <w:ind w:left="360"/>
    </w:pPr>
    <w:rPr>
      <w:sz w:val="16"/>
      <w:szCs w:val="16"/>
    </w:rPr>
  </w:style>
  <w:style w:type="character" w:customStyle="1" w:styleId="BodyTextIndent3Char">
    <w:name w:val="Body Text Indent 3 Char"/>
    <w:link w:val="BodyTextIndent3"/>
    <w:rsid w:val="005922ED"/>
    <w:rPr>
      <w:rFonts w:ascii="Letter Gothic 12cpi" w:hAnsi="Letter Gothic 12cpi"/>
      <w:sz w:val="16"/>
      <w:szCs w:val="16"/>
    </w:rPr>
  </w:style>
  <w:style w:type="paragraph" w:styleId="FootnoteText">
    <w:name w:val="footnote text"/>
    <w:basedOn w:val="Normal"/>
    <w:link w:val="FootnoteTextChar"/>
    <w:rsid w:val="00046C87"/>
  </w:style>
  <w:style w:type="character" w:customStyle="1" w:styleId="FootnoteTextChar">
    <w:name w:val="Footnote Text Char"/>
    <w:link w:val="FootnoteText"/>
    <w:rsid w:val="00046C87"/>
    <w:rPr>
      <w:rFonts w:ascii="Letter Gothic 12cpi" w:hAnsi="Letter Gothic 12cpi"/>
    </w:rPr>
  </w:style>
  <w:style w:type="character" w:styleId="FootnoteReference">
    <w:name w:val="footnote reference"/>
    <w:uiPriority w:val="99"/>
    <w:rsid w:val="00046C87"/>
    <w:rPr>
      <w:vertAlign w:val="superscript"/>
    </w:rPr>
  </w:style>
  <w:style w:type="character" w:customStyle="1" w:styleId="UnresolvedMention1">
    <w:name w:val="Unresolved Mention1"/>
    <w:uiPriority w:val="99"/>
    <w:semiHidden/>
    <w:unhideWhenUsed/>
    <w:rsid w:val="0026204D"/>
    <w:rPr>
      <w:color w:val="808080"/>
      <w:shd w:val="clear" w:color="auto" w:fill="E6E6E6"/>
    </w:rPr>
  </w:style>
  <w:style w:type="character" w:styleId="FollowedHyperlink">
    <w:name w:val="FollowedHyperlink"/>
    <w:rsid w:val="0026204D"/>
    <w:rPr>
      <w:color w:val="954F72"/>
      <w:u w:val="single"/>
    </w:rPr>
  </w:style>
  <w:style w:type="character" w:customStyle="1" w:styleId="Heading2Char">
    <w:name w:val="Heading 2 Char"/>
    <w:link w:val="Heading2"/>
    <w:semiHidden/>
    <w:rsid w:val="0026204D"/>
    <w:rPr>
      <w:rFonts w:ascii="Calibri Light" w:eastAsia="Times New Roman" w:hAnsi="Calibri Light" w:cs="Times New Roman"/>
      <w:b/>
      <w:bCs/>
      <w:i/>
      <w:iCs/>
      <w:sz w:val="28"/>
      <w:szCs w:val="28"/>
    </w:rPr>
  </w:style>
  <w:style w:type="character" w:styleId="Mention">
    <w:name w:val="Mention"/>
    <w:basedOn w:val="DefaultParagraphFont"/>
    <w:uiPriority w:val="99"/>
    <w:unhideWhenUsed/>
    <w:rsid w:val="00455C56"/>
    <w:rPr>
      <w:color w:val="2B579A"/>
      <w:shd w:val="clear" w:color="auto" w:fill="E6E6E6"/>
    </w:rPr>
  </w:style>
  <w:style w:type="character" w:styleId="UnresolvedMention">
    <w:name w:val="Unresolved Mention"/>
    <w:basedOn w:val="DefaultParagraphFont"/>
    <w:uiPriority w:val="99"/>
    <w:unhideWhenUsed/>
    <w:rsid w:val="002E543F"/>
    <w:rPr>
      <w:color w:val="605E5C"/>
      <w:shd w:val="clear" w:color="auto" w:fill="E1DFDD"/>
    </w:rPr>
  </w:style>
  <w:style w:type="character" w:customStyle="1" w:styleId="BodyTextChar">
    <w:name w:val="Body Text Char"/>
    <w:basedOn w:val="DefaultParagraphFont"/>
    <w:link w:val="BodyText"/>
    <w:rsid w:val="00CC22D4"/>
    <w:rPr>
      <w:color w:val="FF00FF"/>
    </w:rPr>
  </w:style>
  <w:style w:type="character" w:customStyle="1" w:styleId="BodyTextIndentChar">
    <w:name w:val="Body Text Indent Char"/>
    <w:basedOn w:val="DefaultParagraphFont"/>
    <w:link w:val="BodyTextIndent"/>
    <w:rsid w:val="00CC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projections/occupationProj" TargetMode="External" /><Relationship Id="rId2" Type="http://schemas.openxmlformats.org/officeDocument/2006/relationships/hyperlink" Target="https://www.bls.gov/news.release/ecec.t04.htm" TargetMode="External" /><Relationship Id="rId3" Type="http://schemas.openxmlformats.org/officeDocument/2006/relationships/hyperlink" Target="http://www.gao.gov/products/GAO-15-607" TargetMode="External" /><Relationship Id="rId4" Type="http://schemas.openxmlformats.org/officeDocument/2006/relationships/hyperlink" Target="http://www.bls.gov/oes/current/naics3_999000.htm" TargetMode="External" /><Relationship Id="rId5" Type="http://schemas.openxmlformats.org/officeDocument/2006/relationships/hyperlink" Target="https://www.bls.gov/news.release/archives/ecec_03182022.pdf" TargetMode="External" /><Relationship Id="rId6" Type="http://schemas.openxmlformats.org/officeDocument/2006/relationships/hyperlink" Target="http://www.fmcsa.dot.gov/safety/data-and-statistics/commercial-motor-vehicle-facts" TargetMode="External" /><Relationship Id="rId7"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Dequina, Carlos (FMCSA)</DisplayName>
        <AccountId>163</AccountId>
        <AccountType/>
      </UserInfo>
      <UserInfo>
        <DisplayName>Soto, Francisco (FMCSA)</DisplayName>
        <AccountId>513</AccountId>
        <AccountType/>
      </UserInfo>
      <UserInfo>
        <DisplayName>Marra, Isabella (FMCSA)</DisplayName>
        <AccountId>514</AccountId>
        <AccountType/>
      </UserInfo>
      <UserInfo>
        <DisplayName>Campos, Elizabeth (FMCSA)</DisplayName>
        <AccountId>69</AccountId>
        <AccountType/>
      </UserInfo>
      <UserInfo>
        <DisplayName>Habif, Ava (FMCSA)</DisplayName>
        <AccountId>21</AccountId>
        <AccountType/>
      </UserInfo>
      <UserInfo>
        <DisplayName>Reid, Sean (FMCSA)</DisplayName>
        <AccountId>517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6CC68-C34A-4115-A3D8-E3D9018CF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384FB-9174-446E-88F8-5909F754AB8E}">
  <ds:schemaRefs>
    <ds:schemaRef ds:uri="http://schemas.microsoft.com/office/2006/metadata/properties"/>
    <ds:schemaRef ds:uri="http://schemas.microsoft.com/office/infopath/2007/PartnerControls"/>
    <ds:schemaRef ds:uri="a7590d3f-064e-4611-8c4c-cf19b4a54d7f"/>
  </ds:schemaRefs>
</ds:datastoreItem>
</file>

<file path=customXml/itemProps3.xml><?xml version="1.0" encoding="utf-8"?>
<ds:datastoreItem xmlns:ds="http://schemas.openxmlformats.org/officeDocument/2006/customXml" ds:itemID="{4E2B53F3-0C0D-4B91-AEAD-68059B609558}">
  <ds:schemaRefs>
    <ds:schemaRef ds:uri="http://schemas.openxmlformats.org/officeDocument/2006/bibliography"/>
  </ds:schemaRefs>
</ds:datastoreItem>
</file>

<file path=customXml/itemProps4.xml><?xml version="1.0" encoding="utf-8"?>
<ds:datastoreItem xmlns:ds="http://schemas.openxmlformats.org/officeDocument/2006/customXml" ds:itemID="{54C20C90-BD50-4BFF-82FE-454555111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10591</Words>
  <Characters>60375</Characters>
  <Application>Microsoft Office Word</Application>
  <DocSecurity>0</DocSecurity>
  <Lines>503</Lines>
  <Paragraphs>141</Paragraphs>
  <ScaleCrop>false</ScaleCrop>
  <Company>FHWA</Company>
  <LinksUpToDate>false</LinksUpToDate>
  <CharactersWithSpaces>70825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Marra, Isabella (FMCSA)</dc:creator>
  <cp:lastModifiedBy>Oliver, Roxane (FMCSA)</cp:lastModifiedBy>
  <cp:revision>2</cp:revision>
  <cp:lastPrinted>2022-07-06T15:40:00Z</cp:lastPrinted>
  <dcterms:created xsi:type="dcterms:W3CDTF">2025-03-21T13:44:00Z</dcterms:created>
  <dcterms:modified xsi:type="dcterms:W3CDTF">2025-03-21T13:44:00Z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