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6C71" w:rsidRPr="003C27DD" w:rsidP="005969B0" w14:paraId="2C32153F" w14:textId="77777777">
      <w:pPr>
        <w:spacing w:after="120" w:line="240" w:lineRule="auto"/>
        <w:jc w:val="center"/>
        <w:rPr>
          <w:b/>
          <w:sz w:val="24"/>
          <w:szCs w:val="24"/>
        </w:rPr>
      </w:pPr>
      <w:r w:rsidRPr="003C27DD">
        <w:rPr>
          <w:b/>
          <w:sz w:val="24"/>
          <w:szCs w:val="24"/>
        </w:rPr>
        <w:t>DEPARTMENT OF TRANSPORTATION</w:t>
      </w:r>
    </w:p>
    <w:p w:rsidR="00C46C71" w:rsidRPr="003C27DD" w:rsidP="005969B0" w14:paraId="1865E5F6" w14:textId="021CE71D">
      <w:pPr>
        <w:spacing w:after="120" w:line="240" w:lineRule="auto"/>
        <w:jc w:val="center"/>
        <w:rPr>
          <w:sz w:val="24"/>
          <w:szCs w:val="24"/>
        </w:rPr>
      </w:pPr>
      <w:r w:rsidRPr="003C27DD">
        <w:rPr>
          <w:b/>
          <w:sz w:val="24"/>
          <w:szCs w:val="24"/>
        </w:rPr>
        <w:t>INFORMATION COLLECTION SUPPORTING STATEMENT</w:t>
      </w:r>
      <w:r w:rsidRPr="003C27DD" w:rsidR="00466065">
        <w:rPr>
          <w:b/>
          <w:sz w:val="24"/>
          <w:szCs w:val="24"/>
        </w:rPr>
        <w:t>: PART A</w:t>
      </w:r>
    </w:p>
    <w:p w:rsidR="00C46C71" w:rsidRPr="003C27DD" w:rsidP="005969B0" w14:paraId="137B1A56" w14:textId="6D286E02">
      <w:pPr>
        <w:spacing w:after="120" w:line="240" w:lineRule="auto"/>
        <w:jc w:val="center"/>
        <w:rPr>
          <w:b/>
          <w:bCs/>
          <w:sz w:val="24"/>
          <w:szCs w:val="24"/>
        </w:rPr>
      </w:pPr>
      <w:r w:rsidRPr="28A52E59">
        <w:rPr>
          <w:b/>
          <w:bCs/>
          <w:sz w:val="24"/>
          <w:szCs w:val="24"/>
        </w:rPr>
        <w:t>TITLE OF INFORMATION COLLECTION:</w:t>
      </w:r>
      <w:r w:rsidRPr="28A52E59" w:rsidR="00412504">
        <w:rPr>
          <w:b/>
          <w:bCs/>
          <w:sz w:val="24"/>
          <w:szCs w:val="24"/>
        </w:rPr>
        <w:t xml:space="preserve">  </w:t>
      </w:r>
      <w:r w:rsidRPr="28A52E59" w:rsidR="109FB0BD">
        <w:rPr>
          <w:b/>
          <w:bCs/>
          <w:sz w:val="24"/>
          <w:szCs w:val="24"/>
        </w:rPr>
        <w:t>Human Interaction with Driving Automation Systems</w:t>
      </w:r>
    </w:p>
    <w:p w:rsidR="00C46C71" w:rsidRPr="003C27DD" w:rsidP="005969B0" w14:paraId="74AE069E" w14:textId="1B7742F5">
      <w:pPr>
        <w:spacing w:after="0" w:line="240" w:lineRule="auto"/>
        <w:jc w:val="center"/>
        <w:rPr>
          <w:b/>
          <w:bCs/>
          <w:sz w:val="24"/>
          <w:szCs w:val="24"/>
        </w:rPr>
      </w:pPr>
      <w:r w:rsidRPr="28A52E59">
        <w:rPr>
          <w:b/>
          <w:bCs/>
          <w:sz w:val="24"/>
          <w:szCs w:val="24"/>
        </w:rPr>
        <w:t>OMB CONTROL NUMBER:</w:t>
      </w:r>
      <w:r>
        <w:tab/>
      </w:r>
      <w:r w:rsidRPr="28A52E59" w:rsidR="0407FD36">
        <w:rPr>
          <w:b/>
          <w:bCs/>
          <w:sz w:val="24"/>
          <w:szCs w:val="24"/>
        </w:rPr>
        <w:t>XXXX</w:t>
      </w:r>
    </w:p>
    <w:p w:rsidR="00C46C71" w:rsidRPr="003C27DD" w:rsidP="005969B0" w14:paraId="5340D023" w14:textId="77777777">
      <w:pPr>
        <w:spacing w:after="0" w:line="240" w:lineRule="auto"/>
        <w:rPr>
          <w:sz w:val="24"/>
          <w:szCs w:val="24"/>
        </w:rPr>
      </w:pPr>
    </w:p>
    <w:p w:rsidR="00C46C71" w:rsidRPr="00F26EDC" w:rsidP="005969B0" w14:paraId="787DA88D" w14:textId="2C4EF030">
      <w:pPr>
        <w:spacing w:after="120" w:line="240" w:lineRule="auto"/>
        <w:jc w:val="center"/>
        <w:rPr>
          <w:b/>
          <w:sz w:val="24"/>
          <w:szCs w:val="24"/>
        </w:rPr>
      </w:pPr>
      <w:r>
        <w:rPr>
          <w:b/>
          <w:sz w:val="24"/>
          <w:szCs w:val="24"/>
        </w:rPr>
        <w:t>ABSTRACT</w:t>
      </w:r>
      <w:r>
        <w:rPr>
          <w:rStyle w:val="FootnoteReference"/>
          <w:b/>
          <w:sz w:val="24"/>
          <w:szCs w:val="24"/>
        </w:rPr>
        <w:footnoteReference w:id="3"/>
      </w:r>
    </w:p>
    <w:p w:rsidR="00DE15AB" w:rsidP="005969B0" w14:paraId="18ABCDC1" w14:textId="70FF15C8">
      <w:pPr>
        <w:spacing w:after="120" w:line="240" w:lineRule="auto"/>
      </w:pPr>
      <w:r>
        <w:t xml:space="preserve">The National Highway Traffic Safety Administration (NHTSA) has proposed to perform research involving the collection of information from the public as part of a multi-year effort to learn about how humans interact with driving automation systems (DAS). This research will support NHTSA in understanding the potential safety challenges associated with human-DAS interactions,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bookmarkStart w:id="0" w:name="_Hlk140491071"/>
      <w:r w:rsidR="00EA00C1">
        <w:rPr>
          <w:bCs/>
          <w:lang w:bidi="en-US"/>
        </w:rPr>
        <w:t xml:space="preserve">This </w:t>
      </w:r>
      <w:r w:rsidR="001D1971">
        <w:rPr>
          <w:bCs/>
          <w:lang w:bidi="en-US"/>
        </w:rPr>
        <w:t xml:space="preserve">research </w:t>
      </w:r>
      <w:r w:rsidR="00EA00C1">
        <w:rPr>
          <w:bCs/>
          <w:lang w:bidi="en-US"/>
        </w:rPr>
        <w:t>will add to the state of knowledge and is not immediately intended to inform regulations or policy.</w:t>
      </w:r>
      <w:bookmarkEnd w:id="0"/>
    </w:p>
    <w:p w:rsidR="00DE15AB" w:rsidP="005969B0" w14:paraId="1201161F" w14:textId="10066BEA">
      <w:pPr>
        <w:spacing w:after="120" w:line="240" w:lineRule="auto"/>
      </w:pPr>
      <w:r>
        <w:t xml:space="preserve">The data collections will be performed once to obtain the target number of valid test participants. Study participants will be members of the general public and participation will be voluntary with monetary compensation provided. </w:t>
      </w:r>
      <w:bookmarkStart w:id="1" w:name="_Hlk140490596"/>
      <w:r w:rsidR="006C483B">
        <w:t>Participants</w:t>
      </w:r>
      <w:r w:rsidRPr="006C483B" w:rsidR="006C483B">
        <w:t xml:space="preserve"> are generally healthy individuals aged 18 and older</w:t>
      </w:r>
      <w:r w:rsidR="006C483B">
        <w:t xml:space="preserve">, recruited using the </w:t>
      </w:r>
      <w:r w:rsidR="00C926DB">
        <w:t xml:space="preserve">University of Iowa </w:t>
      </w:r>
      <w:r w:rsidR="00AE0DB3">
        <w:t xml:space="preserve">(UI) </w:t>
      </w:r>
      <w:r w:rsidR="00C926DB">
        <w:t>Driving Safety Research Institute (</w:t>
      </w:r>
      <w:r w:rsidRPr="00F855E9" w:rsidR="006C483B">
        <w:t>DSRI</w:t>
      </w:r>
      <w:r w:rsidR="00C926DB">
        <w:t>)</w:t>
      </w:r>
      <w:r w:rsidRPr="00F855E9" w:rsidR="006C483B">
        <w:t xml:space="preserve"> registry</w:t>
      </w:r>
      <w:r w:rsidR="006C483B">
        <w:t xml:space="preserve"> and through email blasts to University of Iowa community</w:t>
      </w:r>
      <w:r w:rsidRPr="006C483B" w:rsidR="006C483B">
        <w:t xml:space="preserve">. </w:t>
      </w:r>
      <w:r w:rsidR="00CE5251">
        <w:t xml:space="preserve">The research takes place in a motion-based simulator, so participants must meet specific safety and practicality requirements. </w:t>
      </w:r>
      <w:r w:rsidRPr="006C483B" w:rsidR="006C483B">
        <w:t xml:space="preserve">Efforts will be made to enroll a diverse age sample that broadly represents the age of the </w:t>
      </w:r>
      <w:r w:rsidR="006C483B">
        <w:t xml:space="preserve">U.S. </w:t>
      </w:r>
      <w:r w:rsidRPr="006C483B" w:rsidR="006C483B">
        <w:t>driving population and includes those at greater risk of crashing (e.g., less than 25 years of age and greater than 65 years of age).</w:t>
      </w:r>
      <w:bookmarkEnd w:id="1"/>
      <w:r w:rsidR="001C75B7">
        <w:t xml:space="preserve"> </w:t>
      </w:r>
      <w:r w:rsidRPr="00E123F7" w:rsidR="00E123F7">
        <w:t xml:space="preserve">Given the sample size, targeted efforts are focused on age and sex. To address other groups, a much larger </w:t>
      </w:r>
      <w:r w:rsidR="00E123F7">
        <w:t xml:space="preserve">effort </w:t>
      </w:r>
      <w:r w:rsidRPr="00E123F7" w:rsidR="00E123F7">
        <w:t xml:space="preserve">would be necessary. </w:t>
      </w:r>
      <w:r w:rsidR="00CE5251">
        <w:t xml:space="preserve">No participants will be excluded </w:t>
      </w:r>
      <w:r w:rsidR="00CE5251">
        <w:t>on the basis of</w:t>
      </w:r>
      <w:r w:rsidR="00CE5251">
        <w:t xml:space="preserve"> characteristics such as race or ethnicity, skin color, or English proficiency as long as they are able to provide informed consent to participate, though these characteristics are not a targeted effort for this project. </w:t>
      </w:r>
    </w:p>
    <w:p w:rsidR="00DE15AB" w:rsidP="005969B0" w14:paraId="4EBA4ECB" w14:textId="30B223DF">
      <w:pPr>
        <w:spacing w:after="120" w:line="240" w:lineRule="auto"/>
      </w:pPr>
      <w:r>
        <w:t>The research will be conducted in three parts</w:t>
      </w:r>
      <w:r w:rsidR="54A740FE">
        <w:t>, referred to as Study 1, Study 2, and Study 3</w:t>
      </w:r>
      <w:r>
        <w:t xml:space="preserve">. All study procedures will be approved by the University of Iowa Institutional Review Board (IRB). Data collection will begin upon receipt of PRA clearance and will involve human-subjects data collection using the driving simulators at the University of Iowa </w:t>
      </w:r>
      <w:r w:rsidR="72D0DD90">
        <w:t>Driving Safety Research Institute (</w:t>
      </w:r>
      <w:r>
        <w:t>DSRI</w:t>
      </w:r>
      <w:r w:rsidR="41948A39">
        <w:t>)</w:t>
      </w:r>
      <w:r>
        <w:t xml:space="preserve">. </w:t>
      </w:r>
    </w:p>
    <w:p w:rsidR="00DE15AB" w:rsidP="005969B0" w14:paraId="5C6DB00A" w14:textId="1129DE67">
      <w:pPr>
        <w:spacing w:after="120" w:line="240" w:lineRule="auto"/>
      </w:pPr>
      <w:r>
        <w:t xml:space="preserve">The objective of the first study is to understand how humans interact with DAS in mixed traffic environments. In the first study, participants will participate in pairs with each participant driving a separate driving simulator but interacting in the same driving environment. Participants will experience one of two driving automation systems. Both members of the participant pair will </w:t>
      </w:r>
      <w:r w:rsidR="0A619EF7">
        <w:t>provide informed consent</w:t>
      </w:r>
      <w:r>
        <w:t xml:space="preserve">, </w:t>
      </w:r>
      <w:r w:rsidR="5E215023">
        <w:t xml:space="preserve">a pre-drive questionnaire, </w:t>
      </w:r>
      <w:r>
        <w:t xml:space="preserve">a training presentation, a </w:t>
      </w:r>
      <w:r w:rsidR="43A121AA">
        <w:t xml:space="preserve">familiarization </w:t>
      </w:r>
      <w:r>
        <w:t>drive, wellness questionnaire</w:t>
      </w:r>
      <w:r w:rsidR="762DF5EB">
        <w:t>s</w:t>
      </w:r>
      <w:r>
        <w:t xml:space="preserve"> to screen for simulator sickness, a study drive, </w:t>
      </w:r>
      <w:r w:rsidR="10C8355B">
        <w:t xml:space="preserve">in-drive ratings of trust, </w:t>
      </w:r>
      <w:r>
        <w:t>and a post-drive questionnaire</w:t>
      </w:r>
      <w:r w:rsidR="00B3531C">
        <w:t xml:space="preserve"> and risk-propensity assessment</w:t>
      </w:r>
      <w:r>
        <w:t xml:space="preserve">. During the simulator drives, one member of the pair will perform a continuous drive along a specified route. The other member of the pair will complete three </w:t>
      </w:r>
      <w:r>
        <w:t>short drives where they interact with the other participant at specific points throughout the drive. The simulator will collect vehicle data (e.g., brake inputs, steering wheel angle)</w:t>
      </w:r>
      <w:r w:rsidR="61987974">
        <w:t xml:space="preserve"> and</w:t>
      </w:r>
      <w:r>
        <w:t xml:space="preserve"> data about the surrounding environment (e.g., distance to surrounding vehicles and lane markings). After the drives, participants will complete a questionnaire to assess their understanding of the DAS and their </w:t>
      </w:r>
      <w:r w:rsidR="0E524180">
        <w:t>trust in</w:t>
      </w:r>
      <w:r>
        <w:t xml:space="preserve"> and acceptance of the </w:t>
      </w:r>
      <w:r w:rsidR="4BABFCC6">
        <w:t>DAS</w:t>
      </w:r>
      <w:r>
        <w:t>. Data will be analyzed to understand how human drivers interact with DAS in mixed traffic situations and to understand how humans understand and perceive automation in different situations.</w:t>
      </w:r>
    </w:p>
    <w:p w:rsidR="00DE15AB" w:rsidP="005969B0" w14:paraId="770757DB" w14:textId="03DDF9F6">
      <w:pPr>
        <w:spacing w:after="120" w:line="240" w:lineRule="auto"/>
      </w:pPr>
      <w:r>
        <w:t xml:space="preserve">In the second study, participants will complete a drive in a driving simulator with a driving automation system. The study drive will contain situations </w:t>
      </w:r>
      <w:r w:rsidR="4F6D1A8C">
        <w:t xml:space="preserve">to which </w:t>
      </w:r>
      <w:r>
        <w:t>the DAS must respond. Participants will be randomly assigned to one of three systems with different capability, defined by how well the automation can navigate the set of test situations</w:t>
      </w:r>
      <w:r w:rsidR="00677115">
        <w:t xml:space="preserve"> with respect to DAS ability (high, medium, or low ability defined by accuracy and reliability)</w:t>
      </w:r>
      <w:r>
        <w:t>. The simulator will collect vehicle data (e.g., brake inputs, steering wheel angle)</w:t>
      </w:r>
      <w:r w:rsidR="0E22EF0F">
        <w:t xml:space="preserve"> and </w:t>
      </w:r>
      <w:r>
        <w:t xml:space="preserve">data about the surrounding environment (e.g., distance to surrounding vehicles and lane markings). After the drives, participants will complete a questionnaire to assess their understanding of the DAS and their </w:t>
      </w:r>
      <w:r w:rsidR="54765305">
        <w:t>trust in</w:t>
      </w:r>
      <w:r>
        <w:t xml:space="preserve"> and acceptance of the </w:t>
      </w:r>
      <w:r w:rsidR="07AB695A">
        <w:t>DAS</w:t>
      </w:r>
      <w:r w:rsidR="00B3531C">
        <w:t xml:space="preserve"> as well as a risk-propensity assessment</w:t>
      </w:r>
      <w:r>
        <w:t>. Data will be analyzed to understand how human drivers interact with DAS in mixed traffic situations and to understand how humans understand and perceive automation in different situations.</w:t>
      </w:r>
    </w:p>
    <w:p w:rsidR="00DE15AB" w:rsidP="005969B0" w14:paraId="0EB519B7" w14:textId="076F3976">
      <w:pPr>
        <w:spacing w:after="120" w:line="240" w:lineRule="auto"/>
      </w:pPr>
      <w:r>
        <w:t>In the third study, participants will complete a drive in a driving simulator with a driving automation system. The study drive will contain situations</w:t>
      </w:r>
      <w:r w:rsidR="682CD401">
        <w:t xml:space="preserve"> to which</w:t>
      </w:r>
      <w:r>
        <w:t xml:space="preserve"> the DAS must respond. Participants will be randomly assigned to one of three systems with different capability, defined by how well the automation can navigate the set of test situations</w:t>
      </w:r>
      <w:r w:rsidR="00677115">
        <w:t xml:space="preserve"> with respect to DAS decision-making (risky, moderate, or conservative risk tolerance)</w:t>
      </w:r>
      <w:r>
        <w:t>.</w:t>
      </w:r>
      <w:r w:rsidR="00B3531C">
        <w:t xml:space="preserve"> Outside of this, study procedures are the same as those for the second study.</w:t>
      </w:r>
    </w:p>
    <w:p w:rsidR="00C46C71" w:rsidRPr="00733050" w:rsidP="005969B0" w14:paraId="50166CB9" w14:textId="13B9A140">
      <w:pPr>
        <w:spacing w:after="120" w:line="240" w:lineRule="auto"/>
        <w:jc w:val="center"/>
        <w:rPr>
          <w:b/>
        </w:rPr>
      </w:pPr>
      <w:r w:rsidRPr="00733050">
        <w:rPr>
          <w:b/>
        </w:rPr>
        <w:t>Part A. Justification</w:t>
      </w:r>
    </w:p>
    <w:tbl>
      <w:tblPr>
        <w:tblW w:w="9450" w:type="dxa"/>
        <w:tblLook w:val="04A0"/>
      </w:tblPr>
      <w:tblGrid>
        <w:gridCol w:w="9450"/>
      </w:tblGrid>
      <w:tr w14:paraId="001D663F" w14:textId="77777777" w:rsidTr="02858895">
        <w:tblPrEx>
          <w:tblW w:w="9450" w:type="dxa"/>
          <w:tblLook w:val="04A0"/>
        </w:tblPrEx>
        <w:tc>
          <w:tcPr>
            <w:tcW w:w="9450" w:type="dxa"/>
            <w:shd w:val="clear" w:color="auto" w:fill="F2F2F2" w:themeFill="background1" w:themeFillShade="F2"/>
          </w:tcPr>
          <w:p w:rsidR="001024BB" w:rsidRPr="00266566" w:rsidP="005969B0" w14:paraId="0755C2C3" w14:textId="77777777">
            <w:pPr>
              <w:spacing w:after="120" w:line="240" w:lineRule="auto"/>
              <w:rPr>
                <w:i/>
                <w:iCs/>
                <w:sz w:val="20"/>
                <w:szCs w:val="20"/>
              </w:rPr>
            </w:pPr>
            <w:r w:rsidRPr="178C3B84">
              <w:rPr>
                <w:b/>
                <w:bCs/>
              </w:rPr>
              <w:t xml:space="preserve">1. </w:t>
            </w:r>
            <w:r w:rsidRPr="178C3B84">
              <w:rPr>
                <w:b/>
                <w:bCs/>
                <w:u w:val="single"/>
              </w:rPr>
              <w:t xml:space="preserve">Circumstances That Make </w:t>
            </w:r>
            <w:r w:rsidRPr="178C3B84">
              <w:rPr>
                <w:b/>
                <w:bCs/>
                <w:u w:val="single"/>
              </w:rPr>
              <w:t>The</w:t>
            </w:r>
            <w:r w:rsidRPr="178C3B84">
              <w:rPr>
                <w:b/>
                <w:bCs/>
                <w:u w:val="single"/>
              </w:rPr>
              <w:t xml:space="preserve"> Collection Of Information Necessary</w:t>
            </w:r>
            <w:r w:rsidRPr="178C3B84">
              <w:rPr>
                <w:b/>
                <w:bCs/>
              </w:rPr>
              <w:t>.</w:t>
            </w:r>
            <w:r>
              <w:t xml:space="preserve"> </w:t>
            </w:r>
            <w:r w:rsidR="082CD09F">
              <w:t xml:space="preserve"> </w:t>
            </w:r>
            <w:r w:rsidRPr="178C3B84">
              <w:rPr>
                <w:i/>
                <w:iCs/>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tc>
      </w:tr>
      <w:tr w14:paraId="06F36896" w14:textId="77777777" w:rsidTr="02858895">
        <w:tblPrEx>
          <w:tblW w:w="9450" w:type="dxa"/>
          <w:tblLook w:val="04A0"/>
        </w:tblPrEx>
        <w:tc>
          <w:tcPr>
            <w:tcW w:w="9450" w:type="dxa"/>
          </w:tcPr>
          <w:p w:rsidR="00820D04" w:rsidP="005969B0" w14:paraId="02E8233B" w14:textId="00B968AA">
            <w:pPr>
              <w:autoSpaceDE w:val="0"/>
              <w:autoSpaceDN w:val="0"/>
              <w:adjustRightInd w:val="0"/>
              <w:spacing w:after="120" w:line="240" w:lineRule="auto"/>
              <w:rPr>
                <w:rFonts w:ascii="Calibri" w:hAnsi="Calibri" w:cs="Calibri"/>
              </w:rPr>
            </w:pPr>
            <w:r>
              <w:rPr>
                <w:rFonts w:ascii="Calibri" w:hAnsi="Calibri" w:cs="Calibri"/>
              </w:rPr>
              <w:t>Subchapter V</w:t>
            </w:r>
            <w:r w:rsidR="00200DF7">
              <w:rPr>
                <w:rFonts w:ascii="Calibri" w:hAnsi="Calibri" w:cs="Calibri"/>
              </w:rPr>
              <w:t xml:space="preserve"> of Chapter 301</w:t>
            </w:r>
            <w:r>
              <w:rPr>
                <w:rFonts w:ascii="Calibri" w:hAnsi="Calibri" w:cs="Calibri"/>
              </w:rPr>
              <w:t xml:space="preserve">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Section 1.95 of Title 49 of the Code of Federal Regulations (CFR), the Secretary has delegated this authority to the National Highway Traffic Safety Administration (NHTSA). </w:t>
            </w:r>
          </w:p>
          <w:p w:rsidR="0062549D" w:rsidP="005969B0" w14:paraId="6C26415A" w14:textId="508F6D2C">
            <w:pPr>
              <w:autoSpaceDE w:val="0"/>
              <w:autoSpaceDN w:val="0"/>
              <w:adjustRightInd w:val="0"/>
              <w:spacing w:after="120" w:line="240" w:lineRule="auto"/>
              <w:rPr>
                <w:rFonts w:ascii="Calibri" w:hAnsi="Calibri" w:cs="Calibri"/>
              </w:rPr>
            </w:pPr>
            <w:r w:rsidRPr="02858895">
              <w:rPr>
                <w:rFonts w:ascii="Calibri" w:hAnsi="Calibri" w:cs="Calibri"/>
              </w:rPr>
              <w:t xml:space="preserve">NHTSA’s mission is to save lives, prevent injuries, and reduce the economic costs of </w:t>
            </w:r>
            <w:r w:rsidRPr="02858895" w:rsidR="59B9CF60">
              <w:rPr>
                <w:rFonts w:ascii="Calibri" w:hAnsi="Calibri" w:cs="Calibri"/>
              </w:rPr>
              <w:t xml:space="preserve">road traffic </w:t>
            </w:r>
            <w:r w:rsidRPr="02858895">
              <w:rPr>
                <w:rFonts w:ascii="Calibri" w:hAnsi="Calibri" w:cs="Calibri"/>
              </w:rPr>
              <w:t xml:space="preserve">crashes through education, research, safety standards, and enforcement activity. As automated vehicle technologies advance, they have the potential to dramatically reduce the loss of life each day in roadway crashes. </w:t>
            </w:r>
            <w:r w:rsidRPr="02858895" w:rsidR="79863BA2">
              <w:rPr>
                <w:rFonts w:ascii="Calibri" w:hAnsi="Calibri" w:cs="Calibri"/>
              </w:rPr>
              <w:t xml:space="preserve">Alternatively, the systems may not reach this potential or could potentially decrease safety when drivers do not understand how to safely interact with the systems or </w:t>
            </w:r>
            <w:r w:rsidRPr="02858895" w:rsidR="01FFA5CD">
              <w:rPr>
                <w:rFonts w:ascii="Calibri" w:hAnsi="Calibri" w:cs="Calibri"/>
              </w:rPr>
              <w:t xml:space="preserve">do </w:t>
            </w:r>
            <w:r w:rsidRPr="02858895" w:rsidR="79863BA2">
              <w:rPr>
                <w:rFonts w:ascii="Calibri" w:hAnsi="Calibri" w:cs="Calibri"/>
              </w:rPr>
              <w:t xml:space="preserve">not understand </w:t>
            </w:r>
            <w:r w:rsidRPr="02858895" w:rsidR="03C592C8">
              <w:rPr>
                <w:rFonts w:ascii="Calibri" w:hAnsi="Calibri" w:cs="Calibri"/>
              </w:rPr>
              <w:t>the</w:t>
            </w:r>
            <w:r w:rsidRPr="02858895" w:rsidR="79863BA2">
              <w:rPr>
                <w:rFonts w:ascii="Calibri" w:hAnsi="Calibri" w:cs="Calibri"/>
              </w:rPr>
              <w:t xml:space="preserve"> capabilities and limitations. </w:t>
            </w:r>
            <w:r w:rsidRPr="02858895" w:rsidR="64A54061">
              <w:rPr>
                <w:rFonts w:ascii="Calibri" w:hAnsi="Calibri" w:cs="Calibri"/>
              </w:rPr>
              <w:t>Th</w:t>
            </w:r>
            <w:r w:rsidRPr="02858895" w:rsidR="235016E6">
              <w:rPr>
                <w:rFonts w:ascii="Calibri" w:hAnsi="Calibri" w:cs="Calibri"/>
              </w:rPr>
              <w:t>is</w:t>
            </w:r>
            <w:r w:rsidRPr="02858895" w:rsidR="64A54061">
              <w:rPr>
                <w:rFonts w:ascii="Calibri" w:hAnsi="Calibri" w:cs="Calibri"/>
              </w:rPr>
              <w:t xml:space="preserve"> research supports </w:t>
            </w:r>
            <w:r w:rsidRPr="02858895" w:rsidR="07973E5A">
              <w:rPr>
                <w:rFonts w:ascii="Calibri" w:hAnsi="Calibri" w:cs="Calibri"/>
              </w:rPr>
              <w:t xml:space="preserve">NHTSA’s mission by </w:t>
            </w:r>
            <w:r w:rsidRPr="02858895" w:rsidR="235016E6">
              <w:rPr>
                <w:rFonts w:ascii="Calibri" w:hAnsi="Calibri" w:cs="Calibri"/>
              </w:rPr>
              <w:t>examining</w:t>
            </w:r>
            <w:r w:rsidRPr="02858895" w:rsidR="07973E5A">
              <w:rPr>
                <w:rFonts w:ascii="Calibri" w:hAnsi="Calibri" w:cs="Calibri"/>
              </w:rPr>
              <w:t xml:space="preserve"> how drivers interact </w:t>
            </w:r>
            <w:r w:rsidRPr="02858895" w:rsidR="00DE15AB">
              <w:rPr>
                <w:rFonts w:ascii="Calibri" w:hAnsi="Calibri" w:cs="Calibri"/>
              </w:rPr>
              <w:t xml:space="preserve">with driving automation systems, particularly in mixed traffic situations that include a combination of automated vehicles and </w:t>
            </w:r>
            <w:r w:rsidRPr="02858895" w:rsidR="307A90C9">
              <w:rPr>
                <w:rFonts w:ascii="Calibri" w:hAnsi="Calibri" w:cs="Calibri"/>
              </w:rPr>
              <w:t>manually driven</w:t>
            </w:r>
            <w:r w:rsidRPr="02858895" w:rsidR="00DE15AB">
              <w:rPr>
                <w:rFonts w:ascii="Calibri" w:hAnsi="Calibri" w:cs="Calibri"/>
              </w:rPr>
              <w:t xml:space="preserve"> vehicles.</w:t>
            </w:r>
            <w:r w:rsidRPr="02858895" w:rsidR="64A54061">
              <w:rPr>
                <w:rFonts w:ascii="Calibri" w:hAnsi="Calibri" w:cs="Calibri"/>
              </w:rPr>
              <w:t xml:space="preserve"> </w:t>
            </w:r>
          </w:p>
          <w:p w:rsidR="009D2ADF" w:rsidP="005969B0" w14:paraId="1D54451F" w14:textId="4626CD57">
            <w:pPr>
              <w:spacing w:after="120" w:line="240" w:lineRule="auto"/>
            </w:pPr>
            <w:r>
              <w:t xml:space="preserve">The information collection components for initial research and the information desired are listed below. Information collection tools for </w:t>
            </w:r>
            <w:r w:rsidR="4E32C93B">
              <w:t xml:space="preserve">all three studies in the project are listed. Note that participants </w:t>
            </w:r>
            <w:r w:rsidR="4E32C93B">
              <w:t>will only complete one of the three studies.</w:t>
            </w:r>
            <w:r w:rsidR="00251379">
              <w:t xml:space="preserve"> </w:t>
            </w:r>
            <w:r w:rsidRPr="00251379" w:rsidR="00251379">
              <w:t>Driving behavior, pre-drive questionnaire, and post-drive questionnaire responses will be combined for analysis.</w:t>
            </w:r>
          </w:p>
          <w:p w:rsidR="005969B0" w:rsidP="00251379" w14:paraId="4E771756" w14:textId="7ED48E33">
            <w:pPr>
              <w:pStyle w:val="ListParagraph"/>
              <w:numPr>
                <w:ilvl w:val="0"/>
                <w:numId w:val="35"/>
              </w:numPr>
              <w:spacing w:after="120" w:line="240" w:lineRule="auto"/>
              <w:contextualSpacing w:val="0"/>
              <w:rPr>
                <w:rFonts w:eastAsiaTheme="minorEastAsia"/>
                <w:color w:val="000000" w:themeColor="text1"/>
              </w:rPr>
            </w:pPr>
            <w:r w:rsidRPr="02858895">
              <w:rPr>
                <w:rFonts w:eastAsiaTheme="minorEastAsia"/>
                <w:b/>
                <w:bCs/>
                <w:color w:val="000000" w:themeColor="text1"/>
                <w:u w:val="single"/>
              </w:rPr>
              <w:t xml:space="preserve">Eligibility Questionnaire (NHTSA Form </w:t>
            </w:r>
            <w:r w:rsidR="00BC3850">
              <w:rPr>
                <w:rFonts w:eastAsiaTheme="minorEastAsia"/>
                <w:b/>
                <w:bCs/>
                <w:color w:val="000000" w:themeColor="text1"/>
                <w:u w:val="single"/>
              </w:rPr>
              <w:t>1742</w:t>
            </w:r>
            <w:r w:rsidRPr="02858895">
              <w:rPr>
                <w:rFonts w:eastAsiaTheme="minorEastAsia"/>
                <w:b/>
                <w:bCs/>
                <w:color w:val="000000" w:themeColor="text1"/>
                <w:u w:val="single"/>
              </w:rPr>
              <w:t>)</w:t>
            </w:r>
            <w:r w:rsidRPr="02858895">
              <w:rPr>
                <w:rFonts w:eastAsiaTheme="minorEastAsia"/>
                <w:color w:val="000000" w:themeColor="text1"/>
              </w:rPr>
              <w:t xml:space="preserve"> – Necessary for determining individuals’ suitability for study performance based on driving experience, history, general health, and ability to safely drive in the simulator without health concerns.</w:t>
            </w:r>
            <w:r w:rsidR="00251379">
              <w:rPr>
                <w:rFonts w:eastAsiaTheme="minorEastAsia"/>
                <w:color w:val="000000" w:themeColor="text1"/>
              </w:rPr>
              <w:t xml:space="preserve"> </w:t>
            </w:r>
            <w:r w:rsidR="00251379">
              <w:t xml:space="preserve">The </w:t>
            </w:r>
            <w:r w:rsidRPr="588E3AA7" w:rsidR="00251379">
              <w:rPr>
                <w:rFonts w:eastAsiaTheme="minorEastAsia"/>
                <w:color w:val="000000" w:themeColor="text1"/>
              </w:rPr>
              <w:t xml:space="preserve">Eligibility Questionnaire </w:t>
            </w:r>
            <w:r w:rsidR="00251379">
              <w:t>will solely be used to determine individuals’ suitability for study participation and will not be analyzed in any way.</w:t>
            </w:r>
          </w:p>
          <w:p w:rsidR="00DA0D9D" w:rsidRPr="005969B0" w:rsidP="00E61953" w14:paraId="55EA8C46" w14:textId="293B2835">
            <w:pPr>
              <w:pStyle w:val="ListParagraph"/>
              <w:numPr>
                <w:ilvl w:val="0"/>
                <w:numId w:val="35"/>
              </w:numPr>
              <w:spacing w:after="120" w:line="240" w:lineRule="auto"/>
              <w:contextualSpacing w:val="0"/>
              <w:rPr>
                <w:rFonts w:eastAsiaTheme="minorEastAsia"/>
                <w:color w:val="000000" w:themeColor="text1"/>
              </w:rPr>
            </w:pPr>
            <w:r w:rsidRPr="005969B0">
              <w:rPr>
                <w:rFonts w:eastAsiaTheme="minorEastAsia"/>
                <w:b/>
                <w:bCs/>
                <w:color w:val="000000" w:themeColor="text1"/>
                <w:u w:val="single"/>
              </w:rPr>
              <w:t xml:space="preserve">Informed Consent Document Study 1 (NHTSA Form </w:t>
            </w:r>
            <w:r w:rsidR="00BC3850">
              <w:rPr>
                <w:rFonts w:eastAsiaTheme="minorEastAsia"/>
                <w:b/>
                <w:bCs/>
                <w:color w:val="000000" w:themeColor="text1"/>
                <w:u w:val="single"/>
              </w:rPr>
              <w:t>1743</w:t>
            </w:r>
            <w:r w:rsidRPr="005969B0">
              <w:rPr>
                <w:rFonts w:eastAsiaTheme="minorEastAsia"/>
                <w:b/>
                <w:bCs/>
                <w:color w:val="000000" w:themeColor="text1"/>
                <w:u w:val="single"/>
              </w:rPr>
              <w:t>)</w:t>
            </w:r>
            <w:r w:rsidRPr="005969B0">
              <w:rPr>
                <w:rFonts w:eastAsiaTheme="minorEastAsia"/>
                <w:color w:val="000000" w:themeColor="text1"/>
              </w:rPr>
              <w:t xml:space="preserve"> – Necessary for obtaining informed written consent from the participant to participate in the study. The form describes all study procedures, data storage and use, and potential risks from the study.</w:t>
            </w:r>
          </w:p>
          <w:p w:rsidR="00DA0D9D" w:rsidP="005969B0" w14:paraId="24A85E68" w14:textId="5D82345F">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Informed Consent Document Study 2 (NHTSA Form </w:t>
            </w:r>
            <w:r w:rsidR="00BC3850">
              <w:rPr>
                <w:rFonts w:asciiTheme="minorHAnsi" w:eastAsiaTheme="minorEastAsia" w:hAnsiTheme="minorHAnsi" w:cstheme="minorBidi"/>
                <w:b/>
                <w:bCs/>
                <w:color w:val="000000" w:themeColor="text1"/>
                <w:sz w:val="22"/>
                <w:szCs w:val="22"/>
                <w:u w:val="single"/>
              </w:rPr>
              <w:t>1744</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obtaining informed written consent from the participant to participate in the study. The form describes all study procedures, data storage and use, and potential risks from the study.</w:t>
            </w:r>
          </w:p>
          <w:p w:rsidR="00DA0D9D" w:rsidP="005969B0" w14:paraId="0CDC6212" w14:textId="6720066A">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Informed Consent Document Study 3 (NHTSA Form </w:t>
            </w:r>
            <w:r w:rsidR="00BC3850">
              <w:rPr>
                <w:rFonts w:asciiTheme="minorHAnsi" w:eastAsiaTheme="minorEastAsia" w:hAnsiTheme="minorHAnsi" w:cstheme="minorBidi"/>
                <w:b/>
                <w:bCs/>
                <w:color w:val="000000" w:themeColor="text1"/>
                <w:sz w:val="22"/>
                <w:szCs w:val="22"/>
                <w:u w:val="single"/>
              </w:rPr>
              <w:t>1745</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obtaining informed written consent from the participant to participate in the study. The form describes all study procedures, data storage and use, and potential risks from the study.</w:t>
            </w:r>
          </w:p>
          <w:p w:rsidR="00DA0D9D" w:rsidP="005969B0" w14:paraId="54932A46" w14:textId="2D01E066">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Pre-Drive Questionnaire (NHTSA Form </w:t>
            </w:r>
            <w:r w:rsidR="00BC3850">
              <w:rPr>
                <w:rFonts w:asciiTheme="minorHAnsi" w:eastAsiaTheme="minorEastAsia" w:hAnsiTheme="minorHAnsi" w:cstheme="minorBidi"/>
                <w:b/>
                <w:bCs/>
                <w:color w:val="000000" w:themeColor="text1"/>
                <w:sz w:val="22"/>
                <w:szCs w:val="22"/>
                <w:u w:val="single"/>
              </w:rPr>
              <w:t>1746</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collecting data used to measure participants’ understanding (i.e., mental model) of DAS and their pre-drive trust in the DAS. Collecting these data before and after the drives will let us measure how exposure to the DAS impacts understanding and trust. Demographic information (e.g., age, sex, </w:t>
            </w:r>
            <w:r w:rsidR="004D4957">
              <w:rPr>
                <w:rFonts w:asciiTheme="minorHAnsi" w:eastAsiaTheme="minorEastAsia" w:hAnsiTheme="minorHAnsi" w:cstheme="minorBidi"/>
                <w:color w:val="000000" w:themeColor="text1"/>
                <w:sz w:val="22"/>
                <w:szCs w:val="22"/>
              </w:rPr>
              <w:t xml:space="preserve">gender, </w:t>
            </w:r>
            <w:r w:rsidRPr="178C3B84">
              <w:rPr>
                <w:rFonts w:asciiTheme="minorHAnsi" w:eastAsiaTheme="minorEastAsia" w:hAnsiTheme="minorHAnsi" w:cstheme="minorBidi"/>
                <w:color w:val="000000" w:themeColor="text1"/>
                <w:sz w:val="22"/>
                <w:szCs w:val="22"/>
              </w:rPr>
              <w:t>race, ethnicity) will also be collected. This pre-drive questionnaire will remain the same across all three studies.</w:t>
            </w:r>
          </w:p>
          <w:p w:rsidR="00DA0D9D" w:rsidP="005969B0" w14:paraId="5DDDA09E" w14:textId="1B9E6473">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Wellness Questionnaire (NHTSA Form </w:t>
            </w:r>
            <w:r w:rsidR="00BC3850">
              <w:rPr>
                <w:rFonts w:asciiTheme="minorHAnsi" w:eastAsiaTheme="minorEastAsia" w:hAnsiTheme="minorHAnsi" w:cstheme="minorBidi"/>
                <w:b/>
                <w:bCs/>
                <w:color w:val="000000" w:themeColor="text1"/>
                <w:sz w:val="22"/>
                <w:szCs w:val="22"/>
                <w:u w:val="single"/>
              </w:rPr>
              <w:t>1747</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evaluating simulator sickness symptoms to determine individuals’ ability to complete the study drive in the driving simulator. This questionnaire will be administered pre-drive (to obtain baseline ratings), after the familiarization drive, and after the study drive.</w:t>
            </w:r>
            <w:r w:rsidR="009A0FFB">
              <w:rPr>
                <w:rFonts w:asciiTheme="minorHAnsi" w:eastAsiaTheme="minorEastAsia" w:hAnsiTheme="minorHAnsi" w:cstheme="minorBidi"/>
                <w:color w:val="000000" w:themeColor="text1"/>
                <w:sz w:val="22"/>
                <w:szCs w:val="22"/>
              </w:rPr>
              <w:t xml:space="preserve"> This wellness questionnaire will remain the same across all three studies. </w:t>
            </w:r>
          </w:p>
          <w:p w:rsidR="00DA0D9D" w:rsidP="005969B0" w14:paraId="2E14F771" w14:textId="629A2604">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rPr>
              <w:t xml:space="preserve">Driving Behavior </w:t>
            </w:r>
            <w:r w:rsidRPr="178C3B84" w:rsidR="00BF2D60">
              <w:rPr>
                <w:rFonts w:asciiTheme="minorHAnsi" w:eastAsiaTheme="minorEastAsia" w:hAnsiTheme="minorHAnsi" w:cstheme="minorBidi"/>
                <w:b/>
                <w:bCs/>
                <w:color w:val="000000" w:themeColor="text1"/>
                <w:sz w:val="22"/>
                <w:szCs w:val="22"/>
              </w:rPr>
              <w:t xml:space="preserve">Assessment </w:t>
            </w:r>
            <w:r w:rsidRPr="178C3B84" w:rsidR="00BF2D60">
              <w:rPr>
                <w:rFonts w:asciiTheme="minorHAnsi" w:eastAsiaTheme="minorEastAsia" w:hAnsiTheme="minorHAnsi" w:cstheme="minorBidi"/>
                <w:color w:val="000000" w:themeColor="text1"/>
                <w:sz w:val="22"/>
                <w:szCs w:val="22"/>
              </w:rPr>
              <w:t>–</w:t>
            </w:r>
            <w:r w:rsidRPr="178C3B84">
              <w:rPr>
                <w:rFonts w:asciiTheme="minorHAnsi" w:eastAsiaTheme="minorEastAsia" w:hAnsiTheme="minorHAnsi" w:cstheme="minorBidi"/>
                <w:color w:val="000000" w:themeColor="text1"/>
                <w:sz w:val="22"/>
                <w:szCs w:val="22"/>
              </w:rPr>
              <w:t xml:space="preserve"> </w:t>
            </w:r>
            <w:r w:rsidR="002B19A3">
              <w:rPr>
                <w:rFonts w:asciiTheme="minorHAnsi" w:eastAsiaTheme="minorEastAsia" w:hAnsiTheme="minorHAnsi" w:cstheme="minorBidi"/>
                <w:color w:val="000000" w:themeColor="text1"/>
                <w:sz w:val="22"/>
                <w:szCs w:val="22"/>
              </w:rPr>
              <w:t xml:space="preserve">This information collection includes a pre-drive PowerPoint training, a familiarization drive, an in-drive questionnaire </w:t>
            </w:r>
            <w:r w:rsidRPr="002B19A3" w:rsidR="002B19A3">
              <w:rPr>
                <w:rFonts w:asciiTheme="minorHAnsi" w:eastAsiaTheme="minorEastAsia" w:hAnsiTheme="minorHAnsi" w:cstheme="minorBidi"/>
                <w:b/>
                <w:bCs/>
                <w:color w:val="000000" w:themeColor="text1"/>
                <w:sz w:val="22"/>
                <w:szCs w:val="22"/>
              </w:rPr>
              <w:t xml:space="preserve">(NHTSA Form </w:t>
            </w:r>
            <w:r w:rsidR="00BC3850">
              <w:rPr>
                <w:rFonts w:asciiTheme="minorHAnsi" w:eastAsiaTheme="minorEastAsia" w:hAnsiTheme="minorHAnsi" w:cstheme="minorBidi"/>
                <w:b/>
                <w:bCs/>
                <w:color w:val="000000" w:themeColor="text1"/>
                <w:sz w:val="22"/>
                <w:szCs w:val="22"/>
              </w:rPr>
              <w:t>1748</w:t>
            </w:r>
            <w:r w:rsidRPr="002B19A3" w:rsidR="002B19A3">
              <w:rPr>
                <w:rFonts w:asciiTheme="minorHAnsi" w:eastAsiaTheme="minorEastAsia" w:hAnsiTheme="minorHAnsi" w:cstheme="minorBidi"/>
                <w:b/>
                <w:bCs/>
                <w:color w:val="000000" w:themeColor="text1"/>
                <w:sz w:val="22"/>
                <w:szCs w:val="22"/>
              </w:rPr>
              <w:t>)</w:t>
            </w:r>
            <w:r w:rsidR="002B19A3">
              <w:rPr>
                <w:rFonts w:asciiTheme="minorHAnsi" w:eastAsiaTheme="minorEastAsia" w:hAnsiTheme="minorHAnsi" w:cstheme="minorBidi"/>
                <w:color w:val="000000" w:themeColor="text1"/>
                <w:sz w:val="22"/>
                <w:szCs w:val="22"/>
              </w:rPr>
              <w:t xml:space="preserve">, and the study drive. </w:t>
            </w:r>
            <w:r w:rsidRPr="02858895" w:rsidR="002B19A3">
              <w:rPr>
                <w:rFonts w:asciiTheme="minorHAnsi" w:eastAsiaTheme="minorEastAsia" w:hAnsiTheme="minorHAnsi" w:cstheme="minorBidi"/>
                <w:color w:val="000000" w:themeColor="text1"/>
                <w:sz w:val="22"/>
                <w:szCs w:val="22"/>
              </w:rPr>
              <w:t>Before the study drive, participants will complete training via a PowerPoint presentation on a computer in a private study room. The presentation will introduce the simulator, the familiarization and study drive procedures, the DAS, and the non-driving email task.</w:t>
            </w:r>
            <w:r w:rsidR="002B19A3">
              <w:rPr>
                <w:rFonts w:asciiTheme="minorHAnsi" w:eastAsiaTheme="minorEastAsia" w:hAnsiTheme="minorHAnsi" w:cstheme="minorBidi"/>
                <w:color w:val="000000" w:themeColor="text1"/>
                <w:sz w:val="22"/>
                <w:szCs w:val="22"/>
              </w:rPr>
              <w:t xml:space="preserve"> The familiarization drive is n</w:t>
            </w:r>
            <w:r w:rsidRPr="02858895" w:rsidR="002B19A3">
              <w:rPr>
                <w:rFonts w:asciiTheme="minorHAnsi" w:eastAsiaTheme="minorEastAsia" w:hAnsiTheme="minorHAnsi" w:cstheme="minorBidi"/>
                <w:color w:val="000000" w:themeColor="text1"/>
                <w:sz w:val="22"/>
                <w:szCs w:val="22"/>
              </w:rPr>
              <w:t xml:space="preserve">ecessary to acclimate the </w:t>
            </w:r>
            <w:r w:rsidR="002B19A3">
              <w:rPr>
                <w:rFonts w:asciiTheme="minorHAnsi" w:eastAsiaTheme="minorEastAsia" w:hAnsiTheme="minorHAnsi" w:cstheme="minorBidi"/>
                <w:color w:val="000000" w:themeColor="text1"/>
                <w:sz w:val="22"/>
                <w:szCs w:val="22"/>
              </w:rPr>
              <w:t>participant</w:t>
            </w:r>
            <w:r w:rsidRPr="02858895" w:rsidR="002B19A3">
              <w:rPr>
                <w:rFonts w:asciiTheme="minorHAnsi" w:eastAsiaTheme="minorEastAsia" w:hAnsiTheme="minorHAnsi" w:cstheme="minorBidi"/>
                <w:color w:val="000000" w:themeColor="text1"/>
                <w:sz w:val="22"/>
                <w:szCs w:val="22"/>
              </w:rPr>
              <w:t xml:space="preserve"> to the driving simulator and </w:t>
            </w:r>
            <w:r w:rsidR="00C26096">
              <w:rPr>
                <w:rFonts w:asciiTheme="minorHAnsi" w:eastAsiaTheme="minorEastAsia" w:hAnsiTheme="minorHAnsi" w:cstheme="minorBidi"/>
                <w:color w:val="000000" w:themeColor="text1"/>
                <w:sz w:val="22"/>
                <w:szCs w:val="22"/>
              </w:rPr>
              <w:t xml:space="preserve">perform a real-time determination </w:t>
            </w:r>
            <w:r w:rsidRPr="02858895" w:rsidR="002B19A3">
              <w:rPr>
                <w:rFonts w:asciiTheme="minorHAnsi" w:eastAsiaTheme="minorEastAsia" w:hAnsiTheme="minorHAnsi" w:cstheme="minorBidi"/>
                <w:color w:val="000000" w:themeColor="text1"/>
                <w:sz w:val="22"/>
                <w:szCs w:val="22"/>
              </w:rPr>
              <w:t xml:space="preserve">for simulator sickness while training the </w:t>
            </w:r>
            <w:r w:rsidR="002B19A3">
              <w:rPr>
                <w:rFonts w:asciiTheme="minorHAnsi" w:eastAsiaTheme="minorEastAsia" w:hAnsiTheme="minorHAnsi" w:cstheme="minorBidi"/>
                <w:color w:val="000000" w:themeColor="text1"/>
                <w:sz w:val="22"/>
                <w:szCs w:val="22"/>
              </w:rPr>
              <w:t>participant</w:t>
            </w:r>
            <w:r w:rsidRPr="02858895" w:rsidR="002B19A3">
              <w:rPr>
                <w:rFonts w:asciiTheme="minorHAnsi" w:eastAsiaTheme="minorEastAsia" w:hAnsiTheme="minorHAnsi" w:cstheme="minorBidi"/>
                <w:color w:val="000000" w:themeColor="text1"/>
                <w:sz w:val="22"/>
                <w:szCs w:val="22"/>
              </w:rPr>
              <w:t xml:space="preserve"> on how to use the driving automation system.</w:t>
            </w:r>
            <w:r w:rsidR="002B19A3">
              <w:rPr>
                <w:rFonts w:asciiTheme="minorHAnsi" w:eastAsiaTheme="minorEastAsia" w:hAnsiTheme="minorHAnsi" w:cstheme="minorBidi"/>
                <w:color w:val="000000" w:themeColor="text1"/>
                <w:sz w:val="22"/>
                <w:szCs w:val="22"/>
              </w:rPr>
              <w:t xml:space="preserve"> The study drive is n</w:t>
            </w:r>
            <w:r w:rsidRPr="178C3B84" w:rsidR="002B19A3">
              <w:rPr>
                <w:rFonts w:asciiTheme="minorHAnsi" w:eastAsiaTheme="minorEastAsia" w:hAnsiTheme="minorHAnsi" w:cstheme="minorBidi"/>
                <w:color w:val="000000" w:themeColor="text1"/>
                <w:sz w:val="22"/>
                <w:szCs w:val="22"/>
              </w:rPr>
              <w:t>ecessary for gathering driving performance information for the purpose of assessing how drivers interact with automated systems and the impact of these interactions on safety.</w:t>
            </w:r>
            <w:r w:rsidRPr="002B19A3" w:rsidR="002B19A3">
              <w:rPr>
                <w:rFonts w:asciiTheme="minorHAnsi" w:eastAsiaTheme="minorEastAsia" w:hAnsiTheme="minorHAnsi" w:cstheme="minorBidi"/>
                <w:color w:val="000000" w:themeColor="text1"/>
                <w:sz w:val="22"/>
                <w:szCs w:val="22"/>
              </w:rPr>
              <w:t xml:space="preserve"> </w:t>
            </w:r>
            <w:r w:rsidR="002B19A3">
              <w:rPr>
                <w:rFonts w:asciiTheme="minorHAnsi" w:eastAsiaTheme="minorEastAsia" w:hAnsiTheme="minorHAnsi" w:cstheme="minorBidi"/>
                <w:color w:val="000000" w:themeColor="text1"/>
                <w:sz w:val="22"/>
                <w:szCs w:val="22"/>
              </w:rPr>
              <w:t>During the study drive, an in-drive questionnaire will be administered. This is n</w:t>
            </w:r>
            <w:r w:rsidRPr="178C3B84" w:rsidR="002B19A3">
              <w:rPr>
                <w:rFonts w:asciiTheme="minorHAnsi" w:eastAsiaTheme="minorEastAsia" w:hAnsiTheme="minorHAnsi" w:cstheme="minorBidi"/>
                <w:color w:val="000000" w:themeColor="text1"/>
                <w:sz w:val="22"/>
                <w:szCs w:val="22"/>
              </w:rPr>
              <w:t>ecessary for understanding drivers’ trust in the DAS at various points during the study drive. In Study 1, this information is collected after the events where the pair of research participants interact with one another. In Studies 2 &amp; 3, this information is collected after the four events where the behavior of the automation varies across the different conditions. The information will be used to measure trust in the DAS following specific events. These questions will remain the same across all three studies.</w:t>
            </w:r>
          </w:p>
          <w:p w:rsidR="00DA0D9D" w:rsidP="005969B0" w14:paraId="2B6AF330" w14:textId="2680498D">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Post-Drive Questionnaire (NHTSA Form </w:t>
            </w:r>
            <w:r w:rsidR="00BC3850">
              <w:rPr>
                <w:rFonts w:asciiTheme="minorHAnsi" w:eastAsiaTheme="minorEastAsia" w:hAnsiTheme="minorHAnsi" w:cstheme="minorBidi"/>
                <w:b/>
                <w:bCs/>
                <w:color w:val="000000" w:themeColor="text1"/>
                <w:sz w:val="22"/>
                <w:szCs w:val="22"/>
                <w:u w:val="single"/>
              </w:rPr>
              <w:t>1749</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collecting data used to measure </w:t>
            </w:r>
            <w:r w:rsidRPr="178C3B84">
              <w:rPr>
                <w:rFonts w:asciiTheme="minorHAnsi" w:eastAsiaTheme="minorEastAsia" w:hAnsiTheme="minorHAnsi" w:cstheme="minorBidi"/>
                <w:color w:val="000000" w:themeColor="text1"/>
                <w:sz w:val="22"/>
                <w:szCs w:val="22"/>
              </w:rPr>
              <w:t>participants’ understanding (i.e., mental model) of DAS and their post-drive trust in the DAS, as well as general risk-taking behavior while driving. This post-drive questionnaire will remain the same across all three studies.</w:t>
            </w:r>
          </w:p>
          <w:p w:rsidR="005969B0" w:rsidP="005969B0" w14:paraId="0C85119E" w14:textId="5C104669">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rPr>
              <w:t>Balloon Analogue Risk Task (BART)</w:t>
            </w:r>
            <w:r w:rsidRPr="178C3B84">
              <w:rPr>
                <w:rFonts w:asciiTheme="minorHAnsi" w:eastAsiaTheme="minorEastAsia" w:hAnsiTheme="minorHAnsi" w:cstheme="minorBidi"/>
                <w:color w:val="000000" w:themeColor="text1"/>
                <w:sz w:val="22"/>
                <w:szCs w:val="22"/>
              </w:rPr>
              <w:t xml:space="preserve">—Necessary for measuring objective risk-taking propensity. </w:t>
            </w:r>
            <w:r w:rsidRPr="005D28AB" w:rsidR="005D28AB">
              <w:rPr>
                <w:rFonts w:asciiTheme="minorHAnsi" w:eastAsiaTheme="minorEastAsia" w:hAnsiTheme="minorHAnsi" w:cstheme="minorBidi"/>
                <w:color w:val="000000" w:themeColor="text1"/>
                <w:sz w:val="22"/>
                <w:szCs w:val="22"/>
              </w:rPr>
              <w:t xml:space="preserve">For this computerized task, participants are presented with 20 different balloons (20 trials), and </w:t>
            </w:r>
            <w:r w:rsidR="005D28AB">
              <w:rPr>
                <w:rFonts w:asciiTheme="minorHAnsi" w:eastAsiaTheme="minorEastAsia" w:hAnsiTheme="minorHAnsi" w:cstheme="minorBidi"/>
                <w:color w:val="000000" w:themeColor="text1"/>
                <w:sz w:val="22"/>
                <w:szCs w:val="22"/>
              </w:rPr>
              <w:t xml:space="preserve">told </w:t>
            </w:r>
            <w:r w:rsidRPr="005D28AB" w:rsidR="005D28AB">
              <w:rPr>
                <w:rFonts w:asciiTheme="minorHAnsi" w:eastAsiaTheme="minorEastAsia" w:hAnsiTheme="minorHAnsi" w:cstheme="minorBidi"/>
                <w:color w:val="000000" w:themeColor="text1"/>
                <w:sz w:val="22"/>
                <w:szCs w:val="22"/>
              </w:rPr>
              <w:t>that “the actual number of pumps for any particular balloon will vary.” Participants are instructed to attempt to earn as many points as possible. At the beginning of each trial, the participant decides how many pumps they thought the balloon would hold and input this number. Each balloon inflates for 3 seconds and then either pops or stays intact depending on whether the participant’s wager was above or below the predetermined explosion point for that balloon. If the balloon is pumped past its explosion point, it will pop, and the participant earns no points for that balloon. If the balloon is not pumped past the explosion point, the participant keeps the number of pumps as points. After each outcome, a new deflated balloon appears on the screen and points earned will be added to the total. Each balloon could earn a maximum of 128 points with an explosion point equally likely to occur on any given pump participant to the constraint that within each sequence of 10 balloons the average explosion point was on pump 64.</w:t>
            </w:r>
            <w:r w:rsidR="005D28AB">
              <w:rPr>
                <w:rFonts w:asciiTheme="minorHAnsi" w:eastAsiaTheme="minorEastAsia" w:hAnsiTheme="minorHAnsi" w:cstheme="minorBidi"/>
                <w:color w:val="000000" w:themeColor="text1"/>
                <w:sz w:val="22"/>
                <w:szCs w:val="22"/>
              </w:rPr>
              <w:t xml:space="preserve"> </w:t>
            </w:r>
            <w:r w:rsidRPr="178C3B84">
              <w:rPr>
                <w:rFonts w:asciiTheme="minorHAnsi" w:eastAsiaTheme="minorEastAsia" w:hAnsiTheme="minorHAnsi" w:cstheme="minorBidi"/>
                <w:color w:val="000000" w:themeColor="text1"/>
                <w:sz w:val="22"/>
                <w:szCs w:val="22"/>
              </w:rPr>
              <w:t>The task will remain the same across the three studies</w:t>
            </w:r>
            <w:r w:rsidR="00B70673">
              <w:rPr>
                <w:rFonts w:asciiTheme="minorHAnsi" w:eastAsiaTheme="minorEastAsia" w:hAnsiTheme="minorHAnsi" w:cstheme="minorBidi"/>
                <w:color w:val="000000" w:themeColor="text1"/>
                <w:sz w:val="22"/>
                <w:szCs w:val="22"/>
              </w:rPr>
              <w:t xml:space="preserve"> and is a standardized online tool</w:t>
            </w:r>
            <w:r w:rsidRPr="178C3B84">
              <w:rPr>
                <w:rFonts w:asciiTheme="minorHAnsi" w:eastAsiaTheme="minorEastAsia" w:hAnsiTheme="minorHAnsi" w:cstheme="minorBidi"/>
                <w:color w:val="000000" w:themeColor="text1"/>
                <w:sz w:val="22"/>
                <w:szCs w:val="22"/>
              </w:rPr>
              <w:t>.</w:t>
            </w:r>
          </w:p>
          <w:p w:rsidR="005969B0" w:rsidRPr="005969B0" w:rsidP="00251379" w14:paraId="12A60AA7" w14:textId="4DBAA627">
            <w:pPr>
              <w:pStyle w:val="BodyText"/>
              <w:spacing w:after="120"/>
              <w:ind w:left="360"/>
              <w:rPr>
                <w:rFonts w:asciiTheme="minorHAnsi" w:eastAsiaTheme="minorEastAsia" w:hAnsiTheme="minorHAnsi" w:cstheme="minorBidi"/>
                <w:color w:val="000000" w:themeColor="text1"/>
                <w:sz w:val="22"/>
                <w:szCs w:val="22"/>
              </w:rPr>
            </w:pPr>
          </w:p>
        </w:tc>
      </w:tr>
      <w:tr w14:paraId="7032E0C6" w14:textId="77777777" w:rsidTr="02858895">
        <w:tblPrEx>
          <w:tblW w:w="9450" w:type="dxa"/>
          <w:tblLook w:val="04A0"/>
        </w:tblPrEx>
        <w:tc>
          <w:tcPr>
            <w:tcW w:w="9450" w:type="dxa"/>
            <w:shd w:val="clear" w:color="auto" w:fill="F2F2F2" w:themeFill="background1" w:themeFillShade="F2"/>
          </w:tcPr>
          <w:p w:rsidR="001024BB" w:rsidRPr="00E55EE8" w:rsidP="005969B0" w14:paraId="42FFF3A5" w14:textId="77777777">
            <w:pPr>
              <w:spacing w:after="120" w:line="240" w:lineRule="auto"/>
              <w:rPr>
                <w:i/>
                <w:iCs/>
                <w:sz w:val="20"/>
                <w:szCs w:val="20"/>
              </w:rPr>
            </w:pPr>
            <w:r w:rsidRPr="588E3AA7">
              <w:rPr>
                <w:b/>
                <w:bCs/>
              </w:rPr>
              <w:t xml:space="preserve">2. </w:t>
            </w:r>
            <w:r w:rsidRPr="588E3AA7">
              <w:rPr>
                <w:b/>
                <w:bCs/>
                <w:u w:val="single"/>
              </w:rPr>
              <w:t xml:space="preserve">How, By Whom, And </w:t>
            </w:r>
            <w:r w:rsidRPr="588E3AA7">
              <w:rPr>
                <w:b/>
                <w:bCs/>
                <w:u w:val="single"/>
              </w:rPr>
              <w:t>For</w:t>
            </w:r>
            <w:r w:rsidRPr="588E3AA7">
              <w:rPr>
                <w:b/>
                <w:bCs/>
                <w:u w:val="single"/>
              </w:rPr>
              <w:t xml:space="preserve"> What Purpose Is The Information To Be Used</w:t>
            </w:r>
            <w:r w:rsidRPr="588E3AA7">
              <w:rPr>
                <w:b/>
                <w:bCs/>
              </w:rPr>
              <w:t>.</w:t>
            </w:r>
            <w:r>
              <w:t xml:space="preserve"> </w:t>
            </w:r>
            <w:r w:rsidR="1359E725">
              <w:t xml:space="preserve"> </w:t>
            </w:r>
            <w:r w:rsidRPr="588E3AA7">
              <w:rPr>
                <w:i/>
                <w:iCs/>
                <w:sz w:val="20"/>
                <w:szCs w:val="20"/>
              </w:rPr>
              <w:t>Indicate how, by whom, and for what purpose is the information is to be used. Except for a new collection, indicate the actual use the agency has made of the information received from the current collection.</w:t>
            </w:r>
          </w:p>
        </w:tc>
      </w:tr>
      <w:tr w14:paraId="0342C5BC" w14:textId="77777777" w:rsidTr="02858895">
        <w:tblPrEx>
          <w:tblW w:w="9450" w:type="dxa"/>
          <w:tblLook w:val="04A0"/>
        </w:tblPrEx>
        <w:tc>
          <w:tcPr>
            <w:tcW w:w="9450" w:type="dxa"/>
          </w:tcPr>
          <w:p w:rsidR="00473C75" w:rsidP="005969B0" w14:paraId="105B31D7" w14:textId="601EB949">
            <w:pPr>
              <w:autoSpaceDE w:val="0"/>
              <w:autoSpaceDN w:val="0"/>
              <w:adjustRightInd w:val="0"/>
              <w:spacing w:after="120" w:line="240" w:lineRule="auto"/>
              <w:ind w:left="720" w:hanging="720"/>
              <w:rPr>
                <w:rFonts w:ascii="Calibri" w:hAnsi="Calibri" w:cs="Calibri"/>
              </w:rPr>
            </w:pPr>
            <w:r w:rsidRPr="178C3B84">
              <w:rPr>
                <w:rFonts w:ascii="Calibri" w:hAnsi="Calibri" w:cs="Calibri"/>
                <w:b/>
                <w:bCs/>
              </w:rPr>
              <w:t>BY WHOM</w:t>
            </w:r>
            <w:r w:rsidRPr="178C3B84">
              <w:rPr>
                <w:rFonts w:ascii="Calibri" w:hAnsi="Calibri" w:cs="Calibri"/>
              </w:rPr>
              <w:t>:</w:t>
            </w:r>
            <w:r w:rsidRPr="178C3B84" w:rsidR="3B130317">
              <w:rPr>
                <w:rFonts w:ascii="Calibri" w:hAnsi="Calibri" w:cs="Calibri"/>
              </w:rPr>
              <w:t xml:space="preserve"> The University of Iowa DSRI will conduct this new data collection effort under a task order on an Indefinite Deliverable Indefinite Quantity contract with NHTSA. </w:t>
            </w:r>
            <w:r w:rsidR="009652A0">
              <w:rPr>
                <w:rFonts w:ascii="Calibri" w:hAnsi="Calibri" w:cs="Calibri"/>
              </w:rPr>
              <w:t xml:space="preserve">This information </w:t>
            </w:r>
            <w:r w:rsidR="00114D5A">
              <w:rPr>
                <w:rFonts w:ascii="Calibri" w:hAnsi="Calibri" w:cs="Calibri"/>
              </w:rPr>
              <w:t xml:space="preserve">collection </w:t>
            </w:r>
            <w:r w:rsidR="009652A0">
              <w:rPr>
                <w:rFonts w:ascii="Calibri" w:hAnsi="Calibri" w:cs="Calibri"/>
              </w:rPr>
              <w:t xml:space="preserve">will support the </w:t>
            </w:r>
            <w:r w:rsidRPr="009652A0" w:rsidR="009652A0">
              <w:rPr>
                <w:rFonts w:ascii="Calibri" w:hAnsi="Calibri" w:cs="Calibri"/>
              </w:rPr>
              <w:t xml:space="preserve">effort to learn how humans interact with driving automation systems (DAS),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r w:rsidRPr="00114D5A" w:rsidR="00114D5A">
              <w:rPr>
                <w:rFonts w:ascii="Calibri" w:hAnsi="Calibri" w:cs="Calibri"/>
              </w:rPr>
              <w:t>Such mixed traffic environments will soon be common on roads, as manufacturers deploy new vehicles with a range of automated capabilities. To date, research has focused on understand</w:t>
            </w:r>
            <w:r w:rsidR="00C926DB">
              <w:rPr>
                <w:rFonts w:ascii="Calibri" w:hAnsi="Calibri" w:cs="Calibri"/>
              </w:rPr>
              <w:t>ing</w:t>
            </w:r>
            <w:r w:rsidRPr="00114D5A" w:rsidR="00114D5A">
              <w:rPr>
                <w:rFonts w:ascii="Calibri" w:hAnsi="Calibri" w:cs="Calibri"/>
              </w:rPr>
              <w:t xml:space="preserve"> how drivers interact with technology in their vehicle, but we know little about how drivers interact with other vehicles and how technology impacts those interactions. This project will generate data to inform NHTSA’s understanding of driver behavior and potential safety considerations in these mixed traffic environments</w:t>
            </w:r>
            <w:r w:rsidRPr="009652A0" w:rsidR="009652A0">
              <w:rPr>
                <w:rFonts w:ascii="Calibri" w:hAnsi="Calibri" w:cs="Calibri"/>
              </w:rPr>
              <w:t xml:space="preserve"> and is not immediately intended to inform regulations or policy.</w:t>
            </w:r>
            <w:r w:rsidR="009652A0">
              <w:rPr>
                <w:rFonts w:ascii="Calibri" w:hAnsi="Calibri" w:cs="Calibri"/>
              </w:rPr>
              <w:t xml:space="preserve"> </w:t>
            </w:r>
            <w:r w:rsidRPr="178C3B84" w:rsidR="3B130317">
              <w:rPr>
                <w:rFonts w:ascii="Calibri" w:hAnsi="Calibri" w:cs="Calibri"/>
              </w:rPr>
              <w:t>Study participation will be voluntary and solicited via email advertisements. Data will be collected</w:t>
            </w:r>
            <w:r w:rsidR="00B3531C">
              <w:rPr>
                <w:rFonts w:ascii="Calibri" w:hAnsi="Calibri" w:cs="Calibri"/>
              </w:rPr>
              <w:t xml:space="preserve"> and analyzed</w:t>
            </w:r>
            <w:r w:rsidRPr="178C3B84" w:rsidR="3B130317">
              <w:rPr>
                <w:rFonts w:ascii="Calibri" w:hAnsi="Calibri" w:cs="Calibri"/>
              </w:rPr>
              <w:t xml:space="preserve"> by the research team at the University of Iowa DSRI.</w:t>
            </w:r>
          </w:p>
          <w:p w:rsidR="00473C75" w:rsidP="005969B0" w14:paraId="1593AF71" w14:textId="16F0E5B6">
            <w:pPr>
              <w:autoSpaceDE w:val="0"/>
              <w:autoSpaceDN w:val="0"/>
              <w:adjustRightInd w:val="0"/>
              <w:spacing w:after="120" w:line="240" w:lineRule="auto"/>
              <w:rPr>
                <w:rFonts w:ascii="Calibri" w:hAnsi="Calibri" w:cs="Calibri"/>
              </w:rPr>
            </w:pPr>
            <w:r w:rsidRPr="435BE885">
              <w:rPr>
                <w:rFonts w:ascii="Calibri" w:hAnsi="Calibri" w:cs="Calibri"/>
              </w:rPr>
              <w:t xml:space="preserve">This research </w:t>
            </w:r>
            <w:r w:rsidR="009652A0">
              <w:rPr>
                <w:rFonts w:ascii="Calibri" w:hAnsi="Calibri" w:cs="Calibri"/>
              </w:rPr>
              <w:t xml:space="preserve">will be conducted over three studies and </w:t>
            </w:r>
            <w:r w:rsidRPr="435BE885">
              <w:rPr>
                <w:rFonts w:ascii="Calibri" w:hAnsi="Calibri" w:cs="Calibri"/>
              </w:rPr>
              <w:t xml:space="preserve">involves </w:t>
            </w:r>
            <w:r w:rsidR="00251379">
              <w:rPr>
                <w:rFonts w:ascii="Calibri" w:hAnsi="Calibri" w:cs="Calibri"/>
              </w:rPr>
              <w:t>nine</w:t>
            </w:r>
            <w:r w:rsidRPr="435BE885" w:rsidR="00251379">
              <w:rPr>
                <w:rFonts w:ascii="Calibri" w:hAnsi="Calibri" w:cs="Calibri"/>
              </w:rPr>
              <w:t xml:space="preserve"> </w:t>
            </w:r>
            <w:r w:rsidRPr="435BE885" w:rsidR="3F875053">
              <w:rPr>
                <w:rFonts w:ascii="Calibri" w:hAnsi="Calibri" w:cs="Calibri"/>
              </w:rPr>
              <w:t xml:space="preserve">components, including </w:t>
            </w:r>
            <w:r w:rsidRPr="435BE885" w:rsidR="204CF605">
              <w:rPr>
                <w:rFonts w:ascii="Calibri" w:hAnsi="Calibri" w:cs="Calibri"/>
              </w:rPr>
              <w:t xml:space="preserve">three variations of the consent (one per study), </w:t>
            </w:r>
            <w:r w:rsidR="00251379">
              <w:rPr>
                <w:rFonts w:ascii="Calibri" w:hAnsi="Calibri" w:cs="Calibri"/>
              </w:rPr>
              <w:t>four</w:t>
            </w:r>
            <w:r w:rsidRPr="435BE885" w:rsidR="00251379">
              <w:rPr>
                <w:rFonts w:ascii="Calibri" w:hAnsi="Calibri" w:cs="Calibri"/>
              </w:rPr>
              <w:t xml:space="preserve"> </w:t>
            </w:r>
            <w:r w:rsidRPr="435BE885" w:rsidR="73281C1B">
              <w:rPr>
                <w:rFonts w:ascii="Calibri" w:hAnsi="Calibri" w:cs="Calibri"/>
              </w:rPr>
              <w:t>questionnaires</w:t>
            </w:r>
            <w:r w:rsidRPr="435BE885" w:rsidR="6BAA6E1F">
              <w:rPr>
                <w:rFonts w:ascii="Calibri" w:hAnsi="Calibri" w:cs="Calibri"/>
              </w:rPr>
              <w:t xml:space="preserve">, </w:t>
            </w:r>
            <w:r w:rsidR="00251379">
              <w:rPr>
                <w:rFonts w:ascii="Calibri" w:hAnsi="Calibri" w:cs="Calibri"/>
              </w:rPr>
              <w:t xml:space="preserve">a </w:t>
            </w:r>
            <w:r w:rsidR="00862424">
              <w:rPr>
                <w:rFonts w:ascii="Calibri" w:hAnsi="Calibri" w:cs="Calibri"/>
              </w:rPr>
              <w:t>driving behavior assessment</w:t>
            </w:r>
            <w:r w:rsidR="00251379">
              <w:rPr>
                <w:rFonts w:ascii="Calibri" w:hAnsi="Calibri" w:cs="Calibri"/>
              </w:rPr>
              <w:t xml:space="preserve"> </w:t>
            </w:r>
            <w:r w:rsidR="00490FD7">
              <w:rPr>
                <w:rFonts w:ascii="Calibri" w:hAnsi="Calibri" w:cs="Calibri"/>
              </w:rPr>
              <w:t>(training and practice, in-drive questionnaire, and collection of driving performance)</w:t>
            </w:r>
            <w:r w:rsidRPr="435BE885" w:rsidR="1925284F">
              <w:rPr>
                <w:rFonts w:ascii="Calibri" w:hAnsi="Calibri" w:cs="Calibri"/>
              </w:rPr>
              <w:t>, and one computerized assessment</w:t>
            </w:r>
            <w:r w:rsidRPr="435BE885" w:rsidR="3F875053">
              <w:rPr>
                <w:rFonts w:ascii="Calibri" w:hAnsi="Calibri" w:cs="Calibri"/>
              </w:rPr>
              <w:t xml:space="preserve">. </w:t>
            </w:r>
          </w:p>
          <w:p w:rsidR="00473C75" w:rsidP="001F7F76" w14:paraId="5DBE4D94" w14:textId="449276B8">
            <w:pPr>
              <w:spacing w:after="120" w:line="240" w:lineRule="auto"/>
            </w:pPr>
            <w:bookmarkStart w:id="2" w:name="_Hlk3221989"/>
            <w:r w:rsidRPr="001F7F76">
              <w:rPr>
                <w:b/>
                <w:bCs/>
                <w:u w:val="single"/>
              </w:rPr>
              <w:t>Eligibility Questionnaire</w:t>
            </w:r>
            <w:r w:rsidR="15F8F9AA">
              <w:t xml:space="preserve"> </w:t>
            </w:r>
            <w:r w:rsidR="4998EF92">
              <w:t xml:space="preserve">(NHTSA </w:t>
            </w:r>
            <w:r w:rsidRPr="0095452E" w:rsidR="4998EF92">
              <w:t>Form</w:t>
            </w:r>
            <w:r w:rsidRPr="001F7F76" w:rsidR="73E8A32C">
              <w:rPr>
                <w:rFonts w:eastAsiaTheme="minorEastAsia"/>
                <w:color w:val="000000" w:themeColor="text1"/>
              </w:rPr>
              <w:t xml:space="preserve"> </w:t>
            </w:r>
            <w:r w:rsidRPr="001F7F76" w:rsidR="00BC3850">
              <w:rPr>
                <w:rFonts w:eastAsiaTheme="minorEastAsia"/>
                <w:color w:val="000000" w:themeColor="text1"/>
              </w:rPr>
              <w:t>1742</w:t>
            </w:r>
            <w:r w:rsidR="4998EF92">
              <w:t>)</w:t>
            </w:r>
          </w:p>
          <w:p w:rsidR="00473C75" w:rsidP="005969B0" w14:paraId="68B30433" w14:textId="44FB53F8">
            <w:pPr>
              <w:spacing w:after="120" w:line="240" w:lineRule="auto"/>
              <w:ind w:left="720" w:hanging="720"/>
            </w:pPr>
            <w:r w:rsidRPr="005969B0">
              <w:rPr>
                <w:b/>
                <w:bCs/>
              </w:rPr>
              <w:t>PURPOSE</w:t>
            </w:r>
            <w:r w:rsidRPr="005969B0" w:rsidR="496B45F6">
              <w:rPr>
                <w:b/>
                <w:bCs/>
              </w:rPr>
              <w:t xml:space="preserve">: </w:t>
            </w:r>
            <w:r w:rsidR="496B45F6">
              <w:t>For</w:t>
            </w:r>
            <w:r>
              <w:t xml:space="preserve"> determining individuals’ willingness to participate in the study and </w:t>
            </w:r>
            <w:r w:rsidRPr="005969B0" w:rsidR="0BEC7E19">
              <w:rPr>
                <w:rFonts w:eastAsiaTheme="minorEastAsia"/>
                <w:color w:val="000000" w:themeColor="text1"/>
              </w:rPr>
              <w:t>individuals’ suitability for study p</w:t>
            </w:r>
            <w:r w:rsidRPr="005969B0" w:rsidR="5880F385">
              <w:rPr>
                <w:rFonts w:eastAsiaTheme="minorEastAsia"/>
                <w:color w:val="000000" w:themeColor="text1"/>
              </w:rPr>
              <w:t xml:space="preserve">articipation </w:t>
            </w:r>
            <w:r w:rsidRPr="005969B0" w:rsidR="0BEC7E19">
              <w:rPr>
                <w:rFonts w:eastAsiaTheme="minorEastAsia"/>
                <w:color w:val="000000" w:themeColor="text1"/>
              </w:rPr>
              <w:t>based on driving experience</w:t>
            </w:r>
            <w:r w:rsidRPr="005969B0" w:rsidR="75609A1D">
              <w:rPr>
                <w:rFonts w:eastAsiaTheme="minorEastAsia"/>
                <w:color w:val="000000" w:themeColor="text1"/>
              </w:rPr>
              <w:t xml:space="preserve"> and</w:t>
            </w:r>
            <w:r w:rsidRPr="005969B0" w:rsidR="0BEC7E19">
              <w:rPr>
                <w:rFonts w:eastAsiaTheme="minorEastAsia"/>
                <w:color w:val="000000" w:themeColor="text1"/>
              </w:rPr>
              <w:t xml:space="preserve"> history, </w:t>
            </w:r>
            <w:r w:rsidRPr="005969B0" w:rsidR="1060CB55">
              <w:rPr>
                <w:rFonts w:eastAsiaTheme="minorEastAsia"/>
                <w:color w:val="000000" w:themeColor="text1"/>
              </w:rPr>
              <w:t xml:space="preserve">demographics (age, sex), </w:t>
            </w:r>
            <w:r w:rsidRPr="005969B0" w:rsidR="0BEC7E19">
              <w:rPr>
                <w:rFonts w:eastAsiaTheme="minorEastAsia"/>
                <w:color w:val="000000" w:themeColor="text1"/>
              </w:rPr>
              <w:t>general health, and ability to safely drive in the simulator without health concerns</w:t>
            </w:r>
            <w:r w:rsidRPr="005969B0">
              <w:rPr>
                <w:rFonts w:ascii="Calibri" w:hAnsi="Calibri" w:cs="Calibri"/>
              </w:rPr>
              <w:t>.</w:t>
            </w:r>
            <w:r w:rsidRPr="005969B0" w:rsidR="4E9E38CC">
              <w:rPr>
                <w:rFonts w:ascii="Calibri" w:hAnsi="Calibri" w:cs="Calibri"/>
              </w:rPr>
              <w:t xml:space="preserve"> The same criteria apply across all three studies.</w:t>
            </w:r>
          </w:p>
          <w:bookmarkEnd w:id="2"/>
          <w:p w:rsidR="00473C75" w:rsidP="005969B0" w14:paraId="59AB5053" w14:textId="76178C1F">
            <w:pPr>
              <w:autoSpaceDE w:val="0"/>
              <w:autoSpaceDN w:val="0"/>
              <w:adjustRightInd w:val="0"/>
              <w:spacing w:after="120" w:line="240" w:lineRule="auto"/>
              <w:ind w:left="720" w:hanging="720"/>
              <w:rPr>
                <w:rFonts w:ascii="Calibri" w:hAnsi="Calibri" w:cs="Calibri"/>
              </w:rPr>
            </w:pPr>
            <w:r w:rsidRPr="588E3AA7">
              <w:rPr>
                <w:b/>
                <w:bCs/>
              </w:rPr>
              <w:t>HOW</w:t>
            </w:r>
            <w:r w:rsidRPr="588E3AA7" w:rsidR="7F7B60B8">
              <w:rPr>
                <w:b/>
                <w:bCs/>
              </w:rPr>
              <w:t xml:space="preserve">: </w:t>
            </w:r>
            <w:r w:rsidRPr="000F52C9" w:rsidR="000F52C9">
              <w:t xml:space="preserve">Interested individuals can complete the </w:t>
            </w:r>
            <w:r w:rsidRPr="000F52C9" w:rsidR="000F52C9">
              <w:rPr>
                <w:i/>
                <w:iCs/>
              </w:rPr>
              <w:t xml:space="preserve">Eligibility Questionnaire </w:t>
            </w:r>
            <w:r w:rsidRPr="000F52C9" w:rsidR="000F52C9">
              <w:t>online via REDCap</w:t>
            </w:r>
            <w:r w:rsidRPr="00AE0DB3" w:rsidR="000F52C9">
              <w:t xml:space="preserve"> </w:t>
            </w:r>
            <w:r w:rsidR="000F52C9">
              <w:t xml:space="preserve">link </w:t>
            </w:r>
            <w:r w:rsidRPr="00AE0DB3" w:rsidR="000F52C9">
              <w:rPr>
                <w:rFonts w:ascii="Calibri" w:hAnsi="Calibri" w:cs="Calibri"/>
              </w:rPr>
              <w:t xml:space="preserve">(Research Electronic Data Capture; </w:t>
            </w:r>
            <w:r>
              <w:fldChar w:fldCharType="begin"/>
            </w:r>
            <w:r w:rsidRPr="008D5A44" w:rsidR="000F52C9">
              <w:rPr>
                <w:rStyle w:val="Hyperlink"/>
                <w:rFonts w:ascii="Calibri" w:hAnsi="Calibri" w:cs="Calibri"/>
              </w:rPr>
              <w:instrText xml:space="preserve"> HYPERLINK "https://www.project-redcap.org/" </w:instrText>
            </w:r>
            <w:r>
              <w:fldChar w:fldCharType="separate"/>
            </w:r>
            <w:r w:rsidRPr="008D5A44" w:rsidR="000F52C9">
              <w:rPr>
                <w:rStyle w:val="Hyperlink"/>
                <w:rFonts w:ascii="Calibri" w:hAnsi="Calibri" w:cs="Calibri"/>
              </w:rPr>
              <w:t>https://www.project-redcap.org/</w:t>
            </w:r>
            <w:r>
              <w:fldChar w:fldCharType="end"/>
            </w:r>
            <w:r w:rsidRPr="00AE0DB3" w:rsidR="000F52C9">
              <w:rPr>
                <w:rFonts w:ascii="Calibri" w:hAnsi="Calibri" w:cs="Calibri"/>
              </w:rPr>
              <w:t>)</w:t>
            </w:r>
            <w:r w:rsidR="000F52C9">
              <w:rPr>
                <w:rFonts w:ascii="Calibri" w:hAnsi="Calibri" w:cs="Calibri"/>
              </w:rPr>
              <w:t xml:space="preserve">. This link is included on all recruitment materials (emails or advertisements) and websites. </w:t>
            </w:r>
            <w:r w:rsidRPr="588E3AA7" w:rsidR="000F52C9">
              <w:rPr>
                <w:rFonts w:ascii="Calibri" w:hAnsi="Calibri" w:cs="Calibri"/>
              </w:rPr>
              <w:t xml:space="preserve">Form display and branching logic will ensure respondents see the minimal number of questions required to determine eligibility by ending the questionnaire early if criteria are not met at different points in time. Respondents will provide contact information at the end of the form only if they appear to meet </w:t>
            </w:r>
            <w:r w:rsidR="000F52C9">
              <w:rPr>
                <w:rFonts w:ascii="Calibri" w:hAnsi="Calibri" w:cs="Calibri"/>
              </w:rPr>
              <w:t xml:space="preserve">study </w:t>
            </w:r>
            <w:r w:rsidRPr="588E3AA7" w:rsidR="000F52C9">
              <w:rPr>
                <w:rFonts w:ascii="Calibri" w:hAnsi="Calibri" w:cs="Calibri"/>
              </w:rPr>
              <w:t>criteria. After an email address is provided, the respondent will receive an automatic reply thanking them for their response with a copy of the appropriate informed consent document attached for their review.</w:t>
            </w:r>
            <w:r w:rsidR="000F52C9">
              <w:rPr>
                <w:rFonts w:ascii="Calibri" w:hAnsi="Calibri" w:cs="Calibri"/>
              </w:rPr>
              <w:t xml:space="preserve"> </w:t>
            </w:r>
            <w:r w:rsidRPr="00AE0DB3" w:rsidR="00AE0DB3">
              <w:t xml:space="preserve">Prospective </w:t>
            </w:r>
            <w:r w:rsidR="000F52C9">
              <w:t>respondents</w:t>
            </w:r>
            <w:r w:rsidRPr="00AE0DB3" w:rsidR="00AE0DB3">
              <w:t xml:space="preserve"> will be identified using the DSRI registry. An IRB-approved email will be sent to potential participants based on a registry query of age</w:t>
            </w:r>
            <w:r w:rsidR="000F52C9">
              <w:t xml:space="preserve">. </w:t>
            </w:r>
            <w:r w:rsidRPr="00AE0DB3" w:rsidR="00AE0DB3">
              <w:t xml:space="preserve">Potential participants also will have access to websites that can be used to show their interest: drivingstudies.com and dsri.uiowa.edu. Both sites will have an IRB-approved website script that matches the language of the recruitment email and will include the link to the online REDCap eligibility questionnaire. No information is collected on the websites. The approved email </w:t>
            </w:r>
            <w:r w:rsidR="00AE0DB3">
              <w:t xml:space="preserve">also </w:t>
            </w:r>
            <w:r w:rsidRPr="00AE0DB3" w:rsidR="00AE0DB3">
              <w:t>will be sent to UI faculty, staff, and students</w:t>
            </w:r>
            <w:r w:rsidR="000F52C9">
              <w:t xml:space="preserve"> via the UI mass email system</w:t>
            </w:r>
            <w:r w:rsidRPr="00AE0DB3" w:rsidR="00AE0DB3">
              <w:t xml:space="preserve">. Past experience has demonstrated that as recruitment begins, those contacted via the DSRI registry email or UI mass email tend to forward this email to other individuals or tell others about the study through word of mouth. Members of the DSRI registry primarily reside in Iowa and Illinois, though there are individuals from as far away as California. Being affiliated with a university also gives DSRI access to international students, staff, and faculty which will help provide </w:t>
            </w:r>
            <w:r w:rsidR="000F52C9">
              <w:t>diversity in race, ethnicity, and cultural perspectives in the study sample</w:t>
            </w:r>
            <w:r w:rsidRPr="00AE0DB3" w:rsidR="00AE0DB3">
              <w:t xml:space="preserve">. </w:t>
            </w:r>
          </w:p>
          <w:p w:rsidR="00023032" w:rsidP="005969B0" w14:paraId="21E18A3D" w14:textId="58F86385">
            <w:pPr>
              <w:autoSpaceDE w:val="0"/>
              <w:autoSpaceDN w:val="0"/>
              <w:adjustRightInd w:val="0"/>
              <w:spacing w:after="120" w:line="240" w:lineRule="auto"/>
              <w:rPr>
                <w:rFonts w:ascii="Calibri" w:hAnsi="Calibri" w:cs="Calibri"/>
              </w:rPr>
            </w:pPr>
            <w:r w:rsidRPr="588E3AA7">
              <w:rPr>
                <w:rFonts w:ascii="Calibri" w:hAnsi="Calibri" w:cs="Calibri"/>
              </w:rPr>
              <w:t xml:space="preserve">Response data will be reviewed by the research team and a </w:t>
            </w:r>
            <w:r w:rsidRPr="588E3AA7" w:rsidR="44F68BEF">
              <w:rPr>
                <w:rFonts w:ascii="Calibri" w:hAnsi="Calibri" w:cs="Calibri"/>
              </w:rPr>
              <w:t xml:space="preserve">final </w:t>
            </w:r>
            <w:r w:rsidRPr="588E3AA7">
              <w:rPr>
                <w:rFonts w:ascii="Calibri" w:hAnsi="Calibri" w:cs="Calibri"/>
              </w:rPr>
              <w:t xml:space="preserve">determination will be made whether the individual meets the initial study participation criteria. Those meeting </w:t>
            </w:r>
            <w:r w:rsidRPr="588E3AA7" w:rsidR="4D60E15E">
              <w:rPr>
                <w:rFonts w:ascii="Calibri" w:hAnsi="Calibri" w:cs="Calibri"/>
              </w:rPr>
              <w:t>criteria</w:t>
            </w:r>
            <w:r w:rsidRPr="588E3AA7">
              <w:rPr>
                <w:rFonts w:ascii="Calibri" w:hAnsi="Calibri" w:cs="Calibri"/>
              </w:rPr>
              <w:t xml:space="preserve"> will </w:t>
            </w:r>
            <w:r w:rsidRPr="588E3AA7" w:rsidR="167D3A02">
              <w:rPr>
                <w:rFonts w:ascii="Calibri" w:hAnsi="Calibri" w:cs="Calibri"/>
              </w:rPr>
              <w:t>be scheduled for a study appointment</w:t>
            </w:r>
            <w:r w:rsidRPr="588E3AA7" w:rsidR="79789ED7">
              <w:rPr>
                <w:rFonts w:ascii="Calibri" w:hAnsi="Calibri" w:cs="Calibri"/>
              </w:rPr>
              <w:t>.</w:t>
            </w:r>
          </w:p>
          <w:p w:rsidR="00473C75" w:rsidP="001F7F76" w14:paraId="29B773EC" w14:textId="72D75D91">
            <w:pPr>
              <w:spacing w:after="120" w:line="240" w:lineRule="auto"/>
            </w:pPr>
            <w:r w:rsidRPr="001F7F76">
              <w:rPr>
                <w:b/>
                <w:bCs/>
                <w:u w:val="single"/>
              </w:rPr>
              <w:t>Informed Consent</w:t>
            </w:r>
            <w:r w:rsidRPr="001F7F76" w:rsidR="15F8F9AA">
              <w:rPr>
                <w:b/>
                <w:bCs/>
                <w:u w:val="single"/>
              </w:rPr>
              <w:t xml:space="preserve"> </w:t>
            </w:r>
            <w:r w:rsidR="4998EF92">
              <w:t>(NHTSA Form</w:t>
            </w:r>
            <w:r w:rsidR="4C3B8AC0">
              <w:t>s</w:t>
            </w:r>
            <w:r w:rsidR="44714FBF">
              <w:t xml:space="preserve"> </w:t>
            </w:r>
            <w:r w:rsidR="00BC3850">
              <w:t>1743</w:t>
            </w:r>
            <w:r w:rsidR="6B8AD758">
              <w:t xml:space="preserve">, </w:t>
            </w:r>
            <w:r w:rsidRPr="003D7847" w:rsidR="00BC3850">
              <w:t>1744</w:t>
            </w:r>
            <w:r w:rsidRPr="003D7847" w:rsidR="6B8AD758">
              <w:t xml:space="preserve">, </w:t>
            </w:r>
            <w:r w:rsidR="00BC3850">
              <w:t>1745</w:t>
            </w:r>
            <w:r w:rsidR="4998EF92">
              <w:t>)</w:t>
            </w:r>
          </w:p>
          <w:p w:rsidR="00473C75" w:rsidRPr="005969B0" w:rsidP="005969B0" w14:paraId="7DE6F79A" w14:textId="32744E4F">
            <w:pPr>
              <w:spacing w:after="120" w:line="240" w:lineRule="auto"/>
              <w:ind w:left="720" w:hanging="720"/>
              <w:rPr>
                <w:rFonts w:ascii="Calibri" w:hAnsi="Calibri" w:cs="Calibri"/>
              </w:rPr>
            </w:pPr>
            <w:r w:rsidRPr="005969B0">
              <w:rPr>
                <w:b/>
                <w:bCs/>
              </w:rPr>
              <w:t>PURPOSE:</w:t>
            </w:r>
            <w:r>
              <w:t xml:space="preserve"> </w:t>
            </w:r>
            <w:r w:rsidR="7A2BCD05">
              <w:t>Ensures individuals have an informed choice about whether to participate in each of the three studies.</w:t>
            </w:r>
            <w:r w:rsidR="4682A0B1">
              <w:t xml:space="preserve"> The form differs slightly for each study.</w:t>
            </w:r>
          </w:p>
          <w:p w:rsidR="00473C75" w:rsidRPr="005969B0" w:rsidP="005969B0" w14:paraId="20B5CB1B" w14:textId="54596583">
            <w:pPr>
              <w:spacing w:after="120" w:line="240" w:lineRule="auto"/>
              <w:ind w:left="720" w:hanging="720"/>
              <w:rPr>
                <w:rFonts w:ascii="Calibri" w:hAnsi="Calibri" w:cs="Calibri"/>
              </w:rPr>
            </w:pPr>
            <w:r w:rsidRPr="005969B0">
              <w:rPr>
                <w:b/>
                <w:bCs/>
              </w:rPr>
              <w:t>HOW:</w:t>
            </w:r>
            <w:r>
              <w:t xml:space="preserve"> </w:t>
            </w:r>
            <w:r w:rsidR="74517FFA">
              <w:t>After submitting a response to</w:t>
            </w:r>
            <w:r w:rsidR="001F7F76">
              <w:t xml:space="preserve"> the</w:t>
            </w:r>
            <w:r w:rsidRPr="005969B0" w:rsidR="74517FFA">
              <w:rPr>
                <w:rFonts w:ascii="Calibri" w:hAnsi="Calibri" w:cs="Calibri"/>
                <w:i/>
                <w:iCs/>
              </w:rPr>
              <w:t xml:space="preserve"> Eligibility Questionnaire</w:t>
            </w:r>
            <w:r w:rsidRPr="005969B0" w:rsidR="74517FFA">
              <w:rPr>
                <w:rFonts w:ascii="Calibri" w:hAnsi="Calibri" w:cs="Calibri"/>
              </w:rPr>
              <w:t>, participants are emailed a copy of the informed consent for review before enrollment.</w:t>
            </w:r>
            <w:r w:rsidR="74517FFA">
              <w:t xml:space="preserve"> </w:t>
            </w:r>
            <w:r w:rsidR="58990F60">
              <w:t>At the study visit, participants</w:t>
            </w:r>
            <w:r>
              <w:t xml:space="preserve"> </w:t>
            </w:r>
            <w:r w:rsidR="586A7BBE">
              <w:t xml:space="preserve">will be escorted to a private room upon arrival </w:t>
            </w:r>
            <w:r w:rsidR="7FE7A477">
              <w:t>at</w:t>
            </w:r>
            <w:r w:rsidR="586A7BBE">
              <w:t xml:space="preserve"> DSRI</w:t>
            </w:r>
            <w:r w:rsidR="147C1EB5">
              <w:t xml:space="preserve"> for the consent process</w:t>
            </w:r>
            <w:r w:rsidRPr="005969B0" w:rsidR="6F58890C">
              <w:rPr>
                <w:rFonts w:ascii="Calibri" w:hAnsi="Calibri" w:cs="Calibri"/>
              </w:rPr>
              <w:t>.</w:t>
            </w:r>
            <w:r w:rsidRPr="005969B0" w:rsidR="7DA744C1">
              <w:rPr>
                <w:rFonts w:ascii="Calibri" w:hAnsi="Calibri" w:cs="Calibri"/>
              </w:rPr>
              <w:t xml:space="preserve"> Each version of the consent is set up electronically via the REDCap e-consent platform. </w:t>
            </w:r>
            <w:r w:rsidRPr="005969B0" w:rsidR="7AB446C1">
              <w:rPr>
                <w:rFonts w:ascii="Calibri" w:hAnsi="Calibri" w:cs="Calibri"/>
              </w:rPr>
              <w:t xml:space="preserve">Participants </w:t>
            </w:r>
            <w:r w:rsidRPr="005969B0" w:rsidR="7DA744C1">
              <w:rPr>
                <w:rFonts w:ascii="Calibri" w:hAnsi="Calibri" w:cs="Calibri"/>
              </w:rPr>
              <w:t xml:space="preserve">will undergo the consent process with a member of the research using a desktop computer or tablet. </w:t>
            </w:r>
            <w:r w:rsidRPr="005969B0" w:rsidR="6C55AE94">
              <w:rPr>
                <w:rFonts w:ascii="Calibri" w:hAnsi="Calibri" w:cs="Calibri"/>
              </w:rPr>
              <w:t xml:space="preserve">After electronically signing the consent document, the </w:t>
            </w:r>
            <w:r w:rsidRPr="005969B0" w:rsidR="7118A99E">
              <w:rPr>
                <w:rFonts w:ascii="Calibri" w:hAnsi="Calibri" w:cs="Calibri"/>
              </w:rPr>
              <w:t xml:space="preserve">participant </w:t>
            </w:r>
            <w:r w:rsidRPr="005969B0" w:rsidR="6C55AE94">
              <w:rPr>
                <w:rFonts w:ascii="Calibri" w:hAnsi="Calibri" w:cs="Calibri"/>
              </w:rPr>
              <w:t>will be able to download or be emailed a copy of the signed form.</w:t>
            </w:r>
          </w:p>
          <w:p w:rsidR="6F4BC633" w:rsidRPr="001F7F76" w:rsidP="001F7F76" w14:paraId="740DE9C0" w14:textId="5E221E08">
            <w:pPr>
              <w:spacing w:after="120" w:line="240" w:lineRule="auto"/>
              <w:rPr>
                <w:rFonts w:eastAsiaTheme="minorEastAsia"/>
                <w:color w:val="000000" w:themeColor="text1"/>
              </w:rPr>
            </w:pPr>
            <w:r w:rsidRPr="001F7F76">
              <w:rPr>
                <w:rFonts w:eastAsiaTheme="minorEastAsia"/>
                <w:b/>
                <w:bCs/>
                <w:color w:val="000000" w:themeColor="text1"/>
                <w:u w:val="single"/>
              </w:rPr>
              <w:t>Pre-Drive Questionnaire</w:t>
            </w:r>
            <w:r w:rsidRPr="001F7F76">
              <w:rPr>
                <w:rFonts w:eastAsiaTheme="minorEastAsia"/>
                <w:color w:val="000000" w:themeColor="text1"/>
              </w:rPr>
              <w:t xml:space="preserve"> (NHTSA Form </w:t>
            </w:r>
            <w:r w:rsidRPr="001F7F76" w:rsidR="00BC3850">
              <w:rPr>
                <w:rFonts w:eastAsiaTheme="minorEastAsia"/>
                <w:color w:val="000000" w:themeColor="text1"/>
              </w:rPr>
              <w:t>1746</w:t>
            </w:r>
            <w:r w:rsidRPr="001F7F76">
              <w:rPr>
                <w:rFonts w:eastAsiaTheme="minorEastAsia"/>
                <w:color w:val="000000" w:themeColor="text1"/>
              </w:rPr>
              <w:t>)</w:t>
            </w:r>
          </w:p>
          <w:p w:rsidR="005C5FB9" w:rsidRPr="005969B0" w:rsidP="005969B0" w14:paraId="1152277D" w14:textId="5A8CBE72">
            <w:pPr>
              <w:spacing w:after="120" w:line="240" w:lineRule="auto"/>
              <w:ind w:left="720" w:hanging="720"/>
              <w:rPr>
                <w:color w:val="000000" w:themeColor="text1"/>
              </w:rPr>
            </w:pPr>
            <w:r w:rsidRPr="005969B0">
              <w:rPr>
                <w:b/>
                <w:bCs/>
              </w:rPr>
              <w:t>PURPOSE:</w:t>
            </w:r>
            <w:r>
              <w:t xml:space="preserve"> </w:t>
            </w:r>
            <w:r w:rsidRPr="004E65C0" w:rsidR="38585427">
              <w:rPr>
                <w:rFonts w:ascii="Calibri" w:hAnsi="Calibri" w:eastAsiaTheme="minorEastAsia" w:cs="Calibri"/>
                <w:color w:val="000000" w:themeColor="text1"/>
              </w:rPr>
              <w:t>T</w:t>
            </w:r>
            <w:r w:rsidRPr="004E65C0" w:rsidR="66DE33AC">
              <w:rPr>
                <w:rFonts w:ascii="Calibri" w:hAnsi="Calibri" w:eastAsiaTheme="minorEastAsia" w:cs="Calibri"/>
                <w:color w:val="000000" w:themeColor="text1"/>
              </w:rPr>
              <w:t xml:space="preserve">o measure participants’ understanding (i.e., mental model) of DAS and their pre-drive trust in the DAS. Collecting these data before and after the drives will let us measure how exposure to the DAS impacts understanding and trust. Demographic information (e.g., age, sex, </w:t>
            </w:r>
            <w:r w:rsidR="004D4957">
              <w:rPr>
                <w:rFonts w:ascii="Calibri" w:hAnsi="Calibri" w:eastAsiaTheme="minorEastAsia" w:cs="Calibri"/>
                <w:color w:val="000000" w:themeColor="text1"/>
              </w:rPr>
              <w:t xml:space="preserve">gender, </w:t>
            </w:r>
            <w:r w:rsidRPr="004E65C0" w:rsidR="66DE33AC">
              <w:rPr>
                <w:rFonts w:ascii="Calibri" w:hAnsi="Calibri" w:eastAsiaTheme="minorEastAsia" w:cs="Calibri"/>
                <w:color w:val="000000" w:themeColor="text1"/>
              </w:rPr>
              <w:t>race, ethnicity) will also be collected. This pre-drive questionnaire will remain the same across all three studies.</w:t>
            </w:r>
          </w:p>
          <w:p w:rsidR="005C5FB9" w:rsidRPr="005969B0" w:rsidP="005969B0" w14:paraId="4DB801A5" w14:textId="0478484C">
            <w:pPr>
              <w:spacing w:after="120" w:line="240" w:lineRule="auto"/>
              <w:ind w:left="720" w:hanging="720"/>
              <w:rPr>
                <w:color w:val="000000" w:themeColor="text1"/>
              </w:rPr>
            </w:pPr>
            <w:r w:rsidRPr="005969B0">
              <w:rPr>
                <w:b/>
                <w:bCs/>
              </w:rPr>
              <w:t>HOW:</w:t>
            </w:r>
            <w:r>
              <w:t xml:space="preserve"> </w:t>
            </w:r>
            <w:r w:rsidR="269DA325">
              <w:t>The pre-drive questionnaire will be administered via the REDCap platform using a tablet or desktop computer</w:t>
            </w:r>
            <w:r w:rsidRPr="005969B0" w:rsidR="6753E5B9">
              <w:rPr>
                <w:rFonts w:ascii="Calibri" w:hAnsi="Calibri" w:cs="Calibri"/>
              </w:rPr>
              <w:t xml:space="preserve"> </w:t>
            </w:r>
            <w:r w:rsidRPr="005969B0" w:rsidR="73238EBF">
              <w:rPr>
                <w:rFonts w:ascii="Calibri" w:hAnsi="Calibri" w:cs="Calibri"/>
              </w:rPr>
              <w:t>in a private room prior to entering the simulator.</w:t>
            </w:r>
            <w:r w:rsidRPr="005969B0" w:rsidR="1B038067">
              <w:rPr>
                <w:rFonts w:ascii="Calibri" w:hAnsi="Calibri" w:cs="Calibri"/>
              </w:rPr>
              <w:t xml:space="preserve"> </w:t>
            </w:r>
            <w:r w:rsidRPr="005969B0" w:rsidR="1B038067">
              <w:rPr>
                <w:color w:val="000000" w:themeColor="text1"/>
              </w:rPr>
              <w:t>Participants’ responses to scale-based questions will be collated for analysi</w:t>
            </w:r>
            <w:r w:rsidRPr="005969B0" w:rsidR="1477A846">
              <w:rPr>
                <w:color w:val="000000" w:themeColor="text1"/>
              </w:rPr>
              <w:t>s, with d</w:t>
            </w:r>
            <w:r w:rsidRPr="005969B0" w:rsidR="742B35F8">
              <w:rPr>
                <w:color w:val="000000" w:themeColor="text1"/>
              </w:rPr>
              <w:t>escriptive summaries and inferential statistics for pre-drive and post-drive questionnaires</w:t>
            </w:r>
            <w:r w:rsidRPr="005969B0" w:rsidR="1B038067">
              <w:rPr>
                <w:color w:val="000000" w:themeColor="text1"/>
              </w:rPr>
              <w:t>.</w:t>
            </w:r>
          </w:p>
          <w:p w:rsidR="0DA064CD" w:rsidRPr="001F7F76" w:rsidP="001F7F76" w14:paraId="36E45A9C" w14:textId="04982BFC">
            <w:pPr>
              <w:spacing w:after="120" w:line="240" w:lineRule="auto"/>
              <w:rPr>
                <w:rFonts w:eastAsiaTheme="minorEastAsia"/>
                <w:color w:val="000000" w:themeColor="text1"/>
              </w:rPr>
            </w:pPr>
            <w:r w:rsidRPr="001F7F76">
              <w:rPr>
                <w:rFonts w:eastAsiaTheme="minorEastAsia"/>
                <w:b/>
                <w:bCs/>
                <w:color w:val="000000" w:themeColor="text1"/>
                <w:u w:val="single"/>
              </w:rPr>
              <w:t>Wellness Questionnaire</w:t>
            </w:r>
            <w:r w:rsidRPr="001F7F76">
              <w:rPr>
                <w:rFonts w:eastAsiaTheme="minorEastAsia"/>
                <w:color w:val="000000" w:themeColor="text1"/>
              </w:rPr>
              <w:t xml:space="preserve"> (NHTSA Form </w:t>
            </w:r>
            <w:r w:rsidRPr="001F7F76" w:rsidR="00BC3850">
              <w:rPr>
                <w:rFonts w:eastAsiaTheme="minorEastAsia"/>
                <w:color w:val="000000" w:themeColor="text1"/>
              </w:rPr>
              <w:t>1747</w:t>
            </w:r>
            <w:r w:rsidRPr="001F7F76">
              <w:rPr>
                <w:rFonts w:eastAsiaTheme="minorEastAsia"/>
                <w:color w:val="000000" w:themeColor="text1"/>
              </w:rPr>
              <w:t>)</w:t>
            </w:r>
          </w:p>
          <w:p w:rsidR="435BE885" w:rsidP="005969B0" w14:paraId="245D0480" w14:textId="3DA8A049">
            <w:pPr>
              <w:spacing w:after="120" w:line="240" w:lineRule="auto"/>
              <w:ind w:left="720" w:hanging="720"/>
              <w:rPr>
                <w:rFonts w:ascii="Calibri" w:hAnsi="Calibri" w:cs="Calibri"/>
              </w:rPr>
            </w:pPr>
            <w:r w:rsidRPr="588E3AA7">
              <w:rPr>
                <w:b/>
                <w:bCs/>
              </w:rPr>
              <w:t>PURPOSE:</w:t>
            </w:r>
            <w:r>
              <w:t xml:space="preserve"> To </w:t>
            </w:r>
            <w:r w:rsidR="62E2E9F1">
              <w:t>ensure subjects are feeling well enough to drive by screening out those with a propensity for simulator sickness</w:t>
            </w:r>
            <w:r>
              <w:t xml:space="preserve">. </w:t>
            </w:r>
            <w:r w:rsidRPr="588E3AA7" w:rsidR="5F7E08A9">
              <w:rPr>
                <w:rFonts w:eastAsiaTheme="minorEastAsia"/>
                <w:color w:val="000000" w:themeColor="text1"/>
              </w:rPr>
              <w:t>This questionnaire will be administered pre-drive (to obtain baseline ratings), after the familiarization drive, and after the study drive.</w:t>
            </w:r>
            <w:r w:rsidRPr="588E3AA7" w:rsidR="48AE70D3">
              <w:rPr>
                <w:rFonts w:eastAsiaTheme="minorEastAsia"/>
                <w:color w:val="000000" w:themeColor="text1"/>
              </w:rPr>
              <w:t xml:space="preserve"> This questionnaire will remain the same across all three studies.</w:t>
            </w:r>
          </w:p>
          <w:p w:rsidR="435BE885" w:rsidP="005969B0" w14:paraId="341C50D4" w14:textId="1DA85B5B">
            <w:pPr>
              <w:spacing w:after="120" w:line="240" w:lineRule="auto"/>
              <w:ind w:left="720" w:hanging="720"/>
              <w:rPr>
                <w:rFonts w:ascii="Calibri" w:hAnsi="Calibri" w:cs="Calibri"/>
              </w:rPr>
            </w:pPr>
            <w:r w:rsidRPr="588E3AA7">
              <w:rPr>
                <w:b/>
                <w:bCs/>
              </w:rPr>
              <w:t>HOW</w:t>
            </w:r>
            <w:r w:rsidRPr="588E3AA7" w:rsidR="398534F6">
              <w:rPr>
                <w:b/>
                <w:bCs/>
              </w:rPr>
              <w:t xml:space="preserve">: </w:t>
            </w:r>
            <w:r w:rsidR="398534F6">
              <w:t>The</w:t>
            </w:r>
            <w:r w:rsidRPr="588E3AA7">
              <w:rPr>
                <w:rFonts w:ascii="Calibri" w:hAnsi="Calibri" w:cs="Calibri"/>
              </w:rPr>
              <w:t xml:space="preserve"> </w:t>
            </w:r>
            <w:r w:rsidRPr="588E3AA7" w:rsidR="43741691">
              <w:rPr>
                <w:rFonts w:ascii="Calibri" w:hAnsi="Calibri" w:cs="Calibri"/>
              </w:rPr>
              <w:t>w</w:t>
            </w:r>
            <w:r w:rsidRPr="588E3AA7">
              <w:rPr>
                <w:rFonts w:ascii="Calibri" w:hAnsi="Calibri" w:cs="Calibri"/>
              </w:rPr>
              <w:t>e</w:t>
            </w:r>
            <w:r w:rsidRPr="588E3AA7" w:rsidR="43741691">
              <w:rPr>
                <w:rFonts w:ascii="Calibri" w:hAnsi="Calibri" w:cs="Calibri"/>
              </w:rPr>
              <w:t>llness</w:t>
            </w:r>
            <w:r w:rsidRPr="588E3AA7">
              <w:rPr>
                <w:rFonts w:ascii="Calibri" w:hAnsi="Calibri" w:cs="Calibri"/>
              </w:rPr>
              <w:t xml:space="preserve"> questionnaire </w:t>
            </w:r>
            <w:r w:rsidR="2B6BD86F">
              <w:t>will be administered via the REDCap platform using a tablet or desktop computer</w:t>
            </w:r>
            <w:r w:rsidRPr="588E3AA7" w:rsidR="2B6BD86F">
              <w:rPr>
                <w:rFonts w:ascii="Calibri" w:hAnsi="Calibri" w:cs="Calibri"/>
              </w:rPr>
              <w:t xml:space="preserve"> in a private room prior to entering the simulator and on a tablet in the simulator after the familiarization and study drives.</w:t>
            </w:r>
            <w:r w:rsidRPr="588E3AA7" w:rsidR="0DB1E9A2">
              <w:rPr>
                <w:rFonts w:ascii="Calibri" w:hAnsi="Calibri" w:cs="Calibri"/>
              </w:rPr>
              <w:t xml:space="preserve"> Pre-defined score thresholds must be met for participants to continue to the study drive after the familiarization drive.</w:t>
            </w:r>
          </w:p>
          <w:p w:rsidR="44DA34E2" w:rsidRPr="001F7F76" w:rsidP="001F7F76" w14:paraId="52593892" w14:textId="7824D5E1">
            <w:pPr>
              <w:spacing w:after="120" w:line="240" w:lineRule="auto"/>
              <w:rPr>
                <w:rFonts w:eastAsiaTheme="minorEastAsia"/>
                <w:color w:val="000000" w:themeColor="text1"/>
              </w:rPr>
            </w:pPr>
            <w:r w:rsidRPr="001F7F76">
              <w:rPr>
                <w:rFonts w:eastAsiaTheme="minorEastAsia"/>
                <w:b/>
                <w:bCs/>
                <w:color w:val="000000" w:themeColor="text1"/>
                <w:u w:val="single"/>
              </w:rPr>
              <w:t>Driving Behavior Assessment</w:t>
            </w:r>
            <w:r w:rsidRPr="001F7F76">
              <w:rPr>
                <w:rFonts w:eastAsiaTheme="minorEastAsia"/>
                <w:b/>
                <w:bCs/>
                <w:color w:val="000000" w:themeColor="text1"/>
              </w:rPr>
              <w:t xml:space="preserve"> </w:t>
            </w:r>
            <w:r w:rsidRPr="001F7F76">
              <w:rPr>
                <w:rFonts w:eastAsiaTheme="minorEastAsia"/>
                <w:color w:val="000000" w:themeColor="text1"/>
              </w:rPr>
              <w:t>(</w:t>
            </w:r>
            <w:r w:rsidRPr="001F7F76" w:rsidR="00490FD7">
              <w:rPr>
                <w:rFonts w:eastAsiaTheme="minorEastAsia"/>
                <w:color w:val="000000" w:themeColor="text1"/>
              </w:rPr>
              <w:t xml:space="preserve">Pre-Drive PowerPoint Training, Familiarization Drive, </w:t>
            </w:r>
            <w:r w:rsidRPr="001F7F76">
              <w:rPr>
                <w:rFonts w:eastAsiaTheme="minorEastAsia"/>
                <w:color w:val="000000" w:themeColor="text1"/>
              </w:rPr>
              <w:t>Study Drive</w:t>
            </w:r>
            <w:r w:rsidRPr="001F7F76" w:rsidR="00862424">
              <w:rPr>
                <w:rFonts w:eastAsiaTheme="minorEastAsia"/>
                <w:color w:val="000000" w:themeColor="text1"/>
              </w:rPr>
              <w:t xml:space="preserve"> with In-Drive Questionnaire (NHTSA Form </w:t>
            </w:r>
            <w:r w:rsidRPr="001F7F76" w:rsidR="00BC3850">
              <w:rPr>
                <w:rFonts w:eastAsiaTheme="minorEastAsia"/>
                <w:color w:val="000000" w:themeColor="text1"/>
              </w:rPr>
              <w:t>1748</w:t>
            </w:r>
            <w:r w:rsidRPr="001F7F76" w:rsidR="00862424">
              <w:rPr>
                <w:rFonts w:eastAsiaTheme="minorEastAsia"/>
                <w:color w:val="000000" w:themeColor="text1"/>
              </w:rPr>
              <w:t>)</w:t>
            </w:r>
            <w:r w:rsidRPr="001F7F76">
              <w:rPr>
                <w:rFonts w:eastAsiaTheme="minorEastAsia"/>
                <w:color w:val="000000" w:themeColor="text1"/>
              </w:rPr>
              <w:t>)</w:t>
            </w:r>
          </w:p>
          <w:p w:rsidR="44DA34E2" w:rsidP="005969B0" w14:paraId="5EB347C3" w14:textId="6103C533">
            <w:pPr>
              <w:spacing w:after="120" w:line="240" w:lineRule="auto"/>
              <w:ind w:left="720" w:hanging="720"/>
            </w:pPr>
            <w:r w:rsidRPr="005969B0">
              <w:rPr>
                <w:b/>
                <w:bCs/>
              </w:rPr>
              <w:t>PURPOSE:</w:t>
            </w:r>
            <w:r>
              <w:t xml:space="preserve"> </w:t>
            </w:r>
            <w:r w:rsidR="00490FD7">
              <w:t xml:space="preserve">Before the study drive, participants will complete training via PowerPoint presentation to introduce them to the simulator, the familiarization and study drive procedures, the DAS, and the non-driving email task. </w:t>
            </w:r>
            <w:r w:rsidR="00C512E3">
              <w:t xml:space="preserve">Participants are also reminded that the system being tested is our interpretation of a system that may or may not be available on roadways currently. </w:t>
            </w:r>
            <w:r w:rsidR="00490FD7">
              <w:t xml:space="preserve">The familiarization drive is used to acclimate the participant to the driving simulator and screen for simulator sickness while training the participant on how to use the driving automation system. </w:t>
            </w:r>
            <w:r w:rsidR="00C512E3">
              <w:t>The study drive is used</w:t>
            </w:r>
            <w:r w:rsidR="00C512E3">
              <w:rPr>
                <w:rFonts w:eastAsiaTheme="minorEastAsia"/>
                <w:color w:val="000000" w:themeColor="text1"/>
              </w:rPr>
              <w:t xml:space="preserve"> t</w:t>
            </w:r>
            <w:r w:rsidRPr="005969B0">
              <w:rPr>
                <w:rFonts w:eastAsiaTheme="minorEastAsia"/>
                <w:color w:val="000000" w:themeColor="text1"/>
              </w:rPr>
              <w:t>o gather driving performance information for the purpose of assessing how drivers interact with automated systems and the impact of these interactions on safety.</w:t>
            </w:r>
            <w:r>
              <w:t xml:space="preserve"> </w:t>
            </w:r>
            <w:r w:rsidR="00C512E3">
              <w:t>The in-drive questionnaire is used to</w:t>
            </w:r>
            <w:r w:rsidRPr="005969B0" w:rsidR="00C512E3">
              <w:rPr>
                <w:rFonts w:eastAsiaTheme="minorEastAsia"/>
                <w:color w:val="000000" w:themeColor="text1"/>
              </w:rPr>
              <w:t xml:space="preserve"> understand drivers’ trust in the DAS at various points during the study drive.</w:t>
            </w:r>
            <w:r w:rsidRPr="005969B0" w:rsidR="00C512E3">
              <w:rPr>
                <w:rFonts w:ascii="Calibri" w:hAnsi="Calibri" w:cs="Calibri"/>
              </w:rPr>
              <w:t xml:space="preserve"> </w:t>
            </w:r>
            <w:r w:rsidRPr="005969B0" w:rsidR="00C512E3">
              <w:rPr>
                <w:rFonts w:eastAsiaTheme="minorEastAsia"/>
                <w:color w:val="000000" w:themeColor="text1"/>
              </w:rPr>
              <w:t>These questions will remain the same across all three studies.</w:t>
            </w:r>
          </w:p>
          <w:p w:rsidR="44DA34E2" w:rsidRPr="005969B0" w:rsidP="005969B0" w14:paraId="1FD96D81" w14:textId="42084E96">
            <w:pPr>
              <w:spacing w:after="120" w:line="240" w:lineRule="auto"/>
              <w:ind w:left="720" w:hanging="720"/>
              <w:rPr>
                <w:rFonts w:ascii="Calibri" w:hAnsi="Calibri" w:cs="Calibri"/>
              </w:rPr>
            </w:pPr>
            <w:r w:rsidRPr="005969B0">
              <w:rPr>
                <w:b/>
                <w:bCs/>
              </w:rPr>
              <w:t>HOW:</w:t>
            </w:r>
            <w:r>
              <w:t xml:space="preserve"> </w:t>
            </w:r>
            <w:r w:rsidR="00490FD7">
              <w:t>S</w:t>
            </w:r>
            <w:r w:rsidR="00490FD7">
              <w:rPr>
                <w:rFonts w:ascii="Calibri" w:hAnsi="Calibri" w:cs="Calibri"/>
              </w:rPr>
              <w:t xml:space="preserve">tudy participants will view the presentation on a desktop computer in a private room. A research team member will be available to answer questions and demonstrate use of the email task. </w:t>
            </w:r>
            <w:r w:rsidRPr="005969B0" w:rsidR="00490FD7">
              <w:rPr>
                <w:rFonts w:ascii="Calibri" w:hAnsi="Calibri" w:cs="Calibri"/>
              </w:rPr>
              <w:t xml:space="preserve">Study participants will complete this </w:t>
            </w:r>
            <w:r w:rsidR="00490FD7">
              <w:rPr>
                <w:rFonts w:ascii="Calibri" w:hAnsi="Calibri" w:cs="Calibri"/>
              </w:rPr>
              <w:t xml:space="preserve">familiarization </w:t>
            </w:r>
            <w:r w:rsidRPr="005969B0" w:rsidR="00490FD7">
              <w:rPr>
                <w:rFonts w:ascii="Calibri" w:hAnsi="Calibri" w:cs="Calibri"/>
              </w:rPr>
              <w:t>drive in either the NADS-1 or NADS-2 simulator, as appropriate for study and assigned condition. The drive is largely the same for all participants, though the training on the driving automation system will differ by study and condition.</w:t>
            </w:r>
            <w:r w:rsidR="00490FD7">
              <w:rPr>
                <w:rFonts w:ascii="Calibri" w:hAnsi="Calibri" w:cs="Calibri"/>
              </w:rPr>
              <w:t xml:space="preserve"> </w:t>
            </w:r>
            <w:r w:rsidRPr="005969B0">
              <w:rPr>
                <w:rFonts w:ascii="Calibri" w:hAnsi="Calibri" w:cs="Calibri"/>
              </w:rPr>
              <w:t>Study participants will complete th</w:t>
            </w:r>
            <w:r w:rsidR="00C512E3">
              <w:rPr>
                <w:rFonts w:ascii="Calibri" w:hAnsi="Calibri" w:cs="Calibri"/>
              </w:rPr>
              <w:t>e</w:t>
            </w:r>
            <w:r w:rsidRPr="005969B0">
              <w:rPr>
                <w:rFonts w:ascii="Calibri" w:hAnsi="Calibri" w:cs="Calibri"/>
              </w:rPr>
              <w:t xml:space="preserve"> </w:t>
            </w:r>
            <w:r w:rsidRPr="005969B0" w:rsidR="4CF57043">
              <w:rPr>
                <w:rFonts w:ascii="Calibri" w:hAnsi="Calibri" w:cs="Calibri"/>
              </w:rPr>
              <w:t xml:space="preserve">35-minute </w:t>
            </w:r>
            <w:r w:rsidR="00C512E3">
              <w:rPr>
                <w:rFonts w:ascii="Calibri" w:hAnsi="Calibri" w:cs="Calibri"/>
              </w:rPr>
              <w:t xml:space="preserve">study </w:t>
            </w:r>
            <w:r w:rsidRPr="005969B0">
              <w:rPr>
                <w:rFonts w:ascii="Calibri" w:hAnsi="Calibri" w:cs="Calibri"/>
              </w:rPr>
              <w:t>drive in either the NADS-1 or NADS-2 simulator, as appropriate for study and assigned condition.</w:t>
            </w:r>
            <w:r w:rsidRPr="005969B0" w:rsidR="75DC1226">
              <w:rPr>
                <w:rFonts w:ascii="Calibri" w:hAnsi="Calibri" w:cs="Calibri"/>
              </w:rPr>
              <w:t xml:space="preserve"> The drive will differ based on study and assigned condition, though overall length and general experience will be the same across participants.</w:t>
            </w:r>
            <w:r w:rsidR="00C512E3">
              <w:rPr>
                <w:rFonts w:ascii="Calibri" w:hAnsi="Calibri" w:cs="Calibri"/>
              </w:rPr>
              <w:t xml:space="preserve"> </w:t>
            </w:r>
            <w:r w:rsidRPr="00C512E3" w:rsidR="00C512E3">
              <w:rPr>
                <w:rFonts w:ascii="Calibri" w:hAnsi="Calibri" w:cs="Calibri"/>
              </w:rPr>
              <w:t>T</w:t>
            </w:r>
            <w:r w:rsidR="00C512E3">
              <w:rPr>
                <w:rFonts w:ascii="Calibri" w:hAnsi="Calibri" w:cs="Calibri"/>
              </w:rPr>
              <w:t>he in-drive questionnaire</w:t>
            </w:r>
            <w:r w:rsidRPr="00C512E3" w:rsidR="00C512E3">
              <w:rPr>
                <w:rFonts w:ascii="Calibri" w:hAnsi="Calibri" w:cs="Calibri"/>
              </w:rPr>
              <w:t xml:space="preserve"> will either be </w:t>
            </w:r>
            <w:r w:rsidR="00C512E3">
              <w:rPr>
                <w:rFonts w:ascii="Calibri" w:hAnsi="Calibri" w:cs="Calibri"/>
              </w:rPr>
              <w:t>administered</w:t>
            </w:r>
            <w:r w:rsidRPr="00C512E3" w:rsidR="00C512E3">
              <w:rPr>
                <w:rFonts w:ascii="Calibri" w:hAnsi="Calibri" w:cs="Calibri"/>
              </w:rPr>
              <w:t xml:space="preserve"> on a tablet via the REDCap platform or built into the simulator’s in-vehicle touch console.</w:t>
            </w:r>
            <w:r w:rsidR="00C512E3">
              <w:rPr>
                <w:rFonts w:ascii="Calibri" w:hAnsi="Calibri" w:cs="Calibri"/>
              </w:rPr>
              <w:t xml:space="preserve"> If this proves infeasible, the questionnaire will be administered verbally by a researcher.</w:t>
            </w:r>
            <w:r w:rsidRPr="00C512E3" w:rsidR="00C512E3">
              <w:rPr>
                <w:rFonts w:ascii="Calibri" w:hAnsi="Calibri" w:cs="Calibri"/>
              </w:rPr>
              <w:t xml:space="preserve"> In Study 1, this information is collected after the events where the pair of research participants interact with one another. In Studies 2 &amp; 3, this information is collected after the four events where the behavior of the automation varies across the different conditions. The information will be used to measure trust in the DAS following specific events. Participants’ responses to scale-based questions will be collated for analysis, with descriptive summaries and inferential statistics.</w:t>
            </w:r>
          </w:p>
          <w:p w:rsidR="2DF4B891" w:rsidRPr="001F7F76" w:rsidP="001F7F76" w14:paraId="2153D150" w14:textId="5B68FDFC">
            <w:pPr>
              <w:spacing w:after="120" w:line="240" w:lineRule="auto"/>
              <w:rPr>
                <w:rFonts w:eastAsiaTheme="minorEastAsia"/>
                <w:color w:val="000000" w:themeColor="text1"/>
              </w:rPr>
            </w:pPr>
            <w:r w:rsidRPr="001F7F76">
              <w:rPr>
                <w:rFonts w:eastAsiaTheme="minorEastAsia"/>
                <w:b/>
                <w:bCs/>
                <w:color w:val="000000" w:themeColor="text1"/>
                <w:u w:val="single"/>
              </w:rPr>
              <w:t xml:space="preserve">Post-Drive Questionnaire (NHTSA Form </w:t>
            </w:r>
            <w:r w:rsidRPr="001F7F76" w:rsidR="00BC3850">
              <w:rPr>
                <w:rFonts w:eastAsiaTheme="minorEastAsia"/>
                <w:b/>
                <w:bCs/>
                <w:color w:val="000000" w:themeColor="text1"/>
                <w:u w:val="single"/>
              </w:rPr>
              <w:t>1749</w:t>
            </w:r>
            <w:r w:rsidRPr="001F7F76">
              <w:rPr>
                <w:rFonts w:eastAsiaTheme="minorEastAsia"/>
                <w:b/>
                <w:bCs/>
                <w:color w:val="000000" w:themeColor="text1"/>
                <w:u w:val="single"/>
              </w:rPr>
              <w:t>)</w:t>
            </w:r>
          </w:p>
          <w:p w:rsidR="008D3FD6" w:rsidRPr="005969B0" w:rsidP="005969B0" w14:paraId="20335EE8" w14:textId="5F9E0310">
            <w:pPr>
              <w:autoSpaceDE w:val="0"/>
              <w:autoSpaceDN w:val="0"/>
              <w:adjustRightInd w:val="0"/>
              <w:spacing w:after="120" w:line="240" w:lineRule="auto"/>
              <w:ind w:left="720" w:hanging="720"/>
              <w:rPr>
                <w:color w:val="000000" w:themeColor="text1"/>
              </w:rPr>
            </w:pPr>
            <w:r w:rsidRPr="005969B0">
              <w:rPr>
                <w:rFonts w:ascii="Calibri" w:hAnsi="Calibri" w:cs="Calibri"/>
                <w:b/>
                <w:bCs/>
              </w:rPr>
              <w:t>PURPOSE:</w:t>
            </w:r>
            <w:r w:rsidRPr="005969B0">
              <w:rPr>
                <w:rFonts w:ascii="Calibri" w:hAnsi="Calibri" w:cs="Calibri"/>
              </w:rPr>
              <w:t xml:space="preserve"> </w:t>
            </w:r>
            <w:r w:rsidRPr="005969B0" w:rsidR="6EF42F30">
              <w:rPr>
                <w:rFonts w:eastAsiaTheme="minorEastAsia"/>
                <w:color w:val="000000" w:themeColor="text1"/>
              </w:rPr>
              <w:t xml:space="preserve">To measure participants’ understanding (i.e., mental model) of DAS and their post-drive trust in the DAS. Collecting these data before and after the drives will let us measure how </w:t>
            </w:r>
            <w:r w:rsidRPr="005969B0" w:rsidR="6EF42F30">
              <w:rPr>
                <w:rFonts w:eastAsiaTheme="minorEastAsia"/>
                <w:color w:val="000000" w:themeColor="text1"/>
              </w:rPr>
              <w:t>exposure to the DAS impacts understanding and trust. General risk-taking behavior while driving will also be collected. This post-drive questionnaire will remain the same across all three studies.</w:t>
            </w:r>
            <w:r w:rsidR="00C512E3">
              <w:rPr>
                <w:rFonts w:eastAsiaTheme="minorEastAsia"/>
                <w:color w:val="000000" w:themeColor="text1"/>
              </w:rPr>
              <w:t xml:space="preserve"> After completion of this questionnaire, participants are debriefed about their specific system and capabilities and reminded this may not be reflective of currently available systems.</w:t>
            </w:r>
          </w:p>
          <w:p w:rsidR="008D3FD6" w:rsidRPr="005969B0" w:rsidP="005969B0" w14:paraId="6DCCB2F6" w14:textId="3FD71E5C">
            <w:pPr>
              <w:autoSpaceDE w:val="0"/>
              <w:autoSpaceDN w:val="0"/>
              <w:adjustRightInd w:val="0"/>
              <w:spacing w:after="120" w:line="240" w:lineRule="auto"/>
              <w:ind w:left="720" w:hanging="720"/>
              <w:rPr>
                <w:rFonts w:ascii="Calibri" w:hAnsi="Calibri" w:cs="Calibri"/>
              </w:rPr>
            </w:pPr>
            <w:r w:rsidRPr="005969B0">
              <w:rPr>
                <w:rFonts w:ascii="Calibri" w:hAnsi="Calibri" w:cs="Calibri"/>
                <w:b/>
                <w:bCs/>
              </w:rPr>
              <w:t>HOW:</w:t>
            </w:r>
            <w:r w:rsidRPr="005969B0">
              <w:rPr>
                <w:rFonts w:ascii="Calibri" w:hAnsi="Calibri" w:cs="Calibri"/>
              </w:rPr>
              <w:t xml:space="preserve"> The post-drive questionnaire will be </w:t>
            </w:r>
            <w:r w:rsidRPr="005969B0" w:rsidR="748290E0">
              <w:rPr>
                <w:rFonts w:ascii="Calibri" w:hAnsi="Calibri" w:cs="Calibri"/>
              </w:rPr>
              <w:t>administered</w:t>
            </w:r>
            <w:r w:rsidRPr="005969B0">
              <w:rPr>
                <w:rFonts w:ascii="Calibri" w:hAnsi="Calibri" w:cs="Calibri"/>
              </w:rPr>
              <w:t xml:space="preserve"> </w:t>
            </w:r>
            <w:r w:rsidR="71DFFCBE">
              <w:t>via the REDCap platform using a tablet or desktop computer</w:t>
            </w:r>
            <w:r w:rsidRPr="005969B0" w:rsidR="71DFFCBE">
              <w:rPr>
                <w:rFonts w:ascii="Calibri" w:hAnsi="Calibri" w:cs="Calibri"/>
              </w:rPr>
              <w:t xml:space="preserve"> in a private room after exiting the simulator. </w:t>
            </w:r>
            <w:r w:rsidRPr="005969B0">
              <w:rPr>
                <w:rFonts w:ascii="Calibri" w:hAnsi="Calibri" w:cs="Calibri"/>
              </w:rPr>
              <w:t xml:space="preserve">Participants’ responses to scale-based questions will be combined for analysis. Responses to open-ended questions will be qualitatively summarized and described in the technical report without reference to individual participants. </w:t>
            </w:r>
            <w:r w:rsidR="00C512E3">
              <w:rPr>
                <w:rFonts w:ascii="Calibri" w:hAnsi="Calibri" w:cs="Calibri"/>
              </w:rPr>
              <w:t>The debrief component is a verbal conversation between the participant and a research team member.</w:t>
            </w:r>
            <w:r w:rsidRPr="005969B0">
              <w:rPr>
                <w:rFonts w:ascii="Calibri" w:hAnsi="Calibri" w:cs="Calibri"/>
              </w:rPr>
              <w:t xml:space="preserve"> </w:t>
            </w:r>
          </w:p>
          <w:p w:rsidR="008D3FD6" w:rsidRPr="006D1925" w:rsidP="005969B0" w14:paraId="33634B0B" w14:textId="4F6D7548">
            <w:pPr>
              <w:pStyle w:val="ListParagraph"/>
              <w:autoSpaceDE w:val="0"/>
              <w:autoSpaceDN w:val="0"/>
              <w:adjustRightInd w:val="0"/>
              <w:spacing w:after="120" w:line="240" w:lineRule="auto"/>
              <w:ind w:left="0"/>
              <w:contextualSpacing w:val="0"/>
            </w:pPr>
          </w:p>
        </w:tc>
      </w:tr>
      <w:tr w14:paraId="5D186ED7" w14:textId="77777777" w:rsidTr="02858895">
        <w:tblPrEx>
          <w:tblW w:w="9450" w:type="dxa"/>
          <w:tblLook w:val="04A0"/>
        </w:tblPrEx>
        <w:tc>
          <w:tcPr>
            <w:tcW w:w="9450" w:type="dxa"/>
            <w:shd w:val="clear" w:color="auto" w:fill="F2F2F2" w:themeFill="background1" w:themeFillShade="F2"/>
          </w:tcPr>
          <w:p w:rsidR="001024BB" w:rsidRPr="00266566" w:rsidP="005969B0" w14:paraId="33A85D84" w14:textId="327D1555">
            <w:pPr>
              <w:spacing w:after="120" w:line="240" w:lineRule="auto"/>
              <w:rPr>
                <w:i/>
                <w:iCs/>
                <w:sz w:val="20"/>
                <w:szCs w:val="20"/>
              </w:rPr>
            </w:pPr>
            <w:r w:rsidRPr="588E3AA7">
              <w:rPr>
                <w:b/>
                <w:bCs/>
              </w:rPr>
              <w:t xml:space="preserve">3. </w:t>
            </w:r>
            <w:r w:rsidRPr="588E3AA7">
              <w:rPr>
                <w:b/>
                <w:bCs/>
                <w:u w:val="single"/>
              </w:rPr>
              <w:t xml:space="preserve">Extent </w:t>
            </w:r>
            <w:r w:rsidRPr="588E3AA7" w:rsidR="4B2C21F6">
              <w:rPr>
                <w:b/>
                <w:bCs/>
                <w:u w:val="single"/>
              </w:rPr>
              <w:t>o</w:t>
            </w:r>
            <w:r w:rsidRPr="588E3AA7">
              <w:rPr>
                <w:b/>
                <w:bCs/>
                <w:u w:val="single"/>
              </w:rPr>
              <w:t>f Automated Information Collection</w:t>
            </w:r>
            <w:r w:rsidRPr="588E3AA7">
              <w:rPr>
                <w:b/>
                <w:bCs/>
              </w:rPr>
              <w:t>.</w:t>
            </w:r>
            <w:r>
              <w:t xml:space="preserve"> </w:t>
            </w:r>
            <w:r w:rsidR="1359E725">
              <w:t xml:space="preserve"> </w:t>
            </w:r>
            <w:r w:rsidRPr="588E3AA7">
              <w:rPr>
                <w:i/>
                <w:iCs/>
                <w:sz w:val="20"/>
                <w:szCs w:val="20"/>
              </w:rPr>
              <w:t xml:space="preserve">Describe whether, and to what extent, the collection of information involves the use of automated, electronic, mechanical, or other technological collection techniques or other forms of information technology, </w:t>
            </w:r>
            <w:r w:rsidRPr="588E3AA7">
              <w:rPr>
                <w:i/>
                <w:iCs/>
                <w:sz w:val="20"/>
                <w:szCs w:val="20"/>
              </w:rPr>
              <w:t>e.g.</w:t>
            </w:r>
            <w:r w:rsidRPr="588E3AA7">
              <w:rPr>
                <w:i/>
                <w:iCs/>
                <w:sz w:val="20"/>
                <w:szCs w:val="20"/>
              </w:rPr>
              <w:t xml:space="preserve"> permitting electronic submission of responses, and the basis for the decision for adopting this means of collection. Also</w:t>
            </w:r>
            <w:r w:rsidRPr="588E3AA7" w:rsidR="5C2BC8CC">
              <w:rPr>
                <w:i/>
                <w:iCs/>
                <w:sz w:val="20"/>
                <w:szCs w:val="20"/>
              </w:rPr>
              <w:t>,</w:t>
            </w:r>
            <w:r w:rsidRPr="588E3AA7">
              <w:rPr>
                <w:i/>
                <w:iCs/>
                <w:sz w:val="20"/>
                <w:szCs w:val="20"/>
              </w:rPr>
              <w:t xml:space="preserve"> describe any consideration of using information technology to reduce burden.</w:t>
            </w:r>
          </w:p>
        </w:tc>
      </w:tr>
      <w:tr w14:paraId="38B36C5B" w14:textId="77777777" w:rsidTr="02858895">
        <w:tblPrEx>
          <w:tblW w:w="9450" w:type="dxa"/>
          <w:tblLook w:val="04A0"/>
        </w:tblPrEx>
        <w:tc>
          <w:tcPr>
            <w:tcW w:w="9450" w:type="dxa"/>
          </w:tcPr>
          <w:p w:rsidR="00B751AC" w:rsidRPr="005969B0" w:rsidP="005969B0" w14:paraId="2631B2CD" w14:textId="58D38613">
            <w:pPr>
              <w:autoSpaceDE w:val="0"/>
              <w:autoSpaceDN w:val="0"/>
              <w:adjustRightInd w:val="0"/>
              <w:spacing w:after="120" w:line="240" w:lineRule="auto"/>
              <w:rPr>
                <w:rFonts w:ascii="Calibri" w:hAnsi="Calibri" w:cs="Calibri"/>
              </w:rPr>
            </w:pPr>
            <w:r w:rsidRPr="005969B0">
              <w:rPr>
                <w:rFonts w:ascii="Calibri" w:eastAsia="Times New Roman" w:hAnsi="Calibri" w:cs="Calibri"/>
              </w:rPr>
              <w:t xml:space="preserve">The </w:t>
            </w:r>
            <w:r w:rsidR="005969B0">
              <w:rPr>
                <w:rFonts w:ascii="Calibri" w:eastAsia="Times New Roman" w:hAnsi="Calibri" w:cs="Calibri"/>
              </w:rPr>
              <w:t>DSRI</w:t>
            </w:r>
            <w:r w:rsidRPr="005969B0">
              <w:rPr>
                <w:rFonts w:ascii="Calibri" w:eastAsia="Times New Roman" w:hAnsi="Calibri" w:cs="Calibri"/>
              </w:rPr>
              <w:t xml:space="preserve"> subject registry, an electronic database of </w:t>
            </w:r>
            <w:r w:rsidR="00222896">
              <w:rPr>
                <w:rFonts w:ascii="Calibri" w:eastAsia="Times New Roman" w:hAnsi="Calibri" w:cs="Calibri"/>
              </w:rPr>
              <w:t>approximately 7</w:t>
            </w:r>
            <w:r w:rsidR="00631709">
              <w:rPr>
                <w:rFonts w:ascii="Calibri" w:eastAsia="Times New Roman" w:hAnsi="Calibri" w:cs="Calibri"/>
              </w:rPr>
              <w:t>,</w:t>
            </w:r>
            <w:r w:rsidR="009652A0">
              <w:rPr>
                <w:rFonts w:ascii="Calibri" w:eastAsia="Times New Roman" w:hAnsi="Calibri" w:cs="Calibri"/>
              </w:rPr>
              <w:t>0</w:t>
            </w:r>
            <w:r w:rsidR="00222896">
              <w:rPr>
                <w:rFonts w:ascii="Calibri" w:eastAsia="Times New Roman" w:hAnsi="Calibri" w:cs="Calibri"/>
              </w:rPr>
              <w:t xml:space="preserve">00 </w:t>
            </w:r>
            <w:r w:rsidRPr="005969B0">
              <w:rPr>
                <w:rFonts w:ascii="Calibri" w:eastAsia="Times New Roman" w:hAnsi="Calibri" w:cs="Calibri"/>
              </w:rPr>
              <w:t xml:space="preserve">individuals who have participated in previous studies or expressed interest in participating, will be used to recruit participants. Participants will be recruited by email but can also call a research team member if preferred. </w:t>
            </w:r>
          </w:p>
          <w:p w:rsidR="005969B0" w:rsidRPr="005969B0" w:rsidP="005969B0" w14:paraId="5D9ACECA" w14:textId="0B20CF9A">
            <w:pPr>
              <w:autoSpaceDE w:val="0"/>
              <w:autoSpaceDN w:val="0"/>
              <w:adjustRightInd w:val="0"/>
              <w:spacing w:after="120" w:line="240" w:lineRule="auto"/>
              <w:rPr>
                <w:rFonts w:ascii="Calibri" w:eastAsia="Times New Roman" w:hAnsi="Calibri" w:cs="Calibri"/>
              </w:rPr>
            </w:pPr>
            <w:r w:rsidRPr="005969B0">
              <w:rPr>
                <w:rFonts w:ascii="Calibri" w:eastAsia="Times New Roman" w:hAnsi="Calibri" w:cs="Calibri"/>
              </w:rPr>
              <w:t>Questionnaire data will be collected electronically via REDCap (</w:t>
            </w:r>
            <w:hyperlink r:id="rId6">
              <w:r w:rsidRPr="005969B0">
                <w:rPr>
                  <w:rStyle w:val="Hyperlink"/>
                  <w:rFonts w:ascii="Calibri" w:eastAsia="Times New Roman" w:hAnsi="Calibri" w:cs="Calibri"/>
                </w:rPr>
                <w:t>https://redcap.icts.uiowa.edu/redcap/</w:t>
              </w:r>
            </w:hyperlink>
            <w:r w:rsidRPr="005969B0">
              <w:rPr>
                <w:rFonts w:ascii="Calibri" w:eastAsia="Times New Roman" w:hAnsi="Calibri" w:cs="Calibri"/>
              </w:rPr>
              <w:t xml:space="preserve">). The eligibility questionnaire is </w:t>
            </w:r>
            <w:r w:rsidR="002D7C69">
              <w:rPr>
                <w:rFonts w:ascii="Calibri" w:eastAsia="Times New Roman" w:hAnsi="Calibri" w:cs="Calibri"/>
              </w:rPr>
              <w:t>completed</w:t>
            </w:r>
            <w:r w:rsidRPr="005969B0">
              <w:rPr>
                <w:rFonts w:ascii="Calibri" w:eastAsia="Times New Roman" w:hAnsi="Calibri" w:cs="Calibri"/>
              </w:rPr>
              <w:t xml:space="preserve"> online via REDCap link emailed to potential participants and can be </w:t>
            </w:r>
            <w:r w:rsidR="002D7C69">
              <w:rPr>
                <w:rFonts w:ascii="Calibri" w:eastAsia="Times New Roman" w:hAnsi="Calibri" w:cs="Calibri"/>
              </w:rPr>
              <w:t>completed</w:t>
            </w:r>
            <w:r w:rsidRPr="005969B0">
              <w:rPr>
                <w:rFonts w:ascii="Calibri" w:eastAsia="Times New Roman" w:hAnsi="Calibri" w:cs="Calibri"/>
              </w:rPr>
              <w:t xml:space="preserve"> at the respondent’s convenience; the respondent can leave and come back to the questionnaire if desired should something interrupt them. Additionally, branching and display logic used in the questionnaire reduce the need for respondents to skip questions on their own if they don’t apply. Online </w:t>
            </w:r>
            <w:r w:rsidRPr="005969B0" w:rsidR="4FE0ACDA">
              <w:rPr>
                <w:rFonts w:ascii="Calibri" w:eastAsia="Times New Roman" w:hAnsi="Calibri" w:cs="Calibri"/>
              </w:rPr>
              <w:t>eligibility screening</w:t>
            </w:r>
            <w:r w:rsidRPr="005969B0">
              <w:rPr>
                <w:rFonts w:ascii="Calibri" w:eastAsia="Times New Roman" w:hAnsi="Calibri" w:cs="Calibri"/>
              </w:rPr>
              <w:t xml:space="preserve"> was adopted to allow for flexibility for respondents and has been very well received in previous studies conducted at DSRI.</w:t>
            </w:r>
            <w:r w:rsidR="00B3531C">
              <w:rPr>
                <w:rFonts w:ascii="Calibri" w:eastAsia="Times New Roman" w:hAnsi="Calibri" w:cs="Calibri"/>
              </w:rPr>
              <w:t xml:space="preserve"> The BART will be done electronically on a computer.</w:t>
            </w:r>
          </w:p>
          <w:p w:rsidR="00B751AC" w:rsidRPr="005348F1" w:rsidP="005969B0" w14:paraId="5287A435" w14:textId="42E61115">
            <w:pPr>
              <w:autoSpaceDE w:val="0"/>
              <w:autoSpaceDN w:val="0"/>
              <w:adjustRightInd w:val="0"/>
              <w:spacing w:after="120" w:line="240" w:lineRule="auto"/>
              <w:rPr>
                <w:rFonts w:ascii="Calibri" w:eastAsia="Calibri" w:hAnsi="Calibri" w:cs="Calibri"/>
              </w:rPr>
            </w:pPr>
            <w:r w:rsidRPr="005969B0">
              <w:rPr>
                <w:rFonts w:ascii="Calibri" w:eastAsia="Times New Roman" w:hAnsi="Calibri" w:cs="Calibri"/>
              </w:rPr>
              <w:t>Video and engineering data from the simulator are recorded and backed up automatically. Computer programs (</w:t>
            </w:r>
            <w:r w:rsidRPr="005969B0">
              <w:rPr>
                <w:rFonts w:ascii="Calibri" w:eastAsia="Times New Roman" w:hAnsi="Calibri" w:cs="Calibri"/>
              </w:rPr>
              <w:t>MatLab</w:t>
            </w:r>
            <w:r w:rsidRPr="005969B0">
              <w:rPr>
                <w:rFonts w:ascii="Calibri" w:eastAsia="Times New Roman" w:hAnsi="Calibri" w:cs="Calibri"/>
              </w:rPr>
              <w:t xml:space="preserve"> and R) will be used to reduce simulator</w:t>
            </w:r>
            <w:r w:rsidRPr="005969B0" w:rsidR="005969B0">
              <w:rPr>
                <w:rFonts w:ascii="Calibri" w:eastAsia="Times New Roman" w:hAnsi="Calibri" w:cs="Calibri"/>
              </w:rPr>
              <w:t xml:space="preserve"> </w:t>
            </w:r>
            <w:r w:rsidRPr="005969B0">
              <w:rPr>
                <w:rFonts w:ascii="Calibri" w:eastAsia="Times New Roman" w:hAnsi="Calibri" w:cs="Calibri"/>
              </w:rPr>
              <w:t>data to summary measures (e.g., means, standard deviations) and to perform statistical analyses and generate results figures.</w:t>
            </w:r>
          </w:p>
        </w:tc>
      </w:tr>
      <w:tr w14:paraId="7176255D" w14:textId="77777777" w:rsidTr="02858895">
        <w:tblPrEx>
          <w:tblW w:w="9450" w:type="dxa"/>
          <w:tblLook w:val="04A0"/>
        </w:tblPrEx>
        <w:trPr>
          <w:trHeight w:val="998"/>
        </w:trPr>
        <w:tc>
          <w:tcPr>
            <w:tcW w:w="9450" w:type="dxa"/>
            <w:shd w:val="clear" w:color="auto" w:fill="F2F2F2" w:themeFill="background1" w:themeFillShade="F2"/>
          </w:tcPr>
          <w:p w:rsidR="001024BB" w:rsidRPr="00266566" w:rsidP="005969B0" w14:paraId="5650B680" w14:textId="36DEEA70">
            <w:pPr>
              <w:spacing w:after="120" w:line="240" w:lineRule="auto"/>
              <w:rPr>
                <w:i/>
                <w:iCs/>
                <w:sz w:val="20"/>
                <w:szCs w:val="20"/>
              </w:rPr>
            </w:pPr>
            <w:r w:rsidRPr="28A52E59">
              <w:rPr>
                <w:b/>
                <w:bCs/>
              </w:rPr>
              <w:t xml:space="preserve">4. </w:t>
            </w:r>
            <w:r w:rsidRPr="28A52E59">
              <w:rPr>
                <w:b/>
                <w:bCs/>
                <w:u w:val="single"/>
              </w:rPr>
              <w:t xml:space="preserve">Describe Efforts </w:t>
            </w:r>
            <w:r w:rsidRPr="28A52E59" w:rsidR="70F8F7FA">
              <w:rPr>
                <w:b/>
                <w:bCs/>
                <w:u w:val="single"/>
              </w:rPr>
              <w:t>t</w:t>
            </w:r>
            <w:r w:rsidRPr="28A52E59">
              <w:rPr>
                <w:b/>
                <w:bCs/>
                <w:u w:val="single"/>
              </w:rPr>
              <w:t>o Identify Duplication</w:t>
            </w:r>
            <w:r w:rsidRPr="28A52E59">
              <w:rPr>
                <w:b/>
                <w:bCs/>
              </w:rPr>
              <w:t>.</w:t>
            </w:r>
            <w:r>
              <w:t xml:space="preserve"> </w:t>
            </w:r>
            <w:r w:rsidR="05B815B7">
              <w:t xml:space="preserve"> </w:t>
            </w:r>
            <w:r w:rsidRPr="28A52E59">
              <w:rPr>
                <w:i/>
                <w:iCs/>
                <w:sz w:val="20"/>
                <w:szCs w:val="20"/>
              </w:rPr>
              <w:t>Describe efforts to identify duplication. Show specifically why any similar information already available cannot be used or modified for use for the purposes described in item 2 above.</w:t>
            </w:r>
          </w:p>
        </w:tc>
      </w:tr>
      <w:tr w14:paraId="5E47C088" w14:textId="77777777" w:rsidTr="02858895">
        <w:tblPrEx>
          <w:tblW w:w="9450" w:type="dxa"/>
          <w:tblLook w:val="04A0"/>
        </w:tblPrEx>
        <w:tc>
          <w:tcPr>
            <w:tcW w:w="9450" w:type="dxa"/>
          </w:tcPr>
          <w:p w:rsidR="004434BD" w:rsidP="005969B0" w14:paraId="28C402B4" w14:textId="7F39688E">
            <w:pPr>
              <w:autoSpaceDE w:val="0"/>
              <w:autoSpaceDN w:val="0"/>
              <w:adjustRightInd w:val="0"/>
              <w:spacing w:after="120" w:line="240" w:lineRule="auto"/>
              <w:rPr>
                <w:rFonts w:ascii="Calibri" w:hAnsi="Calibri" w:cs="Calibri"/>
              </w:rPr>
            </w:pPr>
            <w:r w:rsidRPr="02858895">
              <w:rPr>
                <w:rFonts w:ascii="Calibri" w:hAnsi="Calibri" w:cs="Calibri"/>
              </w:rPr>
              <w:t xml:space="preserve">NHTSA has not conducted or sponsored a similar study of drivers’ </w:t>
            </w:r>
            <w:r w:rsidRPr="02858895" w:rsidR="507F416F">
              <w:rPr>
                <w:rFonts w:ascii="Calibri" w:hAnsi="Calibri" w:cs="Calibri"/>
              </w:rPr>
              <w:t>interactions with driving automation systems in mixed traffic environments</w:t>
            </w:r>
            <w:r w:rsidR="2311ABF1">
              <w:t xml:space="preserve">. </w:t>
            </w:r>
            <w:r w:rsidR="266AA065">
              <w:t xml:space="preserve">We are not aware of any </w:t>
            </w:r>
            <w:r w:rsidR="48C9B084">
              <w:t xml:space="preserve">research of this nature </w:t>
            </w:r>
            <w:r w:rsidR="266AA065">
              <w:t xml:space="preserve">having been conducted </w:t>
            </w:r>
            <w:r w:rsidR="48C9B084">
              <w:t xml:space="preserve">with respect to connected simulation and mixed traffic environments. </w:t>
            </w:r>
            <w:r w:rsidRPr="02858895" w:rsidR="2311ABF1">
              <w:rPr>
                <w:rFonts w:ascii="Calibri" w:hAnsi="Calibri" w:cs="Calibri"/>
              </w:rPr>
              <w:t xml:space="preserve">This research will </w:t>
            </w:r>
            <w:r w:rsidRPr="02858895" w:rsidR="4BAB4EAE">
              <w:rPr>
                <w:rFonts w:ascii="Calibri" w:hAnsi="Calibri" w:cs="Calibri"/>
              </w:rPr>
              <w:t>add to the state of knowledge and is not immediately intended to inform regulations or policy</w:t>
            </w:r>
            <w:r w:rsidR="2311ABF1">
              <w:t xml:space="preserve">. </w:t>
            </w:r>
          </w:p>
          <w:p w:rsidR="0062549D" w:rsidP="005969B0" w14:paraId="5C844AF5" w14:textId="18DC9D3A">
            <w:pPr>
              <w:autoSpaceDE w:val="0"/>
              <w:autoSpaceDN w:val="0"/>
              <w:adjustRightInd w:val="0"/>
              <w:spacing w:after="120" w:line="240" w:lineRule="auto"/>
              <w:rPr>
                <w:rFonts w:ascii="Calibri" w:hAnsi="Calibri" w:cs="Calibri"/>
              </w:rPr>
            </w:pPr>
          </w:p>
          <w:p w:rsidR="0034280C" w:rsidRPr="00E35B3B" w:rsidP="005969B0" w14:paraId="5A3C81AD" w14:textId="43FAD7FE">
            <w:pPr>
              <w:autoSpaceDE w:val="0"/>
              <w:autoSpaceDN w:val="0"/>
              <w:adjustRightInd w:val="0"/>
              <w:spacing w:after="120" w:line="240" w:lineRule="auto"/>
            </w:pPr>
            <w:r>
              <w:rPr>
                <w:rFonts w:ascii="Calibri" w:hAnsi="Calibri" w:cs="Calibri"/>
              </w:rPr>
              <w:t>The experiment</w:t>
            </w:r>
            <w:r w:rsidR="00084573">
              <w:rPr>
                <w:rFonts w:ascii="Calibri" w:hAnsi="Calibri" w:cs="Calibri"/>
              </w:rPr>
              <w:t>s</w:t>
            </w:r>
            <w:r>
              <w:rPr>
                <w:rFonts w:ascii="Calibri" w:hAnsi="Calibri" w:cs="Calibri"/>
              </w:rPr>
              <w:t xml:space="preserve"> will provide information that does not currently exist regarding </w:t>
            </w:r>
            <w:r w:rsidR="00084573">
              <w:rPr>
                <w:rFonts w:ascii="Calibri" w:hAnsi="Calibri" w:cs="Calibri"/>
              </w:rPr>
              <w:t xml:space="preserve">how drivers interact with driving automation systems in mixed traffic environments. Data collection using a connected simulator environment, where two research participants interact in the same virtual space, </w:t>
            </w:r>
            <w:r w:rsidR="00FC6A6C">
              <w:rPr>
                <w:rFonts w:ascii="Calibri" w:hAnsi="Calibri" w:cs="Calibri"/>
              </w:rPr>
              <w:t xml:space="preserve">is </w:t>
            </w:r>
            <w:r w:rsidR="00FC6A6C">
              <w:rPr>
                <w:rFonts w:ascii="Calibri" w:hAnsi="Calibri" w:cs="Calibri"/>
              </w:rPr>
              <w:t xml:space="preserve">necessary to study these interactions in a safe and controlled manner </w:t>
            </w:r>
            <w:r>
              <w:rPr>
                <w:rFonts w:ascii="Calibri" w:hAnsi="Calibri" w:cs="Calibri"/>
              </w:rPr>
              <w:t>and</w:t>
            </w:r>
            <w:r w:rsidR="00FC6A6C">
              <w:rPr>
                <w:rFonts w:ascii="Calibri" w:hAnsi="Calibri" w:cs="Calibri"/>
              </w:rPr>
              <w:t xml:space="preserve"> information collected in this project</w:t>
            </w:r>
            <w:r>
              <w:rPr>
                <w:rFonts w:ascii="Calibri" w:hAnsi="Calibri" w:cs="Calibri"/>
              </w:rPr>
              <w:t xml:space="preserve"> cannot be obtained through other methods. </w:t>
            </w:r>
          </w:p>
        </w:tc>
      </w:tr>
      <w:tr w14:paraId="282241F8" w14:textId="77777777" w:rsidTr="02858895">
        <w:tblPrEx>
          <w:tblW w:w="9450" w:type="dxa"/>
          <w:tblLook w:val="04A0"/>
        </w:tblPrEx>
        <w:tc>
          <w:tcPr>
            <w:tcW w:w="9450" w:type="dxa"/>
            <w:shd w:val="clear" w:color="auto" w:fill="F2F2F2" w:themeFill="background1" w:themeFillShade="F2"/>
          </w:tcPr>
          <w:p w:rsidR="001024BB" w:rsidRPr="00266566" w:rsidP="005969B0" w14:paraId="01B216D3" w14:textId="7DFA65DE">
            <w:pPr>
              <w:spacing w:after="120" w:line="240" w:lineRule="auto"/>
            </w:pPr>
            <w:r w:rsidRPr="00412504">
              <w:rPr>
                <w:b/>
              </w:rPr>
              <w:t xml:space="preserve">5. </w:t>
            </w:r>
            <w:r w:rsidRPr="00412504">
              <w:rPr>
                <w:b/>
                <w:u w:val="single"/>
              </w:rPr>
              <w:t xml:space="preserve">Efforts </w:t>
            </w:r>
            <w:r w:rsidR="00E028C3">
              <w:rPr>
                <w:b/>
                <w:u w:val="single"/>
              </w:rPr>
              <w:t>t</w:t>
            </w:r>
            <w:r w:rsidRPr="00412504">
              <w:rPr>
                <w:b/>
                <w:u w:val="single"/>
              </w:rPr>
              <w:t xml:space="preserve">o Minimize </w:t>
            </w:r>
            <w:r w:rsidR="00E028C3">
              <w:rPr>
                <w:b/>
                <w:u w:val="single"/>
              </w:rPr>
              <w:t>t</w:t>
            </w:r>
            <w:r w:rsidRPr="00412504">
              <w:rPr>
                <w:b/>
                <w:u w:val="single"/>
              </w:rPr>
              <w:t xml:space="preserve">he Burden </w:t>
            </w:r>
            <w:r w:rsidR="00E028C3">
              <w:rPr>
                <w:b/>
                <w:u w:val="single"/>
              </w:rPr>
              <w:t>o</w:t>
            </w:r>
            <w:r w:rsidRPr="00412504">
              <w:rPr>
                <w:b/>
                <w:u w:val="single"/>
              </w:rPr>
              <w:t>n Small Businesses</w:t>
            </w:r>
            <w:r w:rsidRPr="00412504">
              <w:rPr>
                <w:b/>
              </w:rPr>
              <w:t>.</w:t>
            </w:r>
            <w:r>
              <w:t xml:space="preserve"> </w:t>
            </w:r>
            <w:r w:rsidR="00855670">
              <w:t xml:space="preserve"> </w:t>
            </w:r>
            <w:r w:rsidRPr="00071299">
              <w:rPr>
                <w:i/>
                <w:sz w:val="20"/>
              </w:rPr>
              <w:t>If the collection of information impacts small businesses or other small entities, describe any methods used to minimize burden.</w:t>
            </w:r>
          </w:p>
        </w:tc>
      </w:tr>
      <w:tr w14:paraId="3190BD74" w14:textId="77777777" w:rsidTr="02858895">
        <w:tblPrEx>
          <w:tblW w:w="9450" w:type="dxa"/>
          <w:tblLook w:val="04A0"/>
        </w:tblPrEx>
        <w:tc>
          <w:tcPr>
            <w:tcW w:w="9450" w:type="dxa"/>
            <w:tcBorders>
              <w:bottom w:val="single" w:sz="4" w:space="0" w:color="auto"/>
            </w:tcBorders>
          </w:tcPr>
          <w:p w:rsidR="00E93649" w:rsidRPr="00855670" w:rsidP="005969B0" w14:paraId="45498C1B" w14:textId="1C4AFD54">
            <w:pPr>
              <w:spacing w:after="120" w:line="240" w:lineRule="auto"/>
            </w:pPr>
            <w:r>
              <w:t xml:space="preserve">This collection of information will not affect small businesses or other small entities. </w:t>
            </w:r>
            <w:r w:rsidR="659EC14B">
              <w:t>Respondents are individuals who meet certain criteria and who volunteer for the study.</w:t>
            </w:r>
          </w:p>
        </w:tc>
      </w:tr>
      <w:tr w14:paraId="38E6FC55" w14:textId="77777777" w:rsidTr="02858895">
        <w:tblPrEx>
          <w:tblW w:w="9450" w:type="dxa"/>
          <w:tblLook w:val="04A0"/>
        </w:tblPrEx>
        <w:tc>
          <w:tcPr>
            <w:tcW w:w="9450" w:type="dxa"/>
            <w:shd w:val="clear" w:color="auto" w:fill="F2F2F2" w:themeFill="background1" w:themeFillShade="F2"/>
          </w:tcPr>
          <w:p w:rsidR="001024BB" w:rsidRPr="00266566" w:rsidP="005969B0" w14:paraId="18C0D639" w14:textId="0A22EA3E">
            <w:pPr>
              <w:spacing w:after="120" w:line="240" w:lineRule="auto"/>
              <w:rPr>
                <w:i/>
                <w:iCs/>
                <w:sz w:val="20"/>
                <w:szCs w:val="20"/>
              </w:rPr>
            </w:pPr>
            <w:r w:rsidRPr="28A52E59">
              <w:rPr>
                <w:b/>
                <w:bCs/>
              </w:rPr>
              <w:t xml:space="preserve">6. </w:t>
            </w:r>
            <w:r w:rsidRPr="28A52E59">
              <w:rPr>
                <w:b/>
                <w:bCs/>
                <w:u w:val="single"/>
              </w:rPr>
              <w:t xml:space="preserve">Impact </w:t>
            </w:r>
            <w:r w:rsidRPr="28A52E59" w:rsidR="70F8F7FA">
              <w:rPr>
                <w:b/>
                <w:bCs/>
                <w:u w:val="single"/>
              </w:rPr>
              <w:t>o</w:t>
            </w:r>
            <w:r w:rsidRPr="28A52E59">
              <w:rPr>
                <w:b/>
                <w:bCs/>
                <w:u w:val="single"/>
              </w:rPr>
              <w:t xml:space="preserve">f Less Frequent Collection </w:t>
            </w:r>
            <w:r w:rsidRPr="28A52E59">
              <w:rPr>
                <w:b/>
                <w:bCs/>
                <w:u w:val="single"/>
              </w:rPr>
              <w:t>Of</w:t>
            </w:r>
            <w:r w:rsidRPr="28A52E59">
              <w:rPr>
                <w:b/>
                <w:bCs/>
                <w:u w:val="single"/>
              </w:rPr>
              <w:t xml:space="preserve"> Information</w:t>
            </w:r>
            <w:r w:rsidRPr="28A52E59">
              <w:rPr>
                <w:b/>
                <w:bCs/>
              </w:rPr>
              <w:t>.</w:t>
            </w:r>
            <w:r>
              <w:t xml:space="preserve"> </w:t>
            </w:r>
            <w:r w:rsidR="05B815B7">
              <w:t xml:space="preserve"> </w:t>
            </w:r>
            <w:r w:rsidRPr="28A52E59">
              <w:rPr>
                <w:i/>
                <w:iCs/>
                <w:sz w:val="20"/>
                <w:szCs w:val="20"/>
              </w:rPr>
              <w:t>Describe the consequence to federal program or policy activities if the collection is not conducted or is conducted less frequently, as well as any technical or legal obstacles to reducing burden.</w:t>
            </w:r>
          </w:p>
        </w:tc>
      </w:tr>
      <w:tr w14:paraId="7633C267" w14:textId="77777777" w:rsidTr="02858895">
        <w:tblPrEx>
          <w:tblW w:w="9450" w:type="dxa"/>
          <w:tblLook w:val="04A0"/>
        </w:tblPrEx>
        <w:tc>
          <w:tcPr>
            <w:tcW w:w="9450" w:type="dxa"/>
            <w:tcBorders>
              <w:bottom w:val="single" w:sz="4" w:space="0" w:color="auto"/>
            </w:tcBorders>
          </w:tcPr>
          <w:p w:rsidR="007203F8" w:rsidP="00222896" w14:paraId="1B9A5678" w14:textId="2577B7E7">
            <w:pPr>
              <w:autoSpaceDE w:val="0"/>
              <w:autoSpaceDN w:val="0"/>
              <w:adjustRightInd w:val="0"/>
              <w:spacing w:after="120" w:line="240" w:lineRule="auto"/>
              <w:rPr>
                <w:rFonts w:ascii="Calibri" w:hAnsi="Calibri" w:cs="Calibri"/>
              </w:rPr>
            </w:pPr>
            <w:r>
              <w:rPr>
                <w:rFonts w:ascii="Calibri" w:hAnsi="Calibri" w:cs="Calibri"/>
              </w:rPr>
              <w:t>Th</w:t>
            </w:r>
            <w:r w:rsidR="00E028C3">
              <w:rPr>
                <w:rFonts w:ascii="Calibri" w:hAnsi="Calibri" w:cs="Calibri"/>
              </w:rPr>
              <w:t>e</w:t>
            </w:r>
            <w:r>
              <w:rPr>
                <w:rFonts w:ascii="Calibri" w:hAnsi="Calibri" w:cs="Calibri"/>
              </w:rPr>
              <w:t xml:space="preserve"> information collection </w:t>
            </w:r>
            <w:r w:rsidRPr="004434BD" w:rsidR="004434BD">
              <w:rPr>
                <w:rFonts w:ascii="Calibri" w:hAnsi="Calibri" w:cs="Calibri"/>
              </w:rPr>
              <w:t xml:space="preserve">covered herein will be collected once only. </w:t>
            </w:r>
          </w:p>
          <w:p w:rsidR="008A39FD" w:rsidRPr="00412865" w:rsidP="005969B0" w14:paraId="326C0CCC" w14:textId="069F4041">
            <w:pPr>
              <w:autoSpaceDE w:val="0"/>
              <w:autoSpaceDN w:val="0"/>
              <w:adjustRightInd w:val="0"/>
              <w:spacing w:after="120" w:line="240" w:lineRule="auto"/>
            </w:pPr>
            <w:r>
              <w:rPr>
                <w:rFonts w:ascii="Calibri" w:hAnsi="Calibri" w:cs="Calibri"/>
              </w:rPr>
              <w:t>As the agency responsible for prescribing and maintaining the standards for vehicle safety in the United States,</w:t>
            </w:r>
            <w:r>
              <w:rPr>
                <w:rStyle w:val="FootnoteReference"/>
                <w:rFonts w:ascii="Calibri" w:hAnsi="Calibri" w:cs="Calibri"/>
              </w:rPr>
              <w:footnoteReference w:id="4"/>
            </w:r>
            <w:r>
              <w:rPr>
                <w:rFonts w:ascii="Calibri" w:hAnsi="Calibri" w:cs="Calibri"/>
              </w:rPr>
              <w:t xml:space="preserve"> NHTSA is constantly seeking objective data for use in basing decisions about how to best protect the road-traveling public and minimize deaths and injuries associated with car crashes.</w:t>
            </w:r>
            <w:r>
              <w:rPr>
                <w:rStyle w:val="FootnoteReference"/>
                <w:rFonts w:ascii="Calibri" w:hAnsi="Calibri" w:cs="Calibri"/>
              </w:rPr>
              <w:footnoteReference w:id="5"/>
            </w:r>
            <w:r>
              <w:rPr>
                <w:rFonts w:ascii="Calibri" w:hAnsi="Calibri" w:cs="Calibri"/>
              </w:rPr>
              <w:t xml:space="preserve">  Timely, accurate information on driver behavior and performance considering modern-day vehicle equipment and driver habits is essential to NHTSA’s determining the most appropriate recommendations and requirements for vehicle equipment and driving safety. </w:t>
            </w:r>
            <w:r w:rsidR="4C12A9C5">
              <w:rPr>
                <w:rFonts w:ascii="Calibri" w:hAnsi="Calibri" w:cs="Calibri"/>
              </w:rPr>
              <w:t xml:space="preserve">With regard to the topic of </w:t>
            </w:r>
            <w:r w:rsidR="0DF04093">
              <w:rPr>
                <w:rFonts w:ascii="Calibri" w:hAnsi="Calibri" w:cs="Calibri"/>
              </w:rPr>
              <w:t>driving automation systems, their rapid deployment across passenger vehicle fleets makes it critical for NHTSA to understand the safety impacts of driver interactions with the systems in mixed traffic environments.</w:t>
            </w:r>
            <w:r w:rsidR="4C12A9C5">
              <w:rPr>
                <w:rFonts w:ascii="Calibri" w:hAnsi="Calibri" w:cs="Calibri"/>
              </w:rPr>
              <w:t xml:space="preserve"> </w:t>
            </w:r>
          </w:p>
        </w:tc>
      </w:tr>
      <w:tr w14:paraId="4DF8C25C" w14:textId="77777777" w:rsidTr="02858895">
        <w:tblPrEx>
          <w:tblW w:w="9450" w:type="dxa"/>
          <w:tblLook w:val="04A0"/>
        </w:tblPrEx>
        <w:tc>
          <w:tcPr>
            <w:tcW w:w="9450" w:type="dxa"/>
            <w:shd w:val="clear" w:color="auto" w:fill="F2F2F2" w:themeFill="background1" w:themeFillShade="F2"/>
          </w:tcPr>
          <w:p w:rsidR="00AB3C2B" w:rsidRPr="00071299" w:rsidP="005969B0" w14:paraId="3AB5D085" w14:textId="77777777">
            <w:pPr>
              <w:spacing w:after="120" w:line="240" w:lineRule="auto"/>
              <w:rPr>
                <w:i/>
                <w:sz w:val="20"/>
              </w:rPr>
            </w:pPr>
            <w:r w:rsidRPr="00412504">
              <w:rPr>
                <w:b/>
              </w:rPr>
              <w:t xml:space="preserve">7. </w:t>
            </w:r>
            <w:r w:rsidRPr="00412504">
              <w:rPr>
                <w:b/>
                <w:u w:val="single"/>
              </w:rPr>
              <w:t>Special Circumstances</w:t>
            </w:r>
            <w:r w:rsidRPr="00412504">
              <w:rPr>
                <w:b/>
              </w:rPr>
              <w:t>.</w:t>
            </w:r>
            <w:r>
              <w:t xml:space="preserve"> </w:t>
            </w:r>
            <w:r w:rsidRPr="00071299">
              <w:rPr>
                <w:i/>
                <w:sz w:val="20"/>
              </w:rPr>
              <w:t>Explain any special circumstances that would cause an information collection to be conducted in a manner:</w:t>
            </w:r>
          </w:p>
          <w:p w:rsidR="00AB3C2B" w:rsidRPr="00071299" w:rsidP="005969B0" w14:paraId="6C0D55C1"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report information to the agency more often than quarterly;</w:t>
            </w:r>
          </w:p>
          <w:p w:rsidR="00AB3C2B" w:rsidRPr="00071299" w:rsidP="005969B0" w14:paraId="569FCC57"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prepare a written response to a collection of information in fewer than 30 days after receipt of it;</w:t>
            </w:r>
          </w:p>
          <w:p w:rsidR="00AB3C2B" w:rsidRPr="00071299" w:rsidP="005969B0" w14:paraId="4B6F0FEE"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submit more than an original and two copies of any document;</w:t>
            </w:r>
          </w:p>
          <w:p w:rsidR="00AB3C2B" w:rsidRPr="00071299" w:rsidP="005969B0" w14:paraId="7EC2EDA1"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retain records, other than health, medical, government contract, grant-in-aid, or tax records for more than three years;</w:t>
            </w:r>
          </w:p>
          <w:p w:rsidR="00AB3C2B" w:rsidRPr="00071299" w:rsidP="005969B0" w14:paraId="17234755" w14:textId="77777777">
            <w:pPr>
              <w:pStyle w:val="ListParagraph"/>
              <w:numPr>
                <w:ilvl w:val="0"/>
                <w:numId w:val="6"/>
              </w:numPr>
              <w:spacing w:after="120" w:line="240" w:lineRule="auto"/>
              <w:ind w:left="510" w:hanging="210"/>
              <w:contextualSpacing w:val="0"/>
              <w:rPr>
                <w:i/>
                <w:sz w:val="20"/>
              </w:rPr>
            </w:pPr>
            <w:r w:rsidRPr="00071299">
              <w:rPr>
                <w:i/>
                <w:sz w:val="20"/>
              </w:rPr>
              <w:t>in connection with a statistical survey, that is not designed to produce valid and reliable results that can be generalized to the universe of study;</w:t>
            </w:r>
          </w:p>
          <w:p w:rsidR="00AB3C2B" w:rsidRPr="00071299" w:rsidP="005969B0" w14:paraId="3F743583" w14:textId="77777777">
            <w:pPr>
              <w:pStyle w:val="ListParagraph"/>
              <w:numPr>
                <w:ilvl w:val="0"/>
                <w:numId w:val="6"/>
              </w:numPr>
              <w:spacing w:after="120" w:line="240" w:lineRule="auto"/>
              <w:ind w:left="510" w:hanging="210"/>
              <w:contextualSpacing w:val="0"/>
              <w:rPr>
                <w:i/>
                <w:sz w:val="20"/>
              </w:rPr>
            </w:pPr>
            <w:r w:rsidRPr="00071299">
              <w:rPr>
                <w:i/>
                <w:sz w:val="20"/>
              </w:rPr>
              <w:t>requiring the use of a statistical data classification that has not been reviewed and approved by OMB;</w:t>
            </w:r>
          </w:p>
          <w:p w:rsidR="00AB3C2B" w:rsidRPr="00071299" w:rsidP="005969B0" w14:paraId="6835ADD1" w14:textId="77777777">
            <w:pPr>
              <w:pStyle w:val="ListParagraph"/>
              <w:numPr>
                <w:ilvl w:val="0"/>
                <w:numId w:val="6"/>
              </w:numPr>
              <w:spacing w:after="120" w:line="240" w:lineRule="auto"/>
              <w:ind w:left="510" w:hanging="210"/>
              <w:contextualSpacing w:val="0"/>
              <w:rPr>
                <w:i/>
                <w:sz w:val="20"/>
              </w:rPr>
            </w:pPr>
            <w:r w:rsidRPr="00071299">
              <w:rPr>
                <w:i/>
                <w:sz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B3C2B" w:rsidRPr="00071299" w:rsidP="005969B0" w14:paraId="6E5A12D9"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submit proprietary trade secret, or other confidential information unless the agency can demonstrate that it has instituted procedures to protect the information's confidentiality to the extent permitted by law.</w:t>
            </w:r>
          </w:p>
          <w:p w:rsidR="001024BB" w:rsidRPr="00266566" w:rsidP="005969B0" w14:paraId="10920C91" w14:textId="77777777">
            <w:pPr>
              <w:spacing w:after="120" w:line="240" w:lineRule="auto"/>
            </w:pPr>
            <w:r w:rsidRPr="00071299">
              <w:rPr>
                <w:i/>
                <w:sz w:val="20"/>
              </w:rPr>
              <w:t>If one or more of the following applies, please explain in complete detail.</w:t>
            </w:r>
          </w:p>
        </w:tc>
      </w:tr>
      <w:tr w14:paraId="04E80BDF" w14:textId="77777777" w:rsidTr="02858895">
        <w:tblPrEx>
          <w:tblW w:w="9450" w:type="dxa"/>
          <w:tblLook w:val="04A0"/>
        </w:tblPrEx>
        <w:tc>
          <w:tcPr>
            <w:tcW w:w="9450" w:type="dxa"/>
            <w:tcBorders>
              <w:bottom w:val="single" w:sz="4" w:space="0" w:color="auto"/>
            </w:tcBorders>
          </w:tcPr>
          <w:p w:rsidR="00F15D53" w:rsidRPr="007B5D9F" w:rsidP="005969B0" w14:paraId="5B45194A" w14:textId="0CAD153A">
            <w:pPr>
              <w:spacing w:after="120" w:line="240" w:lineRule="auto"/>
            </w:pPr>
            <w:r>
              <w:t>There are n</w:t>
            </w:r>
            <w:r w:rsidRPr="00412865" w:rsidR="00412865">
              <w:t xml:space="preserve">o special circumstances </w:t>
            </w:r>
            <w:r>
              <w:t xml:space="preserve">that </w:t>
            </w:r>
            <w:r w:rsidRPr="00412865" w:rsidR="00412865">
              <w:t>require the collection to be conducted in a manner inconsistent with 5 CFR 1320.</w:t>
            </w:r>
            <w:r>
              <w:t>5(d)(2)</w:t>
            </w:r>
            <w:r w:rsidRPr="00412865" w:rsidR="00412865">
              <w:t>.</w:t>
            </w:r>
          </w:p>
        </w:tc>
      </w:tr>
      <w:tr w14:paraId="073365FF" w14:textId="77777777" w:rsidTr="02858895">
        <w:tblPrEx>
          <w:tblW w:w="9450" w:type="dxa"/>
          <w:tblLook w:val="04A0"/>
        </w:tblPrEx>
        <w:tc>
          <w:tcPr>
            <w:tcW w:w="9450" w:type="dxa"/>
            <w:shd w:val="clear" w:color="auto" w:fill="F2F2F2" w:themeFill="background1" w:themeFillShade="F2"/>
          </w:tcPr>
          <w:p w:rsidR="001024BB" w:rsidRPr="009B6212" w:rsidP="005969B0" w14:paraId="251A90D8" w14:textId="44CABD95">
            <w:pPr>
              <w:spacing w:after="120" w:line="240" w:lineRule="auto"/>
              <w:rPr>
                <w:i/>
                <w:iCs/>
              </w:rPr>
            </w:pPr>
            <w:r w:rsidRPr="28A52E59">
              <w:rPr>
                <w:b/>
                <w:bCs/>
              </w:rPr>
              <w:t xml:space="preserve">8. </w:t>
            </w:r>
            <w:r w:rsidRPr="28A52E59">
              <w:rPr>
                <w:b/>
                <w:bCs/>
                <w:u w:val="single"/>
              </w:rPr>
              <w:t>Compliance With 5 CFR 1320.8(</w:t>
            </w:r>
            <w:r w:rsidRPr="28A52E59" w:rsidR="0A6AF38C">
              <w:rPr>
                <w:b/>
                <w:bCs/>
                <w:u w:val="single"/>
              </w:rPr>
              <w:t>d</w:t>
            </w:r>
            <w:r w:rsidRPr="28A52E59">
              <w:rPr>
                <w:b/>
                <w:bCs/>
                <w:u w:val="single"/>
              </w:rPr>
              <w:t>)</w:t>
            </w:r>
            <w:r w:rsidRPr="28A52E59">
              <w:rPr>
                <w:b/>
                <w:bCs/>
              </w:rPr>
              <w:t>.</w:t>
            </w:r>
            <w:r>
              <w:t xml:space="preserve">  </w:t>
            </w:r>
            <w:r w:rsidRPr="28A52E59">
              <w:rPr>
                <w:i/>
                <w:iCs/>
                <w:sz w:val="20"/>
                <w:szCs w:val="20"/>
              </w:rPr>
              <w:t xml:space="preserve">If applicable, provide a copy and identify the date and page number of </w:t>
            </w:r>
            <w:r w:rsidRPr="28A52E59">
              <w:rPr>
                <w:i/>
                <w:iCs/>
                <w:sz w:val="20"/>
                <w:szCs w:val="20"/>
              </w:rPr>
              <w:t>publication</w:t>
            </w:r>
            <w:r w:rsidRPr="28A52E59">
              <w:rPr>
                <w:i/>
                <w:iCs/>
                <w:sz w:val="20"/>
                <w:szCs w:val="20"/>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r w:rsidR="7064A1B8">
              <w:t xml:space="preserve"> </w:t>
            </w:r>
            <w:r w:rsidRPr="28A52E59" w:rsidR="7064A1B8">
              <w:rPr>
                <w:i/>
                <w:iCs/>
                <w:sz w:val="20"/>
                <w:szCs w:val="20"/>
              </w:rPr>
              <w:t>Describe efforts to consult with persons outside the agency to obtain their views.</w:t>
            </w:r>
          </w:p>
        </w:tc>
      </w:tr>
      <w:tr w14:paraId="0DEF36BC" w14:textId="77777777" w:rsidTr="02858895">
        <w:tblPrEx>
          <w:tblW w:w="9450" w:type="dxa"/>
          <w:tblLook w:val="04A0"/>
        </w:tblPrEx>
        <w:tc>
          <w:tcPr>
            <w:tcW w:w="9450" w:type="dxa"/>
          </w:tcPr>
          <w:p w:rsidR="008F1ABD" w:rsidRPr="00AE69E9" w:rsidP="005969B0" w14:paraId="02C82609" w14:textId="2D9246F3">
            <w:pPr>
              <w:autoSpaceDE w:val="0"/>
              <w:autoSpaceDN w:val="0"/>
              <w:adjustRightInd w:val="0"/>
              <w:spacing w:after="120" w:line="240" w:lineRule="auto"/>
              <w:rPr>
                <w:rFonts w:ascii="Calibri" w:hAnsi="Calibri" w:cs="Calibri"/>
              </w:rPr>
            </w:pPr>
            <w:r w:rsidRPr="588E3AA7">
              <w:rPr>
                <w:rFonts w:ascii="Calibri" w:hAnsi="Calibri" w:cs="Calibri"/>
              </w:rPr>
              <w:t xml:space="preserve">In compliance </w:t>
            </w:r>
            <w:r w:rsidRPr="588E3AA7" w:rsidR="053706C8">
              <w:rPr>
                <w:rFonts w:ascii="Calibri" w:hAnsi="Calibri" w:cs="Calibri"/>
              </w:rPr>
              <w:t>w</w:t>
            </w:r>
            <w:r w:rsidRPr="588E3AA7">
              <w:rPr>
                <w:rFonts w:ascii="Calibri" w:hAnsi="Calibri" w:cs="Calibri"/>
              </w:rPr>
              <w:t>ith 5 CFR 1320.8(</w:t>
            </w:r>
            <w:r w:rsidRPr="588E3AA7" w:rsidR="6513545B">
              <w:rPr>
                <w:rFonts w:ascii="Calibri" w:hAnsi="Calibri" w:cs="Calibri"/>
              </w:rPr>
              <w:t>d</w:t>
            </w:r>
            <w:r w:rsidRPr="588E3AA7">
              <w:rPr>
                <w:rFonts w:ascii="Calibri" w:hAnsi="Calibri" w:cs="Calibri"/>
              </w:rPr>
              <w:t xml:space="preserve">), </w:t>
            </w:r>
            <w:r w:rsidRPr="588E3AA7" w:rsidR="7102ED32">
              <w:rPr>
                <w:rFonts w:ascii="Calibri" w:hAnsi="Calibri" w:cs="Calibri"/>
              </w:rPr>
              <w:t xml:space="preserve">NHTSA published a notice in the Federal Register with a 60-day public comment period to announce this proposed information collection on </w:t>
            </w:r>
            <w:r w:rsidR="00FE6247">
              <w:rPr>
                <w:rFonts w:ascii="Calibri" w:hAnsi="Calibri" w:cs="Calibri"/>
              </w:rPr>
              <w:t>December 12, 2023</w:t>
            </w:r>
            <w:r w:rsidR="00B63490">
              <w:rPr>
                <w:rFonts w:ascii="Calibri" w:hAnsi="Calibri" w:cs="Calibri"/>
              </w:rPr>
              <w:t xml:space="preserve"> (88 FR 86202)</w:t>
            </w:r>
            <w:r w:rsidRPr="588E3AA7" w:rsidR="7102ED32">
              <w:rPr>
                <w:rFonts w:ascii="Calibri" w:hAnsi="Calibri" w:cs="Calibri"/>
              </w:rPr>
              <w:t xml:space="preserve">. </w:t>
            </w:r>
          </w:p>
          <w:p w:rsidR="007C6094" w:rsidP="005969B0" w14:paraId="025FE568" w14:textId="77777777">
            <w:pPr>
              <w:autoSpaceDE w:val="0"/>
              <w:autoSpaceDN w:val="0"/>
              <w:adjustRightInd w:val="0"/>
              <w:spacing w:after="120" w:line="240" w:lineRule="auto"/>
              <w:rPr>
                <w:rFonts w:ascii="Calibri" w:hAnsi="Calibri" w:cs="Calibri"/>
              </w:rPr>
            </w:pPr>
            <w:r w:rsidRPr="00A90882">
              <w:rPr>
                <w:rFonts w:ascii="Calibri" w:hAnsi="Calibri" w:cs="Calibri"/>
              </w:rPr>
              <w:t xml:space="preserve">During the public comment period for the 60-day notice, NHTSA received </w:t>
            </w:r>
            <w:r>
              <w:rPr>
                <w:rFonts w:ascii="Calibri" w:hAnsi="Calibri" w:cs="Calibri"/>
              </w:rPr>
              <w:t xml:space="preserve">detailed </w:t>
            </w:r>
            <w:r w:rsidRPr="00A90882">
              <w:rPr>
                <w:rFonts w:ascii="Calibri" w:hAnsi="Calibri" w:cs="Calibri"/>
              </w:rPr>
              <w:t>comment</w:t>
            </w:r>
            <w:r>
              <w:rPr>
                <w:rFonts w:ascii="Calibri" w:hAnsi="Calibri" w:cs="Calibri"/>
              </w:rPr>
              <w:t xml:space="preserve">s from the Insurance Institute for Highway Safety (IIHS). NHTSA is grateful for the thorough and detailed review of the 60-day notice and the time and attention IIHS has given to ensure appropriate study parameters have been and will be taken into account. </w:t>
            </w:r>
            <w:r w:rsidRPr="007C6094">
              <w:rPr>
                <w:rFonts w:ascii="Calibri" w:hAnsi="Calibri" w:cs="Calibri"/>
              </w:rPr>
              <w:t>IIHS did not disagree with the sampling methodology or size, the design of the study or order of carryout, or the time or costs associated</w:t>
            </w:r>
            <w:r>
              <w:rPr>
                <w:rFonts w:ascii="Calibri" w:hAnsi="Calibri" w:cs="Calibri"/>
              </w:rPr>
              <w:t xml:space="preserve"> with the collection,</w:t>
            </w:r>
            <w:r w:rsidRPr="007C6094">
              <w:rPr>
                <w:rFonts w:ascii="Calibri" w:hAnsi="Calibri" w:cs="Calibri"/>
              </w:rPr>
              <w:t xml:space="preserve"> </w:t>
            </w:r>
            <w:r>
              <w:rPr>
                <w:rFonts w:ascii="Calibri" w:hAnsi="Calibri" w:cs="Calibri"/>
              </w:rPr>
              <w:t>so</w:t>
            </w:r>
            <w:r w:rsidRPr="007C6094">
              <w:rPr>
                <w:rFonts w:ascii="Calibri" w:hAnsi="Calibri" w:cs="Calibri"/>
              </w:rPr>
              <w:t xml:space="preserve"> therefore no changes will be made to the study design or sampling methodology.</w:t>
            </w:r>
            <w:r>
              <w:rPr>
                <w:rFonts w:ascii="Calibri" w:hAnsi="Calibri" w:cs="Calibri"/>
              </w:rPr>
              <w:t xml:space="preserve"> The comments do not affect the burden estimates and therefore no changes will be made to the burden calculations.</w:t>
            </w:r>
          </w:p>
          <w:p w:rsidR="007C6094" w:rsidP="005969B0" w14:paraId="435DF321" w14:textId="164BB9A4">
            <w:pPr>
              <w:autoSpaceDE w:val="0"/>
              <w:autoSpaceDN w:val="0"/>
              <w:adjustRightInd w:val="0"/>
              <w:spacing w:after="120" w:line="240" w:lineRule="auto"/>
              <w:rPr>
                <w:rFonts w:ascii="Calibri" w:hAnsi="Calibri" w:cs="Calibri"/>
              </w:rPr>
            </w:pPr>
            <w:r>
              <w:rPr>
                <w:rFonts w:ascii="Calibri" w:hAnsi="Calibri" w:cs="Calibri"/>
              </w:rPr>
              <w:t>Given the thorough review from IIHS, we have addressed each comment in turn:</w:t>
            </w:r>
          </w:p>
          <w:p w:rsidR="007C6094" w:rsidRPr="007C6094" w:rsidP="007C6094" w14:paraId="61B10ADC" w14:textId="25BDA608">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 xml:space="preserve">The Insurance Institute for Highway Safety (IIHS) thanks the National Highway Traffic Safety Administration (NHTSA) for the opportunity to comment on this study series proposal, Human Interaction </w:t>
            </w:r>
            <w:r w:rsidRPr="007C6094">
              <w:rPr>
                <w:rFonts w:ascii="Calibri" w:hAnsi="Calibri" w:cs="Calibri"/>
              </w:rPr>
              <w:t>With</w:t>
            </w:r>
            <w:r w:rsidRPr="007C6094">
              <w:rPr>
                <w:rFonts w:ascii="Calibri" w:hAnsi="Calibri" w:cs="Calibri"/>
              </w:rPr>
              <w:t xml:space="preserve"> Driving Automation Systems. Machines behave differently than human drivers, even when the driving automation still requires a human to be involved. With most automakers offering at least partially automated systems in many models of their vehicle lineups, the relevance of these research questions is only growing. It is important to understand how people interact not only with the technologies in their own vehicles, but also with other vehicles equipped with driving automation systems.</w:t>
            </w:r>
            <w:r>
              <w:rPr>
                <w:rFonts w:ascii="Calibri" w:hAnsi="Calibri" w:cs="Calibri"/>
              </w:rPr>
              <w:t xml:space="preserve"> </w:t>
            </w:r>
            <w:r>
              <w:rPr>
                <w:rFonts w:ascii="Calibri" w:hAnsi="Calibri" w:cs="Calibri"/>
                <w:b/>
                <w:bCs/>
              </w:rPr>
              <w:t xml:space="preserve">Response: </w:t>
            </w:r>
            <w:r w:rsidRPr="007C6094">
              <w:rPr>
                <w:rFonts w:ascii="Calibri" w:hAnsi="Calibri" w:cs="Calibri"/>
              </w:rPr>
              <w:t>We agree with IIHS about the importance of understanding human-automation interactions in mixed traffic contexts. We are glad for confirmation that this project targets an important emerging topic, and we thank IIHS for their thoughtful and constructive feedback on this project design.</w:t>
            </w:r>
          </w:p>
          <w:p w:rsidR="007C6094" w:rsidRPr="007C6094" w:rsidP="007C6094" w14:paraId="29C148C7" w14:textId="0EDDDD03">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We commend NHTSA’s sampling approach to target licensed members of the public from a wide age range in order to make generalizable conclusions from the data. While it is reasonable to expect age and overall driving-experience (e.g., in terms of years licensed) effects, there is an additional participant factor missing from the sample characteristics listed. It is unclear what levels of driving automation the study series will investigate; however, IIHS research has shown that having experience with partial driving automation (Level 2) affects driving behavior while using the technology (Mueller et al., 2022). Although Level 3 driving automation is exceedingly rare, some vehicles for sale today are nevertheless equipped with it in, for example, the United States and Japan. Level 4 driving automation is not available for private consumer purchase, but it is available in ride-hailing fleets (e.g., Waymo ride-hailing services in Phoenix, AZ, and San Francisco, CA). Therefore, we recommend factoring experience, both as a driver and as a passenger where applicable, with each level of driving automation tested in the sampling approach and/or data analysis.</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thank IIHS for this suggestion and agree about the importance of considering experience with automation in this project. We plan to collect information regarding participants’ experience with automation, their understanding (i.e., mental model) of automation, and their trust in vehicle automation technologies. </w:t>
            </w:r>
            <w:r w:rsidRPr="007C6094">
              <w:rPr>
                <w:rFonts w:ascii="Calibri" w:hAnsi="Calibri" w:cs="Calibri"/>
              </w:rPr>
              <w:t>While we do not plan to include experience as a variable in our study design, we will be able to use the information collected to gain insight into differences in human-automation interaction based on prior experience and understanding.</w:t>
            </w:r>
          </w:p>
          <w:p w:rsidR="007C6094" w:rsidRPr="007C6094" w:rsidP="007C6094" w14:paraId="7D218647" w14:textId="359C24D2">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The research proposal indicates that vehicle kinematics will be measured, which are fundamental for gauging participants’ ability to control the vehicle in these scenarios; however, there are other behaviors that reflect higher levels of cognition that ought to be considered too. Reactive and proactive changes in behavior around object detection, trip planning, and navigation updating are important safety-related indicators of how people interact with their vehicles. Experimental manipulation of the simulated driving scenarios could be used to objectively evaluate different levels of situational awareness of the surrounding traffic and wayfinding ability and accuracy.</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thank IIHS for this comment. We agree that variables other than vehicle kinematics should be considered in measuring driver behavior in the test scenarios. To that end, we will collect information about driver glance behavior and visual attention from eye tracking in the simulator. We will also collect video data of both the driver and driving environment, such that we can code and understand how drivers respond to events involving vehicle automation. We will incorporate this feedback to also consider proactive changes in behavior, such as environmental scanning and latent hazard detection. We agree that trip planning and navigation may also yield valuable information from human-automation interactions, but these tasks are more difficult to replicate in the simulator and fall outside the scope of this project. </w:t>
            </w:r>
          </w:p>
          <w:p w:rsidR="007C6094" w:rsidRPr="007C6094" w:rsidP="007C6094" w14:paraId="6D915A6C" w14:textId="23E54E4F">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We recommend that NHTSA also measure behind-the-wheel behavior, such as gaze and hand activity, because where the driver is looking and what their hands are doing will affect other behavior related to vehicle control. Moreover, secondary activity, both driving-related and non-driving-related, is a normal phenomenon in driving with and without automation support. Even if these studies exclude non-driving-related activities, participants will still have to interact with the interfaces to operate and understand the driving automation. These driving-related secondary activities include glances to and physical interaction with interior displays (e.g., instrument panels) and operating steering wheel controls to activate different types of system support. These activities are considered secondary because they are not involved in the immediate physical control of the vehicle, such as steering and accelerator/brake pedal use. In some cases, driving-related secondary activities may affect a driver’s ability to control the vehicle if they occupy the driver’s attention for too long. Their inclusion in the set of dependent variables will be important for understanding differences between participants and any changes in vehicle-kinematic behavior in the different driving scenarios.</w:t>
            </w:r>
            <w:r>
              <w:rPr>
                <w:rFonts w:ascii="Calibri" w:hAnsi="Calibri" w:cs="Calibri"/>
              </w:rPr>
              <w:t xml:space="preserve"> </w:t>
            </w:r>
            <w:r>
              <w:rPr>
                <w:rFonts w:ascii="Calibri" w:hAnsi="Calibri" w:cs="Calibri"/>
                <w:b/>
                <w:bCs/>
              </w:rPr>
              <w:t xml:space="preserve">Response: </w:t>
            </w:r>
            <w:r w:rsidRPr="007C6094">
              <w:rPr>
                <w:rFonts w:ascii="Calibri" w:hAnsi="Calibri" w:cs="Calibri"/>
              </w:rPr>
              <w:t>We thank IIHS for this feedback and we completely agree with the suggestion. Our plan is to examine gaze, hand, and foot behavior during the study events. Previous work shows the importance of understanding (dis)engagement beyond looking at system status or takeover time.</w:t>
            </w:r>
            <w:r>
              <w:rPr>
                <w:rFonts w:ascii="Calibri" w:hAnsi="Calibri" w:cs="Calibri"/>
              </w:rPr>
              <w:t xml:space="preserve"> </w:t>
            </w:r>
            <w:r w:rsidRPr="007C6094">
              <w:rPr>
                <w:rFonts w:ascii="Calibri" w:hAnsi="Calibri" w:cs="Calibri"/>
              </w:rPr>
              <w:t xml:space="preserve">In this project, we plan to include different combinations of driving-related and non-driving-related secondary tasks (NDRTs). As IIHS suggests, we plan to examine driver interactions with automated vehicle interfaces, particularly in windows where automation encounters edge case or challenging situations in the study drives. The second and third studies will also include NDRTs and our analyses will consider outcomes such as attentional shifts between NDRTs and driving (or monitoring) as an outcome of different automated vehicle behaviors. </w:t>
            </w:r>
          </w:p>
          <w:p w:rsidR="007C6094" w:rsidRPr="007C6094" w:rsidP="007C6094" w14:paraId="41D10AA6" w14:textId="622E392E">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 xml:space="preserve">Related to this, we recommend paying close attention to the driver management strategies incorporated in the design of the simulated vehicle, if they apply depending on the types of driving automation that will be simulated in these studies. For systems that require the driver to be involved in the operation of the vehicle (Levels 0 to 3), design factors around driver monitoring, attention reminders, and last-resort countermeasures should be considered as they will shape the observable </w:t>
            </w:r>
            <w:r w:rsidRPr="007C6094">
              <w:rPr>
                <w:rFonts w:ascii="Calibri" w:hAnsi="Calibri" w:cs="Calibri"/>
              </w:rPr>
              <w:t>behind-the-wheel behavior, physical vehicle control, and interactions with the simulated vehicle’s interfaces.</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completely agree with this comment about the importance of considering driver management strategies in the design of the studies. To the extent possible, we will include management strategies that are representative of production or near-production systems. We will also include methods to set appropriate levels of expectation in our sample of drivers about the management strategy being used and the expectations for both the driver and the automated system. </w:t>
            </w:r>
          </w:p>
          <w:p w:rsidR="007C6094" w:rsidRPr="007C6094" w:rsidP="007C6094" w14:paraId="073C5C42" w14:textId="095230BF">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Furthermore, the design philosophies currently behind Level 0 to 3 systems in production vary considerably among manufacturers so as to produce unique relationships between their customers and the technologies in their vehicles. As such, no two systems of a given level of driving automation should be considered the same. Even when their lane keeping and speed and distance management designs are similar, systems under the same driving automation domain can still be designed with fundamentally different driver-vehicle interactions. For instance, some systems require that the driver’s hands be on the wheel at all times whereas others permit periods of hands-free operation, and some systems are designed with cooperative lane-centering support that requires the driver to stay regularly involved in the steering of the vehicle. These factors may produce confounds in the data if they are not considered in the design of the simulated systems under test.</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agree with IIHS that the design of currently deployed automated systems varies considerably, and these design differences almost certainly have an impact on driver interactions. Our approach for the project will be to create systems in the simulator that are strong representations of some of the available technologies, understanding that other system designs could yield different driver-system interactions. Throughout our reporting on the project, we will clearly specify what design(s) our simulated system intends to replicate, what differences may exist, and the differences that exist from other systems not included in the simulator studies that are currently classified as within the same levels of automation. We will make clear what conclusions can and cannot be drawn about system design characteristics and be careful to avoid making general conclusions about a level of automation or type of automated system when there is variability in design that cannot be fully captured within the scope of the project. </w:t>
            </w:r>
          </w:p>
          <w:p w:rsidR="008F1ABD" w:rsidRPr="00AE69E9" w:rsidP="007C6094" w14:paraId="7431D87D" w14:textId="48CA3AC6">
            <w:pPr>
              <w:autoSpaceDE w:val="0"/>
              <w:autoSpaceDN w:val="0"/>
              <w:adjustRightInd w:val="0"/>
              <w:spacing w:after="120" w:line="240" w:lineRule="auto"/>
              <w:rPr>
                <w:rFonts w:ascii="Calibri" w:hAnsi="Calibri" w:cs="Calibri"/>
                <w:highlight w:val="yellow"/>
              </w:rPr>
            </w:pPr>
            <w:r>
              <w:rPr>
                <w:rFonts w:ascii="Calibri" w:hAnsi="Calibri" w:cs="Calibri"/>
                <w:b/>
                <w:bCs/>
              </w:rPr>
              <w:t xml:space="preserve">Comment: </w:t>
            </w:r>
            <w:r w:rsidRPr="007C6094">
              <w:rPr>
                <w:rFonts w:ascii="Calibri" w:hAnsi="Calibri" w:cs="Calibri"/>
              </w:rPr>
              <w:t>Programming how the simulated vehicle responds to different traffic conflicts or ambiguous driving scenarios in the study series will have ramifications on participant behavior. The realism of disruptions in system performance matters, both in terms of a sudden cessation of support as well as inappropriate system behavior—the specifics around which depend on the simulated level of driving automation and the driving scenarios tested. Assuming these studies will simulate driving automation that has been implemented in the registered vehicle fleet or the commercially available ride-hailing fleet, if care is not taken to ensure those disruptions are realistic and conform with what is technically possible and likely, using what is known based on current implementations, they may affect participant behavior in ways that are outside the scope of the research and thus limit the generalizability of the findings.</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very much agree with the point that the situations and automated vehicle behaviors studied in this project need to match real-world situations and systems as closely as possible. We will use all available information to design the study scenarios to be representative of situations automation might encounter and might reasonably fall within a system’s operational design domain. We will review information about available automated vehicle systems and make sure that the design of our study is consistent with the design of the systems. </w:t>
            </w:r>
          </w:p>
          <w:p w:rsidR="008F1ABD" w:rsidRPr="00AE69E9" w:rsidP="005969B0" w14:paraId="13E8CDAB" w14:textId="677E4565">
            <w:pPr>
              <w:autoSpaceDE w:val="0"/>
              <w:autoSpaceDN w:val="0"/>
              <w:adjustRightInd w:val="0"/>
              <w:spacing w:after="120" w:line="240" w:lineRule="auto"/>
            </w:pPr>
            <w:r w:rsidRPr="588E3AA7">
              <w:rPr>
                <w:rFonts w:ascii="Calibri" w:hAnsi="Calibri" w:cs="Calibri"/>
              </w:rPr>
              <w:t xml:space="preserve">NHTSA published a notice in the Federal Register </w:t>
            </w:r>
            <w:r w:rsidRPr="588E3AA7" w:rsidR="1451E6B3">
              <w:rPr>
                <w:rFonts w:ascii="Calibri" w:hAnsi="Calibri" w:cs="Calibri"/>
              </w:rPr>
              <w:t xml:space="preserve">on </w:t>
            </w:r>
            <w:r w:rsidR="00494258">
              <w:rPr>
                <w:rFonts w:ascii="Calibri" w:hAnsi="Calibri" w:cs="Calibri"/>
              </w:rPr>
              <w:t xml:space="preserve">June </w:t>
            </w:r>
            <w:r w:rsidR="001E07EE">
              <w:rPr>
                <w:rFonts w:ascii="Calibri" w:hAnsi="Calibri" w:cs="Calibri"/>
              </w:rPr>
              <w:t>11, 2024</w:t>
            </w:r>
            <w:r w:rsidR="004B76E7">
              <w:rPr>
                <w:rFonts w:ascii="Calibri" w:hAnsi="Calibri" w:cs="Calibri"/>
              </w:rPr>
              <w:t xml:space="preserve"> (</w:t>
            </w:r>
            <w:r w:rsidR="001E07EE">
              <w:rPr>
                <w:rFonts w:ascii="Calibri" w:hAnsi="Calibri" w:cs="Calibri"/>
              </w:rPr>
              <w:t>89</w:t>
            </w:r>
            <w:r w:rsidR="004B76E7">
              <w:rPr>
                <w:rFonts w:ascii="Calibri" w:hAnsi="Calibri" w:cs="Calibri"/>
              </w:rPr>
              <w:t xml:space="preserve"> FR </w:t>
            </w:r>
            <w:r w:rsidRPr="00F17D61" w:rsidR="009B51AA">
              <w:rPr>
                <w:rFonts w:ascii="Calibri" w:hAnsi="Calibri" w:cs="Calibri"/>
              </w:rPr>
              <w:t>492</w:t>
            </w:r>
            <w:r w:rsidRPr="00F17D61" w:rsidR="00F17D61">
              <w:rPr>
                <w:rFonts w:ascii="Calibri" w:hAnsi="Calibri" w:cs="Calibri"/>
              </w:rPr>
              <w:t>68</w:t>
            </w:r>
            <w:r w:rsidRPr="00E61953" w:rsidR="004B76E7">
              <w:rPr>
                <w:rFonts w:ascii="Calibri" w:hAnsi="Calibri" w:cs="Calibri"/>
              </w:rPr>
              <w:t>)</w:t>
            </w:r>
            <w:r w:rsidRPr="588E3AA7">
              <w:rPr>
                <w:rFonts w:ascii="Calibri" w:hAnsi="Calibri" w:cs="Calibri"/>
              </w:rPr>
              <w:t xml:space="preserve"> with a 30-day public comment period to announce that NHTSA intended to forward the request for the proposed information collection to OMB. </w:t>
            </w:r>
          </w:p>
          <w:p w:rsidR="008F1ABD" w:rsidRPr="00AE69E9" w:rsidP="005969B0" w14:paraId="7ADD1157" w14:textId="74009C9F">
            <w:pPr>
              <w:autoSpaceDE w:val="0"/>
              <w:autoSpaceDN w:val="0"/>
              <w:adjustRightInd w:val="0"/>
              <w:spacing w:after="120" w:line="240" w:lineRule="auto"/>
              <w:rPr>
                <w:rFonts w:ascii="Calibri" w:hAnsi="Calibri" w:cs="Calibri"/>
                <w:highlight w:val="yellow"/>
              </w:rPr>
            </w:pPr>
          </w:p>
        </w:tc>
      </w:tr>
      <w:tr w14:paraId="634DBE40" w14:textId="77777777" w:rsidTr="02858895">
        <w:tblPrEx>
          <w:tblW w:w="9450" w:type="dxa"/>
          <w:tblLook w:val="04A0"/>
        </w:tblPrEx>
        <w:tc>
          <w:tcPr>
            <w:tcW w:w="9450" w:type="dxa"/>
            <w:shd w:val="clear" w:color="auto" w:fill="F2F2F2" w:themeFill="background1" w:themeFillShade="F2"/>
          </w:tcPr>
          <w:p w:rsidR="001024BB" w:rsidRPr="00266566" w:rsidP="005969B0" w14:paraId="2D139527" w14:textId="03E548E0">
            <w:pPr>
              <w:spacing w:after="120" w:line="240" w:lineRule="auto"/>
              <w:rPr>
                <w:i/>
                <w:iCs/>
                <w:sz w:val="20"/>
                <w:szCs w:val="20"/>
              </w:rPr>
            </w:pPr>
            <w:r w:rsidRPr="588E3AA7">
              <w:rPr>
                <w:b/>
                <w:bCs/>
              </w:rPr>
              <w:t xml:space="preserve">9. </w:t>
            </w:r>
            <w:r w:rsidRPr="588E3AA7">
              <w:rPr>
                <w:b/>
                <w:bCs/>
                <w:u w:val="single"/>
              </w:rPr>
              <w:t xml:space="preserve">Payment </w:t>
            </w:r>
            <w:r w:rsidRPr="588E3AA7">
              <w:rPr>
                <w:b/>
                <w:bCs/>
                <w:u w:val="single"/>
              </w:rPr>
              <w:t>Or</w:t>
            </w:r>
            <w:r w:rsidRPr="588E3AA7">
              <w:rPr>
                <w:b/>
                <w:bCs/>
                <w:u w:val="single"/>
              </w:rPr>
              <w:t xml:space="preserve"> Gifts To Respondents</w:t>
            </w:r>
            <w:r w:rsidRPr="588E3AA7">
              <w:rPr>
                <w:b/>
                <w:bCs/>
              </w:rPr>
              <w:t>.</w:t>
            </w:r>
            <w:r>
              <w:t xml:space="preserve"> </w:t>
            </w:r>
            <w:r w:rsidRPr="588E3AA7">
              <w:rPr>
                <w:i/>
                <w:iCs/>
                <w:sz w:val="20"/>
                <w:szCs w:val="20"/>
              </w:rPr>
              <w:t>Explain any decision to provide any payment or gift to respondents, other than remuneration of contractors or grantees.</w:t>
            </w:r>
          </w:p>
        </w:tc>
      </w:tr>
      <w:tr w14:paraId="049F227A" w14:textId="77777777" w:rsidTr="02858895">
        <w:tblPrEx>
          <w:tblW w:w="9450" w:type="dxa"/>
          <w:tblLook w:val="04A0"/>
        </w:tblPrEx>
        <w:tc>
          <w:tcPr>
            <w:tcW w:w="9450" w:type="dxa"/>
            <w:tcBorders>
              <w:bottom w:val="single" w:sz="4" w:space="0" w:color="auto"/>
            </w:tcBorders>
          </w:tcPr>
          <w:p w:rsidR="00C203EC" w:rsidP="005969B0" w14:paraId="0BBF074E" w14:textId="51CD83A8">
            <w:pPr>
              <w:autoSpaceDE w:val="0"/>
              <w:autoSpaceDN w:val="0"/>
              <w:adjustRightInd w:val="0"/>
              <w:spacing w:after="120" w:line="240" w:lineRule="auto"/>
              <w:rPr>
                <w:rFonts w:ascii="Calibri" w:hAnsi="Calibri" w:cs="Calibri"/>
              </w:rPr>
            </w:pPr>
            <w:r w:rsidRPr="588E3AA7">
              <w:rPr>
                <w:rFonts w:ascii="Calibri" w:hAnsi="Calibri" w:cs="Calibri"/>
              </w:rPr>
              <w:t xml:space="preserve">For </w:t>
            </w:r>
            <w:r w:rsidR="001F7F76">
              <w:rPr>
                <w:rFonts w:ascii="Calibri" w:hAnsi="Calibri" w:cs="Calibri"/>
              </w:rPr>
              <w:t>the Eligibility Questionnaire</w:t>
            </w:r>
            <w:r w:rsidRPr="588E3AA7">
              <w:rPr>
                <w:rFonts w:ascii="Calibri" w:hAnsi="Calibri" w:cs="Calibri"/>
              </w:rPr>
              <w:t>, n</w:t>
            </w:r>
            <w:r w:rsidRPr="588E3AA7" w:rsidR="053706C8">
              <w:rPr>
                <w:rFonts w:ascii="Calibri" w:hAnsi="Calibri" w:cs="Calibri"/>
              </w:rPr>
              <w:t>o payment or gift will be provided to respondents</w:t>
            </w:r>
            <w:r w:rsidRPr="588E3AA7" w:rsidR="28132856">
              <w:rPr>
                <w:rFonts w:ascii="Calibri" w:hAnsi="Calibri" w:cs="Calibri"/>
              </w:rPr>
              <w:t>.</w:t>
            </w:r>
          </w:p>
          <w:p w:rsidR="0078254F" w:rsidP="005969B0" w14:paraId="6DFC41C2" w14:textId="0A242ABE">
            <w:pPr>
              <w:autoSpaceDE w:val="0"/>
              <w:autoSpaceDN w:val="0"/>
              <w:adjustRightInd w:val="0"/>
              <w:spacing w:after="120" w:line="240" w:lineRule="auto"/>
              <w:rPr>
                <w:rFonts w:ascii="Calibri" w:hAnsi="Calibri" w:cs="Calibri"/>
              </w:rPr>
            </w:pPr>
            <w:r w:rsidRPr="02858895">
              <w:rPr>
                <w:rFonts w:ascii="Calibri" w:hAnsi="Calibri" w:cs="Calibri"/>
              </w:rPr>
              <w:t xml:space="preserve">For remaining </w:t>
            </w:r>
            <w:r w:rsidR="00535900">
              <w:rPr>
                <w:rFonts w:ascii="Calibri" w:hAnsi="Calibri" w:cs="Calibri"/>
              </w:rPr>
              <w:t>collections</w:t>
            </w:r>
            <w:r w:rsidRPr="02858895">
              <w:rPr>
                <w:rFonts w:ascii="Calibri" w:hAnsi="Calibri" w:cs="Calibri"/>
              </w:rPr>
              <w:t xml:space="preserve"> and procedures, </w:t>
            </w:r>
            <w:r w:rsidRPr="02858895" w:rsidR="37C7C350">
              <w:rPr>
                <w:rFonts w:ascii="Calibri" w:hAnsi="Calibri" w:cs="Calibri"/>
              </w:rPr>
              <w:t xml:space="preserve">NHTSA </w:t>
            </w:r>
            <w:r w:rsidRPr="02858895" w:rsidR="2BEB1900">
              <w:rPr>
                <w:rFonts w:ascii="Calibri" w:hAnsi="Calibri" w:cs="Calibri"/>
              </w:rPr>
              <w:t xml:space="preserve">plans to </w:t>
            </w:r>
            <w:r w:rsidRPr="02858895" w:rsidR="37C7C350">
              <w:rPr>
                <w:rFonts w:ascii="Calibri" w:hAnsi="Calibri" w:cs="Calibri"/>
              </w:rPr>
              <w:t xml:space="preserve">provide monetary payment </w:t>
            </w:r>
            <w:r w:rsidRPr="02858895" w:rsidR="58FFBC3A">
              <w:rPr>
                <w:rFonts w:ascii="Calibri" w:hAnsi="Calibri" w:cs="Calibri"/>
              </w:rPr>
              <w:t xml:space="preserve">at </w:t>
            </w:r>
            <w:r w:rsidRPr="02858895" w:rsidR="52AC5904">
              <w:rPr>
                <w:rFonts w:ascii="Calibri" w:hAnsi="Calibri" w:cs="Calibri"/>
              </w:rPr>
              <w:t xml:space="preserve">a </w:t>
            </w:r>
            <w:r w:rsidRPr="02858895" w:rsidR="58FFBC3A">
              <w:rPr>
                <w:rFonts w:ascii="Calibri" w:hAnsi="Calibri" w:cs="Calibri"/>
              </w:rPr>
              <w:t xml:space="preserve">rate </w:t>
            </w:r>
            <w:r w:rsidRPr="02858895" w:rsidR="37C7C350">
              <w:rPr>
                <w:rFonts w:ascii="Calibri" w:hAnsi="Calibri" w:cs="Calibri"/>
              </w:rPr>
              <w:t>of $</w:t>
            </w:r>
            <w:r w:rsidRPr="02858895" w:rsidR="4F9E1C09">
              <w:rPr>
                <w:rFonts w:ascii="Calibri" w:hAnsi="Calibri" w:cs="Calibri"/>
              </w:rPr>
              <w:t>36</w:t>
            </w:r>
            <w:r w:rsidRPr="02858895" w:rsidR="37C7C350">
              <w:rPr>
                <w:rFonts w:ascii="Calibri" w:hAnsi="Calibri" w:cs="Calibri"/>
              </w:rPr>
              <w:t xml:space="preserve"> per hour for study participation. Such compensation is consistent with normal experimental practice to compensate participants for their time and encourage participation in </w:t>
            </w:r>
            <w:r w:rsidRPr="000B582D" w:rsidR="48648D8C">
              <w:rPr>
                <w:rFonts w:ascii="Calibri" w:hAnsi="Calibri" w:cs="Calibri"/>
              </w:rPr>
              <w:t>research studies</w:t>
            </w:r>
            <w:r w:rsidRPr="000B582D" w:rsidR="37C7C350">
              <w:rPr>
                <w:rFonts w:ascii="Calibri" w:hAnsi="Calibri" w:cs="Calibri"/>
              </w:rPr>
              <w:t xml:space="preserve">. </w:t>
            </w:r>
            <w:r w:rsidRPr="000B582D" w:rsidR="136E7554">
              <w:rPr>
                <w:rFonts w:ascii="Calibri" w:hAnsi="Calibri" w:cs="Calibri"/>
              </w:rPr>
              <w:t>According to the Midwest Information Office of the Bureau of Labor Statistics</w:t>
            </w:r>
            <w:r w:rsidRPr="000B582D" w:rsidR="553A77F0">
              <w:rPr>
                <w:rFonts w:ascii="Calibri" w:hAnsi="Calibri" w:cs="Calibri"/>
              </w:rPr>
              <w:t xml:space="preserve"> (https://www.bls.gov/regions/midwest/news-release/occupationalemploymentandwages_iowacity.htm)</w:t>
            </w:r>
            <w:r w:rsidRPr="000B582D" w:rsidR="136E7554">
              <w:rPr>
                <w:rFonts w:ascii="Calibri" w:hAnsi="Calibri" w:cs="Calibri"/>
              </w:rPr>
              <w:t>,</w:t>
            </w:r>
            <w:r w:rsidRPr="02858895" w:rsidR="136E7554">
              <w:rPr>
                <w:rFonts w:ascii="Calibri" w:hAnsi="Calibri" w:cs="Calibri"/>
              </w:rPr>
              <w:t xml:space="preserve"> t</w:t>
            </w:r>
            <w:r w:rsidRPr="02858895" w:rsidR="7C5A4EA4">
              <w:rPr>
                <w:rFonts w:ascii="Calibri" w:hAnsi="Calibri" w:cs="Calibri"/>
              </w:rPr>
              <w:t xml:space="preserve">he local average hourly rate across occupations is roughly $27, and the highest hourly rate </w:t>
            </w:r>
            <w:r w:rsidRPr="02858895" w:rsidR="136E7554">
              <w:rPr>
                <w:rFonts w:ascii="Calibri" w:hAnsi="Calibri" w:cs="Calibri"/>
              </w:rPr>
              <w:t>is roughly $46.50.</w:t>
            </w:r>
            <w:r w:rsidR="00B3531C">
              <w:rPr>
                <w:rFonts w:ascii="Calibri" w:hAnsi="Calibri" w:cs="Calibri"/>
              </w:rPr>
              <w:t xml:space="preserve"> </w:t>
            </w:r>
            <w:r w:rsidR="00F4140E">
              <w:rPr>
                <w:rFonts w:ascii="Calibri" w:hAnsi="Calibri" w:cs="Calibri"/>
              </w:rPr>
              <w:t>W</w:t>
            </w:r>
            <w:r w:rsidRPr="02858895" w:rsidR="136E7554">
              <w:rPr>
                <w:rFonts w:ascii="Calibri" w:hAnsi="Calibri" w:cs="Calibri"/>
              </w:rPr>
              <w:t xml:space="preserve">e determined that $36 per hour </w:t>
            </w:r>
            <w:r w:rsidR="00F4140E">
              <w:rPr>
                <w:rFonts w:ascii="Calibri" w:hAnsi="Calibri" w:cs="Calibri"/>
              </w:rPr>
              <w:t>is appropriate to capture a wider range of participants</w:t>
            </w:r>
            <w:r w:rsidR="00B3531C">
              <w:rPr>
                <w:rFonts w:ascii="Calibri" w:hAnsi="Calibri" w:cs="Calibri"/>
              </w:rPr>
              <w:t>.</w:t>
            </w:r>
            <w:r w:rsidR="00425EB8">
              <w:rPr>
                <w:rFonts w:ascii="Calibri" w:hAnsi="Calibri" w:cs="Calibri"/>
              </w:rPr>
              <w:t xml:space="preserve"> </w:t>
            </w:r>
            <w:r w:rsidRPr="00185334" w:rsidR="00185334">
              <w:rPr>
                <w:rFonts w:ascii="Calibri" w:hAnsi="Calibri" w:cs="Calibri"/>
              </w:rPr>
              <w:t xml:space="preserve"> </w:t>
            </w:r>
            <w:r w:rsidR="00B3531C">
              <w:rPr>
                <w:rFonts w:ascii="Calibri" w:hAnsi="Calibri" w:cs="Calibri"/>
              </w:rPr>
              <w:t>R</w:t>
            </w:r>
            <w:r w:rsidRPr="00185334" w:rsidR="00185334">
              <w:rPr>
                <w:rFonts w:ascii="Calibri" w:hAnsi="Calibri" w:cs="Calibri"/>
              </w:rPr>
              <w:t>ecruit</w:t>
            </w:r>
            <w:r w:rsidR="00425EB8">
              <w:rPr>
                <w:rFonts w:ascii="Calibri" w:hAnsi="Calibri" w:cs="Calibri"/>
              </w:rPr>
              <w:t>ment of</w:t>
            </w:r>
            <w:r w:rsidRPr="00185334" w:rsidR="00185334">
              <w:rPr>
                <w:rFonts w:ascii="Calibri" w:hAnsi="Calibri" w:cs="Calibri"/>
              </w:rPr>
              <w:t xml:space="preserve"> non-college aged individuals</w:t>
            </w:r>
            <w:r w:rsidR="00425EB8">
              <w:rPr>
                <w:rFonts w:ascii="Calibri" w:hAnsi="Calibri" w:cs="Calibri"/>
              </w:rPr>
              <w:t xml:space="preserve"> should</w:t>
            </w:r>
            <w:r w:rsidRPr="00185334" w:rsidR="00185334">
              <w:rPr>
                <w:rFonts w:ascii="Calibri" w:hAnsi="Calibri" w:cs="Calibri"/>
              </w:rPr>
              <w:t xml:space="preserve"> be competitive with hourly rates found in a college town without payment being coercive</w:t>
            </w:r>
            <w:r w:rsidR="00425EB8">
              <w:rPr>
                <w:rFonts w:ascii="Calibri" w:hAnsi="Calibri" w:cs="Calibri"/>
              </w:rPr>
              <w:t xml:space="preserve"> </w:t>
            </w:r>
            <w:r w:rsidR="00216A68">
              <w:rPr>
                <w:rFonts w:ascii="Calibri" w:hAnsi="Calibri" w:cs="Calibri"/>
              </w:rPr>
              <w:t xml:space="preserve">while also </w:t>
            </w:r>
            <w:r w:rsidRPr="00185334" w:rsidR="00185334">
              <w:rPr>
                <w:rFonts w:ascii="Calibri" w:hAnsi="Calibri" w:cs="Calibri"/>
              </w:rPr>
              <w:t xml:space="preserve">high enough to draw in professionals </w:t>
            </w:r>
            <w:r w:rsidR="00216A68">
              <w:rPr>
                <w:rFonts w:ascii="Calibri" w:hAnsi="Calibri" w:cs="Calibri"/>
              </w:rPr>
              <w:t xml:space="preserve">that make more than the average wage. </w:t>
            </w:r>
            <w:r w:rsidRPr="00185334" w:rsidR="00185334">
              <w:rPr>
                <w:rFonts w:ascii="Calibri" w:hAnsi="Calibri" w:cs="Calibri"/>
              </w:rPr>
              <w:t>This rate of pay is comparable to the current national average hourly rate and is also consistent with our experience recruiting study participants. The amount of compensation offered covers typical costs incurred such as travel. Our facility does not charge for parking and the nearest bus is free fare.</w:t>
            </w:r>
          </w:p>
          <w:p w:rsidR="00E021AF" w:rsidRPr="007B5D9F" w:rsidP="005969B0" w14:paraId="69051FBA" w14:textId="0D5E49B6">
            <w:pPr>
              <w:autoSpaceDE w:val="0"/>
              <w:autoSpaceDN w:val="0"/>
              <w:adjustRightInd w:val="0"/>
              <w:spacing w:after="120" w:line="240" w:lineRule="auto"/>
              <w:rPr>
                <w:rFonts w:ascii="Calibri" w:hAnsi="Calibri" w:cs="Calibri"/>
              </w:rPr>
            </w:pPr>
            <w:r w:rsidRPr="588E3AA7">
              <w:rPr>
                <w:rFonts w:ascii="Calibri" w:hAnsi="Calibri" w:cs="Calibri"/>
              </w:rPr>
              <w:t xml:space="preserve">The </w:t>
            </w:r>
            <w:r w:rsidRPr="588E3AA7" w:rsidR="315401EF">
              <w:rPr>
                <w:rFonts w:ascii="Calibri" w:hAnsi="Calibri" w:cs="Calibri"/>
              </w:rPr>
              <w:t>compensation rate</w:t>
            </w:r>
            <w:r w:rsidRPr="588E3AA7">
              <w:rPr>
                <w:rFonts w:ascii="Calibri" w:hAnsi="Calibri" w:cs="Calibri"/>
              </w:rPr>
              <w:t xml:space="preserve"> </w:t>
            </w:r>
            <w:r w:rsidR="00185334">
              <w:rPr>
                <w:rFonts w:ascii="Calibri" w:hAnsi="Calibri" w:cs="Calibri"/>
              </w:rPr>
              <w:t>was</w:t>
            </w:r>
            <w:r w:rsidRPr="588E3AA7" w:rsidR="315401EF">
              <w:rPr>
                <w:rFonts w:ascii="Calibri" w:hAnsi="Calibri" w:cs="Calibri"/>
              </w:rPr>
              <w:t xml:space="preserve"> reviewed </w:t>
            </w:r>
            <w:r w:rsidR="00185334">
              <w:rPr>
                <w:rFonts w:ascii="Calibri" w:hAnsi="Calibri" w:cs="Calibri"/>
              </w:rPr>
              <w:t xml:space="preserve">and approved </w:t>
            </w:r>
            <w:r w:rsidRPr="588E3AA7" w:rsidR="315401EF">
              <w:rPr>
                <w:rFonts w:ascii="Calibri" w:hAnsi="Calibri" w:cs="Calibri"/>
              </w:rPr>
              <w:t>by an independent Institutional Review Board.</w:t>
            </w:r>
          </w:p>
        </w:tc>
      </w:tr>
      <w:tr w14:paraId="0A1360C7" w14:textId="77777777" w:rsidTr="02858895">
        <w:tblPrEx>
          <w:tblW w:w="9450" w:type="dxa"/>
          <w:tblLook w:val="04A0"/>
        </w:tblPrEx>
        <w:tc>
          <w:tcPr>
            <w:tcW w:w="9450" w:type="dxa"/>
            <w:shd w:val="clear" w:color="auto" w:fill="F2F2F2" w:themeFill="background1" w:themeFillShade="F2"/>
          </w:tcPr>
          <w:p w:rsidR="001024BB" w:rsidRPr="00266566" w:rsidP="005969B0" w14:paraId="67FA581E" w14:textId="0F00D2EC">
            <w:pPr>
              <w:spacing w:after="120" w:line="240" w:lineRule="auto"/>
              <w:rPr>
                <w:i/>
                <w:iCs/>
                <w:sz w:val="20"/>
                <w:szCs w:val="20"/>
              </w:rPr>
            </w:pPr>
            <w:r w:rsidRPr="588E3AA7">
              <w:rPr>
                <w:b/>
                <w:bCs/>
              </w:rPr>
              <w:t xml:space="preserve">10. </w:t>
            </w:r>
            <w:r w:rsidRPr="588E3AA7">
              <w:rPr>
                <w:b/>
                <w:bCs/>
                <w:u w:val="single"/>
              </w:rPr>
              <w:t xml:space="preserve">Assurance </w:t>
            </w:r>
            <w:r w:rsidRPr="588E3AA7" w:rsidR="7BDF7C4F">
              <w:rPr>
                <w:b/>
                <w:bCs/>
                <w:u w:val="single"/>
              </w:rPr>
              <w:t>o</w:t>
            </w:r>
            <w:r w:rsidRPr="588E3AA7">
              <w:rPr>
                <w:b/>
                <w:bCs/>
                <w:u w:val="single"/>
              </w:rPr>
              <w:t>f Confidentiality</w:t>
            </w:r>
            <w:r w:rsidRPr="588E3AA7">
              <w:rPr>
                <w:b/>
                <w:bCs/>
              </w:rPr>
              <w:t>.</w:t>
            </w:r>
            <w:r>
              <w:t xml:space="preserve"> </w:t>
            </w:r>
            <w:r w:rsidRPr="588E3AA7">
              <w:rPr>
                <w:i/>
                <w:iCs/>
                <w:sz w:val="20"/>
                <w:szCs w:val="20"/>
              </w:rPr>
              <w:t>Describe any assurance of confidentiality provided to respondents and the basis for the assurance in statute, regulation, or agency policy.</w:t>
            </w:r>
            <w:r w:rsidRPr="588E3AA7" w:rsidR="497EC8C2">
              <w:rPr>
                <w:i/>
                <w:iCs/>
                <w:sz w:val="20"/>
                <w:szCs w:val="20"/>
              </w:rPr>
              <w:t xml:space="preserve"> If the collection requires a </w:t>
            </w:r>
            <w:r w:rsidRPr="588E3AA7" w:rsidR="497EC8C2">
              <w:rPr>
                <w:i/>
                <w:iCs/>
                <w:sz w:val="20"/>
                <w:szCs w:val="20"/>
              </w:rPr>
              <w:t>systems of records notice (SORN)</w:t>
            </w:r>
            <w:r w:rsidRPr="588E3AA7" w:rsidR="497EC8C2">
              <w:rPr>
                <w:i/>
                <w:iCs/>
                <w:sz w:val="20"/>
                <w:szCs w:val="20"/>
              </w:rPr>
              <w:t xml:space="preserve"> or privacy impact assessment (PIA), those should be cited and described here.</w:t>
            </w:r>
          </w:p>
        </w:tc>
      </w:tr>
      <w:tr w14:paraId="493382AF" w14:textId="77777777" w:rsidTr="02858895">
        <w:tblPrEx>
          <w:tblW w:w="9450" w:type="dxa"/>
          <w:tblLook w:val="04A0"/>
        </w:tblPrEx>
        <w:tc>
          <w:tcPr>
            <w:tcW w:w="9450" w:type="dxa"/>
            <w:tcBorders>
              <w:bottom w:val="single" w:sz="4" w:space="0" w:color="auto"/>
            </w:tcBorders>
          </w:tcPr>
          <w:p w:rsidR="008A39FD" w:rsidRPr="00CE6022" w:rsidP="005969B0" w14:paraId="192FF680" w14:textId="5F43DF84">
            <w:pPr>
              <w:autoSpaceDE w:val="0"/>
              <w:autoSpaceDN w:val="0"/>
              <w:adjustRightInd w:val="0"/>
              <w:spacing w:after="120" w:line="240" w:lineRule="auto"/>
              <w:rPr>
                <w:rFonts w:ascii="Calibri" w:hAnsi="Calibri" w:cs="Calibri"/>
              </w:rPr>
            </w:pPr>
            <w:r w:rsidRPr="588E3AA7">
              <w:rPr>
                <w:rFonts w:ascii="Calibri" w:hAnsi="Calibri" w:cs="Calibri"/>
              </w:rPr>
              <w:t>All data will be treated with sensitivity and security considerations commensurate with its level of confidential content. The University of Iowa Institutional Review Board (IRB) will review all instruments, informed consent materials, and procedures to ensure that the rights of individuals participating in the study are safeguarded before recruitment for the study can begin. The IRB is a specially constituted review body established to protect the welfare of human subjects recruited to participate in research.</w:t>
            </w:r>
          </w:p>
          <w:p w:rsidR="008A39FD" w:rsidP="005969B0" w14:paraId="37442735" w14:textId="77777777">
            <w:pPr>
              <w:autoSpaceDE w:val="0"/>
              <w:autoSpaceDN w:val="0"/>
              <w:adjustRightInd w:val="0"/>
              <w:spacing w:after="120" w:line="240" w:lineRule="auto"/>
              <w:rPr>
                <w:rFonts w:ascii="Calibri" w:hAnsi="Calibri" w:cs="Calibri"/>
              </w:rPr>
            </w:pPr>
            <w:r w:rsidRPr="02858895">
              <w:rPr>
                <w:rFonts w:ascii="Calibri" w:hAnsi="Calibri" w:cs="Calibri"/>
              </w:rPr>
              <w:t>As stated in the informed consent forms</w:t>
            </w:r>
            <w:r w:rsidRPr="02858895" w:rsidR="7025B4A8">
              <w:rPr>
                <w:rFonts w:ascii="Calibri" w:hAnsi="Calibri" w:cs="Calibri"/>
              </w:rPr>
              <w:t xml:space="preserve"> (NHTSA Forms </w:t>
            </w:r>
            <w:r w:rsidR="0095452E">
              <w:rPr>
                <w:rFonts w:ascii="Calibri" w:hAnsi="Calibri" w:cs="Calibri"/>
              </w:rPr>
              <w:t>1743</w:t>
            </w:r>
            <w:r w:rsidRPr="0095452E">
              <w:rPr>
                <w:rFonts w:ascii="Calibri" w:hAnsi="Calibri" w:cs="Calibri"/>
              </w:rPr>
              <w:t>,</w:t>
            </w:r>
            <w:r w:rsidRPr="0095452E" w:rsidR="67216C81">
              <w:rPr>
                <w:rFonts w:ascii="Calibri" w:hAnsi="Calibri" w:cs="Calibri"/>
              </w:rPr>
              <w:t xml:space="preserve"> </w:t>
            </w:r>
            <w:r w:rsidR="0095452E">
              <w:rPr>
                <w:rFonts w:ascii="Calibri" w:hAnsi="Calibri" w:cs="Calibri"/>
              </w:rPr>
              <w:t>1744</w:t>
            </w:r>
            <w:r w:rsidRPr="0095452E" w:rsidR="67216C81">
              <w:rPr>
                <w:rFonts w:ascii="Calibri" w:hAnsi="Calibri" w:cs="Calibri"/>
              </w:rPr>
              <w:t xml:space="preserve">, </w:t>
            </w:r>
            <w:r w:rsidR="0095452E">
              <w:rPr>
                <w:rFonts w:ascii="Calibri" w:hAnsi="Calibri" w:cs="Calibri"/>
              </w:rPr>
              <w:t>1745</w:t>
            </w:r>
            <w:r w:rsidRPr="02858895" w:rsidR="67216C81">
              <w:rPr>
                <w:rFonts w:ascii="Calibri" w:hAnsi="Calibri" w:cs="Calibri"/>
              </w:rPr>
              <w:t>)</w:t>
            </w:r>
            <w:r w:rsidRPr="02858895" w:rsidR="3FF552F4">
              <w:rPr>
                <w:rFonts w:ascii="Calibri" w:hAnsi="Calibri" w:cs="Calibri"/>
              </w:rPr>
              <w:t>,</w:t>
            </w:r>
            <w:r w:rsidRPr="02858895">
              <w:rPr>
                <w:rFonts w:ascii="Calibri" w:hAnsi="Calibri" w:cs="Calibri"/>
              </w:rPr>
              <w:t xml:space="preserve"> no individual results or personal information will be published. Published documents will provide only summary statistics that cannot be used to identify an individual. Links between individual names and study numbers will be securely stored according to the provisions of the University of Iowa Institutional Review Board.</w:t>
            </w:r>
            <w:r w:rsidRPr="02858895" w:rsidR="136E7554">
              <w:rPr>
                <w:rFonts w:ascii="Calibri" w:hAnsi="Calibri" w:cs="Calibri"/>
              </w:rPr>
              <w:t xml:space="preserve"> This</w:t>
            </w:r>
            <w:r w:rsidRPr="02858895" w:rsidR="0F5355E2">
              <w:rPr>
                <w:rFonts w:ascii="Calibri" w:hAnsi="Calibri" w:cs="Calibri"/>
              </w:rPr>
              <w:t xml:space="preserve"> identifying</w:t>
            </w:r>
            <w:r w:rsidRPr="02858895" w:rsidR="136E7554">
              <w:rPr>
                <w:rFonts w:ascii="Calibri" w:hAnsi="Calibri" w:cs="Calibri"/>
              </w:rPr>
              <w:t xml:space="preserve"> information will not be transmitted to NHTSA.</w:t>
            </w:r>
          </w:p>
          <w:p w:rsidR="005012B5" w:rsidRPr="00CE6022" w:rsidP="005969B0" w14:paraId="1E79FEDF" w14:textId="242BA6C6">
            <w:pPr>
              <w:autoSpaceDE w:val="0"/>
              <w:autoSpaceDN w:val="0"/>
              <w:adjustRightInd w:val="0"/>
              <w:spacing w:after="120" w:line="240" w:lineRule="auto"/>
              <w:rPr>
                <w:rFonts w:ascii="Calibri" w:hAnsi="Calibri" w:cs="Calibri"/>
              </w:rPr>
            </w:pPr>
            <w:r>
              <w:rPr>
                <w:rFonts w:ascii="Calibri" w:hAnsi="Calibri" w:cs="Calibri"/>
              </w:rPr>
              <w:t xml:space="preserve">There is an adjudicated Privacy Threshold Assessment (PTA) </w:t>
            </w:r>
            <w:r w:rsidR="005427C8">
              <w:rPr>
                <w:rFonts w:ascii="Calibri" w:hAnsi="Calibri" w:cs="Calibri"/>
              </w:rPr>
              <w:t>for this project.</w:t>
            </w:r>
          </w:p>
        </w:tc>
      </w:tr>
      <w:tr w14:paraId="437A6DF5" w14:textId="77777777" w:rsidTr="02858895">
        <w:tblPrEx>
          <w:tblW w:w="9450" w:type="dxa"/>
          <w:tblLook w:val="04A0"/>
        </w:tblPrEx>
        <w:tc>
          <w:tcPr>
            <w:tcW w:w="9450" w:type="dxa"/>
            <w:shd w:val="clear" w:color="auto" w:fill="F2F2F2" w:themeFill="background1" w:themeFillShade="F2"/>
          </w:tcPr>
          <w:p w:rsidR="001024BB" w:rsidRPr="00266566" w:rsidP="005969B0" w14:paraId="58294CF6" w14:textId="3E193F25">
            <w:pPr>
              <w:spacing w:after="120" w:line="240" w:lineRule="auto"/>
              <w:rPr>
                <w:i/>
                <w:iCs/>
                <w:sz w:val="20"/>
                <w:szCs w:val="20"/>
              </w:rPr>
            </w:pPr>
            <w:r w:rsidRPr="588E3AA7">
              <w:rPr>
                <w:b/>
                <w:bCs/>
              </w:rPr>
              <w:t xml:space="preserve">11. </w:t>
            </w:r>
            <w:r w:rsidRPr="588E3AA7">
              <w:rPr>
                <w:b/>
                <w:bCs/>
                <w:u w:val="single"/>
              </w:rPr>
              <w:t xml:space="preserve">Justification </w:t>
            </w:r>
            <w:r w:rsidRPr="588E3AA7" w:rsidR="06C6B0B1">
              <w:rPr>
                <w:b/>
                <w:bCs/>
                <w:u w:val="single"/>
              </w:rPr>
              <w:t>f</w:t>
            </w:r>
            <w:r w:rsidRPr="588E3AA7">
              <w:rPr>
                <w:b/>
                <w:bCs/>
                <w:u w:val="single"/>
              </w:rPr>
              <w:t xml:space="preserve">or Collection </w:t>
            </w:r>
            <w:r w:rsidRPr="588E3AA7" w:rsidR="06C6B0B1">
              <w:rPr>
                <w:b/>
                <w:bCs/>
                <w:u w:val="single"/>
              </w:rPr>
              <w:t>o</w:t>
            </w:r>
            <w:r w:rsidRPr="588E3AA7">
              <w:rPr>
                <w:b/>
                <w:bCs/>
                <w:u w:val="single"/>
              </w:rPr>
              <w:t>f Sensitive Information</w:t>
            </w:r>
            <w:r w:rsidRPr="588E3AA7">
              <w:rPr>
                <w:b/>
                <w:bCs/>
              </w:rPr>
              <w:t>.</w:t>
            </w:r>
            <w:r>
              <w:t xml:space="preserve"> </w:t>
            </w:r>
            <w:r w:rsidRPr="588E3AA7">
              <w:rPr>
                <w:i/>
                <w:iCs/>
                <w:sz w:val="2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tc>
      </w:tr>
      <w:tr w14:paraId="62AD1C05" w14:textId="77777777" w:rsidTr="02858895">
        <w:tblPrEx>
          <w:tblW w:w="9450" w:type="dxa"/>
          <w:tblLook w:val="04A0"/>
        </w:tblPrEx>
        <w:tc>
          <w:tcPr>
            <w:tcW w:w="9450" w:type="dxa"/>
          </w:tcPr>
          <w:p w:rsidR="082B9E32" w:rsidP="005969B0" w14:paraId="3FD10020" w14:textId="180093C6">
            <w:pPr>
              <w:spacing w:after="120" w:line="240" w:lineRule="auto"/>
              <w:rPr>
                <w:rFonts w:ascii="Calibri" w:hAnsi="Calibri" w:cs="Calibri"/>
              </w:rPr>
            </w:pPr>
            <w:r w:rsidRPr="588E3AA7">
              <w:rPr>
                <w:rFonts w:ascii="Calibri" w:hAnsi="Calibri" w:cs="Calibri"/>
              </w:rPr>
              <w:t>All recruitment screening question</w:t>
            </w:r>
            <w:r w:rsidR="00535900">
              <w:rPr>
                <w:rFonts w:ascii="Calibri" w:hAnsi="Calibri" w:cs="Calibri"/>
              </w:rPr>
              <w:t>s</w:t>
            </w:r>
            <w:r w:rsidRPr="588E3AA7">
              <w:rPr>
                <w:rFonts w:ascii="Calibri" w:hAnsi="Calibri" w:cs="Calibri"/>
              </w:rPr>
              <w:t xml:space="preserve"> are prefaced with a statement clarifying that responding is voluntary and that information will only be used for the purposes of study recruitment. </w:t>
            </w:r>
            <w:r w:rsidRPr="588E3AA7" w:rsidR="509FB1ED">
              <w:rPr>
                <w:rFonts w:ascii="Calibri" w:hAnsi="Calibri" w:cs="Calibri"/>
              </w:rPr>
              <w:t>We inquire about general health history as a safety precaution to screen for conditions that could prove dangerous to the individual or a research staff member. The responses to these health history questions are not recorded or reported on in the final dataset but are used as a screening tool.</w:t>
            </w:r>
          </w:p>
          <w:p w:rsidR="00583B98" w:rsidP="005969B0" w14:paraId="5CBE3D79" w14:textId="1B3DD0F9">
            <w:pPr>
              <w:autoSpaceDE w:val="0"/>
              <w:autoSpaceDN w:val="0"/>
              <w:adjustRightInd w:val="0"/>
              <w:spacing w:after="120" w:line="240" w:lineRule="auto"/>
              <w:rPr>
                <w:rFonts w:ascii="Calibri" w:hAnsi="Calibri" w:cs="Calibri"/>
              </w:rPr>
            </w:pPr>
            <w:r>
              <w:rPr>
                <w:rFonts w:ascii="Calibri" w:hAnsi="Calibri" w:cs="Calibri"/>
              </w:rPr>
              <w:t>The Eligibility Questionnaire</w:t>
            </w:r>
            <w:r w:rsidRPr="588E3AA7" w:rsidR="44E4724B">
              <w:rPr>
                <w:rFonts w:ascii="Calibri" w:hAnsi="Calibri" w:cs="Calibri"/>
              </w:rPr>
              <w:t xml:space="preserve"> </w:t>
            </w:r>
            <w:r w:rsidR="00E17138">
              <w:rPr>
                <w:rFonts w:ascii="Calibri" w:hAnsi="Calibri" w:cs="Calibri"/>
              </w:rPr>
              <w:t xml:space="preserve">involves </w:t>
            </w:r>
            <w:r w:rsidR="007C266D">
              <w:rPr>
                <w:rFonts w:ascii="Calibri" w:hAnsi="Calibri" w:cs="Calibri"/>
              </w:rPr>
              <w:t>questions that some individuals may deem sensitive but are medically necessary</w:t>
            </w:r>
            <w:r w:rsidRPr="588E3AA7" w:rsidR="2874E25A">
              <w:rPr>
                <w:rFonts w:ascii="Calibri" w:hAnsi="Calibri" w:cs="Calibri"/>
              </w:rPr>
              <w:t xml:space="preserve">. These questions </w:t>
            </w:r>
            <w:r w:rsidRPr="588E3AA7" w:rsidR="44E4724B">
              <w:rPr>
                <w:rFonts w:ascii="Calibri" w:hAnsi="Calibri" w:cs="Calibri"/>
              </w:rPr>
              <w:t>are used to ensure that</w:t>
            </w:r>
            <w:r w:rsidRPr="588E3AA7" w:rsidR="053706C8">
              <w:rPr>
                <w:rFonts w:ascii="Calibri" w:hAnsi="Calibri" w:cs="Calibri"/>
              </w:rPr>
              <w:t xml:space="preserve"> </w:t>
            </w:r>
            <w:r w:rsidRPr="588E3AA7" w:rsidR="44E4724B">
              <w:rPr>
                <w:rFonts w:ascii="Calibri" w:hAnsi="Calibri" w:cs="Calibri"/>
              </w:rPr>
              <w:t xml:space="preserve">individuals meet study eligibility </w:t>
            </w:r>
            <w:r w:rsidRPr="588E3AA7" w:rsidR="44E4724B">
              <w:rPr>
                <w:rFonts w:ascii="Calibri" w:hAnsi="Calibri" w:cs="Calibri"/>
              </w:rPr>
              <w:t>requirements prior to their enrollment.</w:t>
            </w:r>
            <w:r w:rsidR="0060161B">
              <w:rPr>
                <w:rFonts w:ascii="Calibri" w:hAnsi="Calibri" w:cs="Calibri"/>
              </w:rPr>
              <w:t xml:space="preserve"> B</w:t>
            </w:r>
            <w:r w:rsidRPr="0060161B" w:rsidR="0060161B">
              <w:rPr>
                <w:rFonts w:ascii="Calibri" w:hAnsi="Calibri" w:cs="Calibri"/>
              </w:rPr>
              <w:t xml:space="preserve">ranching and display logic used in the questionnaire </w:t>
            </w:r>
            <w:r w:rsidR="0060161B">
              <w:rPr>
                <w:rFonts w:ascii="Calibri" w:hAnsi="Calibri" w:cs="Calibri"/>
              </w:rPr>
              <w:t>screen out individuals in block</w:t>
            </w:r>
            <w:r w:rsidR="00C94507">
              <w:rPr>
                <w:rFonts w:ascii="Calibri" w:hAnsi="Calibri" w:cs="Calibri"/>
              </w:rPr>
              <w:t>s</w:t>
            </w:r>
            <w:r w:rsidR="0060161B">
              <w:rPr>
                <w:rFonts w:ascii="Calibri" w:hAnsi="Calibri" w:cs="Calibri"/>
              </w:rPr>
              <w:t xml:space="preserve"> to allow for the fewest number of sensitive questions asked to determine eligibility</w:t>
            </w:r>
            <w:r w:rsidRPr="0060161B" w:rsidR="0060161B">
              <w:rPr>
                <w:rFonts w:ascii="Calibri" w:hAnsi="Calibri" w:cs="Calibri"/>
              </w:rPr>
              <w:t>.</w:t>
            </w:r>
            <w:r w:rsidRPr="588E3AA7" w:rsidR="700C968E">
              <w:rPr>
                <w:rFonts w:ascii="Calibri" w:hAnsi="Calibri" w:cs="Calibri"/>
              </w:rPr>
              <w:t xml:space="preserve"> </w:t>
            </w:r>
            <w:r w:rsidRPr="588E3AA7" w:rsidR="44E4724B">
              <w:rPr>
                <w:rFonts w:ascii="Calibri" w:hAnsi="Calibri" w:cs="Calibri"/>
              </w:rPr>
              <w:t>Age</w:t>
            </w:r>
            <w:r w:rsidR="00BF2D60">
              <w:rPr>
                <w:rFonts w:ascii="Calibri" w:hAnsi="Calibri" w:cs="Calibri"/>
              </w:rPr>
              <w:t>,</w:t>
            </w:r>
            <w:r w:rsidR="00E53712">
              <w:rPr>
                <w:rFonts w:ascii="Calibri" w:hAnsi="Calibri" w:cs="Calibri"/>
              </w:rPr>
              <w:t xml:space="preserve"> </w:t>
            </w:r>
            <w:r w:rsidRPr="588E3AA7" w:rsidR="2874E25A">
              <w:rPr>
                <w:rFonts w:ascii="Calibri" w:hAnsi="Calibri" w:cs="Calibri"/>
              </w:rPr>
              <w:t>sex</w:t>
            </w:r>
            <w:r w:rsidR="00E53712">
              <w:rPr>
                <w:rFonts w:ascii="Calibri" w:hAnsi="Calibri" w:cs="Calibri"/>
              </w:rPr>
              <w:t>, and gender</w:t>
            </w:r>
            <w:r w:rsidRPr="588E3AA7" w:rsidR="44E4724B">
              <w:rPr>
                <w:rFonts w:ascii="Calibri" w:hAnsi="Calibri" w:cs="Calibri"/>
              </w:rPr>
              <w:t xml:space="preserve"> information </w:t>
            </w:r>
            <w:r w:rsidRPr="588E3AA7" w:rsidR="23B0A844">
              <w:rPr>
                <w:rFonts w:ascii="Calibri" w:hAnsi="Calibri" w:cs="Calibri"/>
              </w:rPr>
              <w:t>will be</w:t>
            </w:r>
            <w:r w:rsidRPr="588E3AA7" w:rsidR="44E4724B">
              <w:rPr>
                <w:rFonts w:ascii="Calibri" w:hAnsi="Calibri" w:cs="Calibri"/>
              </w:rPr>
              <w:t xml:space="preserve"> collected to </w:t>
            </w:r>
            <w:r w:rsidRPr="588E3AA7" w:rsidR="23B0A844">
              <w:rPr>
                <w:rFonts w:ascii="Calibri" w:hAnsi="Calibri" w:cs="Calibri"/>
              </w:rPr>
              <w:t>assign participants</w:t>
            </w:r>
            <w:r w:rsidRPr="588E3AA7" w:rsidR="44E4724B">
              <w:rPr>
                <w:rFonts w:ascii="Calibri" w:hAnsi="Calibri" w:cs="Calibri"/>
              </w:rPr>
              <w:t xml:space="preserve"> to the experimental conditions</w:t>
            </w:r>
            <w:r w:rsidR="00E53712">
              <w:rPr>
                <w:rFonts w:ascii="Calibri" w:hAnsi="Calibri" w:cs="Calibri"/>
              </w:rPr>
              <w:t>. While efforts will be made to balance the assignment of participants by age and sex, there may be some imbalances in order to be inclusive of those who do not identify on the binary and as a result of differences in how sex may be identified on drivers’ licenses across States</w:t>
            </w:r>
            <w:r w:rsidR="004D4957">
              <w:rPr>
                <w:rFonts w:ascii="Calibri" w:hAnsi="Calibri" w:cs="Calibri"/>
              </w:rPr>
              <w:t xml:space="preserve">. </w:t>
            </w:r>
            <w:r w:rsidRPr="588E3AA7" w:rsidR="44E4724B">
              <w:rPr>
                <w:rFonts w:ascii="Calibri" w:hAnsi="Calibri" w:cs="Calibri"/>
              </w:rPr>
              <w:t xml:space="preserve">Some </w:t>
            </w:r>
            <w:r w:rsidRPr="588E3AA7" w:rsidR="38088F71">
              <w:rPr>
                <w:rFonts w:ascii="Calibri" w:hAnsi="Calibri" w:cs="Calibri"/>
              </w:rPr>
              <w:t xml:space="preserve">screening </w:t>
            </w:r>
            <w:r w:rsidRPr="588E3AA7" w:rsidR="44E4724B">
              <w:rPr>
                <w:rFonts w:ascii="Calibri" w:hAnsi="Calibri" w:cs="Calibri"/>
              </w:rPr>
              <w:t>questions address topics that are commonly considered private, such as general health information</w:t>
            </w:r>
            <w:r w:rsidRPr="588E3AA7" w:rsidR="2874E25A">
              <w:rPr>
                <w:rFonts w:ascii="Calibri" w:hAnsi="Calibri" w:cs="Calibri"/>
              </w:rPr>
              <w:t xml:space="preserve"> </w:t>
            </w:r>
            <w:r w:rsidRPr="588E3AA7" w:rsidR="04A5D646">
              <w:rPr>
                <w:rFonts w:ascii="Calibri" w:hAnsi="Calibri" w:cs="Calibri"/>
              </w:rPr>
              <w:t xml:space="preserve">that may affect driving ability </w:t>
            </w:r>
            <w:r w:rsidRPr="588E3AA7" w:rsidR="5B1CB150">
              <w:rPr>
                <w:rFonts w:ascii="Calibri" w:hAnsi="Calibri" w:cs="Calibri"/>
              </w:rPr>
              <w:t>or ability to operate the simulator</w:t>
            </w:r>
            <w:r w:rsidRPr="588E3AA7" w:rsidR="44E4724B">
              <w:rPr>
                <w:rFonts w:ascii="Calibri" w:hAnsi="Calibri" w:cs="Calibri"/>
              </w:rPr>
              <w:t>.</w:t>
            </w:r>
          </w:p>
          <w:p w:rsidR="00583B98" w:rsidRPr="00A316EA" w:rsidP="005969B0" w14:paraId="060AAD75" w14:textId="3AA57074">
            <w:pPr>
              <w:autoSpaceDE w:val="0"/>
              <w:autoSpaceDN w:val="0"/>
              <w:adjustRightInd w:val="0"/>
              <w:spacing w:after="120" w:line="240" w:lineRule="auto"/>
              <w:rPr>
                <w:rFonts w:ascii="Calibri" w:hAnsi="Calibri" w:cs="Calibri"/>
              </w:rPr>
            </w:pPr>
            <w:r w:rsidRPr="588E3AA7">
              <w:rPr>
                <w:rFonts w:ascii="Calibri" w:hAnsi="Calibri" w:cs="Calibri"/>
              </w:rPr>
              <w:t xml:space="preserve">Health-related questions are posed </w:t>
            </w:r>
            <w:r w:rsidRPr="588E3AA7" w:rsidR="04A5D646">
              <w:rPr>
                <w:rFonts w:ascii="Calibri" w:hAnsi="Calibri" w:cs="Calibri"/>
              </w:rPr>
              <w:t xml:space="preserve">in </w:t>
            </w:r>
            <w:r w:rsidR="005D3C00">
              <w:rPr>
                <w:rFonts w:ascii="Calibri" w:hAnsi="Calibri" w:cs="Calibri"/>
              </w:rPr>
              <w:t>the Eligibility Questionnaire</w:t>
            </w:r>
            <w:r w:rsidRPr="588E3AA7" w:rsidR="04A5D646">
              <w:rPr>
                <w:rFonts w:ascii="Calibri" w:hAnsi="Calibri" w:cs="Calibri"/>
              </w:rPr>
              <w:t xml:space="preserve"> </w:t>
            </w:r>
            <w:r w:rsidRPr="588E3AA7">
              <w:rPr>
                <w:rFonts w:ascii="Calibri" w:hAnsi="Calibri" w:cs="Calibri"/>
              </w:rPr>
              <w:t xml:space="preserve">to ensure that the drivers could be considered of average driving ability, are healthy enough to safely participate in </w:t>
            </w:r>
            <w:r w:rsidRPr="588E3AA7" w:rsidR="053706C8">
              <w:rPr>
                <w:rFonts w:ascii="Calibri" w:hAnsi="Calibri" w:cs="Calibri"/>
              </w:rPr>
              <w:t>an</w:t>
            </w:r>
            <w:r w:rsidRPr="588E3AA7">
              <w:rPr>
                <w:rFonts w:ascii="Calibri" w:hAnsi="Calibri" w:cs="Calibri"/>
              </w:rPr>
              <w:t xml:space="preserve"> experimental protocol,</w:t>
            </w:r>
            <w:r w:rsidRPr="588E3AA7" w:rsidR="5E098550">
              <w:rPr>
                <w:rFonts w:ascii="Calibri" w:hAnsi="Calibri" w:cs="Calibri"/>
              </w:rPr>
              <w:t xml:space="preserve"> </w:t>
            </w:r>
            <w:r w:rsidRPr="588E3AA7">
              <w:rPr>
                <w:rFonts w:ascii="Calibri" w:hAnsi="Calibri" w:cs="Calibri"/>
              </w:rPr>
              <w:t>are not impaired in any way, and have no episodic health conditions that could manifest during their participation (</w:t>
            </w:r>
            <w:r w:rsidRPr="588E3AA7" w:rsidR="0E079431">
              <w:rPr>
                <w:rFonts w:ascii="Calibri" w:hAnsi="Calibri" w:cs="Calibri"/>
              </w:rPr>
              <w:t>e.g.,</w:t>
            </w:r>
            <w:r w:rsidRPr="588E3AA7">
              <w:rPr>
                <w:rFonts w:ascii="Calibri" w:hAnsi="Calibri" w:cs="Calibri"/>
              </w:rPr>
              <w:t xml:space="preserve"> seizure)</w:t>
            </w:r>
            <w:r w:rsidR="004D4957">
              <w:rPr>
                <w:rFonts w:ascii="Calibri" w:hAnsi="Calibri" w:cs="Calibri"/>
              </w:rPr>
              <w:t xml:space="preserve">. </w:t>
            </w:r>
            <w:r w:rsidRPr="588E3AA7" w:rsidR="195D06B3">
              <w:rPr>
                <w:rFonts w:ascii="Calibri" w:hAnsi="Calibri" w:cs="Calibri"/>
              </w:rPr>
              <w:t xml:space="preserve">Individuals </w:t>
            </w:r>
            <w:r w:rsidRPr="588E3AA7" w:rsidR="0E079431">
              <w:rPr>
                <w:rFonts w:ascii="Calibri" w:hAnsi="Calibri" w:cs="Calibri"/>
              </w:rPr>
              <w:t xml:space="preserve">will be </w:t>
            </w:r>
            <w:r w:rsidRPr="588E3AA7">
              <w:rPr>
                <w:rFonts w:ascii="Calibri" w:hAnsi="Calibri" w:cs="Calibri"/>
              </w:rPr>
              <w:t xml:space="preserve">asked whether they are taking any medications that may </w:t>
            </w:r>
            <w:r w:rsidRPr="588E3AA7" w:rsidR="1C02CAF5">
              <w:rPr>
                <w:rFonts w:ascii="Calibri" w:hAnsi="Calibri" w:cs="Calibri"/>
              </w:rPr>
              <w:t>cause drowsiness or have been taken for less than 6 months (since the effect on the individual may not yet be known)</w:t>
            </w:r>
            <w:r w:rsidRPr="588E3AA7">
              <w:rPr>
                <w:rFonts w:ascii="Calibri" w:hAnsi="Calibri" w:cs="Calibri"/>
              </w:rPr>
              <w:t>.</w:t>
            </w:r>
            <w:r w:rsidRPr="588E3AA7" w:rsidR="053706C8">
              <w:rPr>
                <w:rFonts w:ascii="Calibri" w:hAnsi="Calibri" w:cs="Calibri"/>
              </w:rPr>
              <w:t xml:space="preserve"> </w:t>
            </w:r>
            <w:r w:rsidRPr="588E3AA7">
              <w:rPr>
                <w:rFonts w:ascii="Calibri" w:hAnsi="Calibri" w:cs="Calibri"/>
              </w:rPr>
              <w:t xml:space="preserve">Health information will </w:t>
            </w:r>
            <w:r w:rsidRPr="588E3AA7" w:rsidR="04A5D646">
              <w:rPr>
                <w:rFonts w:ascii="Calibri" w:hAnsi="Calibri" w:cs="Calibri"/>
              </w:rPr>
              <w:t xml:space="preserve">be </w:t>
            </w:r>
            <w:r w:rsidRPr="588E3AA7" w:rsidR="52664963">
              <w:rPr>
                <w:rFonts w:ascii="Calibri" w:hAnsi="Calibri" w:cs="Calibri"/>
              </w:rPr>
              <w:t>collec</w:t>
            </w:r>
            <w:r w:rsidRPr="588E3AA7" w:rsidR="04A5D646">
              <w:rPr>
                <w:rFonts w:ascii="Calibri" w:hAnsi="Calibri" w:cs="Calibri"/>
              </w:rPr>
              <w:t>ted</w:t>
            </w:r>
            <w:r w:rsidRPr="588E3AA7" w:rsidR="38088F71">
              <w:rPr>
                <w:rFonts w:ascii="Calibri" w:hAnsi="Calibri" w:cs="Calibri"/>
              </w:rPr>
              <w:t xml:space="preserve"> </w:t>
            </w:r>
            <w:r w:rsidRPr="588E3AA7" w:rsidR="1D1AFD41">
              <w:rPr>
                <w:rFonts w:ascii="Calibri" w:hAnsi="Calibri" w:cs="Calibri"/>
              </w:rPr>
              <w:t>with</w:t>
            </w:r>
            <w:r w:rsidRPr="588E3AA7" w:rsidR="38088F71">
              <w:rPr>
                <w:rFonts w:ascii="Calibri" w:hAnsi="Calibri" w:cs="Calibri"/>
              </w:rPr>
              <w:t xml:space="preserve"> yes</w:t>
            </w:r>
            <w:r w:rsidRPr="588E3AA7" w:rsidR="3ACF653F">
              <w:rPr>
                <w:rFonts w:ascii="Calibri" w:hAnsi="Calibri" w:cs="Calibri"/>
              </w:rPr>
              <w:t>/</w:t>
            </w:r>
            <w:r w:rsidRPr="588E3AA7" w:rsidR="38088F71">
              <w:rPr>
                <w:rFonts w:ascii="Calibri" w:hAnsi="Calibri" w:cs="Calibri"/>
              </w:rPr>
              <w:t xml:space="preserve">no </w:t>
            </w:r>
            <w:r w:rsidRPr="588E3AA7" w:rsidR="37538F10">
              <w:rPr>
                <w:rFonts w:ascii="Calibri" w:hAnsi="Calibri" w:cs="Calibri"/>
              </w:rPr>
              <w:t>questions</w:t>
            </w:r>
            <w:r w:rsidRPr="588E3AA7" w:rsidR="04A5D646">
              <w:rPr>
                <w:rFonts w:ascii="Calibri" w:hAnsi="Calibri" w:cs="Calibri"/>
              </w:rPr>
              <w:t>.</w:t>
            </w:r>
            <w:r w:rsidRPr="588E3AA7" w:rsidR="0081909E">
              <w:rPr>
                <w:rFonts w:ascii="Calibri" w:hAnsi="Calibri" w:cs="Calibri"/>
              </w:rPr>
              <w:t xml:space="preserve"> For responses of “yes”, follow-up questions may be asked if we only are screening out for a certain time frame or set of complications.</w:t>
            </w:r>
            <w:r w:rsidR="00D061AA">
              <w:rPr>
                <w:rFonts w:ascii="Calibri" w:hAnsi="Calibri" w:cs="Calibri"/>
              </w:rPr>
              <w:t xml:space="preserve"> The information for all respondents will be kept through recruitment until data collection is complete. The information is deleted once data collection is </w:t>
            </w:r>
            <w:r w:rsidR="0060161B">
              <w:rPr>
                <w:rFonts w:ascii="Calibri" w:hAnsi="Calibri" w:cs="Calibri"/>
              </w:rPr>
              <w:t xml:space="preserve">confirmed as </w:t>
            </w:r>
            <w:r w:rsidR="00D061AA">
              <w:rPr>
                <w:rFonts w:ascii="Calibri" w:hAnsi="Calibri" w:cs="Calibri"/>
              </w:rPr>
              <w:t xml:space="preserve">complete. For individuals who did not meet criteria, name and contact information is not collected so sensitive information is not tied to an individual. Data is collected via REDCap and </w:t>
            </w:r>
            <w:r w:rsidR="008222A4">
              <w:rPr>
                <w:rFonts w:ascii="Calibri" w:hAnsi="Calibri" w:cs="Calibri"/>
              </w:rPr>
              <w:t xml:space="preserve">securely </w:t>
            </w:r>
            <w:r w:rsidR="00D061AA">
              <w:rPr>
                <w:rFonts w:ascii="Calibri" w:hAnsi="Calibri" w:cs="Calibri"/>
              </w:rPr>
              <w:t>stored on servers hosted by the University of Iowa</w:t>
            </w:r>
            <w:r w:rsidR="008222A4">
              <w:rPr>
                <w:rFonts w:ascii="Calibri" w:hAnsi="Calibri" w:cs="Calibri"/>
              </w:rPr>
              <w:t xml:space="preserve"> Institute for Clinical &amp; Translational Science (ICTS), who hosts the</w:t>
            </w:r>
            <w:r w:rsidR="0060161B">
              <w:rPr>
                <w:rFonts w:ascii="Calibri" w:hAnsi="Calibri" w:cs="Calibri"/>
              </w:rPr>
              <w:t xml:space="preserve"> </w:t>
            </w:r>
            <w:r w:rsidR="008222A4">
              <w:rPr>
                <w:rFonts w:ascii="Calibri" w:hAnsi="Calibri" w:cs="Calibri"/>
              </w:rPr>
              <w:t>platform</w:t>
            </w:r>
            <w:r w:rsidR="00C94507">
              <w:rPr>
                <w:rFonts w:ascii="Calibri" w:hAnsi="Calibri" w:cs="Calibri"/>
              </w:rPr>
              <w:t xml:space="preserve"> for the University of Iowa</w:t>
            </w:r>
            <w:r w:rsidR="008222A4">
              <w:rPr>
                <w:rFonts w:ascii="Calibri" w:hAnsi="Calibri" w:cs="Calibri"/>
              </w:rPr>
              <w:t>.</w:t>
            </w:r>
          </w:p>
        </w:tc>
      </w:tr>
      <w:tr w14:paraId="66274694" w14:textId="77777777" w:rsidTr="02858895">
        <w:tblPrEx>
          <w:tblW w:w="9450" w:type="dxa"/>
          <w:tblLook w:val="04A0"/>
        </w:tblPrEx>
        <w:tc>
          <w:tcPr>
            <w:tcW w:w="9450" w:type="dxa"/>
            <w:shd w:val="clear" w:color="auto" w:fill="F2F2F2" w:themeFill="background1" w:themeFillShade="F2"/>
          </w:tcPr>
          <w:p w:rsidR="00AB3C2B" w:rsidRPr="00855670" w:rsidP="005969B0" w14:paraId="2618E6B3" w14:textId="10989529">
            <w:pPr>
              <w:spacing w:after="120" w:line="240" w:lineRule="auto"/>
              <w:rPr>
                <w:i/>
                <w:iCs/>
              </w:rPr>
            </w:pPr>
            <w:r w:rsidRPr="588E3AA7">
              <w:rPr>
                <w:b/>
                <w:bCs/>
              </w:rPr>
              <w:t xml:space="preserve">12. </w:t>
            </w:r>
            <w:r w:rsidRPr="588E3AA7">
              <w:rPr>
                <w:b/>
                <w:bCs/>
                <w:u w:val="single"/>
              </w:rPr>
              <w:t xml:space="preserve">Estimate </w:t>
            </w:r>
            <w:r w:rsidRPr="588E3AA7" w:rsidR="06C6B0B1">
              <w:rPr>
                <w:b/>
                <w:bCs/>
                <w:u w:val="single"/>
              </w:rPr>
              <w:t>o</w:t>
            </w:r>
            <w:r w:rsidRPr="588E3AA7">
              <w:rPr>
                <w:b/>
                <w:bCs/>
                <w:u w:val="single"/>
              </w:rPr>
              <w:t xml:space="preserve">f Burden Hours </w:t>
            </w:r>
            <w:r w:rsidRPr="588E3AA7" w:rsidR="06C6B0B1">
              <w:rPr>
                <w:b/>
                <w:bCs/>
                <w:u w:val="single"/>
              </w:rPr>
              <w:t>f</w:t>
            </w:r>
            <w:r w:rsidRPr="588E3AA7">
              <w:rPr>
                <w:b/>
                <w:bCs/>
                <w:u w:val="single"/>
              </w:rPr>
              <w:t>or Information Requested</w:t>
            </w:r>
            <w:r w:rsidRPr="588E3AA7">
              <w:rPr>
                <w:b/>
                <w:bCs/>
              </w:rPr>
              <w:t>.</w:t>
            </w:r>
            <w:r>
              <w:t xml:space="preserve"> </w:t>
            </w:r>
            <w:r w:rsidR="1359E725">
              <w:t xml:space="preserve"> </w:t>
            </w:r>
            <w:r w:rsidRPr="588E3AA7">
              <w:rPr>
                <w:i/>
                <w:iCs/>
              </w:rPr>
              <w:t xml:space="preserve">Provide estimates of the hour burden of the collection of information. The statement should: </w:t>
            </w:r>
          </w:p>
          <w:p w:rsidR="00AB3C2B" w:rsidRPr="00071299" w:rsidP="005969B0" w14:paraId="245736AC" w14:textId="77777777">
            <w:pPr>
              <w:pStyle w:val="ListParagraph"/>
              <w:numPr>
                <w:ilvl w:val="0"/>
                <w:numId w:val="7"/>
              </w:numPr>
              <w:spacing w:after="120" w:line="240" w:lineRule="auto"/>
              <w:contextualSpacing w:val="0"/>
              <w:rPr>
                <w:i/>
                <w:sz w:val="20"/>
              </w:rPr>
            </w:pPr>
            <w:bookmarkStart w:id="3" w:name="_Hlk63253355"/>
            <w:r w:rsidRPr="00071299">
              <w:rPr>
                <w:i/>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B3C2B" w:rsidRPr="00071299" w:rsidP="005969B0" w14:paraId="40D92F90" w14:textId="77777777">
            <w:pPr>
              <w:pStyle w:val="ListParagraph"/>
              <w:numPr>
                <w:ilvl w:val="0"/>
                <w:numId w:val="7"/>
              </w:numPr>
              <w:spacing w:after="120" w:line="240" w:lineRule="auto"/>
              <w:contextualSpacing w:val="0"/>
              <w:rPr>
                <w:i/>
                <w:sz w:val="20"/>
              </w:rPr>
            </w:pPr>
            <w:r w:rsidRPr="00071299">
              <w:rPr>
                <w:i/>
                <w:sz w:val="20"/>
              </w:rPr>
              <w:t>If this request for approval covers more than one form, provide separate hour burden estimates for each form and aggregate the hour burdens.</w:t>
            </w:r>
          </w:p>
          <w:p w:rsidR="001024BB" w:rsidRPr="00266566" w:rsidP="005969B0" w14:paraId="6702814D" w14:textId="62FC6EC8">
            <w:pPr>
              <w:pStyle w:val="ListParagraph"/>
              <w:numPr>
                <w:ilvl w:val="0"/>
                <w:numId w:val="7"/>
              </w:numPr>
              <w:spacing w:after="120" w:line="240" w:lineRule="auto"/>
              <w:contextualSpacing w:val="0"/>
            </w:pPr>
            <w:r w:rsidRPr="00071299">
              <w:rPr>
                <w:i/>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5F65D2">
              <w:rPr>
                <w:i/>
                <w:sz w:val="20"/>
              </w:rPr>
              <w:t>3</w:t>
            </w:r>
            <w:r w:rsidRPr="00071299">
              <w:rPr>
                <w:i/>
                <w:sz w:val="20"/>
              </w:rPr>
              <w:t>.</w:t>
            </w:r>
            <w:bookmarkEnd w:id="3"/>
          </w:p>
        </w:tc>
      </w:tr>
      <w:tr w14:paraId="1EE3D322" w14:textId="77777777" w:rsidTr="02858895">
        <w:tblPrEx>
          <w:tblW w:w="9450" w:type="dxa"/>
          <w:tblLook w:val="04A0"/>
        </w:tblPrEx>
        <w:tc>
          <w:tcPr>
            <w:tcW w:w="9450" w:type="dxa"/>
          </w:tcPr>
          <w:p w:rsidR="00556024" w:rsidP="005969B0" w14:paraId="16ABC6E2" w14:textId="1293E898">
            <w:pPr>
              <w:spacing w:after="120" w:line="240" w:lineRule="auto"/>
            </w:pPr>
            <w:r>
              <w:t xml:space="preserve">The burden estimate includes time for driving sessions, including time for simulator loading and positioning, participant training, and the time for reviewing instructions. The anticipated number of individuals </w:t>
            </w:r>
            <w:r w:rsidR="00A348A2">
              <w:t xml:space="preserve">initiating </w:t>
            </w:r>
            <w:r w:rsidR="00507F77">
              <w:t>the Eligibility Questionnaire</w:t>
            </w:r>
            <w:r>
              <w:t xml:space="preserve"> is 700 and </w:t>
            </w:r>
            <w:r w:rsidR="00D4296A">
              <w:t xml:space="preserve">Pre-Drive Questionnaire, Wellness Questionnaire, </w:t>
            </w:r>
            <w:r w:rsidR="005928E1">
              <w:t>Post-Drive Questionnaire</w:t>
            </w:r>
            <w:r>
              <w:t xml:space="preserve">, </w:t>
            </w:r>
            <w:r w:rsidR="0C7A5799">
              <w:t xml:space="preserve">and the Driving Behavior Assessment </w:t>
            </w:r>
            <w:r>
              <w:t>is 300.</w:t>
            </w:r>
            <w:r w:rsidR="00FC29CF">
              <w:t xml:space="preserve"> For calculations, all data is rounded up</w:t>
            </w:r>
            <w:r w:rsidR="002A7B16">
              <w:t xml:space="preserve"> to achieve maximums.</w:t>
            </w:r>
          </w:p>
          <w:p w:rsidR="006A7F83" w:rsidP="005969B0" w14:paraId="2A13DFE3" w14:textId="2B854C8A">
            <w:pPr>
              <w:spacing w:after="120" w:line="240" w:lineRule="auto"/>
            </w:pPr>
            <w:r>
              <w:t xml:space="preserve">Completion of </w:t>
            </w:r>
            <w:r w:rsidR="005928E1">
              <w:t>the Eligibility Questionnaire</w:t>
            </w:r>
            <w:r>
              <w:t xml:space="preserve"> is estimated to take approximately 15 minutes,</w:t>
            </w:r>
            <w:r w:rsidR="4617A20A">
              <w:t xml:space="preserve"> with 700 individuals expected to start the questionnaire</w:t>
            </w:r>
            <w:r>
              <w:t xml:space="preserve"> and 400 respondents expected to make it to the end and thus be eligible for participation.</w:t>
            </w:r>
            <w:r w:rsidR="00A348A2">
              <w:t xml:space="preserve"> We estimate that </w:t>
            </w:r>
            <w:r w:rsidR="00796E62">
              <w:t xml:space="preserve">the 300 respondents that do not complete </w:t>
            </w:r>
            <w:r w:rsidR="005928E1">
              <w:t>the Eligibility Questionnaire</w:t>
            </w:r>
            <w:r w:rsidR="00796E62">
              <w:t xml:space="preserve"> will spend approximately 5 minutes </w:t>
            </w:r>
            <w:r w:rsidR="001B1C44">
              <w:t xml:space="preserve">before they stop. </w:t>
            </w:r>
            <w:r w:rsidR="00B74389">
              <w:t xml:space="preserve">Averaging across the 700 respondents, the </w:t>
            </w:r>
            <w:r w:rsidR="00F56EE8">
              <w:t xml:space="preserve">burden for </w:t>
            </w:r>
            <w:r w:rsidR="0001690A">
              <w:t>the Eligibility Questionnaire</w:t>
            </w:r>
            <w:r w:rsidR="00F56EE8">
              <w:t xml:space="preserve"> is 10.7 minutes, rounded to 11 minutes. </w:t>
            </w:r>
            <w:r w:rsidR="001B1C44">
              <w:t xml:space="preserve">The </w:t>
            </w:r>
            <w:r w:rsidR="001B1C44">
              <w:t xml:space="preserve">400 </w:t>
            </w:r>
            <w:r w:rsidR="0055152C">
              <w:t xml:space="preserve">that complete the questionnaire will be further </w:t>
            </w:r>
            <w:r w:rsidR="00A60D0A">
              <w:t>screened by researchers to achieve 300 respondents to select for the study.</w:t>
            </w:r>
          </w:p>
          <w:p w:rsidR="003074EC" w:rsidP="005969B0" w14:paraId="23A8101F" w14:textId="2F7DE648">
            <w:pPr>
              <w:spacing w:after="120" w:line="240" w:lineRule="auto"/>
            </w:pPr>
            <w:r>
              <w:t xml:space="preserve">Three hundred respondents </w:t>
            </w:r>
            <w:r w:rsidR="187B9FC0">
              <w:t xml:space="preserve">should be sufficient to obtain the necessary number of participants </w:t>
            </w:r>
            <w:r w:rsidR="6173EB61">
              <w:t xml:space="preserve">within each of </w:t>
            </w:r>
            <w:r w:rsidR="187B9FC0">
              <w:t>the three studies</w:t>
            </w:r>
            <w:r w:rsidR="25CAD81F">
              <w:t xml:space="preserve"> to detect differences between study conditions</w:t>
            </w:r>
            <w:r w:rsidR="5B91871F">
              <w:t xml:space="preserve"> and account for attrition due to issues such as simulator sickness</w:t>
            </w:r>
            <w:r w:rsidR="00195381">
              <w:t xml:space="preserve"> and still achieve the statistical power necessary (a minimum of 244 respondents is necessary to achieve the </w:t>
            </w:r>
            <w:r w:rsidR="00636AD6">
              <w:t>power).</w:t>
            </w:r>
            <w:r w:rsidR="187B9FC0">
              <w:t xml:space="preserve"> </w:t>
            </w:r>
            <w:r w:rsidR="003D5287">
              <w:t xml:space="preserve">In Study 1, since participants complete in pairs, if one member of the pair is lost due to simulator sickness or a technical issue, both members of the pair are lost. </w:t>
            </w:r>
            <w:r w:rsidR="00537CE3">
              <w:t>Study 1 will recruit 180 participants, with 90 pairs</w:t>
            </w:r>
            <w:r w:rsidR="003D5287">
              <w:t>, to complete 128 participants (64 pairs)</w:t>
            </w:r>
            <w:r w:rsidR="00537CE3">
              <w:t>. Study 2 will recruit 60 participants</w:t>
            </w:r>
            <w:r w:rsidR="003D5287">
              <w:t xml:space="preserve"> to complete 48 participants</w:t>
            </w:r>
            <w:r w:rsidR="00E575D0">
              <w:t>, a</w:t>
            </w:r>
            <w:r w:rsidR="00537CE3">
              <w:t>nd Study 3 will recruit 60 participants</w:t>
            </w:r>
            <w:r w:rsidR="003D5287">
              <w:t xml:space="preserve"> to complete 48 participants</w:t>
            </w:r>
            <w:r w:rsidR="00537CE3">
              <w:t>.</w:t>
            </w:r>
            <w:r w:rsidR="003D5287">
              <w:t xml:space="preserve"> Burden calculations assume no attrition throughout the visit to allow for the highest possible burden since we cannot know when participants may discontinue the protocol.</w:t>
            </w:r>
          </w:p>
          <w:p w:rsidR="003074EC" w:rsidP="005969B0" w14:paraId="3D39D152" w14:textId="77777777">
            <w:pPr>
              <w:spacing w:after="120" w:line="240" w:lineRule="auto"/>
            </w:pPr>
          </w:p>
          <w:p w:rsidR="002B69C5" w:rsidP="005969B0" w14:paraId="38CBD321" w14:textId="47AA79FA">
            <w:pPr>
              <w:spacing w:after="120" w:line="240" w:lineRule="auto"/>
            </w:pPr>
            <w:r>
              <w:t>Participation in Study 1, Study 2, and Study 3 each involves 1 study appointment. Each study visit includes</w:t>
            </w:r>
            <w:r w:rsidR="00E16090">
              <w:t>:</w:t>
            </w:r>
          </w:p>
          <w:p w:rsidR="00E32C39" w:rsidP="002B69C5" w14:paraId="42F33B39" w14:textId="053A1A3C">
            <w:pPr>
              <w:pStyle w:val="ListParagraph"/>
              <w:numPr>
                <w:ilvl w:val="0"/>
                <w:numId w:val="40"/>
              </w:numPr>
              <w:spacing w:after="120" w:line="240" w:lineRule="auto"/>
            </w:pPr>
            <w:r>
              <w:t xml:space="preserve">The Informed Consent </w:t>
            </w:r>
            <w:r w:rsidR="00E575D0">
              <w:t xml:space="preserve">Document </w:t>
            </w:r>
            <w:r>
              <w:t>for the respective study. While each study has a separate informed consent</w:t>
            </w:r>
            <w:r w:rsidR="00E575D0">
              <w:t xml:space="preserve"> document</w:t>
            </w:r>
            <w:r w:rsidR="00186ADA">
              <w:t xml:space="preserve">, each one is expected to take </w:t>
            </w:r>
            <w:r w:rsidR="187B9FC0">
              <w:t xml:space="preserve">20 minutes for </w:t>
            </w:r>
            <w:r w:rsidR="00186ADA">
              <w:t>completion.</w:t>
            </w:r>
            <w:r w:rsidR="00CE7C8A">
              <w:t xml:space="preserve"> One hundred eighty respondents will complete the consent form for Study 1, 60 for Study 2, and 60 for Study 3</w:t>
            </w:r>
            <w:r w:rsidR="00A264F4">
              <w:t xml:space="preserve">. </w:t>
            </w:r>
          </w:p>
          <w:p w:rsidR="00DD1902" w:rsidP="002B69C5" w14:paraId="534CE07C" w14:textId="5C4A48A6">
            <w:pPr>
              <w:pStyle w:val="ListParagraph"/>
              <w:numPr>
                <w:ilvl w:val="0"/>
                <w:numId w:val="40"/>
              </w:numPr>
              <w:spacing w:after="120" w:line="240" w:lineRule="auto"/>
            </w:pPr>
            <w:r>
              <w:t>T</w:t>
            </w:r>
            <w:r w:rsidR="00245B02">
              <w:t xml:space="preserve">he </w:t>
            </w:r>
            <w:r w:rsidR="187B9FC0">
              <w:t xml:space="preserve">Pre-Drive Questionnaire </w:t>
            </w:r>
            <w:r w:rsidR="008743F1">
              <w:t xml:space="preserve">is expected to take 15 minutes. All 300 respondents across the three studies will take this pre-drive questionnaire once. </w:t>
            </w:r>
          </w:p>
          <w:p w:rsidR="00BB088F" w:rsidP="002B69C5" w14:paraId="64543F62" w14:textId="48CF957D">
            <w:pPr>
              <w:pStyle w:val="ListParagraph"/>
              <w:numPr>
                <w:ilvl w:val="0"/>
                <w:numId w:val="40"/>
              </w:numPr>
              <w:spacing w:after="120" w:line="240" w:lineRule="auto"/>
            </w:pPr>
            <w:r>
              <w:t xml:space="preserve">The </w:t>
            </w:r>
            <w:r w:rsidR="187B9FC0">
              <w:t xml:space="preserve">Wellness Questionnaire </w:t>
            </w:r>
            <w:r w:rsidR="002A795D">
              <w:t xml:space="preserve">is expected to take 5 minutes to complete. Each of the 300 respondents across the three studies will complete this questionnaire three times. </w:t>
            </w:r>
            <w:r w:rsidR="187B9FC0">
              <w:t xml:space="preserve"> </w:t>
            </w:r>
          </w:p>
          <w:p w:rsidR="009E2936" w:rsidP="002B69C5" w14:paraId="7B703AEA" w14:textId="51393B30">
            <w:pPr>
              <w:pStyle w:val="ListParagraph"/>
              <w:numPr>
                <w:ilvl w:val="0"/>
                <w:numId w:val="40"/>
              </w:numPr>
              <w:spacing w:after="120" w:line="240" w:lineRule="auto"/>
            </w:pPr>
            <w:r>
              <w:t xml:space="preserve">The </w:t>
            </w:r>
            <w:r w:rsidR="00CD7C9F">
              <w:t>Driving Behavior Assessment</w:t>
            </w:r>
            <w:r>
              <w:t xml:space="preserve"> includes</w:t>
            </w:r>
            <w:r w:rsidR="00A705E4">
              <w:t xml:space="preserve"> the </w:t>
            </w:r>
            <w:r w:rsidR="00CD7C9F">
              <w:t xml:space="preserve">pre-drive PowerPoint training, familiarization drive, </w:t>
            </w:r>
            <w:r w:rsidR="187B9FC0">
              <w:t>study drive</w:t>
            </w:r>
            <w:r w:rsidR="00E575D0">
              <w:t>,</w:t>
            </w:r>
            <w:r w:rsidR="00DB3CE1">
              <w:t xml:space="preserve"> and an</w:t>
            </w:r>
            <w:r w:rsidR="00CD7C9F">
              <w:t xml:space="preserve"> in-drive questionnaire</w:t>
            </w:r>
            <w:r w:rsidR="187B9FC0">
              <w:t>.</w:t>
            </w:r>
            <w:r w:rsidR="00A116DD">
              <w:t xml:space="preserve"> </w:t>
            </w:r>
            <w:r w:rsidR="00410C9C">
              <w:t>The pre-drive PowerPoint training</w:t>
            </w:r>
            <w:r w:rsidR="00DD461C">
              <w:t>, familiarization drive</w:t>
            </w:r>
            <w:r w:rsidR="00D82D1F">
              <w:t>, and study drive</w:t>
            </w:r>
            <w:r w:rsidR="00DD461C">
              <w:t xml:space="preserve"> </w:t>
            </w:r>
            <w:r w:rsidR="00D82D1F">
              <w:t>require no collection of information from the respondent but are included for time burden</w:t>
            </w:r>
            <w:r w:rsidR="00DD461C">
              <w:t>.</w:t>
            </w:r>
            <w:r w:rsidR="007E5018">
              <w:t xml:space="preserve"> The</w:t>
            </w:r>
            <w:r>
              <w:t xml:space="preserve"> PowerPoint training, familiarization drive, and study drive are expected to take the same time across the three studies.</w:t>
            </w:r>
            <w:r w:rsidR="00D82D1F">
              <w:t xml:space="preserve"> The respondents in each of the three studi</w:t>
            </w:r>
            <w:r w:rsidR="00D67A37">
              <w:t>es will complete an In-</w:t>
            </w:r>
            <w:r w:rsidR="00E575D0">
              <w:t>D</w:t>
            </w:r>
            <w:r w:rsidR="00D67A37">
              <w:t>rive Questionnaire</w:t>
            </w:r>
            <w:r w:rsidR="00E575D0">
              <w:t>,</w:t>
            </w:r>
            <w:r w:rsidR="00D67A37">
              <w:t xml:space="preserve"> which is collection of information</w:t>
            </w:r>
            <w:r w:rsidR="00E575D0">
              <w:t xml:space="preserve"> and included as a form. The In-Drive Questionnaire </w:t>
            </w:r>
            <w:r>
              <w:t>is consistent across the three studies thus taking the same amount of time for completion</w:t>
            </w:r>
            <w:r w:rsidR="00D67A37">
              <w:t xml:space="preserve">. </w:t>
            </w:r>
            <w:r>
              <w:t>For each of the 300 respondents, the Driving Behavior Assessment is expected to take 80 minutes for completion.</w:t>
            </w:r>
          </w:p>
          <w:p w:rsidR="00623CD7" w:rsidP="002B69C5" w14:paraId="3E0A2D8E" w14:textId="4683CFC6">
            <w:pPr>
              <w:pStyle w:val="ListParagraph"/>
              <w:numPr>
                <w:ilvl w:val="0"/>
                <w:numId w:val="40"/>
              </w:numPr>
              <w:spacing w:after="120" w:line="240" w:lineRule="auto"/>
            </w:pPr>
            <w:r>
              <w:t>T</w:t>
            </w:r>
            <w:r w:rsidR="00C10EC2">
              <w:t>he Post-Drive Questionnaire</w:t>
            </w:r>
            <w:r w:rsidR="006F1CCD">
              <w:t xml:space="preserve"> </w:t>
            </w:r>
            <w:r w:rsidR="187B9FC0">
              <w:t>is estimated to take 20 minutes</w:t>
            </w:r>
            <w:r>
              <w:t xml:space="preserve"> and will be administered </w:t>
            </w:r>
            <w:r w:rsidR="00E575D0">
              <w:t xml:space="preserve">once </w:t>
            </w:r>
            <w:r>
              <w:t xml:space="preserve">to each of the 300 respondents across the three studies. </w:t>
            </w:r>
          </w:p>
          <w:p w:rsidR="00556024" w:rsidP="003D7847" w14:paraId="53357A3F" w14:textId="0F217A96">
            <w:pPr>
              <w:pStyle w:val="ListParagraph"/>
              <w:numPr>
                <w:ilvl w:val="0"/>
                <w:numId w:val="40"/>
              </w:numPr>
              <w:spacing w:after="120" w:line="240" w:lineRule="auto"/>
            </w:pPr>
            <w:r>
              <w:t xml:space="preserve">The </w:t>
            </w:r>
            <w:r w:rsidR="187B9FC0">
              <w:t>Balloon Analogue Risk Task (BART)</w:t>
            </w:r>
            <w:r>
              <w:t xml:space="preserve"> is expected to take five minutes and all 300 respondents will complete this task</w:t>
            </w:r>
            <w:r w:rsidR="00E575D0">
              <w:t xml:space="preserve"> once</w:t>
            </w:r>
            <w:r w:rsidR="187B9FC0">
              <w:t xml:space="preserve">. </w:t>
            </w:r>
          </w:p>
          <w:p w:rsidR="00556024" w:rsidP="005969B0" w14:paraId="2F7E648A" w14:textId="66A8F384">
            <w:pPr>
              <w:spacing w:after="0" w:line="240" w:lineRule="auto"/>
            </w:pPr>
            <w:r>
              <w:t xml:space="preserve">To calculate the </w:t>
            </w:r>
            <w:r w:rsidR="00791197">
              <w:t xml:space="preserve">opportunity </w:t>
            </w:r>
            <w:r>
              <w:t xml:space="preserve">cost associated with the forms and other relevant activities necessary for this collection of new information, NHTSA looked at average hourly earnings for employees on private nonfarm payrolls. NHTSA estimated the total </w:t>
            </w:r>
            <w:r w:rsidR="00791197">
              <w:t xml:space="preserve">opportunity </w:t>
            </w:r>
            <w:r>
              <w:t>costs associated with these burden hours by looking at the average wage for total private employees on private nonfarm payrolls. The Bureau of Labor Statistics (BLS) estimates that the average hourly wage for this group is $</w:t>
            </w:r>
            <w:r w:rsidR="001B6B09">
              <w:t>33.82</w:t>
            </w:r>
            <w:r w:rsidR="00AF4443">
              <w:t>, thus serving as the opportunity cost per hour</w:t>
            </w:r>
            <w:r>
              <w:t xml:space="preserve">. NHTSA estimates the total </w:t>
            </w:r>
            <w:r w:rsidR="001227C5">
              <w:t xml:space="preserve">opportunity </w:t>
            </w:r>
            <w:r>
              <w:t xml:space="preserve">cost associated with the </w:t>
            </w:r>
            <w:r w:rsidR="00791197">
              <w:t>90</w:t>
            </w:r>
            <w:r w:rsidR="00921905">
              <w:t>3</w:t>
            </w:r>
            <w:r w:rsidR="004129E9">
              <w:t xml:space="preserve"> </w:t>
            </w:r>
            <w:r>
              <w:t>burden hours to be $</w:t>
            </w:r>
            <w:r w:rsidR="000F397A">
              <w:t>30</w:t>
            </w:r>
            <w:r w:rsidR="0033566E">
              <w:t>,</w:t>
            </w:r>
            <w:r w:rsidR="000F397A">
              <w:t>551</w:t>
            </w:r>
            <w:r w:rsidRPr="00093E8E" w:rsidR="001E7DD2">
              <w:t xml:space="preserve">. Annual burden cost is estimated to be </w:t>
            </w:r>
            <w:r w:rsidRPr="00093E8E" w:rsidR="00093E8E">
              <w:t>$</w:t>
            </w:r>
            <w:r w:rsidRPr="00093E8E" w:rsidR="001E7DD2">
              <w:t>10</w:t>
            </w:r>
            <w:r w:rsidRPr="00093E8E" w:rsidR="00093E8E">
              <w:t>,</w:t>
            </w:r>
            <w:r w:rsidRPr="00093E8E" w:rsidR="001E7DD2">
              <w:t>181</w:t>
            </w:r>
            <w:r w:rsidRPr="00093E8E" w:rsidR="00093E8E">
              <w:t xml:space="preserve"> </w:t>
            </w:r>
            <w:r w:rsidRPr="00093E8E" w:rsidR="001E7DD2">
              <w:t xml:space="preserve">and annual burden hours is estimated to be </w:t>
            </w:r>
            <w:r w:rsidRPr="00093E8E" w:rsidR="0004260E">
              <w:t>301</w:t>
            </w:r>
            <w:r w:rsidRPr="00093E8E" w:rsidR="00733004">
              <w:t xml:space="preserve">. </w:t>
            </w:r>
            <w:r w:rsidRPr="00093E8E" w:rsidR="00071281">
              <w:t>There</w:t>
            </w:r>
            <w:r w:rsidR="00071281">
              <w:t xml:space="preserve"> may be a slight variation in the </w:t>
            </w:r>
            <w:r w:rsidR="003F6EDA">
              <w:t xml:space="preserve">comparison of total to annual burden over the three years due to rounding. The annual burden figures will </w:t>
            </w:r>
            <w:r w:rsidR="00E2189D">
              <w:t>be those represented in ROCIS.</w:t>
            </w:r>
          </w:p>
        </w:tc>
      </w:tr>
      <w:tr w14:paraId="3132B024" w14:textId="77777777" w:rsidTr="02858895">
        <w:tblPrEx>
          <w:tblW w:w="9450" w:type="dxa"/>
          <w:tblLook w:val="04A0"/>
        </w:tblPrEx>
        <w:trPr>
          <w:trHeight w:val="300"/>
        </w:trPr>
        <w:tc>
          <w:tcPr>
            <w:tcW w:w="9450" w:type="dxa"/>
            <w:tcBorders>
              <w:bottom w:val="single" w:sz="4" w:space="0" w:color="auto"/>
            </w:tcBorders>
          </w:tcPr>
          <w:p w:rsidR="588E3AA7" w:rsidP="005969B0" w14:paraId="7267D8D3" w14:textId="71CD5A6A">
            <w:pPr>
              <w:spacing w:after="120" w:line="240" w:lineRule="auto"/>
            </w:pPr>
          </w:p>
        </w:tc>
      </w:tr>
      <w:tr w14:paraId="1361BDB9" w14:textId="77777777" w:rsidTr="02858895">
        <w:tblPrEx>
          <w:tblW w:w="9450" w:type="dxa"/>
          <w:tblLook w:val="04A0"/>
        </w:tblPrEx>
        <w:tc>
          <w:tcPr>
            <w:tcW w:w="9450" w:type="dxa"/>
            <w:tcBorders>
              <w:bottom w:val="single" w:sz="4" w:space="0" w:color="auto"/>
            </w:tcBorders>
          </w:tcPr>
          <w:tbl>
            <w:tblPr>
              <w:tblW w:w="0" w:type="auto"/>
              <w:tblInd w:w="10" w:type="dxa"/>
              <w:tblLook w:val="04A0"/>
            </w:tblPr>
            <w:tblGrid>
              <w:gridCol w:w="676"/>
              <w:gridCol w:w="1244"/>
              <w:gridCol w:w="1108"/>
              <w:gridCol w:w="1099"/>
              <w:gridCol w:w="875"/>
              <w:gridCol w:w="996"/>
              <w:gridCol w:w="900"/>
              <w:gridCol w:w="1294"/>
            </w:tblGrid>
            <w:tr w14:paraId="5B8B60AE" w14:textId="224E1E10" w:rsidTr="003640BF">
              <w:tblPrEx>
                <w:tblW w:w="0" w:type="auto"/>
                <w:tblInd w:w="10" w:type="dxa"/>
                <w:tblLook w:val="04A0"/>
              </w:tblPrEx>
              <w:trPr>
                <w:trHeight w:val="907"/>
              </w:trPr>
              <w:tc>
                <w:tcPr>
                  <w:tcW w:w="676" w:type="dxa"/>
                  <w:tcBorders>
                    <w:top w:val="single" w:sz="8" w:space="0" w:color="auto"/>
                    <w:left w:val="single" w:sz="4" w:space="0" w:color="auto"/>
                    <w:bottom w:val="single" w:sz="8" w:space="0" w:color="auto"/>
                    <w:right w:val="nil"/>
                  </w:tcBorders>
                  <w:shd w:val="clear" w:color="auto" w:fill="auto"/>
                  <w:tcMar>
                    <w:left w:w="43" w:type="dxa"/>
                    <w:right w:w="43" w:type="dxa"/>
                  </w:tcMar>
                  <w:vAlign w:val="center"/>
                  <w:hideMark/>
                </w:tcPr>
                <w:p w:rsidR="00BD036A" w:rsidP="003640BF" w14:paraId="1F5D5777" w14:textId="0EBA6C1B">
                  <w:pPr>
                    <w:spacing w:after="0" w:line="240" w:lineRule="auto"/>
                    <w:jc w:val="center"/>
                    <w:rPr>
                      <w:rFonts w:eastAsiaTheme="minorEastAsia"/>
                      <w:sz w:val="16"/>
                      <w:szCs w:val="16"/>
                    </w:rPr>
                  </w:pPr>
                  <w:r w:rsidRPr="588E3AA7">
                    <w:rPr>
                      <w:rFonts w:eastAsiaTheme="minorEastAsia"/>
                      <w:sz w:val="16"/>
                      <w:szCs w:val="16"/>
                    </w:rPr>
                    <w:t>NHSTA Form No.</w:t>
                  </w:r>
                </w:p>
              </w:tc>
              <w:tc>
                <w:tcPr>
                  <w:tcW w:w="1244" w:type="dxa"/>
                  <w:tcBorders>
                    <w:top w:val="single" w:sz="8" w:space="0" w:color="auto"/>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5274390F" w14:textId="0871B3C5">
                  <w:pPr>
                    <w:spacing w:after="0" w:line="240" w:lineRule="auto"/>
                    <w:rPr>
                      <w:rFonts w:eastAsiaTheme="minorEastAsia"/>
                      <w:sz w:val="16"/>
                      <w:szCs w:val="16"/>
                    </w:rPr>
                  </w:pPr>
                  <w:r>
                    <w:rPr>
                      <w:rFonts w:eastAsiaTheme="minorEastAsia"/>
                      <w:sz w:val="16"/>
                      <w:szCs w:val="16"/>
                    </w:rPr>
                    <w:t>Information Collection</w:t>
                  </w:r>
                </w:p>
              </w:tc>
              <w:tc>
                <w:tcPr>
                  <w:tcW w:w="1108"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1998689" w14:textId="77777777">
                  <w:pPr>
                    <w:spacing w:after="0" w:line="240" w:lineRule="auto"/>
                    <w:jc w:val="center"/>
                    <w:rPr>
                      <w:rFonts w:eastAsiaTheme="minorEastAsia"/>
                      <w:sz w:val="16"/>
                      <w:szCs w:val="16"/>
                    </w:rPr>
                  </w:pPr>
                  <w:r>
                    <w:rPr>
                      <w:rFonts w:eastAsiaTheme="minorEastAsia"/>
                      <w:sz w:val="16"/>
                      <w:szCs w:val="16"/>
                    </w:rPr>
                    <w:t>Number of Respondents</w:t>
                  </w:r>
                </w:p>
                <w:p w:rsidR="00BD036A" w:rsidP="003640BF" w14:paraId="635A86CD" w14:textId="77777777">
                  <w:pPr>
                    <w:spacing w:after="0" w:line="240" w:lineRule="auto"/>
                    <w:jc w:val="center"/>
                    <w:rPr>
                      <w:rFonts w:eastAsiaTheme="minorEastAsia"/>
                      <w:sz w:val="16"/>
                      <w:szCs w:val="16"/>
                    </w:rPr>
                  </w:pPr>
                  <w:r>
                    <w:rPr>
                      <w:rFonts w:eastAsiaTheme="minorEastAsia"/>
                      <w:sz w:val="16"/>
                      <w:szCs w:val="16"/>
                    </w:rPr>
                    <w:t>Total/</w:t>
                  </w:r>
                </w:p>
                <w:p w:rsidR="00BD036A" w:rsidP="003640BF" w14:paraId="0FE4BA86" w14:textId="15F4973C">
                  <w:pPr>
                    <w:spacing w:after="0" w:line="240" w:lineRule="auto"/>
                    <w:jc w:val="center"/>
                    <w:rPr>
                      <w:rFonts w:eastAsiaTheme="minorEastAsia"/>
                      <w:sz w:val="16"/>
                      <w:szCs w:val="16"/>
                    </w:rPr>
                  </w:pPr>
                  <w:r>
                    <w:rPr>
                      <w:rFonts w:eastAsiaTheme="minorEastAsia"/>
                      <w:sz w:val="16"/>
                      <w:szCs w:val="16"/>
                    </w:rPr>
                    <w:t>Annual</w:t>
                  </w:r>
                </w:p>
              </w:tc>
              <w:tc>
                <w:tcPr>
                  <w:tcW w:w="1099" w:type="dxa"/>
                  <w:tcBorders>
                    <w:top w:val="single" w:sz="8" w:space="0" w:color="auto"/>
                    <w:left w:val="nil"/>
                    <w:bottom w:val="single" w:sz="8" w:space="0" w:color="auto"/>
                    <w:right w:val="single" w:sz="4" w:space="0" w:color="auto"/>
                  </w:tcBorders>
                  <w:vAlign w:val="center"/>
                </w:tcPr>
                <w:p w:rsidR="00BD036A" w:rsidRPr="588E3AA7" w:rsidP="003640BF" w14:paraId="25A03D77" w14:textId="5801BC28">
                  <w:pPr>
                    <w:spacing w:after="0" w:line="240" w:lineRule="auto"/>
                    <w:jc w:val="center"/>
                    <w:rPr>
                      <w:rFonts w:eastAsiaTheme="minorEastAsia"/>
                      <w:color w:val="000000" w:themeColor="text1"/>
                      <w:sz w:val="16"/>
                      <w:szCs w:val="16"/>
                    </w:rPr>
                  </w:pPr>
                  <w:r w:rsidRPr="588E3AA7">
                    <w:rPr>
                      <w:rFonts w:eastAsiaTheme="minorEastAsia"/>
                      <w:sz w:val="16"/>
                      <w:szCs w:val="16"/>
                    </w:rPr>
                    <w:t>Time per response (min)</w:t>
                  </w:r>
                </w:p>
              </w:tc>
              <w:tc>
                <w:tcPr>
                  <w:tcW w:w="875" w:type="dxa"/>
                  <w:tcBorders>
                    <w:top w:val="single" w:sz="8" w:space="0" w:color="auto"/>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6E2822A0" w14:textId="4DFE9025">
                  <w:pPr>
                    <w:spacing w:after="0" w:line="240" w:lineRule="auto"/>
                    <w:jc w:val="center"/>
                    <w:rPr>
                      <w:rFonts w:eastAsiaTheme="minorEastAsia"/>
                      <w:color w:val="000000" w:themeColor="text1"/>
                      <w:sz w:val="16"/>
                      <w:szCs w:val="16"/>
                    </w:rPr>
                  </w:pPr>
                  <w:r>
                    <w:rPr>
                      <w:rFonts w:eastAsiaTheme="minorEastAsia"/>
                      <w:color w:val="000000" w:themeColor="text1"/>
                      <w:sz w:val="16"/>
                      <w:szCs w:val="16"/>
                    </w:rPr>
                    <w:t>Cost per Response</w:t>
                  </w:r>
                  <w:r w:rsidRPr="588E3AA7">
                    <w:rPr>
                      <w:rFonts w:eastAsiaTheme="minorEastAsia"/>
                      <w:sz w:val="16"/>
                      <w:szCs w:val="16"/>
                    </w:rPr>
                    <w:t>*</w:t>
                  </w:r>
                </w:p>
              </w:tc>
              <w:tc>
                <w:tcPr>
                  <w:tcW w:w="996" w:type="dxa"/>
                  <w:tcBorders>
                    <w:top w:val="single" w:sz="8" w:space="0" w:color="auto"/>
                    <w:left w:val="nil"/>
                    <w:bottom w:val="single" w:sz="8" w:space="0" w:color="auto"/>
                    <w:right w:val="single" w:sz="8" w:space="0" w:color="auto"/>
                  </w:tcBorders>
                  <w:vAlign w:val="center"/>
                </w:tcPr>
                <w:p w:rsidR="00BD036A" w:rsidRPr="588E3AA7" w:rsidP="003640BF" w14:paraId="4E56BB7D" w14:textId="5CE3F394">
                  <w:pPr>
                    <w:spacing w:after="0" w:line="240" w:lineRule="auto"/>
                    <w:jc w:val="center"/>
                    <w:rPr>
                      <w:rFonts w:eastAsiaTheme="minorEastAsia"/>
                      <w:sz w:val="16"/>
                      <w:szCs w:val="16"/>
                    </w:rPr>
                  </w:pPr>
                  <w:r>
                    <w:rPr>
                      <w:rFonts w:eastAsiaTheme="minorEastAsia"/>
                      <w:sz w:val="16"/>
                      <w:szCs w:val="16"/>
                    </w:rPr>
                    <w:t>Frequency of Response</w:t>
                  </w:r>
                </w:p>
              </w:tc>
              <w:tc>
                <w:tcPr>
                  <w:tcW w:w="900"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3F5C126" w14:textId="15D4A490">
                  <w:pPr>
                    <w:spacing w:after="0" w:line="240" w:lineRule="auto"/>
                    <w:jc w:val="center"/>
                    <w:rPr>
                      <w:rFonts w:eastAsiaTheme="minorEastAsia"/>
                      <w:sz w:val="16"/>
                      <w:szCs w:val="16"/>
                    </w:rPr>
                  </w:pPr>
                  <w:r>
                    <w:rPr>
                      <w:rFonts w:eastAsiaTheme="minorEastAsia"/>
                      <w:sz w:val="16"/>
                      <w:szCs w:val="16"/>
                    </w:rPr>
                    <w:t>Opportunity Burden</w:t>
                  </w:r>
                  <w:r w:rsidRPr="588E3AA7">
                    <w:rPr>
                      <w:rFonts w:eastAsiaTheme="minorEastAsia"/>
                      <w:sz w:val="16"/>
                      <w:szCs w:val="16"/>
                    </w:rPr>
                    <w:t xml:space="preserve"> (hours)</w:t>
                  </w:r>
                </w:p>
                <w:p w:rsidR="0082158D" w:rsidP="003640BF" w14:paraId="4C86F421" w14:textId="77777777">
                  <w:pPr>
                    <w:spacing w:after="0" w:line="240" w:lineRule="auto"/>
                    <w:jc w:val="center"/>
                    <w:rPr>
                      <w:rFonts w:eastAsiaTheme="minorEastAsia"/>
                      <w:sz w:val="16"/>
                      <w:szCs w:val="16"/>
                    </w:rPr>
                  </w:pPr>
                  <w:r>
                    <w:rPr>
                      <w:rFonts w:eastAsiaTheme="minorEastAsia"/>
                      <w:sz w:val="16"/>
                      <w:szCs w:val="16"/>
                    </w:rPr>
                    <w:t>Total/</w:t>
                  </w:r>
                </w:p>
                <w:p w:rsidR="0082158D" w:rsidP="003640BF" w14:paraId="3230F3ED" w14:textId="7EB1AA07">
                  <w:pPr>
                    <w:spacing w:after="0" w:line="240" w:lineRule="auto"/>
                    <w:jc w:val="center"/>
                    <w:rPr>
                      <w:rFonts w:eastAsiaTheme="minorEastAsia"/>
                      <w:sz w:val="16"/>
                      <w:szCs w:val="16"/>
                    </w:rPr>
                  </w:pPr>
                  <w:r>
                    <w:rPr>
                      <w:rFonts w:eastAsiaTheme="minorEastAsia"/>
                      <w:sz w:val="16"/>
                      <w:szCs w:val="16"/>
                    </w:rPr>
                    <w:t>Annual</w:t>
                  </w:r>
                </w:p>
              </w:tc>
              <w:tc>
                <w:tcPr>
                  <w:tcW w:w="1294"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11EDDB7" w14:textId="77777777">
                  <w:pPr>
                    <w:spacing w:after="0" w:line="240" w:lineRule="auto"/>
                    <w:ind w:right="-45"/>
                    <w:jc w:val="center"/>
                    <w:rPr>
                      <w:rFonts w:eastAsiaTheme="minorEastAsia"/>
                      <w:sz w:val="16"/>
                      <w:szCs w:val="16"/>
                    </w:rPr>
                  </w:pPr>
                  <w:r>
                    <w:rPr>
                      <w:rFonts w:eastAsiaTheme="minorEastAsia"/>
                      <w:sz w:val="16"/>
                      <w:szCs w:val="16"/>
                    </w:rPr>
                    <w:t>Burden</w:t>
                  </w:r>
                  <w:r w:rsidRPr="588E3AA7">
                    <w:rPr>
                      <w:rFonts w:eastAsiaTheme="minorEastAsia"/>
                      <w:sz w:val="16"/>
                      <w:szCs w:val="16"/>
                    </w:rPr>
                    <w:t xml:space="preserve"> Cost (dollars)</w:t>
                  </w:r>
                </w:p>
                <w:p w:rsidR="00E50EA6" w:rsidP="003640BF" w14:paraId="6689270D" w14:textId="77777777">
                  <w:pPr>
                    <w:spacing w:after="0" w:line="240" w:lineRule="auto"/>
                    <w:ind w:right="-45"/>
                    <w:jc w:val="center"/>
                    <w:rPr>
                      <w:rFonts w:eastAsiaTheme="minorEastAsia"/>
                      <w:sz w:val="16"/>
                      <w:szCs w:val="16"/>
                    </w:rPr>
                  </w:pPr>
                  <w:r>
                    <w:rPr>
                      <w:rFonts w:eastAsiaTheme="minorEastAsia"/>
                      <w:sz w:val="16"/>
                      <w:szCs w:val="16"/>
                    </w:rPr>
                    <w:t>Total/</w:t>
                  </w:r>
                </w:p>
                <w:p w:rsidR="00E50EA6" w:rsidP="003640BF" w14:paraId="74307501" w14:textId="170BB69C">
                  <w:pPr>
                    <w:spacing w:after="0" w:line="240" w:lineRule="auto"/>
                    <w:ind w:right="-45"/>
                    <w:jc w:val="center"/>
                    <w:rPr>
                      <w:rFonts w:eastAsiaTheme="minorEastAsia"/>
                      <w:sz w:val="16"/>
                      <w:szCs w:val="16"/>
                    </w:rPr>
                  </w:pPr>
                  <w:r>
                    <w:rPr>
                      <w:rFonts w:eastAsiaTheme="minorEastAsia"/>
                      <w:sz w:val="16"/>
                      <w:szCs w:val="16"/>
                    </w:rPr>
                    <w:t>Annual</w:t>
                  </w:r>
                </w:p>
              </w:tc>
            </w:tr>
            <w:tr w14:paraId="4319DE89" w14:textId="2AE80A01"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5D43A943" w14:textId="7D7C3832">
                  <w:pPr>
                    <w:spacing w:after="0" w:line="240" w:lineRule="auto"/>
                    <w:jc w:val="center"/>
                    <w:rPr>
                      <w:rFonts w:eastAsiaTheme="minorEastAsia"/>
                      <w:sz w:val="16"/>
                      <w:szCs w:val="16"/>
                    </w:rPr>
                  </w:pPr>
                  <w:r w:rsidRPr="003D7847">
                    <w:rPr>
                      <w:rFonts w:eastAsiaTheme="minorEastAsia"/>
                      <w:sz w:val="16"/>
                      <w:szCs w:val="16"/>
                    </w:rPr>
                    <w:t>1742</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7FD6A08E" w14:textId="34EBEC4C">
                  <w:pPr>
                    <w:spacing w:after="0" w:line="240" w:lineRule="auto"/>
                    <w:rPr>
                      <w:rFonts w:eastAsiaTheme="minorEastAsia"/>
                      <w:sz w:val="16"/>
                      <w:szCs w:val="16"/>
                    </w:rPr>
                  </w:pPr>
                  <w:r w:rsidRPr="588E3AA7">
                    <w:rPr>
                      <w:rFonts w:eastAsiaTheme="minorEastAsia"/>
                      <w:sz w:val="16"/>
                      <w:szCs w:val="16"/>
                    </w:rPr>
                    <w:t>Eligibility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471A3CB" w14:textId="77777777">
                  <w:pPr>
                    <w:spacing w:after="0" w:line="240" w:lineRule="auto"/>
                    <w:jc w:val="center"/>
                    <w:rPr>
                      <w:rFonts w:eastAsiaTheme="minorEastAsia"/>
                      <w:sz w:val="16"/>
                      <w:szCs w:val="16"/>
                    </w:rPr>
                  </w:pPr>
                  <w:r w:rsidRPr="588E3AA7">
                    <w:rPr>
                      <w:rFonts w:eastAsiaTheme="minorEastAsia"/>
                      <w:sz w:val="16"/>
                      <w:szCs w:val="16"/>
                    </w:rPr>
                    <w:t>700</w:t>
                  </w:r>
                  <w:r>
                    <w:rPr>
                      <w:rFonts w:eastAsiaTheme="minorEastAsia"/>
                      <w:sz w:val="16"/>
                      <w:szCs w:val="16"/>
                    </w:rPr>
                    <w:t>/</w:t>
                  </w:r>
                </w:p>
                <w:p w:rsidR="00BD036A" w:rsidP="003640BF" w14:paraId="6BBB7E7A" w14:textId="01117650">
                  <w:pPr>
                    <w:spacing w:after="0" w:line="240" w:lineRule="auto"/>
                    <w:jc w:val="center"/>
                    <w:rPr>
                      <w:rFonts w:eastAsiaTheme="minorEastAsia"/>
                      <w:sz w:val="16"/>
                      <w:szCs w:val="16"/>
                    </w:rPr>
                  </w:pPr>
                  <w:r>
                    <w:rPr>
                      <w:rFonts w:eastAsiaTheme="minorEastAsia"/>
                      <w:sz w:val="16"/>
                      <w:szCs w:val="16"/>
                    </w:rPr>
                    <w:t>233</w:t>
                  </w:r>
                </w:p>
              </w:tc>
              <w:tc>
                <w:tcPr>
                  <w:tcW w:w="1099" w:type="dxa"/>
                  <w:tcBorders>
                    <w:top w:val="nil"/>
                    <w:left w:val="nil"/>
                    <w:bottom w:val="single" w:sz="8" w:space="0" w:color="auto"/>
                    <w:right w:val="single" w:sz="4" w:space="0" w:color="auto"/>
                  </w:tcBorders>
                  <w:vAlign w:val="center"/>
                </w:tcPr>
                <w:p w:rsidR="00BD036A" w:rsidRPr="588E3AA7" w:rsidP="003640BF" w14:paraId="4E370CD1" w14:textId="559C202C">
                  <w:pPr>
                    <w:spacing w:after="0" w:line="240" w:lineRule="auto"/>
                    <w:jc w:val="center"/>
                    <w:rPr>
                      <w:rFonts w:eastAsiaTheme="minorEastAsia"/>
                      <w:sz w:val="16"/>
                      <w:szCs w:val="16"/>
                    </w:rPr>
                  </w:pPr>
                  <w:r>
                    <w:rPr>
                      <w:rFonts w:eastAsiaTheme="minorEastAsia"/>
                      <w:sz w:val="16"/>
                      <w:szCs w:val="16"/>
                    </w:rPr>
                    <w:t>11</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7D94F093" w14:textId="5610A8C5">
                  <w:pPr>
                    <w:spacing w:after="0" w:line="240" w:lineRule="auto"/>
                    <w:jc w:val="center"/>
                    <w:rPr>
                      <w:rFonts w:eastAsiaTheme="minorEastAsia"/>
                      <w:sz w:val="16"/>
                      <w:szCs w:val="16"/>
                    </w:rPr>
                  </w:pPr>
                  <w:r w:rsidRPr="588E3AA7">
                    <w:rPr>
                      <w:rFonts w:eastAsiaTheme="minorEastAsia"/>
                      <w:sz w:val="16"/>
                      <w:szCs w:val="16"/>
                    </w:rPr>
                    <w:t>$</w:t>
                  </w:r>
                  <w:r w:rsidR="00767FC5">
                    <w:rPr>
                      <w:rFonts w:eastAsiaTheme="minorEastAsia"/>
                      <w:sz w:val="16"/>
                      <w:szCs w:val="16"/>
                    </w:rPr>
                    <w:t>6.20</w:t>
                  </w:r>
                </w:p>
              </w:tc>
              <w:tc>
                <w:tcPr>
                  <w:tcW w:w="996" w:type="dxa"/>
                  <w:tcBorders>
                    <w:top w:val="nil"/>
                    <w:left w:val="nil"/>
                    <w:bottom w:val="single" w:sz="8" w:space="0" w:color="auto"/>
                    <w:right w:val="single" w:sz="8" w:space="0" w:color="auto"/>
                  </w:tcBorders>
                  <w:vAlign w:val="center"/>
                </w:tcPr>
                <w:p w:rsidR="00BD036A" w:rsidRPr="588E3AA7" w:rsidP="003640BF" w14:paraId="371A02CD" w14:textId="1EF6FAA1">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0745DD6B" w14:textId="77777777">
                  <w:pPr>
                    <w:spacing w:after="0" w:line="240" w:lineRule="auto"/>
                    <w:jc w:val="center"/>
                    <w:rPr>
                      <w:rFonts w:eastAsiaTheme="minorEastAsia"/>
                      <w:sz w:val="16"/>
                      <w:szCs w:val="16"/>
                    </w:rPr>
                  </w:pPr>
                  <w:r>
                    <w:rPr>
                      <w:rFonts w:eastAsiaTheme="minorEastAsia"/>
                      <w:sz w:val="16"/>
                      <w:szCs w:val="16"/>
                    </w:rPr>
                    <w:t>128</w:t>
                  </w:r>
                  <w:r w:rsidR="001605FB">
                    <w:rPr>
                      <w:rFonts w:eastAsiaTheme="minorEastAsia"/>
                      <w:sz w:val="16"/>
                      <w:szCs w:val="16"/>
                    </w:rPr>
                    <w:t>/</w:t>
                  </w:r>
                </w:p>
                <w:p w:rsidR="001605FB" w:rsidP="003640BF" w14:paraId="535A38B2" w14:textId="635F510F">
                  <w:pPr>
                    <w:spacing w:after="0" w:line="240" w:lineRule="auto"/>
                    <w:jc w:val="center"/>
                    <w:rPr>
                      <w:rFonts w:eastAsiaTheme="minorEastAsia"/>
                      <w:sz w:val="16"/>
                      <w:szCs w:val="16"/>
                    </w:rPr>
                  </w:pPr>
                  <w:r>
                    <w:rPr>
                      <w:rFonts w:eastAsiaTheme="minorEastAsia"/>
                      <w:sz w:val="16"/>
                      <w:szCs w:val="16"/>
                    </w:rPr>
                    <w:t>43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913F2D1" w14:textId="3AFB9D14">
                  <w:pPr>
                    <w:spacing w:after="0" w:line="240" w:lineRule="auto"/>
                    <w:jc w:val="center"/>
                    <w:rPr>
                      <w:rFonts w:eastAsiaTheme="minorEastAsia"/>
                      <w:sz w:val="16"/>
                      <w:szCs w:val="16"/>
                    </w:rPr>
                  </w:pPr>
                  <w:r>
                    <w:rPr>
                      <w:rFonts w:eastAsiaTheme="minorEastAsia"/>
                      <w:sz w:val="16"/>
                      <w:szCs w:val="16"/>
                    </w:rPr>
                    <w:t>$4,340</w:t>
                  </w:r>
                  <w:r w:rsidR="00280599">
                    <w:rPr>
                      <w:rFonts w:eastAsiaTheme="minorEastAsia"/>
                      <w:sz w:val="16"/>
                      <w:szCs w:val="16"/>
                    </w:rPr>
                    <w:t>/</w:t>
                  </w:r>
                </w:p>
                <w:p w:rsidR="00280599" w:rsidP="003640BF" w14:paraId="5CAD3BD8" w14:textId="61C5D6B7">
                  <w:pPr>
                    <w:spacing w:after="0" w:line="240" w:lineRule="auto"/>
                    <w:jc w:val="center"/>
                    <w:rPr>
                      <w:rFonts w:eastAsiaTheme="minorEastAsia"/>
                      <w:sz w:val="16"/>
                      <w:szCs w:val="16"/>
                    </w:rPr>
                  </w:pPr>
                  <w:r>
                    <w:rPr>
                      <w:rFonts w:eastAsiaTheme="minorEastAsia"/>
                      <w:sz w:val="16"/>
                      <w:szCs w:val="16"/>
                    </w:rPr>
                    <w:t>$1,445</w:t>
                  </w:r>
                </w:p>
              </w:tc>
            </w:tr>
            <w:tr w14:paraId="00D39C08" w14:textId="50A4CA7A"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66137763" w14:textId="439D4D0E">
                  <w:pPr>
                    <w:spacing w:after="0" w:line="240" w:lineRule="auto"/>
                    <w:jc w:val="center"/>
                    <w:rPr>
                      <w:rFonts w:eastAsiaTheme="minorEastAsia"/>
                      <w:sz w:val="16"/>
                      <w:szCs w:val="16"/>
                    </w:rPr>
                  </w:pPr>
                  <w:r w:rsidRPr="003D7847">
                    <w:rPr>
                      <w:rFonts w:eastAsiaTheme="minorEastAsia"/>
                      <w:sz w:val="16"/>
                      <w:szCs w:val="16"/>
                    </w:rPr>
                    <w:t>1743</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054B48B4" w14:textId="3C33F3D6">
                  <w:pPr>
                    <w:spacing w:after="0" w:line="240" w:lineRule="auto"/>
                    <w:rPr>
                      <w:rFonts w:eastAsiaTheme="minorEastAsia"/>
                      <w:sz w:val="16"/>
                      <w:szCs w:val="16"/>
                    </w:rPr>
                  </w:pPr>
                  <w:r w:rsidRPr="588E3AA7">
                    <w:rPr>
                      <w:rFonts w:eastAsiaTheme="minorEastAsia"/>
                      <w:sz w:val="16"/>
                      <w:szCs w:val="16"/>
                    </w:rPr>
                    <w:t>Informed Consent</w:t>
                  </w:r>
                  <w:r>
                    <w:rPr>
                      <w:rFonts w:eastAsiaTheme="minorEastAsia"/>
                      <w:sz w:val="16"/>
                      <w:szCs w:val="16"/>
                    </w:rPr>
                    <w:t>, Study 1</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AE53B5A" w14:textId="77777777">
                  <w:pPr>
                    <w:spacing w:after="0" w:line="240" w:lineRule="auto"/>
                    <w:jc w:val="center"/>
                    <w:rPr>
                      <w:rFonts w:eastAsiaTheme="minorEastAsia"/>
                      <w:sz w:val="16"/>
                      <w:szCs w:val="16"/>
                    </w:rPr>
                  </w:pPr>
                  <w:r>
                    <w:rPr>
                      <w:rFonts w:eastAsiaTheme="minorEastAsia"/>
                      <w:sz w:val="16"/>
                      <w:szCs w:val="16"/>
                    </w:rPr>
                    <w:t>180/</w:t>
                  </w:r>
                </w:p>
                <w:p w:rsidR="00BD036A" w:rsidP="003640BF" w14:paraId="494BF874" w14:textId="37121DF8">
                  <w:pPr>
                    <w:spacing w:after="0" w:line="240" w:lineRule="auto"/>
                    <w:jc w:val="center"/>
                    <w:rPr>
                      <w:rFonts w:eastAsiaTheme="minorEastAsia"/>
                      <w:sz w:val="16"/>
                      <w:szCs w:val="16"/>
                    </w:rPr>
                  </w:pPr>
                  <w:r>
                    <w:rPr>
                      <w:rFonts w:eastAsiaTheme="minorEastAsia"/>
                      <w:sz w:val="16"/>
                      <w:szCs w:val="16"/>
                    </w:rPr>
                    <w:t>60</w:t>
                  </w:r>
                </w:p>
              </w:tc>
              <w:tc>
                <w:tcPr>
                  <w:tcW w:w="1099" w:type="dxa"/>
                  <w:tcBorders>
                    <w:top w:val="nil"/>
                    <w:left w:val="nil"/>
                    <w:bottom w:val="single" w:sz="8" w:space="0" w:color="auto"/>
                    <w:right w:val="single" w:sz="4" w:space="0" w:color="auto"/>
                  </w:tcBorders>
                  <w:vAlign w:val="center"/>
                </w:tcPr>
                <w:p w:rsidR="00BD036A" w:rsidRPr="588E3AA7" w:rsidP="003640BF" w14:paraId="71E816B9" w14:textId="618B296D">
                  <w:pPr>
                    <w:spacing w:after="0" w:line="240" w:lineRule="auto"/>
                    <w:jc w:val="center"/>
                    <w:rPr>
                      <w:rFonts w:eastAsiaTheme="minorEastAsia"/>
                      <w:sz w:val="16"/>
                      <w:szCs w:val="16"/>
                    </w:rPr>
                  </w:pPr>
                  <w:r w:rsidRPr="588E3AA7">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8DA9B26" w14:textId="0FD5F2EC">
                  <w:pPr>
                    <w:spacing w:after="0" w:line="240" w:lineRule="auto"/>
                    <w:jc w:val="center"/>
                    <w:rPr>
                      <w:rFonts w:eastAsiaTheme="minorEastAsia"/>
                      <w:sz w:val="16"/>
                      <w:szCs w:val="16"/>
                    </w:rPr>
                  </w:pPr>
                  <w:r>
                    <w:rPr>
                      <w:rFonts w:eastAsiaTheme="minorEastAsia"/>
                      <w:sz w:val="16"/>
                      <w:szCs w:val="16"/>
                    </w:rPr>
                    <w:t>$</w:t>
                  </w:r>
                  <w:r w:rsidR="00AA6955">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RPr="588E3AA7" w:rsidP="003640BF" w14:paraId="626819CF" w14:textId="1DB59E8B">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26CCAA8B" w14:textId="77777777">
                  <w:pPr>
                    <w:spacing w:after="0" w:line="240" w:lineRule="auto"/>
                    <w:jc w:val="center"/>
                    <w:rPr>
                      <w:rFonts w:eastAsiaTheme="minorEastAsia"/>
                      <w:sz w:val="16"/>
                      <w:szCs w:val="16"/>
                    </w:rPr>
                  </w:pPr>
                  <w:r>
                    <w:rPr>
                      <w:rFonts w:eastAsiaTheme="minorEastAsia"/>
                      <w:sz w:val="16"/>
                      <w:szCs w:val="16"/>
                    </w:rPr>
                    <w:t>60</w:t>
                  </w:r>
                  <w:r w:rsidR="00D83009">
                    <w:rPr>
                      <w:rFonts w:eastAsiaTheme="minorEastAsia"/>
                      <w:sz w:val="16"/>
                      <w:szCs w:val="16"/>
                    </w:rPr>
                    <w:t>/</w:t>
                  </w:r>
                </w:p>
                <w:p w:rsidR="00D83009" w:rsidP="003640BF" w14:paraId="18B990AB" w14:textId="28BBD617">
                  <w:pPr>
                    <w:spacing w:after="0" w:line="240" w:lineRule="auto"/>
                    <w:jc w:val="center"/>
                    <w:rPr>
                      <w:rFonts w:eastAsiaTheme="minorEastAsia"/>
                      <w:sz w:val="16"/>
                      <w:szCs w:val="16"/>
                    </w:rPr>
                  </w:pPr>
                  <w:r>
                    <w:rPr>
                      <w:rFonts w:eastAsiaTheme="minorEastAsia"/>
                      <w:sz w:val="16"/>
                      <w:szCs w:val="16"/>
                    </w:rPr>
                    <w:t>20</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4B2046E8" w14:textId="7DCB0B22">
                  <w:pPr>
                    <w:spacing w:after="0" w:line="240" w:lineRule="auto"/>
                    <w:jc w:val="center"/>
                    <w:rPr>
                      <w:rFonts w:eastAsiaTheme="minorEastAsia"/>
                      <w:sz w:val="16"/>
                      <w:szCs w:val="16"/>
                    </w:rPr>
                  </w:pPr>
                  <w:r>
                    <w:rPr>
                      <w:rFonts w:eastAsiaTheme="minorEastAsia"/>
                      <w:sz w:val="16"/>
                      <w:szCs w:val="16"/>
                    </w:rPr>
                    <w:t>$2,02</w:t>
                  </w:r>
                  <w:r w:rsidR="006F2585">
                    <w:rPr>
                      <w:rFonts w:eastAsiaTheme="minorEastAsia"/>
                      <w:sz w:val="16"/>
                      <w:szCs w:val="16"/>
                    </w:rPr>
                    <w:t>9</w:t>
                  </w:r>
                  <w:r w:rsidR="00FE57AB">
                    <w:rPr>
                      <w:rFonts w:eastAsiaTheme="minorEastAsia"/>
                      <w:sz w:val="16"/>
                      <w:szCs w:val="16"/>
                    </w:rPr>
                    <w:t>/</w:t>
                  </w:r>
                </w:p>
                <w:p w:rsidR="00FE57AB" w:rsidP="003640BF" w14:paraId="757F187B" w14:textId="717723B1">
                  <w:pPr>
                    <w:spacing w:after="0" w:line="240" w:lineRule="auto"/>
                    <w:jc w:val="center"/>
                    <w:rPr>
                      <w:rFonts w:eastAsiaTheme="minorEastAsia"/>
                      <w:sz w:val="16"/>
                      <w:szCs w:val="16"/>
                    </w:rPr>
                  </w:pPr>
                  <w:r>
                    <w:rPr>
                      <w:rFonts w:eastAsiaTheme="minorEastAsia"/>
                      <w:sz w:val="16"/>
                      <w:szCs w:val="16"/>
                    </w:rPr>
                    <w:t>$676</w:t>
                  </w:r>
                </w:p>
              </w:tc>
            </w:tr>
            <w:tr w14:paraId="34F29025" w14:textId="77777777"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003D7847" w:rsidP="003640BF" w14:paraId="12D9DB83" w14:textId="7E57938D">
                  <w:pPr>
                    <w:spacing w:after="0" w:line="240" w:lineRule="auto"/>
                    <w:jc w:val="center"/>
                    <w:rPr>
                      <w:rFonts w:eastAsiaTheme="minorEastAsia"/>
                      <w:sz w:val="16"/>
                      <w:szCs w:val="16"/>
                    </w:rPr>
                  </w:pPr>
                  <w:r w:rsidRPr="003D7847">
                    <w:rPr>
                      <w:rFonts w:eastAsiaTheme="minorEastAsia"/>
                      <w:sz w:val="16"/>
                      <w:szCs w:val="16"/>
                    </w:rPr>
                    <w:t>1744</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D036A" w:rsidRPr="588E3AA7" w:rsidP="00073DCF" w14:paraId="4AC6F6B9" w14:textId="09D9EBBC">
                  <w:pPr>
                    <w:spacing w:after="0" w:line="240" w:lineRule="auto"/>
                    <w:rPr>
                      <w:rFonts w:eastAsiaTheme="minorEastAsia"/>
                      <w:sz w:val="16"/>
                      <w:szCs w:val="16"/>
                    </w:rPr>
                  </w:pPr>
                  <w:r>
                    <w:rPr>
                      <w:rFonts w:eastAsiaTheme="minorEastAsia"/>
                      <w:sz w:val="16"/>
                      <w:szCs w:val="16"/>
                    </w:rPr>
                    <w:t>Informed Consent, Study 2</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5E5D99A" w14:textId="77777777">
                  <w:pPr>
                    <w:spacing w:after="0" w:line="240" w:lineRule="auto"/>
                    <w:jc w:val="center"/>
                    <w:rPr>
                      <w:rFonts w:eastAsiaTheme="minorEastAsia"/>
                      <w:sz w:val="16"/>
                      <w:szCs w:val="16"/>
                    </w:rPr>
                  </w:pPr>
                  <w:r>
                    <w:rPr>
                      <w:rFonts w:eastAsiaTheme="minorEastAsia"/>
                      <w:sz w:val="16"/>
                      <w:szCs w:val="16"/>
                    </w:rPr>
                    <w:t>60</w:t>
                  </w:r>
                  <w:r w:rsidR="00995F67">
                    <w:rPr>
                      <w:rFonts w:eastAsiaTheme="minorEastAsia"/>
                      <w:sz w:val="16"/>
                      <w:szCs w:val="16"/>
                    </w:rPr>
                    <w:t>/</w:t>
                  </w:r>
                </w:p>
                <w:p w:rsidR="00995F67" w:rsidRPr="588E3AA7" w:rsidP="003640BF" w14:paraId="4DF3F1A5" w14:textId="6497A4E1">
                  <w:pPr>
                    <w:spacing w:after="0" w:line="240" w:lineRule="auto"/>
                    <w:jc w:val="center"/>
                    <w:rPr>
                      <w:rFonts w:eastAsiaTheme="minorEastAsia"/>
                      <w:sz w:val="16"/>
                      <w:szCs w:val="16"/>
                    </w:rPr>
                  </w:pPr>
                  <w:r>
                    <w:rPr>
                      <w:rFonts w:eastAsiaTheme="minorEastAsia"/>
                      <w:sz w:val="16"/>
                      <w:szCs w:val="16"/>
                    </w:rPr>
                    <w:t>20</w:t>
                  </w:r>
                </w:p>
              </w:tc>
              <w:tc>
                <w:tcPr>
                  <w:tcW w:w="1099" w:type="dxa"/>
                  <w:tcBorders>
                    <w:top w:val="nil"/>
                    <w:left w:val="nil"/>
                    <w:bottom w:val="single" w:sz="8" w:space="0" w:color="auto"/>
                    <w:right w:val="single" w:sz="4" w:space="0" w:color="auto"/>
                  </w:tcBorders>
                  <w:vAlign w:val="center"/>
                </w:tcPr>
                <w:p w:rsidR="00BD036A" w:rsidP="003640BF" w14:paraId="23556960" w14:textId="32C11496">
                  <w:pPr>
                    <w:spacing w:after="0" w:line="240" w:lineRule="auto"/>
                    <w:jc w:val="center"/>
                    <w:rPr>
                      <w:rFonts w:eastAsiaTheme="minorEastAsia"/>
                      <w:sz w:val="16"/>
                      <w:szCs w:val="16"/>
                    </w:rPr>
                  </w:pPr>
                  <w:r>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228A2A00" w14:textId="1DD50C12">
                  <w:pPr>
                    <w:spacing w:after="0" w:line="240" w:lineRule="auto"/>
                    <w:jc w:val="center"/>
                    <w:rPr>
                      <w:rFonts w:eastAsiaTheme="minorEastAsia"/>
                      <w:sz w:val="16"/>
                      <w:szCs w:val="16"/>
                    </w:rPr>
                  </w:pPr>
                  <w:r>
                    <w:rPr>
                      <w:rFonts w:eastAsiaTheme="minorEastAsia"/>
                      <w:sz w:val="16"/>
                      <w:szCs w:val="16"/>
                    </w:rPr>
                    <w:t>$</w:t>
                  </w:r>
                  <w:r w:rsidR="00F41473">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P="003640BF" w14:paraId="4788D275" w14:textId="166D1064">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D57FBBA" w14:textId="77777777">
                  <w:pPr>
                    <w:spacing w:after="0" w:line="240" w:lineRule="auto"/>
                    <w:jc w:val="center"/>
                    <w:rPr>
                      <w:rFonts w:eastAsiaTheme="minorEastAsia"/>
                      <w:sz w:val="16"/>
                      <w:szCs w:val="16"/>
                    </w:rPr>
                  </w:pPr>
                  <w:r>
                    <w:rPr>
                      <w:rFonts w:eastAsiaTheme="minorEastAsia"/>
                      <w:sz w:val="16"/>
                      <w:szCs w:val="16"/>
                    </w:rPr>
                    <w:t>20</w:t>
                  </w:r>
                  <w:r w:rsidR="00322183">
                    <w:rPr>
                      <w:rFonts w:eastAsiaTheme="minorEastAsia"/>
                      <w:sz w:val="16"/>
                      <w:szCs w:val="16"/>
                    </w:rPr>
                    <w:t>/</w:t>
                  </w:r>
                </w:p>
                <w:p w:rsidR="00322183" w:rsidRPr="588E3AA7" w:rsidP="003640BF" w14:paraId="5291045D" w14:textId="7360DA05">
                  <w:pPr>
                    <w:spacing w:after="0" w:line="240" w:lineRule="auto"/>
                    <w:jc w:val="center"/>
                    <w:rPr>
                      <w:rFonts w:eastAsiaTheme="minorEastAsia"/>
                      <w:sz w:val="16"/>
                      <w:szCs w:val="16"/>
                    </w:rPr>
                  </w:pPr>
                  <w:r>
                    <w:rPr>
                      <w:rFonts w:eastAsiaTheme="minorEastAsia"/>
                      <w:sz w:val="16"/>
                      <w:szCs w:val="16"/>
                    </w:rPr>
                    <w:t>7</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5242E37" w14:textId="02A11F63">
                  <w:pPr>
                    <w:spacing w:after="0" w:line="240" w:lineRule="auto"/>
                    <w:jc w:val="center"/>
                    <w:rPr>
                      <w:rFonts w:eastAsiaTheme="minorEastAsia"/>
                      <w:sz w:val="16"/>
                      <w:szCs w:val="16"/>
                    </w:rPr>
                  </w:pPr>
                  <w:r>
                    <w:rPr>
                      <w:rFonts w:eastAsiaTheme="minorEastAsia"/>
                      <w:sz w:val="16"/>
                      <w:szCs w:val="16"/>
                    </w:rPr>
                    <w:t>$676</w:t>
                  </w:r>
                  <w:r w:rsidR="00FE57AB">
                    <w:rPr>
                      <w:rFonts w:eastAsiaTheme="minorEastAsia"/>
                      <w:sz w:val="16"/>
                      <w:szCs w:val="16"/>
                    </w:rPr>
                    <w:t>/</w:t>
                  </w:r>
                </w:p>
                <w:p w:rsidR="00FE57AB" w:rsidRPr="588E3AA7" w:rsidP="003640BF" w14:paraId="206153A8" w14:textId="7A3DC399">
                  <w:pPr>
                    <w:spacing w:after="0" w:line="240" w:lineRule="auto"/>
                    <w:jc w:val="center"/>
                    <w:rPr>
                      <w:rFonts w:eastAsiaTheme="minorEastAsia"/>
                      <w:sz w:val="16"/>
                      <w:szCs w:val="16"/>
                    </w:rPr>
                  </w:pPr>
                  <w:r>
                    <w:rPr>
                      <w:rFonts w:eastAsiaTheme="minorEastAsia"/>
                      <w:sz w:val="16"/>
                      <w:szCs w:val="16"/>
                    </w:rPr>
                    <w:t>$225</w:t>
                  </w:r>
                </w:p>
              </w:tc>
            </w:tr>
            <w:tr w14:paraId="0E3FF5CC" w14:textId="77777777"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003D7847" w:rsidP="003640BF" w14:paraId="2C82E1C3" w14:textId="336B9E76">
                  <w:pPr>
                    <w:spacing w:after="0" w:line="240" w:lineRule="auto"/>
                    <w:jc w:val="center"/>
                    <w:rPr>
                      <w:rFonts w:eastAsiaTheme="minorEastAsia"/>
                      <w:sz w:val="16"/>
                      <w:szCs w:val="16"/>
                    </w:rPr>
                  </w:pPr>
                  <w:r w:rsidRPr="003D7847">
                    <w:rPr>
                      <w:rFonts w:eastAsiaTheme="minorEastAsia"/>
                      <w:sz w:val="16"/>
                      <w:szCs w:val="16"/>
                    </w:rPr>
                    <w:t>1745</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D036A" w:rsidRPr="588E3AA7" w:rsidP="00073DCF" w14:paraId="341BC26B" w14:textId="44CF3F3E">
                  <w:pPr>
                    <w:spacing w:after="0" w:line="240" w:lineRule="auto"/>
                    <w:rPr>
                      <w:rFonts w:eastAsiaTheme="minorEastAsia"/>
                      <w:sz w:val="16"/>
                      <w:szCs w:val="16"/>
                    </w:rPr>
                  </w:pPr>
                  <w:r>
                    <w:rPr>
                      <w:rFonts w:eastAsiaTheme="minorEastAsia"/>
                      <w:sz w:val="16"/>
                      <w:szCs w:val="16"/>
                    </w:rPr>
                    <w:t>Informed Consent, Study 3</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3E0F9E8" w14:textId="77777777">
                  <w:pPr>
                    <w:spacing w:after="0" w:line="240" w:lineRule="auto"/>
                    <w:jc w:val="center"/>
                    <w:rPr>
                      <w:rFonts w:eastAsiaTheme="minorEastAsia"/>
                      <w:sz w:val="16"/>
                      <w:szCs w:val="16"/>
                    </w:rPr>
                  </w:pPr>
                  <w:r>
                    <w:rPr>
                      <w:rFonts w:eastAsiaTheme="minorEastAsia"/>
                      <w:sz w:val="16"/>
                      <w:szCs w:val="16"/>
                    </w:rPr>
                    <w:t>60</w:t>
                  </w:r>
                  <w:r w:rsidR="00995F67">
                    <w:rPr>
                      <w:rFonts w:eastAsiaTheme="minorEastAsia"/>
                      <w:sz w:val="16"/>
                      <w:szCs w:val="16"/>
                    </w:rPr>
                    <w:t>/</w:t>
                  </w:r>
                </w:p>
                <w:p w:rsidR="00073DCF" w:rsidRPr="588E3AA7" w:rsidP="003640BF" w14:paraId="27FE4EC6" w14:textId="23568B75">
                  <w:pPr>
                    <w:spacing w:after="0" w:line="240" w:lineRule="auto"/>
                    <w:jc w:val="center"/>
                    <w:rPr>
                      <w:rFonts w:eastAsiaTheme="minorEastAsia"/>
                      <w:sz w:val="16"/>
                      <w:szCs w:val="16"/>
                    </w:rPr>
                  </w:pPr>
                  <w:r>
                    <w:rPr>
                      <w:rFonts w:eastAsiaTheme="minorEastAsia"/>
                      <w:sz w:val="16"/>
                      <w:szCs w:val="16"/>
                    </w:rPr>
                    <w:t>20</w:t>
                  </w:r>
                </w:p>
              </w:tc>
              <w:tc>
                <w:tcPr>
                  <w:tcW w:w="1099" w:type="dxa"/>
                  <w:tcBorders>
                    <w:top w:val="nil"/>
                    <w:left w:val="nil"/>
                    <w:bottom w:val="single" w:sz="8" w:space="0" w:color="auto"/>
                    <w:right w:val="single" w:sz="4" w:space="0" w:color="auto"/>
                  </w:tcBorders>
                  <w:vAlign w:val="center"/>
                </w:tcPr>
                <w:p w:rsidR="00BD036A" w:rsidP="003640BF" w14:paraId="19091DB0" w14:textId="343F9E1A">
                  <w:pPr>
                    <w:spacing w:after="0" w:line="240" w:lineRule="auto"/>
                    <w:jc w:val="center"/>
                    <w:rPr>
                      <w:rFonts w:eastAsiaTheme="minorEastAsia"/>
                      <w:sz w:val="16"/>
                      <w:szCs w:val="16"/>
                    </w:rPr>
                  </w:pPr>
                  <w:r>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6220DBD8" w14:textId="113CDB32">
                  <w:pPr>
                    <w:spacing w:after="0" w:line="240" w:lineRule="auto"/>
                    <w:jc w:val="center"/>
                    <w:rPr>
                      <w:rFonts w:eastAsiaTheme="minorEastAsia"/>
                      <w:sz w:val="16"/>
                      <w:szCs w:val="16"/>
                    </w:rPr>
                  </w:pPr>
                  <w:r>
                    <w:rPr>
                      <w:rFonts w:eastAsiaTheme="minorEastAsia"/>
                      <w:sz w:val="16"/>
                      <w:szCs w:val="16"/>
                    </w:rPr>
                    <w:t>$</w:t>
                  </w:r>
                  <w:r w:rsidR="00F41473">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P="003640BF" w14:paraId="6322F570" w14:textId="1C005C29">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4DF86676" w14:textId="77777777">
                  <w:pPr>
                    <w:spacing w:after="0" w:line="240" w:lineRule="auto"/>
                    <w:jc w:val="center"/>
                    <w:rPr>
                      <w:rFonts w:eastAsiaTheme="minorEastAsia"/>
                      <w:sz w:val="16"/>
                      <w:szCs w:val="16"/>
                    </w:rPr>
                  </w:pPr>
                  <w:r>
                    <w:rPr>
                      <w:rFonts w:eastAsiaTheme="minorEastAsia"/>
                      <w:sz w:val="16"/>
                      <w:szCs w:val="16"/>
                    </w:rPr>
                    <w:t>20</w:t>
                  </w:r>
                  <w:r w:rsidR="00322183">
                    <w:rPr>
                      <w:rFonts w:eastAsiaTheme="minorEastAsia"/>
                      <w:sz w:val="16"/>
                      <w:szCs w:val="16"/>
                    </w:rPr>
                    <w:t>/</w:t>
                  </w:r>
                </w:p>
                <w:p w:rsidR="00322183" w:rsidRPr="588E3AA7" w:rsidP="003640BF" w14:paraId="4F54D4E6" w14:textId="4D7F985B">
                  <w:pPr>
                    <w:spacing w:after="0" w:line="240" w:lineRule="auto"/>
                    <w:jc w:val="center"/>
                    <w:rPr>
                      <w:rFonts w:eastAsiaTheme="minorEastAsia"/>
                      <w:sz w:val="16"/>
                      <w:szCs w:val="16"/>
                    </w:rPr>
                  </w:pPr>
                  <w:r>
                    <w:rPr>
                      <w:rFonts w:eastAsiaTheme="minorEastAsia"/>
                      <w:sz w:val="16"/>
                      <w:szCs w:val="16"/>
                    </w:rPr>
                    <w:t>7</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25AC9896" w14:textId="77777777">
                  <w:pPr>
                    <w:spacing w:after="0" w:line="240" w:lineRule="auto"/>
                    <w:jc w:val="center"/>
                    <w:rPr>
                      <w:rFonts w:eastAsiaTheme="minorEastAsia"/>
                      <w:sz w:val="16"/>
                      <w:szCs w:val="16"/>
                    </w:rPr>
                  </w:pPr>
                  <w:r>
                    <w:rPr>
                      <w:rFonts w:eastAsiaTheme="minorEastAsia"/>
                      <w:sz w:val="16"/>
                      <w:szCs w:val="16"/>
                    </w:rPr>
                    <w:t>$676</w:t>
                  </w:r>
                  <w:r w:rsidR="009D159A">
                    <w:rPr>
                      <w:rFonts w:eastAsiaTheme="minorEastAsia"/>
                      <w:sz w:val="16"/>
                      <w:szCs w:val="16"/>
                    </w:rPr>
                    <w:t>/</w:t>
                  </w:r>
                </w:p>
                <w:p w:rsidR="009D159A" w:rsidRPr="588E3AA7" w:rsidP="003640BF" w14:paraId="0478594B" w14:textId="72D9EE33">
                  <w:pPr>
                    <w:spacing w:after="0" w:line="240" w:lineRule="auto"/>
                    <w:jc w:val="center"/>
                    <w:rPr>
                      <w:rFonts w:eastAsiaTheme="minorEastAsia"/>
                      <w:sz w:val="16"/>
                      <w:szCs w:val="16"/>
                    </w:rPr>
                  </w:pPr>
                  <w:r>
                    <w:rPr>
                      <w:rFonts w:eastAsiaTheme="minorEastAsia"/>
                      <w:sz w:val="16"/>
                      <w:szCs w:val="16"/>
                    </w:rPr>
                    <w:t>$225</w:t>
                  </w:r>
                </w:p>
              </w:tc>
            </w:tr>
            <w:tr w14:paraId="1FC1D85F" w14:textId="4800C764"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7AA1DC20" w14:textId="42AAF646">
                  <w:pPr>
                    <w:spacing w:after="0" w:line="240" w:lineRule="auto"/>
                    <w:jc w:val="center"/>
                    <w:rPr>
                      <w:rFonts w:eastAsiaTheme="minorEastAsia"/>
                      <w:sz w:val="16"/>
                      <w:szCs w:val="16"/>
                    </w:rPr>
                  </w:pPr>
                  <w:r w:rsidRPr="003D7847">
                    <w:rPr>
                      <w:rFonts w:eastAsiaTheme="minorEastAsia"/>
                      <w:sz w:val="16"/>
                      <w:szCs w:val="16"/>
                    </w:rPr>
                    <w:t>1746</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1E354319" w14:textId="72E60D60">
                  <w:pPr>
                    <w:spacing w:after="0" w:line="240" w:lineRule="auto"/>
                    <w:rPr>
                      <w:rFonts w:eastAsiaTheme="minorEastAsia"/>
                      <w:sz w:val="16"/>
                      <w:szCs w:val="16"/>
                    </w:rPr>
                  </w:pPr>
                  <w:r w:rsidRPr="588E3AA7">
                    <w:rPr>
                      <w:rFonts w:eastAsiaTheme="minorEastAsia"/>
                      <w:sz w:val="16"/>
                      <w:szCs w:val="16"/>
                    </w:rPr>
                    <w:t>Pre-Drive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52D421F"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737F89B0" w14:textId="1B2A8B05">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1B6ACB40" w14:textId="07A11C99">
                  <w:pPr>
                    <w:spacing w:after="0" w:line="240" w:lineRule="auto"/>
                    <w:jc w:val="center"/>
                    <w:rPr>
                      <w:rFonts w:eastAsiaTheme="minorEastAsia"/>
                      <w:sz w:val="16"/>
                      <w:szCs w:val="16"/>
                    </w:rPr>
                  </w:pPr>
                  <w:r w:rsidRPr="02858895">
                    <w:rPr>
                      <w:rFonts w:eastAsiaTheme="minorEastAsia"/>
                      <w:sz w:val="16"/>
                      <w:szCs w:val="16"/>
                    </w:rPr>
                    <w:t>15</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68CEDE8" w14:textId="66B1B9AB">
                  <w:pPr>
                    <w:spacing w:after="0" w:line="240" w:lineRule="auto"/>
                    <w:jc w:val="center"/>
                    <w:rPr>
                      <w:rFonts w:eastAsiaTheme="minorEastAsia"/>
                      <w:sz w:val="16"/>
                      <w:szCs w:val="16"/>
                    </w:rPr>
                  </w:pPr>
                  <w:r>
                    <w:rPr>
                      <w:rFonts w:eastAsiaTheme="minorEastAsia"/>
                      <w:sz w:val="16"/>
                      <w:szCs w:val="16"/>
                    </w:rPr>
                    <w:t>$</w:t>
                  </w:r>
                  <w:r w:rsidR="00EE009C">
                    <w:rPr>
                      <w:rFonts w:eastAsiaTheme="minorEastAsia"/>
                      <w:sz w:val="16"/>
                      <w:szCs w:val="16"/>
                    </w:rPr>
                    <w:t>8.46</w:t>
                  </w:r>
                </w:p>
              </w:tc>
              <w:tc>
                <w:tcPr>
                  <w:tcW w:w="996" w:type="dxa"/>
                  <w:tcBorders>
                    <w:top w:val="nil"/>
                    <w:left w:val="nil"/>
                    <w:bottom w:val="single" w:sz="8" w:space="0" w:color="auto"/>
                    <w:right w:val="single" w:sz="8" w:space="0" w:color="auto"/>
                  </w:tcBorders>
                  <w:vAlign w:val="center"/>
                </w:tcPr>
                <w:p w:rsidR="00BD036A" w:rsidRPr="588E3AA7" w:rsidP="003640BF" w14:paraId="68E0D987" w14:textId="3E7853C0">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05D6D1E" w14:textId="77777777">
                  <w:pPr>
                    <w:spacing w:after="0" w:line="240" w:lineRule="auto"/>
                    <w:jc w:val="center"/>
                    <w:rPr>
                      <w:rFonts w:eastAsiaTheme="minorEastAsia"/>
                      <w:sz w:val="16"/>
                      <w:szCs w:val="16"/>
                    </w:rPr>
                  </w:pPr>
                  <w:r w:rsidRPr="588E3AA7">
                    <w:rPr>
                      <w:rFonts w:eastAsiaTheme="minorEastAsia"/>
                      <w:sz w:val="16"/>
                      <w:szCs w:val="16"/>
                    </w:rPr>
                    <w:t>75</w:t>
                  </w:r>
                  <w:r w:rsidR="003C307D">
                    <w:rPr>
                      <w:rFonts w:eastAsiaTheme="minorEastAsia"/>
                      <w:sz w:val="16"/>
                      <w:szCs w:val="16"/>
                    </w:rPr>
                    <w:t>/</w:t>
                  </w:r>
                </w:p>
                <w:p w:rsidR="003C307D" w:rsidP="003640BF" w14:paraId="3EBA98D0" w14:textId="4512829B">
                  <w:pPr>
                    <w:spacing w:after="0" w:line="240" w:lineRule="auto"/>
                    <w:jc w:val="center"/>
                    <w:rPr>
                      <w:rFonts w:eastAsiaTheme="minorEastAsia"/>
                      <w:sz w:val="16"/>
                      <w:szCs w:val="16"/>
                    </w:rPr>
                  </w:pPr>
                  <w:r>
                    <w:rPr>
                      <w:rFonts w:eastAsiaTheme="minorEastAsia"/>
                      <w:sz w:val="16"/>
                      <w:szCs w:val="16"/>
                    </w:rPr>
                    <w:t>25</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B691DE6" w14:textId="77777777">
                  <w:pPr>
                    <w:spacing w:after="0" w:line="240" w:lineRule="auto"/>
                    <w:jc w:val="center"/>
                    <w:rPr>
                      <w:rFonts w:eastAsiaTheme="minorEastAsia"/>
                      <w:sz w:val="16"/>
                      <w:szCs w:val="16"/>
                    </w:rPr>
                  </w:pPr>
                  <w:r>
                    <w:rPr>
                      <w:rFonts w:eastAsiaTheme="minorEastAsia"/>
                      <w:sz w:val="16"/>
                      <w:szCs w:val="16"/>
                    </w:rPr>
                    <w:t>$2,538</w:t>
                  </w:r>
                  <w:r w:rsidR="009D159A">
                    <w:rPr>
                      <w:rFonts w:eastAsiaTheme="minorEastAsia"/>
                      <w:sz w:val="16"/>
                      <w:szCs w:val="16"/>
                    </w:rPr>
                    <w:t>/</w:t>
                  </w:r>
                </w:p>
                <w:p w:rsidR="009D159A" w:rsidP="003640BF" w14:paraId="7A52B96F" w14:textId="67EB1D07">
                  <w:pPr>
                    <w:spacing w:after="0" w:line="240" w:lineRule="auto"/>
                    <w:jc w:val="center"/>
                    <w:rPr>
                      <w:rFonts w:eastAsiaTheme="minorEastAsia"/>
                      <w:sz w:val="16"/>
                      <w:szCs w:val="16"/>
                    </w:rPr>
                  </w:pPr>
                  <w:r>
                    <w:rPr>
                      <w:rFonts w:eastAsiaTheme="minorEastAsia"/>
                      <w:sz w:val="16"/>
                      <w:szCs w:val="16"/>
                    </w:rPr>
                    <w:t>$846</w:t>
                  </w:r>
                </w:p>
              </w:tc>
            </w:tr>
            <w:tr w14:paraId="74827619" w14:textId="29280F8E"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455EB71D" w14:textId="33B6BA5D">
                  <w:pPr>
                    <w:spacing w:after="0" w:line="240" w:lineRule="auto"/>
                    <w:jc w:val="center"/>
                    <w:rPr>
                      <w:rFonts w:eastAsiaTheme="minorEastAsia"/>
                      <w:sz w:val="16"/>
                      <w:szCs w:val="16"/>
                    </w:rPr>
                  </w:pPr>
                  <w:r w:rsidRPr="003D7847">
                    <w:rPr>
                      <w:rFonts w:eastAsiaTheme="minorEastAsia"/>
                      <w:sz w:val="16"/>
                      <w:szCs w:val="16"/>
                    </w:rPr>
                    <w:t>1747</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3333ED71" w14:textId="1EC421A8">
                  <w:pPr>
                    <w:spacing w:after="0" w:line="240" w:lineRule="auto"/>
                    <w:rPr>
                      <w:rFonts w:eastAsiaTheme="minorEastAsia"/>
                      <w:sz w:val="16"/>
                      <w:szCs w:val="16"/>
                    </w:rPr>
                  </w:pPr>
                  <w:r w:rsidRPr="588E3AA7">
                    <w:rPr>
                      <w:rFonts w:eastAsiaTheme="minorEastAsia"/>
                      <w:sz w:val="16"/>
                      <w:szCs w:val="16"/>
                    </w:rPr>
                    <w:t>Wellness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F7F2D64"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55CAF50F" w14:textId="0A1786C9">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3FBA41BA" w14:textId="4AD2C231">
                  <w:pPr>
                    <w:spacing w:after="0" w:line="240" w:lineRule="auto"/>
                    <w:jc w:val="center"/>
                    <w:rPr>
                      <w:rFonts w:eastAsiaTheme="minorEastAsia"/>
                      <w:sz w:val="16"/>
                      <w:szCs w:val="16"/>
                    </w:rPr>
                  </w:pPr>
                  <w:r w:rsidRPr="588E3AA7">
                    <w:rPr>
                      <w:rFonts w:eastAsiaTheme="minorEastAsia"/>
                      <w:sz w:val="16"/>
                      <w:szCs w:val="16"/>
                    </w:rPr>
                    <w:t>5</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EBF6156" w14:textId="4B2CD147">
                  <w:pPr>
                    <w:spacing w:after="0" w:line="240" w:lineRule="auto"/>
                    <w:jc w:val="center"/>
                    <w:rPr>
                      <w:rFonts w:eastAsiaTheme="minorEastAsia"/>
                      <w:sz w:val="16"/>
                      <w:szCs w:val="16"/>
                    </w:rPr>
                  </w:pPr>
                  <w:r>
                    <w:rPr>
                      <w:rFonts w:eastAsiaTheme="minorEastAsia"/>
                      <w:sz w:val="16"/>
                      <w:szCs w:val="16"/>
                    </w:rPr>
                    <w:t>$</w:t>
                  </w:r>
                  <w:r w:rsidR="00D04DDE">
                    <w:rPr>
                      <w:rFonts w:eastAsiaTheme="minorEastAsia"/>
                      <w:sz w:val="16"/>
                      <w:szCs w:val="16"/>
                    </w:rPr>
                    <w:t>2.82</w:t>
                  </w:r>
                </w:p>
              </w:tc>
              <w:tc>
                <w:tcPr>
                  <w:tcW w:w="996" w:type="dxa"/>
                  <w:tcBorders>
                    <w:top w:val="nil"/>
                    <w:left w:val="nil"/>
                    <w:bottom w:val="single" w:sz="8" w:space="0" w:color="auto"/>
                    <w:right w:val="single" w:sz="8" w:space="0" w:color="auto"/>
                  </w:tcBorders>
                  <w:vAlign w:val="center"/>
                </w:tcPr>
                <w:p w:rsidR="00BD036A" w:rsidRPr="588E3AA7" w:rsidP="003640BF" w14:paraId="2037C5C6" w14:textId="104C4B8B">
                  <w:pPr>
                    <w:spacing w:after="0" w:line="240" w:lineRule="auto"/>
                    <w:jc w:val="center"/>
                    <w:rPr>
                      <w:rFonts w:eastAsiaTheme="minorEastAsia"/>
                      <w:sz w:val="16"/>
                      <w:szCs w:val="16"/>
                    </w:rPr>
                  </w:pPr>
                  <w:r>
                    <w:rPr>
                      <w:rFonts w:eastAsiaTheme="minorEastAsia"/>
                      <w:sz w:val="16"/>
                      <w:szCs w:val="16"/>
                    </w:rPr>
                    <w:t>3</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D7B2D7C" w14:textId="77777777">
                  <w:pPr>
                    <w:spacing w:after="0" w:line="240" w:lineRule="auto"/>
                    <w:jc w:val="center"/>
                    <w:rPr>
                      <w:rFonts w:eastAsiaTheme="minorEastAsia"/>
                      <w:sz w:val="16"/>
                      <w:szCs w:val="16"/>
                    </w:rPr>
                  </w:pPr>
                  <w:r w:rsidRPr="588E3AA7">
                    <w:rPr>
                      <w:rFonts w:eastAsiaTheme="minorEastAsia"/>
                      <w:sz w:val="16"/>
                      <w:szCs w:val="16"/>
                    </w:rPr>
                    <w:t>75</w:t>
                  </w:r>
                  <w:r w:rsidR="003C307D">
                    <w:rPr>
                      <w:rFonts w:eastAsiaTheme="minorEastAsia"/>
                      <w:sz w:val="16"/>
                      <w:szCs w:val="16"/>
                    </w:rPr>
                    <w:t>/</w:t>
                  </w:r>
                </w:p>
                <w:p w:rsidR="003C307D" w:rsidP="003640BF" w14:paraId="6384EC87" w14:textId="2B80A2E6">
                  <w:pPr>
                    <w:spacing w:after="0" w:line="240" w:lineRule="auto"/>
                    <w:jc w:val="center"/>
                    <w:rPr>
                      <w:rFonts w:eastAsiaTheme="minorEastAsia"/>
                      <w:sz w:val="16"/>
                      <w:szCs w:val="16"/>
                    </w:rPr>
                  </w:pPr>
                  <w:r>
                    <w:rPr>
                      <w:rFonts w:eastAsiaTheme="minorEastAsia"/>
                      <w:sz w:val="16"/>
                      <w:szCs w:val="16"/>
                    </w:rPr>
                    <w:t>25</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8A4F1A" w:rsidP="008A4F1A" w14:paraId="68B123C6" w14:textId="77777777">
                  <w:pPr>
                    <w:spacing w:after="0" w:line="240" w:lineRule="auto"/>
                    <w:jc w:val="center"/>
                    <w:rPr>
                      <w:rFonts w:eastAsiaTheme="minorEastAsia"/>
                      <w:sz w:val="16"/>
                      <w:szCs w:val="16"/>
                    </w:rPr>
                  </w:pPr>
                  <w:r>
                    <w:rPr>
                      <w:rFonts w:eastAsiaTheme="minorEastAsia"/>
                      <w:sz w:val="16"/>
                      <w:szCs w:val="16"/>
                    </w:rPr>
                    <w:t>$2,538/</w:t>
                  </w:r>
                </w:p>
                <w:p w:rsidR="00BF3352" w:rsidP="008A4F1A" w14:paraId="226C3FED" w14:textId="6EB6442F">
                  <w:pPr>
                    <w:spacing w:after="0" w:line="240" w:lineRule="auto"/>
                    <w:jc w:val="center"/>
                    <w:rPr>
                      <w:rFonts w:eastAsiaTheme="minorEastAsia"/>
                      <w:sz w:val="16"/>
                      <w:szCs w:val="16"/>
                    </w:rPr>
                  </w:pPr>
                  <w:r>
                    <w:rPr>
                      <w:rFonts w:eastAsiaTheme="minorEastAsia"/>
                      <w:sz w:val="16"/>
                      <w:szCs w:val="16"/>
                    </w:rPr>
                    <w:t>$846</w:t>
                  </w:r>
                </w:p>
              </w:tc>
            </w:tr>
            <w:tr w14:paraId="6CFC2677"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2A6ECC46" w14:textId="064ED67E">
                  <w:pPr>
                    <w:spacing w:after="0" w:line="240" w:lineRule="auto"/>
                    <w:jc w:val="center"/>
                    <w:rPr>
                      <w:rFonts w:eastAsiaTheme="minorEastAsia"/>
                      <w:sz w:val="16"/>
                      <w:szCs w:val="16"/>
                    </w:rPr>
                  </w:pPr>
                  <w:r w:rsidRPr="003D7847">
                    <w:rPr>
                      <w:rFonts w:eastAsiaTheme="minorEastAsia"/>
                      <w:sz w:val="16"/>
                      <w:szCs w:val="16"/>
                    </w:rPr>
                    <w:t>1748</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443B319D" w14:textId="350BB7BD">
                  <w:pPr>
                    <w:spacing w:after="0" w:line="240" w:lineRule="auto"/>
                    <w:rPr>
                      <w:rFonts w:eastAsiaTheme="minorEastAsia"/>
                      <w:sz w:val="16"/>
                      <w:szCs w:val="16"/>
                    </w:rPr>
                  </w:pPr>
                  <w:r w:rsidRPr="588E3AA7">
                    <w:rPr>
                      <w:rFonts w:eastAsiaTheme="minorEastAsia"/>
                      <w:sz w:val="16"/>
                      <w:szCs w:val="16"/>
                    </w:rPr>
                    <w:t>Driving Behavior Assessment</w:t>
                  </w:r>
                  <w:r>
                    <w:rPr>
                      <w:rFonts w:eastAsiaTheme="minorEastAsia"/>
                      <w:sz w:val="16"/>
                      <w:szCs w:val="16"/>
                    </w:rPr>
                    <w:br/>
                  </w:r>
                  <w:r w:rsidRPr="588E3AA7">
                    <w:rPr>
                      <w:rFonts w:eastAsiaTheme="minorEastAsia"/>
                      <w:sz w:val="16"/>
                      <w:szCs w:val="16"/>
                    </w:rPr>
                    <w:t>(</w:t>
                  </w:r>
                  <w:r>
                    <w:rPr>
                      <w:rFonts w:eastAsiaTheme="minorEastAsia"/>
                      <w:sz w:val="16"/>
                      <w:szCs w:val="16"/>
                    </w:rPr>
                    <w:t>Pre-Drive PowerPoint Training, Familiarization Drive, Study Drive</w:t>
                  </w:r>
                  <w:r w:rsidRPr="588E3AA7">
                    <w:rPr>
                      <w:rFonts w:eastAsiaTheme="minorEastAsia"/>
                      <w:sz w:val="16"/>
                      <w:szCs w:val="16"/>
                    </w:rPr>
                    <w:t xml:space="preserve"> with</w:t>
                  </w:r>
                  <w:r>
                    <w:rPr>
                      <w:rFonts w:eastAsiaTheme="minorEastAsia"/>
                      <w:sz w:val="16"/>
                      <w:szCs w:val="16"/>
                    </w:rPr>
                    <w:br/>
                  </w:r>
                  <w:r w:rsidRPr="588E3AA7">
                    <w:rPr>
                      <w:rFonts w:eastAsiaTheme="minorEastAsia"/>
                      <w:sz w:val="16"/>
                      <w:szCs w:val="16"/>
                    </w:rPr>
                    <w:t>In-Drive Questionnaire</w:t>
                  </w:r>
                  <w:r>
                    <w:rPr>
                      <w:rFonts w:eastAsiaTheme="minorEastAsia"/>
                      <w:sz w:val="16"/>
                      <w:szCs w:val="16"/>
                    </w:rPr>
                    <w:t>)</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D3218C6"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5E431F87" w14:textId="31C18258">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75224305" w14:textId="1270BCE0">
                  <w:pPr>
                    <w:spacing w:after="0" w:line="240" w:lineRule="auto"/>
                    <w:jc w:val="center"/>
                    <w:rPr>
                      <w:rFonts w:eastAsiaTheme="minorEastAsia"/>
                      <w:sz w:val="16"/>
                      <w:szCs w:val="16"/>
                    </w:rPr>
                  </w:pPr>
                  <w:r>
                    <w:rPr>
                      <w:rFonts w:eastAsiaTheme="minorEastAsia"/>
                      <w:sz w:val="16"/>
                      <w:szCs w:val="16"/>
                    </w:rPr>
                    <w:t>8</w:t>
                  </w:r>
                  <w:r w:rsidRPr="588E3AA7">
                    <w:rPr>
                      <w:rFonts w:eastAsiaTheme="minorEastAsia"/>
                      <w:sz w:val="16"/>
                      <w:szCs w:val="16"/>
                    </w:rPr>
                    <w:t>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7847CA75" w14:textId="116569D0">
                  <w:pPr>
                    <w:spacing w:after="0" w:line="240" w:lineRule="auto"/>
                    <w:jc w:val="center"/>
                    <w:rPr>
                      <w:rFonts w:eastAsiaTheme="minorEastAsia"/>
                      <w:sz w:val="16"/>
                      <w:szCs w:val="16"/>
                    </w:rPr>
                  </w:pPr>
                  <w:r>
                    <w:rPr>
                      <w:rFonts w:eastAsiaTheme="minorEastAsia"/>
                      <w:sz w:val="16"/>
                      <w:szCs w:val="16"/>
                    </w:rPr>
                    <w:t>$</w:t>
                  </w:r>
                  <w:r w:rsidR="005E5661">
                    <w:rPr>
                      <w:rFonts w:eastAsiaTheme="minorEastAsia"/>
                      <w:sz w:val="16"/>
                      <w:szCs w:val="16"/>
                    </w:rPr>
                    <w:t>45.09</w:t>
                  </w:r>
                </w:p>
              </w:tc>
              <w:tc>
                <w:tcPr>
                  <w:tcW w:w="996" w:type="dxa"/>
                  <w:tcBorders>
                    <w:top w:val="nil"/>
                    <w:left w:val="nil"/>
                    <w:bottom w:val="single" w:sz="8" w:space="0" w:color="auto"/>
                    <w:right w:val="single" w:sz="8" w:space="0" w:color="auto"/>
                  </w:tcBorders>
                  <w:vAlign w:val="center"/>
                </w:tcPr>
                <w:p w:rsidR="00BD036A" w:rsidRPr="588E3AA7" w:rsidP="003640BF" w14:paraId="5389C461" w14:textId="35586205">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9D542E1" w14:textId="77777777">
                  <w:pPr>
                    <w:spacing w:after="0" w:line="240" w:lineRule="auto"/>
                    <w:jc w:val="center"/>
                    <w:rPr>
                      <w:rFonts w:eastAsiaTheme="minorEastAsia"/>
                      <w:sz w:val="16"/>
                      <w:szCs w:val="16"/>
                    </w:rPr>
                  </w:pPr>
                  <w:r>
                    <w:rPr>
                      <w:rFonts w:eastAsiaTheme="minorEastAsia"/>
                      <w:sz w:val="16"/>
                      <w:szCs w:val="16"/>
                    </w:rPr>
                    <w:t>4</w:t>
                  </w:r>
                  <w:r w:rsidRPr="588E3AA7">
                    <w:rPr>
                      <w:rFonts w:eastAsiaTheme="minorEastAsia"/>
                      <w:sz w:val="16"/>
                      <w:szCs w:val="16"/>
                    </w:rPr>
                    <w:t>00</w:t>
                  </w:r>
                  <w:r w:rsidR="0011199D">
                    <w:rPr>
                      <w:rFonts w:eastAsiaTheme="minorEastAsia"/>
                      <w:sz w:val="16"/>
                      <w:szCs w:val="16"/>
                    </w:rPr>
                    <w:t>/</w:t>
                  </w:r>
                </w:p>
                <w:p w:rsidR="0011199D" w:rsidP="003640BF" w14:paraId="7009A769" w14:textId="3F26D826">
                  <w:pPr>
                    <w:spacing w:after="0" w:line="240" w:lineRule="auto"/>
                    <w:jc w:val="center"/>
                    <w:rPr>
                      <w:rFonts w:eastAsiaTheme="minorEastAsia"/>
                      <w:sz w:val="16"/>
                      <w:szCs w:val="16"/>
                    </w:rPr>
                  </w:pPr>
                  <w:r>
                    <w:rPr>
                      <w:rFonts w:eastAsiaTheme="minorEastAsia"/>
                      <w:sz w:val="16"/>
                      <w:szCs w:val="16"/>
                    </w:rPr>
                    <w:t>133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490BC9BD" w14:textId="77777777">
                  <w:pPr>
                    <w:spacing w:after="0" w:line="240" w:lineRule="auto"/>
                    <w:jc w:val="center"/>
                    <w:rPr>
                      <w:rFonts w:eastAsiaTheme="minorEastAsia"/>
                      <w:sz w:val="16"/>
                      <w:szCs w:val="16"/>
                    </w:rPr>
                  </w:pPr>
                  <w:r>
                    <w:rPr>
                      <w:rFonts w:eastAsiaTheme="minorEastAsia"/>
                      <w:sz w:val="16"/>
                      <w:szCs w:val="16"/>
                    </w:rPr>
                    <w:t>$13,527</w:t>
                  </w:r>
                  <w:r w:rsidR="00BF3352">
                    <w:rPr>
                      <w:rFonts w:eastAsiaTheme="minorEastAsia"/>
                      <w:sz w:val="16"/>
                      <w:szCs w:val="16"/>
                    </w:rPr>
                    <w:t>/</w:t>
                  </w:r>
                </w:p>
                <w:p w:rsidR="00BF3352" w:rsidP="003640BF" w14:paraId="292156C8" w14:textId="056AF85C">
                  <w:pPr>
                    <w:spacing w:after="0" w:line="240" w:lineRule="auto"/>
                    <w:jc w:val="center"/>
                    <w:rPr>
                      <w:rFonts w:eastAsiaTheme="minorEastAsia"/>
                      <w:sz w:val="16"/>
                      <w:szCs w:val="16"/>
                    </w:rPr>
                  </w:pPr>
                  <w:r>
                    <w:rPr>
                      <w:rFonts w:eastAsiaTheme="minorEastAsia"/>
                      <w:sz w:val="16"/>
                      <w:szCs w:val="16"/>
                    </w:rPr>
                    <w:t>$4,509</w:t>
                  </w:r>
                </w:p>
              </w:tc>
            </w:tr>
            <w:tr w14:paraId="0E325676"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2F39C658" w14:textId="55046E41">
                  <w:pPr>
                    <w:spacing w:after="0" w:line="240" w:lineRule="auto"/>
                    <w:jc w:val="center"/>
                    <w:rPr>
                      <w:rFonts w:eastAsiaTheme="minorEastAsia"/>
                      <w:sz w:val="16"/>
                      <w:szCs w:val="16"/>
                    </w:rPr>
                  </w:pPr>
                  <w:r w:rsidRPr="003D7847">
                    <w:rPr>
                      <w:rFonts w:eastAsiaTheme="minorEastAsia"/>
                      <w:sz w:val="16"/>
                      <w:szCs w:val="16"/>
                    </w:rPr>
                    <w:t>1749</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7F16415A" w14:textId="2CE7A8AC">
                  <w:pPr>
                    <w:spacing w:after="0" w:line="240" w:lineRule="auto"/>
                    <w:rPr>
                      <w:rFonts w:eastAsiaTheme="minorEastAsia"/>
                      <w:sz w:val="16"/>
                      <w:szCs w:val="16"/>
                    </w:rPr>
                  </w:pPr>
                  <w:r w:rsidRPr="588E3AA7">
                    <w:rPr>
                      <w:rFonts w:eastAsiaTheme="minorEastAsia"/>
                      <w:sz w:val="16"/>
                      <w:szCs w:val="16"/>
                    </w:rPr>
                    <w:t>Post-Drive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CE56E3E" w14:textId="77777777">
                  <w:pPr>
                    <w:spacing w:after="0" w:line="240" w:lineRule="auto"/>
                    <w:jc w:val="center"/>
                    <w:rPr>
                      <w:rFonts w:eastAsiaTheme="minorEastAsia"/>
                      <w:sz w:val="16"/>
                      <w:szCs w:val="16"/>
                    </w:rPr>
                  </w:pPr>
                  <w:r w:rsidRPr="588E3AA7">
                    <w:rPr>
                      <w:rFonts w:eastAsiaTheme="minorEastAsia"/>
                      <w:sz w:val="16"/>
                      <w:szCs w:val="16"/>
                    </w:rPr>
                    <w:t>300</w:t>
                  </w:r>
                  <w:r w:rsidR="0033567D">
                    <w:rPr>
                      <w:rFonts w:eastAsiaTheme="minorEastAsia"/>
                      <w:sz w:val="16"/>
                      <w:szCs w:val="16"/>
                    </w:rPr>
                    <w:t>/</w:t>
                  </w:r>
                </w:p>
                <w:p w:rsidR="0033567D" w:rsidP="003640BF" w14:paraId="73CE2836" w14:textId="19748F3C">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623AB137" w14:textId="0A0AA682">
                  <w:pPr>
                    <w:spacing w:after="0" w:line="240" w:lineRule="auto"/>
                    <w:jc w:val="center"/>
                    <w:rPr>
                      <w:rFonts w:eastAsiaTheme="minorEastAsia"/>
                      <w:sz w:val="16"/>
                      <w:szCs w:val="16"/>
                    </w:rPr>
                  </w:pPr>
                  <w:r w:rsidRPr="588E3AA7">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6F9CA8A6" w14:textId="7A98FBF1">
                  <w:pPr>
                    <w:spacing w:after="0" w:line="240" w:lineRule="auto"/>
                    <w:jc w:val="center"/>
                    <w:rPr>
                      <w:rFonts w:eastAsiaTheme="minorEastAsia"/>
                      <w:sz w:val="16"/>
                      <w:szCs w:val="16"/>
                    </w:rPr>
                  </w:pPr>
                  <w:r>
                    <w:rPr>
                      <w:rFonts w:eastAsiaTheme="minorEastAsia"/>
                      <w:sz w:val="16"/>
                      <w:szCs w:val="16"/>
                    </w:rPr>
                    <w:t>$</w:t>
                  </w:r>
                  <w:r w:rsidR="00D04DDE">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RPr="588E3AA7" w:rsidP="003640BF" w14:paraId="0CB37607" w14:textId="31DDD26B">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2E74D656" w14:textId="77777777">
                  <w:pPr>
                    <w:spacing w:after="0" w:line="240" w:lineRule="auto"/>
                    <w:jc w:val="center"/>
                    <w:rPr>
                      <w:rFonts w:eastAsiaTheme="minorEastAsia"/>
                      <w:sz w:val="16"/>
                      <w:szCs w:val="16"/>
                    </w:rPr>
                  </w:pPr>
                  <w:r w:rsidRPr="588E3AA7">
                    <w:rPr>
                      <w:rFonts w:eastAsiaTheme="minorEastAsia"/>
                      <w:sz w:val="16"/>
                      <w:szCs w:val="16"/>
                    </w:rPr>
                    <w:t>100</w:t>
                  </w:r>
                  <w:r w:rsidR="0011199D">
                    <w:rPr>
                      <w:rFonts w:eastAsiaTheme="minorEastAsia"/>
                      <w:sz w:val="16"/>
                      <w:szCs w:val="16"/>
                    </w:rPr>
                    <w:t>/</w:t>
                  </w:r>
                </w:p>
                <w:p w:rsidR="0011199D" w:rsidP="003640BF" w14:paraId="5CCD7643" w14:textId="27DBECB6">
                  <w:pPr>
                    <w:spacing w:after="0" w:line="240" w:lineRule="auto"/>
                    <w:jc w:val="center"/>
                    <w:rPr>
                      <w:rFonts w:eastAsiaTheme="minorEastAsia"/>
                      <w:sz w:val="16"/>
                      <w:szCs w:val="16"/>
                    </w:rPr>
                  </w:pPr>
                  <w:r>
                    <w:rPr>
                      <w:rFonts w:eastAsiaTheme="minorEastAsia"/>
                      <w:sz w:val="16"/>
                      <w:szCs w:val="16"/>
                    </w:rPr>
                    <w:t>33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384F20C" w14:textId="77777777">
                  <w:pPr>
                    <w:spacing w:after="0" w:line="240" w:lineRule="auto"/>
                    <w:jc w:val="center"/>
                    <w:rPr>
                      <w:rFonts w:eastAsiaTheme="minorEastAsia"/>
                      <w:sz w:val="16"/>
                      <w:szCs w:val="16"/>
                    </w:rPr>
                  </w:pPr>
                  <w:r>
                    <w:rPr>
                      <w:rFonts w:eastAsiaTheme="minorEastAsia"/>
                      <w:sz w:val="16"/>
                      <w:szCs w:val="16"/>
                    </w:rPr>
                    <w:t>$3,381</w:t>
                  </w:r>
                  <w:r w:rsidR="00442FE2">
                    <w:rPr>
                      <w:rFonts w:eastAsiaTheme="minorEastAsia"/>
                      <w:sz w:val="16"/>
                      <w:szCs w:val="16"/>
                    </w:rPr>
                    <w:t>/</w:t>
                  </w:r>
                </w:p>
                <w:p w:rsidR="00442FE2" w:rsidP="003640BF" w14:paraId="40C2A739" w14:textId="24217F1A">
                  <w:pPr>
                    <w:spacing w:after="0" w:line="240" w:lineRule="auto"/>
                    <w:jc w:val="center"/>
                    <w:rPr>
                      <w:rFonts w:eastAsiaTheme="minorEastAsia"/>
                      <w:sz w:val="16"/>
                      <w:szCs w:val="16"/>
                    </w:rPr>
                  </w:pPr>
                  <w:r>
                    <w:rPr>
                      <w:rFonts w:eastAsiaTheme="minorEastAsia"/>
                      <w:sz w:val="16"/>
                      <w:szCs w:val="16"/>
                    </w:rPr>
                    <w:t>$1</w:t>
                  </w:r>
                  <w:r w:rsidR="00761D30">
                    <w:rPr>
                      <w:rFonts w:eastAsiaTheme="minorEastAsia"/>
                      <w:sz w:val="16"/>
                      <w:szCs w:val="16"/>
                    </w:rPr>
                    <w:t>,</w:t>
                  </w:r>
                  <w:r>
                    <w:rPr>
                      <w:rFonts w:eastAsiaTheme="minorEastAsia"/>
                      <w:sz w:val="16"/>
                      <w:szCs w:val="16"/>
                    </w:rPr>
                    <w:t>1</w:t>
                  </w:r>
                  <w:r w:rsidR="00761D30">
                    <w:rPr>
                      <w:rFonts w:eastAsiaTheme="minorEastAsia"/>
                      <w:sz w:val="16"/>
                      <w:szCs w:val="16"/>
                    </w:rPr>
                    <w:t>27</w:t>
                  </w:r>
                </w:p>
              </w:tc>
            </w:tr>
            <w:tr w14:paraId="2EF2E033" w14:textId="77777777" w:rsidTr="003640BF">
              <w:tblPrEx>
                <w:tblW w:w="0" w:type="auto"/>
                <w:tblInd w:w="10" w:type="dxa"/>
                <w:tblLook w:val="04A0"/>
              </w:tblPrEx>
              <w:trPr>
                <w:trHeight w:val="520"/>
              </w:trPr>
              <w:tc>
                <w:tcPr>
                  <w:tcW w:w="676" w:type="dxa"/>
                  <w:tcBorders>
                    <w:top w:val="single" w:sz="4" w:space="0" w:color="auto"/>
                    <w:left w:val="single" w:sz="4" w:space="0" w:color="auto"/>
                    <w:bottom w:val="single" w:sz="8" w:space="0" w:color="auto"/>
                    <w:right w:val="nil"/>
                  </w:tcBorders>
                  <w:shd w:val="clear" w:color="auto" w:fill="auto"/>
                  <w:tcMar>
                    <w:left w:w="43" w:type="dxa"/>
                    <w:right w:w="43" w:type="dxa"/>
                  </w:tcMar>
                  <w:vAlign w:val="center"/>
                  <w:hideMark/>
                </w:tcPr>
                <w:p w:rsidR="00BD036A" w:rsidP="003640BF" w14:paraId="6F172EA9" w14:textId="271D9E86">
                  <w:pPr>
                    <w:spacing w:after="0" w:line="240" w:lineRule="auto"/>
                    <w:jc w:val="center"/>
                    <w:rPr>
                      <w:rFonts w:eastAsiaTheme="minorEastAsia"/>
                      <w:sz w:val="16"/>
                      <w:szCs w:val="16"/>
                    </w:rPr>
                  </w:pPr>
                  <w:r w:rsidRPr="588E3AA7">
                    <w:rPr>
                      <w:rFonts w:eastAsiaTheme="minorEastAsia"/>
                      <w:sz w:val="16"/>
                      <w:szCs w:val="16"/>
                    </w:rPr>
                    <w:t>-</w:t>
                  </w:r>
                </w:p>
              </w:tc>
              <w:tc>
                <w:tcPr>
                  <w:tcW w:w="1244" w:type="dxa"/>
                  <w:tcBorders>
                    <w:top w:val="single" w:sz="4" w:space="0" w:color="auto"/>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6F7F6328" w14:textId="001B7E76">
                  <w:pPr>
                    <w:spacing w:after="0" w:line="240" w:lineRule="auto"/>
                    <w:rPr>
                      <w:rFonts w:eastAsiaTheme="minorEastAsia"/>
                      <w:sz w:val="16"/>
                      <w:szCs w:val="16"/>
                    </w:rPr>
                  </w:pPr>
                  <w:r w:rsidRPr="588E3AA7">
                    <w:rPr>
                      <w:rFonts w:eastAsiaTheme="minorEastAsia"/>
                      <w:sz w:val="16"/>
                      <w:szCs w:val="16"/>
                    </w:rPr>
                    <w:t>Balloon Analogue Risk Task</w:t>
                  </w:r>
                </w:p>
              </w:tc>
              <w:tc>
                <w:tcPr>
                  <w:tcW w:w="1108"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3B8D33D" w14:textId="77777777">
                  <w:pPr>
                    <w:spacing w:after="0" w:line="240" w:lineRule="auto"/>
                    <w:jc w:val="center"/>
                    <w:rPr>
                      <w:rFonts w:eastAsiaTheme="minorEastAsia"/>
                      <w:sz w:val="16"/>
                      <w:szCs w:val="16"/>
                    </w:rPr>
                  </w:pPr>
                  <w:r w:rsidRPr="588E3AA7">
                    <w:rPr>
                      <w:rFonts w:eastAsiaTheme="minorEastAsia"/>
                      <w:sz w:val="16"/>
                      <w:szCs w:val="16"/>
                    </w:rPr>
                    <w:t>300</w:t>
                  </w:r>
                  <w:r w:rsidR="00586475">
                    <w:rPr>
                      <w:rFonts w:eastAsiaTheme="minorEastAsia"/>
                      <w:sz w:val="16"/>
                      <w:szCs w:val="16"/>
                    </w:rPr>
                    <w:t>/</w:t>
                  </w:r>
                </w:p>
                <w:p w:rsidR="00586475" w:rsidP="003640BF" w14:paraId="55301157" w14:textId="43612918">
                  <w:pPr>
                    <w:spacing w:after="0" w:line="240" w:lineRule="auto"/>
                    <w:jc w:val="center"/>
                    <w:rPr>
                      <w:rFonts w:eastAsiaTheme="minorEastAsia"/>
                      <w:sz w:val="16"/>
                      <w:szCs w:val="16"/>
                    </w:rPr>
                  </w:pPr>
                  <w:r>
                    <w:rPr>
                      <w:rFonts w:eastAsiaTheme="minorEastAsia"/>
                      <w:sz w:val="16"/>
                      <w:szCs w:val="16"/>
                    </w:rPr>
                    <w:t>100</w:t>
                  </w:r>
                </w:p>
              </w:tc>
              <w:tc>
                <w:tcPr>
                  <w:tcW w:w="1099" w:type="dxa"/>
                  <w:tcBorders>
                    <w:top w:val="single" w:sz="4" w:space="0" w:color="auto"/>
                    <w:left w:val="nil"/>
                    <w:bottom w:val="single" w:sz="8" w:space="0" w:color="auto"/>
                    <w:right w:val="single" w:sz="4" w:space="0" w:color="auto"/>
                  </w:tcBorders>
                  <w:vAlign w:val="center"/>
                </w:tcPr>
                <w:p w:rsidR="00BD036A" w:rsidRPr="588E3AA7" w:rsidP="003640BF" w14:paraId="0400CB2C" w14:textId="55A2877E">
                  <w:pPr>
                    <w:spacing w:after="0" w:line="240" w:lineRule="auto"/>
                    <w:jc w:val="center"/>
                    <w:rPr>
                      <w:rFonts w:eastAsiaTheme="minorEastAsia"/>
                      <w:sz w:val="16"/>
                      <w:szCs w:val="16"/>
                    </w:rPr>
                  </w:pPr>
                  <w:r w:rsidRPr="588E3AA7">
                    <w:rPr>
                      <w:rFonts w:eastAsiaTheme="minorEastAsia"/>
                      <w:sz w:val="16"/>
                      <w:szCs w:val="16"/>
                    </w:rPr>
                    <w:t>5</w:t>
                  </w:r>
                </w:p>
              </w:tc>
              <w:tc>
                <w:tcPr>
                  <w:tcW w:w="875" w:type="dxa"/>
                  <w:tcBorders>
                    <w:top w:val="single" w:sz="4" w:space="0" w:color="auto"/>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B8E19FB" w14:textId="5A065345">
                  <w:pPr>
                    <w:spacing w:after="0" w:line="240" w:lineRule="auto"/>
                    <w:jc w:val="center"/>
                    <w:rPr>
                      <w:rFonts w:eastAsiaTheme="minorEastAsia"/>
                      <w:sz w:val="16"/>
                      <w:szCs w:val="16"/>
                    </w:rPr>
                  </w:pPr>
                  <w:r>
                    <w:rPr>
                      <w:rFonts w:eastAsiaTheme="minorEastAsia"/>
                      <w:sz w:val="16"/>
                      <w:szCs w:val="16"/>
                    </w:rPr>
                    <w:t>$</w:t>
                  </w:r>
                  <w:r w:rsidR="005E5661">
                    <w:rPr>
                      <w:rFonts w:eastAsiaTheme="minorEastAsia"/>
                      <w:sz w:val="16"/>
                      <w:szCs w:val="16"/>
                    </w:rPr>
                    <w:t>2.82</w:t>
                  </w:r>
                </w:p>
              </w:tc>
              <w:tc>
                <w:tcPr>
                  <w:tcW w:w="996" w:type="dxa"/>
                  <w:tcBorders>
                    <w:top w:val="single" w:sz="4" w:space="0" w:color="auto"/>
                    <w:left w:val="nil"/>
                    <w:bottom w:val="single" w:sz="8" w:space="0" w:color="auto"/>
                    <w:right w:val="single" w:sz="8" w:space="0" w:color="auto"/>
                  </w:tcBorders>
                  <w:vAlign w:val="center"/>
                </w:tcPr>
                <w:p w:rsidR="00BD036A" w:rsidRPr="588E3AA7" w:rsidP="003640BF" w14:paraId="7CAE5F2C" w14:textId="17088E33">
                  <w:pPr>
                    <w:spacing w:after="0" w:line="240" w:lineRule="auto"/>
                    <w:jc w:val="center"/>
                    <w:rPr>
                      <w:rFonts w:eastAsiaTheme="minorEastAsia"/>
                      <w:sz w:val="16"/>
                      <w:szCs w:val="16"/>
                    </w:rPr>
                  </w:pPr>
                  <w:r>
                    <w:rPr>
                      <w:rFonts w:eastAsiaTheme="minorEastAsia"/>
                      <w:sz w:val="16"/>
                      <w:szCs w:val="16"/>
                    </w:rPr>
                    <w:t>1</w:t>
                  </w:r>
                </w:p>
              </w:tc>
              <w:tc>
                <w:tcPr>
                  <w:tcW w:w="900"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FA3815E" w14:textId="77777777">
                  <w:pPr>
                    <w:spacing w:after="0" w:line="240" w:lineRule="auto"/>
                    <w:jc w:val="center"/>
                    <w:rPr>
                      <w:rFonts w:eastAsiaTheme="minorEastAsia"/>
                      <w:sz w:val="16"/>
                      <w:szCs w:val="16"/>
                    </w:rPr>
                  </w:pPr>
                  <w:r w:rsidRPr="588E3AA7">
                    <w:rPr>
                      <w:rFonts w:eastAsiaTheme="minorEastAsia"/>
                      <w:sz w:val="16"/>
                      <w:szCs w:val="16"/>
                    </w:rPr>
                    <w:t>25</w:t>
                  </w:r>
                  <w:r w:rsidR="00B44001">
                    <w:rPr>
                      <w:rFonts w:eastAsiaTheme="minorEastAsia"/>
                      <w:sz w:val="16"/>
                      <w:szCs w:val="16"/>
                    </w:rPr>
                    <w:t>/</w:t>
                  </w:r>
                </w:p>
                <w:p w:rsidR="00B44001" w:rsidP="003640BF" w14:paraId="55304598" w14:textId="3EA6E56A">
                  <w:pPr>
                    <w:spacing w:after="0" w:line="240" w:lineRule="auto"/>
                    <w:jc w:val="center"/>
                    <w:rPr>
                      <w:rFonts w:eastAsiaTheme="minorEastAsia"/>
                      <w:sz w:val="16"/>
                      <w:szCs w:val="16"/>
                    </w:rPr>
                  </w:pPr>
                  <w:r>
                    <w:rPr>
                      <w:rFonts w:eastAsiaTheme="minorEastAsia"/>
                      <w:sz w:val="16"/>
                      <w:szCs w:val="16"/>
                    </w:rPr>
                    <w:t>8</w:t>
                  </w:r>
                </w:p>
              </w:tc>
              <w:tc>
                <w:tcPr>
                  <w:tcW w:w="1294"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83F6D74" w14:textId="77777777">
                  <w:pPr>
                    <w:spacing w:after="0" w:line="240" w:lineRule="auto"/>
                    <w:jc w:val="center"/>
                    <w:rPr>
                      <w:rFonts w:eastAsiaTheme="minorEastAsia"/>
                      <w:sz w:val="16"/>
                      <w:szCs w:val="16"/>
                    </w:rPr>
                  </w:pPr>
                  <w:r>
                    <w:rPr>
                      <w:rFonts w:eastAsiaTheme="minorEastAsia"/>
                      <w:sz w:val="16"/>
                      <w:szCs w:val="16"/>
                    </w:rPr>
                    <w:t>$846</w:t>
                  </w:r>
                  <w:r w:rsidR="00ED2105">
                    <w:rPr>
                      <w:rFonts w:eastAsiaTheme="minorEastAsia"/>
                      <w:sz w:val="16"/>
                      <w:szCs w:val="16"/>
                    </w:rPr>
                    <w:t>/</w:t>
                  </w:r>
                </w:p>
                <w:p w:rsidR="00ED2105" w:rsidP="003640BF" w14:paraId="2F02ED81" w14:textId="6A09D24A">
                  <w:pPr>
                    <w:spacing w:after="0" w:line="240" w:lineRule="auto"/>
                    <w:jc w:val="center"/>
                    <w:rPr>
                      <w:rFonts w:eastAsiaTheme="minorEastAsia"/>
                      <w:sz w:val="16"/>
                      <w:szCs w:val="16"/>
                    </w:rPr>
                  </w:pPr>
                  <w:r>
                    <w:rPr>
                      <w:rFonts w:eastAsiaTheme="minorEastAsia"/>
                      <w:sz w:val="16"/>
                      <w:szCs w:val="16"/>
                    </w:rPr>
                    <w:t>$282</w:t>
                  </w:r>
                </w:p>
              </w:tc>
            </w:tr>
            <w:tr w14:paraId="32B12662"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588E3AA7" w:rsidP="003640BF" w14:paraId="6E87DD59" w14:textId="77777777">
                  <w:pPr>
                    <w:spacing w:after="0" w:line="240" w:lineRule="auto"/>
                    <w:jc w:val="center"/>
                    <w:rPr>
                      <w:rFonts w:eastAsiaTheme="minorEastAsia"/>
                      <w:sz w:val="16"/>
                      <w:szCs w:val="16"/>
                    </w:rPr>
                  </w:pP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56C8A" w:rsidP="00073DCF" w14:paraId="1EDF9C67" w14:textId="77777777">
                  <w:pPr>
                    <w:spacing w:after="0" w:line="240" w:lineRule="auto"/>
                    <w:rPr>
                      <w:rFonts w:eastAsiaTheme="minorEastAsia"/>
                      <w:sz w:val="16"/>
                      <w:szCs w:val="16"/>
                    </w:rPr>
                  </w:pPr>
                  <w:r>
                    <w:rPr>
                      <w:rFonts w:eastAsiaTheme="minorEastAsia"/>
                      <w:sz w:val="16"/>
                      <w:szCs w:val="16"/>
                    </w:rPr>
                    <w:t>Total Burden/</w:t>
                  </w:r>
                </w:p>
                <w:p w:rsidR="00B56C8A" w:rsidRPr="588E3AA7" w:rsidP="00073DCF" w14:paraId="6D4388D5" w14:textId="0D44A997">
                  <w:pPr>
                    <w:spacing w:after="0" w:line="240" w:lineRule="auto"/>
                    <w:rPr>
                      <w:rFonts w:eastAsiaTheme="minorEastAsia"/>
                      <w:sz w:val="16"/>
                      <w:szCs w:val="16"/>
                    </w:rPr>
                  </w:pPr>
                  <w:r>
                    <w:rPr>
                      <w:rFonts w:eastAsiaTheme="minorEastAsia"/>
                      <w:sz w:val="16"/>
                      <w:szCs w:val="16"/>
                    </w:rPr>
                    <w:t>Annual Burden</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RPr="588E3AA7" w:rsidP="003640BF" w14:paraId="52E53203" w14:textId="77777777">
                  <w:pPr>
                    <w:spacing w:after="0" w:line="240" w:lineRule="auto"/>
                    <w:jc w:val="center"/>
                    <w:rPr>
                      <w:rFonts w:eastAsiaTheme="minorEastAsia"/>
                      <w:sz w:val="16"/>
                      <w:szCs w:val="16"/>
                    </w:rPr>
                  </w:pPr>
                </w:p>
              </w:tc>
              <w:tc>
                <w:tcPr>
                  <w:tcW w:w="1099" w:type="dxa"/>
                  <w:tcBorders>
                    <w:top w:val="nil"/>
                    <w:left w:val="nil"/>
                    <w:bottom w:val="single" w:sz="8" w:space="0" w:color="auto"/>
                    <w:right w:val="single" w:sz="4" w:space="0" w:color="auto"/>
                  </w:tcBorders>
                  <w:vAlign w:val="center"/>
                </w:tcPr>
                <w:p w:rsidR="00BD036A" w:rsidRPr="588E3AA7" w:rsidP="003640BF" w14:paraId="3B543E46" w14:textId="77777777">
                  <w:pPr>
                    <w:spacing w:after="0" w:line="240" w:lineRule="auto"/>
                    <w:jc w:val="center"/>
                    <w:rPr>
                      <w:rFonts w:eastAsiaTheme="minorEastAsia"/>
                      <w:sz w:val="16"/>
                      <w:szCs w:val="16"/>
                    </w:rPr>
                  </w:pP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3DBC86D0" w14:textId="2DCC184E">
                  <w:pPr>
                    <w:spacing w:after="0" w:line="240" w:lineRule="auto"/>
                    <w:jc w:val="center"/>
                    <w:rPr>
                      <w:rFonts w:eastAsiaTheme="minorEastAsia"/>
                      <w:sz w:val="16"/>
                      <w:szCs w:val="16"/>
                    </w:rPr>
                  </w:pPr>
                </w:p>
              </w:tc>
              <w:tc>
                <w:tcPr>
                  <w:tcW w:w="996" w:type="dxa"/>
                  <w:tcBorders>
                    <w:top w:val="nil"/>
                    <w:left w:val="nil"/>
                    <w:bottom w:val="single" w:sz="8" w:space="0" w:color="auto"/>
                    <w:right w:val="single" w:sz="8" w:space="0" w:color="auto"/>
                  </w:tcBorders>
                  <w:vAlign w:val="center"/>
                </w:tcPr>
                <w:p w:rsidR="00BD036A" w:rsidP="003640BF" w14:paraId="267D5490" w14:textId="77777777">
                  <w:pPr>
                    <w:spacing w:after="0" w:line="240" w:lineRule="auto"/>
                    <w:jc w:val="center"/>
                    <w:rPr>
                      <w:rFonts w:eastAsiaTheme="minorEastAsia"/>
                      <w:sz w:val="16"/>
                      <w:szCs w:val="16"/>
                    </w:rPr>
                  </w:pP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3AB9557" w14:textId="77777777">
                  <w:pPr>
                    <w:spacing w:after="0" w:line="240" w:lineRule="auto"/>
                    <w:jc w:val="center"/>
                    <w:rPr>
                      <w:rFonts w:eastAsiaTheme="minorEastAsia"/>
                      <w:sz w:val="16"/>
                      <w:szCs w:val="16"/>
                    </w:rPr>
                  </w:pPr>
                  <w:r>
                    <w:rPr>
                      <w:rFonts w:eastAsiaTheme="minorEastAsia"/>
                      <w:sz w:val="16"/>
                      <w:szCs w:val="16"/>
                    </w:rPr>
                    <w:t>903</w:t>
                  </w:r>
                  <w:r w:rsidR="00F33BF2">
                    <w:rPr>
                      <w:rFonts w:eastAsiaTheme="minorEastAsia"/>
                      <w:sz w:val="16"/>
                      <w:szCs w:val="16"/>
                    </w:rPr>
                    <w:t>/</w:t>
                  </w:r>
                </w:p>
                <w:p w:rsidR="00F33BF2" w:rsidRPr="588E3AA7" w:rsidP="003640BF" w14:paraId="7CFD833A" w14:textId="3E9F872F">
                  <w:pPr>
                    <w:spacing w:after="0" w:line="240" w:lineRule="auto"/>
                    <w:jc w:val="center"/>
                    <w:rPr>
                      <w:rFonts w:eastAsiaTheme="minorEastAsia"/>
                      <w:sz w:val="16"/>
                      <w:szCs w:val="16"/>
                    </w:rPr>
                  </w:pPr>
                  <w:r>
                    <w:rPr>
                      <w:rFonts w:eastAsiaTheme="minorEastAsia"/>
                      <w:sz w:val="16"/>
                      <w:szCs w:val="16"/>
                    </w:rPr>
                    <w:t>301</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749B37D" w14:textId="63B9DB12">
                  <w:pPr>
                    <w:spacing w:after="0" w:line="240" w:lineRule="auto"/>
                    <w:jc w:val="center"/>
                    <w:rPr>
                      <w:rFonts w:eastAsiaTheme="minorEastAsia"/>
                      <w:sz w:val="16"/>
                      <w:szCs w:val="16"/>
                    </w:rPr>
                  </w:pPr>
                  <w:r>
                    <w:rPr>
                      <w:rFonts w:eastAsiaTheme="minorEastAsia"/>
                      <w:sz w:val="16"/>
                      <w:szCs w:val="16"/>
                    </w:rPr>
                    <w:t>$</w:t>
                  </w:r>
                  <w:r w:rsidR="000F397A">
                    <w:rPr>
                      <w:rFonts w:eastAsiaTheme="minorEastAsia"/>
                      <w:sz w:val="16"/>
                      <w:szCs w:val="16"/>
                    </w:rPr>
                    <w:t>30</w:t>
                  </w:r>
                  <w:r w:rsidR="00976415">
                    <w:rPr>
                      <w:rFonts w:eastAsiaTheme="minorEastAsia"/>
                      <w:sz w:val="16"/>
                      <w:szCs w:val="16"/>
                    </w:rPr>
                    <w:t>,</w:t>
                  </w:r>
                  <w:r w:rsidR="000F397A">
                    <w:rPr>
                      <w:rFonts w:eastAsiaTheme="minorEastAsia"/>
                      <w:sz w:val="16"/>
                      <w:szCs w:val="16"/>
                    </w:rPr>
                    <w:t>551</w:t>
                  </w:r>
                  <w:r w:rsidR="00EC0ABF">
                    <w:rPr>
                      <w:rFonts w:eastAsiaTheme="minorEastAsia"/>
                      <w:sz w:val="16"/>
                      <w:szCs w:val="16"/>
                    </w:rPr>
                    <w:t>/</w:t>
                  </w:r>
                </w:p>
                <w:p w:rsidR="00EC0ABF" w:rsidRPr="588E3AA7" w:rsidP="003640BF" w14:paraId="24A03F82" w14:textId="6DD63A60">
                  <w:pPr>
                    <w:spacing w:after="0" w:line="240" w:lineRule="auto"/>
                    <w:jc w:val="center"/>
                    <w:rPr>
                      <w:rFonts w:eastAsiaTheme="minorEastAsia"/>
                      <w:sz w:val="16"/>
                      <w:szCs w:val="16"/>
                    </w:rPr>
                  </w:pPr>
                  <w:r>
                    <w:rPr>
                      <w:rFonts w:eastAsiaTheme="minorEastAsia"/>
                      <w:sz w:val="16"/>
                      <w:szCs w:val="16"/>
                    </w:rPr>
                    <w:t>$</w:t>
                  </w:r>
                  <w:r w:rsidR="00093E8E">
                    <w:rPr>
                      <w:rFonts w:eastAsiaTheme="minorEastAsia"/>
                      <w:sz w:val="16"/>
                      <w:szCs w:val="16"/>
                    </w:rPr>
                    <w:t>10</w:t>
                  </w:r>
                  <w:r>
                    <w:rPr>
                      <w:rFonts w:eastAsiaTheme="minorEastAsia"/>
                      <w:sz w:val="16"/>
                      <w:szCs w:val="16"/>
                    </w:rPr>
                    <w:t>,</w:t>
                  </w:r>
                  <w:r w:rsidR="00093E8E">
                    <w:rPr>
                      <w:rFonts w:eastAsiaTheme="minorEastAsia"/>
                      <w:sz w:val="16"/>
                      <w:szCs w:val="16"/>
                    </w:rPr>
                    <w:t>181</w:t>
                  </w:r>
                </w:p>
              </w:tc>
            </w:tr>
          </w:tbl>
          <w:p w:rsidR="00581C32" w:rsidRPr="006375D5" w:rsidP="00073DCF" w14:paraId="5932F805" w14:textId="6CDDE42D">
            <w:pPr>
              <w:spacing w:after="0" w:line="240" w:lineRule="auto"/>
              <w:rPr>
                <w:rFonts w:ascii="Calibri" w:eastAsia="Calibri" w:hAnsi="Calibri" w:cs="Calibri"/>
              </w:rPr>
            </w:pPr>
            <w:bookmarkStart w:id="4" w:name="_Hlk48332695"/>
            <w:r w:rsidRPr="588E3AA7">
              <w:rPr>
                <w:sz w:val="20"/>
                <w:szCs w:val="20"/>
              </w:rPr>
              <w:t>*</w:t>
            </w:r>
            <w:r w:rsidR="214631C4">
              <w:t xml:space="preserve"> </w:t>
            </w:r>
            <w:bookmarkEnd w:id="4"/>
            <w:r w:rsidRPr="588E3AA7" w:rsidR="56A0953B">
              <w:rPr>
                <w:rFonts w:ascii="Times New Roman" w:eastAsia="Times New Roman" w:hAnsi="Times New Roman" w:cs="Times New Roman"/>
                <w:i/>
                <w:iCs/>
                <w:sz w:val="16"/>
                <w:szCs w:val="16"/>
              </w:rPr>
              <w:t>See</w:t>
            </w:r>
            <w:r w:rsidRPr="588E3AA7" w:rsidR="56A0953B">
              <w:rPr>
                <w:rFonts w:ascii="Times New Roman" w:eastAsia="Times New Roman" w:hAnsi="Times New Roman" w:cs="Times New Roman"/>
                <w:sz w:val="16"/>
                <w:szCs w:val="16"/>
              </w:rPr>
              <w:t xml:space="preserve"> Table B-3 Average hourly and weekly earnings of all employees on private nonfarm payrolls by industry sector, seasonally adjusted, for August </w:t>
            </w:r>
            <w:r w:rsidRPr="588E3AA7" w:rsidR="00496FE9">
              <w:rPr>
                <w:rFonts w:ascii="Times New Roman" w:eastAsia="Times New Roman" w:hAnsi="Times New Roman" w:cs="Times New Roman"/>
                <w:sz w:val="16"/>
                <w:szCs w:val="16"/>
              </w:rPr>
              <w:t>202</w:t>
            </w:r>
            <w:r w:rsidR="00496FE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available at </w:t>
            </w:r>
            <w:hyperlink r:id="rId7">
              <w:r w:rsidRPr="588E3AA7" w:rsidR="56A0953B">
                <w:rPr>
                  <w:rStyle w:val="Hyperlink"/>
                  <w:rFonts w:ascii="Times New Roman" w:eastAsia="Times New Roman" w:hAnsi="Times New Roman" w:cs="Times New Roman"/>
                  <w:sz w:val="16"/>
                  <w:szCs w:val="16"/>
                </w:rPr>
                <w:t>https://www.bls.gov/news.release/empsit.t19.htm</w:t>
              </w:r>
            </w:hyperlink>
            <w:r w:rsidRPr="588E3AA7" w:rsidR="56A0953B">
              <w:rPr>
                <w:rFonts w:ascii="Times New Roman" w:eastAsia="Times New Roman" w:hAnsi="Times New Roman" w:cs="Times New Roman"/>
                <w:sz w:val="16"/>
                <w:szCs w:val="16"/>
              </w:rPr>
              <w:t xml:space="preserve"> (accessed </w:t>
            </w:r>
            <w:r w:rsidR="004111E5">
              <w:rPr>
                <w:rFonts w:ascii="Times New Roman" w:eastAsia="Times New Roman" w:hAnsi="Times New Roman" w:cs="Times New Roman"/>
                <w:sz w:val="16"/>
                <w:szCs w:val="16"/>
              </w:rPr>
              <w:t>October</w:t>
            </w:r>
            <w:r w:rsidRPr="588E3AA7" w:rsidR="004111E5">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sz w:val="16"/>
                <w:szCs w:val="16"/>
              </w:rPr>
              <w:t>3, 202</w:t>
            </w:r>
            <w:r w:rsidR="004111E5">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i/>
                <w:iCs/>
                <w:sz w:val="16"/>
                <w:szCs w:val="16"/>
              </w:rPr>
              <w:t>See</w:t>
            </w:r>
            <w:r w:rsidRPr="588E3AA7" w:rsidR="56A0953B">
              <w:rPr>
                <w:rFonts w:ascii="Times New Roman" w:eastAsia="Times New Roman" w:hAnsi="Times New Roman" w:cs="Times New Roman"/>
                <w:sz w:val="16"/>
                <w:szCs w:val="16"/>
              </w:rPr>
              <w:t xml:space="preserve"> Table 1. Employer Costs for Employee Compensation by ownership (June </w:t>
            </w:r>
            <w:r w:rsidRPr="588E3AA7" w:rsidR="001B6B09">
              <w:rPr>
                <w:rFonts w:ascii="Times New Roman" w:eastAsia="Times New Roman" w:hAnsi="Times New Roman" w:cs="Times New Roman"/>
                <w:sz w:val="16"/>
                <w:szCs w:val="16"/>
              </w:rPr>
              <w:t>202</w:t>
            </w:r>
            <w:r w:rsidR="001B6B0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available at https://www.bls.gov/news.release/ecec.t01.htm (accessed </w:t>
            </w:r>
            <w:r w:rsidR="001B6B09">
              <w:rPr>
                <w:rFonts w:ascii="Times New Roman" w:eastAsia="Times New Roman" w:hAnsi="Times New Roman" w:cs="Times New Roman"/>
                <w:sz w:val="16"/>
                <w:szCs w:val="16"/>
              </w:rPr>
              <w:t>October</w:t>
            </w:r>
            <w:r w:rsidRPr="588E3AA7" w:rsidR="001B6B09">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sz w:val="16"/>
                <w:szCs w:val="16"/>
              </w:rPr>
              <w:t>3, 202</w:t>
            </w:r>
            <w:r w:rsidR="001B6B0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w:t>
            </w:r>
          </w:p>
        </w:tc>
      </w:tr>
      <w:tr w14:paraId="7DC4E178" w14:textId="77777777" w:rsidTr="02858895">
        <w:tblPrEx>
          <w:tblW w:w="9450" w:type="dxa"/>
          <w:tblLook w:val="04A0"/>
        </w:tblPrEx>
        <w:tc>
          <w:tcPr>
            <w:tcW w:w="9450" w:type="dxa"/>
            <w:shd w:val="clear" w:color="auto" w:fill="F2F2F2" w:themeFill="background1" w:themeFillShade="F2"/>
          </w:tcPr>
          <w:p w:rsidR="00707104" w:rsidP="005969B0" w14:paraId="3236E70C" w14:textId="5D2286B4">
            <w:pPr>
              <w:spacing w:after="120" w:line="240" w:lineRule="auto"/>
              <w:rPr>
                <w:i/>
                <w:sz w:val="20"/>
                <w:szCs w:val="20"/>
              </w:rPr>
            </w:pPr>
            <w:r w:rsidRPr="00412504">
              <w:rPr>
                <w:b/>
              </w:rPr>
              <w:t xml:space="preserve">13. </w:t>
            </w:r>
            <w:r w:rsidRPr="00412504">
              <w:rPr>
                <w:b/>
                <w:u w:val="single"/>
              </w:rPr>
              <w:t xml:space="preserve">Estimate </w:t>
            </w:r>
            <w:r w:rsidRPr="00412504">
              <w:rPr>
                <w:b/>
                <w:u w:val="single"/>
              </w:rPr>
              <w:t>Of</w:t>
            </w:r>
            <w:r w:rsidRPr="00412504">
              <w:rPr>
                <w:b/>
                <w:u w:val="single"/>
              </w:rPr>
              <w:t xml:space="preserve"> The Total Annual Costs Burden</w:t>
            </w:r>
            <w:r w:rsidRPr="00412504">
              <w:rPr>
                <w:b/>
              </w:rPr>
              <w:t>.</w:t>
            </w:r>
            <w:r w:rsidR="00855670">
              <w:rPr>
                <w:b/>
              </w:rPr>
              <w:t xml:space="preserve"> </w:t>
            </w:r>
            <w:r>
              <w:t xml:space="preserve"> </w:t>
            </w:r>
            <w:r w:rsidRPr="00071299">
              <w:rPr>
                <w:sz w:val="20"/>
                <w:szCs w:val="20"/>
              </w:rPr>
              <w:t>P</w:t>
            </w:r>
            <w:r w:rsidRPr="00071299">
              <w:rPr>
                <w:i/>
                <w:sz w:val="20"/>
                <w:szCs w:val="20"/>
              </w:rPr>
              <w:t>rovide an estimate of the total annual cost burden to</w:t>
            </w:r>
          </w:p>
          <w:p w:rsidR="00AB3C2B" w:rsidRPr="00071299" w:rsidP="005969B0" w14:paraId="27B816E2" w14:textId="1A470927">
            <w:pPr>
              <w:spacing w:after="120" w:line="240" w:lineRule="auto"/>
              <w:rPr>
                <w:i/>
                <w:sz w:val="20"/>
                <w:szCs w:val="20"/>
              </w:rPr>
            </w:pPr>
            <w:r w:rsidRPr="00071299">
              <w:rPr>
                <w:i/>
                <w:sz w:val="20"/>
                <w:szCs w:val="20"/>
              </w:rPr>
              <w:t xml:space="preserve"> respondents or record keepers resulting from the collection of information. </w:t>
            </w:r>
          </w:p>
          <w:p w:rsidR="00AB3C2B" w:rsidRPr="00071299" w:rsidP="005969B0" w14:paraId="5C52AA2D" w14:textId="77777777">
            <w:pPr>
              <w:pStyle w:val="ListParagraph"/>
              <w:numPr>
                <w:ilvl w:val="0"/>
                <w:numId w:val="8"/>
              </w:numPr>
              <w:spacing w:after="120" w:line="240" w:lineRule="auto"/>
              <w:contextualSpacing w:val="0"/>
              <w:rPr>
                <w:i/>
                <w:sz w:val="20"/>
              </w:rPr>
            </w:pPr>
            <w:r w:rsidRPr="00071299">
              <w:rPr>
                <w:i/>
                <w:sz w:val="20"/>
              </w:rPr>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B3C2B" w:rsidRPr="00071299" w:rsidP="005969B0" w14:paraId="6A576486" w14:textId="77777777">
            <w:pPr>
              <w:pStyle w:val="ListParagraph"/>
              <w:numPr>
                <w:ilvl w:val="0"/>
                <w:numId w:val="8"/>
              </w:numPr>
              <w:spacing w:after="120" w:line="240" w:lineRule="auto"/>
              <w:contextualSpacing w:val="0"/>
              <w:rPr>
                <w:i/>
                <w:sz w:val="20"/>
              </w:rPr>
            </w:pPr>
            <w:r w:rsidRPr="00071299">
              <w:rPr>
                <w:i/>
                <w:sz w:val="20"/>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t>
            </w:r>
            <w:r w:rsidRPr="00071299">
              <w:rPr>
                <w:i/>
                <w:sz w:val="20"/>
              </w:rPr>
              <w:t>with a sample of respondents (fewer than 10), utilize the 60-day pre-OMB submission public comment process and use existing economic or regulatory impact analysis associated with the rulemaking containing the information collection, as appropriate.</w:t>
            </w:r>
          </w:p>
          <w:p w:rsidR="001024BB" w:rsidP="005969B0" w14:paraId="35B86343" w14:textId="77777777">
            <w:pPr>
              <w:spacing w:after="120" w:line="240" w:lineRule="auto"/>
              <w:rPr>
                <w:b/>
              </w:rPr>
            </w:pPr>
            <w:r w:rsidRPr="00071299">
              <w:rPr>
                <w:i/>
                <w:sz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tc>
      </w:tr>
      <w:tr w14:paraId="07A258F6" w14:textId="77777777" w:rsidTr="02858895">
        <w:tblPrEx>
          <w:tblW w:w="9450" w:type="dxa"/>
          <w:tblLook w:val="04A0"/>
        </w:tblPrEx>
        <w:tc>
          <w:tcPr>
            <w:tcW w:w="9450" w:type="dxa"/>
            <w:tcBorders>
              <w:bottom w:val="single" w:sz="4" w:space="0" w:color="auto"/>
            </w:tcBorders>
          </w:tcPr>
          <w:p w:rsidR="00BC5784" w:rsidRPr="007C27C4" w:rsidP="005969B0" w14:paraId="26AF78E4" w14:textId="2A39096A">
            <w:pPr>
              <w:spacing w:after="120" w:line="240" w:lineRule="auto"/>
              <w:rPr>
                <w:rFonts w:ascii="Calibri" w:hAnsi="Calibri" w:cs="Calibri"/>
              </w:rPr>
            </w:pPr>
            <w:r w:rsidRPr="02858895">
              <w:rPr>
                <w:rFonts w:ascii="Calibri" w:hAnsi="Calibri" w:cs="Calibri"/>
              </w:rPr>
              <w:t xml:space="preserve">There will be no start-up or record-keeping costs to subjects to obtain these data. Participation is voluntary and nobody will be required to participate. Participants will be compensated for their time and effort for participating in the study procedures, so there will be no costs for participating. </w:t>
            </w:r>
          </w:p>
          <w:p w:rsidR="00BC5784" w:rsidRPr="007C27C4" w:rsidP="005969B0" w14:paraId="050ABA86" w14:textId="2CF66585">
            <w:pPr>
              <w:spacing w:after="120" w:line="240" w:lineRule="auto"/>
              <w:rPr>
                <w:rFonts w:ascii="Calibri" w:hAnsi="Calibri" w:cs="Calibri"/>
              </w:rPr>
            </w:pPr>
            <w:bookmarkStart w:id="5" w:name="_Hlk86153654"/>
            <w:r w:rsidRPr="02858895">
              <w:rPr>
                <w:rFonts w:ascii="Calibri" w:hAnsi="Calibri" w:cs="Calibri"/>
              </w:rPr>
              <w:t xml:space="preserve">The only cost burdens respondents </w:t>
            </w:r>
            <w:r w:rsidR="00BE4466">
              <w:rPr>
                <w:rFonts w:ascii="Calibri" w:hAnsi="Calibri" w:cs="Calibri"/>
              </w:rPr>
              <w:t>may</w:t>
            </w:r>
            <w:r w:rsidRPr="02858895" w:rsidR="00BE4466">
              <w:rPr>
                <w:rFonts w:ascii="Calibri" w:hAnsi="Calibri" w:cs="Calibri"/>
              </w:rPr>
              <w:t xml:space="preserve"> </w:t>
            </w:r>
            <w:r w:rsidRPr="02858895">
              <w:rPr>
                <w:rFonts w:ascii="Calibri" w:hAnsi="Calibri" w:cs="Calibri"/>
              </w:rPr>
              <w:t xml:space="preserve">incur are </w:t>
            </w:r>
            <w:r w:rsidR="00C53824">
              <w:rPr>
                <w:rFonts w:ascii="Calibri" w:hAnsi="Calibri" w:cs="Calibri"/>
              </w:rPr>
              <w:t>those</w:t>
            </w:r>
            <w:r w:rsidRPr="02858895" w:rsidR="00C53824">
              <w:rPr>
                <w:rFonts w:ascii="Calibri" w:hAnsi="Calibri" w:cs="Calibri"/>
              </w:rPr>
              <w:t xml:space="preserve"> </w:t>
            </w:r>
            <w:r w:rsidRPr="02858895">
              <w:rPr>
                <w:rFonts w:ascii="Calibri" w:hAnsi="Calibri" w:cs="Calibri"/>
              </w:rPr>
              <w:t>related to travel to and from the study location for those that participate</w:t>
            </w:r>
            <w:r w:rsidR="00283940">
              <w:rPr>
                <w:rFonts w:ascii="Calibri" w:hAnsi="Calibri" w:cs="Calibri"/>
              </w:rPr>
              <w:t>,</w:t>
            </w:r>
            <w:r w:rsidR="00283940">
              <w:t xml:space="preserve"> </w:t>
            </w:r>
            <w:r w:rsidRPr="00283940" w:rsidR="00283940">
              <w:rPr>
                <w:rFonts w:ascii="Calibri" w:hAnsi="Calibri" w:cs="Calibri"/>
              </w:rPr>
              <w:t>which is estimated not to exceed approximately $39.30 (based on the standard mileage rate for business-related driving in 2023 and a round trip distance of 60 miles)</w:t>
            </w:r>
            <w:r w:rsidRPr="02858895">
              <w:rPr>
                <w:rFonts w:ascii="Calibri" w:hAnsi="Calibri" w:cs="Calibri"/>
              </w:rPr>
              <w:t>. The costs are minimal and are expected to be offset by the monetary compensation that will be provided to all research participants</w:t>
            </w:r>
            <w:r w:rsidRPr="02858895" w:rsidR="4C9B7166">
              <w:rPr>
                <w:rFonts w:ascii="Calibri" w:hAnsi="Calibri" w:cs="Calibri"/>
              </w:rPr>
              <w:t xml:space="preserve"> who enroll.</w:t>
            </w:r>
            <w:bookmarkEnd w:id="5"/>
            <w:r w:rsidR="00283940">
              <w:rPr>
                <w:rFonts w:ascii="Calibri" w:hAnsi="Calibri" w:cs="Calibri"/>
              </w:rPr>
              <w:t xml:space="preserve"> </w:t>
            </w:r>
          </w:p>
        </w:tc>
      </w:tr>
      <w:tr w14:paraId="584E4007" w14:textId="77777777" w:rsidTr="02858895">
        <w:tblPrEx>
          <w:tblW w:w="9450" w:type="dxa"/>
          <w:tblLook w:val="04A0"/>
        </w:tblPrEx>
        <w:tc>
          <w:tcPr>
            <w:tcW w:w="9450" w:type="dxa"/>
            <w:shd w:val="clear" w:color="auto" w:fill="F2F2F2" w:themeFill="background1" w:themeFillShade="F2"/>
          </w:tcPr>
          <w:p w:rsidR="001024BB" w:rsidP="005969B0" w14:paraId="7A3B8445" w14:textId="39621F35">
            <w:pPr>
              <w:spacing w:after="120" w:line="240" w:lineRule="auto"/>
              <w:rPr>
                <w:b/>
                <w:bCs/>
              </w:rPr>
            </w:pPr>
            <w:r w:rsidRPr="588E3AA7">
              <w:rPr>
                <w:b/>
                <w:bCs/>
              </w:rPr>
              <w:t xml:space="preserve">14. </w:t>
            </w:r>
            <w:r w:rsidRPr="588E3AA7">
              <w:rPr>
                <w:b/>
                <w:bCs/>
                <w:u w:val="single"/>
              </w:rPr>
              <w:t xml:space="preserve">Estimates </w:t>
            </w:r>
            <w:r w:rsidRPr="588E3AA7">
              <w:rPr>
                <w:b/>
                <w:bCs/>
                <w:u w:val="single"/>
              </w:rPr>
              <w:t>Of</w:t>
            </w:r>
            <w:r w:rsidRPr="588E3AA7">
              <w:rPr>
                <w:b/>
                <w:bCs/>
                <w:u w:val="single"/>
              </w:rPr>
              <w:t xml:space="preserve"> Costs To The Federal Government</w:t>
            </w:r>
            <w:r w:rsidRPr="588E3AA7">
              <w:rPr>
                <w:b/>
                <w:bCs/>
              </w:rPr>
              <w:t>.</w:t>
            </w:r>
            <w:r>
              <w:t xml:space="preserve"> </w:t>
            </w:r>
            <w:r w:rsidRPr="588E3AA7">
              <w:rPr>
                <w:i/>
                <w:iCs/>
                <w:sz w:val="20"/>
                <w:szCs w:val="20"/>
              </w:rPr>
              <w:t>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w:t>
            </w:r>
          </w:p>
        </w:tc>
      </w:tr>
      <w:tr w14:paraId="7BD3D796" w14:textId="77777777" w:rsidTr="02858895">
        <w:tblPrEx>
          <w:tblW w:w="9450" w:type="dxa"/>
          <w:tblLook w:val="04A0"/>
        </w:tblPrEx>
        <w:tc>
          <w:tcPr>
            <w:tcW w:w="9450" w:type="dxa"/>
          </w:tcPr>
          <w:p w:rsidR="00BF7635" w:rsidP="005969B0" w14:paraId="43B94AD0" w14:textId="1387DC2C">
            <w:pPr>
              <w:autoSpaceDE w:val="0"/>
              <w:autoSpaceDN w:val="0"/>
              <w:adjustRightInd w:val="0"/>
              <w:spacing w:after="120" w:line="240" w:lineRule="auto"/>
              <w:rPr>
                <w:rFonts w:ascii="Calibri" w:hAnsi="Calibri" w:cs="Calibri"/>
              </w:rPr>
            </w:pPr>
            <w:r>
              <w:rPr>
                <w:rFonts w:ascii="Calibri" w:hAnsi="Calibri" w:cs="Calibri"/>
              </w:rPr>
              <w:t xml:space="preserve">The total estimated cost to the federal government is </w:t>
            </w:r>
            <w:r w:rsidR="0018585A">
              <w:rPr>
                <w:rFonts w:ascii="Calibri" w:hAnsi="Calibri" w:cs="Calibri"/>
              </w:rPr>
              <w:t>$</w:t>
            </w:r>
            <w:r w:rsidR="006F1BC1">
              <w:rPr>
                <w:rFonts w:ascii="Calibri" w:hAnsi="Calibri" w:cs="Calibri"/>
              </w:rPr>
              <w:t>1,650,5</w:t>
            </w:r>
            <w:r w:rsidR="00230569">
              <w:rPr>
                <w:rFonts w:ascii="Calibri" w:hAnsi="Calibri" w:cs="Calibri"/>
              </w:rPr>
              <w:t>21</w:t>
            </w:r>
            <w:r w:rsidR="006F1BC1">
              <w:rPr>
                <w:rFonts w:ascii="Calibri" w:hAnsi="Calibri" w:cs="Calibri"/>
              </w:rPr>
              <w:t>.6</w:t>
            </w:r>
            <w:r w:rsidR="00230569">
              <w:rPr>
                <w:rFonts w:ascii="Calibri" w:hAnsi="Calibri" w:cs="Calibri"/>
              </w:rPr>
              <w:t>3</w:t>
            </w:r>
            <w:r w:rsidR="004E5EAB">
              <w:rPr>
                <w:rFonts w:ascii="Calibri" w:hAnsi="Calibri" w:cs="Calibri"/>
              </w:rPr>
              <w:t xml:space="preserve">. The annualized cost to the federal government is </w:t>
            </w:r>
            <w:r w:rsidR="0018585A">
              <w:rPr>
                <w:rFonts w:ascii="Calibri" w:hAnsi="Calibri" w:cs="Calibri"/>
              </w:rPr>
              <w:t>$</w:t>
            </w:r>
            <w:r w:rsidR="006F1BC1">
              <w:rPr>
                <w:rFonts w:ascii="Calibri" w:hAnsi="Calibri" w:cs="Calibri"/>
              </w:rPr>
              <w:t>550,17</w:t>
            </w:r>
            <w:r w:rsidR="00230569">
              <w:rPr>
                <w:rFonts w:ascii="Calibri" w:hAnsi="Calibri" w:cs="Calibri"/>
              </w:rPr>
              <w:t>3</w:t>
            </w:r>
            <w:r w:rsidR="006F1BC1">
              <w:rPr>
                <w:rFonts w:ascii="Calibri" w:hAnsi="Calibri" w:cs="Calibri"/>
              </w:rPr>
              <w:t>.8</w:t>
            </w:r>
            <w:r w:rsidR="00230569">
              <w:rPr>
                <w:rFonts w:ascii="Calibri" w:hAnsi="Calibri" w:cs="Calibri"/>
              </w:rPr>
              <w:t>8</w:t>
            </w:r>
            <w:r w:rsidR="0018585A">
              <w:rPr>
                <w:rFonts w:ascii="Calibri" w:hAnsi="Calibri" w:cs="Calibri"/>
              </w:rPr>
              <w:t>. The cost is comprised of the following:</w:t>
            </w:r>
          </w:p>
          <w:p w:rsidR="001D66B4" w:rsidP="0018585A" w14:paraId="157F5FD4" w14:textId="5E16526F">
            <w:pPr>
              <w:autoSpaceDE w:val="0"/>
              <w:autoSpaceDN w:val="0"/>
              <w:adjustRightInd w:val="0"/>
              <w:spacing w:after="120" w:line="240" w:lineRule="auto"/>
              <w:ind w:left="720"/>
              <w:rPr>
                <w:rFonts w:ascii="Calibri" w:hAnsi="Calibri" w:cs="Calibri"/>
              </w:rPr>
            </w:pPr>
            <w:r w:rsidRPr="02858895">
              <w:rPr>
                <w:rFonts w:ascii="Calibri" w:hAnsi="Calibri" w:cs="Calibri"/>
              </w:rPr>
              <w:t>The estimated cost in terms of government time is approximately 4</w:t>
            </w:r>
            <w:r w:rsidR="008324C3">
              <w:rPr>
                <w:rFonts w:ascii="Calibri" w:hAnsi="Calibri" w:cs="Calibri"/>
              </w:rPr>
              <w:t>80</w:t>
            </w:r>
            <w:r w:rsidRPr="02858895">
              <w:rPr>
                <w:rFonts w:ascii="Calibri" w:hAnsi="Calibri" w:cs="Calibri"/>
              </w:rPr>
              <w:t xml:space="preserve"> hours for the Contracting Officer’s Representative (COR) and </w:t>
            </w:r>
            <w:r w:rsidR="008324C3">
              <w:rPr>
                <w:rFonts w:ascii="Calibri" w:hAnsi="Calibri" w:cs="Calibri"/>
              </w:rPr>
              <w:t>24</w:t>
            </w:r>
            <w:r w:rsidRPr="02858895">
              <w:rPr>
                <w:rFonts w:ascii="Calibri" w:hAnsi="Calibri" w:cs="Calibri"/>
              </w:rPr>
              <w:t xml:space="preserve"> hours for the supervisor. Using an example COR GS pay scale level of </w:t>
            </w:r>
            <w:r w:rsidRPr="02858895" w:rsidR="3ACDAC21">
              <w:rPr>
                <w:rFonts w:ascii="Calibri" w:hAnsi="Calibri" w:cs="Calibri"/>
              </w:rPr>
              <w:t>GS-</w:t>
            </w:r>
            <w:r w:rsidRPr="02858895">
              <w:rPr>
                <w:rFonts w:ascii="Calibri" w:hAnsi="Calibri" w:cs="Calibri"/>
              </w:rPr>
              <w:t xml:space="preserve">14 Step 1 and Supervisor GS pay scale rate of </w:t>
            </w:r>
            <w:r w:rsidRPr="02858895" w:rsidR="3ACDAC21">
              <w:rPr>
                <w:rFonts w:ascii="Calibri" w:hAnsi="Calibri" w:cs="Calibri"/>
              </w:rPr>
              <w:t>GS-</w:t>
            </w:r>
            <w:r w:rsidRPr="02858895">
              <w:rPr>
                <w:rFonts w:ascii="Calibri" w:hAnsi="Calibri" w:cs="Calibri"/>
              </w:rPr>
              <w:t>15 Step 1, NHTSA estimates that the cost associated with those hours to be $</w:t>
            </w:r>
            <w:r w:rsidR="00B81C74">
              <w:rPr>
                <w:rFonts w:ascii="Calibri" w:hAnsi="Calibri" w:cs="Calibri"/>
              </w:rPr>
              <w:t>33,944.64</w:t>
            </w:r>
            <w:r w:rsidRPr="02858895">
              <w:rPr>
                <w:rFonts w:ascii="Calibri" w:hAnsi="Calibri" w:cs="Calibri"/>
              </w:rPr>
              <w:t xml:space="preserve"> ($</w:t>
            </w:r>
            <w:r w:rsidR="00155D36">
              <w:rPr>
                <w:rFonts w:ascii="Calibri" w:hAnsi="Calibri" w:cs="Calibri"/>
              </w:rPr>
              <w:t>66.79</w:t>
            </w:r>
            <w:r w:rsidRPr="02858895">
              <w:rPr>
                <w:rFonts w:ascii="Calibri" w:hAnsi="Calibri" w:cs="Calibri"/>
              </w:rPr>
              <w:t xml:space="preserve"> x 4</w:t>
            </w:r>
            <w:r w:rsidR="00155D36">
              <w:rPr>
                <w:rFonts w:ascii="Calibri" w:hAnsi="Calibri" w:cs="Calibri"/>
              </w:rPr>
              <w:t>8</w:t>
            </w:r>
            <w:r w:rsidRPr="02858895">
              <w:rPr>
                <w:rFonts w:ascii="Calibri" w:hAnsi="Calibri" w:cs="Calibri"/>
              </w:rPr>
              <w:t>0 hours = $</w:t>
            </w:r>
            <w:r w:rsidR="00D16E2D">
              <w:rPr>
                <w:rFonts w:ascii="Calibri" w:hAnsi="Calibri" w:cs="Calibri"/>
              </w:rPr>
              <w:t>3</w:t>
            </w:r>
            <w:r w:rsidRPr="02858895">
              <w:rPr>
                <w:rFonts w:ascii="Calibri" w:hAnsi="Calibri" w:cs="Calibri"/>
              </w:rPr>
              <w:t>2</w:t>
            </w:r>
            <w:r w:rsidRPr="02858895" w:rsidR="33DF7122">
              <w:rPr>
                <w:rFonts w:ascii="Calibri" w:hAnsi="Calibri" w:cs="Calibri"/>
              </w:rPr>
              <w:t>,</w:t>
            </w:r>
            <w:r w:rsidR="00D16E2D">
              <w:rPr>
                <w:rFonts w:ascii="Calibri" w:hAnsi="Calibri" w:cs="Calibri"/>
              </w:rPr>
              <w:t>059</w:t>
            </w:r>
            <w:r w:rsidR="004A6904">
              <w:rPr>
                <w:rFonts w:ascii="Calibri" w:hAnsi="Calibri" w:cs="Calibri"/>
              </w:rPr>
              <w:t>.20</w:t>
            </w:r>
            <w:r w:rsidRPr="02858895" w:rsidR="20B848EC">
              <w:rPr>
                <w:rFonts w:ascii="Calibri" w:hAnsi="Calibri" w:cs="Calibri"/>
              </w:rPr>
              <w:t>;</w:t>
            </w:r>
            <w:r w:rsidRPr="02858895">
              <w:rPr>
                <w:rFonts w:ascii="Calibri" w:hAnsi="Calibri" w:cs="Calibri"/>
              </w:rPr>
              <w:t xml:space="preserve"> $</w:t>
            </w:r>
            <w:r w:rsidR="00637256">
              <w:rPr>
                <w:rFonts w:ascii="Calibri" w:hAnsi="Calibri" w:cs="Calibri"/>
              </w:rPr>
              <w:t>78.56</w:t>
            </w:r>
            <w:r w:rsidRPr="02858895">
              <w:rPr>
                <w:rFonts w:ascii="Calibri" w:hAnsi="Calibri" w:cs="Calibri"/>
              </w:rPr>
              <w:t xml:space="preserve"> x </w:t>
            </w:r>
            <w:r w:rsidR="00637256">
              <w:rPr>
                <w:rFonts w:ascii="Calibri" w:hAnsi="Calibri" w:cs="Calibri"/>
              </w:rPr>
              <w:t>24</w:t>
            </w:r>
            <w:r w:rsidRPr="02858895">
              <w:rPr>
                <w:rFonts w:ascii="Calibri" w:hAnsi="Calibri" w:cs="Calibri"/>
              </w:rPr>
              <w:t xml:space="preserve"> hours = $</w:t>
            </w:r>
            <w:r w:rsidR="004A6904">
              <w:rPr>
                <w:rFonts w:ascii="Calibri" w:hAnsi="Calibri" w:cs="Calibri"/>
              </w:rPr>
              <w:t>1,885.44</w:t>
            </w:r>
            <w:r w:rsidRPr="02858895" w:rsidR="20B848EC">
              <w:rPr>
                <w:rFonts w:ascii="Calibri" w:hAnsi="Calibri" w:cs="Calibri"/>
              </w:rPr>
              <w:t>;</w:t>
            </w:r>
            <w:r w:rsidRPr="02858895">
              <w:rPr>
                <w:rFonts w:ascii="Calibri" w:hAnsi="Calibri" w:cs="Calibri"/>
              </w:rPr>
              <w:t xml:space="preserve"> $</w:t>
            </w:r>
            <w:r w:rsidR="004A6904">
              <w:rPr>
                <w:rFonts w:ascii="Calibri" w:hAnsi="Calibri" w:cs="Calibri"/>
              </w:rPr>
              <w:t>3</w:t>
            </w:r>
            <w:r w:rsidRPr="02858895" w:rsidR="004A6904">
              <w:rPr>
                <w:rFonts w:ascii="Calibri" w:hAnsi="Calibri" w:cs="Calibri"/>
              </w:rPr>
              <w:t>2,</w:t>
            </w:r>
            <w:r w:rsidR="004A6904">
              <w:rPr>
                <w:rFonts w:ascii="Calibri" w:hAnsi="Calibri" w:cs="Calibri"/>
              </w:rPr>
              <w:t xml:space="preserve">059.20 </w:t>
            </w:r>
            <w:r w:rsidRPr="02858895">
              <w:rPr>
                <w:rFonts w:ascii="Calibri" w:hAnsi="Calibri" w:cs="Calibri"/>
              </w:rPr>
              <w:t>+ $</w:t>
            </w:r>
            <w:r w:rsidR="004A6904">
              <w:rPr>
                <w:rFonts w:ascii="Calibri" w:hAnsi="Calibri" w:cs="Calibri"/>
              </w:rPr>
              <w:t xml:space="preserve">1,885.44 </w:t>
            </w:r>
            <w:r w:rsidRPr="02858895">
              <w:rPr>
                <w:rFonts w:ascii="Calibri" w:hAnsi="Calibri" w:cs="Calibri"/>
              </w:rPr>
              <w:t>= $</w:t>
            </w:r>
            <w:r w:rsidR="006C7425">
              <w:rPr>
                <w:rFonts w:ascii="Calibri" w:hAnsi="Calibri" w:cs="Calibri"/>
              </w:rPr>
              <w:t>33,944</w:t>
            </w:r>
            <w:r w:rsidRPr="02858895" w:rsidR="0A8758D9">
              <w:rPr>
                <w:rFonts w:ascii="Calibri" w:hAnsi="Calibri" w:cs="Calibri"/>
              </w:rPr>
              <w:t>.</w:t>
            </w:r>
            <w:r w:rsidR="006C7425">
              <w:rPr>
                <w:rFonts w:ascii="Calibri" w:hAnsi="Calibri" w:cs="Calibri"/>
              </w:rPr>
              <w:t>64</w:t>
            </w:r>
            <w:r w:rsidRPr="02858895">
              <w:rPr>
                <w:rFonts w:ascii="Calibri" w:hAnsi="Calibri" w:cs="Calibri"/>
              </w:rPr>
              <w:t xml:space="preserve">). </w:t>
            </w:r>
            <w:r w:rsidRPr="02858895" w:rsidR="33CB077C">
              <w:rPr>
                <w:rFonts w:ascii="Calibri" w:hAnsi="Calibri" w:cs="Calibri"/>
              </w:rPr>
              <w:t xml:space="preserve">(GS locality </w:t>
            </w:r>
            <w:r w:rsidR="00637256">
              <w:rPr>
                <w:rFonts w:ascii="Calibri" w:hAnsi="Calibri" w:cs="Calibri"/>
              </w:rPr>
              <w:t>WASHINGTON-BALTIMORE-ARLINGTON</w:t>
            </w:r>
            <w:r w:rsidRPr="02858895" w:rsidR="33CB077C">
              <w:rPr>
                <w:rFonts w:ascii="Calibri" w:hAnsi="Calibri" w:cs="Calibri"/>
              </w:rPr>
              <w:t xml:space="preserve"> and pay rates for year 202</w:t>
            </w:r>
            <w:r w:rsidR="00637256">
              <w:rPr>
                <w:rFonts w:ascii="Calibri" w:hAnsi="Calibri" w:cs="Calibri"/>
              </w:rPr>
              <w:t>4</w:t>
            </w:r>
            <w:r w:rsidRPr="02858895" w:rsidR="33CB077C">
              <w:rPr>
                <w:rFonts w:ascii="Calibri" w:hAnsi="Calibri" w:cs="Calibri"/>
              </w:rPr>
              <w:t>.)</w:t>
            </w:r>
          </w:p>
          <w:p w:rsidR="006F1BC1" w:rsidRPr="008C2455" w:rsidP="00230569" w14:paraId="1C0E5632" w14:textId="19654CFC">
            <w:pPr>
              <w:autoSpaceDE w:val="0"/>
              <w:autoSpaceDN w:val="0"/>
              <w:adjustRightInd w:val="0"/>
              <w:spacing w:after="120" w:line="240" w:lineRule="auto"/>
              <w:ind w:left="720"/>
              <w:rPr>
                <w:rFonts w:cs="Times New Roman"/>
                <w:b/>
                <w:bCs/>
                <w:i/>
                <w:iCs/>
                <w:szCs w:val="24"/>
              </w:rPr>
            </w:pPr>
            <w:r w:rsidRPr="001D66B4">
              <w:rPr>
                <w:rFonts w:ascii="Calibri" w:hAnsi="Calibri" w:cs="Calibri"/>
              </w:rPr>
              <w:t>The estimated costs incurred by the Federal government relating to the administration and technical support for this information collection are based on the number of minutes needed to administer and process each question set and the number of respondents.</w:t>
            </w:r>
            <w:r w:rsidR="00114D5A">
              <w:rPr>
                <w:rFonts w:ascii="Calibri" w:hAnsi="Calibri" w:cs="Calibri"/>
              </w:rPr>
              <w:t xml:space="preserve"> </w:t>
            </w:r>
            <w:r w:rsidRPr="02858895" w:rsidR="6A782CCB">
              <w:rPr>
                <w:rFonts w:ascii="Calibri" w:hAnsi="Calibri" w:cs="Calibri"/>
              </w:rPr>
              <w:t>The estimated c</w:t>
            </w:r>
            <w:r w:rsidRPr="02858895" w:rsidR="3B5F20D4">
              <w:rPr>
                <w:rFonts w:ascii="Calibri" w:hAnsi="Calibri" w:cs="Calibri"/>
              </w:rPr>
              <w:t xml:space="preserve">osts incurred by the Federal Government relating to the administration and technical support </w:t>
            </w:r>
            <w:r w:rsidRPr="02858895" w:rsidR="0024CB13">
              <w:rPr>
                <w:rFonts w:ascii="Calibri" w:hAnsi="Calibri" w:cs="Calibri"/>
              </w:rPr>
              <w:t xml:space="preserve">for </w:t>
            </w:r>
            <w:r w:rsidRPr="00114D5A" w:rsidR="00114D5A">
              <w:rPr>
                <w:rFonts w:ascii="Calibri" w:hAnsi="Calibri" w:cs="Calibri"/>
              </w:rPr>
              <w:t>the project is $</w:t>
            </w:r>
            <w:r>
              <w:rPr>
                <w:rFonts w:ascii="Calibri" w:hAnsi="Calibri" w:cs="Calibri"/>
              </w:rPr>
              <w:t>1,616,</w:t>
            </w:r>
            <w:r w:rsidR="00230569">
              <w:rPr>
                <w:rFonts w:ascii="Calibri" w:hAnsi="Calibri" w:cs="Calibri"/>
              </w:rPr>
              <w:t>576.99</w:t>
            </w:r>
            <w:r w:rsidRPr="00114D5A" w:rsidR="00114D5A">
              <w:rPr>
                <w:rFonts w:ascii="Calibri" w:hAnsi="Calibri" w:cs="Calibri"/>
              </w:rPr>
              <w:t>.</w:t>
            </w:r>
            <w:r w:rsidR="00114D5A">
              <w:rPr>
                <w:rFonts w:ascii="Calibri" w:hAnsi="Calibri" w:cs="Calibri"/>
              </w:rPr>
              <w:t xml:space="preserve"> This number includes the value for participant compensation.</w:t>
            </w:r>
            <w:r w:rsidR="000B56D0">
              <w:rPr>
                <w:rFonts w:ascii="Calibri" w:hAnsi="Calibri" w:cs="Calibri"/>
              </w:rPr>
              <w:t xml:space="preserve"> </w:t>
            </w:r>
            <w:r w:rsidRPr="02858895" w:rsidR="49CA9F64">
              <w:rPr>
                <w:rFonts w:ascii="Calibri" w:hAnsi="Calibri" w:cs="Calibri"/>
              </w:rPr>
              <w:t xml:space="preserve">For </w:t>
            </w:r>
            <w:r w:rsidRPr="02858895" w:rsidR="7DE201CB">
              <w:rPr>
                <w:rFonts w:ascii="Calibri" w:hAnsi="Calibri" w:cs="Calibri"/>
              </w:rPr>
              <w:t>each study visit,</w:t>
            </w:r>
            <w:r w:rsidRPr="02858895" w:rsidR="49CA9F64">
              <w:rPr>
                <w:rFonts w:ascii="Calibri" w:hAnsi="Calibri" w:cs="Calibri"/>
              </w:rPr>
              <w:t xml:space="preserve"> NHTSA plans to provide monetary payment at the rate of $</w:t>
            </w:r>
            <w:r w:rsidRPr="02858895" w:rsidR="5BF2C52C">
              <w:rPr>
                <w:rFonts w:ascii="Calibri" w:hAnsi="Calibri" w:cs="Calibri"/>
              </w:rPr>
              <w:t>36</w:t>
            </w:r>
            <w:r w:rsidRPr="02858895" w:rsidR="49CA9F64">
              <w:rPr>
                <w:rFonts w:ascii="Calibri" w:hAnsi="Calibri" w:cs="Calibri"/>
              </w:rPr>
              <w:t xml:space="preserve"> per hour for study participation. Participants are expected to spend approximately </w:t>
            </w:r>
            <w:r w:rsidRPr="02858895" w:rsidR="04B35D0D">
              <w:rPr>
                <w:rFonts w:ascii="Calibri" w:hAnsi="Calibri" w:cs="Calibri"/>
              </w:rPr>
              <w:t>2.5</w:t>
            </w:r>
            <w:r w:rsidRPr="02858895" w:rsidR="49CA9F64">
              <w:rPr>
                <w:rFonts w:ascii="Calibri" w:hAnsi="Calibri" w:cs="Calibri"/>
              </w:rPr>
              <w:t xml:space="preserve"> hours </w:t>
            </w:r>
            <w:r w:rsidRPr="02858895" w:rsidR="1824E280">
              <w:rPr>
                <w:rFonts w:ascii="Calibri" w:hAnsi="Calibri" w:cs="Calibri"/>
              </w:rPr>
              <w:t>at DSRI</w:t>
            </w:r>
            <w:r w:rsidRPr="02858895" w:rsidR="49CA9F64">
              <w:rPr>
                <w:rFonts w:ascii="Calibri" w:hAnsi="Calibri" w:cs="Calibri"/>
              </w:rPr>
              <w:t>.</w:t>
            </w:r>
            <w:r w:rsidRPr="02858895" w:rsidR="05C6C1D1">
              <w:rPr>
                <w:rFonts w:ascii="Calibri" w:hAnsi="Calibri" w:cs="Calibri"/>
              </w:rPr>
              <w:t xml:space="preserve"> With an anticipated N of 300, multiplied by 2.5 hours at a rate of $36/</w:t>
            </w:r>
            <w:r w:rsidRPr="02858895" w:rsidR="05C6C1D1">
              <w:rPr>
                <w:rFonts w:ascii="Calibri" w:hAnsi="Calibri" w:cs="Calibri"/>
              </w:rPr>
              <w:t>hr</w:t>
            </w:r>
            <w:r w:rsidRPr="02858895" w:rsidR="05C6C1D1">
              <w:rPr>
                <w:rFonts w:ascii="Calibri" w:hAnsi="Calibri" w:cs="Calibri"/>
              </w:rPr>
              <w:t>, this comes to a total cost of $27,000.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7"/>
              <w:gridCol w:w="919"/>
              <w:gridCol w:w="774"/>
              <w:gridCol w:w="1385"/>
            </w:tblGrid>
            <w:tr w14:paraId="735984B8" w14:textId="77777777" w:rsidTr="00DA0FB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0" w:type="auto"/>
                </w:tcPr>
                <w:p w:rsidR="006F1BC1" w:rsidRPr="006C3AB4" w:rsidP="006F1BC1" w14:paraId="6D0D7AA7" w14:textId="77777777">
                  <w:pPr>
                    <w:contextualSpacing/>
                    <w:rPr>
                      <w:rFonts w:cs="Times New Roman"/>
                      <w:b/>
                      <w:bCs/>
                      <w:szCs w:val="24"/>
                    </w:rPr>
                  </w:pPr>
                  <w:r w:rsidRPr="006C3AB4">
                    <w:rPr>
                      <w:rFonts w:cs="Times New Roman"/>
                      <w:b/>
                      <w:bCs/>
                      <w:szCs w:val="24"/>
                    </w:rPr>
                    <w:t>Direct Labor</w:t>
                  </w:r>
                </w:p>
              </w:tc>
              <w:tc>
                <w:tcPr>
                  <w:tcW w:w="0" w:type="auto"/>
                </w:tcPr>
                <w:p w:rsidR="006F1BC1" w:rsidP="006F1BC1" w14:paraId="3927453D" w14:textId="77777777">
                  <w:pPr>
                    <w:contextualSpacing/>
                    <w:rPr>
                      <w:rFonts w:cs="Times New Roman"/>
                      <w:szCs w:val="24"/>
                    </w:rPr>
                  </w:pPr>
                  <w:r>
                    <w:rPr>
                      <w:rFonts w:cs="Times New Roman"/>
                      <w:szCs w:val="24"/>
                    </w:rPr>
                    <w:t>Rate ($)</w:t>
                  </w:r>
                </w:p>
              </w:tc>
              <w:tc>
                <w:tcPr>
                  <w:tcW w:w="0" w:type="auto"/>
                </w:tcPr>
                <w:p w:rsidR="006F1BC1" w:rsidP="006F1BC1" w14:paraId="329816A5" w14:textId="77777777">
                  <w:pPr>
                    <w:contextualSpacing/>
                    <w:rPr>
                      <w:rFonts w:cs="Times New Roman"/>
                      <w:szCs w:val="24"/>
                    </w:rPr>
                  </w:pPr>
                  <w:r>
                    <w:rPr>
                      <w:rFonts w:cs="Times New Roman"/>
                      <w:szCs w:val="24"/>
                    </w:rPr>
                    <w:t>Hours</w:t>
                  </w:r>
                </w:p>
              </w:tc>
              <w:tc>
                <w:tcPr>
                  <w:tcW w:w="0" w:type="auto"/>
                </w:tcPr>
                <w:p w:rsidR="006F1BC1" w:rsidP="006F1BC1" w14:paraId="0FA9777C" w14:textId="77777777">
                  <w:pPr>
                    <w:contextualSpacing/>
                    <w:rPr>
                      <w:rFonts w:cs="Times New Roman"/>
                      <w:szCs w:val="24"/>
                    </w:rPr>
                  </w:pPr>
                  <w:r>
                    <w:rPr>
                      <w:rFonts w:cs="Times New Roman"/>
                      <w:szCs w:val="24"/>
                    </w:rPr>
                    <w:t>Amount ($)</w:t>
                  </w:r>
                </w:p>
              </w:tc>
            </w:tr>
            <w:tr w14:paraId="5BE1EEF7" w14:textId="77777777" w:rsidTr="00DA0FB3">
              <w:tblPrEx>
                <w:tblW w:w="0" w:type="auto"/>
                <w:jc w:val="center"/>
                <w:tblLook w:val="04A0"/>
              </w:tblPrEx>
              <w:trPr>
                <w:jc w:val="center"/>
              </w:trPr>
              <w:tc>
                <w:tcPr>
                  <w:tcW w:w="0" w:type="auto"/>
                </w:tcPr>
                <w:p w:rsidR="006E5082" w:rsidP="006F1BC1" w14:paraId="4C457B48" w14:textId="018DC0B2">
                  <w:pPr>
                    <w:contextualSpacing/>
                    <w:rPr>
                      <w:rFonts w:cs="Times New Roman"/>
                      <w:szCs w:val="24"/>
                    </w:rPr>
                  </w:pPr>
                  <w:r>
                    <w:rPr>
                      <w:rFonts w:cs="Times New Roman"/>
                      <w:szCs w:val="24"/>
                    </w:rPr>
                    <w:t>Associate Researchers</w:t>
                  </w:r>
                </w:p>
              </w:tc>
              <w:tc>
                <w:tcPr>
                  <w:tcW w:w="0" w:type="auto"/>
                </w:tcPr>
                <w:p w:rsidR="006E5082" w:rsidP="006F1BC1" w14:paraId="20975D7D" w14:textId="1120F164">
                  <w:pPr>
                    <w:contextualSpacing/>
                    <w:rPr>
                      <w:rFonts w:cs="Times New Roman"/>
                      <w:szCs w:val="24"/>
                    </w:rPr>
                  </w:pPr>
                  <w:r>
                    <w:rPr>
                      <w:rFonts w:cs="Times New Roman"/>
                      <w:szCs w:val="24"/>
                    </w:rPr>
                    <w:t>85.61</w:t>
                  </w:r>
                </w:p>
              </w:tc>
              <w:tc>
                <w:tcPr>
                  <w:tcW w:w="0" w:type="auto"/>
                </w:tcPr>
                <w:p w:rsidR="006E5082" w:rsidP="006F1BC1" w14:paraId="69EA4033" w14:textId="7604EAAF">
                  <w:pPr>
                    <w:contextualSpacing/>
                    <w:rPr>
                      <w:rFonts w:cs="Times New Roman"/>
                      <w:szCs w:val="24"/>
                    </w:rPr>
                  </w:pPr>
                  <w:r>
                    <w:rPr>
                      <w:rFonts w:cs="Times New Roman"/>
                      <w:szCs w:val="24"/>
                    </w:rPr>
                    <w:t>1352</w:t>
                  </w:r>
                </w:p>
              </w:tc>
              <w:tc>
                <w:tcPr>
                  <w:tcW w:w="0" w:type="auto"/>
                </w:tcPr>
                <w:p w:rsidR="006E5082" w:rsidP="006F1BC1" w14:paraId="5AADE2C8" w14:textId="615019B9">
                  <w:pPr>
                    <w:contextualSpacing/>
                    <w:rPr>
                      <w:rFonts w:cs="Times New Roman"/>
                      <w:szCs w:val="24"/>
                    </w:rPr>
                  </w:pPr>
                  <w:r>
                    <w:rPr>
                      <w:rFonts w:cs="Times New Roman"/>
                      <w:szCs w:val="24"/>
                    </w:rPr>
                    <w:t>115,744.72</w:t>
                  </w:r>
                </w:p>
              </w:tc>
            </w:tr>
            <w:tr w14:paraId="29B1CA7E" w14:textId="77777777" w:rsidTr="00DA0FB3">
              <w:tblPrEx>
                <w:tblW w:w="0" w:type="auto"/>
                <w:jc w:val="center"/>
                <w:tblLook w:val="04A0"/>
              </w:tblPrEx>
              <w:trPr>
                <w:jc w:val="center"/>
              </w:trPr>
              <w:tc>
                <w:tcPr>
                  <w:tcW w:w="0" w:type="auto"/>
                </w:tcPr>
                <w:p w:rsidR="006E5082" w:rsidP="006F1BC1" w14:paraId="0599718B" w14:textId="50B1186C">
                  <w:pPr>
                    <w:contextualSpacing/>
                    <w:rPr>
                      <w:rFonts w:cs="Times New Roman"/>
                      <w:szCs w:val="24"/>
                    </w:rPr>
                  </w:pPr>
                  <w:r>
                    <w:rPr>
                      <w:rFonts w:cs="Times New Roman"/>
                      <w:szCs w:val="24"/>
                    </w:rPr>
                    <w:t>Assistant Researchers</w:t>
                  </w:r>
                </w:p>
              </w:tc>
              <w:tc>
                <w:tcPr>
                  <w:tcW w:w="0" w:type="auto"/>
                </w:tcPr>
                <w:p w:rsidR="006E5082" w:rsidP="006F1BC1" w14:paraId="6AA5A5FA" w14:textId="4F995F89">
                  <w:pPr>
                    <w:contextualSpacing/>
                    <w:rPr>
                      <w:rFonts w:cs="Times New Roman"/>
                      <w:szCs w:val="24"/>
                    </w:rPr>
                  </w:pPr>
                  <w:r>
                    <w:rPr>
                      <w:rFonts w:cs="Times New Roman"/>
                      <w:szCs w:val="24"/>
                    </w:rPr>
                    <w:t>48.51</w:t>
                  </w:r>
                </w:p>
              </w:tc>
              <w:tc>
                <w:tcPr>
                  <w:tcW w:w="0" w:type="auto"/>
                </w:tcPr>
                <w:p w:rsidR="006E5082" w:rsidP="006F1BC1" w14:paraId="6FDD68C5" w14:textId="3A503DDF">
                  <w:pPr>
                    <w:contextualSpacing/>
                    <w:rPr>
                      <w:rFonts w:cs="Times New Roman"/>
                      <w:szCs w:val="24"/>
                    </w:rPr>
                  </w:pPr>
                  <w:r>
                    <w:rPr>
                      <w:rFonts w:cs="Times New Roman"/>
                      <w:szCs w:val="24"/>
                    </w:rPr>
                    <w:t>9596</w:t>
                  </w:r>
                </w:p>
              </w:tc>
              <w:tc>
                <w:tcPr>
                  <w:tcW w:w="0" w:type="auto"/>
                </w:tcPr>
                <w:p w:rsidR="006E5082" w:rsidP="006F1BC1" w14:paraId="1C093E90" w14:textId="1DFD9F78">
                  <w:pPr>
                    <w:contextualSpacing/>
                    <w:rPr>
                      <w:rFonts w:cs="Times New Roman"/>
                      <w:szCs w:val="24"/>
                    </w:rPr>
                  </w:pPr>
                  <w:r>
                    <w:rPr>
                      <w:rFonts w:cs="Times New Roman"/>
                      <w:szCs w:val="24"/>
                    </w:rPr>
                    <w:t>465,501.96</w:t>
                  </w:r>
                </w:p>
              </w:tc>
            </w:tr>
            <w:tr w14:paraId="41D05121" w14:textId="77777777" w:rsidTr="00230569">
              <w:tblPrEx>
                <w:tblW w:w="0" w:type="auto"/>
                <w:jc w:val="center"/>
                <w:tblLook w:val="04A0"/>
              </w:tblPrEx>
              <w:trPr>
                <w:jc w:val="center"/>
              </w:trPr>
              <w:tc>
                <w:tcPr>
                  <w:tcW w:w="0" w:type="auto"/>
                </w:tcPr>
                <w:p w:rsidR="006E5082" w:rsidP="006F1BC1" w14:paraId="24B215BF" w14:textId="5279E1A7">
                  <w:pPr>
                    <w:contextualSpacing/>
                    <w:rPr>
                      <w:rFonts w:cs="Times New Roman"/>
                      <w:szCs w:val="24"/>
                    </w:rPr>
                  </w:pPr>
                  <w:r>
                    <w:rPr>
                      <w:rFonts w:cs="Times New Roman"/>
                      <w:szCs w:val="24"/>
                    </w:rPr>
                    <w:t>Simulator Operators</w:t>
                  </w:r>
                </w:p>
              </w:tc>
              <w:tc>
                <w:tcPr>
                  <w:tcW w:w="0" w:type="auto"/>
                </w:tcPr>
                <w:p w:rsidR="006E5082" w:rsidP="006F1BC1" w14:paraId="5EF90F49" w14:textId="1C79C919">
                  <w:pPr>
                    <w:contextualSpacing/>
                    <w:rPr>
                      <w:rFonts w:cs="Times New Roman"/>
                      <w:szCs w:val="24"/>
                    </w:rPr>
                  </w:pPr>
                  <w:r>
                    <w:rPr>
                      <w:rFonts w:cs="Times New Roman"/>
                      <w:szCs w:val="24"/>
                    </w:rPr>
                    <w:t>55.83</w:t>
                  </w:r>
                </w:p>
              </w:tc>
              <w:tc>
                <w:tcPr>
                  <w:tcW w:w="0" w:type="auto"/>
                </w:tcPr>
                <w:p w:rsidR="006E5082" w:rsidP="006F1BC1" w14:paraId="13CC47A0" w14:textId="417A5A8A">
                  <w:pPr>
                    <w:contextualSpacing/>
                    <w:rPr>
                      <w:rFonts w:cs="Times New Roman"/>
                      <w:szCs w:val="24"/>
                    </w:rPr>
                  </w:pPr>
                  <w:r>
                    <w:rPr>
                      <w:rFonts w:cs="Times New Roman"/>
                      <w:szCs w:val="24"/>
                    </w:rPr>
                    <w:t>2496</w:t>
                  </w:r>
                </w:p>
              </w:tc>
              <w:tc>
                <w:tcPr>
                  <w:tcW w:w="0" w:type="auto"/>
                </w:tcPr>
                <w:p w:rsidR="006E5082" w:rsidP="006F1BC1" w14:paraId="1EE49261" w14:textId="5A69A713">
                  <w:pPr>
                    <w:contextualSpacing/>
                    <w:rPr>
                      <w:rFonts w:cs="Times New Roman"/>
                      <w:szCs w:val="24"/>
                    </w:rPr>
                  </w:pPr>
                  <w:r>
                    <w:rPr>
                      <w:rFonts w:cs="Times New Roman"/>
                      <w:szCs w:val="24"/>
                    </w:rPr>
                    <w:t>139,351.68</w:t>
                  </w:r>
                </w:p>
              </w:tc>
            </w:tr>
            <w:tr w14:paraId="08D410AD" w14:textId="77777777" w:rsidTr="00230569">
              <w:tblPrEx>
                <w:tblW w:w="0" w:type="auto"/>
                <w:jc w:val="center"/>
                <w:tblLook w:val="04A0"/>
              </w:tblPrEx>
              <w:trPr>
                <w:jc w:val="center"/>
              </w:trPr>
              <w:tc>
                <w:tcPr>
                  <w:tcW w:w="0" w:type="auto"/>
                  <w:tcBorders>
                    <w:bottom w:val="single" w:sz="4" w:space="0" w:color="auto"/>
                  </w:tcBorders>
                </w:tcPr>
                <w:p w:rsidR="006E5082" w:rsidP="006F1BC1" w14:paraId="6FC53A2C" w14:textId="1001B9E7">
                  <w:pPr>
                    <w:contextualSpacing/>
                    <w:rPr>
                      <w:rFonts w:cs="Times New Roman"/>
                      <w:szCs w:val="24"/>
                    </w:rPr>
                  </w:pPr>
                  <w:r>
                    <w:rPr>
                      <w:rFonts w:cs="Times New Roman"/>
                      <w:szCs w:val="24"/>
                    </w:rPr>
                    <w:t>Program Manager</w:t>
                  </w:r>
                </w:p>
              </w:tc>
              <w:tc>
                <w:tcPr>
                  <w:tcW w:w="0" w:type="auto"/>
                  <w:tcBorders>
                    <w:bottom w:val="single" w:sz="4" w:space="0" w:color="auto"/>
                  </w:tcBorders>
                </w:tcPr>
                <w:p w:rsidR="006E5082" w:rsidP="006F1BC1" w14:paraId="7C55AC5B" w14:textId="6A8ABC20">
                  <w:pPr>
                    <w:contextualSpacing/>
                    <w:rPr>
                      <w:rFonts w:cs="Times New Roman"/>
                      <w:szCs w:val="24"/>
                    </w:rPr>
                  </w:pPr>
                  <w:r>
                    <w:rPr>
                      <w:rFonts w:cs="Times New Roman"/>
                      <w:szCs w:val="24"/>
                    </w:rPr>
                    <w:t>127.54</w:t>
                  </w:r>
                </w:p>
              </w:tc>
              <w:tc>
                <w:tcPr>
                  <w:tcW w:w="0" w:type="auto"/>
                  <w:tcBorders>
                    <w:bottom w:val="single" w:sz="4" w:space="0" w:color="auto"/>
                  </w:tcBorders>
                </w:tcPr>
                <w:p w:rsidR="006E5082" w:rsidP="006F1BC1" w14:paraId="7DC2215B" w14:textId="59458BFB">
                  <w:pPr>
                    <w:contextualSpacing/>
                    <w:rPr>
                      <w:rFonts w:cs="Times New Roman"/>
                      <w:szCs w:val="24"/>
                    </w:rPr>
                  </w:pPr>
                  <w:r>
                    <w:rPr>
                      <w:rFonts w:cs="Times New Roman"/>
                      <w:szCs w:val="24"/>
                    </w:rPr>
                    <w:t>64</w:t>
                  </w:r>
                </w:p>
              </w:tc>
              <w:tc>
                <w:tcPr>
                  <w:tcW w:w="0" w:type="auto"/>
                  <w:tcBorders>
                    <w:bottom w:val="single" w:sz="4" w:space="0" w:color="auto"/>
                  </w:tcBorders>
                </w:tcPr>
                <w:p w:rsidR="006E5082" w:rsidP="006F1BC1" w14:paraId="1B869B78" w14:textId="11284B92">
                  <w:pPr>
                    <w:contextualSpacing/>
                    <w:rPr>
                      <w:rFonts w:cs="Times New Roman"/>
                      <w:szCs w:val="24"/>
                    </w:rPr>
                  </w:pPr>
                  <w:r>
                    <w:rPr>
                      <w:rFonts w:cs="Times New Roman"/>
                      <w:szCs w:val="24"/>
                    </w:rPr>
                    <w:t>8,162.</w:t>
                  </w:r>
                  <w:r w:rsidR="004746AB">
                    <w:rPr>
                      <w:rFonts w:cs="Times New Roman"/>
                      <w:szCs w:val="24"/>
                    </w:rPr>
                    <w:t>5</w:t>
                  </w:r>
                  <w:r>
                    <w:rPr>
                      <w:rFonts w:cs="Times New Roman"/>
                      <w:szCs w:val="24"/>
                    </w:rPr>
                    <w:t>6</w:t>
                  </w:r>
                </w:p>
              </w:tc>
            </w:tr>
            <w:tr w14:paraId="4F7FEE5E" w14:textId="77777777" w:rsidTr="00230569">
              <w:tblPrEx>
                <w:tblW w:w="0" w:type="auto"/>
                <w:jc w:val="center"/>
                <w:tblLook w:val="04A0"/>
              </w:tblPrEx>
              <w:trPr>
                <w:jc w:val="center"/>
              </w:trPr>
              <w:tc>
                <w:tcPr>
                  <w:tcW w:w="0" w:type="auto"/>
                  <w:tcBorders>
                    <w:top w:val="single" w:sz="4" w:space="0" w:color="auto"/>
                    <w:bottom w:val="single" w:sz="4" w:space="0" w:color="auto"/>
                  </w:tcBorders>
                </w:tcPr>
                <w:p w:rsidR="006E5082" w:rsidRPr="00230569" w:rsidP="006F1BC1" w14:paraId="3388B113" w14:textId="0E5CA937">
                  <w:pPr>
                    <w:contextualSpacing/>
                    <w:rPr>
                      <w:rFonts w:cs="Times New Roman"/>
                      <w:b/>
                      <w:bCs/>
                      <w:szCs w:val="24"/>
                    </w:rPr>
                  </w:pPr>
                  <w:r>
                    <w:rPr>
                      <w:rFonts w:cs="Times New Roman"/>
                      <w:b/>
                      <w:bCs/>
                      <w:szCs w:val="24"/>
                    </w:rPr>
                    <w:t>Total Direct Labor</w:t>
                  </w:r>
                </w:p>
              </w:tc>
              <w:tc>
                <w:tcPr>
                  <w:tcW w:w="0" w:type="auto"/>
                  <w:tcBorders>
                    <w:top w:val="single" w:sz="4" w:space="0" w:color="auto"/>
                    <w:bottom w:val="single" w:sz="4" w:space="0" w:color="auto"/>
                  </w:tcBorders>
                </w:tcPr>
                <w:p w:rsidR="006E5082" w:rsidP="006F1BC1" w14:paraId="1DFE013E" w14:textId="5F930B36">
                  <w:pPr>
                    <w:contextualSpacing/>
                    <w:rPr>
                      <w:rFonts w:cs="Times New Roman"/>
                      <w:szCs w:val="24"/>
                    </w:rPr>
                  </w:pPr>
                </w:p>
              </w:tc>
              <w:tc>
                <w:tcPr>
                  <w:tcW w:w="0" w:type="auto"/>
                  <w:tcBorders>
                    <w:top w:val="single" w:sz="4" w:space="0" w:color="auto"/>
                    <w:bottom w:val="single" w:sz="4" w:space="0" w:color="auto"/>
                  </w:tcBorders>
                </w:tcPr>
                <w:p w:rsidR="006E5082" w:rsidP="006F1BC1" w14:paraId="34826B1C" w14:textId="78943225">
                  <w:pPr>
                    <w:contextualSpacing/>
                    <w:rPr>
                      <w:rFonts w:cs="Times New Roman"/>
                      <w:szCs w:val="24"/>
                    </w:rPr>
                  </w:pPr>
                  <w:r>
                    <w:rPr>
                      <w:rFonts w:cs="Times New Roman"/>
                      <w:szCs w:val="24"/>
                    </w:rPr>
                    <w:t>13508</w:t>
                  </w:r>
                </w:p>
              </w:tc>
              <w:tc>
                <w:tcPr>
                  <w:tcW w:w="0" w:type="auto"/>
                  <w:tcBorders>
                    <w:top w:val="single" w:sz="4" w:space="0" w:color="auto"/>
                    <w:bottom w:val="single" w:sz="4" w:space="0" w:color="auto"/>
                  </w:tcBorders>
                </w:tcPr>
                <w:p w:rsidR="006E5082" w:rsidP="006F1BC1" w14:paraId="0A53E4DF" w14:textId="268E8850">
                  <w:pPr>
                    <w:contextualSpacing/>
                    <w:rPr>
                      <w:rFonts w:cs="Times New Roman"/>
                      <w:szCs w:val="24"/>
                    </w:rPr>
                  </w:pPr>
                  <w:r>
                    <w:rPr>
                      <w:rFonts w:cs="Times New Roman"/>
                      <w:szCs w:val="24"/>
                    </w:rPr>
                    <w:t>728,</w:t>
                  </w:r>
                  <w:r w:rsidR="004746AB">
                    <w:rPr>
                      <w:rFonts w:cs="Times New Roman"/>
                      <w:szCs w:val="24"/>
                    </w:rPr>
                    <w:t>760.92</w:t>
                  </w:r>
                </w:p>
              </w:tc>
            </w:tr>
            <w:tr w14:paraId="3322EF30" w14:textId="77777777" w:rsidTr="00230569">
              <w:tblPrEx>
                <w:tblW w:w="0" w:type="auto"/>
                <w:jc w:val="center"/>
                <w:tblLook w:val="04A0"/>
              </w:tblPrEx>
              <w:trPr>
                <w:jc w:val="center"/>
              </w:trPr>
              <w:tc>
                <w:tcPr>
                  <w:tcW w:w="0" w:type="auto"/>
                </w:tcPr>
                <w:p w:rsidR="004746AB" w:rsidP="006F1BC1" w14:paraId="4F661CD4" w14:textId="17BAA246">
                  <w:pPr>
                    <w:contextualSpacing/>
                    <w:rPr>
                      <w:rFonts w:cs="Times New Roman"/>
                      <w:szCs w:val="24"/>
                    </w:rPr>
                  </w:pPr>
                  <w:r>
                    <w:rPr>
                      <w:rFonts w:cs="Times New Roman"/>
                      <w:szCs w:val="24"/>
                    </w:rPr>
                    <w:t>Participant Compensation</w:t>
                  </w:r>
                </w:p>
              </w:tc>
              <w:tc>
                <w:tcPr>
                  <w:tcW w:w="0" w:type="auto"/>
                </w:tcPr>
                <w:p w:rsidR="004746AB" w:rsidP="006F1BC1" w14:paraId="1B6CD8A5" w14:textId="77777777">
                  <w:pPr>
                    <w:contextualSpacing/>
                    <w:rPr>
                      <w:rFonts w:cs="Times New Roman"/>
                      <w:szCs w:val="24"/>
                    </w:rPr>
                  </w:pPr>
                </w:p>
              </w:tc>
              <w:tc>
                <w:tcPr>
                  <w:tcW w:w="0" w:type="auto"/>
                </w:tcPr>
                <w:p w:rsidR="004746AB" w:rsidP="006F1BC1" w14:paraId="39BFED6F" w14:textId="77777777">
                  <w:pPr>
                    <w:contextualSpacing/>
                    <w:rPr>
                      <w:rFonts w:cs="Times New Roman"/>
                      <w:szCs w:val="24"/>
                    </w:rPr>
                  </w:pPr>
                </w:p>
              </w:tc>
              <w:tc>
                <w:tcPr>
                  <w:tcW w:w="0" w:type="auto"/>
                </w:tcPr>
                <w:p w:rsidR="004746AB" w:rsidP="006F1BC1" w14:paraId="13049DB5" w14:textId="2CE57BB3">
                  <w:pPr>
                    <w:contextualSpacing/>
                    <w:rPr>
                      <w:rFonts w:cs="Times New Roman"/>
                      <w:szCs w:val="24"/>
                    </w:rPr>
                  </w:pPr>
                  <w:r>
                    <w:rPr>
                      <w:rFonts w:cs="Times New Roman"/>
                      <w:szCs w:val="24"/>
                    </w:rPr>
                    <w:t>27,000.00</w:t>
                  </w:r>
                </w:p>
              </w:tc>
            </w:tr>
            <w:tr w14:paraId="7E1FC85C" w14:textId="77777777" w:rsidTr="00230569">
              <w:tblPrEx>
                <w:tblW w:w="0" w:type="auto"/>
                <w:jc w:val="center"/>
                <w:tblLook w:val="04A0"/>
              </w:tblPrEx>
              <w:trPr>
                <w:jc w:val="center"/>
              </w:trPr>
              <w:tc>
                <w:tcPr>
                  <w:tcW w:w="0" w:type="auto"/>
                </w:tcPr>
                <w:p w:rsidR="004746AB" w:rsidP="006F1BC1" w14:paraId="1BEA849D" w14:textId="59368327">
                  <w:pPr>
                    <w:contextualSpacing/>
                    <w:rPr>
                      <w:rFonts w:cs="Times New Roman"/>
                      <w:szCs w:val="24"/>
                    </w:rPr>
                  </w:pPr>
                  <w:r>
                    <w:rPr>
                      <w:rFonts w:cs="Times New Roman"/>
                      <w:szCs w:val="24"/>
                    </w:rPr>
                    <w:t>Computer Charges</w:t>
                  </w:r>
                </w:p>
              </w:tc>
              <w:tc>
                <w:tcPr>
                  <w:tcW w:w="0" w:type="auto"/>
                </w:tcPr>
                <w:p w:rsidR="004746AB" w:rsidP="006F1BC1" w14:paraId="0EEE3ED9" w14:textId="77777777">
                  <w:pPr>
                    <w:contextualSpacing/>
                    <w:rPr>
                      <w:rFonts w:cs="Times New Roman"/>
                      <w:szCs w:val="24"/>
                    </w:rPr>
                  </w:pPr>
                </w:p>
              </w:tc>
              <w:tc>
                <w:tcPr>
                  <w:tcW w:w="0" w:type="auto"/>
                </w:tcPr>
                <w:p w:rsidR="004746AB" w:rsidP="006F1BC1" w14:paraId="64EDCD11" w14:textId="77777777">
                  <w:pPr>
                    <w:contextualSpacing/>
                    <w:rPr>
                      <w:rFonts w:cs="Times New Roman"/>
                      <w:szCs w:val="24"/>
                    </w:rPr>
                  </w:pPr>
                </w:p>
              </w:tc>
              <w:tc>
                <w:tcPr>
                  <w:tcW w:w="0" w:type="auto"/>
                </w:tcPr>
                <w:p w:rsidR="004746AB" w:rsidP="006F1BC1" w14:paraId="11E0F4E6" w14:textId="21CF3692">
                  <w:pPr>
                    <w:contextualSpacing/>
                    <w:rPr>
                      <w:rFonts w:cs="Times New Roman"/>
                      <w:szCs w:val="24"/>
                    </w:rPr>
                  </w:pPr>
                  <w:r>
                    <w:rPr>
                      <w:rFonts w:cs="Times New Roman"/>
                      <w:szCs w:val="24"/>
                    </w:rPr>
                    <w:t>46,208.95</w:t>
                  </w:r>
                </w:p>
              </w:tc>
            </w:tr>
            <w:tr w14:paraId="7453EBCD" w14:textId="77777777" w:rsidTr="00230569">
              <w:tblPrEx>
                <w:tblW w:w="0" w:type="auto"/>
                <w:jc w:val="center"/>
                <w:tblLook w:val="04A0"/>
              </w:tblPrEx>
              <w:trPr>
                <w:jc w:val="center"/>
              </w:trPr>
              <w:tc>
                <w:tcPr>
                  <w:tcW w:w="0" w:type="auto"/>
                  <w:tcBorders>
                    <w:bottom w:val="single" w:sz="4" w:space="0" w:color="auto"/>
                  </w:tcBorders>
                </w:tcPr>
                <w:p w:rsidR="004746AB" w:rsidP="006F1BC1" w14:paraId="31B5D2D2" w14:textId="468BA24F">
                  <w:pPr>
                    <w:contextualSpacing/>
                    <w:rPr>
                      <w:rFonts w:cs="Times New Roman"/>
                      <w:szCs w:val="24"/>
                    </w:rPr>
                  </w:pPr>
                  <w:r>
                    <w:rPr>
                      <w:rFonts w:cs="Times New Roman"/>
                      <w:szCs w:val="24"/>
                    </w:rPr>
                    <w:t>Project Specific Supplies</w:t>
                  </w:r>
                </w:p>
              </w:tc>
              <w:tc>
                <w:tcPr>
                  <w:tcW w:w="0" w:type="auto"/>
                  <w:tcBorders>
                    <w:bottom w:val="single" w:sz="4" w:space="0" w:color="auto"/>
                  </w:tcBorders>
                </w:tcPr>
                <w:p w:rsidR="004746AB" w:rsidP="006F1BC1" w14:paraId="2765A067" w14:textId="77777777">
                  <w:pPr>
                    <w:contextualSpacing/>
                    <w:rPr>
                      <w:rFonts w:cs="Times New Roman"/>
                      <w:szCs w:val="24"/>
                    </w:rPr>
                  </w:pPr>
                </w:p>
              </w:tc>
              <w:tc>
                <w:tcPr>
                  <w:tcW w:w="0" w:type="auto"/>
                  <w:tcBorders>
                    <w:bottom w:val="single" w:sz="4" w:space="0" w:color="auto"/>
                  </w:tcBorders>
                </w:tcPr>
                <w:p w:rsidR="004746AB" w:rsidP="006F1BC1" w14:paraId="00C7484B" w14:textId="77777777">
                  <w:pPr>
                    <w:contextualSpacing/>
                    <w:rPr>
                      <w:rFonts w:cs="Times New Roman"/>
                      <w:szCs w:val="24"/>
                    </w:rPr>
                  </w:pPr>
                </w:p>
              </w:tc>
              <w:tc>
                <w:tcPr>
                  <w:tcW w:w="0" w:type="auto"/>
                  <w:tcBorders>
                    <w:bottom w:val="single" w:sz="4" w:space="0" w:color="auto"/>
                  </w:tcBorders>
                </w:tcPr>
                <w:p w:rsidR="004746AB" w:rsidP="006F1BC1" w14:paraId="782D138C" w14:textId="78358B84">
                  <w:pPr>
                    <w:contextualSpacing/>
                    <w:rPr>
                      <w:rFonts w:cs="Times New Roman"/>
                      <w:szCs w:val="24"/>
                    </w:rPr>
                  </w:pPr>
                  <w:r>
                    <w:rPr>
                      <w:rFonts w:cs="Times New Roman"/>
                      <w:szCs w:val="24"/>
                    </w:rPr>
                    <w:t>7,287.70</w:t>
                  </w:r>
                </w:p>
              </w:tc>
            </w:tr>
            <w:tr w14:paraId="4D5511E9" w14:textId="77777777" w:rsidTr="00230569">
              <w:tblPrEx>
                <w:tblW w:w="0" w:type="auto"/>
                <w:jc w:val="center"/>
                <w:tblLook w:val="04A0"/>
              </w:tblPrEx>
              <w:trPr>
                <w:jc w:val="center"/>
              </w:trPr>
              <w:tc>
                <w:tcPr>
                  <w:tcW w:w="0" w:type="auto"/>
                  <w:tcBorders>
                    <w:top w:val="single" w:sz="4" w:space="0" w:color="auto"/>
                    <w:bottom w:val="single" w:sz="4" w:space="0" w:color="auto"/>
                  </w:tcBorders>
                </w:tcPr>
                <w:p w:rsidR="004746AB" w:rsidRPr="00230569" w:rsidP="006F1BC1" w14:paraId="309ED5FB" w14:textId="65E8A318">
                  <w:pPr>
                    <w:contextualSpacing/>
                    <w:rPr>
                      <w:rFonts w:cs="Times New Roman"/>
                      <w:b/>
                      <w:bCs/>
                      <w:szCs w:val="24"/>
                    </w:rPr>
                  </w:pPr>
                  <w:r>
                    <w:rPr>
                      <w:rFonts w:cs="Times New Roman"/>
                      <w:b/>
                      <w:bCs/>
                      <w:szCs w:val="24"/>
                    </w:rPr>
                    <w:t>Total Direct Costs</w:t>
                  </w:r>
                </w:p>
              </w:tc>
              <w:tc>
                <w:tcPr>
                  <w:tcW w:w="0" w:type="auto"/>
                  <w:tcBorders>
                    <w:top w:val="single" w:sz="4" w:space="0" w:color="auto"/>
                    <w:bottom w:val="single" w:sz="4" w:space="0" w:color="auto"/>
                  </w:tcBorders>
                </w:tcPr>
                <w:p w:rsidR="004746AB" w:rsidP="006F1BC1" w14:paraId="5883DD44" w14:textId="77777777">
                  <w:pPr>
                    <w:contextualSpacing/>
                    <w:rPr>
                      <w:rFonts w:cs="Times New Roman"/>
                      <w:szCs w:val="24"/>
                    </w:rPr>
                  </w:pPr>
                </w:p>
              </w:tc>
              <w:tc>
                <w:tcPr>
                  <w:tcW w:w="0" w:type="auto"/>
                  <w:tcBorders>
                    <w:top w:val="single" w:sz="4" w:space="0" w:color="auto"/>
                    <w:bottom w:val="single" w:sz="4" w:space="0" w:color="auto"/>
                  </w:tcBorders>
                </w:tcPr>
                <w:p w:rsidR="004746AB" w:rsidP="006F1BC1" w14:paraId="55CC66CC" w14:textId="77777777">
                  <w:pPr>
                    <w:contextualSpacing/>
                    <w:rPr>
                      <w:rFonts w:cs="Times New Roman"/>
                      <w:szCs w:val="24"/>
                    </w:rPr>
                  </w:pPr>
                </w:p>
              </w:tc>
              <w:tc>
                <w:tcPr>
                  <w:tcW w:w="0" w:type="auto"/>
                  <w:tcBorders>
                    <w:top w:val="single" w:sz="4" w:space="0" w:color="auto"/>
                    <w:bottom w:val="single" w:sz="4" w:space="0" w:color="auto"/>
                  </w:tcBorders>
                </w:tcPr>
                <w:p w:rsidR="004746AB" w:rsidP="006F1BC1" w14:paraId="1D908BEF" w14:textId="5B3A82EC">
                  <w:pPr>
                    <w:contextualSpacing/>
                    <w:rPr>
                      <w:rFonts w:cs="Times New Roman"/>
                      <w:szCs w:val="24"/>
                    </w:rPr>
                  </w:pPr>
                  <w:r>
                    <w:rPr>
                      <w:rFonts w:cs="Times New Roman"/>
                      <w:szCs w:val="24"/>
                    </w:rPr>
                    <w:t>80,496.65</w:t>
                  </w:r>
                </w:p>
              </w:tc>
            </w:tr>
            <w:tr w14:paraId="4A03A943" w14:textId="77777777" w:rsidTr="00230569">
              <w:tblPrEx>
                <w:tblW w:w="0" w:type="auto"/>
                <w:jc w:val="center"/>
                <w:tblLook w:val="04A0"/>
              </w:tblPrEx>
              <w:trPr>
                <w:jc w:val="center"/>
              </w:trPr>
              <w:tc>
                <w:tcPr>
                  <w:tcW w:w="0" w:type="auto"/>
                  <w:tcBorders>
                    <w:top w:val="single" w:sz="4" w:space="0" w:color="auto"/>
                  </w:tcBorders>
                </w:tcPr>
                <w:p w:rsidR="004746AB" w:rsidRPr="00230569" w:rsidP="006F1BC1" w14:paraId="5B696A89" w14:textId="30738BDE">
                  <w:pPr>
                    <w:contextualSpacing/>
                    <w:rPr>
                      <w:rFonts w:cs="Times New Roman"/>
                      <w:szCs w:val="24"/>
                    </w:rPr>
                  </w:pPr>
                  <w:r>
                    <w:rPr>
                      <w:rFonts w:cs="Times New Roman"/>
                      <w:szCs w:val="24"/>
                    </w:rPr>
                    <w:t>Indirect Costs</w:t>
                  </w:r>
                </w:p>
              </w:tc>
              <w:tc>
                <w:tcPr>
                  <w:tcW w:w="0" w:type="auto"/>
                  <w:tcBorders>
                    <w:top w:val="single" w:sz="4" w:space="0" w:color="auto"/>
                  </w:tcBorders>
                </w:tcPr>
                <w:p w:rsidR="004746AB" w:rsidP="006F1BC1" w14:paraId="7628F9A2" w14:textId="77777777">
                  <w:pPr>
                    <w:contextualSpacing/>
                    <w:rPr>
                      <w:rFonts w:cs="Times New Roman"/>
                      <w:szCs w:val="24"/>
                    </w:rPr>
                  </w:pPr>
                </w:p>
              </w:tc>
              <w:tc>
                <w:tcPr>
                  <w:tcW w:w="0" w:type="auto"/>
                  <w:tcBorders>
                    <w:top w:val="single" w:sz="4" w:space="0" w:color="auto"/>
                  </w:tcBorders>
                </w:tcPr>
                <w:p w:rsidR="004746AB" w:rsidP="006F1BC1" w14:paraId="1CFDC353" w14:textId="77777777">
                  <w:pPr>
                    <w:contextualSpacing/>
                    <w:rPr>
                      <w:rFonts w:cs="Times New Roman"/>
                      <w:szCs w:val="24"/>
                    </w:rPr>
                  </w:pPr>
                </w:p>
              </w:tc>
              <w:tc>
                <w:tcPr>
                  <w:tcW w:w="0" w:type="auto"/>
                  <w:tcBorders>
                    <w:top w:val="single" w:sz="4" w:space="0" w:color="auto"/>
                  </w:tcBorders>
                </w:tcPr>
                <w:p w:rsidR="004746AB" w:rsidP="006F1BC1" w14:paraId="4E3B0A36" w14:textId="77727EA4">
                  <w:pPr>
                    <w:contextualSpacing/>
                    <w:rPr>
                      <w:rFonts w:cs="Times New Roman"/>
                      <w:szCs w:val="24"/>
                    </w:rPr>
                  </w:pPr>
                  <w:r>
                    <w:rPr>
                      <w:rFonts w:cs="Times New Roman"/>
                      <w:szCs w:val="24"/>
                    </w:rPr>
                    <w:t>437,235.26</w:t>
                  </w:r>
                </w:p>
              </w:tc>
            </w:tr>
            <w:tr w14:paraId="7F63B5EF" w14:textId="77777777" w:rsidTr="00230569">
              <w:tblPrEx>
                <w:tblW w:w="0" w:type="auto"/>
                <w:jc w:val="center"/>
                <w:tblLook w:val="04A0"/>
              </w:tblPrEx>
              <w:trPr>
                <w:jc w:val="center"/>
              </w:trPr>
              <w:tc>
                <w:tcPr>
                  <w:tcW w:w="0" w:type="auto"/>
                  <w:tcBorders>
                    <w:bottom w:val="single" w:sz="4" w:space="0" w:color="auto"/>
                  </w:tcBorders>
                </w:tcPr>
                <w:p w:rsidR="004746AB" w:rsidP="006F1BC1" w14:paraId="7E906DC5" w14:textId="48499498">
                  <w:pPr>
                    <w:contextualSpacing/>
                    <w:rPr>
                      <w:rFonts w:cs="Times New Roman"/>
                      <w:szCs w:val="24"/>
                    </w:rPr>
                  </w:pPr>
                  <w:r>
                    <w:rPr>
                      <w:rFonts w:cs="Times New Roman"/>
                      <w:szCs w:val="24"/>
                    </w:rPr>
                    <w:t>Simulator Usage Fees</w:t>
                  </w:r>
                </w:p>
              </w:tc>
              <w:tc>
                <w:tcPr>
                  <w:tcW w:w="0" w:type="auto"/>
                  <w:tcBorders>
                    <w:bottom w:val="single" w:sz="4" w:space="0" w:color="auto"/>
                  </w:tcBorders>
                </w:tcPr>
                <w:p w:rsidR="004746AB" w:rsidP="006F1BC1" w14:paraId="05D0242B" w14:textId="77777777">
                  <w:pPr>
                    <w:contextualSpacing/>
                    <w:rPr>
                      <w:rFonts w:cs="Times New Roman"/>
                      <w:szCs w:val="24"/>
                    </w:rPr>
                  </w:pPr>
                </w:p>
              </w:tc>
              <w:tc>
                <w:tcPr>
                  <w:tcW w:w="0" w:type="auto"/>
                  <w:tcBorders>
                    <w:bottom w:val="single" w:sz="4" w:space="0" w:color="auto"/>
                  </w:tcBorders>
                </w:tcPr>
                <w:p w:rsidR="004746AB" w:rsidP="006F1BC1" w14:paraId="1D083401" w14:textId="77777777">
                  <w:pPr>
                    <w:contextualSpacing/>
                    <w:rPr>
                      <w:rFonts w:cs="Times New Roman"/>
                      <w:szCs w:val="24"/>
                    </w:rPr>
                  </w:pPr>
                </w:p>
              </w:tc>
              <w:tc>
                <w:tcPr>
                  <w:tcW w:w="0" w:type="auto"/>
                  <w:tcBorders>
                    <w:bottom w:val="single" w:sz="4" w:space="0" w:color="auto"/>
                  </w:tcBorders>
                </w:tcPr>
                <w:p w:rsidR="004746AB" w:rsidP="006F1BC1" w14:paraId="5EBFCE8C" w14:textId="39D6672D">
                  <w:pPr>
                    <w:contextualSpacing/>
                    <w:rPr>
                      <w:rFonts w:cs="Times New Roman"/>
                      <w:szCs w:val="24"/>
                    </w:rPr>
                  </w:pPr>
                  <w:r>
                    <w:rPr>
                      <w:rFonts w:cs="Times New Roman"/>
                      <w:szCs w:val="24"/>
                    </w:rPr>
                    <w:t>370,084.16</w:t>
                  </w:r>
                </w:p>
              </w:tc>
            </w:tr>
            <w:tr w14:paraId="62B4A478" w14:textId="77777777" w:rsidTr="00230569">
              <w:tblPrEx>
                <w:tblW w:w="0" w:type="auto"/>
                <w:jc w:val="center"/>
                <w:tblLook w:val="04A0"/>
              </w:tblPrEx>
              <w:trPr>
                <w:jc w:val="center"/>
              </w:trPr>
              <w:tc>
                <w:tcPr>
                  <w:tcW w:w="0" w:type="auto"/>
                  <w:tcBorders>
                    <w:top w:val="single" w:sz="4" w:space="0" w:color="auto"/>
                    <w:bottom w:val="single" w:sz="4" w:space="0" w:color="auto"/>
                  </w:tcBorders>
                </w:tcPr>
                <w:p w:rsidR="004746AB" w:rsidRPr="00230569" w:rsidP="006F1BC1" w14:paraId="71E4D309" w14:textId="23CD722E">
                  <w:pPr>
                    <w:contextualSpacing/>
                    <w:rPr>
                      <w:rFonts w:cs="Times New Roman"/>
                      <w:b/>
                      <w:bCs/>
                      <w:szCs w:val="24"/>
                    </w:rPr>
                  </w:pPr>
                  <w:r>
                    <w:rPr>
                      <w:rFonts w:cs="Times New Roman"/>
                      <w:b/>
                      <w:bCs/>
                      <w:szCs w:val="24"/>
                    </w:rPr>
                    <w:t>TOTAL COSTS</w:t>
                  </w:r>
                </w:p>
              </w:tc>
              <w:tc>
                <w:tcPr>
                  <w:tcW w:w="0" w:type="auto"/>
                  <w:tcBorders>
                    <w:top w:val="single" w:sz="4" w:space="0" w:color="auto"/>
                    <w:bottom w:val="single" w:sz="4" w:space="0" w:color="auto"/>
                  </w:tcBorders>
                </w:tcPr>
                <w:p w:rsidR="004746AB" w:rsidP="006F1BC1" w14:paraId="7280E6EB" w14:textId="77777777">
                  <w:pPr>
                    <w:contextualSpacing/>
                    <w:rPr>
                      <w:rFonts w:cs="Times New Roman"/>
                      <w:szCs w:val="24"/>
                    </w:rPr>
                  </w:pPr>
                </w:p>
              </w:tc>
              <w:tc>
                <w:tcPr>
                  <w:tcW w:w="0" w:type="auto"/>
                  <w:tcBorders>
                    <w:top w:val="single" w:sz="4" w:space="0" w:color="auto"/>
                    <w:bottom w:val="single" w:sz="4" w:space="0" w:color="auto"/>
                  </w:tcBorders>
                </w:tcPr>
                <w:p w:rsidR="004746AB" w:rsidP="006F1BC1" w14:paraId="5627BFE1" w14:textId="77777777">
                  <w:pPr>
                    <w:contextualSpacing/>
                    <w:rPr>
                      <w:rFonts w:cs="Times New Roman"/>
                      <w:szCs w:val="24"/>
                    </w:rPr>
                  </w:pPr>
                </w:p>
              </w:tc>
              <w:tc>
                <w:tcPr>
                  <w:tcW w:w="0" w:type="auto"/>
                  <w:tcBorders>
                    <w:top w:val="single" w:sz="4" w:space="0" w:color="auto"/>
                    <w:bottom w:val="single" w:sz="4" w:space="0" w:color="auto"/>
                  </w:tcBorders>
                </w:tcPr>
                <w:p w:rsidR="004746AB" w:rsidP="006F1BC1" w14:paraId="4DF8F3FA" w14:textId="0BA9F54E">
                  <w:pPr>
                    <w:contextualSpacing/>
                    <w:rPr>
                      <w:rFonts w:cs="Times New Roman"/>
                      <w:szCs w:val="24"/>
                    </w:rPr>
                  </w:pPr>
                  <w:r>
                    <w:rPr>
                      <w:rFonts w:cs="Times New Roman"/>
                      <w:szCs w:val="24"/>
                    </w:rPr>
                    <w:t>1,616,576.99</w:t>
                  </w:r>
                </w:p>
              </w:tc>
            </w:tr>
          </w:tbl>
          <w:p w:rsidR="006F1BC1" w:rsidP="000B56D0" w14:paraId="246A0A23" w14:textId="77777777">
            <w:pPr>
              <w:autoSpaceDE w:val="0"/>
              <w:autoSpaceDN w:val="0"/>
              <w:adjustRightInd w:val="0"/>
              <w:spacing w:after="120" w:line="240" w:lineRule="auto"/>
              <w:ind w:left="720"/>
              <w:rPr>
                <w:rFonts w:ascii="Calibri" w:hAnsi="Calibri" w:cs="Calibri"/>
              </w:rPr>
            </w:pPr>
          </w:p>
          <w:p w:rsidR="00F01A2C" w:rsidP="005969B0" w14:paraId="07199773" w14:textId="0C0576BC">
            <w:pPr>
              <w:autoSpaceDE w:val="0"/>
              <w:autoSpaceDN w:val="0"/>
              <w:adjustRightInd w:val="0"/>
              <w:spacing w:after="120" w:line="240" w:lineRule="auto"/>
              <w:rPr>
                <w:b/>
                <w:bCs/>
              </w:rPr>
            </w:pPr>
          </w:p>
        </w:tc>
      </w:tr>
      <w:tr w14:paraId="43E4F772" w14:textId="77777777" w:rsidTr="02858895">
        <w:tblPrEx>
          <w:tblW w:w="9450" w:type="dxa"/>
          <w:tblLook w:val="04A0"/>
        </w:tblPrEx>
        <w:tc>
          <w:tcPr>
            <w:tcW w:w="9450" w:type="dxa"/>
            <w:shd w:val="clear" w:color="auto" w:fill="F2F2F2" w:themeFill="background1" w:themeFillShade="F2"/>
          </w:tcPr>
          <w:p w:rsidR="001024BB" w:rsidRPr="00F65E32" w:rsidP="005969B0" w14:paraId="09029A45" w14:textId="06427918">
            <w:pPr>
              <w:spacing w:after="120" w:line="240" w:lineRule="auto"/>
              <w:rPr>
                <w:i/>
                <w:iCs/>
              </w:rPr>
            </w:pPr>
            <w:r w:rsidRPr="588E3AA7">
              <w:rPr>
                <w:b/>
                <w:bCs/>
              </w:rPr>
              <w:t xml:space="preserve">15. </w:t>
            </w:r>
            <w:r w:rsidRPr="588E3AA7">
              <w:rPr>
                <w:b/>
                <w:bCs/>
                <w:u w:val="single"/>
              </w:rPr>
              <w:t xml:space="preserve">Explanation </w:t>
            </w:r>
            <w:r w:rsidRPr="588E3AA7">
              <w:rPr>
                <w:b/>
                <w:bCs/>
                <w:u w:val="single"/>
              </w:rPr>
              <w:t>Of</w:t>
            </w:r>
            <w:r w:rsidRPr="588E3AA7">
              <w:rPr>
                <w:b/>
                <w:bCs/>
                <w:u w:val="single"/>
              </w:rPr>
              <w:t xml:space="preserve"> The Program Change Or Adjustments</w:t>
            </w:r>
            <w:r w:rsidRPr="588E3AA7">
              <w:rPr>
                <w:b/>
                <w:bCs/>
              </w:rPr>
              <w:t>.</w:t>
            </w:r>
            <w:r>
              <w:t xml:space="preserve"> </w:t>
            </w:r>
            <w:r w:rsidR="1359E725">
              <w:t xml:space="preserve"> </w:t>
            </w:r>
            <w:r w:rsidRPr="588E3AA7">
              <w:rPr>
                <w:i/>
                <w:iCs/>
                <w:sz w:val="20"/>
                <w:szCs w:val="20"/>
              </w:rPr>
              <w:t>Explain the reasons for any program changes or adjustments reported</w:t>
            </w:r>
            <w:r w:rsidR="5805C043">
              <w:t xml:space="preserve"> </w:t>
            </w:r>
            <w:r w:rsidRPr="588E3AA7" w:rsidR="5805C043">
              <w:rPr>
                <w:i/>
                <w:iCs/>
                <w:sz w:val="20"/>
                <w:szCs w:val="20"/>
              </w:rPr>
              <w:t>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p>
        </w:tc>
      </w:tr>
      <w:tr w14:paraId="593E7487" w14:textId="77777777" w:rsidTr="02858895">
        <w:tblPrEx>
          <w:tblW w:w="9450" w:type="dxa"/>
          <w:tblLook w:val="04A0"/>
        </w:tblPrEx>
        <w:tc>
          <w:tcPr>
            <w:tcW w:w="9450" w:type="dxa"/>
            <w:tcBorders>
              <w:bottom w:val="single" w:sz="4" w:space="0" w:color="auto"/>
            </w:tcBorders>
          </w:tcPr>
          <w:p w:rsidR="00A82CF7" w:rsidRPr="00412865" w:rsidP="005969B0" w14:paraId="0B125473" w14:textId="7AD9CD00">
            <w:pPr>
              <w:autoSpaceDE w:val="0"/>
              <w:autoSpaceDN w:val="0"/>
              <w:adjustRightInd w:val="0"/>
              <w:spacing w:after="120" w:line="240" w:lineRule="auto"/>
              <w:rPr>
                <w:rFonts w:ascii="Calibri" w:hAnsi="Calibri" w:cs="Calibri"/>
              </w:rPr>
            </w:pPr>
            <w:r w:rsidRPr="588E3AA7">
              <w:rPr>
                <w:rFonts w:ascii="Calibri" w:hAnsi="Calibri" w:cs="Calibri"/>
              </w:rPr>
              <w:t>The collection of this information is associated with a new project. As such it requires a program change to add the estimated 950 hours for the new collection to NHTSA’s existing burden.</w:t>
            </w:r>
          </w:p>
        </w:tc>
      </w:tr>
      <w:tr w14:paraId="1820100E" w14:textId="77777777" w:rsidTr="02858895">
        <w:tblPrEx>
          <w:tblW w:w="9450" w:type="dxa"/>
          <w:tblLook w:val="04A0"/>
        </w:tblPrEx>
        <w:tc>
          <w:tcPr>
            <w:tcW w:w="9450" w:type="dxa"/>
            <w:shd w:val="clear" w:color="auto" w:fill="F2F2F2" w:themeFill="background1" w:themeFillShade="F2"/>
          </w:tcPr>
          <w:p w:rsidR="001024BB" w:rsidRPr="00F65E32" w:rsidP="005969B0" w14:paraId="4C093416" w14:textId="79727FE5">
            <w:pPr>
              <w:spacing w:after="120" w:line="240" w:lineRule="auto"/>
              <w:rPr>
                <w:i/>
                <w:iCs/>
              </w:rPr>
            </w:pPr>
            <w:r w:rsidRPr="28A52E59">
              <w:rPr>
                <w:b/>
                <w:bCs/>
              </w:rPr>
              <w:t xml:space="preserve">16. </w:t>
            </w:r>
            <w:r w:rsidRPr="28A52E59">
              <w:rPr>
                <w:b/>
                <w:bCs/>
                <w:u w:val="single"/>
              </w:rPr>
              <w:t xml:space="preserve">Publication </w:t>
            </w:r>
            <w:r w:rsidRPr="28A52E59">
              <w:rPr>
                <w:b/>
                <w:bCs/>
                <w:u w:val="single"/>
              </w:rPr>
              <w:t>Of</w:t>
            </w:r>
            <w:r w:rsidRPr="28A52E59">
              <w:rPr>
                <w:b/>
                <w:bCs/>
                <w:u w:val="single"/>
              </w:rPr>
              <w:t xml:space="preserve"> Results Of Data Collection</w:t>
            </w:r>
            <w:r w:rsidRPr="28A52E59">
              <w:rPr>
                <w:b/>
                <w:bCs/>
              </w:rPr>
              <w:t>.</w:t>
            </w:r>
            <w:r>
              <w:t xml:space="preserve"> </w:t>
            </w:r>
            <w:r w:rsidR="05B815B7">
              <w:t xml:space="preserve"> </w:t>
            </w:r>
            <w:r w:rsidRPr="28A52E59">
              <w:rPr>
                <w:i/>
                <w:iCs/>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tc>
      </w:tr>
      <w:tr w14:paraId="7EC8D596" w14:textId="77777777" w:rsidTr="02858895">
        <w:tblPrEx>
          <w:tblW w:w="9450" w:type="dxa"/>
          <w:tblLook w:val="04A0"/>
        </w:tblPrEx>
        <w:tc>
          <w:tcPr>
            <w:tcW w:w="9450" w:type="dxa"/>
            <w:tcBorders>
              <w:bottom w:val="single" w:sz="4" w:space="0" w:color="auto"/>
            </w:tcBorders>
          </w:tcPr>
          <w:p w:rsidR="00D45442" w:rsidRPr="004E65C0" w:rsidP="005969B0" w14:paraId="26D440E3" w14:textId="5F2B9C47">
            <w:pPr>
              <w:autoSpaceDE w:val="0"/>
              <w:autoSpaceDN w:val="0"/>
              <w:adjustRightInd w:val="0"/>
              <w:spacing w:after="120" w:line="240" w:lineRule="auto"/>
              <w:rPr>
                <w:rFonts w:ascii="Calibri" w:hAnsi="Calibri" w:cs="Calibri"/>
              </w:rPr>
            </w:pPr>
            <w:r w:rsidRPr="02858895">
              <w:rPr>
                <w:rFonts w:ascii="Calibri" w:hAnsi="Calibri" w:cs="Calibri"/>
              </w:rPr>
              <w:t xml:space="preserve">Study results will be published in </w:t>
            </w:r>
            <w:r w:rsidRPr="02858895" w:rsidR="75D1F2A5">
              <w:rPr>
                <w:rFonts w:ascii="Calibri" w:hAnsi="Calibri" w:cs="Calibri"/>
              </w:rPr>
              <w:t>the form of one or more</w:t>
            </w:r>
            <w:r w:rsidRPr="02858895">
              <w:rPr>
                <w:rFonts w:ascii="Calibri" w:hAnsi="Calibri" w:cs="Calibri"/>
              </w:rPr>
              <w:t xml:space="preserve"> technical report</w:t>
            </w:r>
            <w:r w:rsidRPr="02858895" w:rsidR="75D1F2A5">
              <w:rPr>
                <w:rFonts w:ascii="Calibri" w:hAnsi="Calibri" w:cs="Calibri"/>
              </w:rPr>
              <w:t>s</w:t>
            </w:r>
            <w:r w:rsidRPr="02858895" w:rsidR="004D4957">
              <w:rPr>
                <w:rFonts w:ascii="Calibri" w:hAnsi="Calibri" w:cs="Calibri"/>
              </w:rPr>
              <w:t xml:space="preserve">. </w:t>
            </w:r>
            <w:r w:rsidRPr="02858895">
              <w:rPr>
                <w:rFonts w:ascii="Calibri" w:hAnsi="Calibri" w:cs="Calibri"/>
              </w:rPr>
              <w:t xml:space="preserve">NHTSA may publish in aggregate the </w:t>
            </w:r>
            <w:r w:rsidRPr="02858895" w:rsidR="1F5A68F8">
              <w:rPr>
                <w:rFonts w:ascii="Calibri" w:hAnsi="Calibri" w:cs="Calibri"/>
              </w:rPr>
              <w:t xml:space="preserve">results </w:t>
            </w:r>
            <w:r w:rsidRPr="02858895" w:rsidR="6E94A009">
              <w:rPr>
                <w:rFonts w:ascii="Calibri" w:hAnsi="Calibri" w:cs="Calibri"/>
              </w:rPr>
              <w:t xml:space="preserve">of </w:t>
            </w:r>
            <w:r w:rsidRPr="02858895" w:rsidR="1F5A68F8">
              <w:rPr>
                <w:rFonts w:ascii="Calibri" w:hAnsi="Calibri" w:cs="Calibri"/>
              </w:rPr>
              <w:t xml:space="preserve">this data </w:t>
            </w:r>
            <w:r w:rsidRPr="02858895" w:rsidR="7757E381">
              <w:rPr>
                <w:rFonts w:ascii="Calibri" w:hAnsi="Calibri" w:cs="Calibri"/>
              </w:rPr>
              <w:t>(not separated according to</w:t>
            </w:r>
            <w:r w:rsidRPr="02858895" w:rsidR="1F5A68F8">
              <w:rPr>
                <w:rFonts w:ascii="Calibri" w:hAnsi="Calibri" w:cs="Calibri"/>
              </w:rPr>
              <w:t xml:space="preserve"> </w:t>
            </w:r>
            <w:r w:rsidRPr="02858895">
              <w:rPr>
                <w:rFonts w:ascii="Calibri" w:hAnsi="Calibri" w:cs="Calibri"/>
              </w:rPr>
              <w:t xml:space="preserve">age </w:t>
            </w:r>
            <w:r w:rsidRPr="02858895" w:rsidR="7757E381">
              <w:rPr>
                <w:rFonts w:ascii="Calibri" w:hAnsi="Calibri" w:cs="Calibri"/>
              </w:rPr>
              <w:t>or</w:t>
            </w:r>
            <w:r w:rsidRPr="02858895">
              <w:rPr>
                <w:rFonts w:ascii="Calibri" w:hAnsi="Calibri" w:cs="Calibri"/>
              </w:rPr>
              <w:t xml:space="preserve"> </w:t>
            </w:r>
            <w:r w:rsidRPr="02858895" w:rsidR="1F5A68F8">
              <w:rPr>
                <w:rFonts w:ascii="Calibri" w:hAnsi="Calibri" w:cs="Calibri"/>
              </w:rPr>
              <w:t>sex</w:t>
            </w:r>
            <w:r w:rsidRPr="02858895" w:rsidR="7757E381">
              <w:rPr>
                <w:rFonts w:ascii="Calibri" w:hAnsi="Calibri" w:cs="Calibri"/>
              </w:rPr>
              <w:t>)</w:t>
            </w:r>
            <w:r w:rsidRPr="02858895" w:rsidR="1F5A68F8">
              <w:rPr>
                <w:rFonts w:ascii="Calibri" w:hAnsi="Calibri" w:cs="Calibri"/>
              </w:rPr>
              <w:t xml:space="preserve"> </w:t>
            </w:r>
            <w:r w:rsidRPr="02858895">
              <w:rPr>
                <w:rFonts w:ascii="Calibri" w:hAnsi="Calibri" w:cs="Calibri"/>
              </w:rPr>
              <w:t>as part of a research report and</w:t>
            </w:r>
            <w:r w:rsidRPr="02858895" w:rsidR="7757E381">
              <w:rPr>
                <w:rFonts w:ascii="Calibri" w:hAnsi="Calibri" w:cs="Calibri"/>
              </w:rPr>
              <w:t>/or</w:t>
            </w:r>
            <w:r w:rsidRPr="02858895">
              <w:rPr>
                <w:rFonts w:ascii="Calibri" w:hAnsi="Calibri" w:cs="Calibri"/>
              </w:rPr>
              <w:t xml:space="preserve"> future Federal Register published documents. Results </w:t>
            </w:r>
            <w:r w:rsidR="004111E5">
              <w:rPr>
                <w:rFonts w:ascii="Calibri" w:hAnsi="Calibri" w:cs="Calibri"/>
              </w:rPr>
              <w:t>may be tabulated by information collected from the Pre-Drive Questionnaire (e.g., age, sex, gender, race, ethnicity)</w:t>
            </w:r>
            <w:r w:rsidRPr="02858895">
              <w:rPr>
                <w:rFonts w:ascii="Calibri" w:hAnsi="Calibri" w:cs="Calibri"/>
              </w:rPr>
              <w:t>.</w:t>
            </w:r>
          </w:p>
          <w:p w:rsidR="0062549D" w:rsidRPr="004E65C0" w:rsidP="005969B0" w14:paraId="21149752" w14:textId="33081245">
            <w:pPr>
              <w:autoSpaceDE w:val="0"/>
              <w:autoSpaceDN w:val="0"/>
              <w:adjustRightInd w:val="0"/>
              <w:spacing w:after="120" w:line="240" w:lineRule="auto"/>
              <w:rPr>
                <w:rFonts w:ascii="Calibri" w:hAnsi="Calibri" w:cs="Calibri"/>
              </w:rPr>
            </w:pPr>
            <w:r w:rsidRPr="004E65C0">
              <w:rPr>
                <w:rFonts w:ascii="Calibri" w:hAnsi="Calibri" w:cs="Calibri"/>
              </w:rPr>
              <w:t>Only descriptive and inferential statistical analysis methods will be used</w:t>
            </w:r>
            <w:r w:rsidR="004D4957">
              <w:rPr>
                <w:rFonts w:ascii="Calibri" w:hAnsi="Calibri" w:cs="Calibri"/>
              </w:rPr>
              <w:t xml:space="preserve">. </w:t>
            </w:r>
            <w:r w:rsidRPr="004E65C0" w:rsidR="00A82CF7">
              <w:rPr>
                <w:rFonts w:ascii="Calibri" w:hAnsi="Calibri" w:cs="Calibri"/>
              </w:rPr>
              <w:t>Personal information will not be published</w:t>
            </w:r>
            <w:r w:rsidRPr="004E65C0" w:rsidR="00192791">
              <w:t xml:space="preserve"> </w:t>
            </w:r>
            <w:r w:rsidRPr="004E65C0" w:rsidR="00192791">
              <w:rPr>
                <w:rFonts w:ascii="Calibri" w:hAnsi="Calibri" w:cs="Calibri"/>
              </w:rPr>
              <w:t xml:space="preserve">in the technical reports. </w:t>
            </w:r>
          </w:p>
          <w:p w:rsidR="007C27C4" w:rsidRPr="00732C0F" w:rsidP="005969B0" w14:paraId="2DFDDB0A" w14:textId="3C0FA990">
            <w:pPr>
              <w:autoSpaceDE w:val="0"/>
              <w:autoSpaceDN w:val="0"/>
              <w:adjustRightInd w:val="0"/>
              <w:spacing w:after="120" w:line="240" w:lineRule="auto"/>
            </w:pPr>
            <w:r w:rsidRPr="004E65C0">
              <w:rPr>
                <w:rFonts w:ascii="Calibri" w:hAnsi="Calibri" w:cs="Calibri"/>
              </w:rPr>
              <w:t xml:space="preserve">The project </w:t>
            </w:r>
            <w:r w:rsidR="00C94507">
              <w:rPr>
                <w:rFonts w:ascii="Calibri" w:hAnsi="Calibri" w:cs="Calibri"/>
              </w:rPr>
              <w:t xml:space="preserve">development and regulatory approval phases </w:t>
            </w:r>
            <w:r w:rsidRPr="004E65C0">
              <w:rPr>
                <w:rFonts w:ascii="Calibri" w:hAnsi="Calibri" w:cs="Calibri"/>
              </w:rPr>
              <w:t xml:space="preserve">began in </w:t>
            </w:r>
            <w:r w:rsidRPr="004E65C0" w:rsidR="005B4E1E">
              <w:rPr>
                <w:rFonts w:ascii="Calibri" w:hAnsi="Calibri" w:cs="Calibri"/>
              </w:rPr>
              <w:t>2022</w:t>
            </w:r>
            <w:r w:rsidR="004D4957">
              <w:rPr>
                <w:rFonts w:ascii="Calibri" w:hAnsi="Calibri" w:cs="Calibri"/>
              </w:rPr>
              <w:t xml:space="preserve">. </w:t>
            </w:r>
            <w:r w:rsidRPr="004E65C0">
              <w:rPr>
                <w:rFonts w:ascii="Calibri" w:hAnsi="Calibri" w:cs="Calibri"/>
              </w:rPr>
              <w:t>Data collection is planned to begin</w:t>
            </w:r>
            <w:r w:rsidRPr="004E65C0" w:rsidR="00925A02">
              <w:rPr>
                <w:rFonts w:ascii="Calibri" w:hAnsi="Calibri" w:cs="Calibri"/>
              </w:rPr>
              <w:t xml:space="preserve"> </w:t>
            </w:r>
            <w:r w:rsidRPr="004E65C0">
              <w:rPr>
                <w:rFonts w:ascii="Calibri" w:hAnsi="Calibri" w:cs="Calibri"/>
              </w:rPr>
              <w:t>immediately upon PRA clearance receipt</w:t>
            </w:r>
            <w:r w:rsidRPr="004E65C0" w:rsidR="00C33A99">
              <w:rPr>
                <w:rFonts w:ascii="Calibri" w:hAnsi="Calibri" w:cs="Calibri"/>
              </w:rPr>
              <w:t>. The overall duration of the project is 66 months. Data collection for the first study is expected to take three months. Data collection</w:t>
            </w:r>
            <w:r w:rsidRPr="004E65C0" w:rsidR="00205A7B">
              <w:rPr>
                <w:rFonts w:ascii="Calibri" w:hAnsi="Calibri" w:cs="Calibri"/>
              </w:rPr>
              <w:t>s</w:t>
            </w:r>
            <w:r w:rsidRPr="004E65C0" w:rsidR="00C33A99">
              <w:rPr>
                <w:rFonts w:ascii="Calibri" w:hAnsi="Calibri" w:cs="Calibri"/>
              </w:rPr>
              <w:t xml:space="preserve"> for Stud</w:t>
            </w:r>
            <w:r w:rsidRPr="004E65C0" w:rsidR="00205A7B">
              <w:rPr>
                <w:rFonts w:ascii="Calibri" w:hAnsi="Calibri" w:cs="Calibri"/>
              </w:rPr>
              <w:t>y 2 and Study 3 is expected to last two months each</w:t>
            </w:r>
            <w:r w:rsidR="004D4957">
              <w:rPr>
                <w:rFonts w:ascii="Calibri" w:hAnsi="Calibri" w:cs="Calibri"/>
              </w:rPr>
              <w:t xml:space="preserve">. </w:t>
            </w:r>
            <w:r w:rsidRPr="004E65C0" w:rsidR="00F15D53">
              <w:rPr>
                <w:rFonts w:ascii="Calibri" w:hAnsi="Calibri" w:cs="Calibri"/>
              </w:rPr>
              <w:t>Data reduction</w:t>
            </w:r>
            <w:r w:rsidR="00544E41">
              <w:rPr>
                <w:rFonts w:ascii="Calibri" w:hAnsi="Calibri" w:cs="Calibri"/>
              </w:rPr>
              <w:t>, the process by which time series (continuous) data from the simulator is converted into discreet measures for analysis,</w:t>
            </w:r>
            <w:r w:rsidRPr="004E65C0" w:rsidR="00F15D53">
              <w:rPr>
                <w:rFonts w:ascii="Calibri" w:hAnsi="Calibri" w:cs="Calibri"/>
              </w:rPr>
              <w:t xml:space="preserve"> and </w:t>
            </w:r>
            <w:r w:rsidR="00544E41">
              <w:rPr>
                <w:rFonts w:ascii="Calibri" w:hAnsi="Calibri" w:cs="Calibri"/>
              </w:rPr>
              <w:t xml:space="preserve">data </w:t>
            </w:r>
            <w:r w:rsidRPr="004E65C0" w:rsidR="00F15D53">
              <w:rPr>
                <w:rFonts w:ascii="Calibri" w:hAnsi="Calibri" w:cs="Calibri"/>
              </w:rPr>
              <w:t>analysis will follow</w:t>
            </w:r>
            <w:r w:rsidRPr="004E65C0" w:rsidR="00205A7B">
              <w:rPr>
                <w:rFonts w:ascii="Calibri" w:hAnsi="Calibri" w:cs="Calibri"/>
              </w:rPr>
              <w:t xml:space="preserve"> each</w:t>
            </w:r>
            <w:r w:rsidRPr="004E65C0" w:rsidR="00F15D53">
              <w:rPr>
                <w:rFonts w:ascii="Calibri" w:hAnsi="Calibri" w:cs="Calibri"/>
              </w:rPr>
              <w:t xml:space="preserve"> data collection</w:t>
            </w:r>
            <w:r w:rsidR="004D4957">
              <w:rPr>
                <w:rFonts w:ascii="Calibri" w:hAnsi="Calibri" w:cs="Calibri"/>
              </w:rPr>
              <w:t xml:space="preserve">. </w:t>
            </w:r>
            <w:r w:rsidRPr="004E65C0" w:rsidR="0057438B">
              <w:rPr>
                <w:rFonts w:ascii="Calibri" w:hAnsi="Calibri" w:cs="Calibri"/>
              </w:rPr>
              <w:t xml:space="preserve">Completion </w:t>
            </w:r>
            <w:r w:rsidRPr="004E65C0" w:rsidR="00F15D53">
              <w:rPr>
                <w:rFonts w:ascii="Calibri" w:hAnsi="Calibri" w:cs="Calibri"/>
              </w:rPr>
              <w:t>of</w:t>
            </w:r>
            <w:r w:rsidRPr="004E65C0">
              <w:rPr>
                <w:rFonts w:ascii="Calibri" w:hAnsi="Calibri" w:cs="Calibri"/>
              </w:rPr>
              <w:t xml:space="preserve"> </w:t>
            </w:r>
            <w:r w:rsidRPr="004E65C0" w:rsidR="00F15D53">
              <w:rPr>
                <w:rFonts w:ascii="Calibri" w:hAnsi="Calibri" w:cs="Calibri"/>
              </w:rPr>
              <w:t>technical report</w:t>
            </w:r>
            <w:r w:rsidRPr="004E65C0" w:rsidR="0057438B">
              <w:rPr>
                <w:rFonts w:ascii="Calibri" w:hAnsi="Calibri" w:cs="Calibri"/>
              </w:rPr>
              <w:t>s</w:t>
            </w:r>
            <w:r w:rsidRPr="004E65C0" w:rsidR="00F15D53">
              <w:rPr>
                <w:rFonts w:ascii="Calibri" w:hAnsi="Calibri" w:cs="Calibri"/>
              </w:rPr>
              <w:t xml:space="preserve"> </w:t>
            </w:r>
            <w:r w:rsidRPr="004E65C0" w:rsidR="0057438B">
              <w:rPr>
                <w:rFonts w:ascii="Calibri" w:hAnsi="Calibri" w:cs="Calibri"/>
              </w:rPr>
              <w:t xml:space="preserve">is anticipated </w:t>
            </w:r>
            <w:r w:rsidRPr="004E65C0" w:rsidR="00F15D53">
              <w:rPr>
                <w:rFonts w:ascii="Calibri" w:hAnsi="Calibri" w:cs="Calibri"/>
              </w:rPr>
              <w:t>within 6 months of the end of data collection</w:t>
            </w:r>
            <w:r w:rsidRPr="004E65C0" w:rsidR="0057438B">
              <w:rPr>
                <w:rFonts w:ascii="Calibri" w:hAnsi="Calibri" w:cs="Calibri"/>
              </w:rPr>
              <w:t>.</w:t>
            </w:r>
            <w:r w:rsidR="00F15D53">
              <w:rPr>
                <w:rFonts w:ascii="Calibri" w:hAnsi="Calibri" w:cs="Calibri"/>
              </w:rPr>
              <w:t xml:space="preserve"> </w:t>
            </w:r>
          </w:p>
        </w:tc>
      </w:tr>
      <w:tr w14:paraId="772B2C94" w14:textId="77777777" w:rsidTr="02858895">
        <w:tblPrEx>
          <w:tblW w:w="9450" w:type="dxa"/>
          <w:tblLook w:val="04A0"/>
        </w:tblPrEx>
        <w:tc>
          <w:tcPr>
            <w:tcW w:w="9450" w:type="dxa"/>
            <w:shd w:val="clear" w:color="auto" w:fill="F2F2F2" w:themeFill="background1" w:themeFillShade="F2"/>
          </w:tcPr>
          <w:p w:rsidR="001024BB" w:rsidRPr="00F65E32" w:rsidP="005969B0" w14:paraId="79B6DC37" w14:textId="77777777">
            <w:pPr>
              <w:spacing w:after="120" w:line="240" w:lineRule="auto"/>
              <w:rPr>
                <w:i/>
              </w:rPr>
            </w:pPr>
            <w:r w:rsidRPr="00412504">
              <w:rPr>
                <w:b/>
              </w:rPr>
              <w:t xml:space="preserve">17. </w:t>
            </w:r>
            <w:r w:rsidRPr="00412504">
              <w:rPr>
                <w:b/>
                <w:u w:val="single"/>
              </w:rPr>
              <w:t xml:space="preserve">Approval </w:t>
            </w:r>
            <w:r w:rsidRPr="00412504">
              <w:rPr>
                <w:b/>
                <w:u w:val="single"/>
              </w:rPr>
              <w:t>For</w:t>
            </w:r>
            <w:r w:rsidRPr="00412504">
              <w:rPr>
                <w:b/>
                <w:u w:val="single"/>
              </w:rPr>
              <w:t xml:space="preserve"> Not Displaying The Expiration Date Of OMB Approval</w:t>
            </w:r>
            <w:r w:rsidRPr="00412504">
              <w:rPr>
                <w:b/>
              </w:rPr>
              <w:t>.</w:t>
            </w:r>
            <w:r>
              <w:t xml:space="preserve"> </w:t>
            </w:r>
            <w:r w:rsidRPr="00071299">
              <w:rPr>
                <w:i/>
                <w:sz w:val="20"/>
              </w:rPr>
              <w:t xml:space="preserve">If seeking approval to not display the expiration date for OMB approval of the information collection, explain the reasons that display would be inappropriate. </w:t>
            </w:r>
          </w:p>
        </w:tc>
      </w:tr>
      <w:tr w14:paraId="71BE7B38" w14:textId="77777777" w:rsidTr="02858895">
        <w:tblPrEx>
          <w:tblW w:w="9450" w:type="dxa"/>
          <w:tblLook w:val="04A0"/>
        </w:tblPrEx>
        <w:tc>
          <w:tcPr>
            <w:tcW w:w="9450" w:type="dxa"/>
            <w:tcBorders>
              <w:bottom w:val="single" w:sz="4" w:space="0" w:color="auto"/>
            </w:tcBorders>
          </w:tcPr>
          <w:p w:rsidR="003368B1" w:rsidRPr="003368B1" w:rsidP="005969B0" w14:paraId="4E5A1AAF" w14:textId="1D0519AD">
            <w:pPr>
              <w:spacing w:after="120" w:line="240" w:lineRule="auto"/>
              <w:rPr>
                <w:rFonts w:ascii="Calibri" w:hAnsi="Calibri" w:cs="Calibri"/>
              </w:rPr>
            </w:pPr>
            <w:r w:rsidRPr="588E3AA7">
              <w:rPr>
                <w:rFonts w:ascii="Calibri" w:hAnsi="Calibri" w:cs="Calibri"/>
              </w:rPr>
              <w:t>NHTSA is not seeking such approval.</w:t>
            </w:r>
            <w:r w:rsidRPr="588E3AA7" w:rsidR="5E6C56A7">
              <w:rPr>
                <w:rFonts w:ascii="Calibri" w:hAnsi="Calibri" w:cs="Calibri"/>
              </w:rPr>
              <w:t xml:space="preserve"> NHTSA will display the expiration date for OMB approval.</w:t>
            </w:r>
          </w:p>
        </w:tc>
      </w:tr>
      <w:tr w14:paraId="53984E1F" w14:textId="77777777" w:rsidTr="02858895">
        <w:tblPrEx>
          <w:tblW w:w="9450" w:type="dxa"/>
          <w:tblLook w:val="04A0"/>
        </w:tblPrEx>
        <w:tc>
          <w:tcPr>
            <w:tcW w:w="9450" w:type="dxa"/>
            <w:shd w:val="clear" w:color="auto" w:fill="F2F2F2" w:themeFill="background1" w:themeFillShade="F2"/>
          </w:tcPr>
          <w:p w:rsidR="001024BB" w:rsidRPr="00F65E32" w:rsidP="005969B0" w14:paraId="338A16C5" w14:textId="7901D809">
            <w:pPr>
              <w:spacing w:after="120" w:line="240" w:lineRule="auto"/>
            </w:pPr>
            <w:r w:rsidRPr="00412504">
              <w:rPr>
                <w:b/>
              </w:rPr>
              <w:t xml:space="preserve">18. </w:t>
            </w:r>
            <w:r w:rsidRPr="00412504">
              <w:rPr>
                <w:b/>
                <w:u w:val="single"/>
              </w:rPr>
              <w:t xml:space="preserve">Exceptions </w:t>
            </w:r>
            <w:r w:rsidRPr="00412504">
              <w:rPr>
                <w:b/>
                <w:u w:val="single"/>
              </w:rPr>
              <w:t>To</w:t>
            </w:r>
            <w:r w:rsidRPr="00412504">
              <w:rPr>
                <w:b/>
                <w:u w:val="single"/>
              </w:rPr>
              <w:t xml:space="preserve"> The Certification Statement</w:t>
            </w:r>
            <w:r w:rsidRPr="00412504">
              <w:rPr>
                <w:b/>
              </w:rPr>
              <w:t>.</w:t>
            </w:r>
            <w:r w:rsidR="00855670">
              <w:rPr>
                <w:b/>
              </w:rPr>
              <w:t xml:space="preserve"> </w:t>
            </w:r>
            <w:r w:rsidRPr="00412504">
              <w:rPr>
                <w:b/>
              </w:rPr>
              <w:t xml:space="preserve"> </w:t>
            </w:r>
            <w:r w:rsidRPr="00071299">
              <w:rPr>
                <w:i/>
                <w:sz w:val="20"/>
              </w:rPr>
              <w:t>Explain each exception to the certification statement "Certification for Paperwork Reduction Act Submissions."</w:t>
            </w:r>
            <w:r w:rsidR="00772FA2">
              <w:t xml:space="preserve"> </w:t>
            </w:r>
            <w:r w:rsidRPr="00772FA2" w:rsidR="00772FA2">
              <w:rPr>
                <w:i/>
                <w:sz w:val="20"/>
              </w:rPr>
              <w:t>The required certifications can be found at 5 CFR 1320.9.</w:t>
            </w:r>
          </w:p>
        </w:tc>
      </w:tr>
      <w:tr w14:paraId="4DE749D6" w14:textId="77777777" w:rsidTr="02858895">
        <w:tblPrEx>
          <w:tblW w:w="9450" w:type="dxa"/>
          <w:tblLook w:val="04A0"/>
        </w:tblPrEx>
        <w:tc>
          <w:tcPr>
            <w:tcW w:w="9450" w:type="dxa"/>
          </w:tcPr>
          <w:p w:rsidR="0062549D" w:rsidRPr="00412865" w:rsidP="005969B0" w14:paraId="14F9CAD7" w14:textId="77777777">
            <w:pPr>
              <w:spacing w:after="120" w:line="240" w:lineRule="auto"/>
            </w:pPr>
            <w:r>
              <w:rPr>
                <w:rFonts w:ascii="Calibri" w:hAnsi="Calibri" w:cs="Calibri"/>
              </w:rPr>
              <w:t>No exceptions to the certification are required for this research plan.</w:t>
            </w:r>
          </w:p>
        </w:tc>
      </w:tr>
    </w:tbl>
    <w:p w:rsidR="00442F7C" w:rsidRPr="00895141" w:rsidP="00B41E4D" w14:paraId="11A9EFDD" w14:textId="1E563259">
      <w:pPr>
        <w:spacing w:after="120" w:line="240" w:lineRule="auto"/>
        <w:rPr>
          <w:b/>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9738407"/>
      <w:docPartObj>
        <w:docPartGallery w:val="Page Numbers (Bottom of Page)"/>
        <w:docPartUnique/>
      </w:docPartObj>
    </w:sdtPr>
    <w:sdtEndPr>
      <w:rPr>
        <w:noProof/>
      </w:rPr>
    </w:sdtEndPr>
    <w:sdtContent>
      <w:p w:rsidR="008272FA" w14:paraId="7AD5CD46" w14:textId="6C5AD64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411C2">
          <w:rPr>
            <w:noProof/>
          </w:rPr>
          <w:t>2</w:t>
        </w:r>
        <w:r>
          <w:rPr>
            <w:noProof/>
            <w:color w:val="2B579A"/>
            <w:shd w:val="clear" w:color="auto" w:fill="E6E6E6"/>
          </w:rPr>
          <w:fldChar w:fldCharType="end"/>
        </w:r>
      </w:p>
    </w:sdtContent>
  </w:sdt>
  <w:p w:rsidR="008272FA" w14:paraId="60C132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C7D7C" w:rsidP="00E0734A" w14:paraId="55F4040A" w14:textId="77777777">
      <w:pPr>
        <w:spacing w:after="0" w:line="240" w:lineRule="auto"/>
      </w:pPr>
      <w:r>
        <w:separator/>
      </w:r>
    </w:p>
  </w:footnote>
  <w:footnote w:type="continuationSeparator" w:id="1">
    <w:p w:rsidR="00EC7D7C" w:rsidP="00E0734A" w14:paraId="302D6B98" w14:textId="77777777">
      <w:pPr>
        <w:spacing w:after="0" w:line="240" w:lineRule="auto"/>
      </w:pPr>
      <w:r>
        <w:continuationSeparator/>
      </w:r>
    </w:p>
  </w:footnote>
  <w:footnote w:type="continuationNotice" w:id="2">
    <w:p w:rsidR="00EC7D7C" w14:paraId="724C4895" w14:textId="77777777">
      <w:pPr>
        <w:spacing w:after="0" w:line="240" w:lineRule="auto"/>
      </w:pPr>
    </w:p>
  </w:footnote>
  <w:footnote w:id="3">
    <w:p w:rsidR="008272FA" w:rsidRPr="003C27DD" w14:paraId="7095B2C3" w14:textId="60B3CE40">
      <w:pPr>
        <w:pStyle w:val="FootnoteText"/>
        <w:rPr>
          <w:rFonts w:asciiTheme="minorHAnsi" w:hAnsiTheme="minorHAnsi" w:cstheme="minorHAnsi"/>
        </w:rPr>
      </w:pPr>
      <w:r>
        <w:rPr>
          <w:rStyle w:val="FootnoteReference"/>
        </w:rPr>
        <w:footnoteRef/>
      </w:r>
      <w:r>
        <w:t xml:space="preserve"> </w:t>
      </w:r>
      <w:r w:rsidRPr="003C27DD">
        <w:rPr>
          <w:rFonts w:asciiTheme="minorHAnsi" w:hAnsiTheme="minorHAnsi" w:cstheme="minorHAnsi"/>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4">
    <w:p w:rsidR="008272FA" w:rsidRPr="00BE66B4" w:rsidP="009B6212" w14:paraId="7301B766" w14:textId="77777777">
      <w:pPr>
        <w:pStyle w:val="FootnoteText"/>
        <w:rPr>
          <w:rFonts w:asciiTheme="minorHAnsi" w:hAnsiTheme="minorHAnsi" w:cstheme="minorHAnsi"/>
        </w:rPr>
      </w:pPr>
      <w:r w:rsidRPr="00F50E54">
        <w:rPr>
          <w:rStyle w:val="FootnoteReference"/>
          <w:rFonts w:asciiTheme="minorHAnsi" w:hAnsiTheme="minorHAnsi" w:cstheme="minorHAnsi"/>
        </w:rPr>
        <w:footnoteRef/>
      </w:r>
      <w:r>
        <w:rPr>
          <w:rFonts w:asciiTheme="minorHAnsi" w:hAnsiTheme="minorHAnsi" w:cstheme="minorHAnsi"/>
        </w:rPr>
        <w:t xml:space="preserve"> </w:t>
      </w:r>
      <w:r w:rsidRPr="00BE66B4">
        <w:rPr>
          <w:rFonts w:asciiTheme="minorHAnsi" w:hAnsiTheme="minorHAnsi" w:cstheme="minorHAnsi"/>
        </w:rPr>
        <w:t xml:space="preserve"> 49 U.S.C. 30101(1).</w:t>
      </w:r>
    </w:p>
  </w:footnote>
  <w:footnote w:id="5">
    <w:p w:rsidR="008272FA" w:rsidP="009B6212" w14:paraId="23E5A996" w14:textId="77777777">
      <w:pPr>
        <w:pStyle w:val="FootnoteText"/>
      </w:pPr>
      <w:r w:rsidRPr="00BE66B4">
        <w:rPr>
          <w:rStyle w:val="FootnoteReference"/>
          <w:rFonts w:asciiTheme="minorHAnsi" w:hAnsiTheme="minorHAnsi" w:cstheme="minorHAnsi"/>
        </w:rPr>
        <w:footnoteRef/>
      </w:r>
      <w:r w:rsidRPr="00BE66B4">
        <w:rPr>
          <w:rFonts w:asciiTheme="minorHAnsi" w:hAnsiTheme="minorHAnsi" w:cstheme="minorHAnsi"/>
        </w:rPr>
        <w:t xml:space="preserve"> 49 U.S.C. 30101(2).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76763"/>
    <w:multiLevelType w:val="hybridMultilevel"/>
    <w:tmpl w:val="3E4AF79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0E616D"/>
    <w:multiLevelType w:val="hybridMultilevel"/>
    <w:tmpl w:val="2EDAE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D6E365"/>
    <w:multiLevelType w:val="hybridMultilevel"/>
    <w:tmpl w:val="AD367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76797A"/>
    <w:multiLevelType w:val="hybridMultilevel"/>
    <w:tmpl w:val="B46879F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3">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927BF"/>
    <w:multiLevelType w:val="hybridMultilevel"/>
    <w:tmpl w:val="45B493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017173"/>
    <w:multiLevelType w:val="hybridMultilevel"/>
    <w:tmpl w:val="7B7E0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E635C8"/>
    <w:multiLevelType w:val="hybridMultilevel"/>
    <w:tmpl w:val="9D6E2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6230E5E"/>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DB1ABE"/>
    <w:multiLevelType w:val="hybridMultilevel"/>
    <w:tmpl w:val="58BEDE60"/>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30">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2">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F90C92"/>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F8742F"/>
    <w:multiLevelType w:val="hybridMultilevel"/>
    <w:tmpl w:val="ED649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A4AF8"/>
    <w:multiLevelType w:val="hybridMultilevel"/>
    <w:tmpl w:val="FAECEF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147BF2"/>
    <w:multiLevelType w:val="hybridMultilevel"/>
    <w:tmpl w:val="56CC2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6"/>
  </w:num>
  <w:num w:numId="3">
    <w:abstractNumId w:val="15"/>
  </w:num>
  <w:num w:numId="4">
    <w:abstractNumId w:val="34"/>
  </w:num>
  <w:num w:numId="5">
    <w:abstractNumId w:val="26"/>
  </w:num>
  <w:num w:numId="6">
    <w:abstractNumId w:val="5"/>
  </w:num>
  <w:num w:numId="7">
    <w:abstractNumId w:val="14"/>
  </w:num>
  <w:num w:numId="8">
    <w:abstractNumId w:val="16"/>
  </w:num>
  <w:num w:numId="9">
    <w:abstractNumId w:val="30"/>
  </w:num>
  <w:num w:numId="10">
    <w:abstractNumId w:val="13"/>
  </w:num>
  <w:num w:numId="11">
    <w:abstractNumId w:val="11"/>
  </w:num>
  <w:num w:numId="12">
    <w:abstractNumId w:val="9"/>
  </w:num>
  <w:num w:numId="13">
    <w:abstractNumId w:val="0"/>
  </w:num>
  <w:num w:numId="14">
    <w:abstractNumId w:val="23"/>
  </w:num>
  <w:num w:numId="15">
    <w:abstractNumId w:val="19"/>
  </w:num>
  <w:num w:numId="16">
    <w:abstractNumId w:val="25"/>
  </w:num>
  <w:num w:numId="17">
    <w:abstractNumId w:val="1"/>
  </w:num>
  <w:num w:numId="18">
    <w:abstractNumId w:val="18"/>
  </w:num>
  <w:num w:numId="19">
    <w:abstractNumId w:val="2"/>
  </w:num>
  <w:num w:numId="20">
    <w:abstractNumId w:val="32"/>
  </w:num>
  <w:num w:numId="21">
    <w:abstractNumId w:val="8"/>
  </w:num>
  <w:num w:numId="22">
    <w:abstractNumId w:val="3"/>
  </w:num>
  <w:num w:numId="23">
    <w:abstractNumId w:val="20"/>
  </w:num>
  <w:num w:numId="24">
    <w:abstractNumId w:val="10"/>
  </w:num>
  <w:num w:numId="25">
    <w:abstractNumId w:val="17"/>
  </w:num>
  <w:num w:numId="26">
    <w:abstractNumId w:val="33"/>
  </w:num>
  <w:num w:numId="27">
    <w:abstractNumId w:val="7"/>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5"/>
  </w:num>
  <w:num w:numId="34">
    <w:abstractNumId w:val="12"/>
  </w:num>
  <w:num w:numId="35">
    <w:abstractNumId w:val="21"/>
  </w:num>
  <w:num w:numId="36">
    <w:abstractNumId w:val="29"/>
  </w:num>
  <w:num w:numId="37">
    <w:abstractNumId w:val="31"/>
  </w:num>
  <w:num w:numId="38">
    <w:abstractNumId w:val="22"/>
  </w:num>
  <w:num w:numId="39">
    <w:abstractNumId w:val="2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066E4"/>
    <w:rsid w:val="00006D02"/>
    <w:rsid w:val="0000714F"/>
    <w:rsid w:val="00011448"/>
    <w:rsid w:val="0001690A"/>
    <w:rsid w:val="00017EC6"/>
    <w:rsid w:val="00020328"/>
    <w:rsid w:val="00023032"/>
    <w:rsid w:val="000272A3"/>
    <w:rsid w:val="00027ED4"/>
    <w:rsid w:val="00035765"/>
    <w:rsid w:val="00035BBC"/>
    <w:rsid w:val="0004260E"/>
    <w:rsid w:val="000446D2"/>
    <w:rsid w:val="000451AC"/>
    <w:rsid w:val="00052B34"/>
    <w:rsid w:val="0006061E"/>
    <w:rsid w:val="0006285F"/>
    <w:rsid w:val="00064485"/>
    <w:rsid w:val="00070942"/>
    <w:rsid w:val="00071281"/>
    <w:rsid w:val="00071299"/>
    <w:rsid w:val="00072BD7"/>
    <w:rsid w:val="00073DCF"/>
    <w:rsid w:val="00073FA8"/>
    <w:rsid w:val="000759BB"/>
    <w:rsid w:val="00076B23"/>
    <w:rsid w:val="000801CA"/>
    <w:rsid w:val="00081D09"/>
    <w:rsid w:val="00081DE5"/>
    <w:rsid w:val="00084573"/>
    <w:rsid w:val="00093CD8"/>
    <w:rsid w:val="00093E8E"/>
    <w:rsid w:val="000A19E3"/>
    <w:rsid w:val="000A2D40"/>
    <w:rsid w:val="000A305C"/>
    <w:rsid w:val="000A4483"/>
    <w:rsid w:val="000A798C"/>
    <w:rsid w:val="000A7EC0"/>
    <w:rsid w:val="000B0C8C"/>
    <w:rsid w:val="000B1CA7"/>
    <w:rsid w:val="000B30E1"/>
    <w:rsid w:val="000B37F3"/>
    <w:rsid w:val="000B3CA5"/>
    <w:rsid w:val="000B4B0B"/>
    <w:rsid w:val="000B56D0"/>
    <w:rsid w:val="000B582D"/>
    <w:rsid w:val="000C155E"/>
    <w:rsid w:val="000C2AFE"/>
    <w:rsid w:val="000C32C1"/>
    <w:rsid w:val="000C34CC"/>
    <w:rsid w:val="000C7C98"/>
    <w:rsid w:val="000D2BF3"/>
    <w:rsid w:val="000D5C9F"/>
    <w:rsid w:val="000D6F11"/>
    <w:rsid w:val="000D6F2F"/>
    <w:rsid w:val="000E24DC"/>
    <w:rsid w:val="000F2E79"/>
    <w:rsid w:val="000F397A"/>
    <w:rsid w:val="000F4FED"/>
    <w:rsid w:val="000F52C9"/>
    <w:rsid w:val="000F61F9"/>
    <w:rsid w:val="000F70C1"/>
    <w:rsid w:val="000F7350"/>
    <w:rsid w:val="001007F5"/>
    <w:rsid w:val="001024BB"/>
    <w:rsid w:val="0010288C"/>
    <w:rsid w:val="00104D53"/>
    <w:rsid w:val="00107820"/>
    <w:rsid w:val="0011171C"/>
    <w:rsid w:val="0011199D"/>
    <w:rsid w:val="001125A6"/>
    <w:rsid w:val="0011289D"/>
    <w:rsid w:val="00114D5A"/>
    <w:rsid w:val="00115C5A"/>
    <w:rsid w:val="00116E57"/>
    <w:rsid w:val="001200B0"/>
    <w:rsid w:val="001213A4"/>
    <w:rsid w:val="001227C5"/>
    <w:rsid w:val="00124896"/>
    <w:rsid w:val="00124B41"/>
    <w:rsid w:val="00131397"/>
    <w:rsid w:val="00135D37"/>
    <w:rsid w:val="00136D54"/>
    <w:rsid w:val="00136DC2"/>
    <w:rsid w:val="001375FC"/>
    <w:rsid w:val="001378B3"/>
    <w:rsid w:val="001434B6"/>
    <w:rsid w:val="001436DB"/>
    <w:rsid w:val="0015049E"/>
    <w:rsid w:val="00150EFA"/>
    <w:rsid w:val="00151D5B"/>
    <w:rsid w:val="001551FB"/>
    <w:rsid w:val="00155D36"/>
    <w:rsid w:val="001565C1"/>
    <w:rsid w:val="001605FB"/>
    <w:rsid w:val="00161265"/>
    <w:rsid w:val="001655F9"/>
    <w:rsid w:val="00166257"/>
    <w:rsid w:val="00173543"/>
    <w:rsid w:val="0017465F"/>
    <w:rsid w:val="0018359A"/>
    <w:rsid w:val="00185334"/>
    <w:rsid w:val="0018585A"/>
    <w:rsid w:val="00186ADA"/>
    <w:rsid w:val="00187C93"/>
    <w:rsid w:val="0019203B"/>
    <w:rsid w:val="00192791"/>
    <w:rsid w:val="001931C9"/>
    <w:rsid w:val="00195381"/>
    <w:rsid w:val="001A2664"/>
    <w:rsid w:val="001A553B"/>
    <w:rsid w:val="001A7CFF"/>
    <w:rsid w:val="001B0390"/>
    <w:rsid w:val="001B0416"/>
    <w:rsid w:val="001B1957"/>
    <w:rsid w:val="001B1C44"/>
    <w:rsid w:val="001B6B09"/>
    <w:rsid w:val="001C061F"/>
    <w:rsid w:val="001C186F"/>
    <w:rsid w:val="001C4362"/>
    <w:rsid w:val="001C5CDB"/>
    <w:rsid w:val="001C75B7"/>
    <w:rsid w:val="001D1903"/>
    <w:rsid w:val="001D1971"/>
    <w:rsid w:val="001D2465"/>
    <w:rsid w:val="001D66B4"/>
    <w:rsid w:val="001E07EE"/>
    <w:rsid w:val="001E0ECB"/>
    <w:rsid w:val="001E7DD2"/>
    <w:rsid w:val="001F7E9D"/>
    <w:rsid w:val="001F7F76"/>
    <w:rsid w:val="00200DF7"/>
    <w:rsid w:val="00203FA6"/>
    <w:rsid w:val="00204853"/>
    <w:rsid w:val="00205A7B"/>
    <w:rsid w:val="00207F82"/>
    <w:rsid w:val="002135AD"/>
    <w:rsid w:val="00215304"/>
    <w:rsid w:val="00215C9C"/>
    <w:rsid w:val="00216A68"/>
    <w:rsid w:val="00216F01"/>
    <w:rsid w:val="00222896"/>
    <w:rsid w:val="00230569"/>
    <w:rsid w:val="00234810"/>
    <w:rsid w:val="00236D8A"/>
    <w:rsid w:val="002408E8"/>
    <w:rsid w:val="00245B02"/>
    <w:rsid w:val="00246334"/>
    <w:rsid w:val="00246C41"/>
    <w:rsid w:val="002476B1"/>
    <w:rsid w:val="0024CB13"/>
    <w:rsid w:val="00251379"/>
    <w:rsid w:val="00251AE1"/>
    <w:rsid w:val="002536F4"/>
    <w:rsid w:val="00254E5E"/>
    <w:rsid w:val="00256A2B"/>
    <w:rsid w:val="002572DB"/>
    <w:rsid w:val="00265105"/>
    <w:rsid w:val="00266566"/>
    <w:rsid w:val="00274A95"/>
    <w:rsid w:val="00275F8A"/>
    <w:rsid w:val="0027653A"/>
    <w:rsid w:val="00280599"/>
    <w:rsid w:val="00283028"/>
    <w:rsid w:val="00283279"/>
    <w:rsid w:val="002832FF"/>
    <w:rsid w:val="00283940"/>
    <w:rsid w:val="0028459B"/>
    <w:rsid w:val="0029708E"/>
    <w:rsid w:val="00297D93"/>
    <w:rsid w:val="002A00F1"/>
    <w:rsid w:val="002A16BA"/>
    <w:rsid w:val="002A5713"/>
    <w:rsid w:val="002A795D"/>
    <w:rsid w:val="002A7B16"/>
    <w:rsid w:val="002B19A3"/>
    <w:rsid w:val="002B4014"/>
    <w:rsid w:val="002B4375"/>
    <w:rsid w:val="002B541E"/>
    <w:rsid w:val="002B69C5"/>
    <w:rsid w:val="002B7883"/>
    <w:rsid w:val="002C693D"/>
    <w:rsid w:val="002C796D"/>
    <w:rsid w:val="002D11F1"/>
    <w:rsid w:val="002D4FEF"/>
    <w:rsid w:val="002D7C69"/>
    <w:rsid w:val="002E12C2"/>
    <w:rsid w:val="002E3720"/>
    <w:rsid w:val="002E3F18"/>
    <w:rsid w:val="002F2419"/>
    <w:rsid w:val="002F26E2"/>
    <w:rsid w:val="002F3A8B"/>
    <w:rsid w:val="002F3C5E"/>
    <w:rsid w:val="002F4730"/>
    <w:rsid w:val="002F6589"/>
    <w:rsid w:val="002F7BC2"/>
    <w:rsid w:val="00302EE9"/>
    <w:rsid w:val="003074EC"/>
    <w:rsid w:val="0031786A"/>
    <w:rsid w:val="00322183"/>
    <w:rsid w:val="0033566E"/>
    <w:rsid w:val="0033567D"/>
    <w:rsid w:val="0033579E"/>
    <w:rsid w:val="003368B1"/>
    <w:rsid w:val="003369C7"/>
    <w:rsid w:val="0034280C"/>
    <w:rsid w:val="00342A9A"/>
    <w:rsid w:val="00343948"/>
    <w:rsid w:val="00343FD3"/>
    <w:rsid w:val="0035207C"/>
    <w:rsid w:val="00356C5A"/>
    <w:rsid w:val="003579BD"/>
    <w:rsid w:val="00360332"/>
    <w:rsid w:val="003621CA"/>
    <w:rsid w:val="00362767"/>
    <w:rsid w:val="003640BF"/>
    <w:rsid w:val="00370EC3"/>
    <w:rsid w:val="003736DC"/>
    <w:rsid w:val="00373ED7"/>
    <w:rsid w:val="00376A1E"/>
    <w:rsid w:val="0038167A"/>
    <w:rsid w:val="0038204A"/>
    <w:rsid w:val="00383F3F"/>
    <w:rsid w:val="0039319A"/>
    <w:rsid w:val="00394298"/>
    <w:rsid w:val="0039739A"/>
    <w:rsid w:val="003A02A0"/>
    <w:rsid w:val="003A6E86"/>
    <w:rsid w:val="003B051C"/>
    <w:rsid w:val="003B36D0"/>
    <w:rsid w:val="003B44AE"/>
    <w:rsid w:val="003B7346"/>
    <w:rsid w:val="003C19AC"/>
    <w:rsid w:val="003C27DD"/>
    <w:rsid w:val="003C307D"/>
    <w:rsid w:val="003C35D2"/>
    <w:rsid w:val="003C5942"/>
    <w:rsid w:val="003C5C4B"/>
    <w:rsid w:val="003C7C0B"/>
    <w:rsid w:val="003D1CD0"/>
    <w:rsid w:val="003D2CA2"/>
    <w:rsid w:val="003D4B17"/>
    <w:rsid w:val="003D5067"/>
    <w:rsid w:val="003D5287"/>
    <w:rsid w:val="003D5571"/>
    <w:rsid w:val="003D7847"/>
    <w:rsid w:val="003E0825"/>
    <w:rsid w:val="003E11AC"/>
    <w:rsid w:val="003E72BB"/>
    <w:rsid w:val="003F3795"/>
    <w:rsid w:val="003F40E1"/>
    <w:rsid w:val="003F472F"/>
    <w:rsid w:val="003F6EDA"/>
    <w:rsid w:val="00400E51"/>
    <w:rsid w:val="00405740"/>
    <w:rsid w:val="004076B9"/>
    <w:rsid w:val="00410C9C"/>
    <w:rsid w:val="004111E5"/>
    <w:rsid w:val="00412504"/>
    <w:rsid w:val="00412865"/>
    <w:rsid w:val="004129E9"/>
    <w:rsid w:val="00416826"/>
    <w:rsid w:val="0042247B"/>
    <w:rsid w:val="00423EC2"/>
    <w:rsid w:val="00425EB8"/>
    <w:rsid w:val="004318A9"/>
    <w:rsid w:val="00435391"/>
    <w:rsid w:val="004367E9"/>
    <w:rsid w:val="00442F7C"/>
    <w:rsid w:val="00442FE2"/>
    <w:rsid w:val="004431A1"/>
    <w:rsid w:val="004434BD"/>
    <w:rsid w:val="0044507B"/>
    <w:rsid w:val="004464E6"/>
    <w:rsid w:val="00461AD1"/>
    <w:rsid w:val="004633DE"/>
    <w:rsid w:val="0046454A"/>
    <w:rsid w:val="00465355"/>
    <w:rsid w:val="00465DC2"/>
    <w:rsid w:val="00465F17"/>
    <w:rsid w:val="00466065"/>
    <w:rsid w:val="00470662"/>
    <w:rsid w:val="00470BE1"/>
    <w:rsid w:val="0047274D"/>
    <w:rsid w:val="004727EF"/>
    <w:rsid w:val="00473C75"/>
    <w:rsid w:val="004746AB"/>
    <w:rsid w:val="00477777"/>
    <w:rsid w:val="00477BFD"/>
    <w:rsid w:val="00482AC8"/>
    <w:rsid w:val="004852FE"/>
    <w:rsid w:val="00490FD7"/>
    <w:rsid w:val="004910B8"/>
    <w:rsid w:val="0049191A"/>
    <w:rsid w:val="00494258"/>
    <w:rsid w:val="00496B53"/>
    <w:rsid w:val="00496FE9"/>
    <w:rsid w:val="004A0CE9"/>
    <w:rsid w:val="004A24C9"/>
    <w:rsid w:val="004A4B5E"/>
    <w:rsid w:val="004A624B"/>
    <w:rsid w:val="004A6904"/>
    <w:rsid w:val="004A6D4E"/>
    <w:rsid w:val="004B253F"/>
    <w:rsid w:val="004B49A9"/>
    <w:rsid w:val="004B76E7"/>
    <w:rsid w:val="004C2353"/>
    <w:rsid w:val="004C2462"/>
    <w:rsid w:val="004C4406"/>
    <w:rsid w:val="004C673C"/>
    <w:rsid w:val="004D02ED"/>
    <w:rsid w:val="004D4957"/>
    <w:rsid w:val="004D4D7E"/>
    <w:rsid w:val="004D507E"/>
    <w:rsid w:val="004D525E"/>
    <w:rsid w:val="004D538E"/>
    <w:rsid w:val="004D7708"/>
    <w:rsid w:val="004E06DB"/>
    <w:rsid w:val="004E2BBF"/>
    <w:rsid w:val="004E3ACC"/>
    <w:rsid w:val="004E4BF5"/>
    <w:rsid w:val="004E5EAB"/>
    <w:rsid w:val="004E65C0"/>
    <w:rsid w:val="004F2886"/>
    <w:rsid w:val="004F35C1"/>
    <w:rsid w:val="00500A26"/>
    <w:rsid w:val="005010DC"/>
    <w:rsid w:val="005012B5"/>
    <w:rsid w:val="005050E7"/>
    <w:rsid w:val="0050597F"/>
    <w:rsid w:val="0050714B"/>
    <w:rsid w:val="00507B00"/>
    <w:rsid w:val="00507F77"/>
    <w:rsid w:val="00510C13"/>
    <w:rsid w:val="00511102"/>
    <w:rsid w:val="00512120"/>
    <w:rsid w:val="0051674E"/>
    <w:rsid w:val="00517BD4"/>
    <w:rsid w:val="005219CA"/>
    <w:rsid w:val="00525459"/>
    <w:rsid w:val="00525C19"/>
    <w:rsid w:val="0052675A"/>
    <w:rsid w:val="005348F1"/>
    <w:rsid w:val="00535900"/>
    <w:rsid w:val="00537CE3"/>
    <w:rsid w:val="005427C8"/>
    <w:rsid w:val="00543FD8"/>
    <w:rsid w:val="0054470B"/>
    <w:rsid w:val="00544DDD"/>
    <w:rsid w:val="00544E41"/>
    <w:rsid w:val="00547B92"/>
    <w:rsid w:val="0055152C"/>
    <w:rsid w:val="00553B26"/>
    <w:rsid w:val="00556024"/>
    <w:rsid w:val="00556C17"/>
    <w:rsid w:val="0055704F"/>
    <w:rsid w:val="0056089E"/>
    <w:rsid w:val="00564FA3"/>
    <w:rsid w:val="0056520D"/>
    <w:rsid w:val="00566212"/>
    <w:rsid w:val="0056649C"/>
    <w:rsid w:val="00570842"/>
    <w:rsid w:val="005741FD"/>
    <w:rsid w:val="0057438B"/>
    <w:rsid w:val="005756C0"/>
    <w:rsid w:val="00575906"/>
    <w:rsid w:val="00576152"/>
    <w:rsid w:val="00581C32"/>
    <w:rsid w:val="0058217D"/>
    <w:rsid w:val="00583B98"/>
    <w:rsid w:val="00586475"/>
    <w:rsid w:val="005928E1"/>
    <w:rsid w:val="00592C23"/>
    <w:rsid w:val="005959E2"/>
    <w:rsid w:val="005969B0"/>
    <w:rsid w:val="005972DC"/>
    <w:rsid w:val="005B4354"/>
    <w:rsid w:val="005B4E1E"/>
    <w:rsid w:val="005B5226"/>
    <w:rsid w:val="005B74C8"/>
    <w:rsid w:val="005C0692"/>
    <w:rsid w:val="005C21CF"/>
    <w:rsid w:val="005C5FB9"/>
    <w:rsid w:val="005D28AB"/>
    <w:rsid w:val="005D2ABA"/>
    <w:rsid w:val="005D3C00"/>
    <w:rsid w:val="005D59C7"/>
    <w:rsid w:val="005E1BB6"/>
    <w:rsid w:val="005E2CCB"/>
    <w:rsid w:val="005E5661"/>
    <w:rsid w:val="005E7C32"/>
    <w:rsid w:val="005E7C7B"/>
    <w:rsid w:val="005F4DB9"/>
    <w:rsid w:val="005F65D2"/>
    <w:rsid w:val="0060161B"/>
    <w:rsid w:val="0060391B"/>
    <w:rsid w:val="00604608"/>
    <w:rsid w:val="0060478C"/>
    <w:rsid w:val="00604845"/>
    <w:rsid w:val="00607CE1"/>
    <w:rsid w:val="00610871"/>
    <w:rsid w:val="0061363E"/>
    <w:rsid w:val="00613744"/>
    <w:rsid w:val="006236DE"/>
    <w:rsid w:val="00623CD7"/>
    <w:rsid w:val="00623CFA"/>
    <w:rsid w:val="0062549D"/>
    <w:rsid w:val="00625E8C"/>
    <w:rsid w:val="0062712C"/>
    <w:rsid w:val="00631709"/>
    <w:rsid w:val="006321A7"/>
    <w:rsid w:val="0063366F"/>
    <w:rsid w:val="00636AD6"/>
    <w:rsid w:val="00637256"/>
    <w:rsid w:val="006375D5"/>
    <w:rsid w:val="00642C66"/>
    <w:rsid w:val="00646284"/>
    <w:rsid w:val="00646B90"/>
    <w:rsid w:val="00647BF2"/>
    <w:rsid w:val="006515E9"/>
    <w:rsid w:val="006548B0"/>
    <w:rsid w:val="00657F6D"/>
    <w:rsid w:val="006617E0"/>
    <w:rsid w:val="00662334"/>
    <w:rsid w:val="00662394"/>
    <w:rsid w:val="0067035F"/>
    <w:rsid w:val="00672D81"/>
    <w:rsid w:val="006747C6"/>
    <w:rsid w:val="00677115"/>
    <w:rsid w:val="00680928"/>
    <w:rsid w:val="00684ACB"/>
    <w:rsid w:val="00687D12"/>
    <w:rsid w:val="00693F1A"/>
    <w:rsid w:val="0069472C"/>
    <w:rsid w:val="00695DF0"/>
    <w:rsid w:val="006979D8"/>
    <w:rsid w:val="006A4980"/>
    <w:rsid w:val="006A77D9"/>
    <w:rsid w:val="006A7F83"/>
    <w:rsid w:val="006B0623"/>
    <w:rsid w:val="006B36C2"/>
    <w:rsid w:val="006B7FD7"/>
    <w:rsid w:val="006C3AB4"/>
    <w:rsid w:val="006C3D74"/>
    <w:rsid w:val="006C483B"/>
    <w:rsid w:val="006C53A3"/>
    <w:rsid w:val="006C7425"/>
    <w:rsid w:val="006D1925"/>
    <w:rsid w:val="006D1C1C"/>
    <w:rsid w:val="006E10D3"/>
    <w:rsid w:val="006E183E"/>
    <w:rsid w:val="006E5082"/>
    <w:rsid w:val="006E68CA"/>
    <w:rsid w:val="006F1BC1"/>
    <w:rsid w:val="006F1CCD"/>
    <w:rsid w:val="006F2585"/>
    <w:rsid w:val="006F5867"/>
    <w:rsid w:val="006F74D6"/>
    <w:rsid w:val="00701A41"/>
    <w:rsid w:val="00701C8C"/>
    <w:rsid w:val="007032BD"/>
    <w:rsid w:val="00707104"/>
    <w:rsid w:val="0070736D"/>
    <w:rsid w:val="007078BA"/>
    <w:rsid w:val="00715A82"/>
    <w:rsid w:val="0071619A"/>
    <w:rsid w:val="007203F8"/>
    <w:rsid w:val="0072229A"/>
    <w:rsid w:val="00725AB7"/>
    <w:rsid w:val="00725FCC"/>
    <w:rsid w:val="007317AB"/>
    <w:rsid w:val="00732C0F"/>
    <w:rsid w:val="00733004"/>
    <w:rsid w:val="00733050"/>
    <w:rsid w:val="00734D47"/>
    <w:rsid w:val="00735CA2"/>
    <w:rsid w:val="007417E2"/>
    <w:rsid w:val="00742F0A"/>
    <w:rsid w:val="007436CE"/>
    <w:rsid w:val="00745CB6"/>
    <w:rsid w:val="00747A00"/>
    <w:rsid w:val="00751257"/>
    <w:rsid w:val="00753B95"/>
    <w:rsid w:val="00756855"/>
    <w:rsid w:val="00761D30"/>
    <w:rsid w:val="00762BC0"/>
    <w:rsid w:val="00762E73"/>
    <w:rsid w:val="00763468"/>
    <w:rsid w:val="00767FC5"/>
    <w:rsid w:val="0077018A"/>
    <w:rsid w:val="00772FA2"/>
    <w:rsid w:val="00774401"/>
    <w:rsid w:val="0077645B"/>
    <w:rsid w:val="00777C70"/>
    <w:rsid w:val="00780477"/>
    <w:rsid w:val="00782462"/>
    <w:rsid w:val="0078254F"/>
    <w:rsid w:val="0078285B"/>
    <w:rsid w:val="00791197"/>
    <w:rsid w:val="0079298A"/>
    <w:rsid w:val="0079392A"/>
    <w:rsid w:val="00795837"/>
    <w:rsid w:val="007962DF"/>
    <w:rsid w:val="00796E62"/>
    <w:rsid w:val="00797ED8"/>
    <w:rsid w:val="007A11BB"/>
    <w:rsid w:val="007B0D24"/>
    <w:rsid w:val="007B15B8"/>
    <w:rsid w:val="007B2355"/>
    <w:rsid w:val="007B28C4"/>
    <w:rsid w:val="007B5D9F"/>
    <w:rsid w:val="007B6062"/>
    <w:rsid w:val="007B6FEF"/>
    <w:rsid w:val="007C1BD1"/>
    <w:rsid w:val="007C1DCE"/>
    <w:rsid w:val="007C266D"/>
    <w:rsid w:val="007C27C4"/>
    <w:rsid w:val="007C6094"/>
    <w:rsid w:val="007C7061"/>
    <w:rsid w:val="007D0264"/>
    <w:rsid w:val="007D034D"/>
    <w:rsid w:val="007D035A"/>
    <w:rsid w:val="007D41B6"/>
    <w:rsid w:val="007D4346"/>
    <w:rsid w:val="007D4CBA"/>
    <w:rsid w:val="007D5F70"/>
    <w:rsid w:val="007E0526"/>
    <w:rsid w:val="007E0E55"/>
    <w:rsid w:val="007E2F6C"/>
    <w:rsid w:val="007E49DD"/>
    <w:rsid w:val="007E5018"/>
    <w:rsid w:val="007E5941"/>
    <w:rsid w:val="007F0941"/>
    <w:rsid w:val="007F1841"/>
    <w:rsid w:val="007F4FAE"/>
    <w:rsid w:val="0080083B"/>
    <w:rsid w:val="008012DE"/>
    <w:rsid w:val="008016DF"/>
    <w:rsid w:val="00803B7B"/>
    <w:rsid w:val="00805DB9"/>
    <w:rsid w:val="00810C5C"/>
    <w:rsid w:val="00813CB6"/>
    <w:rsid w:val="00815849"/>
    <w:rsid w:val="00816747"/>
    <w:rsid w:val="0081909E"/>
    <w:rsid w:val="00820D04"/>
    <w:rsid w:val="0082158D"/>
    <w:rsid w:val="008222A4"/>
    <w:rsid w:val="008226F0"/>
    <w:rsid w:val="00823BCE"/>
    <w:rsid w:val="008247E1"/>
    <w:rsid w:val="008259D4"/>
    <w:rsid w:val="008272FA"/>
    <w:rsid w:val="00830AC9"/>
    <w:rsid w:val="00831AFB"/>
    <w:rsid w:val="008324C3"/>
    <w:rsid w:val="0083279E"/>
    <w:rsid w:val="008376E9"/>
    <w:rsid w:val="008404E8"/>
    <w:rsid w:val="00841023"/>
    <w:rsid w:val="0084621B"/>
    <w:rsid w:val="00853999"/>
    <w:rsid w:val="00855670"/>
    <w:rsid w:val="00861425"/>
    <w:rsid w:val="0086180F"/>
    <w:rsid w:val="00862424"/>
    <w:rsid w:val="008671F5"/>
    <w:rsid w:val="00873731"/>
    <w:rsid w:val="008743F1"/>
    <w:rsid w:val="00875C77"/>
    <w:rsid w:val="00877442"/>
    <w:rsid w:val="00880115"/>
    <w:rsid w:val="0088011C"/>
    <w:rsid w:val="00880A55"/>
    <w:rsid w:val="00884DF2"/>
    <w:rsid w:val="008861AC"/>
    <w:rsid w:val="0088621B"/>
    <w:rsid w:val="0089102A"/>
    <w:rsid w:val="008916A8"/>
    <w:rsid w:val="00895141"/>
    <w:rsid w:val="00895188"/>
    <w:rsid w:val="008A0520"/>
    <w:rsid w:val="008A0962"/>
    <w:rsid w:val="008A20C8"/>
    <w:rsid w:val="008A39FD"/>
    <w:rsid w:val="008A4F1A"/>
    <w:rsid w:val="008A6427"/>
    <w:rsid w:val="008B1328"/>
    <w:rsid w:val="008B2C9B"/>
    <w:rsid w:val="008B3E94"/>
    <w:rsid w:val="008B4886"/>
    <w:rsid w:val="008B52CF"/>
    <w:rsid w:val="008B7F6F"/>
    <w:rsid w:val="008C08D9"/>
    <w:rsid w:val="008C11B0"/>
    <w:rsid w:val="008C2455"/>
    <w:rsid w:val="008C4B42"/>
    <w:rsid w:val="008C6764"/>
    <w:rsid w:val="008D3FD6"/>
    <w:rsid w:val="008D5A44"/>
    <w:rsid w:val="008D5D4D"/>
    <w:rsid w:val="008D78DA"/>
    <w:rsid w:val="008E3A71"/>
    <w:rsid w:val="008E5CB0"/>
    <w:rsid w:val="008E693E"/>
    <w:rsid w:val="008F1ABD"/>
    <w:rsid w:val="008F2B01"/>
    <w:rsid w:val="00901D24"/>
    <w:rsid w:val="009045B7"/>
    <w:rsid w:val="00911942"/>
    <w:rsid w:val="00915925"/>
    <w:rsid w:val="009174E6"/>
    <w:rsid w:val="00921905"/>
    <w:rsid w:val="00921D3E"/>
    <w:rsid w:val="009230DE"/>
    <w:rsid w:val="00924B29"/>
    <w:rsid w:val="00925A02"/>
    <w:rsid w:val="009264FC"/>
    <w:rsid w:val="00927D53"/>
    <w:rsid w:val="009332B0"/>
    <w:rsid w:val="009334C3"/>
    <w:rsid w:val="00935045"/>
    <w:rsid w:val="0093508F"/>
    <w:rsid w:val="009365ED"/>
    <w:rsid w:val="00940786"/>
    <w:rsid w:val="009411F3"/>
    <w:rsid w:val="009502A1"/>
    <w:rsid w:val="0095452E"/>
    <w:rsid w:val="009551A2"/>
    <w:rsid w:val="00957D36"/>
    <w:rsid w:val="009620A4"/>
    <w:rsid w:val="009652A0"/>
    <w:rsid w:val="00970F94"/>
    <w:rsid w:val="00976415"/>
    <w:rsid w:val="009804D2"/>
    <w:rsid w:val="00980C6F"/>
    <w:rsid w:val="00982B9F"/>
    <w:rsid w:val="009860D7"/>
    <w:rsid w:val="00991088"/>
    <w:rsid w:val="00994CBE"/>
    <w:rsid w:val="00995F67"/>
    <w:rsid w:val="009A0B64"/>
    <w:rsid w:val="009A0DB0"/>
    <w:rsid w:val="009A0FFB"/>
    <w:rsid w:val="009A20A2"/>
    <w:rsid w:val="009B51AA"/>
    <w:rsid w:val="009B586F"/>
    <w:rsid w:val="009B6212"/>
    <w:rsid w:val="009C1B1A"/>
    <w:rsid w:val="009C31D9"/>
    <w:rsid w:val="009C32AB"/>
    <w:rsid w:val="009D159A"/>
    <w:rsid w:val="009D2434"/>
    <w:rsid w:val="009D2ADF"/>
    <w:rsid w:val="009D5C27"/>
    <w:rsid w:val="009D63AA"/>
    <w:rsid w:val="009E1DB6"/>
    <w:rsid w:val="009E1E8C"/>
    <w:rsid w:val="009E1FC6"/>
    <w:rsid w:val="009E2936"/>
    <w:rsid w:val="009E2F22"/>
    <w:rsid w:val="009E4DEB"/>
    <w:rsid w:val="009E5E52"/>
    <w:rsid w:val="009E601F"/>
    <w:rsid w:val="009E75C2"/>
    <w:rsid w:val="009F2291"/>
    <w:rsid w:val="009F405F"/>
    <w:rsid w:val="00A02DE5"/>
    <w:rsid w:val="00A06ACC"/>
    <w:rsid w:val="00A06FC9"/>
    <w:rsid w:val="00A07E5E"/>
    <w:rsid w:val="00A116DD"/>
    <w:rsid w:val="00A13991"/>
    <w:rsid w:val="00A1501E"/>
    <w:rsid w:val="00A17B90"/>
    <w:rsid w:val="00A264F4"/>
    <w:rsid w:val="00A308AE"/>
    <w:rsid w:val="00A316EA"/>
    <w:rsid w:val="00A33F34"/>
    <w:rsid w:val="00A348A2"/>
    <w:rsid w:val="00A35A48"/>
    <w:rsid w:val="00A409F8"/>
    <w:rsid w:val="00A410D5"/>
    <w:rsid w:val="00A41CB7"/>
    <w:rsid w:val="00A42BD7"/>
    <w:rsid w:val="00A43B33"/>
    <w:rsid w:val="00A46E40"/>
    <w:rsid w:val="00A50D2D"/>
    <w:rsid w:val="00A54B5D"/>
    <w:rsid w:val="00A55608"/>
    <w:rsid w:val="00A60D0A"/>
    <w:rsid w:val="00A62A58"/>
    <w:rsid w:val="00A64585"/>
    <w:rsid w:val="00A64C82"/>
    <w:rsid w:val="00A65815"/>
    <w:rsid w:val="00A705E4"/>
    <w:rsid w:val="00A77CBF"/>
    <w:rsid w:val="00A82681"/>
    <w:rsid w:val="00A82CF7"/>
    <w:rsid w:val="00A90882"/>
    <w:rsid w:val="00A92250"/>
    <w:rsid w:val="00A93EB0"/>
    <w:rsid w:val="00AA6955"/>
    <w:rsid w:val="00AB01BF"/>
    <w:rsid w:val="00AB3C2B"/>
    <w:rsid w:val="00AC0F92"/>
    <w:rsid w:val="00AC57EE"/>
    <w:rsid w:val="00AC7308"/>
    <w:rsid w:val="00AD287E"/>
    <w:rsid w:val="00AD6C0D"/>
    <w:rsid w:val="00AE0DB3"/>
    <w:rsid w:val="00AE0FAB"/>
    <w:rsid w:val="00AE1620"/>
    <w:rsid w:val="00AE3B82"/>
    <w:rsid w:val="00AE69E9"/>
    <w:rsid w:val="00AF160F"/>
    <w:rsid w:val="00AF3CDB"/>
    <w:rsid w:val="00AF4443"/>
    <w:rsid w:val="00AF4B00"/>
    <w:rsid w:val="00AF6CB7"/>
    <w:rsid w:val="00B01AB0"/>
    <w:rsid w:val="00B02A17"/>
    <w:rsid w:val="00B04FFE"/>
    <w:rsid w:val="00B12286"/>
    <w:rsid w:val="00B12E7A"/>
    <w:rsid w:val="00B12EB1"/>
    <w:rsid w:val="00B141C2"/>
    <w:rsid w:val="00B141C7"/>
    <w:rsid w:val="00B15A2D"/>
    <w:rsid w:val="00B165F0"/>
    <w:rsid w:val="00B21195"/>
    <w:rsid w:val="00B32DB3"/>
    <w:rsid w:val="00B3531C"/>
    <w:rsid w:val="00B3697B"/>
    <w:rsid w:val="00B41E4D"/>
    <w:rsid w:val="00B437AE"/>
    <w:rsid w:val="00B44001"/>
    <w:rsid w:val="00B46C45"/>
    <w:rsid w:val="00B47197"/>
    <w:rsid w:val="00B47949"/>
    <w:rsid w:val="00B53B66"/>
    <w:rsid w:val="00B54E2B"/>
    <w:rsid w:val="00B56C8A"/>
    <w:rsid w:val="00B609B0"/>
    <w:rsid w:val="00B613E5"/>
    <w:rsid w:val="00B61D69"/>
    <w:rsid w:val="00B62354"/>
    <w:rsid w:val="00B62BC5"/>
    <w:rsid w:val="00B63490"/>
    <w:rsid w:val="00B64817"/>
    <w:rsid w:val="00B65C41"/>
    <w:rsid w:val="00B70673"/>
    <w:rsid w:val="00B70923"/>
    <w:rsid w:val="00B72B4C"/>
    <w:rsid w:val="00B74389"/>
    <w:rsid w:val="00B74C19"/>
    <w:rsid w:val="00B75088"/>
    <w:rsid w:val="00B751AC"/>
    <w:rsid w:val="00B77535"/>
    <w:rsid w:val="00B77EB3"/>
    <w:rsid w:val="00B81834"/>
    <w:rsid w:val="00B81C74"/>
    <w:rsid w:val="00B86434"/>
    <w:rsid w:val="00B86917"/>
    <w:rsid w:val="00B86BCF"/>
    <w:rsid w:val="00B877CD"/>
    <w:rsid w:val="00B930DD"/>
    <w:rsid w:val="00B93800"/>
    <w:rsid w:val="00B93827"/>
    <w:rsid w:val="00B97125"/>
    <w:rsid w:val="00B97A59"/>
    <w:rsid w:val="00BA1665"/>
    <w:rsid w:val="00BA4240"/>
    <w:rsid w:val="00BA642F"/>
    <w:rsid w:val="00BB088F"/>
    <w:rsid w:val="00BB1E8E"/>
    <w:rsid w:val="00BB295A"/>
    <w:rsid w:val="00BB45FE"/>
    <w:rsid w:val="00BC2D6D"/>
    <w:rsid w:val="00BC3850"/>
    <w:rsid w:val="00BC5784"/>
    <w:rsid w:val="00BC82F3"/>
    <w:rsid w:val="00BD036A"/>
    <w:rsid w:val="00BD509D"/>
    <w:rsid w:val="00BD6FE0"/>
    <w:rsid w:val="00BE4466"/>
    <w:rsid w:val="00BE63DC"/>
    <w:rsid w:val="00BE66B4"/>
    <w:rsid w:val="00BE7FA4"/>
    <w:rsid w:val="00BF0387"/>
    <w:rsid w:val="00BF2D60"/>
    <w:rsid w:val="00BF3043"/>
    <w:rsid w:val="00BF3352"/>
    <w:rsid w:val="00BF3FF0"/>
    <w:rsid w:val="00BF7635"/>
    <w:rsid w:val="00BF7E8E"/>
    <w:rsid w:val="00C00EB4"/>
    <w:rsid w:val="00C01218"/>
    <w:rsid w:val="00C03CD6"/>
    <w:rsid w:val="00C10EC2"/>
    <w:rsid w:val="00C13DB8"/>
    <w:rsid w:val="00C15605"/>
    <w:rsid w:val="00C17106"/>
    <w:rsid w:val="00C203EC"/>
    <w:rsid w:val="00C26096"/>
    <w:rsid w:val="00C27B89"/>
    <w:rsid w:val="00C27E05"/>
    <w:rsid w:val="00C3038F"/>
    <w:rsid w:val="00C33665"/>
    <w:rsid w:val="00C33A99"/>
    <w:rsid w:val="00C36C3C"/>
    <w:rsid w:val="00C37E5D"/>
    <w:rsid w:val="00C4090E"/>
    <w:rsid w:val="00C40E94"/>
    <w:rsid w:val="00C4412E"/>
    <w:rsid w:val="00C46521"/>
    <w:rsid w:val="00C46A0C"/>
    <w:rsid w:val="00C46C71"/>
    <w:rsid w:val="00C46E36"/>
    <w:rsid w:val="00C5069B"/>
    <w:rsid w:val="00C512E3"/>
    <w:rsid w:val="00C536CC"/>
    <w:rsid w:val="00C53824"/>
    <w:rsid w:val="00C53C7D"/>
    <w:rsid w:val="00C612F4"/>
    <w:rsid w:val="00C61B83"/>
    <w:rsid w:val="00C6356F"/>
    <w:rsid w:val="00C6FF7F"/>
    <w:rsid w:val="00C80081"/>
    <w:rsid w:val="00C926DB"/>
    <w:rsid w:val="00C92C84"/>
    <w:rsid w:val="00C93246"/>
    <w:rsid w:val="00C94507"/>
    <w:rsid w:val="00C97AF8"/>
    <w:rsid w:val="00CA00F9"/>
    <w:rsid w:val="00CA0DA1"/>
    <w:rsid w:val="00CA4645"/>
    <w:rsid w:val="00CA46A8"/>
    <w:rsid w:val="00CA56A1"/>
    <w:rsid w:val="00CA5824"/>
    <w:rsid w:val="00CA5AB5"/>
    <w:rsid w:val="00CB1F51"/>
    <w:rsid w:val="00CB562A"/>
    <w:rsid w:val="00CC1F43"/>
    <w:rsid w:val="00CC24C3"/>
    <w:rsid w:val="00CC42E8"/>
    <w:rsid w:val="00CC4A32"/>
    <w:rsid w:val="00CD110A"/>
    <w:rsid w:val="00CD3C8D"/>
    <w:rsid w:val="00CD44D0"/>
    <w:rsid w:val="00CD4EA0"/>
    <w:rsid w:val="00CD77DF"/>
    <w:rsid w:val="00CD7C9F"/>
    <w:rsid w:val="00CE25E2"/>
    <w:rsid w:val="00CE5251"/>
    <w:rsid w:val="00CE56CB"/>
    <w:rsid w:val="00CE6022"/>
    <w:rsid w:val="00CE6B49"/>
    <w:rsid w:val="00CE7C8A"/>
    <w:rsid w:val="00CF3328"/>
    <w:rsid w:val="00CF3818"/>
    <w:rsid w:val="00CF4E65"/>
    <w:rsid w:val="00CF4F1B"/>
    <w:rsid w:val="00CF54DB"/>
    <w:rsid w:val="00D02A2A"/>
    <w:rsid w:val="00D03594"/>
    <w:rsid w:val="00D04DDE"/>
    <w:rsid w:val="00D061AA"/>
    <w:rsid w:val="00D126BB"/>
    <w:rsid w:val="00D16E2D"/>
    <w:rsid w:val="00D31566"/>
    <w:rsid w:val="00D411C2"/>
    <w:rsid w:val="00D420CE"/>
    <w:rsid w:val="00D4296A"/>
    <w:rsid w:val="00D43316"/>
    <w:rsid w:val="00D43D44"/>
    <w:rsid w:val="00D44065"/>
    <w:rsid w:val="00D44E16"/>
    <w:rsid w:val="00D45442"/>
    <w:rsid w:val="00D45AB0"/>
    <w:rsid w:val="00D45CE6"/>
    <w:rsid w:val="00D47BAD"/>
    <w:rsid w:val="00D50A5B"/>
    <w:rsid w:val="00D57069"/>
    <w:rsid w:val="00D61248"/>
    <w:rsid w:val="00D62BE1"/>
    <w:rsid w:val="00D6512F"/>
    <w:rsid w:val="00D65C44"/>
    <w:rsid w:val="00D67A37"/>
    <w:rsid w:val="00D7021F"/>
    <w:rsid w:val="00D7068F"/>
    <w:rsid w:val="00D7095F"/>
    <w:rsid w:val="00D72124"/>
    <w:rsid w:val="00D81129"/>
    <w:rsid w:val="00D81582"/>
    <w:rsid w:val="00D8259D"/>
    <w:rsid w:val="00D82D1F"/>
    <w:rsid w:val="00D83009"/>
    <w:rsid w:val="00D8718D"/>
    <w:rsid w:val="00D926C0"/>
    <w:rsid w:val="00D95627"/>
    <w:rsid w:val="00D95AC5"/>
    <w:rsid w:val="00DA0D9D"/>
    <w:rsid w:val="00DA1A30"/>
    <w:rsid w:val="00DA4751"/>
    <w:rsid w:val="00DA6367"/>
    <w:rsid w:val="00DA691D"/>
    <w:rsid w:val="00DA6D50"/>
    <w:rsid w:val="00DB209F"/>
    <w:rsid w:val="00DB3CE1"/>
    <w:rsid w:val="00DC451B"/>
    <w:rsid w:val="00DC6161"/>
    <w:rsid w:val="00DC70A2"/>
    <w:rsid w:val="00DC7DB9"/>
    <w:rsid w:val="00DD10D4"/>
    <w:rsid w:val="00DD189A"/>
    <w:rsid w:val="00DD1902"/>
    <w:rsid w:val="00DD461C"/>
    <w:rsid w:val="00DD57F1"/>
    <w:rsid w:val="00DD6BA5"/>
    <w:rsid w:val="00DE12D5"/>
    <w:rsid w:val="00DE15AB"/>
    <w:rsid w:val="00DE1974"/>
    <w:rsid w:val="00DE1D56"/>
    <w:rsid w:val="00DE2089"/>
    <w:rsid w:val="00DE447F"/>
    <w:rsid w:val="00DE57C5"/>
    <w:rsid w:val="00DE5A42"/>
    <w:rsid w:val="00DE7B95"/>
    <w:rsid w:val="00DF1923"/>
    <w:rsid w:val="00DF1CFB"/>
    <w:rsid w:val="00DF56B7"/>
    <w:rsid w:val="00DF5B9C"/>
    <w:rsid w:val="00E01F69"/>
    <w:rsid w:val="00E021AF"/>
    <w:rsid w:val="00E025BF"/>
    <w:rsid w:val="00E028C3"/>
    <w:rsid w:val="00E0475F"/>
    <w:rsid w:val="00E0734A"/>
    <w:rsid w:val="00E123F7"/>
    <w:rsid w:val="00E130AB"/>
    <w:rsid w:val="00E15104"/>
    <w:rsid w:val="00E16090"/>
    <w:rsid w:val="00E17138"/>
    <w:rsid w:val="00E2189D"/>
    <w:rsid w:val="00E23914"/>
    <w:rsid w:val="00E32C39"/>
    <w:rsid w:val="00E3309A"/>
    <w:rsid w:val="00E33C45"/>
    <w:rsid w:val="00E33E01"/>
    <w:rsid w:val="00E35B3B"/>
    <w:rsid w:val="00E37444"/>
    <w:rsid w:val="00E375E5"/>
    <w:rsid w:val="00E37909"/>
    <w:rsid w:val="00E4374D"/>
    <w:rsid w:val="00E47F93"/>
    <w:rsid w:val="00E50EA6"/>
    <w:rsid w:val="00E522D3"/>
    <w:rsid w:val="00E5268C"/>
    <w:rsid w:val="00E52B11"/>
    <w:rsid w:val="00E53712"/>
    <w:rsid w:val="00E53EF4"/>
    <w:rsid w:val="00E55EE8"/>
    <w:rsid w:val="00E56272"/>
    <w:rsid w:val="00E56E79"/>
    <w:rsid w:val="00E57064"/>
    <w:rsid w:val="00E575D0"/>
    <w:rsid w:val="00E61953"/>
    <w:rsid w:val="00E62CD6"/>
    <w:rsid w:val="00E6683B"/>
    <w:rsid w:val="00E66C3A"/>
    <w:rsid w:val="00E6723D"/>
    <w:rsid w:val="00E716BE"/>
    <w:rsid w:val="00E72FF0"/>
    <w:rsid w:val="00E755DD"/>
    <w:rsid w:val="00E75A1A"/>
    <w:rsid w:val="00E7608F"/>
    <w:rsid w:val="00E76A8C"/>
    <w:rsid w:val="00E771DA"/>
    <w:rsid w:val="00E87D28"/>
    <w:rsid w:val="00E90CCF"/>
    <w:rsid w:val="00E90DB6"/>
    <w:rsid w:val="00E93649"/>
    <w:rsid w:val="00E954F9"/>
    <w:rsid w:val="00E9606A"/>
    <w:rsid w:val="00EA00C1"/>
    <w:rsid w:val="00EA34ED"/>
    <w:rsid w:val="00EB324D"/>
    <w:rsid w:val="00EB3A91"/>
    <w:rsid w:val="00EB4E8E"/>
    <w:rsid w:val="00EC09A2"/>
    <w:rsid w:val="00EC0ABF"/>
    <w:rsid w:val="00EC7D7C"/>
    <w:rsid w:val="00ED011C"/>
    <w:rsid w:val="00ED0424"/>
    <w:rsid w:val="00ED1958"/>
    <w:rsid w:val="00ED2105"/>
    <w:rsid w:val="00ED539F"/>
    <w:rsid w:val="00ED61D5"/>
    <w:rsid w:val="00ED63D7"/>
    <w:rsid w:val="00ED6917"/>
    <w:rsid w:val="00EE009C"/>
    <w:rsid w:val="00EE17A1"/>
    <w:rsid w:val="00EE7B28"/>
    <w:rsid w:val="00EF6507"/>
    <w:rsid w:val="00F01A2C"/>
    <w:rsid w:val="00F063D6"/>
    <w:rsid w:val="00F07B29"/>
    <w:rsid w:val="00F07C49"/>
    <w:rsid w:val="00F10E39"/>
    <w:rsid w:val="00F10F56"/>
    <w:rsid w:val="00F13DE2"/>
    <w:rsid w:val="00F141FC"/>
    <w:rsid w:val="00F1460F"/>
    <w:rsid w:val="00F15D53"/>
    <w:rsid w:val="00F177EC"/>
    <w:rsid w:val="00F17D61"/>
    <w:rsid w:val="00F26EDC"/>
    <w:rsid w:val="00F33BF2"/>
    <w:rsid w:val="00F35328"/>
    <w:rsid w:val="00F4140E"/>
    <w:rsid w:val="00F41473"/>
    <w:rsid w:val="00F4296F"/>
    <w:rsid w:val="00F47AD2"/>
    <w:rsid w:val="00F56EE8"/>
    <w:rsid w:val="00F6111E"/>
    <w:rsid w:val="00F65763"/>
    <w:rsid w:val="00F65E32"/>
    <w:rsid w:val="00F74BA8"/>
    <w:rsid w:val="00F75550"/>
    <w:rsid w:val="00F75A8C"/>
    <w:rsid w:val="00F76340"/>
    <w:rsid w:val="00F76A0D"/>
    <w:rsid w:val="00F76E3F"/>
    <w:rsid w:val="00F8016E"/>
    <w:rsid w:val="00F84FA2"/>
    <w:rsid w:val="00F855E9"/>
    <w:rsid w:val="00F929A2"/>
    <w:rsid w:val="00FA166F"/>
    <w:rsid w:val="00FA3463"/>
    <w:rsid w:val="00FA721F"/>
    <w:rsid w:val="00FB1B18"/>
    <w:rsid w:val="00FB4434"/>
    <w:rsid w:val="00FC02C6"/>
    <w:rsid w:val="00FC204E"/>
    <w:rsid w:val="00FC2103"/>
    <w:rsid w:val="00FC29CF"/>
    <w:rsid w:val="00FC6A6C"/>
    <w:rsid w:val="00FC6D74"/>
    <w:rsid w:val="00FD160E"/>
    <w:rsid w:val="00FD2D3F"/>
    <w:rsid w:val="00FD5F7C"/>
    <w:rsid w:val="00FD7E0E"/>
    <w:rsid w:val="00FE159D"/>
    <w:rsid w:val="00FE53FC"/>
    <w:rsid w:val="00FE57AB"/>
    <w:rsid w:val="00FE6247"/>
    <w:rsid w:val="00FE62F6"/>
    <w:rsid w:val="00FF3B87"/>
    <w:rsid w:val="00FF5E45"/>
    <w:rsid w:val="00FF79EA"/>
    <w:rsid w:val="0128E8EA"/>
    <w:rsid w:val="01A56F87"/>
    <w:rsid w:val="01D36630"/>
    <w:rsid w:val="01FFA5CD"/>
    <w:rsid w:val="02263B09"/>
    <w:rsid w:val="02858895"/>
    <w:rsid w:val="02C25AB9"/>
    <w:rsid w:val="034346AF"/>
    <w:rsid w:val="03751D2E"/>
    <w:rsid w:val="03AE6866"/>
    <w:rsid w:val="03C592C8"/>
    <w:rsid w:val="04045D28"/>
    <w:rsid w:val="0407FD36"/>
    <w:rsid w:val="042E7080"/>
    <w:rsid w:val="04844E2C"/>
    <w:rsid w:val="04A5D646"/>
    <w:rsid w:val="04B35D0D"/>
    <w:rsid w:val="053706C8"/>
    <w:rsid w:val="057DE89C"/>
    <w:rsid w:val="05B815B7"/>
    <w:rsid w:val="05C6C1D1"/>
    <w:rsid w:val="05DCE811"/>
    <w:rsid w:val="05E71F1C"/>
    <w:rsid w:val="0615DDB9"/>
    <w:rsid w:val="062120A0"/>
    <w:rsid w:val="064CF057"/>
    <w:rsid w:val="0655970C"/>
    <w:rsid w:val="06AF6AE5"/>
    <w:rsid w:val="06C6B0B1"/>
    <w:rsid w:val="07953BFB"/>
    <w:rsid w:val="07973E5A"/>
    <w:rsid w:val="07AB695A"/>
    <w:rsid w:val="07C6FCB2"/>
    <w:rsid w:val="07D5174B"/>
    <w:rsid w:val="082B9E32"/>
    <w:rsid w:val="082CD09F"/>
    <w:rsid w:val="08390102"/>
    <w:rsid w:val="0889F347"/>
    <w:rsid w:val="0939CBA0"/>
    <w:rsid w:val="09C47689"/>
    <w:rsid w:val="09D0C0D2"/>
    <w:rsid w:val="0A2BA6E2"/>
    <w:rsid w:val="0A34EFD9"/>
    <w:rsid w:val="0A619EF7"/>
    <w:rsid w:val="0A6AF38C"/>
    <w:rsid w:val="0A8758D9"/>
    <w:rsid w:val="0A9CBBDA"/>
    <w:rsid w:val="0B0B4414"/>
    <w:rsid w:val="0B396635"/>
    <w:rsid w:val="0BCD9B90"/>
    <w:rsid w:val="0BEC7E19"/>
    <w:rsid w:val="0C3C6471"/>
    <w:rsid w:val="0C594C29"/>
    <w:rsid w:val="0C7A5799"/>
    <w:rsid w:val="0C9EA2BC"/>
    <w:rsid w:val="0CDFD05B"/>
    <w:rsid w:val="0CFAE44C"/>
    <w:rsid w:val="0D133FD4"/>
    <w:rsid w:val="0D4C2993"/>
    <w:rsid w:val="0D4D8FC6"/>
    <w:rsid w:val="0DA064CD"/>
    <w:rsid w:val="0DB1E9A2"/>
    <w:rsid w:val="0DE0F4D8"/>
    <w:rsid w:val="0DF04093"/>
    <w:rsid w:val="0E079431"/>
    <w:rsid w:val="0E22EF0F"/>
    <w:rsid w:val="0E2B3072"/>
    <w:rsid w:val="0E524180"/>
    <w:rsid w:val="0E6D76E8"/>
    <w:rsid w:val="0EF17F76"/>
    <w:rsid w:val="0F10A253"/>
    <w:rsid w:val="0F52ECE6"/>
    <w:rsid w:val="0F5355E2"/>
    <w:rsid w:val="0FEA9E8D"/>
    <w:rsid w:val="102DD1C9"/>
    <w:rsid w:val="1060CB55"/>
    <w:rsid w:val="1082098B"/>
    <w:rsid w:val="109FB0BD"/>
    <w:rsid w:val="10C8355B"/>
    <w:rsid w:val="11081E75"/>
    <w:rsid w:val="11405B86"/>
    <w:rsid w:val="11525485"/>
    <w:rsid w:val="129DB502"/>
    <w:rsid w:val="13249880"/>
    <w:rsid w:val="1359E725"/>
    <w:rsid w:val="136E7554"/>
    <w:rsid w:val="13713019"/>
    <w:rsid w:val="13D49374"/>
    <w:rsid w:val="140C372B"/>
    <w:rsid w:val="140D35AC"/>
    <w:rsid w:val="141CB191"/>
    <w:rsid w:val="1451E6B3"/>
    <w:rsid w:val="145925CE"/>
    <w:rsid w:val="1477A846"/>
    <w:rsid w:val="1477FC48"/>
    <w:rsid w:val="147C1EB5"/>
    <w:rsid w:val="14B39A53"/>
    <w:rsid w:val="14D37751"/>
    <w:rsid w:val="157063D5"/>
    <w:rsid w:val="15CDC865"/>
    <w:rsid w:val="15F8F9AA"/>
    <w:rsid w:val="16231CD4"/>
    <w:rsid w:val="164214F5"/>
    <w:rsid w:val="165665B8"/>
    <w:rsid w:val="167D3A02"/>
    <w:rsid w:val="168A1965"/>
    <w:rsid w:val="169842A2"/>
    <w:rsid w:val="16A06617"/>
    <w:rsid w:val="17268E1D"/>
    <w:rsid w:val="178C3B84"/>
    <w:rsid w:val="17C4930B"/>
    <w:rsid w:val="17D511CE"/>
    <w:rsid w:val="17FB30D1"/>
    <w:rsid w:val="1824E280"/>
    <w:rsid w:val="186E5154"/>
    <w:rsid w:val="187B9FC0"/>
    <w:rsid w:val="18F022B4"/>
    <w:rsid w:val="18FDE6E6"/>
    <w:rsid w:val="19156D4F"/>
    <w:rsid w:val="1925284F"/>
    <w:rsid w:val="19378421"/>
    <w:rsid w:val="195D06B3"/>
    <w:rsid w:val="19BEDE7C"/>
    <w:rsid w:val="19CAC333"/>
    <w:rsid w:val="1A5651A2"/>
    <w:rsid w:val="1A9AFC62"/>
    <w:rsid w:val="1AE7295A"/>
    <w:rsid w:val="1B038067"/>
    <w:rsid w:val="1B2A2652"/>
    <w:rsid w:val="1B652FDD"/>
    <w:rsid w:val="1BC9F161"/>
    <w:rsid w:val="1BCE6A82"/>
    <w:rsid w:val="1C02CAF5"/>
    <w:rsid w:val="1C424E41"/>
    <w:rsid w:val="1CB84C54"/>
    <w:rsid w:val="1CC5F6B3"/>
    <w:rsid w:val="1D01003E"/>
    <w:rsid w:val="1D1AFD41"/>
    <w:rsid w:val="1D41340C"/>
    <w:rsid w:val="1D741343"/>
    <w:rsid w:val="1D83DBFA"/>
    <w:rsid w:val="1D957D90"/>
    <w:rsid w:val="1DBB4395"/>
    <w:rsid w:val="1E61C714"/>
    <w:rsid w:val="1EA53F9C"/>
    <w:rsid w:val="1EE546C8"/>
    <w:rsid w:val="1EEFB006"/>
    <w:rsid w:val="1F08672A"/>
    <w:rsid w:val="1F5A68F8"/>
    <w:rsid w:val="1FAFDA9E"/>
    <w:rsid w:val="1FC7659E"/>
    <w:rsid w:val="1FE2B99B"/>
    <w:rsid w:val="1FFD9775"/>
    <w:rsid w:val="202CBF3A"/>
    <w:rsid w:val="204CF605"/>
    <w:rsid w:val="209657B2"/>
    <w:rsid w:val="20B848EC"/>
    <w:rsid w:val="20E89BF4"/>
    <w:rsid w:val="214631C4"/>
    <w:rsid w:val="214BAAFF"/>
    <w:rsid w:val="218D05CF"/>
    <w:rsid w:val="22322813"/>
    <w:rsid w:val="2245EF60"/>
    <w:rsid w:val="22520409"/>
    <w:rsid w:val="225FCCB1"/>
    <w:rsid w:val="2268E7C3"/>
    <w:rsid w:val="22691920"/>
    <w:rsid w:val="2311ABF1"/>
    <w:rsid w:val="235016E6"/>
    <w:rsid w:val="235FB5B4"/>
    <w:rsid w:val="2367F686"/>
    <w:rsid w:val="2375FA97"/>
    <w:rsid w:val="23B0A844"/>
    <w:rsid w:val="23B19F02"/>
    <w:rsid w:val="2423395B"/>
    <w:rsid w:val="243FD03F"/>
    <w:rsid w:val="2470EA56"/>
    <w:rsid w:val="248AB586"/>
    <w:rsid w:val="2550A078"/>
    <w:rsid w:val="2567ECAC"/>
    <w:rsid w:val="2569C8D5"/>
    <w:rsid w:val="256CE88C"/>
    <w:rsid w:val="258B3056"/>
    <w:rsid w:val="25CAD81F"/>
    <w:rsid w:val="266AA065"/>
    <w:rsid w:val="269DA325"/>
    <w:rsid w:val="26FA7DBE"/>
    <w:rsid w:val="2710E4FA"/>
    <w:rsid w:val="27111D29"/>
    <w:rsid w:val="272B678C"/>
    <w:rsid w:val="277B79B2"/>
    <w:rsid w:val="278DCB44"/>
    <w:rsid w:val="28132856"/>
    <w:rsid w:val="28567C43"/>
    <w:rsid w:val="2874E25A"/>
    <w:rsid w:val="288385A9"/>
    <w:rsid w:val="28A52E59"/>
    <w:rsid w:val="2914393F"/>
    <w:rsid w:val="293746C8"/>
    <w:rsid w:val="29EFEA61"/>
    <w:rsid w:val="29F30B88"/>
    <w:rsid w:val="2A668EFF"/>
    <w:rsid w:val="2B6BD86F"/>
    <w:rsid w:val="2BC485FD"/>
    <w:rsid w:val="2BE9E734"/>
    <w:rsid w:val="2BEB1900"/>
    <w:rsid w:val="2C5CAB0F"/>
    <w:rsid w:val="2C7126F4"/>
    <w:rsid w:val="2CA52C9F"/>
    <w:rsid w:val="2CACC30B"/>
    <w:rsid w:val="2D850764"/>
    <w:rsid w:val="2DB9496C"/>
    <w:rsid w:val="2DF4B891"/>
    <w:rsid w:val="2E1A1EFC"/>
    <w:rsid w:val="2E290408"/>
    <w:rsid w:val="2EC35B84"/>
    <w:rsid w:val="2EC46B91"/>
    <w:rsid w:val="2ED9D1A1"/>
    <w:rsid w:val="3004AC3C"/>
    <w:rsid w:val="3008047B"/>
    <w:rsid w:val="304C3150"/>
    <w:rsid w:val="30502298"/>
    <w:rsid w:val="3070AD51"/>
    <w:rsid w:val="307A90C9"/>
    <w:rsid w:val="30A6E102"/>
    <w:rsid w:val="30C4F3F2"/>
    <w:rsid w:val="30CDE2FD"/>
    <w:rsid w:val="311EDE60"/>
    <w:rsid w:val="315401EF"/>
    <w:rsid w:val="3199963B"/>
    <w:rsid w:val="321E0DF0"/>
    <w:rsid w:val="325FC01E"/>
    <w:rsid w:val="329F5E43"/>
    <w:rsid w:val="330DAE12"/>
    <w:rsid w:val="3387C35A"/>
    <w:rsid w:val="33ABB597"/>
    <w:rsid w:val="33CB077C"/>
    <w:rsid w:val="33DAAB57"/>
    <w:rsid w:val="33DF7122"/>
    <w:rsid w:val="340A388F"/>
    <w:rsid w:val="3421CB3F"/>
    <w:rsid w:val="35002E0C"/>
    <w:rsid w:val="351417D6"/>
    <w:rsid w:val="351895B3"/>
    <w:rsid w:val="35B090C4"/>
    <w:rsid w:val="35F24F83"/>
    <w:rsid w:val="36977E5E"/>
    <w:rsid w:val="36C5F3D4"/>
    <w:rsid w:val="36C8A3F1"/>
    <w:rsid w:val="3703D2B0"/>
    <w:rsid w:val="372BE9AA"/>
    <w:rsid w:val="374FECFA"/>
    <w:rsid w:val="37538F10"/>
    <w:rsid w:val="3781D08B"/>
    <w:rsid w:val="37A8EBF2"/>
    <w:rsid w:val="37ABDC94"/>
    <w:rsid w:val="37C7C350"/>
    <w:rsid w:val="38088F71"/>
    <w:rsid w:val="38489BD8"/>
    <w:rsid w:val="38585427"/>
    <w:rsid w:val="38A6528A"/>
    <w:rsid w:val="38C60622"/>
    <w:rsid w:val="38E93918"/>
    <w:rsid w:val="3906D953"/>
    <w:rsid w:val="3947ACF5"/>
    <w:rsid w:val="398534F6"/>
    <w:rsid w:val="399DABEA"/>
    <w:rsid w:val="39FC05A6"/>
    <w:rsid w:val="39FD9496"/>
    <w:rsid w:val="3A6489D6"/>
    <w:rsid w:val="3A898157"/>
    <w:rsid w:val="3A929A9B"/>
    <w:rsid w:val="3ACDAC21"/>
    <w:rsid w:val="3ACF653F"/>
    <w:rsid w:val="3AE37D56"/>
    <w:rsid w:val="3B130317"/>
    <w:rsid w:val="3B4E542C"/>
    <w:rsid w:val="3B5B6AB7"/>
    <w:rsid w:val="3B5F20D4"/>
    <w:rsid w:val="3B9964F7"/>
    <w:rsid w:val="3BFF5ACD"/>
    <w:rsid w:val="3C30378E"/>
    <w:rsid w:val="3C31087C"/>
    <w:rsid w:val="3C738DE6"/>
    <w:rsid w:val="3D0CF775"/>
    <w:rsid w:val="3DCC07EF"/>
    <w:rsid w:val="3DD0A21B"/>
    <w:rsid w:val="3E777B9F"/>
    <w:rsid w:val="3E8B3F24"/>
    <w:rsid w:val="3F32812D"/>
    <w:rsid w:val="3F483666"/>
    <w:rsid w:val="3F5023EC"/>
    <w:rsid w:val="3F875053"/>
    <w:rsid w:val="3FF552F4"/>
    <w:rsid w:val="4091BCB1"/>
    <w:rsid w:val="40E406C7"/>
    <w:rsid w:val="41233C3A"/>
    <w:rsid w:val="4184117F"/>
    <w:rsid w:val="41948A39"/>
    <w:rsid w:val="41EE4DD1"/>
    <w:rsid w:val="422460B7"/>
    <w:rsid w:val="426E9C51"/>
    <w:rsid w:val="4270D746"/>
    <w:rsid w:val="4287C4AE"/>
    <w:rsid w:val="42BF0C9B"/>
    <w:rsid w:val="4325AEEF"/>
    <w:rsid w:val="435BE885"/>
    <w:rsid w:val="43741691"/>
    <w:rsid w:val="4394589D"/>
    <w:rsid w:val="43A121AA"/>
    <w:rsid w:val="44125A38"/>
    <w:rsid w:val="4423950F"/>
    <w:rsid w:val="44714FBF"/>
    <w:rsid w:val="44C17F50"/>
    <w:rsid w:val="44DA34E2"/>
    <w:rsid w:val="44E05E91"/>
    <w:rsid w:val="44E4724B"/>
    <w:rsid w:val="44EACC99"/>
    <w:rsid w:val="44F68BEF"/>
    <w:rsid w:val="450F6A7C"/>
    <w:rsid w:val="4516B4F7"/>
    <w:rsid w:val="454F693D"/>
    <w:rsid w:val="455C0179"/>
    <w:rsid w:val="4617A20A"/>
    <w:rsid w:val="467C2EF2"/>
    <w:rsid w:val="4682A0B1"/>
    <w:rsid w:val="47275E44"/>
    <w:rsid w:val="475B35D1"/>
    <w:rsid w:val="47D70F0B"/>
    <w:rsid w:val="47F35303"/>
    <w:rsid w:val="47F35DFD"/>
    <w:rsid w:val="48329D80"/>
    <w:rsid w:val="484E55B9"/>
    <w:rsid w:val="48648D8C"/>
    <w:rsid w:val="486F26BD"/>
    <w:rsid w:val="4872CE81"/>
    <w:rsid w:val="48AE70D3"/>
    <w:rsid w:val="48B8846B"/>
    <w:rsid w:val="48C9B084"/>
    <w:rsid w:val="48E5CB5B"/>
    <w:rsid w:val="48F052B8"/>
    <w:rsid w:val="495E676B"/>
    <w:rsid w:val="496B45F6"/>
    <w:rsid w:val="497BC31C"/>
    <w:rsid w:val="497EC8C2"/>
    <w:rsid w:val="4998EF92"/>
    <w:rsid w:val="49A58D2D"/>
    <w:rsid w:val="49CA9F64"/>
    <w:rsid w:val="4A33D702"/>
    <w:rsid w:val="4A7CA1A9"/>
    <w:rsid w:val="4A92D693"/>
    <w:rsid w:val="4B2C21F6"/>
    <w:rsid w:val="4B5448CC"/>
    <w:rsid w:val="4B611CF8"/>
    <w:rsid w:val="4BAA62CA"/>
    <w:rsid w:val="4BAB4EAE"/>
    <w:rsid w:val="4BABFCC6"/>
    <w:rsid w:val="4BBEAAC1"/>
    <w:rsid w:val="4C0DAE86"/>
    <w:rsid w:val="4C12A9C5"/>
    <w:rsid w:val="4C2A3AAB"/>
    <w:rsid w:val="4C3B8AC0"/>
    <w:rsid w:val="4C97749B"/>
    <w:rsid w:val="4C9B7166"/>
    <w:rsid w:val="4CF57043"/>
    <w:rsid w:val="4D26799C"/>
    <w:rsid w:val="4D4297E0"/>
    <w:rsid w:val="4D44726B"/>
    <w:rsid w:val="4D60E15E"/>
    <w:rsid w:val="4DA6AF8B"/>
    <w:rsid w:val="4DA8D04E"/>
    <w:rsid w:val="4DB689C1"/>
    <w:rsid w:val="4DD1F13F"/>
    <w:rsid w:val="4E32C93B"/>
    <w:rsid w:val="4E842140"/>
    <w:rsid w:val="4E9E38CC"/>
    <w:rsid w:val="4ED2B6FA"/>
    <w:rsid w:val="4F6647B6"/>
    <w:rsid w:val="4F6D1A8C"/>
    <w:rsid w:val="4F9E1C09"/>
    <w:rsid w:val="4FE0ACDA"/>
    <w:rsid w:val="507A38A2"/>
    <w:rsid w:val="507F416F"/>
    <w:rsid w:val="509FB1ED"/>
    <w:rsid w:val="50E3380D"/>
    <w:rsid w:val="50FDABCE"/>
    <w:rsid w:val="515D947A"/>
    <w:rsid w:val="51B72033"/>
    <w:rsid w:val="51C38A50"/>
    <w:rsid w:val="523B5A75"/>
    <w:rsid w:val="52664963"/>
    <w:rsid w:val="52AC5904"/>
    <w:rsid w:val="52B49120"/>
    <w:rsid w:val="52F1F0AB"/>
    <w:rsid w:val="53396A70"/>
    <w:rsid w:val="535F5AB1"/>
    <w:rsid w:val="538A0E1D"/>
    <w:rsid w:val="53903772"/>
    <w:rsid w:val="53A95FCF"/>
    <w:rsid w:val="54765305"/>
    <w:rsid w:val="54A740FE"/>
    <w:rsid w:val="54D04EC3"/>
    <w:rsid w:val="54D9C391"/>
    <w:rsid w:val="553A77F0"/>
    <w:rsid w:val="56A0953B"/>
    <w:rsid w:val="56B023D0"/>
    <w:rsid w:val="574ECF17"/>
    <w:rsid w:val="57C89BC1"/>
    <w:rsid w:val="57EE5BD0"/>
    <w:rsid w:val="57EF82FB"/>
    <w:rsid w:val="5805C043"/>
    <w:rsid w:val="586A7BBE"/>
    <w:rsid w:val="5880F385"/>
    <w:rsid w:val="588E3AA7"/>
    <w:rsid w:val="58933F38"/>
    <w:rsid w:val="58990F60"/>
    <w:rsid w:val="58FFBC3A"/>
    <w:rsid w:val="5995E53C"/>
    <w:rsid w:val="59B9CF60"/>
    <w:rsid w:val="5B1CB150"/>
    <w:rsid w:val="5B91871F"/>
    <w:rsid w:val="5BF2C52C"/>
    <w:rsid w:val="5C00D256"/>
    <w:rsid w:val="5C0C9DE6"/>
    <w:rsid w:val="5C2BC8CC"/>
    <w:rsid w:val="5CC6F188"/>
    <w:rsid w:val="5CF80C08"/>
    <w:rsid w:val="5DE922D4"/>
    <w:rsid w:val="5E098550"/>
    <w:rsid w:val="5E215023"/>
    <w:rsid w:val="5E2DF96B"/>
    <w:rsid w:val="5E4CB83D"/>
    <w:rsid w:val="5E6C56A7"/>
    <w:rsid w:val="5EC70853"/>
    <w:rsid w:val="5F0DF10C"/>
    <w:rsid w:val="5F7E08A9"/>
    <w:rsid w:val="5F877F39"/>
    <w:rsid w:val="5F912794"/>
    <w:rsid w:val="5FC9C9CC"/>
    <w:rsid w:val="5FCF26A1"/>
    <w:rsid w:val="601C7638"/>
    <w:rsid w:val="608E4E03"/>
    <w:rsid w:val="60F60A2C"/>
    <w:rsid w:val="61536619"/>
    <w:rsid w:val="6173EB61"/>
    <w:rsid w:val="61987974"/>
    <w:rsid w:val="61A69F6A"/>
    <w:rsid w:val="61F2D677"/>
    <w:rsid w:val="621BF490"/>
    <w:rsid w:val="622A1E64"/>
    <w:rsid w:val="629B0B9F"/>
    <w:rsid w:val="62C8C856"/>
    <w:rsid w:val="62E2E9F1"/>
    <w:rsid w:val="633749BB"/>
    <w:rsid w:val="637C180E"/>
    <w:rsid w:val="64283601"/>
    <w:rsid w:val="6438623F"/>
    <w:rsid w:val="6479F87B"/>
    <w:rsid w:val="647A7C45"/>
    <w:rsid w:val="6481C6C0"/>
    <w:rsid w:val="64A54061"/>
    <w:rsid w:val="64EC9A54"/>
    <w:rsid w:val="6513545B"/>
    <w:rsid w:val="656FB078"/>
    <w:rsid w:val="657B729C"/>
    <w:rsid w:val="65952B9D"/>
    <w:rsid w:val="659EC14B"/>
    <w:rsid w:val="66674809"/>
    <w:rsid w:val="6682EFB4"/>
    <w:rsid w:val="6687D7BE"/>
    <w:rsid w:val="66BA3510"/>
    <w:rsid w:val="66CD9215"/>
    <w:rsid w:val="66DE33AC"/>
    <w:rsid w:val="66EB84F7"/>
    <w:rsid w:val="671742FD"/>
    <w:rsid w:val="67216C81"/>
    <w:rsid w:val="6753E5B9"/>
    <w:rsid w:val="6757DA02"/>
    <w:rsid w:val="67BBB354"/>
    <w:rsid w:val="67EACDA3"/>
    <w:rsid w:val="6803186A"/>
    <w:rsid w:val="682CD401"/>
    <w:rsid w:val="68373051"/>
    <w:rsid w:val="68EA5B3D"/>
    <w:rsid w:val="690222B3"/>
    <w:rsid w:val="69104645"/>
    <w:rsid w:val="695C9369"/>
    <w:rsid w:val="698DEC29"/>
    <w:rsid w:val="69FDE85C"/>
    <w:rsid w:val="6A0532D7"/>
    <w:rsid w:val="6A0BC33F"/>
    <w:rsid w:val="6A24BEC0"/>
    <w:rsid w:val="6A4257FF"/>
    <w:rsid w:val="6A782CCB"/>
    <w:rsid w:val="6A926196"/>
    <w:rsid w:val="6AC7EF9F"/>
    <w:rsid w:val="6B8AD758"/>
    <w:rsid w:val="6BAA6E1F"/>
    <w:rsid w:val="6BB7BCC1"/>
    <w:rsid w:val="6C55AE94"/>
    <w:rsid w:val="6C58DC15"/>
    <w:rsid w:val="6C82A806"/>
    <w:rsid w:val="6C944380"/>
    <w:rsid w:val="6CCDE939"/>
    <w:rsid w:val="6D244E47"/>
    <w:rsid w:val="6D8B18D4"/>
    <w:rsid w:val="6E3A70BD"/>
    <w:rsid w:val="6E565DB5"/>
    <w:rsid w:val="6E75E30E"/>
    <w:rsid w:val="6E7AAE4B"/>
    <w:rsid w:val="6E94A009"/>
    <w:rsid w:val="6EBE40A2"/>
    <w:rsid w:val="6EC01EA8"/>
    <w:rsid w:val="6EE61593"/>
    <w:rsid w:val="6EF095C7"/>
    <w:rsid w:val="6EF42F30"/>
    <w:rsid w:val="6F26E935"/>
    <w:rsid w:val="6F2CD5E2"/>
    <w:rsid w:val="6F4BC633"/>
    <w:rsid w:val="6F58890C"/>
    <w:rsid w:val="6F773146"/>
    <w:rsid w:val="6F7CE82A"/>
    <w:rsid w:val="700C968E"/>
    <w:rsid w:val="7025B4A8"/>
    <w:rsid w:val="7058B653"/>
    <w:rsid w:val="7064A1B8"/>
    <w:rsid w:val="709165F6"/>
    <w:rsid w:val="70DD49DE"/>
    <w:rsid w:val="70E107DD"/>
    <w:rsid w:val="70F0F0A0"/>
    <w:rsid w:val="70F8F7FA"/>
    <w:rsid w:val="7102ED32"/>
    <w:rsid w:val="710D3498"/>
    <w:rsid w:val="7118A99E"/>
    <w:rsid w:val="7129F362"/>
    <w:rsid w:val="7131E0E8"/>
    <w:rsid w:val="71AD83D0"/>
    <w:rsid w:val="71DFFCBE"/>
    <w:rsid w:val="71F486B4"/>
    <w:rsid w:val="71F7BF6A"/>
    <w:rsid w:val="720F489D"/>
    <w:rsid w:val="7229D5A2"/>
    <w:rsid w:val="726476A4"/>
    <w:rsid w:val="72D0DD90"/>
    <w:rsid w:val="73238EBF"/>
    <w:rsid w:val="73281C1B"/>
    <w:rsid w:val="73503C94"/>
    <w:rsid w:val="7354445C"/>
    <w:rsid w:val="739369B6"/>
    <w:rsid w:val="73E8A32C"/>
    <w:rsid w:val="74004705"/>
    <w:rsid w:val="7427F1A7"/>
    <w:rsid w:val="742B35F8"/>
    <w:rsid w:val="744AA269"/>
    <w:rsid w:val="74517FFA"/>
    <w:rsid w:val="747A026E"/>
    <w:rsid w:val="748290E0"/>
    <w:rsid w:val="74C3FB89"/>
    <w:rsid w:val="74F409F8"/>
    <w:rsid w:val="74FA28A7"/>
    <w:rsid w:val="7501926C"/>
    <w:rsid w:val="75609A1D"/>
    <w:rsid w:val="759C1766"/>
    <w:rsid w:val="75D1F2A5"/>
    <w:rsid w:val="75DC1226"/>
    <w:rsid w:val="75E672CA"/>
    <w:rsid w:val="7615D2CF"/>
    <w:rsid w:val="762DF5EB"/>
    <w:rsid w:val="766C30FC"/>
    <w:rsid w:val="76745CB7"/>
    <w:rsid w:val="774B18FE"/>
    <w:rsid w:val="7757E381"/>
    <w:rsid w:val="77A1226C"/>
    <w:rsid w:val="77A5CB23"/>
    <w:rsid w:val="77F02A7A"/>
    <w:rsid w:val="78E0E091"/>
    <w:rsid w:val="79789ED7"/>
    <w:rsid w:val="79863BA2"/>
    <w:rsid w:val="79941A37"/>
    <w:rsid w:val="799FDF26"/>
    <w:rsid w:val="79BCFA1B"/>
    <w:rsid w:val="79E05BA1"/>
    <w:rsid w:val="7A17D67F"/>
    <w:rsid w:val="7A2BCD05"/>
    <w:rsid w:val="7A5F1EA0"/>
    <w:rsid w:val="7AB446C1"/>
    <w:rsid w:val="7B47CDDA"/>
    <w:rsid w:val="7B484BE3"/>
    <w:rsid w:val="7BDF7C4F"/>
    <w:rsid w:val="7C443245"/>
    <w:rsid w:val="7C50DAED"/>
    <w:rsid w:val="7C5A4EA4"/>
    <w:rsid w:val="7CF52B81"/>
    <w:rsid w:val="7D47CBF7"/>
    <w:rsid w:val="7DA744C1"/>
    <w:rsid w:val="7DD0335C"/>
    <w:rsid w:val="7DE201CB"/>
    <w:rsid w:val="7E414956"/>
    <w:rsid w:val="7E5F2853"/>
    <w:rsid w:val="7F7B60B8"/>
    <w:rsid w:val="7FE7A4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43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rsid w:val="002B541E"/>
    <w:rPr>
      <w:rFonts w:ascii="Times" w:hAnsi="Times"/>
      <w:sz w:val="20"/>
      <w:szCs w:val="20"/>
    </w:rPr>
  </w:style>
  <w:style w:type="paragraph" w:styleId="ListParagraph">
    <w:name w:val="List Paragraph"/>
    <w:basedOn w:val="Normal"/>
    <w:uiPriority w:val="1"/>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line="240" w:lineRule="auto"/>
      <w:jc w:val="center"/>
    </w:pPr>
    <w:rPr>
      <w:rFonts w:ascii="Arial" w:eastAsia="Times New Roman" w:hAnsi="Arial" w:cs="Times New Roman"/>
      <w:color w:val="auto"/>
      <w:sz w:val="24"/>
      <w:szCs w:val="20"/>
    </w:rPr>
  </w:style>
  <w:style w:type="character" w:styleId="Hyperlink">
    <w:name w:val="Hyperlink"/>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unhideWhenUsed/>
    <w:rsid w:val="009B6212"/>
    <w:rPr>
      <w:vertAlign w:val="superscript"/>
    </w:rPr>
  </w:style>
  <w:style w:type="character" w:customStyle="1" w:styleId="UnresolvedMention1">
    <w:name w:val="Unresolved Mention1"/>
    <w:basedOn w:val="DefaultParagraphFont"/>
    <w:uiPriority w:val="99"/>
    <w:semiHidden/>
    <w:unhideWhenUsed/>
    <w:rsid w:val="00581C32"/>
    <w:rPr>
      <w:color w:val="605E5C"/>
      <w:shd w:val="clear" w:color="auto" w:fill="E1DFDD"/>
    </w:rPr>
  </w:style>
  <w:style w:type="character" w:styleId="UnresolvedMention">
    <w:name w:val="Unresolved Mention"/>
    <w:basedOn w:val="DefaultParagraphFont"/>
    <w:uiPriority w:val="99"/>
    <w:semiHidden/>
    <w:unhideWhenUsed/>
    <w:rsid w:val="00166257"/>
    <w:rPr>
      <w:color w:val="808080"/>
      <w:shd w:val="clear" w:color="auto" w:fill="E6E6E6"/>
    </w:rPr>
  </w:style>
  <w:style w:type="paragraph" w:styleId="BodyText">
    <w:name w:val="Body Text"/>
    <w:basedOn w:val="Normal"/>
    <w:link w:val="BodyTextChar"/>
    <w:uiPriority w:val="1"/>
    <w:qFormat/>
    <w:rsid w:val="00583B9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83B98"/>
    <w:rPr>
      <w:rFonts w:ascii="Times New Roman" w:eastAsia="Times New Roman" w:hAnsi="Times New Roman" w:cs="Times New Roman"/>
      <w:sz w:val="24"/>
      <w:szCs w:val="24"/>
      <w:lang w:bidi="en-US"/>
    </w:rPr>
  </w:style>
  <w:style w:type="paragraph" w:styleId="Revision">
    <w:name w:val="Revision"/>
    <w:hidden/>
    <w:uiPriority w:val="99"/>
    <w:semiHidden/>
    <w:rsid w:val="00D62BE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376A1E"/>
  </w:style>
  <w:style w:type="paragraph" w:styleId="NormalWeb">
    <w:name w:val="Normal (Web)"/>
    <w:basedOn w:val="Normal"/>
    <w:uiPriority w:val="99"/>
    <w:semiHidden/>
    <w:unhideWhenUsed/>
    <w:rsid w:val="00376A1E"/>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F1BC1"/>
    <w:pPr>
      <w:spacing w:line="240" w:lineRule="auto"/>
    </w:pPr>
    <w:rPr>
      <w:rFonts w:ascii="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redcap.icts.uiowa.edu/redcap/" TargetMode="External" /><Relationship Id="rId7" Type="http://schemas.openxmlformats.org/officeDocument/2006/relationships/hyperlink" Target="https://www.bls.gov/news.release/empsit.t19.htm"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A8F9-AE6F-4A86-B78A-CD8AFB78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9470</Words>
  <Characters>53981</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2024-10-24T12:05:00Z</dcterms:created>
  <dcterms:modified xsi:type="dcterms:W3CDTF">2024-10-24T12:08:00Z</dcterms:modified>
</cp:coreProperties>
</file>