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118A" w:rsidP="00176C0E" w14:paraId="1CE40A79" w14:textId="6DF1A1D7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Department of Transportation</w:t>
      </w:r>
    </w:p>
    <w:p w:rsidR="004B118A" w:rsidP="00176C0E" w14:paraId="770F500D" w14:textId="5F580A36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Maritime Administration</w:t>
      </w:r>
    </w:p>
    <w:p w:rsidR="004B118A" w:rsidRPr="00216721" w:rsidP="00176C0E" w14:paraId="5C7FBB17" w14:textId="5BB716A6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</w:rPr>
        <w:t>Information Collection Request</w:t>
      </w:r>
      <w:r w:rsidRPr="00216721" w:rsidR="001F6D4F">
        <w:rPr>
          <w:rFonts w:ascii="Times New Roman" w:hAnsi="Times New Roman"/>
          <w:b/>
          <w:bCs/>
          <w:szCs w:val="24"/>
        </w:rPr>
        <w:t xml:space="preserve"> (ICR)</w:t>
      </w:r>
    </w:p>
    <w:p w:rsidR="00C9166A" w:rsidRPr="00216721" w:rsidP="00C9166A" w14:paraId="6EC1BF14" w14:textId="5C6085C0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</w:rPr>
        <w:t>2133-0545</w:t>
      </w:r>
    </w:p>
    <w:p w:rsidR="009340A7" w:rsidRPr="00C9166A" w:rsidP="00176C0E" w14:paraId="1345B81C" w14:textId="742DE11A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 w:rsidRPr="009340A7">
        <w:rPr>
          <w:rFonts w:ascii="Times New Roman" w:hAnsi="Times New Roman"/>
          <w:b/>
          <w:bCs/>
          <w:szCs w:val="24"/>
        </w:rPr>
        <w:t>Maritime Administration (MARAD) Jones Act Vessel Availability Determinations</w:t>
      </w:r>
      <w:r w:rsidRPr="009340A7">
        <w:rPr>
          <w:rFonts w:ascii="Times New Roman" w:hAnsi="Times New Roman"/>
          <w:b/>
          <w:bCs/>
          <w:szCs w:val="24"/>
        </w:rPr>
        <w:t xml:space="preserve"> </w:t>
      </w:r>
    </w:p>
    <w:p w:rsidR="004B118A" w:rsidP="00176C0E" w14:paraId="5C2B4C15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</w:p>
    <w:p w:rsidR="00367094" w:rsidRPr="00216721" w:rsidP="00216721" w14:paraId="04EA830E" w14:textId="6A3B2754">
      <w:pPr>
        <w:tabs>
          <w:tab w:val="center" w:pos="4680"/>
        </w:tabs>
        <w:jc w:val="center"/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</w:rPr>
        <w:t xml:space="preserve">    </w:t>
      </w:r>
      <w:r w:rsidRPr="00216721">
        <w:rPr>
          <w:rFonts w:ascii="Times New Roman" w:hAnsi="Times New Roman"/>
          <w:b/>
          <w:bCs/>
          <w:szCs w:val="24"/>
        </w:rPr>
        <w:t xml:space="preserve">SUPPORTING STATEMENT </w:t>
      </w:r>
      <w:bookmarkStart w:id="0" w:name="_Hlk183606328"/>
    </w:p>
    <w:bookmarkEnd w:id="0"/>
    <w:p w:rsidR="009A0D32" w:rsidRPr="00D71CB5" w:rsidP="00176C0E" w14:paraId="2F67B181" w14:textId="77777777">
      <w:pPr>
        <w:tabs>
          <w:tab w:val="center" w:pos="4680"/>
        </w:tabs>
        <w:rPr>
          <w:rFonts w:ascii="Times New Roman" w:hAnsi="Times New Roman"/>
          <w:szCs w:val="24"/>
        </w:rPr>
      </w:pPr>
    </w:p>
    <w:p w:rsidR="00367094" w:rsidRPr="00D71CB5" w:rsidP="00176C0E" w14:paraId="33B26609" w14:textId="77777777">
      <w:pPr>
        <w:rPr>
          <w:rFonts w:ascii="Times New Roman" w:hAnsi="Times New Roman"/>
          <w:szCs w:val="24"/>
        </w:rPr>
      </w:pPr>
    </w:p>
    <w:p w:rsidR="00C9166A" w:rsidRPr="00216721" w:rsidP="00176C0E" w14:paraId="54C53232" w14:textId="14CED770">
      <w:pPr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  <w:u w:val="single"/>
        </w:rPr>
        <w:t>INTRODUCTION</w:t>
      </w:r>
    </w:p>
    <w:p w:rsidR="00C9166A" w:rsidP="00176C0E" w14:paraId="3434EDDE" w14:textId="77777777">
      <w:pPr>
        <w:rPr>
          <w:rFonts w:ascii="Times New Roman" w:hAnsi="Times New Roman"/>
          <w:szCs w:val="24"/>
        </w:rPr>
      </w:pPr>
    </w:p>
    <w:p w:rsidR="00E83256" w:rsidRPr="00216721" w:rsidP="00176C0E" w14:paraId="5E0138B7" w14:textId="328201A8">
      <w:pPr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>This submission is to request a three-year approval from the Office of Management and Budget (OMB) for the i</w:t>
      </w:r>
      <w:r w:rsidR="00CB40E7">
        <w:rPr>
          <w:rFonts w:ascii="Times New Roman" w:hAnsi="Times New Roman"/>
          <w:szCs w:val="24"/>
        </w:rPr>
        <w:t xml:space="preserve">nformation </w:t>
      </w:r>
      <w:r>
        <w:rPr>
          <w:rFonts w:ascii="Times New Roman" w:hAnsi="Times New Roman"/>
          <w:szCs w:val="24"/>
        </w:rPr>
        <w:t xml:space="preserve">collection entitled </w:t>
      </w:r>
      <w:r w:rsidRPr="00D71CB5" w:rsidR="008B37AA">
        <w:rPr>
          <w:rFonts w:ascii="Times New Roman" w:hAnsi="Times New Roman"/>
          <w:szCs w:val="24"/>
        </w:rPr>
        <w:t>OMB 2133-</w:t>
      </w:r>
      <w:r w:rsidR="008B37AA">
        <w:rPr>
          <w:rFonts w:ascii="Times New Roman" w:hAnsi="Times New Roman"/>
          <w:szCs w:val="24"/>
        </w:rPr>
        <w:t>0545</w:t>
      </w:r>
      <w:r>
        <w:rPr>
          <w:rFonts w:ascii="Times New Roman" w:hAnsi="Times New Roman"/>
          <w:szCs w:val="24"/>
        </w:rPr>
        <w:t xml:space="preserve"> (</w:t>
      </w:r>
      <w:r w:rsidRPr="009340A7" w:rsidR="009340A7">
        <w:rPr>
          <w:rFonts w:ascii="Times New Roman" w:hAnsi="Times New Roman"/>
          <w:szCs w:val="24"/>
        </w:rPr>
        <w:t>Maritime Administration (MARAD) Jones Act Vessel Availability Determinations</w:t>
      </w:r>
      <w:r>
        <w:rPr>
          <w:rFonts w:ascii="Times New Roman" w:hAnsi="Times New Roman"/>
          <w:szCs w:val="24"/>
        </w:rPr>
        <w:t xml:space="preserve">), which </w:t>
      </w:r>
      <w:r w:rsidR="002C435E">
        <w:rPr>
          <w:rFonts w:ascii="Times New Roman" w:hAnsi="Times New Roman"/>
          <w:szCs w:val="24"/>
        </w:rPr>
        <w:t>expires</w:t>
      </w:r>
      <w:r>
        <w:rPr>
          <w:rFonts w:ascii="Times New Roman" w:hAnsi="Times New Roman"/>
          <w:szCs w:val="24"/>
        </w:rPr>
        <w:t xml:space="preserve"> on </w:t>
      </w:r>
      <w:r w:rsidR="002C435E">
        <w:rPr>
          <w:rFonts w:ascii="Times New Roman" w:hAnsi="Times New Roman"/>
          <w:szCs w:val="24"/>
        </w:rPr>
        <w:t>March 3</w:t>
      </w:r>
      <w:r w:rsidR="00BA3155">
        <w:rPr>
          <w:rFonts w:ascii="Times New Roman" w:hAnsi="Times New Roman"/>
          <w:szCs w:val="24"/>
        </w:rPr>
        <w:t>1</w:t>
      </w:r>
      <w:r w:rsidR="002C435E">
        <w:rPr>
          <w:rFonts w:ascii="Times New Roman" w:hAnsi="Times New Roman"/>
          <w:szCs w:val="24"/>
        </w:rPr>
        <w:t xml:space="preserve">, </w:t>
      </w:r>
      <w:r w:rsidR="00BA3155">
        <w:rPr>
          <w:rFonts w:ascii="Times New Roman" w:hAnsi="Times New Roman"/>
          <w:szCs w:val="24"/>
        </w:rPr>
        <w:t>2025</w:t>
      </w:r>
      <w:r>
        <w:rPr>
          <w:rFonts w:ascii="Times New Roman" w:hAnsi="Times New Roman"/>
          <w:szCs w:val="24"/>
        </w:rPr>
        <w:t xml:space="preserve">. </w:t>
      </w:r>
      <w:bookmarkStart w:id="1" w:name="_Hlk183606787"/>
      <w:r w:rsidR="00EA41E9">
        <w:rPr>
          <w:rFonts w:ascii="Times New Roman" w:hAnsi="Times New Roman"/>
          <w:szCs w:val="24"/>
        </w:rPr>
        <w:t xml:space="preserve">Since the last renewal, there were less </w:t>
      </w:r>
      <w:r w:rsidR="00273126">
        <w:rPr>
          <w:rFonts w:ascii="Times New Roman" w:hAnsi="Times New Roman"/>
          <w:szCs w:val="24"/>
        </w:rPr>
        <w:t xml:space="preserve">respondents, responses, and burden </w:t>
      </w:r>
      <w:r w:rsidR="00510B0B">
        <w:rPr>
          <w:rFonts w:ascii="Times New Roman" w:hAnsi="Times New Roman"/>
          <w:szCs w:val="24"/>
        </w:rPr>
        <w:t>hours</w:t>
      </w:r>
      <w:r w:rsidR="00273126">
        <w:rPr>
          <w:rFonts w:ascii="Times New Roman" w:hAnsi="Times New Roman"/>
          <w:szCs w:val="24"/>
        </w:rPr>
        <w:t xml:space="preserve">. </w:t>
      </w:r>
      <w:r w:rsidR="00FB1A17">
        <w:rPr>
          <w:rFonts w:ascii="Times New Roman" w:hAnsi="Times New Roman"/>
          <w:szCs w:val="24"/>
        </w:rPr>
        <w:t xml:space="preserve">There are no </w:t>
      </w:r>
      <w:r w:rsidR="00273126">
        <w:rPr>
          <w:rFonts w:ascii="Times New Roman" w:hAnsi="Times New Roman"/>
          <w:szCs w:val="24"/>
        </w:rPr>
        <w:t>program</w:t>
      </w:r>
      <w:r w:rsidR="00341180">
        <w:rPr>
          <w:rFonts w:ascii="Times New Roman" w:hAnsi="Times New Roman"/>
          <w:szCs w:val="24"/>
        </w:rPr>
        <w:t xml:space="preserve"> changes</w:t>
      </w:r>
      <w:r w:rsidR="00FB1A17">
        <w:rPr>
          <w:rFonts w:ascii="Times New Roman" w:hAnsi="Times New Roman"/>
          <w:szCs w:val="24"/>
        </w:rPr>
        <w:t xml:space="preserve">, so this collection will be submitted as </w:t>
      </w:r>
      <w:r w:rsidRPr="00216721" w:rsidR="00FB1A17">
        <w:rPr>
          <w:rFonts w:ascii="Times New Roman" w:hAnsi="Times New Roman"/>
          <w:i/>
          <w:iCs/>
          <w:szCs w:val="24"/>
        </w:rPr>
        <w:t>an extension without change of a currently approved collection.</w:t>
      </w:r>
    </w:p>
    <w:bookmarkEnd w:id="1"/>
    <w:p w:rsidR="00E83256" w:rsidRPr="00D71CB5" w:rsidP="00176C0E" w14:paraId="6FE9AF53" w14:textId="77777777">
      <w:pPr>
        <w:rPr>
          <w:rFonts w:ascii="Times New Roman" w:hAnsi="Times New Roman"/>
          <w:szCs w:val="24"/>
        </w:rPr>
      </w:pPr>
    </w:p>
    <w:p w:rsidR="00367094" w:rsidRPr="00216721" w:rsidP="00216721" w14:paraId="72F8041A" w14:textId="3C380FEA">
      <w:pPr>
        <w:pStyle w:val="ListParagraph"/>
        <w:numPr>
          <w:ilvl w:val="0"/>
          <w:numId w:val="26"/>
        </w:numPr>
        <w:tabs>
          <w:tab w:val="left" w:pos="-1440"/>
        </w:tabs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</w:rPr>
        <w:t xml:space="preserve">JUSTIFICATION </w:t>
      </w:r>
    </w:p>
    <w:p w:rsidR="00367094" w:rsidRPr="00D71CB5" w:rsidP="00176C0E" w14:paraId="2FC24A83" w14:textId="77777777">
      <w:pPr>
        <w:rPr>
          <w:rFonts w:ascii="Times New Roman" w:hAnsi="Times New Roman"/>
          <w:szCs w:val="24"/>
        </w:rPr>
      </w:pPr>
    </w:p>
    <w:p w:rsidR="002C435E" w:rsidRPr="00D71CB5" w:rsidP="00216721" w14:paraId="30C8E36E" w14:textId="561C7488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 w:rsidRPr="002C435E">
        <w:rPr>
          <w:rFonts w:ascii="Times New Roman" w:hAnsi="Times New Roman"/>
          <w:szCs w:val="24"/>
        </w:rPr>
        <w:t>C</w:t>
      </w:r>
      <w:r w:rsidRPr="002C435E" w:rsidR="00367094">
        <w:rPr>
          <w:rFonts w:ascii="Times New Roman" w:hAnsi="Times New Roman"/>
          <w:szCs w:val="24"/>
        </w:rPr>
        <w:t xml:space="preserve">ircumstances </w:t>
      </w:r>
      <w:r w:rsidRPr="002C435E">
        <w:rPr>
          <w:rFonts w:ascii="Times New Roman" w:hAnsi="Times New Roman"/>
          <w:szCs w:val="24"/>
        </w:rPr>
        <w:t xml:space="preserve">Making </w:t>
      </w:r>
      <w:r w:rsidRPr="002C435E" w:rsidR="00367094">
        <w:rPr>
          <w:rFonts w:ascii="Times New Roman" w:hAnsi="Times New Roman"/>
          <w:szCs w:val="24"/>
        </w:rPr>
        <w:t xml:space="preserve">the </w:t>
      </w:r>
      <w:r w:rsidRPr="002C435E">
        <w:rPr>
          <w:rFonts w:ascii="Times New Roman" w:hAnsi="Times New Roman"/>
          <w:szCs w:val="24"/>
        </w:rPr>
        <w:t xml:space="preserve">Collection </w:t>
      </w:r>
      <w:r w:rsidRPr="002C435E" w:rsidR="00367094">
        <w:rPr>
          <w:rFonts w:ascii="Times New Roman" w:hAnsi="Times New Roman"/>
          <w:szCs w:val="24"/>
        </w:rPr>
        <w:t xml:space="preserve">of </w:t>
      </w:r>
      <w:r w:rsidRPr="002C435E">
        <w:rPr>
          <w:rFonts w:ascii="Times New Roman" w:hAnsi="Times New Roman"/>
          <w:szCs w:val="24"/>
        </w:rPr>
        <w:t>Information Necessary</w:t>
      </w:r>
      <w:r w:rsidRPr="002C435E" w:rsidR="00367094">
        <w:rPr>
          <w:rFonts w:ascii="Times New Roman" w:hAnsi="Times New Roman"/>
          <w:szCs w:val="24"/>
        </w:rPr>
        <w:t xml:space="preserve">.  </w:t>
      </w:r>
    </w:p>
    <w:p w:rsidR="00367094" w:rsidRPr="002C435E" w:rsidP="00216721" w14:paraId="6EE9D02A" w14:textId="77777777">
      <w:pPr>
        <w:pStyle w:val="BodyTextIndent3"/>
        <w:ind w:firstLine="0"/>
        <w:rPr>
          <w:rFonts w:ascii="Times New Roman" w:hAnsi="Times New Roman"/>
          <w:szCs w:val="24"/>
        </w:rPr>
      </w:pPr>
    </w:p>
    <w:p w:rsidR="00367094" w:rsidP="00412170" w14:paraId="1AE3CCC7" w14:textId="3572D0FA">
      <w:pPr>
        <w:ind w:left="720"/>
        <w:rPr>
          <w:rFonts w:ascii="Times New Roman" w:hAnsi="Times New Roman"/>
          <w:szCs w:val="24"/>
        </w:rPr>
      </w:pPr>
      <w:bookmarkStart w:id="2" w:name="_Hlk33004253"/>
      <w:r>
        <w:rPr>
          <w:rFonts w:ascii="Times New Roman" w:hAnsi="Times New Roman"/>
          <w:szCs w:val="24"/>
        </w:rPr>
        <w:t>Pursuant</w:t>
      </w:r>
      <w:r w:rsidR="00DA26FE">
        <w:rPr>
          <w:rFonts w:ascii="Times New Roman" w:hAnsi="Times New Roman"/>
          <w:szCs w:val="24"/>
        </w:rPr>
        <w:t xml:space="preserve"> to</w:t>
      </w:r>
      <w:r w:rsidRPr="00D71CB5">
        <w:rPr>
          <w:rFonts w:ascii="Times New Roman" w:hAnsi="Times New Roman"/>
          <w:szCs w:val="24"/>
        </w:rPr>
        <w:t xml:space="preserve"> </w:t>
      </w:r>
      <w:r w:rsidRPr="00D71CB5" w:rsidR="004A3B14">
        <w:rPr>
          <w:rFonts w:ascii="Times New Roman" w:hAnsi="Times New Roman"/>
          <w:szCs w:val="24"/>
        </w:rPr>
        <w:t xml:space="preserve">46 </w:t>
      </w:r>
      <w:r w:rsidR="00A66BA7">
        <w:rPr>
          <w:rFonts w:ascii="Times New Roman" w:hAnsi="Times New Roman"/>
          <w:szCs w:val="24"/>
        </w:rPr>
        <w:t>United States Code (</w:t>
      </w:r>
      <w:r w:rsidRPr="00D71CB5" w:rsidR="004A3B14">
        <w:rPr>
          <w:rFonts w:ascii="Times New Roman" w:hAnsi="Times New Roman"/>
          <w:szCs w:val="24"/>
        </w:rPr>
        <w:t>U.S.C.</w:t>
      </w:r>
      <w:r w:rsidR="00A66BA7">
        <w:rPr>
          <w:rFonts w:ascii="Times New Roman" w:hAnsi="Times New Roman"/>
          <w:szCs w:val="24"/>
        </w:rPr>
        <w:t>) Section</w:t>
      </w:r>
      <w:r w:rsidRPr="00D71CB5" w:rsidR="004A3B14">
        <w:rPr>
          <w:rFonts w:ascii="Times New Roman" w:hAnsi="Times New Roman"/>
          <w:szCs w:val="24"/>
        </w:rPr>
        <w:t xml:space="preserve"> </w:t>
      </w:r>
      <w:r w:rsidR="00A66BA7">
        <w:rPr>
          <w:rFonts w:ascii="Times New Roman" w:hAnsi="Times New Roman"/>
          <w:szCs w:val="24"/>
        </w:rPr>
        <w:t>(</w:t>
      </w:r>
      <w:r w:rsidRPr="00D71CB5" w:rsidR="004A3B14">
        <w:rPr>
          <w:rFonts w:ascii="Times New Roman" w:hAnsi="Times New Roman"/>
          <w:szCs w:val="24"/>
        </w:rPr>
        <w:t>§</w:t>
      </w:r>
      <w:r w:rsidR="00A66BA7">
        <w:rPr>
          <w:rFonts w:ascii="Times New Roman" w:hAnsi="Times New Roman"/>
          <w:szCs w:val="24"/>
        </w:rPr>
        <w:t>)</w:t>
      </w:r>
      <w:r w:rsidRPr="00D71CB5" w:rsidR="004A3B14">
        <w:rPr>
          <w:rFonts w:ascii="Times New Roman" w:hAnsi="Times New Roman"/>
          <w:szCs w:val="24"/>
        </w:rPr>
        <w:t xml:space="preserve"> 5</w:t>
      </w:r>
      <w:r w:rsidR="0006189A">
        <w:rPr>
          <w:rFonts w:ascii="Times New Roman" w:hAnsi="Times New Roman"/>
          <w:szCs w:val="24"/>
        </w:rPr>
        <w:t>01</w:t>
      </w:r>
      <w:r w:rsidRPr="00D71CB5" w:rsidR="004A3B14">
        <w:rPr>
          <w:rFonts w:ascii="Times New Roman" w:hAnsi="Times New Roman"/>
          <w:szCs w:val="24"/>
        </w:rPr>
        <w:t>(</w:t>
      </w:r>
      <w:r w:rsidR="0006189A">
        <w:rPr>
          <w:rFonts w:ascii="Times New Roman" w:hAnsi="Times New Roman"/>
          <w:szCs w:val="24"/>
        </w:rPr>
        <w:t>b</w:t>
      </w:r>
      <w:r w:rsidRPr="00D71CB5" w:rsidR="004A3B14">
        <w:rPr>
          <w:rFonts w:ascii="Times New Roman" w:hAnsi="Times New Roman"/>
          <w:szCs w:val="24"/>
        </w:rPr>
        <w:t>)</w:t>
      </w:r>
      <w:r w:rsidRPr="00D71CB5">
        <w:rPr>
          <w:rFonts w:ascii="Times New Roman" w:hAnsi="Times New Roman"/>
          <w:szCs w:val="24"/>
        </w:rPr>
        <w:t xml:space="preserve">, </w:t>
      </w:r>
      <w:r w:rsidR="0006189A">
        <w:rPr>
          <w:rFonts w:ascii="Times New Roman" w:hAnsi="Times New Roman"/>
          <w:szCs w:val="24"/>
        </w:rPr>
        <w:t xml:space="preserve">the Maritime Administrator </w:t>
      </w:r>
      <w:r w:rsidR="00D2603D">
        <w:rPr>
          <w:rFonts w:ascii="Times New Roman" w:hAnsi="Times New Roman"/>
          <w:szCs w:val="24"/>
        </w:rPr>
        <w:t>is required</w:t>
      </w:r>
      <w:r w:rsidRPr="00D71CB5">
        <w:rPr>
          <w:rFonts w:ascii="Times New Roman" w:hAnsi="Times New Roman"/>
          <w:szCs w:val="24"/>
        </w:rPr>
        <w:t xml:space="preserve"> </w:t>
      </w:r>
      <w:r w:rsidR="0006189A">
        <w:rPr>
          <w:rFonts w:ascii="Times New Roman" w:hAnsi="Times New Roman"/>
          <w:szCs w:val="24"/>
        </w:rPr>
        <w:t>t</w:t>
      </w:r>
      <w:bookmarkStart w:id="3" w:name="_Hlk184309587"/>
      <w:r w:rsidR="0006189A">
        <w:rPr>
          <w:rFonts w:ascii="Times New Roman" w:hAnsi="Times New Roman"/>
          <w:szCs w:val="24"/>
        </w:rPr>
        <w:t>o make determination</w:t>
      </w:r>
      <w:r w:rsidR="00D2603D">
        <w:rPr>
          <w:rFonts w:ascii="Times New Roman" w:hAnsi="Times New Roman"/>
          <w:szCs w:val="24"/>
        </w:rPr>
        <w:t>s</w:t>
      </w:r>
      <w:r w:rsidR="0006189A">
        <w:rPr>
          <w:rFonts w:ascii="Times New Roman" w:hAnsi="Times New Roman"/>
          <w:szCs w:val="24"/>
        </w:rPr>
        <w:t xml:space="preserve"> </w:t>
      </w:r>
      <w:r w:rsidR="00EA41E9">
        <w:rPr>
          <w:rFonts w:ascii="Times New Roman" w:hAnsi="Times New Roman"/>
          <w:szCs w:val="24"/>
        </w:rPr>
        <w:t xml:space="preserve">about </w:t>
      </w:r>
      <w:r w:rsidR="0006189A">
        <w:rPr>
          <w:rFonts w:ascii="Times New Roman" w:hAnsi="Times New Roman"/>
          <w:szCs w:val="24"/>
        </w:rPr>
        <w:t xml:space="preserve">the availability of </w:t>
      </w:r>
      <w:r w:rsidR="00B765D5">
        <w:rPr>
          <w:rFonts w:ascii="Times New Roman" w:hAnsi="Times New Roman"/>
          <w:szCs w:val="24"/>
        </w:rPr>
        <w:t>coastwise-</w:t>
      </w:r>
      <w:r w:rsidR="0006189A">
        <w:rPr>
          <w:rFonts w:ascii="Times New Roman" w:hAnsi="Times New Roman"/>
          <w:szCs w:val="24"/>
        </w:rPr>
        <w:t>qualified</w:t>
      </w:r>
      <w:r w:rsidR="00B765D5">
        <w:rPr>
          <w:rFonts w:ascii="Times New Roman" w:hAnsi="Times New Roman"/>
          <w:szCs w:val="24"/>
        </w:rPr>
        <w:t xml:space="preserve"> (</w:t>
      </w:r>
      <w:r w:rsidR="0006189A">
        <w:rPr>
          <w:rFonts w:ascii="Times New Roman" w:hAnsi="Times New Roman"/>
          <w:szCs w:val="24"/>
        </w:rPr>
        <w:t>United States</w:t>
      </w:r>
      <w:r w:rsidR="00B765D5">
        <w:rPr>
          <w:rFonts w:ascii="Times New Roman" w:hAnsi="Times New Roman"/>
          <w:szCs w:val="24"/>
        </w:rPr>
        <w:t xml:space="preserve"> owned, built, and crewed) vessels</w:t>
      </w:r>
      <w:r w:rsidR="0006189A">
        <w:rPr>
          <w:rFonts w:ascii="Times New Roman" w:hAnsi="Times New Roman"/>
          <w:szCs w:val="24"/>
        </w:rPr>
        <w:t xml:space="preserve"> to </w:t>
      </w:r>
      <w:r w:rsidR="00B765D5">
        <w:rPr>
          <w:rFonts w:ascii="Times New Roman" w:hAnsi="Times New Roman"/>
          <w:szCs w:val="24"/>
        </w:rPr>
        <w:t xml:space="preserve">transport merchandise </w:t>
      </w:r>
      <w:r w:rsidR="00D2603D">
        <w:rPr>
          <w:rFonts w:ascii="Times New Roman" w:hAnsi="Times New Roman"/>
          <w:szCs w:val="24"/>
        </w:rPr>
        <w:t xml:space="preserve">in </w:t>
      </w:r>
      <w:r w:rsidR="00B765D5">
        <w:rPr>
          <w:rFonts w:ascii="Times New Roman" w:hAnsi="Times New Roman"/>
          <w:szCs w:val="24"/>
        </w:rPr>
        <w:t xml:space="preserve">response to </w:t>
      </w:r>
      <w:r w:rsidR="00A850B6">
        <w:rPr>
          <w:rFonts w:ascii="Times New Roman" w:hAnsi="Times New Roman"/>
          <w:szCs w:val="24"/>
        </w:rPr>
        <w:t xml:space="preserve">all </w:t>
      </w:r>
      <w:r w:rsidR="00D2603D">
        <w:rPr>
          <w:rFonts w:ascii="Times New Roman" w:hAnsi="Times New Roman"/>
          <w:szCs w:val="24"/>
        </w:rPr>
        <w:t xml:space="preserve">requests </w:t>
      </w:r>
      <w:r w:rsidR="00B765D5">
        <w:rPr>
          <w:rFonts w:ascii="Times New Roman" w:hAnsi="Times New Roman"/>
          <w:szCs w:val="24"/>
        </w:rPr>
        <w:t xml:space="preserve">to </w:t>
      </w:r>
      <w:r w:rsidR="00D2603D">
        <w:rPr>
          <w:rFonts w:ascii="Times New Roman" w:hAnsi="Times New Roman"/>
          <w:szCs w:val="24"/>
        </w:rPr>
        <w:t xml:space="preserve">waive the Jones Act </w:t>
      </w:r>
      <w:bookmarkEnd w:id="3"/>
      <w:r w:rsidR="00D2603D">
        <w:rPr>
          <w:rFonts w:ascii="Times New Roman" w:hAnsi="Times New Roman"/>
          <w:szCs w:val="24"/>
        </w:rPr>
        <w:t>(46 U.S.C. § 55102)</w:t>
      </w:r>
      <w:r w:rsidRPr="00D71CB5">
        <w:rPr>
          <w:rFonts w:ascii="Times New Roman" w:hAnsi="Times New Roman"/>
          <w:szCs w:val="24"/>
        </w:rPr>
        <w:t xml:space="preserve">.  Based </w:t>
      </w:r>
      <w:r w:rsidR="00EA41E9">
        <w:rPr>
          <w:rFonts w:ascii="Times New Roman" w:hAnsi="Times New Roman"/>
          <w:szCs w:val="24"/>
        </w:rPr>
        <w:t xml:space="preserve">on </w:t>
      </w:r>
      <w:r w:rsidR="00B765D5">
        <w:rPr>
          <w:rFonts w:ascii="Times New Roman" w:hAnsi="Times New Roman"/>
          <w:szCs w:val="24"/>
        </w:rPr>
        <w:t xml:space="preserve">vessel non-availability </w:t>
      </w:r>
      <w:r w:rsidR="00EA41E9">
        <w:rPr>
          <w:rFonts w:ascii="Times New Roman" w:hAnsi="Times New Roman"/>
          <w:szCs w:val="24"/>
        </w:rPr>
        <w:t xml:space="preserve">determinations, </w:t>
      </w:r>
      <w:r w:rsidR="0006189A">
        <w:rPr>
          <w:rFonts w:ascii="Times New Roman" w:hAnsi="Times New Roman"/>
          <w:szCs w:val="24"/>
        </w:rPr>
        <w:t xml:space="preserve">the head of the </w:t>
      </w:r>
      <w:r w:rsidR="00477697">
        <w:rPr>
          <w:rFonts w:ascii="Times New Roman" w:hAnsi="Times New Roman"/>
          <w:szCs w:val="24"/>
        </w:rPr>
        <w:t>Department of Homeland Security</w:t>
      </w:r>
      <w:r w:rsidR="00DA26FE">
        <w:rPr>
          <w:rFonts w:ascii="Times New Roman" w:hAnsi="Times New Roman"/>
          <w:szCs w:val="24"/>
        </w:rPr>
        <w:t xml:space="preserve"> </w:t>
      </w:r>
      <w:r w:rsidR="0006189A">
        <w:rPr>
          <w:rFonts w:ascii="Times New Roman" w:hAnsi="Times New Roman"/>
          <w:szCs w:val="24"/>
        </w:rPr>
        <w:t xml:space="preserve">can waive compliance with the </w:t>
      </w:r>
      <w:r w:rsidR="00D2603D">
        <w:rPr>
          <w:rFonts w:ascii="Times New Roman" w:hAnsi="Times New Roman"/>
          <w:szCs w:val="24"/>
        </w:rPr>
        <w:t>Jones Act</w:t>
      </w:r>
      <w:r w:rsidRPr="00D71CB5">
        <w:rPr>
          <w:rFonts w:ascii="Times New Roman" w:hAnsi="Times New Roman"/>
          <w:szCs w:val="24"/>
        </w:rPr>
        <w:t xml:space="preserve">.  </w:t>
      </w:r>
    </w:p>
    <w:p w:rsidR="00216721" w:rsidRPr="00216721" w:rsidP="00412170" w14:paraId="73954CF1" w14:textId="77777777">
      <w:pPr>
        <w:ind w:left="720"/>
        <w:rPr>
          <w:rFonts w:ascii="Times New Roman" w:hAnsi="Times New Roman"/>
          <w:szCs w:val="24"/>
        </w:rPr>
      </w:pPr>
    </w:p>
    <w:p w:rsidR="00216721" w:rsidRPr="00216721" w:rsidP="00216721" w14:paraId="65814C70" w14:textId="4B90F56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This collection supports 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the Maritime Administrator’s determination of </w:t>
      </w:r>
      <w:r w:rsidR="00B765D5">
        <w:rPr>
          <w:rFonts w:ascii="Times New Roman" w:hAnsi="Times New Roman"/>
          <w:color w:val="000000"/>
          <w:shd w:val="clear" w:color="auto" w:fill="FFFFFF"/>
        </w:rPr>
        <w:t xml:space="preserve">coastwise-qualified 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vessel availability, </w:t>
      </w:r>
      <w:r w:rsidR="00DE43D7">
        <w:rPr>
          <w:rFonts w:ascii="Times New Roman" w:hAnsi="Times New Roman"/>
          <w:color w:val="000000"/>
          <w:shd w:val="clear" w:color="auto" w:fill="FFFFFF"/>
        </w:rPr>
        <w:t xml:space="preserve">as well as </w:t>
      </w:r>
      <w:r w:rsidR="00ED122C">
        <w:rPr>
          <w:rFonts w:ascii="Times New Roman" w:hAnsi="Times New Roman"/>
          <w:color w:val="000000"/>
          <w:shd w:val="clear" w:color="auto" w:fill="FFFFFF"/>
        </w:rPr>
        <w:t xml:space="preserve">the </w:t>
      </w:r>
      <w:r w:rsidR="00DE43D7">
        <w:rPr>
          <w:rFonts w:ascii="Times New Roman" w:hAnsi="Times New Roman"/>
          <w:color w:val="000000"/>
          <w:shd w:val="clear" w:color="auto" w:fill="FFFFFF"/>
        </w:rPr>
        <w:t>Department of Transportation’s strategic</w:t>
      </w:r>
      <w:r>
        <w:rPr>
          <w:rFonts w:ascii="Times New Roman" w:hAnsi="Times New Roman"/>
          <w:color w:val="000000"/>
          <w:shd w:val="clear" w:color="auto" w:fill="FFFFFF"/>
        </w:rPr>
        <w:t xml:space="preserve"> goal of strengthening </w:t>
      </w:r>
      <w:r w:rsidRPr="00216721">
        <w:rPr>
          <w:rFonts w:ascii="Times New Roman" w:hAnsi="Times New Roman"/>
          <w:color w:val="000000"/>
          <w:shd w:val="clear" w:color="auto" w:fill="FFFFFF"/>
        </w:rPr>
        <w:t xml:space="preserve">U.S. </w:t>
      </w:r>
      <w:r>
        <w:rPr>
          <w:rFonts w:ascii="Times New Roman" w:hAnsi="Times New Roman"/>
          <w:color w:val="000000"/>
          <w:shd w:val="clear" w:color="auto" w:fill="FFFFFF"/>
        </w:rPr>
        <w:t>m</w:t>
      </w:r>
      <w:r w:rsidRPr="00216721">
        <w:rPr>
          <w:rFonts w:ascii="Times New Roman" w:hAnsi="Times New Roman"/>
          <w:color w:val="000000"/>
          <w:shd w:val="clear" w:color="auto" w:fill="FFFFFF"/>
        </w:rPr>
        <w:t xml:space="preserve">aritime </w:t>
      </w:r>
      <w:r>
        <w:rPr>
          <w:rFonts w:ascii="Times New Roman" w:hAnsi="Times New Roman"/>
          <w:color w:val="000000"/>
          <w:shd w:val="clear" w:color="auto" w:fill="FFFFFF"/>
        </w:rPr>
        <w:t>c</w:t>
      </w:r>
      <w:r w:rsidRPr="00216721">
        <w:rPr>
          <w:rFonts w:ascii="Times New Roman" w:hAnsi="Times New Roman"/>
          <w:color w:val="000000"/>
          <w:shd w:val="clear" w:color="auto" w:fill="FFFFFF"/>
        </w:rPr>
        <w:t>apabilities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.  </w:t>
      </w:r>
      <w:r w:rsidR="003E4D95">
        <w:rPr>
          <w:rFonts w:ascii="Times New Roman" w:hAnsi="Times New Roman"/>
          <w:color w:val="000000"/>
          <w:shd w:val="clear" w:color="auto" w:fill="FFFFFF"/>
        </w:rPr>
        <w:t xml:space="preserve">Specifically, support is needed for 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U.S. shipyard capacity and </w:t>
      </w:r>
      <w:r w:rsidR="003E4D95">
        <w:rPr>
          <w:rFonts w:ascii="Times New Roman" w:hAnsi="Times New Roman"/>
          <w:color w:val="000000"/>
          <w:shd w:val="clear" w:color="auto" w:fill="FFFFFF"/>
        </w:rPr>
        <w:t>U.S. mariner employment</w:t>
      </w:r>
      <w:r w:rsidR="00B54B7E">
        <w:rPr>
          <w:rFonts w:ascii="Times New Roman" w:hAnsi="Times New Roman"/>
          <w:color w:val="000000"/>
          <w:shd w:val="clear" w:color="auto" w:fill="FFFFFF"/>
        </w:rPr>
        <w:t>,</w:t>
      </w:r>
      <w:r w:rsidR="003E4D95">
        <w:rPr>
          <w:rFonts w:ascii="Times New Roman" w:hAnsi="Times New Roman"/>
          <w:color w:val="000000"/>
          <w:shd w:val="clear" w:color="auto" w:fill="FFFFFF"/>
        </w:rPr>
        <w:t xml:space="preserve"> to sustain an emergency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 fleet </w:t>
      </w:r>
      <w:r w:rsidR="003E4D95">
        <w:rPr>
          <w:rFonts w:ascii="Times New Roman" w:hAnsi="Times New Roman"/>
          <w:color w:val="000000"/>
          <w:shd w:val="clear" w:color="auto" w:fill="FFFFFF"/>
        </w:rPr>
        <w:t xml:space="preserve">for contingencies. This is done </w:t>
      </w:r>
      <w:r w:rsidR="006827A6">
        <w:rPr>
          <w:rFonts w:ascii="Times New Roman" w:hAnsi="Times New Roman"/>
          <w:color w:val="000000"/>
          <w:shd w:val="clear" w:color="auto" w:fill="FFFFFF"/>
        </w:rPr>
        <w:t>by both reserving domestic waterborne trade to U.S.</w:t>
      </w:r>
      <w:r w:rsidR="003E4D9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827A6">
        <w:rPr>
          <w:rFonts w:ascii="Times New Roman" w:hAnsi="Times New Roman"/>
          <w:color w:val="000000"/>
          <w:shd w:val="clear" w:color="auto" w:fill="FFFFFF"/>
        </w:rPr>
        <w:t>coastwise qualified vessels</w:t>
      </w:r>
      <w:r w:rsidR="003E4D95">
        <w:rPr>
          <w:rFonts w:ascii="Times New Roman" w:hAnsi="Times New Roman"/>
          <w:color w:val="000000"/>
          <w:shd w:val="clear" w:color="auto" w:fill="FFFFFF"/>
        </w:rPr>
        <w:t xml:space="preserve"> only, </w:t>
      </w:r>
      <w:r w:rsidR="006827A6">
        <w:rPr>
          <w:rFonts w:ascii="Times New Roman" w:hAnsi="Times New Roman"/>
          <w:color w:val="000000"/>
          <w:shd w:val="clear" w:color="auto" w:fill="FFFFFF"/>
        </w:rPr>
        <w:t xml:space="preserve">and by maximizing the use of U.S.-flag, U.S.-built vessels </w:t>
      </w:r>
      <w:r w:rsidR="003E4D95">
        <w:rPr>
          <w:rFonts w:ascii="Times New Roman" w:hAnsi="Times New Roman"/>
          <w:color w:val="000000"/>
          <w:shd w:val="clear" w:color="auto" w:fill="FFFFFF"/>
        </w:rPr>
        <w:t>when Jones Act waivers are requested.</w:t>
      </w:r>
    </w:p>
    <w:bookmarkEnd w:id="2"/>
    <w:p w:rsidR="00AD4C95" w:rsidRPr="00D71CB5" w:rsidP="00216721" w14:paraId="3033A8F7" w14:textId="77777777">
      <w:pPr>
        <w:ind w:left="360"/>
        <w:rPr>
          <w:rFonts w:ascii="Times New Roman" w:hAnsi="Times New Roman"/>
          <w:szCs w:val="24"/>
        </w:rPr>
      </w:pPr>
    </w:p>
    <w:p w:rsidR="00A66850" w:rsidP="00412170" w14:paraId="48E5C7D3" w14:textId="77777777">
      <w:pPr>
        <w:pStyle w:val="BodyTextIndent2"/>
        <w:rPr>
          <w:rFonts w:ascii="Times New Roman" w:hAnsi="Times New Roman"/>
          <w:i w:val="0"/>
          <w:szCs w:val="24"/>
        </w:rPr>
      </w:pPr>
      <w:r w:rsidRPr="00AC3700">
        <w:rPr>
          <w:rFonts w:ascii="Times New Roman" w:hAnsi="Times New Roman"/>
          <w:i w:val="0"/>
          <w:szCs w:val="24"/>
          <w:u w:val="single"/>
        </w:rPr>
        <w:t>Excerpt of applicable law</w:t>
      </w:r>
      <w:r w:rsidRPr="00AC3700">
        <w:rPr>
          <w:rFonts w:ascii="Times New Roman" w:hAnsi="Times New Roman"/>
          <w:i w:val="0"/>
          <w:szCs w:val="24"/>
        </w:rPr>
        <w:t>:</w:t>
      </w:r>
    </w:p>
    <w:p w:rsidR="00A66850" w:rsidP="00412170" w14:paraId="322FB70E" w14:textId="77777777">
      <w:pPr>
        <w:pStyle w:val="BodyTextIndent2"/>
        <w:rPr>
          <w:rFonts w:ascii="Times New Roman" w:hAnsi="Times New Roman"/>
          <w:i w:val="0"/>
          <w:szCs w:val="24"/>
        </w:rPr>
      </w:pPr>
    </w:p>
    <w:p w:rsidR="00A66850" w:rsidP="00412170" w14:paraId="6B8E5FE9" w14:textId="39A22FD6">
      <w:pPr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i/>
          <w:szCs w:val="24"/>
        </w:rPr>
        <w:t>46 U.S.C. § 501(b)</w:t>
      </w:r>
      <w:r w:rsidR="00B765D5">
        <w:rPr>
          <w:rFonts w:ascii="Times New Roman" w:hAnsi="Times New Roman"/>
          <w:iCs/>
          <w:szCs w:val="24"/>
        </w:rPr>
        <w:t>-</w:t>
      </w:r>
    </w:p>
    <w:p w:rsidR="00B765D5" w:rsidP="00412170" w14:paraId="1B7BF1AB" w14:textId="77777777">
      <w:pPr>
        <w:ind w:left="720"/>
        <w:rPr>
          <w:rFonts w:ascii="Arial" w:hAnsi="Arial"/>
          <w:color w:val="000000"/>
          <w:szCs w:val="24"/>
        </w:rPr>
      </w:pPr>
    </w:p>
    <w:p w:rsidR="00B765D5" w:rsidRPr="00BB6ABB" w:rsidP="001E19D1" w14:paraId="0BA5897D" w14:textId="5A4AEB9E">
      <w:pPr>
        <w:ind w:left="720"/>
        <w:rPr>
          <w:rFonts w:ascii="Times New Roman" w:eastAsia="STXihei" w:hAnsi="Times New Roman"/>
          <w:color w:val="000000"/>
          <w:szCs w:val="24"/>
        </w:rPr>
      </w:pPr>
      <w:r w:rsidRPr="00BB6ABB">
        <w:rPr>
          <w:rFonts w:ascii="Times New Roman" w:eastAsia="STXihei" w:hAnsi="Times New Roman"/>
          <w:b/>
          <w:bCs/>
          <w:color w:val="000000"/>
          <w:szCs w:val="24"/>
        </w:rPr>
        <w:t>(b)</w:t>
      </w:r>
      <w:r w:rsidR="001E19D1">
        <w:rPr>
          <w:rFonts w:ascii="Times New Roman" w:eastAsia="STXihei" w:hAnsi="Times New Roman"/>
          <w:b/>
          <w:bCs/>
          <w:color w:val="000000"/>
          <w:szCs w:val="24"/>
        </w:rPr>
        <w:t xml:space="preserve"> </w:t>
      </w:r>
      <w:r w:rsidRPr="00BB6ABB">
        <w:rPr>
          <w:rFonts w:ascii="Times New Roman" w:eastAsia="STXihei" w:hAnsi="Times New Roman"/>
          <w:b/>
          <w:bCs/>
          <w:color w:val="000000"/>
          <w:szCs w:val="24"/>
        </w:rPr>
        <w:t>By Head of Agency.—</w:t>
      </w:r>
    </w:p>
    <w:p w:rsidR="00B765D5" w:rsidRPr="00BB6ABB" w:rsidP="00BB6ABB" w14:paraId="68983994" w14:textId="272D5C65">
      <w:pPr>
        <w:ind w:left="1440"/>
        <w:rPr>
          <w:rFonts w:ascii="Times New Roman" w:eastAsia="STXihei" w:hAnsi="Times New Roman"/>
          <w:color w:val="000000"/>
          <w:szCs w:val="24"/>
        </w:rPr>
      </w:pPr>
      <w:bookmarkStart w:id="4" w:name="b_1"/>
      <w:bookmarkEnd w:id="4"/>
      <w:r w:rsidRPr="00BB6ABB">
        <w:rPr>
          <w:rFonts w:ascii="Times New Roman" w:eastAsia="STXihei" w:hAnsi="Times New Roman"/>
          <w:b/>
          <w:bCs/>
          <w:color w:val="000000"/>
          <w:szCs w:val="24"/>
        </w:rPr>
        <w:t>(1)</w:t>
      </w:r>
      <w:r w:rsidR="00110F61">
        <w:rPr>
          <w:rFonts w:ascii="Times New Roman" w:eastAsia="STXihei" w:hAnsi="Times New Roman"/>
          <w:b/>
          <w:bCs/>
          <w:color w:val="000000"/>
          <w:szCs w:val="24"/>
        </w:rPr>
        <w:t xml:space="preserve"> </w:t>
      </w:r>
      <w:r w:rsidRPr="00BB6ABB">
        <w:rPr>
          <w:rFonts w:ascii="Times New Roman" w:eastAsia="STXihei" w:hAnsi="Times New Roman"/>
          <w:b/>
          <w:bCs/>
          <w:color w:val="000000"/>
          <w:szCs w:val="24"/>
        </w:rPr>
        <w:t>In general.—</w:t>
      </w:r>
      <w:r w:rsidRPr="00BB6ABB">
        <w:rPr>
          <w:rFonts w:ascii="Times New Roman" w:eastAsia="STXihei" w:hAnsi="Times New Roman"/>
          <w:color w:val="000000"/>
          <w:szCs w:val="24"/>
        </w:rPr>
        <w:t>Upon a determination by the President that a waiver of the navigation or vessel-inspection laws is necessary in the interest of national defense, the head of an agency responsible for the administration of such laws,</w:t>
      </w:r>
      <w:bookmarkStart w:id="5" w:name="fn002000-ref"/>
      <w:hyperlink r:id="rId6" w:anchor="fn002000" w:history="1">
        <w:r w:rsidRPr="00BB6ABB">
          <w:rPr>
            <w:rStyle w:val="Hyperlink"/>
            <w:rFonts w:ascii="Times New Roman" w:eastAsia="STXihei" w:hAnsi="Times New Roman"/>
            <w:szCs w:val="24"/>
          </w:rPr>
          <w:t>[1]</w:t>
        </w:r>
      </w:hyperlink>
      <w:bookmarkEnd w:id="5"/>
      <w:r w:rsidRPr="00BB6ABB">
        <w:rPr>
          <w:rFonts w:ascii="Times New Roman" w:eastAsia="STXihei" w:hAnsi="Times New Roman"/>
          <w:color w:val="000000"/>
          <w:szCs w:val="24"/>
        </w:rPr>
        <w:t> may waive compliance with such laws—</w:t>
      </w:r>
    </w:p>
    <w:p w:rsidR="00B765D5" w:rsidRPr="00BB6ABB" w:rsidP="00BB6ABB" w14:paraId="35E850CC" w14:textId="67A25BE5">
      <w:pPr>
        <w:ind w:left="2160"/>
        <w:rPr>
          <w:rFonts w:ascii="Times New Roman" w:eastAsia="STXihei" w:hAnsi="Times New Roman"/>
          <w:color w:val="000000"/>
          <w:szCs w:val="24"/>
        </w:rPr>
      </w:pPr>
      <w:bookmarkStart w:id="6" w:name="b_1_A"/>
      <w:bookmarkEnd w:id="6"/>
      <w:r w:rsidRPr="00BB6ABB">
        <w:rPr>
          <w:rFonts w:ascii="Times New Roman" w:eastAsia="STXihei" w:hAnsi="Times New Roman"/>
          <w:b/>
          <w:bCs/>
          <w:color w:val="000000"/>
          <w:szCs w:val="24"/>
        </w:rPr>
        <w:t>(A)</w:t>
      </w:r>
      <w:r w:rsidR="00CF2A05">
        <w:rPr>
          <w:rFonts w:ascii="Times New Roman" w:eastAsia="STXihei" w:hAnsi="Times New Roman"/>
          <w:b/>
          <w:bCs/>
          <w:color w:val="000000"/>
          <w:szCs w:val="24"/>
        </w:rPr>
        <w:t xml:space="preserve"> </w:t>
      </w:r>
      <w:r w:rsidR="00CF2A05">
        <w:rPr>
          <w:rFonts w:ascii="Times New Roman" w:eastAsia="STXihei" w:hAnsi="Times New Roman"/>
          <w:color w:val="000000"/>
          <w:szCs w:val="24"/>
        </w:rPr>
        <w:t>F</w:t>
      </w:r>
      <w:r w:rsidRPr="00BB6ABB" w:rsidR="00CF2A05">
        <w:rPr>
          <w:rFonts w:ascii="Times New Roman" w:eastAsia="STXihei" w:hAnsi="Times New Roman"/>
          <w:color w:val="000000"/>
          <w:szCs w:val="24"/>
        </w:rPr>
        <w:t xml:space="preserve">ollowing </w:t>
      </w:r>
      <w:r w:rsidRPr="00BB6ABB">
        <w:rPr>
          <w:rFonts w:ascii="Times New Roman" w:eastAsia="STXihei" w:hAnsi="Times New Roman"/>
          <w:color w:val="000000"/>
          <w:szCs w:val="24"/>
        </w:rPr>
        <w:t xml:space="preserve">a determination in accordance with the requirements of </w:t>
      </w:r>
      <w:r w:rsidRPr="00BB6ABB">
        <w:rPr>
          <w:rFonts w:ascii="Times New Roman" w:eastAsia="STXihei" w:hAnsi="Times New Roman"/>
          <w:color w:val="000000"/>
          <w:szCs w:val="24"/>
        </w:rPr>
        <w:t>paragraph (3) by the Maritime Administrator, acting in the Administrator’s capacity as Director, National Shipping Authority, of the non-availability of qualified United States flag capacity to meet national defense requirements;</w:t>
      </w:r>
    </w:p>
    <w:p w:rsidR="00B765D5" w:rsidRPr="00BB6ABB" w:rsidP="00BB6ABB" w14:paraId="6F16F010" w14:textId="1F638798">
      <w:pPr>
        <w:ind w:left="2160"/>
        <w:rPr>
          <w:rFonts w:ascii="Times New Roman" w:eastAsia="STXihei" w:hAnsi="Times New Roman"/>
          <w:color w:val="000000"/>
          <w:szCs w:val="24"/>
        </w:rPr>
      </w:pPr>
      <w:bookmarkStart w:id="7" w:name="b_1_B"/>
      <w:bookmarkEnd w:id="7"/>
      <w:r w:rsidRPr="00BB6ABB">
        <w:rPr>
          <w:rFonts w:ascii="Times New Roman" w:eastAsia="STXihei" w:hAnsi="Times New Roman"/>
          <w:b/>
          <w:bCs/>
          <w:color w:val="000000"/>
          <w:szCs w:val="24"/>
        </w:rPr>
        <w:t>(B)</w:t>
      </w:r>
      <w:r w:rsidR="00CF2A05">
        <w:rPr>
          <w:rFonts w:ascii="Times New Roman" w:eastAsia="STXihei" w:hAnsi="Times New Roman"/>
          <w:b/>
          <w:bCs/>
          <w:color w:val="000000"/>
          <w:szCs w:val="24"/>
        </w:rPr>
        <w:t xml:space="preserve"> </w:t>
      </w:r>
      <w:r w:rsidRPr="00BB6ABB">
        <w:rPr>
          <w:rFonts w:ascii="Times New Roman" w:eastAsia="STXihei" w:hAnsi="Times New Roman"/>
          <w:color w:val="000000"/>
          <w:szCs w:val="24"/>
        </w:rPr>
        <w:t>not earlier than 48 hours after a waiver request is published under paragraph (6)(A); and</w:t>
      </w:r>
    </w:p>
    <w:p w:rsidR="00B765D5" w:rsidRPr="00BB6ABB" w:rsidP="00BB6ABB" w14:paraId="6FF0954D" w14:textId="6EC092A1">
      <w:pPr>
        <w:ind w:left="2160"/>
        <w:rPr>
          <w:rFonts w:ascii="Times New Roman" w:eastAsia="STXihei" w:hAnsi="Times New Roman"/>
          <w:color w:val="000000"/>
          <w:szCs w:val="24"/>
        </w:rPr>
      </w:pPr>
      <w:bookmarkStart w:id="8" w:name="b_1_C"/>
      <w:bookmarkEnd w:id="8"/>
      <w:r w:rsidRPr="00BB6ABB">
        <w:rPr>
          <w:rFonts w:ascii="Times New Roman" w:eastAsia="STXihei" w:hAnsi="Times New Roman"/>
          <w:b/>
          <w:bCs/>
          <w:color w:val="000000"/>
          <w:szCs w:val="24"/>
        </w:rPr>
        <w:t>(C)</w:t>
      </w:r>
      <w:r w:rsidR="0047482B">
        <w:rPr>
          <w:rFonts w:ascii="Times New Roman" w:eastAsia="STXihei" w:hAnsi="Times New Roman"/>
          <w:b/>
          <w:bCs/>
          <w:color w:val="000000"/>
          <w:szCs w:val="24"/>
        </w:rPr>
        <w:t xml:space="preserve"> </w:t>
      </w:r>
      <w:r w:rsidRPr="00BB6ABB">
        <w:rPr>
          <w:rFonts w:ascii="Times New Roman" w:eastAsia="STXihei" w:hAnsi="Times New Roman"/>
          <w:color w:val="000000"/>
          <w:szCs w:val="24"/>
        </w:rPr>
        <w:t>on a vessel specific basis to the extent, in the manner, and on the terms the head of such agency, in consultation with the Administrator, acting in such capacity, prescribes.</w:t>
      </w:r>
    </w:p>
    <w:p w:rsidR="0047482B" w:rsidP="00BB6ABB" w14:paraId="49E76042" w14:textId="360E69D8">
      <w:pPr>
        <w:ind w:left="1440" w:firstLine="720"/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>. . .</w:t>
      </w:r>
    </w:p>
    <w:p w:rsidR="0047482B" w:rsidP="00BB6ABB" w14:paraId="0276F5AA" w14:textId="77777777">
      <w:pPr>
        <w:ind w:left="1440"/>
        <w:rPr>
          <w:rFonts w:ascii="Arial" w:hAnsi="Arial"/>
          <w:color w:val="000000"/>
          <w:szCs w:val="24"/>
        </w:rPr>
      </w:pPr>
    </w:p>
    <w:p w:rsidR="0047482B" w:rsidRPr="00BB6ABB" w:rsidP="00BB6ABB" w14:paraId="0F07C06C" w14:textId="40446832">
      <w:pPr>
        <w:ind w:left="1440"/>
        <w:rPr>
          <w:rFonts w:ascii="Times New Roman" w:hAnsi="Times New Roman"/>
          <w:color w:val="000000"/>
          <w:szCs w:val="24"/>
        </w:rPr>
      </w:pPr>
      <w:r w:rsidRPr="00BB6ABB">
        <w:rPr>
          <w:rFonts w:ascii="Times New Roman" w:hAnsi="Times New Roman"/>
          <w:b/>
          <w:bCs/>
          <w:color w:val="000000"/>
          <w:szCs w:val="24"/>
        </w:rPr>
        <w:t>(6)</w:t>
      </w:r>
      <w:r w:rsidR="00110F61">
        <w:rPr>
          <w:rFonts w:ascii="Times New Roman" w:hAnsi="Times New Roman"/>
          <w:color w:val="000000"/>
          <w:szCs w:val="24"/>
        </w:rPr>
        <w:t xml:space="preserve"> </w:t>
      </w:r>
      <w:r w:rsidRPr="00BB6ABB">
        <w:rPr>
          <w:rFonts w:ascii="Times New Roman" w:hAnsi="Times New Roman"/>
          <w:b/>
          <w:bCs/>
          <w:color w:val="000000"/>
          <w:szCs w:val="24"/>
        </w:rPr>
        <w:t>Publication requirements.</w:t>
      </w:r>
      <w:r w:rsidRPr="00BB6ABB">
        <w:rPr>
          <w:rFonts w:ascii="Times New Roman" w:hAnsi="Times New Roman"/>
          <w:color w:val="000000"/>
          <w:szCs w:val="24"/>
        </w:rPr>
        <w:t>—</w:t>
      </w:r>
    </w:p>
    <w:p w:rsidR="0047482B" w:rsidRPr="00BB6ABB" w:rsidP="00BB6ABB" w14:paraId="376DA82E" w14:textId="4DEDE40C">
      <w:pPr>
        <w:ind w:left="1440" w:firstLine="720"/>
        <w:rPr>
          <w:rFonts w:ascii="Times New Roman" w:hAnsi="Times New Roman"/>
          <w:color w:val="000000"/>
          <w:szCs w:val="24"/>
        </w:rPr>
      </w:pPr>
      <w:r w:rsidRPr="00BB6ABB">
        <w:rPr>
          <w:rFonts w:ascii="Times New Roman" w:hAnsi="Times New Roman"/>
          <w:color w:val="000000"/>
          <w:szCs w:val="24"/>
        </w:rPr>
        <w:t>(A</w:t>
      </w:r>
      <w:r w:rsidR="00B54B7E">
        <w:rPr>
          <w:rFonts w:ascii="Times New Roman" w:hAnsi="Times New Roman"/>
          <w:color w:val="000000"/>
          <w:szCs w:val="24"/>
        </w:rPr>
        <w:t xml:space="preserve"> </w:t>
      </w:r>
      <w:r w:rsidRPr="00BB6ABB">
        <w:rPr>
          <w:rFonts w:ascii="Times New Roman" w:hAnsi="Times New Roman"/>
          <w:color w:val="000000"/>
          <w:szCs w:val="24"/>
        </w:rPr>
        <w:t>)Publication of waiver requests.—</w:t>
      </w:r>
    </w:p>
    <w:p w:rsidR="0047482B" w:rsidRPr="00BB6ABB" w:rsidP="00BB6ABB" w14:paraId="4B087E76" w14:textId="04D9C85A">
      <w:pPr>
        <w:ind w:left="2160"/>
        <w:rPr>
          <w:rFonts w:ascii="Times New Roman" w:hAnsi="Times New Roman"/>
          <w:color w:val="000000"/>
          <w:szCs w:val="24"/>
        </w:rPr>
      </w:pPr>
      <w:r w:rsidRPr="00BB6ABB">
        <w:rPr>
          <w:rFonts w:ascii="Times New Roman" w:hAnsi="Times New Roman"/>
          <w:color w:val="000000"/>
          <w:szCs w:val="24"/>
        </w:rPr>
        <w:t>Upon receiving a request for a waiver under this subsection, the head of an agency referred to in paragraph (1) shall publish such request on the website of such agency.</w:t>
      </w:r>
    </w:p>
    <w:p w:rsidR="00A66850" w:rsidRPr="00A66850" w:rsidP="00176C0E" w14:paraId="500266F4" w14:textId="77777777">
      <w:pPr>
        <w:pStyle w:val="BodyTextIndent2"/>
        <w:rPr>
          <w:rFonts w:ascii="Times New Roman" w:hAnsi="Times New Roman"/>
          <w:i w:val="0"/>
          <w:szCs w:val="24"/>
        </w:rPr>
      </w:pPr>
    </w:p>
    <w:p w:rsidR="002C435E" w:rsidRPr="00D71CB5" w:rsidP="00216721" w14:paraId="5BFBA7CE" w14:textId="57817AA4">
      <w:pPr>
        <w:pStyle w:val="ListParagraph"/>
        <w:numPr>
          <w:ilvl w:val="0"/>
          <w:numId w:val="29"/>
        </w:numPr>
      </w:pPr>
      <w:r w:rsidRPr="00216721">
        <w:rPr>
          <w:rFonts w:ascii="Times New Roman" w:hAnsi="Times New Roman"/>
          <w:b/>
          <w:szCs w:val="24"/>
        </w:rPr>
        <w:t>P</w:t>
      </w:r>
      <w:r w:rsidRPr="00216721" w:rsidR="00367094">
        <w:rPr>
          <w:rFonts w:ascii="Times New Roman" w:hAnsi="Times New Roman"/>
          <w:b/>
          <w:szCs w:val="24"/>
        </w:rPr>
        <w:t>urpose</w:t>
      </w:r>
      <w:r w:rsidRPr="00216721">
        <w:rPr>
          <w:rFonts w:ascii="Times New Roman" w:hAnsi="Times New Roman"/>
          <w:b/>
          <w:szCs w:val="24"/>
        </w:rPr>
        <w:t xml:space="preserve"> and Use of</w:t>
      </w:r>
      <w:r w:rsidRPr="00216721" w:rsidR="00367094">
        <w:rPr>
          <w:rFonts w:ascii="Times New Roman" w:hAnsi="Times New Roman"/>
          <w:b/>
          <w:szCs w:val="24"/>
        </w:rPr>
        <w:t xml:space="preserve"> the </w:t>
      </w:r>
      <w:r w:rsidRPr="00216721">
        <w:rPr>
          <w:rFonts w:ascii="Times New Roman" w:hAnsi="Times New Roman"/>
          <w:b/>
          <w:szCs w:val="24"/>
        </w:rPr>
        <w:t>I</w:t>
      </w:r>
      <w:r w:rsidRPr="00216721" w:rsidR="00367094">
        <w:rPr>
          <w:rFonts w:ascii="Times New Roman" w:hAnsi="Times New Roman"/>
          <w:b/>
          <w:szCs w:val="24"/>
        </w:rPr>
        <w:t>nformation</w:t>
      </w:r>
      <w:r w:rsidRPr="00216721">
        <w:rPr>
          <w:rFonts w:ascii="Times New Roman" w:hAnsi="Times New Roman"/>
          <w:b/>
          <w:szCs w:val="24"/>
        </w:rPr>
        <w:t xml:space="preserve"> Collection</w:t>
      </w:r>
    </w:p>
    <w:p w:rsidR="00367094" w:rsidRPr="002C435E" w:rsidP="00216721" w14:paraId="0371D330" w14:textId="77777777">
      <w:pPr>
        <w:tabs>
          <w:tab w:val="left" w:pos="-1440"/>
        </w:tabs>
        <w:ind w:left="720"/>
        <w:rPr>
          <w:rFonts w:ascii="Times New Roman" w:hAnsi="Times New Roman"/>
          <w:b/>
          <w:szCs w:val="24"/>
        </w:rPr>
      </w:pPr>
    </w:p>
    <w:p w:rsidR="002B5401" w:rsidP="00412170" w14:paraId="40BF8013" w14:textId="267C8177">
      <w:pPr>
        <w:ind w:left="720"/>
        <w:rPr>
          <w:rFonts w:ascii="Times New Roman" w:hAnsi="Times New Roman"/>
          <w:szCs w:val="24"/>
        </w:rPr>
      </w:pPr>
      <w:r w:rsidRPr="00863CB2">
        <w:rPr>
          <w:rFonts w:ascii="Times New Roman" w:hAnsi="Times New Roman"/>
          <w:i/>
          <w:szCs w:val="24"/>
        </w:rPr>
        <w:t>Availability determinations.</w:t>
      </w:r>
      <w:r>
        <w:rPr>
          <w:rFonts w:ascii="Times New Roman" w:hAnsi="Times New Roman"/>
          <w:szCs w:val="24"/>
        </w:rPr>
        <w:t xml:space="preserve"> </w:t>
      </w:r>
      <w:r w:rsidR="00A66BA7">
        <w:rPr>
          <w:rFonts w:ascii="Times New Roman" w:hAnsi="Times New Roman"/>
          <w:szCs w:val="24"/>
        </w:rPr>
        <w:t>MARAD</w:t>
      </w:r>
      <w:r w:rsidRPr="00D71CB5" w:rsidR="00A66BA7">
        <w:rPr>
          <w:rFonts w:ascii="Times New Roman" w:hAnsi="Times New Roman"/>
          <w:szCs w:val="24"/>
        </w:rPr>
        <w:t xml:space="preserve"> </w:t>
      </w:r>
      <w:r w:rsidR="00DE43D7">
        <w:rPr>
          <w:rFonts w:ascii="Times New Roman" w:hAnsi="Times New Roman"/>
          <w:szCs w:val="24"/>
        </w:rPr>
        <w:t xml:space="preserve">personnel </w:t>
      </w:r>
      <w:r w:rsidR="00A66BA7">
        <w:rPr>
          <w:rFonts w:ascii="Times New Roman" w:hAnsi="Times New Roman"/>
          <w:szCs w:val="24"/>
        </w:rPr>
        <w:t>will use t</w:t>
      </w:r>
      <w:r w:rsidRPr="00D71CB5" w:rsidR="00AC3700">
        <w:rPr>
          <w:rFonts w:ascii="Times New Roman" w:hAnsi="Times New Roman"/>
          <w:szCs w:val="24"/>
        </w:rPr>
        <w:t>h</w:t>
      </w:r>
      <w:r w:rsidR="00A66BA7">
        <w:rPr>
          <w:rFonts w:ascii="Times New Roman" w:hAnsi="Times New Roman"/>
          <w:szCs w:val="24"/>
        </w:rPr>
        <w:t>is</w:t>
      </w:r>
      <w:r w:rsidRPr="00D71CB5" w:rsidR="00AC3700">
        <w:rPr>
          <w:rFonts w:ascii="Times New Roman" w:hAnsi="Times New Roman"/>
          <w:szCs w:val="24"/>
        </w:rPr>
        <w:t xml:space="preserve"> </w:t>
      </w:r>
      <w:r w:rsidR="00AC3700">
        <w:rPr>
          <w:rFonts w:ascii="Times New Roman" w:hAnsi="Times New Roman"/>
          <w:szCs w:val="24"/>
        </w:rPr>
        <w:t xml:space="preserve">information </w:t>
      </w:r>
      <w:r w:rsidR="00A66BA7">
        <w:rPr>
          <w:rFonts w:ascii="Times New Roman" w:hAnsi="Times New Roman"/>
          <w:szCs w:val="24"/>
        </w:rPr>
        <w:t xml:space="preserve">collection </w:t>
      </w:r>
      <w:r w:rsidRPr="00D71CB5" w:rsidR="00AC3700">
        <w:rPr>
          <w:rFonts w:ascii="Times New Roman" w:hAnsi="Times New Roman"/>
          <w:szCs w:val="24"/>
        </w:rPr>
        <w:t xml:space="preserve">to fulfill its </w:t>
      </w:r>
      <w:r w:rsidR="00DA26FE">
        <w:rPr>
          <w:rFonts w:ascii="Times New Roman" w:hAnsi="Times New Roman"/>
          <w:szCs w:val="24"/>
        </w:rPr>
        <w:t>statutory obligation</w:t>
      </w:r>
      <w:r w:rsidRPr="00D71CB5" w:rsidR="00AC3700">
        <w:rPr>
          <w:rFonts w:ascii="Times New Roman" w:hAnsi="Times New Roman"/>
          <w:szCs w:val="24"/>
        </w:rPr>
        <w:t xml:space="preserve"> in </w:t>
      </w:r>
      <w:r w:rsidR="00AC3700">
        <w:rPr>
          <w:rFonts w:ascii="Times New Roman" w:hAnsi="Times New Roman"/>
          <w:szCs w:val="24"/>
        </w:rPr>
        <w:t xml:space="preserve">determining </w:t>
      </w:r>
      <w:r w:rsidR="00DA26FE">
        <w:rPr>
          <w:rFonts w:ascii="Times New Roman" w:hAnsi="Times New Roman"/>
          <w:szCs w:val="24"/>
        </w:rPr>
        <w:t>availability</w:t>
      </w:r>
      <w:r w:rsidR="00A533FA">
        <w:rPr>
          <w:rFonts w:ascii="Times New Roman" w:hAnsi="Times New Roman"/>
          <w:szCs w:val="24"/>
        </w:rPr>
        <w:t xml:space="preserve"> of Jones Act</w:t>
      </w:r>
      <w:r w:rsidR="002B239B">
        <w:rPr>
          <w:rFonts w:ascii="Times New Roman" w:hAnsi="Times New Roman"/>
          <w:szCs w:val="24"/>
        </w:rPr>
        <w:t xml:space="preserve"> (i.e.,</w:t>
      </w:r>
      <w:r w:rsidR="00A533FA">
        <w:rPr>
          <w:rFonts w:ascii="Times New Roman" w:hAnsi="Times New Roman"/>
          <w:szCs w:val="24"/>
        </w:rPr>
        <w:t xml:space="preserve"> coastwise-qualified vessels</w:t>
      </w:r>
      <w:r w:rsidR="002B239B">
        <w:rPr>
          <w:rFonts w:ascii="Times New Roman" w:hAnsi="Times New Roman"/>
          <w:szCs w:val="24"/>
        </w:rPr>
        <w:t>)</w:t>
      </w:r>
      <w:r w:rsidR="00A850B6">
        <w:rPr>
          <w:rFonts w:ascii="Times New Roman" w:hAnsi="Times New Roman"/>
          <w:szCs w:val="24"/>
        </w:rPr>
        <w:t xml:space="preserve"> </w:t>
      </w:r>
      <w:r w:rsidR="0047482B">
        <w:rPr>
          <w:rFonts w:ascii="Times New Roman" w:hAnsi="Times New Roman"/>
          <w:szCs w:val="24"/>
        </w:rPr>
        <w:t xml:space="preserve">upon receiving </w:t>
      </w:r>
      <w:r w:rsidR="007F5C33">
        <w:rPr>
          <w:rFonts w:ascii="Times New Roman" w:hAnsi="Times New Roman"/>
          <w:szCs w:val="24"/>
        </w:rPr>
        <w:t>requests to waive the Jones Act.</w:t>
      </w:r>
      <w:r w:rsidRPr="00D71CB5" w:rsidR="00AC3700">
        <w:rPr>
          <w:rFonts w:ascii="Times New Roman" w:hAnsi="Times New Roman"/>
          <w:szCs w:val="24"/>
        </w:rPr>
        <w:t xml:space="preserve">  The i</w:t>
      </w:r>
      <w:r w:rsidR="00AC3700">
        <w:rPr>
          <w:rFonts w:ascii="Times New Roman" w:hAnsi="Times New Roman"/>
          <w:szCs w:val="24"/>
        </w:rPr>
        <w:t xml:space="preserve">nformation collected </w:t>
      </w:r>
      <w:r w:rsidRPr="00D71CB5" w:rsidR="00AC3700">
        <w:rPr>
          <w:rFonts w:ascii="Times New Roman" w:hAnsi="Times New Roman"/>
          <w:szCs w:val="24"/>
        </w:rPr>
        <w:t>ensures that</w:t>
      </w:r>
      <w:r w:rsidR="00AC3700">
        <w:rPr>
          <w:rFonts w:ascii="Times New Roman" w:hAnsi="Times New Roman"/>
          <w:szCs w:val="24"/>
        </w:rPr>
        <w:t xml:space="preserve"> the Maritime Administrator has sufficient information </w:t>
      </w:r>
      <w:r w:rsidR="00A533FA">
        <w:rPr>
          <w:rFonts w:ascii="Times New Roman" w:hAnsi="Times New Roman"/>
          <w:szCs w:val="24"/>
        </w:rPr>
        <w:t>regarding</w:t>
      </w:r>
      <w:r w:rsidR="00AC3700">
        <w:rPr>
          <w:rFonts w:ascii="Times New Roman" w:hAnsi="Times New Roman"/>
          <w:szCs w:val="24"/>
        </w:rPr>
        <w:t xml:space="preserve"> the capacit</w:t>
      </w:r>
      <w:r w:rsidR="00A533FA">
        <w:rPr>
          <w:rFonts w:ascii="Times New Roman" w:hAnsi="Times New Roman"/>
          <w:szCs w:val="24"/>
        </w:rPr>
        <w:t>ies</w:t>
      </w:r>
      <w:r w:rsidR="00AC3700">
        <w:rPr>
          <w:rFonts w:ascii="Times New Roman" w:hAnsi="Times New Roman"/>
          <w:szCs w:val="24"/>
        </w:rPr>
        <w:t xml:space="preserve"> and schedule</w:t>
      </w:r>
      <w:r w:rsidR="00A533FA">
        <w:rPr>
          <w:rFonts w:ascii="Times New Roman" w:hAnsi="Times New Roman"/>
          <w:szCs w:val="24"/>
        </w:rPr>
        <w:t>s</w:t>
      </w:r>
      <w:r w:rsidR="00AC3700">
        <w:rPr>
          <w:rFonts w:ascii="Times New Roman" w:hAnsi="Times New Roman"/>
          <w:szCs w:val="24"/>
        </w:rPr>
        <w:t xml:space="preserve"> of </w:t>
      </w:r>
      <w:r w:rsidR="00A533FA">
        <w:rPr>
          <w:rFonts w:ascii="Times New Roman" w:hAnsi="Times New Roman"/>
          <w:szCs w:val="24"/>
        </w:rPr>
        <w:t>qualified</w:t>
      </w:r>
      <w:r w:rsidR="00DA26FE">
        <w:rPr>
          <w:rFonts w:ascii="Times New Roman" w:hAnsi="Times New Roman"/>
          <w:szCs w:val="24"/>
        </w:rPr>
        <w:t xml:space="preserve"> vessels to make</w:t>
      </w:r>
      <w:r w:rsidR="00AC3700">
        <w:rPr>
          <w:rFonts w:ascii="Times New Roman" w:hAnsi="Times New Roman"/>
          <w:szCs w:val="24"/>
        </w:rPr>
        <w:t xml:space="preserve"> determination</w:t>
      </w:r>
      <w:r w:rsidR="00DA26FE">
        <w:rPr>
          <w:rFonts w:ascii="Times New Roman" w:hAnsi="Times New Roman"/>
          <w:szCs w:val="24"/>
        </w:rPr>
        <w:t>s</w:t>
      </w:r>
      <w:r w:rsidR="00AC3700">
        <w:rPr>
          <w:rFonts w:ascii="Times New Roman" w:hAnsi="Times New Roman"/>
          <w:szCs w:val="24"/>
        </w:rPr>
        <w:t xml:space="preserve"> required by 46</w:t>
      </w:r>
      <w:r w:rsidR="00D2603D">
        <w:rPr>
          <w:rFonts w:ascii="Times New Roman" w:hAnsi="Times New Roman"/>
          <w:szCs w:val="24"/>
        </w:rPr>
        <w:t> </w:t>
      </w:r>
      <w:r w:rsidR="00AC3700">
        <w:rPr>
          <w:rFonts w:ascii="Times New Roman" w:hAnsi="Times New Roman"/>
          <w:szCs w:val="24"/>
        </w:rPr>
        <w:t>U.S.C.</w:t>
      </w:r>
      <w:r w:rsidR="00D2603D">
        <w:rPr>
          <w:rFonts w:ascii="Times New Roman" w:hAnsi="Times New Roman"/>
          <w:szCs w:val="24"/>
        </w:rPr>
        <w:t> </w:t>
      </w:r>
      <w:r w:rsidR="00AC3700">
        <w:rPr>
          <w:rFonts w:ascii="Times New Roman" w:hAnsi="Times New Roman"/>
          <w:szCs w:val="24"/>
        </w:rPr>
        <w:t>§</w:t>
      </w:r>
      <w:r w:rsidR="00D2603D">
        <w:rPr>
          <w:rFonts w:ascii="Times New Roman" w:hAnsi="Times New Roman"/>
          <w:szCs w:val="24"/>
        </w:rPr>
        <w:t> </w:t>
      </w:r>
      <w:r w:rsidR="00AC3700">
        <w:rPr>
          <w:rFonts w:ascii="Times New Roman" w:hAnsi="Times New Roman"/>
          <w:szCs w:val="24"/>
        </w:rPr>
        <w:t>501(b)</w:t>
      </w:r>
      <w:r w:rsidRPr="00D71CB5" w:rsidR="00AC3700">
        <w:rPr>
          <w:rFonts w:ascii="Times New Roman" w:hAnsi="Times New Roman"/>
          <w:szCs w:val="24"/>
        </w:rPr>
        <w:t xml:space="preserve">. </w:t>
      </w:r>
      <w:r w:rsidR="008818FD">
        <w:rPr>
          <w:rFonts w:ascii="Times New Roman" w:hAnsi="Times New Roman"/>
          <w:szCs w:val="24"/>
        </w:rPr>
        <w:t xml:space="preserve"> </w:t>
      </w:r>
    </w:p>
    <w:p w:rsidR="00DD6BAE" w:rsidP="00412170" w14:paraId="59FEAC88" w14:textId="77777777">
      <w:pPr>
        <w:ind w:left="720"/>
        <w:rPr>
          <w:rFonts w:ascii="Times New Roman" w:hAnsi="Times New Roman"/>
          <w:szCs w:val="24"/>
        </w:rPr>
      </w:pPr>
    </w:p>
    <w:p w:rsidR="00AC3700" w:rsidP="00412170" w14:paraId="0DA1361E" w14:textId="11FEAFC8">
      <w:pPr>
        <w:ind w:left="720"/>
        <w:rPr>
          <w:rFonts w:ascii="Times New Roman" w:hAnsi="Times New Roman"/>
          <w:szCs w:val="24"/>
        </w:rPr>
      </w:pPr>
      <w:r w:rsidRPr="00863CB2">
        <w:rPr>
          <w:rFonts w:ascii="Times New Roman" w:hAnsi="Times New Roman"/>
          <w:i/>
          <w:szCs w:val="24"/>
        </w:rPr>
        <w:t>Availability determination planning</w:t>
      </w:r>
      <w:r>
        <w:rPr>
          <w:rFonts w:ascii="Times New Roman" w:hAnsi="Times New Roman"/>
          <w:szCs w:val="24"/>
        </w:rPr>
        <w:t xml:space="preserve">. </w:t>
      </w:r>
      <w:r w:rsidR="00AD4C95">
        <w:rPr>
          <w:rFonts w:ascii="Times New Roman" w:hAnsi="Times New Roman"/>
          <w:szCs w:val="24"/>
        </w:rPr>
        <w:t xml:space="preserve"> </w:t>
      </w:r>
      <w:r w:rsidR="00776C79">
        <w:rPr>
          <w:rFonts w:ascii="Times New Roman" w:hAnsi="Times New Roman"/>
          <w:szCs w:val="24"/>
        </w:rPr>
        <w:t xml:space="preserve">In certain instances, information collection may occur </w:t>
      </w:r>
      <w:r w:rsidR="00A66BA7">
        <w:rPr>
          <w:rFonts w:ascii="Times New Roman" w:hAnsi="Times New Roman"/>
          <w:szCs w:val="24"/>
        </w:rPr>
        <w:t xml:space="preserve">during </w:t>
      </w:r>
      <w:r w:rsidR="00776C79">
        <w:rPr>
          <w:rFonts w:ascii="Times New Roman" w:hAnsi="Times New Roman"/>
          <w:szCs w:val="24"/>
        </w:rPr>
        <w:t>incident to scenario planning</w:t>
      </w:r>
      <w:r w:rsidR="00A850B6">
        <w:rPr>
          <w:rFonts w:ascii="Times New Roman" w:hAnsi="Times New Roman"/>
          <w:szCs w:val="24"/>
        </w:rPr>
        <w:t xml:space="preserve">, which is essential to refinement of the process, and </w:t>
      </w:r>
      <w:r w:rsidR="008818FD">
        <w:rPr>
          <w:rFonts w:ascii="Times New Roman" w:hAnsi="Times New Roman"/>
          <w:szCs w:val="24"/>
        </w:rPr>
        <w:t>will also familiarize respondent</w:t>
      </w:r>
      <w:r w:rsidR="00DD6BAE">
        <w:rPr>
          <w:rFonts w:ascii="Times New Roman" w:hAnsi="Times New Roman"/>
          <w:szCs w:val="24"/>
        </w:rPr>
        <w:t>s</w:t>
      </w:r>
      <w:r w:rsidR="008818FD">
        <w:rPr>
          <w:rFonts w:ascii="Times New Roman" w:hAnsi="Times New Roman"/>
          <w:szCs w:val="24"/>
        </w:rPr>
        <w:t xml:space="preserve"> with the information collection.</w:t>
      </w:r>
    </w:p>
    <w:p w:rsidR="009A0D32" w:rsidP="00AC3700" w14:paraId="4E10C3F8" w14:textId="77777777">
      <w:pPr>
        <w:ind w:left="720"/>
        <w:rPr>
          <w:rFonts w:ascii="Times New Roman" w:hAnsi="Times New Roman"/>
          <w:szCs w:val="24"/>
        </w:rPr>
      </w:pPr>
    </w:p>
    <w:p w:rsidR="00367094" w:rsidRPr="00216721" w:rsidP="00216721" w14:paraId="7CA5CEDF" w14:textId="1606535C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b/>
          <w:szCs w:val="24"/>
        </w:rPr>
        <w:t>A</w:t>
      </w:r>
      <w:r w:rsidRPr="00216721">
        <w:rPr>
          <w:rFonts w:ascii="Times New Roman" w:hAnsi="Times New Roman"/>
          <w:b/>
          <w:szCs w:val="24"/>
        </w:rPr>
        <w:t>utoma</w:t>
      </w:r>
      <w:r w:rsidRPr="00216721">
        <w:rPr>
          <w:rFonts w:ascii="Times New Roman" w:hAnsi="Times New Roman"/>
          <w:b/>
          <w:szCs w:val="24"/>
        </w:rPr>
        <w:t xml:space="preserve">tion </w:t>
      </w:r>
      <w:r w:rsidRPr="00216721">
        <w:rPr>
          <w:rFonts w:ascii="Times New Roman" w:hAnsi="Times New Roman"/>
          <w:b/>
          <w:szCs w:val="24"/>
        </w:rPr>
        <w:t xml:space="preserve">or </w:t>
      </w:r>
      <w:r w:rsidRPr="00216721">
        <w:rPr>
          <w:rFonts w:ascii="Times New Roman" w:hAnsi="Times New Roman"/>
          <w:b/>
          <w:szCs w:val="24"/>
        </w:rPr>
        <w:t>Use of I</w:t>
      </w:r>
      <w:r w:rsidRPr="00216721">
        <w:rPr>
          <w:rFonts w:ascii="Times New Roman" w:hAnsi="Times New Roman"/>
          <w:b/>
          <w:szCs w:val="24"/>
        </w:rPr>
        <w:t xml:space="preserve">nformation </w:t>
      </w:r>
      <w:r w:rsidRPr="00216721">
        <w:rPr>
          <w:rFonts w:ascii="Times New Roman" w:hAnsi="Times New Roman"/>
          <w:b/>
          <w:szCs w:val="24"/>
        </w:rPr>
        <w:t>Technology</w:t>
      </w:r>
    </w:p>
    <w:p w:rsidR="00367094" w:rsidRPr="00D71CB5" w:rsidP="00176C0E" w14:paraId="7FFE4721" w14:textId="77777777">
      <w:pPr>
        <w:rPr>
          <w:rFonts w:ascii="Times New Roman" w:hAnsi="Times New Roman"/>
          <w:szCs w:val="24"/>
        </w:rPr>
      </w:pPr>
    </w:p>
    <w:p w:rsidR="00367094" w:rsidRPr="00D71CB5" w:rsidP="00412170" w14:paraId="58FBC296" w14:textId="117F6E6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AC3700">
        <w:rPr>
          <w:rFonts w:ascii="Times New Roman" w:hAnsi="Times New Roman"/>
          <w:szCs w:val="24"/>
        </w:rPr>
        <w:t xml:space="preserve">nformation </w:t>
      </w:r>
      <w:r>
        <w:rPr>
          <w:rFonts w:ascii="Times New Roman" w:hAnsi="Times New Roman"/>
          <w:szCs w:val="24"/>
        </w:rPr>
        <w:t>will</w:t>
      </w:r>
      <w:r w:rsidR="00AC3700">
        <w:rPr>
          <w:rFonts w:ascii="Times New Roman" w:hAnsi="Times New Roman"/>
          <w:szCs w:val="24"/>
        </w:rPr>
        <w:t xml:space="preserve"> be collected</w:t>
      </w:r>
      <w:r w:rsidR="00D2603D">
        <w:rPr>
          <w:rFonts w:ascii="Times New Roman" w:hAnsi="Times New Roman"/>
          <w:szCs w:val="24"/>
        </w:rPr>
        <w:t xml:space="preserve"> </w:t>
      </w:r>
      <w:r w:rsidR="00AC3700">
        <w:rPr>
          <w:rFonts w:ascii="Times New Roman" w:hAnsi="Times New Roman"/>
          <w:szCs w:val="24"/>
        </w:rPr>
        <w:t>electronically</w:t>
      </w:r>
      <w:r w:rsidR="00B34A35">
        <w:rPr>
          <w:rFonts w:ascii="Times New Roman" w:hAnsi="Times New Roman"/>
          <w:szCs w:val="24"/>
        </w:rPr>
        <w:t xml:space="preserve"> </w:t>
      </w:r>
      <w:r w:rsidR="00AC3700">
        <w:rPr>
          <w:rFonts w:ascii="Times New Roman" w:hAnsi="Times New Roman"/>
          <w:szCs w:val="24"/>
        </w:rPr>
        <w:t>via email</w:t>
      </w:r>
      <w:r>
        <w:rPr>
          <w:rFonts w:ascii="Times New Roman" w:hAnsi="Times New Roman"/>
          <w:szCs w:val="24"/>
        </w:rPr>
        <w:t xml:space="preserve"> or </w:t>
      </w:r>
      <w:r w:rsidR="00FA6C10">
        <w:rPr>
          <w:rFonts w:ascii="Times New Roman" w:hAnsi="Times New Roman"/>
          <w:szCs w:val="24"/>
        </w:rPr>
        <w:t>direct phone</w:t>
      </w:r>
      <w:r>
        <w:rPr>
          <w:rFonts w:ascii="Times New Roman" w:hAnsi="Times New Roman"/>
          <w:szCs w:val="24"/>
        </w:rPr>
        <w:t xml:space="preserve"> calls </w:t>
      </w:r>
      <w:r w:rsidR="00FA6C10">
        <w:rPr>
          <w:rFonts w:ascii="Times New Roman" w:hAnsi="Times New Roman"/>
          <w:szCs w:val="24"/>
        </w:rPr>
        <w:t>for scenario planning purposes</w:t>
      </w:r>
      <w:r w:rsidR="002B239B">
        <w:rPr>
          <w:rFonts w:ascii="Times New Roman" w:hAnsi="Times New Roman"/>
          <w:szCs w:val="24"/>
        </w:rPr>
        <w:t xml:space="preserve"> or </w:t>
      </w:r>
      <w:r>
        <w:rPr>
          <w:rFonts w:ascii="Times New Roman" w:hAnsi="Times New Roman"/>
          <w:szCs w:val="24"/>
        </w:rPr>
        <w:t>confirmation of</w:t>
      </w:r>
      <w:r w:rsidR="002B239B">
        <w:rPr>
          <w:rFonts w:ascii="Times New Roman" w:hAnsi="Times New Roman"/>
          <w:szCs w:val="24"/>
        </w:rPr>
        <w:t xml:space="preserve"> technical information.</w:t>
      </w:r>
      <w:r w:rsidR="00EB21E6">
        <w:rPr>
          <w:rFonts w:ascii="Times New Roman" w:hAnsi="Times New Roman"/>
          <w:szCs w:val="24"/>
        </w:rPr>
        <w:t xml:space="preserve"> Emails </w:t>
      </w:r>
      <w:r w:rsidR="00D47152">
        <w:rPr>
          <w:rFonts w:ascii="Times New Roman" w:hAnsi="Times New Roman"/>
          <w:szCs w:val="24"/>
        </w:rPr>
        <w:t xml:space="preserve">will </w:t>
      </w:r>
      <w:r w:rsidR="00EB21E6">
        <w:rPr>
          <w:rFonts w:ascii="Times New Roman" w:hAnsi="Times New Roman"/>
          <w:szCs w:val="24"/>
        </w:rPr>
        <w:t>be sent in a systematic fashion to allow respondents an equal opportunity</w:t>
      </w:r>
      <w:r w:rsidR="0030084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(i.e.</w:t>
      </w:r>
      <w:r w:rsidR="00EB21E6">
        <w:rPr>
          <w:rFonts w:ascii="Times New Roman" w:hAnsi="Times New Roman"/>
          <w:szCs w:val="24"/>
        </w:rPr>
        <w:t>, no initial email to a respondent is contingent upon the response of another respondent</w:t>
      </w:r>
      <w:r w:rsidR="00300846">
        <w:rPr>
          <w:rFonts w:ascii="Times New Roman" w:hAnsi="Times New Roman"/>
          <w:szCs w:val="24"/>
        </w:rPr>
        <w:t xml:space="preserve">), </w:t>
      </w:r>
      <w:r w:rsidR="00EB21E6">
        <w:rPr>
          <w:rFonts w:ascii="Times New Roman" w:hAnsi="Times New Roman"/>
          <w:szCs w:val="24"/>
        </w:rPr>
        <w:t>to respond to the collection.</w:t>
      </w:r>
      <w:r w:rsidR="00AC3700">
        <w:rPr>
          <w:rFonts w:ascii="Times New Roman" w:hAnsi="Times New Roman"/>
          <w:szCs w:val="24"/>
        </w:rPr>
        <w:t xml:space="preserve"> </w:t>
      </w:r>
      <w:r w:rsidR="005B67BB">
        <w:rPr>
          <w:rFonts w:ascii="Times New Roman" w:hAnsi="Times New Roman"/>
          <w:szCs w:val="24"/>
        </w:rPr>
        <w:t>MARAD</w:t>
      </w:r>
      <w:r w:rsidR="00EB21E6">
        <w:rPr>
          <w:rFonts w:ascii="Times New Roman" w:hAnsi="Times New Roman"/>
          <w:szCs w:val="24"/>
        </w:rPr>
        <w:t xml:space="preserve"> </w:t>
      </w:r>
      <w:r w:rsidR="00300846">
        <w:rPr>
          <w:rFonts w:ascii="Times New Roman" w:hAnsi="Times New Roman"/>
          <w:szCs w:val="24"/>
        </w:rPr>
        <w:t>personnel will</w:t>
      </w:r>
      <w:r w:rsidR="00EB21E6">
        <w:rPr>
          <w:rFonts w:ascii="Times New Roman" w:hAnsi="Times New Roman"/>
          <w:szCs w:val="24"/>
        </w:rPr>
        <w:t xml:space="preserve"> contact respondents without email via </w:t>
      </w:r>
      <w:r w:rsidR="003B4CD0">
        <w:rPr>
          <w:rFonts w:ascii="Times New Roman" w:hAnsi="Times New Roman"/>
          <w:szCs w:val="24"/>
        </w:rPr>
        <w:t>telephone and</w:t>
      </w:r>
      <w:r w:rsidR="00DE522C">
        <w:rPr>
          <w:rFonts w:ascii="Times New Roman" w:hAnsi="Times New Roman"/>
          <w:szCs w:val="24"/>
        </w:rPr>
        <w:t xml:space="preserve"> </w:t>
      </w:r>
      <w:r w:rsidR="00300846">
        <w:rPr>
          <w:rFonts w:ascii="Times New Roman" w:hAnsi="Times New Roman"/>
          <w:szCs w:val="24"/>
        </w:rPr>
        <w:t>will</w:t>
      </w:r>
      <w:r w:rsidR="00EB21E6">
        <w:rPr>
          <w:rFonts w:ascii="Times New Roman" w:hAnsi="Times New Roman"/>
          <w:szCs w:val="24"/>
        </w:rPr>
        <w:t xml:space="preserve"> follow-up with respondents via telephone or email. </w:t>
      </w:r>
      <w:r w:rsidR="00DE522C">
        <w:rPr>
          <w:rFonts w:ascii="Times New Roman" w:hAnsi="Times New Roman"/>
          <w:szCs w:val="24"/>
        </w:rPr>
        <w:t xml:space="preserve"> However, they </w:t>
      </w:r>
      <w:r w:rsidR="00C95943">
        <w:rPr>
          <w:rFonts w:ascii="Times New Roman" w:hAnsi="Times New Roman"/>
          <w:szCs w:val="24"/>
        </w:rPr>
        <w:t>will not request different information across different modes of collection</w:t>
      </w:r>
      <w:r w:rsidR="00DE522C">
        <w:rPr>
          <w:rFonts w:ascii="Times New Roman" w:hAnsi="Times New Roman"/>
          <w:szCs w:val="24"/>
        </w:rPr>
        <w:t>, but rather</w:t>
      </w:r>
      <w:r w:rsidR="008818FD">
        <w:rPr>
          <w:rFonts w:ascii="Times New Roman" w:hAnsi="Times New Roman"/>
          <w:szCs w:val="24"/>
        </w:rPr>
        <w:t xml:space="preserve"> employ direct phone contact in a manner that is systematic and </w:t>
      </w:r>
      <w:r w:rsidR="009C764A">
        <w:rPr>
          <w:rFonts w:ascii="Times New Roman" w:hAnsi="Times New Roman"/>
          <w:szCs w:val="24"/>
        </w:rPr>
        <w:t>solicits substantially the same information reflected in email format</w:t>
      </w:r>
      <w:r w:rsidR="008818FD">
        <w:rPr>
          <w:rFonts w:ascii="Times New Roman" w:hAnsi="Times New Roman"/>
          <w:szCs w:val="24"/>
        </w:rPr>
        <w:t xml:space="preserve">.  Direct phone contact with respondents during scenario planning will </w:t>
      </w:r>
      <w:r w:rsidR="00DE522C">
        <w:rPr>
          <w:rFonts w:ascii="Times New Roman" w:hAnsi="Times New Roman"/>
          <w:szCs w:val="24"/>
        </w:rPr>
        <w:t xml:space="preserve">enable </w:t>
      </w:r>
      <w:r w:rsidR="005B67BB">
        <w:rPr>
          <w:rFonts w:ascii="Times New Roman" w:hAnsi="Times New Roman"/>
          <w:szCs w:val="24"/>
        </w:rPr>
        <w:t>MARAD</w:t>
      </w:r>
      <w:r w:rsidR="008818FD">
        <w:rPr>
          <w:rFonts w:ascii="Times New Roman" w:hAnsi="Times New Roman"/>
          <w:szCs w:val="24"/>
        </w:rPr>
        <w:t xml:space="preserve"> </w:t>
      </w:r>
      <w:r w:rsidR="00DE522C">
        <w:rPr>
          <w:rFonts w:ascii="Times New Roman" w:hAnsi="Times New Roman"/>
          <w:szCs w:val="24"/>
        </w:rPr>
        <w:t xml:space="preserve">staff </w:t>
      </w:r>
      <w:r w:rsidR="008818FD">
        <w:rPr>
          <w:rFonts w:ascii="Times New Roman" w:hAnsi="Times New Roman"/>
          <w:szCs w:val="24"/>
        </w:rPr>
        <w:t xml:space="preserve">to clarify </w:t>
      </w:r>
      <w:r w:rsidR="009C764A">
        <w:rPr>
          <w:rFonts w:ascii="Times New Roman" w:hAnsi="Times New Roman"/>
          <w:szCs w:val="24"/>
        </w:rPr>
        <w:t xml:space="preserve">the planning nature of the inquiry and respond to any </w:t>
      </w:r>
      <w:r w:rsidR="008818FD">
        <w:rPr>
          <w:rFonts w:ascii="Times New Roman" w:hAnsi="Times New Roman"/>
          <w:szCs w:val="24"/>
        </w:rPr>
        <w:t xml:space="preserve">questions respondents may have.  </w:t>
      </w:r>
      <w:r w:rsidR="00DE522C">
        <w:rPr>
          <w:rFonts w:ascii="Times New Roman" w:hAnsi="Times New Roman"/>
          <w:szCs w:val="24"/>
        </w:rPr>
        <w:t xml:space="preserve">Responses </w:t>
      </w:r>
      <w:r w:rsidR="00CB3110">
        <w:rPr>
          <w:rFonts w:ascii="Times New Roman" w:hAnsi="Times New Roman"/>
          <w:szCs w:val="24"/>
        </w:rPr>
        <w:t xml:space="preserve">from all </w:t>
      </w:r>
      <w:r w:rsidR="00D47152">
        <w:rPr>
          <w:rFonts w:ascii="Times New Roman" w:hAnsi="Times New Roman"/>
          <w:szCs w:val="24"/>
        </w:rPr>
        <w:t>coastwise-</w:t>
      </w:r>
      <w:r w:rsidR="00CB3110">
        <w:rPr>
          <w:rFonts w:ascii="Times New Roman" w:hAnsi="Times New Roman"/>
          <w:szCs w:val="24"/>
        </w:rPr>
        <w:t>qualified vessel owners</w:t>
      </w:r>
      <w:r w:rsidR="00DE522C">
        <w:rPr>
          <w:rFonts w:ascii="Times New Roman" w:hAnsi="Times New Roman"/>
          <w:szCs w:val="24"/>
        </w:rPr>
        <w:t xml:space="preserve"> will be evaluated</w:t>
      </w:r>
      <w:r w:rsidR="00CB3110">
        <w:rPr>
          <w:rFonts w:ascii="Times New Roman" w:hAnsi="Times New Roman"/>
          <w:szCs w:val="24"/>
        </w:rPr>
        <w:t>.</w:t>
      </w:r>
    </w:p>
    <w:p w:rsidR="00367094" w:rsidRPr="00D71CB5" w:rsidP="002C435E" w14:paraId="4D64C93C" w14:textId="77777777">
      <w:pPr>
        <w:rPr>
          <w:rFonts w:ascii="Times New Roman" w:hAnsi="Times New Roman"/>
          <w:szCs w:val="24"/>
        </w:rPr>
      </w:pPr>
    </w:p>
    <w:p w:rsidR="00367094" w:rsidRPr="00D71CB5" w:rsidP="00216721" w14:paraId="2E88ED59" w14:textId="7B2FCB57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D71CB5">
        <w:rPr>
          <w:rFonts w:ascii="Times New Roman" w:hAnsi="Times New Roman"/>
          <w:szCs w:val="24"/>
        </w:rPr>
        <w:t xml:space="preserve">fforts to </w:t>
      </w:r>
      <w:r>
        <w:rPr>
          <w:rFonts w:ascii="Times New Roman" w:hAnsi="Times New Roman"/>
          <w:szCs w:val="24"/>
        </w:rPr>
        <w:t>I</w:t>
      </w:r>
      <w:r w:rsidRPr="00D71CB5">
        <w:rPr>
          <w:rFonts w:ascii="Times New Roman" w:hAnsi="Times New Roman"/>
          <w:szCs w:val="24"/>
        </w:rPr>
        <w:t xml:space="preserve">dentify </w:t>
      </w:r>
      <w:r>
        <w:rPr>
          <w:rFonts w:ascii="Times New Roman" w:hAnsi="Times New Roman"/>
          <w:szCs w:val="24"/>
        </w:rPr>
        <w:t>D</w:t>
      </w:r>
      <w:r w:rsidRPr="00D71CB5">
        <w:rPr>
          <w:rFonts w:ascii="Times New Roman" w:hAnsi="Times New Roman"/>
          <w:szCs w:val="24"/>
        </w:rPr>
        <w:t>uplication</w:t>
      </w:r>
    </w:p>
    <w:p w:rsidR="00367094" w:rsidRPr="00D71CB5" w:rsidP="00176C0E" w14:paraId="56062E0C" w14:textId="77777777">
      <w:pPr>
        <w:rPr>
          <w:rFonts w:ascii="Times New Roman" w:hAnsi="Times New Roman"/>
          <w:szCs w:val="24"/>
        </w:rPr>
      </w:pPr>
    </w:p>
    <w:p w:rsidR="00367094" w:rsidRPr="00D71CB5" w:rsidP="00412170" w14:paraId="46215D79" w14:textId="260D1D2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There is no duplication of effort with this information collection </w:t>
      </w:r>
      <w:r w:rsidR="00DD6BAE">
        <w:rPr>
          <w:rFonts w:ascii="Times New Roman" w:hAnsi="Times New Roman"/>
          <w:szCs w:val="24"/>
        </w:rPr>
        <w:t>since</w:t>
      </w:r>
      <w:r>
        <w:rPr>
          <w:rFonts w:ascii="Times New Roman" w:hAnsi="Times New Roman"/>
          <w:szCs w:val="24"/>
        </w:rPr>
        <w:t xml:space="preserve"> no other entity collects similar data.  </w:t>
      </w:r>
    </w:p>
    <w:p w:rsidR="00367094" w:rsidRPr="00D71CB5" w:rsidP="00216721" w14:paraId="090BC001" w14:textId="77777777">
      <w:pPr>
        <w:ind w:left="360"/>
        <w:rPr>
          <w:rFonts w:ascii="Times New Roman" w:hAnsi="Times New Roman"/>
          <w:szCs w:val="24"/>
        </w:rPr>
      </w:pPr>
    </w:p>
    <w:p w:rsidR="00367094" w:rsidRPr="00216721" w:rsidP="00216721" w14:paraId="22D1A00F" w14:textId="678DA0B9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I</w:t>
      </w:r>
      <w:r w:rsidRPr="00216721">
        <w:rPr>
          <w:rFonts w:ascii="Times New Roman" w:hAnsi="Times New Roman"/>
          <w:b/>
          <w:szCs w:val="24"/>
        </w:rPr>
        <w:t>mpact</w:t>
      </w:r>
      <w:r w:rsidRPr="00216721">
        <w:rPr>
          <w:rFonts w:ascii="Times New Roman" w:hAnsi="Times New Roman"/>
          <w:b/>
          <w:szCs w:val="24"/>
        </w:rPr>
        <w:t xml:space="preserve"> on S</w:t>
      </w:r>
      <w:r w:rsidRPr="00216721">
        <w:rPr>
          <w:rFonts w:ascii="Times New Roman" w:hAnsi="Times New Roman"/>
          <w:b/>
          <w:szCs w:val="24"/>
        </w:rPr>
        <w:t xml:space="preserve">mall </w:t>
      </w:r>
      <w:r w:rsidRPr="00216721">
        <w:rPr>
          <w:rFonts w:ascii="Times New Roman" w:hAnsi="Times New Roman"/>
          <w:b/>
          <w:szCs w:val="24"/>
        </w:rPr>
        <w:t xml:space="preserve">Businesses </w:t>
      </w:r>
      <w:r w:rsidRPr="00216721">
        <w:rPr>
          <w:rFonts w:ascii="Times New Roman" w:hAnsi="Times New Roman"/>
          <w:b/>
          <w:szCs w:val="24"/>
        </w:rPr>
        <w:t xml:space="preserve">or </w:t>
      </w:r>
      <w:r w:rsidRPr="00216721">
        <w:rPr>
          <w:rFonts w:ascii="Times New Roman" w:hAnsi="Times New Roman"/>
          <w:b/>
          <w:szCs w:val="24"/>
        </w:rPr>
        <w:t xml:space="preserve">Other Small Entities </w:t>
      </w:r>
    </w:p>
    <w:p w:rsidR="00367094" w:rsidRPr="00D71CB5" w:rsidP="00176C0E" w14:paraId="5EF6340B" w14:textId="77777777">
      <w:pPr>
        <w:rPr>
          <w:rFonts w:ascii="Times New Roman" w:hAnsi="Times New Roman"/>
          <w:b/>
          <w:szCs w:val="24"/>
        </w:rPr>
      </w:pPr>
    </w:p>
    <w:p w:rsidR="00367094" w:rsidRPr="00D71CB5" w:rsidP="00412170" w14:paraId="2637669C" w14:textId="5B87812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This collection has minimal impact on small business and other small entities.</w:t>
      </w:r>
    </w:p>
    <w:p w:rsidR="00367094" w:rsidP="00216721" w14:paraId="366835A1" w14:textId="04E1889F">
      <w:pPr>
        <w:ind w:left="360"/>
        <w:rPr>
          <w:rFonts w:ascii="Times New Roman" w:hAnsi="Times New Roman"/>
          <w:szCs w:val="24"/>
        </w:rPr>
      </w:pPr>
    </w:p>
    <w:p w:rsidR="00FE52B5" w:rsidP="00216721" w14:paraId="79D1490C" w14:textId="75AE5CC1">
      <w:pPr>
        <w:pStyle w:val="BodyTextIndent3"/>
        <w:numPr>
          <w:ilvl w:val="0"/>
          <w:numId w:val="29"/>
        </w:numPr>
        <w:tabs>
          <w:tab w:val="clear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Impact of</w:t>
      </w:r>
      <w:r w:rsidRPr="00D71CB5" w:rsidR="0036709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D71CB5" w:rsidR="00367094">
        <w:rPr>
          <w:rFonts w:ascii="Times New Roman" w:hAnsi="Times New Roman"/>
          <w:szCs w:val="24"/>
        </w:rPr>
        <w:t>ot conduct</w:t>
      </w:r>
      <w:r>
        <w:rPr>
          <w:rFonts w:ascii="Times New Roman" w:hAnsi="Times New Roman"/>
          <w:szCs w:val="24"/>
        </w:rPr>
        <w:t xml:space="preserve">ing </w:t>
      </w:r>
      <w:r w:rsidRPr="00D71CB5" w:rsidR="00367094">
        <w:rPr>
          <w:rFonts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>L</w:t>
      </w:r>
      <w:r w:rsidRPr="00D71CB5" w:rsidR="00367094">
        <w:rPr>
          <w:rFonts w:ascii="Times New Roman" w:hAnsi="Times New Roman"/>
          <w:szCs w:val="24"/>
        </w:rPr>
        <w:t xml:space="preserve">ess </w:t>
      </w:r>
      <w:r>
        <w:rPr>
          <w:rFonts w:ascii="Times New Roman" w:hAnsi="Times New Roman"/>
          <w:szCs w:val="24"/>
        </w:rPr>
        <w:t>F</w:t>
      </w:r>
      <w:r w:rsidRPr="00D71CB5">
        <w:rPr>
          <w:rFonts w:ascii="Times New Roman" w:hAnsi="Times New Roman"/>
          <w:szCs w:val="24"/>
        </w:rPr>
        <w:t>requent</w:t>
      </w:r>
      <w:r>
        <w:rPr>
          <w:rFonts w:ascii="Times New Roman" w:hAnsi="Times New Roman"/>
          <w:szCs w:val="24"/>
        </w:rPr>
        <w:t xml:space="preserve"> Collection of Information</w:t>
      </w:r>
    </w:p>
    <w:p w:rsidR="007B2B9B" w:rsidP="00176C0E" w14:paraId="26AAF649" w14:textId="77777777">
      <w:pPr>
        <w:pStyle w:val="BodyTextIndent3"/>
        <w:tabs>
          <w:tab w:val="clear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B2B9B" w:rsidP="00216721" w14:paraId="07B70B11" w14:textId="1017A627">
      <w:pPr>
        <w:pStyle w:val="BodyTextIndent3"/>
        <w:tabs>
          <w:tab w:val="clear" w:pos="-1440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If</w:t>
      </w:r>
      <w:r>
        <w:rPr>
          <w:rFonts w:ascii="Times New Roman" w:hAnsi="Times New Roman"/>
          <w:b w:val="0"/>
          <w:szCs w:val="24"/>
        </w:rPr>
        <w:t xml:space="preserve"> the collection is not conducted</w:t>
      </w:r>
      <w:r>
        <w:rPr>
          <w:rFonts w:ascii="Times New Roman" w:hAnsi="Times New Roman"/>
          <w:b w:val="0"/>
          <w:szCs w:val="24"/>
        </w:rPr>
        <w:t>,</w:t>
      </w:r>
      <w:r>
        <w:rPr>
          <w:rFonts w:ascii="Times New Roman" w:hAnsi="Times New Roman"/>
          <w:b w:val="0"/>
          <w:szCs w:val="24"/>
        </w:rPr>
        <w:t xml:space="preserve"> the Maritime Administrator </w:t>
      </w:r>
      <w:r w:rsidR="00177145">
        <w:rPr>
          <w:rFonts w:ascii="Times New Roman" w:hAnsi="Times New Roman"/>
          <w:b w:val="0"/>
          <w:szCs w:val="24"/>
        </w:rPr>
        <w:t xml:space="preserve">would not have sufficiently accurate, timely, or complete information </w:t>
      </w:r>
      <w:r w:rsidR="005E52A8">
        <w:rPr>
          <w:rFonts w:ascii="Times New Roman" w:hAnsi="Times New Roman"/>
          <w:b w:val="0"/>
          <w:szCs w:val="24"/>
        </w:rPr>
        <w:t>regarding the availability of coastwise-qualified vessels</w:t>
      </w:r>
      <w:r w:rsidR="00B54B7E">
        <w:rPr>
          <w:rFonts w:ascii="Times New Roman" w:hAnsi="Times New Roman"/>
          <w:b w:val="0"/>
          <w:szCs w:val="24"/>
        </w:rPr>
        <w:t>,</w:t>
      </w:r>
      <w:r w:rsidR="005E52A8">
        <w:rPr>
          <w:rFonts w:ascii="Times New Roman" w:hAnsi="Times New Roman"/>
          <w:b w:val="0"/>
          <w:szCs w:val="24"/>
        </w:rPr>
        <w:t xml:space="preserve"> </w:t>
      </w:r>
      <w:r w:rsidR="00177145">
        <w:rPr>
          <w:rFonts w:ascii="Times New Roman" w:hAnsi="Times New Roman"/>
          <w:b w:val="0"/>
          <w:szCs w:val="24"/>
        </w:rPr>
        <w:t>to discharge his/her statutory duties</w:t>
      </w:r>
      <w:r w:rsidR="00D47152">
        <w:rPr>
          <w:rFonts w:ascii="Times New Roman" w:hAnsi="Times New Roman"/>
          <w:b w:val="0"/>
          <w:szCs w:val="24"/>
        </w:rPr>
        <w:t xml:space="preserve"> to </w:t>
      </w:r>
      <w:r>
        <w:rPr>
          <w:rFonts w:ascii="Times New Roman" w:hAnsi="Times New Roman"/>
          <w:b w:val="0"/>
          <w:szCs w:val="24"/>
        </w:rPr>
        <w:t xml:space="preserve"> make </w:t>
      </w:r>
      <w:r w:rsidR="00F61EB2">
        <w:rPr>
          <w:rFonts w:ascii="Times New Roman" w:hAnsi="Times New Roman"/>
          <w:b w:val="0"/>
          <w:szCs w:val="24"/>
        </w:rPr>
        <w:t>coastwise-qualified</w:t>
      </w:r>
      <w:r>
        <w:rPr>
          <w:rFonts w:ascii="Times New Roman" w:hAnsi="Times New Roman"/>
          <w:b w:val="0"/>
          <w:szCs w:val="24"/>
        </w:rPr>
        <w:t xml:space="preserve"> vessel availability </w:t>
      </w:r>
      <w:r w:rsidR="00776EC6">
        <w:rPr>
          <w:rFonts w:ascii="Times New Roman" w:hAnsi="Times New Roman"/>
          <w:b w:val="0"/>
          <w:szCs w:val="24"/>
        </w:rPr>
        <w:t>determinations</w:t>
      </w:r>
      <w:r w:rsidR="00B54B7E">
        <w:rPr>
          <w:rFonts w:ascii="Times New Roman" w:hAnsi="Times New Roman"/>
          <w:b w:val="0"/>
          <w:szCs w:val="24"/>
        </w:rPr>
        <w:t>,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a</w:t>
      </w:r>
      <w:r w:rsidR="00D47152">
        <w:rPr>
          <w:rFonts w:ascii="Times New Roman" w:hAnsi="Times New Roman"/>
          <w:b w:val="0"/>
          <w:szCs w:val="24"/>
        </w:rPr>
        <w:t>nd possibly overlook</w:t>
      </w:r>
      <w:r>
        <w:rPr>
          <w:rFonts w:ascii="Times New Roman" w:hAnsi="Times New Roman"/>
          <w:b w:val="0"/>
          <w:szCs w:val="24"/>
        </w:rPr>
        <w:t xml:space="preserve"> </w:t>
      </w:r>
      <w:r w:rsidR="00D47152">
        <w:rPr>
          <w:rFonts w:ascii="Times New Roman" w:hAnsi="Times New Roman"/>
          <w:b w:val="0"/>
          <w:szCs w:val="24"/>
        </w:rPr>
        <w:t>available coastwise-</w:t>
      </w:r>
      <w:r>
        <w:rPr>
          <w:rFonts w:ascii="Times New Roman" w:hAnsi="Times New Roman"/>
          <w:b w:val="0"/>
          <w:szCs w:val="24"/>
        </w:rPr>
        <w:t xml:space="preserve">qualified </w:t>
      </w:r>
      <w:r w:rsidRPr="00776EC6" w:rsidR="00776EC6">
        <w:rPr>
          <w:rFonts w:ascii="Times New Roman" w:hAnsi="Times New Roman"/>
          <w:b w:val="0"/>
          <w:szCs w:val="24"/>
        </w:rPr>
        <w:t>vessel</w:t>
      </w:r>
      <w:r w:rsidR="00D47152">
        <w:rPr>
          <w:rFonts w:ascii="Times New Roman" w:hAnsi="Times New Roman"/>
          <w:b w:val="0"/>
          <w:szCs w:val="24"/>
        </w:rPr>
        <w:t>s that could conduct the transportation set forth in a waiver request.</w:t>
      </w:r>
    </w:p>
    <w:p w:rsidR="00367094" w:rsidRPr="00D71CB5" w:rsidP="00216721" w14:paraId="143035AA" w14:textId="77777777">
      <w:pPr>
        <w:ind w:left="360"/>
        <w:rPr>
          <w:rFonts w:ascii="Times New Roman" w:hAnsi="Times New Roman"/>
          <w:szCs w:val="24"/>
        </w:rPr>
      </w:pPr>
    </w:p>
    <w:p w:rsidR="00367094" w:rsidP="002B38BE" w14:paraId="18876DDD" w14:textId="297FB9CC">
      <w:pPr>
        <w:pStyle w:val="ListParagraph"/>
        <w:numPr>
          <w:ilvl w:val="0"/>
          <w:numId w:val="29"/>
        </w:numPr>
        <w:tabs>
          <w:tab w:val="left" w:pos="-1440"/>
        </w:tabs>
        <w:ind w:right="720"/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S</w:t>
      </w:r>
      <w:r w:rsidRPr="00216721">
        <w:rPr>
          <w:rFonts w:ascii="Times New Roman" w:hAnsi="Times New Roman"/>
          <w:b/>
          <w:szCs w:val="24"/>
        </w:rPr>
        <w:t xml:space="preserve">pecial </w:t>
      </w:r>
      <w:r w:rsidRPr="00216721">
        <w:rPr>
          <w:rFonts w:ascii="Times New Roman" w:hAnsi="Times New Roman"/>
          <w:b/>
          <w:szCs w:val="24"/>
        </w:rPr>
        <w:t>Circumstances Relating to the Guidelines 5 CFR 1320.5</w:t>
      </w:r>
    </w:p>
    <w:p w:rsidR="00FE52B5" w:rsidRPr="00D71CB5" w:rsidP="00FE52B5" w14:paraId="34E273D7" w14:textId="77777777">
      <w:pPr>
        <w:pStyle w:val="a"/>
        <w:tabs>
          <w:tab w:val="left" w:pos="-1440"/>
        </w:tabs>
        <w:ind w:left="0" w:firstLine="0"/>
        <w:rPr>
          <w:szCs w:val="24"/>
        </w:rPr>
      </w:pPr>
    </w:p>
    <w:p w:rsidR="00FE52B5" w:rsidRPr="00D71CB5" w:rsidP="00412170" w14:paraId="6E82D113" w14:textId="68D5E1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</w:t>
      </w:r>
      <w:r w:rsidR="00DD6BAE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nformation collection </w:t>
      </w:r>
      <w:r>
        <w:rPr>
          <w:rFonts w:ascii="Times New Roman" w:hAnsi="Times New Roman"/>
          <w:szCs w:val="24"/>
        </w:rPr>
        <w:t>is</w:t>
      </w:r>
      <w:r>
        <w:rPr>
          <w:rFonts w:ascii="Times New Roman" w:hAnsi="Times New Roman"/>
          <w:szCs w:val="24"/>
        </w:rPr>
        <w:t xml:space="preserve"> undertaken in anticipation</w:t>
      </w:r>
      <w:r>
        <w:rPr>
          <w:rFonts w:ascii="Times New Roman" w:hAnsi="Times New Roman"/>
          <w:szCs w:val="24"/>
        </w:rPr>
        <w:t xml:space="preserve"> of</w:t>
      </w:r>
      <w:r w:rsidR="00DD6BA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DD6BAE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 xml:space="preserve"> response to requests for waiver</w:t>
      </w:r>
      <w:r w:rsidR="00D47152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of </w:t>
      </w:r>
      <w:r w:rsidR="00D4715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Jones Act, which may or may not occur in any cyclical pattern.  Otherwise,</w:t>
      </w:r>
      <w:r w:rsidRPr="00D71CB5">
        <w:rPr>
          <w:rFonts w:ascii="Times New Roman" w:hAnsi="Times New Roman"/>
          <w:szCs w:val="24"/>
        </w:rPr>
        <w:t xml:space="preserve"> there are no special circumstances that require th</w:t>
      </w:r>
      <w:r>
        <w:rPr>
          <w:rFonts w:ascii="Times New Roman" w:hAnsi="Times New Roman"/>
          <w:szCs w:val="24"/>
        </w:rPr>
        <w:t>is</w:t>
      </w:r>
      <w:r w:rsidRPr="00D71CB5">
        <w:rPr>
          <w:rFonts w:ascii="Times New Roman" w:hAnsi="Times New Roman"/>
          <w:szCs w:val="24"/>
        </w:rPr>
        <w:t xml:space="preserve"> collection of information to be conducted in </w:t>
      </w:r>
      <w:r>
        <w:rPr>
          <w:rFonts w:ascii="Times New Roman" w:hAnsi="Times New Roman"/>
          <w:szCs w:val="24"/>
        </w:rPr>
        <w:t>the</w:t>
      </w:r>
      <w:r w:rsidRPr="00D71CB5">
        <w:rPr>
          <w:rFonts w:ascii="Times New Roman" w:hAnsi="Times New Roman"/>
          <w:szCs w:val="24"/>
        </w:rPr>
        <w:t xml:space="preserve"> manner described </w:t>
      </w:r>
      <w:r>
        <w:rPr>
          <w:rFonts w:ascii="Times New Roman" w:hAnsi="Times New Roman"/>
          <w:szCs w:val="24"/>
        </w:rPr>
        <w:t>below:</w:t>
      </w:r>
    </w:p>
    <w:p w:rsidR="00FE52B5" w:rsidRPr="00216721" w:rsidP="00216721" w14:paraId="2FE87EC1" w14:textId="77777777">
      <w:pPr>
        <w:tabs>
          <w:tab w:val="left" w:pos="-1440"/>
        </w:tabs>
        <w:ind w:left="360" w:right="720"/>
        <w:rPr>
          <w:rFonts w:ascii="Times New Roman" w:hAnsi="Times New Roman"/>
          <w:b/>
          <w:szCs w:val="24"/>
        </w:rPr>
      </w:pPr>
    </w:p>
    <w:p w:rsidR="00B87A36" w:rsidRPr="00216721" w:rsidP="00216721" w14:paraId="769E158C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respondents to report information to MARAD more often than quarterly;</w:t>
      </w:r>
    </w:p>
    <w:p w:rsidR="00B87A36" w:rsidRPr="00216721" w:rsidP="00216721" w14:paraId="29AD9159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respondents to prepare a written response in fewer than 30 days after receipt of a collection instrument;</w:t>
      </w:r>
    </w:p>
    <w:p w:rsidR="00B87A36" w:rsidRPr="00216721" w:rsidP="00216721" w14:paraId="02ADD5FB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respondents to submit more than one original copy of any document;</w:t>
      </w:r>
    </w:p>
    <w:p w:rsidR="00B87A36" w:rsidRPr="00216721" w:rsidP="00216721" w14:paraId="61F6BF12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respondents to retain records, other than health, medical, government contract, grant-in-aid, or tax records for more than three years;</w:t>
      </w:r>
    </w:p>
    <w:p w:rsidR="00B87A36" w:rsidRPr="00216721" w:rsidP="00216721" w14:paraId="520CFAEB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the use of any statistical data that is not designed to produce valid and reliable results that can be generalized to the universe of study;</w:t>
      </w:r>
    </w:p>
    <w:p w:rsidR="00B87A36" w:rsidRPr="00216721" w:rsidP="00216721" w14:paraId="5702F0FF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the use of a statistical data classification that has not been reviewed and approved by OMB;</w:t>
      </w:r>
    </w:p>
    <w:p w:rsidR="00B87A36" w:rsidRPr="00216721" w:rsidP="00216721" w14:paraId="26E4487F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 xml:space="preserve">Requiring any pledge of confidentiality; or </w:t>
      </w:r>
    </w:p>
    <w:p w:rsidR="00B87A36" w:rsidRPr="00216721" w:rsidP="00216721" w14:paraId="1EBDEC28" w14:textId="77777777">
      <w:pPr>
        <w:numPr>
          <w:ilvl w:val="0"/>
          <w:numId w:val="34"/>
        </w:numPr>
        <w:tabs>
          <w:tab w:val="left" w:pos="-1440"/>
        </w:tabs>
        <w:ind w:left="1080" w:righ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Requiring respondents to submit any proprietary or trade secrets.</w:t>
      </w:r>
    </w:p>
    <w:p w:rsidR="00367094" w:rsidRPr="00D71CB5" w:rsidP="00216721" w14:paraId="1D86F393" w14:textId="77777777">
      <w:pPr>
        <w:ind w:left="360"/>
        <w:rPr>
          <w:rFonts w:ascii="Times New Roman" w:hAnsi="Times New Roman"/>
          <w:b/>
          <w:szCs w:val="24"/>
        </w:rPr>
      </w:pPr>
    </w:p>
    <w:p w:rsidR="00B87A36" w:rsidRPr="00216721" w:rsidP="00216721" w14:paraId="53FE8DC4" w14:textId="26595330">
      <w:pPr>
        <w:pStyle w:val="ListParagraph"/>
        <w:numPr>
          <w:ilvl w:val="0"/>
          <w:numId w:val="29"/>
        </w:numPr>
        <w:rPr>
          <w:rFonts w:ascii="Times New Roman" w:hAnsi="Times New Roman"/>
          <w:b/>
        </w:rPr>
      </w:pPr>
      <w:r w:rsidRPr="00216721">
        <w:rPr>
          <w:rFonts w:ascii="Times New Roman" w:hAnsi="Times New Roman"/>
          <w:b/>
          <w:szCs w:val="24"/>
        </w:rPr>
        <w:t>P</w:t>
      </w:r>
      <w:r w:rsidRPr="00216721" w:rsidR="00367094">
        <w:rPr>
          <w:rFonts w:ascii="Times New Roman" w:hAnsi="Times New Roman"/>
          <w:b/>
          <w:szCs w:val="24"/>
        </w:rPr>
        <w:t xml:space="preserve">ublic </w:t>
      </w:r>
      <w:r w:rsidRPr="00216721">
        <w:rPr>
          <w:rFonts w:ascii="Times New Roman" w:hAnsi="Times New Roman"/>
          <w:b/>
          <w:szCs w:val="24"/>
        </w:rPr>
        <w:t xml:space="preserve">Comments </w:t>
      </w:r>
      <w:r w:rsidRPr="00216721" w:rsidR="00367094">
        <w:rPr>
          <w:rFonts w:ascii="Times New Roman" w:hAnsi="Times New Roman"/>
          <w:b/>
          <w:szCs w:val="24"/>
        </w:rPr>
        <w:t xml:space="preserve">in </w:t>
      </w:r>
      <w:r w:rsidRPr="00216721">
        <w:rPr>
          <w:rFonts w:ascii="Times New Roman" w:hAnsi="Times New Roman"/>
          <w:b/>
          <w:szCs w:val="24"/>
        </w:rPr>
        <w:t xml:space="preserve">Response </w:t>
      </w:r>
      <w:r w:rsidRPr="00216721" w:rsidR="00367094">
        <w:rPr>
          <w:rFonts w:ascii="Times New Roman" w:hAnsi="Times New Roman"/>
          <w:b/>
          <w:szCs w:val="24"/>
        </w:rPr>
        <w:t xml:space="preserve">to </w:t>
      </w:r>
      <w:r w:rsidRPr="00216721">
        <w:rPr>
          <w:rFonts w:ascii="Times New Roman" w:hAnsi="Times New Roman"/>
          <w:b/>
          <w:szCs w:val="24"/>
        </w:rPr>
        <w:t>the Federal Register N</w:t>
      </w:r>
      <w:r w:rsidRPr="00216721" w:rsidR="00367094">
        <w:rPr>
          <w:rFonts w:ascii="Times New Roman" w:hAnsi="Times New Roman"/>
          <w:b/>
          <w:szCs w:val="24"/>
        </w:rPr>
        <w:t xml:space="preserve">otice and </w:t>
      </w:r>
      <w:r w:rsidRPr="00216721">
        <w:rPr>
          <w:rFonts w:ascii="Times New Roman" w:hAnsi="Times New Roman"/>
          <w:b/>
        </w:rPr>
        <w:t>O</w:t>
      </w:r>
      <w:r w:rsidRPr="00216721" w:rsidR="00367094">
        <w:rPr>
          <w:rFonts w:ascii="Times New Roman" w:hAnsi="Times New Roman"/>
          <w:b/>
        </w:rPr>
        <w:t xml:space="preserve">utside </w:t>
      </w:r>
      <w:r w:rsidRPr="00216721">
        <w:rPr>
          <w:rFonts w:ascii="Times New Roman" w:hAnsi="Times New Roman"/>
          <w:b/>
        </w:rPr>
        <w:t>Consultation</w:t>
      </w:r>
    </w:p>
    <w:p w:rsidR="00367094" w:rsidRPr="00D71CB5" w:rsidP="00176C0E" w14:paraId="0F75027B" w14:textId="77777777">
      <w:pPr>
        <w:rPr>
          <w:rFonts w:ascii="Times New Roman" w:hAnsi="Times New Roman"/>
          <w:szCs w:val="24"/>
        </w:rPr>
      </w:pPr>
    </w:p>
    <w:p w:rsidR="00535B96" w:rsidP="00412170" w14:paraId="16ECD27F" w14:textId="3861A026">
      <w:pPr>
        <w:tabs>
          <w:tab w:val="left" w:pos="-144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BB6ABB" w:rsidR="00DA71F2">
        <w:rPr>
          <w:rFonts w:ascii="Times New Roman" w:hAnsi="Times New Roman"/>
          <w:szCs w:val="24"/>
        </w:rPr>
        <w:t xml:space="preserve">MARAD published a 60-day notice and request for comments on this information collection in the Federal Register (FR </w:t>
      </w:r>
      <w:r w:rsidRPr="00BB6ABB" w:rsidR="002F5F7A">
        <w:rPr>
          <w:rFonts w:ascii="Times New Roman" w:hAnsi="Times New Roman"/>
          <w:szCs w:val="24"/>
        </w:rPr>
        <w:t>725</w:t>
      </w:r>
      <w:r w:rsidRPr="00BB6ABB" w:rsidR="00DA71F2">
        <w:rPr>
          <w:rFonts w:ascii="Times New Roman" w:hAnsi="Times New Roman"/>
          <w:szCs w:val="24"/>
        </w:rPr>
        <w:t>,</w:t>
      </w:r>
      <w:r w:rsidRPr="00BB6ABB" w:rsidR="006831F6">
        <w:rPr>
          <w:rFonts w:ascii="Times New Roman" w:hAnsi="Times New Roman"/>
          <w:szCs w:val="24"/>
        </w:rPr>
        <w:t xml:space="preserve"> </w:t>
      </w:r>
      <w:r w:rsidRPr="00BB6ABB" w:rsidR="00DA71F2">
        <w:rPr>
          <w:rFonts w:ascii="Times New Roman" w:hAnsi="Times New Roman"/>
          <w:szCs w:val="24"/>
        </w:rPr>
        <w:t xml:space="preserve">Vol </w:t>
      </w:r>
      <w:r w:rsidRPr="00BB6ABB" w:rsidR="006831F6">
        <w:rPr>
          <w:rFonts w:ascii="Times New Roman" w:hAnsi="Times New Roman"/>
          <w:szCs w:val="24"/>
        </w:rPr>
        <w:t>90</w:t>
      </w:r>
      <w:r w:rsidRPr="00BB6ABB" w:rsidR="00DA71F2">
        <w:rPr>
          <w:rFonts w:ascii="Times New Roman" w:hAnsi="Times New Roman"/>
          <w:szCs w:val="24"/>
        </w:rPr>
        <w:t xml:space="preserve">, No. </w:t>
      </w:r>
      <w:r w:rsidRPr="00BB6ABB" w:rsidR="006831F6">
        <w:rPr>
          <w:rFonts w:ascii="Times New Roman" w:hAnsi="Times New Roman"/>
          <w:szCs w:val="24"/>
        </w:rPr>
        <w:t>3</w:t>
      </w:r>
      <w:r w:rsidRPr="00BB6ABB" w:rsidR="00DA71F2">
        <w:rPr>
          <w:rFonts w:ascii="Times New Roman" w:hAnsi="Times New Roman"/>
          <w:szCs w:val="24"/>
        </w:rPr>
        <w:t xml:space="preserve">) on </w:t>
      </w:r>
      <w:r w:rsidRPr="00BB6ABB" w:rsidR="008E4096">
        <w:rPr>
          <w:rFonts w:ascii="Times New Roman" w:hAnsi="Times New Roman"/>
          <w:szCs w:val="24"/>
        </w:rPr>
        <w:t>January</w:t>
      </w:r>
      <w:r w:rsidRPr="00BB6ABB" w:rsidR="00DA71F2">
        <w:rPr>
          <w:rFonts w:ascii="Times New Roman" w:hAnsi="Times New Roman"/>
          <w:szCs w:val="24"/>
        </w:rPr>
        <w:t xml:space="preserve"> </w:t>
      </w:r>
      <w:r w:rsidRPr="00BB6ABB" w:rsidR="008E4096">
        <w:rPr>
          <w:rFonts w:ascii="Times New Roman" w:hAnsi="Times New Roman"/>
          <w:szCs w:val="24"/>
        </w:rPr>
        <w:t>6</w:t>
      </w:r>
      <w:r w:rsidRPr="00BB6ABB" w:rsidR="00DA71F2">
        <w:rPr>
          <w:rFonts w:ascii="Times New Roman" w:hAnsi="Times New Roman"/>
          <w:szCs w:val="24"/>
        </w:rPr>
        <w:t xml:space="preserve">, </w:t>
      </w:r>
      <w:r w:rsidRPr="00BB6ABB" w:rsidR="008E4096">
        <w:rPr>
          <w:rFonts w:ascii="Times New Roman" w:hAnsi="Times New Roman"/>
          <w:szCs w:val="24"/>
        </w:rPr>
        <w:t>2025</w:t>
      </w:r>
      <w:r w:rsidRPr="00BB6ABB" w:rsidR="00DA71F2">
        <w:rPr>
          <w:rFonts w:ascii="Times New Roman" w:hAnsi="Times New Roman"/>
          <w:szCs w:val="24"/>
        </w:rPr>
        <w:t xml:space="preserve">, indicating comments should be submitted on or before </w:t>
      </w:r>
      <w:r w:rsidRPr="00BB6ABB" w:rsidR="00B54B7E">
        <w:rPr>
          <w:rFonts w:ascii="Times New Roman" w:hAnsi="Times New Roman"/>
          <w:szCs w:val="24"/>
        </w:rPr>
        <w:t>March 10,</w:t>
      </w:r>
      <w:r w:rsidR="00B54B7E">
        <w:rPr>
          <w:rFonts w:ascii="Times New Roman" w:hAnsi="Times New Roman"/>
          <w:szCs w:val="24"/>
        </w:rPr>
        <w:t xml:space="preserve"> </w:t>
      </w:r>
      <w:r w:rsidRPr="00BB6ABB" w:rsidR="00B54B7E">
        <w:rPr>
          <w:rFonts w:ascii="Times New Roman" w:hAnsi="Times New Roman"/>
          <w:szCs w:val="24"/>
        </w:rPr>
        <w:t>2025</w:t>
      </w:r>
      <w:r w:rsidRPr="00BB6ABB" w:rsidR="00DA71F2">
        <w:rPr>
          <w:rFonts w:ascii="Times New Roman" w:hAnsi="Times New Roman"/>
          <w:szCs w:val="24"/>
        </w:rPr>
        <w:t>. No comments were received. A 30-day notice will now be published in the Federal Register to solicit public comments.</w:t>
      </w:r>
    </w:p>
    <w:p w:rsidR="00EB6B1A" w:rsidRPr="00D71CB5" w:rsidP="00176C0E" w14:paraId="16541341" w14:textId="77777777">
      <w:pPr>
        <w:tabs>
          <w:tab w:val="left" w:pos="-1440"/>
        </w:tabs>
        <w:ind w:left="720" w:hanging="720"/>
        <w:rPr>
          <w:rFonts w:ascii="Times New Roman" w:hAnsi="Times New Roman"/>
          <w:b/>
          <w:szCs w:val="24"/>
        </w:rPr>
      </w:pPr>
    </w:p>
    <w:p w:rsidR="00367094" w:rsidRPr="00D71CB5" w:rsidP="00216721" w14:paraId="3273522C" w14:textId="0046F278">
      <w:pPr>
        <w:pStyle w:val="BodyTextIndent3"/>
        <w:numPr>
          <w:ilvl w:val="0"/>
          <w:numId w:val="29"/>
        </w:numPr>
        <w:tabs>
          <w:tab w:val="clear" w:pos="-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Explanation of</w:t>
      </w:r>
      <w:r w:rsidRPr="00D71CB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D71CB5">
        <w:rPr>
          <w:rFonts w:ascii="Times New Roman" w:hAnsi="Times New Roman"/>
          <w:szCs w:val="24"/>
        </w:rPr>
        <w:t xml:space="preserve">ny </w:t>
      </w:r>
      <w:r>
        <w:rPr>
          <w:rFonts w:ascii="Times New Roman" w:hAnsi="Times New Roman"/>
          <w:szCs w:val="24"/>
        </w:rPr>
        <w:t>P</w:t>
      </w:r>
      <w:r w:rsidRPr="00D71CB5">
        <w:rPr>
          <w:rFonts w:ascii="Times New Roman" w:hAnsi="Times New Roman"/>
          <w:szCs w:val="24"/>
        </w:rPr>
        <w:t xml:space="preserve">ayment </w:t>
      </w:r>
      <w:r w:rsidRPr="00D71CB5">
        <w:rPr>
          <w:rFonts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>G</w:t>
      </w:r>
      <w:r w:rsidRPr="00D71CB5">
        <w:rPr>
          <w:rFonts w:ascii="Times New Roman" w:hAnsi="Times New Roman"/>
          <w:szCs w:val="24"/>
        </w:rPr>
        <w:t xml:space="preserve">ift </w:t>
      </w:r>
      <w:r w:rsidRPr="00D71CB5"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szCs w:val="24"/>
        </w:rPr>
        <w:t>R</w:t>
      </w:r>
      <w:r w:rsidRPr="00D71CB5">
        <w:rPr>
          <w:rFonts w:ascii="Times New Roman" w:hAnsi="Times New Roman"/>
          <w:szCs w:val="24"/>
        </w:rPr>
        <w:t>espondents</w:t>
      </w:r>
    </w:p>
    <w:p w:rsidR="00367094" w:rsidRPr="00D71CB5" w:rsidP="00176C0E" w14:paraId="0D24263F" w14:textId="77777777">
      <w:pPr>
        <w:rPr>
          <w:rFonts w:ascii="Times New Roman" w:hAnsi="Times New Roman"/>
          <w:szCs w:val="24"/>
        </w:rPr>
      </w:pPr>
    </w:p>
    <w:p w:rsidR="00E93876" w:rsidP="00412170" w14:paraId="3EDC0492" w14:textId="3CD08C55">
      <w:pPr>
        <w:ind w:left="72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 xml:space="preserve">No payments or gifts </w:t>
      </w:r>
      <w:r w:rsidR="00412170">
        <w:rPr>
          <w:rFonts w:ascii="Times New Roman" w:hAnsi="Times New Roman"/>
          <w:szCs w:val="24"/>
        </w:rPr>
        <w:t>are</w:t>
      </w:r>
      <w:r w:rsidR="00011E0E">
        <w:rPr>
          <w:rFonts w:ascii="Times New Roman" w:hAnsi="Times New Roman"/>
          <w:szCs w:val="24"/>
        </w:rPr>
        <w:t xml:space="preserve"> </w:t>
      </w:r>
      <w:r w:rsidRPr="00D71CB5">
        <w:rPr>
          <w:rFonts w:ascii="Times New Roman" w:hAnsi="Times New Roman"/>
          <w:szCs w:val="24"/>
        </w:rPr>
        <w:t>provided to respondents.</w:t>
      </w:r>
    </w:p>
    <w:p w:rsidR="00367094" w:rsidRPr="00D71CB5" w:rsidP="00176C0E" w14:paraId="19A82C09" w14:textId="77777777">
      <w:pPr>
        <w:ind w:left="720"/>
        <w:rPr>
          <w:rFonts w:ascii="Times New Roman" w:hAnsi="Times New Roman"/>
          <w:szCs w:val="24"/>
        </w:rPr>
      </w:pPr>
    </w:p>
    <w:p w:rsidR="00367094" w:rsidRPr="00D71CB5" w:rsidP="00216721" w14:paraId="63AE0453" w14:textId="5126EDA6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D71CB5">
        <w:rPr>
          <w:rFonts w:ascii="Times New Roman" w:hAnsi="Times New Roman"/>
          <w:szCs w:val="24"/>
        </w:rPr>
        <w:t xml:space="preserve">ssurance of </w:t>
      </w:r>
      <w:r>
        <w:rPr>
          <w:rFonts w:ascii="Times New Roman" w:hAnsi="Times New Roman"/>
          <w:szCs w:val="24"/>
        </w:rPr>
        <w:t>C</w:t>
      </w:r>
      <w:r w:rsidRPr="00D71CB5">
        <w:rPr>
          <w:rFonts w:ascii="Times New Roman" w:hAnsi="Times New Roman"/>
          <w:szCs w:val="24"/>
        </w:rPr>
        <w:t xml:space="preserve">onfidentiality </w:t>
      </w:r>
      <w:r>
        <w:rPr>
          <w:rFonts w:ascii="Times New Roman" w:hAnsi="Times New Roman"/>
          <w:szCs w:val="24"/>
        </w:rPr>
        <w:t>and Protection of Privacy</w:t>
      </w:r>
    </w:p>
    <w:p w:rsidR="00367094" w:rsidRPr="00D71CB5" w:rsidP="00216721" w14:paraId="25E8C0B1" w14:textId="77777777">
      <w:pPr>
        <w:pStyle w:val="PlainText"/>
        <w:ind w:left="1080"/>
        <w:rPr>
          <w:rFonts w:ascii="Times New Roman" w:hAnsi="Times New Roman"/>
          <w:b/>
          <w:sz w:val="24"/>
          <w:szCs w:val="24"/>
        </w:rPr>
      </w:pPr>
    </w:p>
    <w:p w:rsidR="00367094" w:rsidRPr="00D71CB5" w:rsidP="00412170" w14:paraId="6D35064A" w14:textId="5D77EAAB">
      <w:pPr>
        <w:pStyle w:val="PlainText"/>
        <w:ind w:left="720"/>
        <w:rPr>
          <w:rFonts w:ascii="Times New Roman" w:hAnsi="Times New Roman"/>
          <w:sz w:val="24"/>
          <w:szCs w:val="24"/>
        </w:rPr>
      </w:pPr>
      <w:r w:rsidRPr="00D71CB5">
        <w:rPr>
          <w:rFonts w:ascii="Times New Roman" w:hAnsi="Times New Roman"/>
          <w:sz w:val="24"/>
          <w:szCs w:val="24"/>
        </w:rPr>
        <w:t>The information requested is not of a confidential nature</w:t>
      </w:r>
      <w:r w:rsidR="00E93876">
        <w:rPr>
          <w:rFonts w:ascii="Times New Roman" w:hAnsi="Times New Roman"/>
          <w:sz w:val="24"/>
          <w:szCs w:val="24"/>
        </w:rPr>
        <w:t>.</w:t>
      </w:r>
      <w:r w:rsidRPr="00D71CB5">
        <w:rPr>
          <w:rFonts w:ascii="Times New Roman" w:hAnsi="Times New Roman"/>
          <w:sz w:val="24"/>
          <w:szCs w:val="24"/>
        </w:rPr>
        <w:t xml:space="preserve"> </w:t>
      </w:r>
      <w:r w:rsidR="00E93876">
        <w:rPr>
          <w:rFonts w:ascii="Times New Roman" w:hAnsi="Times New Roman"/>
          <w:sz w:val="24"/>
          <w:szCs w:val="24"/>
        </w:rPr>
        <w:t xml:space="preserve"> C</w:t>
      </w:r>
      <w:r w:rsidRPr="00D71CB5">
        <w:rPr>
          <w:rFonts w:ascii="Times New Roman" w:hAnsi="Times New Roman"/>
          <w:sz w:val="24"/>
          <w:szCs w:val="24"/>
        </w:rPr>
        <w:t xml:space="preserve">onsequently, no assurance of confidentiality </w:t>
      </w:r>
      <w:r w:rsidR="00DD6BAE">
        <w:rPr>
          <w:rFonts w:ascii="Times New Roman" w:hAnsi="Times New Roman"/>
          <w:sz w:val="24"/>
          <w:szCs w:val="24"/>
        </w:rPr>
        <w:t xml:space="preserve">is </w:t>
      </w:r>
      <w:r w:rsidRPr="00D71CB5">
        <w:rPr>
          <w:rFonts w:ascii="Times New Roman" w:hAnsi="Times New Roman"/>
          <w:sz w:val="24"/>
          <w:szCs w:val="24"/>
        </w:rPr>
        <w:t>given.</w:t>
      </w:r>
    </w:p>
    <w:p w:rsidR="00367094" w:rsidRPr="00D71CB5" w:rsidP="00176C0E" w14:paraId="263F235F" w14:textId="77777777">
      <w:pPr>
        <w:tabs>
          <w:tab w:val="left" w:pos="-1440"/>
        </w:tabs>
        <w:ind w:left="720" w:hanging="720"/>
        <w:rPr>
          <w:rFonts w:ascii="Times New Roman" w:hAnsi="Times New Roman"/>
          <w:b/>
          <w:szCs w:val="24"/>
        </w:rPr>
      </w:pPr>
    </w:p>
    <w:p w:rsidR="001E10C6" w:rsidRPr="00216721" w:rsidP="00216721" w14:paraId="52CF6F00" w14:textId="33C48798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b/>
          <w:szCs w:val="24"/>
        </w:rPr>
        <w:t xml:space="preserve">Justification </w:t>
      </w:r>
      <w:r>
        <w:rPr>
          <w:rFonts w:ascii="Times New Roman" w:hAnsi="Times New Roman"/>
          <w:b/>
          <w:szCs w:val="24"/>
        </w:rPr>
        <w:t>for</w:t>
      </w:r>
      <w:r w:rsidRPr="00216721">
        <w:rPr>
          <w:rFonts w:ascii="Times New Roman" w:hAnsi="Times New Roman"/>
          <w:b/>
          <w:szCs w:val="24"/>
        </w:rPr>
        <w:t xml:space="preserve"> Sensitive Questions </w:t>
      </w:r>
    </w:p>
    <w:p w:rsidR="00367094" w:rsidRPr="00D71CB5" w:rsidP="00176C0E" w14:paraId="3529C638" w14:textId="77777777">
      <w:pPr>
        <w:rPr>
          <w:rFonts w:ascii="Times New Roman" w:hAnsi="Times New Roman"/>
          <w:szCs w:val="24"/>
        </w:rPr>
      </w:pPr>
    </w:p>
    <w:p w:rsidR="00367094" w:rsidRPr="00D71CB5" w:rsidP="00176C0E" w14:paraId="1EA633AE" w14:textId="1DEE3306">
      <w:pPr>
        <w:ind w:left="72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 xml:space="preserve">There </w:t>
      </w:r>
      <w:r w:rsidR="00412170">
        <w:rPr>
          <w:rFonts w:ascii="Times New Roman" w:hAnsi="Times New Roman"/>
          <w:szCs w:val="24"/>
        </w:rPr>
        <w:t xml:space="preserve">are </w:t>
      </w:r>
      <w:r w:rsidRPr="00D71CB5">
        <w:rPr>
          <w:rFonts w:ascii="Times New Roman" w:hAnsi="Times New Roman"/>
          <w:szCs w:val="24"/>
        </w:rPr>
        <w:t>no questions of a sensitive nature.</w:t>
      </w:r>
    </w:p>
    <w:p w:rsidR="00367094" w:rsidRPr="00D71CB5" w:rsidP="00176C0E" w14:paraId="69194BD0" w14:textId="77777777">
      <w:pPr>
        <w:ind w:left="720"/>
        <w:rPr>
          <w:rFonts w:ascii="Times New Roman" w:hAnsi="Times New Roman"/>
          <w:szCs w:val="24"/>
        </w:rPr>
      </w:pPr>
    </w:p>
    <w:p w:rsidR="001E10C6" w:rsidRPr="00216721" w:rsidP="00216721" w14:paraId="7CB18FBB" w14:textId="14499CF6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 xml:space="preserve">Estimate of Annualized </w:t>
      </w:r>
      <w:r w:rsidRPr="00216721" w:rsidR="00367094">
        <w:rPr>
          <w:rFonts w:ascii="Times New Roman" w:hAnsi="Times New Roman"/>
          <w:b/>
          <w:szCs w:val="24"/>
        </w:rPr>
        <w:t xml:space="preserve">burden </w:t>
      </w:r>
      <w:r w:rsidRPr="00216721">
        <w:rPr>
          <w:rFonts w:ascii="Times New Roman" w:hAnsi="Times New Roman"/>
          <w:b/>
          <w:szCs w:val="24"/>
        </w:rPr>
        <w:t xml:space="preserve">Hours and Cost </w:t>
      </w:r>
    </w:p>
    <w:p w:rsidR="00367094" w:rsidRPr="00D71CB5" w:rsidP="00176C0E" w14:paraId="2A7D24CC" w14:textId="77777777">
      <w:pPr>
        <w:rPr>
          <w:rFonts w:ascii="Times New Roman" w:hAnsi="Times New Roman"/>
          <w:b/>
          <w:szCs w:val="24"/>
        </w:rPr>
      </w:pPr>
    </w:p>
    <w:p w:rsidR="001E10C6" w:rsidP="00216721" w14:paraId="64F12E50" w14:textId="77777777">
      <w:pPr>
        <w:pStyle w:val="a"/>
        <w:numPr>
          <w:ilvl w:val="0"/>
          <w:numId w:val="33"/>
        </w:numPr>
        <w:tabs>
          <w:tab w:val="left" w:pos="-1440"/>
        </w:tabs>
        <w:ind w:left="1080"/>
        <w:rPr>
          <w:b/>
          <w:szCs w:val="24"/>
        </w:rPr>
      </w:pPr>
      <w:r>
        <w:rPr>
          <w:b/>
          <w:szCs w:val="24"/>
        </w:rPr>
        <w:t xml:space="preserve">Estimated Annualized Burden Hours </w:t>
      </w:r>
    </w:p>
    <w:p w:rsidR="00367094" w:rsidRPr="00D71CB5" w:rsidP="00176C0E" w14:paraId="519EAF2A" w14:textId="4B145F16">
      <w:pPr>
        <w:tabs>
          <w:tab w:val="left" w:pos="-1440"/>
        </w:tabs>
        <w:rPr>
          <w:rFonts w:ascii="Times New Roman" w:hAnsi="Times New Roman"/>
          <w:b/>
          <w:szCs w:val="24"/>
        </w:rPr>
      </w:pPr>
    </w:p>
    <w:p w:rsidR="00B0410C" w:rsidP="00132C34" w14:paraId="6B55C0A3" w14:textId="76B0F604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>Curre</w:t>
      </w:r>
      <w:r w:rsidR="00EB6B1A">
        <w:rPr>
          <w:rFonts w:ascii="Times New Roman" w:hAnsi="Times New Roman"/>
          <w:szCs w:val="24"/>
        </w:rPr>
        <w:t xml:space="preserve">ntly there are approximately </w:t>
      </w:r>
      <w:r w:rsidRPr="009B5853" w:rsidR="008E4839">
        <w:rPr>
          <w:rFonts w:ascii="Times New Roman" w:hAnsi="Times New Roman"/>
          <w:szCs w:val="24"/>
        </w:rPr>
        <w:t>6</w:t>
      </w:r>
      <w:r w:rsidRPr="009B5853" w:rsidR="00EB6B1A">
        <w:rPr>
          <w:rFonts w:ascii="Times New Roman" w:hAnsi="Times New Roman"/>
          <w:szCs w:val="24"/>
        </w:rPr>
        <w:t xml:space="preserve">5 </w:t>
      </w:r>
      <w:r w:rsidRPr="009B5853">
        <w:rPr>
          <w:rFonts w:ascii="Times New Roman" w:hAnsi="Times New Roman"/>
          <w:szCs w:val="24"/>
        </w:rPr>
        <w:t>respondents</w:t>
      </w:r>
      <w:r w:rsidR="005D41D0">
        <w:rPr>
          <w:rFonts w:ascii="Times New Roman" w:hAnsi="Times New Roman"/>
          <w:szCs w:val="24"/>
        </w:rPr>
        <w:t xml:space="preserve">, </w:t>
      </w:r>
      <w:r w:rsidR="00B54B7E">
        <w:rPr>
          <w:rFonts w:ascii="Times New Roman" w:hAnsi="Times New Roman"/>
          <w:szCs w:val="24"/>
        </w:rPr>
        <w:t>owners,</w:t>
      </w:r>
      <w:r w:rsidR="005D41D0">
        <w:rPr>
          <w:rFonts w:ascii="Times New Roman" w:hAnsi="Times New Roman"/>
          <w:szCs w:val="24"/>
        </w:rPr>
        <w:t xml:space="preserve"> and operators of coastwise-qualified vessels,</w:t>
      </w:r>
      <w:r w:rsidRPr="00D71CB5">
        <w:rPr>
          <w:rFonts w:ascii="Times New Roman" w:hAnsi="Times New Roman"/>
          <w:szCs w:val="24"/>
        </w:rPr>
        <w:t xml:space="preserve"> </w:t>
      </w:r>
      <w:r w:rsidR="00B961DE">
        <w:rPr>
          <w:rFonts w:ascii="Times New Roman" w:hAnsi="Times New Roman"/>
          <w:szCs w:val="24"/>
        </w:rPr>
        <w:t xml:space="preserve">from </w:t>
      </w:r>
      <w:r w:rsidRPr="00D71CB5">
        <w:rPr>
          <w:rFonts w:ascii="Times New Roman" w:hAnsi="Times New Roman"/>
          <w:szCs w:val="24"/>
        </w:rPr>
        <w:t>who</w:t>
      </w:r>
      <w:r w:rsidR="00B961DE">
        <w:rPr>
          <w:rFonts w:ascii="Times New Roman" w:hAnsi="Times New Roman"/>
          <w:szCs w:val="24"/>
        </w:rPr>
        <w:t>m</w:t>
      </w:r>
      <w:r w:rsidRPr="00D71CB5">
        <w:rPr>
          <w:rFonts w:ascii="Times New Roman" w:hAnsi="Times New Roman"/>
          <w:szCs w:val="24"/>
        </w:rPr>
        <w:t xml:space="preserve"> </w:t>
      </w:r>
      <w:r w:rsidR="0099223C">
        <w:rPr>
          <w:rFonts w:ascii="Times New Roman" w:hAnsi="Times New Roman"/>
          <w:szCs w:val="24"/>
        </w:rPr>
        <w:t xml:space="preserve">the desired </w:t>
      </w:r>
      <w:r w:rsidR="00EB6B1A">
        <w:rPr>
          <w:rFonts w:ascii="Times New Roman" w:hAnsi="Times New Roman"/>
          <w:szCs w:val="24"/>
        </w:rPr>
        <w:t xml:space="preserve">information </w:t>
      </w:r>
      <w:r w:rsidR="0099223C">
        <w:rPr>
          <w:rFonts w:ascii="Times New Roman" w:hAnsi="Times New Roman"/>
          <w:szCs w:val="24"/>
        </w:rPr>
        <w:t>could</w:t>
      </w:r>
      <w:r w:rsidR="00B961DE">
        <w:rPr>
          <w:rFonts w:ascii="Times New Roman" w:hAnsi="Times New Roman"/>
          <w:szCs w:val="24"/>
        </w:rPr>
        <w:t xml:space="preserve"> be collected </w:t>
      </w:r>
      <w:r w:rsidR="00EB6B1A">
        <w:rPr>
          <w:rFonts w:ascii="Times New Roman" w:hAnsi="Times New Roman"/>
          <w:szCs w:val="24"/>
        </w:rPr>
        <w:t>on an ad hoc</w:t>
      </w:r>
      <w:r w:rsidR="00B961DE">
        <w:rPr>
          <w:rFonts w:ascii="Times New Roman" w:hAnsi="Times New Roman"/>
          <w:szCs w:val="24"/>
        </w:rPr>
        <w:t xml:space="preserve"> basis.</w:t>
      </w:r>
      <w:r w:rsidR="00EB6B1A">
        <w:rPr>
          <w:rFonts w:ascii="Times New Roman" w:hAnsi="Times New Roman"/>
          <w:szCs w:val="24"/>
        </w:rPr>
        <w:t xml:space="preserve"> </w:t>
      </w:r>
      <w:r w:rsidRPr="00D71CB5">
        <w:rPr>
          <w:rFonts w:ascii="Times New Roman" w:hAnsi="Times New Roman"/>
          <w:szCs w:val="24"/>
        </w:rPr>
        <w:t xml:space="preserve"> </w:t>
      </w:r>
      <w:r w:rsidR="00A850B6">
        <w:rPr>
          <w:rFonts w:ascii="Times New Roman" w:hAnsi="Times New Roman"/>
          <w:szCs w:val="24"/>
        </w:rPr>
        <w:t xml:space="preserve">The specific number of respondents </w:t>
      </w:r>
      <w:r w:rsidR="00B917E4">
        <w:rPr>
          <w:rFonts w:ascii="Times New Roman" w:hAnsi="Times New Roman"/>
          <w:szCs w:val="24"/>
        </w:rPr>
        <w:t xml:space="preserve">contacted </w:t>
      </w:r>
      <w:r w:rsidR="00A850B6">
        <w:rPr>
          <w:rFonts w:ascii="Times New Roman" w:hAnsi="Times New Roman"/>
          <w:szCs w:val="24"/>
        </w:rPr>
        <w:t xml:space="preserve">may vary depending upon the </w:t>
      </w:r>
      <w:r w:rsidR="005D41D0">
        <w:rPr>
          <w:rFonts w:ascii="Times New Roman" w:hAnsi="Times New Roman"/>
          <w:szCs w:val="24"/>
        </w:rPr>
        <w:t>specific transportation needs set forth in the request to waive the Jones Act.</w:t>
      </w:r>
      <w:r w:rsidR="00B54B7E">
        <w:rPr>
          <w:rFonts w:ascii="Times New Roman" w:hAnsi="Times New Roman"/>
          <w:szCs w:val="24"/>
        </w:rPr>
        <w:t xml:space="preserve"> </w:t>
      </w:r>
      <w:r w:rsidR="00FE259C">
        <w:rPr>
          <w:rFonts w:ascii="Times New Roman" w:hAnsi="Times New Roman"/>
          <w:szCs w:val="24"/>
        </w:rPr>
        <w:t xml:space="preserve"> </w:t>
      </w:r>
      <w:r w:rsidR="00035DCE">
        <w:rPr>
          <w:rFonts w:ascii="Times New Roman" w:hAnsi="Times New Roman"/>
          <w:szCs w:val="24"/>
        </w:rPr>
        <w:t xml:space="preserve">For example, if a waiver request indicates that transportation of </w:t>
      </w:r>
      <w:r w:rsidR="003A0764">
        <w:rPr>
          <w:rFonts w:ascii="Times New Roman" w:hAnsi="Times New Roman"/>
          <w:szCs w:val="24"/>
        </w:rPr>
        <w:t>generator</w:t>
      </w:r>
      <w:r w:rsidR="00035DCE">
        <w:rPr>
          <w:rFonts w:ascii="Times New Roman" w:hAnsi="Times New Roman"/>
          <w:szCs w:val="24"/>
        </w:rPr>
        <w:t xml:space="preserve"> is needed</w:t>
      </w:r>
      <w:r w:rsidR="00FE259C">
        <w:rPr>
          <w:rFonts w:ascii="Times New Roman" w:hAnsi="Times New Roman"/>
          <w:szCs w:val="24"/>
        </w:rPr>
        <w:t>,</w:t>
      </w:r>
      <w:r w:rsidR="00035DCE">
        <w:rPr>
          <w:rFonts w:ascii="Times New Roman" w:hAnsi="Times New Roman"/>
          <w:szCs w:val="24"/>
        </w:rPr>
        <w:t xml:space="preserve"> </w:t>
      </w:r>
      <w:r w:rsidRPr="009B5853">
        <w:rPr>
          <w:rFonts w:ascii="Times New Roman" w:hAnsi="Times New Roman"/>
          <w:szCs w:val="24"/>
        </w:rPr>
        <w:t xml:space="preserve">all </w:t>
      </w:r>
      <w:r w:rsidRPr="009B5853" w:rsidR="008E4839">
        <w:rPr>
          <w:rFonts w:ascii="Times New Roman" w:hAnsi="Times New Roman"/>
          <w:szCs w:val="24"/>
        </w:rPr>
        <w:t>6</w:t>
      </w:r>
      <w:r w:rsidRPr="009B5853">
        <w:rPr>
          <w:rFonts w:ascii="Times New Roman" w:hAnsi="Times New Roman"/>
          <w:szCs w:val="24"/>
        </w:rPr>
        <w:t>5 of</w:t>
      </w:r>
      <w:r>
        <w:rPr>
          <w:rFonts w:ascii="Times New Roman" w:hAnsi="Times New Roman"/>
          <w:szCs w:val="24"/>
        </w:rPr>
        <w:t xml:space="preserve"> the respondents </w:t>
      </w:r>
      <w:r w:rsidR="00B917E4">
        <w:rPr>
          <w:rFonts w:ascii="Times New Roman" w:hAnsi="Times New Roman"/>
          <w:szCs w:val="24"/>
        </w:rPr>
        <w:t>may</w:t>
      </w:r>
      <w:r>
        <w:rPr>
          <w:rFonts w:ascii="Times New Roman" w:hAnsi="Times New Roman"/>
          <w:szCs w:val="24"/>
        </w:rPr>
        <w:t xml:space="preserve"> be contacted</w:t>
      </w:r>
      <w:r w:rsidR="00FE259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</w:p>
    <w:p w:rsidR="003B4CD0" w:rsidP="00132C34" w14:paraId="208047AA" w14:textId="77777777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</w:p>
    <w:p w:rsidR="00367094" w:rsidRPr="00D71CB5" w:rsidP="00176C0E" w14:paraId="56CCC386" w14:textId="1C298A11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MARAD</w:t>
      </w:r>
      <w:r w:rsidR="00016E78">
        <w:rPr>
          <w:rFonts w:ascii="Times New Roman" w:hAnsi="Times New Roman"/>
          <w:szCs w:val="24"/>
        </w:rPr>
        <w:t xml:space="preserve"> </w:t>
      </w:r>
      <w:r w:rsidR="00DE43D7">
        <w:rPr>
          <w:rFonts w:ascii="Times New Roman" w:hAnsi="Times New Roman"/>
          <w:szCs w:val="24"/>
        </w:rPr>
        <w:t xml:space="preserve">personnel </w:t>
      </w:r>
      <w:r w:rsidR="00016E78">
        <w:rPr>
          <w:rFonts w:ascii="Times New Roman" w:hAnsi="Times New Roman"/>
          <w:szCs w:val="24"/>
        </w:rPr>
        <w:t>compile</w:t>
      </w:r>
      <w:r w:rsidR="00DE43D7">
        <w:rPr>
          <w:rFonts w:ascii="Times New Roman" w:hAnsi="Times New Roman"/>
          <w:szCs w:val="24"/>
        </w:rPr>
        <w:t xml:space="preserve"> the</w:t>
      </w:r>
      <w:r w:rsidR="00016E78">
        <w:rPr>
          <w:rFonts w:ascii="Times New Roman" w:hAnsi="Times New Roman"/>
          <w:szCs w:val="24"/>
        </w:rPr>
        <w:t xml:space="preserve"> list </w:t>
      </w:r>
      <w:r w:rsidR="00DE43D7">
        <w:rPr>
          <w:rFonts w:ascii="Times New Roman" w:hAnsi="Times New Roman"/>
          <w:szCs w:val="24"/>
        </w:rPr>
        <w:t xml:space="preserve">of available vessels </w:t>
      </w:r>
      <w:r w:rsidR="00016E78">
        <w:rPr>
          <w:rFonts w:ascii="Times New Roman" w:hAnsi="Times New Roman"/>
          <w:szCs w:val="24"/>
        </w:rPr>
        <w:t>by utilizing its industry knowledge obtained through other maritime-related programmatic duties and</w:t>
      </w:r>
      <w:r w:rsidR="00FE259C">
        <w:rPr>
          <w:rFonts w:ascii="Times New Roman" w:hAnsi="Times New Roman"/>
          <w:szCs w:val="24"/>
        </w:rPr>
        <w:t xml:space="preserve"> </w:t>
      </w:r>
      <w:r w:rsidR="00016E78">
        <w:rPr>
          <w:rFonts w:ascii="Times New Roman" w:hAnsi="Times New Roman"/>
          <w:szCs w:val="24"/>
        </w:rPr>
        <w:t xml:space="preserve">communications. </w:t>
      </w:r>
      <w:r w:rsidR="00FE259C">
        <w:rPr>
          <w:rFonts w:ascii="Times New Roman" w:hAnsi="Times New Roman"/>
          <w:szCs w:val="24"/>
        </w:rPr>
        <w:t xml:space="preserve"> </w:t>
      </w:r>
      <w:r w:rsidRPr="00D71CB5">
        <w:rPr>
          <w:rFonts w:ascii="Times New Roman" w:hAnsi="Times New Roman"/>
          <w:szCs w:val="24"/>
        </w:rPr>
        <w:t xml:space="preserve">The information collection procedure </w:t>
      </w:r>
      <w:r w:rsidR="00EB6B1A">
        <w:rPr>
          <w:rFonts w:ascii="Times New Roman" w:hAnsi="Times New Roman"/>
          <w:szCs w:val="24"/>
        </w:rPr>
        <w:t>indicat</w:t>
      </w:r>
      <w:r w:rsidR="00035DCE">
        <w:rPr>
          <w:rFonts w:ascii="Times New Roman" w:hAnsi="Times New Roman"/>
          <w:szCs w:val="24"/>
        </w:rPr>
        <w:t>es</w:t>
      </w:r>
      <w:r w:rsidR="00B54B7E">
        <w:rPr>
          <w:rFonts w:ascii="Times New Roman" w:hAnsi="Times New Roman"/>
          <w:szCs w:val="24"/>
        </w:rPr>
        <w:t xml:space="preserve"> </w:t>
      </w:r>
      <w:r w:rsidR="00035DCE">
        <w:rPr>
          <w:rFonts w:ascii="Times New Roman" w:hAnsi="Times New Roman"/>
          <w:szCs w:val="24"/>
        </w:rPr>
        <w:t xml:space="preserve">that </w:t>
      </w:r>
      <w:r w:rsidR="00EB6B1A">
        <w:rPr>
          <w:rFonts w:ascii="Times New Roman" w:hAnsi="Times New Roman"/>
          <w:szCs w:val="24"/>
        </w:rPr>
        <w:t>the availability</w:t>
      </w:r>
      <w:r w:rsidR="00011E0E">
        <w:rPr>
          <w:rFonts w:ascii="Times New Roman" w:hAnsi="Times New Roman"/>
          <w:szCs w:val="24"/>
        </w:rPr>
        <w:t xml:space="preserve"> of coastwise qualified vessels suitable for </w:t>
      </w:r>
      <w:r w:rsidR="00035DCE">
        <w:rPr>
          <w:rFonts w:ascii="Times New Roman" w:hAnsi="Times New Roman"/>
          <w:szCs w:val="24"/>
        </w:rPr>
        <w:t xml:space="preserve">transportation of merchandise </w:t>
      </w:r>
      <w:r w:rsidR="008818FD">
        <w:rPr>
          <w:rFonts w:ascii="Times New Roman" w:hAnsi="Times New Roman"/>
          <w:szCs w:val="24"/>
        </w:rPr>
        <w:t>under any circumstance</w:t>
      </w:r>
      <w:r w:rsidR="00035DCE">
        <w:rPr>
          <w:rFonts w:ascii="Times New Roman" w:hAnsi="Times New Roman"/>
          <w:szCs w:val="24"/>
        </w:rPr>
        <w:t xml:space="preserve"> be voluntarily provided at the time</w:t>
      </w:r>
      <w:r w:rsidR="00011E0E">
        <w:rPr>
          <w:rFonts w:ascii="Times New Roman" w:hAnsi="Times New Roman"/>
          <w:szCs w:val="24"/>
        </w:rPr>
        <w:t xml:space="preserve"> a waiver has been requested by a person who would otherwise employ a non-Jones Act-qualified/foreign-flag vessel</w:t>
      </w:r>
      <w:r w:rsidR="00035DCE">
        <w:rPr>
          <w:rFonts w:ascii="Times New Roman" w:hAnsi="Times New Roman"/>
          <w:szCs w:val="24"/>
        </w:rPr>
        <w:t>.</w:t>
      </w:r>
      <w:r w:rsidR="00E84B63">
        <w:rPr>
          <w:rFonts w:ascii="Times New Roman" w:hAnsi="Times New Roman"/>
          <w:szCs w:val="24"/>
        </w:rPr>
        <w:t xml:space="preserve"> </w:t>
      </w:r>
      <w:r w:rsidR="00FE259C">
        <w:rPr>
          <w:rFonts w:ascii="Times New Roman" w:hAnsi="Times New Roman"/>
          <w:szCs w:val="24"/>
        </w:rPr>
        <w:t xml:space="preserve"> </w:t>
      </w:r>
      <w:r w:rsidR="00E84B63">
        <w:rPr>
          <w:rFonts w:ascii="Times New Roman" w:hAnsi="Times New Roman"/>
          <w:szCs w:val="24"/>
        </w:rPr>
        <w:t xml:space="preserve">All </w:t>
      </w:r>
      <w:r w:rsidR="00035DCE">
        <w:rPr>
          <w:rFonts w:ascii="Times New Roman" w:hAnsi="Times New Roman"/>
          <w:szCs w:val="24"/>
        </w:rPr>
        <w:t>coastwise-</w:t>
      </w:r>
      <w:r w:rsidR="00E84B63">
        <w:rPr>
          <w:rFonts w:ascii="Times New Roman" w:hAnsi="Times New Roman"/>
          <w:szCs w:val="24"/>
        </w:rPr>
        <w:t>qualified vessel owners are encouraged to respond.</w:t>
      </w:r>
    </w:p>
    <w:p w:rsidR="00367094" w:rsidRPr="00D71CB5" w:rsidP="00176C0E" w14:paraId="0875BF74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132C34" w:rsidP="00132C34" w14:paraId="24F384BE" w14:textId="162E8114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>Frequency of</w:t>
      </w:r>
      <w:r w:rsidR="00EB6B1A">
        <w:rPr>
          <w:rFonts w:ascii="Times New Roman" w:hAnsi="Times New Roman"/>
          <w:szCs w:val="24"/>
        </w:rPr>
        <w:t xml:space="preserve"> reporting is irregular, perhaps only two or three times per year</w:t>
      </w:r>
      <w:r w:rsidRPr="00D71CB5">
        <w:rPr>
          <w:rFonts w:ascii="Times New Roman" w:hAnsi="Times New Roman"/>
          <w:szCs w:val="24"/>
        </w:rPr>
        <w:t xml:space="preserve">.  It is estimated that the time </w:t>
      </w:r>
      <w:r w:rsidR="0099223C">
        <w:rPr>
          <w:rFonts w:ascii="Times New Roman" w:hAnsi="Times New Roman"/>
          <w:szCs w:val="24"/>
        </w:rPr>
        <w:t xml:space="preserve">required to </w:t>
      </w:r>
      <w:r w:rsidRPr="00D71CB5">
        <w:rPr>
          <w:rFonts w:ascii="Times New Roman" w:hAnsi="Times New Roman"/>
          <w:szCs w:val="24"/>
        </w:rPr>
        <w:t>provid</w:t>
      </w:r>
      <w:r w:rsidR="0099223C">
        <w:rPr>
          <w:rFonts w:ascii="Times New Roman" w:hAnsi="Times New Roman"/>
          <w:szCs w:val="24"/>
        </w:rPr>
        <w:t>e</w:t>
      </w:r>
      <w:r w:rsidRPr="00D71CB5">
        <w:rPr>
          <w:rFonts w:ascii="Times New Roman" w:hAnsi="Times New Roman"/>
          <w:szCs w:val="24"/>
        </w:rPr>
        <w:t xml:space="preserve"> the requested</w:t>
      </w:r>
      <w:r w:rsidR="00EB6B1A">
        <w:rPr>
          <w:rFonts w:ascii="Times New Roman" w:hAnsi="Times New Roman"/>
          <w:szCs w:val="24"/>
        </w:rPr>
        <w:t xml:space="preserve"> information is approximately </w:t>
      </w:r>
      <w:r w:rsidRPr="00390993" w:rsidR="0099223C">
        <w:rPr>
          <w:rFonts w:ascii="Times New Roman" w:hAnsi="Times New Roman"/>
          <w:szCs w:val="24"/>
        </w:rPr>
        <w:t>o</w:t>
      </w:r>
      <w:r w:rsidRPr="00390993" w:rsidR="00EB6B1A">
        <w:rPr>
          <w:rFonts w:ascii="Times New Roman" w:hAnsi="Times New Roman"/>
          <w:szCs w:val="24"/>
        </w:rPr>
        <w:t xml:space="preserve">ne </w:t>
      </w:r>
      <w:r w:rsidRPr="009B5853" w:rsidR="00EB6B1A">
        <w:rPr>
          <w:rFonts w:ascii="Times New Roman" w:hAnsi="Times New Roman"/>
          <w:szCs w:val="24"/>
        </w:rPr>
        <w:t>hour</w:t>
      </w:r>
      <w:r w:rsidRPr="009B5853">
        <w:rPr>
          <w:rFonts w:ascii="Times New Roman" w:hAnsi="Times New Roman"/>
          <w:szCs w:val="24"/>
        </w:rPr>
        <w:t>.  Data is usual</w:t>
      </w:r>
      <w:r w:rsidRPr="009B5853" w:rsidR="00EB6B1A">
        <w:rPr>
          <w:rFonts w:ascii="Times New Roman" w:hAnsi="Times New Roman"/>
          <w:szCs w:val="24"/>
        </w:rPr>
        <w:t xml:space="preserve">ly prepared by a </w:t>
      </w:r>
      <w:r w:rsidR="00FE259C">
        <w:rPr>
          <w:rFonts w:ascii="Times New Roman" w:hAnsi="Times New Roman"/>
          <w:szCs w:val="24"/>
        </w:rPr>
        <w:t>T</w:t>
      </w:r>
      <w:r w:rsidR="00035DCE">
        <w:rPr>
          <w:rFonts w:ascii="Times New Roman" w:hAnsi="Times New Roman"/>
          <w:szCs w:val="24"/>
        </w:rPr>
        <w:t xml:space="preserve">rade </w:t>
      </w:r>
      <w:r w:rsidR="00FE259C">
        <w:rPr>
          <w:rFonts w:ascii="Times New Roman" w:hAnsi="Times New Roman"/>
          <w:szCs w:val="24"/>
        </w:rPr>
        <w:t>S</w:t>
      </w:r>
      <w:r w:rsidRPr="009B5853" w:rsidR="00FE259C">
        <w:rPr>
          <w:rFonts w:ascii="Times New Roman" w:hAnsi="Times New Roman"/>
          <w:szCs w:val="24"/>
        </w:rPr>
        <w:t>pecialist</w:t>
      </w:r>
      <w:r w:rsidRPr="009B5853">
        <w:rPr>
          <w:rFonts w:ascii="Times New Roman" w:hAnsi="Times New Roman"/>
          <w:szCs w:val="24"/>
        </w:rPr>
        <w:t>.</w:t>
      </w:r>
    </w:p>
    <w:p w:rsidR="00D0553D" w:rsidP="00132C34" w14:paraId="6251FB38" w14:textId="77777777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</w:p>
    <w:p w:rsidR="00D0553D" w:rsidP="00D0553D" w14:paraId="1600CE6B" w14:textId="77777777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(Note: “Responses Per Respondent” anticipates one response per respondent for an estimated two Jones Act waiver scenarios per year.) </w:t>
      </w:r>
    </w:p>
    <w:p w:rsidR="00367094" w:rsidRPr="009B5853" w:rsidP="00176C0E" w14:paraId="00135229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B0410C" w:rsidP="00D0553D" w14:paraId="3D2EEE65" w14:textId="5251462C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>For the current renewal,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2C6BEB">
        <w:rPr>
          <w:rFonts w:ascii="Times New Roman" w:hAnsi="Times New Roman"/>
          <w:szCs w:val="24"/>
        </w:rPr>
        <w:t>i</w:t>
      </w:r>
      <w:r w:rsidRPr="009B5853" w:rsidR="002C6BEB">
        <w:rPr>
          <w:rFonts w:ascii="Times New Roman" w:hAnsi="Times New Roman"/>
          <w:szCs w:val="24"/>
        </w:rPr>
        <w:t xml:space="preserve">t </w:t>
      </w:r>
      <w:r w:rsidRPr="009B5853" w:rsidR="00367094">
        <w:rPr>
          <w:rFonts w:ascii="Times New Roman" w:hAnsi="Times New Roman"/>
          <w:szCs w:val="24"/>
        </w:rPr>
        <w:t>is</w:t>
      </w:r>
      <w:r w:rsidRPr="00D71CB5" w:rsidR="00367094">
        <w:rPr>
          <w:rFonts w:ascii="Times New Roman" w:hAnsi="Times New Roman"/>
          <w:szCs w:val="24"/>
        </w:rPr>
        <w:t xml:space="preserve"> estimated that </w:t>
      </w:r>
      <w:r w:rsidR="00132C34">
        <w:rPr>
          <w:rFonts w:ascii="Times New Roman" w:hAnsi="Times New Roman"/>
          <w:szCs w:val="24"/>
        </w:rPr>
        <w:t>65 respondents will</w:t>
      </w:r>
      <w:r w:rsidR="00F83621">
        <w:rPr>
          <w:rFonts w:ascii="Times New Roman" w:hAnsi="Times New Roman"/>
          <w:szCs w:val="24"/>
        </w:rPr>
        <w:t xml:space="preserve"> </w:t>
      </w:r>
      <w:r w:rsidR="00A50EDF">
        <w:rPr>
          <w:rFonts w:ascii="Times New Roman" w:hAnsi="Times New Roman"/>
          <w:szCs w:val="24"/>
        </w:rPr>
        <w:t xml:space="preserve">respond twice a year to </w:t>
      </w:r>
      <w:r w:rsidRPr="00A50EDF" w:rsidR="00A50EDF">
        <w:rPr>
          <w:rFonts w:ascii="Times New Roman" w:hAnsi="Times New Roman"/>
          <w:i/>
          <w:iCs/>
          <w:szCs w:val="24"/>
        </w:rPr>
        <w:t xml:space="preserve">scenario planning </w:t>
      </w:r>
      <w:r w:rsidR="00A50EDF">
        <w:rPr>
          <w:rFonts w:ascii="Times New Roman" w:hAnsi="Times New Roman"/>
          <w:szCs w:val="24"/>
        </w:rPr>
        <w:t>sessions</w:t>
      </w:r>
      <w:r w:rsidR="00F83621">
        <w:rPr>
          <w:rFonts w:ascii="Times New Roman" w:hAnsi="Times New Roman"/>
          <w:szCs w:val="24"/>
        </w:rPr>
        <w:t>, for a total 130 responses</w:t>
      </w:r>
      <w:r w:rsidR="00A50EDF">
        <w:rPr>
          <w:rFonts w:ascii="Times New Roman" w:hAnsi="Times New Roman"/>
          <w:szCs w:val="24"/>
        </w:rPr>
        <w:t xml:space="preserve">. </w:t>
      </w:r>
      <w:r w:rsidR="00F83621">
        <w:rPr>
          <w:rFonts w:ascii="Times New Roman" w:hAnsi="Times New Roman"/>
          <w:szCs w:val="24"/>
        </w:rPr>
        <w:t xml:space="preserve">Each </w:t>
      </w:r>
      <w:r w:rsidR="00A50EDF">
        <w:rPr>
          <w:rFonts w:ascii="Times New Roman" w:hAnsi="Times New Roman"/>
          <w:szCs w:val="24"/>
        </w:rPr>
        <w:t>respon</w:t>
      </w:r>
      <w:r w:rsidR="00F83621">
        <w:rPr>
          <w:rFonts w:ascii="Times New Roman" w:hAnsi="Times New Roman"/>
          <w:szCs w:val="24"/>
        </w:rPr>
        <w:t xml:space="preserve">dent will take </w:t>
      </w:r>
      <w:r w:rsidRPr="00F83621" w:rsidR="00F83621">
        <w:rPr>
          <w:rFonts w:ascii="Times New Roman" w:hAnsi="Times New Roman"/>
          <w:szCs w:val="24"/>
        </w:rPr>
        <w:t xml:space="preserve">30 minutes (.5 hours) to </w:t>
      </w:r>
      <w:r w:rsidR="00132C34">
        <w:rPr>
          <w:rFonts w:ascii="Times New Roman" w:hAnsi="Times New Roman"/>
          <w:szCs w:val="24"/>
        </w:rPr>
        <w:t xml:space="preserve"> </w:t>
      </w:r>
      <w:r w:rsidR="00F83621">
        <w:rPr>
          <w:rFonts w:ascii="Times New Roman" w:hAnsi="Times New Roman"/>
          <w:szCs w:val="24"/>
        </w:rPr>
        <w:t xml:space="preserve">prepare their responses for a total </w:t>
      </w:r>
      <w:r w:rsidR="00132C34">
        <w:rPr>
          <w:rFonts w:ascii="Times New Roman" w:hAnsi="Times New Roman"/>
          <w:szCs w:val="24"/>
        </w:rPr>
        <w:t xml:space="preserve">65 hours. </w:t>
      </w:r>
      <w:r w:rsidR="002C6BEB">
        <w:rPr>
          <w:rFonts w:ascii="Times New Roman" w:hAnsi="Times New Roman"/>
          <w:szCs w:val="24"/>
        </w:rPr>
        <w:t xml:space="preserve"> </w:t>
      </w:r>
      <w:r w:rsidR="00132C34">
        <w:rPr>
          <w:rFonts w:ascii="Times New Roman" w:hAnsi="Times New Roman"/>
          <w:szCs w:val="24"/>
        </w:rPr>
        <w:t xml:space="preserve">On the other hand, it is estimated that </w:t>
      </w:r>
      <w:r>
        <w:rPr>
          <w:rFonts w:ascii="Times New Roman" w:hAnsi="Times New Roman"/>
          <w:szCs w:val="24"/>
        </w:rPr>
        <w:t xml:space="preserve">the </w:t>
      </w:r>
      <w:r w:rsidR="00132C34">
        <w:rPr>
          <w:rFonts w:ascii="Times New Roman" w:hAnsi="Times New Roman"/>
          <w:szCs w:val="24"/>
        </w:rPr>
        <w:t xml:space="preserve">65 </w:t>
      </w:r>
      <w:r w:rsidR="00CF27A3">
        <w:rPr>
          <w:rFonts w:ascii="Times New Roman" w:hAnsi="Times New Roman"/>
          <w:szCs w:val="24"/>
        </w:rPr>
        <w:t>respondents</w:t>
      </w:r>
      <w:r w:rsidR="00132C34">
        <w:rPr>
          <w:rFonts w:ascii="Times New Roman" w:hAnsi="Times New Roman"/>
          <w:szCs w:val="24"/>
        </w:rPr>
        <w:t xml:space="preserve"> </w:t>
      </w:r>
      <w:r w:rsidR="00F83621">
        <w:rPr>
          <w:rFonts w:ascii="Times New Roman" w:hAnsi="Times New Roman"/>
          <w:szCs w:val="24"/>
        </w:rPr>
        <w:t>will</w:t>
      </w:r>
      <w:r w:rsidR="00132C3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also </w:t>
      </w:r>
      <w:r w:rsidR="00132C34">
        <w:rPr>
          <w:rFonts w:ascii="Times New Roman" w:hAnsi="Times New Roman"/>
          <w:szCs w:val="24"/>
        </w:rPr>
        <w:t xml:space="preserve">file two </w:t>
      </w:r>
      <w:r w:rsidRPr="00216721" w:rsidR="00132C34">
        <w:rPr>
          <w:rFonts w:ascii="Times New Roman" w:hAnsi="Times New Roman"/>
          <w:i/>
          <w:iCs/>
          <w:szCs w:val="24"/>
        </w:rPr>
        <w:t>waiver requests</w:t>
      </w:r>
      <w:r w:rsidR="00132C34">
        <w:rPr>
          <w:rFonts w:ascii="Times New Roman" w:hAnsi="Times New Roman"/>
          <w:szCs w:val="24"/>
        </w:rPr>
        <w:t xml:space="preserve"> per year </w:t>
      </w:r>
      <w:r w:rsidR="00CF27A3">
        <w:rPr>
          <w:rFonts w:ascii="Times New Roman" w:hAnsi="Times New Roman"/>
          <w:szCs w:val="24"/>
        </w:rPr>
        <w:t xml:space="preserve">for a total </w:t>
      </w:r>
      <w:r w:rsidR="00F83621">
        <w:rPr>
          <w:rFonts w:ascii="Times New Roman" w:hAnsi="Times New Roman"/>
          <w:szCs w:val="24"/>
        </w:rPr>
        <w:t xml:space="preserve">130 responses. </w:t>
      </w:r>
      <w:r w:rsidR="002C6BEB">
        <w:rPr>
          <w:rFonts w:ascii="Times New Roman" w:hAnsi="Times New Roman"/>
          <w:szCs w:val="24"/>
        </w:rPr>
        <w:t xml:space="preserve"> </w:t>
      </w:r>
      <w:r w:rsidR="00F83621">
        <w:rPr>
          <w:rFonts w:ascii="Times New Roman" w:hAnsi="Times New Roman"/>
          <w:szCs w:val="24"/>
        </w:rPr>
        <w:t xml:space="preserve">Each respondent will take 1 hour to complete each request for a </w:t>
      </w:r>
      <w:r w:rsidR="00CF27A3">
        <w:rPr>
          <w:rFonts w:ascii="Times New Roman" w:hAnsi="Times New Roman"/>
          <w:szCs w:val="24"/>
        </w:rPr>
        <w:t>total 130 hours.</w:t>
      </w:r>
      <w:r w:rsidR="002C6BEB">
        <w:rPr>
          <w:rFonts w:ascii="Times New Roman" w:hAnsi="Times New Roman"/>
          <w:szCs w:val="24"/>
        </w:rPr>
        <w:t xml:space="preserve"> </w:t>
      </w:r>
      <w:r w:rsidR="00CF27A3">
        <w:rPr>
          <w:rFonts w:ascii="Times New Roman" w:hAnsi="Times New Roman"/>
          <w:szCs w:val="24"/>
        </w:rPr>
        <w:t xml:space="preserve"> Altogether, the 65 respondents will take a</w:t>
      </w:r>
      <w:r w:rsidR="00C33DAD">
        <w:rPr>
          <w:rFonts w:ascii="Times New Roman" w:hAnsi="Times New Roman"/>
          <w:szCs w:val="24"/>
        </w:rPr>
        <w:t>n average .75 hours (3/4 hours)</w:t>
      </w:r>
      <w:r w:rsidR="00CF27A3">
        <w:rPr>
          <w:rFonts w:ascii="Times New Roman" w:hAnsi="Times New Roman"/>
          <w:szCs w:val="24"/>
        </w:rPr>
        <w:t xml:space="preserve"> to </w:t>
      </w:r>
      <w:r w:rsidR="000F480F">
        <w:rPr>
          <w:rFonts w:ascii="Times New Roman" w:hAnsi="Times New Roman"/>
          <w:szCs w:val="24"/>
        </w:rPr>
        <w:t xml:space="preserve">respond four (4) times to this collection for a </w:t>
      </w:r>
      <w:r w:rsidR="00F83621">
        <w:rPr>
          <w:rFonts w:ascii="Times New Roman" w:hAnsi="Times New Roman"/>
          <w:szCs w:val="24"/>
        </w:rPr>
        <w:t>combined 260 responses</w:t>
      </w:r>
      <w:r w:rsidR="000F480F">
        <w:rPr>
          <w:rFonts w:ascii="Times New Roman" w:hAnsi="Times New Roman"/>
          <w:szCs w:val="24"/>
        </w:rPr>
        <w:t xml:space="preserve">, which will take a </w:t>
      </w:r>
      <w:r w:rsidR="00C33DAD">
        <w:rPr>
          <w:rFonts w:ascii="Times New Roman" w:hAnsi="Times New Roman"/>
          <w:szCs w:val="24"/>
        </w:rPr>
        <w:t xml:space="preserve">total </w:t>
      </w:r>
      <w:r w:rsidR="00CF27A3">
        <w:rPr>
          <w:rFonts w:ascii="Times New Roman" w:hAnsi="Times New Roman"/>
          <w:szCs w:val="24"/>
        </w:rPr>
        <w:t>195 hours</w:t>
      </w:r>
      <w:r w:rsidR="000F480F">
        <w:rPr>
          <w:rFonts w:ascii="Times New Roman" w:hAnsi="Times New Roman"/>
          <w:szCs w:val="24"/>
        </w:rPr>
        <w:t xml:space="preserve">. </w:t>
      </w:r>
      <w:r w:rsidR="002C6BEB">
        <w:rPr>
          <w:rFonts w:ascii="Times New Roman" w:hAnsi="Times New Roman"/>
          <w:szCs w:val="24"/>
        </w:rPr>
        <w:t xml:space="preserve"> </w:t>
      </w:r>
      <w:r w:rsidR="000F480F">
        <w:rPr>
          <w:rFonts w:ascii="Times New Roman" w:hAnsi="Times New Roman"/>
          <w:szCs w:val="24"/>
        </w:rPr>
        <w:t xml:space="preserve">The total public burden can be </w:t>
      </w:r>
      <w:r w:rsidR="00CF27A3">
        <w:rPr>
          <w:rFonts w:ascii="Times New Roman" w:hAnsi="Times New Roman"/>
          <w:szCs w:val="24"/>
        </w:rPr>
        <w:t>calculated as shown in the table below</w:t>
      </w:r>
      <w:r w:rsidR="0066501B">
        <w:rPr>
          <w:rFonts w:ascii="Times New Roman" w:hAnsi="Times New Roman"/>
          <w:szCs w:val="24"/>
        </w:rPr>
        <w:t>:</w:t>
      </w:r>
    </w:p>
    <w:p w:rsidR="002225E9" w:rsidP="00176C0E" w14:paraId="2F55DB96" w14:textId="77777777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</w:p>
    <w:tbl>
      <w:tblPr>
        <w:tblW w:w="105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1"/>
        <w:gridCol w:w="1460"/>
        <w:gridCol w:w="566"/>
        <w:gridCol w:w="1400"/>
        <w:gridCol w:w="665"/>
        <w:gridCol w:w="1182"/>
        <w:gridCol w:w="757"/>
        <w:gridCol w:w="1149"/>
        <w:gridCol w:w="381"/>
        <w:gridCol w:w="1319"/>
      </w:tblGrid>
      <w:tr w14:paraId="03EB0A6D" w14:textId="77777777" w:rsidTr="00216721">
        <w:tblPrEx>
          <w:tblW w:w="10520" w:type="dxa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470"/>
        </w:trPr>
        <w:tc>
          <w:tcPr>
            <w:tcW w:w="1641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483A6F8D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Type of Forum/Action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04D6545C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Respondents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2D6F029F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16C46641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Responses per Respondent</w:t>
            </w:r>
          </w:p>
        </w:tc>
        <w:tc>
          <w:tcPr>
            <w:tcW w:w="665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079392F3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 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437924C2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Responses</w:t>
            </w:r>
          </w:p>
        </w:tc>
        <w:tc>
          <w:tcPr>
            <w:tcW w:w="757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1983EDF6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 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754CB4C8" w14:textId="22CC26F0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Time Taken to Respond (Hour)</w:t>
            </w:r>
          </w:p>
        </w:tc>
        <w:tc>
          <w:tcPr>
            <w:tcW w:w="381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1AC04243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 </w:t>
            </w:r>
          </w:p>
        </w:tc>
        <w:tc>
          <w:tcPr>
            <w:tcW w:w="1319" w:type="dxa"/>
            <w:shd w:val="clear" w:color="auto" w:fill="BFBFBF" w:themeFill="background1" w:themeFillShade="BF"/>
            <w:vAlign w:val="center"/>
            <w:hideMark/>
          </w:tcPr>
          <w:p w:rsidR="0022762D" w:rsidRPr="000F0510" w:rsidP="0022762D" w14:paraId="5CBAC381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Burden Hours</w:t>
            </w:r>
          </w:p>
        </w:tc>
      </w:tr>
      <w:tr w14:paraId="2065FFD0" w14:textId="77777777" w:rsidTr="00216721">
        <w:tblPrEx>
          <w:tblW w:w="10520" w:type="dxa"/>
          <w:tblInd w:w="-275" w:type="dxa"/>
          <w:tblLook w:val="04A0"/>
        </w:tblPrEx>
        <w:trPr>
          <w:trHeight w:val="300"/>
        </w:trPr>
        <w:tc>
          <w:tcPr>
            <w:tcW w:w="1641" w:type="dxa"/>
            <w:shd w:val="clear" w:color="auto" w:fill="auto"/>
            <w:vAlign w:val="center"/>
            <w:hideMark/>
          </w:tcPr>
          <w:p w:rsidR="0022762D" w:rsidRPr="000F0510" w:rsidP="0022762D" w14:paraId="6AFBB3EA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Scenario Planning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22762D" w:rsidRPr="000F0510" w:rsidP="0022762D" w14:paraId="5531FA50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65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22762D" w:rsidRPr="000F0510" w:rsidP="0022762D" w14:paraId="795CB4E3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2762D" w:rsidRPr="000F0510" w:rsidP="00C33DAD" w14:paraId="749462E5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2</w:t>
            </w:r>
          </w:p>
        </w:tc>
        <w:tc>
          <w:tcPr>
            <w:tcW w:w="665" w:type="dxa"/>
            <w:vMerge w:val="restart"/>
            <w:shd w:val="clear" w:color="auto" w:fill="auto"/>
            <w:vAlign w:val="center"/>
            <w:hideMark/>
          </w:tcPr>
          <w:p w:rsidR="0022762D" w:rsidRPr="000F0510" w:rsidP="0022762D" w14:paraId="7BA2E3E6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22762D" w:rsidRPr="000F0510" w:rsidP="00A50EDF" w14:paraId="330DE05F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130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  <w:hideMark/>
          </w:tcPr>
          <w:p w:rsidR="0022762D" w:rsidRPr="000F0510" w:rsidP="0022762D" w14:paraId="3665730E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22762D" w:rsidRPr="000F0510" w:rsidP="0022762D" w14:paraId="6CFBB20E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0.5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  <w:hideMark/>
          </w:tcPr>
          <w:p w:rsidR="0022762D" w:rsidRPr="000F0510" w:rsidP="0022762D" w14:paraId="0EEAB85A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22762D" w:rsidRPr="000F0510" w:rsidP="0022762D" w14:paraId="5DAF128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65</w:t>
            </w:r>
          </w:p>
        </w:tc>
      </w:tr>
      <w:tr w14:paraId="10EC0061" w14:textId="77777777" w:rsidTr="00216721">
        <w:tblPrEx>
          <w:tblW w:w="10520" w:type="dxa"/>
          <w:tblInd w:w="-275" w:type="dxa"/>
          <w:tblLook w:val="04A0"/>
        </w:tblPrEx>
        <w:trPr>
          <w:trHeight w:val="300"/>
        </w:trPr>
        <w:tc>
          <w:tcPr>
            <w:tcW w:w="1641" w:type="dxa"/>
            <w:shd w:val="clear" w:color="auto" w:fill="auto"/>
            <w:vAlign w:val="center"/>
            <w:hideMark/>
          </w:tcPr>
          <w:p w:rsidR="0022762D" w:rsidRPr="000F0510" w:rsidP="0022762D" w14:paraId="04138856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Waiver Request</w:t>
            </w:r>
          </w:p>
        </w:tc>
        <w:tc>
          <w:tcPr>
            <w:tcW w:w="1460" w:type="dxa"/>
            <w:vMerge/>
            <w:vAlign w:val="center"/>
            <w:hideMark/>
          </w:tcPr>
          <w:p w:rsidR="0022762D" w:rsidRPr="000F0510" w:rsidP="0022762D" w14:paraId="7C620070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2762D" w:rsidRPr="000F0510" w:rsidP="0022762D" w14:paraId="56B7C78A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2762D" w:rsidRPr="000F0510" w:rsidP="00216721" w14:paraId="636EE6E7" w14:textId="1FD8429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2</w:t>
            </w:r>
          </w:p>
        </w:tc>
        <w:tc>
          <w:tcPr>
            <w:tcW w:w="665" w:type="dxa"/>
            <w:vMerge/>
            <w:vAlign w:val="center"/>
            <w:hideMark/>
          </w:tcPr>
          <w:p w:rsidR="0022762D" w:rsidRPr="000F0510" w:rsidP="0022762D" w14:paraId="309D09BB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22762D" w:rsidRPr="000F0510" w:rsidP="00216721" w14:paraId="138B0E4C" w14:textId="2475E76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130</w:t>
            </w:r>
          </w:p>
        </w:tc>
        <w:tc>
          <w:tcPr>
            <w:tcW w:w="757" w:type="dxa"/>
            <w:vMerge/>
            <w:vAlign w:val="center"/>
            <w:hideMark/>
          </w:tcPr>
          <w:p w:rsidR="0022762D" w:rsidRPr="000F0510" w:rsidP="0022762D" w14:paraId="58B03866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22762D" w:rsidRPr="000F0510" w:rsidP="0022762D" w14:paraId="7B70832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81" w:type="dxa"/>
            <w:vMerge/>
            <w:vAlign w:val="center"/>
            <w:hideMark/>
          </w:tcPr>
          <w:p w:rsidR="0022762D" w:rsidRPr="000F0510" w:rsidP="0022762D" w14:paraId="2663A6A4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22762D" w:rsidRPr="000F0510" w:rsidP="0022762D" w14:paraId="57FC9BA5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130</w:t>
            </w:r>
          </w:p>
        </w:tc>
      </w:tr>
      <w:tr w14:paraId="5E2A2A94" w14:textId="77777777" w:rsidTr="00216721">
        <w:tblPrEx>
          <w:tblW w:w="10520" w:type="dxa"/>
          <w:tblInd w:w="-275" w:type="dxa"/>
          <w:tblLook w:val="04A0"/>
        </w:tblPrEx>
        <w:trPr>
          <w:trHeight w:val="300"/>
        </w:trPr>
        <w:tc>
          <w:tcPr>
            <w:tcW w:w="1641" w:type="dxa"/>
            <w:shd w:val="clear" w:color="auto" w:fill="BFBFBF" w:themeFill="background1" w:themeFillShade="BF"/>
            <w:noWrap/>
            <w:vAlign w:val="bottom"/>
            <w:hideMark/>
          </w:tcPr>
          <w:p w:rsidR="0022762D" w:rsidRPr="000F0510" w:rsidP="0022762D" w14:paraId="48D7513F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TOTAL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22762D" w:rsidRPr="000F0510" w:rsidP="0022762D" w14:paraId="0754A6B9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65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2762D" w:rsidRPr="000F0510" w:rsidP="0022762D" w14:paraId="558CA999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22762D" w:rsidRPr="000F0510" w:rsidP="00C33DAD" w14:paraId="10533ABC" w14:textId="0CFE8D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22762D" w:rsidRPr="000F0510" w:rsidP="0022762D" w14:paraId="64010434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182" w:type="dxa"/>
            <w:shd w:val="clear" w:color="auto" w:fill="auto"/>
            <w:noWrap/>
            <w:vAlign w:val="bottom"/>
            <w:hideMark/>
          </w:tcPr>
          <w:p w:rsidR="0022762D" w:rsidRPr="000F0510" w:rsidP="0022762D" w14:paraId="160B2ACA" w14:textId="6C5D4E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260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22762D" w:rsidRPr="000F0510" w:rsidP="0022762D" w14:paraId="45755070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22762D" w:rsidRPr="000F0510" w:rsidP="0022762D" w14:paraId="409BB659" w14:textId="529D9E1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.75 (avg.)</w:t>
            </w:r>
          </w:p>
        </w:tc>
        <w:tc>
          <w:tcPr>
            <w:tcW w:w="381" w:type="dxa"/>
            <w:shd w:val="clear" w:color="auto" w:fill="auto"/>
            <w:vAlign w:val="center"/>
            <w:hideMark/>
          </w:tcPr>
          <w:p w:rsidR="0022762D" w:rsidRPr="000F0510" w:rsidP="0022762D" w14:paraId="30AF501F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1319" w:type="dxa"/>
            <w:shd w:val="clear" w:color="auto" w:fill="auto"/>
            <w:noWrap/>
            <w:vAlign w:val="bottom"/>
            <w:hideMark/>
          </w:tcPr>
          <w:p w:rsidR="0022762D" w:rsidRPr="000F0510" w:rsidP="0022762D" w14:paraId="50A17C4B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195</w:t>
            </w:r>
          </w:p>
        </w:tc>
      </w:tr>
    </w:tbl>
    <w:p w:rsidR="00A42442" w:rsidRPr="00D71CB5" w:rsidP="00216721" w14:paraId="5A637349" w14:textId="77777777">
      <w:pPr>
        <w:tabs>
          <w:tab w:val="left" w:pos="-1440"/>
        </w:tabs>
        <w:rPr>
          <w:rFonts w:ascii="Times New Roman" w:hAnsi="Times New Roman"/>
          <w:szCs w:val="24"/>
        </w:rPr>
      </w:pPr>
    </w:p>
    <w:p w:rsidR="00A42442" w14:paraId="48DB7944" w14:textId="316AB6B1">
      <w:pPr>
        <w:pStyle w:val="ListParagraph"/>
        <w:numPr>
          <w:ilvl w:val="0"/>
          <w:numId w:val="33"/>
        </w:numPr>
        <w:tabs>
          <w:tab w:val="left" w:pos="-1440"/>
          <w:tab w:val="left" w:pos="630"/>
        </w:tabs>
        <w:ind w:left="720"/>
        <w:rPr>
          <w:rFonts w:ascii="Times New Roman" w:hAnsi="Times New Roman"/>
          <w:b/>
          <w:bCs/>
          <w:szCs w:val="24"/>
        </w:rPr>
      </w:pPr>
      <w:r w:rsidRPr="00216721">
        <w:rPr>
          <w:rFonts w:ascii="Times New Roman" w:hAnsi="Times New Roman"/>
          <w:b/>
          <w:bCs/>
          <w:szCs w:val="24"/>
        </w:rPr>
        <w:t>Estimated Annualized Cost Burden</w:t>
      </w:r>
    </w:p>
    <w:p w:rsidR="0022762D" w:rsidP="00BB6E3C" w14:paraId="4609D4E5" w14:textId="77777777">
      <w:pPr>
        <w:tabs>
          <w:tab w:val="left" w:pos="-1440"/>
          <w:tab w:val="left" w:pos="630"/>
        </w:tabs>
        <w:rPr>
          <w:rFonts w:ascii="Times New Roman" w:hAnsi="Times New Roman"/>
          <w:b/>
          <w:bCs/>
          <w:szCs w:val="24"/>
        </w:rPr>
      </w:pPr>
    </w:p>
    <w:p w:rsidR="0022762D" w:rsidP="00BB6E3C" w14:paraId="20B8BD40" w14:textId="622BB3E0">
      <w:pPr>
        <w:tabs>
          <w:tab w:val="left" w:pos="-1440"/>
          <w:tab w:val="left" w:pos="630"/>
        </w:tabs>
        <w:ind w:left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The Bureau of Labor and Statistics (BLS)</w:t>
      </w:r>
      <w:r>
        <w:rPr>
          <w:rStyle w:val="FootnoteReference"/>
          <w:rFonts w:ascii="Times New Roman" w:hAnsi="Times New Roman"/>
          <w:iCs/>
          <w:szCs w:val="24"/>
        </w:rPr>
        <w:footnoteReference w:id="2"/>
      </w:r>
      <w:r>
        <w:rPr>
          <w:rFonts w:ascii="Times New Roman" w:hAnsi="Times New Roman"/>
          <w:iCs/>
          <w:szCs w:val="24"/>
        </w:rPr>
        <w:t xml:space="preserve"> estimates that the average hourly wage for the Business Operation Specialist (13-1</w:t>
      </w:r>
      <w:r w:rsidR="003D797C">
        <w:rPr>
          <w:rFonts w:ascii="Times New Roman" w:hAnsi="Times New Roman"/>
          <w:iCs/>
          <w:szCs w:val="24"/>
        </w:rPr>
        <w:t>1</w:t>
      </w:r>
      <w:r>
        <w:rPr>
          <w:rFonts w:ascii="Times New Roman" w:hAnsi="Times New Roman"/>
          <w:iCs/>
          <w:szCs w:val="24"/>
        </w:rPr>
        <w:t xml:space="preserve">99) is $42.85. </w:t>
      </w:r>
      <w:r w:rsidRPr="00613598">
        <w:rPr>
          <w:rFonts w:ascii="Times New Roman" w:hAnsi="Times New Roman"/>
          <w:iCs/>
          <w:szCs w:val="24"/>
        </w:rPr>
        <w:t>When combined the total compensation rate of 29%</w:t>
      </w:r>
      <w:r>
        <w:rPr>
          <w:rFonts w:ascii="Times New Roman" w:hAnsi="Times New Roman"/>
          <w:iCs/>
          <w:szCs w:val="24"/>
          <w:vertAlign w:val="superscript"/>
        </w:rPr>
        <w:footnoteReference w:id="3"/>
      </w:r>
      <w:r w:rsidRPr="00613598">
        <w:rPr>
          <w:rFonts w:ascii="Times New Roman" w:hAnsi="Times New Roman"/>
          <w:iCs/>
          <w:szCs w:val="24"/>
        </w:rPr>
        <w:t>, the annualized hourly rate</w:t>
      </w:r>
      <w:r>
        <w:rPr>
          <w:rFonts w:ascii="Times New Roman" w:hAnsi="Times New Roman"/>
          <w:iCs/>
          <w:szCs w:val="24"/>
        </w:rPr>
        <w:t xml:space="preserve"> is $55.28. Therefore</w:t>
      </w:r>
      <w:r w:rsidR="00DD6BAE">
        <w:rPr>
          <w:rFonts w:ascii="Times New Roman" w:hAnsi="Times New Roman"/>
          <w:iCs/>
          <w:szCs w:val="24"/>
        </w:rPr>
        <w:t>,</w:t>
      </w:r>
      <w:r>
        <w:rPr>
          <w:rFonts w:ascii="Times New Roman" w:hAnsi="Times New Roman"/>
          <w:iCs/>
          <w:szCs w:val="24"/>
        </w:rPr>
        <w:t xml:space="preserve"> the total annualized burden </w:t>
      </w:r>
      <w:r w:rsidR="00D0553D">
        <w:rPr>
          <w:rFonts w:ascii="Times New Roman" w:hAnsi="Times New Roman"/>
          <w:iCs/>
          <w:szCs w:val="24"/>
        </w:rPr>
        <w:t>cost burden</w:t>
      </w:r>
      <w:r>
        <w:rPr>
          <w:rFonts w:ascii="Times New Roman" w:hAnsi="Times New Roman"/>
          <w:iCs/>
          <w:szCs w:val="24"/>
        </w:rPr>
        <w:t xml:space="preserve"> associated with supporting the scenario sessions and preparing waiver requests for this collection </w:t>
      </w:r>
      <w:r w:rsidRPr="003A4F93">
        <w:rPr>
          <w:rFonts w:ascii="Times New Roman" w:hAnsi="Times New Roman"/>
          <w:iCs/>
          <w:szCs w:val="24"/>
        </w:rPr>
        <w:t xml:space="preserve">is </w:t>
      </w:r>
      <w:r w:rsidRPr="00216721" w:rsidR="00D0553D">
        <w:rPr>
          <w:rFonts w:ascii="Times New Roman" w:hAnsi="Times New Roman"/>
          <w:iCs/>
          <w:szCs w:val="24"/>
        </w:rPr>
        <w:t>$ 10,779.60</w:t>
      </w:r>
      <w:r w:rsidRPr="003A4F93">
        <w:rPr>
          <w:rFonts w:ascii="Times New Roman" w:hAnsi="Times New Roman"/>
          <w:iCs/>
          <w:szCs w:val="24"/>
        </w:rPr>
        <w:t>,</w:t>
      </w:r>
      <w:r>
        <w:rPr>
          <w:rFonts w:ascii="Times New Roman" w:hAnsi="Times New Roman"/>
          <w:iCs/>
          <w:szCs w:val="24"/>
        </w:rPr>
        <w:t xml:space="preserve"> which can be calculated as shown in the </w:t>
      </w:r>
      <w:r w:rsidR="003D797C">
        <w:rPr>
          <w:rFonts w:ascii="Times New Roman" w:hAnsi="Times New Roman"/>
          <w:iCs/>
          <w:szCs w:val="24"/>
        </w:rPr>
        <w:t>table below:</w:t>
      </w:r>
    </w:p>
    <w:p w:rsidR="00292BA5" w:rsidP="00BB6E3C" w14:paraId="20168DC8" w14:textId="77777777">
      <w:pPr>
        <w:tabs>
          <w:tab w:val="left" w:pos="-1440"/>
          <w:tab w:val="left" w:pos="630"/>
        </w:tabs>
        <w:ind w:left="360"/>
        <w:rPr>
          <w:rFonts w:ascii="Times New Roman" w:hAnsi="Times New Roman"/>
          <w:iCs/>
          <w:szCs w:val="24"/>
        </w:rPr>
      </w:pPr>
    </w:p>
    <w:p w:rsidR="003D797C" w:rsidP="00BB6E3C" w14:paraId="21E0290C" w14:textId="77777777">
      <w:pPr>
        <w:tabs>
          <w:tab w:val="left" w:pos="-1440"/>
          <w:tab w:val="left" w:pos="630"/>
        </w:tabs>
        <w:ind w:left="360"/>
        <w:rPr>
          <w:rFonts w:ascii="Times New Roman" w:hAnsi="Times New Roman"/>
          <w:iCs/>
          <w:szCs w:val="24"/>
        </w:rPr>
      </w:pPr>
    </w:p>
    <w:tbl>
      <w:tblPr>
        <w:tblW w:w="11430" w:type="dxa"/>
        <w:tblInd w:w="-725" w:type="dxa"/>
        <w:tblLook w:val="04A0"/>
      </w:tblPr>
      <w:tblGrid>
        <w:gridCol w:w="1476"/>
        <w:gridCol w:w="1005"/>
        <w:gridCol w:w="1573"/>
        <w:gridCol w:w="338"/>
        <w:gridCol w:w="1260"/>
        <w:gridCol w:w="502"/>
        <w:gridCol w:w="1710"/>
        <w:gridCol w:w="326"/>
        <w:gridCol w:w="1620"/>
        <w:gridCol w:w="360"/>
        <w:gridCol w:w="1260"/>
      </w:tblGrid>
      <w:tr w14:paraId="60A1561F" w14:textId="77777777" w:rsidTr="00EA2C41">
        <w:tblPrEx>
          <w:tblW w:w="11430" w:type="dxa"/>
          <w:tblInd w:w="-725" w:type="dxa"/>
          <w:tblLook w:val="04A0"/>
        </w:tblPrEx>
        <w:trPr>
          <w:trHeight w:val="7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4E9D648F" w14:textId="77D39F18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Title and Code of  Respondents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0727A9E1" w14:textId="0C8B46AF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Hourly Wage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17ACD935" w14:textId="5623531B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Compensation Rate of 29%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A371E0" w:rsidRPr="000F0510" w:rsidP="003D797C" w14:paraId="37270A32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3D797C" w14:paraId="5D159022" w14:textId="3B8D4F46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Number of Employees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A371E0" w:rsidRPr="000F0510" w14:paraId="4562AB5A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1F4745F0" w14:textId="125797AE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Compensation Rate for Each Respondent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A371E0" w:rsidRPr="000F0510" w14:paraId="1A925F91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0C52DD03" w14:textId="78DEE8B5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Annualized Burden Hours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A371E0" w:rsidRPr="000F0510" w14:paraId="2D8ECDFA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371E0" w:rsidRPr="000F0510" w:rsidP="00216721" w14:paraId="61F560E1" w14:textId="6894BFCB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Annualized Cost Burden</w:t>
            </w:r>
          </w:p>
        </w:tc>
      </w:tr>
      <w:tr w14:paraId="3020EF23" w14:textId="77777777" w:rsidTr="00216721">
        <w:tblPrEx>
          <w:tblW w:w="11430" w:type="dxa"/>
          <w:tblInd w:w="-725" w:type="dxa"/>
          <w:tblLook w:val="04A0"/>
        </w:tblPrEx>
        <w:trPr>
          <w:trHeight w:val="288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1E0" w:rsidRPr="000F0510" w:rsidP="00216721" w14:paraId="172D2028" w14:textId="2B7D8A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Business Operation</w:t>
            </w:r>
            <w:r w:rsidRPr="000F0510" w:rsidR="002C6BEB">
              <w:rPr>
                <w:rFonts w:ascii="Times New Roman" w:hAnsi="Times New Roman"/>
                <w:snapToGrid/>
                <w:color w:val="000000"/>
                <w:sz w:val="20"/>
              </w:rPr>
              <w:t>s</w:t>
            </w: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 xml:space="preserve"> Specialist (13-1199)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0" w:rsidRPr="000F0510" w:rsidP="00216721" w14:paraId="393749B1" w14:textId="22151C6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$  42.85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0" w:rsidRPr="000F0510" w:rsidP="00216721" w14:paraId="1912D6C2" w14:textId="5813773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$  55.28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E0" w:rsidRPr="000F0510" w:rsidP="00A371E0" w14:paraId="0A6617AB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:rsidR="00A371E0" w:rsidRPr="000F0510" w:rsidP="00A371E0" w14:paraId="0A45242A" w14:textId="4AEDBE7E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0" w:rsidRPr="000F0510" w:rsidP="00216721" w14:paraId="02C58096" w14:textId="6FBEEAD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0" w:rsidRPr="000F0510" w:rsidP="00A371E0" w14:paraId="456FCBF5" w14:textId="77DDD3F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0" w:rsidRPr="000F0510" w:rsidP="00216721" w14:paraId="6DE29F21" w14:textId="75547DE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$  55.28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0" w:rsidRPr="000F0510" w:rsidP="00A371E0" w14:paraId="6387995A" w14:textId="166684E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E0" w:rsidRPr="000F0510" w:rsidP="003D797C" w14:paraId="29FFAE60" w14:textId="7C69023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195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1E0" w:rsidRPr="000F0510" w:rsidP="00216721" w14:paraId="00DAD94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:rsidR="00A371E0" w:rsidRPr="000F0510" w:rsidP="00216721" w14:paraId="16781017" w14:textId="3C6E5B7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71E0" w:rsidRPr="000F0510" w:rsidP="003D797C" w14:paraId="50D16D52" w14:textId="1EEF5052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 xml:space="preserve">$ </w:t>
            </w:r>
            <w:bookmarkStart w:id="10" w:name="_Hlk184285243"/>
            <w:r w:rsidRPr="000F0510">
              <w:rPr>
                <w:rFonts w:ascii="Times New Roman" w:hAnsi="Times New Roman"/>
                <w:snapToGrid/>
                <w:color w:val="000000"/>
                <w:sz w:val="20"/>
              </w:rPr>
              <w:t>10,779.60</w:t>
            </w:r>
            <w:bookmarkEnd w:id="10"/>
          </w:p>
        </w:tc>
      </w:tr>
    </w:tbl>
    <w:p w:rsidR="003D797C" w:rsidRPr="00216721" w:rsidP="00216721" w14:paraId="3F012262" w14:textId="77777777">
      <w:pPr>
        <w:tabs>
          <w:tab w:val="left" w:pos="-1440"/>
          <w:tab w:val="left" w:pos="630"/>
        </w:tabs>
        <w:ind w:left="360"/>
        <w:rPr>
          <w:rFonts w:ascii="Times New Roman" w:hAnsi="Times New Roman"/>
          <w:b/>
          <w:bCs/>
          <w:szCs w:val="24"/>
        </w:rPr>
      </w:pPr>
    </w:p>
    <w:p w:rsidR="001E10C6" w:rsidP="00216721" w14:paraId="4292F281" w14:textId="77777777">
      <w:pPr>
        <w:ind w:left="612"/>
        <w:rPr>
          <w:rFonts w:ascii="Times New Roman" w:hAnsi="Times New Roman"/>
          <w:b/>
          <w:bCs/>
        </w:rPr>
      </w:pPr>
    </w:p>
    <w:p w:rsidR="001E10C6" w:rsidP="00216721" w14:paraId="2C64640B" w14:textId="40C1C30B">
      <w:pPr>
        <w:pStyle w:val="BodyTextIndent3"/>
        <w:numPr>
          <w:ilvl w:val="0"/>
          <w:numId w:val="2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Pr="00D71CB5" w:rsidR="00367094">
        <w:rPr>
          <w:rFonts w:ascii="Times New Roman" w:hAnsi="Times New Roman"/>
          <w:szCs w:val="24"/>
        </w:rPr>
        <w:t xml:space="preserve">stimate of the </w:t>
      </w:r>
      <w:r>
        <w:rPr>
          <w:rFonts w:ascii="Times New Roman" w:hAnsi="Times New Roman"/>
          <w:szCs w:val="24"/>
        </w:rPr>
        <w:t>T</w:t>
      </w:r>
      <w:r w:rsidRPr="00D71CB5">
        <w:rPr>
          <w:rFonts w:ascii="Times New Roman" w:hAnsi="Times New Roman"/>
          <w:szCs w:val="24"/>
        </w:rPr>
        <w:t>ot</w:t>
      </w:r>
      <w:r>
        <w:rPr>
          <w:rFonts w:ascii="Times New Roman" w:hAnsi="Times New Roman"/>
          <w:szCs w:val="24"/>
        </w:rPr>
        <w:t xml:space="preserve">al Annual Cost Burden </w:t>
      </w:r>
      <w:r w:rsidR="00B961DE">
        <w:rPr>
          <w:rFonts w:ascii="Times New Roman" w:hAnsi="Times New Roman"/>
          <w:szCs w:val="24"/>
        </w:rPr>
        <w:t xml:space="preserve">to </w:t>
      </w:r>
      <w:r>
        <w:rPr>
          <w:rFonts w:ascii="Times New Roman" w:hAnsi="Times New Roman"/>
          <w:szCs w:val="24"/>
        </w:rPr>
        <w:t>Respon</w:t>
      </w:r>
      <w:r w:rsidRPr="00D71CB5">
        <w:rPr>
          <w:rFonts w:ascii="Times New Roman" w:hAnsi="Times New Roman"/>
          <w:szCs w:val="24"/>
        </w:rPr>
        <w:t xml:space="preserve">dents </w:t>
      </w:r>
      <w:r>
        <w:rPr>
          <w:rFonts w:ascii="Times New Roman" w:hAnsi="Times New Roman"/>
          <w:szCs w:val="24"/>
        </w:rPr>
        <w:t>and/</w:t>
      </w:r>
      <w:r w:rsidRPr="00D71CB5" w:rsidR="00367094">
        <w:rPr>
          <w:rFonts w:ascii="Times New Roman" w:hAnsi="Times New Roman"/>
          <w:szCs w:val="24"/>
        </w:rPr>
        <w:t xml:space="preserve">or </w:t>
      </w:r>
      <w:r>
        <w:rPr>
          <w:rFonts w:ascii="Times New Roman" w:hAnsi="Times New Roman"/>
          <w:szCs w:val="24"/>
        </w:rPr>
        <w:t>R</w:t>
      </w:r>
      <w:r w:rsidRPr="00D71CB5">
        <w:rPr>
          <w:rFonts w:ascii="Times New Roman" w:hAnsi="Times New Roman"/>
          <w:szCs w:val="24"/>
        </w:rPr>
        <w:t xml:space="preserve">ecord </w:t>
      </w:r>
      <w:r>
        <w:rPr>
          <w:rFonts w:ascii="Times New Roman" w:hAnsi="Times New Roman"/>
          <w:szCs w:val="24"/>
        </w:rPr>
        <w:t>K</w:t>
      </w:r>
      <w:r w:rsidRPr="00D71CB5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epers </w:t>
      </w:r>
    </w:p>
    <w:p w:rsidR="001E10C6" w:rsidP="00216721" w14:paraId="361806F7" w14:textId="77777777">
      <w:pPr>
        <w:pStyle w:val="BodyTextIndent3"/>
        <w:ind w:left="360" w:firstLine="0"/>
        <w:rPr>
          <w:rFonts w:ascii="Times New Roman" w:hAnsi="Times New Roman"/>
          <w:szCs w:val="24"/>
        </w:rPr>
      </w:pPr>
    </w:p>
    <w:p w:rsidR="00367094" w:rsidRPr="00216721" w:rsidP="00216721" w14:paraId="215C9CCF" w14:textId="796FD81D">
      <w:pPr>
        <w:ind w:left="360"/>
        <w:rPr>
          <w:rFonts w:ascii="Times New Roman" w:hAnsi="Times New Roman"/>
          <w:szCs w:val="24"/>
        </w:rPr>
      </w:pPr>
      <w:r w:rsidRPr="00216721">
        <w:rPr>
          <w:rFonts w:ascii="Times New Roman" w:hAnsi="Times New Roman"/>
          <w:szCs w:val="24"/>
        </w:rPr>
        <w:t xml:space="preserve">There </w:t>
      </w:r>
      <w:r w:rsidRPr="00134843" w:rsidR="00134843">
        <w:rPr>
          <w:rFonts w:ascii="Times New Roman" w:hAnsi="Times New Roman"/>
          <w:szCs w:val="24"/>
        </w:rPr>
        <w:t>is</w:t>
      </w:r>
      <w:r w:rsidRPr="00216721">
        <w:rPr>
          <w:rFonts w:ascii="Times New Roman" w:hAnsi="Times New Roman"/>
          <w:szCs w:val="24"/>
        </w:rPr>
        <w:t xml:space="preserve"> no capital</w:t>
      </w:r>
      <w:r w:rsidR="001E10C6">
        <w:rPr>
          <w:rFonts w:ascii="Times New Roman" w:hAnsi="Times New Roman"/>
          <w:szCs w:val="24"/>
        </w:rPr>
        <w:t xml:space="preserve">, </w:t>
      </w:r>
      <w:r w:rsidRPr="00216721">
        <w:rPr>
          <w:rFonts w:ascii="Times New Roman" w:hAnsi="Times New Roman"/>
          <w:szCs w:val="24"/>
        </w:rPr>
        <w:t>start-up</w:t>
      </w:r>
      <w:r w:rsidR="001E10C6">
        <w:rPr>
          <w:rFonts w:ascii="Times New Roman" w:hAnsi="Times New Roman"/>
          <w:szCs w:val="24"/>
        </w:rPr>
        <w:t>, operational, maintenance, or service</w:t>
      </w:r>
      <w:r w:rsidRPr="00216721">
        <w:rPr>
          <w:rFonts w:ascii="Times New Roman" w:hAnsi="Times New Roman"/>
          <w:szCs w:val="24"/>
        </w:rPr>
        <w:t xml:space="preserve"> cost associated with this information collection.</w:t>
      </w:r>
    </w:p>
    <w:p w:rsidR="00367094" w:rsidRPr="00D71CB5" w:rsidP="00216721" w14:paraId="6E29C18B" w14:textId="77777777">
      <w:pPr>
        <w:tabs>
          <w:tab w:val="left" w:pos="-1440"/>
        </w:tabs>
        <w:ind w:right="720"/>
        <w:rPr>
          <w:rFonts w:ascii="Times New Roman" w:hAnsi="Times New Roman"/>
          <w:b/>
          <w:szCs w:val="24"/>
        </w:rPr>
      </w:pPr>
    </w:p>
    <w:p w:rsidR="001E10C6" w:rsidRPr="00216721" w:rsidP="00216721" w14:paraId="2227F42C" w14:textId="18EEF602">
      <w:pPr>
        <w:pStyle w:val="ListParagraph"/>
        <w:numPr>
          <w:ilvl w:val="0"/>
          <w:numId w:val="29"/>
        </w:numPr>
        <w:tabs>
          <w:tab w:val="left" w:pos="-1440"/>
        </w:tabs>
        <w:ind w:right="720"/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E</w:t>
      </w:r>
      <w:r w:rsidRPr="00216721" w:rsidR="00367094">
        <w:rPr>
          <w:rFonts w:ascii="Times New Roman" w:hAnsi="Times New Roman"/>
          <w:b/>
          <w:szCs w:val="24"/>
        </w:rPr>
        <w:t>stimates of Federal Government</w:t>
      </w:r>
      <w:r w:rsidRPr="00216721">
        <w:rPr>
          <w:rFonts w:ascii="Times New Roman" w:hAnsi="Times New Roman"/>
          <w:b/>
          <w:szCs w:val="24"/>
        </w:rPr>
        <w:t xml:space="preserve"> Costs</w:t>
      </w:r>
    </w:p>
    <w:p w:rsidR="000C611D" w:rsidP="00216721" w14:paraId="1738389C" w14:textId="77777777">
      <w:pPr>
        <w:rPr>
          <w:rFonts w:ascii="Times New Roman" w:hAnsi="Times New Roman"/>
          <w:b/>
          <w:bCs/>
          <w:szCs w:val="24"/>
        </w:rPr>
      </w:pPr>
    </w:p>
    <w:p w:rsidR="000C611D" w:rsidP="00216721" w14:paraId="6DA4DAD9" w14:textId="5F3E00FA">
      <w:pPr>
        <w:ind w:firstLine="360"/>
        <w:rPr>
          <w:rFonts w:ascii="Times New Roman" w:hAnsi="Times New Roman"/>
          <w:szCs w:val="24"/>
        </w:rPr>
      </w:pPr>
      <w:r w:rsidRPr="000C611D">
        <w:rPr>
          <w:rFonts w:ascii="Times New Roman" w:hAnsi="Times New Roman"/>
          <w:snapToGrid/>
          <w:szCs w:val="24"/>
        </w:rPr>
        <w:t>According to the Office of Personnel Management (OPM)</w:t>
      </w:r>
      <w:r>
        <w:rPr>
          <w:rFonts w:ascii="Times New Roman" w:hAnsi="Times New Roman"/>
          <w:snapToGrid/>
          <w:szCs w:val="24"/>
          <w:vertAlign w:val="superscript"/>
        </w:rPr>
        <w:footnoteReference w:id="4"/>
      </w:r>
      <w:r w:rsidRPr="000C611D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wage table, the average hourly    </w:t>
      </w:r>
    </w:p>
    <w:p w:rsidR="00F338CE" w:rsidRPr="00F338CE" w:rsidP="00F338CE" w14:paraId="2E8606E1" w14:textId="4090867D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wage for the following Federal Employees (i.e. GS-11, Step 1 is $</w:t>
      </w:r>
      <w:r w:rsidR="00A371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39.66, GS-12, Step 1 is </w:t>
      </w:r>
      <w:r w:rsidR="00A371E0">
        <w:rPr>
          <w:rFonts w:ascii="Times New Roman" w:hAnsi="Times New Roman"/>
          <w:szCs w:val="24"/>
        </w:rPr>
        <w:t xml:space="preserve">$ </w:t>
      </w:r>
      <w:r w:rsidRPr="000C611D">
        <w:rPr>
          <w:rFonts w:ascii="Times New Roman" w:hAnsi="Times New Roman"/>
          <w:szCs w:val="24"/>
        </w:rPr>
        <w:t>47.53</w:t>
      </w:r>
      <w:r>
        <w:rPr>
          <w:rFonts w:ascii="Times New Roman" w:hAnsi="Times New Roman"/>
          <w:szCs w:val="24"/>
        </w:rPr>
        <w:t>, and a GS-13, Step 1 is $</w:t>
      </w:r>
      <w:r w:rsidR="00A371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56.52). </w:t>
      </w:r>
      <w:r w:rsidRPr="000C611D">
        <w:rPr>
          <w:rFonts w:ascii="Times New Roman" w:hAnsi="Times New Roman"/>
          <w:szCs w:val="24"/>
        </w:rPr>
        <w:t>When combined with the Federal Compensation Rate of 31%</w:t>
      </w:r>
      <w:r>
        <w:rPr>
          <w:rFonts w:ascii="Times New Roman" w:hAnsi="Times New Roman"/>
          <w:szCs w:val="24"/>
          <w:vertAlign w:val="superscript"/>
        </w:rPr>
        <w:footnoteReference w:id="5"/>
      </w:r>
      <w:r>
        <w:rPr>
          <w:rFonts w:ascii="Times New Roman" w:hAnsi="Times New Roman"/>
          <w:szCs w:val="24"/>
        </w:rPr>
        <w:t>, the hourly rate for each professional is as follows:</w:t>
      </w:r>
      <w:r w:rsidRPr="000C611D">
        <w:rPr>
          <w:rFonts w:ascii="Times New Roman" w:hAnsi="Times New Roman"/>
          <w:szCs w:val="24"/>
        </w:rPr>
        <w:t xml:space="preserve">  GS-11, Step 1 is $</w:t>
      </w:r>
      <w:r w:rsidR="006D2C55">
        <w:rPr>
          <w:rFonts w:ascii="Times New Roman" w:hAnsi="Times New Roman"/>
          <w:szCs w:val="24"/>
        </w:rPr>
        <w:t>51.95</w:t>
      </w:r>
      <w:r w:rsidRPr="000C611D">
        <w:rPr>
          <w:rFonts w:ascii="Times New Roman" w:hAnsi="Times New Roman"/>
          <w:szCs w:val="24"/>
        </w:rPr>
        <w:t xml:space="preserve">, GS-12, </w:t>
      </w:r>
      <w:r w:rsidRPr="000C611D">
        <w:rPr>
          <w:rFonts w:ascii="Times New Roman" w:hAnsi="Times New Roman"/>
          <w:szCs w:val="24"/>
        </w:rPr>
        <w:t xml:space="preserve">Step 1 is </w:t>
      </w:r>
      <w:r w:rsidR="00A371E0">
        <w:rPr>
          <w:rFonts w:ascii="Times New Roman" w:hAnsi="Times New Roman"/>
          <w:szCs w:val="24"/>
        </w:rPr>
        <w:t xml:space="preserve">$ </w:t>
      </w:r>
      <w:r w:rsidR="006D2C55">
        <w:rPr>
          <w:rFonts w:ascii="Times New Roman" w:hAnsi="Times New Roman"/>
          <w:szCs w:val="24"/>
        </w:rPr>
        <w:t>62.26</w:t>
      </w:r>
      <w:r w:rsidRPr="000C611D">
        <w:rPr>
          <w:rFonts w:ascii="Times New Roman" w:hAnsi="Times New Roman"/>
          <w:szCs w:val="24"/>
        </w:rPr>
        <w:t xml:space="preserve">, and a GS-13, Step 1 is </w:t>
      </w:r>
      <w:r w:rsidR="00A371E0">
        <w:rPr>
          <w:rFonts w:ascii="Times New Roman" w:hAnsi="Times New Roman"/>
          <w:szCs w:val="24"/>
        </w:rPr>
        <w:t xml:space="preserve">$ </w:t>
      </w:r>
      <w:r w:rsidR="006D2C55">
        <w:rPr>
          <w:rFonts w:ascii="Times New Roman" w:hAnsi="Times New Roman"/>
          <w:szCs w:val="24"/>
        </w:rPr>
        <w:t>74.04</w:t>
      </w:r>
      <w:r w:rsidRPr="000C611D">
        <w:rPr>
          <w:rFonts w:ascii="Times New Roman" w:hAnsi="Times New Roman"/>
          <w:szCs w:val="24"/>
        </w:rPr>
        <w:t>)</w:t>
      </w:r>
      <w:r w:rsidR="006D2C55">
        <w:rPr>
          <w:rFonts w:ascii="Times New Roman" w:hAnsi="Times New Roman"/>
          <w:szCs w:val="24"/>
        </w:rPr>
        <w:t xml:space="preserve">. </w:t>
      </w:r>
      <w:bookmarkStart w:id="11" w:name="_Hlk184296984"/>
      <w:r w:rsidR="006D2C55">
        <w:rPr>
          <w:rFonts w:ascii="Times New Roman" w:hAnsi="Times New Roman"/>
          <w:szCs w:val="24"/>
        </w:rPr>
        <w:t>O</w:t>
      </w:r>
      <w:r w:rsidRPr="009B5853" w:rsidR="006D2C55">
        <w:rPr>
          <w:rFonts w:ascii="Times New Roman" w:hAnsi="Times New Roman"/>
          <w:szCs w:val="24"/>
        </w:rPr>
        <w:t>ne of three employees</w:t>
      </w:r>
      <w:r w:rsidR="006D2C5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i.e., </w:t>
      </w:r>
      <w:r w:rsidR="006D2C55">
        <w:rPr>
          <w:rFonts w:ascii="Times New Roman" w:hAnsi="Times New Roman"/>
          <w:szCs w:val="24"/>
        </w:rPr>
        <w:t>GS-11, Step 1, GS-12, Step 1 and GS-13, Step 1)</w:t>
      </w:r>
      <w:bookmarkEnd w:id="11"/>
      <w:r w:rsidR="006D2C55">
        <w:rPr>
          <w:rFonts w:ascii="Times New Roman" w:hAnsi="Times New Roman"/>
          <w:szCs w:val="24"/>
        </w:rPr>
        <w:t>, will</w:t>
      </w:r>
      <w:r w:rsidR="00A371E0">
        <w:rPr>
          <w:rFonts w:ascii="Times New Roman" w:hAnsi="Times New Roman"/>
          <w:szCs w:val="24"/>
        </w:rPr>
        <w:t xml:space="preserve"> </w:t>
      </w:r>
      <w:r w:rsidR="006D2C55">
        <w:rPr>
          <w:rFonts w:ascii="Times New Roman" w:hAnsi="Times New Roman"/>
          <w:szCs w:val="24"/>
        </w:rPr>
        <w:t>take 30 minutes</w:t>
      </w:r>
      <w:r>
        <w:rPr>
          <w:rFonts w:ascii="Times New Roman" w:hAnsi="Times New Roman"/>
          <w:szCs w:val="24"/>
        </w:rPr>
        <w:t xml:space="preserve"> (.5 hours) to </w:t>
      </w:r>
      <w:r w:rsidR="006D2C55">
        <w:rPr>
          <w:rFonts w:ascii="Times New Roman" w:hAnsi="Times New Roman"/>
          <w:szCs w:val="24"/>
        </w:rPr>
        <w:t xml:space="preserve">call respondents for scenario planning information twice a year for a total </w:t>
      </w:r>
      <w:r>
        <w:rPr>
          <w:rFonts w:ascii="Times New Roman" w:hAnsi="Times New Roman"/>
          <w:szCs w:val="24"/>
        </w:rPr>
        <w:t>$12,236.25.</w:t>
      </w:r>
      <w:r w:rsidRPr="00F338CE">
        <w:rPr>
          <w:rFonts w:ascii="Times New Roman" w:hAnsi="Times New Roman"/>
          <w:szCs w:val="24"/>
        </w:rPr>
        <w:t xml:space="preserve"> One of three employees (GS-11, Step 1, GS-12, Step 1 and GS-13, Step 1)</w:t>
      </w:r>
      <w:r>
        <w:rPr>
          <w:rFonts w:ascii="Times New Roman" w:hAnsi="Times New Roman"/>
          <w:szCs w:val="24"/>
        </w:rPr>
        <w:t xml:space="preserve"> will also take four hours to process waiver requests for each respondent twice a year for a total $ 97</w:t>
      </w:r>
      <w:r w:rsidR="00F243B1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890.00. Additionally one GS-11,</w:t>
      </w:r>
      <w:r w:rsidR="00A371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Step 1 employee will take four hours</w:t>
      </w:r>
      <w:r w:rsidR="00A371E0">
        <w:rPr>
          <w:rFonts w:ascii="Times New Roman" w:hAnsi="Times New Roman"/>
          <w:szCs w:val="24"/>
        </w:rPr>
        <w:t xml:space="preserve"> to </w:t>
      </w:r>
      <w:r w:rsidRPr="00F338CE">
        <w:rPr>
          <w:rFonts w:ascii="Times New Roman" w:hAnsi="Times New Roman"/>
          <w:szCs w:val="24"/>
        </w:rPr>
        <w:t>receive</w:t>
      </w:r>
      <w:r>
        <w:rPr>
          <w:rFonts w:ascii="Times New Roman" w:hAnsi="Times New Roman"/>
          <w:szCs w:val="24"/>
        </w:rPr>
        <w:t xml:space="preserve"> report</w:t>
      </w:r>
      <w:r w:rsidR="00A371E0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, </w:t>
      </w:r>
      <w:r w:rsidRPr="00F338CE">
        <w:rPr>
          <w:rFonts w:ascii="Times New Roman" w:hAnsi="Times New Roman"/>
          <w:szCs w:val="24"/>
        </w:rPr>
        <w:t>review the responses, and develop assessment of U.S.-flag vessel availability</w:t>
      </w:r>
      <w:r>
        <w:rPr>
          <w:rFonts w:ascii="Times New Roman" w:hAnsi="Times New Roman"/>
          <w:szCs w:val="24"/>
        </w:rPr>
        <w:t>, four times</w:t>
      </w:r>
      <w:r w:rsidR="00230DAB">
        <w:rPr>
          <w:rFonts w:ascii="Times New Roman" w:hAnsi="Times New Roman"/>
          <w:szCs w:val="24"/>
        </w:rPr>
        <w:t xml:space="preserve"> </w:t>
      </w:r>
      <w:r w:rsidRPr="00F338CE">
        <w:rPr>
          <w:rFonts w:ascii="Times New Roman" w:hAnsi="Times New Roman"/>
          <w:szCs w:val="24"/>
        </w:rPr>
        <w:t>(i.e. two scenario and two waivers)</w:t>
      </w:r>
    </w:p>
    <w:p w:rsidR="00230DAB" w:rsidP="000C611D" w14:paraId="6733698D" w14:textId="121112D1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 year for  a total $54,028.00. </w:t>
      </w:r>
    </w:p>
    <w:p w:rsidR="00230DAB" w:rsidP="000C611D" w14:paraId="104EB733" w14:textId="77777777">
      <w:pPr>
        <w:ind w:left="360"/>
        <w:rPr>
          <w:rFonts w:ascii="Times New Roman" w:hAnsi="Times New Roman"/>
          <w:szCs w:val="24"/>
        </w:rPr>
      </w:pPr>
    </w:p>
    <w:p w:rsidR="00140462" w:rsidP="003B4CD0" w14:paraId="4E8D0B3F" w14:textId="744A0A5D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Therefore, the combined total</w:t>
      </w:r>
      <w:r>
        <w:rPr>
          <w:rFonts w:ascii="Times New Roman" w:hAnsi="Times New Roman"/>
          <w:szCs w:val="24"/>
        </w:rPr>
        <w:t xml:space="preserve"> Federal Government cost associated with </w:t>
      </w:r>
      <w:r w:rsidR="00EA2C41">
        <w:rPr>
          <w:rFonts w:ascii="Times New Roman" w:hAnsi="Times New Roman"/>
          <w:szCs w:val="24"/>
        </w:rPr>
        <w:t xml:space="preserve">conducting all activities and </w:t>
      </w:r>
      <w:r>
        <w:rPr>
          <w:rFonts w:ascii="Times New Roman" w:hAnsi="Times New Roman"/>
          <w:szCs w:val="24"/>
        </w:rPr>
        <w:t>processing</w:t>
      </w:r>
      <w:r w:rsidR="00EA2C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EA2C41">
        <w:rPr>
          <w:rFonts w:ascii="Times New Roman" w:hAnsi="Times New Roman"/>
          <w:szCs w:val="24"/>
        </w:rPr>
        <w:t>responses</w:t>
      </w:r>
      <w:r>
        <w:rPr>
          <w:rFonts w:ascii="Times New Roman" w:hAnsi="Times New Roman"/>
          <w:szCs w:val="24"/>
        </w:rPr>
        <w:t xml:space="preserve"> for this collection annually is </w:t>
      </w:r>
      <w:bookmarkStart w:id="12" w:name="_Hlk184297621"/>
      <w:r>
        <w:rPr>
          <w:rFonts w:ascii="Times New Roman" w:hAnsi="Times New Roman"/>
          <w:szCs w:val="24"/>
        </w:rPr>
        <w:t>$164,154.25</w:t>
      </w:r>
      <w:bookmarkEnd w:id="12"/>
      <w:r>
        <w:rPr>
          <w:rFonts w:ascii="Times New Roman" w:hAnsi="Times New Roman"/>
          <w:szCs w:val="24"/>
        </w:rPr>
        <w:t>, which can be calculated as shown in the table:</w:t>
      </w:r>
    </w:p>
    <w:p w:rsidR="00BB6ABB" w:rsidP="003B4CD0" w14:paraId="67EE7449" w14:textId="77777777">
      <w:pPr>
        <w:ind w:left="360"/>
        <w:rPr>
          <w:rFonts w:ascii="Times New Roman" w:hAnsi="Times New Roman"/>
          <w:szCs w:val="24"/>
        </w:rPr>
      </w:pPr>
    </w:p>
    <w:tbl>
      <w:tblPr>
        <w:tblW w:w="11790" w:type="dxa"/>
        <w:tblInd w:w="-1175" w:type="dxa"/>
        <w:tblLook w:val="04A0"/>
      </w:tblPr>
      <w:tblGrid>
        <w:gridCol w:w="1396"/>
        <w:gridCol w:w="926"/>
        <w:gridCol w:w="1573"/>
        <w:gridCol w:w="316"/>
        <w:gridCol w:w="1231"/>
        <w:gridCol w:w="316"/>
        <w:gridCol w:w="1268"/>
        <w:gridCol w:w="316"/>
        <w:gridCol w:w="1350"/>
        <w:gridCol w:w="316"/>
        <w:gridCol w:w="1127"/>
        <w:gridCol w:w="329"/>
        <w:gridCol w:w="1326"/>
      </w:tblGrid>
      <w:tr w14:paraId="100833AC" w14:textId="77777777" w:rsidTr="00BB6ABB">
        <w:tblPrEx>
          <w:tblW w:w="11790" w:type="dxa"/>
          <w:tblInd w:w="-1175" w:type="dxa"/>
          <w:tblLook w:val="04A0"/>
        </w:tblPrEx>
        <w:trPr>
          <w:trHeight w:val="135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16721" w14:paraId="3ECBF85B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FTE Grade and Step &amp; CRF Program Related  Task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32039FB0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Hourly Wage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5011FA9A" w14:textId="278136A2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Average Hourly Wage Rate with 31% Compensation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94F19" w:rsidRPr="00292BA5" w:rsidP="00230DAB" w14:paraId="5CE85C28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5CC7D3B7" w14:textId="2319A19F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Employees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94F19" w:rsidRPr="00292BA5" w:rsidP="00230DAB" w14:paraId="029C6D0F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7911F14A" w14:textId="171B0506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Time for Per application  (Hours)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94F19" w:rsidRPr="00292BA5" w:rsidP="00230DAB" w14:paraId="3F92B6B6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40628D9B" w14:textId="295A102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Applications/ Agreements/ Reports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94F19" w:rsidRPr="00292BA5" w:rsidP="00230DAB" w14:paraId="26BE4722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1FDF588A" w14:textId="38E546FA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 xml:space="preserve">Frequency of </w:t>
            </w:r>
            <w:r w:rsidRPr="00292BA5" w:rsidR="00230DAB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Task Per Year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94F19" w:rsidRPr="00292BA5" w:rsidP="00230DAB" w14:paraId="3E99B579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F19" w:rsidRPr="00292BA5" w:rsidP="00230DAB" w14:paraId="565468D1" w14:textId="5EEBC908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Federal Government Wages</w:t>
            </w:r>
          </w:p>
        </w:tc>
      </w:tr>
      <w:tr w14:paraId="38D8FF19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3D710C2A" w14:textId="6FB5B72D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11 (Step 1): Phone call for Scenario Planning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34EC74CF" w14:textId="1ACE9E4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$ 39.66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6E4A02F6" w14:textId="56B1A9B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 51.95 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94F19" w:rsidRPr="00292BA5" w:rsidP="00A94F19" w14:paraId="610C0EEA" w14:textId="20BFEE54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28608870" w14:textId="59244F8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94F19" w:rsidRPr="00292BA5" w:rsidP="00A94F19" w14:paraId="01878F4A" w14:textId="7E9FD02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A5EE7EA" w14:textId="46107C9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0.5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19" w:rsidRPr="00292BA5" w:rsidP="00A94F19" w14:paraId="23D433E8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  <w:p w:rsidR="00A94F19" w:rsidRPr="00216721" w:rsidP="00216721" w14:paraId="6F24D1BF" w14:textId="528A1E96">
            <w:pPr>
              <w:jc w:val="center"/>
              <w:rPr>
                <w:rFonts w:ascii="Times New Roman" w:hAnsi="Times New Roman"/>
                <w:sz w:val="20"/>
              </w:rPr>
            </w:pPr>
            <w:r w:rsidRPr="00292BA5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45F3AA77" w14:textId="7A782B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65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19" w:rsidRPr="00292BA5" w:rsidP="00A94F19" w14:paraId="7514637C" w14:textId="7B056E26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*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2FDF6263" w14:textId="6CBBA0C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2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F19" w:rsidRPr="00292BA5" w:rsidP="00216721" w14:paraId="387ACCC0" w14:textId="4C60C60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=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27CE2A90" w14:textId="4EDCBD1F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$ 3,376.75 </w:t>
            </w:r>
          </w:p>
        </w:tc>
      </w:tr>
      <w:tr w14:paraId="3225B666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59491935" w14:textId="29411B48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12 (Step 1): Phone call for Scenario Planning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6458F811" w14:textId="6F7ABBF5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$ 47.53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4431A102" w14:textId="41C05C38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</w:t>
            </w:r>
            <w:r w:rsidR="00E40A1F">
              <w:rPr>
                <w:rFonts w:ascii="Times New Roman" w:hAnsi="Times New Roman"/>
                <w:snapToGrid/>
                <w:color w:val="000000"/>
                <w:sz w:val="20"/>
              </w:rPr>
              <w:t xml:space="preserve">  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$ 62.26 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230477AB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3EFA94BB" w14:textId="26A5002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717E5DF5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2E289CF5" w14:textId="4890AE5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0.5</w:t>
            </w: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05F4E6EB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671A205E" w14:textId="728F7E80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7B1158A7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7058AD48" w14:textId="2A3980DD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5C2D1E2A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4FC9C05" w14:textId="0ED2D0EB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$ 4,046.90 </w:t>
            </w:r>
          </w:p>
        </w:tc>
      </w:tr>
      <w:tr w14:paraId="494BF9D8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4B7E12B2" w14:textId="0B9E99A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13 (Step 1): Phone call for Scenario Planning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3EA0026B" w14:textId="2CF24E63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$ 56.52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B898EDA" w14:textId="5E785B53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 </w:t>
            </w:r>
            <w:r w:rsidR="00E40A1F">
              <w:rPr>
                <w:rFonts w:ascii="Times New Roman" w:hAnsi="Times New Roman"/>
                <w:snapToGrid/>
                <w:color w:val="000000"/>
                <w:sz w:val="20"/>
              </w:rPr>
              <w:t xml:space="preserve">  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$ 74.04 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413BF604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0739FBB8" w14:textId="7D6FB33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25DDF235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567A7000" w14:textId="17E7777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0.5</w:t>
            </w: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2F845631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322785A5" w14:textId="1F4B86F0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3095C412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313ED605" w14:textId="6382EB9D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5A3502D2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52A557CE" w14:textId="7978F505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$ 4,812.60 </w:t>
            </w:r>
          </w:p>
        </w:tc>
      </w:tr>
      <w:tr w14:paraId="44257215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56423B8F" w14:textId="4A5474F0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11 (Step 1): Waiver Request Processing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45F3D249" w14:textId="31177176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$ 39.66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35D72598" w14:textId="251709B5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>
              <w:rPr>
                <w:rFonts w:ascii="Times New Roman" w:hAnsi="Times New Roman"/>
                <w:snapToGrid/>
                <w:color w:val="000000"/>
                <w:sz w:val="20"/>
              </w:rPr>
              <w:t xml:space="preserve"> 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  $ 51.95 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71A59F9C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9CA015A" w14:textId="3459BC9D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2C3750B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75A297F5" w14:textId="4EA1B20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1BF605F6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79AC9008" w14:textId="02EB67B4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3197BDA1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6C1E70D3" w14:textId="7C8FBECD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03DA4F5E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66DB3A79" w14:textId="7452CA9A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$ 27,014.00 </w:t>
            </w:r>
          </w:p>
        </w:tc>
      </w:tr>
      <w:tr w14:paraId="6F6FFE96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72D4836E" w14:textId="7FDC3B84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12 (Step1): Waiver Request Processing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5DC3109D" w14:textId="7DECF998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$ 47.53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F614867" w14:textId="3EE4443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</w:t>
            </w:r>
            <w:r w:rsidR="00E40A1F">
              <w:rPr>
                <w:rFonts w:ascii="Times New Roman" w:hAnsi="Times New Roman"/>
                <w:snapToGrid/>
                <w:color w:val="000000"/>
                <w:sz w:val="20"/>
              </w:rPr>
              <w:t xml:space="preserve"> 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$ 62.26 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7DFB722C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72236A70" w14:textId="79E915E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105FACC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53B72E6B" w14:textId="611F7F33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2A916B51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357C8FB8" w14:textId="484F703B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69FB111B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06A25F50" w14:textId="25528668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140BB9CC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1E2F2EE5" w14:textId="2D79EC0B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$ 32,375.20 </w:t>
            </w:r>
          </w:p>
        </w:tc>
      </w:tr>
      <w:tr w14:paraId="33DD8472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F19" w:rsidRPr="00292BA5" w:rsidP="00140462" w14:paraId="52D94101" w14:textId="5618F4C6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13 (Step 1): Waiver Request Processing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739FA0B9" w14:textId="3237FA5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$ 56.52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4DE5BF7C" w14:textId="16733C2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 </w:t>
            </w:r>
            <w:r w:rsidR="00E40A1F">
              <w:rPr>
                <w:rFonts w:ascii="Times New Roman" w:hAnsi="Times New Roman"/>
                <w:snapToGrid/>
                <w:color w:val="000000"/>
                <w:sz w:val="20"/>
              </w:rPr>
              <w:t xml:space="preserve"> 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$ 74.04 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7638F318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01EFCFA4" w14:textId="3258080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right w:val="single" w:sz="4" w:space="0" w:color="auto"/>
            </w:tcBorders>
          </w:tcPr>
          <w:p w:rsidR="00A94F19" w:rsidRPr="00292BA5" w:rsidP="00140462" w14:paraId="7FFD850E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67FD8704" w14:textId="4173512A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40E0082F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04318664" w14:textId="27CEBAC6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358F1DF9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7AFD5DF3" w14:textId="5FCC2408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19" w:rsidRPr="00292BA5" w:rsidP="00140462" w14:paraId="524459C4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650A393F" w14:textId="07E4DB31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 $  38,500.80 </w:t>
            </w:r>
          </w:p>
        </w:tc>
      </w:tr>
      <w:tr w14:paraId="75D7FA20" w14:textId="77777777" w:rsidTr="00BB6ABB">
        <w:tblPrEx>
          <w:tblW w:w="11790" w:type="dxa"/>
          <w:tblInd w:w="-1175" w:type="dxa"/>
          <w:tblLook w:val="04A0"/>
        </w:tblPrEx>
        <w:trPr>
          <w:trHeight w:val="518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19" w:rsidRPr="00292BA5" w:rsidP="00140462" w14:paraId="2DCBA108" w14:textId="5DD67C8D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>GS</w:t>
            </w:r>
            <w:r w:rsidR="00EA2C41">
              <w:rPr>
                <w:rFonts w:ascii="Times New Roman" w:hAnsi="Times New Roman"/>
                <w:snapToGrid/>
                <w:color w:val="000000"/>
                <w:sz w:val="20"/>
              </w:rPr>
              <w:t>-</w:t>
            </w:r>
            <w:r w:rsidRPr="00292BA5">
              <w:rPr>
                <w:rFonts w:ascii="Times New Roman" w:hAnsi="Times New Roman"/>
                <w:snapToGrid/>
                <w:color w:val="000000"/>
                <w:sz w:val="20"/>
              </w:rPr>
              <w:t xml:space="preserve">11 (Step1): Government Record Keeping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140462" w14:paraId="77ED749D" w14:textId="2DAEABC5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 xml:space="preserve"> $39.66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140462" w14:paraId="6B9F9A87" w14:textId="087520C4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 xml:space="preserve"> </w:t>
            </w:r>
            <w:r w:rsidR="00E40A1F">
              <w:rPr>
                <w:rFonts w:ascii="Times New Roman" w:hAnsi="Times New Roman"/>
                <w:snapToGrid/>
                <w:color w:val="000000"/>
                <w:sz w:val="20"/>
              </w:rPr>
              <w:t xml:space="preserve">     </w:t>
            </w: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 xml:space="preserve">$  51.95 </w:t>
            </w:r>
          </w:p>
        </w:tc>
        <w:tc>
          <w:tcPr>
            <w:tcW w:w="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4F19" w:rsidRPr="00216721" w:rsidP="00140462" w14:paraId="10B1A03F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140462" w14:paraId="64F811AB" w14:textId="01D2D7E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>1</w:t>
            </w:r>
          </w:p>
        </w:tc>
        <w:tc>
          <w:tcPr>
            <w:tcW w:w="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4F19" w:rsidRPr="00216721" w:rsidP="00140462" w14:paraId="1293BE88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140462" w14:paraId="1BCACB3A" w14:textId="3BE67142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19" w:rsidRPr="00292BA5" w:rsidP="00140462" w14:paraId="33189E4B" w14:textId="77777777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19" w:rsidRPr="00292BA5" w:rsidP="00140462" w14:paraId="4DE33E72" w14:textId="6DA6CD23">
            <w:pPr>
              <w:widowControl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19" w:rsidRPr="00216721" w:rsidP="00140462" w14:paraId="47B5F7E2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A94F19" w14:paraId="21DF751B" w14:textId="4E7DB5D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>4</w:t>
            </w: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19" w:rsidRPr="00216721" w:rsidP="00216721" w14:paraId="3428776D" w14:textId="77777777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19" w:rsidRPr="00216721" w:rsidP="00216721" w14:paraId="149C508C" w14:textId="14CE139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snapToGrid/>
                <w:color w:val="000000"/>
                <w:sz w:val="20"/>
              </w:rPr>
              <w:t>$ 54,028.00</w:t>
            </w:r>
          </w:p>
        </w:tc>
      </w:tr>
      <w:tr w14:paraId="4A85CB49" w14:textId="77777777" w:rsidTr="000F0510">
        <w:tblPrEx>
          <w:tblW w:w="11790" w:type="dxa"/>
          <w:tblInd w:w="-1175" w:type="dxa"/>
          <w:tblLook w:val="04A0"/>
        </w:tblPrEx>
        <w:trPr>
          <w:trHeight w:val="665"/>
        </w:trPr>
        <w:tc>
          <w:tcPr>
            <w:tcW w:w="10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F243B1" w:rsidRPr="00292BA5" w:rsidP="00140462" w14:paraId="5E730210" w14:textId="77777777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92BA5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>TOTAL COMBINED FEDERAL WAGES</w:t>
            </w:r>
          </w:p>
          <w:p w:rsidR="00F243B1" w:rsidRPr="00216721" w:rsidP="00140462" w14:paraId="63837CB0" w14:textId="1076B621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3B1" w:rsidRPr="00216721" w:rsidP="00140462" w14:paraId="75B8B85D" w14:textId="7A52B35B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</w:pPr>
            <w:r w:rsidRPr="00216721">
              <w:rPr>
                <w:rFonts w:ascii="Times New Roman" w:hAnsi="Times New Roman"/>
                <w:b/>
                <w:bCs/>
                <w:snapToGrid/>
                <w:color w:val="000000"/>
                <w:sz w:val="20"/>
              </w:rPr>
              <w:t xml:space="preserve"> $164,154.25 </w:t>
            </w:r>
          </w:p>
        </w:tc>
      </w:tr>
    </w:tbl>
    <w:p w:rsidR="000F0510" w:rsidP="000F0510" w14:paraId="5162C48B" w14:textId="77777777">
      <w:pPr>
        <w:pStyle w:val="ListParagraph"/>
        <w:tabs>
          <w:tab w:val="left" w:pos="-1440"/>
        </w:tabs>
        <w:rPr>
          <w:rFonts w:ascii="Times New Roman" w:hAnsi="Times New Roman"/>
          <w:b/>
          <w:szCs w:val="24"/>
        </w:rPr>
      </w:pPr>
    </w:p>
    <w:p w:rsidR="001E10C6" w:rsidRPr="00216721" w:rsidP="00216721" w14:paraId="0ACD6BC3" w14:textId="4D264CF2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Explan</w:t>
      </w:r>
      <w:r w:rsidRPr="00216721">
        <w:rPr>
          <w:rFonts w:ascii="Times New Roman" w:hAnsi="Times New Roman"/>
          <w:b/>
          <w:szCs w:val="24"/>
        </w:rPr>
        <w:t>ation of P</w:t>
      </w:r>
      <w:r w:rsidRPr="00216721">
        <w:rPr>
          <w:rFonts w:ascii="Times New Roman" w:hAnsi="Times New Roman"/>
          <w:b/>
          <w:szCs w:val="24"/>
        </w:rPr>
        <w:t xml:space="preserve">rogram </w:t>
      </w:r>
      <w:r w:rsidRPr="00216721">
        <w:rPr>
          <w:rFonts w:ascii="Times New Roman" w:hAnsi="Times New Roman"/>
          <w:b/>
          <w:szCs w:val="24"/>
        </w:rPr>
        <w:t xml:space="preserve">Changes </w:t>
      </w:r>
      <w:r w:rsidRPr="00216721">
        <w:rPr>
          <w:rFonts w:ascii="Times New Roman" w:hAnsi="Times New Roman"/>
          <w:b/>
          <w:szCs w:val="24"/>
        </w:rPr>
        <w:t xml:space="preserve">or </w:t>
      </w:r>
      <w:r w:rsidRPr="00216721">
        <w:rPr>
          <w:rFonts w:ascii="Times New Roman" w:hAnsi="Times New Roman"/>
          <w:b/>
          <w:szCs w:val="24"/>
        </w:rPr>
        <w:t xml:space="preserve">Adjustments </w:t>
      </w:r>
    </w:p>
    <w:p w:rsidR="00367094" w:rsidRPr="00D71CB5" w:rsidP="00176C0E" w14:paraId="5D7030B1" w14:textId="77777777">
      <w:pPr>
        <w:tabs>
          <w:tab w:val="left" w:pos="-1440"/>
        </w:tabs>
        <w:rPr>
          <w:rFonts w:ascii="Times New Roman" w:hAnsi="Times New Roman"/>
          <w:b/>
          <w:szCs w:val="24"/>
        </w:rPr>
      </w:pPr>
    </w:p>
    <w:p w:rsidR="00AD4C95" w:rsidP="00216721" w14:paraId="3408D2D7" w14:textId="4F03D039">
      <w:pPr>
        <w:tabs>
          <w:tab w:val="left" w:pos="-1440"/>
        </w:tabs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Since the last renewal </w:t>
      </w:r>
      <w:r w:rsidR="00E40A1F">
        <w:rPr>
          <w:rFonts w:ascii="Times New Roman" w:hAnsi="Times New Roman"/>
          <w:szCs w:val="24"/>
        </w:rPr>
        <w:t>in 2021</w:t>
      </w:r>
      <w:r>
        <w:rPr>
          <w:rFonts w:ascii="Times New Roman" w:hAnsi="Times New Roman"/>
          <w:szCs w:val="24"/>
        </w:rPr>
        <w:t xml:space="preserve">, the total respondents, responses, and burden hours have reduced from 85, 510, and 383 hours to 65, </w:t>
      </w:r>
      <w:r w:rsidR="00210AD6">
        <w:rPr>
          <w:rFonts w:ascii="Times New Roman" w:hAnsi="Times New Roman"/>
          <w:szCs w:val="24"/>
        </w:rPr>
        <w:t>260</w:t>
      </w:r>
      <w:r>
        <w:rPr>
          <w:rFonts w:ascii="Times New Roman" w:hAnsi="Times New Roman"/>
          <w:szCs w:val="24"/>
        </w:rPr>
        <w:t>, and 195</w:t>
      </w:r>
      <w:r w:rsidR="00EA2C41">
        <w:rPr>
          <w:rFonts w:ascii="Times New Roman" w:hAnsi="Times New Roman"/>
          <w:szCs w:val="24"/>
        </w:rPr>
        <w:t xml:space="preserve"> hours</w:t>
      </w:r>
      <w:r>
        <w:rPr>
          <w:rFonts w:ascii="Times New Roman" w:hAnsi="Times New Roman"/>
          <w:szCs w:val="24"/>
        </w:rPr>
        <w:t xml:space="preserve"> respectively. There are no program </w:t>
      </w:r>
      <w:r w:rsidR="00063533">
        <w:rPr>
          <w:rFonts w:ascii="Times New Roman" w:hAnsi="Times New Roman"/>
          <w:szCs w:val="24"/>
        </w:rPr>
        <w:t>changes or adjustments</w:t>
      </w:r>
      <w:r>
        <w:rPr>
          <w:rFonts w:ascii="Times New Roman" w:hAnsi="Times New Roman"/>
          <w:szCs w:val="24"/>
        </w:rPr>
        <w:t>.</w:t>
      </w:r>
    </w:p>
    <w:p w:rsidR="00063533" w:rsidRPr="0055783A" w:rsidP="00216721" w14:paraId="518D4218" w14:textId="77777777">
      <w:pPr>
        <w:tabs>
          <w:tab w:val="left" w:pos="-1440"/>
        </w:tabs>
        <w:ind w:left="450" w:hanging="90"/>
        <w:rPr>
          <w:rFonts w:ascii="Times New Roman" w:hAnsi="Times New Roman"/>
          <w:szCs w:val="24"/>
        </w:rPr>
      </w:pPr>
    </w:p>
    <w:p w:rsidR="00367094" w:rsidRPr="00216721" w:rsidP="00216721" w14:paraId="332D7134" w14:textId="26F4CAFA">
      <w:pPr>
        <w:pStyle w:val="ListParagraph"/>
        <w:numPr>
          <w:ilvl w:val="0"/>
          <w:numId w:val="29"/>
        </w:numPr>
        <w:tabs>
          <w:tab w:val="left" w:pos="-1440"/>
        </w:tabs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Publication of Data Collection Results</w:t>
      </w:r>
    </w:p>
    <w:p w:rsidR="00367094" w:rsidRPr="00D71CB5" w:rsidP="00176C0E" w14:paraId="715CB39A" w14:textId="77777777">
      <w:pPr>
        <w:tabs>
          <w:tab w:val="left" w:pos="-1440"/>
        </w:tabs>
        <w:rPr>
          <w:rFonts w:ascii="Times New Roman" w:hAnsi="Times New Roman"/>
          <w:b/>
          <w:szCs w:val="24"/>
        </w:rPr>
      </w:pPr>
    </w:p>
    <w:p w:rsidR="0055783A" w:rsidP="00216721" w14:paraId="0C630160" w14:textId="6F53E3A1">
      <w:pPr>
        <w:tabs>
          <w:tab w:val="left" w:pos="-1440"/>
        </w:tabs>
        <w:ind w:left="36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>The information collected is</w:t>
      </w:r>
      <w:r w:rsidR="00015CF5">
        <w:rPr>
          <w:rFonts w:ascii="Times New Roman" w:hAnsi="Times New Roman"/>
          <w:szCs w:val="24"/>
        </w:rPr>
        <w:t xml:space="preserve"> not </w:t>
      </w:r>
      <w:r w:rsidR="00E730AD">
        <w:rPr>
          <w:rFonts w:ascii="Times New Roman" w:hAnsi="Times New Roman"/>
          <w:szCs w:val="24"/>
        </w:rPr>
        <w:t xml:space="preserve">intended for publication, it </w:t>
      </w:r>
      <w:r w:rsidR="005912A1">
        <w:rPr>
          <w:rFonts w:ascii="Times New Roman" w:hAnsi="Times New Roman"/>
          <w:szCs w:val="24"/>
        </w:rPr>
        <w:t xml:space="preserve">may be shared with the head of the Department of Homeland Security </w:t>
      </w:r>
      <w:r w:rsidR="00FD5223">
        <w:rPr>
          <w:rFonts w:ascii="Times New Roman" w:hAnsi="Times New Roman"/>
          <w:szCs w:val="24"/>
        </w:rPr>
        <w:t xml:space="preserve">to </w:t>
      </w:r>
      <w:r w:rsidR="00A42442">
        <w:rPr>
          <w:rFonts w:ascii="Times New Roman" w:hAnsi="Times New Roman"/>
          <w:szCs w:val="24"/>
        </w:rPr>
        <w:t>comply with</w:t>
      </w:r>
      <w:r w:rsidR="005912A1">
        <w:rPr>
          <w:rFonts w:ascii="Times New Roman" w:hAnsi="Times New Roman"/>
          <w:szCs w:val="24"/>
        </w:rPr>
        <w:t xml:space="preserve"> </w:t>
      </w:r>
      <w:r w:rsidR="005B67BB">
        <w:rPr>
          <w:rFonts w:ascii="Times New Roman" w:hAnsi="Times New Roman"/>
          <w:szCs w:val="24"/>
        </w:rPr>
        <w:t>MARAD</w:t>
      </w:r>
      <w:r w:rsidR="005912A1">
        <w:rPr>
          <w:rFonts w:ascii="Times New Roman" w:hAnsi="Times New Roman"/>
          <w:szCs w:val="24"/>
        </w:rPr>
        <w:t xml:space="preserve">’s statutory responsibilities as set forth in </w:t>
      </w:r>
      <w:r w:rsidR="00E730AD">
        <w:rPr>
          <w:rFonts w:ascii="Times New Roman" w:hAnsi="Times New Roman"/>
          <w:szCs w:val="24"/>
        </w:rPr>
        <w:t xml:space="preserve">Item 1 of this Supporting Statement. </w:t>
      </w:r>
      <w:r w:rsidR="005B67BB">
        <w:rPr>
          <w:rFonts w:ascii="Times New Roman" w:hAnsi="Times New Roman"/>
          <w:szCs w:val="24"/>
        </w:rPr>
        <w:t>MARAD</w:t>
      </w:r>
      <w:r w:rsidR="00A42442">
        <w:rPr>
          <w:rFonts w:ascii="Times New Roman" w:hAnsi="Times New Roman"/>
          <w:szCs w:val="24"/>
        </w:rPr>
        <w:t xml:space="preserve"> will</w:t>
      </w:r>
      <w:r w:rsidR="00E730AD">
        <w:rPr>
          <w:rFonts w:ascii="Times New Roman" w:hAnsi="Times New Roman"/>
          <w:szCs w:val="24"/>
        </w:rPr>
        <w:t xml:space="preserve"> also</w:t>
      </w:r>
      <w:r w:rsidR="00A42442">
        <w:rPr>
          <w:rFonts w:ascii="Times New Roman" w:hAnsi="Times New Roman"/>
          <w:szCs w:val="24"/>
        </w:rPr>
        <w:t xml:space="preserve"> maintain records of the information collected, including responses received</w:t>
      </w:r>
      <w:r w:rsidR="0028699B">
        <w:rPr>
          <w:rFonts w:ascii="Times New Roman" w:hAnsi="Times New Roman"/>
          <w:szCs w:val="24"/>
        </w:rPr>
        <w:t xml:space="preserve"> by e-mail or telephone</w:t>
      </w:r>
      <w:r w:rsidR="00A42442">
        <w:rPr>
          <w:rFonts w:ascii="Times New Roman" w:hAnsi="Times New Roman"/>
          <w:szCs w:val="24"/>
        </w:rPr>
        <w:t>.</w:t>
      </w:r>
    </w:p>
    <w:p w:rsidR="00367094" w:rsidRPr="00D71CB5" w:rsidP="0055783A" w14:paraId="4D387F0A" w14:textId="77777777">
      <w:pPr>
        <w:tabs>
          <w:tab w:val="left" w:pos="-1440"/>
        </w:tabs>
        <w:ind w:left="72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ab/>
      </w:r>
    </w:p>
    <w:p w:rsidR="002B38BE" w:rsidRPr="00D71CB5" w:rsidP="00216721" w14:paraId="62DC210E" w14:textId="601DE506">
      <w:pPr>
        <w:pStyle w:val="BodyTextIndent"/>
        <w:numPr>
          <w:ilvl w:val="0"/>
          <w:numId w:val="29"/>
        </w:numPr>
        <w:tabs>
          <w:tab w:val="clear" w:pos="-1440"/>
        </w:tabs>
        <w:rPr>
          <w:b/>
          <w:szCs w:val="24"/>
        </w:rPr>
      </w:pPr>
      <w:r>
        <w:rPr>
          <w:b/>
          <w:szCs w:val="24"/>
        </w:rPr>
        <w:t>D</w:t>
      </w:r>
      <w:r w:rsidRPr="00D71CB5" w:rsidR="00367094">
        <w:rPr>
          <w:b/>
          <w:szCs w:val="24"/>
        </w:rPr>
        <w:t xml:space="preserve">isplay </w:t>
      </w:r>
      <w:r>
        <w:rPr>
          <w:b/>
          <w:szCs w:val="24"/>
        </w:rPr>
        <w:t xml:space="preserve">of </w:t>
      </w:r>
      <w:r w:rsidRPr="00D71CB5" w:rsidR="00367094">
        <w:rPr>
          <w:b/>
          <w:szCs w:val="24"/>
        </w:rPr>
        <w:t xml:space="preserve">the </w:t>
      </w:r>
      <w:r>
        <w:rPr>
          <w:b/>
          <w:szCs w:val="24"/>
        </w:rPr>
        <w:t>OMB E</w:t>
      </w:r>
      <w:r w:rsidRPr="00D71CB5">
        <w:rPr>
          <w:b/>
          <w:szCs w:val="24"/>
        </w:rPr>
        <w:t xml:space="preserve">xpiration </w:t>
      </w:r>
      <w:r>
        <w:rPr>
          <w:b/>
          <w:szCs w:val="24"/>
        </w:rPr>
        <w:t>D</w:t>
      </w:r>
      <w:r w:rsidRPr="00D71CB5">
        <w:rPr>
          <w:b/>
          <w:szCs w:val="24"/>
        </w:rPr>
        <w:t xml:space="preserve">ate </w:t>
      </w:r>
    </w:p>
    <w:p w:rsidR="00367094" w:rsidRPr="00D71CB5" w:rsidP="00216721" w14:paraId="295F177C" w14:textId="77777777">
      <w:pPr>
        <w:pStyle w:val="BodyTextIndent"/>
        <w:tabs>
          <w:tab w:val="clear" w:pos="-1440"/>
        </w:tabs>
        <w:rPr>
          <w:b/>
          <w:szCs w:val="24"/>
        </w:rPr>
      </w:pPr>
    </w:p>
    <w:p w:rsidR="00367094" w:rsidRPr="00D71CB5" w:rsidP="00216721" w14:paraId="4014ABFD" w14:textId="5E0A9F01">
      <w:pPr>
        <w:ind w:left="360" w:hanging="36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ab/>
      </w:r>
      <w:r w:rsidR="005B67BB">
        <w:rPr>
          <w:rFonts w:ascii="Times New Roman" w:hAnsi="Times New Roman"/>
          <w:szCs w:val="24"/>
        </w:rPr>
        <w:t>MARAD</w:t>
      </w:r>
      <w:r w:rsidR="00015CF5">
        <w:rPr>
          <w:rFonts w:ascii="Times New Roman" w:hAnsi="Times New Roman"/>
          <w:szCs w:val="24"/>
        </w:rPr>
        <w:t xml:space="preserve"> </w:t>
      </w:r>
      <w:r w:rsidRPr="00D71CB5">
        <w:rPr>
          <w:rFonts w:ascii="Times New Roman" w:hAnsi="Times New Roman"/>
          <w:szCs w:val="24"/>
        </w:rPr>
        <w:t>is not seeking approval</w:t>
      </w:r>
      <w:r w:rsidR="00E730AD">
        <w:rPr>
          <w:rFonts w:ascii="Times New Roman" w:hAnsi="Times New Roman"/>
          <w:szCs w:val="24"/>
        </w:rPr>
        <w:t xml:space="preserve"> to </w:t>
      </w:r>
      <w:r w:rsidR="00EA2C41">
        <w:rPr>
          <w:rFonts w:ascii="Times New Roman" w:hAnsi="Times New Roman"/>
          <w:szCs w:val="24"/>
        </w:rPr>
        <w:t xml:space="preserve">avoid </w:t>
      </w:r>
      <w:r w:rsidR="00E730AD">
        <w:rPr>
          <w:rFonts w:ascii="Times New Roman" w:hAnsi="Times New Roman"/>
          <w:szCs w:val="24"/>
        </w:rPr>
        <w:t>publication of the OMB expiration date</w:t>
      </w:r>
      <w:r w:rsidRPr="00D71CB5">
        <w:rPr>
          <w:rFonts w:ascii="Times New Roman" w:hAnsi="Times New Roman"/>
          <w:szCs w:val="24"/>
        </w:rPr>
        <w:t>.</w:t>
      </w:r>
      <w:r w:rsidRPr="00D71CB5">
        <w:rPr>
          <w:rFonts w:ascii="Times New Roman" w:hAnsi="Times New Roman"/>
          <w:szCs w:val="24"/>
        </w:rPr>
        <w:tab/>
      </w:r>
    </w:p>
    <w:p w:rsidR="00367094" w:rsidRPr="00D71CB5" w:rsidP="00176C0E" w14:paraId="7416EEBC" w14:textId="77777777">
      <w:pPr>
        <w:ind w:left="720" w:hanging="720"/>
        <w:rPr>
          <w:rFonts w:ascii="Times New Roman" w:hAnsi="Times New Roman"/>
          <w:b/>
          <w:szCs w:val="24"/>
        </w:rPr>
      </w:pPr>
    </w:p>
    <w:p w:rsidR="002B38BE" w:rsidRPr="00216721" w:rsidP="00216721" w14:paraId="6C2183A6" w14:textId="00FE203E">
      <w:pPr>
        <w:pStyle w:val="ListParagraph"/>
        <w:numPr>
          <w:ilvl w:val="0"/>
          <w:numId w:val="29"/>
        </w:numPr>
        <w:rPr>
          <w:rFonts w:ascii="Times New Roman" w:hAnsi="Times New Roman"/>
          <w:b/>
          <w:szCs w:val="24"/>
        </w:rPr>
      </w:pPr>
      <w:r w:rsidRPr="00216721">
        <w:rPr>
          <w:rFonts w:ascii="Times New Roman" w:hAnsi="Times New Roman"/>
          <w:b/>
          <w:szCs w:val="24"/>
        </w:rPr>
        <w:t>E</w:t>
      </w:r>
      <w:r w:rsidRPr="00216721" w:rsidR="00367094">
        <w:rPr>
          <w:rFonts w:ascii="Times New Roman" w:hAnsi="Times New Roman"/>
          <w:b/>
          <w:szCs w:val="24"/>
        </w:rPr>
        <w:t xml:space="preserve">xception to the </w:t>
      </w:r>
      <w:r w:rsidRPr="00216721">
        <w:rPr>
          <w:rFonts w:ascii="Times New Roman" w:hAnsi="Times New Roman"/>
          <w:b/>
          <w:szCs w:val="24"/>
        </w:rPr>
        <w:t xml:space="preserve">Certification Statement </w:t>
      </w:r>
    </w:p>
    <w:p w:rsidR="002B38BE" w:rsidRPr="00D71CB5" w:rsidP="00216721" w14:paraId="19BB57F5" w14:textId="77777777">
      <w:pPr>
        <w:pStyle w:val="ListParagraph"/>
      </w:pPr>
    </w:p>
    <w:p w:rsidR="00367094" w:rsidRPr="00D71CB5" w:rsidP="00216721" w14:paraId="6FBD8988" w14:textId="77777777">
      <w:pPr>
        <w:ind w:left="360"/>
        <w:rPr>
          <w:rFonts w:ascii="Times New Roman" w:hAnsi="Times New Roman"/>
          <w:szCs w:val="24"/>
        </w:rPr>
      </w:pPr>
      <w:r w:rsidRPr="00D71CB5">
        <w:rPr>
          <w:rFonts w:ascii="Times New Roman" w:hAnsi="Times New Roman"/>
          <w:szCs w:val="24"/>
        </w:rPr>
        <w:t xml:space="preserve">There are no </w:t>
      </w:r>
      <w:r w:rsidRPr="00D71CB5" w:rsidR="002C60A3">
        <w:rPr>
          <w:rFonts w:ascii="Times New Roman" w:hAnsi="Times New Roman"/>
          <w:szCs w:val="24"/>
        </w:rPr>
        <w:t>exceptions</w:t>
      </w:r>
      <w:r w:rsidR="00015CF5">
        <w:rPr>
          <w:rFonts w:ascii="Times New Roman" w:hAnsi="Times New Roman"/>
          <w:szCs w:val="24"/>
        </w:rPr>
        <w:t xml:space="preserve"> to the certification</w:t>
      </w:r>
      <w:r w:rsidRPr="00D71CB5">
        <w:rPr>
          <w:rFonts w:ascii="Times New Roman" w:hAnsi="Times New Roman"/>
          <w:szCs w:val="24"/>
        </w:rPr>
        <w:t xml:space="preserve"> statement.</w:t>
      </w:r>
    </w:p>
    <w:p w:rsidR="00543690" w:rsidRPr="00D71CB5" w:rsidP="00176C0E" w14:paraId="55521C44" w14:textId="77777777">
      <w:pPr>
        <w:rPr>
          <w:rFonts w:ascii="Times New Roman" w:hAnsi="Times New Roman"/>
          <w:szCs w:val="24"/>
        </w:rPr>
      </w:pPr>
    </w:p>
    <w:sectPr w:rsidSect="00DF313C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296" w:left="1440" w:header="1440" w:footer="10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42E" w14:paraId="45C851B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442E" w14:paraId="30F407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42E" w:rsidRPr="00477697" w14:paraId="771391B0" w14:textId="5A22593B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77697">
      <w:rPr>
        <w:rStyle w:val="PageNumber"/>
        <w:rFonts w:ascii="Times New Roman" w:hAnsi="Times New Roman"/>
      </w:rPr>
      <w:fldChar w:fldCharType="begin"/>
    </w:r>
    <w:r w:rsidRPr="00477697">
      <w:rPr>
        <w:rStyle w:val="PageNumber"/>
        <w:rFonts w:ascii="Times New Roman" w:hAnsi="Times New Roman"/>
      </w:rPr>
      <w:instrText xml:space="preserve">PAGE  </w:instrText>
    </w:r>
    <w:r w:rsidRPr="00477697">
      <w:rPr>
        <w:rStyle w:val="PageNumber"/>
        <w:rFonts w:ascii="Times New Roman" w:hAnsi="Times New Roman"/>
      </w:rPr>
      <w:fldChar w:fldCharType="separate"/>
    </w:r>
    <w:r w:rsidR="00197396">
      <w:rPr>
        <w:rStyle w:val="PageNumber"/>
        <w:rFonts w:ascii="Times New Roman" w:hAnsi="Times New Roman"/>
        <w:noProof/>
      </w:rPr>
      <w:t>8</w:t>
    </w:r>
    <w:r w:rsidRPr="00477697">
      <w:rPr>
        <w:rStyle w:val="PageNumber"/>
        <w:rFonts w:ascii="Times New Roman" w:hAnsi="Times New Roman"/>
      </w:rPr>
      <w:fldChar w:fldCharType="end"/>
    </w:r>
  </w:p>
  <w:p w:rsidR="0078442E" w14:paraId="44C8FF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11657" w14:paraId="39B591D1" w14:textId="77777777">
      <w:r>
        <w:separator/>
      </w:r>
    </w:p>
  </w:footnote>
  <w:footnote w:type="continuationSeparator" w:id="1">
    <w:p w:rsidR="00F11657" w14:paraId="14251E04" w14:textId="77777777">
      <w:r>
        <w:continuationSeparator/>
      </w:r>
    </w:p>
  </w:footnote>
  <w:footnote w:id="2">
    <w:p w:rsidR="00613598" w:rsidRPr="0002645D" w:rsidP="00613598" w14:paraId="1C667DEB" w14:textId="4DC15107">
      <w:pPr>
        <w:pStyle w:val="FootnoteText"/>
        <w:rPr>
          <w:rFonts w:ascii="Times New Roman" w:hAnsi="Times New Roman" w:cs="Times New Roman"/>
        </w:rPr>
      </w:pPr>
      <w:r w:rsidRPr="0002645D">
        <w:rPr>
          <w:rStyle w:val="FootnoteReference"/>
          <w:rFonts w:ascii="Times New Roman" w:hAnsi="Times New Roman" w:cs="Times New Roman"/>
        </w:rPr>
        <w:footnoteRef/>
      </w:r>
      <w:r w:rsidRPr="0002645D">
        <w:rPr>
          <w:rFonts w:ascii="Times New Roman" w:hAnsi="Times New Roman" w:cs="Times New Roman"/>
        </w:rPr>
        <w:t xml:space="preserve"> </w:t>
      </w:r>
      <w:r w:rsidRPr="00613598">
        <w:rPr>
          <w:rFonts w:ascii="Times New Roman" w:hAnsi="Times New Roman" w:cs="Times New Roman"/>
        </w:rPr>
        <w:t xml:space="preserve">The hourly wage estimate is taken from current BLS tables: </w:t>
      </w:r>
      <w:hyperlink r:id="rId1" w:history="1">
        <w:r w:rsidRPr="006E79A6">
          <w:rPr>
            <w:rStyle w:val="Hyperlink"/>
            <w:rFonts w:ascii="Times New Roman" w:hAnsi="Times New Roman" w:cs="Times New Roman"/>
          </w:rPr>
          <w:t>https://www.bls.gov/oes/2023/may/oes131199.htm</w:t>
        </w:r>
      </w:hyperlink>
    </w:p>
  </w:footnote>
  <w:footnote w:id="3">
    <w:p w:rsidR="00613598" w:rsidP="00613598" w14:paraId="5968D034" w14:textId="77777777">
      <w:pPr>
        <w:pStyle w:val="FootnoteText"/>
      </w:pPr>
      <w:r w:rsidRPr="0002645D">
        <w:rPr>
          <w:rStyle w:val="FootnoteReference"/>
          <w:rFonts w:ascii="Times New Roman" w:hAnsi="Times New Roman" w:cs="Times New Roman"/>
        </w:rPr>
        <w:footnoteRef/>
      </w:r>
      <w:r w:rsidRPr="0002645D">
        <w:rPr>
          <w:rFonts w:ascii="Times New Roman" w:hAnsi="Times New Roman" w:cs="Times New Roman"/>
        </w:rPr>
        <w:t xml:space="preserve"> </w:t>
      </w:r>
      <w:bookmarkStart w:id="9" w:name="_Hlk164072686"/>
      <w:r w:rsidRPr="0002645D">
        <w:rPr>
          <w:rFonts w:ascii="Times New Roman" w:hAnsi="Times New Roman" w:cs="Times New Roman"/>
        </w:rPr>
        <w:t>Per BLS Employee Compensation Memo, the total compensation rate for the private sector is 29%,  :</w:t>
      </w:r>
      <w:hyperlink r:id="rId2" w:history="1">
        <w:r w:rsidRPr="0002645D">
          <w:rPr>
            <w:rStyle w:val="Hyperlink"/>
            <w:rFonts w:ascii="Times New Roman" w:hAnsi="Times New Roman" w:cs="Times New Roman"/>
          </w:rPr>
          <w:t>https://www.bls.gov/news.release/pdf/ecec.pdf</w:t>
        </w:r>
      </w:hyperlink>
      <w:bookmarkEnd w:id="9"/>
    </w:p>
  </w:footnote>
  <w:footnote w:id="4">
    <w:p w:rsidR="000C611D" w:rsidRPr="007351A1" w:rsidP="000C611D" w14:paraId="68B85F7E" w14:textId="7777777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02645D">
        <w:rPr>
          <w:rFonts w:ascii="Times New Roman" w:hAnsi="Times New Roman"/>
        </w:rPr>
        <w:t>The hourly Federal Government wage is taken from OMB 2024 wage tables:</w:t>
      </w:r>
      <w:r>
        <w:rPr>
          <w:rFonts w:ascii="Times New Roman" w:hAnsi="Times New Roman"/>
        </w:rPr>
        <w:t xml:space="preserve"> </w:t>
      </w:r>
      <w:hyperlink r:id="rId3" w:history="1">
        <w:r w:rsidRPr="005C6755">
          <w:rPr>
            <w:rStyle w:val="Hyperlink"/>
            <w:rFonts w:ascii="Times New Roman" w:hAnsi="Times New Roman"/>
          </w:rPr>
          <w:t>https://www.opm.gov/policy-data-oversight/pay-leave/salaries-wages/salary-tables/pdf/2024/DCB_h.pdf</w:t>
        </w:r>
      </w:hyperlink>
    </w:p>
  </w:footnote>
  <w:footnote w:id="5">
    <w:p w:rsidR="000C611D" w:rsidP="000C611D" w14:paraId="4873DA47" w14:textId="77777777">
      <w:pPr>
        <w:pStyle w:val="FootnoteText"/>
      </w:pPr>
      <w:r w:rsidRPr="00A528F4">
        <w:rPr>
          <w:rStyle w:val="FootnoteReference"/>
          <w:rFonts w:ascii="Times New Roman" w:hAnsi="Times New Roman"/>
        </w:rPr>
        <w:footnoteRef/>
      </w:r>
      <w:r w:rsidRPr="00A528F4">
        <w:rPr>
          <w:rFonts w:ascii="Times New Roman" w:hAnsi="Times New Roman"/>
        </w:rPr>
        <w:t xml:space="preserve"> </w:t>
      </w:r>
      <w:r w:rsidRPr="00A528F4">
        <w:rPr>
          <w:rFonts w:ascii="Times New Roman" w:eastAsia="Calibri" w:hAnsi="Times New Roman"/>
        </w:rPr>
        <w:t>Per BLS Employee Compensation Memo, the total compensation rate for the Federal Government is 31%,  :</w:t>
      </w:r>
      <w:hyperlink r:id="rId2" w:history="1">
        <w:r w:rsidRPr="00A528F4">
          <w:rPr>
            <w:rFonts w:ascii="Times New Roman" w:eastAsia="Calibri" w:hAnsi="Times New Roman"/>
            <w:color w:val="0000FF"/>
            <w:u w:val="single"/>
          </w:rPr>
          <w:t>https://www.bls.gov/news.release/pdf/ecec.pdf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C8B583A"/>
    <w:multiLevelType w:val="singleLevel"/>
    <w:tmpl w:val="FC389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2D39E5"/>
    <w:multiLevelType w:val="singleLevel"/>
    <w:tmpl w:val="944CC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8D6DD8"/>
    <w:multiLevelType w:val="singleLevel"/>
    <w:tmpl w:val="A59004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129641C9"/>
    <w:multiLevelType w:val="hybridMultilevel"/>
    <w:tmpl w:val="D638A6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A574C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6">
    <w:nsid w:val="232F7253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7">
    <w:nsid w:val="23541937"/>
    <w:multiLevelType w:val="singleLevel"/>
    <w:tmpl w:val="2E2E11A0"/>
    <w:lvl w:ilvl="0">
      <w:start w:val="2"/>
      <w:numFmt w:val="bullet"/>
      <w:lvlText w:val=""/>
      <w:lvlJc w:val="left"/>
      <w:pPr>
        <w:tabs>
          <w:tab w:val="num" w:pos="1155"/>
        </w:tabs>
        <w:ind w:left="1155" w:hanging="435"/>
      </w:pPr>
      <w:rPr>
        <w:rFonts w:ascii="Symbol" w:hAnsi="Symbol" w:hint="default"/>
      </w:rPr>
    </w:lvl>
  </w:abstractNum>
  <w:abstractNum w:abstractNumId="8">
    <w:nsid w:val="26513363"/>
    <w:multiLevelType w:val="singleLevel"/>
    <w:tmpl w:val="33FE15D8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>
    <w:nsid w:val="27D71988"/>
    <w:multiLevelType w:val="singleLevel"/>
    <w:tmpl w:val="51963D42"/>
    <w:lvl w:ilvl="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0">
    <w:nsid w:val="2E535B38"/>
    <w:multiLevelType w:val="singleLevel"/>
    <w:tmpl w:val="7AC679B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31FF3EB1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12">
    <w:nsid w:val="34A613C7"/>
    <w:multiLevelType w:val="singleLevel"/>
    <w:tmpl w:val="C0CCE5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6CF542F"/>
    <w:multiLevelType w:val="singleLevel"/>
    <w:tmpl w:val="A73664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37742484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15">
    <w:nsid w:val="38597F39"/>
    <w:multiLevelType w:val="hybridMultilevel"/>
    <w:tmpl w:val="121E48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B55CB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17">
    <w:nsid w:val="3F044840"/>
    <w:multiLevelType w:val="hybridMultilevel"/>
    <w:tmpl w:val="55D8AF7A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FC06595"/>
    <w:multiLevelType w:val="singleLevel"/>
    <w:tmpl w:val="BEB6E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12F72EA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20">
    <w:nsid w:val="41AB775E"/>
    <w:multiLevelType w:val="hybridMultilevel"/>
    <w:tmpl w:val="36B083F8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80A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35311F0"/>
    <w:multiLevelType w:val="hybridMultilevel"/>
    <w:tmpl w:val="B43840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66498"/>
    <w:multiLevelType w:val="singleLevel"/>
    <w:tmpl w:val="7AC679B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>
    <w:nsid w:val="4DE507BA"/>
    <w:multiLevelType w:val="singleLevel"/>
    <w:tmpl w:val="FFFFFFFF"/>
    <w:lvl w:ilvl="0">
      <w:start w:val="0"/>
      <w:numFmt w:val="bullet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</w:abstractNum>
  <w:abstractNum w:abstractNumId="25">
    <w:nsid w:val="4F067114"/>
    <w:multiLevelType w:val="singleLevel"/>
    <w:tmpl w:val="A73664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4FDC62FF"/>
    <w:multiLevelType w:val="hybridMultilevel"/>
    <w:tmpl w:val="20A00F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A0E60"/>
    <w:multiLevelType w:val="hybridMultilevel"/>
    <w:tmpl w:val="75967B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323DE"/>
    <w:multiLevelType w:val="hybridMultilevel"/>
    <w:tmpl w:val="41D026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34C30"/>
    <w:multiLevelType w:val="hybridMultilevel"/>
    <w:tmpl w:val="0DC21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3152E"/>
    <w:multiLevelType w:val="singleLevel"/>
    <w:tmpl w:val="7AC679B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1">
    <w:nsid w:val="65D143CA"/>
    <w:multiLevelType w:val="hybridMultilevel"/>
    <w:tmpl w:val="B3BEFD5E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9915D6"/>
    <w:multiLevelType w:val="hybridMultilevel"/>
    <w:tmpl w:val="527262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168970">
    <w:abstractNumId w:val="1"/>
  </w:num>
  <w:num w:numId="2" w16cid:durableId="1200127937">
    <w:abstractNumId w:val="7"/>
  </w:num>
  <w:num w:numId="3" w16cid:durableId="754782751">
    <w:abstractNumId w:val="10"/>
  </w:num>
  <w:num w:numId="4" w16cid:durableId="345138698">
    <w:abstractNumId w:val="23"/>
  </w:num>
  <w:num w:numId="5" w16cid:durableId="1834639407">
    <w:abstractNumId w:val="30"/>
  </w:num>
  <w:num w:numId="6" w16cid:durableId="1301837242">
    <w:abstractNumId w:val="0"/>
    <w:lvlOverride w:ilvl="0">
      <w:lvl w:ilvl="0">
        <w:start w:val="0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7" w16cid:durableId="278027699">
    <w:abstractNumId w:val="18"/>
  </w:num>
  <w:num w:numId="8" w16cid:durableId="1361202710">
    <w:abstractNumId w:val="2"/>
  </w:num>
  <w:num w:numId="9" w16cid:durableId="1169908169">
    <w:abstractNumId w:val="8"/>
  </w:num>
  <w:num w:numId="10" w16cid:durableId="1008750500">
    <w:abstractNumId w:val="0"/>
    <w:lvlOverride w:ilvl="0">
      <w:lvl w:ilvl="0">
        <w:start w:val="0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1" w16cid:durableId="2068797593">
    <w:abstractNumId w:val="9"/>
  </w:num>
  <w:num w:numId="12" w16cid:durableId="1390960926">
    <w:abstractNumId w:val="13"/>
  </w:num>
  <w:num w:numId="13" w16cid:durableId="636230002">
    <w:abstractNumId w:val="25"/>
  </w:num>
  <w:num w:numId="14" w16cid:durableId="741952547">
    <w:abstractNumId w:val="12"/>
  </w:num>
  <w:num w:numId="15" w16cid:durableId="769163194">
    <w:abstractNumId w:val="3"/>
  </w:num>
  <w:num w:numId="16" w16cid:durableId="1814714221">
    <w:abstractNumId w:val="21"/>
  </w:num>
  <w:num w:numId="17" w16cid:durableId="1155951175">
    <w:abstractNumId w:val="11"/>
  </w:num>
  <w:num w:numId="18" w16cid:durableId="445195259">
    <w:abstractNumId w:val="19"/>
  </w:num>
  <w:num w:numId="19" w16cid:durableId="1729305044">
    <w:abstractNumId w:val="24"/>
  </w:num>
  <w:num w:numId="20" w16cid:durableId="1929730985">
    <w:abstractNumId w:val="5"/>
  </w:num>
  <w:num w:numId="21" w16cid:durableId="398944137">
    <w:abstractNumId w:val="16"/>
  </w:num>
  <w:num w:numId="22" w16cid:durableId="1225412237">
    <w:abstractNumId w:val="6"/>
  </w:num>
  <w:num w:numId="23" w16cid:durableId="1131091824">
    <w:abstractNumId w:val="14"/>
  </w:num>
  <w:num w:numId="24" w16cid:durableId="1774550333">
    <w:abstractNumId w:val="26"/>
  </w:num>
  <w:num w:numId="25" w16cid:durableId="971787400">
    <w:abstractNumId w:val="32"/>
  </w:num>
  <w:num w:numId="26" w16cid:durableId="921791614">
    <w:abstractNumId w:val="31"/>
  </w:num>
  <w:num w:numId="27" w16cid:durableId="185603854">
    <w:abstractNumId w:val="20"/>
  </w:num>
  <w:num w:numId="28" w16cid:durableId="1155754862">
    <w:abstractNumId w:val="28"/>
  </w:num>
  <w:num w:numId="29" w16cid:durableId="409352196">
    <w:abstractNumId w:val="15"/>
  </w:num>
  <w:num w:numId="30" w16cid:durableId="820926467">
    <w:abstractNumId w:val="22"/>
  </w:num>
  <w:num w:numId="31" w16cid:durableId="69040660">
    <w:abstractNumId w:val="4"/>
  </w:num>
  <w:num w:numId="32" w16cid:durableId="1789350682">
    <w:abstractNumId w:val="27"/>
  </w:num>
  <w:num w:numId="33" w16cid:durableId="681006667">
    <w:abstractNumId w:val="17"/>
  </w:num>
  <w:num w:numId="34" w16cid:durableId="355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94"/>
    <w:rsid w:val="00011E0E"/>
    <w:rsid w:val="0001507F"/>
    <w:rsid w:val="00015CF5"/>
    <w:rsid w:val="00016E78"/>
    <w:rsid w:val="00020381"/>
    <w:rsid w:val="00024ED7"/>
    <w:rsid w:val="0002645D"/>
    <w:rsid w:val="0003556F"/>
    <w:rsid w:val="00035DCE"/>
    <w:rsid w:val="00046B0C"/>
    <w:rsid w:val="00051127"/>
    <w:rsid w:val="000542BD"/>
    <w:rsid w:val="0006189A"/>
    <w:rsid w:val="00063533"/>
    <w:rsid w:val="00070BC5"/>
    <w:rsid w:val="000B7D93"/>
    <w:rsid w:val="000C5018"/>
    <w:rsid w:val="000C611D"/>
    <w:rsid w:val="000E0FC8"/>
    <w:rsid w:val="000E1E39"/>
    <w:rsid w:val="000F0510"/>
    <w:rsid w:val="000F163B"/>
    <w:rsid w:val="000F480F"/>
    <w:rsid w:val="000F7F9C"/>
    <w:rsid w:val="00106523"/>
    <w:rsid w:val="00107B30"/>
    <w:rsid w:val="00110F61"/>
    <w:rsid w:val="0011606E"/>
    <w:rsid w:val="00127ABE"/>
    <w:rsid w:val="00132C34"/>
    <w:rsid w:val="00134843"/>
    <w:rsid w:val="00140462"/>
    <w:rsid w:val="001424D8"/>
    <w:rsid w:val="00143529"/>
    <w:rsid w:val="00145443"/>
    <w:rsid w:val="00152E89"/>
    <w:rsid w:val="00152F07"/>
    <w:rsid w:val="00176C0E"/>
    <w:rsid w:val="00177145"/>
    <w:rsid w:val="001812C1"/>
    <w:rsid w:val="00197396"/>
    <w:rsid w:val="0019792C"/>
    <w:rsid w:val="001B13D3"/>
    <w:rsid w:val="001B5908"/>
    <w:rsid w:val="001C569C"/>
    <w:rsid w:val="001D2DDD"/>
    <w:rsid w:val="001D64BD"/>
    <w:rsid w:val="001E10C6"/>
    <w:rsid w:val="001E19D1"/>
    <w:rsid w:val="001F1046"/>
    <w:rsid w:val="001F6D4F"/>
    <w:rsid w:val="00210AD6"/>
    <w:rsid w:val="00216721"/>
    <w:rsid w:val="002225E9"/>
    <w:rsid w:val="0022442A"/>
    <w:rsid w:val="00225B64"/>
    <w:rsid w:val="0022762D"/>
    <w:rsid w:val="00230DAB"/>
    <w:rsid w:val="00231B70"/>
    <w:rsid w:val="00237390"/>
    <w:rsid w:val="00241B62"/>
    <w:rsid w:val="00261363"/>
    <w:rsid w:val="00264101"/>
    <w:rsid w:val="00266EAE"/>
    <w:rsid w:val="00273126"/>
    <w:rsid w:val="002830A5"/>
    <w:rsid w:val="00285152"/>
    <w:rsid w:val="0028699B"/>
    <w:rsid w:val="00292BA5"/>
    <w:rsid w:val="002B239B"/>
    <w:rsid w:val="002B38BE"/>
    <w:rsid w:val="002B5401"/>
    <w:rsid w:val="002C1777"/>
    <w:rsid w:val="002C36BF"/>
    <w:rsid w:val="002C435E"/>
    <w:rsid w:val="002C60A3"/>
    <w:rsid w:val="002C6BEB"/>
    <w:rsid w:val="002D0EBE"/>
    <w:rsid w:val="002D50F0"/>
    <w:rsid w:val="002E5887"/>
    <w:rsid w:val="002E5D2C"/>
    <w:rsid w:val="002F193B"/>
    <w:rsid w:val="002F269E"/>
    <w:rsid w:val="002F5F7A"/>
    <w:rsid w:val="00300846"/>
    <w:rsid w:val="00321539"/>
    <w:rsid w:val="0032543D"/>
    <w:rsid w:val="0033456F"/>
    <w:rsid w:val="00335A91"/>
    <w:rsid w:val="00341180"/>
    <w:rsid w:val="00341CE3"/>
    <w:rsid w:val="00366211"/>
    <w:rsid w:val="00367094"/>
    <w:rsid w:val="00373B83"/>
    <w:rsid w:val="00390993"/>
    <w:rsid w:val="00395F87"/>
    <w:rsid w:val="00396D68"/>
    <w:rsid w:val="003A0764"/>
    <w:rsid w:val="003A3624"/>
    <w:rsid w:val="003A4476"/>
    <w:rsid w:val="003A4F93"/>
    <w:rsid w:val="003B0A69"/>
    <w:rsid w:val="003B1D1C"/>
    <w:rsid w:val="003B4CD0"/>
    <w:rsid w:val="003C31EA"/>
    <w:rsid w:val="003C55E6"/>
    <w:rsid w:val="003C59FB"/>
    <w:rsid w:val="003C792D"/>
    <w:rsid w:val="003C7A4A"/>
    <w:rsid w:val="003D797C"/>
    <w:rsid w:val="003E4D95"/>
    <w:rsid w:val="003E591A"/>
    <w:rsid w:val="004004B5"/>
    <w:rsid w:val="00406DF9"/>
    <w:rsid w:val="00412170"/>
    <w:rsid w:val="00423718"/>
    <w:rsid w:val="00427840"/>
    <w:rsid w:val="0043034D"/>
    <w:rsid w:val="0043799B"/>
    <w:rsid w:val="00445933"/>
    <w:rsid w:val="0047482B"/>
    <w:rsid w:val="00477697"/>
    <w:rsid w:val="00481273"/>
    <w:rsid w:val="004829D9"/>
    <w:rsid w:val="00482C2B"/>
    <w:rsid w:val="00492C54"/>
    <w:rsid w:val="004A024A"/>
    <w:rsid w:val="004A246E"/>
    <w:rsid w:val="004A3B14"/>
    <w:rsid w:val="004A4C60"/>
    <w:rsid w:val="004B118A"/>
    <w:rsid w:val="004C0F89"/>
    <w:rsid w:val="004C6354"/>
    <w:rsid w:val="004D0153"/>
    <w:rsid w:val="004E1C4D"/>
    <w:rsid w:val="004E30E0"/>
    <w:rsid w:val="004E7EBC"/>
    <w:rsid w:val="004F2849"/>
    <w:rsid w:val="004F415D"/>
    <w:rsid w:val="00503D50"/>
    <w:rsid w:val="0050579F"/>
    <w:rsid w:val="00510B0B"/>
    <w:rsid w:val="00511584"/>
    <w:rsid w:val="00535B96"/>
    <w:rsid w:val="00543495"/>
    <w:rsid w:val="00543690"/>
    <w:rsid w:val="0055783A"/>
    <w:rsid w:val="00571EBE"/>
    <w:rsid w:val="00574776"/>
    <w:rsid w:val="00574834"/>
    <w:rsid w:val="00580D68"/>
    <w:rsid w:val="005912A1"/>
    <w:rsid w:val="005A14CC"/>
    <w:rsid w:val="005A6255"/>
    <w:rsid w:val="005B67BB"/>
    <w:rsid w:val="005C6755"/>
    <w:rsid w:val="005D41D0"/>
    <w:rsid w:val="005E106B"/>
    <w:rsid w:val="005E2C13"/>
    <w:rsid w:val="005E52A8"/>
    <w:rsid w:val="005F4458"/>
    <w:rsid w:val="00600F83"/>
    <w:rsid w:val="00602624"/>
    <w:rsid w:val="00604FB8"/>
    <w:rsid w:val="00613598"/>
    <w:rsid w:val="0061413D"/>
    <w:rsid w:val="0062349E"/>
    <w:rsid w:val="00635002"/>
    <w:rsid w:val="00637C1A"/>
    <w:rsid w:val="00642899"/>
    <w:rsid w:val="0064724D"/>
    <w:rsid w:val="0066250A"/>
    <w:rsid w:val="0066501B"/>
    <w:rsid w:val="0067078A"/>
    <w:rsid w:val="006827A6"/>
    <w:rsid w:val="006831F6"/>
    <w:rsid w:val="00687E28"/>
    <w:rsid w:val="006A68C5"/>
    <w:rsid w:val="006A6AD6"/>
    <w:rsid w:val="006B069E"/>
    <w:rsid w:val="006C75E0"/>
    <w:rsid w:val="006D2C55"/>
    <w:rsid w:val="006D362C"/>
    <w:rsid w:val="006E1675"/>
    <w:rsid w:val="006E79A6"/>
    <w:rsid w:val="0070493D"/>
    <w:rsid w:val="00711FD8"/>
    <w:rsid w:val="007203F7"/>
    <w:rsid w:val="007351A1"/>
    <w:rsid w:val="00737753"/>
    <w:rsid w:val="00741843"/>
    <w:rsid w:val="00743555"/>
    <w:rsid w:val="00762C88"/>
    <w:rsid w:val="00776C79"/>
    <w:rsid w:val="00776EC6"/>
    <w:rsid w:val="0078442E"/>
    <w:rsid w:val="007A0962"/>
    <w:rsid w:val="007B2B9B"/>
    <w:rsid w:val="007B5E9B"/>
    <w:rsid w:val="007B61A0"/>
    <w:rsid w:val="007C5A51"/>
    <w:rsid w:val="007E06A4"/>
    <w:rsid w:val="007E3F6E"/>
    <w:rsid w:val="007E56E4"/>
    <w:rsid w:val="007F5C33"/>
    <w:rsid w:val="00807F10"/>
    <w:rsid w:val="00822BB8"/>
    <w:rsid w:val="00823F09"/>
    <w:rsid w:val="00824156"/>
    <w:rsid w:val="008561A5"/>
    <w:rsid w:val="00861816"/>
    <w:rsid w:val="00863CB2"/>
    <w:rsid w:val="008818FD"/>
    <w:rsid w:val="008819C3"/>
    <w:rsid w:val="00883055"/>
    <w:rsid w:val="00885585"/>
    <w:rsid w:val="008A16E8"/>
    <w:rsid w:val="008A3386"/>
    <w:rsid w:val="008B37AA"/>
    <w:rsid w:val="008C13E5"/>
    <w:rsid w:val="008C409D"/>
    <w:rsid w:val="008C718F"/>
    <w:rsid w:val="008E3E28"/>
    <w:rsid w:val="008E4096"/>
    <w:rsid w:val="008E4839"/>
    <w:rsid w:val="008E6A4A"/>
    <w:rsid w:val="00903C19"/>
    <w:rsid w:val="00905354"/>
    <w:rsid w:val="0091592C"/>
    <w:rsid w:val="00916768"/>
    <w:rsid w:val="00923C28"/>
    <w:rsid w:val="00933275"/>
    <w:rsid w:val="009340A7"/>
    <w:rsid w:val="009425F3"/>
    <w:rsid w:val="00953CDC"/>
    <w:rsid w:val="00955A83"/>
    <w:rsid w:val="00971E5B"/>
    <w:rsid w:val="00975775"/>
    <w:rsid w:val="00977988"/>
    <w:rsid w:val="009873F5"/>
    <w:rsid w:val="0099223C"/>
    <w:rsid w:val="00993FD7"/>
    <w:rsid w:val="009A0D32"/>
    <w:rsid w:val="009B5853"/>
    <w:rsid w:val="009B65A2"/>
    <w:rsid w:val="009C272A"/>
    <w:rsid w:val="009C764A"/>
    <w:rsid w:val="009D2A1E"/>
    <w:rsid w:val="009E1E66"/>
    <w:rsid w:val="009E249C"/>
    <w:rsid w:val="009F6619"/>
    <w:rsid w:val="00A118F5"/>
    <w:rsid w:val="00A175D2"/>
    <w:rsid w:val="00A371E0"/>
    <w:rsid w:val="00A42442"/>
    <w:rsid w:val="00A45358"/>
    <w:rsid w:val="00A50EDF"/>
    <w:rsid w:val="00A528F4"/>
    <w:rsid w:val="00A533FA"/>
    <w:rsid w:val="00A66850"/>
    <w:rsid w:val="00A66BA7"/>
    <w:rsid w:val="00A75565"/>
    <w:rsid w:val="00A82FE6"/>
    <w:rsid w:val="00A850B6"/>
    <w:rsid w:val="00A94F19"/>
    <w:rsid w:val="00A96DC2"/>
    <w:rsid w:val="00A96EA0"/>
    <w:rsid w:val="00AA44AF"/>
    <w:rsid w:val="00AA6CD1"/>
    <w:rsid w:val="00AC3700"/>
    <w:rsid w:val="00AD4C95"/>
    <w:rsid w:val="00AF2450"/>
    <w:rsid w:val="00AF368B"/>
    <w:rsid w:val="00AF5368"/>
    <w:rsid w:val="00B0410C"/>
    <w:rsid w:val="00B1759A"/>
    <w:rsid w:val="00B24841"/>
    <w:rsid w:val="00B34A35"/>
    <w:rsid w:val="00B44863"/>
    <w:rsid w:val="00B54B7E"/>
    <w:rsid w:val="00B67261"/>
    <w:rsid w:val="00B7186E"/>
    <w:rsid w:val="00B75DA1"/>
    <w:rsid w:val="00B765D5"/>
    <w:rsid w:val="00B80B83"/>
    <w:rsid w:val="00B87A36"/>
    <w:rsid w:val="00B917E4"/>
    <w:rsid w:val="00B961DE"/>
    <w:rsid w:val="00BA3155"/>
    <w:rsid w:val="00BA4727"/>
    <w:rsid w:val="00BB4AA9"/>
    <w:rsid w:val="00BB6ABB"/>
    <w:rsid w:val="00BB6E3C"/>
    <w:rsid w:val="00BC78F5"/>
    <w:rsid w:val="00BE7F9E"/>
    <w:rsid w:val="00C22037"/>
    <w:rsid w:val="00C30900"/>
    <w:rsid w:val="00C33DAD"/>
    <w:rsid w:val="00C34432"/>
    <w:rsid w:val="00C359F0"/>
    <w:rsid w:val="00C35B11"/>
    <w:rsid w:val="00C53C16"/>
    <w:rsid w:val="00C5787E"/>
    <w:rsid w:val="00C64E80"/>
    <w:rsid w:val="00C704C2"/>
    <w:rsid w:val="00C74C99"/>
    <w:rsid w:val="00C9166A"/>
    <w:rsid w:val="00C95138"/>
    <w:rsid w:val="00C95943"/>
    <w:rsid w:val="00CA3DB1"/>
    <w:rsid w:val="00CB3110"/>
    <w:rsid w:val="00CB40E7"/>
    <w:rsid w:val="00CB7C25"/>
    <w:rsid w:val="00CD0649"/>
    <w:rsid w:val="00CD16B8"/>
    <w:rsid w:val="00CD2E8E"/>
    <w:rsid w:val="00CD5C04"/>
    <w:rsid w:val="00CF0C33"/>
    <w:rsid w:val="00CF2500"/>
    <w:rsid w:val="00CF27A3"/>
    <w:rsid w:val="00CF2A05"/>
    <w:rsid w:val="00CF5992"/>
    <w:rsid w:val="00CF6660"/>
    <w:rsid w:val="00D05273"/>
    <w:rsid w:val="00D0553D"/>
    <w:rsid w:val="00D255C2"/>
    <w:rsid w:val="00D25B7C"/>
    <w:rsid w:val="00D2603D"/>
    <w:rsid w:val="00D36593"/>
    <w:rsid w:val="00D42836"/>
    <w:rsid w:val="00D437E8"/>
    <w:rsid w:val="00D4658D"/>
    <w:rsid w:val="00D47152"/>
    <w:rsid w:val="00D507BD"/>
    <w:rsid w:val="00D71CB5"/>
    <w:rsid w:val="00D83FB4"/>
    <w:rsid w:val="00D93724"/>
    <w:rsid w:val="00DA26FE"/>
    <w:rsid w:val="00DA3EDF"/>
    <w:rsid w:val="00DA6C98"/>
    <w:rsid w:val="00DA71F2"/>
    <w:rsid w:val="00DB61A1"/>
    <w:rsid w:val="00DC2D7A"/>
    <w:rsid w:val="00DD0236"/>
    <w:rsid w:val="00DD4883"/>
    <w:rsid w:val="00DD6BAE"/>
    <w:rsid w:val="00DE1927"/>
    <w:rsid w:val="00DE43D7"/>
    <w:rsid w:val="00DE522C"/>
    <w:rsid w:val="00DF0BAB"/>
    <w:rsid w:val="00DF313C"/>
    <w:rsid w:val="00DF6CE3"/>
    <w:rsid w:val="00E003CC"/>
    <w:rsid w:val="00E031C7"/>
    <w:rsid w:val="00E07281"/>
    <w:rsid w:val="00E10708"/>
    <w:rsid w:val="00E10CA7"/>
    <w:rsid w:val="00E167E9"/>
    <w:rsid w:val="00E25841"/>
    <w:rsid w:val="00E37562"/>
    <w:rsid w:val="00E40A1F"/>
    <w:rsid w:val="00E41FC1"/>
    <w:rsid w:val="00E54373"/>
    <w:rsid w:val="00E645B9"/>
    <w:rsid w:val="00E730AD"/>
    <w:rsid w:val="00E8323C"/>
    <w:rsid w:val="00E83256"/>
    <w:rsid w:val="00E84B63"/>
    <w:rsid w:val="00E910B9"/>
    <w:rsid w:val="00E93876"/>
    <w:rsid w:val="00EA2C41"/>
    <w:rsid w:val="00EA41E9"/>
    <w:rsid w:val="00EB21E6"/>
    <w:rsid w:val="00EB6B1A"/>
    <w:rsid w:val="00EC0AE2"/>
    <w:rsid w:val="00EC61C8"/>
    <w:rsid w:val="00ED122C"/>
    <w:rsid w:val="00ED77BA"/>
    <w:rsid w:val="00F11657"/>
    <w:rsid w:val="00F12725"/>
    <w:rsid w:val="00F1479C"/>
    <w:rsid w:val="00F239D7"/>
    <w:rsid w:val="00F23E85"/>
    <w:rsid w:val="00F243B1"/>
    <w:rsid w:val="00F2510D"/>
    <w:rsid w:val="00F270A0"/>
    <w:rsid w:val="00F30BC3"/>
    <w:rsid w:val="00F338CE"/>
    <w:rsid w:val="00F466E9"/>
    <w:rsid w:val="00F508ED"/>
    <w:rsid w:val="00F61EB2"/>
    <w:rsid w:val="00F67C88"/>
    <w:rsid w:val="00F83621"/>
    <w:rsid w:val="00F95958"/>
    <w:rsid w:val="00FA5FDB"/>
    <w:rsid w:val="00FA6A49"/>
    <w:rsid w:val="00FA6C10"/>
    <w:rsid w:val="00FB1A17"/>
    <w:rsid w:val="00FD2241"/>
    <w:rsid w:val="00FD5223"/>
    <w:rsid w:val="00FE259C"/>
    <w:rsid w:val="00FE52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C3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61A5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561A5"/>
  </w:style>
  <w:style w:type="paragraph" w:customStyle="1" w:styleId="a">
    <w:name w:val="_"/>
    <w:basedOn w:val="Normal"/>
    <w:rsid w:val="008561A5"/>
    <w:pPr>
      <w:ind w:left="1440" w:hanging="720"/>
    </w:pPr>
    <w:rPr>
      <w:rFonts w:ascii="Times New Roman" w:hAnsi="Times New Roman"/>
    </w:rPr>
  </w:style>
  <w:style w:type="paragraph" w:styleId="PlainText">
    <w:name w:val="Plain Text"/>
    <w:basedOn w:val="Normal"/>
    <w:rsid w:val="008561A5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rsid w:val="008561A5"/>
    <w:pPr>
      <w:tabs>
        <w:tab w:val="left" w:pos="-1440"/>
      </w:tabs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8561A5"/>
    <w:pPr>
      <w:ind w:left="720"/>
    </w:pPr>
    <w:rPr>
      <w:i/>
    </w:rPr>
  </w:style>
  <w:style w:type="paragraph" w:styleId="BodyTextIndent3">
    <w:name w:val="Body Text Indent 3"/>
    <w:basedOn w:val="Normal"/>
    <w:rsid w:val="008561A5"/>
    <w:pPr>
      <w:tabs>
        <w:tab w:val="left" w:pos="-1440"/>
      </w:tabs>
      <w:ind w:left="720" w:hanging="720"/>
    </w:pPr>
    <w:rPr>
      <w:b/>
    </w:rPr>
  </w:style>
  <w:style w:type="paragraph" w:styleId="Footer">
    <w:name w:val="footer"/>
    <w:basedOn w:val="Normal"/>
    <w:rsid w:val="00856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61A5"/>
  </w:style>
  <w:style w:type="paragraph" w:styleId="BalloonText">
    <w:name w:val="Balloon Text"/>
    <w:basedOn w:val="Normal"/>
    <w:semiHidden/>
    <w:rsid w:val="004A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77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7697"/>
    <w:rPr>
      <w:rFonts w:ascii="Courier" w:hAnsi="Courier"/>
      <w:snapToGrid w:val="0"/>
      <w:sz w:val="24"/>
    </w:rPr>
  </w:style>
  <w:style w:type="character" w:styleId="CommentReference">
    <w:name w:val="annotation reference"/>
    <w:basedOn w:val="DefaultParagraphFont"/>
    <w:rsid w:val="00EB21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1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21E6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B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1E6"/>
    <w:rPr>
      <w:rFonts w:ascii="Courier" w:hAnsi="Courier"/>
      <w:b/>
      <w:bCs/>
      <w:snapToGrid w:val="0"/>
    </w:rPr>
  </w:style>
  <w:style w:type="paragraph" w:styleId="Revision">
    <w:name w:val="Revision"/>
    <w:hidden/>
    <w:uiPriority w:val="99"/>
    <w:semiHidden/>
    <w:rsid w:val="006B069E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DF6C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CE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D937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19C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613598"/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rsid w:val="00613598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law.cornell.edu/uscode/text/46/501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2023/may/oes131199.htm" TargetMode="External" /><Relationship Id="rId2" Type="http://schemas.openxmlformats.org/officeDocument/2006/relationships/hyperlink" Target="https://www.bls.gov/news.release/pdf/ecec.pdf" TargetMode="External" /><Relationship Id="rId3" Type="http://schemas.openxmlformats.org/officeDocument/2006/relationships/hyperlink" Target="https://www.opm.gov/policy-data-oversight/pay-leave/salaries-wages/salary-tables/pdf/2024/DCB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42DF-CC47-40E4-A81D-64D7F7AC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2025-03-12T15:58:00Z</dcterms:created>
  <dcterms:modified xsi:type="dcterms:W3CDTF">2025-03-25T12:37:00Z</dcterms:modified>
</cp:coreProperties>
</file>