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2F67C7" w:rsidP="001D3627" w14:paraId="0EB23529" w14:textId="77777777">
      <w:pPr>
        <w:pStyle w:val="Heading2"/>
        <w:tabs>
          <w:tab w:val="left" w:pos="900"/>
        </w:tabs>
        <w:ind w:right="-180"/>
        <w:rPr>
          <w:rFonts w:ascii="Courier New" w:hAnsi="Courier New" w:cs="Courier New"/>
        </w:rPr>
      </w:pPr>
      <w:r w:rsidRPr="002F67C7">
        <w:rPr>
          <w:rFonts w:ascii="Courier New" w:hAnsi="Courier New" w:cs="Courier New"/>
        </w:rPr>
        <w:t>Request for Approval under the “</w:t>
      </w:r>
      <w:r w:rsidRPr="002F67C7" w:rsidR="001D3627">
        <w:rPr>
          <w:rFonts w:ascii="Courier New" w:hAnsi="Courier New" w:cs="Courier New"/>
        </w:rPr>
        <w:t>Generic Clearance for Improving Customer Experience: OMB Circular A-11, Section 280 Implementation</w:t>
      </w:r>
      <w:r w:rsidRPr="002F67C7">
        <w:rPr>
          <w:rFonts w:ascii="Courier New" w:hAnsi="Courier New" w:cs="Courier New"/>
        </w:rPr>
        <w:t xml:space="preserve">” </w:t>
      </w:r>
    </w:p>
    <w:p w:rsidR="005E714A" w:rsidRPr="002F67C7" w:rsidP="00F06866" w14:paraId="65AE13AC" w14:textId="5658C02F">
      <w:pPr>
        <w:pStyle w:val="Heading2"/>
        <w:tabs>
          <w:tab w:val="left" w:pos="900"/>
        </w:tabs>
        <w:ind w:right="-180"/>
        <w:rPr>
          <w:rFonts w:ascii="Courier New" w:hAnsi="Courier New" w:cs="Courier New"/>
        </w:rPr>
      </w:pPr>
      <w:r w:rsidRPr="002F67C7">
        <w:rPr>
          <w:rFonts w:ascii="Courier New" w:hAnsi="Courier New" w:cs="Courier New"/>
        </w:rPr>
        <w:t xml:space="preserve">(OMB Control Number: </w:t>
      </w:r>
      <w:r w:rsidRPr="002F67C7" w:rsidR="008C2745">
        <w:rPr>
          <w:rFonts w:ascii="Courier New" w:hAnsi="Courier New" w:cs="Courier New"/>
        </w:rPr>
        <w:t>2900-0876</w:t>
      </w:r>
      <w:r w:rsidRPr="002F67C7">
        <w:rPr>
          <w:rFonts w:ascii="Courier New" w:hAnsi="Courier New" w:cs="Courier New"/>
        </w:rPr>
        <w:t>)</w:t>
      </w:r>
    </w:p>
    <w:p w:rsidR="0084422D" w:rsidRPr="002F67C7" w:rsidP="00434E33" w14:paraId="6235AD03" w14:textId="77777777">
      <w:pPr>
        <w:rPr>
          <w:rFonts w:ascii="Courier New" w:hAnsi="Courier New" w:cs="Courier New"/>
          <w:b/>
        </w:rPr>
      </w:pPr>
      <w:r w:rsidRPr="002F67C7">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2F67C7" w:rsidP="00AF48ED" w14:paraId="403B2BC6" w14:textId="22B8E3A0">
      <w:pPr>
        <w:pStyle w:val="Header"/>
        <w:tabs>
          <w:tab w:val="clear" w:pos="4320"/>
          <w:tab w:val="clear" w:pos="8640"/>
        </w:tabs>
        <w:rPr>
          <w:rFonts w:ascii="Courier New" w:hAnsi="Courier New" w:cs="Courier New"/>
        </w:rPr>
      </w:pPr>
      <w:r w:rsidRPr="002F67C7">
        <w:rPr>
          <w:rFonts w:ascii="Courier New" w:hAnsi="Courier New" w:cs="Courier New"/>
          <w:b/>
        </w:rPr>
        <w:t>TITLE OF INFORMATION COLLECTION</w:t>
      </w:r>
      <w:r w:rsidRPr="002F67C7" w:rsidR="00754974">
        <w:rPr>
          <w:rFonts w:ascii="Courier New" w:hAnsi="Courier New" w:cs="Courier New"/>
          <w:b/>
        </w:rPr>
        <w:t xml:space="preserve">: </w:t>
      </w:r>
      <w:r w:rsidR="00BD7E69">
        <w:rPr>
          <w:rFonts w:ascii="Courier New" w:hAnsi="Courier New" w:cs="Courier New"/>
          <w:b/>
        </w:rPr>
        <w:t>VBA Finance Center</w:t>
      </w:r>
      <w:r w:rsidRPr="002F67C7" w:rsidR="00754974">
        <w:rPr>
          <w:rFonts w:ascii="Courier New" w:hAnsi="Courier New" w:cs="Courier New"/>
          <w:b/>
        </w:rPr>
        <w:t xml:space="preserve"> Survey</w:t>
      </w:r>
    </w:p>
    <w:p w:rsidR="0084422D" w:rsidRPr="002F67C7" w14:paraId="390B230C" w14:textId="77777777">
      <w:pPr>
        <w:rPr>
          <w:rFonts w:ascii="Courier New" w:hAnsi="Courier New" w:cs="Courier New"/>
          <w:b/>
        </w:rPr>
      </w:pPr>
    </w:p>
    <w:p w:rsidR="001B0AAA" w:rsidRPr="002F67C7" w14:paraId="7B4C4E36" w14:textId="77777777">
      <w:pPr>
        <w:rPr>
          <w:rFonts w:ascii="Courier New" w:hAnsi="Courier New" w:cs="Courier New"/>
        </w:rPr>
      </w:pPr>
      <w:r w:rsidRPr="002F67C7">
        <w:rPr>
          <w:rFonts w:ascii="Courier New" w:hAnsi="Courier New" w:cs="Courier New"/>
          <w:b/>
        </w:rPr>
        <w:t>PURPOSE</w:t>
      </w:r>
      <w:r w:rsidRPr="002F67C7" w:rsidR="001D3627">
        <w:rPr>
          <w:rFonts w:ascii="Courier New" w:hAnsi="Courier New" w:cs="Courier New"/>
          <w:b/>
        </w:rPr>
        <w:t xml:space="preserve"> OF COLLECTION</w:t>
      </w:r>
      <w:r w:rsidRPr="002F67C7">
        <w:rPr>
          <w:rFonts w:ascii="Courier New" w:hAnsi="Courier New" w:cs="Courier New"/>
          <w:b/>
        </w:rPr>
        <w:t>:</w:t>
      </w:r>
      <w:r w:rsidRPr="002F67C7" w:rsidR="00C14CC4">
        <w:rPr>
          <w:rFonts w:ascii="Courier New" w:hAnsi="Courier New" w:cs="Courier New"/>
          <w:b/>
        </w:rPr>
        <w:t xml:space="preserve">  </w:t>
      </w:r>
    </w:p>
    <w:p w:rsidR="00532DC4" w:rsidP="00532DC4" w14:paraId="5E885217" w14:textId="77777777">
      <w:pPr>
        <w:ind w:firstLine="720"/>
        <w:rPr>
          <w:rFonts w:ascii="Courier New" w:hAnsi="Courier New" w:cs="Courier New"/>
        </w:rPr>
      </w:pPr>
      <w:r w:rsidRPr="002F67C7">
        <w:rPr>
          <w:rFonts w:ascii="Courier New" w:hAnsi="Courier New" w:cs="Courier New"/>
        </w:rPr>
        <w:t xml:space="preserve">The Veterans Benefits Administration (VBA) is responsible for providing and/or managing a wide array of services to Veterans and their family members. One such responsibility is to ensure Veterans, beneficiaries, spouses, and stakeholders know what benefits and services are available to them.  </w:t>
      </w:r>
    </w:p>
    <w:p w:rsidR="003F448E" w:rsidRPr="002F67C7" w:rsidP="00532DC4" w14:paraId="0F7C0256" w14:textId="77777777">
      <w:pPr>
        <w:ind w:firstLine="720"/>
        <w:rPr>
          <w:rFonts w:ascii="Courier New" w:hAnsi="Courier New" w:cs="Courier New"/>
        </w:rPr>
      </w:pPr>
    </w:p>
    <w:p w:rsidR="00AC71A7" w:rsidP="00AC71A7" w14:paraId="220AE233" w14:textId="20175FDA">
      <w:pPr>
        <w:ind w:firstLine="720"/>
        <w:rPr>
          <w:rFonts w:ascii="Courier New" w:hAnsi="Courier New" w:cs="Courier New"/>
        </w:rPr>
      </w:pPr>
      <w:r w:rsidRPr="002F67C7">
        <w:rPr>
          <w:rFonts w:ascii="Courier New" w:hAnsi="Courier New" w:cs="Courier New"/>
        </w:rPr>
        <w:t xml:space="preserve">The Veteran Experience Office (VEO) is in partnership with VBA on many surveys, but this is the first partnership with the </w:t>
      </w:r>
      <w:bookmarkStart w:id="0" w:name="_Hlk92888942"/>
      <w:r w:rsidRPr="002F67C7">
        <w:rPr>
          <w:rFonts w:ascii="Courier New" w:hAnsi="Courier New" w:cs="Courier New"/>
        </w:rPr>
        <w:t xml:space="preserve">VBA </w:t>
      </w:r>
      <w:r w:rsidR="00742C0C">
        <w:rPr>
          <w:rFonts w:ascii="Courier New" w:hAnsi="Courier New" w:cs="Courier New"/>
        </w:rPr>
        <w:t>Finance Center (VBAFC</w:t>
      </w:r>
      <w:r w:rsidRPr="002F67C7">
        <w:rPr>
          <w:rFonts w:ascii="Courier New" w:hAnsi="Courier New" w:cs="Courier New"/>
        </w:rPr>
        <w:t xml:space="preserve">). </w:t>
      </w:r>
      <w:bookmarkEnd w:id="0"/>
      <w:r w:rsidRPr="002F67C7">
        <w:rPr>
          <w:rFonts w:ascii="Courier New" w:hAnsi="Courier New" w:cs="Courier New"/>
        </w:rPr>
        <w:t>The</w:t>
      </w:r>
      <w:r w:rsidR="004B69F6">
        <w:rPr>
          <w:rFonts w:ascii="Courier New" w:hAnsi="Courier New" w:cs="Courier New"/>
        </w:rPr>
        <w:t xml:space="preserve"> VBAFC</w:t>
      </w:r>
      <w:r w:rsidR="0063255C">
        <w:rPr>
          <w:rFonts w:ascii="Courier New" w:hAnsi="Courier New" w:cs="Courier New"/>
        </w:rPr>
        <w:t xml:space="preserve"> i</w:t>
      </w:r>
      <w:r w:rsidRPr="002F67C7">
        <w:rPr>
          <w:rFonts w:ascii="Courier New" w:hAnsi="Courier New" w:cs="Courier New"/>
        </w:rPr>
        <w:t xml:space="preserve">s a specialized department dedicated to </w:t>
      </w:r>
      <w:r>
        <w:rPr>
          <w:rFonts w:ascii="Courier New" w:hAnsi="Courier New" w:cs="Courier New"/>
        </w:rPr>
        <w:t>compensation</w:t>
      </w:r>
      <w:r w:rsidR="003B0CDC">
        <w:rPr>
          <w:rFonts w:ascii="Courier New" w:hAnsi="Courier New" w:cs="Courier New"/>
        </w:rPr>
        <w:t xml:space="preserve"> and pension claims and non-receipt of payment claims. </w:t>
      </w:r>
    </w:p>
    <w:p w:rsidR="003F448E" w:rsidRPr="002F67C7" w:rsidP="00AC71A7" w14:paraId="723F23A5" w14:textId="77777777">
      <w:pPr>
        <w:ind w:firstLine="720"/>
        <w:rPr>
          <w:rFonts w:ascii="Courier New" w:hAnsi="Courier New" w:cs="Courier New"/>
        </w:rPr>
      </w:pPr>
    </w:p>
    <w:p w:rsidR="00AF48ED" w:rsidRPr="002F67C7" w:rsidP="00236725" w14:paraId="66A2A6EF" w14:textId="3DA6AF22">
      <w:pPr>
        <w:ind w:firstLine="720"/>
        <w:rPr>
          <w:rFonts w:ascii="Courier New" w:hAnsi="Courier New" w:cs="Courier New"/>
          <w:i/>
        </w:rPr>
      </w:pPr>
      <w:r w:rsidRPr="002F67C7">
        <w:rPr>
          <w:rFonts w:ascii="Courier New" w:hAnsi="Courier New" w:cs="Courier New"/>
        </w:rPr>
        <w:t>The survey questionnaire is brief and contains general Likert-scale (a scale of 1-5 from Strongly Disagree to Strongly Agree) questions to assess customer satisfaction as well as questions assessing the knowledge, speed, and manner of the interaction. These questions have been mapped to the OMB A-11 Customer Experience drivers</w:t>
      </w:r>
      <w:r w:rsidR="00236725">
        <w:rPr>
          <w:rFonts w:ascii="Courier New" w:hAnsi="Courier New" w:cs="Courier New"/>
        </w:rPr>
        <w:t>.</w:t>
      </w:r>
    </w:p>
    <w:p w:rsidR="00C8488C" w:rsidRPr="002F67C7" w:rsidP="00434E33" w14:paraId="08EAFCCA" w14:textId="77777777">
      <w:pPr>
        <w:pStyle w:val="Header"/>
        <w:tabs>
          <w:tab w:val="clear" w:pos="4320"/>
          <w:tab w:val="clear" w:pos="8640"/>
        </w:tabs>
        <w:rPr>
          <w:rFonts w:ascii="Courier New" w:hAnsi="Courier New" w:cs="Courier New"/>
          <w:b/>
        </w:rPr>
      </w:pPr>
    </w:p>
    <w:p w:rsidR="00F06866" w:rsidRPr="002F67C7" w14:paraId="39F07C51" w14:textId="77777777">
      <w:pPr>
        <w:rPr>
          <w:rFonts w:ascii="Courier New" w:hAnsi="Courier New" w:cs="Courier New"/>
          <w:b/>
        </w:rPr>
      </w:pPr>
      <w:r w:rsidRPr="002F67C7">
        <w:rPr>
          <w:rFonts w:ascii="Courier New" w:hAnsi="Courier New" w:cs="Courier New"/>
          <w:b/>
        </w:rPr>
        <w:t xml:space="preserve">TYPE OF </w:t>
      </w:r>
      <w:r w:rsidRPr="002F67C7" w:rsidR="00461FE3">
        <w:rPr>
          <w:rFonts w:ascii="Courier New" w:hAnsi="Courier New" w:cs="Courier New"/>
          <w:b/>
        </w:rPr>
        <w:t>ACTIVITY</w:t>
      </w:r>
      <w:r w:rsidRPr="002F67C7">
        <w:rPr>
          <w:rFonts w:ascii="Courier New" w:hAnsi="Courier New" w:cs="Courier New"/>
          <w:b/>
        </w:rPr>
        <w:t>:</w:t>
      </w:r>
      <w:r w:rsidRPr="002F67C7">
        <w:rPr>
          <w:rFonts w:ascii="Courier New" w:hAnsi="Courier New" w:cs="Courier New"/>
        </w:rPr>
        <w:t xml:space="preserve"> (Check one)</w:t>
      </w:r>
    </w:p>
    <w:p w:rsidR="00441434" w:rsidRPr="002F67C7" w:rsidP="0096108F" w14:paraId="59DE0C56" w14:textId="77777777">
      <w:pPr>
        <w:pStyle w:val="BodyTextIndent"/>
        <w:tabs>
          <w:tab w:val="left" w:pos="360"/>
        </w:tabs>
        <w:ind w:left="0"/>
        <w:rPr>
          <w:rFonts w:ascii="Courier New" w:hAnsi="Courier New" w:cs="Courier New"/>
          <w:bCs/>
          <w:sz w:val="24"/>
          <w:szCs w:val="24"/>
        </w:rPr>
      </w:pPr>
    </w:p>
    <w:p w:rsidR="00461FE3" w:rsidRPr="002F67C7" w:rsidP="0096108F" w14:paraId="368C2213" w14:textId="5FAA3218">
      <w:pPr>
        <w:pStyle w:val="BodyTextIndent"/>
        <w:tabs>
          <w:tab w:val="left" w:pos="360"/>
        </w:tabs>
        <w:ind w:left="0"/>
        <w:rPr>
          <w:rFonts w:ascii="Courier New" w:hAnsi="Courier New" w:cs="Courier New"/>
          <w:bCs/>
          <w:sz w:val="24"/>
          <w:szCs w:val="24"/>
        </w:rPr>
      </w:pPr>
      <w:r w:rsidRPr="002F67C7">
        <w:rPr>
          <w:rFonts w:ascii="Courier New" w:hAnsi="Courier New" w:cs="Courier New"/>
          <w:bCs/>
          <w:sz w:val="24"/>
          <w:szCs w:val="24"/>
        </w:rPr>
        <w:t xml:space="preserve">[ </w:t>
      </w:r>
      <w:r w:rsidRPr="002F67C7">
        <w:rPr>
          <w:rFonts w:ascii="Courier New" w:hAnsi="Courier New" w:cs="Courier New"/>
          <w:bCs/>
          <w:sz w:val="24"/>
          <w:szCs w:val="24"/>
        </w:rPr>
        <w:t xml:space="preserve">  ]</w:t>
      </w:r>
      <w:r w:rsidRPr="002F67C7">
        <w:rPr>
          <w:rFonts w:ascii="Courier New" w:hAnsi="Courier New" w:cs="Courier New"/>
          <w:bCs/>
          <w:sz w:val="24"/>
          <w:szCs w:val="24"/>
        </w:rPr>
        <w:t xml:space="preserve"> Customer </w:t>
      </w:r>
      <w:r w:rsidRPr="002F67C7" w:rsidR="001D3627">
        <w:rPr>
          <w:rFonts w:ascii="Courier New" w:hAnsi="Courier New" w:cs="Courier New"/>
          <w:bCs/>
          <w:sz w:val="24"/>
          <w:szCs w:val="24"/>
        </w:rPr>
        <w:t>Research</w:t>
      </w:r>
      <w:r w:rsidRPr="002F67C7" w:rsidR="00F87A4F">
        <w:rPr>
          <w:rFonts w:ascii="Courier New" w:hAnsi="Courier New" w:cs="Courier New"/>
          <w:bCs/>
          <w:sz w:val="24"/>
          <w:szCs w:val="24"/>
        </w:rPr>
        <w:t xml:space="preserve"> (Interview, Focus Groups</w:t>
      </w:r>
      <w:r w:rsidRPr="002F67C7" w:rsidR="00AF6191">
        <w:rPr>
          <w:rFonts w:ascii="Courier New" w:hAnsi="Courier New" w:cs="Courier New"/>
          <w:bCs/>
          <w:sz w:val="24"/>
          <w:szCs w:val="24"/>
        </w:rPr>
        <w:t>, Surveys</w:t>
      </w:r>
      <w:r w:rsidRPr="002F67C7" w:rsidR="00F87A4F">
        <w:rPr>
          <w:rFonts w:ascii="Courier New" w:hAnsi="Courier New" w:cs="Courier New"/>
          <w:bCs/>
          <w:sz w:val="24"/>
          <w:szCs w:val="24"/>
        </w:rPr>
        <w:t>)</w:t>
      </w:r>
      <w:r w:rsidRPr="002F67C7">
        <w:rPr>
          <w:rFonts w:ascii="Courier New" w:hAnsi="Courier New" w:cs="Courier New"/>
          <w:bCs/>
          <w:sz w:val="24"/>
          <w:szCs w:val="24"/>
        </w:rPr>
        <w:tab/>
      </w:r>
    </w:p>
    <w:p w:rsidR="00F06866" w:rsidRPr="002F67C7" w:rsidP="0096108F" w14:paraId="3903FCC8" w14:textId="176AD600">
      <w:pPr>
        <w:pStyle w:val="BodyTextIndent"/>
        <w:tabs>
          <w:tab w:val="left" w:pos="360"/>
        </w:tabs>
        <w:ind w:left="0"/>
        <w:rPr>
          <w:rFonts w:ascii="Courier New" w:hAnsi="Courier New" w:cs="Courier New"/>
          <w:bCs/>
          <w:sz w:val="24"/>
          <w:szCs w:val="24"/>
        </w:rPr>
      </w:pPr>
      <w:r w:rsidRPr="002F67C7">
        <w:rPr>
          <w:rFonts w:ascii="Courier New" w:hAnsi="Courier New" w:cs="Courier New"/>
          <w:bCs/>
          <w:sz w:val="24"/>
          <w:szCs w:val="24"/>
        </w:rPr>
        <w:t xml:space="preserve">[ </w:t>
      </w:r>
      <w:r w:rsidRPr="002F67C7" w:rsidR="00E53D3E">
        <w:rPr>
          <w:rFonts w:ascii="Courier New" w:hAnsi="Courier New" w:cs="Courier New"/>
          <w:bCs/>
          <w:sz w:val="24"/>
          <w:szCs w:val="24"/>
        </w:rPr>
        <w:t xml:space="preserve">X </w:t>
      </w:r>
      <w:r w:rsidRPr="002F67C7">
        <w:rPr>
          <w:rFonts w:ascii="Courier New" w:hAnsi="Courier New" w:cs="Courier New"/>
          <w:bCs/>
          <w:sz w:val="24"/>
          <w:szCs w:val="24"/>
        </w:rPr>
        <w:t>]</w:t>
      </w:r>
      <w:r w:rsidRPr="002F67C7">
        <w:rPr>
          <w:rFonts w:ascii="Courier New" w:hAnsi="Courier New" w:cs="Courier New"/>
          <w:bCs/>
          <w:sz w:val="24"/>
          <w:szCs w:val="24"/>
        </w:rPr>
        <w:t xml:space="preserve"> Customer </w:t>
      </w:r>
      <w:r w:rsidRPr="002F67C7" w:rsidR="00461FE3">
        <w:rPr>
          <w:rFonts w:ascii="Courier New" w:hAnsi="Courier New" w:cs="Courier New"/>
          <w:bCs/>
          <w:sz w:val="24"/>
          <w:szCs w:val="24"/>
        </w:rPr>
        <w:t>Feedback</w:t>
      </w:r>
      <w:r w:rsidRPr="002F67C7" w:rsidR="00AE37FA">
        <w:rPr>
          <w:rFonts w:ascii="Courier New" w:hAnsi="Courier New" w:cs="Courier New"/>
          <w:bCs/>
          <w:sz w:val="24"/>
          <w:szCs w:val="24"/>
        </w:rPr>
        <w:t xml:space="preserve"> Survey </w:t>
      </w:r>
    </w:p>
    <w:p w:rsidR="001D3627" w:rsidRPr="002F67C7" w:rsidP="001D3627" w14:paraId="6905623D" w14:textId="7A9B1856">
      <w:pPr>
        <w:pStyle w:val="BodyTextIndent"/>
        <w:tabs>
          <w:tab w:val="left" w:pos="360"/>
        </w:tabs>
        <w:ind w:left="0"/>
        <w:rPr>
          <w:rFonts w:ascii="Courier New" w:hAnsi="Courier New" w:cs="Courier New"/>
          <w:bCs/>
          <w:sz w:val="24"/>
          <w:szCs w:val="24"/>
        </w:rPr>
      </w:pPr>
      <w:r w:rsidRPr="002F67C7">
        <w:rPr>
          <w:rFonts w:ascii="Courier New" w:hAnsi="Courier New" w:cs="Courier New"/>
          <w:bCs/>
          <w:sz w:val="24"/>
          <w:szCs w:val="24"/>
        </w:rPr>
        <w:t xml:space="preserve">[ </w:t>
      </w:r>
      <w:r w:rsidRPr="002F67C7">
        <w:rPr>
          <w:rFonts w:ascii="Courier New" w:hAnsi="Courier New" w:cs="Courier New"/>
          <w:bCs/>
          <w:sz w:val="24"/>
          <w:szCs w:val="24"/>
        </w:rPr>
        <w:t xml:space="preserve">  ]</w:t>
      </w:r>
      <w:r w:rsidRPr="002F67C7">
        <w:rPr>
          <w:rFonts w:ascii="Courier New" w:hAnsi="Courier New" w:cs="Courier New"/>
          <w:bCs/>
          <w:sz w:val="24"/>
          <w:szCs w:val="24"/>
        </w:rPr>
        <w:t xml:space="preserve"> Us</w:t>
      </w:r>
      <w:r w:rsidRPr="002F67C7" w:rsidR="008114C8">
        <w:rPr>
          <w:rFonts w:ascii="Courier New" w:hAnsi="Courier New" w:cs="Courier New"/>
          <w:bCs/>
          <w:sz w:val="24"/>
          <w:szCs w:val="24"/>
        </w:rPr>
        <w:t>ability</w:t>
      </w:r>
      <w:r w:rsidRPr="002F67C7">
        <w:rPr>
          <w:rFonts w:ascii="Courier New" w:hAnsi="Courier New" w:cs="Courier New"/>
          <w:bCs/>
          <w:sz w:val="24"/>
          <w:szCs w:val="24"/>
        </w:rPr>
        <w:t xml:space="preserve"> Testing</w:t>
      </w:r>
      <w:r w:rsidRPr="002F67C7" w:rsidR="00AF6191">
        <w:rPr>
          <w:rFonts w:ascii="Courier New" w:hAnsi="Courier New" w:cs="Courier New"/>
          <w:bCs/>
          <w:sz w:val="24"/>
          <w:szCs w:val="24"/>
        </w:rPr>
        <w:t xml:space="preserve"> of Products or Services</w:t>
      </w:r>
      <w:r w:rsidRPr="002F67C7">
        <w:rPr>
          <w:rFonts w:ascii="Courier New" w:hAnsi="Courier New" w:cs="Courier New"/>
          <w:bCs/>
          <w:sz w:val="24"/>
          <w:szCs w:val="24"/>
        </w:rPr>
        <w:t xml:space="preserve"> </w:t>
      </w:r>
    </w:p>
    <w:p w:rsidR="00434E33" w:rsidRPr="002F67C7" w:rsidP="00461FE3" w14:paraId="0E96B958" w14:textId="77777777">
      <w:pPr>
        <w:pStyle w:val="BodyTextIndent"/>
        <w:tabs>
          <w:tab w:val="left" w:pos="360"/>
        </w:tabs>
        <w:ind w:left="0"/>
        <w:rPr>
          <w:rFonts w:ascii="Courier New" w:hAnsi="Courier New" w:cs="Courier New"/>
          <w:bCs/>
          <w:sz w:val="24"/>
          <w:szCs w:val="24"/>
        </w:rPr>
      </w:pPr>
    </w:p>
    <w:p w:rsidR="001D3627" w:rsidRPr="002F67C7" w:rsidP="00461FE3" w14:paraId="4751301F" w14:textId="77777777">
      <w:pPr>
        <w:pStyle w:val="BodyTextIndent"/>
        <w:tabs>
          <w:tab w:val="left" w:pos="360"/>
        </w:tabs>
        <w:ind w:left="0"/>
        <w:rPr>
          <w:rFonts w:ascii="Courier New" w:hAnsi="Courier New" w:cs="Courier New"/>
          <w:b/>
          <w:sz w:val="24"/>
          <w:szCs w:val="24"/>
          <w:lang w:eastAsia="en-US"/>
        </w:rPr>
      </w:pPr>
      <w:r w:rsidRPr="002F67C7">
        <w:rPr>
          <w:rFonts w:ascii="Courier New" w:hAnsi="Courier New" w:cs="Courier New"/>
          <w:b/>
          <w:sz w:val="24"/>
          <w:szCs w:val="24"/>
          <w:lang w:eastAsia="en-US"/>
        </w:rPr>
        <w:t>ACTIVITY DETAILS</w:t>
      </w:r>
    </w:p>
    <w:p w:rsidR="001D3627" w:rsidRPr="002F67C7" w:rsidP="00461FE3" w14:paraId="10AFF639" w14:textId="77777777">
      <w:pPr>
        <w:pStyle w:val="BodyTextIndent"/>
        <w:tabs>
          <w:tab w:val="left" w:pos="360"/>
        </w:tabs>
        <w:ind w:left="0"/>
        <w:rPr>
          <w:rFonts w:ascii="Courier New" w:hAnsi="Courier New" w:cs="Courier New"/>
          <w:bCs/>
          <w:sz w:val="24"/>
          <w:szCs w:val="24"/>
        </w:rPr>
      </w:pPr>
    </w:p>
    <w:p w:rsidR="00AF6191" w:rsidRPr="002F67C7" w:rsidP="00AF6191" w14:paraId="09132ABF" w14:textId="77777777">
      <w:pPr>
        <w:pStyle w:val="ListParagraph"/>
        <w:numPr>
          <w:ilvl w:val="0"/>
          <w:numId w:val="17"/>
        </w:numPr>
        <w:rPr>
          <w:rFonts w:ascii="Courier New" w:hAnsi="Courier New" w:cs="Courier New"/>
        </w:rPr>
      </w:pPr>
      <w:r w:rsidRPr="002F67C7">
        <w:rPr>
          <w:rFonts w:ascii="Courier New" w:hAnsi="Courier New" w:cs="Courier New"/>
        </w:rPr>
        <w:t>If this is a survey, will the results of this survey be reported to Touchpoints as part of quarterly reporting obligations specified in OMB Circular A-11 Section 280?</w:t>
      </w:r>
    </w:p>
    <w:p w:rsidR="00AF6191" w:rsidRPr="002F67C7" w:rsidP="00AF6191" w14:paraId="68C79706" w14:textId="0FBC0B9F">
      <w:pPr>
        <w:pStyle w:val="ListParagraph"/>
        <w:ind w:left="360"/>
        <w:rPr>
          <w:rFonts w:ascii="Courier New" w:hAnsi="Courier New" w:cs="Courier New"/>
        </w:rPr>
      </w:pPr>
      <w:r w:rsidRPr="002F67C7">
        <w:rPr>
          <w:rFonts w:ascii="Courier New" w:hAnsi="Courier New" w:cs="Courier New"/>
        </w:rPr>
        <w:t>[  ]</w:t>
      </w:r>
      <w:r w:rsidRPr="002F67C7">
        <w:rPr>
          <w:rFonts w:ascii="Courier New" w:hAnsi="Courier New" w:cs="Courier New"/>
        </w:rPr>
        <w:t xml:space="preserve"> Yes</w:t>
      </w:r>
    </w:p>
    <w:p w:rsidR="00AF6191" w:rsidRPr="002F67C7" w:rsidP="00AF6191" w14:paraId="03F6F3A2" w14:textId="5364DC02">
      <w:pPr>
        <w:pStyle w:val="ListParagraph"/>
        <w:ind w:left="360"/>
        <w:rPr>
          <w:rFonts w:ascii="Courier New" w:hAnsi="Courier New" w:cs="Courier New"/>
        </w:rPr>
      </w:pPr>
      <w:r w:rsidRPr="002F67C7">
        <w:rPr>
          <w:rFonts w:ascii="Courier New" w:hAnsi="Courier New" w:cs="Courier New"/>
        </w:rPr>
        <w:t>[</w:t>
      </w:r>
      <w:r w:rsidRPr="002F67C7" w:rsidR="00022F38">
        <w:rPr>
          <w:rFonts w:ascii="Courier New" w:hAnsi="Courier New" w:cs="Courier New"/>
        </w:rPr>
        <w:t>X</w:t>
      </w:r>
      <w:r w:rsidRPr="002F67C7">
        <w:rPr>
          <w:rFonts w:ascii="Courier New" w:hAnsi="Courier New" w:cs="Courier New"/>
        </w:rPr>
        <w:t xml:space="preserve"> ]</w:t>
      </w:r>
      <w:r w:rsidRPr="002F67C7">
        <w:rPr>
          <w:rFonts w:ascii="Courier New" w:hAnsi="Courier New" w:cs="Courier New"/>
        </w:rPr>
        <w:t xml:space="preserve"> No</w:t>
      </w:r>
    </w:p>
    <w:p w:rsidR="00AF6191" w:rsidRPr="002F67C7" w:rsidP="00AF6191" w14:paraId="5A8371D7" w14:textId="3C168D6E">
      <w:pPr>
        <w:pStyle w:val="ListParagraph"/>
        <w:ind w:left="360"/>
        <w:rPr>
          <w:rFonts w:ascii="Courier New" w:hAnsi="Courier New" w:cs="Courier New"/>
        </w:rPr>
      </w:pPr>
      <w:r w:rsidRPr="002F67C7">
        <w:rPr>
          <w:rFonts w:ascii="Courier New" w:hAnsi="Courier New" w:cs="Courier New"/>
        </w:rPr>
        <w:t>[  ]</w:t>
      </w:r>
      <w:r w:rsidRPr="002F67C7">
        <w:rPr>
          <w:rFonts w:ascii="Courier New" w:hAnsi="Courier New" w:cs="Courier New"/>
        </w:rPr>
        <w:t xml:space="preserve"> Not a survey</w:t>
      </w:r>
    </w:p>
    <w:p w:rsidR="00AF6191" w:rsidRPr="002F67C7" w:rsidP="00C9621E" w14:paraId="7BBEACF8" w14:textId="09E13A9E">
      <w:pPr>
        <w:pStyle w:val="ListParagraph"/>
        <w:ind w:left="360"/>
        <w:rPr>
          <w:rFonts w:ascii="Courier New" w:hAnsi="Courier New" w:cs="Courier New"/>
        </w:rPr>
      </w:pPr>
    </w:p>
    <w:p w:rsidR="005B10E5" w:rsidRPr="002F67C7" w:rsidP="005B10E5" w14:paraId="49859DD5" w14:textId="2B4B1DB0">
      <w:pPr>
        <w:pStyle w:val="ListParagraph"/>
        <w:numPr>
          <w:ilvl w:val="0"/>
          <w:numId w:val="17"/>
        </w:numPr>
        <w:rPr>
          <w:rFonts w:ascii="Courier New" w:hAnsi="Courier New" w:cs="Courier New"/>
        </w:rPr>
      </w:pPr>
      <w:r w:rsidRPr="002F67C7">
        <w:rPr>
          <w:rFonts w:ascii="Courier New" w:hAnsi="Courier New" w:cs="Courier New"/>
        </w:rPr>
        <w:t>How will you collect the information? (Check all that apply)</w:t>
      </w:r>
    </w:p>
    <w:p w:rsidR="005B10E5" w:rsidRPr="002F67C7" w:rsidP="005B10E5" w14:paraId="2604C5E7" w14:textId="77777777">
      <w:pPr>
        <w:ind w:left="720"/>
        <w:rPr>
          <w:rFonts w:ascii="Courier New" w:hAnsi="Courier New" w:cs="Courier New"/>
        </w:rPr>
      </w:pPr>
      <w:r w:rsidRPr="002F67C7">
        <w:rPr>
          <w:rFonts w:ascii="Courier New" w:hAnsi="Courier New" w:cs="Courier New"/>
        </w:rPr>
        <w:t>[  ]</w:t>
      </w:r>
      <w:r w:rsidRPr="002F67C7">
        <w:rPr>
          <w:rFonts w:ascii="Courier New" w:hAnsi="Courier New" w:cs="Courier New"/>
        </w:rPr>
        <w:t xml:space="preserve"> Web-based or other forms of Social Media </w:t>
      </w:r>
    </w:p>
    <w:p w:rsidR="005B10E5" w:rsidRPr="002F67C7" w:rsidP="005B10E5" w14:paraId="2028FA5F" w14:textId="77777777">
      <w:pPr>
        <w:ind w:left="720"/>
        <w:rPr>
          <w:rFonts w:ascii="Courier New" w:hAnsi="Courier New" w:cs="Courier New"/>
        </w:rPr>
      </w:pPr>
      <w:r w:rsidRPr="002F67C7">
        <w:rPr>
          <w:rFonts w:ascii="Courier New" w:hAnsi="Courier New" w:cs="Courier New"/>
        </w:rPr>
        <w:t>[  ]</w:t>
      </w:r>
      <w:r w:rsidRPr="002F67C7">
        <w:rPr>
          <w:rFonts w:ascii="Courier New" w:hAnsi="Courier New" w:cs="Courier New"/>
        </w:rPr>
        <w:t xml:space="preserve"> Telephone</w:t>
      </w:r>
      <w:r w:rsidRPr="002F67C7">
        <w:rPr>
          <w:rFonts w:ascii="Courier New" w:hAnsi="Courier New" w:cs="Courier New"/>
        </w:rPr>
        <w:tab/>
      </w:r>
    </w:p>
    <w:p w:rsidR="005B10E5" w:rsidRPr="002F67C7" w:rsidP="005B10E5" w14:paraId="5F19E4FA" w14:textId="77777777">
      <w:pPr>
        <w:ind w:left="720"/>
        <w:rPr>
          <w:rFonts w:ascii="Courier New" w:hAnsi="Courier New" w:cs="Courier New"/>
        </w:rPr>
      </w:pPr>
      <w:r w:rsidRPr="002F67C7">
        <w:rPr>
          <w:rFonts w:ascii="Courier New" w:hAnsi="Courier New" w:cs="Courier New"/>
        </w:rPr>
        <w:t>[  ]</w:t>
      </w:r>
      <w:r w:rsidRPr="002F67C7">
        <w:rPr>
          <w:rFonts w:ascii="Courier New" w:hAnsi="Courier New" w:cs="Courier New"/>
        </w:rPr>
        <w:t xml:space="preserve"> In-person </w:t>
      </w:r>
    </w:p>
    <w:p w:rsidR="005B10E5" w:rsidRPr="002F67C7" w:rsidP="005B10E5" w14:paraId="7F723C2F" w14:textId="77777777">
      <w:pPr>
        <w:ind w:left="720"/>
        <w:rPr>
          <w:rFonts w:ascii="Courier New" w:hAnsi="Courier New" w:cs="Courier New"/>
        </w:rPr>
      </w:pPr>
      <w:r w:rsidRPr="002F67C7">
        <w:rPr>
          <w:rFonts w:ascii="Courier New" w:hAnsi="Courier New" w:cs="Courier New"/>
        </w:rPr>
        <w:t>[  ]</w:t>
      </w:r>
      <w:r w:rsidRPr="002F67C7">
        <w:rPr>
          <w:rFonts w:ascii="Courier New" w:hAnsi="Courier New" w:cs="Courier New"/>
        </w:rPr>
        <w:t xml:space="preserve"> Mail </w:t>
      </w:r>
    </w:p>
    <w:p w:rsidR="005B10E5" w:rsidRPr="002F67C7" w:rsidP="005B10E5" w14:paraId="5C7BD075" w14:textId="3BF97FDC">
      <w:pPr>
        <w:ind w:left="720"/>
        <w:rPr>
          <w:rFonts w:ascii="Courier New" w:hAnsi="Courier New" w:cs="Courier New"/>
        </w:rPr>
      </w:pPr>
      <w:r w:rsidRPr="002F67C7">
        <w:rPr>
          <w:rFonts w:ascii="Courier New" w:hAnsi="Courier New" w:cs="Courier New"/>
        </w:rPr>
        <w:t>[</w:t>
      </w:r>
      <w:r w:rsidRPr="002F67C7" w:rsidR="00CC6345">
        <w:rPr>
          <w:rFonts w:ascii="Courier New" w:hAnsi="Courier New" w:cs="Courier New"/>
        </w:rPr>
        <w:t>X</w:t>
      </w:r>
      <w:r w:rsidRPr="002F67C7">
        <w:rPr>
          <w:rFonts w:ascii="Courier New" w:hAnsi="Courier New" w:cs="Courier New"/>
        </w:rPr>
        <w:t xml:space="preserve"> ]</w:t>
      </w:r>
      <w:r w:rsidRPr="002F67C7">
        <w:rPr>
          <w:rFonts w:ascii="Courier New" w:hAnsi="Courier New" w:cs="Courier New"/>
        </w:rPr>
        <w:t xml:space="preserve"> Other</w:t>
      </w:r>
      <w:r w:rsidRPr="002F67C7" w:rsidR="006A2279">
        <w:rPr>
          <w:rFonts w:ascii="Courier New" w:hAnsi="Courier New" w:cs="Courier New"/>
        </w:rPr>
        <w:t>, Email Based survey</w:t>
      </w:r>
    </w:p>
    <w:p w:rsidR="005B10E5" w:rsidRPr="002F67C7" w:rsidP="00AF48ED" w14:paraId="14F8FC3D" w14:textId="77777777">
      <w:pPr>
        <w:rPr>
          <w:rFonts w:ascii="Courier New" w:hAnsi="Courier New" w:cs="Courier New"/>
        </w:rPr>
      </w:pPr>
    </w:p>
    <w:p w:rsidR="001D3627" w:rsidRPr="002F67C7" w:rsidP="001D3627" w14:paraId="2EF15A92" w14:textId="77777777">
      <w:pPr>
        <w:pStyle w:val="ListParagraph"/>
        <w:numPr>
          <w:ilvl w:val="0"/>
          <w:numId w:val="17"/>
        </w:numPr>
        <w:rPr>
          <w:rFonts w:ascii="Courier New" w:hAnsi="Courier New" w:cs="Courier New"/>
        </w:rPr>
      </w:pPr>
      <w:r w:rsidRPr="002F67C7">
        <w:rPr>
          <w:rFonts w:ascii="Courier New" w:hAnsi="Courier New" w:cs="Courier New"/>
        </w:rPr>
        <w:t>Who will you collect the information from?</w:t>
      </w:r>
    </w:p>
    <w:p w:rsidR="002A08AD" w:rsidRPr="002F67C7" w:rsidP="002A08AD" w14:paraId="232988EE" w14:textId="5A678F78">
      <w:pPr>
        <w:pStyle w:val="ListParagraph"/>
        <w:spacing w:after="240"/>
        <w:ind w:left="360"/>
        <w:rPr>
          <w:rFonts w:ascii="Courier New" w:hAnsi="Courier New" w:cs="Courier New"/>
        </w:rPr>
      </w:pPr>
      <w:r w:rsidRPr="002F67C7">
        <w:rPr>
          <w:rFonts w:ascii="Courier New" w:hAnsi="Courier New" w:cs="Courier New"/>
        </w:rPr>
        <w:t>The target population of the VBA</w:t>
      </w:r>
      <w:r w:rsidR="00236725">
        <w:rPr>
          <w:rFonts w:ascii="Courier New" w:hAnsi="Courier New" w:cs="Courier New"/>
        </w:rPr>
        <w:t xml:space="preserve">FC </w:t>
      </w:r>
      <w:r w:rsidR="000B28D7">
        <w:rPr>
          <w:rFonts w:ascii="Courier New" w:hAnsi="Courier New" w:cs="Courier New"/>
        </w:rPr>
        <w:t xml:space="preserve">survey </w:t>
      </w:r>
      <w:r w:rsidR="00212BA8">
        <w:rPr>
          <w:rFonts w:ascii="Courier New" w:hAnsi="Courier New" w:cs="Courier New"/>
        </w:rPr>
        <w:t xml:space="preserve">are customers that have filed a non-receipt of payment claim. </w:t>
      </w:r>
    </w:p>
    <w:p w:rsidR="00BD1BCF" w:rsidRPr="002F67C7" w:rsidP="00BD1BCF" w14:paraId="28218D6B" w14:textId="77777777">
      <w:pPr>
        <w:pStyle w:val="ListParagraph"/>
        <w:ind w:left="0"/>
        <w:rPr>
          <w:rFonts w:ascii="Courier New" w:hAnsi="Courier New" w:cs="Courier New"/>
          <w:i/>
        </w:rPr>
      </w:pPr>
    </w:p>
    <w:p w:rsidR="00BD1BCF" w:rsidRPr="002F67C7" w:rsidP="00BD1BCF" w14:paraId="47CD5649" w14:textId="77777777">
      <w:pPr>
        <w:pStyle w:val="ListParagraph"/>
        <w:ind w:left="0"/>
        <w:rPr>
          <w:rFonts w:ascii="Courier New" w:hAnsi="Courier New" w:cs="Courier New"/>
          <w:i/>
        </w:rPr>
      </w:pPr>
    </w:p>
    <w:p w:rsidR="001D3627" w:rsidRPr="002F67C7" w:rsidP="001D3627" w14:paraId="7B754739" w14:textId="77777777">
      <w:pPr>
        <w:pStyle w:val="ListParagraph"/>
        <w:numPr>
          <w:ilvl w:val="0"/>
          <w:numId w:val="17"/>
        </w:numPr>
        <w:rPr>
          <w:rFonts w:ascii="Courier New" w:hAnsi="Courier New" w:cs="Courier New"/>
        </w:rPr>
      </w:pPr>
      <w:r w:rsidRPr="002F67C7">
        <w:rPr>
          <w:rFonts w:ascii="Courier New" w:hAnsi="Courier New" w:cs="Courier New"/>
        </w:rPr>
        <w:t xml:space="preserve">How will you ask a respondent to provide this information? </w:t>
      </w:r>
    </w:p>
    <w:p w:rsidR="00AF48ED" w:rsidRPr="002F67C7" w:rsidP="00DF7A2B" w14:paraId="6AF7A228" w14:textId="0E89B5BA">
      <w:pPr>
        <w:pStyle w:val="ListParagraph"/>
        <w:ind w:left="0"/>
        <w:rPr>
          <w:rFonts w:ascii="Courier New" w:hAnsi="Courier New" w:cs="Courier New"/>
          <w:i/>
        </w:rPr>
      </w:pPr>
      <w:r>
        <w:rPr>
          <w:rFonts w:ascii="Courier New" w:hAnsi="Courier New" w:cs="Courier New"/>
        </w:rPr>
        <w:t xml:space="preserve">The survey will be delivered as a URL/QR code to customers that file a non-receipt of payment claim. </w:t>
      </w:r>
    </w:p>
    <w:p w:rsidR="00AF48ED" w:rsidRPr="002F67C7" w:rsidP="00AF48ED" w14:paraId="3914D7D6" w14:textId="77777777">
      <w:pPr>
        <w:pStyle w:val="ListParagraph"/>
        <w:ind w:left="0"/>
        <w:rPr>
          <w:rFonts w:ascii="Courier New" w:hAnsi="Courier New" w:cs="Courier New"/>
        </w:rPr>
      </w:pPr>
    </w:p>
    <w:p w:rsidR="001D3627" w:rsidRPr="000B53BB" w:rsidP="001D3627" w14:paraId="6FA8F798" w14:textId="77777777">
      <w:pPr>
        <w:numPr>
          <w:ilvl w:val="0"/>
          <w:numId w:val="17"/>
        </w:numPr>
        <w:rPr>
          <w:rFonts w:ascii="Courier New" w:hAnsi="Courier New" w:cs="Courier New"/>
          <w:i/>
        </w:rPr>
      </w:pPr>
      <w:r w:rsidRPr="000B53BB">
        <w:rPr>
          <w:rFonts w:ascii="Courier New" w:hAnsi="Courier New" w:cs="Courier New"/>
        </w:rPr>
        <w:t>What will the activity look like?</w:t>
      </w:r>
    </w:p>
    <w:p w:rsidR="00133D1D" w:rsidRPr="002F67C7" w:rsidP="00133D1D" w14:paraId="12488189" w14:textId="0030FED8">
      <w:pPr>
        <w:pStyle w:val="ListParagraph"/>
        <w:ind w:left="0"/>
        <w:rPr>
          <w:rFonts w:ascii="Courier New" w:hAnsi="Courier New" w:cs="Courier New"/>
          <w:i/>
        </w:rPr>
      </w:pPr>
      <w:r w:rsidRPr="000B53BB">
        <w:rPr>
          <w:rFonts w:ascii="Courier New" w:hAnsi="Courier New" w:cs="Courier New"/>
        </w:rPr>
        <w:t xml:space="preserve">The survey will </w:t>
      </w:r>
      <w:r w:rsidRPr="000B53BB" w:rsidR="00761BCD">
        <w:rPr>
          <w:rFonts w:ascii="Courier New" w:hAnsi="Courier New" w:cs="Courier New"/>
        </w:rPr>
        <w:t xml:space="preserve">be a maximum of </w:t>
      </w:r>
      <w:r w:rsidRPr="000B53BB" w:rsidR="005F78C0">
        <w:rPr>
          <w:rFonts w:ascii="Courier New" w:hAnsi="Courier New" w:cs="Courier New"/>
        </w:rPr>
        <w:t>8</w:t>
      </w:r>
      <w:r w:rsidRPr="000B53BB">
        <w:rPr>
          <w:rFonts w:ascii="Courier New" w:hAnsi="Courier New" w:cs="Courier New"/>
        </w:rPr>
        <w:t xml:space="preserve"> questions</w:t>
      </w:r>
      <w:r w:rsidRPr="000B53BB" w:rsidR="005F78C0">
        <w:rPr>
          <w:rFonts w:ascii="Courier New" w:hAnsi="Courier New" w:cs="Courier New"/>
        </w:rPr>
        <w:t>.</w:t>
      </w:r>
      <w:r w:rsidRPr="000B53BB" w:rsidR="000B53BB">
        <w:rPr>
          <w:rFonts w:ascii="Courier New" w:hAnsi="Courier New" w:cs="Courier New"/>
        </w:rPr>
        <w:t xml:space="preserve"> </w:t>
      </w:r>
      <w:r w:rsidRPr="000B53BB">
        <w:rPr>
          <w:rFonts w:ascii="Courier New" w:hAnsi="Courier New" w:cs="Courier New"/>
        </w:rPr>
        <w:t>A link</w:t>
      </w:r>
      <w:r w:rsidRPr="000B53BB" w:rsidR="005F78C0">
        <w:rPr>
          <w:rFonts w:ascii="Courier New" w:hAnsi="Courier New" w:cs="Courier New"/>
        </w:rPr>
        <w:t>/QR code will be shared with all non-receipt of payment claim customers. T</w:t>
      </w:r>
      <w:r w:rsidRPr="000B53BB">
        <w:rPr>
          <w:rFonts w:ascii="Courier New" w:hAnsi="Courier New" w:cs="Courier New"/>
        </w:rPr>
        <w:t xml:space="preserve">he </w:t>
      </w:r>
      <w:r w:rsidRPr="000B53BB" w:rsidR="005F78C0">
        <w:rPr>
          <w:rFonts w:ascii="Courier New" w:hAnsi="Courier New" w:cs="Courier New"/>
        </w:rPr>
        <w:t xml:space="preserve">questions revolve around </w:t>
      </w:r>
      <w:r w:rsidRPr="000B53BB">
        <w:rPr>
          <w:rFonts w:ascii="Courier New" w:hAnsi="Courier New" w:cs="Courier New"/>
        </w:rPr>
        <w:t>human-centered design, focusing on such elements as trust, emotion, effective, and</w:t>
      </w:r>
      <w:r w:rsidRPr="002F67C7">
        <w:rPr>
          <w:rFonts w:ascii="Courier New" w:hAnsi="Courier New" w:cs="Courier New"/>
        </w:rPr>
        <w:t xml:space="preserve"> ease of the interaction. </w:t>
      </w:r>
    </w:p>
    <w:p w:rsidR="006942A3" w:rsidRPr="002F67C7" w:rsidP="006942A3" w14:paraId="3FA29961" w14:textId="029E1746">
      <w:pPr>
        <w:pStyle w:val="ListParagraph"/>
        <w:ind w:left="360"/>
        <w:rPr>
          <w:rFonts w:ascii="Courier New" w:hAnsi="Courier New" w:cs="Courier New"/>
          <w:i/>
        </w:rPr>
      </w:pPr>
    </w:p>
    <w:p w:rsidR="00166F55" w:rsidRPr="002F67C7" w:rsidP="005B10E5" w14:paraId="0EFD337A" w14:textId="77777777">
      <w:pPr>
        <w:rPr>
          <w:rFonts w:ascii="Courier New" w:hAnsi="Courier New" w:cs="Courier New"/>
          <w:i/>
        </w:rPr>
      </w:pPr>
    </w:p>
    <w:p w:rsidR="00F87A4F" w:rsidRPr="002F67C7" w:rsidP="001D3627" w14:paraId="22AC93CF" w14:textId="77777777">
      <w:pPr>
        <w:numPr>
          <w:ilvl w:val="0"/>
          <w:numId w:val="17"/>
        </w:numPr>
        <w:rPr>
          <w:rFonts w:ascii="Courier New" w:hAnsi="Courier New" w:cs="Courier New"/>
          <w:i/>
        </w:rPr>
      </w:pPr>
      <w:r w:rsidRPr="002F67C7">
        <w:rPr>
          <w:rFonts w:ascii="Courier New" w:hAnsi="Courier New" w:cs="Courier New"/>
        </w:rPr>
        <w:t>Please provide your question list.</w:t>
      </w:r>
    </w:p>
    <w:p w:rsidR="005F78C0" w:rsidP="00F87A4F" w14:paraId="36E33E44" w14:textId="77777777">
      <w:pPr>
        <w:pStyle w:val="ListParagraph"/>
        <w:ind w:left="0"/>
        <w:rPr>
          <w:rFonts w:ascii="Courier New" w:hAnsi="Courier New" w:cs="Courier New"/>
          <w:i/>
        </w:rPr>
      </w:pPr>
    </w:p>
    <w:p w:rsidR="006D34CF" w:rsidRPr="006D34CF" w:rsidP="006D34CF" w14:paraId="4E16ACDD" w14:textId="77777777">
      <w:pPr>
        <w:rPr>
          <w:rFonts w:ascii="Courier New" w:hAnsi="Courier New" w:cs="Arial"/>
        </w:rPr>
      </w:pPr>
      <w:r w:rsidRPr="006D34CF">
        <w:rPr>
          <w:rFonts w:ascii="Courier New" w:eastAsia="Calibri" w:hAnsi="Courier New" w:cs="Arial"/>
          <w:color w:val="7030A0"/>
        </w:rPr>
        <w:t xml:space="preserve">[1] </w:t>
      </w:r>
      <w:r w:rsidRPr="006D34CF">
        <w:rPr>
          <w:rFonts w:ascii="Courier New" w:eastAsia="Calibri" w:hAnsi="Courier New" w:cs="Arial"/>
        </w:rPr>
        <w:t>How did you report your non-receipt of payment claim?</w:t>
      </w:r>
    </w:p>
    <w:p w:rsidR="006D34CF" w:rsidRPr="006D34CF" w:rsidP="006D34CF" w14:paraId="56F27386" w14:textId="77777777">
      <w:pPr>
        <w:pStyle w:val="ListParagraph"/>
        <w:numPr>
          <w:ilvl w:val="1"/>
          <w:numId w:val="28"/>
        </w:numPr>
        <w:spacing w:after="160" w:line="276" w:lineRule="auto"/>
        <w:rPr>
          <w:rFonts w:ascii="Courier New" w:eastAsia="Calibri" w:hAnsi="Courier New" w:cs="Arial"/>
        </w:rPr>
      </w:pPr>
      <w:r w:rsidRPr="006D34CF">
        <w:rPr>
          <w:rFonts w:ascii="Courier New" w:eastAsia="Calibri" w:hAnsi="Courier New" w:cs="Arial"/>
        </w:rPr>
        <w:t>In person (visited a local VA office)</w:t>
      </w:r>
    </w:p>
    <w:p w:rsidR="006D34CF" w:rsidRPr="006D34CF" w:rsidP="006D34CF" w14:paraId="2E46C255" w14:textId="77777777">
      <w:pPr>
        <w:pStyle w:val="ListParagraph"/>
        <w:numPr>
          <w:ilvl w:val="1"/>
          <w:numId w:val="28"/>
        </w:numPr>
        <w:spacing w:after="160" w:line="276" w:lineRule="auto"/>
        <w:rPr>
          <w:rFonts w:ascii="Courier New" w:hAnsi="Courier New" w:cs="Arial"/>
        </w:rPr>
      </w:pPr>
      <w:r w:rsidRPr="006D34CF">
        <w:rPr>
          <w:rFonts w:ascii="Courier New" w:eastAsia="Calibri" w:hAnsi="Courier New" w:cs="Arial"/>
        </w:rPr>
        <w:t>By phone (called the 800-827-1000)</w:t>
      </w:r>
    </w:p>
    <w:p w:rsidR="006D34CF" w:rsidRPr="006D34CF" w:rsidP="006D34CF" w14:paraId="6B9A0ADF" w14:textId="77777777">
      <w:pPr>
        <w:pStyle w:val="ListParagraph"/>
        <w:numPr>
          <w:ilvl w:val="1"/>
          <w:numId w:val="28"/>
        </w:numPr>
        <w:spacing w:after="160" w:line="276" w:lineRule="auto"/>
        <w:rPr>
          <w:rFonts w:ascii="Courier New" w:hAnsi="Courier New" w:cs="Arial"/>
        </w:rPr>
      </w:pPr>
      <w:r w:rsidRPr="006D34CF">
        <w:rPr>
          <w:rFonts w:ascii="Courier New" w:eastAsia="Calibri" w:hAnsi="Courier New" w:cs="Arial"/>
        </w:rPr>
        <w:t>By mail (sent a letter to the VA)</w:t>
      </w:r>
    </w:p>
    <w:p w:rsidR="006D34CF" w:rsidRPr="006D34CF" w:rsidP="006D34CF" w14:paraId="0F9FFE9B" w14:textId="77777777">
      <w:pPr>
        <w:pStyle w:val="NoSpacing"/>
        <w:rPr>
          <w:rFonts w:ascii="Courier New" w:eastAsia="Calibri" w:hAnsi="Courier New" w:cs="Arial"/>
          <w:color w:val="44546A" w:themeColor="text2"/>
          <w:sz w:val="20"/>
          <w:szCs w:val="20"/>
        </w:rPr>
      </w:pPr>
    </w:p>
    <w:p w:rsidR="006D34CF" w:rsidRPr="006D34CF" w:rsidP="006D34CF" w14:paraId="07F741E0" w14:textId="77777777">
      <w:pPr>
        <w:rPr>
          <w:rFonts w:ascii="Courier New" w:eastAsia="Calibri" w:hAnsi="Courier New" w:cs="Arial"/>
          <w:color w:val="7030A0"/>
        </w:rPr>
      </w:pPr>
      <w:r w:rsidRPr="006D34CF">
        <w:rPr>
          <w:rFonts w:ascii="Courier New" w:eastAsia="Calibri" w:hAnsi="Courier New" w:cs="Arial"/>
          <w:color w:val="7030A0"/>
        </w:rPr>
        <w:t xml:space="preserve">[2] </w:t>
      </w:r>
      <w:r w:rsidRPr="006D34CF">
        <w:rPr>
          <w:rFonts w:ascii="Courier New" w:hAnsi="Courier New" w:cs="Arial"/>
        </w:rPr>
        <w:t>I am satisfied with the service I received from the VBA Finance Center regarding my non-receipt claim.</w:t>
      </w:r>
    </w:p>
    <w:p w:rsidR="006D34CF" w:rsidRPr="006D34CF" w:rsidP="006D34CF" w14:paraId="33A6DF61" w14:textId="77777777">
      <w:pPr>
        <w:rPr>
          <w:rFonts w:ascii="Courier New" w:eastAsia="Calibri" w:hAnsi="Courier New" w:cs="Arial"/>
          <w:color w:val="44546A" w:themeColor="text2"/>
        </w:rPr>
      </w:pPr>
      <w:r w:rsidRPr="006D34CF">
        <w:rPr>
          <w:rFonts w:ascii="Courier New" w:hAnsi="Courier New"/>
          <w:noProof/>
        </w:rPr>
        <w:drawing>
          <wp:inline distT="0" distB="0" distL="0" distR="0">
            <wp:extent cx="4846320" cy="1083310"/>
            <wp:effectExtent l="0" t="0" r="0" b="2540"/>
            <wp:docPr id="70567629" name="Picture 7056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7629" name=""/>
                    <pic:cNvPicPr/>
                  </pic:nvPicPr>
                  <pic:blipFill>
                    <a:blip xmlns:r="http://schemas.openxmlformats.org/officeDocument/2006/relationships" r:embed="rId7"/>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D34CF" w:rsidRPr="006D34CF" w:rsidP="006D34CF" w14:paraId="23D45E23" w14:textId="77777777">
      <w:pPr>
        <w:rPr>
          <w:rFonts w:ascii="Courier New" w:eastAsia="Calibri" w:hAnsi="Courier New" w:cs="Arial"/>
          <w:color w:val="44546A" w:themeColor="text2"/>
        </w:rPr>
      </w:pPr>
      <w:r w:rsidRPr="006D34CF">
        <w:rPr>
          <w:rFonts w:ascii="Courier New" w:eastAsia="Calibri" w:hAnsi="Courier New" w:cs="Arial"/>
          <w:color w:val="7030A0"/>
        </w:rPr>
        <w:t xml:space="preserve">[3] </w:t>
      </w:r>
      <w:r w:rsidRPr="006D34CF">
        <w:rPr>
          <w:rFonts w:ascii="Courier New" w:hAnsi="Courier New" w:cs="Arial"/>
        </w:rPr>
        <w:t>The VBA Finance Center resolved my non-receipt claim in a reasonable amount of time.</w:t>
      </w:r>
      <w:r w:rsidRPr="006D34CF">
        <w:rPr>
          <w:rFonts w:ascii="Courier New" w:hAnsi="Courier New"/>
          <w:noProof/>
        </w:rPr>
        <w:drawing>
          <wp:inline distT="0" distB="0" distL="0" distR="0">
            <wp:extent cx="4846320" cy="1083310"/>
            <wp:effectExtent l="0" t="0" r="0" b="2540"/>
            <wp:docPr id="1215359129" name="Picture 1215359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359129" name=""/>
                    <pic:cNvPicPr/>
                  </pic:nvPicPr>
                  <pic:blipFill>
                    <a:blip xmlns:r="http://schemas.openxmlformats.org/officeDocument/2006/relationships" r:embed="rId7"/>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D34CF" w:rsidRPr="006D34CF" w:rsidP="006D34CF" w14:paraId="252C2CA6" w14:textId="77777777">
      <w:pPr>
        <w:rPr>
          <w:rFonts w:ascii="Courier New" w:hAnsi="Courier New"/>
        </w:rPr>
      </w:pPr>
      <w:r w:rsidRPr="006D34CF">
        <w:rPr>
          <w:rFonts w:ascii="Courier New" w:eastAsia="Calibri" w:hAnsi="Courier New" w:cs="Arial"/>
          <w:color w:val="7030A0"/>
        </w:rPr>
        <w:t xml:space="preserve">[4] </w:t>
      </w:r>
      <w:r w:rsidRPr="006D34CF">
        <w:rPr>
          <w:rFonts w:ascii="Courier New" w:hAnsi="Courier New" w:cs="Arial"/>
        </w:rPr>
        <w:t>My non-receipt claim was resolved to my satisfaction.</w:t>
      </w:r>
    </w:p>
    <w:p w:rsidR="006D34CF" w:rsidRPr="006D34CF" w:rsidP="006D34CF" w14:paraId="2AB99E2B" w14:textId="77777777">
      <w:pPr>
        <w:rPr>
          <w:rFonts w:ascii="Courier New" w:eastAsia="Calibri" w:hAnsi="Courier New" w:cs="Arial"/>
          <w:color w:val="44546A" w:themeColor="text2"/>
        </w:rPr>
      </w:pPr>
      <w:r w:rsidRPr="006D34CF">
        <w:rPr>
          <w:rFonts w:ascii="Courier New" w:hAnsi="Courier New"/>
          <w:noProof/>
        </w:rPr>
        <w:drawing>
          <wp:inline distT="0" distB="0" distL="0" distR="0">
            <wp:extent cx="4846320" cy="1083310"/>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xmlns:r="http://schemas.openxmlformats.org/officeDocument/2006/relationships" r:embed="rId7"/>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D34CF" w:rsidRPr="006D34CF" w:rsidP="006D34CF" w14:paraId="2DF5A480" w14:textId="77777777">
      <w:pPr>
        <w:rPr>
          <w:rFonts w:ascii="Courier New" w:hAnsi="Courier New" w:cs="Arial"/>
        </w:rPr>
      </w:pPr>
      <w:r w:rsidRPr="006D34CF">
        <w:rPr>
          <w:rFonts w:ascii="Courier New" w:eastAsia="Calibri" w:hAnsi="Courier New" w:cs="Arial"/>
          <w:color w:val="00B0F0"/>
        </w:rPr>
        <w:t xml:space="preserve"> </w:t>
      </w:r>
      <w:bookmarkStart w:id="1" w:name="_Hlk190369532"/>
      <w:r w:rsidRPr="006D34CF">
        <w:rPr>
          <w:rFonts w:ascii="Courier New" w:eastAsia="Calibri" w:hAnsi="Courier New" w:cs="Arial"/>
          <w:color w:val="7030A0"/>
        </w:rPr>
        <w:t xml:space="preserve">[5] </w:t>
      </w:r>
      <w:r w:rsidRPr="006D34CF">
        <w:rPr>
          <w:rFonts w:ascii="Courier New" w:hAnsi="Courier New" w:cs="Arial"/>
        </w:rPr>
        <w:t>My non-receipt claim resulted in a reissuance of funds.</w:t>
      </w:r>
    </w:p>
    <w:p w:rsidR="006D34CF" w:rsidRPr="006D34CF" w:rsidP="006D34CF" w14:paraId="43B483EA" w14:textId="77777777">
      <w:pPr>
        <w:pStyle w:val="ListParagraph"/>
        <w:numPr>
          <w:ilvl w:val="1"/>
          <w:numId w:val="28"/>
        </w:numPr>
        <w:spacing w:after="160" w:line="276" w:lineRule="auto"/>
        <w:rPr>
          <w:rFonts w:ascii="Courier New" w:eastAsia="Calibri" w:hAnsi="Courier New" w:cs="Arial"/>
        </w:rPr>
      </w:pPr>
      <w:r w:rsidRPr="006D34CF">
        <w:rPr>
          <w:rFonts w:ascii="Courier New" w:eastAsia="Calibri" w:hAnsi="Courier New" w:cs="Arial"/>
        </w:rPr>
        <w:t>Yes</w:t>
      </w:r>
    </w:p>
    <w:p w:rsidR="006D34CF" w:rsidRPr="006D34CF" w:rsidP="006D34CF" w14:paraId="7F35716F" w14:textId="77777777">
      <w:pPr>
        <w:pStyle w:val="ListParagraph"/>
        <w:numPr>
          <w:ilvl w:val="1"/>
          <w:numId w:val="28"/>
        </w:numPr>
        <w:spacing w:after="160" w:line="276" w:lineRule="auto"/>
        <w:rPr>
          <w:rFonts w:ascii="Courier New" w:hAnsi="Courier New" w:cs="Arial"/>
        </w:rPr>
      </w:pPr>
      <w:r w:rsidRPr="006D34CF">
        <w:rPr>
          <w:rFonts w:ascii="Courier New" w:eastAsia="Calibri" w:hAnsi="Courier New" w:cs="Arial"/>
        </w:rPr>
        <w:t>No</w:t>
      </w:r>
    </w:p>
    <w:bookmarkEnd w:id="1"/>
    <w:p w:rsidR="006D34CF" w:rsidRPr="006D34CF" w:rsidP="006D34CF" w14:paraId="404DAFD4" w14:textId="77777777">
      <w:pPr>
        <w:pStyle w:val="ListParagraph"/>
        <w:spacing w:line="276" w:lineRule="auto"/>
        <w:rPr>
          <w:rFonts w:ascii="Courier New" w:eastAsia="Calibri" w:hAnsi="Courier New" w:cs="Arial"/>
        </w:rPr>
      </w:pPr>
    </w:p>
    <w:p w:rsidR="006D34CF" w:rsidRPr="006D34CF" w:rsidP="006D34CF" w14:paraId="7F5F1F45" w14:textId="77777777">
      <w:pPr>
        <w:rPr>
          <w:rFonts w:ascii="Courier New" w:hAnsi="Courier New" w:cs="Arial"/>
        </w:rPr>
      </w:pPr>
      <w:r w:rsidRPr="006D34CF">
        <w:rPr>
          <w:rFonts w:ascii="Courier New" w:eastAsia="Calibri" w:hAnsi="Courier New" w:cs="Arial"/>
          <w:color w:val="7030A0"/>
        </w:rPr>
        <w:t xml:space="preserve">[5a] </w:t>
      </w:r>
      <w:r w:rsidRPr="006D34CF">
        <w:rPr>
          <w:rFonts w:ascii="Courier New" w:hAnsi="Courier New" w:cs="Arial"/>
        </w:rPr>
        <w:t>The</w:t>
      </w:r>
      <w:r w:rsidRPr="006D34CF">
        <w:rPr>
          <w:rFonts w:ascii="Courier New" w:hAnsi="Courier New" w:cs="Arial"/>
        </w:rPr>
        <w:t xml:space="preserve"> amount received is what I expected. </w:t>
      </w:r>
      <w:r w:rsidRPr="006D34CF">
        <w:rPr>
          <w:rFonts w:ascii="Courier New" w:hAnsi="Courier New" w:cs="Arial"/>
          <w:color w:val="FF0000"/>
        </w:rPr>
        <w:t>[If “yes” to Q5]</w:t>
      </w:r>
    </w:p>
    <w:p w:rsidR="006D34CF" w:rsidRPr="006D34CF" w:rsidP="006D34CF" w14:paraId="7F3F904D" w14:textId="77777777">
      <w:pPr>
        <w:pStyle w:val="ListParagraph"/>
        <w:spacing w:line="276" w:lineRule="auto"/>
        <w:ind w:left="270"/>
        <w:rPr>
          <w:rFonts w:ascii="Courier New" w:hAnsi="Courier New" w:cs="Arial"/>
        </w:rPr>
      </w:pPr>
      <w:r w:rsidRPr="006D34CF">
        <w:rPr>
          <w:rFonts w:ascii="Courier New" w:hAnsi="Courier New"/>
          <w:noProof/>
        </w:rPr>
        <w:drawing>
          <wp:inline distT="0" distB="0" distL="0" distR="0">
            <wp:extent cx="4846320" cy="1083310"/>
            <wp:effectExtent l="0" t="0" r="0" b="2540"/>
            <wp:docPr id="2044668567" name="Picture 2044668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668567" name=""/>
                    <pic:cNvPicPr/>
                  </pic:nvPicPr>
                  <pic:blipFill>
                    <a:blip xmlns:r="http://schemas.openxmlformats.org/officeDocument/2006/relationships" r:embed="rId7"/>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D34CF" w:rsidRPr="006D34CF" w:rsidP="006D34CF" w14:paraId="448FCC17" w14:textId="77777777">
      <w:pPr>
        <w:rPr>
          <w:rFonts w:ascii="Courier New" w:hAnsi="Courier New" w:cs="Arial"/>
        </w:rPr>
      </w:pPr>
      <w:r w:rsidRPr="006D34CF">
        <w:rPr>
          <w:rFonts w:ascii="Courier New" w:eastAsia="Calibri" w:hAnsi="Courier New" w:cs="Arial"/>
          <w:color w:val="7030A0"/>
        </w:rPr>
        <w:t xml:space="preserve">[5b] </w:t>
      </w:r>
      <w:r w:rsidRPr="006D34CF">
        <w:rPr>
          <w:rFonts w:ascii="Courier New" w:hAnsi="Courier New" w:cs="Arial"/>
        </w:rPr>
        <w:t xml:space="preserve">I received a letter explaining why my non-receipt claim did not result in reissuance of funds. </w:t>
      </w:r>
      <w:r w:rsidRPr="006D34CF">
        <w:rPr>
          <w:rFonts w:ascii="Courier New" w:hAnsi="Courier New" w:cs="Arial"/>
          <w:color w:val="FF0000"/>
        </w:rPr>
        <w:t>[If “no” to Q5]</w:t>
      </w:r>
    </w:p>
    <w:p w:rsidR="006D34CF" w:rsidRPr="006D34CF" w:rsidP="006D34CF" w14:paraId="5B955A68" w14:textId="77777777">
      <w:pPr>
        <w:pStyle w:val="ListParagraph"/>
        <w:numPr>
          <w:ilvl w:val="1"/>
          <w:numId w:val="28"/>
        </w:numPr>
        <w:spacing w:after="160" w:line="276" w:lineRule="auto"/>
        <w:rPr>
          <w:rFonts w:ascii="Courier New" w:eastAsia="Calibri" w:hAnsi="Courier New" w:cs="Arial"/>
        </w:rPr>
      </w:pPr>
      <w:r w:rsidRPr="006D34CF">
        <w:rPr>
          <w:rFonts w:ascii="Courier New" w:eastAsia="Calibri" w:hAnsi="Courier New" w:cs="Arial"/>
        </w:rPr>
        <w:t>Yes</w:t>
      </w:r>
    </w:p>
    <w:p w:rsidR="006D34CF" w:rsidRPr="006D34CF" w:rsidP="006D34CF" w14:paraId="0BBA2FA3" w14:textId="77777777">
      <w:pPr>
        <w:pStyle w:val="ListParagraph"/>
        <w:numPr>
          <w:ilvl w:val="1"/>
          <w:numId w:val="28"/>
        </w:numPr>
        <w:spacing w:after="160" w:line="276" w:lineRule="auto"/>
        <w:rPr>
          <w:rFonts w:ascii="Courier New" w:hAnsi="Courier New" w:cs="Arial"/>
        </w:rPr>
      </w:pPr>
      <w:r w:rsidRPr="006D34CF">
        <w:rPr>
          <w:rFonts w:ascii="Courier New" w:eastAsia="Calibri" w:hAnsi="Courier New" w:cs="Arial"/>
        </w:rPr>
        <w:t>No</w:t>
      </w:r>
    </w:p>
    <w:p w:rsidR="006D34CF" w:rsidRPr="006D34CF" w:rsidP="006D34CF" w14:paraId="00C22A41" w14:textId="77777777">
      <w:pPr>
        <w:pStyle w:val="ListParagraph"/>
        <w:numPr>
          <w:ilvl w:val="1"/>
          <w:numId w:val="28"/>
        </w:numPr>
        <w:spacing w:after="160" w:line="276" w:lineRule="auto"/>
        <w:rPr>
          <w:rFonts w:ascii="Courier New" w:hAnsi="Courier New" w:cs="Arial"/>
        </w:rPr>
      </w:pPr>
      <w:r w:rsidRPr="006D34CF">
        <w:rPr>
          <w:rFonts w:ascii="Courier New" w:eastAsia="Calibri" w:hAnsi="Courier New" w:cs="Arial"/>
        </w:rPr>
        <w:t xml:space="preserve">Not Applicable </w:t>
      </w:r>
    </w:p>
    <w:p w:rsidR="006D34CF" w:rsidRPr="006D34CF" w:rsidP="006D34CF" w14:paraId="33DBAF45" w14:textId="77777777">
      <w:pPr>
        <w:rPr>
          <w:rFonts w:ascii="Courier New" w:eastAsia="Calibri" w:hAnsi="Courier New" w:cs="Arial"/>
          <w:color w:val="7030A0"/>
        </w:rPr>
      </w:pPr>
    </w:p>
    <w:p w:rsidR="006D34CF" w:rsidRPr="006D34CF" w:rsidP="006D34CF" w14:paraId="0DDFB1A1" w14:textId="77777777">
      <w:pPr>
        <w:rPr>
          <w:rFonts w:ascii="Courier New" w:hAnsi="Courier New" w:cs="Arial"/>
        </w:rPr>
      </w:pPr>
      <w:r w:rsidRPr="006D34CF">
        <w:rPr>
          <w:rFonts w:ascii="Courier New" w:eastAsia="Calibri" w:hAnsi="Courier New" w:cs="Arial"/>
          <w:color w:val="7030A0"/>
        </w:rPr>
        <w:t xml:space="preserve">[5c] </w:t>
      </w:r>
      <w:r w:rsidRPr="006D34CF">
        <w:rPr>
          <w:rFonts w:ascii="Courier New" w:hAnsi="Courier New" w:cs="Arial"/>
        </w:rPr>
        <w:t>The</w:t>
      </w:r>
      <w:r w:rsidRPr="006D34CF">
        <w:rPr>
          <w:rFonts w:ascii="Courier New" w:hAnsi="Courier New" w:cs="Arial"/>
        </w:rPr>
        <w:t xml:space="preserve"> letter was professional and accurate. </w:t>
      </w:r>
      <w:r w:rsidRPr="006D34CF">
        <w:rPr>
          <w:rFonts w:ascii="Courier New" w:hAnsi="Courier New" w:cs="Arial"/>
          <w:color w:val="FF0000"/>
        </w:rPr>
        <w:t>[If “yes” to Q5b]</w:t>
      </w:r>
    </w:p>
    <w:p w:rsidR="006D34CF" w:rsidRPr="006D34CF" w:rsidP="006D34CF" w14:paraId="59AE1802" w14:textId="77777777">
      <w:pPr>
        <w:rPr>
          <w:rFonts w:ascii="Courier New" w:hAnsi="Courier New" w:cs="Arial"/>
        </w:rPr>
      </w:pPr>
      <w:r w:rsidRPr="006D34CF">
        <w:rPr>
          <w:rFonts w:ascii="Courier New" w:hAnsi="Courier New" w:cs="Arial"/>
          <w:noProof/>
        </w:rPr>
        <w:drawing>
          <wp:inline distT="0" distB="0" distL="0" distR="0">
            <wp:extent cx="4846955" cy="1085215"/>
            <wp:effectExtent l="0" t="0" r="0" b="635"/>
            <wp:docPr id="606014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14819"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846955" cy="1085215"/>
                    </a:xfrm>
                    <a:prstGeom prst="rect">
                      <a:avLst/>
                    </a:prstGeom>
                    <a:noFill/>
                  </pic:spPr>
                </pic:pic>
              </a:graphicData>
            </a:graphic>
          </wp:inline>
        </w:drawing>
      </w:r>
    </w:p>
    <w:p w:rsidR="006D34CF" w:rsidRPr="006D34CF" w:rsidP="006D34CF" w14:paraId="06DBF4DC" w14:textId="77777777">
      <w:pPr>
        <w:rPr>
          <w:rFonts w:ascii="Courier New" w:hAnsi="Courier New" w:cs="Arial"/>
        </w:rPr>
      </w:pPr>
    </w:p>
    <w:p w:rsidR="006D34CF" w:rsidRPr="006D34CF" w:rsidP="006D34CF" w14:paraId="3F4D5BE9" w14:textId="77777777">
      <w:pPr>
        <w:rPr>
          <w:rFonts w:ascii="Courier New" w:hAnsi="Courier New" w:cs="Arial"/>
        </w:rPr>
      </w:pPr>
      <w:r w:rsidRPr="006D34CF">
        <w:rPr>
          <w:rFonts w:ascii="Courier New" w:eastAsia="Calibri" w:hAnsi="Courier New" w:cs="Arial"/>
          <w:color w:val="7030A0"/>
        </w:rPr>
        <w:t xml:space="preserve">[6] </w:t>
      </w:r>
      <w:r w:rsidRPr="006D34CF">
        <w:rPr>
          <w:rFonts w:ascii="Courier New" w:eastAsia="Calibri" w:hAnsi="Courier New" w:cs="Arial"/>
        </w:rPr>
        <w:t>I trust the VBA Finance Center to make a fair and accurate decision on my non-receipt of payment claim.</w:t>
      </w:r>
    </w:p>
    <w:p w:rsidR="006D34CF" w:rsidRPr="006D34CF" w:rsidP="006D34CF" w14:paraId="15CBD822" w14:textId="77777777">
      <w:pPr>
        <w:rPr>
          <w:rFonts w:ascii="Courier New" w:eastAsia="Calibri" w:hAnsi="Courier New" w:cs="Arial"/>
          <w:color w:val="44546A" w:themeColor="text2"/>
        </w:rPr>
      </w:pPr>
      <w:r w:rsidRPr="006D34CF">
        <w:rPr>
          <w:rFonts w:ascii="Courier New" w:hAnsi="Courier New"/>
          <w:noProof/>
        </w:rPr>
        <w:drawing>
          <wp:inline distT="0" distB="0" distL="0" distR="0">
            <wp:extent cx="4846320" cy="1083310"/>
            <wp:effectExtent l="0" t="0" r="0" b="2540"/>
            <wp:docPr id="716443877" name="Picture 716443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43877" name=""/>
                    <pic:cNvPicPr/>
                  </pic:nvPicPr>
                  <pic:blipFill>
                    <a:blip xmlns:r="http://schemas.openxmlformats.org/officeDocument/2006/relationships" r:embed="rId7"/>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F78C0" w:rsidRPr="006D34CF" w:rsidP="00F87A4F" w14:paraId="799BDF4A" w14:textId="77777777">
      <w:pPr>
        <w:pStyle w:val="ListParagraph"/>
        <w:ind w:left="0"/>
        <w:rPr>
          <w:rFonts w:ascii="Courier New" w:hAnsi="Courier New" w:cs="Courier New"/>
          <w:i/>
        </w:rPr>
      </w:pPr>
    </w:p>
    <w:p w:rsidR="00F87A4F" w:rsidRPr="002F67C7" w:rsidP="005B10E5" w14:paraId="467BC03A" w14:textId="77777777">
      <w:pPr>
        <w:rPr>
          <w:rFonts w:ascii="Courier New" w:hAnsi="Courier New" w:cs="Courier New"/>
          <w:b/>
        </w:rPr>
      </w:pPr>
    </w:p>
    <w:p w:rsidR="00F633EA" w:rsidRPr="002F67C7" w:rsidP="005B10E5" w14:paraId="0C742FA1" w14:textId="77777777">
      <w:pPr>
        <w:pStyle w:val="ListParagraph"/>
        <w:ind w:left="0"/>
        <w:rPr>
          <w:rFonts w:ascii="Courier New" w:hAnsi="Courier New" w:cs="Courier New"/>
          <w:b/>
        </w:rPr>
      </w:pPr>
    </w:p>
    <w:p w:rsidR="00F633EA" w:rsidRPr="002F67C7" w:rsidP="00F633EA" w14:paraId="6053F13A" w14:textId="77777777">
      <w:pPr>
        <w:numPr>
          <w:ilvl w:val="0"/>
          <w:numId w:val="17"/>
        </w:numPr>
        <w:rPr>
          <w:rFonts w:ascii="Courier New" w:hAnsi="Courier New" w:cs="Courier New"/>
        </w:rPr>
      </w:pPr>
      <w:r w:rsidRPr="002F67C7">
        <w:rPr>
          <w:rFonts w:ascii="Courier New" w:hAnsi="Courier New" w:cs="Courier New"/>
        </w:rPr>
        <w:t>When will the activity happen?</w:t>
      </w:r>
    </w:p>
    <w:p w:rsidR="00F633EA" w:rsidRPr="002F67C7" w:rsidP="003D13A8" w14:paraId="79ADA233" w14:textId="6E50FA9D">
      <w:pPr>
        <w:pStyle w:val="ListParagraph"/>
        <w:ind w:left="360"/>
        <w:rPr>
          <w:rFonts w:ascii="Courier New" w:hAnsi="Courier New" w:cs="Courier New"/>
          <w:i/>
        </w:rPr>
      </w:pPr>
      <w:r w:rsidRPr="002F67C7">
        <w:rPr>
          <w:rFonts w:ascii="Courier New" w:hAnsi="Courier New" w:cs="Courier New"/>
          <w:i/>
        </w:rPr>
        <w:t>The</w:t>
      </w:r>
      <w:r w:rsidR="006D34CF">
        <w:rPr>
          <w:rFonts w:ascii="Courier New" w:hAnsi="Courier New" w:cs="Courier New"/>
          <w:i/>
        </w:rPr>
        <w:t xml:space="preserve"> </w:t>
      </w:r>
      <w:r w:rsidR="00F4753F">
        <w:rPr>
          <w:rFonts w:ascii="Courier New" w:hAnsi="Courier New" w:cs="Courier New"/>
          <w:i/>
        </w:rPr>
        <w:t>activity will take place when the non-receipt of payment claim is completed.</w:t>
      </w:r>
    </w:p>
    <w:p w:rsidR="00F633EA" w:rsidRPr="002F67C7" w:rsidP="00F633EA" w14:paraId="153480E8" w14:textId="77777777">
      <w:pPr>
        <w:rPr>
          <w:rFonts w:ascii="Courier New" w:hAnsi="Courier New" w:cs="Courier New"/>
        </w:rPr>
      </w:pPr>
    </w:p>
    <w:p w:rsidR="00F633EA" w:rsidRPr="002F67C7" w:rsidP="00F633EA" w14:paraId="1A41F9DC" w14:textId="77777777">
      <w:pPr>
        <w:rPr>
          <w:rFonts w:ascii="Courier New" w:hAnsi="Courier New" w:cs="Courier New"/>
        </w:rPr>
      </w:pPr>
    </w:p>
    <w:p w:rsidR="00F633EA" w:rsidRPr="002F67C7" w:rsidP="00F633EA" w14:paraId="701B1B86" w14:textId="77777777">
      <w:pPr>
        <w:numPr>
          <w:ilvl w:val="0"/>
          <w:numId w:val="17"/>
        </w:numPr>
        <w:rPr>
          <w:rFonts w:ascii="Courier New" w:hAnsi="Courier New" w:cs="Courier New"/>
        </w:rPr>
      </w:pPr>
      <w:r w:rsidRPr="002F67C7">
        <w:rPr>
          <w:rFonts w:ascii="Courier New" w:hAnsi="Courier New" w:cs="Courier New"/>
        </w:rPr>
        <w:t xml:space="preserve">Is an incentive (e.g., money or reimbursement of expenses, token of appreciation) provided to participants?  </w:t>
      </w:r>
    </w:p>
    <w:p w:rsidR="005B10E5" w:rsidRPr="002F67C7" w:rsidP="00F633EA" w14:paraId="5AFBE322" w14:textId="5A6D7B45">
      <w:pPr>
        <w:ind w:left="360"/>
        <w:rPr>
          <w:rFonts w:ascii="Courier New" w:hAnsi="Courier New" w:cs="Courier New"/>
        </w:rPr>
      </w:pPr>
      <w:r w:rsidRPr="002F67C7">
        <w:rPr>
          <w:rFonts w:ascii="Courier New" w:hAnsi="Courier New" w:cs="Courier New"/>
        </w:rPr>
        <w:t>[  ]</w:t>
      </w:r>
      <w:r w:rsidRPr="002F67C7">
        <w:rPr>
          <w:rFonts w:ascii="Courier New" w:hAnsi="Courier New" w:cs="Courier New"/>
        </w:rPr>
        <w:t xml:space="preserve"> Yes [ </w:t>
      </w:r>
      <w:r w:rsidRPr="002F67C7" w:rsidR="00943817">
        <w:rPr>
          <w:rFonts w:ascii="Courier New" w:hAnsi="Courier New" w:cs="Courier New"/>
        </w:rPr>
        <w:t>X</w:t>
      </w:r>
      <w:r w:rsidRPr="002F67C7">
        <w:rPr>
          <w:rFonts w:ascii="Courier New" w:hAnsi="Courier New" w:cs="Courier New"/>
        </w:rPr>
        <w:t xml:space="preserve"> ] No  </w:t>
      </w:r>
    </w:p>
    <w:p w:rsidR="00F633EA" w:rsidRPr="002F67C7" w:rsidP="00F633EA" w14:paraId="0C456825" w14:textId="750D8BD7">
      <w:pPr>
        <w:ind w:left="360"/>
        <w:rPr>
          <w:rFonts w:ascii="Courier New" w:hAnsi="Courier New" w:cs="Courier New"/>
        </w:rPr>
      </w:pPr>
      <w:r w:rsidRPr="002F67C7">
        <w:rPr>
          <w:rFonts w:ascii="Courier New" w:hAnsi="Courier New" w:cs="Courier New"/>
        </w:rPr>
        <w:t xml:space="preserve">If </w:t>
      </w:r>
      <w:r w:rsidRPr="002F67C7">
        <w:rPr>
          <w:rFonts w:ascii="Courier New" w:hAnsi="Courier New" w:cs="Courier New"/>
        </w:rPr>
        <w:t>Yes</w:t>
      </w:r>
      <w:r w:rsidRPr="002F67C7">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337FADD4">
      <w:pPr>
        <w:pStyle w:val="Header"/>
        <w:tabs>
          <w:tab w:val="clear" w:pos="4320"/>
          <w:tab w:val="clear" w:pos="8640"/>
        </w:tabs>
        <w:rPr>
          <w:rFonts w:ascii="Courier New" w:hAnsi="Courier New" w:cs="Courier New"/>
        </w:rPr>
      </w:pPr>
      <w:r>
        <w:rPr>
          <w:rFonts w:ascii="Courier New" w:hAnsi="Courier New" w:cs="Courier New"/>
        </w:rPr>
        <w:t>N/A</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24080E54">
            <w:pPr>
              <w:rPr>
                <w:rFonts w:ascii="Courier New" w:hAnsi="Courier New" w:cs="Courier New"/>
                <w:sz w:val="20"/>
                <w:szCs w:val="20"/>
              </w:rPr>
            </w:pPr>
            <w:r>
              <w:rPr>
                <w:rFonts w:ascii="Courier New" w:hAnsi="Courier New" w:cs="Courier New"/>
                <w:sz w:val="20"/>
                <w:szCs w:val="20"/>
              </w:rPr>
              <w:t xml:space="preserve">VBA Finance Center </w:t>
            </w:r>
            <w:r w:rsidR="00A52D60">
              <w:rPr>
                <w:rFonts w:ascii="Courier New" w:hAnsi="Courier New" w:cs="Courier New"/>
                <w:sz w:val="20"/>
                <w:szCs w:val="20"/>
              </w:rPr>
              <w:t>Survey</w:t>
            </w:r>
          </w:p>
        </w:tc>
        <w:tc>
          <w:tcPr>
            <w:tcW w:w="1620" w:type="dxa"/>
          </w:tcPr>
          <w:p w:rsidR="006832D9" w:rsidRPr="00C514B9" w:rsidP="00843796" w14:paraId="4DAF075B" w14:textId="71B60F96">
            <w:pPr>
              <w:rPr>
                <w:rFonts w:ascii="Courier New" w:hAnsi="Courier New" w:cs="Courier New"/>
                <w:sz w:val="20"/>
                <w:szCs w:val="20"/>
              </w:rPr>
            </w:pPr>
            <w:r>
              <w:rPr>
                <w:rFonts w:ascii="Courier New" w:hAnsi="Courier New" w:cs="Courier New"/>
                <w:sz w:val="20"/>
                <w:szCs w:val="20"/>
              </w:rPr>
              <w:t>1000</w:t>
            </w:r>
          </w:p>
        </w:tc>
        <w:tc>
          <w:tcPr>
            <w:tcW w:w="1980" w:type="dxa"/>
          </w:tcPr>
          <w:p w:rsidR="006832D9" w:rsidRPr="00C514B9" w:rsidP="00843796" w14:paraId="4EBA0C51" w14:textId="717346A0">
            <w:pPr>
              <w:rPr>
                <w:rFonts w:ascii="Courier New" w:hAnsi="Courier New" w:cs="Courier New"/>
                <w:sz w:val="20"/>
                <w:szCs w:val="20"/>
              </w:rPr>
            </w:pPr>
            <w:r>
              <w:rPr>
                <w:rFonts w:ascii="Courier New" w:hAnsi="Courier New" w:cs="Courier New"/>
                <w:sz w:val="20"/>
                <w:szCs w:val="20"/>
              </w:rPr>
              <w:t>5 m</w:t>
            </w:r>
            <w:r w:rsidR="0002153A">
              <w:rPr>
                <w:rFonts w:ascii="Courier New" w:hAnsi="Courier New" w:cs="Courier New"/>
                <w:sz w:val="20"/>
                <w:szCs w:val="20"/>
              </w:rPr>
              <w:t>inutes</w:t>
            </w:r>
          </w:p>
        </w:tc>
        <w:tc>
          <w:tcPr>
            <w:tcW w:w="1003" w:type="dxa"/>
          </w:tcPr>
          <w:p w:rsidR="006832D9" w:rsidRPr="00C514B9" w:rsidP="00843796" w14:paraId="52776C98" w14:textId="5D6B0EFF">
            <w:pPr>
              <w:rPr>
                <w:rFonts w:ascii="Courier New" w:hAnsi="Courier New" w:cs="Courier New"/>
                <w:sz w:val="20"/>
                <w:szCs w:val="20"/>
              </w:rPr>
            </w:pPr>
            <w:r>
              <w:rPr>
                <w:rFonts w:ascii="Courier New" w:hAnsi="Courier New" w:cs="Courier New"/>
                <w:sz w:val="20"/>
                <w:szCs w:val="20"/>
              </w:rPr>
              <w:t>83</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0F92D4D5">
            <w:pPr>
              <w:rPr>
                <w:rFonts w:ascii="Courier New" w:hAnsi="Courier New" w:cs="Courier New"/>
                <w:b/>
                <w:sz w:val="20"/>
                <w:szCs w:val="20"/>
              </w:rPr>
            </w:pPr>
            <w:r>
              <w:rPr>
                <w:rFonts w:ascii="Courier New" w:hAnsi="Courier New" w:cs="Courier New"/>
                <w:b/>
                <w:sz w:val="20"/>
                <w:szCs w:val="20"/>
              </w:rPr>
              <w:t>1000</w:t>
            </w:r>
          </w:p>
        </w:tc>
        <w:tc>
          <w:tcPr>
            <w:tcW w:w="1980" w:type="dxa"/>
          </w:tcPr>
          <w:p w:rsidR="006832D9" w:rsidRPr="00C514B9" w:rsidP="00843796" w14:paraId="5FD55D89" w14:textId="03F4EE43">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17722751" w14:textId="318371C4">
            <w:pPr>
              <w:rPr>
                <w:rFonts w:ascii="Courier New" w:hAnsi="Courier New" w:cs="Courier New"/>
                <w:b/>
                <w:sz w:val="20"/>
                <w:szCs w:val="20"/>
              </w:rPr>
            </w:pPr>
            <w:r>
              <w:rPr>
                <w:rFonts w:ascii="Courier New" w:hAnsi="Courier New" w:cs="Courier New"/>
                <w:b/>
                <w:sz w:val="20"/>
                <w:szCs w:val="20"/>
              </w:rPr>
              <w:t>83</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425315AB">
      <w:pPr>
        <w:rPr>
          <w:rFonts w:ascii="Courier New" w:hAnsi="Courier New" w:cs="Courier New"/>
          <w:b/>
        </w:rPr>
      </w:pPr>
      <w:r w:rsidRPr="00D900E5">
        <w:rPr>
          <w:rFonts w:ascii="Courier New" w:hAnsi="Courier New" w:cs="Courier New"/>
          <w:b/>
        </w:rPr>
        <w:t>Name</w:t>
      </w:r>
      <w:r>
        <w:rPr>
          <w:rFonts w:ascii="Courier New" w:hAnsi="Courier New" w:cs="Courier New"/>
          <w:b/>
        </w:rPr>
        <w:t>:</w:t>
      </w:r>
      <w:r w:rsidR="009751DA">
        <w:rPr>
          <w:rFonts w:ascii="Courier New" w:hAnsi="Courier New" w:cs="Courier New"/>
          <w:b/>
        </w:rPr>
        <w:t xml:space="preserve"> Juan Jackson</w:t>
      </w:r>
    </w:p>
    <w:p w:rsidR="00D900E5" w:rsidP="0024521E" w14:paraId="35723511" w14:textId="559B7FCA">
      <w:pPr>
        <w:rPr>
          <w:rFonts w:ascii="Courier New" w:hAnsi="Courier New" w:cs="Courier New"/>
          <w:b/>
        </w:rPr>
      </w:pPr>
    </w:p>
    <w:p w:rsidR="00D900E5" w:rsidRPr="00C514B9" w:rsidP="0024521E" w14:paraId="33C6CA99" w14:textId="290C92D2">
      <w:pPr>
        <w:rPr>
          <w:rFonts w:ascii="Courier New" w:hAnsi="Courier New" w:cs="Courier New"/>
          <w:b/>
        </w:rPr>
      </w:pPr>
      <w:r>
        <w:rPr>
          <w:rFonts w:ascii="Courier New" w:hAnsi="Courier New" w:cs="Courier New"/>
          <w:b/>
        </w:rPr>
        <w:t xml:space="preserve">Email address: </w:t>
      </w:r>
      <w:r w:rsidR="009751DA">
        <w:rPr>
          <w:rFonts w:ascii="Courier New" w:hAnsi="Courier New" w:cs="Courier New"/>
          <w:b/>
        </w:rPr>
        <w:t>juan.jackson@va.gov</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D3077A" w:rsidRPr="00C514B9" w:rsidP="00D3077A" w14:paraId="6CDE89D2" w14:textId="77777777">
      <w:pPr>
        <w:rPr>
          <w:rFonts w:ascii="Courier New" w:hAnsi="Courier New" w:cs="Courier New"/>
          <w:b/>
        </w:rPr>
      </w:pPr>
      <w:r w:rsidRPr="00C514B9">
        <w:rPr>
          <w:rFonts w:ascii="Courier New" w:hAnsi="Courier New" w:cs="Courier New"/>
          <w:b/>
        </w:rPr>
        <w:t xml:space="preserve">OMB Control No. </w:t>
      </w:r>
      <w:r>
        <w:rPr>
          <w:rFonts w:ascii="Courier New" w:hAnsi="Courier New" w:cs="Courier New"/>
          <w:b/>
        </w:rPr>
        <w:t>2900-0876</w:t>
      </w:r>
    </w:p>
    <w:p w:rsidR="00D3077A" w:rsidRPr="00C514B9" w:rsidP="00D3077A" w14:paraId="305A3BFE" w14:textId="77777777">
      <w:pPr>
        <w:rPr>
          <w:rFonts w:ascii="Courier New" w:hAnsi="Courier New" w:cs="Courier New"/>
          <w:b/>
        </w:rPr>
      </w:pPr>
      <w:r w:rsidRPr="00C514B9">
        <w:rPr>
          <w:rFonts w:ascii="Courier New" w:hAnsi="Courier New" w:cs="Courier New"/>
          <w:b/>
        </w:rPr>
        <w:t xml:space="preserve">Expiration Date: </w:t>
      </w:r>
      <w:r>
        <w:rPr>
          <w:rFonts w:ascii="Courier New" w:hAnsi="Courier New" w:cs="Courier New"/>
          <w:b/>
        </w:rPr>
        <w:t>02/28/2026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P="00F24CFC" w14:paraId="582453FF" w14:textId="77777777">
      <w:pPr>
        <w:keepNext/>
        <w:keepLines/>
        <w:rPr>
          <w:rFonts w:ascii="Courier New" w:hAnsi="Courier New" w:cs="Courier New"/>
          <w:b/>
          <w:sz w:val="20"/>
          <w:szCs w:val="20"/>
        </w:rPr>
      </w:pPr>
    </w:p>
    <w:p w:rsidR="003513DF" w:rsidP="00F24CFC" w14:paraId="58366F9A" w14:textId="77777777">
      <w:pPr>
        <w:keepNext/>
        <w:keepLines/>
        <w:rPr>
          <w:rFonts w:ascii="Courier New" w:hAnsi="Courier New" w:cs="Courier New"/>
          <w:b/>
          <w:sz w:val="20"/>
          <w:szCs w:val="20"/>
        </w:rPr>
      </w:pPr>
    </w:p>
    <w:p w:rsidR="003513DF" w:rsidP="00F24CFC" w14:paraId="308FAB61" w14:textId="77777777">
      <w:pPr>
        <w:keepNext/>
        <w:keepLines/>
        <w:rPr>
          <w:rFonts w:ascii="Courier New" w:hAnsi="Courier New" w:cs="Courier New"/>
          <w:b/>
          <w:sz w:val="20"/>
          <w:szCs w:val="20"/>
        </w:rPr>
      </w:pPr>
    </w:p>
    <w:p w:rsidR="003513DF" w:rsidP="00F24CFC" w14:paraId="4737BF2F" w14:textId="77777777">
      <w:pPr>
        <w:keepNext/>
        <w:keepLines/>
        <w:rPr>
          <w:rFonts w:ascii="Courier New" w:hAnsi="Courier New" w:cs="Courier New"/>
          <w:b/>
          <w:sz w:val="20"/>
          <w:szCs w:val="20"/>
        </w:rPr>
      </w:pPr>
    </w:p>
    <w:p w:rsidR="003513DF" w:rsidP="00F24CFC" w14:paraId="7B42D412" w14:textId="77777777">
      <w:pPr>
        <w:keepNext/>
        <w:keepLines/>
        <w:rPr>
          <w:rFonts w:ascii="Courier New" w:hAnsi="Courier New" w:cs="Courier New"/>
          <w:b/>
          <w:sz w:val="20"/>
          <w:szCs w:val="20"/>
        </w:rPr>
      </w:pPr>
    </w:p>
    <w:p w:rsidR="003513DF" w:rsidP="00F24CFC" w14:paraId="0CA77B66" w14:textId="77777777">
      <w:pPr>
        <w:keepNext/>
        <w:keepLines/>
        <w:rPr>
          <w:rFonts w:ascii="Courier New" w:hAnsi="Courier New" w:cs="Courier New"/>
          <w:b/>
          <w:sz w:val="20"/>
          <w:szCs w:val="20"/>
        </w:rPr>
      </w:pPr>
    </w:p>
    <w:p w:rsidR="003513DF" w:rsidP="00F24CFC" w14:paraId="73EE8A00" w14:textId="77777777">
      <w:pPr>
        <w:keepNext/>
        <w:keepLines/>
        <w:rPr>
          <w:rFonts w:ascii="Courier New" w:hAnsi="Courier New" w:cs="Courier New"/>
          <w:b/>
          <w:sz w:val="20"/>
          <w:szCs w:val="20"/>
        </w:rPr>
      </w:pPr>
    </w:p>
    <w:p w:rsidR="003513DF" w:rsidP="00F24CFC" w14:paraId="742DDFBE" w14:textId="77777777">
      <w:pPr>
        <w:keepNext/>
        <w:keepLines/>
        <w:rPr>
          <w:rFonts w:ascii="Courier New" w:hAnsi="Courier New" w:cs="Courier New"/>
          <w:b/>
          <w:sz w:val="20"/>
          <w:szCs w:val="20"/>
        </w:rPr>
      </w:pPr>
    </w:p>
    <w:p w:rsidR="003513DF" w:rsidP="00F24CFC" w14:paraId="13B986CB" w14:textId="77777777">
      <w:pPr>
        <w:keepNext/>
        <w:keepLines/>
        <w:rPr>
          <w:rFonts w:ascii="Courier New" w:hAnsi="Courier New" w:cs="Courier New"/>
          <w:b/>
          <w:sz w:val="20"/>
          <w:szCs w:val="20"/>
        </w:rPr>
      </w:pPr>
    </w:p>
    <w:p w:rsidR="003513DF" w:rsidP="00F24CFC" w14:paraId="371B18DB" w14:textId="77777777">
      <w:pPr>
        <w:keepNext/>
        <w:keepLines/>
        <w:rPr>
          <w:rFonts w:ascii="Courier New" w:hAnsi="Courier New" w:cs="Courier New"/>
          <w:b/>
          <w:sz w:val="20"/>
          <w:szCs w:val="20"/>
        </w:rPr>
      </w:pPr>
    </w:p>
    <w:p w:rsidR="003513DF" w:rsidRPr="00C85DEE" w:rsidP="003513DF" w14:paraId="776382FD" w14:textId="77777777">
      <w:pPr>
        <w:pStyle w:val="Title"/>
        <w:outlineLvl w:val="9"/>
        <w:rPr>
          <w:rStyle w:val="GridTable1Light1"/>
          <w:rFonts w:ascii="Times New Roman" w:hAnsi="Times New Roman"/>
          <w:b/>
        </w:rPr>
      </w:pPr>
      <w:r w:rsidRPr="00C85DEE">
        <w:rPr>
          <w:rFonts w:ascii="Times New Roman" w:hAnsi="Times New Roman"/>
          <w:noProof/>
        </w:rPr>
        <w:drawing>
          <wp:inline distT="0" distB="0" distL="0" distR="0">
            <wp:extent cx="1729740" cy="17297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9740" cy="1729740"/>
                    </a:xfrm>
                    <a:prstGeom prst="rect">
                      <a:avLst/>
                    </a:prstGeom>
                    <a:noFill/>
                  </pic:spPr>
                </pic:pic>
              </a:graphicData>
            </a:graphic>
          </wp:inline>
        </w:drawing>
      </w:r>
    </w:p>
    <w:p w:rsidR="003513DF" w:rsidRPr="00C85DEE" w:rsidP="003513DF" w14:paraId="3FA52BAE" w14:textId="77777777">
      <w:pPr>
        <w:pStyle w:val="Title"/>
        <w:outlineLvl w:val="9"/>
        <w:rPr>
          <w:rStyle w:val="GridTable1Light1"/>
          <w:rFonts w:ascii="Times New Roman" w:hAnsi="Times New Roman"/>
          <w:i w:val="0"/>
          <w:sz w:val="56"/>
          <w:szCs w:val="56"/>
        </w:rPr>
      </w:pPr>
      <w:bookmarkStart w:id="2" w:name="_Toc478120907"/>
      <w:bookmarkStart w:id="3" w:name="_Toc478123130"/>
      <w:r>
        <w:rPr>
          <w:rStyle w:val="GridTable1Light1"/>
          <w:rFonts w:ascii="Times New Roman" w:hAnsi="Times New Roman"/>
          <w:sz w:val="56"/>
          <w:szCs w:val="56"/>
        </w:rPr>
        <w:t>VBA Public Contact Team</w:t>
      </w:r>
      <w:r w:rsidRPr="00C85DEE">
        <w:rPr>
          <w:rStyle w:val="GridTable1Light1"/>
          <w:rFonts w:ascii="Times New Roman" w:hAnsi="Times New Roman"/>
          <w:sz w:val="56"/>
          <w:szCs w:val="56"/>
        </w:rPr>
        <w:t xml:space="preserve"> </w:t>
      </w:r>
    </w:p>
    <w:p w:rsidR="003513DF" w:rsidRPr="00C85DEE" w:rsidP="003513DF" w14:paraId="3E899125" w14:textId="77777777">
      <w:pPr>
        <w:pStyle w:val="Title"/>
        <w:outlineLvl w:val="9"/>
        <w:rPr>
          <w:rStyle w:val="GridTable1Light1"/>
          <w:rFonts w:ascii="Times New Roman" w:hAnsi="Times New Roman"/>
          <w:i w:val="0"/>
          <w:sz w:val="56"/>
          <w:szCs w:val="56"/>
        </w:rPr>
      </w:pPr>
      <w:r w:rsidRPr="00C85DEE">
        <w:rPr>
          <w:rStyle w:val="GridTable1Light1"/>
          <w:rFonts w:ascii="Times New Roman" w:hAnsi="Times New Roman"/>
          <w:sz w:val="56"/>
          <w:szCs w:val="56"/>
        </w:rPr>
        <w:t xml:space="preserve">Sampling Methodology </w:t>
      </w:r>
      <w:bookmarkEnd w:id="2"/>
      <w:bookmarkEnd w:id="3"/>
      <w:r w:rsidRPr="00C85DEE">
        <w:rPr>
          <w:rStyle w:val="GridTable1Light1"/>
          <w:rFonts w:ascii="Times New Roman" w:hAnsi="Times New Roman"/>
          <w:sz w:val="56"/>
          <w:szCs w:val="56"/>
        </w:rPr>
        <w:t>Report</w:t>
      </w:r>
    </w:p>
    <w:p w:rsidR="003513DF" w:rsidRPr="00C85DEE" w:rsidP="003513DF" w14:paraId="3E92179A" w14:textId="77777777">
      <w:pPr>
        <w:jc w:val="center"/>
        <w:rPr>
          <w:sz w:val="56"/>
          <w:szCs w:val="56"/>
        </w:rPr>
      </w:pPr>
      <w:r w:rsidRPr="00C85DEE">
        <w:rPr>
          <w:sz w:val="56"/>
          <w:szCs w:val="56"/>
        </w:rPr>
        <w:t xml:space="preserve">  </w:t>
      </w:r>
    </w:p>
    <w:p w:rsidR="003513DF" w:rsidRPr="00C85DEE" w:rsidP="003513DF" w14:paraId="05A03CA6" w14:textId="77777777">
      <w:pPr>
        <w:spacing w:before="100" w:beforeAutospacing="1" w:after="100" w:afterAutospacing="1"/>
        <w:ind w:firstLine="720"/>
        <w:jc w:val="center"/>
        <w:rPr>
          <w:sz w:val="36"/>
          <w:szCs w:val="36"/>
        </w:rPr>
      </w:pPr>
      <w:r w:rsidRPr="00C85DEE">
        <w:rPr>
          <w:sz w:val="36"/>
          <w:szCs w:val="36"/>
        </w:rPr>
        <w:t>Prepared by</w:t>
      </w:r>
    </w:p>
    <w:p w:rsidR="003513DF" w:rsidRPr="00C85DEE" w:rsidP="003513DF" w14:paraId="6F436DA4" w14:textId="77777777">
      <w:pPr>
        <w:spacing w:before="100" w:beforeAutospacing="1" w:after="100" w:afterAutospacing="1"/>
        <w:ind w:firstLine="720"/>
        <w:jc w:val="center"/>
        <w:rPr>
          <w:sz w:val="36"/>
          <w:szCs w:val="36"/>
        </w:rPr>
      </w:pPr>
      <w:r w:rsidRPr="00C85DEE">
        <w:rPr>
          <w:sz w:val="36"/>
          <w:szCs w:val="36"/>
        </w:rPr>
        <w:t>Veteran Experience Office</w:t>
      </w:r>
    </w:p>
    <w:p w:rsidR="003513DF" w:rsidRPr="00C85DEE" w:rsidP="003513DF" w14:paraId="08D21568" w14:textId="77777777">
      <w:pPr>
        <w:spacing w:before="100" w:beforeAutospacing="1" w:after="100" w:afterAutospacing="1"/>
        <w:ind w:firstLine="720"/>
        <w:jc w:val="center"/>
        <w:rPr>
          <w:sz w:val="30"/>
          <w:szCs w:val="30"/>
        </w:rPr>
      </w:pPr>
      <w:r w:rsidRPr="00C85DEE">
        <w:rPr>
          <w:sz w:val="30"/>
          <w:szCs w:val="30"/>
        </w:rPr>
        <w:t xml:space="preserve">Version 1 </w:t>
      </w:r>
      <w:r>
        <w:rPr>
          <w:sz w:val="30"/>
          <w:szCs w:val="30"/>
        </w:rPr>
        <w:t>December 2023</w:t>
      </w:r>
    </w:p>
    <w:p w:rsidR="003513DF" w:rsidRPr="00C85DEE" w:rsidP="003513DF" w14:paraId="7E8BEEC0" w14:textId="77777777">
      <w:pPr>
        <w:jc w:val="center"/>
        <w:rPr>
          <w:sz w:val="26"/>
          <w:szCs w:val="26"/>
        </w:rPr>
      </w:pPr>
    </w:p>
    <w:p w:rsidR="003513DF" w:rsidRPr="00C85DEE" w:rsidP="003513DF" w14:paraId="59532FE3" w14:textId="77777777"/>
    <w:p w:rsidR="003513DF" w:rsidRPr="00C85DEE" w:rsidP="003513DF" w14:paraId="67610648" w14:textId="77777777">
      <w:pPr>
        <w:pStyle w:val="GridTable31"/>
        <w:rPr>
          <w:rFonts w:ascii="Times New Roman" w:hAnsi="Times New Roman"/>
        </w:rPr>
      </w:pPr>
      <w:r w:rsidRPr="00C85DEE">
        <w:rPr>
          <w:rStyle w:val="GridTable1Light1"/>
          <w:rFonts w:ascii="Times New Roman" w:hAnsi="Times New Roman"/>
        </w:rPr>
        <w:br w:type="page"/>
      </w:r>
      <w:r w:rsidRPr="00C85DEE">
        <w:rPr>
          <w:rFonts w:ascii="Times New Roman" w:hAnsi="Times New Roman"/>
        </w:rPr>
        <w:t>Contents</w:t>
      </w:r>
    </w:p>
    <w:p w:rsidR="003513DF" w:rsidRPr="004B6FDA" w:rsidP="003513DF" w14:paraId="103AEACD" w14:textId="77777777">
      <w:pPr>
        <w:pStyle w:val="TOC1"/>
        <w:rPr>
          <w:rFonts w:asciiTheme="minorHAnsi" w:eastAsiaTheme="minorEastAsia" w:hAnsiTheme="minorHAnsi" w:cstheme="minorBidi"/>
          <w:noProof/>
        </w:rPr>
      </w:pPr>
      <w:r w:rsidRPr="004B6FDA">
        <w:rPr>
          <w:rFonts w:ascii="Times New Roman" w:eastAsia="Calibri" w:hAnsi="Times New Roman" w:cs="Times New Roman"/>
          <w:sz w:val="20"/>
          <w:szCs w:val="20"/>
        </w:rPr>
        <w:fldChar w:fldCharType="begin"/>
      </w:r>
      <w:r w:rsidRPr="004B6FDA">
        <w:rPr>
          <w:rFonts w:ascii="Times New Roman" w:hAnsi="Times New Roman" w:cs="Times New Roman"/>
          <w:sz w:val="20"/>
          <w:szCs w:val="20"/>
        </w:rPr>
        <w:instrText xml:space="preserve"> TOC \o "1-3" \h \z \u </w:instrText>
      </w:r>
      <w:r w:rsidRPr="004B6FDA">
        <w:rPr>
          <w:rFonts w:ascii="Times New Roman" w:eastAsia="Calibri" w:hAnsi="Times New Roman" w:cs="Times New Roman"/>
          <w:sz w:val="20"/>
          <w:szCs w:val="20"/>
        </w:rPr>
        <w:fldChar w:fldCharType="separate"/>
      </w:r>
      <w:hyperlink w:anchor="_Toc92890673" w:history="1">
        <w:r w:rsidRPr="004B6FDA">
          <w:rPr>
            <w:rStyle w:val="Hyperlink"/>
            <w:rFonts w:ascii="Times New Roman" w:hAnsi="Times New Roman"/>
            <w:noProof/>
          </w:rPr>
          <w:t>Executive Summary………………………………………………………………………………</w:t>
        </w:r>
        <w:r w:rsidRPr="004B6FDA">
          <w:rPr>
            <w:noProof/>
            <w:webHidden/>
          </w:rPr>
          <w:fldChar w:fldCharType="begin"/>
        </w:r>
        <w:r w:rsidRPr="004B6FDA">
          <w:rPr>
            <w:noProof/>
            <w:webHidden/>
          </w:rPr>
          <w:instrText xml:space="preserve"> PAGEREF _Toc92890673 \h </w:instrText>
        </w:r>
        <w:r w:rsidRPr="004B6FDA">
          <w:rPr>
            <w:noProof/>
            <w:webHidden/>
          </w:rPr>
          <w:fldChar w:fldCharType="separate"/>
        </w:r>
        <w:r w:rsidRPr="004B6FDA">
          <w:rPr>
            <w:noProof/>
            <w:webHidden/>
          </w:rPr>
          <w:t>3</w:t>
        </w:r>
        <w:r w:rsidRPr="004B6FDA">
          <w:rPr>
            <w:noProof/>
            <w:webHidden/>
          </w:rPr>
          <w:fldChar w:fldCharType="end"/>
        </w:r>
      </w:hyperlink>
    </w:p>
    <w:p w:rsidR="003513DF" w:rsidRPr="004B6FDA" w:rsidP="003513DF" w14:paraId="3F4E6A81" w14:textId="77777777">
      <w:pPr>
        <w:pStyle w:val="TOC1"/>
        <w:rPr>
          <w:rFonts w:asciiTheme="minorHAnsi" w:eastAsiaTheme="minorEastAsia" w:hAnsiTheme="minorHAnsi" w:cstheme="minorBidi"/>
          <w:noProof/>
        </w:rPr>
      </w:pPr>
      <w:hyperlink w:anchor="_Toc92890674" w:history="1">
        <w:r w:rsidRPr="004B6FDA">
          <w:rPr>
            <w:rStyle w:val="Hyperlink"/>
            <w:rFonts w:ascii="Times New Roman" w:hAnsi="Times New Roman"/>
            <w:noProof/>
          </w:rPr>
          <w:t>Part I – Introduction………………………………………………………………………………</w:t>
        </w:r>
        <w:r w:rsidRPr="004B6FDA">
          <w:rPr>
            <w:noProof/>
            <w:webHidden/>
          </w:rPr>
          <w:fldChar w:fldCharType="begin"/>
        </w:r>
        <w:r w:rsidRPr="004B6FDA">
          <w:rPr>
            <w:noProof/>
            <w:webHidden/>
          </w:rPr>
          <w:instrText xml:space="preserve"> PAGEREF _Toc92890674 \h </w:instrText>
        </w:r>
        <w:r w:rsidRPr="004B6FDA">
          <w:rPr>
            <w:noProof/>
            <w:webHidden/>
          </w:rPr>
          <w:fldChar w:fldCharType="separate"/>
        </w:r>
        <w:r w:rsidRPr="004B6FDA">
          <w:rPr>
            <w:noProof/>
            <w:webHidden/>
          </w:rPr>
          <w:t>4</w:t>
        </w:r>
        <w:r w:rsidRPr="004B6FDA">
          <w:rPr>
            <w:noProof/>
            <w:webHidden/>
          </w:rPr>
          <w:fldChar w:fldCharType="end"/>
        </w:r>
      </w:hyperlink>
    </w:p>
    <w:p w:rsidR="003513DF" w:rsidRPr="004B6FDA" w:rsidP="003513DF" w14:paraId="3E589AE6" w14:textId="77777777">
      <w:pPr>
        <w:pStyle w:val="TOC2"/>
        <w:rPr>
          <w:rFonts w:asciiTheme="minorHAnsi" w:eastAsiaTheme="minorEastAsia" w:hAnsiTheme="minorHAnsi" w:cstheme="minorBidi"/>
          <w:noProof/>
        </w:rPr>
      </w:pPr>
      <w:hyperlink w:anchor="_Toc92890675" w:history="1">
        <w:r w:rsidRPr="004B6FDA">
          <w:rPr>
            <w:rStyle w:val="Hyperlink"/>
            <w:rFonts w:ascii="Times New Roman" w:hAnsi="Times New Roman"/>
            <w:noProof/>
          </w:rPr>
          <w:t>A. Background…………………………………………………………………………………</w:t>
        </w:r>
        <w:r w:rsidRPr="004B6FDA">
          <w:rPr>
            <w:noProof/>
            <w:webHidden/>
          </w:rPr>
          <w:fldChar w:fldCharType="begin"/>
        </w:r>
        <w:r w:rsidRPr="004B6FDA">
          <w:rPr>
            <w:noProof/>
            <w:webHidden/>
          </w:rPr>
          <w:instrText xml:space="preserve"> PAGEREF _Toc92890675 \h </w:instrText>
        </w:r>
        <w:r w:rsidRPr="004B6FDA">
          <w:rPr>
            <w:noProof/>
            <w:webHidden/>
          </w:rPr>
          <w:fldChar w:fldCharType="separate"/>
        </w:r>
        <w:r w:rsidRPr="004B6FDA">
          <w:rPr>
            <w:noProof/>
            <w:webHidden/>
          </w:rPr>
          <w:t>4</w:t>
        </w:r>
        <w:r w:rsidRPr="004B6FDA">
          <w:rPr>
            <w:noProof/>
            <w:webHidden/>
          </w:rPr>
          <w:fldChar w:fldCharType="end"/>
        </w:r>
      </w:hyperlink>
    </w:p>
    <w:p w:rsidR="003513DF" w:rsidRPr="004B6FDA" w:rsidP="003513DF" w14:paraId="683B40B2" w14:textId="77777777">
      <w:pPr>
        <w:pStyle w:val="TOC2"/>
        <w:rPr>
          <w:rFonts w:asciiTheme="minorHAnsi" w:eastAsiaTheme="minorEastAsia" w:hAnsiTheme="minorHAnsi" w:cstheme="minorBidi"/>
          <w:noProof/>
        </w:rPr>
      </w:pPr>
      <w:hyperlink w:anchor="_Toc92890676" w:history="1">
        <w:r w:rsidRPr="004B6FDA">
          <w:rPr>
            <w:rStyle w:val="Hyperlink"/>
            <w:rFonts w:ascii="Times New Roman" w:hAnsi="Times New Roman"/>
            <w:noProof/>
          </w:rPr>
          <w:t>B. Basic Definitions……………………………………………………………………………</w:t>
        </w:r>
        <w:r w:rsidRPr="004B6FDA">
          <w:rPr>
            <w:noProof/>
            <w:webHidden/>
          </w:rPr>
          <w:fldChar w:fldCharType="begin"/>
        </w:r>
        <w:r w:rsidRPr="004B6FDA">
          <w:rPr>
            <w:noProof/>
            <w:webHidden/>
          </w:rPr>
          <w:instrText xml:space="preserve"> PAGEREF _Toc92890676 \h </w:instrText>
        </w:r>
        <w:r w:rsidRPr="004B6FDA">
          <w:rPr>
            <w:noProof/>
            <w:webHidden/>
          </w:rPr>
          <w:fldChar w:fldCharType="separate"/>
        </w:r>
        <w:r w:rsidRPr="004B6FDA">
          <w:rPr>
            <w:noProof/>
            <w:webHidden/>
          </w:rPr>
          <w:t>5</w:t>
        </w:r>
        <w:r w:rsidRPr="004B6FDA">
          <w:rPr>
            <w:noProof/>
            <w:webHidden/>
          </w:rPr>
          <w:fldChar w:fldCharType="end"/>
        </w:r>
      </w:hyperlink>
    </w:p>
    <w:p w:rsidR="003513DF" w:rsidRPr="004B6FDA" w:rsidP="003513DF" w14:paraId="442DD005" w14:textId="77777777">
      <w:pPr>
        <w:pStyle w:val="TOC2"/>
        <w:rPr>
          <w:rFonts w:asciiTheme="minorHAnsi" w:eastAsiaTheme="minorEastAsia" w:hAnsiTheme="minorHAnsi" w:cstheme="minorBidi"/>
          <w:noProof/>
        </w:rPr>
      </w:pPr>
      <w:hyperlink w:anchor="_Toc92890677" w:history="1">
        <w:r w:rsidRPr="004B6FDA">
          <w:rPr>
            <w:rStyle w:val="Hyperlink"/>
            <w:rFonts w:ascii="Times New Roman" w:hAnsi="Times New Roman"/>
            <w:noProof/>
          </w:rPr>
          <w:t>C. Application to Veterans Affairs…………………………………………………………….</w:t>
        </w:r>
        <w:r w:rsidRPr="004B6FDA">
          <w:rPr>
            <w:noProof/>
            <w:webHidden/>
          </w:rPr>
          <w:fldChar w:fldCharType="begin"/>
        </w:r>
        <w:r w:rsidRPr="004B6FDA">
          <w:rPr>
            <w:noProof/>
            <w:webHidden/>
          </w:rPr>
          <w:instrText xml:space="preserve"> PAGEREF _Toc92890677 \h </w:instrText>
        </w:r>
        <w:r w:rsidRPr="004B6FDA">
          <w:rPr>
            <w:noProof/>
            <w:webHidden/>
          </w:rPr>
          <w:fldChar w:fldCharType="separate"/>
        </w:r>
        <w:r w:rsidRPr="004B6FDA">
          <w:rPr>
            <w:noProof/>
            <w:webHidden/>
          </w:rPr>
          <w:t>5</w:t>
        </w:r>
        <w:r w:rsidRPr="004B6FDA">
          <w:rPr>
            <w:noProof/>
            <w:webHidden/>
          </w:rPr>
          <w:fldChar w:fldCharType="end"/>
        </w:r>
      </w:hyperlink>
    </w:p>
    <w:p w:rsidR="003513DF" w:rsidRPr="004B6FDA" w:rsidP="003513DF" w14:paraId="2C92241D" w14:textId="77777777">
      <w:pPr>
        <w:pStyle w:val="TOC1"/>
        <w:rPr>
          <w:rFonts w:asciiTheme="minorHAnsi" w:eastAsiaTheme="minorEastAsia" w:hAnsiTheme="minorHAnsi" w:cstheme="minorBidi"/>
          <w:noProof/>
        </w:rPr>
      </w:pPr>
      <w:hyperlink w:anchor="_Toc92890678" w:history="1">
        <w:r w:rsidRPr="004B6FDA">
          <w:rPr>
            <w:rStyle w:val="Hyperlink"/>
            <w:rFonts w:ascii="Times New Roman" w:hAnsi="Times New Roman"/>
            <w:noProof/>
          </w:rPr>
          <w:t>Part II – Methodology…………………………………………………………………………….</w:t>
        </w:r>
        <w:r w:rsidRPr="004B6FDA">
          <w:rPr>
            <w:noProof/>
            <w:webHidden/>
          </w:rPr>
          <w:fldChar w:fldCharType="begin"/>
        </w:r>
        <w:r w:rsidRPr="004B6FDA">
          <w:rPr>
            <w:noProof/>
            <w:webHidden/>
          </w:rPr>
          <w:instrText xml:space="preserve"> PAGEREF _Toc92890678 \h </w:instrText>
        </w:r>
        <w:r w:rsidRPr="004B6FDA">
          <w:rPr>
            <w:noProof/>
            <w:webHidden/>
          </w:rPr>
          <w:fldChar w:fldCharType="separate"/>
        </w:r>
        <w:r w:rsidRPr="004B6FDA">
          <w:rPr>
            <w:noProof/>
            <w:webHidden/>
          </w:rPr>
          <w:t>5</w:t>
        </w:r>
        <w:r w:rsidRPr="004B6FDA">
          <w:rPr>
            <w:noProof/>
            <w:webHidden/>
          </w:rPr>
          <w:fldChar w:fldCharType="end"/>
        </w:r>
      </w:hyperlink>
    </w:p>
    <w:p w:rsidR="003513DF" w:rsidRPr="004B6FDA" w:rsidP="003513DF" w14:paraId="7D802D45" w14:textId="77777777">
      <w:pPr>
        <w:pStyle w:val="TOC2"/>
        <w:rPr>
          <w:rFonts w:asciiTheme="minorHAnsi" w:eastAsiaTheme="minorEastAsia" w:hAnsiTheme="minorHAnsi" w:cstheme="minorBidi"/>
          <w:noProof/>
        </w:rPr>
      </w:pPr>
      <w:hyperlink w:anchor="_Toc92890679" w:history="1">
        <w:r w:rsidRPr="004B6FDA">
          <w:rPr>
            <w:rStyle w:val="Hyperlink"/>
            <w:rFonts w:ascii="Times New Roman" w:hAnsi="Times New Roman"/>
            <w:noProof/>
          </w:rPr>
          <w:t>A.  Target Population and Frame………………………………………………………………</w:t>
        </w:r>
        <w:r w:rsidRPr="004B6FDA">
          <w:rPr>
            <w:noProof/>
            <w:webHidden/>
          </w:rPr>
          <w:fldChar w:fldCharType="begin"/>
        </w:r>
        <w:r w:rsidRPr="004B6FDA">
          <w:rPr>
            <w:noProof/>
            <w:webHidden/>
          </w:rPr>
          <w:instrText xml:space="preserve"> PAGEREF _Toc92890679 \h </w:instrText>
        </w:r>
        <w:r w:rsidRPr="004B6FDA">
          <w:rPr>
            <w:noProof/>
            <w:webHidden/>
          </w:rPr>
          <w:fldChar w:fldCharType="separate"/>
        </w:r>
        <w:r w:rsidRPr="004B6FDA">
          <w:rPr>
            <w:noProof/>
            <w:webHidden/>
          </w:rPr>
          <w:t>5</w:t>
        </w:r>
        <w:r w:rsidRPr="004B6FDA">
          <w:rPr>
            <w:noProof/>
            <w:webHidden/>
          </w:rPr>
          <w:fldChar w:fldCharType="end"/>
        </w:r>
      </w:hyperlink>
    </w:p>
    <w:p w:rsidR="003513DF" w:rsidRPr="004B6FDA" w:rsidP="003513DF" w14:paraId="3955ADDF" w14:textId="77777777">
      <w:pPr>
        <w:pStyle w:val="TOC2"/>
        <w:rPr>
          <w:rFonts w:asciiTheme="minorHAnsi" w:eastAsiaTheme="minorEastAsia" w:hAnsiTheme="minorHAnsi" w:cstheme="minorBidi"/>
          <w:noProof/>
        </w:rPr>
      </w:pPr>
      <w:hyperlink w:anchor="_Toc92890680" w:history="1">
        <w:r w:rsidRPr="004B6FDA">
          <w:rPr>
            <w:rStyle w:val="Hyperlink"/>
            <w:rFonts w:ascii="Times New Roman" w:hAnsi="Times New Roman"/>
            <w:noProof/>
          </w:rPr>
          <w:t>B.</w:t>
        </w:r>
        <w:r w:rsidRPr="004B6FDA">
          <w:rPr>
            <w:rFonts w:asciiTheme="minorHAnsi" w:eastAsiaTheme="minorEastAsia" w:hAnsiTheme="minorHAnsi" w:cstheme="minorBidi"/>
            <w:noProof/>
          </w:rPr>
          <w:tab/>
        </w:r>
        <w:r w:rsidRPr="004B6FDA">
          <w:rPr>
            <w:rStyle w:val="Hyperlink"/>
            <w:rFonts w:ascii="Times New Roman" w:hAnsi="Times New Roman"/>
            <w:noProof/>
          </w:rPr>
          <w:t>Sample Size Determination……………………………………………………………….</w:t>
        </w:r>
        <w:r w:rsidRPr="004B6FDA">
          <w:rPr>
            <w:noProof/>
            <w:webHidden/>
          </w:rPr>
          <w:fldChar w:fldCharType="begin"/>
        </w:r>
        <w:r w:rsidRPr="004B6FDA">
          <w:rPr>
            <w:noProof/>
            <w:webHidden/>
          </w:rPr>
          <w:instrText xml:space="preserve"> PAGEREF _Toc92890680 \h </w:instrText>
        </w:r>
        <w:r w:rsidRPr="004B6FDA">
          <w:rPr>
            <w:noProof/>
            <w:webHidden/>
          </w:rPr>
          <w:fldChar w:fldCharType="separate"/>
        </w:r>
        <w:r w:rsidRPr="004B6FDA">
          <w:rPr>
            <w:noProof/>
            <w:webHidden/>
          </w:rPr>
          <w:t>6</w:t>
        </w:r>
        <w:r w:rsidRPr="004B6FDA">
          <w:rPr>
            <w:noProof/>
            <w:webHidden/>
          </w:rPr>
          <w:fldChar w:fldCharType="end"/>
        </w:r>
      </w:hyperlink>
    </w:p>
    <w:p w:rsidR="003513DF" w:rsidRPr="004B6FDA" w:rsidP="003513DF" w14:paraId="26FC1CF4" w14:textId="77777777">
      <w:pPr>
        <w:pStyle w:val="TOC2"/>
        <w:rPr>
          <w:rFonts w:asciiTheme="minorHAnsi" w:eastAsiaTheme="minorEastAsia" w:hAnsiTheme="minorHAnsi" w:cstheme="minorBidi"/>
          <w:noProof/>
        </w:rPr>
      </w:pPr>
      <w:hyperlink w:anchor="_Toc92890681" w:history="1">
        <w:r w:rsidRPr="004B6FDA">
          <w:rPr>
            <w:rStyle w:val="Hyperlink"/>
            <w:rFonts w:ascii="Times New Roman" w:hAnsi="Times New Roman"/>
            <w:noProof/>
          </w:rPr>
          <w:t>C.</w:t>
        </w:r>
        <w:r w:rsidRPr="004B6FDA">
          <w:rPr>
            <w:rFonts w:asciiTheme="minorHAnsi" w:eastAsiaTheme="minorEastAsia" w:hAnsiTheme="minorHAnsi" w:cstheme="minorBidi"/>
            <w:noProof/>
          </w:rPr>
          <w:tab/>
        </w:r>
        <w:r w:rsidRPr="004B6FDA">
          <w:rPr>
            <w:rStyle w:val="Hyperlink"/>
            <w:rFonts w:ascii="Times New Roman" w:hAnsi="Times New Roman"/>
            <w:noProof/>
          </w:rPr>
          <w:t>Stratification………………………………………………………………………………</w:t>
        </w:r>
        <w:r w:rsidRPr="004B6FDA">
          <w:rPr>
            <w:noProof/>
            <w:webHidden/>
          </w:rPr>
          <w:fldChar w:fldCharType="begin"/>
        </w:r>
        <w:r w:rsidRPr="004B6FDA">
          <w:rPr>
            <w:noProof/>
            <w:webHidden/>
          </w:rPr>
          <w:instrText xml:space="preserve"> PAGEREF _Toc92890681 \h </w:instrText>
        </w:r>
        <w:r w:rsidRPr="004B6FDA">
          <w:rPr>
            <w:noProof/>
            <w:webHidden/>
          </w:rPr>
          <w:fldChar w:fldCharType="separate"/>
        </w:r>
        <w:r w:rsidRPr="004B6FDA">
          <w:rPr>
            <w:noProof/>
            <w:webHidden/>
          </w:rPr>
          <w:t>7</w:t>
        </w:r>
        <w:r w:rsidRPr="004B6FDA">
          <w:rPr>
            <w:noProof/>
            <w:webHidden/>
          </w:rPr>
          <w:fldChar w:fldCharType="end"/>
        </w:r>
      </w:hyperlink>
    </w:p>
    <w:p w:rsidR="003513DF" w:rsidRPr="004B6FDA" w:rsidP="003513DF" w14:paraId="30EF876C" w14:textId="77777777">
      <w:pPr>
        <w:pStyle w:val="TOC2"/>
        <w:rPr>
          <w:rFonts w:asciiTheme="minorHAnsi" w:eastAsiaTheme="minorEastAsia" w:hAnsiTheme="minorHAnsi" w:cstheme="minorBidi"/>
          <w:noProof/>
        </w:rPr>
      </w:pPr>
      <w:hyperlink w:anchor="_Toc92890682" w:history="1">
        <w:r w:rsidRPr="004B6FDA">
          <w:rPr>
            <w:rStyle w:val="Hyperlink"/>
            <w:rFonts w:ascii="Times New Roman" w:hAnsi="Times New Roman"/>
            <w:noProof/>
          </w:rPr>
          <w:t>D.</w:t>
        </w:r>
        <w:r w:rsidRPr="004B6FDA">
          <w:rPr>
            <w:rFonts w:asciiTheme="minorHAnsi" w:eastAsiaTheme="minorEastAsia" w:hAnsiTheme="minorHAnsi" w:cstheme="minorBidi"/>
            <w:noProof/>
          </w:rPr>
          <w:tab/>
        </w:r>
        <w:r w:rsidRPr="004B6FDA">
          <w:rPr>
            <w:rStyle w:val="Hyperlink"/>
            <w:rFonts w:ascii="Times New Roman" w:hAnsi="Times New Roman"/>
            <w:noProof/>
          </w:rPr>
          <w:t>Data Collection Methods………………………………………………………………….</w:t>
        </w:r>
        <w:r w:rsidRPr="004B6FDA">
          <w:rPr>
            <w:noProof/>
            <w:webHidden/>
          </w:rPr>
          <w:fldChar w:fldCharType="begin"/>
        </w:r>
        <w:r w:rsidRPr="004B6FDA">
          <w:rPr>
            <w:noProof/>
            <w:webHidden/>
          </w:rPr>
          <w:instrText xml:space="preserve"> PAGEREF _Toc92890682 \h </w:instrText>
        </w:r>
        <w:r w:rsidRPr="004B6FDA">
          <w:rPr>
            <w:noProof/>
            <w:webHidden/>
          </w:rPr>
          <w:fldChar w:fldCharType="separate"/>
        </w:r>
        <w:r w:rsidRPr="004B6FDA">
          <w:rPr>
            <w:noProof/>
            <w:webHidden/>
          </w:rPr>
          <w:t>7</w:t>
        </w:r>
        <w:r w:rsidRPr="004B6FDA">
          <w:rPr>
            <w:noProof/>
            <w:webHidden/>
          </w:rPr>
          <w:fldChar w:fldCharType="end"/>
        </w:r>
      </w:hyperlink>
    </w:p>
    <w:p w:rsidR="003513DF" w:rsidRPr="004B6FDA" w:rsidP="003513DF" w14:paraId="702AF859" w14:textId="77777777">
      <w:pPr>
        <w:pStyle w:val="TOC2"/>
        <w:rPr>
          <w:rFonts w:asciiTheme="minorHAnsi" w:eastAsiaTheme="minorEastAsia" w:hAnsiTheme="minorHAnsi" w:cstheme="minorBidi"/>
          <w:noProof/>
        </w:rPr>
      </w:pPr>
      <w:hyperlink w:anchor="_Toc92890683" w:history="1">
        <w:r w:rsidRPr="004B6FDA">
          <w:rPr>
            <w:rStyle w:val="Hyperlink"/>
            <w:rFonts w:ascii="Times New Roman" w:hAnsi="Times New Roman"/>
            <w:noProof/>
          </w:rPr>
          <w:t>E.</w:t>
        </w:r>
        <w:r w:rsidRPr="004B6FDA">
          <w:rPr>
            <w:rFonts w:asciiTheme="minorHAnsi" w:eastAsiaTheme="minorEastAsia" w:hAnsiTheme="minorHAnsi" w:cstheme="minorBidi"/>
            <w:noProof/>
          </w:rPr>
          <w:tab/>
        </w:r>
        <w:r w:rsidRPr="004B6FDA">
          <w:rPr>
            <w:rStyle w:val="Hyperlink"/>
            <w:rFonts w:ascii="Times New Roman" w:hAnsi="Times New Roman"/>
            <w:noProof/>
          </w:rPr>
          <w:t>Reporting………………………………………………………………………………….</w:t>
        </w:r>
        <w:r w:rsidRPr="004B6FDA">
          <w:rPr>
            <w:noProof/>
            <w:webHidden/>
          </w:rPr>
          <w:fldChar w:fldCharType="begin"/>
        </w:r>
        <w:r w:rsidRPr="004B6FDA">
          <w:rPr>
            <w:noProof/>
            <w:webHidden/>
          </w:rPr>
          <w:instrText xml:space="preserve"> PAGEREF _Toc92890683 \h </w:instrText>
        </w:r>
        <w:r w:rsidRPr="004B6FDA">
          <w:rPr>
            <w:noProof/>
            <w:webHidden/>
          </w:rPr>
          <w:fldChar w:fldCharType="separate"/>
        </w:r>
        <w:r w:rsidRPr="004B6FDA">
          <w:rPr>
            <w:noProof/>
            <w:webHidden/>
          </w:rPr>
          <w:t>7</w:t>
        </w:r>
        <w:r w:rsidRPr="004B6FDA">
          <w:rPr>
            <w:noProof/>
            <w:webHidden/>
          </w:rPr>
          <w:fldChar w:fldCharType="end"/>
        </w:r>
      </w:hyperlink>
    </w:p>
    <w:p w:rsidR="003513DF" w:rsidRPr="004B6FDA" w:rsidP="003513DF" w14:paraId="3B865E6D" w14:textId="77777777">
      <w:pPr>
        <w:pStyle w:val="TOC2"/>
        <w:rPr>
          <w:rFonts w:asciiTheme="minorHAnsi" w:eastAsiaTheme="minorEastAsia" w:hAnsiTheme="minorHAnsi" w:cstheme="minorBidi"/>
          <w:noProof/>
        </w:rPr>
      </w:pPr>
      <w:hyperlink w:anchor="_Toc92890684" w:history="1">
        <w:r w:rsidRPr="004B6FDA">
          <w:rPr>
            <w:rStyle w:val="Hyperlink"/>
            <w:rFonts w:ascii="Times New Roman" w:hAnsi="Times New Roman"/>
            <w:noProof/>
          </w:rPr>
          <w:t>F.</w:t>
        </w:r>
        <w:r w:rsidRPr="004B6FDA">
          <w:rPr>
            <w:rFonts w:asciiTheme="minorHAnsi" w:eastAsiaTheme="minorEastAsia" w:hAnsiTheme="minorHAnsi" w:cstheme="minorBidi"/>
            <w:noProof/>
          </w:rPr>
          <w:tab/>
        </w:r>
        <w:r w:rsidRPr="004B6FDA">
          <w:rPr>
            <w:rStyle w:val="Hyperlink"/>
            <w:rFonts w:ascii="Times New Roman" w:hAnsi="Times New Roman"/>
            <w:noProof/>
          </w:rPr>
          <w:t>Quality Control……………………………………………………………………………</w:t>
        </w:r>
        <w:r w:rsidRPr="004B6FDA">
          <w:rPr>
            <w:noProof/>
            <w:webHidden/>
          </w:rPr>
          <w:fldChar w:fldCharType="begin"/>
        </w:r>
        <w:r w:rsidRPr="004B6FDA">
          <w:rPr>
            <w:noProof/>
            <w:webHidden/>
          </w:rPr>
          <w:instrText xml:space="preserve"> PAGEREF _Toc92890684 \h </w:instrText>
        </w:r>
        <w:r w:rsidRPr="004B6FDA">
          <w:rPr>
            <w:noProof/>
            <w:webHidden/>
          </w:rPr>
          <w:fldChar w:fldCharType="separate"/>
        </w:r>
        <w:r w:rsidRPr="004B6FDA">
          <w:rPr>
            <w:noProof/>
            <w:webHidden/>
          </w:rPr>
          <w:t>8</w:t>
        </w:r>
        <w:r w:rsidRPr="004B6FDA">
          <w:rPr>
            <w:noProof/>
            <w:webHidden/>
          </w:rPr>
          <w:fldChar w:fldCharType="end"/>
        </w:r>
      </w:hyperlink>
    </w:p>
    <w:p w:rsidR="003513DF" w:rsidRPr="004B6FDA" w:rsidP="003513DF" w14:paraId="2CE14B3F" w14:textId="77777777">
      <w:pPr>
        <w:pStyle w:val="TOC2"/>
        <w:rPr>
          <w:rFonts w:asciiTheme="minorHAnsi" w:eastAsiaTheme="minorEastAsia" w:hAnsiTheme="minorHAnsi" w:cstheme="minorBidi"/>
          <w:noProof/>
        </w:rPr>
      </w:pPr>
      <w:hyperlink w:anchor="_Toc92890685" w:history="1">
        <w:r w:rsidRPr="004B6FDA">
          <w:rPr>
            <w:rStyle w:val="Hyperlink"/>
            <w:rFonts w:ascii="Times New Roman" w:hAnsi="Times New Roman"/>
            <w:noProof/>
          </w:rPr>
          <w:t>G.</w:t>
        </w:r>
        <w:r w:rsidRPr="004B6FDA">
          <w:rPr>
            <w:rFonts w:asciiTheme="minorHAnsi" w:eastAsiaTheme="minorEastAsia" w:hAnsiTheme="minorHAnsi" w:cstheme="minorBidi"/>
            <w:noProof/>
          </w:rPr>
          <w:tab/>
        </w:r>
        <w:r w:rsidRPr="004B6FDA">
          <w:rPr>
            <w:rStyle w:val="Hyperlink"/>
            <w:rFonts w:ascii="Times New Roman" w:hAnsi="Times New Roman"/>
            <w:noProof/>
          </w:rPr>
          <w:t>Sample Weighting, Coverage Bias, and Non-Response Bias……………………………..</w:t>
        </w:r>
        <w:r w:rsidRPr="004B6FDA">
          <w:rPr>
            <w:noProof/>
            <w:webHidden/>
          </w:rPr>
          <w:fldChar w:fldCharType="begin"/>
        </w:r>
        <w:r w:rsidRPr="004B6FDA">
          <w:rPr>
            <w:noProof/>
            <w:webHidden/>
          </w:rPr>
          <w:instrText xml:space="preserve"> PAGEREF _Toc92890685 \h </w:instrText>
        </w:r>
        <w:r w:rsidRPr="004B6FDA">
          <w:rPr>
            <w:noProof/>
            <w:webHidden/>
          </w:rPr>
          <w:fldChar w:fldCharType="separate"/>
        </w:r>
        <w:r w:rsidRPr="004B6FDA">
          <w:rPr>
            <w:noProof/>
            <w:webHidden/>
          </w:rPr>
          <w:t>8</w:t>
        </w:r>
        <w:r w:rsidRPr="004B6FDA">
          <w:rPr>
            <w:noProof/>
            <w:webHidden/>
          </w:rPr>
          <w:fldChar w:fldCharType="end"/>
        </w:r>
      </w:hyperlink>
    </w:p>
    <w:p w:rsidR="003513DF" w:rsidRPr="004B6FDA" w:rsidP="003513DF" w14:paraId="5A108CF2" w14:textId="77777777">
      <w:pPr>
        <w:pStyle w:val="TOC2"/>
        <w:rPr>
          <w:rFonts w:asciiTheme="minorHAnsi" w:eastAsiaTheme="minorEastAsia" w:hAnsiTheme="minorHAnsi" w:cstheme="minorBidi"/>
          <w:noProof/>
        </w:rPr>
      </w:pPr>
      <w:hyperlink w:anchor="_Toc92890686" w:history="1">
        <w:r w:rsidRPr="004B6FDA">
          <w:rPr>
            <w:rStyle w:val="Hyperlink"/>
            <w:rFonts w:ascii="Times New Roman" w:hAnsi="Times New Roman"/>
            <w:noProof/>
          </w:rPr>
          <w:t>H.</w:t>
        </w:r>
        <w:r w:rsidRPr="004B6FDA">
          <w:rPr>
            <w:rFonts w:asciiTheme="minorHAnsi" w:eastAsiaTheme="minorEastAsia" w:hAnsiTheme="minorHAnsi" w:cstheme="minorBidi"/>
            <w:noProof/>
          </w:rPr>
          <w:tab/>
        </w:r>
        <w:r w:rsidRPr="004B6FDA">
          <w:rPr>
            <w:rStyle w:val="Hyperlink"/>
            <w:rFonts w:ascii="Times New Roman" w:hAnsi="Times New Roman"/>
            <w:noProof/>
          </w:rPr>
          <w:t>Quarantine Rules…………………………………………………………………………..</w:t>
        </w:r>
        <w:r w:rsidRPr="004B6FDA">
          <w:rPr>
            <w:noProof/>
            <w:webHidden/>
          </w:rPr>
          <w:fldChar w:fldCharType="begin"/>
        </w:r>
        <w:r w:rsidRPr="004B6FDA">
          <w:rPr>
            <w:noProof/>
            <w:webHidden/>
          </w:rPr>
          <w:instrText xml:space="preserve"> PAGEREF _Toc92890686 \h </w:instrText>
        </w:r>
        <w:r w:rsidRPr="004B6FDA">
          <w:rPr>
            <w:noProof/>
            <w:webHidden/>
          </w:rPr>
          <w:fldChar w:fldCharType="separate"/>
        </w:r>
        <w:r w:rsidRPr="004B6FDA">
          <w:rPr>
            <w:noProof/>
            <w:webHidden/>
          </w:rPr>
          <w:t>9</w:t>
        </w:r>
        <w:r w:rsidRPr="004B6FDA">
          <w:rPr>
            <w:noProof/>
            <w:webHidden/>
          </w:rPr>
          <w:fldChar w:fldCharType="end"/>
        </w:r>
      </w:hyperlink>
    </w:p>
    <w:p w:rsidR="003513DF" w:rsidRPr="004B6FDA" w:rsidP="003513DF" w14:paraId="47FC10AE" w14:textId="77777777">
      <w:pPr>
        <w:pStyle w:val="TOC1"/>
        <w:rPr>
          <w:rFonts w:asciiTheme="minorHAnsi" w:eastAsiaTheme="minorEastAsia" w:hAnsiTheme="minorHAnsi" w:cstheme="minorBidi"/>
          <w:noProof/>
        </w:rPr>
      </w:pPr>
      <w:hyperlink w:anchor="_Toc92890687" w:history="1">
        <w:r w:rsidRPr="004B6FDA">
          <w:rPr>
            <w:rStyle w:val="Hyperlink"/>
            <w:rFonts w:ascii="Times New Roman" w:hAnsi="Times New Roman"/>
            <w:noProof/>
          </w:rPr>
          <w:t>Part III – Assumptions and Limitations…………………………………………………………..</w:t>
        </w:r>
        <w:r w:rsidRPr="004B6FDA">
          <w:rPr>
            <w:noProof/>
            <w:webHidden/>
          </w:rPr>
          <w:fldChar w:fldCharType="begin"/>
        </w:r>
        <w:r w:rsidRPr="004B6FDA">
          <w:rPr>
            <w:noProof/>
            <w:webHidden/>
          </w:rPr>
          <w:instrText xml:space="preserve"> PAGEREF _Toc92890687 \h </w:instrText>
        </w:r>
        <w:r w:rsidRPr="004B6FDA">
          <w:rPr>
            <w:noProof/>
            <w:webHidden/>
          </w:rPr>
          <w:fldChar w:fldCharType="separate"/>
        </w:r>
        <w:r w:rsidRPr="004B6FDA">
          <w:rPr>
            <w:noProof/>
            <w:webHidden/>
          </w:rPr>
          <w:t>10</w:t>
        </w:r>
        <w:r w:rsidRPr="004B6FDA">
          <w:rPr>
            <w:noProof/>
            <w:webHidden/>
          </w:rPr>
          <w:fldChar w:fldCharType="end"/>
        </w:r>
      </w:hyperlink>
    </w:p>
    <w:p w:rsidR="003513DF" w:rsidRPr="004B6FDA" w:rsidP="003513DF" w14:paraId="2C18CB37" w14:textId="77777777">
      <w:pPr>
        <w:pStyle w:val="TOC2"/>
        <w:rPr>
          <w:rFonts w:asciiTheme="minorHAnsi" w:eastAsiaTheme="minorEastAsia" w:hAnsiTheme="minorHAnsi" w:cstheme="minorBidi"/>
          <w:noProof/>
        </w:rPr>
      </w:pPr>
      <w:hyperlink w:anchor="_Toc92890688" w:history="1">
        <w:r w:rsidRPr="004B6FDA">
          <w:rPr>
            <w:rStyle w:val="Hyperlink"/>
            <w:rFonts w:ascii="Times New Roman" w:hAnsi="Times New Roman"/>
            <w:noProof/>
          </w:rPr>
          <w:t>A. Coverage Bias……………………………………………………………………………….</w:t>
        </w:r>
        <w:r w:rsidRPr="004B6FDA">
          <w:rPr>
            <w:noProof/>
            <w:webHidden/>
          </w:rPr>
          <w:fldChar w:fldCharType="begin"/>
        </w:r>
        <w:r w:rsidRPr="004B6FDA">
          <w:rPr>
            <w:noProof/>
            <w:webHidden/>
          </w:rPr>
          <w:instrText xml:space="preserve"> PAGEREF _Toc92890688 \h </w:instrText>
        </w:r>
        <w:r w:rsidRPr="004B6FDA">
          <w:rPr>
            <w:noProof/>
            <w:webHidden/>
          </w:rPr>
          <w:fldChar w:fldCharType="separate"/>
        </w:r>
        <w:r w:rsidRPr="004B6FDA">
          <w:rPr>
            <w:noProof/>
            <w:webHidden/>
          </w:rPr>
          <w:t>10</w:t>
        </w:r>
        <w:r w:rsidRPr="004B6FDA">
          <w:rPr>
            <w:noProof/>
            <w:webHidden/>
          </w:rPr>
          <w:fldChar w:fldCharType="end"/>
        </w:r>
      </w:hyperlink>
    </w:p>
    <w:p w:rsidR="003513DF" w:rsidRPr="004B6FDA" w:rsidP="003513DF" w14:paraId="4E38B4F4" w14:textId="77777777">
      <w:pPr>
        <w:pStyle w:val="TOC2"/>
        <w:rPr>
          <w:rFonts w:asciiTheme="minorHAnsi" w:eastAsiaTheme="minorEastAsia" w:hAnsiTheme="minorHAnsi" w:cstheme="minorBidi"/>
          <w:noProof/>
        </w:rPr>
      </w:pPr>
      <w:hyperlink w:anchor="_Toc92890689" w:history="1">
        <w:r w:rsidRPr="004B6FDA">
          <w:rPr>
            <w:rStyle w:val="Hyperlink"/>
            <w:rFonts w:ascii="Times New Roman" w:hAnsi="Times New Roman"/>
            <w:noProof/>
          </w:rPr>
          <w:t>References………………………………………………………………………………………</w:t>
        </w:r>
        <w:r w:rsidRPr="004B6FDA">
          <w:rPr>
            <w:noProof/>
            <w:webHidden/>
          </w:rPr>
          <w:fldChar w:fldCharType="begin"/>
        </w:r>
        <w:r w:rsidRPr="004B6FDA">
          <w:rPr>
            <w:noProof/>
            <w:webHidden/>
          </w:rPr>
          <w:instrText xml:space="preserve"> PAGEREF _Toc92890689 \h </w:instrText>
        </w:r>
        <w:r w:rsidRPr="004B6FDA">
          <w:rPr>
            <w:noProof/>
            <w:webHidden/>
          </w:rPr>
          <w:fldChar w:fldCharType="separate"/>
        </w:r>
        <w:r w:rsidRPr="004B6FDA">
          <w:rPr>
            <w:noProof/>
            <w:webHidden/>
          </w:rPr>
          <w:t>11</w:t>
        </w:r>
        <w:r w:rsidRPr="004B6FDA">
          <w:rPr>
            <w:noProof/>
            <w:webHidden/>
          </w:rPr>
          <w:fldChar w:fldCharType="end"/>
        </w:r>
      </w:hyperlink>
    </w:p>
    <w:p w:rsidR="003513DF" w:rsidP="003513DF" w14:paraId="7082C26A" w14:textId="77777777">
      <w:pPr>
        <w:pStyle w:val="Heading1"/>
        <w:tabs>
          <w:tab w:val="center" w:leader="dot" w:pos="9346"/>
          <w:tab w:val="right" w:leader="dot" w:pos="11520"/>
        </w:tabs>
        <w:spacing w:after="240"/>
        <w:jc w:val="center"/>
        <w:rPr>
          <w:noProof/>
          <w:sz w:val="20"/>
          <w:szCs w:val="20"/>
        </w:rPr>
      </w:pPr>
      <w:r w:rsidRPr="004B6FDA">
        <w:rPr>
          <w:noProof/>
          <w:sz w:val="20"/>
          <w:szCs w:val="20"/>
        </w:rPr>
        <w:fldChar w:fldCharType="end"/>
      </w:r>
    </w:p>
    <w:p w:rsidR="003513DF" w:rsidP="003513DF" w14:paraId="63694B2D" w14:textId="77777777">
      <w:pPr>
        <w:rPr>
          <w:noProof/>
          <w:color w:val="2E74B5"/>
        </w:rPr>
      </w:pPr>
      <w:r>
        <w:rPr>
          <w:noProof/>
        </w:rPr>
        <w:br w:type="page"/>
      </w:r>
    </w:p>
    <w:p w:rsidR="003513DF" w:rsidRPr="00C85DEE" w:rsidP="003513DF" w14:paraId="5975E220" w14:textId="77777777">
      <w:pPr>
        <w:pStyle w:val="Heading1"/>
        <w:tabs>
          <w:tab w:val="center" w:leader="dot" w:pos="9346"/>
          <w:tab w:val="right" w:leader="dot" w:pos="11520"/>
        </w:tabs>
        <w:spacing w:after="240"/>
        <w:jc w:val="center"/>
      </w:pPr>
      <w:bookmarkStart w:id="4" w:name="_Toc92890673"/>
      <w:r w:rsidRPr="00C85DEE">
        <w:t>Executive Summary</w:t>
      </w:r>
      <w:bookmarkEnd w:id="4"/>
    </w:p>
    <w:p w:rsidR="003513DF" w:rsidRPr="00F53200" w:rsidP="003513DF" w14:paraId="1A70CB3B" w14:textId="77777777">
      <w:pPr>
        <w:ind w:firstLine="720"/>
      </w:pPr>
      <w:r>
        <w:t>The</w:t>
      </w:r>
      <w:r w:rsidRPr="00F53200">
        <w:t xml:space="preserve"> </w:t>
      </w:r>
      <w:r w:rsidRPr="00E33431">
        <w:t xml:space="preserve">Veterans Benefits Administration </w:t>
      </w:r>
      <w:r w:rsidRPr="00F53200">
        <w:t>(V</w:t>
      </w:r>
      <w:r>
        <w:t>B</w:t>
      </w:r>
      <w:r w:rsidRPr="00F53200">
        <w:t xml:space="preserve">A) </w:t>
      </w:r>
      <w:r>
        <w:t xml:space="preserve">is responsible for providing and/or managing a wide array of services to Veterans and their family members. One such responsibility is to ensure Veterans, beneficiaries, spouses, and stakeholders know what benefits and services are available to them.  </w:t>
      </w:r>
    </w:p>
    <w:p w:rsidR="003513DF" w:rsidRPr="00F53200" w:rsidP="003513DF" w14:paraId="74315598" w14:textId="77777777">
      <w:pPr>
        <w:ind w:firstLine="720"/>
      </w:pPr>
      <w:r>
        <w:t>Th</w:t>
      </w:r>
      <w:r w:rsidRPr="00F53200">
        <w:t xml:space="preserve">e Veteran Experience Office (VEO) </w:t>
      </w:r>
      <w:r>
        <w:t xml:space="preserve">is in partnership with VBA on many surveys, but this is the first partnership with the VBA Public Contact Team (PCT). </w:t>
      </w:r>
      <w:r w:rsidRPr="00E85A23">
        <w:rPr>
          <w:szCs w:val="36"/>
        </w:rPr>
        <w:t xml:space="preserve">The </w:t>
      </w:r>
      <w:r>
        <w:rPr>
          <w:szCs w:val="36"/>
        </w:rPr>
        <w:t>PCT</w:t>
      </w:r>
      <w:r w:rsidRPr="00E85A23">
        <w:rPr>
          <w:szCs w:val="36"/>
        </w:rPr>
        <w:t xml:space="preserve"> is a specialized department dedicated to answering, aiding, and providing guidance for Veterans, beneficiaries, spouses, and stakeholders about VBA services and benefits. While often located within the VBA Regional Office, the PCT acts as a gateway for Veterans to interact with VBA. The PCT typically consists of various roles, including Intake Specialists,</w:t>
      </w:r>
      <w:r>
        <w:rPr>
          <w:szCs w:val="36"/>
        </w:rPr>
        <w:t xml:space="preserve"> </w:t>
      </w:r>
      <w:r w:rsidRPr="00E85A23">
        <w:rPr>
          <w:szCs w:val="36"/>
        </w:rPr>
        <w:t>Legal Administrative Specialists (LAS), Congressional Liaisons, Assistant Coaches, Coaches, Assistant Directors, and Directors. These roles vary from Regional Office (RO) to Regional Office (RO), with many individuals being tasked with additional functions like Homelessness Coordinator, Military Sexual Trauma (MST) Coordinator, and Outreach Specialists. Unlike the Veteran Service Organizations (VSOs), the PCTs mission is to provide Veterans and their families with guidance and assistance navigating through VBA benefits and services, rather than advocating on behalf of Veterans.</w:t>
      </w:r>
      <w:r>
        <w:rPr>
          <w:szCs w:val="36"/>
        </w:rPr>
        <w:t xml:space="preserve"> </w:t>
      </w:r>
      <w:r w:rsidRPr="00E85A23">
        <w:t>It's important to note that although there are some standards that are implemented nationally, every PCT office operates differently to meet the needs of their customers and the needs of the Regional Office.</w:t>
      </w:r>
      <w:r>
        <w:t xml:space="preserve"> </w:t>
      </w:r>
      <w:r w:rsidRPr="00F53200">
        <w:t>The goal of service level measurements is three-fold:</w:t>
      </w:r>
    </w:p>
    <w:p w:rsidR="003513DF" w:rsidRPr="00E47DF9" w:rsidP="003513DF" w14:paraId="23ADAD25" w14:textId="77777777">
      <w:pPr>
        <w:pStyle w:val="ListParagraph"/>
        <w:numPr>
          <w:ilvl w:val="0"/>
          <w:numId w:val="20"/>
        </w:numPr>
        <w:tabs>
          <w:tab w:val="left" w:pos="720"/>
        </w:tabs>
        <w:spacing w:after="160" w:line="259" w:lineRule="auto"/>
        <w:ind w:left="720" w:hanging="720"/>
      </w:pPr>
      <w:r w:rsidRPr="00E47DF9">
        <w:t xml:space="preserve">To collect continuous customer experience data from </w:t>
      </w:r>
      <w:r>
        <w:t>PCT customers</w:t>
      </w:r>
    </w:p>
    <w:p w:rsidR="003513DF" w:rsidRPr="00E47DF9" w:rsidP="003513DF" w14:paraId="58D820E8" w14:textId="77777777">
      <w:pPr>
        <w:pStyle w:val="ListParagraph"/>
        <w:numPr>
          <w:ilvl w:val="0"/>
          <w:numId w:val="20"/>
        </w:numPr>
        <w:tabs>
          <w:tab w:val="left" w:pos="720"/>
        </w:tabs>
        <w:spacing w:after="160" w:line="259" w:lineRule="auto"/>
        <w:ind w:left="720" w:hanging="720"/>
      </w:pPr>
      <w:r w:rsidRPr="00E47DF9">
        <w:t>To help field staff and the national office identify areas for improvement</w:t>
      </w:r>
    </w:p>
    <w:p w:rsidR="003513DF" w:rsidP="003513DF" w14:paraId="76735485" w14:textId="77777777">
      <w:pPr>
        <w:pStyle w:val="ListParagraph"/>
        <w:numPr>
          <w:ilvl w:val="0"/>
          <w:numId w:val="20"/>
        </w:numPr>
        <w:tabs>
          <w:tab w:val="left" w:pos="720"/>
        </w:tabs>
        <w:spacing w:after="160" w:line="259" w:lineRule="auto"/>
        <w:ind w:left="720" w:hanging="720"/>
      </w:pPr>
      <w:r w:rsidRPr="00E47DF9">
        <w:t>To better understand the reason</w:t>
      </w:r>
      <w:r>
        <w:t>s PCT customers provide positive or negative feedback</w:t>
      </w:r>
    </w:p>
    <w:p w:rsidR="003513DF" w:rsidRPr="001248EE" w:rsidP="003513DF" w14:paraId="417E7644" w14:textId="77777777">
      <w:pPr>
        <w:ind w:firstLine="720"/>
        <w:rPr>
          <w:lang w:bidi="en-US"/>
        </w:rPr>
      </w:pPr>
      <w:r w:rsidRPr="00544D95">
        <w:t xml:space="preserve">The </w:t>
      </w:r>
      <w:r>
        <w:t xml:space="preserve">survey </w:t>
      </w:r>
      <w:r w:rsidRPr="00544D95">
        <w:t xml:space="preserve">questionnaire is brief and contains general Likert-scale (a scale of 1-5 from Strongly Disagree to Strongly Agree) questions to assess customer satisfaction as well as questions assessing the knowledge, speed, </w:t>
      </w:r>
      <w:r>
        <w:t>a</w:t>
      </w:r>
      <w:r w:rsidRPr="00544D95">
        <w:t xml:space="preserve">nd manner of the interaction. </w:t>
      </w:r>
      <w:r>
        <w:t xml:space="preserve">These questions have been mapped to the OMB A-11 Customer Experience drivers.  </w:t>
      </w:r>
      <w:r w:rsidRPr="00544D95">
        <w:t>After the survey has been distributed, recipients have two weeks to complete the survey</w:t>
      </w:r>
      <w:r>
        <w:t xml:space="preserve">. Invitees </w:t>
      </w:r>
      <w:r w:rsidRPr="00544D95">
        <w:t>will receive a reminder email after one week.</w:t>
      </w:r>
      <w:r>
        <w:t xml:space="preserve"> </w:t>
      </w:r>
    </w:p>
    <w:p w:rsidR="003513DF" w:rsidRPr="00B43741" w:rsidP="003513DF" w14:paraId="2B8BE399" w14:textId="77777777">
      <w:pPr>
        <w:ind w:firstLine="720"/>
      </w:pPr>
      <w:r w:rsidRPr="00F53200">
        <w:t xml:space="preserve">The purpose of this document is to define VA’s sampling methodology for selecting potential survey respondents for this study. </w:t>
      </w:r>
      <w:r>
        <w:t xml:space="preserve">This survey is conducted via random sampling. The sample size for PCT survey was determined so that the reliability of monthly survey estimates is 3.0% margin of error at a 95% confidence level. </w:t>
      </w:r>
      <w:r w:rsidRPr="00C602DD">
        <w:t xml:space="preserve">This report describes the methodology used to conduct the </w:t>
      </w:r>
      <w:r>
        <w:t xml:space="preserve">PCT </w:t>
      </w:r>
      <w:r w:rsidRPr="00C602DD">
        <w:t>survey.</w:t>
      </w:r>
      <w:r>
        <w:t xml:space="preserve"> </w:t>
      </w:r>
      <w:r w:rsidRPr="00C602DD">
        <w:t>Information about quality assurance protocols, as well as limitations of the survey methodology, is also</w:t>
      </w:r>
      <w:r>
        <w:t xml:space="preserve"> </w:t>
      </w:r>
      <w:r w:rsidRPr="00C602DD">
        <w:t>included in this report.</w:t>
      </w:r>
    </w:p>
    <w:p w:rsidR="003513DF" w:rsidRPr="00F53200" w:rsidP="003513DF" w14:paraId="30A736B4" w14:textId="77777777">
      <w:pPr>
        <w:ind w:firstLine="720"/>
      </w:pPr>
    </w:p>
    <w:p w:rsidR="003513DF" w:rsidRPr="00C85DEE" w:rsidP="003513DF" w14:paraId="19EA743B" w14:textId="77777777">
      <w:pPr>
        <w:pStyle w:val="Heading1"/>
        <w:spacing w:after="240"/>
      </w:pPr>
      <w:r>
        <w:br w:type="page"/>
      </w:r>
      <w:bookmarkStart w:id="5" w:name="_Toc92890674"/>
      <w:r w:rsidRPr="00C85DEE">
        <w:t>Part I – Introduction</w:t>
      </w:r>
      <w:bookmarkEnd w:id="5"/>
    </w:p>
    <w:p w:rsidR="003513DF" w:rsidRPr="00C85DEE" w:rsidP="003513DF" w14:paraId="5279B0EE" w14:textId="77777777">
      <w:pPr>
        <w:pStyle w:val="Heading2"/>
        <w:spacing w:after="240"/>
      </w:pPr>
      <w:bookmarkStart w:id="6" w:name="_Toc92890675"/>
      <w:bookmarkStart w:id="7" w:name="_Hlk511300100"/>
      <w:r w:rsidRPr="00C85DEE">
        <w:t>A. Background</w:t>
      </w:r>
      <w:bookmarkEnd w:id="6"/>
      <w:r w:rsidRPr="00C85DEE">
        <w:t xml:space="preserve"> </w:t>
      </w:r>
    </w:p>
    <w:p w:rsidR="003513DF" w:rsidRPr="00C85DEE" w:rsidP="003513DF" w14:paraId="21858ED4" w14:textId="77777777">
      <w:r w:rsidRPr="00C85DEE">
        <w:tab/>
      </w:r>
      <w:bookmarkStart w:id="8" w:name="_Toc490572151"/>
      <w:bookmarkStart w:id="9" w:name="_Hlk511314360"/>
      <w:bookmarkEnd w:id="7"/>
      <w:r w:rsidRPr="00C85DEE">
        <w:t xml:space="preserve">The </w:t>
      </w:r>
      <w:r w:rsidRPr="00C85DEE">
        <w:rPr>
          <w:b/>
        </w:rPr>
        <w:t xml:space="preserve">Enterprise Measurement and </w:t>
      </w:r>
      <w:r>
        <w:rPr>
          <w:b/>
        </w:rPr>
        <w:t xml:space="preserve">Design </w:t>
      </w:r>
      <w:r w:rsidRPr="00C85DEE">
        <w:t>team (EM</w:t>
      </w:r>
      <w:r>
        <w:t>D</w:t>
      </w:r>
      <w:r w:rsidRPr="00C85DEE">
        <w:t xml:space="preserve">) </w:t>
      </w:r>
      <w:r>
        <w:t>within</w:t>
      </w:r>
      <w:r w:rsidRPr="00C85DEE">
        <w:t xml:space="preserve"> </w:t>
      </w:r>
      <w:r>
        <w:t xml:space="preserve">the </w:t>
      </w:r>
      <w:r w:rsidRPr="00EA5659">
        <w:rPr>
          <w:b/>
          <w:bCs/>
        </w:rPr>
        <w:t>Veterans Experience Office</w:t>
      </w:r>
      <w:r>
        <w:t xml:space="preserve"> (VEO)</w:t>
      </w:r>
      <w:r w:rsidRPr="00C85DEE">
        <w:t xml:space="preserve"> is tasked with conducting transactional surveys of the </w:t>
      </w:r>
      <w:r>
        <w:t xml:space="preserve">customer </w:t>
      </w:r>
      <w:r w:rsidRPr="00C85DEE">
        <w:t>population to measure their satisfaction with the Department of Veterans Affairs (VA) numerous benefit services. Thus, their mission is to empower Veterans by rapidly and discreetly collecting feedback on their interactions with such VA</w:t>
      </w:r>
      <w:r>
        <w:t xml:space="preserve"> </w:t>
      </w:r>
      <w:r w:rsidRPr="00C85DEE">
        <w:t xml:space="preserve">entities as </w:t>
      </w:r>
      <w:r>
        <w:t>National Cemetery Administration (</w:t>
      </w:r>
      <w:r w:rsidRPr="00C85DEE">
        <w:t>NCA</w:t>
      </w:r>
      <w:r>
        <w:t>)</w:t>
      </w:r>
      <w:r w:rsidRPr="00C85DEE">
        <w:t xml:space="preserve">, </w:t>
      </w:r>
      <w:r>
        <w:t>Veterans Health Administration (</w:t>
      </w:r>
      <w:r w:rsidRPr="00C85DEE">
        <w:t>VHA</w:t>
      </w:r>
      <w:r>
        <w:t>)</w:t>
      </w:r>
      <w:r w:rsidRPr="00C85DEE">
        <w:t xml:space="preserve">, and </w:t>
      </w:r>
      <w:r>
        <w:t>Veterans Benefits Administration (</w:t>
      </w:r>
      <w:r w:rsidRPr="00C85DEE">
        <w:t>VBA</w:t>
      </w:r>
      <w:r>
        <w:t>)</w:t>
      </w:r>
      <w:r w:rsidRPr="00C85DEE">
        <w:t xml:space="preserve">. VEO surveys generally entail </w:t>
      </w:r>
      <w:r w:rsidRPr="00C85DEE">
        <w:rPr>
          <w:i/>
        </w:rPr>
        <w:t>probability</w:t>
      </w:r>
      <w:r w:rsidRPr="00C85DEE">
        <w:t xml:space="preserve"> samples which only contact minimal numbers of </w:t>
      </w:r>
      <w:r>
        <w:t>customers</w:t>
      </w:r>
      <w:r w:rsidRPr="00C85DEE">
        <w:t xml:space="preserve"> necessary to obtain reliable estimates. This information is subsequently used by internal stakeholders to monitor, evaluate, and improve beneficiary processes. </w:t>
      </w:r>
      <w:r>
        <w:t xml:space="preserve">Customers </w:t>
      </w:r>
      <w:r w:rsidRPr="00C85DEE">
        <w:t xml:space="preserve">are always able to decline participation and </w:t>
      </w:r>
      <w:r>
        <w:t xml:space="preserve">can </w:t>
      </w:r>
      <w:r w:rsidRPr="00C85DEE">
        <w:t xml:space="preserve">opt out of future invitations. A </w:t>
      </w:r>
      <w:r w:rsidRPr="00C85DEE">
        <w:rPr>
          <w:i/>
        </w:rPr>
        <w:t>quarantine</w:t>
      </w:r>
      <w:r w:rsidRPr="00C85DEE">
        <w:t xml:space="preserve"> protocol is maintained to limit the number of times a </w:t>
      </w:r>
      <w:r>
        <w:t xml:space="preserve">customer </w:t>
      </w:r>
      <w:r w:rsidRPr="00C85DEE">
        <w:t>may be contacted</w:t>
      </w:r>
      <w:r>
        <w:t xml:space="preserve"> over </w:t>
      </w:r>
      <w:r>
        <w:t>a period of time</w:t>
      </w:r>
      <w:r>
        <w:t xml:space="preserve"> </w:t>
      </w:r>
      <w:r w:rsidRPr="00C85DEE">
        <w:t xml:space="preserve">across all VEO surveys, in order to prevent survey fatigue. </w:t>
      </w:r>
    </w:p>
    <w:p w:rsidR="003513DF" w:rsidRPr="00C85DEE" w:rsidP="003513DF" w14:paraId="1BC511DE" w14:textId="77777777">
      <w:pPr>
        <w:ind w:firstLine="720"/>
      </w:pPr>
      <w:r w:rsidRPr="00C85DEE">
        <w:t>Surveys issued by EM</w:t>
      </w:r>
      <w:r>
        <w:t>D</w:t>
      </w:r>
      <w:r w:rsidRPr="00C85DEE">
        <w:t xml:space="preserve"> are generally brief in nature and present a low amount of burden to </w:t>
      </w:r>
      <w:r>
        <w:t>customers</w:t>
      </w:r>
      <w:r w:rsidRPr="00C85DEE">
        <w:t>. A few targeted questions will utilize a human centered design (HCD)</w:t>
      </w:r>
      <w:r>
        <w:t xml:space="preserve"> methodology</w:t>
      </w:r>
      <w:r w:rsidRPr="00C85DEE">
        <w:t>, revolving around concepts of Trust, Ease, Effectiveness and Emotion. Questions will focus on a specific aspect of a service process</w:t>
      </w:r>
      <w:r>
        <w:t>—s</w:t>
      </w:r>
      <w:r w:rsidRPr="00C85DEE">
        <w:t xml:space="preserve">panning communication, applying for benefits, deliberation, and/or receipt of benefits. Structured questions directly address the pertinent issues regarding each surveyed line of business. The opportunity to volunteer open-ended text responses is </w:t>
      </w:r>
      <w:r>
        <w:t>provided</w:t>
      </w:r>
      <w:r w:rsidRPr="00C85DEE">
        <w:t xml:space="preserve"> within most surveys. This open text has been demonstrated to yield enormous information. Machine learning tools are used for text classification, ranking by sentiment scores, and scr</w:t>
      </w:r>
      <w:r>
        <w:t xml:space="preserve">eening for homelessness, </w:t>
      </w:r>
      <w:r w:rsidRPr="00C85DEE">
        <w:t xml:space="preserve">depression, etc. Modern survey theory is used to create sample designs which are representative, statistically sound, and in accordance with OMB guidelines on federal surveys. </w:t>
      </w:r>
    </w:p>
    <w:p w:rsidR="003513DF" w:rsidP="003513DF" w14:paraId="724B239F" w14:textId="77777777">
      <w:r w:rsidRPr="00C85DEE">
        <w:tab/>
      </w:r>
      <w:r>
        <w:t>VEO</w:t>
      </w:r>
      <w:r w:rsidRPr="00C85DEE">
        <w:t xml:space="preserve"> has been commissioned by</w:t>
      </w:r>
      <w:r>
        <w:t xml:space="preserve"> VBA</w:t>
      </w:r>
      <w:r w:rsidRPr="00C85DEE">
        <w:t xml:space="preserve"> to measure the satisfaction</w:t>
      </w:r>
      <w:r>
        <w:t xml:space="preserve"> and experience of customers with the VBA Public Contact Teams (PCT). </w:t>
      </w:r>
      <w:r w:rsidRPr="00C85DEE">
        <w:t xml:space="preserve">VEO proposes to conduct a </w:t>
      </w:r>
      <w:r w:rsidRPr="00C85DEE">
        <w:rPr>
          <w:b/>
        </w:rPr>
        <w:t>brief survey</w:t>
      </w:r>
      <w:r w:rsidRPr="00C85DEE">
        <w:t xml:space="preserve"> on </w:t>
      </w:r>
      <w:r>
        <w:t>customers</w:t>
      </w:r>
      <w:r w:rsidRPr="00C85DEE">
        <w:t xml:space="preserve"> who </w:t>
      </w:r>
      <w:r>
        <w:t>interacted with the PCT. Randomly s</w:t>
      </w:r>
      <w:r w:rsidRPr="00C85DEE">
        <w:t xml:space="preserve">ampled </w:t>
      </w:r>
      <w:r>
        <w:t>customers</w:t>
      </w:r>
      <w:r w:rsidRPr="00C85DEE">
        <w:t xml:space="preserve"> will be contacted through an invitation email. A link will be enclosed so the survey may be completed using an online interface, with customized </w:t>
      </w:r>
      <w:r>
        <w:t>customer</w:t>
      </w:r>
      <w:r w:rsidRPr="00C85DEE">
        <w:t xml:space="preserve"> information. The survey itself will consist of a handful of questions revolving around a human-centered design, focusing on such elements as trust, emotion, effective, and ease </w:t>
      </w:r>
      <w:r>
        <w:t>of the interaction</w:t>
      </w:r>
      <w:r w:rsidRPr="00C85DEE">
        <w:t>.</w:t>
      </w:r>
      <w:bookmarkStart w:id="10" w:name="_Toc511750800"/>
    </w:p>
    <w:p w:rsidR="003513DF" w:rsidP="003513DF" w14:paraId="47A290E2" w14:textId="77777777">
      <w:pPr>
        <w:rPr>
          <w:color w:val="2E74B5"/>
          <w:sz w:val="26"/>
          <w:szCs w:val="26"/>
        </w:rPr>
      </w:pPr>
      <w:r>
        <w:br w:type="page"/>
      </w:r>
    </w:p>
    <w:p w:rsidR="003513DF" w:rsidRPr="00F53200" w:rsidP="003513DF" w14:paraId="429D0D56" w14:textId="77777777">
      <w:pPr>
        <w:pStyle w:val="Heading2"/>
        <w:spacing w:after="240"/>
      </w:pPr>
      <w:bookmarkStart w:id="11" w:name="_Toc92890676"/>
      <w:r>
        <w:t xml:space="preserve">B. </w:t>
      </w:r>
      <w:r w:rsidRPr="00C85DEE">
        <w:t>Basic Definitions</w:t>
      </w:r>
      <w:bookmarkEnd w:id="10"/>
      <w:bookmarkEnd w:id="11"/>
    </w:p>
    <w:tbl>
      <w:tblPr>
        <w:tblStyle w:val="TableGrid"/>
        <w:tblW w:w="0" w:type="auto"/>
        <w:tblLook w:val="04A0"/>
      </w:tblPr>
      <w:tblGrid>
        <w:gridCol w:w="2401"/>
        <w:gridCol w:w="6319"/>
      </w:tblGrid>
      <w:tr w14:paraId="168C39E9" w14:textId="77777777" w:rsidTr="00D544F4">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3513DF" w:rsidP="00D544F4" w14:paraId="1E1570EA" w14:textId="77777777">
            <w:bookmarkStart w:id="12" w:name="_Toc511750801"/>
            <w:r>
              <w:t>Coverage</w:t>
            </w:r>
          </w:p>
        </w:tc>
        <w:tc>
          <w:tcPr>
            <w:tcW w:w="9895" w:type="dxa"/>
            <w:tcBorders>
              <w:top w:val="single" w:sz="4" w:space="0" w:color="auto"/>
              <w:left w:val="single" w:sz="4" w:space="0" w:color="auto"/>
              <w:bottom w:val="single" w:sz="4" w:space="0" w:color="auto"/>
              <w:right w:val="single" w:sz="4" w:space="0" w:color="auto"/>
            </w:tcBorders>
            <w:hideMark/>
          </w:tcPr>
          <w:p w:rsidR="003513DF" w:rsidP="00D544F4" w14:paraId="37997E3A" w14:textId="77777777">
            <w:r>
              <w:t>The percentage of the population of interest that is included in the sampling frame.</w:t>
            </w:r>
          </w:p>
        </w:tc>
      </w:tr>
      <w:tr w14:paraId="0DA7A9E8" w14:textId="77777777" w:rsidTr="00D544F4">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3513DF" w:rsidP="00D544F4" w14:paraId="1C965406" w14:textId="77777777">
            <w:r>
              <w:t>Measurement Error</w:t>
            </w:r>
          </w:p>
        </w:tc>
        <w:tc>
          <w:tcPr>
            <w:tcW w:w="9895" w:type="dxa"/>
            <w:tcBorders>
              <w:top w:val="single" w:sz="4" w:space="0" w:color="auto"/>
              <w:left w:val="single" w:sz="4" w:space="0" w:color="auto"/>
              <w:bottom w:val="single" w:sz="4" w:space="0" w:color="auto"/>
              <w:right w:val="single" w:sz="4" w:space="0" w:color="auto"/>
            </w:tcBorders>
            <w:hideMark/>
          </w:tcPr>
          <w:p w:rsidR="003513DF" w:rsidP="00D544F4" w14:paraId="4E221C62" w14:textId="77777777">
            <w:r>
              <w:t>The difference between the response coded and the true value of the characteristic being studied for a respondent.</w:t>
            </w:r>
          </w:p>
        </w:tc>
      </w:tr>
      <w:tr w14:paraId="7C6ECFA7" w14:textId="77777777" w:rsidTr="00D544F4">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3513DF" w:rsidP="00D544F4" w14:paraId="742DD5A3" w14:textId="77777777">
            <w:r>
              <w:t>Non-Response</w:t>
            </w:r>
          </w:p>
        </w:tc>
        <w:tc>
          <w:tcPr>
            <w:tcW w:w="9895" w:type="dxa"/>
            <w:tcBorders>
              <w:top w:val="single" w:sz="4" w:space="0" w:color="auto"/>
              <w:left w:val="single" w:sz="4" w:space="0" w:color="auto"/>
              <w:bottom w:val="single" w:sz="4" w:space="0" w:color="auto"/>
              <w:right w:val="single" w:sz="4" w:space="0" w:color="auto"/>
            </w:tcBorders>
            <w:hideMark/>
          </w:tcPr>
          <w:p w:rsidR="003513DF" w:rsidP="00D544F4" w14:paraId="1D69BC70" w14:textId="77777777">
            <w:r>
              <w:t>Failure of some respondents in the sample to provide responses in the survey.</w:t>
            </w:r>
          </w:p>
        </w:tc>
      </w:tr>
      <w:tr w14:paraId="0D2B0871" w14:textId="77777777" w:rsidTr="00D544F4">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3513DF" w:rsidP="00D544F4" w14:paraId="422137FF" w14:textId="77777777">
            <w:r>
              <w:t>Transaction</w:t>
            </w:r>
          </w:p>
        </w:tc>
        <w:tc>
          <w:tcPr>
            <w:tcW w:w="9895" w:type="dxa"/>
            <w:tcBorders>
              <w:top w:val="single" w:sz="4" w:space="0" w:color="auto"/>
              <w:left w:val="single" w:sz="4" w:space="0" w:color="auto"/>
              <w:bottom w:val="single" w:sz="4" w:space="0" w:color="auto"/>
              <w:right w:val="single" w:sz="4" w:space="0" w:color="auto"/>
            </w:tcBorders>
            <w:hideMark/>
          </w:tcPr>
          <w:p w:rsidR="003513DF" w:rsidP="00D544F4" w14:paraId="0F6E1512" w14:textId="77777777">
            <w:r>
              <w:t xml:space="preserve">A </w:t>
            </w:r>
            <w:r>
              <w:rPr>
                <w:i/>
              </w:rPr>
              <w:t>transaction</w:t>
            </w:r>
            <w:r>
              <w:t xml:space="preserve"> refers to the specific time a customer interacts with the VA that impacts the customer’s journey and their perception of VA’s effectiveness in servicing customers. </w:t>
            </w:r>
          </w:p>
        </w:tc>
      </w:tr>
      <w:tr w14:paraId="6C757287" w14:textId="77777777" w:rsidTr="00D544F4">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3513DF" w:rsidP="00D544F4" w14:paraId="46EF93AB" w14:textId="77777777">
            <w:r>
              <w:t>Response Rate</w:t>
            </w:r>
          </w:p>
        </w:tc>
        <w:tc>
          <w:tcPr>
            <w:tcW w:w="9895" w:type="dxa"/>
            <w:tcBorders>
              <w:top w:val="single" w:sz="4" w:space="0" w:color="auto"/>
              <w:left w:val="single" w:sz="4" w:space="0" w:color="auto"/>
              <w:bottom w:val="single" w:sz="4" w:space="0" w:color="auto"/>
              <w:right w:val="single" w:sz="4" w:space="0" w:color="auto"/>
            </w:tcBorders>
            <w:hideMark/>
          </w:tcPr>
          <w:p w:rsidR="003513DF" w:rsidP="00D544F4" w14:paraId="7000DEEF" w14:textId="77777777">
            <w:r>
              <w:t>The ratio of participating persons to the number of contacted persons. This is one of the basic indicators of survey quality.</w:t>
            </w:r>
          </w:p>
        </w:tc>
      </w:tr>
      <w:tr w14:paraId="50A18468" w14:textId="77777777" w:rsidTr="00D544F4">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3513DF" w:rsidP="00D544F4" w14:paraId="70B7A10C" w14:textId="77777777">
            <w:r>
              <w:t>Sample</w:t>
            </w:r>
          </w:p>
        </w:tc>
        <w:tc>
          <w:tcPr>
            <w:tcW w:w="9895" w:type="dxa"/>
            <w:tcBorders>
              <w:top w:val="single" w:sz="4" w:space="0" w:color="auto"/>
              <w:left w:val="single" w:sz="4" w:space="0" w:color="auto"/>
              <w:bottom w:val="single" w:sz="4" w:space="0" w:color="auto"/>
              <w:right w:val="single" w:sz="4" w:space="0" w:color="auto"/>
            </w:tcBorders>
            <w:hideMark/>
          </w:tcPr>
          <w:p w:rsidR="003513DF" w:rsidP="00D544F4" w14:paraId="4FAA3AE0" w14:textId="77777777">
            <w:r>
              <w:t>In statistics, a data sample is a set of data collected and/or selected from a statistical population by a defined procedure.</w:t>
            </w:r>
          </w:p>
        </w:tc>
      </w:tr>
      <w:tr w14:paraId="181AB925" w14:textId="77777777" w:rsidTr="00D544F4">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3513DF" w:rsidP="00D544F4" w14:paraId="5F616C3C" w14:textId="77777777">
            <w:r>
              <w:t>Sampling Error</w:t>
            </w:r>
          </w:p>
        </w:tc>
        <w:tc>
          <w:tcPr>
            <w:tcW w:w="9895" w:type="dxa"/>
            <w:tcBorders>
              <w:top w:val="single" w:sz="4" w:space="0" w:color="auto"/>
              <w:left w:val="single" w:sz="4" w:space="0" w:color="auto"/>
              <w:bottom w:val="single" w:sz="4" w:space="0" w:color="auto"/>
              <w:right w:val="single" w:sz="4" w:space="0" w:color="auto"/>
            </w:tcBorders>
            <w:hideMark/>
          </w:tcPr>
          <w:p w:rsidR="003513DF" w:rsidP="00D544F4" w14:paraId="37822D90" w14:textId="77777777">
            <w:r>
              <w:t>Error due to taking a particular sample instead of measuring</w:t>
            </w:r>
            <w:r>
              <w:rPr>
                <w:u w:val="single"/>
              </w:rPr>
              <w:t xml:space="preserve"> </w:t>
            </w:r>
            <w:r>
              <w:t>every unit in the population.</w:t>
            </w:r>
          </w:p>
        </w:tc>
      </w:tr>
      <w:tr w14:paraId="4AB00172" w14:textId="77777777" w:rsidTr="00D544F4">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3513DF" w:rsidP="00D544F4" w14:paraId="543D6D06" w14:textId="77777777">
            <w:r>
              <w:t>Sampling Frame</w:t>
            </w:r>
          </w:p>
        </w:tc>
        <w:tc>
          <w:tcPr>
            <w:tcW w:w="9895" w:type="dxa"/>
            <w:tcBorders>
              <w:top w:val="single" w:sz="4" w:space="0" w:color="auto"/>
              <w:left w:val="single" w:sz="4" w:space="0" w:color="auto"/>
              <w:bottom w:val="single" w:sz="4" w:space="0" w:color="auto"/>
              <w:right w:val="single" w:sz="4" w:space="0" w:color="auto"/>
            </w:tcBorders>
            <w:hideMark/>
          </w:tcPr>
          <w:p w:rsidR="003513DF" w:rsidP="00D544F4" w14:paraId="538C5BF1" w14:textId="77777777">
            <w:r>
              <w:t xml:space="preserve">A list of units in the population from which a sample may be selected. </w:t>
            </w:r>
          </w:p>
        </w:tc>
      </w:tr>
      <w:tr w14:paraId="6B5ACE2B" w14:textId="77777777" w:rsidTr="00D544F4">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3513DF" w:rsidP="00D544F4" w14:paraId="5D344489" w14:textId="77777777">
            <w:r>
              <w:t>Reliability</w:t>
            </w:r>
          </w:p>
        </w:tc>
        <w:tc>
          <w:tcPr>
            <w:tcW w:w="9895" w:type="dxa"/>
            <w:tcBorders>
              <w:top w:val="single" w:sz="4" w:space="0" w:color="auto"/>
              <w:left w:val="single" w:sz="4" w:space="0" w:color="auto"/>
              <w:bottom w:val="single" w:sz="4" w:space="0" w:color="auto"/>
              <w:right w:val="single" w:sz="4" w:space="0" w:color="auto"/>
            </w:tcBorders>
            <w:hideMark/>
          </w:tcPr>
          <w:p w:rsidR="003513DF" w:rsidP="00D544F4" w14:paraId="3936189B" w14:textId="77777777">
            <w:r>
              <w:t xml:space="preserve">The consistency or dependability of a measure. Also referred to as </w:t>
            </w:r>
            <w:r>
              <w:rPr>
                <w:i/>
              </w:rPr>
              <w:t>standard error</w:t>
            </w:r>
            <w:r>
              <w:t>.</w:t>
            </w:r>
          </w:p>
        </w:tc>
      </w:tr>
    </w:tbl>
    <w:p w:rsidR="003513DF" w:rsidP="003513DF" w14:paraId="15A43BFD" w14:textId="77777777">
      <w:pPr>
        <w:pStyle w:val="Heading2"/>
        <w:spacing w:after="240"/>
        <w:rPr>
          <w:rFonts w:eastAsia="SimSun"/>
          <w:sz w:val="22"/>
          <w:szCs w:val="22"/>
        </w:rPr>
      </w:pPr>
    </w:p>
    <w:p w:rsidR="003513DF" w:rsidRPr="00C85DEE" w:rsidP="003513DF" w14:paraId="589E0FD5" w14:textId="77777777">
      <w:pPr>
        <w:pStyle w:val="Heading2"/>
        <w:spacing w:after="240"/>
      </w:pPr>
      <w:bookmarkStart w:id="13" w:name="_Toc92890677"/>
      <w:r w:rsidRPr="00C85DEE">
        <w:t>C. Application to Veterans Affairs</w:t>
      </w:r>
      <w:bookmarkEnd w:id="12"/>
      <w:bookmarkEnd w:id="13"/>
    </w:p>
    <w:p w:rsidR="003513DF" w:rsidRPr="00C85DEE" w:rsidP="003513DF" w14:paraId="42D23DB0" w14:textId="77777777">
      <w:pPr>
        <w:spacing w:after="240"/>
        <w:ind w:firstLine="720"/>
      </w:pPr>
      <w:r w:rsidRPr="00C85DEE">
        <w:t xml:space="preserve">This measurement may bring insights and value to all stakeholders at VA. Front-line VA leaders can resolve individual feedback from </w:t>
      </w:r>
      <w:r>
        <w:t>customer</w:t>
      </w:r>
      <w:r w:rsidRPr="00C85DEE">
        <w:t>s and take steps to improve the customer experience; meanwhile VA executives can receive real-time updates on systematic trends that allow them to make changes.</w:t>
      </w:r>
    </w:p>
    <w:p w:rsidR="003513DF" w:rsidRPr="003D1FB8" w:rsidP="003513DF" w14:paraId="16956494" w14:textId="77777777">
      <w:pPr>
        <w:pStyle w:val="ListParagraph"/>
        <w:numPr>
          <w:ilvl w:val="0"/>
          <w:numId w:val="26"/>
        </w:numPr>
        <w:spacing w:after="160" w:line="259" w:lineRule="auto"/>
      </w:pPr>
      <w:r w:rsidRPr="003D1FB8">
        <w:t xml:space="preserve">To collect continuous customer experience data to monitor the relative success of programs designed to improve </w:t>
      </w:r>
      <w:r>
        <w:t>customer</w:t>
      </w:r>
      <w:r w:rsidRPr="003D1FB8">
        <w:t xml:space="preserve"> experience </w:t>
      </w:r>
      <w:r>
        <w:t>with VBA PCT</w:t>
      </w:r>
      <w:r w:rsidRPr="003D1FB8">
        <w:t>.</w:t>
      </w:r>
    </w:p>
    <w:p w:rsidR="003513DF" w:rsidRPr="003D1FB8" w:rsidP="003513DF" w14:paraId="7C403ADC" w14:textId="77777777">
      <w:pPr>
        <w:pStyle w:val="ListParagraph"/>
        <w:numPr>
          <w:ilvl w:val="0"/>
          <w:numId w:val="26"/>
        </w:numPr>
        <w:spacing w:after="160" w:line="259" w:lineRule="auto"/>
      </w:pPr>
      <w:r w:rsidRPr="003D1FB8">
        <w:t>To help field staff and the national office identify need of the specific population they serve.</w:t>
      </w:r>
    </w:p>
    <w:p w:rsidR="003513DF" w:rsidRPr="003D1FB8" w:rsidP="003513DF" w14:paraId="471EF37F" w14:textId="77777777">
      <w:pPr>
        <w:pStyle w:val="ListParagraph"/>
        <w:numPr>
          <w:ilvl w:val="0"/>
          <w:numId w:val="26"/>
        </w:numPr>
        <w:spacing w:after="240"/>
      </w:pPr>
      <w:r w:rsidRPr="003D1FB8">
        <w:t xml:space="preserve">To better understand why </w:t>
      </w:r>
      <w:r>
        <w:t xml:space="preserve">VBA PCT </w:t>
      </w:r>
      <w:r w:rsidRPr="003A5043">
        <w:t>customers</w:t>
      </w:r>
      <w:r w:rsidRPr="003A5043">
        <w:t xml:space="preserve"> provide positive or negative feedback</w:t>
      </w:r>
    </w:p>
    <w:p w:rsidR="003513DF" w:rsidRPr="00C85DEE" w:rsidP="003513DF" w14:paraId="0970266F" w14:textId="77777777">
      <w:pPr>
        <w:pStyle w:val="Heading1"/>
        <w:spacing w:after="240"/>
      </w:pPr>
      <w:bookmarkStart w:id="14" w:name="_Toc511750802"/>
      <w:bookmarkStart w:id="15" w:name="_Toc92890678"/>
      <w:r w:rsidRPr="00C85DEE">
        <w:t>Part II – Methodology</w:t>
      </w:r>
      <w:bookmarkEnd w:id="14"/>
      <w:bookmarkEnd w:id="15"/>
    </w:p>
    <w:p w:rsidR="003513DF" w:rsidRPr="00C85DEE" w:rsidP="003513DF" w14:paraId="2E7F14E4" w14:textId="77777777">
      <w:pPr>
        <w:pStyle w:val="Heading2"/>
        <w:spacing w:after="240"/>
      </w:pPr>
      <w:bookmarkStart w:id="16" w:name="_Toc483228672"/>
      <w:bookmarkStart w:id="17" w:name="_Toc511750803"/>
      <w:bookmarkStart w:id="18" w:name="_Toc92890679"/>
      <w:r w:rsidRPr="00C85DEE">
        <w:t>A.  Target Population and Frame</w:t>
      </w:r>
      <w:bookmarkEnd w:id="16"/>
      <w:bookmarkEnd w:id="17"/>
      <w:bookmarkEnd w:id="18"/>
    </w:p>
    <w:p w:rsidR="003513DF" w:rsidP="003513DF" w14:paraId="5C513AE1" w14:textId="77777777">
      <w:pPr>
        <w:spacing w:after="240"/>
        <w:ind w:firstLine="720"/>
      </w:pPr>
      <w:r w:rsidRPr="003D1FB8">
        <w:t>The target population of the</w:t>
      </w:r>
      <w:r>
        <w:t xml:space="preserve"> VBA PCT survey</w:t>
      </w:r>
      <w:r w:rsidRPr="003D1FB8">
        <w:t xml:space="preserve"> is all </w:t>
      </w:r>
      <w:r>
        <w:t>VBA PCT customers that have interacted with the PCT within an 8-day period.</w:t>
      </w:r>
    </w:p>
    <w:p w:rsidR="003513DF" w:rsidRPr="00C85DEE" w:rsidP="003513DF" w14:paraId="334CB197" w14:textId="77777777">
      <w:pPr>
        <w:pStyle w:val="Heading2"/>
        <w:spacing w:after="120"/>
        <w:ind w:left="360"/>
      </w:pPr>
      <w:bookmarkStart w:id="19" w:name="_Toc511750804"/>
      <w:bookmarkStart w:id="20" w:name="_Toc92890680"/>
      <w:r w:rsidRPr="00C85DEE">
        <w:t>Sample Size Determination</w:t>
      </w:r>
      <w:bookmarkEnd w:id="19"/>
      <w:bookmarkEnd w:id="20"/>
    </w:p>
    <w:p w:rsidR="003513DF" w:rsidRPr="00C85DEE" w:rsidP="003513DF" w14:paraId="2045BE41" w14:textId="77777777">
      <w:pPr>
        <w:spacing w:after="120"/>
        <w:ind w:firstLine="720"/>
      </w:pPr>
      <w:r>
        <w:t>For a given margin of error and confidence level, the sample size is calculated as below (</w:t>
      </w:r>
      <w:r w:rsidRPr="00C85DEE">
        <w:t>Lohr</w:t>
      </w:r>
      <w:r w:rsidRPr="00C85DEE">
        <w:t>, 1999</w:t>
      </w:r>
      <w:r>
        <w:t xml:space="preserve">). </w:t>
      </w:r>
      <w:r w:rsidRPr="00C85DEE">
        <w:t xml:space="preserve">For population that is </w:t>
      </w:r>
      <w:r w:rsidRPr="00C85DEE">
        <w:rPr>
          <w:i/>
        </w:rPr>
        <w:t>large</w:t>
      </w:r>
      <w:r w:rsidRPr="00C85DEE">
        <w:t>, the equation below is used to yield a representative sample for proportions:</w:t>
      </w:r>
    </w:p>
    <w:bookmarkStart w:id="21" w:name="OLE_LINK1"/>
    <w:p w:rsidR="003513DF" w:rsidRPr="003F24C3" w:rsidP="003513DF" w14:paraId="2EA099A2" w14:textId="77777777">
      <w:pPr>
        <w:jc w:val="center"/>
      </w:pPr>
      <m:oMathPara>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 xml:space="preserve">= </m:t>
          </m:r>
          <m:f>
            <m:fPr>
              <m:ctrlPr>
                <w:rPr>
                  <w:rFonts w:ascii="Cambria Math" w:hAnsi="Cambria Math"/>
                  <w:i/>
                </w:rPr>
              </m:ctrlPr>
            </m:fPr>
            <m:num>
              <m:sSubSup>
                <m:sSubSupPr>
                  <m:ctrlPr>
                    <w:rPr>
                      <w:rFonts w:ascii="Cambria Math" w:hAnsi="Cambria Math"/>
                      <w:i/>
                    </w:rPr>
                  </m:ctrlPr>
                </m:sSubSupPr>
                <m:e>
                  <m:r>
                    <w:rPr>
                      <w:rFonts w:ascii="Cambria Math" w:hAnsi="Cambria Math"/>
                    </w:rPr>
                    <m:t>Z</m:t>
                  </m:r>
                </m:e>
                <m:sub>
                  <m:r>
                    <w:rPr>
                      <w:rFonts w:ascii="Cambria Math" w:hAnsi="Cambria Math"/>
                    </w:rPr>
                    <m:t>α</m:t>
                  </m:r>
                  <m:r>
                    <w:rPr>
                      <w:rFonts w:ascii="Cambria Math" w:hAnsi="Cambria Math"/>
                    </w:rPr>
                    <m:t>/2</m:t>
                  </m:r>
                </m:sub>
                <m:sup>
                  <m:r>
                    <w:rPr>
                      <w:rFonts w:ascii="Cambria Math" w:hAnsi="Cambria Math"/>
                    </w:rPr>
                    <m:t>2</m:t>
                  </m:r>
                </m:sup>
              </m:sSubSup>
              <m:r>
                <w:rPr>
                  <w:rFonts w:ascii="Cambria Math" w:hAnsi="Cambria Math"/>
                </w:rPr>
                <m:t>pq</m:t>
              </m:r>
            </m:num>
            <m:den>
              <m:sSup>
                <m:sSupPr>
                  <m:ctrlPr>
                    <w:rPr>
                      <w:rFonts w:ascii="Cambria Math" w:hAnsi="Cambria Math"/>
                      <w:i/>
                    </w:rPr>
                  </m:ctrlPr>
                </m:sSupPr>
                <m:e>
                  <m:r>
                    <w:rPr>
                      <w:rFonts w:ascii="Cambria Math" w:hAnsi="Cambria Math"/>
                    </w:rPr>
                    <m:t>e</m:t>
                  </m:r>
                </m:e>
                <m:sup>
                  <m:r>
                    <w:rPr>
                      <w:rFonts w:ascii="Cambria Math" w:hAnsi="Cambria Math"/>
                    </w:rPr>
                    <m:t>2</m:t>
                  </m:r>
                </m:sup>
              </m:sSup>
            </m:den>
          </m:f>
        </m:oMath>
      </m:oMathPara>
    </w:p>
    <w:bookmarkEnd w:id="21"/>
    <w:p w:rsidR="003513DF" w:rsidRPr="00C85DEE" w:rsidP="003513DF" w14:paraId="6232A368" w14:textId="77777777">
      <w:pPr>
        <w:spacing w:after="120"/>
      </w:pPr>
      <w:r>
        <w:t>where</w:t>
      </w:r>
    </w:p>
    <w:p w:rsidR="003513DF" w:rsidRPr="00C85DEE" w:rsidP="003513DF" w14:paraId="4BB3B887" w14:textId="77777777">
      <w:pPr>
        <w:pStyle w:val="ListParagraph"/>
        <w:numPr>
          <w:ilvl w:val="0"/>
          <w:numId w:val="22"/>
        </w:numPr>
        <w:spacing w:after="120"/>
        <w:jc w:val="both"/>
      </w:pPr>
      <m:oMath>
        <m:sSub>
          <m:sSubPr>
            <m:ctrlPr>
              <w:rPr>
                <w:rFonts w:ascii="Cambria Math" w:hAnsi="Cambria Math"/>
                <w:b/>
                <w:i/>
              </w:rPr>
            </m:ctrlPr>
          </m:sSubPr>
          <m:e>
            <m:r>
              <m:rPr>
                <m:sty m:val="bi"/>
              </m:rPr>
              <w:rPr>
                <w:rFonts w:ascii="Cambria Math" w:hAnsi="Cambria Math"/>
              </w:rPr>
              <m:t>Z</m:t>
            </m:r>
          </m:e>
          <m:sub>
            <m:r>
              <m:rPr>
                <m:sty m:val="bi"/>
              </m:rPr>
              <w:rPr>
                <w:rFonts w:ascii="Cambria Math" w:hAnsi="Cambria Math"/>
              </w:rPr>
              <m:t>α</m:t>
            </m:r>
            <m:r>
              <m:rPr>
                <m:sty m:val="bi"/>
              </m:rPr>
              <w:rPr>
                <w:rFonts w:ascii="Cambria Math" w:hAnsi="Cambria Math"/>
              </w:rPr>
              <m:t>/</m:t>
            </m:r>
            <m:r>
              <m:rPr>
                <m:sty m:val="bi"/>
              </m:rPr>
              <w:rPr>
                <w:rFonts w:ascii="Cambria Math" w:hAnsi="Cambria Math"/>
              </w:rPr>
              <m:t>2</m:t>
            </m:r>
            <m:r>
              <m:rPr>
                <m:sty m:val="bi"/>
              </m:rPr>
              <w:rPr>
                <w:rFonts w:ascii="Cambria Math" w:hAnsi="Cambria Math"/>
              </w:rPr>
              <m:t xml:space="preserve"> </m:t>
            </m:r>
          </m:sub>
        </m:sSub>
      </m:oMath>
      <w:r w:rsidRPr="00C85DEE">
        <w:t>= 1.96, which is the critical Z score value under the normal distribution when using a 95% confidence level (α = 0.05).</w:t>
      </w:r>
    </w:p>
    <w:p w:rsidR="003513DF" w:rsidP="003513DF" w14:paraId="48BAF486" w14:textId="77777777">
      <w:pPr>
        <w:pStyle w:val="ListParagraph"/>
        <w:numPr>
          <w:ilvl w:val="0"/>
          <w:numId w:val="22"/>
        </w:numPr>
        <w:spacing w:after="120"/>
        <w:jc w:val="both"/>
        <w:rPr>
          <w:lang w:eastAsia="zh-CN"/>
        </w:rPr>
      </w:pPr>
      <w:r w:rsidRPr="00C85DEE">
        <w:rPr>
          <w:b/>
        </w:rPr>
        <w:t>p</w:t>
      </w:r>
      <w:r w:rsidRPr="00C85DEE">
        <w:t xml:space="preserve"> = </w:t>
      </w:r>
      <w:r w:rsidRPr="00C85DEE">
        <w:rPr>
          <w:lang w:eastAsia="zh-CN"/>
        </w:rPr>
        <w:t>the</w:t>
      </w:r>
      <w:r w:rsidRPr="00C85DEE">
        <w:t xml:space="preserve"> </w:t>
      </w:r>
      <w:r w:rsidRPr="00C85DEE">
        <w:rPr>
          <w:lang w:eastAsia="zh-CN"/>
        </w:rPr>
        <w:t>estimated proportion of an attribute that is present in</w:t>
      </w:r>
      <w:r w:rsidRPr="00C85DEE">
        <w:t xml:space="preserve"> </w:t>
      </w:r>
      <w:r w:rsidRPr="00C85DEE">
        <w:rPr>
          <w:lang w:eastAsia="zh-CN"/>
        </w:rPr>
        <w:t xml:space="preserve">the population, with q=1-p. </w:t>
      </w:r>
    </w:p>
    <w:p w:rsidR="003513DF" w:rsidRPr="004202EB" w:rsidP="003513DF" w14:paraId="47439E95" w14:textId="77777777">
      <w:pPr>
        <w:pStyle w:val="ListParagraph"/>
        <w:numPr>
          <w:ilvl w:val="0"/>
          <w:numId w:val="24"/>
        </w:numPr>
        <w:spacing w:after="120"/>
        <w:jc w:val="both"/>
        <w:rPr>
          <w:lang w:eastAsia="zh-CN"/>
        </w:rPr>
      </w:pPr>
      <w:r w:rsidRPr="004202EB">
        <w:rPr>
          <w:lang w:eastAsia="zh-CN"/>
        </w:rPr>
        <w:t xml:space="preserve">Note that </w:t>
      </w:r>
      <w:r w:rsidRPr="004202EB">
        <w:rPr>
          <w:lang w:eastAsia="zh-CN"/>
        </w:rPr>
        <w:t>pq</w:t>
      </w:r>
      <w:r w:rsidRPr="004202EB">
        <w:rPr>
          <w:lang w:eastAsia="zh-CN"/>
        </w:rPr>
        <w:t xml:space="preserve"> attains its maximum when value p=0.5, and this is </w:t>
      </w:r>
      <w:r>
        <w:rPr>
          <w:lang w:eastAsia="zh-CN"/>
        </w:rPr>
        <w:t>often</w:t>
      </w:r>
      <w:r w:rsidRPr="004202EB">
        <w:rPr>
          <w:lang w:eastAsia="zh-CN"/>
        </w:rPr>
        <w:t xml:space="preserve"> used for a conservative sample size (i.e., large enough for any proportion).</w:t>
      </w:r>
    </w:p>
    <w:p w:rsidR="003513DF" w:rsidRPr="00001AA3" w:rsidP="003513DF" w14:paraId="0827952C" w14:textId="77777777">
      <w:pPr>
        <w:pStyle w:val="ListParagraph"/>
        <w:numPr>
          <w:ilvl w:val="0"/>
          <w:numId w:val="22"/>
        </w:numPr>
        <w:spacing w:after="160" w:line="259" w:lineRule="auto"/>
        <w:jc w:val="both"/>
      </w:pPr>
      <w:r w:rsidRPr="00C85DEE">
        <w:rPr>
          <w:b/>
        </w:rPr>
        <w:t>e</w:t>
      </w:r>
      <w:r w:rsidRPr="00C85DEE">
        <w:t xml:space="preserve"> = the desired level of precision; Also referred to as </w:t>
      </w:r>
      <w:r w:rsidRPr="00C85DEE">
        <w:rPr>
          <w:b/>
        </w:rPr>
        <w:t>MOE</w:t>
      </w:r>
      <w:r w:rsidRPr="00C85DEE">
        <w:t>.</w:t>
      </w:r>
    </w:p>
    <w:p w:rsidR="003513DF" w:rsidRPr="00C85DEE" w:rsidP="003513DF" w14:paraId="719260B2" w14:textId="77777777">
      <w:pPr>
        <w:ind w:firstLine="720"/>
        <w:jc w:val="both"/>
      </w:pPr>
      <w:r w:rsidRPr="00C85DEE">
        <w:t xml:space="preserve">For a population that is relatively </w:t>
      </w:r>
      <w:r w:rsidRPr="00C85DEE">
        <w:rPr>
          <w:i/>
        </w:rPr>
        <w:t>small</w:t>
      </w:r>
      <w:r w:rsidRPr="00C85DEE">
        <w:t>, the finite population correction is used to yield a representative sample for proportions:</w:t>
      </w:r>
    </w:p>
    <w:p w:rsidR="003513DF" w:rsidRPr="00001AA3" w:rsidP="003513DF" w14:paraId="179470D9" w14:textId="77777777">
      <w:pPr>
        <w:jc w:val="center"/>
      </w:pPr>
      <w:bookmarkStart w:id="22" w:name="OLE_LINK2"/>
      <m:oMathPara>
        <m:oMath>
          <m:r>
            <w:rPr>
              <w:rFonts w:ascii="Cambria Math" w:hAnsi="Cambria Math"/>
            </w:rPr>
            <m:t>n=</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0</m:t>
                  </m:r>
                </m:sub>
              </m:sSub>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0</m:t>
                      </m:r>
                    </m:sub>
                  </m:sSub>
                </m:num>
                <m:den>
                  <m:r>
                    <w:rPr>
                      <w:rFonts w:ascii="Cambria Math" w:hAnsi="Cambria Math"/>
                    </w:rPr>
                    <m:t>N</m:t>
                  </m:r>
                </m:den>
              </m:f>
            </m:den>
          </m:f>
        </m:oMath>
      </m:oMathPara>
    </w:p>
    <w:bookmarkEnd w:id="22"/>
    <w:p w:rsidR="003513DF" w:rsidRPr="00C85DEE" w:rsidP="003513DF" w14:paraId="34B9E2C4" w14:textId="77777777">
      <w:pPr>
        <w:spacing w:after="120"/>
      </w:pPr>
      <w:r>
        <w:t>Where</w:t>
      </w:r>
    </w:p>
    <w:p w:rsidR="003513DF" w:rsidRPr="00001AA3" w:rsidP="003513DF" w14:paraId="5A3D39F1" w14:textId="77777777">
      <w:pPr>
        <w:pStyle w:val="ListParagraph"/>
        <w:numPr>
          <w:ilvl w:val="0"/>
          <w:numId w:val="23"/>
        </w:numPr>
        <w:spacing w:after="120"/>
        <w:ind w:left="0" w:firstLine="0"/>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0</m:t>
            </m:r>
          </m:sub>
        </m:sSub>
      </m:oMath>
      <w:r w:rsidRPr="00001AA3">
        <w:rPr>
          <w:b/>
        </w:rPr>
        <w:t xml:space="preserve"> </w:t>
      </w:r>
      <w:r w:rsidRPr="00001AA3">
        <w:t>= Representative sample for proportions when the population is large.</w:t>
      </w:r>
    </w:p>
    <w:p w:rsidR="003513DF" w:rsidP="003513DF" w14:paraId="79E4A9FD" w14:textId="77777777">
      <w:pPr>
        <w:pStyle w:val="ListParagraph"/>
        <w:numPr>
          <w:ilvl w:val="0"/>
          <w:numId w:val="23"/>
        </w:numPr>
        <w:spacing w:after="120"/>
        <w:ind w:left="0" w:firstLine="0"/>
      </w:pPr>
      <w:r w:rsidRPr="00001AA3">
        <w:rPr>
          <w:b/>
        </w:rPr>
        <w:t>N</w:t>
      </w:r>
      <w:r w:rsidRPr="00001AA3">
        <w:t xml:space="preserve"> = Population size</w:t>
      </w:r>
      <w:r>
        <w:t>.</w:t>
      </w:r>
    </w:p>
    <w:p w:rsidR="003513DF" w:rsidP="003513DF" w14:paraId="545A4E23" w14:textId="77777777">
      <w:pPr>
        <w:pStyle w:val="ListParagraph"/>
        <w:spacing w:after="120"/>
        <w:ind w:left="0"/>
      </w:pPr>
    </w:p>
    <w:p w:rsidR="003513DF" w:rsidRPr="00001AA3" w:rsidP="003513DF" w14:paraId="27747F0A" w14:textId="77777777">
      <w:pPr>
        <w:pStyle w:val="ListParagraph"/>
        <w:spacing w:after="120"/>
        <w:ind w:left="0"/>
      </w:pPr>
      <w:r w:rsidRPr="00001AA3">
        <w:t xml:space="preserve">The margin of error surrounding the baseline proportion </w:t>
      </w:r>
      <w:r>
        <w:t>is</w:t>
      </w:r>
      <w:r w:rsidRPr="00001AA3">
        <w:t xml:space="preserve"> calculated as</w:t>
      </w:r>
      <w:r>
        <w:t>:</w:t>
      </w:r>
    </w:p>
    <w:p w:rsidR="003513DF" w:rsidRPr="00DF4931" w:rsidP="003513DF" w14:paraId="3B3A72CF" w14:textId="77777777">
      <w:pPr>
        <w:pStyle w:val="ListParagraph"/>
        <w:spacing w:after="120"/>
        <w:ind w:left="0"/>
      </w:pPr>
      <m:oMathPara>
        <m:oMath>
          <m:r>
            <w:rPr>
              <w:rFonts w:ascii="Cambria Math" w:hAnsi="Cambria Math"/>
            </w:rPr>
            <m:t>Margin of error=</m:t>
          </m:r>
          <m:sSub>
            <m:sSubPr>
              <m:ctrlPr>
                <w:rPr>
                  <w:rFonts w:ascii="Cambria Math" w:hAnsi="Cambria Math"/>
                  <w:i/>
                </w:rPr>
              </m:ctrlPr>
            </m:sSubPr>
            <m:e>
              <m:r>
                <w:rPr>
                  <w:rFonts w:ascii="Cambria Math" w:hAnsi="Cambria Math"/>
                </w:rPr>
                <m:t>z</m:t>
              </m:r>
            </m:e>
            <m:sub>
              <m:r>
                <w:rPr>
                  <w:rFonts w:ascii="Cambria Math" w:hAnsi="Cambria Math"/>
                </w:rPr>
                <m:t>α/2</m:t>
              </m:r>
            </m:sub>
          </m:sSub>
          <m:rad>
            <m:radPr>
              <m:degHide/>
              <m:ctrlPr>
                <w:rPr>
                  <w:rFonts w:ascii="Cambria Math" w:hAnsi="Cambria Math"/>
                  <w:i/>
                </w:rPr>
              </m:ctrlPr>
            </m:radPr>
            <m:deg/>
            <m:e>
              <m:f>
                <m:fPr>
                  <m:ctrlPr>
                    <w:rPr>
                      <w:rFonts w:ascii="Cambria Math" w:hAnsi="Cambria Math"/>
                      <w:i/>
                    </w:rPr>
                  </m:ctrlPr>
                </m:fPr>
                <m:num>
                  <m:r>
                    <w:rPr>
                      <w:rFonts w:ascii="Cambria Math" w:hAnsi="Cambria Math"/>
                    </w:rPr>
                    <m:t>N-n</m:t>
                  </m:r>
                </m:num>
                <m:den>
                  <m:r>
                    <w:rPr>
                      <w:rFonts w:ascii="Cambria Math" w:hAnsi="Cambria Math"/>
                    </w:rPr>
                    <m:t>N-1</m:t>
                  </m:r>
                </m:den>
              </m:f>
            </m:e>
          </m:rad>
          <m:rad>
            <m:radPr>
              <m:degHide/>
              <m:ctrlPr>
                <w:rPr>
                  <w:rFonts w:ascii="Cambria Math" w:hAnsi="Cambria Math"/>
                  <w:i/>
                </w:rPr>
              </m:ctrlPr>
            </m:radPr>
            <m:deg/>
            <m:e>
              <m:f>
                <m:fPr>
                  <m:ctrlPr>
                    <w:rPr>
                      <w:rFonts w:ascii="Cambria Math" w:hAnsi="Cambria Math"/>
                      <w:i/>
                    </w:rPr>
                  </m:ctrlPr>
                </m:fPr>
                <m:num>
                  <m:r>
                    <w:rPr>
                      <w:rFonts w:ascii="Cambria Math" w:hAnsi="Cambria Math"/>
                    </w:rPr>
                    <m:t>p(1-p)</m:t>
                  </m:r>
                </m:num>
                <m:den>
                  <m:r>
                    <w:rPr>
                      <w:rFonts w:ascii="Cambria Math" w:hAnsi="Cambria Math"/>
                    </w:rPr>
                    <m:t>n</m:t>
                  </m:r>
                </m:den>
              </m:f>
            </m:e>
          </m:rad>
        </m:oMath>
      </m:oMathPara>
    </w:p>
    <w:p w:rsidR="003513DF" w:rsidRPr="00001AA3" w:rsidP="003513DF" w14:paraId="4C533050" w14:textId="77777777">
      <w:pPr>
        <w:pStyle w:val="ListParagraph"/>
        <w:spacing w:after="120"/>
        <w:ind w:left="0"/>
      </w:pPr>
      <w:r>
        <w:t>Where</w:t>
      </w:r>
    </w:p>
    <w:p w:rsidR="003513DF" w:rsidRPr="00001AA3" w:rsidP="003513DF" w14:paraId="2E7140FC" w14:textId="77777777">
      <w:pPr>
        <w:pStyle w:val="ListParagraph"/>
        <w:numPr>
          <w:ilvl w:val="0"/>
          <w:numId w:val="23"/>
        </w:numPr>
        <w:spacing w:after="120"/>
        <w:ind w:left="0" w:firstLine="0"/>
      </w:pPr>
      <m:oMath>
        <m:sSub>
          <m:sSubPr>
            <m:ctrlPr>
              <w:rPr>
                <w:rFonts w:ascii="Cambria Math" w:hAnsi="Cambria Math"/>
                <w:b/>
                <w:i/>
              </w:rPr>
            </m:ctrlPr>
          </m:sSubPr>
          <m:e>
            <m:r>
              <m:rPr>
                <m:sty m:val="bi"/>
              </m:rPr>
              <w:rPr>
                <w:rFonts w:ascii="Cambria Math" w:hAnsi="Cambria Math"/>
              </w:rPr>
              <m:t>Z</m:t>
            </m:r>
          </m:e>
          <m:sub>
            <m:r>
              <m:rPr>
                <m:sty m:val="bi"/>
              </m:rPr>
              <w:rPr>
                <w:rFonts w:ascii="Cambria Math" w:hAnsi="Cambria Math"/>
              </w:rPr>
              <m:t>α</m:t>
            </m:r>
            <m:r>
              <m:rPr>
                <m:sty m:val="bi"/>
              </m:rPr>
              <w:rPr>
                <w:rFonts w:ascii="Cambria Math" w:hAnsi="Cambria Math"/>
              </w:rPr>
              <m:t>/</m:t>
            </m:r>
            <m:r>
              <m:rPr>
                <m:sty m:val="bi"/>
              </m:rPr>
              <w:rPr>
                <w:rFonts w:ascii="Cambria Math" w:hAnsi="Cambria Math"/>
              </w:rPr>
              <m:t>2</m:t>
            </m:r>
            <m:r>
              <m:rPr>
                <m:sty m:val="bi"/>
              </m:rPr>
              <w:rPr>
                <w:rFonts w:ascii="Cambria Math" w:hAnsi="Cambria Math"/>
              </w:rPr>
              <m:t xml:space="preserve"> </m:t>
            </m:r>
          </m:sub>
        </m:sSub>
      </m:oMath>
      <w:r w:rsidRPr="00C85DEE">
        <w:t>= 1.96, which is the critical Z score value under the normal distribution when using a 95% confidence level (α = 0.05).</w:t>
      </w:r>
    </w:p>
    <w:p w:rsidR="003513DF" w:rsidP="003513DF" w14:paraId="49D6C7CE" w14:textId="77777777">
      <w:pPr>
        <w:pStyle w:val="ListParagraph"/>
        <w:numPr>
          <w:ilvl w:val="0"/>
          <w:numId w:val="23"/>
        </w:numPr>
        <w:spacing w:after="120"/>
        <w:ind w:left="0" w:firstLine="0"/>
      </w:pPr>
      <w:r w:rsidRPr="00001AA3">
        <w:rPr>
          <w:b/>
        </w:rPr>
        <w:t>N</w:t>
      </w:r>
      <w:r w:rsidRPr="00001AA3">
        <w:t xml:space="preserve"> = Population size</w:t>
      </w:r>
      <w:r>
        <w:t>.</w:t>
      </w:r>
    </w:p>
    <w:p w:rsidR="003513DF" w:rsidRPr="00E56D3D" w:rsidP="003513DF" w14:paraId="4FBC15E2" w14:textId="77777777">
      <w:pPr>
        <w:pStyle w:val="ListParagraph"/>
        <w:numPr>
          <w:ilvl w:val="0"/>
          <w:numId w:val="23"/>
        </w:numPr>
        <w:spacing w:after="120"/>
        <w:ind w:left="0" w:firstLine="0"/>
      </w:pPr>
      <w:r w:rsidRPr="00E56D3D">
        <w:rPr>
          <w:b/>
        </w:rPr>
        <w:t>n</w:t>
      </w:r>
      <w:r w:rsidRPr="00E56D3D">
        <w:t xml:space="preserve"> = Representative sample</w:t>
      </w:r>
      <w:r>
        <w:t>.</w:t>
      </w:r>
    </w:p>
    <w:p w:rsidR="003513DF" w:rsidRPr="00E56D3D" w:rsidP="003513DF" w14:paraId="7DA05617" w14:textId="77777777">
      <w:pPr>
        <w:pStyle w:val="ListParagraph"/>
        <w:numPr>
          <w:ilvl w:val="0"/>
          <w:numId w:val="23"/>
        </w:numPr>
        <w:spacing w:after="120"/>
        <w:ind w:left="0" w:firstLine="0"/>
      </w:pPr>
      <w:r w:rsidRPr="00C85DEE">
        <w:rPr>
          <w:b/>
        </w:rPr>
        <w:t>p</w:t>
      </w:r>
      <w:r w:rsidRPr="00C85DEE">
        <w:t xml:space="preserve"> = </w:t>
      </w:r>
      <w:r w:rsidRPr="00C85DEE">
        <w:rPr>
          <w:lang w:eastAsia="zh-CN"/>
        </w:rPr>
        <w:t>the</w:t>
      </w:r>
      <w:r w:rsidRPr="00C85DEE">
        <w:t xml:space="preserve"> </w:t>
      </w:r>
      <w:r w:rsidRPr="00C85DEE">
        <w:rPr>
          <w:lang w:eastAsia="zh-CN"/>
        </w:rPr>
        <w:t>estimated proportion of an attribute that is present in</w:t>
      </w:r>
      <w:r w:rsidRPr="00C85DEE">
        <w:t xml:space="preserve"> </w:t>
      </w:r>
      <w:r w:rsidRPr="00C85DEE">
        <w:rPr>
          <w:lang w:eastAsia="zh-CN"/>
        </w:rPr>
        <w:t>the population, with q=1-p.</w:t>
      </w:r>
    </w:p>
    <w:p w:rsidR="003513DF" w:rsidRPr="00E56D3D" w:rsidP="003513DF" w14:paraId="0B13AC24" w14:textId="77777777">
      <w:pPr>
        <w:pStyle w:val="ListParagraph"/>
        <w:spacing w:after="120"/>
        <w:ind w:left="0"/>
      </w:pPr>
    </w:p>
    <w:p w:rsidR="003513DF" w:rsidP="003513DF" w14:paraId="0CBF9741" w14:textId="77777777">
      <w:pPr>
        <w:ind w:firstLine="720"/>
      </w:pPr>
      <w:r w:rsidRPr="00C85DEE">
        <w:t xml:space="preserve">Table </w:t>
      </w:r>
      <w:r>
        <w:t xml:space="preserve">2 </w:t>
      </w:r>
      <w:r w:rsidRPr="00C85DEE">
        <w:t xml:space="preserve">depicts the </w:t>
      </w:r>
      <w:r>
        <w:t xml:space="preserve">estimated </w:t>
      </w:r>
      <w:r w:rsidRPr="00C85DEE">
        <w:t xml:space="preserve">number of unique </w:t>
      </w:r>
      <w:r>
        <w:t>VBA PCT customers</w:t>
      </w:r>
      <w:r w:rsidRPr="00C85DEE">
        <w:t xml:space="preserve"> </w:t>
      </w:r>
      <w:r>
        <w:t>within a month</w:t>
      </w:r>
      <w:r w:rsidRPr="00C85DEE">
        <w:t>. Preliminary analysis of th</w:t>
      </w:r>
      <w:r>
        <w:t>is</w:t>
      </w:r>
      <w:r w:rsidRPr="00C85DEE">
        <w:t xml:space="preserve"> population indicates that approximately </w:t>
      </w:r>
      <w:r>
        <w:rPr>
          <w:b/>
        </w:rPr>
        <w:t>55</w:t>
      </w:r>
      <w:r w:rsidRPr="00C85DEE">
        <w:rPr>
          <w:b/>
        </w:rPr>
        <w:t>%</w:t>
      </w:r>
      <w:r w:rsidRPr="00C85DEE">
        <w:t xml:space="preserve"> of </w:t>
      </w:r>
      <w:r>
        <w:t>qualifying customer</w:t>
      </w:r>
      <w:r w:rsidRPr="00C85DEE">
        <w:t xml:space="preserve">s have provided an email address to </w:t>
      </w:r>
      <w:r>
        <w:t>VBA PCT</w:t>
      </w:r>
      <w:r w:rsidRPr="00C85DEE">
        <w:t>.</w:t>
      </w:r>
      <w:r>
        <w:t xml:space="preserve"> VEO proposes to randomly sample VBA PCT customers for this survey. With current estimates, this would result in 9,842 completed surveys from 65,616 invitations per year. To account for potential estimation errors, improvement in email collection, or changes in business volume; we are requesting approval for a maximum of 10,842 completes annually. </w:t>
      </w:r>
      <w:r w:rsidRPr="00C85DEE">
        <w:t xml:space="preserve"> </w:t>
      </w:r>
    </w:p>
    <w:p w:rsidR="003513DF" w:rsidP="003513DF" w14:paraId="2D1A589B" w14:textId="77777777">
      <w:pPr>
        <w:rPr>
          <w:b/>
          <w:color w:val="5B9BD5" w:themeColor="accent1"/>
        </w:rPr>
      </w:pPr>
      <w:r w:rsidRPr="00C85DEE">
        <w:rPr>
          <w:b/>
          <w:color w:val="5B9BD5" w:themeColor="accent1"/>
        </w:rPr>
        <w:t xml:space="preserve">Table </w:t>
      </w:r>
      <w:r>
        <w:rPr>
          <w:b/>
          <w:color w:val="5B9BD5" w:themeColor="accent1"/>
        </w:rPr>
        <w:t>2</w:t>
      </w:r>
      <w:r w:rsidRPr="00C85DEE">
        <w:rPr>
          <w:b/>
          <w:color w:val="5B9BD5" w:themeColor="accent1"/>
        </w:rPr>
        <w:t xml:space="preserve">. </w:t>
      </w:r>
      <w:r>
        <w:rPr>
          <w:b/>
          <w:color w:val="5B9BD5" w:themeColor="accent1"/>
        </w:rPr>
        <w:t>Monthly</w:t>
      </w:r>
      <w:r w:rsidRPr="00C85DEE">
        <w:rPr>
          <w:b/>
          <w:color w:val="5B9BD5" w:themeColor="accent1"/>
        </w:rPr>
        <w:t xml:space="preserve"> Population </w:t>
      </w:r>
      <w:r>
        <w:rPr>
          <w:b/>
          <w:color w:val="5B9BD5" w:themeColor="accent1"/>
        </w:rPr>
        <w:t xml:space="preserve">and Survey </w:t>
      </w:r>
      <w:r w:rsidRPr="00C85DEE">
        <w:rPr>
          <w:b/>
          <w:color w:val="5B9BD5" w:themeColor="accent1"/>
        </w:rPr>
        <w:t>Figures</w:t>
      </w:r>
    </w:p>
    <w:tbl>
      <w:tblPr>
        <w:tblStyle w:val="GridTable4-Accent11"/>
        <w:tblW w:w="10768" w:type="dxa"/>
        <w:tblLook w:val="04A0"/>
      </w:tblPr>
      <w:tblGrid>
        <w:gridCol w:w="1705"/>
        <w:gridCol w:w="1308"/>
        <w:gridCol w:w="1521"/>
        <w:gridCol w:w="1389"/>
        <w:gridCol w:w="952"/>
        <w:gridCol w:w="995"/>
        <w:gridCol w:w="1171"/>
        <w:gridCol w:w="1336"/>
        <w:gridCol w:w="995"/>
      </w:tblGrid>
      <w:tr w14:paraId="531DEE3B" w14:textId="77777777" w:rsidTr="00D544F4">
        <w:tblPrEx>
          <w:tblW w:w="10768" w:type="dxa"/>
          <w:tblLook w:val="04A0"/>
        </w:tblPrEx>
        <w:trPr>
          <w:trHeight w:val="300"/>
        </w:trPr>
        <w:tc>
          <w:tcPr>
            <w:tcW w:w="1705" w:type="dxa"/>
            <w:noWrap/>
            <w:vAlign w:val="bottom"/>
            <w:hideMark/>
          </w:tcPr>
          <w:p w:rsidR="003513DF" w:rsidRPr="00904D32" w:rsidP="00D544F4" w14:paraId="66C5EA6E" w14:textId="77777777">
            <w:pPr>
              <w:jc w:val="center"/>
              <w:rPr>
                <w:rFonts w:ascii="Times New Roman" w:eastAsia="Times New Roman" w:hAnsi="Times New Roman" w:cs="Times New Roman"/>
                <w:sz w:val="20"/>
                <w:szCs w:val="20"/>
              </w:rPr>
            </w:pPr>
            <w:r w:rsidRPr="00BB3711">
              <w:rPr>
                <w:rFonts w:eastAsia="Times New Roman" w:cs="Times New Roman"/>
              </w:rPr>
              <w:t>Surveys</w:t>
            </w:r>
          </w:p>
        </w:tc>
        <w:tc>
          <w:tcPr>
            <w:tcW w:w="1217" w:type="dxa"/>
            <w:noWrap/>
            <w:vAlign w:val="bottom"/>
            <w:hideMark/>
          </w:tcPr>
          <w:p w:rsidR="003513DF" w:rsidRPr="00904D32" w:rsidP="00D544F4" w14:paraId="51BF59AC" w14:textId="77777777">
            <w:pPr>
              <w:jc w:val="center"/>
              <w:rPr>
                <w:rFonts w:eastAsia="Times New Roman" w:cs="Times New Roman"/>
              </w:rPr>
            </w:pPr>
            <w:r w:rsidRPr="00904D32">
              <w:rPr>
                <w:rFonts w:eastAsia="Times New Roman" w:cs="Times New Roman"/>
              </w:rPr>
              <w:t>Estimated Total Population</w:t>
            </w:r>
          </w:p>
        </w:tc>
        <w:tc>
          <w:tcPr>
            <w:tcW w:w="1412" w:type="dxa"/>
            <w:noWrap/>
            <w:vAlign w:val="bottom"/>
            <w:hideMark/>
          </w:tcPr>
          <w:p w:rsidR="003513DF" w:rsidRPr="00904D32" w:rsidP="00D544F4" w14:paraId="34E001EA" w14:textId="77777777">
            <w:pPr>
              <w:jc w:val="center"/>
              <w:rPr>
                <w:rFonts w:eastAsia="Times New Roman" w:cs="Times New Roman"/>
              </w:rPr>
            </w:pPr>
            <w:r w:rsidRPr="00904D32">
              <w:rPr>
                <w:rFonts w:eastAsia="Times New Roman" w:cs="Times New Roman"/>
              </w:rPr>
              <w:t>Approximate Email Population</w:t>
            </w:r>
          </w:p>
        </w:tc>
        <w:tc>
          <w:tcPr>
            <w:tcW w:w="1288" w:type="dxa"/>
            <w:noWrap/>
            <w:vAlign w:val="bottom"/>
            <w:hideMark/>
          </w:tcPr>
          <w:p w:rsidR="003513DF" w:rsidRPr="00904D32" w:rsidP="00D544F4" w14:paraId="10B62D1A" w14:textId="77777777">
            <w:pPr>
              <w:jc w:val="center"/>
              <w:rPr>
                <w:rFonts w:eastAsia="Times New Roman" w:cs="Times New Roman"/>
              </w:rPr>
            </w:pPr>
            <w:r w:rsidRPr="00904D32">
              <w:rPr>
                <w:rFonts w:eastAsia="Times New Roman" w:cs="Times New Roman"/>
              </w:rPr>
              <w:t>Available Population</w:t>
            </w:r>
            <w:r w:rsidRPr="00BD2DF3">
              <w:rPr>
                <w:rFonts w:eastAsia="Times New Roman" w:cs="Times New Roman"/>
                <w:vertAlign w:val="superscript"/>
              </w:rPr>
              <w:t>1</w:t>
            </w:r>
          </w:p>
        </w:tc>
        <w:tc>
          <w:tcPr>
            <w:tcW w:w="891" w:type="dxa"/>
            <w:tcBorders>
              <w:right w:val="single" w:sz="4" w:space="0" w:color="5B9BD5" w:themeColor="accent1"/>
            </w:tcBorders>
          </w:tcPr>
          <w:p w:rsidR="003513DF" w:rsidP="00D544F4" w14:paraId="37ECEFAD" w14:textId="77777777">
            <w:pPr>
              <w:jc w:val="center"/>
              <w:rPr>
                <w:rFonts w:eastAsia="Times New Roman" w:cs="Times New Roman"/>
                <w:b w:val="0"/>
                <w:bCs w:val="0"/>
              </w:rPr>
            </w:pPr>
          </w:p>
          <w:p w:rsidR="003513DF" w:rsidP="00D544F4" w14:paraId="17B3804A" w14:textId="77777777">
            <w:pPr>
              <w:jc w:val="center"/>
              <w:rPr>
                <w:rFonts w:eastAsia="Times New Roman" w:cs="Times New Roman"/>
                <w:b w:val="0"/>
                <w:bCs w:val="0"/>
              </w:rPr>
            </w:pPr>
          </w:p>
          <w:p w:rsidR="003513DF" w:rsidP="00D544F4" w14:paraId="5C4D5273" w14:textId="77777777">
            <w:pPr>
              <w:jc w:val="center"/>
              <w:rPr>
                <w:rFonts w:eastAsia="Times New Roman" w:cs="Times New Roman"/>
              </w:rPr>
            </w:pPr>
            <w:r>
              <w:rPr>
                <w:rFonts w:eastAsia="Times New Roman" w:cs="Times New Roman"/>
              </w:rPr>
              <w:t>Target Sample</w:t>
            </w:r>
          </w:p>
        </w:tc>
        <w:tc>
          <w:tcPr>
            <w:tcW w:w="930" w:type="dxa"/>
            <w:tcBorders>
              <w:right w:val="single" w:sz="4" w:space="0" w:color="5B9BD5" w:themeColor="accent1"/>
            </w:tcBorders>
          </w:tcPr>
          <w:p w:rsidR="003513DF" w:rsidP="00D544F4" w14:paraId="1D60EF21" w14:textId="77777777">
            <w:pPr>
              <w:jc w:val="center"/>
              <w:rPr>
                <w:rFonts w:eastAsia="Times New Roman" w:cs="Times New Roman"/>
                <w:b w:val="0"/>
                <w:bCs w:val="0"/>
              </w:rPr>
            </w:pPr>
          </w:p>
          <w:p w:rsidR="003513DF" w:rsidP="00D544F4" w14:paraId="2AC2874D" w14:textId="77777777">
            <w:pPr>
              <w:jc w:val="center"/>
              <w:rPr>
                <w:rFonts w:eastAsia="Times New Roman" w:cs="Times New Roman"/>
              </w:rPr>
            </w:pPr>
            <w:r>
              <w:rPr>
                <w:rFonts w:eastAsia="Times New Roman" w:cs="Times New Roman"/>
              </w:rPr>
              <w:t>Actual Sample Needed</w:t>
            </w:r>
          </w:p>
        </w:tc>
        <w:tc>
          <w:tcPr>
            <w:tcW w:w="1142" w:type="dxa"/>
            <w:tcBorders>
              <w:left w:val="single" w:sz="4" w:space="0" w:color="5B9BD5" w:themeColor="accent1"/>
            </w:tcBorders>
          </w:tcPr>
          <w:p w:rsidR="003513DF" w:rsidP="00D544F4" w14:paraId="03CD654D" w14:textId="77777777">
            <w:pPr>
              <w:jc w:val="center"/>
              <w:rPr>
                <w:rFonts w:eastAsia="Times New Roman" w:cs="Times New Roman"/>
                <w:b w:val="0"/>
                <w:bCs w:val="0"/>
              </w:rPr>
            </w:pPr>
          </w:p>
          <w:p w:rsidR="003513DF" w:rsidRPr="00904D32" w:rsidP="00D544F4" w14:paraId="79B3E3A8" w14:textId="77777777">
            <w:pPr>
              <w:jc w:val="center"/>
              <w:rPr>
                <w:rFonts w:eastAsia="Times New Roman" w:cs="Times New Roman"/>
              </w:rPr>
            </w:pPr>
            <w:r>
              <w:rPr>
                <w:rFonts w:eastAsia="Times New Roman" w:cs="Times New Roman"/>
              </w:rPr>
              <w:t>Expected Response Rate</w:t>
            </w:r>
          </w:p>
        </w:tc>
        <w:tc>
          <w:tcPr>
            <w:tcW w:w="1243" w:type="dxa"/>
          </w:tcPr>
          <w:p w:rsidR="003513DF" w:rsidP="00D544F4" w14:paraId="05319613" w14:textId="77777777">
            <w:pPr>
              <w:jc w:val="center"/>
              <w:rPr>
                <w:rFonts w:eastAsia="Times New Roman" w:cs="Times New Roman"/>
                <w:b w:val="0"/>
                <w:bCs w:val="0"/>
              </w:rPr>
            </w:pPr>
          </w:p>
          <w:p w:rsidR="003513DF" w:rsidP="00D544F4" w14:paraId="5A571C0F" w14:textId="77777777">
            <w:pPr>
              <w:jc w:val="center"/>
              <w:rPr>
                <w:rFonts w:eastAsia="Times New Roman" w:cs="Times New Roman"/>
              </w:rPr>
            </w:pPr>
            <w:r>
              <w:rPr>
                <w:rFonts w:eastAsia="Times New Roman" w:cs="Times New Roman"/>
              </w:rPr>
              <w:t>Error With 95% Confidence</w:t>
            </w:r>
          </w:p>
        </w:tc>
        <w:tc>
          <w:tcPr>
            <w:tcW w:w="940" w:type="dxa"/>
            <w:noWrap/>
            <w:vAlign w:val="bottom"/>
            <w:hideMark/>
          </w:tcPr>
          <w:p w:rsidR="003513DF" w:rsidRPr="00904D32" w:rsidP="00D544F4" w14:paraId="5ADC5E63" w14:textId="77777777">
            <w:pPr>
              <w:jc w:val="center"/>
              <w:rPr>
                <w:rFonts w:eastAsia="Times New Roman" w:cs="Times New Roman"/>
              </w:rPr>
            </w:pPr>
            <w:r>
              <w:rPr>
                <w:rFonts w:eastAsia="Times New Roman" w:cs="Times New Roman"/>
              </w:rPr>
              <w:t>Yearly Actual Sample Needed</w:t>
            </w:r>
          </w:p>
        </w:tc>
      </w:tr>
      <w:tr w14:paraId="4212B21D" w14:textId="77777777" w:rsidTr="00D544F4">
        <w:tblPrEx>
          <w:tblW w:w="10768" w:type="dxa"/>
          <w:tblLook w:val="04A0"/>
        </w:tblPrEx>
        <w:trPr>
          <w:trHeight w:val="300"/>
        </w:trPr>
        <w:tc>
          <w:tcPr>
            <w:tcW w:w="1705" w:type="dxa"/>
            <w:noWrap/>
            <w:hideMark/>
          </w:tcPr>
          <w:p w:rsidR="003513DF" w:rsidRPr="00904D32" w:rsidP="00D544F4" w14:paraId="3E492759" w14:textId="77777777">
            <w:pPr>
              <w:rPr>
                <w:rFonts w:eastAsia="Times New Roman" w:cs="Times New Roman"/>
                <w:color w:val="000000"/>
              </w:rPr>
            </w:pPr>
            <w:r>
              <w:rPr>
                <w:rFonts w:eastAsia="Times New Roman" w:cs="Times New Roman"/>
                <w:color w:val="000000"/>
              </w:rPr>
              <w:t xml:space="preserve">Public Contact Team survey </w:t>
            </w:r>
          </w:p>
        </w:tc>
        <w:tc>
          <w:tcPr>
            <w:tcW w:w="1217" w:type="dxa"/>
            <w:tcBorders>
              <w:top w:val="nil"/>
              <w:left w:val="nil"/>
              <w:bottom w:val="single" w:sz="8" w:space="0" w:color="9CC2E5"/>
              <w:right w:val="single" w:sz="8" w:space="0" w:color="9CC2E5"/>
            </w:tcBorders>
            <w:shd w:val="clear" w:color="000000" w:fill="DEEAF6"/>
            <w:noWrap/>
            <w:vAlign w:val="center"/>
          </w:tcPr>
          <w:p w:rsidR="003513DF" w:rsidRPr="00904D32" w:rsidP="00D544F4" w14:paraId="177759FA" w14:textId="77777777">
            <w:pPr>
              <w:jc w:val="center"/>
              <w:rPr>
                <w:rFonts w:eastAsia="Times New Roman" w:cs="Times New Roman"/>
                <w:color w:val="000000"/>
              </w:rPr>
            </w:pPr>
            <w:r>
              <w:rPr>
                <w:rFonts w:eastAsia="Times New Roman" w:cs="Times New Roman"/>
                <w:color w:val="000000"/>
              </w:rPr>
              <w:t>26,201</w:t>
            </w:r>
          </w:p>
        </w:tc>
        <w:tc>
          <w:tcPr>
            <w:tcW w:w="1412" w:type="dxa"/>
            <w:tcBorders>
              <w:top w:val="nil"/>
              <w:left w:val="nil"/>
              <w:bottom w:val="single" w:sz="8" w:space="0" w:color="9CC2E5"/>
              <w:right w:val="single" w:sz="8" w:space="0" w:color="9CC2E5"/>
            </w:tcBorders>
            <w:shd w:val="clear" w:color="000000" w:fill="DEEAF6"/>
            <w:noWrap/>
            <w:vAlign w:val="center"/>
          </w:tcPr>
          <w:p w:rsidR="003513DF" w:rsidRPr="00904D32" w:rsidP="00D544F4" w14:paraId="58C37AB9" w14:textId="77777777">
            <w:pPr>
              <w:jc w:val="center"/>
              <w:rPr>
                <w:rFonts w:eastAsia="Times New Roman" w:cs="Times New Roman"/>
                <w:color w:val="000000"/>
              </w:rPr>
            </w:pPr>
            <w:r>
              <w:rPr>
                <w:rFonts w:eastAsia="Times New Roman" w:cs="Times New Roman"/>
                <w:color w:val="000000"/>
              </w:rPr>
              <w:t>14,411</w:t>
            </w:r>
          </w:p>
        </w:tc>
        <w:tc>
          <w:tcPr>
            <w:tcW w:w="1288" w:type="dxa"/>
            <w:tcBorders>
              <w:top w:val="nil"/>
              <w:left w:val="nil"/>
              <w:bottom w:val="single" w:sz="8" w:space="0" w:color="9CC2E5"/>
              <w:right w:val="single" w:sz="8" w:space="0" w:color="9CC2E5"/>
            </w:tcBorders>
            <w:shd w:val="clear" w:color="000000" w:fill="DEEAF6"/>
            <w:noWrap/>
            <w:vAlign w:val="center"/>
          </w:tcPr>
          <w:p w:rsidR="003513DF" w:rsidRPr="00904D32" w:rsidP="00D544F4" w14:paraId="5E48002B" w14:textId="77777777">
            <w:pPr>
              <w:jc w:val="center"/>
              <w:rPr>
                <w:rFonts w:eastAsia="Times New Roman" w:cs="Times New Roman"/>
                <w:color w:val="000000"/>
              </w:rPr>
            </w:pPr>
            <w:r>
              <w:rPr>
                <w:rFonts w:eastAsia="Times New Roman" w:cs="Times New Roman"/>
                <w:color w:val="000000"/>
              </w:rPr>
              <w:t>10,088</w:t>
            </w:r>
          </w:p>
        </w:tc>
        <w:tc>
          <w:tcPr>
            <w:tcW w:w="891" w:type="dxa"/>
            <w:tcBorders>
              <w:top w:val="nil"/>
              <w:left w:val="single" w:sz="4" w:space="0" w:color="9CC2E5" w:themeColor="accent1" w:themeTint="99"/>
              <w:bottom w:val="single" w:sz="8" w:space="0" w:color="9CC2E5"/>
              <w:right w:val="single" w:sz="4" w:space="0" w:color="9CC2E5" w:themeColor="accent1" w:themeTint="99"/>
            </w:tcBorders>
            <w:shd w:val="clear" w:color="000000" w:fill="DEEAF6"/>
          </w:tcPr>
          <w:p w:rsidR="003513DF" w:rsidRPr="00C50FBE" w:rsidP="00D544F4" w14:paraId="0B3B6038" w14:textId="77777777">
            <w:pPr>
              <w:jc w:val="center"/>
              <w:rPr>
                <w:rFonts w:eastAsia="Times New Roman" w:cs="Times New Roman"/>
                <w:color w:val="000000"/>
              </w:rPr>
            </w:pPr>
            <w:r>
              <w:rPr>
                <w:rFonts w:eastAsia="Times New Roman" w:cs="Times New Roman"/>
                <w:color w:val="000000"/>
              </w:rPr>
              <w:t>820</w:t>
            </w:r>
          </w:p>
        </w:tc>
        <w:tc>
          <w:tcPr>
            <w:tcW w:w="930" w:type="dxa"/>
            <w:tcBorders>
              <w:top w:val="nil"/>
              <w:left w:val="single" w:sz="4" w:space="0" w:color="9CC2E5" w:themeColor="accent1" w:themeTint="99"/>
              <w:bottom w:val="single" w:sz="8" w:space="0" w:color="9CC2E5"/>
              <w:right w:val="single" w:sz="4" w:space="0" w:color="9CC2E5" w:themeColor="accent1" w:themeTint="99"/>
            </w:tcBorders>
            <w:shd w:val="clear" w:color="000000" w:fill="DEEAF6"/>
          </w:tcPr>
          <w:p w:rsidR="003513DF" w:rsidRPr="00C50FBE" w:rsidP="00D544F4" w14:paraId="7FE6FBB6" w14:textId="77777777">
            <w:pPr>
              <w:jc w:val="center"/>
              <w:rPr>
                <w:rFonts w:eastAsia="Times New Roman" w:cs="Times New Roman"/>
                <w:color w:val="000000"/>
              </w:rPr>
            </w:pPr>
            <w:r>
              <w:rPr>
                <w:rFonts w:eastAsia="Times New Roman" w:cs="Times New Roman"/>
                <w:color w:val="000000"/>
              </w:rPr>
              <w:t>5,468</w:t>
            </w:r>
          </w:p>
        </w:tc>
        <w:tc>
          <w:tcPr>
            <w:tcW w:w="1142" w:type="dxa"/>
            <w:tcBorders>
              <w:top w:val="nil"/>
              <w:left w:val="single" w:sz="4" w:space="0" w:color="9CC2E5" w:themeColor="accent1" w:themeTint="99"/>
              <w:bottom w:val="single" w:sz="8" w:space="0" w:color="9CC2E5"/>
              <w:right w:val="single" w:sz="4" w:space="0" w:color="9CC2E5" w:themeColor="accent1" w:themeTint="99"/>
            </w:tcBorders>
            <w:shd w:val="clear" w:color="000000" w:fill="DEEAF6"/>
          </w:tcPr>
          <w:p w:rsidR="003513DF" w:rsidRPr="00C50FBE" w:rsidP="00D544F4" w14:paraId="5B537E3C" w14:textId="77777777">
            <w:pPr>
              <w:jc w:val="center"/>
              <w:rPr>
                <w:rFonts w:eastAsia="Times New Roman" w:cs="Times New Roman"/>
                <w:color w:val="000000"/>
              </w:rPr>
            </w:pPr>
            <w:r>
              <w:rPr>
                <w:rFonts w:eastAsia="Times New Roman" w:cs="Times New Roman"/>
                <w:color w:val="000000"/>
              </w:rPr>
              <w:t>15%</w:t>
            </w:r>
          </w:p>
        </w:tc>
        <w:tc>
          <w:tcPr>
            <w:tcW w:w="1243" w:type="dxa"/>
            <w:tcBorders>
              <w:top w:val="nil"/>
              <w:left w:val="nil"/>
              <w:bottom w:val="single" w:sz="8" w:space="0" w:color="9CC2E5"/>
              <w:right w:val="single" w:sz="4" w:space="0" w:color="9CC2E5"/>
            </w:tcBorders>
            <w:shd w:val="clear" w:color="000000" w:fill="DEEAF6"/>
          </w:tcPr>
          <w:p w:rsidR="003513DF" w:rsidRPr="00904D32" w:rsidP="00D544F4" w14:paraId="2D1EAD39" w14:textId="77777777">
            <w:pPr>
              <w:jc w:val="center"/>
              <w:rPr>
                <w:rFonts w:eastAsia="Times New Roman" w:cs="Times New Roman"/>
                <w:color w:val="000000"/>
              </w:rPr>
            </w:pPr>
            <w:r>
              <w:rPr>
                <w:rFonts w:eastAsia="Times New Roman" w:cs="Times New Roman"/>
                <w:color w:val="000000"/>
              </w:rPr>
              <w:t>3.0%</w:t>
            </w:r>
          </w:p>
        </w:tc>
        <w:tc>
          <w:tcPr>
            <w:tcW w:w="940" w:type="dxa"/>
            <w:tcBorders>
              <w:top w:val="nil"/>
              <w:left w:val="single" w:sz="4" w:space="0" w:color="9CC2E5"/>
              <w:bottom w:val="single" w:sz="8" w:space="0" w:color="9CC2E5"/>
              <w:right w:val="single" w:sz="8" w:space="0" w:color="9CC2E5"/>
            </w:tcBorders>
            <w:shd w:val="clear" w:color="000000" w:fill="DEEAF6"/>
            <w:noWrap/>
            <w:vAlign w:val="center"/>
          </w:tcPr>
          <w:p w:rsidR="003513DF" w:rsidRPr="00904D32" w:rsidP="00D544F4" w14:paraId="0CE82CFE" w14:textId="77777777">
            <w:pPr>
              <w:jc w:val="center"/>
              <w:rPr>
                <w:rFonts w:eastAsia="Times New Roman" w:cs="Times New Roman"/>
                <w:color w:val="000000"/>
              </w:rPr>
            </w:pPr>
            <w:r>
              <w:rPr>
                <w:rFonts w:eastAsia="Times New Roman" w:cs="Times New Roman"/>
                <w:color w:val="000000"/>
              </w:rPr>
              <w:t>65,616</w:t>
            </w:r>
          </w:p>
        </w:tc>
      </w:tr>
    </w:tbl>
    <w:p w:rsidR="003513DF" w:rsidP="003513DF" w14:paraId="6247D1F5" w14:textId="77777777">
      <w:pPr>
        <w:spacing w:after="240"/>
        <w:rPr>
          <w:sz w:val="20"/>
          <w:szCs w:val="20"/>
        </w:rPr>
      </w:pPr>
      <w:r w:rsidRPr="00BD2DF3">
        <w:rPr>
          <w:vertAlign w:val="superscript"/>
        </w:rPr>
        <w:t>1</w:t>
      </w:r>
      <w:r>
        <w:t xml:space="preserve"> </w:t>
      </w:r>
      <w:r w:rsidRPr="00BD2DF3">
        <w:rPr>
          <w:sz w:val="20"/>
          <w:szCs w:val="20"/>
        </w:rPr>
        <w:t>Excluding estimated duplicates and quarantined records (30% loss)</w:t>
      </w:r>
    </w:p>
    <w:p w:rsidR="003513DF" w:rsidRPr="00FD276A" w:rsidP="003513DF" w14:paraId="784E9285" w14:textId="77777777">
      <w:pPr>
        <w:pStyle w:val="Heading2"/>
        <w:numPr>
          <w:ilvl w:val="0"/>
          <w:numId w:val="21"/>
        </w:numPr>
        <w:spacing w:after="240"/>
      </w:pPr>
      <w:bookmarkStart w:id="23" w:name="_Toc92890681"/>
      <w:bookmarkStart w:id="24" w:name="_Toc511750805"/>
      <w:r w:rsidRPr="00FD276A">
        <w:t>Stratification</w:t>
      </w:r>
      <w:bookmarkEnd w:id="23"/>
    </w:p>
    <w:p w:rsidR="003513DF" w:rsidP="003513DF" w14:paraId="7957F572" w14:textId="77777777">
      <w:pPr>
        <w:ind w:firstLine="360"/>
      </w:pPr>
      <w:r>
        <w:t>Stratification is used to ensure that the sample matches the population, to the extent possible, across sub-populations. The sample will also use implicit sampling to assure that the sample reflects the demographic breakdown by veteran gender.</w:t>
      </w:r>
    </w:p>
    <w:p w:rsidR="003513DF" w:rsidRPr="00C85DEE" w:rsidP="003513DF" w14:paraId="3E6FFD71" w14:textId="77777777">
      <w:pPr>
        <w:pStyle w:val="Heading2"/>
        <w:numPr>
          <w:ilvl w:val="0"/>
          <w:numId w:val="21"/>
        </w:numPr>
        <w:spacing w:after="240"/>
      </w:pPr>
      <w:bookmarkStart w:id="25" w:name="_Toc92890682"/>
      <w:r w:rsidRPr="00C85DEE">
        <w:t>Data Collection Methods</w:t>
      </w:r>
      <w:bookmarkEnd w:id="24"/>
      <w:bookmarkEnd w:id="25"/>
    </w:p>
    <w:p w:rsidR="003513DF" w:rsidRPr="008D7DA5" w:rsidP="003513DF" w14:paraId="695AA899" w14:textId="77777777">
      <w:pPr>
        <w:pStyle w:val="ListParagraph"/>
        <w:spacing w:after="240"/>
        <w:ind w:left="0" w:firstLine="360"/>
      </w:pPr>
      <w:r>
        <w:t>The population for the survey will be provided to the VEO team from the Office of Field Operations (OFO).</w:t>
      </w:r>
      <w:r w:rsidRPr="00C85DEE">
        <w:t xml:space="preserve"> </w:t>
      </w:r>
      <w:r>
        <w:t xml:space="preserve">OFO will provide the data for those PCT customers that had an interaction with the PCT the previous week. </w:t>
      </w:r>
      <w:r w:rsidRPr="00C85DEE">
        <w:t xml:space="preserve">Email </w:t>
      </w:r>
      <w:r>
        <w:t xml:space="preserve">invitations </w:t>
      </w:r>
      <w:r w:rsidRPr="00C85DEE">
        <w:t xml:space="preserve">are delivered to all </w:t>
      </w:r>
      <w:r>
        <w:t xml:space="preserve">randomly </w:t>
      </w:r>
      <w:r w:rsidRPr="00C85DEE">
        <w:t xml:space="preserve">selected </w:t>
      </w:r>
      <w:r>
        <w:t>customer</w:t>
      </w:r>
      <w:r w:rsidRPr="00C85DEE">
        <w:t xml:space="preserve">s. Selected respondents will be contacted within </w:t>
      </w:r>
      <w:r>
        <w:t>8 days</w:t>
      </w:r>
      <w:r w:rsidRPr="00C85DEE">
        <w:t xml:space="preserve"> of their </w:t>
      </w:r>
      <w:r>
        <w:t>interaction</w:t>
      </w:r>
      <w:r w:rsidRPr="00C85DEE">
        <w:t>. They will have 14 days to complete the survey. Estimates will be accessible to data users instantly</w:t>
      </w:r>
      <w:r>
        <w:t xml:space="preserve"> on the VSignals platform</w:t>
      </w:r>
      <w:r w:rsidRPr="00C85DEE">
        <w:t xml:space="preserve">. </w:t>
      </w:r>
    </w:p>
    <w:p w:rsidR="003513DF" w:rsidRPr="00C85DEE" w:rsidP="003513DF" w14:paraId="5602D989" w14:textId="77777777">
      <w:pPr>
        <w:spacing w:after="240"/>
        <w:jc w:val="both"/>
        <w:rPr>
          <w:b/>
          <w:color w:val="5B9BD5" w:themeColor="accent1"/>
        </w:rPr>
      </w:pPr>
      <w:r w:rsidRPr="00C85DEE">
        <w:rPr>
          <w:b/>
          <w:color w:val="5B9BD5" w:themeColor="accent1"/>
        </w:rPr>
        <w:t>Table 3. Survey Mode</w:t>
      </w:r>
    </w:p>
    <w:tbl>
      <w:tblPr>
        <w:tblStyle w:val="GridTable4-Accent11"/>
        <w:tblW w:w="0" w:type="auto"/>
        <w:jc w:val="center"/>
        <w:tblLook w:val="04A0"/>
      </w:tblPr>
      <w:tblGrid>
        <w:gridCol w:w="2154"/>
        <w:gridCol w:w="1625"/>
        <w:gridCol w:w="1897"/>
        <w:gridCol w:w="1542"/>
        <w:gridCol w:w="1502"/>
      </w:tblGrid>
      <w:tr w14:paraId="4F046FFA" w14:textId="77777777" w:rsidTr="00D544F4">
        <w:tblPrEx>
          <w:tblW w:w="0" w:type="auto"/>
          <w:jc w:val="center"/>
          <w:tblLook w:val="04A0"/>
        </w:tblPrEx>
        <w:trPr>
          <w:jc w:val="center"/>
        </w:trPr>
        <w:tc>
          <w:tcPr>
            <w:tcW w:w="2324" w:type="dxa"/>
          </w:tcPr>
          <w:p w:rsidR="003513DF" w:rsidRPr="00D65964" w:rsidP="00D544F4" w14:paraId="46604272" w14:textId="77777777">
            <w:pPr>
              <w:spacing w:after="120"/>
              <w:rPr>
                <w:rFonts w:ascii="Times New Roman" w:hAnsi="Times New Roman" w:cs="Times New Roman"/>
                <w:b w:val="0"/>
              </w:rPr>
            </w:pPr>
            <w:r w:rsidRPr="00D65964">
              <w:rPr>
                <w:rFonts w:ascii="Times New Roman" w:hAnsi="Times New Roman" w:cs="Times New Roman"/>
              </w:rPr>
              <w:t>Mode of Data Collection</w:t>
            </w:r>
          </w:p>
          <w:p w:rsidR="003513DF" w:rsidRPr="00D65964" w:rsidP="00D544F4" w14:paraId="75E1FBE8" w14:textId="77777777">
            <w:pPr>
              <w:spacing w:after="120"/>
              <w:rPr>
                <w:rFonts w:ascii="Times New Roman" w:hAnsi="Times New Roman" w:cs="Times New Roman"/>
                <w:b w:val="0"/>
              </w:rPr>
            </w:pPr>
          </w:p>
        </w:tc>
        <w:tc>
          <w:tcPr>
            <w:tcW w:w="1647" w:type="dxa"/>
          </w:tcPr>
          <w:p w:rsidR="003513DF" w:rsidRPr="00D65964" w:rsidP="00D544F4" w14:paraId="7989F414" w14:textId="77777777">
            <w:pPr>
              <w:spacing w:after="120"/>
              <w:rPr>
                <w:rFonts w:ascii="Times New Roman" w:hAnsi="Times New Roman" w:cs="Times New Roman"/>
                <w:b w:val="0"/>
              </w:rPr>
            </w:pPr>
            <w:r w:rsidRPr="00D65964">
              <w:rPr>
                <w:rFonts w:ascii="Times New Roman" w:hAnsi="Times New Roman" w:cs="Times New Roman"/>
              </w:rPr>
              <w:t>Recruitment Method</w:t>
            </w:r>
          </w:p>
        </w:tc>
        <w:tc>
          <w:tcPr>
            <w:tcW w:w="1980" w:type="dxa"/>
          </w:tcPr>
          <w:p w:rsidR="003513DF" w:rsidRPr="00D65964" w:rsidP="00D544F4" w14:paraId="3C65ACC2" w14:textId="77777777">
            <w:pPr>
              <w:spacing w:after="120"/>
              <w:rPr>
                <w:rFonts w:ascii="Times New Roman" w:hAnsi="Times New Roman" w:cs="Times New Roman"/>
                <w:b w:val="0"/>
              </w:rPr>
            </w:pPr>
            <w:r w:rsidRPr="00D65964">
              <w:rPr>
                <w:rFonts w:ascii="Times New Roman" w:hAnsi="Times New Roman" w:cs="Times New Roman"/>
              </w:rPr>
              <w:t xml:space="preserve">Time After Transaction </w:t>
            </w:r>
          </w:p>
        </w:tc>
        <w:tc>
          <w:tcPr>
            <w:tcW w:w="1548" w:type="dxa"/>
          </w:tcPr>
          <w:p w:rsidR="003513DF" w:rsidRPr="00D65964" w:rsidP="00D544F4" w14:paraId="23A1744E" w14:textId="77777777">
            <w:pPr>
              <w:spacing w:after="120"/>
              <w:rPr>
                <w:rFonts w:ascii="Times New Roman" w:hAnsi="Times New Roman" w:cs="Times New Roman"/>
                <w:b w:val="0"/>
              </w:rPr>
            </w:pPr>
            <w:r w:rsidRPr="00D65964">
              <w:rPr>
                <w:rFonts w:ascii="Times New Roman" w:hAnsi="Times New Roman" w:cs="Times New Roman"/>
              </w:rPr>
              <w:t>Recruitment  Period</w:t>
            </w:r>
          </w:p>
        </w:tc>
        <w:tc>
          <w:tcPr>
            <w:tcW w:w="1548" w:type="dxa"/>
          </w:tcPr>
          <w:p w:rsidR="003513DF" w:rsidRPr="00D65964" w:rsidP="00D544F4" w14:paraId="03F7A869" w14:textId="77777777">
            <w:pPr>
              <w:spacing w:after="120"/>
              <w:rPr>
                <w:rFonts w:ascii="Times New Roman" w:hAnsi="Times New Roman" w:cs="Times New Roman"/>
              </w:rPr>
            </w:pPr>
            <w:r w:rsidRPr="00D65964">
              <w:rPr>
                <w:rFonts w:ascii="Times New Roman" w:hAnsi="Times New Roman" w:cs="Times New Roman"/>
              </w:rPr>
              <w:t>Collection Days</w:t>
            </w:r>
          </w:p>
        </w:tc>
      </w:tr>
      <w:tr w14:paraId="1B1CDF89" w14:textId="77777777" w:rsidTr="00D544F4">
        <w:tblPrEx>
          <w:tblW w:w="0" w:type="auto"/>
          <w:jc w:val="center"/>
          <w:tblLook w:val="04A0"/>
        </w:tblPrEx>
        <w:trPr>
          <w:jc w:val="center"/>
        </w:trPr>
        <w:tc>
          <w:tcPr>
            <w:tcW w:w="2324" w:type="dxa"/>
          </w:tcPr>
          <w:p w:rsidR="003513DF" w:rsidRPr="00C85DEE" w:rsidP="00D544F4" w14:paraId="7848AD9F" w14:textId="77777777">
            <w:pPr>
              <w:spacing w:after="120"/>
              <w:rPr>
                <w:rFonts w:ascii="Times New Roman" w:hAnsi="Times New Roman" w:cs="Times New Roman"/>
              </w:rPr>
            </w:pPr>
            <w:r w:rsidRPr="00C85DEE">
              <w:rPr>
                <w:rFonts w:ascii="Times New Roman" w:hAnsi="Times New Roman" w:cs="Times New Roman"/>
              </w:rPr>
              <w:t>Online Survey</w:t>
            </w:r>
          </w:p>
        </w:tc>
        <w:tc>
          <w:tcPr>
            <w:tcW w:w="1647" w:type="dxa"/>
          </w:tcPr>
          <w:p w:rsidR="003513DF" w:rsidRPr="00C85DEE" w:rsidP="00D544F4" w14:paraId="1739AADE" w14:textId="77777777">
            <w:pPr>
              <w:spacing w:after="120"/>
              <w:rPr>
                <w:rFonts w:ascii="Times New Roman" w:hAnsi="Times New Roman" w:cs="Times New Roman"/>
              </w:rPr>
            </w:pPr>
            <w:r w:rsidRPr="00C85DEE">
              <w:rPr>
                <w:rFonts w:ascii="Times New Roman" w:hAnsi="Times New Roman" w:cs="Times New Roman"/>
              </w:rPr>
              <w:t>Email Recruitment</w:t>
            </w:r>
          </w:p>
        </w:tc>
        <w:tc>
          <w:tcPr>
            <w:tcW w:w="1980" w:type="dxa"/>
          </w:tcPr>
          <w:p w:rsidR="003513DF" w:rsidRPr="00C85DEE" w:rsidP="00D544F4" w14:paraId="1A5CD51A" w14:textId="77777777">
            <w:pPr>
              <w:spacing w:after="120"/>
              <w:rPr>
                <w:rFonts w:ascii="Times New Roman" w:hAnsi="Times New Roman" w:cs="Times New Roman"/>
              </w:rPr>
            </w:pPr>
            <w:r w:rsidRPr="00C85DEE">
              <w:rPr>
                <w:rFonts w:ascii="Times New Roman" w:hAnsi="Times New Roman" w:cs="Times New Roman"/>
              </w:rPr>
              <w:t xml:space="preserve">Within </w:t>
            </w:r>
            <w:r>
              <w:rPr>
                <w:rFonts w:ascii="Times New Roman" w:hAnsi="Times New Roman" w:cs="Times New Roman"/>
              </w:rPr>
              <w:t>8 days of interaction</w:t>
            </w:r>
          </w:p>
        </w:tc>
        <w:tc>
          <w:tcPr>
            <w:tcW w:w="1548" w:type="dxa"/>
          </w:tcPr>
          <w:p w:rsidR="003513DF" w:rsidRPr="00C85DEE" w:rsidP="00D544F4" w14:paraId="766800BD" w14:textId="77777777">
            <w:pPr>
              <w:spacing w:after="120"/>
              <w:rPr>
                <w:rFonts w:ascii="Times New Roman" w:hAnsi="Times New Roman" w:cs="Times New Roman"/>
              </w:rPr>
            </w:pPr>
            <w:r w:rsidRPr="00C85DEE">
              <w:rPr>
                <w:rFonts w:ascii="Times New Roman" w:hAnsi="Times New Roman" w:cs="Times New Roman"/>
              </w:rPr>
              <w:t>14 Days</w:t>
            </w:r>
          </w:p>
          <w:p w:rsidR="003513DF" w:rsidRPr="00C85DEE" w:rsidP="00D544F4" w14:paraId="0EF138A4" w14:textId="77777777">
            <w:pPr>
              <w:spacing w:after="120"/>
              <w:rPr>
                <w:rFonts w:ascii="Times New Roman" w:hAnsi="Times New Roman" w:cs="Times New Roman"/>
              </w:rPr>
            </w:pPr>
            <w:r w:rsidRPr="00C85DEE">
              <w:rPr>
                <w:rFonts w:ascii="Times New Roman" w:hAnsi="Times New Roman" w:cs="Times New Roman"/>
              </w:rPr>
              <w:t>(Reminder after 7 Days)</w:t>
            </w:r>
          </w:p>
        </w:tc>
        <w:tc>
          <w:tcPr>
            <w:tcW w:w="1548" w:type="dxa"/>
          </w:tcPr>
          <w:p w:rsidR="003513DF" w:rsidRPr="00C85DEE" w:rsidP="00D544F4" w14:paraId="5716A74B" w14:textId="77777777">
            <w:pPr>
              <w:spacing w:after="120"/>
              <w:rPr>
                <w:rFonts w:ascii="Times New Roman" w:hAnsi="Times New Roman" w:cs="Times New Roman"/>
              </w:rPr>
            </w:pPr>
            <w:r>
              <w:rPr>
                <w:rFonts w:ascii="Times New Roman" w:hAnsi="Times New Roman" w:cs="Times New Roman"/>
              </w:rPr>
              <w:t>Tuesday</w:t>
            </w:r>
          </w:p>
        </w:tc>
      </w:tr>
    </w:tbl>
    <w:p w:rsidR="003513DF" w:rsidRPr="00C85DEE" w:rsidP="003513DF" w14:paraId="3DB844D7" w14:textId="77777777"/>
    <w:p w:rsidR="003513DF" w:rsidRPr="00C85DEE" w:rsidP="003513DF" w14:paraId="6135BD2D" w14:textId="77777777">
      <w:pPr>
        <w:pStyle w:val="Heading2"/>
        <w:numPr>
          <w:ilvl w:val="0"/>
          <w:numId w:val="21"/>
        </w:numPr>
        <w:spacing w:after="240"/>
      </w:pPr>
      <w:bookmarkStart w:id="26" w:name="_Toc511750806"/>
      <w:bookmarkStart w:id="27" w:name="_Toc92890683"/>
      <w:r w:rsidRPr="00C85DEE">
        <w:t>Reporting</w:t>
      </w:r>
      <w:bookmarkEnd w:id="26"/>
      <w:bookmarkEnd w:id="27"/>
    </w:p>
    <w:p w:rsidR="003513DF" w:rsidP="003513DF" w14:paraId="65A755B7" w14:textId="77777777">
      <w:pPr>
        <w:spacing w:after="240"/>
        <w:ind w:left="58" w:firstLine="662"/>
      </w:pPr>
      <w:r w:rsidRPr="00C85DEE">
        <w:t xml:space="preserve">Researchers will be able to use </w:t>
      </w:r>
      <w:r>
        <w:t xml:space="preserve">the VSignals platform </w:t>
      </w:r>
      <w:r w:rsidRPr="00C85DEE">
        <w:t>for interactive reporting and data visualization.</w:t>
      </w:r>
      <w:r>
        <w:t xml:space="preserve"> Trust, Ease, Effectiveness, and Emotion scores can be observed for each). The scores may be viewed by various subgroups (e.g. gender) in various charts for different perspective. They are also depicted within time series plots to investigate trends. Finally,</w:t>
      </w:r>
      <w:r w:rsidRPr="00C85DEE">
        <w:t xml:space="preserve"> filter </w:t>
      </w:r>
      <w:r>
        <w:t>options are available to assess scores at varying time periods and</w:t>
      </w:r>
      <w:r w:rsidRPr="00C85DEE">
        <w:t xml:space="preserve"> within the context of other collected variable information.</w:t>
      </w:r>
    </w:p>
    <w:p w:rsidR="003513DF" w:rsidRPr="00C85DEE" w:rsidP="003513DF" w14:paraId="5F903CAC" w14:textId="77777777">
      <w:pPr>
        <w:spacing w:after="240"/>
        <w:ind w:left="58" w:firstLine="662"/>
      </w:pPr>
      <w:r w:rsidRPr="00FF32AB">
        <w:t xml:space="preserve">Recruitment is continuous (weekly) but the results from several weeks may be combined into a </w:t>
      </w:r>
      <w:r>
        <w:rPr>
          <w:i/>
        </w:rPr>
        <w:t>quarterly</w:t>
      </w:r>
      <w:r>
        <w:t xml:space="preserve"> estimate for more precise estimates, which is the recommended reporting level. </w:t>
      </w:r>
    </w:p>
    <w:p w:rsidR="003513DF" w:rsidRPr="00C85DEE" w:rsidP="003513DF" w14:paraId="3B74819B" w14:textId="77777777">
      <w:pPr>
        <w:pStyle w:val="Heading2"/>
        <w:numPr>
          <w:ilvl w:val="0"/>
          <w:numId w:val="21"/>
        </w:numPr>
        <w:spacing w:after="240"/>
      </w:pPr>
      <w:bookmarkStart w:id="28" w:name="_Toc92890684"/>
      <w:bookmarkStart w:id="29" w:name="_Toc511750807"/>
      <w:r w:rsidRPr="00C85DEE">
        <w:t>Quality Control</w:t>
      </w:r>
      <w:bookmarkEnd w:id="28"/>
    </w:p>
    <w:p w:rsidR="003513DF" w:rsidRPr="00C34DFE" w:rsidP="003513DF" w14:paraId="7F9CD918" w14:textId="77777777">
      <w:pPr>
        <w:spacing w:after="240"/>
        <w:ind w:firstLine="720"/>
      </w:pPr>
      <w:r w:rsidRPr="00C34DFE">
        <w:t xml:space="preserve">To ensure the prevention of errors and inconsistencies in the data and the analysis, quality control procedures will be instituted in several steps of the survey process. Records will undergo a cleaning </w:t>
      </w:r>
      <w:r w:rsidRPr="00C34DFE">
        <w:rPr>
          <w:u w:val="single"/>
        </w:rPr>
        <w:t>during the population file creation</w:t>
      </w:r>
      <w:r w:rsidRPr="00C34DFE">
        <w:t>.  The quality control steps are as follows.</w:t>
      </w:r>
    </w:p>
    <w:p w:rsidR="003513DF" w:rsidRPr="0014589C" w:rsidP="003513DF" w14:paraId="3F4159FE" w14:textId="77777777">
      <w:pPr>
        <w:pStyle w:val="ListParagraph"/>
        <w:numPr>
          <w:ilvl w:val="0"/>
          <w:numId w:val="25"/>
        </w:numPr>
        <w:spacing w:after="120"/>
      </w:pPr>
      <w:r w:rsidRPr="0014589C">
        <w:rPr>
          <w:rFonts w:eastAsia="Calibri"/>
        </w:rPr>
        <w:t>Records will be reviewed for missing data.  When records with missing data are discovered, they will be either excluded from the population file</w:t>
      </w:r>
      <w:r>
        <w:rPr>
          <w:rFonts w:eastAsia="Calibri"/>
        </w:rPr>
        <w:t xml:space="preserve"> when required</w:t>
      </w:r>
      <w:r w:rsidRPr="0014589C">
        <w:rPr>
          <w:rFonts w:eastAsia="Calibri"/>
        </w:rPr>
        <w:t xml:space="preserve"> or </w:t>
      </w:r>
      <w:r>
        <w:rPr>
          <w:rFonts w:eastAsia="Calibri"/>
        </w:rPr>
        <w:t>coded as missing.</w:t>
      </w:r>
    </w:p>
    <w:p w:rsidR="003513DF" w:rsidRPr="0014589C" w:rsidP="003513DF" w14:paraId="49262AE2" w14:textId="77777777">
      <w:pPr>
        <w:pStyle w:val="ListParagraph"/>
        <w:numPr>
          <w:ilvl w:val="0"/>
          <w:numId w:val="25"/>
        </w:numPr>
        <w:spacing w:after="100" w:afterAutospacing="1"/>
        <w:rPr>
          <w:rFonts w:eastAsia="Calibri"/>
        </w:rPr>
      </w:pPr>
      <w:r w:rsidRPr="0014589C">
        <w:rPr>
          <w:rFonts w:eastAsia="Calibri"/>
        </w:rPr>
        <w:t xml:space="preserve">Any duplicate records will be removed from the population file to both maintain the probabilities of selection and prevent the double sampling of the same </w:t>
      </w:r>
      <w:r>
        <w:rPr>
          <w:rFonts w:eastAsia="Calibri"/>
        </w:rPr>
        <w:t>customer</w:t>
      </w:r>
      <w:r w:rsidRPr="0014589C">
        <w:rPr>
          <w:rFonts w:eastAsia="Calibri"/>
        </w:rPr>
        <w:t>.</w:t>
      </w:r>
    </w:p>
    <w:p w:rsidR="003513DF" w:rsidRPr="0014589C" w:rsidP="003513DF" w14:paraId="5847F020" w14:textId="77777777">
      <w:pPr>
        <w:pStyle w:val="ListParagraph"/>
        <w:numPr>
          <w:ilvl w:val="0"/>
          <w:numId w:val="25"/>
        </w:numPr>
        <w:spacing w:after="100" w:afterAutospacing="1"/>
        <w:rPr>
          <w:rFonts w:eastAsia="Calibri"/>
        </w:rPr>
      </w:pPr>
      <w:r w:rsidRPr="0014589C">
        <w:rPr>
          <w:rFonts w:eastAsia="Calibri"/>
        </w:rPr>
        <w:t>Invalid emails will be removed.</w:t>
      </w:r>
    </w:p>
    <w:p w:rsidR="003513DF" w:rsidRPr="00C34DFE" w:rsidP="003513DF" w14:paraId="5AD3D52A" w14:textId="77777777">
      <w:pPr>
        <w:spacing w:after="120"/>
        <w:ind w:firstLine="720"/>
      </w:pPr>
      <w:r w:rsidRPr="00C34DFE">
        <w:t xml:space="preserve">The survey sample </w:t>
      </w:r>
      <w:r w:rsidRPr="00C34DFE">
        <w:rPr>
          <w:u w:val="single"/>
        </w:rPr>
        <w:t>loading and administration processes will</w:t>
      </w:r>
      <w:r w:rsidRPr="00C34DFE">
        <w:t xml:space="preserve"> have quality control measures built into them.</w:t>
      </w:r>
    </w:p>
    <w:p w:rsidR="003513DF" w:rsidRPr="002C62A4" w:rsidP="003513DF" w14:paraId="0BA5886C" w14:textId="77777777">
      <w:pPr>
        <w:pStyle w:val="ListParagraph"/>
        <w:numPr>
          <w:ilvl w:val="0"/>
          <w:numId w:val="27"/>
        </w:numPr>
        <w:spacing w:after="120"/>
        <w:rPr>
          <w:rFonts w:eastAsia="Calibri"/>
        </w:rPr>
      </w:pPr>
      <w:r w:rsidRPr="002C62A4">
        <w:rPr>
          <w:rFonts w:eastAsia="Calibri"/>
        </w:rPr>
        <w:t>The extracted sample will be reviewed for representativeness. A secondary review will be applied to the final respondent sample.</w:t>
      </w:r>
    </w:p>
    <w:p w:rsidR="003513DF" w:rsidRPr="002C62A4" w:rsidP="003513DF" w14:paraId="686F5ABE" w14:textId="77777777">
      <w:pPr>
        <w:pStyle w:val="ListParagraph"/>
        <w:numPr>
          <w:ilvl w:val="0"/>
          <w:numId w:val="27"/>
        </w:numPr>
        <w:spacing w:after="120"/>
        <w:rPr>
          <w:rFonts w:eastAsia="Calibri"/>
        </w:rPr>
      </w:pPr>
      <w:r w:rsidRPr="002C62A4">
        <w:rPr>
          <w:rFonts w:eastAsia="Calibri"/>
        </w:rPr>
        <w:t xml:space="preserve">The survey load process will be rigorously tested prior to the induction of the </w:t>
      </w:r>
      <w:r>
        <w:rPr>
          <w:rFonts w:eastAsia="Calibri"/>
        </w:rPr>
        <w:t>s</w:t>
      </w:r>
      <w:r w:rsidRPr="002C62A4">
        <w:rPr>
          <w:rFonts w:eastAsia="Calibri"/>
        </w:rPr>
        <w:t>urvey to ensure that sampled customers is not inadvertently dropped or sent multiple emails.</w:t>
      </w:r>
    </w:p>
    <w:p w:rsidR="003513DF" w:rsidRPr="002C62A4" w:rsidP="003513DF" w14:paraId="12F91E1E" w14:textId="77777777">
      <w:pPr>
        <w:pStyle w:val="ListParagraph"/>
        <w:numPr>
          <w:ilvl w:val="0"/>
          <w:numId w:val="27"/>
        </w:numPr>
        <w:spacing w:after="120"/>
        <w:rPr>
          <w:rFonts w:eastAsia="Calibri"/>
        </w:rPr>
      </w:pPr>
      <w:r w:rsidRPr="002C62A4">
        <w:rPr>
          <w:rFonts w:eastAsia="Calibri"/>
        </w:rPr>
        <w:t xml:space="preserve">The email delivery process is monitored to ensure that bounce-back records will not hold up the email delivery process.  </w:t>
      </w:r>
    </w:p>
    <w:p w:rsidR="003513DF" w:rsidRPr="002C62A4" w:rsidP="003513DF" w14:paraId="7A05185F" w14:textId="77777777">
      <w:pPr>
        <w:pStyle w:val="ListParagraph"/>
        <w:spacing w:after="120"/>
        <w:rPr>
          <w:rFonts w:eastAsia="Calibri"/>
        </w:rPr>
      </w:pPr>
    </w:p>
    <w:p w:rsidR="003513DF" w:rsidRPr="00C85DEE" w:rsidP="003513DF" w14:paraId="3084EC8C" w14:textId="77777777">
      <w:pPr>
        <w:pStyle w:val="Heading2"/>
        <w:numPr>
          <w:ilvl w:val="0"/>
          <w:numId w:val="21"/>
        </w:numPr>
        <w:spacing w:after="240"/>
      </w:pPr>
      <w:bookmarkStart w:id="30" w:name="_Toc92890685"/>
      <w:r w:rsidRPr="00C85DEE">
        <w:t>Sample Weighting, Coverage Bias, and Non-Response Bias</w:t>
      </w:r>
      <w:bookmarkEnd w:id="29"/>
      <w:bookmarkEnd w:id="30"/>
    </w:p>
    <w:p w:rsidR="003513DF" w:rsidRPr="00984AA9" w:rsidP="003513DF" w14:paraId="76739065" w14:textId="77777777">
      <w:pPr>
        <w:spacing w:after="120"/>
        <w:ind w:firstLine="720"/>
      </w:pPr>
      <w:r w:rsidRPr="00984AA9">
        <w:t xml:space="preserve">A final respondent sample should closely resemble the true population, in terms of the demographic distributions (e.g. age groups). One problem that arises in the survey collection process is </w:t>
      </w:r>
      <w:r w:rsidRPr="00984AA9">
        <w:rPr>
          <w:b/>
          <w:i/>
        </w:rPr>
        <w:t>nonresponse</w:t>
      </w:r>
      <w:r w:rsidRPr="00984AA9">
        <w:t xml:space="preserve">, which is defined as failure of selected persons in the sample to provide responses. This occurs in various degrees to </w:t>
      </w:r>
      <w:r w:rsidRPr="00984AA9">
        <w:rPr>
          <w:i/>
        </w:rPr>
        <w:t>all</w:t>
      </w:r>
      <w:r w:rsidRPr="00984AA9">
        <w:t xml:space="preserve"> surveys, but the resulting estimates can be distorted when some groups are actually more or less prone to complete the survey. In many applications, younger people are less likely to participate than older persons. Another problem is </w:t>
      </w:r>
      <w:r w:rsidRPr="00984AA9">
        <w:rPr>
          <w:b/>
          <w:i/>
        </w:rPr>
        <w:t>under-coverage</w:t>
      </w:r>
      <w:r w:rsidRPr="00984AA9">
        <w:t xml:space="preserve">, which is the event that certain groups of interest in the population are not even included in the sampling frame. They cannot participate because they cannot be contacted: those without an email address will be excluded from sample frame. These two phenomena may cause some groups to be over- or under-represented. In such cases, when the respondent population does not match the true population, conclusions drawn from the survey data may not be reliable and are said to be </w:t>
      </w:r>
      <w:r w:rsidRPr="00984AA9">
        <w:rPr>
          <w:b/>
        </w:rPr>
        <w:t>biased</w:t>
      </w:r>
      <w:r w:rsidRPr="00984AA9">
        <w:t>.</w:t>
      </w:r>
    </w:p>
    <w:p w:rsidR="003513DF" w:rsidRPr="00984AA9" w:rsidP="003513DF" w14:paraId="4A777537" w14:textId="77777777">
      <w:pPr>
        <w:spacing w:after="120"/>
        <w:ind w:firstLine="720"/>
      </w:pPr>
      <w:r>
        <w:t>While we are not currently planning to weight the data, s</w:t>
      </w:r>
      <w:r w:rsidRPr="00984AA9">
        <w:t xml:space="preserve">urvey practitioners recommend the use of sampling weighting to improve inference on the population. This will be introduced into the survey process as a tool that helps the respondent sample more closely represent the overall population. Weighting adjustments are commonly applied in surveys to correct for nonresponse bias and coverage bias. As a business rule will be </w:t>
      </w:r>
      <w:r w:rsidRPr="00984AA9">
        <w:t xml:space="preserve">implemented to require callers to provide email address, the coverage bias for </w:t>
      </w:r>
      <w:r>
        <w:t xml:space="preserve">this survey </w:t>
      </w:r>
      <w:r w:rsidRPr="00984AA9">
        <w:t xml:space="preserve">is expected to </w:t>
      </w:r>
      <w:r>
        <w:t>decrease</w:t>
      </w:r>
      <w:r w:rsidRPr="00984AA9">
        <w:t xml:space="preserve">. In many surveys, however, differential response rates may be observed across age groups. </w:t>
      </w:r>
      <w:r w:rsidRPr="00984AA9">
        <w:t>In the event that</w:t>
      </w:r>
      <w:r w:rsidRPr="00984AA9">
        <w:t xml:space="preserve"> some age groups are more represented in the final respondent sample, the weighting application will yield somewhat smaller weights for this age group. Conversely, age groups that are underrepresented will receive larger weights. This phenomenon is termed </w:t>
      </w:r>
      <w:r w:rsidRPr="00984AA9">
        <w:rPr>
          <w:i/>
        </w:rPr>
        <w:t>non-response bias correction</w:t>
      </w:r>
      <w:r w:rsidRPr="00984AA9">
        <w:t xml:space="preserve"> for a single variable. Strictly speaking, we can never know how non-respondents would have really answered the question, but the </w:t>
      </w:r>
      <w:r w:rsidRPr="00984AA9">
        <w:t>aforementioned adjustment</w:t>
      </w:r>
      <w:r w:rsidRPr="00984AA9">
        <w:t xml:space="preserve"> calibrates the sample to resemble the full population – from the perspective of demographics. This may result in a substantial correction in the resulting weighting survey estimates when compared to direct estimates in the presence of non-negligible sample error (non-response bias).</w:t>
      </w:r>
    </w:p>
    <w:p w:rsidR="003513DF" w:rsidRPr="00BF5747" w:rsidP="003513DF" w14:paraId="63D8A901" w14:textId="77777777">
      <w:pPr>
        <w:spacing w:after="120"/>
        <w:ind w:firstLine="720"/>
      </w:pPr>
      <w:r w:rsidRPr="002F5243">
        <w:t xml:space="preserve">It was reported earlier that the email population comprises </w:t>
      </w:r>
      <w:r>
        <w:t>55</w:t>
      </w:r>
      <w:r w:rsidRPr="002F5243">
        <w:t xml:space="preserve">% of the full </w:t>
      </w:r>
      <w:r>
        <w:t xml:space="preserve">VBA PCT </w:t>
      </w:r>
      <w:r w:rsidRPr="002F5243">
        <w:t xml:space="preserve">population. </w:t>
      </w:r>
      <w:r>
        <w:t>This is lower than the reported number of veterans that utilize email (88%</w:t>
      </w:r>
      <w:r>
        <w:t>)</w:t>
      </w:r>
      <w:r>
        <w:t xml:space="preserve"> but the PCT population does not consist of only veterans (</w:t>
      </w:r>
      <w:r w:rsidRPr="00297363">
        <w:t>National Telecommunications and Information Administration</w:t>
      </w:r>
      <w:r>
        <w:t>, 2020).</w:t>
      </w:r>
      <w:r w:rsidRPr="002F5243">
        <w:t xml:space="preserve"> It is assumed that the level of</w:t>
      </w:r>
      <w:r>
        <w:t xml:space="preserve"> customer</w:t>
      </w:r>
      <w:r w:rsidRPr="002F5243">
        <w:t xml:space="preserve"> satisfaction is not directly related to their email status (Missing at Random).</w:t>
      </w:r>
    </w:p>
    <w:p w:rsidR="003513DF" w:rsidRPr="00F14B85" w:rsidP="003513DF" w14:paraId="09D86608" w14:textId="77777777">
      <w:pPr>
        <w:spacing w:after="120"/>
        <w:ind w:firstLine="720"/>
      </w:pPr>
      <w:r>
        <w:t>When implemented, weighting will utilize cell weights in real time. With each query on the VSignals platform for each respondent by dividing the target for a cell by the number of respondents in the cell. The weighting scheme will include, where possible all the variables used for explicit stratification, However, cells will be collapsed if the proportion of the population is insufficient to reliably achieve a minimum of 3 completes per month. As a result, weights may be more comprehensive for larger population segments. For instance, in the VA, women are a smaller proportion of the populations. Therefore, woman will have more collapsed cells than men.</w:t>
      </w:r>
    </w:p>
    <w:p w:rsidR="003513DF" w:rsidRPr="00222409" w:rsidP="003513DF" w14:paraId="4DCEEC24" w14:textId="77777777">
      <w:pPr>
        <w:spacing w:after="240"/>
        <w:ind w:firstLine="720"/>
      </w:pPr>
      <w:r w:rsidRPr="00C85DEE">
        <w:t>As part of the weighting validation process, the weights of persons in</w:t>
      </w:r>
      <w:r>
        <w:t xml:space="preserve"> age and gender</w:t>
      </w:r>
      <w:r w:rsidRPr="00C85DEE">
        <w:t xml:space="preserve"> group</w:t>
      </w:r>
      <w:r>
        <w:t>s</w:t>
      </w:r>
      <w:r w:rsidRPr="00C85DEE">
        <w:t xml:space="preserve"> are summed and verified that they match the universe estimates (i.e., population totals). Additionally, we calculate the </w:t>
      </w:r>
      <w:r w:rsidRPr="00C85DEE">
        <w:rPr>
          <w:i/>
        </w:rPr>
        <w:t>unequal weighting effect</w:t>
      </w:r>
      <w:r w:rsidRPr="00C85DEE">
        <w:t xml:space="preserve">, or UWE (see Kish, 1992; Liu et al., 2002). This statistic is an indication of the amount of variation that may be expected due to the inclusion of weighting. </w:t>
      </w:r>
      <w:r w:rsidRPr="00222409">
        <w:t>The unequal weighting effect estimates the percent increase in the variance of the final estimate due to the presence of weights and is calculated as</w:t>
      </w:r>
      <w:r>
        <w:t>:</w:t>
      </w:r>
    </w:p>
    <w:p w:rsidR="003513DF" w:rsidRPr="00222409" w:rsidP="003513DF" w14:paraId="1645F381" w14:textId="77777777">
      <w:pPr>
        <w:spacing w:after="240"/>
      </w:pPr>
      <m:oMathPara>
        <m:oMath>
          <m:r>
            <w:rPr>
              <w:rFonts w:ascii="Cambria Math" w:hAnsi="Cambria Math" w:cstheme="minorHAnsi"/>
            </w:rPr>
            <m:t>UWE=1+</m:t>
          </m:r>
          <m:sSubSup>
            <m:sSubSupPr>
              <m:ctrlPr>
                <w:rPr>
                  <w:rFonts w:ascii="Cambria Math" w:hAnsi="Cambria Math" w:cstheme="minorHAnsi"/>
                  <w:i/>
                </w:rPr>
              </m:ctrlPr>
            </m:sSubSupPr>
            <m:e>
              <m:r>
                <w:rPr>
                  <w:rFonts w:ascii="Cambria Math" w:hAnsi="Cambria Math" w:cstheme="minorHAnsi"/>
                </w:rPr>
                <m:t>cv</m:t>
              </m:r>
            </m:e>
            <m:sub>
              <m:r>
                <w:rPr>
                  <w:rFonts w:ascii="Cambria Math" w:hAnsi="Cambria Math" w:cstheme="minorHAnsi"/>
                </w:rPr>
                <m:t>weights</m:t>
              </m:r>
            </m:sub>
            <m:sup>
              <m:r>
                <w:rPr>
                  <w:rFonts w:ascii="Cambria Math" w:hAnsi="Cambria Math" w:cstheme="minorHAnsi"/>
                </w:rPr>
                <m:t>2</m:t>
              </m:r>
            </m:sup>
          </m:sSubSup>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m:t>
              </m:r>
              <m:f>
                <m:fPr>
                  <m:ctrlPr>
                    <w:rPr>
                      <w:rFonts w:ascii="Cambria Math" w:hAnsi="Cambria Math" w:cstheme="minorHAnsi"/>
                      <w:i/>
                    </w:rPr>
                  </m:ctrlPr>
                </m:fPr>
                <m:num>
                  <m:r>
                    <w:rPr>
                      <w:rFonts w:ascii="Cambria Math" w:hAnsi="Cambria Math" w:cstheme="minorHAnsi"/>
                    </w:rPr>
                    <m:t>s</m:t>
                  </m:r>
                </m:num>
                <m:den>
                  <m:acc>
                    <m:accPr>
                      <m:chr m:val="̅"/>
                      <m:ctrlPr>
                        <w:rPr>
                          <w:rFonts w:ascii="Cambria Math" w:hAnsi="Cambria Math" w:cstheme="minorHAnsi"/>
                          <w:i/>
                        </w:rPr>
                      </m:ctrlPr>
                    </m:accPr>
                    <m:e>
                      <m:r>
                        <w:rPr>
                          <w:rFonts w:ascii="Cambria Math" w:hAnsi="Cambria Math" w:cstheme="minorHAnsi"/>
                        </w:rPr>
                        <m:t>w</m:t>
                      </m:r>
                    </m:e>
                  </m:acc>
                </m:den>
              </m:f>
              <m:r>
                <w:rPr>
                  <w:rFonts w:ascii="Cambria Math" w:hAnsi="Cambria Math" w:cstheme="minorHAnsi"/>
                </w:rPr>
                <m:t>)</m:t>
              </m:r>
            </m:e>
            <m:sup>
              <m:r>
                <w:rPr>
                  <w:rFonts w:ascii="Cambria Math" w:hAnsi="Cambria Math" w:cstheme="minorHAnsi"/>
                </w:rPr>
                <m:t>2</m:t>
              </m:r>
            </m:sup>
          </m:sSup>
        </m:oMath>
      </m:oMathPara>
    </w:p>
    <w:p w:rsidR="003513DF" w:rsidP="003513DF" w14:paraId="149B47D9" w14:textId="77777777">
      <w:pPr>
        <w:spacing w:after="120"/>
      </w:pPr>
      <w:r w:rsidRPr="00222409">
        <w:t>where</w:t>
      </w:r>
      <w:r w:rsidRPr="00222409">
        <w:t xml:space="preserve"> </w:t>
      </w:r>
    </w:p>
    <w:p w:rsidR="003513DF" w:rsidP="003513DF" w14:paraId="24201B36" w14:textId="77777777">
      <w:pPr>
        <w:pStyle w:val="ListParagraph"/>
        <w:numPr>
          <w:ilvl w:val="0"/>
          <w:numId w:val="22"/>
        </w:numPr>
        <w:spacing w:after="120"/>
        <w:jc w:val="both"/>
      </w:pPr>
      <w:r>
        <w:rPr>
          <w:b/>
        </w:rPr>
        <w:t>cv</w:t>
      </w:r>
      <w:r w:rsidRPr="00C85DEE">
        <w:t xml:space="preserve"> = </w:t>
      </w:r>
      <w:r>
        <w:t xml:space="preserve">coefficient of variation for all weights </w:t>
      </w:r>
      <m:oMath>
        <m:sSub>
          <m:sSubPr>
            <m:ctrlPr>
              <w:rPr>
                <w:rFonts w:ascii="Cambria Math" w:hAnsi="Cambria Math"/>
                <w:i/>
              </w:rPr>
            </m:ctrlPr>
          </m:sSubPr>
          <m:e>
            <m:r>
              <w:rPr>
                <w:rFonts w:ascii="Cambria Math" w:hAnsi="Cambria Math"/>
              </w:rPr>
              <m:t>w</m:t>
            </m:r>
          </m:e>
          <m:sub>
            <m:r>
              <w:rPr>
                <w:rFonts w:ascii="Cambria Math" w:hAnsi="Cambria Math"/>
              </w:rPr>
              <m:t>ij</m:t>
            </m:r>
          </m:sub>
        </m:sSub>
      </m:oMath>
      <w:r>
        <w:t>.</w:t>
      </w:r>
    </w:p>
    <w:p w:rsidR="003513DF" w:rsidRPr="00A82D89" w:rsidP="003513DF" w14:paraId="7EC0B61D" w14:textId="77777777">
      <w:pPr>
        <w:pStyle w:val="ListParagraph"/>
        <w:numPr>
          <w:ilvl w:val="0"/>
          <w:numId w:val="22"/>
        </w:numPr>
        <w:spacing w:after="120"/>
        <w:jc w:val="both"/>
      </w:pPr>
      <w:r w:rsidRPr="00A82D89">
        <w:rPr>
          <w:b/>
        </w:rPr>
        <w:t>s</w:t>
      </w:r>
      <w:r>
        <w:rPr>
          <w:b/>
        </w:rPr>
        <w:t xml:space="preserve"> = </w:t>
      </w:r>
      <w:r w:rsidRPr="00A82D89">
        <w:t>sample standard deviation of weights.</w:t>
      </w:r>
    </w:p>
    <w:p w:rsidR="003513DF" w:rsidRPr="00936A7C" w:rsidP="003513DF" w14:paraId="42176C06" w14:textId="77777777">
      <w:pPr>
        <w:pStyle w:val="ListParagraph"/>
        <w:numPr>
          <w:ilvl w:val="0"/>
          <w:numId w:val="22"/>
        </w:numPr>
        <w:spacing w:after="240"/>
        <w:jc w:val="both"/>
      </w:pPr>
      <m:oMath>
        <m:acc>
          <m:accPr>
            <m:chr m:val="̅"/>
            <m:ctrlPr>
              <w:rPr>
                <w:rFonts w:ascii="Cambria Math" w:hAnsi="Cambria Math"/>
                <w:i/>
              </w:rPr>
            </m:ctrlPr>
          </m:accPr>
          <m:e>
            <m:r>
              <m:rPr>
                <m:sty m:val="bi"/>
              </m:rPr>
              <w:rPr>
                <w:rFonts w:ascii="Cambria Math" w:hAnsi="Cambria Math"/>
              </w:rPr>
              <m:t>w</m:t>
            </m:r>
          </m:e>
        </m:acc>
      </m:oMath>
      <w:r>
        <w:t xml:space="preserve"> = </w:t>
      </w:r>
      <w:r w:rsidRPr="00C85DEE">
        <w:t>sample mean of weights,</w:t>
      </w:r>
      <m:oMath>
        <m:r>
          <w:rPr>
            <w:rFonts w:ascii="Cambria Math" w:hAnsi="Cambria Math"/>
          </w:rPr>
          <m:t xml:space="preserve"> </m:t>
        </m:r>
        <m:acc>
          <m:accPr>
            <m:chr m:val="̅"/>
            <m:ctrlPr>
              <w:rPr>
                <w:rFonts w:ascii="Cambria Math" w:hAnsi="Cambria Math"/>
                <w:i/>
              </w:rPr>
            </m:ctrlPr>
          </m:accPr>
          <m:e>
            <m:r>
              <w:rPr>
                <w:rFonts w:ascii="Cambria Math" w:hAnsi="Cambria Math"/>
              </w:rPr>
              <m:t>w</m:t>
            </m:r>
          </m:e>
        </m:acc>
        <m:r>
          <w:rPr>
            <w:rFonts w:ascii="Cambria Math" w:hAnsi="Cambria Math"/>
          </w:rPr>
          <m:t>=</m:t>
        </m:r>
      </m:oMath>
      <w:r w:rsidRPr="00C85DEE">
        <w:t xml:space="preserve"> </w:t>
      </w:r>
      <m:oMath>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supHide/>
            <m:ctrlPr>
              <w:rPr>
                <w:rFonts w:ascii="Cambria Math" w:hAnsi="Cambria Math"/>
                <w:i/>
              </w:rPr>
            </m:ctrlPr>
          </m:naryPr>
          <m:sub>
            <m:r>
              <w:rPr>
                <w:rFonts w:ascii="Cambria Math" w:hAnsi="Cambria Math"/>
              </w:rPr>
              <m:t>ij</m:t>
            </m:r>
          </m:sub>
          <m:sup/>
          <m:e>
            <m:r>
              <w:rPr>
                <w:rFonts w:ascii="Cambria Math" w:hAnsi="Cambria Math"/>
              </w:rPr>
              <m:t>w</m:t>
            </m:r>
          </m:e>
        </m:nary>
      </m:oMath>
      <w:r w:rsidRPr="00C85DEE">
        <w:rPr>
          <w:vertAlign w:val="subscript"/>
        </w:rPr>
        <w:t>ij</w:t>
      </w:r>
      <w:r w:rsidRPr="00C85DEE">
        <w:t>.</w:t>
      </w:r>
    </w:p>
    <w:p w:rsidR="003513DF" w:rsidRPr="00C85DEE" w:rsidP="003513DF" w14:paraId="1797F4D4" w14:textId="77777777">
      <w:pPr>
        <w:pStyle w:val="Heading2"/>
        <w:numPr>
          <w:ilvl w:val="0"/>
          <w:numId w:val="21"/>
        </w:numPr>
        <w:spacing w:after="240"/>
      </w:pPr>
      <w:bookmarkStart w:id="31" w:name="_Toc92890686"/>
      <w:r>
        <w:t>Quarantine Rules</w:t>
      </w:r>
      <w:bookmarkEnd w:id="31"/>
    </w:p>
    <w:p w:rsidR="003513DF" w:rsidP="003513DF" w14:paraId="3B9829E7" w14:textId="77777777">
      <w:pPr>
        <w:spacing w:after="240"/>
        <w:ind w:firstLine="720"/>
        <w:rPr>
          <w:b/>
          <w:color w:val="5B9BD5" w:themeColor="accent1"/>
        </w:rPr>
      </w:pPr>
      <w:r w:rsidRPr="00C85DEE">
        <w:t xml:space="preserve">VEO seeks to limit contact with </w:t>
      </w:r>
      <w:r>
        <w:t>customer</w:t>
      </w:r>
      <w:r w:rsidRPr="00C85DEE">
        <w:t xml:space="preserve">s as much as possible, and only as needed to achieve measurement goals. </w:t>
      </w:r>
      <w:r w:rsidRPr="00DD1D5E">
        <w:t xml:space="preserve">These rules are enacted to prevent excessive recruitment attempts upon </w:t>
      </w:r>
      <w:r>
        <w:t>VA’s customers</w:t>
      </w:r>
      <w:r w:rsidRPr="00DD1D5E">
        <w:t xml:space="preserve">. VEO also monitors participation within other </w:t>
      </w:r>
      <w:r w:rsidRPr="00DD1D5E">
        <w:t>surveys, to ensure veterans</w:t>
      </w:r>
      <w:r>
        <w:t xml:space="preserve"> and other customers</w:t>
      </w:r>
      <w:r w:rsidRPr="00DD1D5E">
        <w:t xml:space="preserve"> do not experience survey fatigue. All VEO surveys offer options for respondents to opt out, and ensure they are no longer contacted for a specific survey.</w:t>
      </w:r>
      <w:r>
        <w:t xml:space="preserve"> </w:t>
      </w:r>
      <w:r w:rsidRPr="00C85DEE">
        <w:t xml:space="preserve">VEO also monitors Veteran participation within other surveys, to ensure </w:t>
      </w:r>
      <w:r>
        <w:t>customer</w:t>
      </w:r>
      <w:r w:rsidRPr="00C85DEE">
        <w:t xml:space="preserve">s do not experience survey </w:t>
      </w:r>
      <w:r w:rsidRPr="00C85DEE">
        <w:rPr>
          <w:i/>
        </w:rPr>
        <w:t>fatigue.</w:t>
      </w:r>
    </w:p>
    <w:p w:rsidR="003513DF" w:rsidRPr="00C85DEE" w:rsidP="003513DF" w14:paraId="578C684B" w14:textId="77777777">
      <w:r w:rsidRPr="00C85DEE">
        <w:rPr>
          <w:b/>
          <w:color w:val="5B9BD5" w:themeColor="accent1"/>
        </w:rPr>
        <w:t>Table 4. Quarantine Protocol</w:t>
      </w:r>
    </w:p>
    <w:tbl>
      <w:tblPr>
        <w:tblStyle w:val="GridTable4-Accent11"/>
        <w:tblW w:w="9558" w:type="dxa"/>
        <w:jc w:val="center"/>
        <w:tblLayout w:type="fixed"/>
        <w:tblLook w:val="04A0"/>
      </w:tblPr>
      <w:tblGrid>
        <w:gridCol w:w="2358"/>
        <w:gridCol w:w="5670"/>
        <w:gridCol w:w="1530"/>
      </w:tblGrid>
      <w:tr w14:paraId="393FA5E8" w14:textId="77777777" w:rsidTr="00D544F4">
        <w:tblPrEx>
          <w:tblW w:w="9558" w:type="dxa"/>
          <w:jc w:val="center"/>
          <w:tblLayout w:type="fixed"/>
          <w:tblLook w:val="04A0"/>
        </w:tblPrEx>
        <w:trPr>
          <w:jc w:val="center"/>
        </w:trPr>
        <w:tc>
          <w:tcPr>
            <w:tcW w:w="2358" w:type="dxa"/>
          </w:tcPr>
          <w:p w:rsidR="003513DF" w:rsidRPr="005023B9" w:rsidP="00D544F4" w14:paraId="4089FC3C" w14:textId="77777777">
            <w:pPr>
              <w:rPr>
                <w:rFonts w:cstheme="minorHAnsi"/>
                <w:b w:val="0"/>
              </w:rPr>
            </w:pPr>
            <w:r w:rsidRPr="005023B9">
              <w:rPr>
                <w:rFonts w:cstheme="minorHAnsi"/>
              </w:rPr>
              <w:t>Quarantine Rule</w:t>
            </w:r>
          </w:p>
        </w:tc>
        <w:tc>
          <w:tcPr>
            <w:tcW w:w="5670" w:type="dxa"/>
          </w:tcPr>
          <w:p w:rsidR="003513DF" w:rsidRPr="005023B9" w:rsidP="00D544F4" w14:paraId="089E4E5C" w14:textId="77777777">
            <w:pPr>
              <w:rPr>
                <w:rFonts w:cstheme="minorHAnsi"/>
                <w:b w:val="0"/>
              </w:rPr>
            </w:pPr>
            <w:r w:rsidRPr="005023B9">
              <w:rPr>
                <w:rFonts w:cstheme="minorHAnsi"/>
              </w:rPr>
              <w:t>Description</w:t>
            </w:r>
          </w:p>
        </w:tc>
        <w:tc>
          <w:tcPr>
            <w:tcW w:w="1530" w:type="dxa"/>
          </w:tcPr>
          <w:p w:rsidR="003513DF" w:rsidRPr="005023B9" w:rsidP="00D544F4" w14:paraId="3C30DA9E" w14:textId="77777777">
            <w:pPr>
              <w:rPr>
                <w:rFonts w:cstheme="minorHAnsi"/>
                <w:b w:val="0"/>
              </w:rPr>
            </w:pPr>
            <w:r w:rsidRPr="005023B9">
              <w:rPr>
                <w:rFonts w:cstheme="minorHAnsi"/>
              </w:rPr>
              <w:t xml:space="preserve">Elapsed Time </w:t>
            </w:r>
          </w:p>
        </w:tc>
      </w:tr>
      <w:tr w14:paraId="50E9074C" w14:textId="77777777" w:rsidTr="00D544F4">
        <w:tblPrEx>
          <w:tblW w:w="9558" w:type="dxa"/>
          <w:jc w:val="center"/>
          <w:tblLayout w:type="fixed"/>
          <w:tblLook w:val="04A0"/>
        </w:tblPrEx>
        <w:trPr>
          <w:jc w:val="center"/>
        </w:trPr>
        <w:tc>
          <w:tcPr>
            <w:tcW w:w="2358" w:type="dxa"/>
          </w:tcPr>
          <w:p w:rsidR="003513DF" w:rsidRPr="00491605" w:rsidP="00D544F4" w14:paraId="59CC8C32" w14:textId="77777777">
            <w:pPr>
              <w:rPr>
                <w:rFonts w:cstheme="minorHAnsi"/>
              </w:rPr>
            </w:pPr>
            <w:r w:rsidRPr="00491605">
              <w:rPr>
                <w:rFonts w:cstheme="minorHAnsi"/>
              </w:rPr>
              <w:t xml:space="preserve">Repeated Sampling for </w:t>
            </w:r>
            <w:r>
              <w:rPr>
                <w:rFonts w:cstheme="minorHAnsi"/>
              </w:rPr>
              <w:t>PCT</w:t>
            </w:r>
            <w:r w:rsidRPr="00491605">
              <w:rPr>
                <w:rFonts w:cstheme="minorHAnsi"/>
              </w:rPr>
              <w:t xml:space="preserve"> Survey</w:t>
            </w:r>
            <w:r>
              <w:rPr>
                <w:rFonts w:cstheme="minorHAnsi"/>
              </w:rPr>
              <w:t>s</w:t>
            </w:r>
          </w:p>
        </w:tc>
        <w:tc>
          <w:tcPr>
            <w:tcW w:w="5670" w:type="dxa"/>
          </w:tcPr>
          <w:p w:rsidR="003513DF" w:rsidRPr="004E6DC5" w:rsidP="00D544F4" w14:paraId="172B4EFB" w14:textId="77777777">
            <w:pPr>
              <w:rPr>
                <w:rFonts w:cstheme="minorHAnsi"/>
              </w:rPr>
            </w:pPr>
            <w:r w:rsidRPr="00663B4E">
              <w:rPr>
                <w:rFonts w:cstheme="minorHAnsi"/>
              </w:rPr>
              <w:t xml:space="preserve">Number of days between receiving/completing online survey, prior to receiving email invitation for </w:t>
            </w:r>
            <w:r>
              <w:rPr>
                <w:rFonts w:cstheme="minorHAnsi"/>
              </w:rPr>
              <w:t>VBA PCT experience survey</w:t>
            </w:r>
          </w:p>
        </w:tc>
        <w:tc>
          <w:tcPr>
            <w:tcW w:w="1530" w:type="dxa"/>
          </w:tcPr>
          <w:p w:rsidR="003513DF" w:rsidRPr="001947E9" w:rsidP="00D544F4" w14:paraId="7381AD7A" w14:textId="77777777">
            <w:pPr>
              <w:rPr>
                <w:rFonts w:cstheme="minorHAnsi"/>
              </w:rPr>
            </w:pPr>
            <w:r>
              <w:rPr>
                <w:rFonts w:cstheme="minorHAnsi"/>
              </w:rPr>
              <w:t>30</w:t>
            </w:r>
            <w:r w:rsidRPr="001947E9">
              <w:rPr>
                <w:rFonts w:cstheme="minorHAnsi"/>
              </w:rPr>
              <w:t xml:space="preserve"> Days </w:t>
            </w:r>
          </w:p>
        </w:tc>
      </w:tr>
      <w:tr w14:paraId="724B7426" w14:textId="77777777" w:rsidTr="00D544F4">
        <w:tblPrEx>
          <w:tblW w:w="9558" w:type="dxa"/>
          <w:jc w:val="center"/>
          <w:tblLayout w:type="fixed"/>
          <w:tblLook w:val="04A0"/>
        </w:tblPrEx>
        <w:trPr>
          <w:jc w:val="center"/>
        </w:trPr>
        <w:tc>
          <w:tcPr>
            <w:tcW w:w="2358" w:type="dxa"/>
          </w:tcPr>
          <w:p w:rsidR="003513DF" w:rsidRPr="00491605" w:rsidP="00D544F4" w14:paraId="16C9D0B1" w14:textId="77777777">
            <w:pPr>
              <w:rPr>
                <w:rFonts w:cstheme="minorHAnsi"/>
              </w:rPr>
            </w:pPr>
            <w:r w:rsidRPr="00491605">
              <w:rPr>
                <w:rFonts w:cstheme="minorHAnsi"/>
              </w:rPr>
              <w:t>Other VEO Surveys</w:t>
            </w:r>
          </w:p>
        </w:tc>
        <w:tc>
          <w:tcPr>
            <w:tcW w:w="5670" w:type="dxa"/>
          </w:tcPr>
          <w:p w:rsidR="003513DF" w:rsidRPr="00663B4E" w:rsidP="00D544F4" w14:paraId="5757E739" w14:textId="77777777">
            <w:pPr>
              <w:rPr>
                <w:rFonts w:cstheme="minorHAnsi"/>
              </w:rPr>
            </w:pPr>
            <w:r w:rsidRPr="00491605">
              <w:rPr>
                <w:rFonts w:cstheme="minorHAnsi"/>
              </w:rPr>
              <w:t xml:space="preserve">Number of days between receiving/completing online survey </w:t>
            </w:r>
            <w:r w:rsidRPr="00663B4E">
              <w:rPr>
                <w:rFonts w:cstheme="minorHAnsi"/>
              </w:rPr>
              <w:t>and becoming eligible for another VEO survey</w:t>
            </w:r>
          </w:p>
        </w:tc>
        <w:tc>
          <w:tcPr>
            <w:tcW w:w="1530" w:type="dxa"/>
          </w:tcPr>
          <w:p w:rsidR="003513DF" w:rsidRPr="004E6DC5" w:rsidP="00D544F4" w14:paraId="624E5623" w14:textId="77777777">
            <w:pPr>
              <w:rPr>
                <w:rFonts w:cstheme="minorHAnsi"/>
              </w:rPr>
            </w:pPr>
            <w:r>
              <w:rPr>
                <w:rFonts w:cstheme="minorHAnsi"/>
              </w:rPr>
              <w:t>3</w:t>
            </w:r>
            <w:r w:rsidRPr="00663B4E">
              <w:rPr>
                <w:rFonts w:cstheme="minorHAnsi"/>
              </w:rPr>
              <w:t>0 Days</w:t>
            </w:r>
          </w:p>
        </w:tc>
      </w:tr>
      <w:tr w14:paraId="50DBD345" w14:textId="77777777" w:rsidTr="00D544F4">
        <w:tblPrEx>
          <w:tblW w:w="9558" w:type="dxa"/>
          <w:jc w:val="center"/>
          <w:tblLayout w:type="fixed"/>
          <w:tblLook w:val="04A0"/>
        </w:tblPrEx>
        <w:trPr>
          <w:jc w:val="center"/>
        </w:trPr>
        <w:tc>
          <w:tcPr>
            <w:tcW w:w="2358" w:type="dxa"/>
          </w:tcPr>
          <w:p w:rsidR="003513DF" w:rsidRPr="00491605" w:rsidP="00D544F4" w14:paraId="53B3C42C" w14:textId="77777777">
            <w:pPr>
              <w:rPr>
                <w:rFonts w:cstheme="minorHAnsi"/>
              </w:rPr>
            </w:pPr>
            <w:r w:rsidRPr="00491605">
              <w:rPr>
                <w:rFonts w:cstheme="minorHAnsi"/>
              </w:rPr>
              <w:t>Opt</w:t>
            </w:r>
            <w:r w:rsidRPr="00491605">
              <w:rPr>
                <w:rFonts w:cstheme="minorHAnsi"/>
              </w:rPr>
              <w:t xml:space="preserve"> Outs</w:t>
            </w:r>
          </w:p>
        </w:tc>
        <w:tc>
          <w:tcPr>
            <w:tcW w:w="5670" w:type="dxa"/>
          </w:tcPr>
          <w:p w:rsidR="003513DF" w:rsidRPr="00491605" w:rsidP="00D544F4" w14:paraId="3279BB41" w14:textId="77777777">
            <w:pPr>
              <w:rPr>
                <w:rFonts w:cstheme="minorHAnsi"/>
              </w:rPr>
            </w:pPr>
            <w:r w:rsidRPr="00491605">
              <w:rPr>
                <w:rFonts w:cstheme="minorHAnsi"/>
              </w:rPr>
              <w:t>Persons indicating their wish to opt out of either phone or online survey will no longer be contacted</w:t>
            </w:r>
            <w:r>
              <w:rPr>
                <w:rFonts w:cstheme="minorHAnsi"/>
              </w:rPr>
              <w:t>.</w:t>
            </w:r>
          </w:p>
        </w:tc>
        <w:tc>
          <w:tcPr>
            <w:tcW w:w="1530" w:type="dxa"/>
          </w:tcPr>
          <w:p w:rsidR="003513DF" w:rsidRPr="00663B4E" w:rsidP="00D544F4" w14:paraId="03117C57" w14:textId="77777777">
            <w:pPr>
              <w:rPr>
                <w:rFonts w:cstheme="minorHAnsi"/>
              </w:rPr>
            </w:pPr>
            <w:r w:rsidRPr="00663B4E">
              <w:rPr>
                <w:rFonts w:cstheme="minorHAnsi"/>
              </w:rPr>
              <w:t>N/A</w:t>
            </w:r>
          </w:p>
        </w:tc>
      </w:tr>
    </w:tbl>
    <w:p w:rsidR="003513DF" w:rsidRPr="00C85DEE" w:rsidP="003513DF" w14:paraId="1C44EAB8" w14:textId="77777777"/>
    <w:p w:rsidR="003513DF" w:rsidRPr="00C535DC" w:rsidP="003513DF" w14:paraId="1AED477F" w14:textId="77777777">
      <w:pPr>
        <w:pStyle w:val="Heading1"/>
        <w:spacing w:after="240"/>
      </w:pPr>
      <w:bookmarkStart w:id="32" w:name="_Toc516137687"/>
      <w:bookmarkStart w:id="33" w:name="_Toc92890687"/>
      <w:bookmarkStart w:id="34" w:name="_Toc490572153"/>
      <w:bookmarkStart w:id="35" w:name="_Toc490572159"/>
      <w:bookmarkEnd w:id="8"/>
      <w:r w:rsidRPr="00C535DC">
        <w:t>Part III – Assumptions and Limitations</w:t>
      </w:r>
      <w:bookmarkEnd w:id="32"/>
      <w:bookmarkEnd w:id="33"/>
    </w:p>
    <w:p w:rsidR="003513DF" w:rsidRPr="00C535DC" w:rsidP="003513DF" w14:paraId="1BDCA4E3" w14:textId="77777777">
      <w:pPr>
        <w:pStyle w:val="Heading2"/>
        <w:spacing w:after="240"/>
      </w:pPr>
      <w:bookmarkStart w:id="36" w:name="_Toc490572154"/>
      <w:bookmarkStart w:id="37" w:name="_Toc516137689"/>
      <w:bookmarkStart w:id="38" w:name="_Toc92890688"/>
      <w:bookmarkEnd w:id="34"/>
      <w:r>
        <w:t>A</w:t>
      </w:r>
      <w:r w:rsidRPr="00C535DC">
        <w:t xml:space="preserve">. </w:t>
      </w:r>
      <w:bookmarkEnd w:id="36"/>
      <w:bookmarkEnd w:id="37"/>
      <w:r>
        <w:t>Coverage Bias</w:t>
      </w:r>
      <w:bookmarkEnd w:id="38"/>
    </w:p>
    <w:p w:rsidR="003513DF" w:rsidRPr="00C535DC" w:rsidP="003513DF" w14:paraId="7AAE5275" w14:textId="77777777">
      <w:pPr>
        <w:spacing w:after="240"/>
        <w:ind w:firstLine="720"/>
      </w:pPr>
      <w:r>
        <w:t xml:space="preserve">Since the VEO VBA PCT </w:t>
      </w:r>
      <w:r w:rsidRPr="00297363">
        <w:t xml:space="preserve">Survey </w:t>
      </w:r>
      <w:r>
        <w:t xml:space="preserve">are email only, there is a part of the population that cannot be reached by the survey. Veterans that lack access to the internet or do not use email may have different levels of Trust and satisfaction with their service. As such, it is thought that customers in this latter category do not harbor any tangible differences to other Veterans who do share their information. </w:t>
      </w:r>
      <w:r>
        <w:t>In order to</w:t>
      </w:r>
      <w:r>
        <w:t xml:space="preserve"> verify this, VEO plans to execute a coverage bias study to assess the amount of coverage bias due and derive adjustment factors in the presence of non-negligible bias.</w:t>
      </w:r>
    </w:p>
    <w:bookmarkEnd w:id="35"/>
    <w:p w:rsidR="003513DF" w:rsidRPr="00C85DEE" w:rsidP="003513DF" w14:paraId="0C9E42FA" w14:textId="77777777">
      <w:pPr>
        <w:pStyle w:val="ColorfulList-Accent11"/>
        <w:spacing w:after="240" w:line="240" w:lineRule="auto"/>
        <w:ind w:left="0" w:firstLine="720"/>
        <w:rPr>
          <w:rFonts w:ascii="Times New Roman" w:hAnsi="Times New Roman" w:cs="Times New Roman"/>
        </w:rPr>
        <w:sectPr w:rsidSect="00E47DF9">
          <w:footerReference w:type="default" r:id="rId10"/>
          <w:pgSz w:w="12240" w:h="15840"/>
          <w:pgMar w:top="1440" w:right="2070" w:bottom="1440" w:left="1440" w:header="720" w:footer="720" w:gutter="0"/>
          <w:cols w:space="720"/>
          <w:docGrid w:linePitch="360"/>
        </w:sectPr>
      </w:pPr>
    </w:p>
    <w:bookmarkEnd w:id="9"/>
    <w:p w:rsidR="003513DF" w:rsidRPr="00C85DEE" w:rsidP="003513DF" w14:paraId="2E7C16A9" w14:textId="77777777">
      <w:pPr>
        <w:pStyle w:val="ListParagraph"/>
        <w:jc w:val="center"/>
      </w:pPr>
    </w:p>
    <w:p w:rsidR="003513DF" w:rsidRPr="00FD276A" w:rsidP="003513DF" w14:paraId="697E20D1" w14:textId="77777777">
      <w:pPr>
        <w:pStyle w:val="Heading2"/>
        <w:spacing w:after="240"/>
      </w:pPr>
      <w:bookmarkStart w:id="39" w:name="_Toc92890689"/>
      <w:r w:rsidRPr="00FD276A">
        <w:t>References</w:t>
      </w:r>
      <w:bookmarkEnd w:id="39"/>
    </w:p>
    <w:p w:rsidR="003513DF" w:rsidP="003513DF" w14:paraId="26BDE072" w14:textId="77777777">
      <w:pPr>
        <w:spacing w:after="120"/>
        <w:ind w:left="720" w:hanging="720"/>
      </w:pPr>
      <w:r w:rsidRPr="00F91507">
        <w:t xml:space="preserve">Choi, N.G. &amp; </w:t>
      </w:r>
      <w:r w:rsidRPr="00F91507">
        <w:t>Dinitto</w:t>
      </w:r>
      <w:r w:rsidRPr="00F91507">
        <w:t xml:space="preserve">, D.M. (2013). Internet Use Among Older Adults: Association </w:t>
      </w:r>
      <w:r>
        <w:t>w</w:t>
      </w:r>
      <w:r w:rsidRPr="00F91507">
        <w:t>ith Health Needs, Psychological Capital, and Social Capital</w:t>
      </w:r>
      <w:r>
        <w:t>.</w:t>
      </w:r>
      <w:r w:rsidRPr="00F91507">
        <w:t xml:space="preserve"> </w:t>
      </w:r>
      <w:r w:rsidRPr="00F91507">
        <w:rPr>
          <w:i/>
        </w:rPr>
        <w:t>J</w:t>
      </w:r>
      <w:r>
        <w:rPr>
          <w:i/>
        </w:rPr>
        <w:t>ournal of</w:t>
      </w:r>
      <w:r w:rsidRPr="00F91507">
        <w:rPr>
          <w:i/>
        </w:rPr>
        <w:t xml:space="preserve"> Medical Internet Research</w:t>
      </w:r>
      <w:r w:rsidRPr="00F91507">
        <w:t>, 15(5)</w:t>
      </w:r>
      <w:r>
        <w:t>,</w:t>
      </w:r>
      <w:r w:rsidRPr="00F91507">
        <w:t xml:space="preserve"> e97</w:t>
      </w:r>
    </w:p>
    <w:p w:rsidR="003513DF" w:rsidRPr="00F91507" w:rsidP="003513DF" w14:paraId="5D584C2E" w14:textId="77777777">
      <w:pPr>
        <w:spacing w:after="120"/>
        <w:ind w:left="720" w:hanging="720"/>
      </w:pPr>
      <w:r>
        <w:t>Kalton</w:t>
      </w:r>
      <w:r>
        <w:t xml:space="preserve">, G., &amp; Flores-Cervantes, I. (2003). Weighting Methods. </w:t>
      </w:r>
      <w:r w:rsidRPr="00897458">
        <w:rPr>
          <w:i/>
        </w:rPr>
        <w:t>Journal of Official Statistics</w:t>
      </w:r>
      <w:r>
        <w:t>, 19(2), 81-97.</w:t>
      </w:r>
    </w:p>
    <w:p w:rsidR="003513DF" w:rsidP="003513DF" w14:paraId="1F6F6797" w14:textId="77777777">
      <w:pPr>
        <w:spacing w:after="120"/>
        <w:ind w:left="720" w:hanging="720"/>
      </w:pPr>
      <w:r w:rsidRPr="00C85DEE">
        <w:t>Kish, L. (1992). Weighting for unequal P. </w:t>
      </w:r>
      <w:r w:rsidRPr="00C85DEE">
        <w:rPr>
          <w:i/>
        </w:rPr>
        <w:t>Journal of Ofﬁcial Statistics</w:t>
      </w:r>
      <w:r w:rsidRPr="00C85DEE">
        <w:t>, 8(2), 183-200.</w:t>
      </w:r>
    </w:p>
    <w:p w:rsidR="003513DF" w:rsidRPr="00C85DEE" w:rsidP="003513DF" w14:paraId="0FE5CE65" w14:textId="77777777">
      <w:pPr>
        <w:spacing w:after="120"/>
        <w:ind w:left="720" w:hanging="720"/>
      </w:pPr>
      <w:r w:rsidRPr="0026309F">
        <w:t>Kolenikov</w:t>
      </w:r>
      <w:r w:rsidRPr="0026309F">
        <w:t xml:space="preserve">, S. </w:t>
      </w:r>
      <w:r>
        <w:t>(</w:t>
      </w:r>
      <w:r w:rsidRPr="0026309F">
        <w:t>2014</w:t>
      </w:r>
      <w:r>
        <w:t>)</w:t>
      </w:r>
      <w:r w:rsidRPr="0026309F">
        <w:t xml:space="preserve">. Calibrating </w:t>
      </w:r>
      <w:r>
        <w:t>S</w:t>
      </w:r>
      <w:r w:rsidRPr="0026309F">
        <w:t xml:space="preserve">urvey </w:t>
      </w:r>
      <w:r>
        <w:t>D</w:t>
      </w:r>
      <w:r w:rsidRPr="0026309F">
        <w:t xml:space="preserve">ata </w:t>
      </w:r>
      <w:r>
        <w:t>U</w:t>
      </w:r>
      <w:r w:rsidRPr="0026309F">
        <w:t xml:space="preserve">sing </w:t>
      </w:r>
      <w:r>
        <w:t>I</w:t>
      </w:r>
      <w:r w:rsidRPr="0026309F">
        <w:t xml:space="preserve">terative </w:t>
      </w:r>
      <w:r>
        <w:t>P</w:t>
      </w:r>
      <w:r w:rsidRPr="0026309F">
        <w:t xml:space="preserve">roportional </w:t>
      </w:r>
      <w:r>
        <w:t>F</w:t>
      </w:r>
      <w:r w:rsidRPr="0026309F">
        <w:t>itting</w:t>
      </w:r>
      <w:r>
        <w:t xml:space="preserve"> </w:t>
      </w:r>
      <w:r w:rsidRPr="0026309F">
        <w:t>(</w:t>
      </w:r>
      <w:r>
        <w:t>R</w:t>
      </w:r>
      <w:r w:rsidRPr="0026309F">
        <w:t xml:space="preserve">aking). </w:t>
      </w:r>
      <w:r w:rsidRPr="009B1927">
        <w:rPr>
          <w:i/>
        </w:rPr>
        <w:t>The Stata Journal</w:t>
      </w:r>
      <w:r w:rsidRPr="0026309F">
        <w:t>, 14(1): 22–59.</w:t>
      </w:r>
    </w:p>
    <w:p w:rsidR="003513DF" w:rsidRPr="00C85DEE" w:rsidP="003513DF" w14:paraId="7E2BB78E" w14:textId="77777777">
      <w:pPr>
        <w:spacing w:after="120"/>
        <w:ind w:left="720" w:hanging="720"/>
      </w:pPr>
      <w:r w:rsidRPr="00C85DEE">
        <w:t>Lohr</w:t>
      </w:r>
      <w:r w:rsidRPr="00C85DEE">
        <w:t xml:space="preserve">, S. (1999). </w:t>
      </w:r>
      <w:r w:rsidRPr="00C85DEE">
        <w:rPr>
          <w:i/>
        </w:rPr>
        <w:t>Sampling: Design and Analysis</w:t>
      </w:r>
      <w:r w:rsidRPr="00C85DEE">
        <w:t xml:space="preserve"> (Ed.). Boston, MA: Cengage Learning.</w:t>
      </w:r>
    </w:p>
    <w:p w:rsidR="003513DF" w:rsidP="003513DF" w14:paraId="6E2DABA2" w14:textId="77777777">
      <w:pPr>
        <w:spacing w:after="120"/>
        <w:ind w:left="720" w:hanging="720"/>
      </w:pPr>
      <w:r w:rsidRPr="00C85DEE">
        <w:t xml:space="preserve">Liu, J., </w:t>
      </w:r>
      <w:r w:rsidRPr="00C85DEE">
        <w:t>Iannacchione</w:t>
      </w:r>
      <w:r w:rsidRPr="00C85DEE">
        <w:t>, V., &amp; Byron, M. (2002). Decomposing design effects for stratified sampling. </w:t>
      </w:r>
      <w:r w:rsidRPr="00C85DEE">
        <w:rPr>
          <w:i/>
        </w:rPr>
        <w:t>Proceedings of the American Statistical Association’s Section on Survey Research Methods</w:t>
      </w:r>
      <w:r w:rsidRPr="00C85DEE">
        <w:t>.</w:t>
      </w:r>
    </w:p>
    <w:p w:rsidR="003513DF" w:rsidP="003513DF" w14:paraId="691E592A" w14:textId="77777777">
      <w:pPr>
        <w:spacing w:after="120"/>
        <w:ind w:left="720" w:hanging="720"/>
        <w:rPr>
          <w:sz w:val="18"/>
          <w:szCs w:val="18"/>
        </w:rPr>
      </w:pPr>
      <w:r w:rsidRPr="00365C56">
        <w:t xml:space="preserve">National Telecommunications and Information Administration </w:t>
      </w:r>
      <w:r>
        <w:t xml:space="preserve">(2020) </w:t>
      </w:r>
      <w:r w:rsidRPr="00365C56">
        <w:t xml:space="preserve">Digital Nation Data Explorer </w:t>
      </w:r>
      <w:hyperlink r:id="rId11" w:anchor="sel=emailUser&amp;demo=veteran&amp;pc=prop&amp;disp=chart" w:history="1">
        <w:r w:rsidRPr="00562DBE">
          <w:rPr>
            <w:rStyle w:val="Hyperlink"/>
            <w:sz w:val="18"/>
            <w:szCs w:val="18"/>
          </w:rPr>
          <w:t>https://www.ntia.doc.gov/data/digital-nation-data-explorer#sel=emailUser&amp;demo=veteran&amp;pc=prop&amp;disp=chart</w:t>
        </w:r>
      </w:hyperlink>
    </w:p>
    <w:p w:rsidR="003513DF" w:rsidRPr="00C85DEE" w:rsidP="003513DF" w14:paraId="4C4F8F14" w14:textId="77777777">
      <w:pPr>
        <w:spacing w:after="120"/>
        <w:ind w:left="720" w:hanging="720"/>
      </w:pPr>
      <w:r w:rsidRPr="004D2A2E">
        <w:t>Wong</w:t>
      </w:r>
      <w:r>
        <w:t>,</w:t>
      </w:r>
      <w:r w:rsidRPr="004D2A2E">
        <w:t xml:space="preserve"> D</w:t>
      </w:r>
      <w:r>
        <w:t>.</w:t>
      </w:r>
      <w:r w:rsidRPr="004D2A2E">
        <w:t>W</w:t>
      </w:r>
      <w:r>
        <w:t>.</w:t>
      </w:r>
      <w:r w:rsidRPr="004D2A2E">
        <w:t>S</w:t>
      </w:r>
      <w:r>
        <w:t>.</w:t>
      </w:r>
      <w:r w:rsidRPr="004D2A2E">
        <w:t xml:space="preserve"> (1992) The Reliability of Using the Iterative Proportional Fitting Procedure</w:t>
      </w:r>
      <w:r>
        <w:t>.</w:t>
      </w:r>
      <w:r w:rsidRPr="004D2A2E">
        <w:t xml:space="preserve"> </w:t>
      </w:r>
      <w:r w:rsidRPr="004D2A2E">
        <w:rPr>
          <w:i/>
        </w:rPr>
        <w:t>The Professional Geographer</w:t>
      </w:r>
      <w:r w:rsidRPr="004D2A2E">
        <w:t>, 44 (3), 1992, pp. 340-348</w:t>
      </w:r>
    </w:p>
    <w:p w:rsidR="003513DF" w:rsidRPr="00C85DEE" w:rsidP="003513DF" w14:paraId="2330BE8B" w14:textId="77777777">
      <w:r>
        <w:t xml:space="preserve"> </w:t>
      </w:r>
    </w:p>
    <w:p w:rsidR="003513DF" w:rsidRPr="00166F55" w:rsidP="00F24CFC" w14:paraId="693A29D3" w14:textId="77777777">
      <w:pPr>
        <w:keepNext/>
        <w:keepLines/>
        <w:rPr>
          <w:rFonts w:ascii="Courier New" w:hAnsi="Courier New" w:cs="Courier New"/>
          <w:b/>
          <w:sz w:val="20"/>
          <w:szCs w:val="20"/>
        </w:rPr>
      </w:pPr>
    </w:p>
    <w:sectPr w:rsidSect="006F0B46">
      <w:headerReference w:type="default" r:id="rId12"/>
      <w:footerReference w:type="defaul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13DF" w:rsidRPr="00941F40" w:rsidP="00941F40" w14:paraId="4EE29B6D" w14:textId="77777777">
    <w:pPr>
      <w:pStyle w:val="Footer"/>
      <w:rPr>
        <w:caps/>
        <w:noProof/>
        <w:color w:val="5B9BD5" w:themeColor="accent1"/>
      </w:rPr>
    </w:pPr>
    <w:r w:rsidRPr="00572F3F">
      <w:rPr>
        <w:noProof/>
        <w:sz w:val="16"/>
        <w:szCs w:val="16"/>
      </w:rPr>
      <w:drawing>
        <wp:anchor distT="0" distB="0" distL="114300" distR="114300" simplePos="0" relativeHeight="251658240" behindDoc="1" locked="0" layoutInCell="1" allowOverlap="1">
          <wp:simplePos x="0" y="0"/>
          <wp:positionH relativeFrom="column">
            <wp:posOffset>4813300</wp:posOffset>
          </wp:positionH>
          <wp:positionV relativeFrom="page">
            <wp:posOffset>9258300</wp:posOffset>
          </wp:positionV>
          <wp:extent cx="1207008" cy="448056"/>
          <wp:effectExtent l="0" t="0" r="0" b="9525"/>
          <wp:wrapNone/>
          <wp:docPr id="18" name="image2.png"/>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207008" cy="448056"/>
                  </a:xfrm>
                  <a:prstGeom prst="rect">
                    <a:avLst/>
                  </a:prstGeom>
                </pic:spPr>
              </pic:pic>
            </a:graphicData>
          </a:graphic>
          <wp14:sizeRelH relativeFrom="margin">
            <wp14:pctWidth>0</wp14:pctWidth>
          </wp14:sizeRelH>
          <wp14:sizeRelV relativeFrom="margin">
            <wp14:pctHeight>0</wp14:pctHeight>
          </wp14:sizeRelV>
        </wp:anchor>
      </w:drawing>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13</w:t>
    </w:r>
    <w:r>
      <w:rPr>
        <w:caps/>
        <w:noProof/>
        <w:color w:val="5B9BD5"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50743"/>
    <w:multiLevelType w:val="hybridMultilevel"/>
    <w:tmpl w:val="F45E61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042DE8"/>
    <w:multiLevelType w:val="hybridMultilevel"/>
    <w:tmpl w:val="AF2A50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43A5603"/>
    <w:multiLevelType w:val="hybridMultilevel"/>
    <w:tmpl w:val="16F07A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66F76BE"/>
    <w:multiLevelType w:val="hybridMultilevel"/>
    <w:tmpl w:val="12AEF7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9">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1851EA8"/>
    <w:multiLevelType w:val="hybridMultilevel"/>
    <w:tmpl w:val="9A8ED6E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07F5EFA"/>
    <w:multiLevelType w:val="hybridMultilevel"/>
    <w:tmpl w:val="CCB860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5EB693C"/>
    <w:multiLevelType w:val="hybridMultilevel"/>
    <w:tmpl w:val="291ECC0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9F855C1"/>
    <w:multiLevelType w:val="hybridMultilevel"/>
    <w:tmpl w:val="0A5CDA96"/>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2C078E"/>
    <w:multiLevelType w:val="hybridMultilevel"/>
    <w:tmpl w:val="A560C99C"/>
    <w:lvl w:ilvl="0">
      <w:start w:val="2"/>
      <w:numFmt w:val="upperLetter"/>
      <w:lvlText w:val="%1."/>
      <w:lvlJc w:val="left"/>
      <w:pPr>
        <w:ind w:left="360" w:hanging="360"/>
      </w:pPr>
      <w:rPr>
        <w:rFonts w:hint="default"/>
        <w:sz w:val="2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08195050">
    <w:abstractNumId w:val="16"/>
  </w:num>
  <w:num w:numId="2" w16cid:durableId="1570772370">
    <w:abstractNumId w:val="26"/>
  </w:num>
  <w:num w:numId="3" w16cid:durableId="1954702734">
    <w:abstractNumId w:val="25"/>
  </w:num>
  <w:num w:numId="4" w16cid:durableId="291134283">
    <w:abstractNumId w:val="27"/>
  </w:num>
  <w:num w:numId="5" w16cid:durableId="106393738">
    <w:abstractNumId w:val="8"/>
  </w:num>
  <w:num w:numId="6" w16cid:durableId="1677154836">
    <w:abstractNumId w:val="2"/>
  </w:num>
  <w:num w:numId="7" w16cid:durableId="1174343431">
    <w:abstractNumId w:val="14"/>
  </w:num>
  <w:num w:numId="8" w16cid:durableId="114368454">
    <w:abstractNumId w:val="22"/>
  </w:num>
  <w:num w:numId="9" w16cid:durableId="304505242">
    <w:abstractNumId w:val="15"/>
  </w:num>
  <w:num w:numId="10" w16cid:durableId="1502621391">
    <w:abstractNumId w:val="4"/>
  </w:num>
  <w:num w:numId="11" w16cid:durableId="1829707333">
    <w:abstractNumId w:val="11"/>
  </w:num>
  <w:num w:numId="12" w16cid:durableId="596911796">
    <w:abstractNumId w:val="13"/>
  </w:num>
  <w:num w:numId="13" w16cid:durableId="1674802373">
    <w:abstractNumId w:val="1"/>
  </w:num>
  <w:num w:numId="14" w16cid:durableId="590284749">
    <w:abstractNumId w:val="23"/>
  </w:num>
  <w:num w:numId="15" w16cid:durableId="1460682210">
    <w:abstractNumId w:val="21"/>
  </w:num>
  <w:num w:numId="16" w16cid:durableId="392393226">
    <w:abstractNumId w:val="17"/>
  </w:num>
  <w:num w:numId="17" w16cid:durableId="986934629">
    <w:abstractNumId w:val="9"/>
  </w:num>
  <w:num w:numId="18" w16cid:durableId="2109883310">
    <w:abstractNumId w:val="10"/>
  </w:num>
  <w:num w:numId="19" w16cid:durableId="285545935">
    <w:abstractNumId w:val="7"/>
  </w:num>
  <w:num w:numId="20" w16cid:durableId="368771551">
    <w:abstractNumId w:val="20"/>
  </w:num>
  <w:num w:numId="21" w16cid:durableId="1526669746">
    <w:abstractNumId w:val="24"/>
  </w:num>
  <w:num w:numId="22" w16cid:durableId="1923952197">
    <w:abstractNumId w:val="0"/>
  </w:num>
  <w:num w:numId="23" w16cid:durableId="1371763948">
    <w:abstractNumId w:val="6"/>
  </w:num>
  <w:num w:numId="24" w16cid:durableId="1406881086">
    <w:abstractNumId w:val="12"/>
  </w:num>
  <w:num w:numId="25" w16cid:durableId="2029523087">
    <w:abstractNumId w:val="5"/>
  </w:num>
  <w:num w:numId="26" w16cid:durableId="1894921411">
    <w:abstractNumId w:val="19"/>
  </w:num>
  <w:num w:numId="27" w16cid:durableId="1620452014">
    <w:abstractNumId w:val="18"/>
  </w:num>
  <w:num w:numId="28" w16cid:durableId="1933973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AA3"/>
    <w:rsid w:val="0001027E"/>
    <w:rsid w:val="00013A0C"/>
    <w:rsid w:val="0002153A"/>
    <w:rsid w:val="00022F38"/>
    <w:rsid w:val="00023A57"/>
    <w:rsid w:val="000343DF"/>
    <w:rsid w:val="00035900"/>
    <w:rsid w:val="00047A64"/>
    <w:rsid w:val="00052898"/>
    <w:rsid w:val="00067329"/>
    <w:rsid w:val="000769A7"/>
    <w:rsid w:val="00076D93"/>
    <w:rsid w:val="000A4A8F"/>
    <w:rsid w:val="000B2838"/>
    <w:rsid w:val="000B28D7"/>
    <w:rsid w:val="000B53BB"/>
    <w:rsid w:val="000D44CA"/>
    <w:rsid w:val="000E200B"/>
    <w:rsid w:val="000E6AE5"/>
    <w:rsid w:val="000F68BE"/>
    <w:rsid w:val="001248EE"/>
    <w:rsid w:val="00133D1D"/>
    <w:rsid w:val="0014589C"/>
    <w:rsid w:val="001536FE"/>
    <w:rsid w:val="00166F55"/>
    <w:rsid w:val="001704AD"/>
    <w:rsid w:val="001927A4"/>
    <w:rsid w:val="001947E9"/>
    <w:rsid w:val="00194AC6"/>
    <w:rsid w:val="001A23B0"/>
    <w:rsid w:val="001A25CC"/>
    <w:rsid w:val="001B0AAA"/>
    <w:rsid w:val="001C39F7"/>
    <w:rsid w:val="001D3627"/>
    <w:rsid w:val="001E1B7D"/>
    <w:rsid w:val="00212BA8"/>
    <w:rsid w:val="00222409"/>
    <w:rsid w:val="00230D02"/>
    <w:rsid w:val="00234BB4"/>
    <w:rsid w:val="00236725"/>
    <w:rsid w:val="00237B48"/>
    <w:rsid w:val="0024521E"/>
    <w:rsid w:val="002500F7"/>
    <w:rsid w:val="002571CD"/>
    <w:rsid w:val="0026309F"/>
    <w:rsid w:val="00263C3D"/>
    <w:rsid w:val="00271B5C"/>
    <w:rsid w:val="00274D0B"/>
    <w:rsid w:val="00291B64"/>
    <w:rsid w:val="00292A36"/>
    <w:rsid w:val="00297363"/>
    <w:rsid w:val="002A08AD"/>
    <w:rsid w:val="002B052D"/>
    <w:rsid w:val="002B34CD"/>
    <w:rsid w:val="002B3C95"/>
    <w:rsid w:val="002C410F"/>
    <w:rsid w:val="002C62A4"/>
    <w:rsid w:val="002D0B92"/>
    <w:rsid w:val="002F5243"/>
    <w:rsid w:val="002F67C7"/>
    <w:rsid w:val="003513DF"/>
    <w:rsid w:val="003518EC"/>
    <w:rsid w:val="00365C56"/>
    <w:rsid w:val="0037797B"/>
    <w:rsid w:val="003A5043"/>
    <w:rsid w:val="003B0CDC"/>
    <w:rsid w:val="003D13A8"/>
    <w:rsid w:val="003D1CC4"/>
    <w:rsid w:val="003D1FB8"/>
    <w:rsid w:val="003D5BBE"/>
    <w:rsid w:val="003E3C61"/>
    <w:rsid w:val="003F1C5B"/>
    <w:rsid w:val="003F24C3"/>
    <w:rsid w:val="003F448E"/>
    <w:rsid w:val="004202EB"/>
    <w:rsid w:val="00434E33"/>
    <w:rsid w:val="00437660"/>
    <w:rsid w:val="00441434"/>
    <w:rsid w:val="0045264C"/>
    <w:rsid w:val="00461EDC"/>
    <w:rsid w:val="00461FE3"/>
    <w:rsid w:val="00475947"/>
    <w:rsid w:val="004876EC"/>
    <w:rsid w:val="00491605"/>
    <w:rsid w:val="0049586A"/>
    <w:rsid w:val="004B69F6"/>
    <w:rsid w:val="004B6FDA"/>
    <w:rsid w:val="004D2A2E"/>
    <w:rsid w:val="004D6E14"/>
    <w:rsid w:val="004E6DC5"/>
    <w:rsid w:val="005009B0"/>
    <w:rsid w:val="005023B9"/>
    <w:rsid w:val="00516FCD"/>
    <w:rsid w:val="00532DC4"/>
    <w:rsid w:val="005362CA"/>
    <w:rsid w:val="00544D95"/>
    <w:rsid w:val="00562DBE"/>
    <w:rsid w:val="00563851"/>
    <w:rsid w:val="00574B13"/>
    <w:rsid w:val="005A1006"/>
    <w:rsid w:val="005B10E5"/>
    <w:rsid w:val="005B523E"/>
    <w:rsid w:val="005E714A"/>
    <w:rsid w:val="005F693D"/>
    <w:rsid w:val="005F78C0"/>
    <w:rsid w:val="006140A0"/>
    <w:rsid w:val="00620BED"/>
    <w:rsid w:val="00621060"/>
    <w:rsid w:val="0063255C"/>
    <w:rsid w:val="00636621"/>
    <w:rsid w:val="00642B49"/>
    <w:rsid w:val="00663B4E"/>
    <w:rsid w:val="006832D9"/>
    <w:rsid w:val="00684A53"/>
    <w:rsid w:val="0069011C"/>
    <w:rsid w:val="00690AB3"/>
    <w:rsid w:val="00690F31"/>
    <w:rsid w:val="0069403B"/>
    <w:rsid w:val="006942A3"/>
    <w:rsid w:val="006A038D"/>
    <w:rsid w:val="006A2279"/>
    <w:rsid w:val="006B560E"/>
    <w:rsid w:val="006D34CF"/>
    <w:rsid w:val="006F0B46"/>
    <w:rsid w:val="006F3DDE"/>
    <w:rsid w:val="00704678"/>
    <w:rsid w:val="0071421D"/>
    <w:rsid w:val="007147B9"/>
    <w:rsid w:val="007319F1"/>
    <w:rsid w:val="007425E7"/>
    <w:rsid w:val="00742C0C"/>
    <w:rsid w:val="00754974"/>
    <w:rsid w:val="00761BCD"/>
    <w:rsid w:val="00765543"/>
    <w:rsid w:val="0077276F"/>
    <w:rsid w:val="007D46F0"/>
    <w:rsid w:val="007F7080"/>
    <w:rsid w:val="00802607"/>
    <w:rsid w:val="0080488A"/>
    <w:rsid w:val="008101A5"/>
    <w:rsid w:val="008114C8"/>
    <w:rsid w:val="00822664"/>
    <w:rsid w:val="008235A6"/>
    <w:rsid w:val="00832543"/>
    <w:rsid w:val="00843796"/>
    <w:rsid w:val="0084422D"/>
    <w:rsid w:val="008471E7"/>
    <w:rsid w:val="00884AEA"/>
    <w:rsid w:val="00895229"/>
    <w:rsid w:val="00897458"/>
    <w:rsid w:val="008A57FA"/>
    <w:rsid w:val="008B2EB3"/>
    <w:rsid w:val="008C2745"/>
    <w:rsid w:val="008D5BF3"/>
    <w:rsid w:val="008D7DA5"/>
    <w:rsid w:val="008F0203"/>
    <w:rsid w:val="008F50D4"/>
    <w:rsid w:val="008F5C25"/>
    <w:rsid w:val="00900588"/>
    <w:rsid w:val="009012BD"/>
    <w:rsid w:val="00904D32"/>
    <w:rsid w:val="009239AA"/>
    <w:rsid w:val="00935ADA"/>
    <w:rsid w:val="00936A7C"/>
    <w:rsid w:val="00941F40"/>
    <w:rsid w:val="00943817"/>
    <w:rsid w:val="00946B6C"/>
    <w:rsid w:val="00955A71"/>
    <w:rsid w:val="0096108F"/>
    <w:rsid w:val="009623EC"/>
    <w:rsid w:val="009726E7"/>
    <w:rsid w:val="009751DA"/>
    <w:rsid w:val="00984AA9"/>
    <w:rsid w:val="0099541D"/>
    <w:rsid w:val="00996076"/>
    <w:rsid w:val="009B1927"/>
    <w:rsid w:val="009C13B9"/>
    <w:rsid w:val="009C7E77"/>
    <w:rsid w:val="009D01A2"/>
    <w:rsid w:val="009D1B8C"/>
    <w:rsid w:val="009E1DD1"/>
    <w:rsid w:val="009F5923"/>
    <w:rsid w:val="00A403BB"/>
    <w:rsid w:val="00A52D60"/>
    <w:rsid w:val="00A606A8"/>
    <w:rsid w:val="00A674DF"/>
    <w:rsid w:val="00A82D89"/>
    <w:rsid w:val="00A834AC"/>
    <w:rsid w:val="00A83AA6"/>
    <w:rsid w:val="00A934D6"/>
    <w:rsid w:val="00AA0E0E"/>
    <w:rsid w:val="00AC63DA"/>
    <w:rsid w:val="00AC71A7"/>
    <w:rsid w:val="00AE1809"/>
    <w:rsid w:val="00AE37FA"/>
    <w:rsid w:val="00AF48ED"/>
    <w:rsid w:val="00AF6191"/>
    <w:rsid w:val="00B23443"/>
    <w:rsid w:val="00B258CD"/>
    <w:rsid w:val="00B43741"/>
    <w:rsid w:val="00B80D76"/>
    <w:rsid w:val="00BA2105"/>
    <w:rsid w:val="00BA7E06"/>
    <w:rsid w:val="00BB3711"/>
    <w:rsid w:val="00BB43B5"/>
    <w:rsid w:val="00BB6219"/>
    <w:rsid w:val="00BD1BCF"/>
    <w:rsid w:val="00BD290F"/>
    <w:rsid w:val="00BD2DF3"/>
    <w:rsid w:val="00BD7E69"/>
    <w:rsid w:val="00BE3C70"/>
    <w:rsid w:val="00BF0BF4"/>
    <w:rsid w:val="00BF3CD8"/>
    <w:rsid w:val="00BF5747"/>
    <w:rsid w:val="00C14CC4"/>
    <w:rsid w:val="00C33C52"/>
    <w:rsid w:val="00C34DFE"/>
    <w:rsid w:val="00C40D8B"/>
    <w:rsid w:val="00C50FBE"/>
    <w:rsid w:val="00C514B9"/>
    <w:rsid w:val="00C535DC"/>
    <w:rsid w:val="00C5526B"/>
    <w:rsid w:val="00C602DD"/>
    <w:rsid w:val="00C66C12"/>
    <w:rsid w:val="00C8407A"/>
    <w:rsid w:val="00C8488C"/>
    <w:rsid w:val="00C85DEE"/>
    <w:rsid w:val="00C86E91"/>
    <w:rsid w:val="00C9621E"/>
    <w:rsid w:val="00CA2650"/>
    <w:rsid w:val="00CB1078"/>
    <w:rsid w:val="00CC6345"/>
    <w:rsid w:val="00CC6FAF"/>
    <w:rsid w:val="00CD07C7"/>
    <w:rsid w:val="00CD5EF4"/>
    <w:rsid w:val="00CF6542"/>
    <w:rsid w:val="00D15B11"/>
    <w:rsid w:val="00D24698"/>
    <w:rsid w:val="00D3077A"/>
    <w:rsid w:val="00D544F4"/>
    <w:rsid w:val="00D6383F"/>
    <w:rsid w:val="00D65964"/>
    <w:rsid w:val="00D900E5"/>
    <w:rsid w:val="00D9050E"/>
    <w:rsid w:val="00D90A02"/>
    <w:rsid w:val="00D9471D"/>
    <w:rsid w:val="00DA62A3"/>
    <w:rsid w:val="00DA6C72"/>
    <w:rsid w:val="00DB2ADE"/>
    <w:rsid w:val="00DB59D0"/>
    <w:rsid w:val="00DC33D3"/>
    <w:rsid w:val="00DD1D5E"/>
    <w:rsid w:val="00DF4931"/>
    <w:rsid w:val="00DF7A2B"/>
    <w:rsid w:val="00E26329"/>
    <w:rsid w:val="00E33431"/>
    <w:rsid w:val="00E40B50"/>
    <w:rsid w:val="00E47DF9"/>
    <w:rsid w:val="00E50293"/>
    <w:rsid w:val="00E53D3E"/>
    <w:rsid w:val="00E56D3D"/>
    <w:rsid w:val="00E65FFC"/>
    <w:rsid w:val="00E744EA"/>
    <w:rsid w:val="00E80951"/>
    <w:rsid w:val="00E85A23"/>
    <w:rsid w:val="00E86CC6"/>
    <w:rsid w:val="00EA5659"/>
    <w:rsid w:val="00EB56B3"/>
    <w:rsid w:val="00EC2232"/>
    <w:rsid w:val="00ED1011"/>
    <w:rsid w:val="00ED6492"/>
    <w:rsid w:val="00EF2095"/>
    <w:rsid w:val="00F06866"/>
    <w:rsid w:val="00F14B85"/>
    <w:rsid w:val="00F15956"/>
    <w:rsid w:val="00F24CFC"/>
    <w:rsid w:val="00F3170F"/>
    <w:rsid w:val="00F41205"/>
    <w:rsid w:val="00F4753F"/>
    <w:rsid w:val="00F53200"/>
    <w:rsid w:val="00F633EA"/>
    <w:rsid w:val="00F741E8"/>
    <w:rsid w:val="00F87A4F"/>
    <w:rsid w:val="00F91507"/>
    <w:rsid w:val="00F976B0"/>
    <w:rsid w:val="00FA6DE7"/>
    <w:rsid w:val="00FC0A8E"/>
    <w:rsid w:val="00FD276A"/>
    <w:rsid w:val="00FD3F54"/>
    <w:rsid w:val="00FE2FA6"/>
    <w:rsid w:val="00FE3DF2"/>
    <w:rsid w:val="00FE4BD5"/>
    <w:rsid w:val="00FF32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ListParagraphChar">
    <w:name w:val="List Paragraph Char"/>
    <w:basedOn w:val="DefaultParagraphFont"/>
    <w:link w:val="ListParagraph"/>
    <w:uiPriority w:val="34"/>
    <w:locked/>
    <w:rsid w:val="00532DC4"/>
    <w:rPr>
      <w:sz w:val="24"/>
      <w:szCs w:val="24"/>
    </w:rPr>
  </w:style>
  <w:style w:type="character" w:customStyle="1" w:styleId="FooterChar">
    <w:name w:val="Footer Char"/>
    <w:basedOn w:val="DefaultParagraphFont"/>
    <w:link w:val="Footer"/>
    <w:uiPriority w:val="99"/>
    <w:rsid w:val="003513DF"/>
    <w:rPr>
      <w:sz w:val="24"/>
      <w:szCs w:val="24"/>
    </w:rPr>
  </w:style>
  <w:style w:type="paragraph" w:customStyle="1" w:styleId="ColorfulList-Accent11">
    <w:name w:val="Colorful List - Accent 11"/>
    <w:basedOn w:val="Normal"/>
    <w:link w:val="ColorfulList-Accent1Char1"/>
    <w:uiPriority w:val="34"/>
    <w:qFormat/>
    <w:rsid w:val="003513DF"/>
    <w:pPr>
      <w:spacing w:after="160" w:line="259" w:lineRule="auto"/>
      <w:ind w:left="720"/>
      <w:contextualSpacing/>
    </w:pPr>
    <w:rPr>
      <w:rFonts w:ascii="Calibri" w:eastAsia="SimSun" w:hAnsi="Calibri" w:cs="Arial"/>
      <w:sz w:val="22"/>
      <w:szCs w:val="22"/>
    </w:rPr>
  </w:style>
  <w:style w:type="character" w:customStyle="1" w:styleId="ColorfulList-Accent1Char1">
    <w:name w:val="Colorful List - Accent 1 Char1"/>
    <w:basedOn w:val="DefaultParagraphFont"/>
    <w:link w:val="ColorfulList-Accent11"/>
    <w:uiPriority w:val="34"/>
    <w:locked/>
    <w:rsid w:val="003513DF"/>
    <w:rPr>
      <w:rFonts w:ascii="Calibri" w:eastAsia="SimSun" w:hAnsi="Calibri" w:cs="Arial"/>
      <w:sz w:val="22"/>
      <w:szCs w:val="22"/>
    </w:rPr>
  </w:style>
  <w:style w:type="character" w:customStyle="1" w:styleId="GridTable1Light1">
    <w:name w:val="Grid Table 1 Light1"/>
    <w:uiPriority w:val="33"/>
    <w:qFormat/>
    <w:rsid w:val="003513DF"/>
    <w:rPr>
      <w:b/>
      <w:bCs/>
      <w:i/>
      <w:iCs/>
      <w:spacing w:val="5"/>
    </w:rPr>
  </w:style>
  <w:style w:type="paragraph" w:customStyle="1" w:styleId="GridTable31">
    <w:name w:val="Grid Table 31"/>
    <w:basedOn w:val="Heading1"/>
    <w:next w:val="Normal"/>
    <w:uiPriority w:val="39"/>
    <w:unhideWhenUsed/>
    <w:qFormat/>
    <w:rsid w:val="003513DF"/>
    <w:pPr>
      <w:keepLines/>
      <w:spacing w:before="240" w:line="259" w:lineRule="auto"/>
      <w:ind w:right="0"/>
      <w:outlineLvl w:val="9"/>
    </w:pPr>
    <w:rPr>
      <w:rFonts w:ascii="Calibri Light" w:hAnsi="Calibri Light"/>
      <w:b w:val="0"/>
      <w:bCs w:val="0"/>
      <w:color w:val="2E74B5"/>
      <w:sz w:val="32"/>
      <w:szCs w:val="32"/>
    </w:rPr>
  </w:style>
  <w:style w:type="paragraph" w:styleId="TOC1">
    <w:name w:val="toc 1"/>
    <w:basedOn w:val="Normal"/>
    <w:next w:val="Normal"/>
    <w:autoRedefine/>
    <w:uiPriority w:val="39"/>
    <w:unhideWhenUsed/>
    <w:rsid w:val="003513DF"/>
    <w:pPr>
      <w:tabs>
        <w:tab w:val="right" w:leader="dot" w:pos="9350"/>
        <w:tab w:val="right" w:leader="dot" w:pos="11520"/>
      </w:tabs>
      <w:spacing w:after="100" w:line="259" w:lineRule="auto"/>
    </w:pPr>
    <w:rPr>
      <w:rFonts w:ascii="Calibri" w:eastAsia="SimSun" w:hAnsi="Calibri" w:cs="Arial"/>
      <w:sz w:val="22"/>
      <w:szCs w:val="22"/>
    </w:rPr>
  </w:style>
  <w:style w:type="paragraph" w:styleId="TOC2">
    <w:name w:val="toc 2"/>
    <w:basedOn w:val="Normal"/>
    <w:next w:val="Normal"/>
    <w:autoRedefine/>
    <w:uiPriority w:val="39"/>
    <w:unhideWhenUsed/>
    <w:rsid w:val="003513DF"/>
    <w:pPr>
      <w:tabs>
        <w:tab w:val="left" w:pos="660"/>
        <w:tab w:val="right" w:leader="dot" w:pos="11520"/>
        <w:tab w:val="right" w:leader="dot" w:pos="12950"/>
      </w:tabs>
      <w:ind w:left="216"/>
      <w:outlineLvl w:val="0"/>
    </w:pPr>
    <w:rPr>
      <w:rFonts w:ascii="Calibri" w:eastAsia="SimSun" w:hAnsi="Calibri" w:cs="Arial"/>
      <w:sz w:val="22"/>
      <w:szCs w:val="22"/>
    </w:rPr>
  </w:style>
  <w:style w:type="character" w:styleId="Hyperlink">
    <w:name w:val="Hyperlink"/>
    <w:uiPriority w:val="99"/>
    <w:unhideWhenUsed/>
    <w:rsid w:val="003513DF"/>
    <w:rPr>
      <w:color w:val="0563C1"/>
      <w:u w:val="single"/>
    </w:rPr>
  </w:style>
  <w:style w:type="paragraph" w:styleId="Title">
    <w:name w:val="Title"/>
    <w:basedOn w:val="Normal"/>
    <w:next w:val="Normal"/>
    <w:link w:val="TitleChar"/>
    <w:uiPriority w:val="10"/>
    <w:qFormat/>
    <w:rsid w:val="003513DF"/>
    <w:pPr>
      <w:spacing w:before="240" w:after="60" w:line="259" w:lineRule="auto"/>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3513DF"/>
    <w:rPr>
      <w:rFonts w:ascii="Calibri Light" w:hAnsi="Calibri Light"/>
      <w:b/>
      <w:bCs/>
      <w:kern w:val="28"/>
      <w:sz w:val="32"/>
      <w:szCs w:val="32"/>
    </w:rPr>
  </w:style>
  <w:style w:type="table" w:customStyle="1" w:styleId="GridTable4-Accent11">
    <w:name w:val="Grid Table 4 - Accent 11"/>
    <w:basedOn w:val="TableNormal"/>
    <w:uiPriority w:val="49"/>
    <w:rsid w:val="003513DF"/>
    <w:rPr>
      <w:rFonts w:ascii="Calibri" w:eastAsia="SimSun" w:hAnsi="Calibri" w:cs="Ari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6D34C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ntia.doc.gov/data/digital-nation-data-explorer" TargetMode="Externa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jpeg" /></Relationships>
</file>

<file path=word/_rels/footer1.xml.rels><?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14BD5D-256F-4E26-B423-D9C09214EF9B}">
  <ds:schemaRefs>
    <ds:schemaRef ds:uri="http://schemas.microsoft.com/sharepoint/v3/contenttype/forms"/>
  </ds:schemaRefs>
</ds:datastoreItem>
</file>

<file path=customXml/itemProps2.xml><?xml version="1.0" encoding="utf-8"?>
<ds:datastoreItem xmlns:ds="http://schemas.openxmlformats.org/officeDocument/2006/customXml" ds:itemID="{982B9574-A3D4-4D66-9EAD-82A0931ED066}">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customXml/itemProps3.xml><?xml version="1.0" encoding="utf-8"?>
<ds:datastoreItem xmlns:ds="http://schemas.openxmlformats.org/officeDocument/2006/customXml" ds:itemID="{01EC0340-F75B-44C6-80D2-20F10D9C5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7</TotalTime>
  <Pages>17</Pages>
  <Words>4122</Words>
  <Characters>24559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28624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Juan</cp:lastModifiedBy>
  <cp:revision>7</cp:revision>
  <cp:lastPrinted>2011-05-04T16:54:00Z</cp:lastPrinted>
  <dcterms:created xsi:type="dcterms:W3CDTF">2025-03-27T16:58:00Z</dcterms:created>
  <dcterms:modified xsi:type="dcterms:W3CDTF">2025-03-27T17:02:00Z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y fmtid="{D5CDD505-2E9C-101B-9397-08002B2CF9AE}" pid="4" name="_NewReviewCycle">
    <vt:lpwstr/>
  </property>
</Properties>
</file>