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683" w:rsidRPr="003E61B6" w14:paraId="29B568A2" w14:textId="1FC49A7F">
      <w:pPr>
        <w:jc w:val="center"/>
        <w:rPr>
          <w:b/>
          <w:bCs/>
        </w:rPr>
      </w:pPr>
      <w:r w:rsidRPr="003E61B6">
        <w:rPr>
          <w:b/>
          <w:bCs/>
        </w:rPr>
        <w:t>Supporting Statement A</w:t>
      </w:r>
    </w:p>
    <w:p w:rsidR="004926C0" w:rsidRPr="00D33596" w14:paraId="3BC8708A" w14:textId="5467B2EE">
      <w:pPr>
        <w:jc w:val="center"/>
      </w:pPr>
      <w:r w:rsidRPr="00CE1A1A">
        <w:t> Standard for the Flammability of Carpets and Rugs (FF-1-70), 16 CFR 1630 and Standard for the Flammability of Small Carpets and Rugs (FF 2-70), 16 CFR 1631</w:t>
      </w:r>
      <w:r>
        <w:br/>
        <w:t>OMB Control Number</w:t>
      </w:r>
      <w:r w:rsidR="009A62DD">
        <w:t xml:space="preserve"> 3041-0017</w:t>
      </w:r>
    </w:p>
    <w:p w:rsidR="003E61B6" w:rsidP="002E4A87" w14:paraId="5A79933B" w14:textId="77777777"/>
    <w:p w:rsidR="00BA07E1" w:rsidP="002E4A87" w14:paraId="392E649C" w14:textId="77777777"/>
    <w:p w:rsidR="002E4A87" w:rsidRPr="00D33596" w:rsidP="002E4A87" w14:paraId="4F09DAD6" w14:textId="6E3D1A7F">
      <w:r w:rsidRPr="00D33596">
        <w:t>A.  Justification</w:t>
      </w:r>
    </w:p>
    <w:p w:rsidR="002E4A87" w:rsidRPr="00D33596" w:rsidP="002E4A87" w14:paraId="481D1E68" w14:textId="77777777"/>
    <w:p w:rsidR="002E4A87" w:rsidRPr="00D33596" w:rsidP="002E4A87" w14:paraId="20244D61" w14:textId="77777777">
      <w:pPr>
        <w:numPr>
          <w:ilvl w:val="0"/>
          <w:numId w:val="1"/>
        </w:numPr>
        <w:tabs>
          <w:tab w:val="num" w:pos="0"/>
          <w:tab w:val="clear" w:pos="1080"/>
        </w:tabs>
        <w:ind w:left="0" w:firstLine="0"/>
      </w:pPr>
      <w:r w:rsidRPr="00D33596">
        <w:rPr>
          <w:i/>
        </w:rPr>
        <w:t>Information to be c</w:t>
      </w:r>
      <w:r w:rsidR="00D33596">
        <w:rPr>
          <w:i/>
        </w:rPr>
        <w:t xml:space="preserve">ollected and circumstances that </w:t>
      </w:r>
      <w:r w:rsidRPr="00D33596">
        <w:rPr>
          <w:i/>
        </w:rPr>
        <w:t>make the collection of information necessary</w:t>
      </w:r>
    </w:p>
    <w:p w:rsidR="002E4A87" w:rsidRPr="00D33596" w:rsidP="002E4A87" w14:paraId="2BB954A9" w14:textId="77777777"/>
    <w:p w:rsidR="002A5B27" w:rsidRPr="00D33596" w:rsidP="00D33596" w14:paraId="0EB4A412" w14:textId="1ED8D4B2">
      <w:r>
        <w:t>Federal law requires that carpets and rugs comply with flammability standards</w:t>
      </w:r>
      <w:r w:rsidR="0044204B">
        <w:t xml:space="preserve"> under the Flammable Fabrics Act (FFA)</w:t>
      </w:r>
      <w:r>
        <w:t xml:space="preserve"> and with additional requirements, including those of the Consumer Product Safety Improvement Act of 2008 (CPSIA). </w:t>
      </w:r>
      <w:r w:rsidRPr="00D33596">
        <w:t>The Standard for the Surface Flammability of Carpets and Rugs (FF 1</w:t>
      </w:r>
      <w:r w:rsidR="00DE3CF8">
        <w:t>–</w:t>
      </w:r>
      <w:r w:rsidRPr="00D33596">
        <w:t xml:space="preserve">70), 16 CFR </w:t>
      </w:r>
      <w:r w:rsidR="00DE3CF8">
        <w:t>p</w:t>
      </w:r>
      <w:r w:rsidRPr="00D33596">
        <w:t xml:space="preserve">art 1630, and the Standard for the Surface Flammability of Small Carpets and Rugs (FF 2-70), 16 CFR </w:t>
      </w:r>
      <w:r w:rsidR="00DE3CF8">
        <w:t>p</w:t>
      </w:r>
      <w:r w:rsidRPr="00D33596">
        <w:t>art 1631, were issued under section 4 of the Flammable Fabrics Act (FFA) (15 U.S.C. 1193) in 1970.  The standards cover any type of finished product made in whole or in part of fabric or related material and intended for use as a floor covering in homes, offices, or other places of assembly or accommodation.  The standards establish an acceptable level of flammability performance</w:t>
      </w:r>
      <w:r w:rsidR="00E51097">
        <w:t xml:space="preserve"> and reduce the risk of death, personal injury, and property damage associated with fires that result</w:t>
      </w:r>
      <w:r w:rsidR="00307288">
        <w:t xml:space="preserve"> from the ignition of carpets and rugs.</w:t>
      </w:r>
      <w:r w:rsidRPr="00D33596">
        <w:t xml:space="preserve"> </w:t>
      </w:r>
    </w:p>
    <w:p w:rsidR="002A5B27" w:rsidRPr="00D33596" w14:paraId="4306FD50" w14:textId="77777777"/>
    <w:p w:rsidR="00D07682" w14:paraId="02277FF1" w14:textId="16D895DA">
      <w:r w:rsidRPr="00D33596">
        <w:t xml:space="preserve">In addition to the standards, certain enforcement rules (16 CFR </w:t>
      </w:r>
      <w:r w:rsidR="00DE3CF8">
        <w:t>§</w:t>
      </w:r>
      <w:r w:rsidRPr="00D33596">
        <w:t xml:space="preserve"> 1630.31 and 16 CFR </w:t>
      </w:r>
      <w:r w:rsidR="00DE3CF8">
        <w:t xml:space="preserve">§§ </w:t>
      </w:r>
      <w:r w:rsidRPr="00D33596">
        <w:t>1631.31</w:t>
      </w:r>
      <w:r w:rsidR="00DE3CF8">
        <w:t>–</w:t>
      </w:r>
      <w:r w:rsidRPr="00D33596">
        <w:t xml:space="preserve">32) have been issued under section 5 of the FFA (15 U.S.C. 1194) to address reasonable and representative tests and </w:t>
      </w:r>
      <w:r w:rsidRPr="00D33596" w:rsidR="003E309E">
        <w:t xml:space="preserve">the </w:t>
      </w:r>
      <w:r w:rsidRPr="00D33596">
        <w:t xml:space="preserve">recordkeeping requirement. These rules specify the frequency of testing necessary to support the issuance of a guaranty of compliance under the Act and the </w:t>
      </w:r>
      <w:r w:rsidRPr="00D33596" w:rsidR="00EC7A06">
        <w:t>types</w:t>
      </w:r>
      <w:r w:rsidRPr="00D33596">
        <w:t xml:space="preserve"> of records that must be maintained to document this activity.</w:t>
      </w:r>
      <w:r w:rsidRPr="00D33596" w:rsidR="003B05F6">
        <w:t xml:space="preserve"> </w:t>
      </w:r>
    </w:p>
    <w:p w:rsidR="000E0493" w14:paraId="25296453" w14:textId="77777777"/>
    <w:p w:rsidR="003B05F6" w:rsidRPr="00D33596" w:rsidP="002C1CE3" w14:paraId="7E30B76E" w14:textId="05B20AC0">
      <w:r>
        <w:t>M</w:t>
      </w:r>
      <w:r w:rsidR="00B3512F">
        <w:t xml:space="preserve">anufacturers and importers of carpets and rugs intended for general use must certify in a General </w:t>
      </w:r>
      <w:r w:rsidR="00E856B4">
        <w:t xml:space="preserve">Certificate of </w:t>
      </w:r>
      <w:r w:rsidR="00B3512F">
        <w:t>Conformity  (</w:t>
      </w:r>
      <w:r w:rsidR="00B3512F">
        <w:t xml:space="preserve">GCC) that the carpets and rugs comply with the applicable standard </w:t>
      </w:r>
      <w:r>
        <w:t>based on</w:t>
      </w:r>
      <w:r w:rsidR="00B3512F">
        <w:t xml:space="preserve"> testing or a reasonable testing program to ensure compliance with the standard.</w:t>
      </w:r>
      <w:r>
        <w:t xml:space="preserve"> Manufacturers and importers of children’s carpets and rugs must certify in a Children’s Product Certificate (CPC) that the carpet or rug complies with all applicable requirements based on testing by a CPSC-accepted third-party conformity assessment body.</w:t>
      </w:r>
      <w:r w:rsidR="00B3512F">
        <w:t xml:space="preserve"> </w:t>
      </w:r>
    </w:p>
    <w:p w:rsidR="00EC7A06" w:rsidRPr="00D33596" w:rsidP="002E4A87" w14:paraId="2DFA0134" w14:textId="77777777">
      <w:pPr>
        <w:pStyle w:val="BodyTextIndent"/>
        <w:ind w:left="0" w:firstLine="0"/>
      </w:pPr>
    </w:p>
    <w:p w:rsidR="002E4A87" w:rsidRPr="00D33596" w:rsidP="002E4A87" w14:paraId="6B0D06AC" w14:textId="2CC9FAA6">
      <w:pPr>
        <w:pStyle w:val="BodyTextIndent"/>
        <w:ind w:left="0" w:firstLine="0"/>
        <w:rPr>
          <w:i/>
        </w:rPr>
      </w:pPr>
      <w:r w:rsidRPr="00D33596">
        <w:t>2.</w:t>
      </w:r>
      <w:r w:rsidRPr="00D33596">
        <w:tab/>
      </w:r>
      <w:r w:rsidRPr="00D33596">
        <w:rPr>
          <w:i/>
        </w:rPr>
        <w:t xml:space="preserve">Use </w:t>
      </w:r>
      <w:r w:rsidR="00190D16">
        <w:rPr>
          <w:i/>
        </w:rPr>
        <w:t>of the information</w:t>
      </w:r>
    </w:p>
    <w:p w:rsidR="002E4A87" w:rsidRPr="00D33596" w:rsidP="002E4A87" w14:paraId="6DC5EC11" w14:textId="77777777">
      <w:pPr>
        <w:pStyle w:val="BodyTextIndent"/>
        <w:ind w:left="0" w:firstLine="0"/>
        <w:rPr>
          <w:i/>
        </w:rPr>
      </w:pPr>
    </w:p>
    <w:p w:rsidR="00C512C1" w:rsidP="00D33596" w14:paraId="5321CF16" w14:textId="24D2D73B">
      <w:pPr>
        <w:pStyle w:val="BodyTextIndent"/>
        <w:ind w:left="0" w:firstLine="0"/>
      </w:pPr>
      <w:r w:rsidRPr="00D33596">
        <w:t xml:space="preserve">The required recordkeeping is used to </w:t>
      </w:r>
      <w:r w:rsidR="00DE3CF8">
        <w:t>en</w:t>
      </w:r>
      <w:r w:rsidRPr="00D33596">
        <w:t xml:space="preserve">sure compliance with </w:t>
      </w:r>
      <w:r w:rsidRPr="00D33596">
        <w:t>provisions</w:t>
      </w:r>
      <w:r w:rsidRPr="00D33596">
        <w:t xml:space="preserve"> of the regulations.  The records are retained by the </w:t>
      </w:r>
      <w:r w:rsidRPr="00D33596">
        <w:t>responsible firm</w:t>
      </w:r>
      <w:r w:rsidRPr="00D33596">
        <w:t xml:space="preserve"> and made available to a designated officer or employee of the Commission</w:t>
      </w:r>
      <w:r w:rsidR="00DE3CF8">
        <w:t>,</w:t>
      </w:r>
      <w:r w:rsidRPr="00D33596">
        <w:t xml:space="preserve"> upon request. Such requests are generally made </w:t>
      </w:r>
      <w:r w:rsidRPr="00D33596" w:rsidR="00EC7A06">
        <w:t xml:space="preserve">during an </w:t>
      </w:r>
      <w:r w:rsidRPr="00D33596">
        <w:t xml:space="preserve">inspection to </w:t>
      </w:r>
      <w:r w:rsidR="00DE3CF8">
        <w:t>en</w:t>
      </w:r>
      <w:r w:rsidRPr="00D33596">
        <w:t>sure compliance with the regulation.</w:t>
      </w:r>
      <w:r w:rsidR="00D64F02">
        <w:t xml:space="preserve"> GCCs </w:t>
      </w:r>
      <w:r w:rsidR="00BF40BD">
        <w:t>and</w:t>
      </w:r>
      <w:r w:rsidR="0044204B">
        <w:t xml:space="preserve"> CPCs</w:t>
      </w:r>
      <w:r w:rsidR="00CE1FE9">
        <w:t xml:space="preserve"> </w:t>
      </w:r>
      <w:r w:rsidR="00D64F02">
        <w:t>are required to accompany each shipment at import and to be provided to distributors and retailers.</w:t>
      </w:r>
    </w:p>
    <w:p w:rsidR="002A5B27" w:rsidRPr="00D33596" w14:paraId="6D9DCC8E" w14:textId="77777777">
      <w:pPr>
        <w:pStyle w:val="BodyTextIndent"/>
        <w:ind w:left="0" w:firstLine="0"/>
      </w:pPr>
    </w:p>
    <w:p w:rsidR="00E60A5E" w:rsidP="00D33596" w14:paraId="1F039BBD" w14:textId="77777777">
      <w:pPr>
        <w:rPr>
          <w:i/>
        </w:rPr>
      </w:pPr>
      <w:r w:rsidRPr="00D33596">
        <w:t>3.</w:t>
      </w:r>
      <w:r w:rsidRPr="00D33596">
        <w:tab/>
      </w:r>
      <w:r w:rsidRPr="00D33596">
        <w:rPr>
          <w:i/>
        </w:rPr>
        <w:t>Use of information technology (IT) in information collectio</w:t>
      </w:r>
      <w:r w:rsidRPr="00D33596" w:rsidR="005B4C63">
        <w:rPr>
          <w:i/>
        </w:rPr>
        <w:t>n</w:t>
      </w:r>
      <w:bookmarkStart w:id="0" w:name="_Hlk85436753"/>
    </w:p>
    <w:p w:rsidR="006F5B50" w:rsidP="00D33596" w14:paraId="1CA66165" w14:textId="6CF97E0F"/>
    <w:p w:rsidR="002A5B27" w:rsidP="00D33596" w14:paraId="7582B302" w14:textId="477EA481">
      <w:r>
        <w:t>At</w:t>
      </w:r>
      <w:r w:rsidRPr="00D33596" w:rsidR="006F5B50">
        <w:t xml:space="preserve"> </w:t>
      </w:r>
      <w:r w:rsidRPr="00D33596">
        <w:t>the option of the firm, any technology, including electronic recordkeeping, to compile and maintain business records may</w:t>
      </w:r>
      <w:r w:rsidRPr="00D33596" w:rsidR="003E309E">
        <w:t xml:space="preserve"> </w:t>
      </w:r>
      <w:r w:rsidRPr="00D33596">
        <w:t xml:space="preserve">be used to comply with the regulation.  Information is not normally submitted to </w:t>
      </w:r>
      <w:r w:rsidR="00DE3CF8">
        <w:t xml:space="preserve">the </w:t>
      </w:r>
      <w:r w:rsidRPr="00D33596">
        <w:t>CPSC</w:t>
      </w:r>
      <w:r w:rsidR="00DE3CF8">
        <w:t>,</w:t>
      </w:r>
      <w:r w:rsidRPr="00D33596">
        <w:t xml:space="preserve"> unless specifically requested during compliance</w:t>
      </w:r>
      <w:r w:rsidR="00DE3CF8">
        <w:t>-</w:t>
      </w:r>
      <w:r w:rsidRPr="00D33596">
        <w:t>related activities.</w:t>
      </w:r>
      <w:r w:rsidR="00641B8D">
        <w:t xml:space="preserve"> Information submitted to CPSC is typically</w:t>
      </w:r>
      <w:r w:rsidR="00E477FE">
        <w:t xml:space="preserve"> electronic.</w:t>
      </w:r>
      <w:r w:rsidR="00EC3477">
        <w:t xml:space="preserve"> Over 75 percent of</w:t>
      </w:r>
      <w:r w:rsidR="00E856B4">
        <w:t xml:space="preserve"> the</w:t>
      </w:r>
      <w:r w:rsidR="00EC3477">
        <w:t xml:space="preserve"> information received is submitted electronically.</w:t>
      </w:r>
    </w:p>
    <w:p w:rsidR="003B1B20" w:rsidP="00D33596" w14:paraId="7BE3B521" w14:textId="77777777"/>
    <w:p w:rsidR="003B1B20" w:rsidP="003B1B20" w14:paraId="075F1B8D" w14:textId="1046D5D8">
      <w:pPr>
        <w:rPr>
          <w:bCs/>
        </w:rPr>
      </w:pPr>
      <w:r w:rsidRPr="003B1B20">
        <w:rPr>
          <w:bCs/>
        </w:rPr>
        <w:t>Currently, CPSC requests</w:t>
      </w:r>
      <w:r w:rsidR="00661C38">
        <w:rPr>
          <w:bCs/>
        </w:rPr>
        <w:t xml:space="preserve"> </w:t>
      </w:r>
      <w:r w:rsidRPr="003B1B20" w:rsidR="00661C38">
        <w:t>certificates of compliance</w:t>
      </w:r>
      <w:r w:rsidRPr="003B1B20">
        <w:rPr>
          <w:bCs/>
        </w:rPr>
        <w:t xml:space="preserve"> </w:t>
      </w:r>
      <w:r w:rsidRPr="003B1B20" w:rsidR="00195560">
        <w:t xml:space="preserve">(certificates or COCs) </w:t>
      </w:r>
      <w:r w:rsidRPr="003B1B20">
        <w:rPr>
          <w:bCs/>
        </w:rPr>
        <w:t>from individual importers and manufacturers and does not maintain COC information in a searchable database.  Electronic filing of COCs before importation, and collecting this information in a database, will allow CPSC to use algorithms to search across COC data for imported regulated consumer products, to speed the release of compliant products, and help target unsafe and violative consumer products for examination at the ports</w:t>
      </w:r>
      <w:r w:rsidR="00195560">
        <w:rPr>
          <w:bCs/>
        </w:rPr>
        <w:t>.</w:t>
      </w:r>
    </w:p>
    <w:p w:rsidR="00195560" w:rsidRPr="003B1B20" w:rsidP="003B1B20" w14:paraId="095BF8C8" w14:textId="77777777">
      <w:pPr>
        <w:rPr>
          <w:bCs/>
        </w:rPr>
      </w:pPr>
    </w:p>
    <w:p w:rsidR="003B1B20" w:rsidRPr="003B1B20" w:rsidP="003B1B20" w14:paraId="66B0A68B" w14:textId="689A0ADF">
      <w:pPr>
        <w:rPr>
          <w:bCs/>
        </w:rPr>
      </w:pPr>
      <w:r w:rsidRPr="003B1B20">
        <w:rPr>
          <w:bCs/>
        </w:rPr>
        <w:t xml:space="preserve">The 7 </w:t>
      </w:r>
      <w:r w:rsidR="007413A4">
        <w:rPr>
          <w:bCs/>
        </w:rPr>
        <w:t xml:space="preserve">required </w:t>
      </w:r>
      <w:r w:rsidRPr="003B1B20">
        <w:rPr>
          <w:bCs/>
        </w:rPr>
        <w:t>data elements from a COC are:</w:t>
      </w:r>
    </w:p>
    <w:p w:rsidR="003B1B20" w:rsidRPr="003B1B20" w:rsidP="003B1B20" w14:paraId="21F216C9" w14:textId="77777777">
      <w:pPr>
        <w:rPr>
          <w:bCs/>
        </w:rPr>
      </w:pPr>
    </w:p>
    <w:p w:rsidR="003B1B20" w:rsidRPr="003B1B20" w:rsidP="003B1B20" w14:paraId="5F60F343" w14:textId="77777777">
      <w:pPr>
        <w:numPr>
          <w:ilvl w:val="0"/>
          <w:numId w:val="7"/>
        </w:numPr>
        <w:rPr>
          <w:bCs/>
        </w:rPr>
      </w:pPr>
      <w:r w:rsidRPr="003B1B20">
        <w:rPr>
          <w:bCs/>
        </w:rPr>
        <w:t>Identification of the finished product (may provide a GTIN</w:t>
      </w:r>
      <w:r w:rsidRPr="003B1B20">
        <w:rPr>
          <w:bCs/>
        </w:rPr>
        <w:t>);</w:t>
      </w:r>
    </w:p>
    <w:p w:rsidR="003B1B20" w:rsidRPr="003B1B20" w:rsidP="003B1B20" w14:paraId="25612DCE" w14:textId="77777777">
      <w:pPr>
        <w:numPr>
          <w:ilvl w:val="0"/>
          <w:numId w:val="7"/>
        </w:numPr>
        <w:rPr>
          <w:bCs/>
        </w:rPr>
      </w:pPr>
      <w:r w:rsidRPr="003B1B20">
        <w:rPr>
          <w:bCs/>
        </w:rPr>
        <w:t xml:space="preserve">Each consumer product safety rule to which the finished product has been </w:t>
      </w:r>
      <w:r w:rsidRPr="003B1B20">
        <w:rPr>
          <w:bCs/>
        </w:rPr>
        <w:t>certified;</w:t>
      </w:r>
    </w:p>
    <w:p w:rsidR="003B1B20" w:rsidRPr="003B1B20" w:rsidP="003B1B20" w14:paraId="1C26F0DC" w14:textId="77777777">
      <w:pPr>
        <w:numPr>
          <w:ilvl w:val="0"/>
          <w:numId w:val="7"/>
        </w:numPr>
        <w:rPr>
          <w:bCs/>
        </w:rPr>
      </w:pPr>
      <w:r w:rsidRPr="003B1B20">
        <w:rPr>
          <w:bCs/>
        </w:rPr>
        <w:t xml:space="preserve">Date when the finished product was </w:t>
      </w:r>
      <w:r w:rsidRPr="003B1B20">
        <w:rPr>
          <w:bCs/>
        </w:rPr>
        <w:t>manufactured;</w:t>
      </w:r>
      <w:r w:rsidRPr="003B1B20">
        <w:rPr>
          <w:bCs/>
        </w:rPr>
        <w:t> </w:t>
      </w:r>
    </w:p>
    <w:p w:rsidR="003B1B20" w:rsidRPr="003B1B20" w:rsidP="003B1B20" w14:paraId="1CF2E42B" w14:textId="77777777">
      <w:pPr>
        <w:numPr>
          <w:ilvl w:val="0"/>
          <w:numId w:val="7"/>
        </w:numPr>
        <w:rPr>
          <w:bCs/>
        </w:rPr>
      </w:pPr>
      <w:r w:rsidRPr="003B1B20">
        <w:rPr>
          <w:bCs/>
        </w:rPr>
        <w:t xml:space="preserve">Place where the finished product was manufactured, produced, or assembled, including the identity and address of the manufacturing </w:t>
      </w:r>
      <w:r w:rsidRPr="003B1B20">
        <w:rPr>
          <w:bCs/>
        </w:rPr>
        <w:t>party;</w:t>
      </w:r>
    </w:p>
    <w:p w:rsidR="003B1B20" w:rsidRPr="003B1B20" w:rsidP="003B1B20" w14:paraId="2D27FA99" w14:textId="77777777">
      <w:pPr>
        <w:numPr>
          <w:ilvl w:val="0"/>
          <w:numId w:val="7"/>
        </w:numPr>
        <w:rPr>
          <w:bCs/>
        </w:rPr>
      </w:pPr>
      <w:r w:rsidRPr="003B1B20">
        <w:rPr>
          <w:bCs/>
        </w:rPr>
        <w:t xml:space="preserve">Parties on </w:t>
      </w:r>
      <w:r w:rsidRPr="003B1B20">
        <w:rPr>
          <w:bCs/>
        </w:rPr>
        <w:t>whose</w:t>
      </w:r>
      <w:r w:rsidRPr="003B1B20">
        <w:rPr>
          <w:bCs/>
        </w:rPr>
        <w:t xml:space="preserve"> testing a certificate depends (name and contact information of the testing entity); and</w:t>
      </w:r>
    </w:p>
    <w:p w:rsidR="003B1B20" w:rsidRPr="003B1B20" w:rsidP="003B1B20" w14:paraId="71C5832A" w14:textId="77777777">
      <w:pPr>
        <w:numPr>
          <w:ilvl w:val="0"/>
          <w:numId w:val="7"/>
        </w:numPr>
        <w:rPr>
          <w:bCs/>
        </w:rPr>
      </w:pPr>
      <w:r w:rsidRPr="003B1B20">
        <w:rPr>
          <w:bCs/>
        </w:rPr>
        <w:t xml:space="preserve">Date when the finished product was </w:t>
      </w:r>
      <w:r w:rsidRPr="003B1B20">
        <w:rPr>
          <w:bCs/>
        </w:rPr>
        <w:t>tested;</w:t>
      </w:r>
      <w:r w:rsidRPr="003B1B20">
        <w:rPr>
          <w:bCs/>
        </w:rPr>
        <w:t> </w:t>
      </w:r>
    </w:p>
    <w:p w:rsidR="003B1B20" w:rsidRPr="00195560" w:rsidP="003B1B20" w14:paraId="4145DC51" w14:textId="760F1AB3">
      <w:pPr>
        <w:numPr>
          <w:ilvl w:val="0"/>
          <w:numId w:val="7"/>
        </w:numPr>
        <w:rPr>
          <w:bCs/>
        </w:rPr>
      </w:pPr>
      <w:r w:rsidRPr="003B1B20">
        <w:rPr>
          <w:bCs/>
        </w:rPr>
        <w:t xml:space="preserve">An attestation that the finished product(s) covered by the certificate </w:t>
      </w:r>
      <w:r w:rsidRPr="003B1B20">
        <w:rPr>
          <w:bCs/>
        </w:rPr>
        <w:t>comply</w:t>
      </w:r>
      <w:r w:rsidRPr="003B1B20">
        <w:rPr>
          <w:bCs/>
        </w:rPr>
        <w:t xml:space="preserve"> with applicable rules, bans, standards, and regulations, and that the information on the certificate is true and accurate.</w:t>
      </w:r>
    </w:p>
    <w:p w:rsidR="00195560" w:rsidRPr="003B1B20" w:rsidP="00195560" w14:paraId="1E154F64" w14:textId="77777777">
      <w:pPr>
        <w:ind w:left="1440"/>
        <w:rPr>
          <w:bCs/>
        </w:rPr>
      </w:pPr>
    </w:p>
    <w:p w:rsidR="003B1B20" w:rsidRPr="00195560" w:rsidP="00D33596" w14:paraId="4B411EC9" w14:textId="1709E742">
      <w:pPr>
        <w:rPr>
          <w:bCs/>
        </w:rPr>
      </w:pPr>
      <w:r w:rsidRPr="003B1B20">
        <w:rPr>
          <w:bCs/>
        </w:rPr>
        <w:t xml:space="preserve">Except for the attestation in data element seven, </w:t>
      </w:r>
      <w:r w:rsidRPr="003B1B20">
        <w:rPr>
          <w:bCs/>
        </w:rPr>
        <w:t>all of</w:t>
      </w:r>
      <w:r w:rsidRPr="003B1B20">
        <w:rPr>
          <w:bCs/>
        </w:rPr>
        <w:t xml:space="preserve"> these data points are already required by statute to either appear on a COC; no additional record keeping is associated with </w:t>
      </w:r>
      <w:r w:rsidR="00195560">
        <w:rPr>
          <w:bCs/>
        </w:rPr>
        <w:t>the use of information technology</w:t>
      </w:r>
      <w:r w:rsidRPr="003B1B20">
        <w:rPr>
          <w:bCs/>
        </w:rPr>
        <w:t xml:space="preserve">.  </w:t>
      </w:r>
    </w:p>
    <w:bookmarkEnd w:id="0"/>
    <w:p w:rsidR="002A5B27" w:rsidRPr="00D33596" w14:paraId="321A56ED" w14:textId="77777777"/>
    <w:p w:rsidR="002E4A87" w:rsidRPr="00D33596" w:rsidP="002E4A87" w14:paraId="37859E09" w14:textId="77777777">
      <w:pPr>
        <w:rPr>
          <w:i/>
        </w:rPr>
      </w:pPr>
      <w:r w:rsidRPr="00D33596">
        <w:t>4.</w:t>
      </w:r>
      <w:r w:rsidRPr="00D33596">
        <w:tab/>
      </w:r>
      <w:r w:rsidRPr="00D33596" w:rsidR="003C4A4F">
        <w:rPr>
          <w:i/>
        </w:rPr>
        <w:t>Efforts to identify duplication</w:t>
      </w:r>
    </w:p>
    <w:p w:rsidR="002E4A87" w:rsidRPr="00D33596" w:rsidP="002E4A87" w14:paraId="1C0C943E" w14:textId="77777777">
      <w:pPr>
        <w:rPr>
          <w:i/>
        </w:rPr>
      </w:pPr>
    </w:p>
    <w:p w:rsidR="00E477FE" w:rsidP="00D33596" w14:paraId="44F34A9F" w14:textId="057782C3">
      <w:r>
        <w:t>Information obtained through this collection is unique and is not already available for use or adaptation from another source.</w:t>
      </w:r>
    </w:p>
    <w:p w:rsidR="00E477FE" w:rsidP="00D33596" w14:paraId="5E396AB9" w14:textId="77777777"/>
    <w:p w:rsidR="002A5B27" w:rsidP="00D33596" w14:paraId="2F025BD5" w14:textId="4482851C">
      <w:r w:rsidRPr="00D33596">
        <w:t>The recordkeeping requirements were reviewed for potential duplication by the issuing agency, by members of the affected industry, and other interested parties during the proceedings to promulgate the regulations.</w:t>
      </w:r>
      <w:r w:rsidRPr="00D33596" w:rsidR="00C45152">
        <w:t xml:space="preserve">  No duplication was identified.</w:t>
      </w:r>
      <w:r w:rsidRPr="00D33596" w:rsidR="004B3E13">
        <w:t xml:space="preserve">  </w:t>
      </w:r>
    </w:p>
    <w:p w:rsidR="003B1B20" w:rsidP="00D33596" w14:paraId="0789827D" w14:textId="77777777"/>
    <w:p w:rsidR="003B1B20" w:rsidRPr="00D33596" w:rsidP="00D33596" w14:paraId="0F06F0D2" w14:textId="0FA51C76">
      <w:r w:rsidRPr="003B1B20">
        <w:t xml:space="preserve">Importers are already required to maintain the COCs with the data elements described above.  </w:t>
      </w:r>
      <w:r>
        <w:t>Currently</w:t>
      </w:r>
      <w:r w:rsidRPr="003B1B20">
        <w:t xml:space="preserve">, CPSC </w:t>
      </w:r>
      <w:r w:rsidR="00EE18F1">
        <w:t>requires</w:t>
      </w:r>
      <w:r w:rsidRPr="003B1B20">
        <w:t xml:space="preserve"> electronic filing of the COC data</w:t>
      </w:r>
      <w:r w:rsidR="008C48F5">
        <w:t xml:space="preserve">, </w:t>
      </w:r>
      <w:r w:rsidR="00EE18F1">
        <w:t xml:space="preserve">called e-Filing, </w:t>
      </w:r>
      <w:r w:rsidR="008C48F5">
        <w:t xml:space="preserve">but </w:t>
      </w:r>
      <w:r w:rsidRPr="003B1B20" w:rsidR="008C48F5">
        <w:t xml:space="preserve">CPSC </w:t>
      </w:r>
      <w:r w:rsidRPr="003B1B20" w:rsidR="008C48F5">
        <w:t>is not requesting</w:t>
      </w:r>
      <w:r w:rsidRPr="003B1B20" w:rsidR="008C48F5">
        <w:t xml:space="preserve"> duplication of the information.</w:t>
      </w:r>
    </w:p>
    <w:p w:rsidR="002A5B27" w:rsidRPr="00D33596" w14:paraId="0889C8E8" w14:textId="77777777"/>
    <w:p w:rsidR="00EC7A06" w:rsidRPr="00D33596" w:rsidP="002E4A87" w14:paraId="28ED2D8C" w14:textId="77777777">
      <w:pPr>
        <w:rPr>
          <w:i/>
        </w:rPr>
      </w:pPr>
      <w:r w:rsidRPr="00D33596">
        <w:t>5.</w:t>
      </w:r>
      <w:r w:rsidRPr="00D33596">
        <w:tab/>
      </w:r>
      <w:r w:rsidRPr="00D33596">
        <w:rPr>
          <w:i/>
        </w:rPr>
        <w:t xml:space="preserve">Impact on small businesses  </w:t>
      </w:r>
    </w:p>
    <w:p w:rsidR="00EC7A06" w:rsidRPr="00D33596" w:rsidP="002E4A87" w14:paraId="2DF90F5B" w14:textId="77777777"/>
    <w:p w:rsidR="006446DB" w:rsidP="006446DB" w14:paraId="6690E3C1" w14:textId="77E22656">
      <w:r>
        <w:t>The majority of</w:t>
      </w:r>
      <w:r>
        <w:t xml:space="preserve"> firms supplying the U.S. market for carpets and rugs may be small firms, more specifically small domestic importers of car</w:t>
      </w:r>
      <w:r w:rsidR="00992263">
        <w:t>pets</w:t>
      </w:r>
      <w:r>
        <w:t xml:space="preserve"> and rugs.</w:t>
      </w:r>
    </w:p>
    <w:p w:rsidR="006446DB" w:rsidP="006446DB" w14:paraId="367A1218" w14:textId="77777777"/>
    <w:p w:rsidR="00F15963" w:rsidP="006446DB" w14:paraId="4590EA64" w14:textId="5F2B885A">
      <w: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8" w:history="1">
        <w:r w:rsidRPr="00355F30">
          <w:rPr>
            <w:rStyle w:val="Hyperlink"/>
          </w:rPr>
          <w:t>https://www.cpsc.gov/Business--Manufacturing/Small-Business-Resources</w:t>
        </w:r>
      </w:hyperlink>
      <w:r>
        <w:t>.</w:t>
      </w:r>
      <w:r w:rsidR="00CB6CEF">
        <w:t xml:space="preserve"> </w:t>
      </w:r>
      <w:r>
        <w:t>Small firms can reach the Small Business Ombudsman by calling (888) 531-9070</w:t>
      </w:r>
      <w:r w:rsidR="00E856B4">
        <w:t xml:space="preserve"> or emailing sbo@cpsc.gov</w:t>
      </w:r>
      <w:r>
        <w:t>.</w:t>
      </w:r>
    </w:p>
    <w:p w:rsidR="002A5B27" w:rsidRPr="00D33596" w14:paraId="4874F02C" w14:textId="77777777"/>
    <w:p w:rsidR="002E4A87" w:rsidRPr="00D33596" w:rsidP="002E4A87" w14:paraId="492E983B" w14:textId="77777777">
      <w:pPr>
        <w:rPr>
          <w:i/>
        </w:rPr>
      </w:pPr>
      <w:r w:rsidRPr="00D33596">
        <w:t>6.</w:t>
      </w:r>
      <w:r w:rsidRPr="00D33596">
        <w:tab/>
      </w:r>
      <w:r w:rsidRPr="00D33596">
        <w:rPr>
          <w:i/>
        </w:rPr>
        <w:t xml:space="preserve">Consequences to </w:t>
      </w:r>
      <w:r w:rsidR="00EA3925">
        <w:rPr>
          <w:i/>
        </w:rPr>
        <w:t>F</w:t>
      </w:r>
      <w:r w:rsidRPr="00D33596">
        <w:rPr>
          <w:i/>
        </w:rPr>
        <w:t xml:space="preserve">ederal program or policy activities if collection is not conducted </w:t>
      </w:r>
      <w:r w:rsidRPr="00D33596" w:rsidR="005B4C63">
        <w:rPr>
          <w:i/>
        </w:rPr>
        <w:t>or is conducted less frequently</w:t>
      </w:r>
    </w:p>
    <w:p w:rsidR="002E4A87" w:rsidRPr="00D33596" w:rsidP="002E4A87" w14:paraId="1B92FDE1" w14:textId="77777777">
      <w:pPr>
        <w:ind w:left="360"/>
        <w:rPr>
          <w:i/>
        </w:rPr>
      </w:pPr>
    </w:p>
    <w:p w:rsidR="002A5B27" w:rsidRPr="00D33596" w14:paraId="39A74552" w14:textId="0B46ADD0">
      <w:r>
        <w:t xml:space="preserve">Collection of information from suppliers of carpets and rugs </w:t>
      </w:r>
      <w:r w:rsidR="00B63622">
        <w:t>provide the CPSC with information regarding compliance with the f</w:t>
      </w:r>
      <w:r w:rsidR="008C48F5">
        <w:t>l</w:t>
      </w:r>
      <w:r w:rsidR="00B63622">
        <w:t>ammability requirements which are intended to</w:t>
      </w:r>
      <w:r w:rsidR="00374494">
        <w:t xml:space="preserve"> reduce the risk of death, personal injury, and property damage associated with fires that result from the ignition of carpets and rugs. If the information were collected less frequently, CPSC would be unable to determine whether carpets and rugs are compliant.</w:t>
      </w:r>
    </w:p>
    <w:p w:rsidR="002A5B27" w:rsidRPr="00D33596" w14:paraId="611B3214" w14:textId="77777777"/>
    <w:p w:rsidR="002E3941" w:rsidRPr="00D33596" w:rsidP="002E4A87" w14:paraId="6B5D1A8E" w14:textId="77777777">
      <w:pPr>
        <w:rPr>
          <w:i/>
        </w:rPr>
      </w:pPr>
      <w:r w:rsidRPr="00D33596">
        <w:t>7</w:t>
      </w:r>
      <w:r w:rsidRPr="00D33596">
        <w:t xml:space="preserve">.  </w:t>
      </w:r>
      <w:r w:rsidRPr="00D33596">
        <w:tab/>
      </w:r>
      <w:r w:rsidRPr="00D33596">
        <w:rPr>
          <w:i/>
        </w:rPr>
        <w:t xml:space="preserve">Special circumstances </w:t>
      </w:r>
      <w:r w:rsidRPr="00D33596">
        <w:rPr>
          <w:i/>
        </w:rPr>
        <w:t>requiring</w:t>
      </w:r>
      <w:r w:rsidRPr="00D33596">
        <w:rPr>
          <w:i/>
        </w:rPr>
        <w:t xml:space="preserve"> respondents to report information more often than quarterly or to prepare </w:t>
      </w:r>
      <w:r w:rsidR="00D33596">
        <w:rPr>
          <w:i/>
        </w:rPr>
        <w:t>responses in fewer than 30 days</w:t>
      </w:r>
    </w:p>
    <w:p w:rsidR="002E3941" w:rsidRPr="00D33596" w:rsidP="002E4A87" w14:paraId="6DD0AC00" w14:textId="77777777">
      <w:pPr>
        <w:rPr>
          <w:i/>
        </w:rPr>
      </w:pPr>
    </w:p>
    <w:p w:rsidR="002A5B27" w:rsidRPr="00D33596" w:rsidP="002E4A87" w14:paraId="796363EC" w14:textId="293C3F6E">
      <w:r w:rsidRPr="00D33596">
        <w:t xml:space="preserve">Respondents generally will not have to report information more often than quarterly or to prepare responses in fewer than 30 days. However, </w:t>
      </w:r>
      <w:r w:rsidRPr="00D33596">
        <w:t>during the course of</w:t>
      </w:r>
      <w:r w:rsidRPr="00D33596">
        <w:t xml:space="preserve"> an investigation</w:t>
      </w:r>
      <w:r w:rsidR="00DE3CF8">
        <w:t>,</w:t>
      </w:r>
      <w:r w:rsidRPr="00D33596">
        <w:t xml:space="preserve"> CPSC staff </w:t>
      </w:r>
      <w:r w:rsidR="00F05291">
        <w:t xml:space="preserve">will </w:t>
      </w:r>
      <w:r w:rsidRPr="00D33596">
        <w:t xml:space="preserve">require </w:t>
      </w:r>
      <w:r w:rsidR="00F05291">
        <w:t>t</w:t>
      </w:r>
      <w:r w:rsidRPr="00F05291" w:rsidR="00F05291">
        <w:t xml:space="preserve">esting and certificate information </w:t>
      </w:r>
      <w:r w:rsidRPr="00D33596">
        <w:t xml:space="preserve">to assess compliance, </w:t>
      </w:r>
      <w:r w:rsidR="00F05291">
        <w:t xml:space="preserve">and </w:t>
      </w:r>
      <w:r w:rsidRPr="00D33596">
        <w:t xml:space="preserve">a firm may be asked to respond </w:t>
      </w:r>
      <w:r w:rsidR="00F05291">
        <w:t>within 5 business days</w:t>
      </w:r>
      <w:r w:rsidRPr="00D33596">
        <w:t>.</w:t>
      </w:r>
      <w:r w:rsidR="007C6A0A">
        <w:t xml:space="preserve"> </w:t>
      </w:r>
      <w:r w:rsidRPr="00F05291" w:rsidR="00F05291">
        <w:t xml:space="preserve">At ports firms are requested to provide the information within 24 hours. </w:t>
      </w:r>
    </w:p>
    <w:p w:rsidR="002A5B27" w:rsidRPr="00D33596" w14:paraId="74FD5289" w14:textId="77777777">
      <w:pPr>
        <w:ind w:left="360"/>
      </w:pPr>
    </w:p>
    <w:p w:rsidR="002A5B27" w:rsidP="002E4A87" w14:paraId="35545113" w14:textId="54162420">
      <w:pPr>
        <w:rPr>
          <w:i/>
        </w:rPr>
      </w:pPr>
      <w:r w:rsidRPr="00D33596">
        <w:t>8.</w:t>
      </w:r>
      <w:r w:rsidRPr="00D33596">
        <w:tab/>
      </w:r>
      <w:r w:rsidR="009F115C">
        <w:rPr>
          <w:i/>
        </w:rPr>
        <w:t>Consultation and Public Comments</w:t>
      </w:r>
    </w:p>
    <w:p w:rsidR="009F115C" w:rsidP="002E4A87" w14:paraId="714618F3" w14:textId="2938294D"/>
    <w:p w:rsidR="009F115C" w:rsidRPr="00D33596" w:rsidP="002E4A87" w14:paraId="6A952EBC" w14:textId="782ED23D">
      <w:r>
        <w:rPr>
          <w:rFonts w:asciiTheme="majorHAnsi" w:eastAsiaTheme="minorHAnsi" w:hAnsiTheme="majorHAnsi" w:cstheme="minorBidi"/>
          <w:szCs w:val="22"/>
        </w:rPr>
        <w:t>Part A: PUBLIC NOTICE</w:t>
      </w:r>
    </w:p>
    <w:p w:rsidR="002A5B27" w:rsidRPr="00D33596" w14:paraId="7EB710C1" w14:textId="77777777"/>
    <w:p w:rsidR="009427EE" w14:paraId="7EB81CEB" w14:textId="63F32ADA">
      <w:r>
        <w:t>A</w:t>
      </w:r>
      <w:r w:rsidR="009F115C">
        <w:t xml:space="preserve"> 60-Day</w:t>
      </w:r>
      <w:r>
        <w:t xml:space="preserve"> </w:t>
      </w:r>
      <w:r w:rsidR="009D06DB">
        <w:t>Federal Register</w:t>
      </w:r>
      <w:r w:rsidR="00C45152">
        <w:t xml:space="preserve"> </w:t>
      </w:r>
      <w:r w:rsidR="009F115C">
        <w:t xml:space="preserve">(FR) </w:t>
      </w:r>
      <w:r w:rsidR="00C45152">
        <w:t>notic</w:t>
      </w:r>
      <w:r w:rsidR="000531D8">
        <w:t>e</w:t>
      </w:r>
      <w:r w:rsidR="00ED1BC8">
        <w:t xml:space="preserve"> </w:t>
      </w:r>
      <w:r w:rsidR="009F115C">
        <w:t xml:space="preserve">for the collection </w:t>
      </w:r>
      <w:r w:rsidR="00ED1BC8">
        <w:t>was published on</w:t>
      </w:r>
      <w:r w:rsidR="009A62DD">
        <w:t xml:space="preserve"> </w:t>
      </w:r>
      <w:r w:rsidR="00EE18F1">
        <w:t>Tuesday</w:t>
      </w:r>
      <w:r w:rsidR="009A62DD">
        <w:t xml:space="preserve">, December </w:t>
      </w:r>
      <w:r w:rsidR="00EE18F1">
        <w:t>10</w:t>
      </w:r>
      <w:r w:rsidR="009A62DD">
        <w:t>, 202</w:t>
      </w:r>
      <w:r w:rsidR="008C48F5">
        <w:t xml:space="preserve">4 </w:t>
      </w:r>
      <w:r w:rsidR="009A62DD">
        <w:t>(</w:t>
      </w:r>
      <w:r w:rsidR="00EE18F1">
        <w:t>89</w:t>
      </w:r>
      <w:r w:rsidR="009A62DD">
        <w:t xml:space="preserve"> FR </w:t>
      </w:r>
      <w:r w:rsidR="00EE18F1">
        <w:t>99231</w:t>
      </w:r>
      <w:r w:rsidR="009A62DD">
        <w:t>).</w:t>
      </w:r>
      <w:r w:rsidR="00FF112D">
        <w:t xml:space="preserve"> </w:t>
      </w:r>
      <w:r w:rsidR="009F115C">
        <w:t xml:space="preserve"> </w:t>
      </w:r>
      <w:r w:rsidR="009A62DD">
        <w:t>We did not receive any comments on the notice.</w:t>
      </w:r>
    </w:p>
    <w:p w:rsidR="0070123D" w14:paraId="61E5D2D2" w14:textId="77777777"/>
    <w:p w:rsidR="3BDFB2AA" w14:paraId="5C90D825" w14:textId="5BF505A1">
      <w:r>
        <w:t xml:space="preserve">The 30-Day FR notice was published on </w:t>
      </w:r>
      <w:r w:rsidR="1D6174A5">
        <w:t xml:space="preserve">Wednesday, </w:t>
      </w:r>
      <w:r w:rsidR="24E7EBF0">
        <w:t>March 5, 2025</w:t>
      </w:r>
      <w:r w:rsidR="66FBDA2E">
        <w:t xml:space="preserve"> (</w:t>
      </w:r>
      <w:r w:rsidR="66503651">
        <w:t>90 FR 11303)</w:t>
      </w:r>
      <w:r w:rsidR="24E7EBF0">
        <w:t>. O</w:t>
      </w:r>
      <w:r w:rsidR="7ADF7447">
        <w:t xml:space="preserve">IRA indicated </w:t>
      </w:r>
      <w:r w:rsidR="3981DC0F">
        <w:t>a</w:t>
      </w:r>
      <w:r w:rsidR="24E7EBF0">
        <w:t xml:space="preserve"> comment was received.</w:t>
      </w:r>
    </w:p>
    <w:p w:rsidR="009427EE" w14:paraId="73DF8693" w14:textId="77777777"/>
    <w:p w:rsidR="009427EE" w:rsidP="008C48F5" w14:paraId="3053D462" w14:textId="17CD7F6D">
      <w:pPr>
        <w:keepNex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684B7C" w:rsidP="008C48F5" w14:paraId="327D23BC" w14:textId="77777777">
      <w:pPr>
        <w:pStyle w:val="NormalWeb"/>
        <w:keepNext/>
        <w:spacing w:before="0" w:beforeAutospacing="0" w:after="0" w:afterAutospacing="0" w:line="288" w:lineRule="atLeast"/>
        <w:rPr>
          <w:rFonts w:eastAsiaTheme="minorHAnsi"/>
          <w:szCs w:val="22"/>
        </w:rPr>
      </w:pPr>
    </w:p>
    <w:p w:rsidR="00BA07E1" w:rsidRPr="00BA07E1" w:rsidP="008C48F5" w14:paraId="3026280D" w14:textId="1D5D195D">
      <w:pPr>
        <w:pStyle w:val="NormalWeb"/>
        <w:keepNext/>
        <w:spacing w:before="0" w:beforeAutospacing="0" w:after="0" w:afterAutospacing="0" w:line="288" w:lineRule="atLeast"/>
        <w:rPr>
          <w:rFonts w:eastAsiaTheme="minorHAnsi"/>
          <w:szCs w:val="22"/>
        </w:rPr>
      </w:pPr>
      <w:r>
        <w:rPr>
          <w:rFonts w:eastAsiaTheme="minorHAnsi"/>
          <w:szCs w:val="22"/>
        </w:rPr>
        <w:t xml:space="preserve">CPSC provides </w:t>
      </w:r>
      <w:r>
        <w:rPr>
          <w:rFonts w:eastAsiaTheme="minorHAnsi"/>
          <w:szCs w:val="22"/>
        </w:rPr>
        <w:t>a number of</w:t>
      </w:r>
      <w:r>
        <w:rPr>
          <w:rFonts w:eastAsiaTheme="minorHAnsi"/>
          <w:szCs w:val="22"/>
        </w:rPr>
        <w:t xml:space="preserve"> ways for importers, manufacturers, and small business to provide comments on and ask questions about the information collected by the agency. </w:t>
      </w:r>
      <w:r w:rsidR="00CB6CEF">
        <w:t xml:space="preserve">CPSC provides a variety of resources to firms about safety requirements that apply to consumer products, including the CPSC Regulatory Robot, small business education videos, and the Small Business Ombudsman. </w:t>
      </w:r>
      <w:r w:rsidR="00B63622">
        <w:rPr>
          <w:rFonts w:eastAsiaTheme="minorHAnsi"/>
          <w:szCs w:val="22"/>
        </w:rPr>
        <w:t xml:space="preserve">In addition, </w:t>
      </w:r>
      <w:r w:rsidR="00AB339F">
        <w:rPr>
          <w:rFonts w:eastAsiaTheme="minorHAnsi"/>
          <w:szCs w:val="22"/>
        </w:rPr>
        <w:t xml:space="preserve">for importers of carpets and rugs, CPSC’s Office of Import Surveillance (EXIS) works to educate importers and manufacturers on CPSC’s standards and procedures, and EXIS has a dedicated email address to help answer any questions firms have: </w:t>
      </w:r>
      <w:hyperlink r:id="rId9" w:history="1">
        <w:r w:rsidRPr="00D353C3">
          <w:rPr>
            <w:rStyle w:val="Hyperlink"/>
            <w:rFonts w:eastAsiaTheme="minorHAnsi"/>
            <w:szCs w:val="22"/>
          </w:rPr>
          <w:t>importteam@cpsc.gov</w:t>
        </w:r>
      </w:hyperlink>
      <w:r w:rsidR="00AB339F">
        <w:rPr>
          <w:rFonts w:eastAsiaTheme="minorHAnsi"/>
          <w:szCs w:val="22"/>
        </w:rPr>
        <w:t>.</w:t>
      </w:r>
    </w:p>
    <w:p w:rsidR="00C45152" w:rsidRPr="00D33596" w14:paraId="43CB0512" w14:textId="77777777"/>
    <w:p w:rsidR="00EC7A06" w:rsidRPr="00D33596" w:rsidP="002E4A87" w14:paraId="5E8E617F" w14:textId="77777777">
      <w:pPr>
        <w:rPr>
          <w:i/>
        </w:rPr>
      </w:pPr>
      <w:r w:rsidRPr="00D33596">
        <w:t>9.</w:t>
      </w:r>
      <w:r w:rsidRPr="00D33596">
        <w:tab/>
      </w:r>
      <w:r w:rsidRPr="00D33596">
        <w:rPr>
          <w:i/>
        </w:rPr>
        <w:t xml:space="preserve">Decision to provide payment or gift  </w:t>
      </w:r>
    </w:p>
    <w:p w:rsidR="00EC7A06" w:rsidRPr="00D33596" w:rsidP="002E4A87" w14:paraId="173F3CCD" w14:textId="77777777"/>
    <w:p w:rsidR="002A5B27" w:rsidP="00D33596" w14:paraId="700C3B05" w14:textId="7A825939">
      <w:r>
        <w:t xml:space="preserve">No payments or gifts are being offered to </w:t>
      </w:r>
      <w:r w:rsidR="008C48F5">
        <w:t>respondents</w:t>
      </w:r>
      <w:r>
        <w:t xml:space="preserve"> as an incentive to participate in the collection</w:t>
      </w:r>
      <w:r w:rsidRPr="00D33596">
        <w:t>.</w:t>
      </w:r>
    </w:p>
    <w:p w:rsidR="002A5B27" w:rsidRPr="00D33596" w14:paraId="204111A6" w14:textId="77777777"/>
    <w:p w:rsidR="00874DEE" w:rsidRPr="00D33596" w:rsidP="00874DEE" w14:paraId="7B4ED741" w14:textId="6C9A5850">
      <w:pPr>
        <w:rPr>
          <w:i/>
        </w:rPr>
      </w:pPr>
      <w:r w:rsidRPr="00D33596">
        <w:t>10.</w:t>
      </w:r>
      <w:r w:rsidRPr="00D33596">
        <w:tab/>
      </w:r>
      <w:r w:rsidR="00C52FC9">
        <w:rPr>
          <w:i/>
        </w:rPr>
        <w:t>C</w:t>
      </w:r>
      <w:r w:rsidRPr="00D33596" w:rsidR="005B4C63">
        <w:rPr>
          <w:i/>
        </w:rPr>
        <w:t>onfidentiality</w:t>
      </w:r>
      <w:r w:rsidRPr="00D33596">
        <w:rPr>
          <w:i/>
        </w:rPr>
        <w:t xml:space="preserve">  </w:t>
      </w:r>
    </w:p>
    <w:p w:rsidR="00874DEE" w:rsidRPr="00D33596" w:rsidP="00874DEE" w14:paraId="1AA4E388" w14:textId="77777777">
      <w:pPr>
        <w:rPr>
          <w:i/>
        </w:rPr>
      </w:pPr>
    </w:p>
    <w:p w:rsidR="00C52FC9" w:rsidRPr="00D33596" w:rsidP="00D33596" w14:paraId="428A1703" w14:textId="5CBDFD56">
      <w:r w:rsidRPr="00D33596">
        <w:t xml:space="preserve">Any information required to be maintained by the standards and enforcement rules </w:t>
      </w:r>
      <w:r w:rsidR="00E24D39">
        <w:t xml:space="preserve">that </w:t>
      </w:r>
      <w:r w:rsidRPr="00D33596">
        <w:t xml:space="preserve">the manufacturer or importer claims to be confidential is subject to procedures for withholding confidential information from public </w:t>
      </w:r>
      <w:r w:rsidR="00D33596">
        <w:t>disclosure set forth at 16 CFR p</w:t>
      </w:r>
      <w:r w:rsidRPr="00D33596">
        <w:t>art 1015, subpart B.</w:t>
      </w:r>
    </w:p>
    <w:p w:rsidR="002A5B27" w:rsidRPr="00D33596" w14:paraId="679EFC13" w14:textId="77777777"/>
    <w:p w:rsidR="00874DEE" w:rsidRPr="00D33596" w:rsidP="00874DEE" w14:paraId="59396075" w14:textId="77777777">
      <w:pPr>
        <w:rPr>
          <w:i/>
        </w:rPr>
      </w:pPr>
      <w:r w:rsidRPr="00D33596">
        <w:t>11.</w:t>
      </w:r>
      <w:r w:rsidRPr="00D33596">
        <w:tab/>
      </w:r>
      <w:r w:rsidRPr="00D33596">
        <w:rPr>
          <w:i/>
        </w:rPr>
        <w:t>Questions of a sen</w:t>
      </w:r>
      <w:r w:rsidRPr="00D33596" w:rsidR="005B4C63">
        <w:rPr>
          <w:i/>
        </w:rPr>
        <w:t>sitive nature</w:t>
      </w:r>
    </w:p>
    <w:p w:rsidR="00874DEE" w:rsidRPr="00D33596" w:rsidP="00874DEE" w14:paraId="09365681" w14:textId="77777777">
      <w:pPr>
        <w:rPr>
          <w:i/>
        </w:rPr>
      </w:pPr>
    </w:p>
    <w:p w:rsidR="002A5B27" w:rsidRPr="00D33596" w:rsidP="00D33596" w14:paraId="04A138DB" w14:textId="77777777">
      <w:r w:rsidRPr="00D33596">
        <w:t>There are no questions of a sensitive nature.</w:t>
      </w:r>
    </w:p>
    <w:p w:rsidR="002A5B27" w:rsidRPr="00D33596" w14:paraId="380EE08F" w14:textId="77777777"/>
    <w:p w:rsidR="00874DEE" w:rsidRPr="00D33596" w:rsidP="00874DEE" w14:paraId="28542ECE" w14:textId="74A4FE1C">
      <w:pPr>
        <w:rPr>
          <w:i/>
        </w:rPr>
      </w:pPr>
      <w:r w:rsidRPr="00D33596">
        <w:t>12.</w:t>
      </w:r>
      <w:r w:rsidRPr="00D33596">
        <w:tab/>
      </w:r>
      <w:r w:rsidRPr="00D33596">
        <w:rPr>
          <w:i/>
        </w:rPr>
        <w:t>Estimat</w:t>
      </w:r>
      <w:r w:rsidRPr="00D33596" w:rsidR="005B4C63">
        <w:rPr>
          <w:i/>
        </w:rPr>
        <w:t>e of hour burden to respondents</w:t>
      </w:r>
    </w:p>
    <w:p w:rsidR="00F86AE2" w:rsidP="00D33596" w14:paraId="72D49E97" w14:textId="77777777"/>
    <w:p w:rsidR="009331CC" w:rsidP="00D33596" w14:paraId="24CC82A6" w14:textId="37E3B53D">
      <w:r>
        <w:t xml:space="preserve">According to CPSC staff, </w:t>
      </w:r>
      <w:r>
        <w:t>the</w:t>
      </w:r>
      <w:r w:rsidRPr="00064BA1">
        <w:t xml:space="preserve"> majority of</w:t>
      </w:r>
      <w:r w:rsidRPr="00064BA1">
        <w:t xml:space="preserve"> rug compliance cases are imports with foreign manufacture</w:t>
      </w:r>
      <w:r>
        <w:t>r</w:t>
      </w:r>
      <w:r w:rsidRPr="00064BA1">
        <w:t>s</w:t>
      </w:r>
      <w:r>
        <w:t xml:space="preserve">. </w:t>
      </w:r>
      <w:r w:rsidRPr="00D33596" w:rsidR="002A5B27">
        <w:t xml:space="preserve">The Commission estimates that </w:t>
      </w:r>
      <w:r w:rsidRPr="00D33596" w:rsidR="002A5B27">
        <w:rPr>
          <w:shd w:val="clear" w:color="auto" w:fill="FFFFFF"/>
        </w:rPr>
        <w:t>120 firms</w:t>
      </w:r>
      <w:r w:rsidRPr="00D33596" w:rsidR="002A5B27">
        <w:t xml:space="preserve"> are subject to the information collection requirements of the enforcement rules</w:t>
      </w:r>
      <w:r>
        <w:t xml:space="preserve">, however this may be an overestimation. </w:t>
      </w:r>
      <w:r w:rsidR="009F7EF1">
        <w:t>The majority of</w:t>
      </w:r>
      <w:r w:rsidR="009F7EF1">
        <w:t xml:space="preserve"> firms </w:t>
      </w:r>
      <w:r>
        <w:t>importing</w:t>
      </w:r>
      <w:r>
        <w:t xml:space="preserve"> carpets </w:t>
      </w:r>
      <w:r w:rsidR="009F7EF1">
        <w:t>issue a GCC</w:t>
      </w:r>
      <w:r>
        <w:t xml:space="preserve"> under the CPSIA</w:t>
      </w:r>
      <w:r w:rsidR="009F7EF1">
        <w:t xml:space="preserve">. </w:t>
      </w:r>
      <w:r>
        <w:t>Domestic manufacturers</w:t>
      </w:r>
      <w:r w:rsidR="009F7EF1">
        <w:t xml:space="preserve"> </w:t>
      </w:r>
      <w:r w:rsidR="001E277F">
        <w:t xml:space="preserve">elect </w:t>
      </w:r>
      <w:r w:rsidRPr="00D33596" w:rsidR="001E277F">
        <w:t>to</w:t>
      </w:r>
      <w:r w:rsidRPr="00D33596" w:rsidR="002A5B27">
        <w:t xml:space="preserve"> issue a guaranty of compliance with the FFA. </w:t>
      </w:r>
      <w:r>
        <w:t>In practice, CPSC compliance officers recently have not been receiving guarantees.</w:t>
      </w:r>
      <w:r w:rsidRPr="00D33596">
        <w:t xml:space="preserve"> </w:t>
      </w:r>
      <w:r>
        <w:t xml:space="preserve"> </w:t>
      </w:r>
    </w:p>
    <w:p w:rsidR="009F7EF1" w:rsidP="00D33596" w14:paraId="376B1E4C" w14:textId="77777777"/>
    <w:p w:rsidR="009F7EF1" w:rsidRPr="003E61B6" w:rsidP="003E61B6" w14:paraId="20BCCA34" w14:textId="64E273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E61B6">
        <w:rPr>
          <w:b/>
          <w:bCs/>
        </w:rPr>
        <w:t>Table 1</w:t>
      </w:r>
      <w:r w:rsidR="003E61B6">
        <w:rPr>
          <w:b/>
          <w:bCs/>
        </w:rPr>
        <w:t>.</w:t>
      </w:r>
      <w:r w:rsidRPr="003E61B6">
        <w:rPr>
          <w:b/>
          <w:bCs/>
        </w:rPr>
        <w:t xml:space="preserve"> Estimated Annual Reporting Burden</w:t>
      </w:r>
    </w:p>
    <w:tbl>
      <w:tblPr>
        <w:tblW w:w="8050" w:type="dxa"/>
        <w:jc w:val="center"/>
        <w:tblLook w:val="04A0"/>
      </w:tblPr>
      <w:tblGrid>
        <w:gridCol w:w="1780"/>
        <w:gridCol w:w="1523"/>
        <w:gridCol w:w="1310"/>
        <w:gridCol w:w="1270"/>
        <w:gridCol w:w="1177"/>
        <w:gridCol w:w="990"/>
      </w:tblGrid>
      <w:tr w14:paraId="1AED8720" w14:textId="77777777" w:rsidTr="003E61B6">
        <w:tblPrEx>
          <w:tblW w:w="8050" w:type="dxa"/>
          <w:jc w:val="center"/>
          <w:tblLook w:val="04A0"/>
        </w:tblPrEx>
        <w:trPr>
          <w:trHeight w:val="1275"/>
          <w:jc w:val="center"/>
        </w:trPr>
        <w:tc>
          <w:tcPr>
            <w:tcW w:w="17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F7EF1" w:rsidRPr="003E61B6" w:rsidP="003E61B6" w14:paraId="49A87048" w14:textId="3D4BCB24">
            <w:pPr>
              <w:jc w:val="center"/>
              <w:rPr>
                <w:b/>
                <w:bCs/>
                <w:color w:val="000000"/>
              </w:rPr>
            </w:pPr>
            <w:r w:rsidRPr="006104DD">
              <w:t xml:space="preserve"> </w:t>
            </w:r>
            <w:r w:rsidRPr="003E61B6">
              <w:rPr>
                <w:b/>
                <w:bCs/>
                <w:color w:val="000000"/>
              </w:rPr>
              <w:t>Burden Type</w:t>
            </w:r>
          </w:p>
        </w:tc>
        <w:tc>
          <w:tcPr>
            <w:tcW w:w="1523"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5DE864C7" w14:textId="77777777">
            <w:pPr>
              <w:jc w:val="center"/>
              <w:rPr>
                <w:b/>
                <w:bCs/>
                <w:color w:val="000000"/>
              </w:rPr>
            </w:pPr>
            <w:r w:rsidRPr="003E61B6">
              <w:rPr>
                <w:b/>
                <w:bCs/>
                <w:color w:val="000000"/>
              </w:rPr>
              <w:t>Number of Respondents</w:t>
            </w:r>
          </w:p>
        </w:tc>
        <w:tc>
          <w:tcPr>
            <w:tcW w:w="131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376F1257" w14:textId="77777777">
            <w:pPr>
              <w:jc w:val="center"/>
              <w:rPr>
                <w:b/>
                <w:bCs/>
                <w:color w:val="000000"/>
              </w:rPr>
            </w:pPr>
            <w:r w:rsidRPr="003E61B6">
              <w:rPr>
                <w:b/>
                <w:bCs/>
                <w:color w:val="000000"/>
              </w:rPr>
              <w:t>Frequency of Responses</w:t>
            </w:r>
          </w:p>
        </w:tc>
        <w:tc>
          <w:tcPr>
            <w:tcW w:w="127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3B1F6A99" w14:textId="77777777">
            <w:pPr>
              <w:jc w:val="center"/>
              <w:rPr>
                <w:b/>
                <w:bCs/>
                <w:color w:val="000000"/>
              </w:rPr>
            </w:pPr>
            <w:r w:rsidRPr="003E61B6">
              <w:rPr>
                <w:b/>
                <w:bCs/>
                <w:color w:val="000000"/>
              </w:rPr>
              <w:t>Total Annual Responses</w:t>
            </w:r>
          </w:p>
        </w:tc>
        <w:tc>
          <w:tcPr>
            <w:tcW w:w="1177"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3F494500" w14:textId="77777777">
            <w:pPr>
              <w:jc w:val="center"/>
              <w:rPr>
                <w:b/>
                <w:bCs/>
                <w:color w:val="000000"/>
              </w:rPr>
            </w:pPr>
            <w:r w:rsidRPr="003E61B6">
              <w:rPr>
                <w:b/>
                <w:bCs/>
                <w:color w:val="000000"/>
              </w:rPr>
              <w:t>Hours per Response</w:t>
            </w:r>
          </w:p>
        </w:tc>
        <w:tc>
          <w:tcPr>
            <w:tcW w:w="99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78E8ED89" w14:textId="77777777">
            <w:pPr>
              <w:jc w:val="center"/>
              <w:rPr>
                <w:b/>
                <w:bCs/>
                <w:color w:val="000000"/>
              </w:rPr>
            </w:pPr>
            <w:r w:rsidRPr="003E61B6">
              <w:rPr>
                <w:b/>
                <w:bCs/>
                <w:color w:val="000000"/>
              </w:rPr>
              <w:t>Total Burden Hours</w:t>
            </w:r>
          </w:p>
        </w:tc>
      </w:tr>
      <w:tr w14:paraId="0FA4AED3" w14:textId="77777777" w:rsidTr="003E61B6">
        <w:tblPrEx>
          <w:tblW w:w="8050" w:type="dxa"/>
          <w:jc w:val="center"/>
          <w:tblLook w:val="04A0"/>
        </w:tblPrEx>
        <w:trPr>
          <w:trHeight w:val="330"/>
          <w:jc w:val="center"/>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9F7EF1" w:rsidRPr="00423E20" w:rsidP="00254A0E" w14:paraId="25658EE6" w14:textId="5F03B418">
            <w:pPr>
              <w:rPr>
                <w:color w:val="000000"/>
              </w:rPr>
            </w:pPr>
            <w:r>
              <w:rPr>
                <w:color w:val="000000"/>
              </w:rPr>
              <w:t>GCC</w:t>
            </w:r>
            <w:r w:rsidR="002C6255">
              <w:rPr>
                <w:color w:val="000000"/>
              </w:rPr>
              <w:t xml:space="preserve"> and CPC</w:t>
            </w:r>
          </w:p>
        </w:tc>
        <w:tc>
          <w:tcPr>
            <w:tcW w:w="1523" w:type="dxa"/>
            <w:tcBorders>
              <w:top w:val="nil"/>
              <w:left w:val="nil"/>
              <w:bottom w:val="single" w:sz="8" w:space="0" w:color="000000"/>
              <w:right w:val="single" w:sz="8" w:space="0" w:color="000000"/>
            </w:tcBorders>
            <w:shd w:val="clear" w:color="auto" w:fill="auto"/>
            <w:vAlign w:val="center"/>
            <w:hideMark/>
          </w:tcPr>
          <w:p w:rsidR="009F7EF1" w:rsidRPr="00423E20" w:rsidP="00254A0E" w14:paraId="4427D0D7" w14:textId="036E8051">
            <w:pPr>
              <w:jc w:val="right"/>
              <w:rPr>
                <w:color w:val="000000"/>
              </w:rPr>
            </w:pPr>
            <w:r>
              <w:rPr>
                <w:color w:val="000000"/>
              </w:rPr>
              <w:t>100</w:t>
            </w:r>
          </w:p>
        </w:tc>
        <w:tc>
          <w:tcPr>
            <w:tcW w:w="1310" w:type="dxa"/>
            <w:tcBorders>
              <w:top w:val="nil"/>
              <w:left w:val="nil"/>
              <w:bottom w:val="single" w:sz="8" w:space="0" w:color="000000"/>
              <w:right w:val="single" w:sz="8" w:space="0" w:color="000000"/>
            </w:tcBorders>
            <w:shd w:val="clear" w:color="auto" w:fill="auto"/>
            <w:vAlign w:val="center"/>
            <w:hideMark/>
          </w:tcPr>
          <w:p w:rsidR="009F7EF1" w:rsidRPr="00423E20" w:rsidP="00254A0E" w14:paraId="4683A64A" w14:textId="1696E87E">
            <w:pPr>
              <w:jc w:val="right"/>
              <w:rPr>
                <w:color w:val="000000"/>
              </w:rPr>
            </w:pPr>
            <w:r>
              <w:rPr>
                <w:color w:val="000000"/>
              </w:rPr>
              <w:t>100</w:t>
            </w:r>
          </w:p>
        </w:tc>
        <w:tc>
          <w:tcPr>
            <w:tcW w:w="1270" w:type="dxa"/>
            <w:tcBorders>
              <w:top w:val="nil"/>
              <w:left w:val="nil"/>
              <w:bottom w:val="single" w:sz="8" w:space="0" w:color="000000"/>
              <w:right w:val="single" w:sz="8" w:space="0" w:color="000000"/>
            </w:tcBorders>
            <w:shd w:val="clear" w:color="auto" w:fill="auto"/>
            <w:vAlign w:val="center"/>
            <w:hideMark/>
          </w:tcPr>
          <w:p w:rsidR="009F7EF1" w:rsidRPr="00423E20" w:rsidP="00254A0E" w14:paraId="438F4B16" w14:textId="0885FE31">
            <w:pPr>
              <w:jc w:val="right"/>
              <w:rPr>
                <w:color w:val="000000"/>
              </w:rPr>
            </w:pPr>
            <w:r>
              <w:rPr>
                <w:color w:val="000000"/>
              </w:rPr>
              <w:t>10,000</w:t>
            </w:r>
          </w:p>
        </w:tc>
        <w:tc>
          <w:tcPr>
            <w:tcW w:w="1177" w:type="dxa"/>
            <w:tcBorders>
              <w:top w:val="nil"/>
              <w:left w:val="nil"/>
              <w:bottom w:val="single" w:sz="8" w:space="0" w:color="000000"/>
              <w:right w:val="single" w:sz="8" w:space="0" w:color="000000"/>
            </w:tcBorders>
            <w:shd w:val="clear" w:color="auto" w:fill="auto"/>
            <w:vAlign w:val="center"/>
            <w:hideMark/>
          </w:tcPr>
          <w:p w:rsidR="009F7EF1" w:rsidRPr="00423E20" w:rsidP="00254A0E" w14:paraId="6B405B8A" w14:textId="06DBEF32">
            <w:pPr>
              <w:jc w:val="right"/>
              <w:rPr>
                <w:color w:val="000000"/>
              </w:rPr>
            </w:pPr>
            <w:r>
              <w:rPr>
                <w:color w:val="000000"/>
              </w:rPr>
              <w:t>2</w:t>
            </w:r>
          </w:p>
        </w:tc>
        <w:tc>
          <w:tcPr>
            <w:tcW w:w="990" w:type="dxa"/>
            <w:tcBorders>
              <w:top w:val="nil"/>
              <w:left w:val="nil"/>
              <w:bottom w:val="single" w:sz="8" w:space="0" w:color="000000"/>
              <w:right w:val="single" w:sz="8" w:space="0" w:color="000000"/>
            </w:tcBorders>
            <w:shd w:val="clear" w:color="auto" w:fill="auto"/>
            <w:vAlign w:val="center"/>
            <w:hideMark/>
          </w:tcPr>
          <w:p w:rsidR="009F7EF1" w:rsidRPr="00423E20" w:rsidP="00254A0E" w14:paraId="1F04A117" w14:textId="2A6507EA">
            <w:pPr>
              <w:jc w:val="right"/>
              <w:rPr>
                <w:color w:val="000000"/>
              </w:rPr>
            </w:pPr>
            <w:r>
              <w:rPr>
                <w:color w:val="000000"/>
              </w:rPr>
              <w:t>20</w:t>
            </w:r>
            <w:r w:rsidR="00A406E7">
              <w:rPr>
                <w:color w:val="000000"/>
              </w:rPr>
              <w:t>,000</w:t>
            </w:r>
          </w:p>
        </w:tc>
      </w:tr>
      <w:tr w14:paraId="7D95616C" w14:textId="77777777" w:rsidTr="003E61B6">
        <w:tblPrEx>
          <w:tblW w:w="8050" w:type="dxa"/>
          <w:jc w:val="center"/>
          <w:tblLook w:val="04A0"/>
        </w:tblPrEx>
        <w:trPr>
          <w:trHeight w:val="330"/>
          <w:jc w:val="center"/>
        </w:trPr>
        <w:tc>
          <w:tcPr>
            <w:tcW w:w="1780" w:type="dxa"/>
            <w:tcBorders>
              <w:top w:val="nil"/>
              <w:left w:val="single" w:sz="8" w:space="0" w:color="000000"/>
              <w:bottom w:val="single" w:sz="8" w:space="0" w:color="000000"/>
              <w:right w:val="single" w:sz="8" w:space="0" w:color="000000"/>
            </w:tcBorders>
            <w:shd w:val="clear" w:color="auto" w:fill="auto"/>
            <w:vAlign w:val="center"/>
          </w:tcPr>
          <w:p w:rsidR="009F7EF1" w:rsidP="00254A0E" w14:paraId="0A3A11A7" w14:textId="02EFC38D">
            <w:pPr>
              <w:rPr>
                <w:color w:val="000000"/>
              </w:rPr>
            </w:pPr>
            <w:r>
              <w:rPr>
                <w:color w:val="000000"/>
              </w:rPr>
              <w:t>FFA guarantee</w:t>
            </w:r>
          </w:p>
        </w:tc>
        <w:tc>
          <w:tcPr>
            <w:tcW w:w="1523" w:type="dxa"/>
            <w:tcBorders>
              <w:top w:val="nil"/>
              <w:left w:val="nil"/>
              <w:bottom w:val="single" w:sz="8" w:space="0" w:color="000000"/>
              <w:right w:val="single" w:sz="8" w:space="0" w:color="000000"/>
            </w:tcBorders>
            <w:shd w:val="clear" w:color="auto" w:fill="auto"/>
            <w:vAlign w:val="center"/>
          </w:tcPr>
          <w:p w:rsidR="009F7EF1" w:rsidP="00254A0E" w14:paraId="70C3EB56" w14:textId="4909F03F">
            <w:pPr>
              <w:jc w:val="right"/>
              <w:rPr>
                <w:color w:val="000000"/>
              </w:rPr>
            </w:pPr>
            <w:r>
              <w:rPr>
                <w:color w:val="000000"/>
              </w:rPr>
              <w:t>20</w:t>
            </w:r>
          </w:p>
        </w:tc>
        <w:tc>
          <w:tcPr>
            <w:tcW w:w="1310" w:type="dxa"/>
            <w:tcBorders>
              <w:top w:val="nil"/>
              <w:left w:val="nil"/>
              <w:bottom w:val="single" w:sz="8" w:space="0" w:color="000000"/>
              <w:right w:val="single" w:sz="8" w:space="0" w:color="000000"/>
            </w:tcBorders>
            <w:shd w:val="clear" w:color="auto" w:fill="auto"/>
            <w:vAlign w:val="center"/>
          </w:tcPr>
          <w:p w:rsidR="009F7EF1" w:rsidP="00254A0E" w14:paraId="272840DF" w14:textId="2C11E27A">
            <w:pPr>
              <w:jc w:val="right"/>
              <w:rPr>
                <w:color w:val="000000"/>
              </w:rPr>
            </w:pPr>
            <w:r>
              <w:rPr>
                <w:color w:val="000000"/>
              </w:rPr>
              <w:t>100</w:t>
            </w:r>
          </w:p>
        </w:tc>
        <w:tc>
          <w:tcPr>
            <w:tcW w:w="1270" w:type="dxa"/>
            <w:tcBorders>
              <w:top w:val="nil"/>
              <w:left w:val="nil"/>
              <w:bottom w:val="single" w:sz="8" w:space="0" w:color="000000"/>
              <w:right w:val="single" w:sz="8" w:space="0" w:color="000000"/>
            </w:tcBorders>
            <w:shd w:val="clear" w:color="auto" w:fill="auto"/>
            <w:vAlign w:val="center"/>
          </w:tcPr>
          <w:p w:rsidR="009F7EF1" w:rsidP="00254A0E" w14:paraId="4E4D83F3" w14:textId="02143F08">
            <w:pPr>
              <w:jc w:val="right"/>
              <w:rPr>
                <w:color w:val="000000"/>
              </w:rPr>
            </w:pPr>
            <w:r>
              <w:rPr>
                <w:color w:val="000000"/>
              </w:rPr>
              <w:t>2,000</w:t>
            </w:r>
          </w:p>
        </w:tc>
        <w:tc>
          <w:tcPr>
            <w:tcW w:w="1177" w:type="dxa"/>
            <w:tcBorders>
              <w:top w:val="nil"/>
              <w:left w:val="nil"/>
              <w:bottom w:val="single" w:sz="8" w:space="0" w:color="000000"/>
              <w:right w:val="single" w:sz="8" w:space="0" w:color="000000"/>
            </w:tcBorders>
            <w:shd w:val="clear" w:color="auto" w:fill="auto"/>
            <w:vAlign w:val="center"/>
          </w:tcPr>
          <w:p w:rsidR="009F7EF1" w:rsidP="00254A0E" w14:paraId="0ECBF26C" w14:textId="7C05768B">
            <w:pPr>
              <w:jc w:val="right"/>
              <w:rPr>
                <w:color w:val="000000"/>
              </w:rPr>
            </w:pPr>
            <w:r>
              <w:rPr>
                <w:color w:val="000000"/>
              </w:rPr>
              <w:t>2.5</w:t>
            </w:r>
          </w:p>
        </w:tc>
        <w:tc>
          <w:tcPr>
            <w:tcW w:w="990" w:type="dxa"/>
            <w:tcBorders>
              <w:top w:val="nil"/>
              <w:left w:val="nil"/>
              <w:bottom w:val="single" w:sz="8" w:space="0" w:color="000000"/>
              <w:right w:val="single" w:sz="8" w:space="0" w:color="000000"/>
            </w:tcBorders>
            <w:shd w:val="clear" w:color="auto" w:fill="auto"/>
            <w:vAlign w:val="center"/>
          </w:tcPr>
          <w:p w:rsidR="009F7EF1" w:rsidP="00254A0E" w14:paraId="411FD75A" w14:textId="21F4808A">
            <w:pPr>
              <w:jc w:val="right"/>
              <w:rPr>
                <w:color w:val="000000"/>
              </w:rPr>
            </w:pPr>
            <w:r>
              <w:rPr>
                <w:color w:val="000000"/>
              </w:rPr>
              <w:t>5,000</w:t>
            </w:r>
          </w:p>
        </w:tc>
      </w:tr>
      <w:tr w14:paraId="61FD5793" w14:textId="77777777" w:rsidTr="003E61B6">
        <w:tblPrEx>
          <w:tblW w:w="8050" w:type="dxa"/>
          <w:jc w:val="center"/>
          <w:tblLook w:val="04A0"/>
        </w:tblPrEx>
        <w:trPr>
          <w:trHeight w:val="645"/>
          <w:jc w:val="center"/>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9F7EF1" w:rsidRPr="00423E20" w:rsidP="00254A0E" w14:paraId="3BD3825C" w14:textId="77777777">
            <w:pPr>
              <w:rPr>
                <w:b/>
                <w:bCs/>
                <w:color w:val="000000"/>
              </w:rPr>
            </w:pPr>
            <w:r w:rsidRPr="00423E20">
              <w:rPr>
                <w:b/>
                <w:bCs/>
                <w:color w:val="000000"/>
              </w:rPr>
              <w:t>TOTAL BURDEN</w:t>
            </w:r>
          </w:p>
        </w:tc>
        <w:tc>
          <w:tcPr>
            <w:tcW w:w="1523" w:type="dxa"/>
            <w:tcBorders>
              <w:top w:val="nil"/>
              <w:left w:val="nil"/>
              <w:bottom w:val="single" w:sz="8" w:space="0" w:color="000000"/>
              <w:right w:val="single" w:sz="8" w:space="0" w:color="000000"/>
            </w:tcBorders>
            <w:shd w:val="clear" w:color="auto" w:fill="auto"/>
            <w:vAlign w:val="center"/>
            <w:hideMark/>
          </w:tcPr>
          <w:p w:rsidR="009F7EF1" w:rsidRPr="00423E20" w:rsidP="00254A0E" w14:paraId="3C3CD59E" w14:textId="77777777">
            <w:pPr>
              <w:rPr>
                <w:b/>
                <w:bCs/>
                <w:color w:val="000000"/>
              </w:rPr>
            </w:pPr>
            <w:r w:rsidRPr="00423E20">
              <w:rPr>
                <w:b/>
                <w:bCs/>
                <w:color w:val="000000"/>
              </w:rPr>
              <w:t> </w:t>
            </w:r>
          </w:p>
        </w:tc>
        <w:tc>
          <w:tcPr>
            <w:tcW w:w="1310" w:type="dxa"/>
            <w:tcBorders>
              <w:top w:val="nil"/>
              <w:left w:val="nil"/>
              <w:bottom w:val="single" w:sz="8" w:space="0" w:color="000000"/>
              <w:right w:val="single" w:sz="8" w:space="0" w:color="000000"/>
            </w:tcBorders>
            <w:shd w:val="clear" w:color="auto" w:fill="auto"/>
            <w:vAlign w:val="center"/>
            <w:hideMark/>
          </w:tcPr>
          <w:p w:rsidR="009F7EF1" w:rsidRPr="00423E20" w:rsidP="00254A0E" w14:paraId="04DBF235" w14:textId="77777777">
            <w:pPr>
              <w:rPr>
                <w:b/>
                <w:bCs/>
                <w:color w:val="000000"/>
              </w:rPr>
            </w:pPr>
            <w:r w:rsidRPr="00423E20">
              <w:rPr>
                <w:b/>
                <w:bCs/>
                <w:color w:val="000000"/>
              </w:rPr>
              <w:t> </w:t>
            </w:r>
          </w:p>
        </w:tc>
        <w:tc>
          <w:tcPr>
            <w:tcW w:w="1270" w:type="dxa"/>
            <w:tcBorders>
              <w:top w:val="nil"/>
              <w:left w:val="nil"/>
              <w:bottom w:val="single" w:sz="8" w:space="0" w:color="000000"/>
              <w:right w:val="single" w:sz="8" w:space="0" w:color="000000"/>
            </w:tcBorders>
            <w:shd w:val="clear" w:color="auto" w:fill="auto"/>
            <w:vAlign w:val="center"/>
            <w:hideMark/>
          </w:tcPr>
          <w:p w:rsidR="009F7EF1" w:rsidRPr="00423E20" w:rsidP="00254A0E" w14:paraId="04E78CA3" w14:textId="77777777">
            <w:pPr>
              <w:rPr>
                <w:b/>
                <w:bCs/>
                <w:color w:val="000000"/>
              </w:rPr>
            </w:pPr>
            <w:r w:rsidRPr="00423E20">
              <w:rPr>
                <w:b/>
                <w:bCs/>
                <w:color w:val="000000"/>
              </w:rPr>
              <w:t> </w:t>
            </w:r>
          </w:p>
        </w:tc>
        <w:tc>
          <w:tcPr>
            <w:tcW w:w="1177" w:type="dxa"/>
            <w:tcBorders>
              <w:top w:val="nil"/>
              <w:left w:val="nil"/>
              <w:bottom w:val="single" w:sz="8" w:space="0" w:color="000000"/>
              <w:right w:val="single" w:sz="8" w:space="0" w:color="000000"/>
            </w:tcBorders>
            <w:shd w:val="clear" w:color="auto" w:fill="auto"/>
            <w:vAlign w:val="center"/>
            <w:hideMark/>
          </w:tcPr>
          <w:p w:rsidR="009F7EF1" w:rsidRPr="00423E20" w:rsidP="00254A0E" w14:paraId="420AF13A" w14:textId="77777777">
            <w:pPr>
              <w:rPr>
                <w:b/>
                <w:bCs/>
                <w:color w:val="000000"/>
              </w:rPr>
            </w:pPr>
            <w:r w:rsidRPr="00423E20">
              <w:rPr>
                <w:b/>
                <w:bCs/>
                <w:color w:val="000000"/>
              </w:rPr>
              <w:t> </w:t>
            </w:r>
          </w:p>
        </w:tc>
        <w:tc>
          <w:tcPr>
            <w:tcW w:w="990" w:type="dxa"/>
            <w:tcBorders>
              <w:top w:val="nil"/>
              <w:left w:val="nil"/>
              <w:bottom w:val="single" w:sz="8" w:space="0" w:color="000000"/>
              <w:right w:val="single" w:sz="8" w:space="0" w:color="000000"/>
            </w:tcBorders>
            <w:shd w:val="clear" w:color="auto" w:fill="auto"/>
            <w:vAlign w:val="center"/>
            <w:hideMark/>
          </w:tcPr>
          <w:p w:rsidR="009F7EF1" w:rsidRPr="00423E20" w:rsidP="00254A0E" w14:paraId="38D517C3" w14:textId="2FC0A3A9">
            <w:pPr>
              <w:jc w:val="right"/>
              <w:rPr>
                <w:b/>
                <w:bCs/>
                <w:color w:val="000000"/>
              </w:rPr>
            </w:pPr>
            <w:r>
              <w:rPr>
                <w:b/>
                <w:bCs/>
                <w:color w:val="000000"/>
              </w:rPr>
              <w:t>2</w:t>
            </w:r>
            <w:r w:rsidR="00A406E7">
              <w:rPr>
                <w:b/>
                <w:bCs/>
                <w:color w:val="000000"/>
              </w:rPr>
              <w:t>5,000</w:t>
            </w:r>
          </w:p>
        </w:tc>
      </w:tr>
    </w:tbl>
    <w:p w:rsidR="009F7EF1" w:rsidP="00D33596" w14:paraId="0A10E807" w14:textId="77777777"/>
    <w:p w:rsidR="009331CC" w:rsidP="00D33596" w14:paraId="751F1B73" w14:textId="5659D457">
      <w:r w:rsidRPr="00D33596">
        <w:t xml:space="preserve">The number of tests that a firm issuing a </w:t>
      </w:r>
      <w:r>
        <w:t>GCC</w:t>
      </w:r>
      <w:r w:rsidR="002C6255">
        <w:t>, CPC</w:t>
      </w:r>
      <w:r>
        <w:t xml:space="preserve"> or </w:t>
      </w:r>
      <w:r w:rsidRPr="00D33596">
        <w:t>guaranty of compliance would be required to perform each year varies</w:t>
      </w:r>
      <w:r w:rsidR="00E24D39">
        <w:t>,</w:t>
      </w:r>
      <w:r w:rsidRPr="00D33596">
        <w:t xml:space="preserve"> depending upon the number of carpet styles and the annual volume of production.  </w:t>
      </w:r>
      <w:r w:rsidR="00E24D39">
        <w:t>S</w:t>
      </w:r>
      <w:r w:rsidRPr="00D33596">
        <w:t xml:space="preserve">taff </w:t>
      </w:r>
      <w:r w:rsidRPr="00D33596">
        <w:t>estimates</w:t>
      </w:r>
      <w:r w:rsidRPr="00D33596">
        <w:t xml:space="preserve"> that the average firm issuing a </w:t>
      </w:r>
      <w:r>
        <w:t>GCC</w:t>
      </w:r>
      <w:r w:rsidR="002C6255">
        <w:t>, CPC</w:t>
      </w:r>
      <w:r>
        <w:t xml:space="preserve"> or </w:t>
      </w:r>
      <w:r w:rsidRPr="00D33596">
        <w:t xml:space="preserve">continuing guarantee under the FFA is required to conduct </w:t>
      </w:r>
      <w:r>
        <w:t>is</w:t>
      </w:r>
      <w:r w:rsidRPr="00D33596" w:rsidR="00641C81">
        <w:t xml:space="preserve"> 100 tests per year</w:t>
      </w:r>
      <w:r w:rsidRPr="00D33596" w:rsidR="003E309E">
        <w:t>.</w:t>
      </w:r>
      <w:r w:rsidRPr="00D33596" w:rsidR="004E0129">
        <w:t xml:space="preserve"> </w:t>
      </w:r>
      <w:r w:rsidR="00064BA1">
        <w:t>For a GCC and CPC, t</w:t>
      </w:r>
      <w:r>
        <w:t xml:space="preserve">he time required to conduct each test is estimated to be </w:t>
      </w:r>
      <w:r w:rsidR="002C6255">
        <w:t>2</w:t>
      </w:r>
      <w:r>
        <w:t xml:space="preserve"> hour</w:t>
      </w:r>
      <w:r w:rsidR="002C6255">
        <w:t>s</w:t>
      </w:r>
      <w:r>
        <w:t xml:space="preserve">, including the time required to establish and maintain the test records. For a continuing guarantee, </w:t>
      </w:r>
      <w:r w:rsidR="003E61B6">
        <w:t>t</w:t>
      </w:r>
      <w:r w:rsidRPr="00D33596">
        <w:t>he time required to conduct ea</w:t>
      </w:r>
      <w:r w:rsidRPr="00D33596" w:rsidR="00D67022">
        <w:t>ch test is estimated to be 2.5</w:t>
      </w:r>
      <w:r w:rsidRPr="00D33596">
        <w:t xml:space="preserve"> hours</w:t>
      </w:r>
      <w:r w:rsidR="00E24D39">
        <w:t>,</w:t>
      </w:r>
      <w:r w:rsidRPr="00D33596">
        <w:t xml:space="preserve"> </w:t>
      </w:r>
      <w:r w:rsidR="00EA3925">
        <w:t xml:space="preserve">including </w:t>
      </w:r>
      <w:r w:rsidRPr="00D33596">
        <w:t>the time required to establish and maintain the test record</w:t>
      </w:r>
      <w:r w:rsidR="00EA3925">
        <w:t>s</w:t>
      </w:r>
      <w:r w:rsidR="00064BA1">
        <w:t>.</w:t>
      </w:r>
      <w:r w:rsidRPr="00D33596">
        <w:t xml:space="preserve"> </w:t>
      </w:r>
    </w:p>
    <w:p w:rsidR="00861B4A" w:rsidP="00D33596" w14:paraId="2D7BC0E7" w14:textId="77777777"/>
    <w:p w:rsidR="002A5B27" w:rsidRPr="00D33596" w:rsidP="00D33596" w14:paraId="40944E4E" w14:textId="6EBE9C47">
      <w:r>
        <w:t>Therefore, w</w:t>
      </w:r>
      <w:r w:rsidRPr="00D33596">
        <w:t xml:space="preserve">e estimate the total annualized </w:t>
      </w:r>
      <w:r w:rsidR="00BB1415">
        <w:t xml:space="preserve">hourly </w:t>
      </w:r>
      <w:r w:rsidRPr="00D33596">
        <w:t>burden to re</w:t>
      </w:r>
      <w:r w:rsidRPr="00D33596" w:rsidR="004E0129">
        <w:t xml:space="preserve">spondents </w:t>
      </w:r>
      <w:r w:rsidR="00BB1415">
        <w:t>to</w:t>
      </w:r>
      <w:r w:rsidRPr="00D33596" w:rsidR="00BB1415">
        <w:t xml:space="preserve"> </w:t>
      </w:r>
      <w:r w:rsidRPr="00D33596" w:rsidR="004E0129">
        <w:t>be</w:t>
      </w:r>
      <w:r w:rsidR="00BB1415">
        <w:t xml:space="preserve"> </w:t>
      </w:r>
      <w:r w:rsidR="002C6255">
        <w:t>2</w:t>
      </w:r>
      <w:r w:rsidR="00BB1415">
        <w:t>5,000 hours (</w:t>
      </w:r>
      <w:r w:rsidR="002C6255">
        <w:t>2</w:t>
      </w:r>
      <w:r w:rsidR="00BB1415">
        <w:t>0,000 hours for firms that issue a GCC</w:t>
      </w:r>
      <w:r w:rsidR="00EA4783">
        <w:t>/CPC</w:t>
      </w:r>
      <w:r w:rsidR="00BB1415">
        <w:t xml:space="preserve"> + 5,000 hours for firms that issue a continuing guarantee)</w:t>
      </w:r>
      <w:r w:rsidRPr="00D33596">
        <w:t>.</w:t>
      </w:r>
    </w:p>
    <w:p w:rsidR="00EC7A06" w:rsidRPr="00D33596" w:rsidP="00874DEE" w14:paraId="148CEC64" w14:textId="77777777">
      <w:pPr>
        <w:ind w:firstLine="360"/>
      </w:pPr>
    </w:p>
    <w:p w:rsidR="00EC7A06" w:rsidRPr="00D33596" w:rsidP="00D33596" w14:paraId="7D557AF0" w14:textId="35781B5F">
      <w:pPr>
        <w:pStyle w:val="BodyTextIndent3"/>
        <w:ind w:left="0" w:firstLine="0"/>
      </w:pPr>
      <w:r w:rsidRPr="00D33596">
        <w:t>The</w:t>
      </w:r>
      <w:r w:rsidR="00B00C7B">
        <w:t xml:space="preserve"> total</w:t>
      </w:r>
      <w:r w:rsidRPr="00D33596">
        <w:t xml:space="preserve"> annualized costs to </w:t>
      </w:r>
      <w:r w:rsidR="00E645DB">
        <w:t xml:space="preserve">all </w:t>
      </w:r>
      <w:r w:rsidRPr="00D33596">
        <w:t xml:space="preserve">respondents for the hour burden for </w:t>
      </w:r>
      <w:r w:rsidR="00064BA1">
        <w:t xml:space="preserve">the </w:t>
      </w:r>
      <w:r w:rsidRPr="00D33596">
        <w:t xml:space="preserve">collection of information is estimated </w:t>
      </w:r>
      <w:r w:rsidR="00030EA2">
        <w:t xml:space="preserve">to be </w:t>
      </w:r>
      <w:r w:rsidRPr="00D33596">
        <w:t>as high as $</w:t>
      </w:r>
      <w:r w:rsidR="00520915">
        <w:t>1,</w:t>
      </w:r>
      <w:r w:rsidR="003E61B6">
        <w:t>840,250</w:t>
      </w:r>
      <w:r w:rsidR="00E24D39">
        <w:t>,</w:t>
      </w:r>
      <w:r w:rsidRPr="00D33596">
        <w:t xml:space="preserve"> using a mean hourly employer cost</w:t>
      </w:r>
      <w:r w:rsidR="00E24D39">
        <w:t>-</w:t>
      </w:r>
      <w:r w:rsidRPr="00D33596">
        <w:t>per</w:t>
      </w:r>
      <w:r w:rsidR="00E24D39">
        <w:t>-</w:t>
      </w:r>
      <w:r w:rsidRPr="00D33596">
        <w:t>hour</w:t>
      </w:r>
      <w:r w:rsidR="00E24D39">
        <w:t>-</w:t>
      </w:r>
      <w:r w:rsidRPr="00D33596">
        <w:t>worked of $</w:t>
      </w:r>
      <w:r w:rsidR="003E61B6">
        <w:t>73.61</w:t>
      </w:r>
      <w:r w:rsidRPr="00D33596">
        <w:t xml:space="preserve"> (Bureau of Labor Statistics: Total compensation rates for </w:t>
      </w:r>
      <w:r w:rsidR="00BD0A32">
        <w:t xml:space="preserve">private industry workers in </w:t>
      </w:r>
      <w:r w:rsidRPr="00D33596">
        <w:t>management, professional, and related occupations</w:t>
      </w:r>
      <w:r w:rsidR="000B60A4">
        <w:t xml:space="preserve">, </w:t>
      </w:r>
      <w:r w:rsidR="003E61B6">
        <w:t xml:space="preserve">Table 4, </w:t>
      </w:r>
      <w:r w:rsidR="00CC3CFD">
        <w:t>June</w:t>
      </w:r>
      <w:r w:rsidR="000B60A4">
        <w:t xml:space="preserve"> 20</w:t>
      </w:r>
      <w:r w:rsidR="00BD0A32">
        <w:t>2</w:t>
      </w:r>
      <w:r w:rsidR="003E61B6">
        <w:t xml:space="preserve">4, </w:t>
      </w:r>
      <w:r w:rsidRPr="003E61B6" w:rsidR="003E61B6">
        <w:t>https://www.bls.gov/news.release/archives/ecec_09102024.pdf</w:t>
      </w:r>
      <w:r w:rsidRPr="00D33596">
        <w:t>)  (</w:t>
      </w:r>
      <w:r w:rsidR="002C6255">
        <w:t>2</w:t>
      </w:r>
      <w:r w:rsidR="00BD0A32">
        <w:t>5</w:t>
      </w:r>
      <w:r w:rsidRPr="00D33596">
        <w:t xml:space="preserve">,000 hours </w:t>
      </w:r>
      <w:r w:rsidR="003E61B6">
        <w:t>×</w:t>
      </w:r>
      <w:r w:rsidRPr="00D33596">
        <w:t xml:space="preserve"> $</w:t>
      </w:r>
      <w:r w:rsidR="003E61B6">
        <w:t>73.61</w:t>
      </w:r>
      <w:r w:rsidRPr="00D33596">
        <w:t>)</w:t>
      </w:r>
      <w:r w:rsidRPr="00D33596" w:rsidR="001905C3">
        <w:t>.</w:t>
      </w:r>
    </w:p>
    <w:p w:rsidR="002A5B27" w:rsidRPr="00D33596" w:rsidP="00D33596" w14:paraId="535A3562" w14:textId="77777777">
      <w:pPr>
        <w:pStyle w:val="BodyTextIndent2"/>
        <w:ind w:left="0"/>
      </w:pPr>
    </w:p>
    <w:p w:rsidR="00874DEE" w:rsidRPr="00D33596" w:rsidP="00874DEE" w14:paraId="46BED588" w14:textId="77777777">
      <w:pPr>
        <w:pStyle w:val="BodyTextIndent3"/>
        <w:ind w:left="0" w:firstLine="0"/>
        <w:rPr>
          <w:i/>
        </w:rPr>
      </w:pPr>
      <w:r w:rsidRPr="00D33596">
        <w:t>13.</w:t>
      </w:r>
      <w:r w:rsidRPr="00D33596">
        <w:tab/>
      </w:r>
      <w:r w:rsidRPr="00D33596">
        <w:rPr>
          <w:i/>
        </w:rPr>
        <w:t xml:space="preserve">Estimate of </w:t>
      </w:r>
      <w:r w:rsidRPr="00D33596" w:rsidR="00EC7A06">
        <w:rPr>
          <w:i/>
        </w:rPr>
        <w:t xml:space="preserve">other </w:t>
      </w:r>
      <w:r w:rsidRPr="00D33596">
        <w:rPr>
          <w:i/>
        </w:rPr>
        <w:t>total an</w:t>
      </w:r>
      <w:r w:rsidRPr="00D33596" w:rsidR="005B4C63">
        <w:rPr>
          <w:i/>
        </w:rPr>
        <w:t>nual cost burden to respondents</w:t>
      </w:r>
    </w:p>
    <w:p w:rsidR="00874DEE" w:rsidRPr="00D33596" w:rsidP="00874DEE" w14:paraId="22128F96" w14:textId="77777777">
      <w:pPr>
        <w:pStyle w:val="BodyTextIndent3"/>
        <w:ind w:left="0" w:firstLine="0"/>
        <w:rPr>
          <w:i/>
        </w:rPr>
      </w:pPr>
    </w:p>
    <w:p w:rsidR="002A5B27" w:rsidRPr="00D33596" w:rsidP="00D33596" w14:paraId="3D1B246A" w14:textId="48937662">
      <w:pPr>
        <w:pStyle w:val="BodyTextIndent3"/>
        <w:ind w:left="0" w:firstLine="0"/>
      </w:pPr>
      <w:r w:rsidRPr="00D33596">
        <w:t>There are no costs to respondents beyond those presented in Section A.12.  There are no operating, maintenance, or capital costs associated with the collection.</w:t>
      </w:r>
    </w:p>
    <w:p w:rsidR="002A5B27" w:rsidRPr="00D33596" w14:paraId="5550D5D1" w14:textId="77777777">
      <w:pPr>
        <w:pStyle w:val="BodyTextIndent3"/>
      </w:pPr>
    </w:p>
    <w:p w:rsidR="00874DEE" w:rsidRPr="00D33596" w:rsidP="00874DEE" w14:paraId="19278E91" w14:textId="77777777">
      <w:pPr>
        <w:pStyle w:val="BodyTextIndent3"/>
        <w:ind w:left="0" w:firstLine="0"/>
        <w:rPr>
          <w:i/>
        </w:rPr>
      </w:pPr>
      <w:r w:rsidRPr="00D33596">
        <w:t>14.</w:t>
      </w:r>
      <w:r w:rsidRPr="00D33596">
        <w:tab/>
      </w:r>
      <w:r w:rsidRPr="00D33596">
        <w:rPr>
          <w:i/>
        </w:rPr>
        <w:t xml:space="preserve">Estimate of annualized </w:t>
      </w:r>
      <w:r w:rsidRPr="00D33596" w:rsidR="005B4C63">
        <w:rPr>
          <w:i/>
        </w:rPr>
        <w:t xml:space="preserve">costs to the </w:t>
      </w:r>
      <w:r w:rsidR="00EA3925">
        <w:rPr>
          <w:i/>
        </w:rPr>
        <w:t>F</w:t>
      </w:r>
      <w:r w:rsidRPr="00D33596" w:rsidR="005B4C63">
        <w:rPr>
          <w:i/>
        </w:rPr>
        <w:t>ederal government</w:t>
      </w:r>
    </w:p>
    <w:p w:rsidR="00874DEE" w:rsidRPr="00D33596" w:rsidP="00874DEE" w14:paraId="1D9509C6" w14:textId="77777777">
      <w:pPr>
        <w:pStyle w:val="BodyTextIndent3"/>
        <w:ind w:left="0" w:firstLine="0"/>
        <w:rPr>
          <w:i/>
        </w:rPr>
      </w:pPr>
    </w:p>
    <w:p w:rsidR="00705F01" w:rsidRPr="00D33596" w:rsidP="00D33596" w14:paraId="54817E8D" w14:textId="573C43C8">
      <w:pPr>
        <w:pStyle w:val="BodyTextIndent3"/>
        <w:ind w:left="0" w:firstLine="0"/>
      </w:pPr>
      <w:r w:rsidRPr="00D33596">
        <w:t>The estimated annual cost of the information</w:t>
      </w:r>
      <w:r w:rsidR="00FF112D">
        <w:t xml:space="preserve"> collection requirements to the F</w:t>
      </w:r>
      <w:r w:rsidRPr="00D33596">
        <w:t>ederal g</w:t>
      </w:r>
      <w:r w:rsidRPr="00D33596" w:rsidR="003E309E">
        <w:t>ov</w:t>
      </w:r>
      <w:r w:rsidRPr="00D33596" w:rsidR="003C4A4F">
        <w:t>ern</w:t>
      </w:r>
      <w:r w:rsidRPr="00D33596" w:rsidR="00A46F5E">
        <w:t>ment is approximatel</w:t>
      </w:r>
      <w:r w:rsidRPr="00D33596" w:rsidR="00B33AF2">
        <w:t>y $</w:t>
      </w:r>
      <w:r w:rsidR="00BB6F89">
        <w:t>41,376</w:t>
      </w:r>
      <w:r w:rsidRPr="00D33596" w:rsidR="003E309E">
        <w:t>.  This sum includes</w:t>
      </w:r>
      <w:r w:rsidRPr="00D33596">
        <w:t xml:space="preserve"> </w:t>
      </w:r>
      <w:r w:rsidR="00E24D39">
        <w:t>3</w:t>
      </w:r>
      <w:r w:rsidRPr="00D33596" w:rsidR="00B93163">
        <w:t xml:space="preserve"> staff months</w:t>
      </w:r>
      <w:r w:rsidR="00FF112D">
        <w:t xml:space="preserve"> (520 hours)</w:t>
      </w:r>
      <w:r w:rsidRPr="00D33596">
        <w:t xml:space="preserve"> expended for examination of the information in records required to be maintained by the enforcement rules.  </w:t>
      </w:r>
      <w:r w:rsidRPr="00D33596" w:rsidR="003C4A4F">
        <w:t>This estimate use</w:t>
      </w:r>
      <w:r w:rsidRPr="00D33596" w:rsidR="00A46F5E">
        <w:t>s an average wage rate of $</w:t>
      </w:r>
      <w:r w:rsidR="00BB6F89">
        <w:t>53.87</w:t>
      </w:r>
      <w:r w:rsidRPr="00D33596" w:rsidR="003C4A4F">
        <w:t xml:space="preserve"> per hour (the equivalent of a GS-</w:t>
      </w:r>
      <w:r w:rsidRPr="00D33596" w:rsidR="005B02BF">
        <w:t>1</w:t>
      </w:r>
      <w:r w:rsidR="005B02BF">
        <w:t>2</w:t>
      </w:r>
      <w:r w:rsidRPr="00D33596" w:rsidR="005B02BF">
        <w:t xml:space="preserve"> </w:t>
      </w:r>
      <w:r w:rsidRPr="00D33596" w:rsidR="003C4A4F">
        <w:t>Step 5 e</w:t>
      </w:r>
      <w:r w:rsidRPr="00D33596" w:rsidR="00A46F5E">
        <w:t>mployee</w:t>
      </w:r>
      <w:r w:rsidR="00747815">
        <w:t>, in the D.C. area according to the 202</w:t>
      </w:r>
      <w:r w:rsidR="00BB6F89">
        <w:t>4</w:t>
      </w:r>
      <w:r w:rsidR="00747815">
        <w:t xml:space="preserve"> </w:t>
      </w:r>
      <w:r w:rsidR="00BB6F89">
        <w:t>pay scale</w:t>
      </w:r>
      <w:r w:rsidRPr="00D33596" w:rsidR="00A46F5E">
        <w:t xml:space="preserve">) with an additional </w:t>
      </w:r>
      <w:r w:rsidR="00520915">
        <w:t>3</w:t>
      </w:r>
      <w:r w:rsidR="00BB6F89">
        <w:t>2.3</w:t>
      </w:r>
      <w:r w:rsidRPr="00D33596" w:rsidR="003C4A4F">
        <w:t xml:space="preserve"> percent f</w:t>
      </w:r>
      <w:r w:rsidRPr="00D33596" w:rsidR="00A46F5E">
        <w:t xml:space="preserve">or benefits (BLS, Percentage of </w:t>
      </w:r>
      <w:r w:rsidRPr="00D33596" w:rsidR="003C4A4F">
        <w:t xml:space="preserve">total </w:t>
      </w:r>
      <w:r w:rsidRPr="00D33596" w:rsidR="00A46F5E">
        <w:t xml:space="preserve">compensation comprised by </w:t>
      </w:r>
      <w:r w:rsidRPr="00D33596" w:rsidR="003C4A4F">
        <w:t>benefits for all civilian management, professional, and related employees</w:t>
      </w:r>
      <w:r w:rsidR="00FF112D">
        <w:t xml:space="preserve">, </w:t>
      </w:r>
      <w:r w:rsidR="00BB6F89">
        <w:t xml:space="preserve">Table 2, </w:t>
      </w:r>
      <w:r w:rsidR="00CC3CFD">
        <w:t>June</w:t>
      </w:r>
      <w:r w:rsidR="00FF112D">
        <w:t xml:space="preserve"> 20</w:t>
      </w:r>
      <w:r w:rsidR="00F61879">
        <w:t>2</w:t>
      </w:r>
      <w:r w:rsidR="00BB6F89">
        <w:t xml:space="preserve">4, </w:t>
      </w:r>
      <w:r w:rsidRPr="00BB6F89" w:rsidR="00BB6F89">
        <w:t>https://www.bls.gov/news.release/archives/ecec_09102024.pdf</w:t>
      </w:r>
      <w:r w:rsidR="00FF112D">
        <w:t>) or $</w:t>
      </w:r>
      <w:r w:rsidR="00BB6F89">
        <w:t>79.57</w:t>
      </w:r>
      <w:r w:rsidRPr="00D33596" w:rsidR="003C4A4F">
        <w:t xml:space="preserve"> per hour </w:t>
      </w:r>
      <w:r w:rsidR="00BB6F89">
        <w:t>×</w:t>
      </w:r>
      <w:r w:rsidRPr="00D33596" w:rsidR="003C4A4F">
        <w:t xml:space="preserve"> 520 hours</w:t>
      </w:r>
      <w:r w:rsidR="00BB6F89">
        <w:t xml:space="preserve"> = $41,376.40</w:t>
      </w:r>
      <w:r w:rsidRPr="00D33596" w:rsidR="003C4A4F">
        <w:t>.</w:t>
      </w:r>
    </w:p>
    <w:p w:rsidR="002A5B27" w:rsidRPr="00D33596" w14:paraId="3E9FA04C" w14:textId="77777777">
      <w:pPr>
        <w:pStyle w:val="BodyTextIndent3"/>
        <w:ind w:left="0" w:firstLine="0"/>
      </w:pPr>
    </w:p>
    <w:p w:rsidR="00EC7A06" w:rsidRPr="00D33596" w:rsidP="00874DEE" w14:paraId="0CD54793" w14:textId="59545B91">
      <w:pPr>
        <w:pStyle w:val="BodyTextIndent3"/>
        <w:ind w:left="0" w:firstLine="0"/>
        <w:rPr>
          <w:i/>
        </w:rPr>
      </w:pPr>
      <w:r w:rsidRPr="00D33596">
        <w:t>15.</w:t>
      </w:r>
      <w:r w:rsidRPr="00D33596">
        <w:tab/>
      </w:r>
      <w:r w:rsidR="00BE289F">
        <w:rPr>
          <w:i/>
        </w:rPr>
        <w:t>Reason for change in burden</w:t>
      </w:r>
      <w:r w:rsidRPr="00D33596">
        <w:rPr>
          <w:i/>
        </w:rPr>
        <w:t xml:space="preserve"> </w:t>
      </w:r>
    </w:p>
    <w:p w:rsidR="00EC7A06" w:rsidRPr="00D33596" w:rsidP="00EC7A06" w14:paraId="6D277C36" w14:textId="77777777">
      <w:pPr>
        <w:pStyle w:val="BodyTextIndent3"/>
        <w:ind w:left="0" w:firstLine="720"/>
      </w:pPr>
    </w:p>
    <w:p w:rsidR="002A5B27" w14:paraId="6E176BB6" w14:textId="3CD2B440">
      <w:pPr>
        <w:pStyle w:val="BodyTextIndent3"/>
        <w:ind w:left="0" w:firstLine="0"/>
      </w:pPr>
      <w:r>
        <w:t>The hourly burden estimates for the collection of information remain unchanged.</w:t>
      </w:r>
    </w:p>
    <w:p w:rsidR="00AA0998" w:rsidRPr="00D33596" w14:paraId="228DD39A" w14:textId="77777777">
      <w:pPr>
        <w:pStyle w:val="BodyTextIndent3"/>
        <w:ind w:left="0" w:firstLine="0"/>
      </w:pPr>
    </w:p>
    <w:p w:rsidR="00EC7A06" w:rsidRPr="00D33596" w:rsidP="00874DEE" w14:paraId="138C16B6" w14:textId="77777777">
      <w:pPr>
        <w:pStyle w:val="BodyTextIndent3"/>
        <w:ind w:left="0" w:firstLine="0"/>
        <w:rPr>
          <w:i/>
        </w:rPr>
      </w:pPr>
      <w:r w:rsidRPr="00D33596">
        <w:t>16.</w:t>
      </w:r>
      <w:r w:rsidRPr="00D33596">
        <w:tab/>
      </w:r>
      <w:r w:rsidRPr="00D33596">
        <w:rPr>
          <w:i/>
        </w:rPr>
        <w:t>Plans</w:t>
      </w:r>
      <w:r w:rsidRPr="00D33596" w:rsidR="005B4C63">
        <w:rPr>
          <w:i/>
        </w:rPr>
        <w:t xml:space="preserve"> for tabulation and publication</w:t>
      </w:r>
      <w:r w:rsidRPr="00D33596">
        <w:rPr>
          <w:i/>
        </w:rPr>
        <w:t xml:space="preserve">  </w:t>
      </w:r>
    </w:p>
    <w:p w:rsidR="00EC7A06" w:rsidRPr="00D33596" w:rsidP="00874DEE" w14:paraId="005005AF" w14:textId="77777777">
      <w:pPr>
        <w:pStyle w:val="BodyTextIndent3"/>
        <w:ind w:left="0" w:firstLine="0"/>
        <w:rPr>
          <w:i/>
        </w:rPr>
      </w:pPr>
    </w:p>
    <w:p w:rsidR="002A5B27" w:rsidP="00F81111" w14:paraId="18F6BB94" w14:textId="6081F289">
      <w:pPr>
        <w:pStyle w:val="BodyTextIndent3"/>
        <w:ind w:left="0" w:firstLine="0"/>
      </w:pPr>
      <w:r w:rsidRPr="00D33596">
        <w:rPr>
          <w:i/>
        </w:rPr>
        <w:t xml:space="preserve"> </w:t>
      </w:r>
      <w:r w:rsidRPr="00D33596">
        <w:t>Not applicable.</w:t>
      </w:r>
      <w:r w:rsidR="00B63622">
        <w:t xml:space="preserve"> </w:t>
      </w:r>
    </w:p>
    <w:p w:rsidR="002A5B27" w:rsidRPr="00D33596" w14:paraId="4C86EEAA" w14:textId="77777777">
      <w:pPr>
        <w:pStyle w:val="BodyTextIndent3"/>
        <w:ind w:left="0" w:firstLine="0"/>
      </w:pPr>
    </w:p>
    <w:p w:rsidR="002E3941" w:rsidRPr="00D33596" w:rsidP="00874DEE" w14:paraId="6F7EC60E" w14:textId="77777777">
      <w:pPr>
        <w:pStyle w:val="BodyTextIndent3"/>
        <w:ind w:left="0" w:firstLine="0"/>
        <w:rPr>
          <w:i/>
        </w:rPr>
      </w:pPr>
      <w:r w:rsidRPr="00D33596">
        <w:t>17.</w:t>
      </w:r>
      <w:r w:rsidRPr="00D33596">
        <w:tab/>
      </w:r>
      <w:r w:rsidRPr="00D33596">
        <w:rPr>
          <w:i/>
        </w:rPr>
        <w:t>Rationale for not displaying the e</w:t>
      </w:r>
      <w:r w:rsidRPr="00D33596" w:rsidR="005B4C63">
        <w:rPr>
          <w:i/>
        </w:rPr>
        <w:t>xpiration date for OMB approval</w:t>
      </w:r>
      <w:r w:rsidRPr="00D33596" w:rsidR="00EC7A06">
        <w:rPr>
          <w:i/>
        </w:rPr>
        <w:t xml:space="preserve"> </w:t>
      </w:r>
    </w:p>
    <w:p w:rsidR="00EC7A06" w:rsidRPr="00D33596" w:rsidP="00EC7A06" w14:paraId="6D80F261" w14:textId="77777777">
      <w:pPr>
        <w:pStyle w:val="BodyTextIndent3"/>
        <w:ind w:left="0" w:firstLine="720"/>
      </w:pPr>
    </w:p>
    <w:p w:rsidR="002A5B27" w:rsidRPr="00D33596" w:rsidP="00F81111" w14:paraId="06DF77A4" w14:textId="77777777">
      <w:pPr>
        <w:pStyle w:val="BodyTextIndent3"/>
        <w:ind w:left="0" w:firstLine="0"/>
      </w:pPr>
      <w:r w:rsidRPr="00D33596">
        <w:t>Not applicable.</w:t>
      </w:r>
    </w:p>
    <w:p w:rsidR="002A5B27" w:rsidRPr="00D33596" w14:paraId="45FD808E" w14:textId="77777777">
      <w:pPr>
        <w:pStyle w:val="BodyTextIndent3"/>
        <w:ind w:left="0" w:firstLine="0"/>
      </w:pPr>
    </w:p>
    <w:p w:rsidR="00EC7A06" w:rsidRPr="00D33596" w:rsidP="00874DEE" w14:paraId="2939A759" w14:textId="77777777">
      <w:pPr>
        <w:pStyle w:val="BodyTextIndent3"/>
        <w:ind w:left="0" w:firstLine="0"/>
        <w:rPr>
          <w:i/>
        </w:rPr>
      </w:pPr>
      <w:r w:rsidRPr="00D33596">
        <w:t>18.</w:t>
      </w:r>
      <w:r w:rsidRPr="00D33596">
        <w:tab/>
      </w:r>
      <w:r w:rsidRPr="00D33596">
        <w:rPr>
          <w:i/>
        </w:rPr>
        <w:t xml:space="preserve">Exception </w:t>
      </w:r>
      <w:r w:rsidRPr="00D33596" w:rsidR="005B4C63">
        <w:rPr>
          <w:i/>
        </w:rPr>
        <w:t>to</w:t>
      </w:r>
      <w:r w:rsidRPr="00D33596" w:rsidR="005B4C63">
        <w:rPr>
          <w:i/>
        </w:rPr>
        <w:t xml:space="preserve"> the certifications statement</w:t>
      </w:r>
      <w:r w:rsidRPr="00D33596">
        <w:rPr>
          <w:i/>
        </w:rPr>
        <w:t xml:space="preserve">  </w:t>
      </w:r>
    </w:p>
    <w:p w:rsidR="00EC7A06" w:rsidRPr="00D33596" w:rsidP="00874DEE" w14:paraId="23D5BA0E" w14:textId="77777777">
      <w:pPr>
        <w:pStyle w:val="BodyTextIndent3"/>
        <w:ind w:left="0" w:firstLine="0"/>
      </w:pPr>
    </w:p>
    <w:p w:rsidR="008C2571" w:rsidRPr="00D33596" w:rsidP="00F81111" w14:paraId="14A0D7FB" w14:textId="45B92D17">
      <w:pPr>
        <w:pStyle w:val="BodyTextIndent3"/>
        <w:ind w:left="0" w:firstLine="0"/>
      </w:pPr>
      <w:r>
        <w:t xml:space="preserve">We </w:t>
      </w:r>
      <w:r>
        <w:t>are not requesting</w:t>
      </w:r>
      <w:r>
        <w:t xml:space="preserve"> any exemptions to the provisions stated in 5 CFR 1320.9</w:t>
      </w:r>
    </w:p>
    <w:p w:rsidR="00EC7A06" w:rsidRPr="00D33596" w:rsidP="00F81111" w14:paraId="57CE4ABF" w14:textId="77777777">
      <w:pPr>
        <w:pStyle w:val="BodyTextIndent3"/>
        <w:ind w:left="0" w:firstLine="0"/>
      </w:pPr>
    </w:p>
    <w:p w:rsidR="00EC7A06" w:rsidRPr="00D33596" w:rsidP="00874DEE" w14:paraId="201669D7" w14:textId="77777777">
      <w:pPr>
        <w:pStyle w:val="BodyTextIndent3"/>
        <w:ind w:left="720"/>
      </w:pPr>
      <w:r w:rsidRPr="00D33596">
        <w:t>B.  Statistical Methods</w:t>
      </w:r>
    </w:p>
    <w:p w:rsidR="00EC7A06" w:rsidRPr="00D33596" w:rsidP="00874DEE" w14:paraId="16E71887" w14:textId="77777777">
      <w:pPr>
        <w:pStyle w:val="BodyTextIndent3"/>
        <w:ind w:left="720"/>
      </w:pPr>
    </w:p>
    <w:p w:rsidR="002A5B27" w:rsidRPr="00D33596" w:rsidP="00F81111" w14:paraId="3AA4A818" w14:textId="77777777">
      <w:pPr>
        <w:pStyle w:val="BodyTextIndent3"/>
        <w:ind w:left="0" w:firstLine="0"/>
      </w:pPr>
      <w:r w:rsidRPr="00D33596">
        <w:t>The reporting requirements do not em</w:t>
      </w:r>
      <w:r w:rsidRPr="00D33596" w:rsidR="00EC7A06">
        <w:t xml:space="preserve">ploy statistical </w:t>
      </w:r>
      <w:r w:rsidRPr="00D33596">
        <w:t>methods.</w:t>
      </w:r>
    </w:p>
    <w:p w:rsidR="002A5B27" w:rsidRPr="00D33596" w14:paraId="59D16B45" w14:textId="77777777">
      <w:pPr>
        <w:ind w:left="1080"/>
      </w:pPr>
    </w:p>
    <w:sectPr w:rsidSect="00B93163">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8196485"/>
      <w:docPartObj>
        <w:docPartGallery w:val="Page Numbers (Bottom of Page)"/>
        <w:docPartUnique/>
      </w:docPartObj>
    </w:sdtPr>
    <w:sdtContent>
      <w:p w:rsidR="00B00C7B" w14:paraId="220FEBEF" w14:textId="77777777">
        <w:pPr>
          <w:pStyle w:val="Footer"/>
          <w:jc w:val="center"/>
        </w:pPr>
        <w:r>
          <w:fldChar w:fldCharType="begin"/>
        </w:r>
        <w:r>
          <w:instrText xml:space="preserve"> PAGE   \* MERGEFORMAT </w:instrText>
        </w:r>
        <w:r>
          <w:fldChar w:fldCharType="separate"/>
        </w:r>
        <w:r w:rsidR="00CC3CFD">
          <w:rPr>
            <w:noProof/>
          </w:rPr>
          <w:t>3</w:t>
        </w:r>
        <w:r>
          <w:rPr>
            <w:noProof/>
          </w:rPr>
          <w:fldChar w:fldCharType="end"/>
        </w:r>
      </w:p>
    </w:sdtContent>
  </w:sdt>
  <w:p w:rsidR="00B00C7B" w14:paraId="57DAFE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2C4C"/>
    <w:multiLevelType w:val="hybridMultilevel"/>
    <w:tmpl w:val="F6A836F4"/>
    <w:lvl w:ilvl="0">
      <w:start w:val="1"/>
      <w:numFmt w:val="decimal"/>
      <w:lvlText w:val="%1."/>
      <w:lvlJc w:val="left"/>
      <w:pPr>
        <w:ind w:left="1440" w:hanging="360"/>
      </w:pPr>
      <w:rPr>
        <w:color w:val="000000"/>
      </w:rPr>
    </w:lvl>
    <w:lvl w:ilvl="1">
      <w:start w:val="0"/>
      <w:numFmt w:val="decimal"/>
      <w:lvlText w:val="o"/>
      <w:lvlJc w:val="left"/>
      <w:pPr>
        <w:ind w:left="2160" w:hanging="360"/>
      </w:pPr>
      <w:rPr>
        <w:rFonts w:ascii="Courier New" w:hAnsi="Courier New" w:cs="Courier New" w:hint="default"/>
      </w:rPr>
    </w:lvl>
    <w:lvl w:ilvl="2">
      <w:start w:val="0"/>
      <w:numFmt w:val="decimal"/>
      <w:lvlText w:val=""/>
      <w:lvlJc w:val="left"/>
      <w:pPr>
        <w:ind w:left="2880" w:hanging="360"/>
      </w:pPr>
      <w:rPr>
        <w:rFonts w:ascii="Wingdings" w:hAnsi="Wingdings" w:hint="default"/>
      </w:rPr>
    </w:lvl>
    <w:lvl w:ilvl="3">
      <w:start w:val="0"/>
      <w:numFmt w:val="decimal"/>
      <w:lvlText w:val=""/>
      <w:lvlJc w:val="left"/>
      <w:pPr>
        <w:ind w:left="3600" w:hanging="360"/>
      </w:pPr>
      <w:rPr>
        <w:rFonts w:ascii="Symbol" w:hAnsi="Symbol" w:hint="default"/>
      </w:rPr>
    </w:lvl>
    <w:lvl w:ilvl="4">
      <w:start w:val="0"/>
      <w:numFmt w:val="decimal"/>
      <w:lvlText w:val="o"/>
      <w:lvlJc w:val="left"/>
      <w:pPr>
        <w:ind w:left="4320" w:hanging="360"/>
      </w:pPr>
      <w:rPr>
        <w:rFonts w:ascii="Courier New" w:hAnsi="Courier New" w:cs="Courier New" w:hint="default"/>
      </w:rPr>
    </w:lvl>
    <w:lvl w:ilvl="5">
      <w:start w:val="0"/>
      <w:numFmt w:val="decimal"/>
      <w:lvlText w:val=""/>
      <w:lvlJc w:val="left"/>
      <w:pPr>
        <w:ind w:left="5040" w:hanging="360"/>
      </w:pPr>
      <w:rPr>
        <w:rFonts w:ascii="Wingdings" w:hAnsi="Wingdings" w:hint="default"/>
      </w:rPr>
    </w:lvl>
    <w:lvl w:ilvl="6">
      <w:start w:val="0"/>
      <w:numFmt w:val="decimal"/>
      <w:lvlText w:val=""/>
      <w:lvlJc w:val="left"/>
      <w:pPr>
        <w:ind w:left="5760" w:hanging="360"/>
      </w:pPr>
      <w:rPr>
        <w:rFonts w:ascii="Symbol" w:hAnsi="Symbol" w:hint="default"/>
      </w:rPr>
    </w:lvl>
    <w:lvl w:ilvl="7">
      <w:start w:val="0"/>
      <w:numFmt w:val="decimal"/>
      <w:lvlText w:val="o"/>
      <w:lvlJc w:val="left"/>
      <w:pPr>
        <w:ind w:left="6480" w:hanging="360"/>
      </w:pPr>
      <w:rPr>
        <w:rFonts w:ascii="Courier New" w:hAnsi="Courier New" w:cs="Courier New" w:hint="default"/>
      </w:rPr>
    </w:lvl>
    <w:lvl w:ilvl="8">
      <w:start w:val="0"/>
      <w:numFmt w:val="decimal"/>
      <w:lvlText w:val=""/>
      <w:lvlJc w:val="left"/>
      <w:pPr>
        <w:ind w:left="7200" w:hanging="360"/>
      </w:pPr>
      <w:rPr>
        <w:rFonts w:ascii="Wingdings" w:hAnsi="Wingdings" w:hint="default"/>
      </w:r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6138E"/>
    <w:multiLevelType w:val="hybridMultilevel"/>
    <w:tmpl w:val="4C5CB90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280190"/>
    <w:multiLevelType w:val="hybridMultilevel"/>
    <w:tmpl w:val="8CBEC98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2924822">
    <w:abstractNumId w:val="4"/>
  </w:num>
  <w:num w:numId="2" w16cid:durableId="2126583498">
    <w:abstractNumId w:val="2"/>
  </w:num>
  <w:num w:numId="3" w16cid:durableId="1077358410">
    <w:abstractNumId w:val="3"/>
  </w:num>
  <w:num w:numId="4" w16cid:durableId="48693605">
    <w:abstractNumId w:val="6"/>
  </w:num>
  <w:num w:numId="5" w16cid:durableId="938949035">
    <w:abstractNumId w:val="5"/>
  </w:num>
  <w:num w:numId="6" w16cid:durableId="432290980">
    <w:abstractNumId w:val="1"/>
  </w:num>
  <w:num w:numId="7" w16cid:durableId="18671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81"/>
    <w:rsid w:val="00014ADC"/>
    <w:rsid w:val="0002034C"/>
    <w:rsid w:val="00030EA2"/>
    <w:rsid w:val="000528E0"/>
    <w:rsid w:val="000531D8"/>
    <w:rsid w:val="00056477"/>
    <w:rsid w:val="00064BA1"/>
    <w:rsid w:val="000B60A4"/>
    <w:rsid w:val="000D1C48"/>
    <w:rsid w:val="000E0493"/>
    <w:rsid w:val="000E2692"/>
    <w:rsid w:val="000E601B"/>
    <w:rsid w:val="00105D9A"/>
    <w:rsid w:val="00112C26"/>
    <w:rsid w:val="00143D32"/>
    <w:rsid w:val="001527DB"/>
    <w:rsid w:val="001559D4"/>
    <w:rsid w:val="001731E2"/>
    <w:rsid w:val="001905C3"/>
    <w:rsid w:val="00190D16"/>
    <w:rsid w:val="00195560"/>
    <w:rsid w:val="001C65C2"/>
    <w:rsid w:val="001D16C8"/>
    <w:rsid w:val="001E0184"/>
    <w:rsid w:val="001E277F"/>
    <w:rsid w:val="001F1EF0"/>
    <w:rsid w:val="00205DA1"/>
    <w:rsid w:val="002132AC"/>
    <w:rsid w:val="00222DEB"/>
    <w:rsid w:val="00224683"/>
    <w:rsid w:val="00254A0E"/>
    <w:rsid w:val="00282AA5"/>
    <w:rsid w:val="002A5B27"/>
    <w:rsid w:val="002C1CE3"/>
    <w:rsid w:val="002C6255"/>
    <w:rsid w:val="002E3941"/>
    <w:rsid w:val="002E47A8"/>
    <w:rsid w:val="002E4A87"/>
    <w:rsid w:val="002E5CFA"/>
    <w:rsid w:val="003041D4"/>
    <w:rsid w:val="003046A6"/>
    <w:rsid w:val="00307288"/>
    <w:rsid w:val="00355F30"/>
    <w:rsid w:val="00370357"/>
    <w:rsid w:val="00374494"/>
    <w:rsid w:val="003916D4"/>
    <w:rsid w:val="003A3E10"/>
    <w:rsid w:val="003B05F6"/>
    <w:rsid w:val="003B1B20"/>
    <w:rsid w:val="003C2C1F"/>
    <w:rsid w:val="003C4A4F"/>
    <w:rsid w:val="003C7C20"/>
    <w:rsid w:val="003E309E"/>
    <w:rsid w:val="003E61B6"/>
    <w:rsid w:val="003F10DF"/>
    <w:rsid w:val="003F7A6B"/>
    <w:rsid w:val="0041526E"/>
    <w:rsid w:val="00423E20"/>
    <w:rsid w:val="0044204B"/>
    <w:rsid w:val="00453E3C"/>
    <w:rsid w:val="00454B29"/>
    <w:rsid w:val="00476250"/>
    <w:rsid w:val="0048112E"/>
    <w:rsid w:val="004926C0"/>
    <w:rsid w:val="004A082E"/>
    <w:rsid w:val="004B3E13"/>
    <w:rsid w:val="004D021F"/>
    <w:rsid w:val="004E0129"/>
    <w:rsid w:val="00520915"/>
    <w:rsid w:val="0053238A"/>
    <w:rsid w:val="00582F3E"/>
    <w:rsid w:val="005B02BF"/>
    <w:rsid w:val="005B4C63"/>
    <w:rsid w:val="005F2683"/>
    <w:rsid w:val="005F3F82"/>
    <w:rsid w:val="006104DD"/>
    <w:rsid w:val="00641B8D"/>
    <w:rsid w:val="00641C81"/>
    <w:rsid w:val="006446DB"/>
    <w:rsid w:val="00661C38"/>
    <w:rsid w:val="0066258E"/>
    <w:rsid w:val="00684B7C"/>
    <w:rsid w:val="006A54EE"/>
    <w:rsid w:val="006B54D3"/>
    <w:rsid w:val="006B656D"/>
    <w:rsid w:val="006B6D48"/>
    <w:rsid w:val="006D6525"/>
    <w:rsid w:val="006E1924"/>
    <w:rsid w:val="006E6DA8"/>
    <w:rsid w:val="006F5B50"/>
    <w:rsid w:val="0070123D"/>
    <w:rsid w:val="00705F01"/>
    <w:rsid w:val="00726B4A"/>
    <w:rsid w:val="007413A4"/>
    <w:rsid w:val="00742935"/>
    <w:rsid w:val="00742E1F"/>
    <w:rsid w:val="00747815"/>
    <w:rsid w:val="00785BFA"/>
    <w:rsid w:val="007B4118"/>
    <w:rsid w:val="007B57FC"/>
    <w:rsid w:val="007C129B"/>
    <w:rsid w:val="007C45C7"/>
    <w:rsid w:val="007C6A0A"/>
    <w:rsid w:val="008557F0"/>
    <w:rsid w:val="00861B4A"/>
    <w:rsid w:val="00874DEE"/>
    <w:rsid w:val="00880880"/>
    <w:rsid w:val="008B0057"/>
    <w:rsid w:val="008C2571"/>
    <w:rsid w:val="008C48F5"/>
    <w:rsid w:val="008C58C4"/>
    <w:rsid w:val="008D590A"/>
    <w:rsid w:val="008E6DAE"/>
    <w:rsid w:val="008F2578"/>
    <w:rsid w:val="008F5208"/>
    <w:rsid w:val="009331CC"/>
    <w:rsid w:val="00934C3D"/>
    <w:rsid w:val="00934D05"/>
    <w:rsid w:val="00941E5B"/>
    <w:rsid w:val="009427EE"/>
    <w:rsid w:val="009461DB"/>
    <w:rsid w:val="00946D6F"/>
    <w:rsid w:val="00973AC7"/>
    <w:rsid w:val="009757E7"/>
    <w:rsid w:val="009858E3"/>
    <w:rsid w:val="00992263"/>
    <w:rsid w:val="00995F3B"/>
    <w:rsid w:val="009A62DD"/>
    <w:rsid w:val="009C0F29"/>
    <w:rsid w:val="009D06DB"/>
    <w:rsid w:val="009D2D89"/>
    <w:rsid w:val="009F115C"/>
    <w:rsid w:val="009F7EF1"/>
    <w:rsid w:val="00A078B8"/>
    <w:rsid w:val="00A24888"/>
    <w:rsid w:val="00A406E7"/>
    <w:rsid w:val="00A46F5E"/>
    <w:rsid w:val="00A56289"/>
    <w:rsid w:val="00A80452"/>
    <w:rsid w:val="00AA0998"/>
    <w:rsid w:val="00AA7CFC"/>
    <w:rsid w:val="00AB339F"/>
    <w:rsid w:val="00AD6F72"/>
    <w:rsid w:val="00AF2B91"/>
    <w:rsid w:val="00AF5279"/>
    <w:rsid w:val="00B00C7B"/>
    <w:rsid w:val="00B16698"/>
    <w:rsid w:val="00B33AF2"/>
    <w:rsid w:val="00B3512F"/>
    <w:rsid w:val="00B515AB"/>
    <w:rsid w:val="00B63622"/>
    <w:rsid w:val="00B93163"/>
    <w:rsid w:val="00B9543E"/>
    <w:rsid w:val="00B97B3D"/>
    <w:rsid w:val="00BA07E1"/>
    <w:rsid w:val="00BB1415"/>
    <w:rsid w:val="00BB21AA"/>
    <w:rsid w:val="00BB6F89"/>
    <w:rsid w:val="00BD0A32"/>
    <w:rsid w:val="00BE289F"/>
    <w:rsid w:val="00BF4082"/>
    <w:rsid w:val="00BF40BD"/>
    <w:rsid w:val="00C24BE8"/>
    <w:rsid w:val="00C34B08"/>
    <w:rsid w:val="00C3530C"/>
    <w:rsid w:val="00C45152"/>
    <w:rsid w:val="00C512C1"/>
    <w:rsid w:val="00C52FC9"/>
    <w:rsid w:val="00C74F89"/>
    <w:rsid w:val="00CB5046"/>
    <w:rsid w:val="00CB6CEF"/>
    <w:rsid w:val="00CC3CFD"/>
    <w:rsid w:val="00CE1A1A"/>
    <w:rsid w:val="00CE1FE9"/>
    <w:rsid w:val="00CE3C21"/>
    <w:rsid w:val="00D07682"/>
    <w:rsid w:val="00D12D83"/>
    <w:rsid w:val="00D33596"/>
    <w:rsid w:val="00D353C3"/>
    <w:rsid w:val="00D36ECC"/>
    <w:rsid w:val="00D530A9"/>
    <w:rsid w:val="00D53BA9"/>
    <w:rsid w:val="00D64F02"/>
    <w:rsid w:val="00D67022"/>
    <w:rsid w:val="00D775AC"/>
    <w:rsid w:val="00D877AB"/>
    <w:rsid w:val="00DB23F7"/>
    <w:rsid w:val="00DE330C"/>
    <w:rsid w:val="00DE3CF8"/>
    <w:rsid w:val="00DE43D3"/>
    <w:rsid w:val="00E002F7"/>
    <w:rsid w:val="00E1353C"/>
    <w:rsid w:val="00E24D39"/>
    <w:rsid w:val="00E374FC"/>
    <w:rsid w:val="00E477FE"/>
    <w:rsid w:val="00E51097"/>
    <w:rsid w:val="00E60A5E"/>
    <w:rsid w:val="00E6117F"/>
    <w:rsid w:val="00E614E7"/>
    <w:rsid w:val="00E620D1"/>
    <w:rsid w:val="00E645DB"/>
    <w:rsid w:val="00E856B4"/>
    <w:rsid w:val="00EA3925"/>
    <w:rsid w:val="00EA4783"/>
    <w:rsid w:val="00EA56CD"/>
    <w:rsid w:val="00EC3477"/>
    <w:rsid w:val="00EC7A06"/>
    <w:rsid w:val="00ED1BC8"/>
    <w:rsid w:val="00ED663C"/>
    <w:rsid w:val="00EE18F1"/>
    <w:rsid w:val="00EE7C1A"/>
    <w:rsid w:val="00F05291"/>
    <w:rsid w:val="00F107FF"/>
    <w:rsid w:val="00F15963"/>
    <w:rsid w:val="00F41994"/>
    <w:rsid w:val="00F55E0A"/>
    <w:rsid w:val="00F61879"/>
    <w:rsid w:val="00F62CA0"/>
    <w:rsid w:val="00F64DF0"/>
    <w:rsid w:val="00F81111"/>
    <w:rsid w:val="00F86AE2"/>
    <w:rsid w:val="00F870CD"/>
    <w:rsid w:val="00F9185E"/>
    <w:rsid w:val="00FA61BD"/>
    <w:rsid w:val="00FD0C04"/>
    <w:rsid w:val="00FF112D"/>
    <w:rsid w:val="00FF14F6"/>
    <w:rsid w:val="16181D08"/>
    <w:rsid w:val="1B5CF08D"/>
    <w:rsid w:val="1D6174A5"/>
    <w:rsid w:val="24E7EBF0"/>
    <w:rsid w:val="3981DC0F"/>
    <w:rsid w:val="3BDFB2AA"/>
    <w:rsid w:val="487B7A46"/>
    <w:rsid w:val="5088AD92"/>
    <w:rsid w:val="66503651"/>
    <w:rsid w:val="66FBDA2E"/>
    <w:rsid w:val="7ADF7447"/>
    <w:rsid w:val="7E17B8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F564D3"/>
  <w15:docId w15:val="{4D4A2B2F-D8D6-4390-A493-0FF8EDC2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163"/>
    <w:rPr>
      <w:sz w:val="24"/>
      <w:szCs w:val="24"/>
    </w:rPr>
  </w:style>
  <w:style w:type="paragraph" w:styleId="Heading2">
    <w:name w:val="heading 2"/>
    <w:basedOn w:val="Normal"/>
    <w:next w:val="Normal"/>
    <w:link w:val="Heading2Char"/>
    <w:uiPriority w:val="9"/>
    <w:unhideWhenUsed/>
    <w:qFormat/>
    <w:rsid w:val="00BE289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3163"/>
    <w:pPr>
      <w:ind w:left="1080" w:hanging="1080"/>
    </w:pPr>
  </w:style>
  <w:style w:type="paragraph" w:styleId="BodyTextIndent2">
    <w:name w:val="Body Text Indent 2"/>
    <w:basedOn w:val="Normal"/>
    <w:rsid w:val="00B93163"/>
    <w:pPr>
      <w:ind w:left="1080"/>
    </w:pPr>
  </w:style>
  <w:style w:type="paragraph" w:styleId="BodyTextIndent3">
    <w:name w:val="Body Text Indent 3"/>
    <w:basedOn w:val="Normal"/>
    <w:rsid w:val="00B93163"/>
    <w:pPr>
      <w:ind w:left="1080" w:hanging="720"/>
    </w:pPr>
  </w:style>
  <w:style w:type="character" w:styleId="CommentReference">
    <w:name w:val="annotation reference"/>
    <w:basedOn w:val="DefaultParagraphFont"/>
    <w:rsid w:val="00014ADC"/>
    <w:rPr>
      <w:sz w:val="16"/>
      <w:szCs w:val="16"/>
    </w:rPr>
  </w:style>
  <w:style w:type="paragraph" w:styleId="CommentText">
    <w:name w:val="annotation text"/>
    <w:basedOn w:val="Normal"/>
    <w:link w:val="CommentTextChar"/>
    <w:rsid w:val="00014ADC"/>
    <w:rPr>
      <w:sz w:val="20"/>
      <w:szCs w:val="20"/>
    </w:rPr>
  </w:style>
  <w:style w:type="character" w:customStyle="1" w:styleId="CommentTextChar">
    <w:name w:val="Comment Text Char"/>
    <w:basedOn w:val="DefaultParagraphFont"/>
    <w:link w:val="CommentText"/>
    <w:rsid w:val="00014ADC"/>
  </w:style>
  <w:style w:type="paragraph" w:styleId="CommentSubject">
    <w:name w:val="annotation subject"/>
    <w:basedOn w:val="CommentText"/>
    <w:next w:val="CommentText"/>
    <w:link w:val="CommentSubjectChar"/>
    <w:rsid w:val="00014ADC"/>
    <w:rPr>
      <w:b/>
      <w:bCs/>
    </w:rPr>
  </w:style>
  <w:style w:type="character" w:customStyle="1" w:styleId="CommentSubjectChar">
    <w:name w:val="Comment Subject Char"/>
    <w:basedOn w:val="CommentTextChar"/>
    <w:link w:val="CommentSubject"/>
    <w:rsid w:val="00014ADC"/>
    <w:rPr>
      <w:b/>
      <w:bCs/>
    </w:rPr>
  </w:style>
  <w:style w:type="paragraph" w:styleId="BalloonText">
    <w:name w:val="Balloon Text"/>
    <w:basedOn w:val="Normal"/>
    <w:link w:val="BalloonTextChar"/>
    <w:rsid w:val="00014ADC"/>
    <w:rPr>
      <w:rFonts w:ascii="Tahoma" w:hAnsi="Tahoma" w:cs="Tahoma"/>
      <w:sz w:val="16"/>
      <w:szCs w:val="16"/>
    </w:rPr>
  </w:style>
  <w:style w:type="character" w:customStyle="1" w:styleId="BalloonTextChar">
    <w:name w:val="Balloon Text Char"/>
    <w:basedOn w:val="DefaultParagraphFont"/>
    <w:link w:val="BalloonText"/>
    <w:rsid w:val="00014ADC"/>
    <w:rPr>
      <w:rFonts w:ascii="Tahoma" w:hAnsi="Tahoma" w:cs="Tahoma"/>
      <w:sz w:val="16"/>
      <w:szCs w:val="16"/>
    </w:rPr>
  </w:style>
  <w:style w:type="paragraph" w:styleId="Header">
    <w:name w:val="header"/>
    <w:basedOn w:val="Normal"/>
    <w:link w:val="HeaderChar"/>
    <w:rsid w:val="00EC7A06"/>
    <w:pPr>
      <w:tabs>
        <w:tab w:val="center" w:pos="4680"/>
        <w:tab w:val="right" w:pos="9360"/>
      </w:tabs>
    </w:pPr>
  </w:style>
  <w:style w:type="character" w:customStyle="1" w:styleId="HeaderChar">
    <w:name w:val="Header Char"/>
    <w:basedOn w:val="DefaultParagraphFont"/>
    <w:link w:val="Header"/>
    <w:rsid w:val="00EC7A06"/>
    <w:rPr>
      <w:sz w:val="24"/>
      <w:szCs w:val="24"/>
    </w:rPr>
  </w:style>
  <w:style w:type="paragraph" w:styleId="Footer">
    <w:name w:val="footer"/>
    <w:basedOn w:val="Normal"/>
    <w:link w:val="FooterChar"/>
    <w:uiPriority w:val="99"/>
    <w:rsid w:val="00EC7A06"/>
    <w:pPr>
      <w:tabs>
        <w:tab w:val="center" w:pos="4680"/>
        <w:tab w:val="right" w:pos="9360"/>
      </w:tabs>
    </w:pPr>
  </w:style>
  <w:style w:type="character" w:customStyle="1" w:styleId="FooterChar">
    <w:name w:val="Footer Char"/>
    <w:basedOn w:val="DefaultParagraphFont"/>
    <w:link w:val="Footer"/>
    <w:uiPriority w:val="99"/>
    <w:rsid w:val="00EC7A06"/>
    <w:rPr>
      <w:sz w:val="24"/>
      <w:szCs w:val="24"/>
    </w:rPr>
  </w:style>
  <w:style w:type="paragraph" w:styleId="ListParagraph">
    <w:name w:val="List Paragraph"/>
    <w:basedOn w:val="Normal"/>
    <w:uiPriority w:val="34"/>
    <w:qFormat/>
    <w:rsid w:val="000528E0"/>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427EE"/>
    <w:pPr>
      <w:spacing w:before="100" w:beforeAutospacing="1" w:after="100" w:afterAutospacing="1"/>
    </w:pPr>
  </w:style>
  <w:style w:type="character" w:customStyle="1" w:styleId="Heading2Char">
    <w:name w:val="Heading 2 Char"/>
    <w:basedOn w:val="DefaultParagraphFont"/>
    <w:link w:val="Heading2"/>
    <w:uiPriority w:val="9"/>
    <w:rsid w:val="00BE289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rsid w:val="00E477FE"/>
    <w:rPr>
      <w:sz w:val="20"/>
      <w:szCs w:val="20"/>
    </w:rPr>
  </w:style>
  <w:style w:type="character" w:customStyle="1" w:styleId="FootnoteTextChar">
    <w:name w:val="Footnote Text Char"/>
    <w:basedOn w:val="DefaultParagraphFont"/>
    <w:link w:val="FootnoteText"/>
    <w:semiHidden/>
    <w:rsid w:val="00E477FE"/>
  </w:style>
  <w:style w:type="character" w:styleId="FootnoteReference">
    <w:name w:val="footnote reference"/>
    <w:basedOn w:val="DefaultParagraphFont"/>
    <w:semiHidden/>
    <w:unhideWhenUsed/>
    <w:rsid w:val="00E477FE"/>
    <w:rPr>
      <w:vertAlign w:val="superscript"/>
    </w:rPr>
  </w:style>
  <w:style w:type="character" w:styleId="Hyperlink">
    <w:name w:val="Hyperlink"/>
    <w:basedOn w:val="DefaultParagraphFont"/>
    <w:unhideWhenUsed/>
    <w:rsid w:val="006446DB"/>
    <w:rPr>
      <w:color w:val="0000FF" w:themeColor="hyperlink"/>
      <w:u w:val="single"/>
    </w:rPr>
  </w:style>
  <w:style w:type="character" w:styleId="FollowedHyperlink">
    <w:name w:val="FollowedHyperlink"/>
    <w:basedOn w:val="DefaultParagraphFont"/>
    <w:semiHidden/>
    <w:unhideWhenUsed/>
    <w:rsid w:val="00CB6CEF"/>
    <w:rPr>
      <w:color w:val="800080" w:themeColor="followedHyperlink"/>
      <w:u w:val="single"/>
    </w:rPr>
  </w:style>
  <w:style w:type="character" w:styleId="UnresolvedMention">
    <w:name w:val="Unresolved Mention"/>
    <w:basedOn w:val="DefaultParagraphFont"/>
    <w:uiPriority w:val="99"/>
    <w:semiHidden/>
    <w:unhideWhenUsed/>
    <w:rsid w:val="00BA07E1"/>
    <w:rPr>
      <w:color w:val="605E5C"/>
      <w:shd w:val="clear" w:color="auto" w:fill="E1DFDD"/>
    </w:rPr>
  </w:style>
  <w:style w:type="paragraph" w:styleId="Revision">
    <w:name w:val="Revision"/>
    <w:hidden/>
    <w:uiPriority w:val="99"/>
    <w:semiHidden/>
    <w:rsid w:val="00E85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psc.gov/Business--Manufacturing/Small-Business-Resources" TargetMode="External" /><Relationship Id="rId9" Type="http://schemas.openxmlformats.org/officeDocument/2006/relationships/hyperlink" Target="mailto:importteam@cps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C186-8C5F-456A-B7CC-7D2267109EBC}">
  <ds:schemaRefs>
    <ds:schemaRef ds:uri="http://schemas.microsoft.com/office/2006/metadata/properties"/>
    <ds:schemaRef ds:uri="9287dbbc-a89a-4499-b4ce-0d8d138f1174"/>
    <ds:schemaRef ds:uri="81d5c1c9-3c8a-41e1-921b-abb7aea3d9aa"/>
    <ds:schemaRef ds:uri="http://schemas.microsoft.com/office/infopath/2007/PartnerControls"/>
  </ds:schemaRefs>
</ds:datastoreItem>
</file>

<file path=customXml/itemProps2.xml><?xml version="1.0" encoding="utf-8"?>
<ds:datastoreItem xmlns:ds="http://schemas.openxmlformats.org/officeDocument/2006/customXml" ds:itemID="{6B4DFBAE-E188-4ED0-AA49-98D0B8C8748F}">
  <ds:schemaRefs>
    <ds:schemaRef ds:uri="http://schemas.microsoft.com/sharepoint/v3/contenttype/forms"/>
  </ds:schemaRefs>
</ds:datastoreItem>
</file>

<file path=customXml/itemProps3.xml><?xml version="1.0" encoding="utf-8"?>
<ds:datastoreItem xmlns:ds="http://schemas.openxmlformats.org/officeDocument/2006/customXml" ds:itemID="{E210E911-AE0C-41A5-814F-9A0175239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6E457-0631-4A7F-A859-C70A13A4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1843</Words>
  <Characters>10506</Characters>
  <Application>Microsoft Office Word</Application>
  <DocSecurity>0</DocSecurity>
  <Lines>87</Lines>
  <Paragraphs>24</Paragraphs>
  <ScaleCrop>false</ScaleCrop>
  <Company>CPSC</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Gillham, Cynthia</dc:creator>
  <cp:lastModifiedBy>Gillham, Cynthia</cp:lastModifiedBy>
  <cp:revision>7</cp:revision>
  <cp:lastPrinted>2009-03-20T17:44:00Z</cp:lastPrinted>
  <dcterms:created xsi:type="dcterms:W3CDTF">2025-03-06T21:48:00Z</dcterms:created>
  <dcterms:modified xsi:type="dcterms:W3CDTF">2025-04-07T21:07:00Z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