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23EC" w:rsidP="000723EC" w14:paraId="1F9CE3D7" w14:textId="77777777">
      <w:pPr>
        <w:widowControl w:val="0"/>
        <w:spacing w:line="259" w:lineRule="auto"/>
        <w:jc w:val="center"/>
      </w:pPr>
      <w:r w:rsidRPr="3A287212">
        <w:rPr>
          <w:rFonts w:ascii="Times New Roman" w:hAnsi="Times New Roman"/>
        </w:rPr>
        <w:t>Corporation for National and Community Service (</w:t>
      </w:r>
      <w:r>
        <w:rPr>
          <w:rFonts w:ascii="Times New Roman" w:hAnsi="Times New Roman"/>
        </w:rPr>
        <w:t xml:space="preserve">dba </w:t>
      </w:r>
      <w:r w:rsidRPr="3A287212">
        <w:rPr>
          <w:rFonts w:ascii="Times New Roman" w:hAnsi="Times New Roman"/>
        </w:rPr>
        <w:t>AmeriCorps)</w:t>
      </w:r>
    </w:p>
    <w:p w:rsidR="00C9600E" w:rsidP="000723EC" w14:paraId="7C8DECCD" w14:textId="3A485DDE">
      <w:pPr>
        <w:widowControl w:val="0"/>
        <w:jc w:val="center"/>
        <w:rPr>
          <w:rFonts w:ascii="Times New Roman" w:hAnsi="Times New Roman"/>
          <w:b/>
          <w:bCs/>
          <w:szCs w:val="22"/>
        </w:rPr>
      </w:pPr>
      <w:r w:rsidRPr="0086200C">
        <w:rPr>
          <w:rFonts w:ascii="Times New Roman" w:hAnsi="Times New Roman"/>
          <w:b/>
          <w:bCs/>
          <w:szCs w:val="22"/>
        </w:rPr>
        <w:t xml:space="preserve">AmeriCorps Seniors Programs </w:t>
      </w:r>
      <w:r w:rsidR="00AB2ECE">
        <w:rPr>
          <w:rFonts w:ascii="Times New Roman" w:hAnsi="Times New Roman"/>
          <w:b/>
          <w:bCs/>
          <w:szCs w:val="22"/>
        </w:rPr>
        <w:t xml:space="preserve">COVID Effects </w:t>
      </w:r>
      <w:r w:rsidRPr="0086200C">
        <w:rPr>
          <w:rFonts w:ascii="Times New Roman" w:hAnsi="Times New Roman"/>
          <w:b/>
          <w:bCs/>
          <w:szCs w:val="22"/>
        </w:rPr>
        <w:t xml:space="preserve">Evaluation </w:t>
      </w:r>
    </w:p>
    <w:p w:rsidR="000723EC" w:rsidP="000723EC" w14:paraId="60DD7756" w14:textId="3BE93473">
      <w:pPr>
        <w:widowControl w:val="0"/>
        <w:jc w:val="center"/>
        <w:rPr>
          <w:rFonts w:ascii="Times New Roman" w:hAnsi="Times New Roman"/>
          <w:b/>
          <w:bCs/>
        </w:rPr>
      </w:pPr>
      <w:r w:rsidRPr="0EEECE9C">
        <w:rPr>
          <w:rFonts w:ascii="Times New Roman" w:hAnsi="Times New Roman"/>
          <w:b/>
          <w:bCs/>
        </w:rPr>
        <w:t>OMB Control Number 3045-NEW</w:t>
      </w:r>
    </w:p>
    <w:p w:rsidR="000723EC" w:rsidP="000723EC" w14:paraId="2B37FBFB" w14:textId="77777777">
      <w:pPr>
        <w:widowControl w:val="0"/>
        <w:jc w:val="center"/>
        <w:rPr>
          <w:rFonts w:ascii="Times New Roman" w:hAnsi="Times New Roman"/>
          <w:b/>
          <w:bCs/>
        </w:rPr>
      </w:pPr>
    </w:p>
    <w:p w:rsidR="000723EC" w:rsidRPr="00C934A3" w:rsidP="000723EC" w14:paraId="1DCA8894" w14:textId="77777777">
      <w:pPr>
        <w:pStyle w:val="Heading1"/>
      </w:pPr>
      <w:bookmarkStart w:id="0" w:name="_Toc157357103"/>
      <w:r w:rsidRPr="00C934A3">
        <w:t>Part A: Justification</w:t>
      </w:r>
      <w:bookmarkEnd w:id="0"/>
    </w:p>
    <w:p w:rsidR="000723EC" w:rsidP="000723EC" w14:paraId="7DE658AC" w14:textId="77777777">
      <w:pPr>
        <w:pStyle w:val="Heading2"/>
      </w:pPr>
      <w:bookmarkStart w:id="1" w:name="_Toc157357104"/>
      <w:r w:rsidRPr="00B20F59">
        <w:t>Overview of Information Collection:</w:t>
      </w:r>
      <w:bookmarkEnd w:id="1"/>
    </w:p>
    <w:p w:rsidR="000723EC" w:rsidP="000723EC" w14:paraId="08E4C68F" w14:textId="52DC22D2">
      <w:pPr>
        <w:widowControl w:val="0"/>
        <w:rPr>
          <w:rFonts w:ascii="Times New Roman" w:hAnsi="Times New Roman"/>
        </w:rPr>
      </w:pPr>
      <w:r w:rsidRPr="004607F7">
        <w:rPr>
          <w:rFonts w:ascii="Times New Roman" w:hAnsi="Times New Roman"/>
        </w:rPr>
        <w:t xml:space="preserve">This is a request for approval of a New Collection for the AmeriCorps Seniors program. This information collection includes five survey instruments (one for current volunteers, one for former volunteers, one for station staff, one for Senior Corps Program (SCP) caregivers, and one for Senior Corps Program (SCP) independent living clients), and four interview/focus group instruments. Together, </w:t>
      </w:r>
      <w:r>
        <w:rPr>
          <w:rFonts w:ascii="Times New Roman" w:hAnsi="Times New Roman"/>
        </w:rPr>
        <w:t>the information collection will</w:t>
      </w:r>
      <w:r w:rsidRPr="004607F7">
        <w:rPr>
          <w:rFonts w:ascii="Times New Roman" w:hAnsi="Times New Roman"/>
        </w:rPr>
        <w:t xml:space="preserve"> allow AmeriCorps to assess the well-being of AmeriCorps Seniors volunteers and communities served and examine current </w:t>
      </w:r>
      <w:r w:rsidRPr="004607F7">
        <w:rPr>
          <w:rFonts w:ascii="Times New Roman" w:hAnsi="Times New Roman"/>
          <w:szCs w:val="24"/>
        </w:rPr>
        <w:t xml:space="preserve">programmatic structure and service delivery processes </w:t>
      </w:r>
      <w:r w:rsidR="00BE08E1">
        <w:rPr>
          <w:rFonts w:ascii="Times New Roman" w:hAnsi="Times New Roman"/>
          <w:szCs w:val="24"/>
        </w:rPr>
        <w:t>that</w:t>
      </w:r>
      <w:r w:rsidRPr="004607F7">
        <w:rPr>
          <w:rFonts w:ascii="Times New Roman" w:hAnsi="Times New Roman"/>
          <w:szCs w:val="24"/>
        </w:rPr>
        <w:t xml:space="preserve"> grantees and their host sites</w:t>
      </w:r>
      <w:r>
        <w:rPr>
          <w:rFonts w:ascii="Times New Roman" w:hAnsi="Times New Roman"/>
          <w:szCs w:val="24"/>
        </w:rPr>
        <w:t xml:space="preserve"> </w:t>
      </w:r>
      <w:r w:rsidRPr="004607F7">
        <w:rPr>
          <w:rFonts w:ascii="Times New Roman" w:hAnsi="Times New Roman"/>
          <w:szCs w:val="24"/>
        </w:rPr>
        <w:t>may have put in place in response to shifts in social, economic</w:t>
      </w:r>
      <w:r>
        <w:rPr>
          <w:rFonts w:ascii="Times New Roman" w:hAnsi="Times New Roman"/>
          <w:szCs w:val="24"/>
        </w:rPr>
        <w:t>,</w:t>
      </w:r>
      <w:r w:rsidRPr="004607F7">
        <w:rPr>
          <w:rFonts w:ascii="Times New Roman" w:hAnsi="Times New Roman"/>
          <w:szCs w:val="24"/>
        </w:rPr>
        <w:t xml:space="preserve"> and health due to the </w:t>
      </w:r>
      <w:r w:rsidR="00BE08E1">
        <w:rPr>
          <w:rFonts w:ascii="Times New Roman" w:hAnsi="Times New Roman"/>
          <w:szCs w:val="24"/>
        </w:rPr>
        <w:t xml:space="preserve">COVID-19 </w:t>
      </w:r>
      <w:r w:rsidRPr="004607F7">
        <w:rPr>
          <w:rFonts w:ascii="Times New Roman" w:hAnsi="Times New Roman"/>
          <w:szCs w:val="24"/>
        </w:rPr>
        <w:t>public health emergency.</w:t>
      </w:r>
      <w:r>
        <w:rPr>
          <w:rFonts w:ascii="Times New Roman" w:hAnsi="Times New Roman"/>
        </w:rPr>
        <w:t xml:space="preserve"> The information collection will include AmeriCorps Seniors’ three traditional programs: Foster Grandparents Program (FGP), Senior Companion Program (SCP), and </w:t>
      </w:r>
      <w:r w:rsidRPr="00C934A3">
        <w:rPr>
          <w:rFonts w:ascii="Times New Roman" w:hAnsi="Times New Roman"/>
        </w:rPr>
        <w:t>Retired Senior Volunteer Program</w:t>
      </w:r>
      <w:r>
        <w:rPr>
          <w:rFonts w:ascii="Times New Roman" w:hAnsi="Times New Roman"/>
        </w:rPr>
        <w:t xml:space="preserve"> </w:t>
      </w:r>
      <w:r w:rsidRPr="00C934A3">
        <w:rPr>
          <w:rFonts w:ascii="Times New Roman" w:hAnsi="Times New Roman"/>
        </w:rPr>
        <w:t>(RSVP)</w:t>
      </w:r>
      <w:r>
        <w:rPr>
          <w:rFonts w:ascii="Times New Roman" w:hAnsi="Times New Roman"/>
        </w:rPr>
        <w:t xml:space="preserve">; and the </w:t>
      </w:r>
      <w:r w:rsidRPr="00C76F79">
        <w:rPr>
          <w:rFonts w:ascii="Times New Roman" w:hAnsi="Times New Roman"/>
        </w:rPr>
        <w:t xml:space="preserve">Senior Demonstration Program (SDP) which are projects funded </w:t>
      </w:r>
      <w:r w:rsidRPr="00C76F79">
        <w:rPr>
          <w:rFonts w:ascii="Times New Roman" w:hAnsi="Times New Roman"/>
          <w:szCs w:val="24"/>
        </w:rPr>
        <w:t>under the American Rescue Plan (ARP).</w:t>
      </w:r>
    </w:p>
    <w:p w:rsidR="000723EC" w:rsidRPr="00436E5C" w:rsidP="000723EC" w14:paraId="4BA20A08" w14:textId="77777777">
      <w:pPr>
        <w:widowControl w:val="0"/>
        <w:rPr>
          <w:rFonts w:ascii="Times New Roman" w:hAnsi="Times New Roman"/>
        </w:rPr>
      </w:pPr>
    </w:p>
    <w:p w:rsidR="000723EC" w:rsidP="000723EC" w14:paraId="2267A395" w14:textId="77777777">
      <w:pPr>
        <w:pStyle w:val="Heading2"/>
        <w:numPr>
          <w:ilvl w:val="0"/>
          <w:numId w:val="8"/>
        </w:numPr>
      </w:pPr>
      <w:bookmarkStart w:id="2" w:name="_Toc157357105"/>
      <w:r w:rsidRPr="00505E03">
        <w:t>Need</w:t>
      </w:r>
      <w:r>
        <w:t xml:space="preserve"> &amp; Method</w:t>
      </w:r>
      <w:r w:rsidRPr="00505E03">
        <w:t xml:space="preserve"> for the Information Collection</w:t>
      </w:r>
      <w:r>
        <w:t>.</w:t>
      </w:r>
      <w:bookmarkEnd w:id="2"/>
      <w:r>
        <w:t xml:space="preserve"> </w:t>
      </w:r>
    </w:p>
    <w:p w:rsidR="000723EC" w:rsidRPr="004607F7" w:rsidP="000723EC" w14:paraId="7CFB5A53" w14:textId="77777777">
      <w:pPr>
        <w:widowControl w:val="0"/>
        <w:tabs>
          <w:tab w:val="left" w:pos="360"/>
          <w:tab w:val="left" w:pos="630"/>
          <w:tab w:val="left" w:pos="720"/>
          <w:tab w:val="left" w:pos="1080"/>
        </w:tabs>
        <w:spacing w:before="120"/>
        <w:rPr>
          <w:rFonts w:ascii="Times New Roman" w:hAnsi="Times New Roman"/>
          <w:b/>
          <w:bCs/>
          <w:szCs w:val="24"/>
        </w:rPr>
      </w:pPr>
      <w:r w:rsidRPr="004607F7">
        <w:rPr>
          <w:rFonts w:ascii="Times New Roman" w:hAnsi="Times New Roman"/>
          <w:szCs w:val="24"/>
        </w:rPr>
        <w:t>Title II of the Domestic Volunteer Service Act of 1973, as amended</w:t>
      </w:r>
      <w:r>
        <w:rPr>
          <w:rFonts w:ascii="Times New Roman" w:hAnsi="Times New Roman"/>
          <w:szCs w:val="24"/>
        </w:rPr>
        <w:t xml:space="preserve">, 42 U.S.C. 4950 </w:t>
      </w:r>
      <w:r>
        <w:rPr>
          <w:rFonts w:ascii="Times New Roman" w:hAnsi="Times New Roman"/>
          <w:i/>
          <w:iCs/>
          <w:szCs w:val="24"/>
        </w:rPr>
        <w:t>et seq.</w:t>
      </w:r>
      <w:r w:rsidRPr="004607F7">
        <w:rPr>
          <w:rFonts w:ascii="Times New Roman" w:hAnsi="Times New Roman"/>
          <w:szCs w:val="24"/>
        </w:rPr>
        <w:t xml:space="preserve">, which authorizes the AmeriCorps Seniors programs, directs AmeriCorps to assess the impact and effectiveness of these AmeriCorps Seniors programs at least once every three years [Sec. </w:t>
      </w:r>
      <w:r>
        <w:rPr>
          <w:rFonts w:ascii="Times New Roman" w:hAnsi="Times New Roman"/>
          <w:szCs w:val="24"/>
        </w:rPr>
        <w:t>5056</w:t>
      </w:r>
      <w:r w:rsidRPr="004607F7">
        <w:rPr>
          <w:rFonts w:ascii="Times New Roman" w:hAnsi="Times New Roman"/>
          <w:szCs w:val="24"/>
        </w:rPr>
        <w:t xml:space="preserve">(a)]. The last national evaluation of AmeriCorps Seniors </w:t>
      </w:r>
      <w:r>
        <w:rPr>
          <w:rFonts w:ascii="Times New Roman" w:hAnsi="Times New Roman"/>
          <w:szCs w:val="24"/>
        </w:rPr>
        <w:t xml:space="preserve">programs </w:t>
      </w:r>
      <w:r w:rsidRPr="004607F7">
        <w:rPr>
          <w:rFonts w:ascii="Times New Roman" w:hAnsi="Times New Roman"/>
          <w:szCs w:val="24"/>
        </w:rPr>
        <w:t xml:space="preserve">was completed in September 2018. Furthermore, in adhering to the 2019 Foundations for Evidence-Based Policymaking Act (FEBP) of 2018, </w:t>
      </w:r>
      <w:r>
        <w:rPr>
          <w:rFonts w:ascii="Times New Roman" w:hAnsi="Times New Roman"/>
          <w:szCs w:val="24"/>
        </w:rPr>
        <w:t xml:space="preserve">5 U.S.C. 311 </w:t>
      </w:r>
      <w:r>
        <w:rPr>
          <w:rFonts w:ascii="Times New Roman" w:hAnsi="Times New Roman"/>
          <w:i/>
          <w:iCs/>
          <w:szCs w:val="24"/>
        </w:rPr>
        <w:t>et seq.</w:t>
      </w:r>
      <w:r w:rsidRPr="004607F7">
        <w:rPr>
          <w:rFonts w:ascii="Times New Roman" w:hAnsi="Times New Roman"/>
          <w:szCs w:val="24"/>
        </w:rPr>
        <w:t xml:space="preserve">, AmeriCorps outlined a commitment to building an evidence base to inform </w:t>
      </w:r>
      <w:r>
        <w:rPr>
          <w:rFonts w:ascii="Times New Roman" w:hAnsi="Times New Roman"/>
          <w:szCs w:val="24"/>
        </w:rPr>
        <w:t>decision-making</w:t>
      </w:r>
      <w:r w:rsidRPr="004607F7">
        <w:rPr>
          <w:rFonts w:ascii="Times New Roman" w:hAnsi="Times New Roman"/>
          <w:szCs w:val="24"/>
        </w:rPr>
        <w:t xml:space="preserve"> and the allocation of resources in the agency’s strategic planning and Learning Agenda.</w:t>
      </w:r>
      <w:r>
        <w:rPr>
          <w:rFonts w:ascii="Times New Roman" w:hAnsi="Times New Roman"/>
          <w:szCs w:val="24"/>
        </w:rPr>
        <w:t xml:space="preserve"> </w:t>
      </w:r>
      <w:r w:rsidRPr="004607F7">
        <w:rPr>
          <w:rFonts w:ascii="Times New Roman" w:hAnsi="Times New Roman"/>
          <w:szCs w:val="24"/>
        </w:rPr>
        <w:t>The information collection is necessary to evaluate how participation in AmeriCorps Seniors promotes healthy aging among its older adult volunteers and how the program effectively respond</w:t>
      </w:r>
      <w:r>
        <w:rPr>
          <w:rFonts w:ascii="Times New Roman" w:hAnsi="Times New Roman"/>
          <w:szCs w:val="24"/>
        </w:rPr>
        <w:t>ed</w:t>
      </w:r>
      <w:r w:rsidRPr="004607F7">
        <w:rPr>
          <w:rFonts w:ascii="Times New Roman" w:hAnsi="Times New Roman"/>
          <w:szCs w:val="24"/>
        </w:rPr>
        <w:t xml:space="preserve"> to a public health emergency to address shifting community needs</w:t>
      </w:r>
      <w:r>
        <w:rPr>
          <w:rFonts w:ascii="Times New Roman" w:hAnsi="Times New Roman"/>
          <w:szCs w:val="24"/>
        </w:rPr>
        <w:t xml:space="preserve"> while maintaining the benefits to the volunteers who serve these communities</w:t>
      </w:r>
      <w:r w:rsidRPr="004607F7">
        <w:rPr>
          <w:rFonts w:ascii="Times New Roman" w:hAnsi="Times New Roman"/>
          <w:szCs w:val="24"/>
        </w:rPr>
        <w:t xml:space="preserve">. </w:t>
      </w:r>
    </w:p>
    <w:p w:rsidR="000723EC" w:rsidRPr="004607F7" w:rsidP="000723EC" w14:paraId="51C52221" w14:textId="77777777">
      <w:pPr>
        <w:tabs>
          <w:tab w:val="left" w:pos="360"/>
        </w:tabs>
        <w:spacing w:before="120" w:after="120"/>
        <w:rPr>
          <w:rFonts w:ascii="Times New Roman" w:hAnsi="Times New Roman"/>
          <w:b/>
          <w:bCs/>
          <w:szCs w:val="24"/>
        </w:rPr>
      </w:pPr>
      <w:r w:rsidRPr="004607F7">
        <w:rPr>
          <w:rFonts w:ascii="Times New Roman" w:hAnsi="Times New Roman"/>
          <w:b/>
          <w:bCs/>
          <w:szCs w:val="24"/>
        </w:rPr>
        <w:t>Need for the Evaluation</w:t>
      </w:r>
    </w:p>
    <w:p w:rsidR="000723EC" w:rsidRPr="00A827FC" w:rsidP="000723EC" w14:paraId="12BB2F1F" w14:textId="77777777">
      <w:pPr>
        <w:tabs>
          <w:tab w:val="left" w:pos="360"/>
        </w:tabs>
        <w:spacing w:after="120"/>
        <w:rPr>
          <w:rFonts w:ascii="Times New Roman" w:hAnsi="Times New Roman"/>
          <w:szCs w:val="24"/>
        </w:rPr>
      </w:pPr>
      <w:r w:rsidRPr="00A827FC">
        <w:rPr>
          <w:rFonts w:ascii="Times New Roman" w:hAnsi="Times New Roman"/>
          <w:szCs w:val="24"/>
        </w:rPr>
        <w:t>In addition to the legal requirement to assess the AmeriCorps Seniors programs every three years, the public health emergency due to the coronavirus (COVID-19) is the catalyst that trigger</w:t>
      </w:r>
      <w:r>
        <w:rPr>
          <w:rFonts w:ascii="Times New Roman" w:hAnsi="Times New Roman"/>
          <w:szCs w:val="24"/>
        </w:rPr>
        <w:t>ed</w:t>
      </w:r>
      <w:r w:rsidRPr="00A827FC">
        <w:rPr>
          <w:rFonts w:ascii="Times New Roman" w:hAnsi="Times New Roman"/>
          <w:szCs w:val="24"/>
        </w:rPr>
        <w:t xml:space="preserve"> </w:t>
      </w:r>
      <w:r>
        <w:rPr>
          <w:rFonts w:ascii="Times New Roman" w:hAnsi="Times New Roman"/>
          <w:szCs w:val="24"/>
        </w:rPr>
        <w:t xml:space="preserve">an </w:t>
      </w:r>
      <w:r w:rsidRPr="00A827FC">
        <w:rPr>
          <w:rFonts w:ascii="Times New Roman" w:hAnsi="Times New Roman"/>
          <w:szCs w:val="24"/>
        </w:rPr>
        <w:t xml:space="preserve">immediate need for a national evaluation of older adult volunteers. </w:t>
      </w:r>
    </w:p>
    <w:p w:rsidR="000723EC" w:rsidRPr="004607F7" w:rsidP="000723EC" w14:paraId="320B77A7" w14:textId="77777777">
      <w:pPr>
        <w:tabs>
          <w:tab w:val="left" w:pos="360"/>
        </w:tabs>
        <w:spacing w:after="120"/>
        <w:rPr>
          <w:rFonts w:ascii="Times New Roman" w:eastAsia="Calibri" w:hAnsi="Times New Roman"/>
          <w:szCs w:val="24"/>
        </w:rPr>
      </w:pPr>
      <w:r w:rsidRPr="00A827FC">
        <w:rPr>
          <w:rFonts w:ascii="Times New Roman" w:hAnsi="Times New Roman"/>
          <w:szCs w:val="24"/>
        </w:rPr>
        <w:t>There is robust empirical evidence from independent</w:t>
      </w:r>
      <w:r w:rsidRPr="004607F7">
        <w:rPr>
          <w:rFonts w:ascii="Times New Roman" w:hAnsi="Times New Roman"/>
          <w:szCs w:val="24"/>
        </w:rPr>
        <w:t xml:space="preserve"> </w:t>
      </w:r>
      <w:r w:rsidRPr="00A827FC">
        <w:rPr>
          <w:rFonts w:ascii="Times New Roman" w:hAnsi="Times New Roman"/>
          <w:szCs w:val="24"/>
        </w:rPr>
        <w:t>researchers</w:t>
      </w:r>
      <w:r w:rsidRPr="004607F7">
        <w:rPr>
          <w:rFonts w:ascii="Times New Roman" w:hAnsi="Times New Roman"/>
          <w:szCs w:val="24"/>
        </w:rPr>
        <w:t xml:space="preserve"> </w:t>
      </w:r>
      <w:r w:rsidRPr="00A827FC">
        <w:rPr>
          <w:rFonts w:ascii="Times New Roman" w:hAnsi="Times New Roman"/>
          <w:szCs w:val="24"/>
        </w:rPr>
        <w:t>and national evaluations</w:t>
      </w:r>
      <w:r w:rsidRPr="004607F7">
        <w:rPr>
          <w:rFonts w:ascii="Times New Roman" w:hAnsi="Times New Roman"/>
          <w:szCs w:val="24"/>
        </w:rPr>
        <w:t xml:space="preserve"> </w:t>
      </w:r>
      <w:r w:rsidRPr="00A827FC">
        <w:rPr>
          <w:rFonts w:ascii="Times New Roman" w:hAnsi="Times New Roman"/>
          <w:szCs w:val="24"/>
        </w:rPr>
        <w:t>funded</w:t>
      </w:r>
      <w:r w:rsidRPr="004607F7">
        <w:rPr>
          <w:rFonts w:ascii="Times New Roman" w:hAnsi="Times New Roman"/>
          <w:szCs w:val="24"/>
        </w:rPr>
        <w:t xml:space="preserve"> </w:t>
      </w:r>
      <w:r w:rsidRPr="00A827FC">
        <w:rPr>
          <w:rFonts w:ascii="Times New Roman" w:hAnsi="Times New Roman"/>
          <w:szCs w:val="24"/>
        </w:rPr>
        <w:t>by</w:t>
      </w:r>
      <w:r w:rsidRPr="004607F7">
        <w:rPr>
          <w:rFonts w:ascii="Times New Roman" w:hAnsi="Times New Roman"/>
          <w:szCs w:val="24"/>
        </w:rPr>
        <w:t xml:space="preserve"> </w:t>
      </w:r>
      <w:r w:rsidRPr="00A827FC">
        <w:rPr>
          <w:rFonts w:ascii="Times New Roman" w:hAnsi="Times New Roman"/>
          <w:szCs w:val="24"/>
        </w:rPr>
        <w:t>AmeriCorps</w:t>
      </w:r>
      <w:r w:rsidRPr="004607F7">
        <w:rPr>
          <w:rFonts w:ascii="Times New Roman" w:hAnsi="Times New Roman"/>
          <w:szCs w:val="24"/>
        </w:rPr>
        <w:t xml:space="preserve"> prior to </w:t>
      </w:r>
      <w:r>
        <w:rPr>
          <w:rFonts w:ascii="Times New Roman" w:hAnsi="Times New Roman"/>
          <w:szCs w:val="24"/>
        </w:rPr>
        <w:t>COVID</w:t>
      </w:r>
      <w:r w:rsidRPr="004607F7">
        <w:rPr>
          <w:rFonts w:ascii="Times New Roman" w:hAnsi="Times New Roman"/>
          <w:szCs w:val="24"/>
        </w:rPr>
        <w:t xml:space="preserve">-19 </w:t>
      </w:r>
      <w:r w:rsidRPr="00A827FC">
        <w:rPr>
          <w:rFonts w:ascii="Times New Roman" w:hAnsi="Times New Roman"/>
          <w:szCs w:val="24"/>
        </w:rPr>
        <w:t>showing that AmeriCorps Seniors volunteers reap health benefits from service; and</w:t>
      </w:r>
      <w:r w:rsidRPr="004607F7">
        <w:rPr>
          <w:rFonts w:ascii="Times New Roman" w:hAnsi="Times New Roman"/>
          <w:szCs w:val="24"/>
        </w:rPr>
        <w:t xml:space="preserve"> there are social, economic</w:t>
      </w:r>
      <w:r>
        <w:rPr>
          <w:rFonts w:ascii="Times New Roman" w:hAnsi="Times New Roman"/>
          <w:szCs w:val="24"/>
        </w:rPr>
        <w:t>,</w:t>
      </w:r>
      <w:r w:rsidRPr="004607F7">
        <w:rPr>
          <w:rFonts w:ascii="Times New Roman" w:hAnsi="Times New Roman"/>
          <w:szCs w:val="24"/>
        </w:rPr>
        <w:t xml:space="preserve"> and health benefits </w:t>
      </w:r>
      <w:r w:rsidRPr="00A827FC">
        <w:rPr>
          <w:rFonts w:ascii="Times New Roman" w:hAnsi="Times New Roman"/>
          <w:szCs w:val="24"/>
        </w:rPr>
        <w:t>to the constituents</w:t>
      </w:r>
      <w:r w:rsidRPr="004607F7">
        <w:rPr>
          <w:rFonts w:ascii="Times New Roman" w:hAnsi="Times New Roman"/>
          <w:szCs w:val="24"/>
        </w:rPr>
        <w:t xml:space="preserve"> the volunteers serve </w:t>
      </w:r>
      <w:r w:rsidRPr="00A827FC">
        <w:rPr>
          <w:rFonts w:ascii="Times New Roman" w:hAnsi="Times New Roman"/>
          <w:szCs w:val="24"/>
        </w:rPr>
        <w:t>(e.g., caregivers who</w:t>
      </w:r>
      <w:r w:rsidRPr="004607F7">
        <w:rPr>
          <w:rFonts w:ascii="Times New Roman" w:hAnsi="Times New Roman"/>
          <w:szCs w:val="24"/>
        </w:rPr>
        <w:t xml:space="preserve"> </w:t>
      </w:r>
      <w:r w:rsidRPr="00A827FC">
        <w:rPr>
          <w:rFonts w:ascii="Times New Roman" w:hAnsi="Times New Roman"/>
          <w:szCs w:val="24"/>
        </w:rPr>
        <w:t>receive respite services; children who receive support to improve academic performance, school attendance, and study habits).</w:t>
      </w:r>
      <w:r w:rsidRPr="004607F7">
        <w:rPr>
          <w:rFonts w:ascii="Times New Roman" w:hAnsi="Times New Roman"/>
          <w:szCs w:val="24"/>
        </w:rPr>
        <w:t xml:space="preserve"> Since </w:t>
      </w:r>
      <w:r>
        <w:rPr>
          <w:rFonts w:ascii="Times New Roman" w:hAnsi="Times New Roman"/>
          <w:szCs w:val="24"/>
        </w:rPr>
        <w:t>COVID</w:t>
      </w:r>
      <w:r w:rsidRPr="004607F7">
        <w:rPr>
          <w:rFonts w:ascii="Times New Roman" w:hAnsi="Times New Roman"/>
          <w:szCs w:val="24"/>
        </w:rPr>
        <w:t xml:space="preserve">-19, </w:t>
      </w:r>
      <w:r>
        <w:rPr>
          <w:rFonts w:ascii="Times New Roman" w:hAnsi="Times New Roman"/>
          <w:szCs w:val="24"/>
        </w:rPr>
        <w:t>emerging</w:t>
      </w:r>
      <w:r w:rsidRPr="004607F7">
        <w:rPr>
          <w:rFonts w:ascii="Times New Roman" w:eastAsia="Calibri" w:hAnsi="Times New Roman"/>
          <w:szCs w:val="24"/>
        </w:rPr>
        <w:t xml:space="preserve"> studies </w:t>
      </w:r>
      <w:r>
        <w:rPr>
          <w:rFonts w:ascii="Times New Roman" w:eastAsia="Calibri" w:hAnsi="Times New Roman"/>
          <w:szCs w:val="24"/>
        </w:rPr>
        <w:t>have</w:t>
      </w:r>
      <w:r w:rsidRPr="004607F7">
        <w:rPr>
          <w:rFonts w:ascii="Times New Roman" w:eastAsia="Calibri" w:hAnsi="Times New Roman"/>
          <w:szCs w:val="24"/>
        </w:rPr>
        <w:t xml:space="preserve"> focused on physical health in relation to older adult volunteers and the pandemic, but most studies about the effects of </w:t>
      </w:r>
      <w:r>
        <w:rPr>
          <w:rFonts w:ascii="Times New Roman" w:eastAsia="Calibri" w:hAnsi="Times New Roman"/>
          <w:szCs w:val="24"/>
        </w:rPr>
        <w:t>COVID</w:t>
      </w:r>
      <w:r w:rsidRPr="004607F7">
        <w:rPr>
          <w:rFonts w:ascii="Times New Roman" w:eastAsia="Calibri" w:hAnsi="Times New Roman"/>
          <w:szCs w:val="24"/>
        </w:rPr>
        <w:t xml:space="preserve">-19 and older </w:t>
      </w:r>
      <w:r>
        <w:rPr>
          <w:rFonts w:ascii="Times New Roman" w:eastAsia="Calibri" w:hAnsi="Times New Roman"/>
          <w:szCs w:val="24"/>
        </w:rPr>
        <w:t>adult</w:t>
      </w:r>
      <w:r w:rsidRPr="004607F7">
        <w:rPr>
          <w:rFonts w:ascii="Times New Roman" w:eastAsia="Calibri" w:hAnsi="Times New Roman"/>
          <w:szCs w:val="24"/>
        </w:rPr>
        <w:t xml:space="preserve"> volunteers focus on </w:t>
      </w:r>
      <w:r w:rsidRPr="004607F7">
        <w:rPr>
          <w:rFonts w:ascii="Times New Roman" w:eastAsia="Calibri" w:hAnsi="Times New Roman"/>
          <w:szCs w:val="24"/>
        </w:rPr>
        <w:t>social and mental health impacts. The evidence suggests that volunteering provide</w:t>
      </w:r>
      <w:r>
        <w:rPr>
          <w:rFonts w:ascii="Times New Roman" w:eastAsia="Calibri" w:hAnsi="Times New Roman"/>
          <w:szCs w:val="24"/>
        </w:rPr>
        <w:t>d</w:t>
      </w:r>
      <w:r w:rsidRPr="004607F7">
        <w:rPr>
          <w:rFonts w:ascii="Times New Roman" w:eastAsia="Calibri" w:hAnsi="Times New Roman"/>
          <w:szCs w:val="24"/>
        </w:rPr>
        <w:t xml:space="preserve"> an opportunity for older adults to be socially and physically active during the pandemic. Among older adults who were able to sustain or resume volunteering during the pandemic – there were benefits to mental health associated with volunteering. </w:t>
      </w:r>
    </w:p>
    <w:p w:rsidR="000723EC" w:rsidRPr="004607F7" w:rsidP="000723EC" w14:paraId="7CFA0EC4" w14:textId="77777777">
      <w:pPr>
        <w:tabs>
          <w:tab w:val="left" w:pos="360"/>
        </w:tabs>
        <w:spacing w:after="120"/>
        <w:rPr>
          <w:rFonts w:ascii="Times New Roman" w:hAnsi="Times New Roman"/>
          <w:szCs w:val="24"/>
        </w:rPr>
      </w:pPr>
      <w:r w:rsidRPr="004607F7">
        <w:rPr>
          <w:rFonts w:ascii="Times New Roman" w:eastAsia="Calibri" w:hAnsi="Times New Roman"/>
          <w:szCs w:val="24"/>
        </w:rPr>
        <w:t xml:space="preserve">It is widely documented that </w:t>
      </w:r>
      <w:r>
        <w:rPr>
          <w:rFonts w:ascii="Times New Roman" w:eastAsia="Calibri" w:hAnsi="Times New Roman"/>
          <w:szCs w:val="24"/>
        </w:rPr>
        <w:t>COVID</w:t>
      </w:r>
      <w:r w:rsidRPr="004607F7">
        <w:rPr>
          <w:rFonts w:ascii="Times New Roman" w:eastAsia="Calibri" w:hAnsi="Times New Roman"/>
          <w:szCs w:val="24"/>
        </w:rPr>
        <w:t xml:space="preserve">-19 most adversely affected older adults resulting in widespread social isolation and disconnection. The organizations that provide volunteer opportunities for older adults found creative ways to work around physical health risks to serve their communities and devise processes to safely engage volunteers. The evidence also points to challenges of volunteering since the pandemic, such as competing priorities in adapting to </w:t>
      </w:r>
      <w:r>
        <w:rPr>
          <w:rFonts w:ascii="Times New Roman" w:eastAsia="Calibri" w:hAnsi="Times New Roman"/>
          <w:szCs w:val="24"/>
        </w:rPr>
        <w:t xml:space="preserve">the </w:t>
      </w:r>
      <w:r w:rsidRPr="004607F7">
        <w:rPr>
          <w:rFonts w:ascii="Times New Roman" w:eastAsia="Calibri" w:hAnsi="Times New Roman"/>
          <w:szCs w:val="24"/>
        </w:rPr>
        <w:t xml:space="preserve">crisis, health risks for in-person volunteering, the digital divide that may affect older adults’ access to training and volunteering opportunities, and the limitations of human connection via virtual platforms. There are also possibilities that older adults were able and willing to adapt to changed circumstances and to determine appropriate levels of risks to sustain their engagement as volunteers. </w:t>
      </w:r>
    </w:p>
    <w:p w:rsidR="000723EC" w:rsidRPr="00A827FC" w:rsidP="000723EC" w14:paraId="201571E3" w14:textId="77777777">
      <w:pPr>
        <w:tabs>
          <w:tab w:val="left" w:pos="360"/>
        </w:tabs>
        <w:spacing w:after="120"/>
        <w:rPr>
          <w:rFonts w:ascii="Times New Roman" w:hAnsi="Times New Roman"/>
          <w:szCs w:val="24"/>
        </w:rPr>
      </w:pPr>
      <w:r w:rsidRPr="004607F7">
        <w:rPr>
          <w:rFonts w:ascii="Times New Roman" w:hAnsi="Times New Roman"/>
          <w:szCs w:val="24"/>
        </w:rPr>
        <w:t xml:space="preserve">There are gaps in the emerging research such as documenting and assessing the effectiveness of change in how older adults serve their communities and assessing the appropriate support and training </w:t>
      </w:r>
      <w:r>
        <w:rPr>
          <w:rFonts w:ascii="Times New Roman" w:hAnsi="Times New Roman"/>
          <w:szCs w:val="24"/>
        </w:rPr>
        <w:t xml:space="preserve">organizations </w:t>
      </w:r>
      <w:r w:rsidRPr="004607F7">
        <w:rPr>
          <w:rFonts w:ascii="Times New Roman" w:hAnsi="Times New Roman"/>
          <w:szCs w:val="24"/>
        </w:rPr>
        <w:t xml:space="preserve">may need to </w:t>
      </w:r>
      <w:r>
        <w:rPr>
          <w:rFonts w:ascii="Times New Roman" w:hAnsi="Times New Roman"/>
          <w:szCs w:val="24"/>
        </w:rPr>
        <w:t>ensure</w:t>
      </w:r>
      <w:r w:rsidRPr="004607F7">
        <w:rPr>
          <w:rFonts w:ascii="Times New Roman" w:hAnsi="Times New Roman"/>
          <w:szCs w:val="24"/>
        </w:rPr>
        <w:t xml:space="preserve"> the continued success and effectiveness of AmeriCorps Seniors programs. It is also important to determine which of the changes in how older adults serve are effective, can be replicated, and adapted nationally. </w:t>
      </w:r>
    </w:p>
    <w:p w:rsidR="000723EC" w:rsidP="000723EC" w14:paraId="71BECE87" w14:textId="77777777">
      <w:pPr>
        <w:tabs>
          <w:tab w:val="left" w:pos="360"/>
        </w:tabs>
        <w:spacing w:after="120"/>
        <w:rPr>
          <w:rFonts w:ascii="Times New Roman" w:hAnsi="Times New Roman"/>
          <w:szCs w:val="24"/>
        </w:rPr>
      </w:pPr>
      <w:r w:rsidRPr="00A827FC">
        <w:rPr>
          <w:rFonts w:ascii="Times New Roman" w:hAnsi="Times New Roman"/>
          <w:szCs w:val="24"/>
        </w:rPr>
        <w:t>In summary</w:t>
      </w:r>
      <w:r>
        <w:rPr>
          <w:rFonts w:ascii="Times New Roman" w:hAnsi="Times New Roman"/>
          <w:szCs w:val="24"/>
        </w:rPr>
        <w:t>,</w:t>
      </w:r>
      <w:r w:rsidRPr="00A827FC">
        <w:rPr>
          <w:rFonts w:ascii="Times New Roman" w:hAnsi="Times New Roman"/>
          <w:szCs w:val="24"/>
        </w:rPr>
        <w:t xml:space="preserve"> the literature shows there is some evidence of the adaptability of social service programs both in terms of how these programs deliver services to their beneficiaries and engage their volunteers to deliver service within </w:t>
      </w:r>
      <w:r>
        <w:rPr>
          <w:rFonts w:ascii="Times New Roman" w:hAnsi="Times New Roman"/>
          <w:szCs w:val="24"/>
        </w:rPr>
        <w:t xml:space="preserve">a </w:t>
      </w:r>
      <w:r w:rsidRPr="00A827FC">
        <w:rPr>
          <w:rFonts w:ascii="Times New Roman" w:hAnsi="Times New Roman"/>
          <w:szCs w:val="24"/>
        </w:rPr>
        <w:t>tight budget. There is also evidence of the effects of health benefits to older adults who continue to volunteer through the pandemic. Through meetings and conversations, and grantee performance measurement reports, AmeriCorps Seniors has gathered anecdotal information that some of their grantees may have gone through a period of adjustment in response to the pandemic, while other grantees continued to operate their projects without adverse consequences to their ability to deliver services and recruiting volunteers. Besides the delivery of service to beneficiaries, there is information indicating that there is a decrease in the pool of older adult volunteers while social service programs are facing an increased need to serve the most vulnerable populations. The existing information is anecdotal and</w:t>
      </w:r>
      <w:r>
        <w:rPr>
          <w:rFonts w:ascii="Times New Roman" w:hAnsi="Times New Roman"/>
          <w:szCs w:val="24"/>
        </w:rPr>
        <w:t>,</w:t>
      </w:r>
      <w:r w:rsidRPr="00A827FC">
        <w:rPr>
          <w:rFonts w:ascii="Times New Roman" w:hAnsi="Times New Roman"/>
          <w:szCs w:val="24"/>
        </w:rPr>
        <w:t xml:space="preserve"> hence</w:t>
      </w:r>
      <w:r>
        <w:rPr>
          <w:rFonts w:ascii="Times New Roman" w:hAnsi="Times New Roman"/>
          <w:szCs w:val="24"/>
        </w:rPr>
        <w:t>,</w:t>
      </w:r>
      <w:r w:rsidRPr="00A827FC">
        <w:rPr>
          <w:rFonts w:ascii="Times New Roman" w:hAnsi="Times New Roman"/>
          <w:szCs w:val="24"/>
        </w:rPr>
        <w:t xml:space="preserve"> insufficient evidence on which AmeriCorps Seniors can make policy and programmatic adjustments to support grantees to be effective </w:t>
      </w:r>
      <w:r>
        <w:rPr>
          <w:rFonts w:ascii="Times New Roman" w:hAnsi="Times New Roman"/>
          <w:szCs w:val="24"/>
        </w:rPr>
        <w:t>stewards</w:t>
      </w:r>
      <w:r w:rsidRPr="00A827FC">
        <w:rPr>
          <w:rFonts w:ascii="Times New Roman" w:hAnsi="Times New Roman"/>
          <w:szCs w:val="24"/>
        </w:rPr>
        <w:t xml:space="preserve"> of the Federal investment.</w:t>
      </w:r>
    </w:p>
    <w:p w:rsidR="000723EC" w:rsidRPr="00A827FC" w:rsidP="000723EC" w14:paraId="400612AB" w14:textId="77777777">
      <w:pPr>
        <w:tabs>
          <w:tab w:val="left" w:pos="360"/>
        </w:tabs>
        <w:spacing w:after="120"/>
        <w:rPr>
          <w:rFonts w:ascii="Times New Roman" w:hAnsi="Times New Roman"/>
          <w:szCs w:val="24"/>
        </w:rPr>
      </w:pPr>
      <w:r w:rsidRPr="00A827FC">
        <w:rPr>
          <w:rFonts w:ascii="Times New Roman" w:hAnsi="Times New Roman"/>
          <w:szCs w:val="24"/>
        </w:rPr>
        <w:t xml:space="preserve">It is in this context that AmeriCorps ventures to gather the scientific evidence </w:t>
      </w:r>
      <w:r>
        <w:rPr>
          <w:rFonts w:ascii="Times New Roman" w:hAnsi="Times New Roman"/>
          <w:szCs w:val="24"/>
        </w:rPr>
        <w:t xml:space="preserve">on </w:t>
      </w:r>
      <w:r w:rsidRPr="00A827FC">
        <w:rPr>
          <w:rFonts w:ascii="Times New Roman" w:hAnsi="Times New Roman"/>
          <w:szCs w:val="24"/>
        </w:rPr>
        <w:t xml:space="preserve">how AmeriCorps Seniors grantees and volunteers have adjusted to the pandemic, assess their needs in serving their communities, and gather the data on the most </w:t>
      </w:r>
      <w:r>
        <w:rPr>
          <w:rFonts w:ascii="Times New Roman" w:hAnsi="Times New Roman"/>
          <w:szCs w:val="24"/>
        </w:rPr>
        <w:t>effective approach</w:t>
      </w:r>
      <w:r w:rsidRPr="00A827FC">
        <w:rPr>
          <w:rFonts w:ascii="Times New Roman" w:hAnsi="Times New Roman"/>
          <w:szCs w:val="24"/>
        </w:rPr>
        <w:t xml:space="preserve"> to increase recruitment and retention of older adult volunteers to serve their communities. </w:t>
      </w:r>
    </w:p>
    <w:p w:rsidR="000723EC" w:rsidRPr="004607F7" w:rsidP="000723EC" w14:paraId="44070D40" w14:textId="77777777">
      <w:pPr>
        <w:widowControl w:val="0"/>
        <w:tabs>
          <w:tab w:val="left" w:pos="360"/>
          <w:tab w:val="left" w:pos="630"/>
          <w:tab w:val="left" w:pos="720"/>
          <w:tab w:val="left" w:pos="1080"/>
        </w:tabs>
        <w:spacing w:before="120"/>
        <w:rPr>
          <w:rFonts w:ascii="Times New Roman" w:hAnsi="Times New Roman"/>
          <w:szCs w:val="24"/>
        </w:rPr>
      </w:pPr>
      <w:r w:rsidRPr="004607F7">
        <w:rPr>
          <w:rFonts w:ascii="Times New Roman" w:hAnsi="Times New Roman"/>
          <w:szCs w:val="24"/>
        </w:rPr>
        <w:t xml:space="preserve">The information </w:t>
      </w:r>
      <w:r>
        <w:rPr>
          <w:rFonts w:ascii="Times New Roman" w:hAnsi="Times New Roman"/>
          <w:szCs w:val="24"/>
        </w:rPr>
        <w:t>collection includes</w:t>
      </w:r>
      <w:r w:rsidRPr="004607F7">
        <w:rPr>
          <w:rFonts w:ascii="Times New Roman" w:hAnsi="Times New Roman"/>
          <w:szCs w:val="24"/>
        </w:rPr>
        <w:t xml:space="preserve"> the following instruments: </w:t>
      </w:r>
    </w:p>
    <w:p w:rsidR="000723EC" w:rsidRPr="004607F7" w:rsidP="000723EC" w14:paraId="5D943600" w14:textId="77777777">
      <w:pPr>
        <w:pStyle w:val="ListParagraph"/>
        <w:widowControl w:val="0"/>
        <w:numPr>
          <w:ilvl w:val="0"/>
          <w:numId w:val="2"/>
        </w:numPr>
        <w:tabs>
          <w:tab w:val="left" w:pos="360"/>
          <w:tab w:val="left" w:pos="630"/>
          <w:tab w:val="left" w:pos="720"/>
          <w:tab w:val="left" w:pos="1080"/>
        </w:tabs>
        <w:spacing w:before="120"/>
        <w:rPr>
          <w:rFonts w:ascii="Times New Roman" w:hAnsi="Times New Roman"/>
          <w:szCs w:val="24"/>
        </w:rPr>
      </w:pPr>
      <w:r w:rsidRPr="004607F7">
        <w:rPr>
          <w:rFonts w:ascii="Times New Roman" w:hAnsi="Times New Roman"/>
          <w:szCs w:val="24"/>
        </w:rPr>
        <w:t xml:space="preserve">Current Volunteer Survey (self-administered paper survey): collects data on volunteers’ experience </w:t>
      </w:r>
      <w:r>
        <w:rPr>
          <w:rFonts w:ascii="Times New Roman" w:hAnsi="Times New Roman"/>
          <w:szCs w:val="24"/>
        </w:rPr>
        <w:t>concerning</w:t>
      </w:r>
      <w:r w:rsidRPr="004607F7">
        <w:rPr>
          <w:rFonts w:ascii="Times New Roman" w:hAnsi="Times New Roman"/>
          <w:szCs w:val="24"/>
        </w:rPr>
        <w:t xml:space="preserve"> </w:t>
      </w:r>
      <w:r w:rsidRPr="00A827FC">
        <w:rPr>
          <w:rFonts w:ascii="Times New Roman" w:hAnsi="Times New Roman"/>
          <w:szCs w:val="24"/>
        </w:rPr>
        <w:t xml:space="preserve">stipend and benefits; volunteering commitment and hours </w:t>
      </w:r>
      <w:r w:rsidRPr="004607F7">
        <w:rPr>
          <w:rFonts w:ascii="Times New Roman" w:hAnsi="Times New Roman"/>
          <w:szCs w:val="24"/>
        </w:rPr>
        <w:t xml:space="preserve">served; </w:t>
      </w:r>
      <w:r w:rsidRPr="00A827FC">
        <w:rPr>
          <w:rFonts w:ascii="Times New Roman" w:hAnsi="Times New Roman"/>
          <w:szCs w:val="24"/>
        </w:rPr>
        <w:t xml:space="preserve">how volunteers deliver services to beneficiaries in the community where they serve; </w:t>
      </w:r>
      <w:r>
        <w:rPr>
          <w:rFonts w:ascii="Times New Roman" w:hAnsi="Times New Roman"/>
          <w:szCs w:val="24"/>
        </w:rPr>
        <w:t>volunteers'</w:t>
      </w:r>
      <w:r w:rsidRPr="004607F7">
        <w:rPr>
          <w:rFonts w:ascii="Times New Roman" w:hAnsi="Times New Roman"/>
          <w:szCs w:val="24"/>
        </w:rPr>
        <w:t xml:space="preserve"> engagement with their community; motivation for volunteering; how they learn about AmeriCorps Seniors, and how long they plan to stay in the program; </w:t>
      </w:r>
      <w:r w:rsidRPr="00A827FC">
        <w:rPr>
          <w:rFonts w:ascii="Times New Roman" w:hAnsi="Times New Roman"/>
          <w:szCs w:val="24"/>
        </w:rPr>
        <w:t>their satisfaction, mental health, and psychosocial health outcomes</w:t>
      </w:r>
      <w:r w:rsidRPr="004607F7">
        <w:rPr>
          <w:rFonts w:ascii="Times New Roman" w:hAnsi="Times New Roman"/>
          <w:szCs w:val="24"/>
        </w:rPr>
        <w:t>; and their service experience in the context of Covid-19</w:t>
      </w:r>
      <w:r w:rsidRPr="00A827FC">
        <w:rPr>
          <w:rFonts w:ascii="Times New Roman" w:hAnsi="Times New Roman"/>
          <w:szCs w:val="24"/>
        </w:rPr>
        <w:t xml:space="preserve">. </w:t>
      </w:r>
    </w:p>
    <w:p w:rsidR="000723EC" w:rsidRPr="004607F7" w:rsidP="000723EC" w14:paraId="19E89178" w14:textId="77777777">
      <w:pPr>
        <w:pStyle w:val="ListParagraph"/>
        <w:widowControl w:val="0"/>
        <w:numPr>
          <w:ilvl w:val="0"/>
          <w:numId w:val="2"/>
        </w:numPr>
        <w:tabs>
          <w:tab w:val="left" w:pos="360"/>
          <w:tab w:val="left" w:pos="630"/>
          <w:tab w:val="left" w:pos="720"/>
          <w:tab w:val="left" w:pos="1080"/>
        </w:tabs>
        <w:spacing w:before="120"/>
        <w:rPr>
          <w:rFonts w:ascii="Times New Roman" w:hAnsi="Times New Roman"/>
          <w:szCs w:val="24"/>
        </w:rPr>
      </w:pPr>
      <w:r w:rsidRPr="004607F7">
        <w:rPr>
          <w:rFonts w:ascii="Times New Roman" w:hAnsi="Times New Roman"/>
          <w:szCs w:val="24"/>
        </w:rPr>
        <w:t xml:space="preserve">Former Volunteer Survey (self-administered paper survey): collects data on former </w:t>
      </w:r>
      <w:r>
        <w:rPr>
          <w:rFonts w:ascii="Times New Roman" w:hAnsi="Times New Roman"/>
          <w:szCs w:val="24"/>
        </w:rPr>
        <w:t>volunteers'</w:t>
      </w:r>
      <w:r w:rsidRPr="004607F7">
        <w:rPr>
          <w:rFonts w:ascii="Times New Roman" w:hAnsi="Times New Roman"/>
          <w:szCs w:val="24"/>
        </w:rPr>
        <w:t xml:space="preserve"> overall experience </w:t>
      </w:r>
      <w:r>
        <w:rPr>
          <w:rFonts w:ascii="Times New Roman" w:hAnsi="Times New Roman"/>
          <w:szCs w:val="24"/>
        </w:rPr>
        <w:t>concerning</w:t>
      </w:r>
      <w:r w:rsidRPr="004607F7">
        <w:rPr>
          <w:rFonts w:ascii="Times New Roman" w:hAnsi="Times New Roman"/>
          <w:szCs w:val="24"/>
        </w:rPr>
        <w:t xml:space="preserve"> stipends and benefits; engagement with their community; reasons they stopped volunteering; their satisfaction, mental health, and psychosocial health outcomes; and their service experience in the context of </w:t>
      </w:r>
      <w:r>
        <w:rPr>
          <w:rFonts w:ascii="Times New Roman" w:hAnsi="Times New Roman"/>
          <w:szCs w:val="24"/>
        </w:rPr>
        <w:t>COVID</w:t>
      </w:r>
      <w:r w:rsidRPr="004607F7">
        <w:rPr>
          <w:rFonts w:ascii="Times New Roman" w:hAnsi="Times New Roman"/>
          <w:szCs w:val="24"/>
        </w:rPr>
        <w:t xml:space="preserve">-19.  </w:t>
      </w:r>
    </w:p>
    <w:p w:rsidR="000723EC" w:rsidRPr="004607F7" w:rsidP="000723EC" w14:paraId="0A21588D" w14:textId="77777777">
      <w:pPr>
        <w:pStyle w:val="ListParagraph"/>
        <w:widowControl w:val="0"/>
        <w:numPr>
          <w:ilvl w:val="0"/>
          <w:numId w:val="2"/>
        </w:numPr>
        <w:tabs>
          <w:tab w:val="left" w:pos="360"/>
          <w:tab w:val="left" w:pos="630"/>
          <w:tab w:val="left" w:pos="720"/>
          <w:tab w:val="left" w:pos="1080"/>
        </w:tabs>
        <w:spacing w:before="120"/>
        <w:rPr>
          <w:rFonts w:ascii="Times New Roman" w:hAnsi="Times New Roman"/>
        </w:rPr>
      </w:pPr>
      <w:r w:rsidRPr="5C0F3444">
        <w:rPr>
          <w:rFonts w:ascii="Times New Roman" w:hAnsi="Times New Roman"/>
        </w:rPr>
        <w:t>Station Staff Survey (</w:t>
      </w:r>
      <w:r>
        <w:rPr>
          <w:rFonts w:ascii="Times New Roman" w:hAnsi="Times New Roman"/>
        </w:rPr>
        <w:t>online survey</w:t>
      </w:r>
      <w:r w:rsidRPr="5C0F3444">
        <w:rPr>
          <w:rFonts w:ascii="Times New Roman" w:hAnsi="Times New Roman"/>
        </w:rPr>
        <w:t xml:space="preserve">): collects data from AmeriCorps Seniors </w:t>
      </w:r>
      <w:r>
        <w:rPr>
          <w:rFonts w:ascii="Times New Roman" w:hAnsi="Times New Roman"/>
        </w:rPr>
        <w:t>host sites (also known as station)</w:t>
      </w:r>
      <w:r w:rsidRPr="5C0F3444">
        <w:rPr>
          <w:rFonts w:ascii="Times New Roman" w:hAnsi="Times New Roman"/>
        </w:rPr>
        <w:t xml:space="preserve"> staff on how volunteers deliver services in the community; staff role in recruiting and retaining volunteers; and the effects </w:t>
      </w:r>
      <w:r>
        <w:rPr>
          <w:rFonts w:ascii="Times New Roman" w:hAnsi="Times New Roman"/>
        </w:rPr>
        <w:t>COVID</w:t>
      </w:r>
      <w:r w:rsidRPr="5C0F3444">
        <w:rPr>
          <w:rFonts w:ascii="Times New Roman" w:hAnsi="Times New Roman"/>
        </w:rPr>
        <w:t xml:space="preserve">-19 had on how volunteers deliver services, changes in services, and changes in volunteer recruitment and retention. </w:t>
      </w:r>
    </w:p>
    <w:p w:rsidR="000723EC" w:rsidRPr="00A827FC" w:rsidP="000723EC" w14:paraId="3C4ED64A" w14:textId="77777777">
      <w:pPr>
        <w:pStyle w:val="ListParagraph"/>
        <w:widowControl w:val="0"/>
        <w:numPr>
          <w:ilvl w:val="0"/>
          <w:numId w:val="2"/>
        </w:numPr>
        <w:tabs>
          <w:tab w:val="left" w:pos="360"/>
          <w:tab w:val="left" w:pos="630"/>
          <w:tab w:val="left" w:pos="720"/>
          <w:tab w:val="left" w:pos="1080"/>
        </w:tabs>
        <w:spacing w:before="120"/>
        <w:rPr>
          <w:rFonts w:ascii="Times New Roman" w:hAnsi="Times New Roman"/>
          <w:szCs w:val="24"/>
        </w:rPr>
      </w:pPr>
      <w:r w:rsidRPr="004607F7">
        <w:rPr>
          <w:rFonts w:ascii="Times New Roman" w:hAnsi="Times New Roman"/>
          <w:szCs w:val="24"/>
        </w:rPr>
        <w:t xml:space="preserve">Caregiver Survey (self-administered paper survey): collects data from </w:t>
      </w:r>
      <w:r w:rsidRPr="00A827FC">
        <w:rPr>
          <w:rFonts w:ascii="Times New Roman" w:hAnsi="Times New Roman"/>
          <w:szCs w:val="24"/>
        </w:rPr>
        <w:t xml:space="preserve">caregivers </w:t>
      </w:r>
      <w:r w:rsidRPr="004607F7">
        <w:rPr>
          <w:rFonts w:ascii="Times New Roman" w:hAnsi="Times New Roman"/>
          <w:szCs w:val="24"/>
        </w:rPr>
        <w:t>receiving respite services from a Senior Companion volunteer; the data collected includes service</w:t>
      </w:r>
      <w:r w:rsidRPr="00A827FC">
        <w:rPr>
          <w:rFonts w:ascii="Times New Roman" w:hAnsi="Times New Roman"/>
          <w:szCs w:val="24"/>
        </w:rPr>
        <w:t xml:space="preserve"> experience; satisfaction, mental health, and psychosocial health outcomes</w:t>
      </w:r>
      <w:r w:rsidRPr="004607F7">
        <w:rPr>
          <w:rFonts w:ascii="Times New Roman" w:hAnsi="Times New Roman"/>
          <w:szCs w:val="24"/>
        </w:rPr>
        <w:t xml:space="preserve">; and perception on whether </w:t>
      </w:r>
      <w:r>
        <w:rPr>
          <w:rFonts w:ascii="Times New Roman" w:hAnsi="Times New Roman"/>
        </w:rPr>
        <w:t>COVID</w:t>
      </w:r>
      <w:r w:rsidRPr="5C0F3444">
        <w:rPr>
          <w:rFonts w:ascii="Times New Roman" w:hAnsi="Times New Roman"/>
        </w:rPr>
        <w:t>-</w:t>
      </w:r>
      <w:r w:rsidRPr="5C0F3444">
        <w:rPr>
          <w:rFonts w:ascii="Times New Roman" w:hAnsi="Times New Roman"/>
        </w:rPr>
        <w:t xml:space="preserve">19 </w:t>
      </w:r>
      <w:r w:rsidRPr="004607F7">
        <w:rPr>
          <w:rFonts w:ascii="Times New Roman" w:hAnsi="Times New Roman"/>
          <w:szCs w:val="24"/>
        </w:rPr>
        <w:t xml:space="preserve"> affected</w:t>
      </w:r>
      <w:r w:rsidRPr="004607F7">
        <w:rPr>
          <w:rFonts w:ascii="Times New Roman" w:hAnsi="Times New Roman"/>
          <w:szCs w:val="24"/>
        </w:rPr>
        <w:t xml:space="preserve"> the respite services received.</w:t>
      </w:r>
    </w:p>
    <w:p w:rsidR="000723EC" w:rsidRPr="00A827FC" w:rsidP="000723EC" w14:paraId="377FB025" w14:textId="77777777">
      <w:pPr>
        <w:pStyle w:val="ListParagraph"/>
        <w:widowControl w:val="0"/>
        <w:numPr>
          <w:ilvl w:val="0"/>
          <w:numId w:val="2"/>
        </w:numPr>
        <w:tabs>
          <w:tab w:val="left" w:pos="360"/>
          <w:tab w:val="left" w:pos="630"/>
          <w:tab w:val="left" w:pos="720"/>
          <w:tab w:val="left" w:pos="1080"/>
        </w:tabs>
        <w:spacing w:before="120"/>
        <w:rPr>
          <w:rFonts w:ascii="Times New Roman" w:hAnsi="Times New Roman"/>
          <w:szCs w:val="24"/>
        </w:rPr>
      </w:pPr>
      <w:r w:rsidRPr="00A827FC">
        <w:rPr>
          <w:rFonts w:ascii="Times New Roman" w:hAnsi="Times New Roman"/>
          <w:szCs w:val="24"/>
        </w:rPr>
        <w:t xml:space="preserve">Independent Living Client Survey </w:t>
      </w:r>
      <w:r w:rsidRPr="004607F7">
        <w:rPr>
          <w:rFonts w:ascii="Times New Roman" w:hAnsi="Times New Roman"/>
          <w:szCs w:val="24"/>
        </w:rPr>
        <w:t xml:space="preserve">(self-administered paper survey): collects data from </w:t>
      </w:r>
      <w:r w:rsidRPr="00A827FC">
        <w:rPr>
          <w:rFonts w:ascii="Times New Roman" w:hAnsi="Times New Roman"/>
          <w:szCs w:val="24"/>
        </w:rPr>
        <w:t xml:space="preserve">clients </w:t>
      </w:r>
      <w:r w:rsidRPr="004607F7">
        <w:rPr>
          <w:rFonts w:ascii="Times New Roman" w:hAnsi="Times New Roman"/>
          <w:szCs w:val="24"/>
        </w:rPr>
        <w:t xml:space="preserve">that receive companionship services from a Senior Companion volunteer; the data collected include service </w:t>
      </w:r>
      <w:r w:rsidRPr="00A827FC">
        <w:rPr>
          <w:rFonts w:ascii="Times New Roman" w:hAnsi="Times New Roman"/>
          <w:szCs w:val="24"/>
        </w:rPr>
        <w:t>experience; their satisfaction, mental health, and psychosocial health outcomes;</w:t>
      </w:r>
      <w:r w:rsidRPr="004607F7">
        <w:rPr>
          <w:rFonts w:ascii="Times New Roman" w:hAnsi="Times New Roman"/>
          <w:szCs w:val="24"/>
        </w:rPr>
        <w:t xml:space="preserve"> and their perception </w:t>
      </w:r>
      <w:r>
        <w:rPr>
          <w:rFonts w:ascii="Times New Roman" w:hAnsi="Times New Roman"/>
          <w:szCs w:val="24"/>
        </w:rPr>
        <w:t>of</w:t>
      </w:r>
      <w:r w:rsidRPr="004607F7">
        <w:rPr>
          <w:rFonts w:ascii="Times New Roman" w:hAnsi="Times New Roman"/>
          <w:szCs w:val="24"/>
        </w:rPr>
        <w:t xml:space="preserve"> whether </w:t>
      </w:r>
      <w:r>
        <w:rPr>
          <w:rFonts w:ascii="Times New Roman" w:hAnsi="Times New Roman"/>
        </w:rPr>
        <w:t>COVID</w:t>
      </w:r>
      <w:r w:rsidRPr="5C0F3444">
        <w:rPr>
          <w:rFonts w:ascii="Times New Roman" w:hAnsi="Times New Roman"/>
        </w:rPr>
        <w:t>-</w:t>
      </w:r>
      <w:r w:rsidRPr="5C0F3444">
        <w:rPr>
          <w:rFonts w:ascii="Times New Roman" w:hAnsi="Times New Roman"/>
        </w:rPr>
        <w:t xml:space="preserve">19 </w:t>
      </w:r>
      <w:r w:rsidRPr="004607F7">
        <w:rPr>
          <w:rFonts w:ascii="Times New Roman" w:hAnsi="Times New Roman"/>
          <w:szCs w:val="24"/>
        </w:rPr>
        <w:t xml:space="preserve"> affected</w:t>
      </w:r>
      <w:r w:rsidRPr="004607F7">
        <w:rPr>
          <w:rFonts w:ascii="Times New Roman" w:hAnsi="Times New Roman"/>
          <w:szCs w:val="24"/>
        </w:rPr>
        <w:t xml:space="preserve"> the companionship services received. </w:t>
      </w:r>
    </w:p>
    <w:p w:rsidR="000723EC" w:rsidRPr="004607F7" w:rsidP="000723EC" w14:paraId="38955E6C" w14:textId="77777777">
      <w:pPr>
        <w:pStyle w:val="ListParagraph"/>
        <w:widowControl w:val="0"/>
        <w:numPr>
          <w:ilvl w:val="0"/>
          <w:numId w:val="2"/>
        </w:numPr>
        <w:tabs>
          <w:tab w:val="left" w:pos="360"/>
          <w:tab w:val="left" w:pos="630"/>
          <w:tab w:val="left" w:pos="720"/>
          <w:tab w:val="left" w:pos="1080"/>
        </w:tabs>
        <w:spacing w:before="120"/>
        <w:rPr>
          <w:rFonts w:ascii="Times New Roman" w:hAnsi="Times New Roman"/>
          <w:szCs w:val="24"/>
        </w:rPr>
      </w:pPr>
      <w:r w:rsidRPr="004607F7">
        <w:rPr>
          <w:rFonts w:ascii="Times New Roman" w:hAnsi="Times New Roman"/>
          <w:szCs w:val="24"/>
        </w:rPr>
        <w:t>Grantee Focus Group (virtual meeting):</w:t>
      </w:r>
    </w:p>
    <w:p w:rsidR="000723EC" w:rsidRPr="00A827FC" w:rsidP="000723EC" w14:paraId="55542D0D" w14:textId="77777777">
      <w:pPr>
        <w:pStyle w:val="ListParagraph"/>
        <w:numPr>
          <w:ilvl w:val="1"/>
          <w:numId w:val="2"/>
        </w:numPr>
        <w:rPr>
          <w:rFonts w:ascii="Times New Roman" w:hAnsi="Times New Roman"/>
          <w:szCs w:val="24"/>
        </w:rPr>
      </w:pPr>
      <w:r w:rsidRPr="00A827FC">
        <w:rPr>
          <w:rFonts w:ascii="Times New Roman" w:hAnsi="Times New Roman"/>
          <w:szCs w:val="24"/>
        </w:rPr>
        <w:t>Script for</w:t>
      </w:r>
      <w:r w:rsidRPr="004607F7">
        <w:rPr>
          <w:rFonts w:ascii="Times New Roman" w:hAnsi="Times New Roman"/>
          <w:szCs w:val="24"/>
        </w:rPr>
        <w:t xml:space="preserve"> independent</w:t>
      </w:r>
      <w:r w:rsidRPr="00A827FC">
        <w:rPr>
          <w:rFonts w:ascii="Times New Roman" w:hAnsi="Times New Roman"/>
          <w:szCs w:val="24"/>
        </w:rPr>
        <w:t xml:space="preserve"> contractor to lead focus group discussion </w:t>
      </w:r>
      <w:r w:rsidRPr="004607F7">
        <w:rPr>
          <w:rFonts w:ascii="Times New Roman" w:hAnsi="Times New Roman"/>
          <w:szCs w:val="24"/>
        </w:rPr>
        <w:t>with</w:t>
      </w:r>
      <w:r w:rsidRPr="00A827FC">
        <w:rPr>
          <w:rFonts w:ascii="Times New Roman" w:hAnsi="Times New Roman"/>
          <w:szCs w:val="24"/>
        </w:rPr>
        <w:t xml:space="preserve"> AmeriCorps Seniors grantees</w:t>
      </w:r>
      <w:r w:rsidRPr="004607F7">
        <w:rPr>
          <w:rFonts w:ascii="Times New Roman" w:hAnsi="Times New Roman"/>
          <w:szCs w:val="24"/>
        </w:rPr>
        <w:t>; the discussion includes</w:t>
      </w:r>
      <w:r>
        <w:rPr>
          <w:rFonts w:ascii="Times New Roman" w:hAnsi="Times New Roman"/>
          <w:szCs w:val="24"/>
        </w:rPr>
        <w:t xml:space="preserve"> </w:t>
      </w:r>
      <w:r w:rsidRPr="004607F7">
        <w:rPr>
          <w:rStyle w:val="normaltextrun"/>
          <w:shd w:val="clear" w:color="auto" w:fill="FFFFFF"/>
        </w:rPr>
        <w:t xml:space="preserve">grantees’ perceptions of the stipend and benefits provided to volunteers; volunteer recruitment and retention strategies; </w:t>
      </w:r>
      <w:r w:rsidRPr="004607F7">
        <w:rPr>
          <w:rFonts w:ascii="Times New Roman" w:hAnsi="Times New Roman"/>
          <w:szCs w:val="24"/>
        </w:rPr>
        <w:t xml:space="preserve">perception of how </w:t>
      </w:r>
      <w:r w:rsidRPr="00A827FC">
        <w:rPr>
          <w:rFonts w:ascii="Times New Roman" w:hAnsi="Times New Roman"/>
          <w:szCs w:val="24"/>
        </w:rPr>
        <w:t xml:space="preserve">Covid-19 affected </w:t>
      </w:r>
      <w:r w:rsidRPr="004607F7">
        <w:rPr>
          <w:rFonts w:ascii="Times New Roman" w:hAnsi="Times New Roman"/>
          <w:szCs w:val="24"/>
        </w:rPr>
        <w:t>project’s</w:t>
      </w:r>
      <w:r w:rsidRPr="00A827FC">
        <w:rPr>
          <w:rFonts w:ascii="Times New Roman" w:hAnsi="Times New Roman"/>
          <w:szCs w:val="24"/>
        </w:rPr>
        <w:t xml:space="preserve"> service delivery, and </w:t>
      </w:r>
      <w:r w:rsidRPr="004607F7">
        <w:rPr>
          <w:rFonts w:ascii="Times New Roman" w:hAnsi="Times New Roman"/>
          <w:szCs w:val="24"/>
        </w:rPr>
        <w:t xml:space="preserve">perception of the effects of Covid-19 </w:t>
      </w:r>
      <w:r w:rsidRPr="00A827FC">
        <w:rPr>
          <w:rFonts w:ascii="Times New Roman" w:hAnsi="Times New Roman"/>
          <w:szCs w:val="24"/>
        </w:rPr>
        <w:t xml:space="preserve">on their program’s beneficiaries. </w:t>
      </w:r>
    </w:p>
    <w:p w:rsidR="000723EC" w:rsidRPr="004607F7" w:rsidP="000723EC" w14:paraId="19512112" w14:textId="77777777">
      <w:pPr>
        <w:pStyle w:val="ListParagraph"/>
        <w:widowControl w:val="0"/>
        <w:numPr>
          <w:ilvl w:val="0"/>
          <w:numId w:val="2"/>
        </w:numPr>
        <w:tabs>
          <w:tab w:val="left" w:pos="360"/>
          <w:tab w:val="left" w:pos="630"/>
          <w:tab w:val="left" w:pos="720"/>
          <w:tab w:val="left" w:pos="1080"/>
        </w:tabs>
        <w:spacing w:before="120"/>
        <w:rPr>
          <w:rFonts w:ascii="Times New Roman" w:hAnsi="Times New Roman"/>
          <w:szCs w:val="24"/>
        </w:rPr>
      </w:pPr>
      <w:r w:rsidRPr="004607F7">
        <w:rPr>
          <w:rFonts w:ascii="Times New Roman" w:hAnsi="Times New Roman"/>
          <w:szCs w:val="24"/>
        </w:rPr>
        <w:t>SDP Grantee Interview</w:t>
      </w:r>
      <w:r>
        <w:rPr>
          <w:rFonts w:ascii="Times New Roman" w:hAnsi="Times New Roman"/>
          <w:szCs w:val="24"/>
        </w:rPr>
        <w:t xml:space="preserve"> </w:t>
      </w:r>
      <w:r w:rsidRPr="004607F7">
        <w:rPr>
          <w:rFonts w:ascii="Times New Roman" w:hAnsi="Times New Roman"/>
          <w:szCs w:val="24"/>
        </w:rPr>
        <w:t>(virtual meeting):</w:t>
      </w:r>
    </w:p>
    <w:p w:rsidR="000723EC" w:rsidRPr="00A827FC" w:rsidP="000723EC" w14:paraId="586E5EBE" w14:textId="77777777">
      <w:pPr>
        <w:pStyle w:val="ListParagraph"/>
        <w:numPr>
          <w:ilvl w:val="1"/>
          <w:numId w:val="2"/>
        </w:numPr>
        <w:rPr>
          <w:rFonts w:ascii="Times New Roman" w:hAnsi="Times New Roman"/>
          <w:szCs w:val="24"/>
        </w:rPr>
      </w:pPr>
      <w:r w:rsidRPr="00A827FC">
        <w:rPr>
          <w:rFonts w:ascii="Times New Roman" w:hAnsi="Times New Roman"/>
          <w:szCs w:val="24"/>
        </w:rPr>
        <w:t xml:space="preserve">Script for </w:t>
      </w:r>
      <w:r>
        <w:rPr>
          <w:rFonts w:ascii="Times New Roman" w:hAnsi="Times New Roman"/>
          <w:szCs w:val="24"/>
        </w:rPr>
        <w:t xml:space="preserve">an </w:t>
      </w:r>
      <w:r w:rsidRPr="004607F7">
        <w:rPr>
          <w:rFonts w:ascii="Times New Roman" w:hAnsi="Times New Roman"/>
          <w:szCs w:val="24"/>
        </w:rPr>
        <w:t xml:space="preserve">independent </w:t>
      </w:r>
      <w:r w:rsidRPr="00A827FC">
        <w:rPr>
          <w:rFonts w:ascii="Times New Roman" w:hAnsi="Times New Roman"/>
          <w:szCs w:val="24"/>
        </w:rPr>
        <w:t>contractor to lead</w:t>
      </w:r>
      <w:r>
        <w:rPr>
          <w:rFonts w:ascii="Times New Roman" w:hAnsi="Times New Roman"/>
          <w:szCs w:val="24"/>
        </w:rPr>
        <w:t xml:space="preserve"> an interview</w:t>
      </w:r>
      <w:r w:rsidRPr="00A827FC">
        <w:rPr>
          <w:rFonts w:ascii="Times New Roman" w:hAnsi="Times New Roman"/>
          <w:szCs w:val="24"/>
        </w:rPr>
        <w:t xml:space="preserve"> of SDP </w:t>
      </w:r>
      <w:r>
        <w:rPr>
          <w:rFonts w:ascii="Times New Roman" w:hAnsi="Times New Roman"/>
          <w:szCs w:val="24"/>
        </w:rPr>
        <w:t>projects</w:t>
      </w:r>
      <w:r w:rsidRPr="004607F7">
        <w:rPr>
          <w:rFonts w:ascii="Times New Roman" w:hAnsi="Times New Roman"/>
          <w:szCs w:val="24"/>
        </w:rPr>
        <w:t xml:space="preserve">. The discussion will cover service delivery, partnership with stations, perception of how service delivery affects beneficiaries, volunteer satisfaction, </w:t>
      </w:r>
      <w:r>
        <w:rPr>
          <w:rFonts w:ascii="Times New Roman" w:hAnsi="Times New Roman"/>
          <w:szCs w:val="24"/>
        </w:rPr>
        <w:t xml:space="preserve">and </w:t>
      </w:r>
      <w:r w:rsidRPr="004607F7">
        <w:rPr>
          <w:rFonts w:ascii="Times New Roman" w:hAnsi="Times New Roman"/>
          <w:szCs w:val="24"/>
        </w:rPr>
        <w:t>health and psychosocial outcomes</w:t>
      </w:r>
      <w:r w:rsidRPr="00A827FC">
        <w:rPr>
          <w:rFonts w:ascii="Times New Roman" w:hAnsi="Times New Roman"/>
          <w:szCs w:val="24"/>
        </w:rPr>
        <w:t xml:space="preserve">. </w:t>
      </w:r>
    </w:p>
    <w:p w:rsidR="000723EC" w:rsidRPr="004607F7" w:rsidP="000723EC" w14:paraId="1D358980" w14:textId="77777777">
      <w:pPr>
        <w:pStyle w:val="ListParagraph"/>
        <w:keepNext/>
        <w:numPr>
          <w:ilvl w:val="0"/>
          <w:numId w:val="2"/>
        </w:numPr>
        <w:tabs>
          <w:tab w:val="left" w:pos="360"/>
          <w:tab w:val="left" w:pos="630"/>
          <w:tab w:val="left" w:pos="720"/>
          <w:tab w:val="left" w:pos="1080"/>
        </w:tabs>
        <w:spacing w:before="120"/>
        <w:rPr>
          <w:rFonts w:ascii="Times New Roman" w:hAnsi="Times New Roman"/>
          <w:szCs w:val="24"/>
        </w:rPr>
      </w:pPr>
      <w:r w:rsidRPr="004607F7">
        <w:rPr>
          <w:rFonts w:ascii="Times New Roman" w:hAnsi="Times New Roman"/>
          <w:szCs w:val="24"/>
        </w:rPr>
        <w:t>SDP Station Staff Interview (virtual meeting):</w:t>
      </w:r>
    </w:p>
    <w:p w:rsidR="000723EC" w:rsidRPr="00A827FC" w:rsidP="000723EC" w14:paraId="29E8AB40" w14:textId="77777777">
      <w:pPr>
        <w:pStyle w:val="ListParagraph"/>
        <w:keepNext/>
        <w:numPr>
          <w:ilvl w:val="1"/>
          <w:numId w:val="2"/>
        </w:numPr>
        <w:rPr>
          <w:rFonts w:ascii="Times New Roman" w:hAnsi="Times New Roman"/>
          <w:szCs w:val="24"/>
        </w:rPr>
      </w:pPr>
      <w:r w:rsidRPr="00A827FC">
        <w:rPr>
          <w:rFonts w:ascii="Times New Roman" w:hAnsi="Times New Roman"/>
          <w:szCs w:val="24"/>
        </w:rPr>
        <w:t xml:space="preserve">Script for </w:t>
      </w:r>
      <w:r>
        <w:rPr>
          <w:rFonts w:ascii="Times New Roman" w:hAnsi="Times New Roman"/>
          <w:szCs w:val="24"/>
        </w:rPr>
        <w:t xml:space="preserve">an </w:t>
      </w:r>
      <w:r w:rsidRPr="004607F7">
        <w:rPr>
          <w:rFonts w:ascii="Times New Roman" w:hAnsi="Times New Roman"/>
          <w:szCs w:val="24"/>
        </w:rPr>
        <w:t xml:space="preserve">independent </w:t>
      </w:r>
      <w:r w:rsidRPr="00A827FC">
        <w:rPr>
          <w:rFonts w:ascii="Times New Roman" w:hAnsi="Times New Roman"/>
          <w:szCs w:val="24"/>
        </w:rPr>
        <w:t>contractor to lead</w:t>
      </w:r>
      <w:r>
        <w:rPr>
          <w:rFonts w:ascii="Times New Roman" w:hAnsi="Times New Roman"/>
          <w:szCs w:val="24"/>
        </w:rPr>
        <w:t xml:space="preserve"> an</w:t>
      </w:r>
      <w:r w:rsidRPr="00A827FC">
        <w:rPr>
          <w:rFonts w:ascii="Times New Roman" w:hAnsi="Times New Roman"/>
          <w:szCs w:val="24"/>
        </w:rPr>
        <w:t xml:space="preserve"> </w:t>
      </w:r>
      <w:r>
        <w:rPr>
          <w:rFonts w:ascii="Times New Roman" w:hAnsi="Times New Roman"/>
          <w:szCs w:val="24"/>
        </w:rPr>
        <w:t>interview</w:t>
      </w:r>
      <w:r w:rsidRPr="00A827FC">
        <w:rPr>
          <w:rFonts w:ascii="Times New Roman" w:hAnsi="Times New Roman"/>
          <w:szCs w:val="24"/>
        </w:rPr>
        <w:t xml:space="preserve"> </w:t>
      </w:r>
      <w:r w:rsidRPr="004607F7">
        <w:rPr>
          <w:rFonts w:ascii="Times New Roman" w:hAnsi="Times New Roman"/>
          <w:szCs w:val="24"/>
        </w:rPr>
        <w:t>with</w:t>
      </w:r>
      <w:r w:rsidRPr="00A827FC">
        <w:rPr>
          <w:rFonts w:ascii="Times New Roman" w:hAnsi="Times New Roman"/>
          <w:szCs w:val="24"/>
        </w:rPr>
        <w:t xml:space="preserve"> AmeriCorps Seniors SDP station staff</w:t>
      </w:r>
      <w:r w:rsidRPr="004607F7">
        <w:rPr>
          <w:rFonts w:ascii="Times New Roman" w:hAnsi="Times New Roman"/>
          <w:szCs w:val="24"/>
        </w:rPr>
        <w:t xml:space="preserve">. The discussion will cover </w:t>
      </w:r>
      <w:r>
        <w:rPr>
          <w:rFonts w:ascii="Times New Roman" w:hAnsi="Times New Roman"/>
          <w:szCs w:val="24"/>
        </w:rPr>
        <w:t xml:space="preserve">the </w:t>
      </w:r>
      <w:r w:rsidRPr="004607F7">
        <w:rPr>
          <w:rFonts w:ascii="Times New Roman" w:hAnsi="Times New Roman"/>
          <w:szCs w:val="24"/>
        </w:rPr>
        <w:t xml:space="preserve">station’s </w:t>
      </w:r>
      <w:r w:rsidRPr="00A827FC">
        <w:rPr>
          <w:rFonts w:ascii="Times New Roman" w:hAnsi="Times New Roman"/>
          <w:szCs w:val="24"/>
        </w:rPr>
        <w:t xml:space="preserve">service activities and </w:t>
      </w:r>
      <w:r w:rsidRPr="004607F7">
        <w:rPr>
          <w:rFonts w:ascii="Times New Roman" w:hAnsi="Times New Roman"/>
          <w:szCs w:val="24"/>
        </w:rPr>
        <w:t xml:space="preserve">how </w:t>
      </w:r>
      <w:r>
        <w:rPr>
          <w:rFonts w:ascii="Times New Roman" w:hAnsi="Times New Roman"/>
          <w:szCs w:val="24"/>
        </w:rPr>
        <w:t xml:space="preserve">the </w:t>
      </w:r>
      <w:r w:rsidRPr="004607F7">
        <w:rPr>
          <w:rFonts w:ascii="Times New Roman" w:hAnsi="Times New Roman"/>
          <w:szCs w:val="24"/>
        </w:rPr>
        <w:t xml:space="preserve">station </w:t>
      </w:r>
      <w:r w:rsidRPr="00A827FC">
        <w:rPr>
          <w:rFonts w:ascii="Times New Roman" w:hAnsi="Times New Roman"/>
          <w:szCs w:val="24"/>
        </w:rPr>
        <w:t>deliver</w:t>
      </w:r>
      <w:r w:rsidRPr="004607F7">
        <w:rPr>
          <w:rFonts w:ascii="Times New Roman" w:hAnsi="Times New Roman"/>
          <w:szCs w:val="24"/>
        </w:rPr>
        <w:t>s services to the community</w:t>
      </w:r>
      <w:r w:rsidRPr="00A827FC">
        <w:rPr>
          <w:rFonts w:ascii="Times New Roman" w:hAnsi="Times New Roman"/>
          <w:szCs w:val="24"/>
        </w:rPr>
        <w:t xml:space="preserve">, </w:t>
      </w:r>
      <w:r w:rsidRPr="004607F7">
        <w:rPr>
          <w:rFonts w:ascii="Times New Roman" w:hAnsi="Times New Roman"/>
          <w:szCs w:val="24"/>
        </w:rPr>
        <w:t xml:space="preserve">perception of how service delivery </w:t>
      </w:r>
      <w:r w:rsidRPr="00A827FC">
        <w:rPr>
          <w:rFonts w:ascii="Times New Roman" w:hAnsi="Times New Roman"/>
          <w:szCs w:val="24"/>
        </w:rPr>
        <w:t>affect</w:t>
      </w:r>
      <w:r w:rsidRPr="004607F7">
        <w:rPr>
          <w:rFonts w:ascii="Times New Roman" w:hAnsi="Times New Roman"/>
          <w:szCs w:val="24"/>
        </w:rPr>
        <w:t>s</w:t>
      </w:r>
      <w:r w:rsidRPr="00A827FC">
        <w:rPr>
          <w:rFonts w:ascii="Times New Roman" w:hAnsi="Times New Roman"/>
          <w:szCs w:val="24"/>
        </w:rPr>
        <w:t xml:space="preserve"> </w:t>
      </w:r>
      <w:r w:rsidRPr="004607F7">
        <w:rPr>
          <w:rFonts w:ascii="Times New Roman" w:hAnsi="Times New Roman"/>
          <w:szCs w:val="24"/>
        </w:rPr>
        <w:t xml:space="preserve">beneficiaries, </w:t>
      </w:r>
      <w:r w:rsidRPr="00A827FC">
        <w:rPr>
          <w:rFonts w:ascii="Times New Roman" w:hAnsi="Times New Roman"/>
          <w:szCs w:val="24"/>
        </w:rPr>
        <w:t>volunteer satisfaction, health</w:t>
      </w:r>
      <w:r>
        <w:rPr>
          <w:rFonts w:ascii="Times New Roman" w:hAnsi="Times New Roman"/>
          <w:szCs w:val="24"/>
        </w:rPr>
        <w:t>,</w:t>
      </w:r>
      <w:r w:rsidRPr="00A827FC">
        <w:rPr>
          <w:rFonts w:ascii="Times New Roman" w:hAnsi="Times New Roman"/>
          <w:szCs w:val="24"/>
        </w:rPr>
        <w:t xml:space="preserve"> and psychosocial outcomes</w:t>
      </w:r>
      <w:r w:rsidRPr="004607F7">
        <w:rPr>
          <w:rFonts w:ascii="Times New Roman" w:hAnsi="Times New Roman"/>
          <w:szCs w:val="24"/>
        </w:rPr>
        <w:t>.</w:t>
      </w:r>
      <w:r w:rsidRPr="00A827FC">
        <w:rPr>
          <w:rFonts w:ascii="Times New Roman" w:hAnsi="Times New Roman"/>
          <w:szCs w:val="24"/>
        </w:rPr>
        <w:t xml:space="preserve"> </w:t>
      </w:r>
    </w:p>
    <w:p w:rsidR="000723EC" w:rsidRPr="004607F7" w:rsidP="000723EC" w14:paraId="5DFE6F1E" w14:textId="77777777">
      <w:pPr>
        <w:pStyle w:val="ListParagraph"/>
        <w:widowControl w:val="0"/>
        <w:numPr>
          <w:ilvl w:val="0"/>
          <w:numId w:val="2"/>
        </w:numPr>
        <w:tabs>
          <w:tab w:val="left" w:pos="360"/>
          <w:tab w:val="left" w:pos="630"/>
          <w:tab w:val="left" w:pos="720"/>
          <w:tab w:val="left" w:pos="1080"/>
        </w:tabs>
        <w:spacing w:before="120"/>
        <w:rPr>
          <w:rFonts w:ascii="Times New Roman" w:hAnsi="Times New Roman"/>
          <w:szCs w:val="24"/>
        </w:rPr>
      </w:pPr>
      <w:r w:rsidRPr="004607F7">
        <w:rPr>
          <w:rFonts w:ascii="Times New Roman" w:hAnsi="Times New Roman"/>
          <w:szCs w:val="24"/>
        </w:rPr>
        <w:t>SDP Volunteer Interview (virtual meeting):</w:t>
      </w:r>
    </w:p>
    <w:p w:rsidR="000723EC" w:rsidP="000723EC" w14:paraId="04F9CCEF" w14:textId="77777777">
      <w:pPr>
        <w:pStyle w:val="ListParagraph"/>
        <w:numPr>
          <w:ilvl w:val="1"/>
          <w:numId w:val="2"/>
        </w:numPr>
        <w:rPr>
          <w:rFonts w:ascii="Times New Roman" w:hAnsi="Times New Roman"/>
          <w:szCs w:val="24"/>
        </w:rPr>
      </w:pPr>
      <w:r w:rsidRPr="00A827FC">
        <w:rPr>
          <w:rFonts w:ascii="Times New Roman" w:hAnsi="Times New Roman"/>
          <w:szCs w:val="24"/>
        </w:rPr>
        <w:t xml:space="preserve">Script for </w:t>
      </w:r>
      <w:r>
        <w:rPr>
          <w:rFonts w:ascii="Times New Roman" w:hAnsi="Times New Roman"/>
          <w:szCs w:val="24"/>
        </w:rPr>
        <w:t xml:space="preserve">an </w:t>
      </w:r>
      <w:r w:rsidRPr="004607F7">
        <w:rPr>
          <w:rFonts w:ascii="Times New Roman" w:hAnsi="Times New Roman"/>
          <w:szCs w:val="24"/>
        </w:rPr>
        <w:t xml:space="preserve">independent </w:t>
      </w:r>
      <w:r w:rsidRPr="00A827FC">
        <w:rPr>
          <w:rFonts w:ascii="Times New Roman" w:hAnsi="Times New Roman"/>
          <w:szCs w:val="24"/>
        </w:rPr>
        <w:t>contractor to lead</w:t>
      </w:r>
      <w:r>
        <w:rPr>
          <w:rFonts w:ascii="Times New Roman" w:hAnsi="Times New Roman"/>
          <w:szCs w:val="24"/>
        </w:rPr>
        <w:t xml:space="preserve"> an</w:t>
      </w:r>
      <w:r w:rsidRPr="00A827FC">
        <w:rPr>
          <w:rFonts w:ascii="Times New Roman" w:hAnsi="Times New Roman"/>
          <w:szCs w:val="24"/>
        </w:rPr>
        <w:t xml:space="preserve"> </w:t>
      </w:r>
      <w:r>
        <w:rPr>
          <w:rFonts w:ascii="Times New Roman" w:hAnsi="Times New Roman"/>
          <w:szCs w:val="24"/>
        </w:rPr>
        <w:t>interview</w:t>
      </w:r>
      <w:r w:rsidRPr="00A827FC">
        <w:rPr>
          <w:rFonts w:ascii="Times New Roman" w:hAnsi="Times New Roman"/>
          <w:szCs w:val="24"/>
        </w:rPr>
        <w:t xml:space="preserve"> </w:t>
      </w:r>
      <w:r w:rsidRPr="004607F7">
        <w:rPr>
          <w:rFonts w:ascii="Times New Roman" w:hAnsi="Times New Roman"/>
          <w:szCs w:val="24"/>
        </w:rPr>
        <w:t>with</w:t>
      </w:r>
      <w:r w:rsidRPr="00A827FC">
        <w:rPr>
          <w:rFonts w:ascii="Times New Roman" w:hAnsi="Times New Roman"/>
          <w:szCs w:val="24"/>
        </w:rPr>
        <w:t xml:space="preserve"> AmeriCorps Seniors volunteers</w:t>
      </w:r>
      <w:r w:rsidRPr="004607F7">
        <w:rPr>
          <w:rFonts w:ascii="Times New Roman" w:hAnsi="Times New Roman"/>
          <w:szCs w:val="24"/>
        </w:rPr>
        <w:t xml:space="preserve"> serving with the SDP program. The discussion will cover </w:t>
      </w:r>
      <w:r w:rsidRPr="00A827FC">
        <w:rPr>
          <w:rFonts w:ascii="Times New Roman" w:hAnsi="Times New Roman"/>
          <w:szCs w:val="24"/>
        </w:rPr>
        <w:t xml:space="preserve">service experience and satisfaction, training and support </w:t>
      </w:r>
      <w:r w:rsidRPr="004607F7">
        <w:rPr>
          <w:rFonts w:ascii="Times New Roman" w:hAnsi="Times New Roman"/>
          <w:szCs w:val="24"/>
        </w:rPr>
        <w:t>provided</w:t>
      </w:r>
      <w:r w:rsidRPr="00A827FC">
        <w:rPr>
          <w:rFonts w:ascii="Times New Roman" w:hAnsi="Times New Roman"/>
          <w:szCs w:val="24"/>
        </w:rPr>
        <w:t xml:space="preserve">, </w:t>
      </w:r>
      <w:r w:rsidRPr="004607F7">
        <w:rPr>
          <w:rFonts w:ascii="Times New Roman" w:hAnsi="Times New Roman"/>
          <w:szCs w:val="24"/>
        </w:rPr>
        <w:t xml:space="preserve">and their perception of the </w:t>
      </w:r>
      <w:r w:rsidRPr="00A827FC">
        <w:rPr>
          <w:rFonts w:ascii="Times New Roman" w:hAnsi="Times New Roman"/>
          <w:szCs w:val="24"/>
        </w:rPr>
        <w:t xml:space="preserve">effects of </w:t>
      </w:r>
      <w:r>
        <w:rPr>
          <w:rFonts w:ascii="Times New Roman" w:hAnsi="Times New Roman"/>
        </w:rPr>
        <w:t>COVID</w:t>
      </w:r>
      <w:r w:rsidRPr="5C0F3444">
        <w:rPr>
          <w:rFonts w:ascii="Times New Roman" w:hAnsi="Times New Roman"/>
        </w:rPr>
        <w:t xml:space="preserve">-19 </w:t>
      </w:r>
      <w:r w:rsidRPr="00A827FC">
        <w:rPr>
          <w:rFonts w:ascii="Times New Roman" w:hAnsi="Times New Roman"/>
          <w:szCs w:val="24"/>
        </w:rPr>
        <w:t>on their volunteer experience.</w:t>
      </w:r>
    </w:p>
    <w:p w:rsidR="000723EC" w:rsidP="000723EC" w14:paraId="7E37AA0A" w14:textId="77777777">
      <w:pPr>
        <w:pStyle w:val="ListParagraph"/>
        <w:ind w:left="1440"/>
        <w:rPr>
          <w:rFonts w:ascii="Times New Roman" w:hAnsi="Times New Roman"/>
          <w:szCs w:val="24"/>
        </w:rPr>
      </w:pPr>
      <w:r w:rsidRPr="61B61BCA">
        <w:rPr>
          <w:rFonts w:ascii="Times New Roman" w:hAnsi="Times New Roman"/>
        </w:rPr>
        <w:t xml:space="preserve"> </w:t>
      </w:r>
    </w:p>
    <w:p w:rsidR="000723EC" w:rsidRPr="00390F87" w:rsidP="000723EC" w14:paraId="38832AD5" w14:textId="77777777">
      <w:pPr>
        <w:pStyle w:val="Heading2"/>
        <w:numPr>
          <w:ilvl w:val="0"/>
          <w:numId w:val="8"/>
        </w:numPr>
      </w:pPr>
      <w:bookmarkStart w:id="3" w:name="_Toc157357106"/>
      <w:r w:rsidRPr="00505E03">
        <w:t>Use of the Information</w:t>
      </w:r>
      <w:r>
        <w:t>.</w:t>
      </w:r>
      <w:bookmarkEnd w:id="3"/>
      <w:r>
        <w:t xml:space="preserve"> </w:t>
      </w:r>
    </w:p>
    <w:p w:rsidR="000723EC" w:rsidP="000723EC" w14:paraId="1B0F081F" w14:textId="24F3DAB0">
      <w:pPr>
        <w:tabs>
          <w:tab w:val="left" w:pos="360"/>
        </w:tabs>
        <w:spacing w:after="120"/>
        <w:rPr>
          <w:rFonts w:ascii="Cambria" w:hAnsi="Cambria"/>
          <w:b/>
          <w:sz w:val="26"/>
          <w:szCs w:val="26"/>
          <w:highlight w:val="yellow"/>
        </w:rPr>
      </w:pPr>
      <w:r>
        <w:rPr>
          <w:rFonts w:ascii="Times New Roman" w:hAnsi="Times New Roman"/>
          <w:szCs w:val="24"/>
        </w:rPr>
        <w:t xml:space="preserve">AmeriCorps will use the information for regulatory compliance as discussed under A1, program administration, and inform policy and guidance affecting the agency’s grant funding. </w:t>
      </w:r>
      <w:r w:rsidRPr="00376837">
        <w:rPr>
          <w:rFonts w:ascii="Times New Roman" w:hAnsi="Times New Roman"/>
          <w:szCs w:val="24"/>
        </w:rPr>
        <w:t xml:space="preserve">Since the </w:t>
      </w:r>
      <w:r>
        <w:rPr>
          <w:rFonts w:ascii="Times New Roman" w:hAnsi="Times New Roman"/>
          <w:szCs w:val="24"/>
        </w:rPr>
        <w:t xml:space="preserve">onset of the </w:t>
      </w:r>
      <w:r w:rsidRPr="00376837">
        <w:rPr>
          <w:rFonts w:ascii="Times New Roman" w:hAnsi="Times New Roman"/>
          <w:szCs w:val="24"/>
        </w:rPr>
        <w:t>pandemic</w:t>
      </w:r>
      <w:r>
        <w:rPr>
          <w:rFonts w:ascii="Times New Roman" w:hAnsi="Times New Roman"/>
          <w:szCs w:val="24"/>
        </w:rPr>
        <w:t xml:space="preserve"> in 2020,</w:t>
      </w:r>
      <w:r w:rsidRPr="00376837">
        <w:rPr>
          <w:rFonts w:ascii="Times New Roman" w:hAnsi="Times New Roman"/>
          <w:szCs w:val="24"/>
        </w:rPr>
        <w:t xml:space="preserve"> the implementation of </w:t>
      </w:r>
      <w:r>
        <w:rPr>
          <w:rFonts w:ascii="Times New Roman" w:hAnsi="Times New Roman"/>
          <w:szCs w:val="24"/>
        </w:rPr>
        <w:t>AmeriCorps'</w:t>
      </w:r>
      <w:r w:rsidRPr="00376837">
        <w:rPr>
          <w:rFonts w:ascii="Times New Roman" w:hAnsi="Times New Roman"/>
          <w:szCs w:val="24"/>
        </w:rPr>
        <w:t xml:space="preserve"> strategic goals </w:t>
      </w:r>
      <w:r>
        <w:rPr>
          <w:rFonts w:ascii="Times New Roman" w:hAnsi="Times New Roman"/>
          <w:szCs w:val="24"/>
        </w:rPr>
        <w:t>has faced</w:t>
      </w:r>
      <w:r w:rsidRPr="00376837">
        <w:rPr>
          <w:rFonts w:ascii="Times New Roman" w:hAnsi="Times New Roman"/>
          <w:szCs w:val="24"/>
        </w:rPr>
        <w:t xml:space="preserve"> greater complexity and challenges</w:t>
      </w:r>
      <w:r>
        <w:rPr>
          <w:rFonts w:ascii="Times New Roman" w:hAnsi="Times New Roman"/>
          <w:szCs w:val="24"/>
        </w:rPr>
        <w:t>,</w:t>
      </w:r>
      <w:r w:rsidRPr="00376837">
        <w:rPr>
          <w:rFonts w:ascii="Times New Roman" w:hAnsi="Times New Roman"/>
          <w:szCs w:val="24"/>
        </w:rPr>
        <w:t xml:space="preserve"> such as declining civic engagement</w:t>
      </w:r>
      <w:r>
        <w:rPr>
          <w:rFonts w:ascii="Times New Roman" w:hAnsi="Times New Roman"/>
          <w:szCs w:val="24"/>
        </w:rPr>
        <w:t>,</w:t>
      </w:r>
      <w:r w:rsidRPr="00376837">
        <w:rPr>
          <w:rFonts w:ascii="Times New Roman" w:hAnsi="Times New Roman"/>
          <w:szCs w:val="24"/>
        </w:rPr>
        <w:t xml:space="preserve"> which negatively </w:t>
      </w:r>
      <w:r>
        <w:rPr>
          <w:rFonts w:ascii="Times New Roman" w:hAnsi="Times New Roman"/>
          <w:szCs w:val="24"/>
        </w:rPr>
        <w:t>affects</w:t>
      </w:r>
      <w:r w:rsidRPr="00376837">
        <w:rPr>
          <w:rFonts w:ascii="Times New Roman" w:hAnsi="Times New Roman"/>
          <w:szCs w:val="24"/>
        </w:rPr>
        <w:t xml:space="preserve"> </w:t>
      </w:r>
      <w:r w:rsidRPr="00376837">
        <w:rPr>
          <w:rFonts w:ascii="Times New Roman" w:hAnsi="Times New Roman"/>
          <w:szCs w:val="24"/>
        </w:rPr>
        <w:t>recruitment and retention of national service participants, unprecedented community needs</w:t>
      </w:r>
      <w:r>
        <w:rPr>
          <w:rFonts w:ascii="Times New Roman" w:hAnsi="Times New Roman"/>
          <w:szCs w:val="24"/>
        </w:rPr>
        <w:t xml:space="preserve"> which is exacerbated by </w:t>
      </w:r>
      <w:r w:rsidRPr="00376837">
        <w:rPr>
          <w:rFonts w:ascii="Times New Roman" w:hAnsi="Times New Roman"/>
          <w:szCs w:val="24"/>
        </w:rPr>
        <w:t xml:space="preserve">reduced </w:t>
      </w:r>
      <w:r>
        <w:rPr>
          <w:rFonts w:ascii="Times New Roman" w:hAnsi="Times New Roman"/>
          <w:szCs w:val="24"/>
        </w:rPr>
        <w:t xml:space="preserve">financial and labor </w:t>
      </w:r>
      <w:r w:rsidRPr="00376837">
        <w:rPr>
          <w:rFonts w:ascii="Times New Roman" w:hAnsi="Times New Roman"/>
          <w:szCs w:val="24"/>
        </w:rPr>
        <w:t>resources to address these needs.</w:t>
      </w:r>
      <w:r>
        <w:rPr>
          <w:rFonts w:ascii="Times New Roman" w:hAnsi="Times New Roman"/>
          <w:szCs w:val="24"/>
        </w:rPr>
        <w:t xml:space="preserve"> </w:t>
      </w:r>
      <w:r w:rsidRPr="00BF7A58">
        <w:rPr>
          <w:rFonts w:ascii="Times New Roman" w:hAnsi="Times New Roman"/>
          <w:szCs w:val="24"/>
        </w:rPr>
        <w:t>Th</w:t>
      </w:r>
      <w:r>
        <w:rPr>
          <w:rFonts w:ascii="Times New Roman" w:hAnsi="Times New Roman"/>
          <w:szCs w:val="24"/>
        </w:rPr>
        <w:t>e</w:t>
      </w:r>
      <w:r w:rsidRPr="00BF7A58">
        <w:rPr>
          <w:rFonts w:ascii="Times New Roman" w:hAnsi="Times New Roman"/>
          <w:szCs w:val="24"/>
        </w:rPr>
        <w:t xml:space="preserve"> </w:t>
      </w:r>
      <w:r>
        <w:rPr>
          <w:rFonts w:ascii="Times New Roman" w:hAnsi="Times New Roman"/>
          <w:szCs w:val="24"/>
        </w:rPr>
        <w:t xml:space="preserve">information will assist AmeriCorps in </w:t>
      </w:r>
      <w:r w:rsidRPr="00BF7A58">
        <w:rPr>
          <w:rFonts w:ascii="Times New Roman" w:hAnsi="Times New Roman"/>
          <w:szCs w:val="24"/>
        </w:rPr>
        <w:t>establishing strategic goals</w:t>
      </w:r>
      <w:r>
        <w:rPr>
          <w:rFonts w:ascii="Times New Roman" w:hAnsi="Times New Roman"/>
          <w:szCs w:val="24"/>
        </w:rPr>
        <w:t>,</w:t>
      </w:r>
      <w:r w:rsidRPr="00BF7A58">
        <w:rPr>
          <w:rFonts w:ascii="Times New Roman" w:hAnsi="Times New Roman"/>
          <w:szCs w:val="24"/>
        </w:rPr>
        <w:t xml:space="preserve"> performance targets</w:t>
      </w:r>
      <w:r>
        <w:rPr>
          <w:rFonts w:ascii="Times New Roman" w:hAnsi="Times New Roman"/>
          <w:szCs w:val="24"/>
        </w:rPr>
        <w:t>,</w:t>
      </w:r>
      <w:r w:rsidRPr="00BF7A58">
        <w:rPr>
          <w:rFonts w:ascii="Times New Roman" w:hAnsi="Times New Roman"/>
          <w:szCs w:val="24"/>
        </w:rPr>
        <w:t xml:space="preserve"> </w:t>
      </w:r>
      <w:r>
        <w:rPr>
          <w:rFonts w:ascii="Times New Roman" w:hAnsi="Times New Roman"/>
          <w:szCs w:val="24"/>
        </w:rPr>
        <w:t>and guide</w:t>
      </w:r>
      <w:r w:rsidRPr="00BF7A58">
        <w:rPr>
          <w:rFonts w:ascii="Times New Roman" w:hAnsi="Times New Roman"/>
          <w:szCs w:val="24"/>
        </w:rPr>
        <w:t xml:space="preserve"> innovation</w:t>
      </w:r>
      <w:r>
        <w:rPr>
          <w:rFonts w:ascii="Times New Roman" w:hAnsi="Times New Roman"/>
          <w:szCs w:val="24"/>
        </w:rPr>
        <w:t xml:space="preserve"> to address these complexities and challenges, </w:t>
      </w:r>
      <w:r w:rsidRPr="00BF7A58">
        <w:rPr>
          <w:rFonts w:ascii="Times New Roman" w:hAnsi="Times New Roman"/>
          <w:szCs w:val="24"/>
        </w:rPr>
        <w:t>and demonstrat</w:t>
      </w:r>
      <w:r>
        <w:rPr>
          <w:rFonts w:ascii="Times New Roman" w:hAnsi="Times New Roman"/>
          <w:szCs w:val="24"/>
        </w:rPr>
        <w:t>e</w:t>
      </w:r>
      <w:r w:rsidRPr="00BF7A58">
        <w:rPr>
          <w:rFonts w:ascii="Times New Roman" w:hAnsi="Times New Roman"/>
          <w:szCs w:val="24"/>
        </w:rPr>
        <w:t xml:space="preserve"> program impacts</w:t>
      </w:r>
      <w:r>
        <w:rPr>
          <w:rFonts w:ascii="Times New Roman" w:hAnsi="Times New Roman"/>
          <w:szCs w:val="24"/>
        </w:rPr>
        <w:t xml:space="preserve"> on the volunteers, beneficiaries, and the communities the volunteers serve</w:t>
      </w:r>
      <w:r w:rsidRPr="00BF7A58">
        <w:rPr>
          <w:rFonts w:ascii="Times New Roman" w:hAnsi="Times New Roman"/>
          <w:szCs w:val="24"/>
        </w:rPr>
        <w:t xml:space="preserve">. Beyond the legislative requirements, </w:t>
      </w:r>
      <w:r>
        <w:rPr>
          <w:rFonts w:ascii="Times New Roman" w:hAnsi="Times New Roman"/>
          <w:szCs w:val="24"/>
        </w:rPr>
        <w:t xml:space="preserve">the information collection with the SDP projects will provide evidence of </w:t>
      </w:r>
      <w:r w:rsidRPr="00BF7A58">
        <w:rPr>
          <w:rFonts w:ascii="Times New Roman" w:hAnsi="Times New Roman"/>
          <w:szCs w:val="24"/>
        </w:rPr>
        <w:t xml:space="preserve">implementation </w:t>
      </w:r>
      <w:r>
        <w:rPr>
          <w:rFonts w:ascii="Times New Roman" w:hAnsi="Times New Roman"/>
          <w:szCs w:val="24"/>
        </w:rPr>
        <w:t xml:space="preserve">challenges and successes </w:t>
      </w:r>
      <w:r w:rsidRPr="00BF7A58">
        <w:rPr>
          <w:rFonts w:ascii="Times New Roman" w:hAnsi="Times New Roman"/>
          <w:szCs w:val="24"/>
        </w:rPr>
        <w:t xml:space="preserve">of </w:t>
      </w:r>
      <w:r>
        <w:rPr>
          <w:rFonts w:ascii="Times New Roman" w:hAnsi="Times New Roman"/>
          <w:szCs w:val="24"/>
        </w:rPr>
        <w:t xml:space="preserve">the </w:t>
      </w:r>
      <w:r w:rsidRPr="00BF7A58">
        <w:rPr>
          <w:rFonts w:ascii="Times New Roman" w:hAnsi="Times New Roman"/>
          <w:szCs w:val="24"/>
        </w:rPr>
        <w:t xml:space="preserve">SDP projects as well as assess whether </w:t>
      </w:r>
      <w:r>
        <w:rPr>
          <w:rFonts w:ascii="Times New Roman" w:hAnsi="Times New Roman"/>
          <w:szCs w:val="24"/>
        </w:rPr>
        <w:t>these projects can be</w:t>
      </w:r>
      <w:r w:rsidRPr="00BF7A58">
        <w:rPr>
          <w:rFonts w:ascii="Times New Roman" w:hAnsi="Times New Roman"/>
          <w:szCs w:val="24"/>
        </w:rPr>
        <w:t xml:space="preserve"> scale</w:t>
      </w:r>
      <w:r>
        <w:rPr>
          <w:rFonts w:ascii="Times New Roman" w:hAnsi="Times New Roman"/>
          <w:szCs w:val="24"/>
        </w:rPr>
        <w:t>d</w:t>
      </w:r>
      <w:r w:rsidRPr="00BF7A58">
        <w:rPr>
          <w:rFonts w:ascii="Times New Roman" w:hAnsi="Times New Roman"/>
          <w:szCs w:val="24"/>
        </w:rPr>
        <w:t xml:space="preserve"> alongside AmeriCorps Seniors</w:t>
      </w:r>
      <w:r>
        <w:rPr>
          <w:rFonts w:ascii="Times New Roman" w:hAnsi="Times New Roman"/>
          <w:szCs w:val="24"/>
        </w:rPr>
        <w:t>’</w:t>
      </w:r>
      <w:r w:rsidRPr="00BF7A58">
        <w:rPr>
          <w:rFonts w:ascii="Times New Roman" w:hAnsi="Times New Roman"/>
          <w:szCs w:val="24"/>
        </w:rPr>
        <w:t xml:space="preserve"> three traditional programs.</w:t>
      </w:r>
    </w:p>
    <w:p w:rsidR="000723EC" w:rsidRPr="00B14D3C" w:rsidP="000723EC" w14:paraId="2AB73F77" w14:textId="77777777">
      <w:pPr>
        <w:spacing w:before="120" w:after="120"/>
        <w:rPr>
          <w:rFonts w:ascii="Cambria" w:hAnsi="Cambria"/>
          <w:b/>
          <w:sz w:val="26"/>
          <w:szCs w:val="26"/>
          <w:highlight w:val="yellow"/>
        </w:rPr>
      </w:pPr>
      <w:r w:rsidRPr="00376837">
        <w:rPr>
          <w:rFonts w:ascii="Times New Roman" w:hAnsi="Times New Roman"/>
          <w:szCs w:val="24"/>
        </w:rPr>
        <w:t xml:space="preserve">Since the </w:t>
      </w:r>
      <w:r>
        <w:rPr>
          <w:rFonts w:ascii="Times New Roman" w:hAnsi="Times New Roman"/>
          <w:szCs w:val="24"/>
        </w:rPr>
        <w:t xml:space="preserve">onset of the </w:t>
      </w:r>
      <w:r w:rsidRPr="00376837">
        <w:rPr>
          <w:rFonts w:ascii="Times New Roman" w:hAnsi="Times New Roman"/>
          <w:szCs w:val="24"/>
        </w:rPr>
        <w:t>pandemic</w:t>
      </w:r>
      <w:r>
        <w:rPr>
          <w:rFonts w:ascii="Times New Roman" w:hAnsi="Times New Roman"/>
          <w:szCs w:val="24"/>
        </w:rPr>
        <w:t xml:space="preserve"> in 2020,</w:t>
      </w:r>
      <w:r w:rsidRPr="00376837">
        <w:rPr>
          <w:rFonts w:ascii="Times New Roman" w:hAnsi="Times New Roman"/>
          <w:szCs w:val="24"/>
        </w:rPr>
        <w:t xml:space="preserve"> the implementation of </w:t>
      </w:r>
      <w:r>
        <w:rPr>
          <w:rFonts w:ascii="Times New Roman" w:hAnsi="Times New Roman"/>
          <w:szCs w:val="24"/>
        </w:rPr>
        <w:t>AmeriCorps'</w:t>
      </w:r>
      <w:r w:rsidRPr="00376837">
        <w:rPr>
          <w:rFonts w:ascii="Times New Roman" w:hAnsi="Times New Roman"/>
          <w:szCs w:val="24"/>
        </w:rPr>
        <w:t xml:space="preserve"> strategic goals faces greater complexity and challenges</w:t>
      </w:r>
      <w:r>
        <w:rPr>
          <w:rFonts w:ascii="Times New Roman" w:hAnsi="Times New Roman"/>
          <w:szCs w:val="24"/>
        </w:rPr>
        <w:t>,</w:t>
      </w:r>
      <w:r w:rsidRPr="00376837">
        <w:rPr>
          <w:rFonts w:ascii="Times New Roman" w:hAnsi="Times New Roman"/>
          <w:szCs w:val="24"/>
        </w:rPr>
        <w:t xml:space="preserve"> such as declining civic engagement</w:t>
      </w:r>
      <w:r>
        <w:rPr>
          <w:rFonts w:ascii="Times New Roman" w:hAnsi="Times New Roman"/>
          <w:szCs w:val="24"/>
        </w:rPr>
        <w:t>,</w:t>
      </w:r>
      <w:r w:rsidRPr="00376837">
        <w:rPr>
          <w:rFonts w:ascii="Times New Roman" w:hAnsi="Times New Roman"/>
          <w:szCs w:val="24"/>
        </w:rPr>
        <w:t xml:space="preserve"> which negatively </w:t>
      </w:r>
      <w:r>
        <w:rPr>
          <w:rFonts w:ascii="Times New Roman" w:hAnsi="Times New Roman"/>
          <w:szCs w:val="24"/>
        </w:rPr>
        <w:t>affects</w:t>
      </w:r>
      <w:r w:rsidRPr="00376837">
        <w:rPr>
          <w:rFonts w:ascii="Times New Roman" w:hAnsi="Times New Roman"/>
          <w:szCs w:val="24"/>
        </w:rPr>
        <w:t xml:space="preserve"> recruitment and retention of national service participants, unprecedented community needs</w:t>
      </w:r>
      <w:r>
        <w:rPr>
          <w:rFonts w:ascii="Times New Roman" w:hAnsi="Times New Roman"/>
          <w:szCs w:val="24"/>
        </w:rPr>
        <w:t xml:space="preserve"> which is exacerbated by </w:t>
      </w:r>
      <w:r w:rsidRPr="00376837">
        <w:rPr>
          <w:rFonts w:ascii="Times New Roman" w:hAnsi="Times New Roman"/>
          <w:szCs w:val="24"/>
        </w:rPr>
        <w:t xml:space="preserve">reduced </w:t>
      </w:r>
      <w:r>
        <w:rPr>
          <w:rFonts w:ascii="Times New Roman" w:hAnsi="Times New Roman"/>
          <w:szCs w:val="24"/>
        </w:rPr>
        <w:t xml:space="preserve">financial and labor </w:t>
      </w:r>
      <w:r w:rsidRPr="00376837">
        <w:rPr>
          <w:rFonts w:ascii="Times New Roman" w:hAnsi="Times New Roman"/>
          <w:szCs w:val="24"/>
        </w:rPr>
        <w:t>resources to address these needs.</w:t>
      </w:r>
    </w:p>
    <w:p w:rsidR="000723EC" w:rsidRPr="004607F7" w:rsidP="000723EC" w14:paraId="530A8688" w14:textId="77777777">
      <w:pPr>
        <w:tabs>
          <w:tab w:val="left" w:pos="360"/>
        </w:tabs>
        <w:spacing w:after="120"/>
        <w:rPr>
          <w:rFonts w:ascii="Times New Roman" w:hAnsi="Times New Roman"/>
          <w:szCs w:val="24"/>
          <w:u w:val="single"/>
        </w:rPr>
      </w:pPr>
      <w:r w:rsidRPr="004607F7">
        <w:rPr>
          <w:rFonts w:ascii="Times New Roman" w:hAnsi="Times New Roman"/>
          <w:u w:val="single"/>
        </w:rPr>
        <w:t>Beginning-to-end experience for respondents</w:t>
      </w:r>
    </w:p>
    <w:p w:rsidR="000723EC" w:rsidRPr="004607F7" w:rsidP="000723EC" w14:paraId="55D7E220" w14:textId="77777777">
      <w:pPr>
        <w:widowControl w:val="0"/>
        <w:tabs>
          <w:tab w:val="left" w:pos="360"/>
          <w:tab w:val="left" w:pos="630"/>
          <w:tab w:val="left" w:pos="720"/>
          <w:tab w:val="left" w:pos="1080"/>
        </w:tabs>
        <w:spacing w:after="120"/>
        <w:rPr>
          <w:rFonts w:ascii="Times New Roman" w:hAnsi="Times New Roman"/>
          <w:szCs w:val="24"/>
        </w:rPr>
      </w:pPr>
      <w:r w:rsidRPr="004607F7">
        <w:rPr>
          <w:rFonts w:ascii="Times New Roman" w:hAnsi="Times New Roman"/>
          <w:szCs w:val="24"/>
        </w:rPr>
        <w:t xml:space="preserve">FGP, SCP, RSVP Current and Former Volunteers will receive a paper survey distributed by their grantees. No learning costs are anticipated, as the survey is a scannable form. </w:t>
      </w:r>
      <w:r w:rsidRPr="006F392E">
        <w:rPr>
          <w:rFonts w:ascii="Times New Roman" w:hAnsi="Times New Roman"/>
          <w:szCs w:val="24"/>
        </w:rPr>
        <w:t>Any psychological costs will be minimal because the survey is optional to complete and there are no questions of an intrusive nature. Of the proposed questions, those on self-assessment of symptoms of depression, and loneliness may cause discomfort, but the listed reasons are written in a non-judgmental and objective manner.</w:t>
      </w:r>
    </w:p>
    <w:p w:rsidR="000723EC" w:rsidRPr="004607F7" w:rsidP="000723EC" w14:paraId="560AD3D8" w14:textId="77777777">
      <w:pPr>
        <w:widowControl w:val="0"/>
        <w:tabs>
          <w:tab w:val="left" w:pos="360"/>
          <w:tab w:val="left" w:pos="630"/>
          <w:tab w:val="left" w:pos="720"/>
          <w:tab w:val="left" w:pos="1080"/>
        </w:tabs>
        <w:spacing w:after="120"/>
        <w:rPr>
          <w:rFonts w:ascii="Times New Roman" w:hAnsi="Times New Roman"/>
          <w:szCs w:val="24"/>
        </w:rPr>
      </w:pPr>
      <w:r w:rsidRPr="004607F7">
        <w:rPr>
          <w:rFonts w:ascii="Times New Roman" w:hAnsi="Times New Roman"/>
          <w:szCs w:val="24"/>
        </w:rPr>
        <w:t xml:space="preserve">FGP, SCP, RSVP Station Staff will receive a link to the survey via email. The surveys will be aggregated at the grantee </w:t>
      </w:r>
      <w:r w:rsidRPr="006F392E">
        <w:rPr>
          <w:rFonts w:ascii="Times New Roman" w:hAnsi="Times New Roman"/>
          <w:szCs w:val="24"/>
        </w:rPr>
        <w:t>level and</w:t>
      </w:r>
      <w:r w:rsidRPr="004607F7">
        <w:rPr>
          <w:rFonts w:ascii="Times New Roman" w:hAnsi="Times New Roman"/>
          <w:szCs w:val="24"/>
        </w:rPr>
        <w:t xml:space="preserve"> will not contain any personal or attributable information. </w:t>
      </w:r>
    </w:p>
    <w:p w:rsidR="000723EC" w:rsidRPr="004607F7" w:rsidP="000723EC" w14:paraId="786DE6B9" w14:textId="77777777">
      <w:pPr>
        <w:widowControl w:val="0"/>
        <w:tabs>
          <w:tab w:val="left" w:pos="360"/>
          <w:tab w:val="left" w:pos="630"/>
          <w:tab w:val="left" w:pos="720"/>
          <w:tab w:val="left" w:pos="1080"/>
        </w:tabs>
        <w:spacing w:after="120"/>
        <w:rPr>
          <w:rFonts w:ascii="Times New Roman" w:hAnsi="Times New Roman"/>
          <w:szCs w:val="24"/>
        </w:rPr>
      </w:pPr>
      <w:r w:rsidRPr="004607F7">
        <w:rPr>
          <w:rFonts w:ascii="Times New Roman" w:hAnsi="Times New Roman"/>
          <w:szCs w:val="24"/>
        </w:rPr>
        <w:t xml:space="preserve">Grantee and station staff </w:t>
      </w:r>
      <w:r>
        <w:rPr>
          <w:rFonts w:ascii="Times New Roman" w:hAnsi="Times New Roman"/>
          <w:szCs w:val="24"/>
        </w:rPr>
        <w:t>will participate</w:t>
      </w:r>
      <w:r w:rsidRPr="004607F7">
        <w:rPr>
          <w:rFonts w:ascii="Times New Roman" w:hAnsi="Times New Roman"/>
          <w:szCs w:val="24"/>
        </w:rPr>
        <w:t xml:space="preserve"> in focus groups and </w:t>
      </w:r>
      <w:r w:rsidRPr="006F392E">
        <w:rPr>
          <w:rFonts w:ascii="Times New Roman" w:hAnsi="Times New Roman"/>
          <w:szCs w:val="24"/>
        </w:rPr>
        <w:t>interviews and</w:t>
      </w:r>
      <w:r w:rsidRPr="004607F7">
        <w:rPr>
          <w:rFonts w:ascii="Times New Roman" w:hAnsi="Times New Roman"/>
          <w:szCs w:val="24"/>
        </w:rPr>
        <w:t xml:space="preserve"> are not likely to experience any learning costs as the focus groups and interviews are in a meeting format. No psychological costs are anticipated as the individual representatives may decline to respond to any question. </w:t>
      </w:r>
    </w:p>
    <w:p w:rsidR="000723EC" w:rsidRPr="004607F7" w:rsidP="000723EC" w14:paraId="2B393E92" w14:textId="77777777">
      <w:pPr>
        <w:widowControl w:val="0"/>
        <w:tabs>
          <w:tab w:val="left" w:pos="360"/>
          <w:tab w:val="left" w:pos="630"/>
          <w:tab w:val="left" w:pos="720"/>
          <w:tab w:val="left" w:pos="1080"/>
        </w:tabs>
        <w:spacing w:after="120"/>
        <w:rPr>
          <w:rFonts w:ascii="Times New Roman" w:hAnsi="Times New Roman"/>
          <w:szCs w:val="24"/>
        </w:rPr>
      </w:pPr>
      <w:r w:rsidRPr="004607F7">
        <w:rPr>
          <w:rFonts w:ascii="Times New Roman" w:hAnsi="Times New Roman"/>
          <w:szCs w:val="24"/>
        </w:rPr>
        <w:t xml:space="preserve">SDP Volunteers </w:t>
      </w:r>
      <w:r>
        <w:rPr>
          <w:rFonts w:ascii="Times New Roman" w:hAnsi="Times New Roman"/>
          <w:szCs w:val="24"/>
        </w:rPr>
        <w:t>will participate</w:t>
      </w:r>
      <w:r w:rsidRPr="004607F7">
        <w:rPr>
          <w:rFonts w:ascii="Times New Roman" w:hAnsi="Times New Roman"/>
          <w:szCs w:val="24"/>
        </w:rPr>
        <w:t xml:space="preserve"> in </w:t>
      </w:r>
      <w:r w:rsidRPr="006F392E">
        <w:rPr>
          <w:rFonts w:ascii="Times New Roman" w:hAnsi="Times New Roman"/>
          <w:szCs w:val="24"/>
        </w:rPr>
        <w:t>interviews and</w:t>
      </w:r>
      <w:r w:rsidRPr="004607F7">
        <w:rPr>
          <w:rFonts w:ascii="Times New Roman" w:hAnsi="Times New Roman"/>
          <w:szCs w:val="24"/>
        </w:rPr>
        <w:t xml:space="preserve"> are not likely to experience any learning costs as the interview is in a meeting format. No psychological costs are anticipated as the volunteer may decline to respond to any question. </w:t>
      </w:r>
    </w:p>
    <w:p w:rsidR="000723EC" w:rsidRPr="006F392E" w:rsidP="000723EC" w14:paraId="4E222827" w14:textId="77777777">
      <w:pPr>
        <w:widowControl w:val="0"/>
        <w:tabs>
          <w:tab w:val="left" w:pos="360"/>
          <w:tab w:val="left" w:pos="630"/>
          <w:tab w:val="left" w:pos="720"/>
          <w:tab w:val="left" w:pos="1080"/>
        </w:tabs>
        <w:spacing w:after="120"/>
        <w:rPr>
          <w:rFonts w:ascii="Times New Roman" w:hAnsi="Times New Roman"/>
          <w:szCs w:val="24"/>
        </w:rPr>
      </w:pPr>
      <w:r w:rsidRPr="004607F7">
        <w:rPr>
          <w:rFonts w:ascii="Times New Roman" w:hAnsi="Times New Roman"/>
          <w:szCs w:val="24"/>
        </w:rPr>
        <w:t xml:space="preserve">AmeriCorps will </w:t>
      </w:r>
      <w:r>
        <w:rPr>
          <w:rFonts w:ascii="Times New Roman" w:hAnsi="Times New Roman"/>
          <w:szCs w:val="24"/>
        </w:rPr>
        <w:t>disseminate the results as an</w:t>
      </w:r>
      <w:r w:rsidRPr="004607F7">
        <w:rPr>
          <w:rFonts w:ascii="Times New Roman" w:hAnsi="Times New Roman"/>
          <w:szCs w:val="24"/>
        </w:rPr>
        <w:t xml:space="preserve"> agency report to Congress and with the public through its website. The data collection will inform agency policy. All published reports </w:t>
      </w:r>
      <w:r w:rsidRPr="006F392E">
        <w:rPr>
          <w:rFonts w:ascii="Times New Roman" w:hAnsi="Times New Roman"/>
          <w:szCs w:val="24"/>
        </w:rPr>
        <w:t xml:space="preserve">will protect privacy as no personally identifiable information will be collected. </w:t>
      </w:r>
    </w:p>
    <w:p w:rsidR="000723EC" w:rsidP="000723EC" w14:paraId="0F6B3417" w14:textId="77777777">
      <w:pPr>
        <w:widowControl w:val="0"/>
        <w:tabs>
          <w:tab w:val="left" w:pos="360"/>
          <w:tab w:val="left" w:pos="630"/>
          <w:tab w:val="left" w:pos="720"/>
          <w:tab w:val="left" w:pos="1080"/>
        </w:tabs>
        <w:spacing w:before="120" w:after="120"/>
        <w:rPr>
          <w:rFonts w:ascii="Times New Roman" w:hAnsi="Times New Roman"/>
          <w:u w:val="single"/>
        </w:rPr>
      </w:pPr>
      <w:r>
        <w:rPr>
          <w:rFonts w:ascii="Times New Roman" w:hAnsi="Times New Roman"/>
          <w:u w:val="single"/>
        </w:rPr>
        <w:t>Specific Research Questions the Study will Address</w:t>
      </w:r>
    </w:p>
    <w:p w:rsidR="000723EC" w:rsidP="000723EC" w14:paraId="1EBA1A9E" w14:textId="77777777">
      <w:pPr>
        <w:widowControl w:val="0"/>
        <w:tabs>
          <w:tab w:val="left" w:pos="360"/>
          <w:tab w:val="left" w:pos="630"/>
          <w:tab w:val="left" w:pos="720"/>
          <w:tab w:val="left" w:pos="1080"/>
        </w:tabs>
        <w:spacing w:after="120"/>
        <w:rPr>
          <w:rFonts w:ascii="Times New Roman" w:hAnsi="Times New Roman"/>
          <w:szCs w:val="24"/>
        </w:rPr>
      </w:pPr>
      <w:r w:rsidRPr="004E1D3F">
        <w:rPr>
          <w:rFonts w:ascii="Times New Roman" w:hAnsi="Times New Roman"/>
          <w:szCs w:val="24"/>
        </w:rPr>
        <w:t>The information collection has four objectives, each with a set of research questions. The research question</w:t>
      </w:r>
      <w:r>
        <w:rPr>
          <w:rFonts w:ascii="Times New Roman" w:hAnsi="Times New Roman"/>
          <w:szCs w:val="24"/>
        </w:rPr>
        <w:t>s</w:t>
      </w:r>
      <w:r w:rsidRPr="004E1D3F">
        <w:rPr>
          <w:rFonts w:ascii="Times New Roman" w:hAnsi="Times New Roman"/>
          <w:szCs w:val="24"/>
        </w:rPr>
        <w:t xml:space="preserve"> under the first objective focus on gathering evidence of the effectivenes</w:t>
      </w:r>
      <w:r>
        <w:rPr>
          <w:rFonts w:ascii="Times New Roman" w:hAnsi="Times New Roman"/>
          <w:szCs w:val="24"/>
        </w:rPr>
        <w:t>s of the stipend and other benefits (e.g., health insurance, transportation) on the recruitment and retention of volunteers. The questions under the first objective are:</w:t>
      </w:r>
    </w:p>
    <w:p w:rsidR="000723EC" w:rsidRPr="005B2E9D" w:rsidP="000723EC" w14:paraId="649BE514" w14:textId="77777777">
      <w:pPr>
        <w:pStyle w:val="ListParagraph"/>
        <w:widowControl w:val="0"/>
        <w:numPr>
          <w:ilvl w:val="0"/>
          <w:numId w:val="3"/>
        </w:numPr>
        <w:overflowPunct/>
        <w:adjustRightInd/>
        <w:spacing w:before="120" w:after="120"/>
        <w:contextualSpacing w:val="0"/>
        <w:textAlignment w:val="auto"/>
        <w:rPr>
          <w:rFonts w:ascii="Times New Roman" w:eastAsia="Arial" w:hAnsi="Times New Roman"/>
          <w:szCs w:val="24"/>
        </w:rPr>
      </w:pPr>
      <w:r w:rsidRPr="005B2E9D">
        <w:rPr>
          <w:rFonts w:ascii="Times New Roman" w:hAnsi="Times New Roman"/>
          <w:szCs w:val="24"/>
        </w:rPr>
        <w:t>What are volunteers’ perceptions of the stipend and benefits?</w:t>
      </w:r>
    </w:p>
    <w:p w:rsidR="000723EC" w:rsidRPr="005B2E9D" w:rsidP="000723EC" w14:paraId="4BB02D9F" w14:textId="77777777">
      <w:pPr>
        <w:pStyle w:val="ListParagraph"/>
        <w:widowControl w:val="0"/>
        <w:numPr>
          <w:ilvl w:val="0"/>
          <w:numId w:val="3"/>
        </w:numPr>
        <w:overflowPunct/>
        <w:adjustRightInd/>
        <w:spacing w:before="120" w:after="120"/>
        <w:contextualSpacing w:val="0"/>
        <w:textAlignment w:val="auto"/>
        <w:rPr>
          <w:rFonts w:ascii="Times New Roman" w:eastAsia="Arial" w:hAnsi="Times New Roman"/>
          <w:szCs w:val="24"/>
        </w:rPr>
      </w:pPr>
      <w:r w:rsidRPr="005B2E9D">
        <w:rPr>
          <w:rFonts w:ascii="Times New Roman" w:hAnsi="Times New Roman"/>
          <w:szCs w:val="24"/>
        </w:rPr>
        <w:t>How do volunteers use the stipend?</w:t>
      </w:r>
    </w:p>
    <w:p w:rsidR="000723EC" w:rsidRPr="005B2E9D" w:rsidP="000723EC" w14:paraId="40D3022E" w14:textId="77777777">
      <w:pPr>
        <w:pStyle w:val="ListParagraph"/>
        <w:widowControl w:val="0"/>
        <w:numPr>
          <w:ilvl w:val="0"/>
          <w:numId w:val="3"/>
        </w:numPr>
        <w:overflowPunct/>
        <w:adjustRightInd/>
        <w:spacing w:before="120" w:after="120"/>
        <w:contextualSpacing w:val="0"/>
        <w:textAlignment w:val="auto"/>
        <w:rPr>
          <w:rFonts w:ascii="Times New Roman" w:eastAsia="Arial" w:hAnsi="Times New Roman"/>
          <w:szCs w:val="24"/>
        </w:rPr>
      </w:pPr>
      <w:r w:rsidRPr="005B2E9D">
        <w:rPr>
          <w:rFonts w:ascii="Times New Roman" w:hAnsi="Times New Roman"/>
          <w:szCs w:val="24"/>
        </w:rPr>
        <w:t>How important is the stipend in volunteers’ motivation to serve?</w:t>
      </w:r>
    </w:p>
    <w:p w:rsidR="000723EC" w:rsidRPr="005B2E9D" w:rsidP="000723EC" w14:paraId="7A077B3F" w14:textId="77777777">
      <w:pPr>
        <w:pStyle w:val="ListParagraph"/>
        <w:widowControl w:val="0"/>
        <w:numPr>
          <w:ilvl w:val="0"/>
          <w:numId w:val="3"/>
        </w:numPr>
        <w:overflowPunct/>
        <w:adjustRightInd/>
        <w:spacing w:before="120" w:after="120"/>
        <w:contextualSpacing w:val="0"/>
        <w:textAlignment w:val="auto"/>
        <w:rPr>
          <w:rFonts w:ascii="Times New Roman" w:eastAsia="Arial" w:hAnsi="Times New Roman"/>
          <w:szCs w:val="24"/>
        </w:rPr>
      </w:pPr>
      <w:r w:rsidRPr="005B2E9D">
        <w:rPr>
          <w:rFonts w:ascii="Times New Roman" w:hAnsi="Times New Roman"/>
          <w:szCs w:val="24"/>
        </w:rPr>
        <w:t>How does the stipend</w:t>
      </w:r>
      <w:r>
        <w:rPr>
          <w:rFonts w:ascii="Times New Roman" w:hAnsi="Times New Roman"/>
          <w:szCs w:val="24"/>
        </w:rPr>
        <w:t xml:space="preserve"> </w:t>
      </w:r>
      <w:r w:rsidRPr="005B2E9D">
        <w:rPr>
          <w:rFonts w:ascii="Times New Roman" w:hAnsi="Times New Roman"/>
          <w:szCs w:val="24"/>
        </w:rPr>
        <w:t>and benefits affect economic well-being (e.g., the ability to purchase certain goods that could have not been afforded otherwise)?</w:t>
      </w:r>
    </w:p>
    <w:p w:rsidR="000723EC" w:rsidRPr="005B2E9D" w:rsidP="000723EC" w14:paraId="0C10063E" w14:textId="77777777">
      <w:pPr>
        <w:pStyle w:val="ListParagraph"/>
        <w:widowControl w:val="0"/>
        <w:numPr>
          <w:ilvl w:val="0"/>
          <w:numId w:val="3"/>
        </w:numPr>
        <w:overflowPunct/>
        <w:adjustRightInd/>
        <w:spacing w:before="120" w:after="120"/>
        <w:contextualSpacing w:val="0"/>
        <w:textAlignment w:val="auto"/>
        <w:rPr>
          <w:rFonts w:ascii="Times New Roman" w:eastAsia="Arial" w:hAnsi="Times New Roman"/>
          <w:szCs w:val="24"/>
        </w:rPr>
      </w:pPr>
      <w:r w:rsidRPr="005B2E9D">
        <w:rPr>
          <w:rFonts w:ascii="Times New Roman" w:hAnsi="Times New Roman"/>
          <w:szCs w:val="24"/>
        </w:rPr>
        <w:t>Is there an optimal stipend amount?</w:t>
      </w:r>
    </w:p>
    <w:p w:rsidR="000723EC" w:rsidRPr="005B2E9D" w:rsidP="000723EC" w14:paraId="5DCC30CB" w14:textId="77777777">
      <w:pPr>
        <w:pStyle w:val="ListParagraph"/>
        <w:widowControl w:val="0"/>
        <w:numPr>
          <w:ilvl w:val="0"/>
          <w:numId w:val="3"/>
        </w:numPr>
        <w:overflowPunct/>
        <w:adjustRightInd/>
        <w:spacing w:before="120" w:after="120"/>
        <w:contextualSpacing w:val="0"/>
        <w:textAlignment w:val="auto"/>
        <w:rPr>
          <w:rFonts w:ascii="Times New Roman" w:hAnsi="Times New Roman"/>
          <w:szCs w:val="24"/>
        </w:rPr>
      </w:pPr>
      <w:r w:rsidRPr="005B2E9D">
        <w:rPr>
          <w:rFonts w:ascii="Times New Roman" w:hAnsi="Times New Roman"/>
          <w:szCs w:val="24"/>
        </w:rPr>
        <w:t>How do grantees use the stipend</w:t>
      </w:r>
      <w:r>
        <w:rPr>
          <w:rFonts w:ascii="Times New Roman" w:hAnsi="Times New Roman"/>
          <w:szCs w:val="24"/>
        </w:rPr>
        <w:t xml:space="preserve"> </w:t>
      </w:r>
      <w:r w:rsidRPr="005B2E9D">
        <w:rPr>
          <w:rFonts w:ascii="Times New Roman" w:hAnsi="Times New Roman"/>
          <w:szCs w:val="24"/>
        </w:rPr>
        <w:t>and benefits for their volunteer recruitment and retention strategies?</w:t>
      </w:r>
    </w:p>
    <w:p w:rsidR="000723EC" w:rsidP="000723EC" w14:paraId="7D78C564" w14:textId="77777777">
      <w:pPr>
        <w:widowControl w:val="0"/>
        <w:tabs>
          <w:tab w:val="left" w:pos="360"/>
          <w:tab w:val="left" w:pos="630"/>
          <w:tab w:val="left" w:pos="720"/>
          <w:tab w:val="left" w:pos="1080"/>
        </w:tabs>
        <w:spacing w:after="120"/>
        <w:rPr>
          <w:rFonts w:ascii="Times New Roman" w:hAnsi="Times New Roman"/>
          <w:szCs w:val="24"/>
        </w:rPr>
      </w:pPr>
      <w:r>
        <w:rPr>
          <w:rFonts w:ascii="Times New Roman" w:hAnsi="Times New Roman"/>
          <w:szCs w:val="24"/>
        </w:rPr>
        <w:t>The evidence from this objective will inform discussion about changes in policies and program guidance on the stipend and other benefits set forth by AmeriCorps to support and strengthen grantees' recruitment and retention efforts.</w:t>
      </w:r>
    </w:p>
    <w:p w:rsidR="000723EC" w:rsidP="000723EC" w14:paraId="1D3991E1" w14:textId="77777777">
      <w:pPr>
        <w:widowControl w:val="0"/>
        <w:tabs>
          <w:tab w:val="left" w:pos="360"/>
          <w:tab w:val="left" w:pos="630"/>
          <w:tab w:val="left" w:pos="720"/>
          <w:tab w:val="left" w:pos="1080"/>
        </w:tabs>
        <w:spacing w:after="120"/>
        <w:rPr>
          <w:rFonts w:ascii="Times New Roman" w:hAnsi="Times New Roman"/>
          <w:szCs w:val="24"/>
        </w:rPr>
      </w:pPr>
      <w:r>
        <w:rPr>
          <w:rFonts w:ascii="Times New Roman" w:hAnsi="Times New Roman"/>
          <w:szCs w:val="24"/>
        </w:rPr>
        <w:t xml:space="preserve">The research questions under the second objective focus on gathering evidence on grantees’ </w:t>
      </w:r>
      <w:r w:rsidRPr="003F206C">
        <w:rPr>
          <w:rFonts w:ascii="Times New Roman" w:hAnsi="Times New Roman"/>
          <w:szCs w:val="24"/>
        </w:rPr>
        <w:t xml:space="preserve">current programmatic structure and service delivery </w:t>
      </w:r>
      <w:r>
        <w:rPr>
          <w:rFonts w:ascii="Times New Roman" w:hAnsi="Times New Roman"/>
          <w:szCs w:val="24"/>
        </w:rPr>
        <w:t>processes, as well as the variation that exists across grantees and their stations. The questions under the second objective are:</w:t>
      </w:r>
    </w:p>
    <w:p w:rsidR="000723EC" w:rsidRPr="005B2E9D" w:rsidP="000723EC" w14:paraId="449E24A7" w14:textId="77777777">
      <w:pPr>
        <w:pStyle w:val="ListParagraph"/>
        <w:numPr>
          <w:ilvl w:val="0"/>
          <w:numId w:val="4"/>
        </w:numPr>
        <w:overflowPunct/>
        <w:autoSpaceDE/>
        <w:autoSpaceDN/>
        <w:adjustRightInd/>
        <w:textAlignment w:val="auto"/>
        <w:rPr>
          <w:rFonts w:ascii="Times New Roman" w:hAnsi="Times New Roman"/>
          <w:szCs w:val="24"/>
        </w:rPr>
      </w:pPr>
      <w:r w:rsidRPr="005B2E9D">
        <w:rPr>
          <w:rFonts w:ascii="Times New Roman" w:hAnsi="Times New Roman"/>
          <w:szCs w:val="24"/>
        </w:rPr>
        <w:t>What is the current mix of service delivery methods (e.g., in person, virtual</w:t>
      </w:r>
      <w:r>
        <w:rPr>
          <w:rFonts w:ascii="Times New Roman" w:hAnsi="Times New Roman"/>
          <w:szCs w:val="24"/>
        </w:rPr>
        <w:t>,</w:t>
      </w:r>
      <w:r w:rsidRPr="005B2E9D">
        <w:rPr>
          <w:rFonts w:ascii="Times New Roman" w:hAnsi="Times New Roman"/>
          <w:szCs w:val="24"/>
        </w:rPr>
        <w:t xml:space="preserve"> remote, </w:t>
      </w:r>
      <w:r>
        <w:rPr>
          <w:rFonts w:ascii="Times New Roman" w:hAnsi="Times New Roman"/>
          <w:szCs w:val="24"/>
        </w:rPr>
        <w:t>socially distant</w:t>
      </w:r>
      <w:r w:rsidRPr="005B2E9D">
        <w:rPr>
          <w:rFonts w:ascii="Times New Roman" w:hAnsi="Times New Roman"/>
          <w:szCs w:val="24"/>
        </w:rPr>
        <w:t>)?</w:t>
      </w:r>
    </w:p>
    <w:p w:rsidR="000723EC" w:rsidRPr="005B2E9D" w:rsidP="000723EC" w14:paraId="01F0F230" w14:textId="77777777">
      <w:pPr>
        <w:pStyle w:val="ListParagraph"/>
        <w:numPr>
          <w:ilvl w:val="0"/>
          <w:numId w:val="4"/>
        </w:numPr>
        <w:overflowPunct/>
        <w:autoSpaceDE/>
        <w:autoSpaceDN/>
        <w:adjustRightInd/>
        <w:textAlignment w:val="auto"/>
        <w:rPr>
          <w:rFonts w:ascii="Times New Roman" w:hAnsi="Times New Roman"/>
          <w:szCs w:val="24"/>
        </w:rPr>
      </w:pPr>
      <w:r w:rsidRPr="005B2E9D">
        <w:rPr>
          <w:rFonts w:ascii="Times New Roman" w:hAnsi="Times New Roman"/>
          <w:szCs w:val="24"/>
        </w:rPr>
        <w:t xml:space="preserve">To what degree </w:t>
      </w:r>
      <w:r w:rsidRPr="004607F7">
        <w:rPr>
          <w:rFonts w:ascii="Times New Roman" w:hAnsi="Times New Roman"/>
          <w:szCs w:val="24"/>
        </w:rPr>
        <w:t xml:space="preserve">is </w:t>
      </w:r>
      <w:r w:rsidRPr="005B2E9D">
        <w:rPr>
          <w:rFonts w:ascii="Times New Roman" w:hAnsi="Times New Roman"/>
          <w:szCs w:val="24"/>
        </w:rPr>
        <w:t>virtual, remote</w:t>
      </w:r>
      <w:r>
        <w:rPr>
          <w:rFonts w:ascii="Times New Roman" w:hAnsi="Times New Roman"/>
          <w:szCs w:val="24"/>
        </w:rPr>
        <w:t xml:space="preserve">, </w:t>
      </w:r>
      <w:r w:rsidRPr="005B2E9D">
        <w:rPr>
          <w:rFonts w:ascii="Times New Roman" w:hAnsi="Times New Roman"/>
          <w:szCs w:val="24"/>
        </w:rPr>
        <w:t xml:space="preserve">and </w:t>
      </w:r>
      <w:r>
        <w:rPr>
          <w:rFonts w:ascii="Times New Roman" w:hAnsi="Times New Roman"/>
          <w:szCs w:val="24"/>
        </w:rPr>
        <w:t>socially distant</w:t>
      </w:r>
      <w:r w:rsidRPr="005B2E9D">
        <w:rPr>
          <w:rFonts w:ascii="Times New Roman" w:hAnsi="Times New Roman"/>
          <w:szCs w:val="24"/>
        </w:rPr>
        <w:t xml:space="preserve"> service delivery methods permanent or transitory?</w:t>
      </w:r>
    </w:p>
    <w:p w:rsidR="000723EC" w:rsidRPr="005B2E9D" w:rsidP="000723EC" w14:paraId="1387D4E9" w14:textId="77777777">
      <w:pPr>
        <w:pStyle w:val="ListParagraph"/>
        <w:numPr>
          <w:ilvl w:val="0"/>
          <w:numId w:val="4"/>
        </w:numPr>
        <w:overflowPunct/>
        <w:autoSpaceDE/>
        <w:autoSpaceDN/>
        <w:adjustRightInd/>
        <w:textAlignment w:val="auto"/>
        <w:rPr>
          <w:rFonts w:ascii="Times New Roman" w:hAnsi="Times New Roman"/>
          <w:szCs w:val="24"/>
        </w:rPr>
      </w:pPr>
      <w:r w:rsidRPr="005B2E9D">
        <w:rPr>
          <w:rFonts w:ascii="Times New Roman" w:hAnsi="Times New Roman"/>
          <w:szCs w:val="24"/>
        </w:rPr>
        <w:t>What factors contributed to grantees and stations’ ability to adjust their service delivery in response to Covid?</w:t>
      </w:r>
    </w:p>
    <w:p w:rsidR="000723EC" w:rsidRPr="005B2E9D" w:rsidP="000723EC" w14:paraId="5CFFAE56" w14:textId="77777777">
      <w:pPr>
        <w:pStyle w:val="ListParagraph"/>
        <w:numPr>
          <w:ilvl w:val="0"/>
          <w:numId w:val="4"/>
        </w:numPr>
        <w:overflowPunct/>
        <w:autoSpaceDE/>
        <w:autoSpaceDN/>
        <w:adjustRightInd/>
        <w:textAlignment w:val="auto"/>
        <w:rPr>
          <w:rFonts w:ascii="Times New Roman" w:hAnsi="Times New Roman"/>
          <w:szCs w:val="24"/>
        </w:rPr>
      </w:pPr>
      <w:r w:rsidRPr="005B2E9D">
        <w:rPr>
          <w:rFonts w:ascii="Times New Roman" w:hAnsi="Times New Roman"/>
          <w:szCs w:val="24"/>
        </w:rPr>
        <w:t xml:space="preserve">How do service delivery methods differ by geographic areas? </w:t>
      </w:r>
    </w:p>
    <w:p w:rsidR="000723EC" w:rsidRPr="005B2E9D" w:rsidP="000723EC" w14:paraId="57CFF2DB" w14:textId="77777777">
      <w:pPr>
        <w:pStyle w:val="ListParagraph"/>
        <w:numPr>
          <w:ilvl w:val="0"/>
          <w:numId w:val="4"/>
        </w:numPr>
        <w:overflowPunct/>
        <w:autoSpaceDE/>
        <w:autoSpaceDN/>
        <w:adjustRightInd/>
        <w:textAlignment w:val="auto"/>
        <w:rPr>
          <w:rFonts w:ascii="Times New Roman" w:hAnsi="Times New Roman"/>
          <w:szCs w:val="24"/>
        </w:rPr>
      </w:pPr>
      <w:r w:rsidRPr="005B2E9D">
        <w:rPr>
          <w:rFonts w:ascii="Times New Roman" w:hAnsi="Times New Roman"/>
          <w:szCs w:val="24"/>
        </w:rPr>
        <w:t xml:space="preserve">To what extent do service delivery methods differ by types of stations (e.g., focus areas, organization characteristics)? </w:t>
      </w:r>
    </w:p>
    <w:p w:rsidR="000723EC" w:rsidRPr="005B2E9D" w:rsidP="000723EC" w14:paraId="5FA49EB0" w14:textId="77777777">
      <w:pPr>
        <w:pStyle w:val="ListParagraph"/>
        <w:numPr>
          <w:ilvl w:val="0"/>
          <w:numId w:val="4"/>
        </w:numPr>
        <w:overflowPunct/>
        <w:autoSpaceDE/>
        <w:autoSpaceDN/>
        <w:adjustRightInd/>
        <w:textAlignment w:val="auto"/>
        <w:rPr>
          <w:rFonts w:ascii="Times New Roman" w:hAnsi="Times New Roman"/>
          <w:szCs w:val="24"/>
        </w:rPr>
      </w:pPr>
      <w:r w:rsidRPr="005B2E9D">
        <w:rPr>
          <w:rFonts w:ascii="Times New Roman" w:hAnsi="Times New Roman"/>
          <w:szCs w:val="24"/>
        </w:rPr>
        <w:t>To what extent do service delivery methods differ in communities with different levels of Covid infection?</w:t>
      </w:r>
    </w:p>
    <w:p w:rsidR="000723EC" w:rsidRPr="005B2E9D" w:rsidP="000723EC" w14:paraId="4968ABB1" w14:textId="77777777">
      <w:pPr>
        <w:pStyle w:val="ListParagraph"/>
        <w:numPr>
          <w:ilvl w:val="0"/>
          <w:numId w:val="4"/>
        </w:numPr>
        <w:overflowPunct/>
        <w:autoSpaceDE/>
        <w:autoSpaceDN/>
        <w:adjustRightInd/>
        <w:textAlignment w:val="auto"/>
        <w:rPr>
          <w:rFonts w:ascii="Times New Roman" w:hAnsi="Times New Roman"/>
          <w:szCs w:val="24"/>
        </w:rPr>
      </w:pPr>
      <w:r w:rsidRPr="005B2E9D">
        <w:rPr>
          <w:rFonts w:ascii="Times New Roman" w:hAnsi="Times New Roman"/>
          <w:szCs w:val="24"/>
        </w:rPr>
        <w:t>To what extent do community Covid health outcomes and policy contribute to differences in service delivery methods by focus areas and grantee characteristics?</w:t>
      </w:r>
    </w:p>
    <w:p w:rsidR="000723EC" w:rsidRPr="005B2E9D" w:rsidP="000723EC" w14:paraId="4F8F7267" w14:textId="77777777">
      <w:pPr>
        <w:pStyle w:val="ListParagraph"/>
        <w:numPr>
          <w:ilvl w:val="0"/>
          <w:numId w:val="4"/>
        </w:numPr>
        <w:overflowPunct/>
        <w:autoSpaceDE/>
        <w:autoSpaceDN/>
        <w:adjustRightInd/>
        <w:textAlignment w:val="auto"/>
        <w:rPr>
          <w:rFonts w:ascii="Times New Roman" w:hAnsi="Times New Roman"/>
          <w:szCs w:val="24"/>
        </w:rPr>
      </w:pPr>
      <w:r w:rsidRPr="00AC5D55">
        <w:rPr>
          <w:rFonts w:ascii="Times New Roman" w:hAnsi="Times New Roman"/>
          <w:szCs w:val="24"/>
        </w:rPr>
        <w:t>What are the barriers and facilitators to recruitment and retention across stations?</w:t>
      </w:r>
      <w:r w:rsidRPr="005B2E9D">
        <w:rPr>
          <w:rFonts w:ascii="Times New Roman" w:hAnsi="Times New Roman"/>
          <w:szCs w:val="24"/>
        </w:rPr>
        <w:t xml:space="preserve"> What are the differences by station focus areas? To what extent does any shift in volunteer recruitment affect </w:t>
      </w:r>
      <w:r>
        <w:rPr>
          <w:rFonts w:ascii="Times New Roman" w:hAnsi="Times New Roman"/>
          <w:szCs w:val="24"/>
        </w:rPr>
        <w:t>the station's</w:t>
      </w:r>
      <w:r w:rsidRPr="005B2E9D">
        <w:rPr>
          <w:rFonts w:ascii="Times New Roman" w:hAnsi="Times New Roman"/>
          <w:szCs w:val="24"/>
        </w:rPr>
        <w:t xml:space="preserve"> capacity to serve beneficiaries and the communities?</w:t>
      </w:r>
    </w:p>
    <w:p w:rsidR="000723EC" w:rsidP="000723EC" w14:paraId="4D24AFBC" w14:textId="77777777">
      <w:pPr>
        <w:widowControl w:val="0"/>
        <w:tabs>
          <w:tab w:val="left" w:pos="360"/>
          <w:tab w:val="left" w:pos="630"/>
          <w:tab w:val="left" w:pos="720"/>
          <w:tab w:val="left" w:pos="1080"/>
        </w:tabs>
        <w:spacing w:before="120" w:after="120"/>
        <w:rPr>
          <w:rFonts w:ascii="Times New Roman" w:hAnsi="Times New Roman"/>
          <w:szCs w:val="24"/>
        </w:rPr>
      </w:pPr>
      <w:r>
        <w:rPr>
          <w:rFonts w:ascii="Times New Roman" w:hAnsi="Times New Roman"/>
          <w:szCs w:val="24"/>
        </w:rPr>
        <w:t>The evidence from the third objective will inform how best to adjust policies and program guidance that lay the foundation for a flexible infrastructure that allows grantees and their stations to adeptly respond to changing community needs while remaining strong stewards of the Federal investment.</w:t>
      </w:r>
    </w:p>
    <w:p w:rsidR="000723EC" w:rsidP="000723EC" w14:paraId="1376A2BB" w14:textId="77777777">
      <w:pPr>
        <w:widowControl w:val="0"/>
        <w:tabs>
          <w:tab w:val="left" w:pos="360"/>
          <w:tab w:val="left" w:pos="630"/>
          <w:tab w:val="left" w:pos="720"/>
          <w:tab w:val="left" w:pos="1080"/>
        </w:tabs>
        <w:spacing w:after="120"/>
        <w:rPr>
          <w:rFonts w:ascii="Times New Roman" w:hAnsi="Times New Roman"/>
          <w:szCs w:val="24"/>
        </w:rPr>
      </w:pPr>
      <w:r>
        <w:rPr>
          <w:rFonts w:ascii="Times New Roman" w:hAnsi="Times New Roman"/>
          <w:szCs w:val="24"/>
        </w:rPr>
        <w:t xml:space="preserve">The third objective will inform the psychosocial health and mental health benefits to volunteers and the beneficiaries. The research questions are: </w:t>
      </w:r>
    </w:p>
    <w:p w:rsidR="000723EC" w:rsidRPr="0099242A" w:rsidP="000723EC" w14:paraId="494D94D5" w14:textId="77777777">
      <w:pPr>
        <w:pStyle w:val="ListParagraph"/>
        <w:numPr>
          <w:ilvl w:val="0"/>
          <w:numId w:val="5"/>
        </w:numPr>
        <w:overflowPunct/>
        <w:autoSpaceDE/>
        <w:autoSpaceDN/>
        <w:adjustRightInd/>
        <w:textAlignment w:val="auto"/>
        <w:rPr>
          <w:rFonts w:ascii="Times New Roman" w:hAnsi="Times New Roman"/>
          <w:szCs w:val="24"/>
        </w:rPr>
      </w:pPr>
      <w:r w:rsidRPr="0099242A">
        <w:rPr>
          <w:rFonts w:ascii="Times New Roman" w:hAnsi="Times New Roman"/>
          <w:szCs w:val="24"/>
        </w:rPr>
        <w:t>How do current volunteers’ demographic characteristics differ from years prior to Covid?</w:t>
      </w:r>
    </w:p>
    <w:p w:rsidR="000723EC" w:rsidRPr="0099242A" w:rsidP="000723EC" w14:paraId="4053925C" w14:textId="77777777">
      <w:pPr>
        <w:pStyle w:val="ListParagraph"/>
        <w:numPr>
          <w:ilvl w:val="0"/>
          <w:numId w:val="5"/>
        </w:numPr>
        <w:overflowPunct/>
        <w:autoSpaceDE/>
        <w:autoSpaceDN/>
        <w:adjustRightInd/>
        <w:textAlignment w:val="auto"/>
        <w:rPr>
          <w:rFonts w:ascii="Times New Roman" w:hAnsi="Times New Roman"/>
          <w:szCs w:val="24"/>
        </w:rPr>
      </w:pPr>
      <w:r w:rsidRPr="0099242A">
        <w:rPr>
          <w:rFonts w:ascii="Times New Roman" w:hAnsi="Times New Roman"/>
          <w:szCs w:val="24"/>
        </w:rPr>
        <w:t>What are the levels of volunteer commitment hours? How do current levels of volunteer commitment hours differ from years prior to Covid?</w:t>
      </w:r>
    </w:p>
    <w:p w:rsidR="000723EC" w:rsidRPr="0099242A" w:rsidP="000723EC" w14:paraId="6122AB3C" w14:textId="77777777">
      <w:pPr>
        <w:pStyle w:val="ListParagraph"/>
        <w:numPr>
          <w:ilvl w:val="0"/>
          <w:numId w:val="5"/>
        </w:numPr>
        <w:overflowPunct/>
        <w:autoSpaceDE/>
        <w:autoSpaceDN/>
        <w:adjustRightInd/>
        <w:textAlignment w:val="auto"/>
        <w:rPr>
          <w:rFonts w:ascii="Times New Roman" w:hAnsi="Times New Roman"/>
          <w:szCs w:val="24"/>
        </w:rPr>
      </w:pPr>
      <w:r w:rsidRPr="0099242A">
        <w:rPr>
          <w:rFonts w:ascii="Times New Roman" w:hAnsi="Times New Roman"/>
          <w:szCs w:val="24"/>
        </w:rPr>
        <w:t xml:space="preserve">To what extent are there differences in volunteer service experience (e.g., volunteer satisfaction, volunteer commitments) and community engagement? What are the differences by types of stations (e.g., focus areas, type of service delivery)? </w:t>
      </w:r>
    </w:p>
    <w:p w:rsidR="000723EC" w:rsidRPr="0099242A" w:rsidP="000723EC" w14:paraId="0A101882" w14:textId="77777777">
      <w:pPr>
        <w:pStyle w:val="ListParagraph"/>
        <w:numPr>
          <w:ilvl w:val="0"/>
          <w:numId w:val="5"/>
        </w:numPr>
        <w:overflowPunct/>
        <w:autoSpaceDE/>
        <w:autoSpaceDN/>
        <w:adjustRightInd/>
        <w:textAlignment w:val="auto"/>
        <w:rPr>
          <w:rFonts w:ascii="Times New Roman" w:hAnsi="Times New Roman"/>
          <w:szCs w:val="24"/>
        </w:rPr>
      </w:pPr>
      <w:r w:rsidRPr="0099242A">
        <w:rPr>
          <w:rFonts w:ascii="Times New Roman" w:hAnsi="Times New Roman"/>
          <w:szCs w:val="24"/>
        </w:rPr>
        <w:t>What programmatic and policy components contribute to volunteer recruitment and retention? What are the barriers and facilitators to recruitment and retention?</w:t>
      </w:r>
    </w:p>
    <w:p w:rsidR="000723EC" w:rsidRPr="0099242A" w:rsidP="000723EC" w14:paraId="2688E26F" w14:textId="77777777">
      <w:pPr>
        <w:pStyle w:val="ListParagraph"/>
        <w:numPr>
          <w:ilvl w:val="0"/>
          <w:numId w:val="5"/>
        </w:numPr>
        <w:overflowPunct/>
        <w:autoSpaceDE/>
        <w:autoSpaceDN/>
        <w:adjustRightInd/>
        <w:textAlignment w:val="auto"/>
        <w:rPr>
          <w:rFonts w:ascii="Times New Roman" w:hAnsi="Times New Roman"/>
          <w:szCs w:val="24"/>
        </w:rPr>
      </w:pPr>
      <w:r w:rsidRPr="0099242A">
        <w:rPr>
          <w:rFonts w:ascii="Times New Roman" w:hAnsi="Times New Roman"/>
          <w:szCs w:val="24"/>
        </w:rPr>
        <w:t xml:space="preserve">What factors influence volunteer </w:t>
      </w:r>
      <w:r>
        <w:rPr>
          <w:rFonts w:ascii="Times New Roman" w:hAnsi="Times New Roman"/>
          <w:szCs w:val="24"/>
        </w:rPr>
        <w:t>retention</w:t>
      </w:r>
      <w:r w:rsidRPr="0099242A">
        <w:rPr>
          <w:rFonts w:ascii="Times New Roman" w:hAnsi="Times New Roman"/>
          <w:szCs w:val="24"/>
        </w:rPr>
        <w:t xml:space="preserve">? </w:t>
      </w:r>
    </w:p>
    <w:p w:rsidR="000723EC" w:rsidRPr="0099242A" w:rsidP="000723EC" w14:paraId="6C63806F" w14:textId="77777777">
      <w:pPr>
        <w:pStyle w:val="ListParagraph"/>
        <w:numPr>
          <w:ilvl w:val="0"/>
          <w:numId w:val="5"/>
        </w:numPr>
        <w:overflowPunct/>
        <w:autoSpaceDE/>
        <w:autoSpaceDN/>
        <w:adjustRightInd/>
        <w:textAlignment w:val="auto"/>
        <w:rPr>
          <w:rFonts w:ascii="Times New Roman" w:hAnsi="Times New Roman"/>
          <w:szCs w:val="24"/>
        </w:rPr>
      </w:pPr>
      <w:r w:rsidRPr="0099242A">
        <w:rPr>
          <w:rFonts w:ascii="Times New Roman" w:hAnsi="Times New Roman"/>
          <w:szCs w:val="24"/>
        </w:rPr>
        <w:t xml:space="preserve">How satisfied are volunteers with existing operating conditions (examples, Standard Operating Procedures (SOPs) for face-to-face, virtual, </w:t>
      </w:r>
      <w:r>
        <w:rPr>
          <w:rFonts w:ascii="Times New Roman" w:hAnsi="Times New Roman"/>
          <w:szCs w:val="24"/>
        </w:rPr>
        <w:t>remoter, socially distant</w:t>
      </w:r>
      <w:r w:rsidRPr="0099242A">
        <w:rPr>
          <w:rFonts w:ascii="Times New Roman" w:hAnsi="Times New Roman"/>
          <w:szCs w:val="24"/>
        </w:rPr>
        <w:t>)?</w:t>
      </w:r>
    </w:p>
    <w:p w:rsidR="000723EC" w:rsidRPr="0099242A" w:rsidP="000723EC" w14:paraId="4043006F" w14:textId="77777777">
      <w:pPr>
        <w:pStyle w:val="ListParagraph"/>
        <w:numPr>
          <w:ilvl w:val="0"/>
          <w:numId w:val="5"/>
        </w:numPr>
        <w:overflowPunct/>
        <w:autoSpaceDE/>
        <w:autoSpaceDN/>
        <w:adjustRightInd/>
        <w:textAlignment w:val="auto"/>
        <w:rPr>
          <w:rFonts w:ascii="Times New Roman" w:hAnsi="Times New Roman"/>
          <w:szCs w:val="24"/>
        </w:rPr>
      </w:pPr>
      <w:r w:rsidRPr="0099242A">
        <w:rPr>
          <w:rFonts w:ascii="Times New Roman" w:hAnsi="Times New Roman"/>
          <w:szCs w:val="24"/>
        </w:rPr>
        <w:t>What are volunteers</w:t>
      </w:r>
      <w:r>
        <w:rPr>
          <w:rFonts w:ascii="Times New Roman" w:hAnsi="Times New Roman"/>
          <w:szCs w:val="24"/>
        </w:rPr>
        <w:t>’</w:t>
      </w:r>
      <w:r w:rsidRPr="0099242A">
        <w:rPr>
          <w:rFonts w:ascii="Times New Roman" w:hAnsi="Times New Roman"/>
          <w:szCs w:val="24"/>
        </w:rPr>
        <w:t xml:space="preserve"> health and psychosocial outcomes? How do </w:t>
      </w:r>
      <w:r>
        <w:rPr>
          <w:rFonts w:ascii="Times New Roman" w:hAnsi="Times New Roman"/>
          <w:szCs w:val="24"/>
        </w:rPr>
        <w:t>volunteers'</w:t>
      </w:r>
      <w:r w:rsidRPr="0099242A">
        <w:rPr>
          <w:rFonts w:ascii="Times New Roman" w:hAnsi="Times New Roman"/>
          <w:szCs w:val="24"/>
        </w:rPr>
        <w:t xml:space="preserve"> health and psychosocial outcomes compare to those </w:t>
      </w:r>
      <w:r>
        <w:rPr>
          <w:rFonts w:ascii="Times New Roman" w:hAnsi="Times New Roman"/>
          <w:szCs w:val="24"/>
        </w:rPr>
        <w:t>who</w:t>
      </w:r>
      <w:r w:rsidRPr="0099242A">
        <w:rPr>
          <w:rFonts w:ascii="Times New Roman" w:hAnsi="Times New Roman"/>
          <w:szCs w:val="24"/>
        </w:rPr>
        <w:t xml:space="preserve"> no longer volunteer? </w:t>
      </w:r>
    </w:p>
    <w:p w:rsidR="000723EC" w:rsidRPr="0099242A" w:rsidP="000723EC" w14:paraId="6574818E" w14:textId="77777777">
      <w:pPr>
        <w:pStyle w:val="ListParagraph"/>
        <w:numPr>
          <w:ilvl w:val="0"/>
          <w:numId w:val="5"/>
        </w:numPr>
        <w:overflowPunct/>
        <w:autoSpaceDE/>
        <w:autoSpaceDN/>
        <w:adjustRightInd/>
        <w:textAlignment w:val="auto"/>
        <w:rPr>
          <w:rFonts w:ascii="Times New Roman" w:hAnsi="Times New Roman"/>
          <w:szCs w:val="24"/>
        </w:rPr>
      </w:pPr>
      <w:r w:rsidRPr="0099242A">
        <w:rPr>
          <w:rFonts w:ascii="Times New Roman" w:hAnsi="Times New Roman"/>
          <w:szCs w:val="24"/>
        </w:rPr>
        <w:t xml:space="preserve">Are there differences in volunteer outcomes by type of service delivery methods? What are the programmatic components associated with volunteer outcomes? </w:t>
      </w:r>
    </w:p>
    <w:p w:rsidR="000723EC" w:rsidRPr="0099242A" w:rsidP="000723EC" w14:paraId="419B1F9E" w14:textId="77777777">
      <w:pPr>
        <w:pStyle w:val="ListParagraph"/>
        <w:numPr>
          <w:ilvl w:val="0"/>
          <w:numId w:val="5"/>
        </w:numPr>
        <w:overflowPunct/>
        <w:autoSpaceDE/>
        <w:autoSpaceDN/>
        <w:adjustRightInd/>
        <w:textAlignment w:val="auto"/>
        <w:rPr>
          <w:rFonts w:ascii="Times New Roman" w:hAnsi="Times New Roman"/>
          <w:szCs w:val="24"/>
        </w:rPr>
      </w:pPr>
      <w:r w:rsidRPr="0099242A">
        <w:rPr>
          <w:rFonts w:ascii="Times New Roman" w:hAnsi="Times New Roman"/>
          <w:szCs w:val="24"/>
        </w:rPr>
        <w:t>Are there differences in beneficiary outcomes by type of service delivery methods? What are the programmatic components associated with beneficiaries</w:t>
      </w:r>
      <w:r>
        <w:rPr>
          <w:rFonts w:ascii="Times New Roman" w:hAnsi="Times New Roman"/>
          <w:szCs w:val="24"/>
        </w:rPr>
        <w:t>’</w:t>
      </w:r>
      <w:r w:rsidRPr="0099242A">
        <w:rPr>
          <w:rFonts w:ascii="Times New Roman" w:hAnsi="Times New Roman"/>
          <w:szCs w:val="24"/>
        </w:rPr>
        <w:t xml:space="preserve"> outcomes? </w:t>
      </w:r>
    </w:p>
    <w:p w:rsidR="000723EC" w:rsidRPr="0099242A" w:rsidP="000723EC" w14:paraId="7718D3FA" w14:textId="77777777">
      <w:pPr>
        <w:pStyle w:val="ListParagraph"/>
        <w:numPr>
          <w:ilvl w:val="0"/>
          <w:numId w:val="5"/>
        </w:numPr>
        <w:overflowPunct/>
        <w:autoSpaceDE/>
        <w:autoSpaceDN/>
        <w:adjustRightInd/>
        <w:textAlignment w:val="auto"/>
        <w:rPr>
          <w:rFonts w:ascii="Times New Roman" w:hAnsi="Times New Roman"/>
          <w:szCs w:val="24"/>
        </w:rPr>
      </w:pPr>
      <w:r w:rsidRPr="0099242A">
        <w:rPr>
          <w:rFonts w:ascii="Times New Roman" w:hAnsi="Times New Roman"/>
          <w:szCs w:val="24"/>
        </w:rPr>
        <w:t>What factors contribute to volunteers’ ability to adjust to the service experience (e.g., degree of volunteer interaction, satisfaction among volunteers)?</w:t>
      </w:r>
    </w:p>
    <w:p w:rsidR="000723EC" w:rsidRPr="0099242A" w:rsidP="000723EC" w14:paraId="0E890706" w14:textId="77777777">
      <w:pPr>
        <w:pStyle w:val="ListParagraph"/>
        <w:numPr>
          <w:ilvl w:val="0"/>
          <w:numId w:val="5"/>
        </w:numPr>
        <w:overflowPunct/>
        <w:autoSpaceDE/>
        <w:autoSpaceDN/>
        <w:adjustRightInd/>
        <w:textAlignment w:val="auto"/>
        <w:rPr>
          <w:rFonts w:ascii="Times New Roman" w:hAnsi="Times New Roman"/>
          <w:szCs w:val="24"/>
        </w:rPr>
      </w:pPr>
      <w:r w:rsidRPr="0099242A">
        <w:rPr>
          <w:rFonts w:ascii="Times New Roman" w:hAnsi="Times New Roman"/>
          <w:szCs w:val="24"/>
        </w:rPr>
        <w:t>What factors contribute to the effectiveness of different types of service delivery methods?</w:t>
      </w:r>
    </w:p>
    <w:p w:rsidR="000723EC" w:rsidP="000723EC" w14:paraId="39DF258E" w14:textId="77777777">
      <w:pPr>
        <w:widowControl w:val="0"/>
        <w:tabs>
          <w:tab w:val="left" w:pos="360"/>
          <w:tab w:val="left" w:pos="630"/>
          <w:tab w:val="left" w:pos="720"/>
          <w:tab w:val="left" w:pos="1080"/>
        </w:tabs>
        <w:spacing w:before="120" w:after="120"/>
        <w:rPr>
          <w:rFonts w:ascii="Times New Roman" w:hAnsi="Times New Roman"/>
        </w:rPr>
      </w:pPr>
      <w:r w:rsidRPr="61B61BCA">
        <w:rPr>
          <w:rFonts w:ascii="Times New Roman" w:hAnsi="Times New Roman"/>
        </w:rPr>
        <w:t xml:space="preserve">The evidence from this objective will </w:t>
      </w:r>
      <w:r>
        <w:rPr>
          <w:rFonts w:ascii="Times New Roman" w:hAnsi="Times New Roman"/>
        </w:rPr>
        <w:t xml:space="preserve">measure the effects of volunteering on </w:t>
      </w:r>
      <w:r w:rsidRPr="61B61BCA">
        <w:rPr>
          <w:rFonts w:ascii="Times New Roman" w:hAnsi="Times New Roman"/>
        </w:rPr>
        <w:t xml:space="preserve">the health benefits of </w:t>
      </w:r>
      <w:r>
        <w:rPr>
          <w:rFonts w:ascii="Times New Roman" w:hAnsi="Times New Roman"/>
        </w:rPr>
        <w:t>volunteers</w:t>
      </w:r>
      <w:r w:rsidRPr="61B61BCA">
        <w:rPr>
          <w:rFonts w:ascii="Times New Roman" w:hAnsi="Times New Roman"/>
        </w:rPr>
        <w:t xml:space="preserve">, as well as the benefits to the beneficiaries the volunteers serve. These benefits will reflect the return on the Federal investment </w:t>
      </w:r>
      <w:r>
        <w:rPr>
          <w:rFonts w:ascii="Times New Roman" w:hAnsi="Times New Roman"/>
        </w:rPr>
        <w:t>for</w:t>
      </w:r>
      <w:r w:rsidRPr="61B61BCA">
        <w:rPr>
          <w:rFonts w:ascii="Times New Roman" w:hAnsi="Times New Roman"/>
        </w:rPr>
        <w:t xml:space="preserve"> older adult volunteer programs to serve their communities.</w:t>
      </w:r>
    </w:p>
    <w:p w:rsidR="000723EC" w:rsidP="000723EC" w14:paraId="40B09127" w14:textId="77777777">
      <w:pPr>
        <w:widowControl w:val="0"/>
        <w:tabs>
          <w:tab w:val="left" w:pos="360"/>
          <w:tab w:val="left" w:pos="630"/>
          <w:tab w:val="left" w:pos="720"/>
          <w:tab w:val="left" w:pos="1080"/>
        </w:tabs>
        <w:spacing w:after="120"/>
        <w:rPr>
          <w:rFonts w:ascii="Times New Roman" w:hAnsi="Times New Roman"/>
          <w:szCs w:val="24"/>
        </w:rPr>
      </w:pPr>
      <w:r>
        <w:rPr>
          <w:rFonts w:ascii="Times New Roman" w:hAnsi="Times New Roman"/>
          <w:szCs w:val="24"/>
        </w:rPr>
        <w:t xml:space="preserve">The research questions from the fourth objective focus on the successes and challenges grantees funded through SDP faced in implementing their projects. There is a particular emphasis on how AmeriCorps Seniors’ adaption of </w:t>
      </w:r>
      <w:r w:rsidRPr="006B6EBA">
        <w:rPr>
          <w:rFonts w:ascii="Times New Roman" w:hAnsi="Times New Roman"/>
          <w:szCs w:val="24"/>
        </w:rPr>
        <w:t xml:space="preserve">temporary waivers and </w:t>
      </w:r>
      <w:r>
        <w:rPr>
          <w:rFonts w:ascii="Times New Roman" w:hAnsi="Times New Roman"/>
          <w:szCs w:val="24"/>
        </w:rPr>
        <w:t>the flexible policies and guidance afforded to these projects may have contributed to these projects’ success in recruiting and retaining volunteers, and the health benefits to the SDP volunteers. The research questions are:</w:t>
      </w:r>
    </w:p>
    <w:p w:rsidR="000723EC" w:rsidRPr="0099242A" w:rsidP="000723EC" w14:paraId="50BD5378" w14:textId="77777777">
      <w:pPr>
        <w:pStyle w:val="ListParagraph"/>
        <w:numPr>
          <w:ilvl w:val="0"/>
          <w:numId w:val="6"/>
        </w:numPr>
        <w:overflowPunct/>
        <w:autoSpaceDE/>
        <w:autoSpaceDN/>
        <w:adjustRightInd/>
        <w:textAlignment w:val="auto"/>
        <w:rPr>
          <w:rFonts w:ascii="Times New Roman" w:hAnsi="Times New Roman"/>
          <w:szCs w:val="24"/>
        </w:rPr>
      </w:pPr>
      <w:r w:rsidRPr="0099242A">
        <w:rPr>
          <w:rFonts w:ascii="Times New Roman" w:hAnsi="Times New Roman"/>
          <w:szCs w:val="24"/>
        </w:rPr>
        <w:t>What SDP programmatic components affect volunteer satisfaction, health</w:t>
      </w:r>
      <w:r>
        <w:rPr>
          <w:rFonts w:ascii="Times New Roman" w:hAnsi="Times New Roman"/>
          <w:szCs w:val="24"/>
        </w:rPr>
        <w:t>,</w:t>
      </w:r>
      <w:r w:rsidRPr="0099242A">
        <w:rPr>
          <w:rFonts w:ascii="Times New Roman" w:hAnsi="Times New Roman"/>
          <w:szCs w:val="24"/>
        </w:rPr>
        <w:t xml:space="preserve"> and psychosocial outcomes?</w:t>
      </w:r>
    </w:p>
    <w:p w:rsidR="000723EC" w:rsidRPr="0099242A" w:rsidP="000723EC" w14:paraId="0A37F551" w14:textId="77777777">
      <w:pPr>
        <w:pStyle w:val="ListParagraph"/>
        <w:numPr>
          <w:ilvl w:val="0"/>
          <w:numId w:val="6"/>
        </w:numPr>
        <w:overflowPunct/>
        <w:autoSpaceDE/>
        <w:autoSpaceDN/>
        <w:adjustRightInd/>
        <w:textAlignment w:val="auto"/>
        <w:rPr>
          <w:rFonts w:ascii="Times New Roman" w:hAnsi="Times New Roman"/>
        </w:rPr>
      </w:pPr>
      <w:r w:rsidRPr="3DE8DD0B">
        <w:rPr>
          <w:rFonts w:ascii="Times New Roman" w:hAnsi="Times New Roman"/>
        </w:rPr>
        <w:t xml:space="preserve">What are the effects of SDP programs on the grantees’ capacity? To what extent do temporary waivers and flexibilities of AmeriCorps Seniors Policies and Guidance contribute to SDP projects’ capacity to recruit and retain volunteers? </w:t>
      </w:r>
    </w:p>
    <w:p w:rsidR="000723EC" w:rsidRPr="0099242A" w:rsidP="000723EC" w14:paraId="1FCAEC49" w14:textId="77777777">
      <w:pPr>
        <w:pStyle w:val="ListParagraph"/>
        <w:numPr>
          <w:ilvl w:val="0"/>
          <w:numId w:val="6"/>
        </w:numPr>
        <w:overflowPunct/>
        <w:autoSpaceDE/>
        <w:autoSpaceDN/>
        <w:adjustRightInd/>
        <w:textAlignment w:val="auto"/>
        <w:rPr>
          <w:rFonts w:ascii="Times New Roman" w:hAnsi="Times New Roman"/>
          <w:szCs w:val="24"/>
        </w:rPr>
      </w:pPr>
      <w:r w:rsidRPr="3DE8DD0B">
        <w:rPr>
          <w:rFonts w:ascii="Times New Roman" w:hAnsi="Times New Roman"/>
        </w:rPr>
        <w:t>What are the effects of SDP programs on beneficiaries and communities? To what extent do the temporary waivers and flexibilities affect SDP service delivery to beneficiaries and the communities?</w:t>
      </w:r>
    </w:p>
    <w:p w:rsidR="000723EC" w:rsidRPr="0099242A" w:rsidP="000723EC" w14:paraId="46D7676A" w14:textId="77777777">
      <w:pPr>
        <w:pStyle w:val="ListParagraph"/>
        <w:numPr>
          <w:ilvl w:val="0"/>
          <w:numId w:val="6"/>
        </w:numPr>
        <w:overflowPunct/>
        <w:autoSpaceDE/>
        <w:autoSpaceDN/>
        <w:adjustRightInd/>
        <w:textAlignment w:val="auto"/>
        <w:rPr>
          <w:rFonts w:ascii="Times New Roman" w:hAnsi="Times New Roman"/>
          <w:szCs w:val="24"/>
        </w:rPr>
      </w:pPr>
      <w:r w:rsidRPr="3DE8DD0B">
        <w:rPr>
          <w:rFonts w:ascii="Times New Roman" w:hAnsi="Times New Roman"/>
        </w:rPr>
        <w:t>Which, if any SDP programs, could AmeriCorps Seniors support and replicate alongside traditional programs? Which, if any, of the temporary waivers and flexibilities should AmeriCorps Seniors adopt as policies for its three legacy programs?</w:t>
      </w:r>
    </w:p>
    <w:p w:rsidR="000723EC" w:rsidRPr="005B2E9D" w:rsidP="000723EC" w14:paraId="50A71E81" w14:textId="77777777">
      <w:pPr>
        <w:widowControl w:val="0"/>
        <w:tabs>
          <w:tab w:val="left" w:pos="360"/>
          <w:tab w:val="left" w:pos="630"/>
          <w:tab w:val="left" w:pos="720"/>
          <w:tab w:val="left" w:pos="1080"/>
        </w:tabs>
        <w:spacing w:before="120" w:after="120"/>
        <w:rPr>
          <w:rFonts w:ascii="Times New Roman" w:hAnsi="Times New Roman"/>
          <w:szCs w:val="24"/>
        </w:rPr>
      </w:pPr>
      <w:r>
        <w:rPr>
          <w:rFonts w:ascii="Times New Roman" w:hAnsi="Times New Roman"/>
          <w:szCs w:val="24"/>
        </w:rPr>
        <w:t>The evidence from this fourth objective, like the second objective, will provide AmeriCorps the evidence on how best to adapt and adjust its policies and guidance to allow grantees and their stations the required flexibilities to adeptly respond to changing community needs while remaining strong steward of the Federal investment.</w:t>
      </w:r>
    </w:p>
    <w:p w:rsidR="000723EC" w:rsidRPr="0066527F" w:rsidP="000723EC" w14:paraId="364A2244" w14:textId="77777777">
      <w:pPr>
        <w:rPr>
          <w:rFonts w:ascii="Times New Roman" w:hAnsi="Times New Roman"/>
          <w:color w:val="0D0D0D"/>
          <w:spacing w:val="2"/>
        </w:rPr>
      </w:pPr>
      <w:r>
        <w:rPr>
          <w:rFonts w:ascii="Times New Roman" w:hAnsi="Times New Roman"/>
          <w:color w:val="0D0D0D"/>
          <w:spacing w:val="2"/>
          <w:u w:val="single"/>
        </w:rPr>
        <w:t>Strengths</w:t>
      </w:r>
      <w:r w:rsidRPr="0066527F">
        <w:rPr>
          <w:rFonts w:ascii="Times New Roman" w:hAnsi="Times New Roman"/>
          <w:color w:val="0D0D0D"/>
          <w:spacing w:val="2"/>
          <w:u w:val="single"/>
        </w:rPr>
        <w:t xml:space="preserve"> and</w:t>
      </w:r>
      <w:r w:rsidRPr="0066527F">
        <w:rPr>
          <w:rFonts w:ascii="Times New Roman" w:hAnsi="Times New Roman"/>
          <w:color w:val="0D0D0D"/>
          <w:spacing w:val="2"/>
          <w:u w:val="single"/>
        </w:rPr>
        <w:t xml:space="preserve"> </w:t>
      </w:r>
      <w:r w:rsidRPr="0066527F">
        <w:rPr>
          <w:rFonts w:ascii="Times New Roman" w:hAnsi="Times New Roman"/>
          <w:color w:val="0D0D0D"/>
          <w:spacing w:val="2"/>
          <w:u w:val="single"/>
        </w:rPr>
        <w:t>limitations of the design</w:t>
      </w:r>
    </w:p>
    <w:p w:rsidR="000723EC" w:rsidRPr="009A037E" w:rsidP="000723EC" w14:paraId="551157A7" w14:textId="77777777">
      <w:pPr>
        <w:rPr>
          <w:rFonts w:ascii="Times New Roman" w:hAnsi="Times New Roman"/>
          <w:color w:val="0D0D0D" w:themeColor="text1" w:themeTint="F2"/>
        </w:rPr>
      </w:pPr>
      <w:r w:rsidRPr="599E7BE8">
        <w:rPr>
          <w:rFonts w:ascii="Times New Roman" w:hAnsi="Times New Roman"/>
          <w:color w:val="0D0D0D" w:themeColor="text1" w:themeTint="F2"/>
        </w:rPr>
        <w:t>The study</w:t>
      </w:r>
      <w:r>
        <w:rPr>
          <w:rFonts w:ascii="Times New Roman" w:hAnsi="Times New Roman"/>
          <w:color w:val="0D0D0D"/>
          <w:spacing w:val="2"/>
        </w:rPr>
        <w:t xml:space="preserve"> </w:t>
      </w:r>
      <w:r w:rsidRPr="599E7BE8">
        <w:rPr>
          <w:rFonts w:ascii="Times New Roman" w:hAnsi="Times New Roman"/>
          <w:color w:val="0D0D0D" w:themeColor="text1" w:themeTint="F2"/>
        </w:rPr>
        <w:t xml:space="preserve">uses quantitative and qualitative </w:t>
      </w:r>
      <w:r>
        <w:rPr>
          <w:rFonts w:ascii="Times New Roman" w:hAnsi="Times New Roman"/>
          <w:color w:val="0D0D0D"/>
          <w:spacing w:val="2"/>
        </w:rPr>
        <w:t>data sources</w:t>
      </w:r>
      <w:r w:rsidRPr="599E7BE8">
        <w:rPr>
          <w:rFonts w:ascii="Times New Roman" w:hAnsi="Times New Roman"/>
          <w:color w:val="0D0D0D" w:themeColor="text1" w:themeTint="F2"/>
        </w:rPr>
        <w:t xml:space="preserve"> such as</w:t>
      </w:r>
      <w:r>
        <w:rPr>
          <w:rFonts w:ascii="Times New Roman" w:hAnsi="Times New Roman"/>
          <w:color w:val="0D0D0D"/>
          <w:spacing w:val="2"/>
        </w:rPr>
        <w:t xml:space="preserve"> surveys</w:t>
      </w:r>
      <w:r w:rsidRPr="599E7BE8">
        <w:rPr>
          <w:rFonts w:ascii="Times New Roman" w:hAnsi="Times New Roman"/>
          <w:color w:val="0D0D0D" w:themeColor="text1" w:themeTint="F2"/>
        </w:rPr>
        <w:t>, focus groups</w:t>
      </w:r>
      <w:r>
        <w:rPr>
          <w:rFonts w:ascii="Times New Roman" w:hAnsi="Times New Roman"/>
          <w:color w:val="0D0D0D"/>
          <w:spacing w:val="2"/>
        </w:rPr>
        <w:t xml:space="preserve"> and interviews, when integrated strengthen the validity of the conclusions</w:t>
      </w:r>
      <w:r w:rsidRPr="599E7BE8">
        <w:rPr>
          <w:rFonts w:ascii="Times New Roman" w:hAnsi="Times New Roman"/>
          <w:color w:val="0D0D0D" w:themeColor="text1" w:themeTint="F2"/>
        </w:rPr>
        <w:t xml:space="preserve"> by triangulating multiple sources. T</w:t>
      </w:r>
      <w:r>
        <w:rPr>
          <w:rFonts w:ascii="Times New Roman" w:hAnsi="Times New Roman"/>
          <w:color w:val="0D0D0D"/>
          <w:spacing w:val="2"/>
        </w:rPr>
        <w:t xml:space="preserve">he design allows for comparison </w:t>
      </w:r>
      <w:r w:rsidRPr="599E7BE8">
        <w:rPr>
          <w:rFonts w:ascii="Times New Roman" w:hAnsi="Times New Roman"/>
          <w:color w:val="0D0D0D" w:themeColor="text1" w:themeTint="F2"/>
        </w:rPr>
        <w:t xml:space="preserve">of </w:t>
      </w:r>
      <w:r>
        <w:rPr>
          <w:rFonts w:ascii="Times New Roman" w:hAnsi="Times New Roman"/>
          <w:color w:val="0D0D0D"/>
          <w:spacing w:val="2"/>
        </w:rPr>
        <w:t>different subgroups</w:t>
      </w:r>
      <w:r w:rsidRPr="599E7BE8">
        <w:rPr>
          <w:rFonts w:ascii="Times New Roman" w:hAnsi="Times New Roman"/>
          <w:color w:val="0D0D0D" w:themeColor="text1" w:themeTint="F2"/>
        </w:rPr>
        <w:t>:</w:t>
      </w:r>
      <w:r>
        <w:rPr>
          <w:rFonts w:ascii="Times New Roman" w:hAnsi="Times New Roman"/>
          <w:color w:val="0D0D0D"/>
          <w:spacing w:val="2"/>
        </w:rPr>
        <w:t xml:space="preserve"> long-term volunteers who were in the program before and after Covid and volunteers that joined the program after Covid. </w:t>
      </w:r>
      <w:r w:rsidRPr="599E7BE8">
        <w:rPr>
          <w:rFonts w:ascii="Times New Roman" w:hAnsi="Times New Roman"/>
          <w:color w:val="0D0D0D" w:themeColor="text1" w:themeTint="F2"/>
        </w:rPr>
        <w:t xml:space="preserve">The study will utilize data from the </w:t>
      </w:r>
      <w:r>
        <w:rPr>
          <w:rFonts w:ascii="Times New Roman" w:hAnsi="Times New Roman"/>
          <w:color w:val="0D0D0D"/>
          <w:spacing w:val="2"/>
        </w:rPr>
        <w:t>emerging literature on older volunteers and the impact of Covid</w:t>
      </w:r>
      <w:r w:rsidRPr="599E7BE8">
        <w:rPr>
          <w:rFonts w:ascii="Times New Roman" w:hAnsi="Times New Roman"/>
          <w:color w:val="0D0D0D" w:themeColor="text1" w:themeTint="F2"/>
        </w:rPr>
        <w:t xml:space="preserve"> to benchmark </w:t>
      </w:r>
      <w:r>
        <w:rPr>
          <w:rFonts w:ascii="Times New Roman" w:hAnsi="Times New Roman"/>
          <w:color w:val="0D0D0D"/>
          <w:spacing w:val="2"/>
        </w:rPr>
        <w:t xml:space="preserve">AmeriCorps </w:t>
      </w:r>
      <w:r w:rsidRPr="599E7BE8">
        <w:rPr>
          <w:rFonts w:ascii="Times New Roman" w:hAnsi="Times New Roman"/>
          <w:color w:val="0D0D0D" w:themeColor="text1" w:themeTint="F2"/>
        </w:rPr>
        <w:t xml:space="preserve">Seniors volunteers to other volunteers from published reports and articles. </w:t>
      </w:r>
      <w:r w:rsidRPr="61B61BCA">
        <w:rPr>
          <w:rFonts w:ascii="Times New Roman" w:hAnsi="Times New Roman"/>
          <w:color w:val="0D0D0D" w:themeColor="text1" w:themeTint="F2"/>
        </w:rPr>
        <w:t xml:space="preserve">One limitation to the design is that it </w:t>
      </w:r>
      <w:r w:rsidRPr="599E7BE8">
        <w:rPr>
          <w:rFonts w:ascii="Times New Roman" w:hAnsi="Times New Roman"/>
          <w:color w:val="0D0D0D" w:themeColor="text1" w:themeTint="F2"/>
        </w:rPr>
        <w:t xml:space="preserve">cannot measure whether the outcomes </w:t>
      </w:r>
      <w:r>
        <w:rPr>
          <w:rFonts w:ascii="Times New Roman" w:hAnsi="Times New Roman"/>
          <w:color w:val="0D0D0D" w:themeColor="text1" w:themeTint="F2"/>
        </w:rPr>
        <w:t>are</w:t>
      </w:r>
      <w:r w:rsidRPr="599E7BE8">
        <w:rPr>
          <w:rFonts w:ascii="Times New Roman" w:hAnsi="Times New Roman"/>
          <w:color w:val="0D0D0D" w:themeColor="text1" w:themeTint="F2"/>
        </w:rPr>
        <w:t xml:space="preserve"> caused by the pandemic. </w:t>
      </w:r>
    </w:p>
    <w:p w:rsidR="000723EC" w:rsidP="000723EC" w14:paraId="155C906A" w14:textId="77777777">
      <w:pPr>
        <w:pStyle w:val="ListParagraph"/>
        <w:rPr>
          <w:rFonts w:ascii="Times New Roman" w:hAnsi="Times New Roman"/>
          <w:color w:val="0D0D0D" w:themeColor="text1" w:themeTint="F2"/>
          <w:highlight w:val="yellow"/>
        </w:rPr>
      </w:pPr>
    </w:p>
    <w:p w:rsidR="000723EC" w:rsidRPr="006D3D1A" w:rsidP="000723EC" w14:paraId="1B1CF7D2" w14:textId="77777777">
      <w:pPr>
        <w:pStyle w:val="Heading2"/>
        <w:numPr>
          <w:ilvl w:val="0"/>
          <w:numId w:val="9"/>
        </w:numPr>
      </w:pPr>
      <w:bookmarkStart w:id="4" w:name="_Toc157357107"/>
      <w:r w:rsidRPr="00AB4C3A">
        <w:t>Use of Information Technology.</w:t>
      </w:r>
      <w:bookmarkEnd w:id="4"/>
    </w:p>
    <w:p w:rsidR="000723EC" w:rsidRPr="00744B73" w:rsidP="000723EC" w14:paraId="415BE770" w14:textId="77777777">
      <w:pPr>
        <w:widowControl w:val="0"/>
        <w:tabs>
          <w:tab w:val="left" w:pos="360"/>
          <w:tab w:val="left" w:pos="630"/>
          <w:tab w:val="left" w:pos="720"/>
          <w:tab w:val="left" w:pos="1080"/>
        </w:tabs>
        <w:spacing w:after="120"/>
        <w:rPr>
          <w:rFonts w:ascii="Times New Roman" w:hAnsi="Times New Roman"/>
        </w:rPr>
      </w:pPr>
      <w:r w:rsidRPr="00744B73">
        <w:rPr>
          <w:rFonts w:ascii="Times New Roman" w:hAnsi="Times New Roman"/>
        </w:rPr>
        <w:t xml:space="preserve">The surveys with FGP, SCP, RSVP current and former volunteers and SCP caregivers and clients will be a self-administered scannable paper survey which will be coded electronically; a telephone survey will be used to contact nonrespondents. The station staff survey will be administered online, via a link the station staff receive by email. </w:t>
      </w:r>
    </w:p>
    <w:p w:rsidR="000723EC" w:rsidP="000723EC" w14:paraId="7DCA9DB5" w14:textId="77777777">
      <w:pPr>
        <w:widowControl w:val="0"/>
        <w:tabs>
          <w:tab w:val="left" w:pos="360"/>
          <w:tab w:val="left" w:pos="630"/>
          <w:tab w:val="left" w:pos="720"/>
          <w:tab w:val="left" w:pos="1080"/>
        </w:tabs>
        <w:spacing w:after="120"/>
        <w:rPr>
          <w:rFonts w:ascii="Times New Roman" w:hAnsi="Times New Roman"/>
        </w:rPr>
      </w:pPr>
      <w:r w:rsidRPr="00744B73">
        <w:rPr>
          <w:rFonts w:ascii="Times New Roman" w:hAnsi="Times New Roman"/>
          <w:b/>
          <w:bCs/>
        </w:rPr>
        <w:t>Basis for a self-administered survey.</w:t>
      </w:r>
      <w:r w:rsidRPr="00A51E31">
        <w:rPr>
          <w:rFonts w:ascii="Times New Roman" w:hAnsi="Times New Roman"/>
          <w:szCs w:val="24"/>
        </w:rPr>
        <w:t xml:space="preserve"> AmeriCorps held multiple c</w:t>
      </w:r>
      <w:r w:rsidRPr="00D12F77">
        <w:rPr>
          <w:rFonts w:ascii="Times New Roman" w:hAnsi="Times New Roman"/>
        </w:rPr>
        <w:t xml:space="preserve">onversations with an established field working group, conducted preliminary focus group with fewer than nine grantees, as well as its previous work with AmeriCorps Seniors grantees, stations, and volunteers confirm that a </w:t>
      </w:r>
      <w:r w:rsidRPr="00744B73">
        <w:rPr>
          <w:rFonts w:ascii="Times New Roman" w:hAnsi="Times New Roman"/>
        </w:rPr>
        <w:t xml:space="preserve">self-administered paper survey is the most effective method to reach the target population of volunteers, </w:t>
      </w:r>
      <w:r>
        <w:rPr>
          <w:rFonts w:ascii="Times New Roman" w:hAnsi="Times New Roman"/>
        </w:rPr>
        <w:t>caregivers</w:t>
      </w:r>
      <w:r>
        <w:rPr>
          <w:rFonts w:ascii="Times New Roman" w:hAnsi="Times New Roman"/>
        </w:rPr>
        <w:t xml:space="preserve"> and clients. A process </w:t>
      </w:r>
      <w:r w:rsidRPr="00744B73">
        <w:rPr>
          <w:rFonts w:ascii="Times New Roman" w:hAnsi="Times New Roman"/>
        </w:rPr>
        <w:t>that embed</w:t>
      </w:r>
      <w:r>
        <w:rPr>
          <w:rFonts w:ascii="Times New Roman" w:hAnsi="Times New Roman"/>
        </w:rPr>
        <w:t>s the</w:t>
      </w:r>
      <w:r w:rsidRPr="00744B73">
        <w:rPr>
          <w:rFonts w:ascii="Times New Roman" w:hAnsi="Times New Roman"/>
        </w:rPr>
        <w:t xml:space="preserve"> </w:t>
      </w:r>
      <w:r>
        <w:rPr>
          <w:rFonts w:ascii="Times New Roman" w:hAnsi="Times New Roman"/>
        </w:rPr>
        <w:t>survey</w:t>
      </w:r>
      <w:r w:rsidRPr="00744B73">
        <w:rPr>
          <w:rFonts w:ascii="Times New Roman" w:hAnsi="Times New Roman"/>
        </w:rPr>
        <w:t xml:space="preserve"> distribution in the project’s planned activities </w:t>
      </w:r>
      <w:r>
        <w:rPr>
          <w:rFonts w:ascii="Times New Roman" w:hAnsi="Times New Roman"/>
        </w:rPr>
        <w:t xml:space="preserve">with the target population </w:t>
      </w:r>
      <w:r w:rsidRPr="00744B73">
        <w:rPr>
          <w:rFonts w:ascii="Times New Roman" w:hAnsi="Times New Roman"/>
        </w:rPr>
        <w:t>will be most effective</w:t>
      </w:r>
      <w:r w:rsidRPr="00D12F77">
        <w:rPr>
          <w:rFonts w:ascii="Times New Roman" w:hAnsi="Times New Roman"/>
        </w:rPr>
        <w:t xml:space="preserve"> in achieving high response rate. </w:t>
      </w:r>
    </w:p>
    <w:p w:rsidR="000723EC" w:rsidRPr="00C03650" w:rsidP="000723EC" w14:paraId="611129C7" w14:textId="77777777">
      <w:pPr>
        <w:widowControl w:val="0"/>
        <w:tabs>
          <w:tab w:val="left" w:pos="360"/>
          <w:tab w:val="left" w:pos="630"/>
          <w:tab w:val="left" w:pos="720"/>
          <w:tab w:val="left" w:pos="1080"/>
        </w:tabs>
        <w:spacing w:after="120"/>
        <w:rPr>
          <w:rFonts w:ascii="Times New Roman" w:hAnsi="Times New Roman"/>
        </w:rPr>
      </w:pPr>
      <w:r>
        <w:rPr>
          <w:rFonts w:ascii="Times New Roman" w:hAnsi="Times New Roman"/>
        </w:rPr>
        <w:t>G</w:t>
      </w:r>
      <w:r w:rsidRPr="00D12F77">
        <w:rPr>
          <w:rFonts w:ascii="Times New Roman" w:hAnsi="Times New Roman"/>
        </w:rPr>
        <w:t xml:space="preserve">rantees </w:t>
      </w:r>
      <w:r>
        <w:rPr>
          <w:rFonts w:ascii="Times New Roman" w:hAnsi="Times New Roman"/>
        </w:rPr>
        <w:t xml:space="preserve">will </w:t>
      </w:r>
      <w:r w:rsidRPr="00D12F77">
        <w:rPr>
          <w:rFonts w:ascii="Times New Roman" w:hAnsi="Times New Roman"/>
        </w:rPr>
        <w:t xml:space="preserve">actively participate in the enrollment of </w:t>
      </w:r>
      <w:r>
        <w:rPr>
          <w:rFonts w:ascii="Times New Roman" w:hAnsi="Times New Roman"/>
        </w:rPr>
        <w:t>study participants (</w:t>
      </w:r>
      <w:r w:rsidRPr="00D12F77">
        <w:rPr>
          <w:rFonts w:ascii="Times New Roman" w:hAnsi="Times New Roman"/>
        </w:rPr>
        <w:t>volunteers</w:t>
      </w:r>
      <w:r>
        <w:rPr>
          <w:rFonts w:ascii="Times New Roman" w:hAnsi="Times New Roman"/>
        </w:rPr>
        <w:t xml:space="preserve">, </w:t>
      </w:r>
      <w:r>
        <w:rPr>
          <w:rFonts w:ascii="Times New Roman" w:hAnsi="Times New Roman"/>
        </w:rPr>
        <w:t>caregivers</w:t>
      </w:r>
      <w:r>
        <w:rPr>
          <w:rFonts w:ascii="Times New Roman" w:hAnsi="Times New Roman"/>
        </w:rPr>
        <w:t xml:space="preserve"> and clients)</w:t>
      </w:r>
      <w:r w:rsidRPr="00D12F77">
        <w:rPr>
          <w:rFonts w:ascii="Times New Roman" w:hAnsi="Times New Roman"/>
        </w:rPr>
        <w:t>. The process makes explicit the assurances of privacy and permissions for the station and grantee to share contact information and program status with researchers. Respondents will receive a toll-free number to contact the research staff if they wish to complete the survey by telephone. Each scannable survey form will include a URL for those participants who wish to complete the survey online.</w:t>
      </w:r>
    </w:p>
    <w:p w:rsidR="000723EC" w:rsidRPr="00C03650" w:rsidP="000723EC" w14:paraId="6A7CAF67" w14:textId="77777777">
      <w:pPr>
        <w:widowControl w:val="0"/>
        <w:tabs>
          <w:tab w:val="left" w:pos="360"/>
          <w:tab w:val="left" w:pos="630"/>
          <w:tab w:val="left" w:pos="720"/>
          <w:tab w:val="left" w:pos="1080"/>
        </w:tabs>
        <w:spacing w:after="120"/>
        <w:rPr>
          <w:rFonts w:ascii="Times New Roman" w:hAnsi="Times New Roman"/>
        </w:rPr>
      </w:pPr>
      <w:r w:rsidRPr="00D12F77">
        <w:rPr>
          <w:rFonts w:ascii="Times New Roman" w:hAnsi="Times New Roman"/>
        </w:rPr>
        <w:t>The interview</w:t>
      </w:r>
      <w:r>
        <w:rPr>
          <w:rFonts w:ascii="Times New Roman" w:hAnsi="Times New Roman"/>
        </w:rPr>
        <w:t xml:space="preserve"> and </w:t>
      </w:r>
      <w:r w:rsidRPr="00D12F77">
        <w:rPr>
          <w:rFonts w:ascii="Times New Roman" w:hAnsi="Times New Roman"/>
        </w:rPr>
        <w:t xml:space="preserve">focus groups with </w:t>
      </w:r>
      <w:r w:rsidRPr="00C03650">
        <w:rPr>
          <w:rFonts w:ascii="Times New Roman" w:hAnsi="Times New Roman"/>
        </w:rPr>
        <w:t>FGP, SCP, RSVP</w:t>
      </w:r>
      <w:r w:rsidRPr="00D12F77">
        <w:rPr>
          <w:rFonts w:ascii="Times New Roman" w:hAnsi="Times New Roman"/>
        </w:rPr>
        <w:t xml:space="preserve"> grantees, and SDP grantees, station staff, and volunteers will use online meeting tools, to allow the participation of individuals in various geographic areas.</w:t>
      </w:r>
    </w:p>
    <w:p w:rsidR="000723EC" w:rsidRPr="0058551C" w:rsidP="000723EC" w14:paraId="4C61E2C6" w14:textId="77777777">
      <w:pPr>
        <w:pStyle w:val="Heading2"/>
        <w:numPr>
          <w:ilvl w:val="0"/>
          <w:numId w:val="9"/>
        </w:numPr>
      </w:pPr>
      <w:bookmarkStart w:id="5" w:name="_Toc157357108"/>
      <w:r w:rsidRPr="005C5AE9">
        <w:rPr>
          <w:szCs w:val="20"/>
        </w:rPr>
        <w:t>Non-duplication.</w:t>
      </w:r>
      <w:bookmarkEnd w:id="5"/>
      <w:r w:rsidRPr="005C5AE9">
        <w:rPr>
          <w:szCs w:val="20"/>
        </w:rPr>
        <w:t xml:space="preserve"> </w:t>
      </w:r>
    </w:p>
    <w:p w:rsidR="000723EC" w:rsidRPr="00A51E31" w:rsidP="000723EC" w14:paraId="6245B665" w14:textId="77777777">
      <w:pPr>
        <w:widowControl w:val="0"/>
        <w:tabs>
          <w:tab w:val="left" w:pos="360"/>
          <w:tab w:val="left" w:pos="630"/>
          <w:tab w:val="left" w:pos="720"/>
          <w:tab w:val="left" w:pos="1080"/>
        </w:tabs>
        <w:spacing w:after="120"/>
        <w:rPr>
          <w:rFonts w:ascii="Times New Roman" w:hAnsi="Times New Roman"/>
        </w:rPr>
      </w:pPr>
      <w:r w:rsidRPr="00CD791B">
        <w:rPr>
          <w:rFonts w:ascii="Times New Roman" w:hAnsi="Times New Roman"/>
        </w:rPr>
        <w:t xml:space="preserve">There are no other sources of information by which AmeriCorps can meet the purposes described in A2. The </w:t>
      </w:r>
      <w:r>
        <w:rPr>
          <w:rFonts w:ascii="Times New Roman" w:hAnsi="Times New Roman"/>
        </w:rPr>
        <w:t>information collection</w:t>
      </w:r>
      <w:r w:rsidRPr="00CD791B">
        <w:rPr>
          <w:rFonts w:ascii="Times New Roman" w:hAnsi="Times New Roman"/>
        </w:rPr>
        <w:t xml:space="preserve"> will measure self-reported volunteer satisfaction, measures of self-efficacy, loneliness and life satisfaction, and basic demographics. The </w:t>
      </w:r>
      <w:r>
        <w:rPr>
          <w:rFonts w:ascii="Times New Roman" w:hAnsi="Times New Roman"/>
        </w:rPr>
        <w:t>information</w:t>
      </w:r>
      <w:r w:rsidRPr="00CD791B">
        <w:rPr>
          <w:rFonts w:ascii="Times New Roman" w:hAnsi="Times New Roman"/>
        </w:rPr>
        <w:t xml:space="preserve"> collection also includes questions intended to inform best practices for recruitment and retention of national service participants. The questions in the proposed surveys combined with existing AmeriCorps Seniors administrative data cover the outcome areas of interest in greater depth and breadth.</w:t>
      </w:r>
    </w:p>
    <w:p w:rsidR="000723EC" w:rsidRPr="00632763" w:rsidP="000723EC" w14:paraId="2773332F" w14:textId="77777777">
      <w:pPr>
        <w:widowControl w:val="0"/>
        <w:tabs>
          <w:tab w:val="left" w:pos="360"/>
          <w:tab w:val="left" w:pos="630"/>
          <w:tab w:val="left" w:pos="720"/>
          <w:tab w:val="left" w:pos="1080"/>
        </w:tabs>
        <w:spacing w:after="120"/>
        <w:rPr>
          <w:rFonts w:ascii="Times New Roman" w:hAnsi="Times New Roman"/>
        </w:rPr>
      </w:pPr>
      <w:r w:rsidRPr="00632763">
        <w:rPr>
          <w:rFonts w:ascii="Times New Roman" w:hAnsi="Times New Roman"/>
        </w:rPr>
        <w:t xml:space="preserve">There is currently no evidence-based data on the adaptability of AmeriCorps Seniors grantees </w:t>
      </w:r>
      <w:r>
        <w:rPr>
          <w:rFonts w:ascii="Times New Roman" w:hAnsi="Times New Roman"/>
        </w:rPr>
        <w:t>due to</w:t>
      </w:r>
      <w:r w:rsidRPr="00632763">
        <w:rPr>
          <w:rFonts w:ascii="Times New Roman" w:hAnsi="Times New Roman"/>
        </w:rPr>
        <w:t xml:space="preserve"> the pandemic, how they are assessing and addressing the needs of the communities they serve, </w:t>
      </w:r>
      <w:r>
        <w:rPr>
          <w:rFonts w:ascii="Times New Roman" w:hAnsi="Times New Roman"/>
        </w:rPr>
        <w:t>and</w:t>
      </w:r>
      <w:r w:rsidRPr="00632763">
        <w:rPr>
          <w:rFonts w:ascii="Times New Roman" w:hAnsi="Times New Roman"/>
        </w:rPr>
        <w:t xml:space="preserve"> the overall effects of the pandemic on recruitment and retention of volunteers and its effects on volunteers’ health. </w:t>
      </w:r>
    </w:p>
    <w:p w:rsidR="000723EC" w:rsidRPr="00A51E31" w:rsidP="000723EC" w14:paraId="097F5A89" w14:textId="77777777">
      <w:pPr>
        <w:pStyle w:val="Heading2"/>
        <w:numPr>
          <w:ilvl w:val="0"/>
          <w:numId w:val="9"/>
        </w:numPr>
      </w:pPr>
      <w:bookmarkStart w:id="6" w:name="_Toc157357109"/>
      <w:r w:rsidRPr="00A51E31">
        <w:t>Burden on Small Business.</w:t>
      </w:r>
      <w:bookmarkEnd w:id="6"/>
    </w:p>
    <w:p w:rsidR="000723EC" w:rsidRPr="002730D7" w:rsidP="000723EC" w14:paraId="75C0DFAE" w14:textId="77777777">
      <w:pPr>
        <w:widowControl w:val="0"/>
        <w:tabs>
          <w:tab w:val="left" w:pos="360"/>
          <w:tab w:val="left" w:pos="630"/>
          <w:tab w:val="left" w:pos="720"/>
          <w:tab w:val="left" w:pos="1080"/>
        </w:tabs>
        <w:spacing w:after="120"/>
      </w:pPr>
      <w:r w:rsidRPr="009A037E">
        <w:rPr>
          <w:rFonts w:ascii="Times New Roman" w:hAnsi="Times New Roman"/>
        </w:rPr>
        <w:t>This information collection does not impact small businesses</w:t>
      </w:r>
      <w:r>
        <w:rPr>
          <w:rFonts w:ascii="Times New Roman" w:hAnsi="Times New Roman"/>
        </w:rPr>
        <w:t>.</w:t>
      </w:r>
      <w:r w:rsidRPr="009A037E">
        <w:rPr>
          <w:rFonts w:ascii="Times New Roman" w:hAnsi="Times New Roman"/>
        </w:rPr>
        <w:t xml:space="preserve"> AmeriCorps has developed the questions to impose as little burden as possible in obtaining the information. </w:t>
      </w:r>
    </w:p>
    <w:p w:rsidR="000723EC" w:rsidRPr="00A51E31" w:rsidP="000723EC" w14:paraId="035212F8" w14:textId="77777777">
      <w:pPr>
        <w:pStyle w:val="Heading2"/>
        <w:numPr>
          <w:ilvl w:val="0"/>
          <w:numId w:val="9"/>
        </w:numPr>
      </w:pPr>
      <w:bookmarkStart w:id="7" w:name="_Toc157357110"/>
      <w:r w:rsidRPr="00A51E31">
        <w:t>Less Frequent Collection.</w:t>
      </w:r>
      <w:bookmarkEnd w:id="7"/>
    </w:p>
    <w:p w:rsidR="000723EC" w:rsidRPr="00B14D3C" w:rsidP="000723EC" w14:paraId="7EAE7833" w14:textId="77777777">
      <w:pPr>
        <w:widowControl w:val="0"/>
        <w:tabs>
          <w:tab w:val="left" w:pos="360"/>
          <w:tab w:val="left" w:pos="630"/>
          <w:tab w:val="left" w:pos="720"/>
          <w:tab w:val="left" w:pos="1080"/>
        </w:tabs>
        <w:spacing w:after="120"/>
        <w:rPr>
          <w:rFonts w:ascii="Times New Roman" w:hAnsi="Times New Roman"/>
        </w:rPr>
      </w:pPr>
      <w:r w:rsidRPr="0059499B">
        <w:rPr>
          <w:rFonts w:ascii="Times New Roman" w:hAnsi="Times New Roman"/>
        </w:rPr>
        <w:t>The Domestic Volunteer Service Act of 1973, as amended (Public Law 93-113), directs AmeriCorps to assess the impact and effectiveness of Senior Corps Programs at least once every three years. The last information collection was completed in September 2018. Th</w:t>
      </w:r>
      <w:r>
        <w:rPr>
          <w:rFonts w:ascii="Times New Roman" w:hAnsi="Times New Roman"/>
        </w:rPr>
        <w:t xml:space="preserve">is information </w:t>
      </w:r>
      <w:r w:rsidRPr="0059499B">
        <w:rPr>
          <w:rFonts w:ascii="Times New Roman" w:hAnsi="Times New Roman"/>
        </w:rPr>
        <w:t xml:space="preserve">collection will provide </w:t>
      </w:r>
      <w:r>
        <w:rPr>
          <w:rFonts w:ascii="Times New Roman" w:hAnsi="Times New Roman"/>
        </w:rPr>
        <w:t>evidence-based data</w:t>
      </w:r>
      <w:r w:rsidRPr="0059499B">
        <w:rPr>
          <w:rFonts w:ascii="Times New Roman" w:hAnsi="Times New Roman"/>
        </w:rPr>
        <w:t xml:space="preserve"> to AmeriCorps on how to strengthen its national service programs </w:t>
      </w:r>
      <w:r>
        <w:rPr>
          <w:rFonts w:ascii="Times New Roman" w:hAnsi="Times New Roman"/>
        </w:rPr>
        <w:t>for the volunteers, and the beneficiaries in the communities the volunteers serve.</w:t>
      </w:r>
      <w:r w:rsidRPr="0059499B">
        <w:rPr>
          <w:rFonts w:ascii="Times New Roman" w:hAnsi="Times New Roman"/>
        </w:rPr>
        <w:t xml:space="preserve"> </w:t>
      </w:r>
      <w:r>
        <w:rPr>
          <w:rFonts w:ascii="Times New Roman" w:hAnsi="Times New Roman"/>
        </w:rPr>
        <w:t xml:space="preserve"> </w:t>
      </w:r>
    </w:p>
    <w:p w:rsidR="000723EC" w:rsidP="000723EC" w14:paraId="06464102" w14:textId="77777777">
      <w:pPr>
        <w:pStyle w:val="Heading2"/>
        <w:numPr>
          <w:ilvl w:val="0"/>
          <w:numId w:val="9"/>
        </w:numPr>
      </w:pPr>
      <w:bookmarkStart w:id="8" w:name="_Toc157357111"/>
      <w:r w:rsidRPr="00505E03">
        <w:t>Paperwork Reduction Act Guidelines</w:t>
      </w:r>
      <w:r>
        <w:t>.</w:t>
      </w:r>
      <w:bookmarkEnd w:id="8"/>
      <w:r>
        <w:t xml:space="preserve"> </w:t>
      </w:r>
    </w:p>
    <w:p w:rsidR="000723EC" w:rsidRPr="002730D7" w:rsidP="000723EC" w14:paraId="50389350" w14:textId="77777777">
      <w:pPr>
        <w:widowControl w:val="0"/>
        <w:tabs>
          <w:tab w:val="left" w:pos="360"/>
          <w:tab w:val="left" w:pos="630"/>
          <w:tab w:val="left" w:pos="720"/>
          <w:tab w:val="left" w:pos="1080"/>
        </w:tabs>
        <w:spacing w:after="120"/>
      </w:pPr>
      <w:r w:rsidRPr="009A037E">
        <w:rPr>
          <w:rFonts w:ascii="Times New Roman" w:hAnsi="Times New Roman"/>
        </w:rPr>
        <w:t>This information collection fully complies with 5 CFR 1320.5(d)(2). There are no special circumstances that would require the collection of information in any other ways specified.</w:t>
      </w:r>
    </w:p>
    <w:p w:rsidR="000723EC" w:rsidP="000723EC" w14:paraId="257836A3" w14:textId="77777777">
      <w:pPr>
        <w:pStyle w:val="Heading2"/>
        <w:numPr>
          <w:ilvl w:val="0"/>
          <w:numId w:val="9"/>
        </w:numPr>
      </w:pPr>
      <w:bookmarkStart w:id="9" w:name="_Toc157357112"/>
      <w:r w:rsidRPr="008F1CB1">
        <w:t>Consultation and Public Comments.</w:t>
      </w:r>
      <w:bookmarkEnd w:id="9"/>
      <w:r w:rsidRPr="008F1CB1">
        <w:t xml:space="preserve"> </w:t>
      </w:r>
    </w:p>
    <w:p w:rsidR="000723EC" w:rsidRPr="00D46ADD" w:rsidP="000723EC" w14:paraId="0FD4C523" w14:textId="77777777">
      <w:pPr>
        <w:widowControl w:val="0"/>
        <w:tabs>
          <w:tab w:val="left" w:pos="360"/>
          <w:tab w:val="left" w:pos="630"/>
          <w:tab w:val="left" w:pos="720"/>
          <w:tab w:val="left" w:pos="1080"/>
        </w:tabs>
        <w:spacing w:after="120"/>
        <w:rPr>
          <w:rFonts w:ascii="Times New Roman" w:hAnsi="Times New Roman"/>
        </w:rPr>
      </w:pPr>
      <w:r w:rsidRPr="00D46ADD">
        <w:rPr>
          <w:rFonts w:ascii="Times New Roman" w:hAnsi="Times New Roman"/>
        </w:rPr>
        <w:t xml:space="preserve">The notice required in 5 CFR 1320.8(d) was completed. The 60-day Federal Notice was published September 7, 2023, in the Federal Register, Volume 88, No. 172 pages 61574-61475. No comments were received about the collection. </w:t>
      </w:r>
    </w:p>
    <w:p w:rsidR="000723EC" w:rsidRPr="00D46ADD" w:rsidP="000723EC" w14:paraId="709B92D9" w14:textId="77777777">
      <w:pPr>
        <w:widowControl w:val="0"/>
        <w:tabs>
          <w:tab w:val="left" w:pos="360"/>
          <w:tab w:val="left" w:pos="630"/>
          <w:tab w:val="left" w:pos="720"/>
          <w:tab w:val="left" w:pos="1080"/>
        </w:tabs>
        <w:spacing w:after="120"/>
        <w:rPr>
          <w:rFonts w:ascii="Times New Roman" w:hAnsi="Times New Roman"/>
        </w:rPr>
      </w:pPr>
      <w:r w:rsidRPr="00D46ADD">
        <w:rPr>
          <w:rFonts w:ascii="Times New Roman" w:hAnsi="Times New Roman"/>
        </w:rPr>
        <w:t xml:space="preserve">AmeriCorps consulted with ten Field Working Group members consisting of nine grantees and one Office of Regional Operations portfolio manager. The consultations were to obtain their views on the availability of data, the administration and frequency of data collection, and the approach to enrolling </w:t>
      </w:r>
      <w:r>
        <w:rPr>
          <w:rFonts w:ascii="Times New Roman" w:hAnsi="Times New Roman"/>
        </w:rPr>
        <w:t xml:space="preserve">study </w:t>
      </w:r>
      <w:r w:rsidRPr="00D46ADD">
        <w:rPr>
          <w:rFonts w:ascii="Times New Roman" w:hAnsi="Times New Roman"/>
        </w:rPr>
        <w:t>participants. AmeriCorps also consulted with seven Technical Working Group members who bring a diverse range of experience and expertise in research and evaluation on adult volunteers, data collection, sampling, analysis, and dissemination of scientific studies.</w:t>
      </w:r>
    </w:p>
    <w:p w:rsidR="000723EC" w:rsidRPr="002730D7" w:rsidP="000723EC" w14:paraId="1B5D8572" w14:textId="5DDB432F">
      <w:pPr>
        <w:widowControl w:val="0"/>
        <w:tabs>
          <w:tab w:val="left" w:pos="360"/>
          <w:tab w:val="left" w:pos="630"/>
          <w:tab w:val="left" w:pos="720"/>
          <w:tab w:val="left" w:pos="1080"/>
        </w:tabs>
        <w:spacing w:after="120"/>
      </w:pPr>
      <w:r w:rsidRPr="00FF4AA2">
        <w:rPr>
          <w:rFonts w:ascii="Times New Roman" w:hAnsi="Times New Roman"/>
        </w:rPr>
        <w:t xml:space="preserve">AmeriCorps published a second notice in the Federal Register on </w:t>
      </w:r>
      <w:r w:rsidRPr="00FF4AA2" w:rsidR="00213A95">
        <w:rPr>
          <w:rFonts w:ascii="Times New Roman" w:hAnsi="Times New Roman"/>
        </w:rPr>
        <w:t>March 5, 2024</w:t>
      </w:r>
      <w:r w:rsidRPr="00FF4AA2">
        <w:rPr>
          <w:rFonts w:ascii="Times New Roman" w:hAnsi="Times New Roman"/>
        </w:rPr>
        <w:t>, providing 30 days for public comment</w:t>
      </w:r>
      <w:r w:rsidRPr="00FF4AA2" w:rsidR="00FF4AA2">
        <w:rPr>
          <w:rFonts w:ascii="Times New Roman" w:hAnsi="Times New Roman"/>
        </w:rPr>
        <w:t xml:space="preserve"> (89 FR 15851)</w:t>
      </w:r>
      <w:r w:rsidRPr="00FF4AA2">
        <w:rPr>
          <w:rFonts w:ascii="Times New Roman" w:hAnsi="Times New Roman"/>
        </w:rPr>
        <w:t>.</w:t>
      </w:r>
      <w:r w:rsidRPr="009A037E">
        <w:rPr>
          <w:rFonts w:ascii="Times New Roman" w:hAnsi="Times New Roman"/>
        </w:rPr>
        <w:t xml:space="preserve"> </w:t>
      </w:r>
    </w:p>
    <w:p w:rsidR="000723EC" w:rsidRPr="0058551C" w:rsidP="000723EC" w14:paraId="6DD52E91" w14:textId="77777777">
      <w:pPr>
        <w:pStyle w:val="Heading2"/>
        <w:numPr>
          <w:ilvl w:val="0"/>
          <w:numId w:val="9"/>
        </w:numPr>
      </w:pPr>
      <w:bookmarkStart w:id="10" w:name="_Toc157357113"/>
      <w:r w:rsidRPr="005C5AE9">
        <w:t>Gifts or Payment.</w:t>
      </w:r>
      <w:bookmarkEnd w:id="10"/>
      <w:r w:rsidRPr="005C5AE9">
        <w:t xml:space="preserve"> </w:t>
      </w:r>
    </w:p>
    <w:p w:rsidR="000723EC" w:rsidRPr="000A3543" w:rsidP="000723EC" w14:paraId="26686DCF" w14:textId="77777777">
      <w:pPr>
        <w:widowControl w:val="0"/>
        <w:tabs>
          <w:tab w:val="left" w:pos="360"/>
          <w:tab w:val="left" w:pos="630"/>
          <w:tab w:val="left" w:pos="720"/>
          <w:tab w:val="left" w:pos="1080"/>
        </w:tabs>
        <w:spacing w:after="120"/>
        <w:rPr>
          <w:rFonts w:ascii="Times New Roman" w:eastAsia="Calibri" w:hAnsi="Times New Roman"/>
          <w:i/>
          <w:iCs/>
          <w:color w:val="1F497D"/>
          <w:szCs w:val="24"/>
        </w:rPr>
      </w:pPr>
      <w:r w:rsidRPr="00632763">
        <w:rPr>
          <w:rFonts w:ascii="Times New Roman" w:hAnsi="Times New Roman"/>
        </w:rPr>
        <w:t xml:space="preserve">The information collection requests an incentive for respondents. In prior information collection with AmeriCorps Seniors grantees and volunteers, the use of incentives has been extremely effective resulting in over 90 percent rate among grantees, and over 80 percent among volunteers. The cost-effectiveness of the incentive is that it reduces multiple rounds of contacting respondents, hence reducing overall labor cost to the government. The incentive also increases the response rate among those who </w:t>
      </w:r>
      <w:r>
        <w:rPr>
          <w:rFonts w:ascii="Times New Roman" w:hAnsi="Times New Roman"/>
        </w:rPr>
        <w:t>are</w:t>
      </w:r>
      <w:r w:rsidRPr="00632763">
        <w:rPr>
          <w:rFonts w:ascii="Times New Roman" w:hAnsi="Times New Roman"/>
        </w:rPr>
        <w:t xml:space="preserve"> the most difficult to consent to participate</w:t>
      </w:r>
      <w:r>
        <w:rPr>
          <w:rFonts w:ascii="Times New Roman" w:hAnsi="Times New Roman"/>
        </w:rPr>
        <w:t xml:space="preserve">; an increase in </w:t>
      </w:r>
      <w:r w:rsidRPr="00632763">
        <w:rPr>
          <w:rFonts w:ascii="Times New Roman" w:hAnsi="Times New Roman"/>
        </w:rPr>
        <w:t>the most difficult-to-reach respondents minimize</w:t>
      </w:r>
      <w:r>
        <w:rPr>
          <w:rFonts w:ascii="Times New Roman" w:hAnsi="Times New Roman"/>
        </w:rPr>
        <w:t>s</w:t>
      </w:r>
      <w:r w:rsidRPr="00632763">
        <w:rPr>
          <w:rFonts w:ascii="Times New Roman" w:hAnsi="Times New Roman"/>
        </w:rPr>
        <w:t xml:space="preserve"> non-response bias. The cost of these multiple rounds and the bias that could be introduced due to non-response outweigh the proposed incentive.</w:t>
      </w:r>
      <w:r w:rsidRPr="00E927AD">
        <w:tab/>
      </w:r>
    </w:p>
    <w:p w:rsidR="000723EC" w:rsidRPr="000A3543" w:rsidP="000723EC" w14:paraId="0F495EDE" w14:textId="77777777">
      <w:pPr>
        <w:pStyle w:val="Caption"/>
        <w:rPr>
          <w:sz w:val="24"/>
          <w:szCs w:val="24"/>
        </w:rPr>
      </w:pPr>
      <w:r w:rsidRPr="000A3543">
        <w:rPr>
          <w:sz w:val="24"/>
          <w:szCs w:val="24"/>
        </w:rPr>
        <w:t xml:space="preserve">Table </w:t>
      </w:r>
      <w:r w:rsidRPr="000A3543">
        <w:rPr>
          <w:sz w:val="24"/>
          <w:szCs w:val="24"/>
        </w:rPr>
        <w:fldChar w:fldCharType="begin"/>
      </w:r>
      <w:r w:rsidRPr="000A3543">
        <w:rPr>
          <w:sz w:val="24"/>
          <w:szCs w:val="24"/>
        </w:rPr>
        <w:instrText xml:space="preserve"> SEQ Table \* ARABIC </w:instrText>
      </w:r>
      <w:r w:rsidRPr="000A3543">
        <w:rPr>
          <w:sz w:val="24"/>
          <w:szCs w:val="24"/>
        </w:rPr>
        <w:fldChar w:fldCharType="separate"/>
      </w:r>
      <w:r w:rsidRPr="000A3543">
        <w:rPr>
          <w:noProof/>
          <w:sz w:val="24"/>
          <w:szCs w:val="24"/>
        </w:rPr>
        <w:t>1</w:t>
      </w:r>
      <w:r w:rsidRPr="000A3543">
        <w:rPr>
          <w:sz w:val="24"/>
          <w:szCs w:val="24"/>
        </w:rPr>
        <w:fldChar w:fldCharType="end"/>
      </w:r>
      <w:r w:rsidRPr="000A3543">
        <w:rPr>
          <w:sz w:val="24"/>
          <w:szCs w:val="24"/>
        </w:rPr>
        <w:t xml:space="preserve"> </w:t>
      </w:r>
      <w:bookmarkStart w:id="11" w:name="_Hlk9888612"/>
      <w:r w:rsidRPr="000A3543">
        <w:rPr>
          <w:sz w:val="24"/>
          <w:szCs w:val="24"/>
        </w:rPr>
        <w:t>Proposed Incentives for Target Participants</w:t>
      </w:r>
      <w:bookmarkEnd w:id="11"/>
    </w:p>
    <w:tbl>
      <w:tblPr>
        <w:tblW w:w="9201" w:type="dxa"/>
        <w:tblLook w:val="04A0"/>
      </w:tblPr>
      <w:tblGrid>
        <w:gridCol w:w="3235"/>
        <w:gridCol w:w="1530"/>
        <w:gridCol w:w="1260"/>
        <w:gridCol w:w="1725"/>
        <w:gridCol w:w="1451"/>
      </w:tblGrid>
      <w:tr w14:paraId="257DAD7A" w14:textId="77777777" w:rsidTr="00C35277">
        <w:tblPrEx>
          <w:tblW w:w="9201" w:type="dxa"/>
          <w:tblLook w:val="04A0"/>
        </w:tblPrEx>
        <w:trPr>
          <w:trHeight w:val="494"/>
          <w:tblHeader/>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23EC" w:rsidRPr="000A3543" w:rsidP="00C35277" w14:paraId="0CC914C3" w14:textId="77777777">
            <w:pPr>
              <w:rPr>
                <w:b/>
                <w:bCs/>
                <w:sz w:val="22"/>
                <w:szCs w:val="22"/>
              </w:rPr>
            </w:pPr>
            <w:r w:rsidRPr="000A3543">
              <w:rPr>
                <w:b/>
                <w:bCs/>
                <w:sz w:val="22"/>
                <w:szCs w:val="22"/>
              </w:rPr>
              <w:t>Program Type</w:t>
            </w:r>
          </w:p>
        </w:tc>
        <w:tc>
          <w:tcPr>
            <w:tcW w:w="1530" w:type="dxa"/>
            <w:tcBorders>
              <w:top w:val="single" w:sz="4" w:space="0" w:color="auto"/>
              <w:left w:val="nil"/>
              <w:bottom w:val="single" w:sz="4" w:space="0" w:color="auto"/>
              <w:right w:val="single" w:sz="4" w:space="0" w:color="auto"/>
            </w:tcBorders>
            <w:shd w:val="clear" w:color="auto" w:fill="FFFFFF" w:themeFill="background1"/>
            <w:hideMark/>
          </w:tcPr>
          <w:p w:rsidR="000723EC" w:rsidRPr="000A3543" w:rsidP="00C35277" w14:paraId="192E3377" w14:textId="77777777">
            <w:pPr>
              <w:rPr>
                <w:b/>
                <w:bCs/>
                <w:sz w:val="22"/>
                <w:szCs w:val="22"/>
              </w:rPr>
            </w:pPr>
            <w:r w:rsidRPr="000A3543">
              <w:rPr>
                <w:b/>
                <w:bCs/>
                <w:sz w:val="22"/>
                <w:szCs w:val="22"/>
              </w:rPr>
              <w:t>Grantee Incentive per Current Volunteer</w:t>
            </w:r>
          </w:p>
        </w:tc>
        <w:tc>
          <w:tcPr>
            <w:tcW w:w="1260" w:type="dxa"/>
            <w:tcBorders>
              <w:top w:val="single" w:sz="4" w:space="0" w:color="auto"/>
              <w:left w:val="nil"/>
              <w:bottom w:val="single" w:sz="4" w:space="0" w:color="auto"/>
              <w:right w:val="single" w:sz="4" w:space="0" w:color="auto"/>
            </w:tcBorders>
            <w:shd w:val="clear" w:color="auto" w:fill="FFFFFF" w:themeFill="background1"/>
            <w:hideMark/>
          </w:tcPr>
          <w:p w:rsidR="000723EC" w:rsidRPr="000A3543" w:rsidP="00C35277" w14:paraId="1C791FAB" w14:textId="77777777">
            <w:pPr>
              <w:rPr>
                <w:b/>
                <w:bCs/>
                <w:sz w:val="22"/>
                <w:szCs w:val="22"/>
              </w:rPr>
            </w:pPr>
            <w:r w:rsidRPr="000A3543">
              <w:rPr>
                <w:b/>
                <w:bCs/>
                <w:sz w:val="22"/>
                <w:szCs w:val="22"/>
              </w:rPr>
              <w:t>Current Volunteer Incentive</w:t>
            </w:r>
          </w:p>
        </w:tc>
        <w:tc>
          <w:tcPr>
            <w:tcW w:w="1725" w:type="dxa"/>
            <w:tcBorders>
              <w:top w:val="single" w:sz="4" w:space="0" w:color="auto"/>
              <w:left w:val="nil"/>
              <w:bottom w:val="single" w:sz="4" w:space="0" w:color="auto"/>
              <w:right w:val="single" w:sz="4" w:space="0" w:color="auto"/>
            </w:tcBorders>
            <w:shd w:val="clear" w:color="auto" w:fill="FFFFFF" w:themeFill="background1"/>
            <w:hideMark/>
          </w:tcPr>
          <w:p w:rsidR="000723EC" w:rsidRPr="000A3543" w:rsidP="00C35277" w14:paraId="6DC0A8E0" w14:textId="77777777">
            <w:pPr>
              <w:rPr>
                <w:b/>
                <w:bCs/>
                <w:sz w:val="22"/>
                <w:szCs w:val="22"/>
              </w:rPr>
            </w:pPr>
            <w:r w:rsidRPr="000A3543">
              <w:rPr>
                <w:b/>
                <w:bCs/>
                <w:sz w:val="22"/>
                <w:szCs w:val="22"/>
              </w:rPr>
              <w:t>Former Volunteer Incentive</w:t>
            </w:r>
          </w:p>
        </w:tc>
        <w:tc>
          <w:tcPr>
            <w:tcW w:w="1451" w:type="dxa"/>
            <w:tcBorders>
              <w:top w:val="single" w:sz="4" w:space="0" w:color="auto"/>
              <w:left w:val="nil"/>
              <w:bottom w:val="single" w:sz="4" w:space="0" w:color="auto"/>
              <w:right w:val="single" w:sz="4" w:space="0" w:color="auto"/>
            </w:tcBorders>
            <w:shd w:val="clear" w:color="auto" w:fill="FFFFFF" w:themeFill="background1"/>
            <w:hideMark/>
          </w:tcPr>
          <w:p w:rsidR="000723EC" w:rsidRPr="000A3543" w:rsidP="00C35277" w14:paraId="131B9DB4" w14:textId="77777777">
            <w:pPr>
              <w:rPr>
                <w:b/>
                <w:bCs/>
                <w:sz w:val="22"/>
                <w:szCs w:val="22"/>
              </w:rPr>
            </w:pPr>
            <w:r w:rsidRPr="000A3543">
              <w:rPr>
                <w:b/>
                <w:bCs/>
                <w:sz w:val="22"/>
                <w:szCs w:val="22"/>
              </w:rPr>
              <w:t>Caregiver / Independent living client</w:t>
            </w:r>
          </w:p>
        </w:tc>
      </w:tr>
      <w:tr w14:paraId="042019A1" w14:textId="77777777" w:rsidTr="00C35277">
        <w:tblPrEx>
          <w:tblW w:w="9201" w:type="dxa"/>
          <w:tblLook w:val="04A0"/>
        </w:tblPrEx>
        <w:trPr>
          <w:trHeight w:val="125"/>
        </w:trPr>
        <w:tc>
          <w:tcPr>
            <w:tcW w:w="3235" w:type="dxa"/>
            <w:tcBorders>
              <w:top w:val="nil"/>
              <w:left w:val="single" w:sz="4" w:space="0" w:color="auto"/>
              <w:bottom w:val="single" w:sz="4" w:space="0" w:color="auto"/>
              <w:right w:val="single" w:sz="4" w:space="0" w:color="auto"/>
            </w:tcBorders>
            <w:noWrap/>
            <w:hideMark/>
          </w:tcPr>
          <w:p w:rsidR="000723EC" w:rsidRPr="000A3543" w:rsidP="00C35277" w14:paraId="6174E5CE" w14:textId="77777777">
            <w:pPr>
              <w:rPr>
                <w:b/>
                <w:bCs/>
                <w:sz w:val="22"/>
                <w:szCs w:val="22"/>
              </w:rPr>
            </w:pPr>
            <w:r w:rsidRPr="000A3543">
              <w:rPr>
                <w:b/>
                <w:bCs/>
                <w:sz w:val="22"/>
                <w:szCs w:val="22"/>
              </w:rPr>
              <w:t>RSVP</w:t>
            </w:r>
          </w:p>
        </w:tc>
        <w:tc>
          <w:tcPr>
            <w:tcW w:w="1530" w:type="dxa"/>
            <w:tcBorders>
              <w:top w:val="nil"/>
              <w:left w:val="nil"/>
              <w:bottom w:val="single" w:sz="4" w:space="0" w:color="auto"/>
              <w:right w:val="single" w:sz="4" w:space="0" w:color="auto"/>
            </w:tcBorders>
            <w:noWrap/>
            <w:hideMark/>
          </w:tcPr>
          <w:p w:rsidR="000723EC" w:rsidRPr="000A3543" w:rsidP="00C35277" w14:paraId="5CA0EA6C" w14:textId="77777777">
            <w:pPr>
              <w:rPr>
                <w:sz w:val="22"/>
                <w:szCs w:val="22"/>
              </w:rPr>
            </w:pPr>
            <w:r w:rsidRPr="000A3543">
              <w:rPr>
                <w:sz w:val="22"/>
                <w:szCs w:val="22"/>
              </w:rPr>
              <w:t>$20</w:t>
            </w:r>
          </w:p>
        </w:tc>
        <w:tc>
          <w:tcPr>
            <w:tcW w:w="1260" w:type="dxa"/>
            <w:tcBorders>
              <w:top w:val="nil"/>
              <w:left w:val="nil"/>
              <w:bottom w:val="single" w:sz="4" w:space="0" w:color="auto"/>
              <w:right w:val="single" w:sz="4" w:space="0" w:color="auto"/>
            </w:tcBorders>
            <w:noWrap/>
            <w:hideMark/>
          </w:tcPr>
          <w:p w:rsidR="000723EC" w:rsidRPr="000A3543" w:rsidP="00C35277" w14:paraId="244E223A" w14:textId="77777777">
            <w:pPr>
              <w:rPr>
                <w:sz w:val="22"/>
                <w:szCs w:val="22"/>
              </w:rPr>
            </w:pPr>
            <w:r w:rsidRPr="000A3543">
              <w:rPr>
                <w:sz w:val="22"/>
                <w:szCs w:val="22"/>
              </w:rPr>
              <w:t>$30</w:t>
            </w:r>
          </w:p>
        </w:tc>
        <w:tc>
          <w:tcPr>
            <w:tcW w:w="1725" w:type="dxa"/>
            <w:tcBorders>
              <w:top w:val="nil"/>
              <w:left w:val="nil"/>
              <w:bottom w:val="single" w:sz="4" w:space="0" w:color="auto"/>
              <w:right w:val="single" w:sz="4" w:space="0" w:color="auto"/>
            </w:tcBorders>
            <w:hideMark/>
          </w:tcPr>
          <w:p w:rsidR="000723EC" w:rsidRPr="000A3543" w:rsidP="00C35277" w14:paraId="6483E19C" w14:textId="77777777">
            <w:pPr>
              <w:rPr>
                <w:sz w:val="22"/>
                <w:szCs w:val="22"/>
              </w:rPr>
            </w:pPr>
            <w:r w:rsidRPr="000A3543">
              <w:rPr>
                <w:sz w:val="22"/>
                <w:szCs w:val="22"/>
              </w:rPr>
              <w:t>$40</w:t>
            </w:r>
          </w:p>
        </w:tc>
        <w:tc>
          <w:tcPr>
            <w:tcW w:w="1451" w:type="dxa"/>
            <w:tcBorders>
              <w:top w:val="nil"/>
              <w:left w:val="nil"/>
              <w:bottom w:val="single" w:sz="4" w:space="0" w:color="auto"/>
              <w:right w:val="single" w:sz="4" w:space="0" w:color="auto"/>
            </w:tcBorders>
            <w:hideMark/>
          </w:tcPr>
          <w:p w:rsidR="000723EC" w:rsidRPr="000A3543" w:rsidP="00C35277" w14:paraId="32731602" w14:textId="77777777">
            <w:pPr>
              <w:rPr>
                <w:sz w:val="22"/>
                <w:szCs w:val="22"/>
              </w:rPr>
            </w:pPr>
            <w:r w:rsidRPr="000A3543">
              <w:rPr>
                <w:sz w:val="22"/>
                <w:szCs w:val="22"/>
              </w:rPr>
              <w:t>--</w:t>
            </w:r>
          </w:p>
        </w:tc>
      </w:tr>
      <w:tr w14:paraId="0A2BD3DC" w14:textId="77777777" w:rsidTr="00C35277">
        <w:tblPrEx>
          <w:tblW w:w="9201" w:type="dxa"/>
          <w:tblLook w:val="04A0"/>
        </w:tblPrEx>
        <w:trPr>
          <w:trHeight w:val="341"/>
        </w:trPr>
        <w:tc>
          <w:tcPr>
            <w:tcW w:w="3235" w:type="dxa"/>
            <w:tcBorders>
              <w:top w:val="nil"/>
              <w:left w:val="single" w:sz="4" w:space="0" w:color="auto"/>
              <w:bottom w:val="single" w:sz="4" w:space="0" w:color="auto"/>
              <w:right w:val="single" w:sz="4" w:space="0" w:color="auto"/>
            </w:tcBorders>
            <w:noWrap/>
            <w:hideMark/>
          </w:tcPr>
          <w:p w:rsidR="000723EC" w:rsidRPr="000A3543" w:rsidP="00C35277" w14:paraId="5E83F33A" w14:textId="77777777">
            <w:pPr>
              <w:rPr>
                <w:b/>
                <w:bCs/>
                <w:sz w:val="22"/>
                <w:szCs w:val="22"/>
              </w:rPr>
            </w:pPr>
            <w:r w:rsidRPr="000A3543">
              <w:rPr>
                <w:b/>
                <w:bCs/>
                <w:sz w:val="22"/>
                <w:szCs w:val="22"/>
              </w:rPr>
              <w:t>FGP</w:t>
            </w:r>
          </w:p>
        </w:tc>
        <w:tc>
          <w:tcPr>
            <w:tcW w:w="1530" w:type="dxa"/>
            <w:tcBorders>
              <w:top w:val="nil"/>
              <w:left w:val="nil"/>
              <w:bottom w:val="single" w:sz="4" w:space="0" w:color="auto"/>
              <w:right w:val="single" w:sz="4" w:space="0" w:color="auto"/>
            </w:tcBorders>
            <w:noWrap/>
            <w:hideMark/>
          </w:tcPr>
          <w:p w:rsidR="000723EC" w:rsidRPr="000A3543" w:rsidP="00C35277" w14:paraId="0716EBB0" w14:textId="77777777">
            <w:pPr>
              <w:rPr>
                <w:sz w:val="22"/>
                <w:szCs w:val="22"/>
              </w:rPr>
            </w:pPr>
            <w:r w:rsidRPr="000A3543">
              <w:rPr>
                <w:sz w:val="22"/>
                <w:szCs w:val="22"/>
              </w:rPr>
              <w:t>$20</w:t>
            </w:r>
          </w:p>
        </w:tc>
        <w:tc>
          <w:tcPr>
            <w:tcW w:w="1260" w:type="dxa"/>
            <w:tcBorders>
              <w:top w:val="nil"/>
              <w:left w:val="nil"/>
              <w:bottom w:val="single" w:sz="4" w:space="0" w:color="auto"/>
              <w:right w:val="single" w:sz="4" w:space="0" w:color="auto"/>
            </w:tcBorders>
            <w:noWrap/>
            <w:hideMark/>
          </w:tcPr>
          <w:p w:rsidR="000723EC" w:rsidRPr="000A3543" w:rsidP="00C35277" w14:paraId="155C7CD5" w14:textId="77777777">
            <w:pPr>
              <w:rPr>
                <w:sz w:val="22"/>
                <w:szCs w:val="22"/>
              </w:rPr>
            </w:pPr>
            <w:r w:rsidRPr="000A3543">
              <w:rPr>
                <w:sz w:val="22"/>
                <w:szCs w:val="22"/>
              </w:rPr>
              <w:t>$30</w:t>
            </w:r>
          </w:p>
        </w:tc>
        <w:tc>
          <w:tcPr>
            <w:tcW w:w="1725" w:type="dxa"/>
            <w:tcBorders>
              <w:top w:val="nil"/>
              <w:left w:val="nil"/>
              <w:bottom w:val="single" w:sz="4" w:space="0" w:color="auto"/>
              <w:right w:val="single" w:sz="4" w:space="0" w:color="auto"/>
            </w:tcBorders>
            <w:hideMark/>
          </w:tcPr>
          <w:p w:rsidR="000723EC" w:rsidRPr="000A3543" w:rsidP="00C35277" w14:paraId="182DAC35" w14:textId="77777777">
            <w:pPr>
              <w:rPr>
                <w:sz w:val="22"/>
                <w:szCs w:val="22"/>
              </w:rPr>
            </w:pPr>
            <w:r w:rsidRPr="000A3543">
              <w:rPr>
                <w:sz w:val="22"/>
                <w:szCs w:val="22"/>
              </w:rPr>
              <w:t>$40</w:t>
            </w:r>
          </w:p>
        </w:tc>
        <w:tc>
          <w:tcPr>
            <w:tcW w:w="1451" w:type="dxa"/>
            <w:tcBorders>
              <w:top w:val="nil"/>
              <w:left w:val="nil"/>
              <w:bottom w:val="single" w:sz="4" w:space="0" w:color="auto"/>
              <w:right w:val="single" w:sz="4" w:space="0" w:color="auto"/>
            </w:tcBorders>
            <w:hideMark/>
          </w:tcPr>
          <w:p w:rsidR="000723EC" w:rsidRPr="000A3543" w:rsidP="00C35277" w14:paraId="2B3422E7" w14:textId="77777777">
            <w:pPr>
              <w:rPr>
                <w:sz w:val="22"/>
                <w:szCs w:val="22"/>
              </w:rPr>
            </w:pPr>
            <w:r w:rsidRPr="000A3543">
              <w:rPr>
                <w:sz w:val="22"/>
                <w:szCs w:val="22"/>
              </w:rPr>
              <w:t>--</w:t>
            </w:r>
          </w:p>
        </w:tc>
      </w:tr>
      <w:tr w14:paraId="4C972884" w14:textId="77777777" w:rsidTr="00C35277">
        <w:tblPrEx>
          <w:tblW w:w="9201" w:type="dxa"/>
          <w:tblLook w:val="04A0"/>
        </w:tblPrEx>
        <w:trPr>
          <w:trHeight w:val="311"/>
        </w:trPr>
        <w:tc>
          <w:tcPr>
            <w:tcW w:w="3235" w:type="dxa"/>
            <w:tcBorders>
              <w:top w:val="nil"/>
              <w:left w:val="single" w:sz="4" w:space="0" w:color="auto"/>
              <w:bottom w:val="single" w:sz="4" w:space="0" w:color="auto"/>
              <w:right w:val="single" w:sz="4" w:space="0" w:color="auto"/>
            </w:tcBorders>
            <w:noWrap/>
            <w:hideMark/>
          </w:tcPr>
          <w:p w:rsidR="000723EC" w:rsidRPr="000A3543" w:rsidP="00C35277" w14:paraId="4E6B4D87" w14:textId="77777777">
            <w:pPr>
              <w:rPr>
                <w:b/>
                <w:bCs/>
                <w:sz w:val="22"/>
                <w:szCs w:val="22"/>
              </w:rPr>
            </w:pPr>
            <w:r w:rsidRPr="000A3543">
              <w:rPr>
                <w:b/>
                <w:bCs/>
                <w:sz w:val="22"/>
                <w:szCs w:val="22"/>
              </w:rPr>
              <w:t xml:space="preserve">SCP (Independent living clients only) </w:t>
            </w:r>
          </w:p>
        </w:tc>
        <w:tc>
          <w:tcPr>
            <w:tcW w:w="1530" w:type="dxa"/>
            <w:tcBorders>
              <w:top w:val="nil"/>
              <w:left w:val="nil"/>
              <w:bottom w:val="single" w:sz="4" w:space="0" w:color="auto"/>
              <w:right w:val="single" w:sz="4" w:space="0" w:color="auto"/>
            </w:tcBorders>
            <w:noWrap/>
            <w:hideMark/>
          </w:tcPr>
          <w:p w:rsidR="000723EC" w:rsidRPr="000A3543" w:rsidP="00C35277" w14:paraId="058A0D23" w14:textId="77777777">
            <w:pPr>
              <w:rPr>
                <w:sz w:val="22"/>
                <w:szCs w:val="22"/>
              </w:rPr>
            </w:pPr>
            <w:r w:rsidRPr="000A3543">
              <w:rPr>
                <w:sz w:val="22"/>
                <w:szCs w:val="22"/>
              </w:rPr>
              <w:t>$20</w:t>
            </w:r>
          </w:p>
        </w:tc>
        <w:tc>
          <w:tcPr>
            <w:tcW w:w="1260" w:type="dxa"/>
            <w:tcBorders>
              <w:top w:val="nil"/>
              <w:left w:val="nil"/>
              <w:bottom w:val="single" w:sz="4" w:space="0" w:color="auto"/>
              <w:right w:val="single" w:sz="4" w:space="0" w:color="auto"/>
            </w:tcBorders>
            <w:noWrap/>
            <w:hideMark/>
          </w:tcPr>
          <w:p w:rsidR="000723EC" w:rsidRPr="000A3543" w:rsidP="00C35277" w14:paraId="1C26AA12" w14:textId="77777777">
            <w:pPr>
              <w:rPr>
                <w:sz w:val="22"/>
                <w:szCs w:val="22"/>
              </w:rPr>
            </w:pPr>
            <w:r w:rsidRPr="000A3543">
              <w:rPr>
                <w:sz w:val="22"/>
                <w:szCs w:val="22"/>
              </w:rPr>
              <w:t>$30</w:t>
            </w:r>
          </w:p>
        </w:tc>
        <w:tc>
          <w:tcPr>
            <w:tcW w:w="1725" w:type="dxa"/>
            <w:tcBorders>
              <w:top w:val="nil"/>
              <w:left w:val="nil"/>
              <w:bottom w:val="single" w:sz="4" w:space="0" w:color="auto"/>
              <w:right w:val="single" w:sz="4" w:space="0" w:color="auto"/>
            </w:tcBorders>
            <w:hideMark/>
          </w:tcPr>
          <w:p w:rsidR="000723EC" w:rsidRPr="000A3543" w:rsidP="00C35277" w14:paraId="12572A6A" w14:textId="77777777">
            <w:pPr>
              <w:rPr>
                <w:sz w:val="22"/>
                <w:szCs w:val="22"/>
              </w:rPr>
            </w:pPr>
            <w:r w:rsidRPr="000A3543">
              <w:rPr>
                <w:sz w:val="22"/>
                <w:szCs w:val="22"/>
              </w:rPr>
              <w:t>$40</w:t>
            </w:r>
          </w:p>
        </w:tc>
        <w:tc>
          <w:tcPr>
            <w:tcW w:w="1451" w:type="dxa"/>
            <w:tcBorders>
              <w:top w:val="nil"/>
              <w:left w:val="nil"/>
              <w:bottom w:val="single" w:sz="4" w:space="0" w:color="auto"/>
              <w:right w:val="single" w:sz="4" w:space="0" w:color="auto"/>
            </w:tcBorders>
            <w:hideMark/>
          </w:tcPr>
          <w:p w:rsidR="000723EC" w:rsidRPr="000A3543" w:rsidP="00C35277" w14:paraId="3502EEFD" w14:textId="77777777">
            <w:pPr>
              <w:rPr>
                <w:sz w:val="22"/>
                <w:szCs w:val="22"/>
              </w:rPr>
            </w:pPr>
            <w:r w:rsidRPr="000A3543">
              <w:rPr>
                <w:sz w:val="22"/>
                <w:szCs w:val="22"/>
              </w:rPr>
              <w:t>$</w:t>
            </w:r>
            <w:r>
              <w:rPr>
                <w:sz w:val="22"/>
                <w:szCs w:val="22"/>
              </w:rPr>
              <w:t>3</w:t>
            </w:r>
            <w:r w:rsidRPr="000A3543">
              <w:rPr>
                <w:sz w:val="22"/>
                <w:szCs w:val="22"/>
              </w:rPr>
              <w:t>0</w:t>
            </w:r>
          </w:p>
        </w:tc>
      </w:tr>
      <w:tr w14:paraId="719F0878" w14:textId="77777777" w:rsidTr="00C35277">
        <w:tblPrEx>
          <w:tblW w:w="9201" w:type="dxa"/>
          <w:tblLook w:val="04A0"/>
        </w:tblPrEx>
        <w:trPr>
          <w:trHeight w:val="311"/>
        </w:trPr>
        <w:tc>
          <w:tcPr>
            <w:tcW w:w="3235" w:type="dxa"/>
            <w:tcBorders>
              <w:top w:val="nil"/>
              <w:left w:val="single" w:sz="4" w:space="0" w:color="auto"/>
              <w:bottom w:val="single" w:sz="4" w:space="0" w:color="auto"/>
              <w:right w:val="single" w:sz="4" w:space="0" w:color="auto"/>
            </w:tcBorders>
            <w:noWrap/>
            <w:hideMark/>
          </w:tcPr>
          <w:p w:rsidR="000723EC" w:rsidRPr="000A3543" w:rsidP="00C35277" w14:paraId="5DFA2A2A" w14:textId="77777777">
            <w:pPr>
              <w:rPr>
                <w:b/>
                <w:bCs/>
                <w:sz w:val="22"/>
                <w:szCs w:val="22"/>
              </w:rPr>
            </w:pPr>
            <w:r w:rsidRPr="000A3543">
              <w:rPr>
                <w:b/>
                <w:bCs/>
                <w:sz w:val="22"/>
                <w:szCs w:val="22"/>
              </w:rPr>
              <w:t>SCP (Independent living clients and respite services)</w:t>
            </w:r>
          </w:p>
        </w:tc>
        <w:tc>
          <w:tcPr>
            <w:tcW w:w="1530" w:type="dxa"/>
            <w:tcBorders>
              <w:top w:val="nil"/>
              <w:left w:val="nil"/>
              <w:bottom w:val="single" w:sz="4" w:space="0" w:color="auto"/>
              <w:right w:val="single" w:sz="4" w:space="0" w:color="auto"/>
            </w:tcBorders>
            <w:noWrap/>
            <w:hideMark/>
          </w:tcPr>
          <w:p w:rsidR="000723EC" w:rsidRPr="000A3543" w:rsidP="00C35277" w14:paraId="613081C5" w14:textId="77777777">
            <w:pPr>
              <w:rPr>
                <w:sz w:val="22"/>
                <w:szCs w:val="22"/>
              </w:rPr>
            </w:pPr>
            <w:r w:rsidRPr="000A3543">
              <w:rPr>
                <w:sz w:val="22"/>
                <w:szCs w:val="22"/>
              </w:rPr>
              <w:t>$20</w:t>
            </w:r>
          </w:p>
        </w:tc>
        <w:tc>
          <w:tcPr>
            <w:tcW w:w="1260" w:type="dxa"/>
            <w:tcBorders>
              <w:top w:val="nil"/>
              <w:left w:val="nil"/>
              <w:bottom w:val="single" w:sz="4" w:space="0" w:color="auto"/>
              <w:right w:val="single" w:sz="4" w:space="0" w:color="auto"/>
            </w:tcBorders>
            <w:noWrap/>
            <w:hideMark/>
          </w:tcPr>
          <w:p w:rsidR="000723EC" w:rsidRPr="000A3543" w:rsidP="00C35277" w14:paraId="1CEF4DB7" w14:textId="77777777">
            <w:pPr>
              <w:rPr>
                <w:sz w:val="22"/>
                <w:szCs w:val="22"/>
              </w:rPr>
            </w:pPr>
            <w:r w:rsidRPr="000A3543">
              <w:rPr>
                <w:sz w:val="22"/>
                <w:szCs w:val="22"/>
              </w:rPr>
              <w:t>$30</w:t>
            </w:r>
          </w:p>
        </w:tc>
        <w:tc>
          <w:tcPr>
            <w:tcW w:w="1725" w:type="dxa"/>
            <w:tcBorders>
              <w:top w:val="nil"/>
              <w:left w:val="nil"/>
              <w:bottom w:val="single" w:sz="4" w:space="0" w:color="auto"/>
              <w:right w:val="single" w:sz="4" w:space="0" w:color="auto"/>
            </w:tcBorders>
            <w:hideMark/>
          </w:tcPr>
          <w:p w:rsidR="000723EC" w:rsidRPr="000A3543" w:rsidP="00C35277" w14:paraId="23853595" w14:textId="77777777">
            <w:pPr>
              <w:rPr>
                <w:sz w:val="22"/>
                <w:szCs w:val="22"/>
              </w:rPr>
            </w:pPr>
            <w:r w:rsidRPr="000A3543">
              <w:rPr>
                <w:sz w:val="22"/>
                <w:szCs w:val="22"/>
              </w:rPr>
              <w:t>$40</w:t>
            </w:r>
          </w:p>
        </w:tc>
        <w:tc>
          <w:tcPr>
            <w:tcW w:w="1451" w:type="dxa"/>
            <w:tcBorders>
              <w:top w:val="nil"/>
              <w:left w:val="nil"/>
              <w:bottom w:val="single" w:sz="4" w:space="0" w:color="auto"/>
              <w:right w:val="single" w:sz="4" w:space="0" w:color="auto"/>
            </w:tcBorders>
            <w:hideMark/>
          </w:tcPr>
          <w:p w:rsidR="000723EC" w:rsidRPr="000A3543" w:rsidP="00C35277" w14:paraId="48654F46" w14:textId="77777777">
            <w:pPr>
              <w:rPr>
                <w:sz w:val="22"/>
                <w:szCs w:val="22"/>
              </w:rPr>
            </w:pPr>
            <w:r w:rsidRPr="7E094C2A">
              <w:rPr>
                <w:sz w:val="22"/>
                <w:szCs w:val="22"/>
              </w:rPr>
              <w:t>$</w:t>
            </w:r>
            <w:r>
              <w:rPr>
                <w:sz w:val="22"/>
                <w:szCs w:val="22"/>
              </w:rPr>
              <w:t>3</w:t>
            </w:r>
            <w:r w:rsidRPr="7E094C2A">
              <w:rPr>
                <w:sz w:val="22"/>
                <w:szCs w:val="22"/>
              </w:rPr>
              <w:t>0</w:t>
            </w:r>
          </w:p>
        </w:tc>
      </w:tr>
      <w:tr w14:paraId="55281438" w14:textId="77777777" w:rsidTr="00C35277">
        <w:tblPrEx>
          <w:tblW w:w="9201" w:type="dxa"/>
          <w:tblLook w:val="04A0"/>
        </w:tblPrEx>
        <w:trPr>
          <w:trHeight w:val="311"/>
        </w:trPr>
        <w:tc>
          <w:tcPr>
            <w:tcW w:w="3235" w:type="dxa"/>
            <w:tcBorders>
              <w:top w:val="nil"/>
              <w:left w:val="single" w:sz="4" w:space="0" w:color="auto"/>
              <w:bottom w:val="single" w:sz="4" w:space="0" w:color="auto"/>
              <w:right w:val="single" w:sz="4" w:space="0" w:color="auto"/>
            </w:tcBorders>
            <w:noWrap/>
            <w:hideMark/>
          </w:tcPr>
          <w:p w:rsidR="000723EC" w:rsidRPr="000A3543" w:rsidP="00C35277" w14:paraId="7D14CDD7" w14:textId="77777777">
            <w:pPr>
              <w:rPr>
                <w:b/>
                <w:bCs/>
                <w:sz w:val="22"/>
                <w:szCs w:val="22"/>
              </w:rPr>
            </w:pPr>
            <w:r w:rsidRPr="000A3543">
              <w:rPr>
                <w:b/>
                <w:bCs/>
                <w:sz w:val="22"/>
                <w:szCs w:val="22"/>
              </w:rPr>
              <w:t>SDP (Case study)</w:t>
            </w:r>
          </w:p>
        </w:tc>
        <w:tc>
          <w:tcPr>
            <w:tcW w:w="1530" w:type="dxa"/>
            <w:tcBorders>
              <w:top w:val="nil"/>
              <w:left w:val="nil"/>
              <w:bottom w:val="single" w:sz="4" w:space="0" w:color="auto"/>
              <w:right w:val="single" w:sz="4" w:space="0" w:color="auto"/>
            </w:tcBorders>
            <w:noWrap/>
            <w:hideMark/>
          </w:tcPr>
          <w:p w:rsidR="000723EC" w:rsidRPr="000A3543" w:rsidP="00C35277" w14:paraId="2229A0D3" w14:textId="77777777">
            <w:pPr>
              <w:rPr>
                <w:sz w:val="22"/>
                <w:szCs w:val="22"/>
              </w:rPr>
            </w:pPr>
            <w:r w:rsidRPr="000A3543">
              <w:rPr>
                <w:sz w:val="22"/>
                <w:szCs w:val="22"/>
              </w:rPr>
              <w:t>-</w:t>
            </w:r>
          </w:p>
        </w:tc>
        <w:tc>
          <w:tcPr>
            <w:tcW w:w="1260" w:type="dxa"/>
            <w:tcBorders>
              <w:top w:val="nil"/>
              <w:left w:val="nil"/>
              <w:bottom w:val="single" w:sz="4" w:space="0" w:color="auto"/>
              <w:right w:val="single" w:sz="4" w:space="0" w:color="auto"/>
            </w:tcBorders>
            <w:noWrap/>
            <w:hideMark/>
          </w:tcPr>
          <w:p w:rsidR="000723EC" w:rsidRPr="000A3543" w:rsidP="00C35277" w14:paraId="320B91E6" w14:textId="77777777">
            <w:pPr>
              <w:rPr>
                <w:sz w:val="22"/>
                <w:szCs w:val="22"/>
              </w:rPr>
            </w:pPr>
            <w:r w:rsidRPr="000A3543">
              <w:rPr>
                <w:sz w:val="22"/>
                <w:szCs w:val="22"/>
              </w:rPr>
              <w:t>$30</w:t>
            </w:r>
          </w:p>
        </w:tc>
        <w:tc>
          <w:tcPr>
            <w:tcW w:w="1725" w:type="dxa"/>
            <w:tcBorders>
              <w:top w:val="nil"/>
              <w:left w:val="nil"/>
              <w:bottom w:val="single" w:sz="4" w:space="0" w:color="auto"/>
              <w:right w:val="single" w:sz="4" w:space="0" w:color="auto"/>
            </w:tcBorders>
            <w:hideMark/>
          </w:tcPr>
          <w:p w:rsidR="000723EC" w:rsidRPr="000A3543" w:rsidP="00C35277" w14:paraId="00E8F6D5" w14:textId="77777777">
            <w:pPr>
              <w:rPr>
                <w:sz w:val="22"/>
                <w:szCs w:val="22"/>
              </w:rPr>
            </w:pPr>
            <w:r w:rsidRPr="000A3543">
              <w:rPr>
                <w:sz w:val="22"/>
                <w:szCs w:val="22"/>
              </w:rPr>
              <w:t>-</w:t>
            </w:r>
          </w:p>
        </w:tc>
        <w:tc>
          <w:tcPr>
            <w:tcW w:w="1451" w:type="dxa"/>
            <w:tcBorders>
              <w:top w:val="nil"/>
              <w:left w:val="nil"/>
              <w:bottom w:val="single" w:sz="4" w:space="0" w:color="auto"/>
              <w:right w:val="single" w:sz="4" w:space="0" w:color="auto"/>
            </w:tcBorders>
            <w:hideMark/>
          </w:tcPr>
          <w:p w:rsidR="000723EC" w:rsidRPr="00FC066F" w:rsidP="00C35277" w14:paraId="0451E76E" w14:textId="77777777">
            <w:pPr>
              <w:rPr>
                <w:sz w:val="22"/>
                <w:szCs w:val="22"/>
              </w:rPr>
            </w:pPr>
            <w:r w:rsidRPr="000A3543">
              <w:rPr>
                <w:sz w:val="22"/>
                <w:szCs w:val="22"/>
              </w:rPr>
              <w:t>-</w:t>
            </w:r>
          </w:p>
        </w:tc>
      </w:tr>
    </w:tbl>
    <w:p w:rsidR="000723EC" w:rsidRPr="00FC066F" w:rsidP="000723EC" w14:paraId="7D9C8296" w14:textId="77777777"/>
    <w:p w:rsidR="000723EC" w:rsidRPr="009A037E" w:rsidP="000723EC" w14:paraId="784AB810" w14:textId="77777777">
      <w:pPr>
        <w:tabs>
          <w:tab w:val="left" w:pos="360"/>
        </w:tabs>
        <w:spacing w:after="120"/>
      </w:pPr>
      <w:r w:rsidRPr="000A3543">
        <w:t>AmeriCorps will offer a modest incentive of a $30 gift card to current volunteers, and $40 gift card to former volunteers. SCP caregivers and clients will receive $</w:t>
      </w:r>
      <w:r>
        <w:t>3</w:t>
      </w:r>
      <w:r w:rsidRPr="000A3543">
        <w:t xml:space="preserve">0 to complete the survey. </w:t>
      </w:r>
    </w:p>
    <w:p w:rsidR="000723EC" w:rsidRPr="000A3543" w:rsidP="000723EC" w14:paraId="65843C84" w14:textId="77777777">
      <w:pPr>
        <w:tabs>
          <w:tab w:val="left" w:pos="360"/>
        </w:tabs>
        <w:spacing w:after="120"/>
      </w:pPr>
      <w:r w:rsidRPr="000A3543">
        <w:t>A substantial body of research including experimental and meta-analyses supports the use of incentives to increase response rates (</w:t>
      </w:r>
      <w:r w:rsidRPr="009A037E">
        <w:t xml:space="preserve">Brick et al. 2005; Church 1993; Edwards et al. 2002; James </w:t>
      </w:r>
      <w:r w:rsidRPr="009A037E">
        <w:t xml:space="preserve">and </w:t>
      </w:r>
      <w:r w:rsidRPr="009A037E">
        <w:t>Bolstein</w:t>
      </w:r>
      <w:r w:rsidRPr="009A037E">
        <w:t xml:space="preserve"> 1992; </w:t>
      </w:r>
      <w:r w:rsidRPr="009A037E">
        <w:t>Shettle</w:t>
      </w:r>
      <w:r w:rsidRPr="009A037E">
        <w:t xml:space="preserve"> and Mooney 1999; Singer et al. 1999; Singer, Van </w:t>
      </w:r>
      <w:r w:rsidRPr="009A037E">
        <w:t>Hoewyk</w:t>
      </w:r>
      <w:r w:rsidRPr="009A037E">
        <w:t xml:space="preserve">, </w:t>
      </w:r>
      <w:r w:rsidRPr="000A3543">
        <w:t xml:space="preserve">and Maher 2000; </w:t>
      </w:r>
      <w:r w:rsidRPr="000A3543">
        <w:t>Yammarino</w:t>
      </w:r>
      <w:r w:rsidRPr="000A3543">
        <w:t>, Skinner, and Childers 1991).  Those studies demonstrate that the use of incentives has a positive impact on increasing response rates, with no adverse effects on reliability (</w:t>
      </w:r>
      <w:r w:rsidRPr="000A3543">
        <w:t>Jäckle</w:t>
      </w:r>
      <w:r w:rsidRPr="000A3543">
        <w:t>, &amp; Lynn, 2008; Dillman,2000).</w:t>
      </w:r>
    </w:p>
    <w:p w:rsidR="000723EC" w:rsidRPr="000A3543" w:rsidP="000723EC" w14:paraId="1D1273CA" w14:textId="77777777">
      <w:pPr>
        <w:tabs>
          <w:tab w:val="left" w:pos="360"/>
        </w:tabs>
        <w:spacing w:after="120"/>
      </w:pPr>
      <w:r>
        <w:t>The</w:t>
      </w:r>
      <w:r w:rsidRPr="000A3543">
        <w:t xml:space="preserve"> use of incentive </w:t>
      </w:r>
      <w:r>
        <w:t>is</w:t>
      </w:r>
      <w:r w:rsidRPr="000A3543">
        <w:t xml:space="preserve"> cost-effective due to the savings incurred by reducing the costs of follow-ups with non-respondents. Certain types, timing, and amounts of incentives may not be effective, but the overall recommendation is that an incentive is an effective means to increase response rate and reduce nonresponse bias. A study on the use of incentives in the Annals of the American Academy of Political and Social Science, Singer and Ye (2013) conclude that:</w:t>
      </w:r>
    </w:p>
    <w:p w:rsidR="000723EC" w:rsidRPr="000A3543" w:rsidP="000723EC" w14:paraId="67F0CC12" w14:textId="77777777">
      <w:pPr>
        <w:pStyle w:val="ListParagraph"/>
        <w:numPr>
          <w:ilvl w:val="0"/>
          <w:numId w:val="1"/>
        </w:numPr>
      </w:pPr>
      <w:r w:rsidRPr="000A3543">
        <w:t>“Incentives increase response rates to surveys in all modes, including the Web, and in cross-sectional and panel studies;</w:t>
      </w:r>
    </w:p>
    <w:p w:rsidR="000723EC" w:rsidRPr="000A3543" w:rsidP="000723EC" w14:paraId="1BD1B784" w14:textId="77777777">
      <w:pPr>
        <w:pStyle w:val="ListParagraph"/>
        <w:numPr>
          <w:ilvl w:val="0"/>
          <w:numId w:val="1"/>
        </w:numPr>
      </w:pPr>
      <w:r w:rsidRPr="000A3543">
        <w:t>Monetary incentives increase response rates more than gifts, and prepaid incentives increase them more than promised incentives or lotteries, though they are difficult to implement in Web surveys;</w:t>
      </w:r>
    </w:p>
    <w:p w:rsidR="000723EC" w:rsidRPr="000A3543" w:rsidP="000723EC" w14:paraId="577A08C9" w14:textId="77777777">
      <w:pPr>
        <w:pStyle w:val="ListParagraph"/>
        <w:numPr>
          <w:ilvl w:val="0"/>
          <w:numId w:val="1"/>
        </w:numPr>
      </w:pPr>
      <w:r w:rsidRPr="000A3543">
        <w:t xml:space="preserve">Incentives, thus, have clear potential for both increasing and reducing nonresponse bias. If they can be targeted to sample volunteers who would otherwise fail to respond.” </w:t>
      </w:r>
    </w:p>
    <w:p w:rsidR="000723EC" w:rsidRPr="000A3543" w:rsidP="000723EC" w14:paraId="7FAFEBF2" w14:textId="77777777"/>
    <w:p w:rsidR="000723EC" w:rsidP="000723EC" w14:paraId="1AFB9675" w14:textId="77777777">
      <w:pPr>
        <w:tabs>
          <w:tab w:val="left" w:pos="360"/>
        </w:tabs>
        <w:spacing w:after="120"/>
      </w:pPr>
      <w:r w:rsidRPr="000A3543">
        <w:t xml:space="preserve">The Singer and Ye article </w:t>
      </w:r>
      <w:r w:rsidRPr="000A3543">
        <w:t>represents</w:t>
      </w:r>
      <w:r w:rsidRPr="000A3543">
        <w:t xml:space="preserve"> a balanced perspective in that it presents findings that suggest some types of incentives are not effective as well as findings that suggest incentives are effective. Nonetheless, the general conclusion based on research published in the most recent decade is that</w:t>
      </w:r>
      <w:r>
        <w:t xml:space="preserve"> </w:t>
      </w:r>
      <w:r w:rsidRPr="000A3543">
        <w:t>incentives are effective means to increase</w:t>
      </w:r>
      <w:r>
        <w:t xml:space="preserve"> </w:t>
      </w:r>
      <w:r w:rsidRPr="000A3543">
        <w:t>response rates.</w:t>
      </w:r>
      <w:r w:rsidRPr="00FC066F">
        <w:t xml:space="preserve"> </w:t>
      </w:r>
    </w:p>
    <w:p w:rsidR="000723EC" w:rsidP="000723EC" w14:paraId="40C7BD94" w14:textId="77777777">
      <w:pPr>
        <w:pStyle w:val="Heading2"/>
        <w:numPr>
          <w:ilvl w:val="0"/>
          <w:numId w:val="9"/>
        </w:numPr>
      </w:pPr>
      <w:bookmarkStart w:id="12" w:name="_Toc157357114"/>
      <w:r w:rsidRPr="002403BD">
        <w:t>Privacy &amp; Confidentiality.</w:t>
      </w:r>
      <w:bookmarkEnd w:id="12"/>
    </w:p>
    <w:p w:rsidR="000723EC" w:rsidRPr="00DA01CA" w:rsidP="000723EC" w14:paraId="49C09DA6" w14:textId="51DBFBE0">
      <w:pPr>
        <w:tabs>
          <w:tab w:val="left" w:pos="360"/>
        </w:tabs>
        <w:spacing w:after="120"/>
      </w:pPr>
      <w:r>
        <w:rPr>
          <w:bCs/>
          <w:color w:val="000000"/>
        </w:rPr>
        <w:t>JBS</w:t>
      </w:r>
      <w:r w:rsidRPr="00DA01CA">
        <w:rPr>
          <w:bCs/>
          <w:color w:val="000000"/>
        </w:rPr>
        <w:t xml:space="preserve"> will make clear that individual responses will not be shared; the basis for the assurance of privacy is from the privacy statement in the survey invitation</w:t>
      </w:r>
      <w:r>
        <w:rPr>
          <w:bCs/>
          <w:color w:val="000000"/>
        </w:rPr>
        <w:t xml:space="preserve"> and </w:t>
      </w:r>
      <w:r w:rsidRPr="00DA01CA">
        <w:rPr>
          <w:bCs/>
          <w:color w:val="000000"/>
        </w:rPr>
        <w:t>consent forms (see Appendix A).</w:t>
      </w:r>
      <w:r w:rsidRPr="00DA01CA">
        <w:t xml:space="preserve"> All respondents will be assured that their participation is voluntary, that no adverse consequences will accrue to individuals who do not complete the surveys, and that their comments and opinions will be kept private. </w:t>
      </w:r>
    </w:p>
    <w:p w:rsidR="000723EC" w:rsidRPr="00120AB9" w:rsidP="000723EC" w14:paraId="7D6CBCB2" w14:textId="77777777">
      <w:pPr>
        <w:tabs>
          <w:tab w:val="left" w:pos="360"/>
        </w:tabs>
        <w:spacing w:after="120"/>
      </w:pPr>
      <w:r w:rsidRPr="00120AB9">
        <w:t xml:space="preserve">The focus group scripts include an assurance of </w:t>
      </w:r>
      <w:r w:rsidRPr="00DA01CA">
        <w:t>privacy</w:t>
      </w:r>
      <w:r w:rsidRPr="00120AB9">
        <w:t xml:space="preserve"> because the notes/recording of the focus group will not include any personally identifiable information, and results will be compiled into a summary that does not identify any specific grantee</w:t>
      </w:r>
      <w:r>
        <w:t xml:space="preserve">, </w:t>
      </w:r>
      <w:r w:rsidRPr="00120AB9">
        <w:t>organization</w:t>
      </w:r>
      <w:r>
        <w:t xml:space="preserve"> or individual</w:t>
      </w:r>
      <w:r w:rsidRPr="00120AB9">
        <w:t xml:space="preserve">. </w:t>
      </w:r>
    </w:p>
    <w:p w:rsidR="000723EC" w:rsidRPr="009A037E" w:rsidP="000723EC" w14:paraId="4F8FFF3C" w14:textId="77777777">
      <w:pPr>
        <w:tabs>
          <w:tab w:val="left" w:pos="360"/>
        </w:tabs>
        <w:spacing w:after="120"/>
      </w:pPr>
      <w:r w:rsidRPr="00120AB9">
        <w:t xml:space="preserve">No personally identifiable information, proprietary trade secrets, or other confidential information is being collected. </w:t>
      </w:r>
      <w:r w:rsidRPr="009A037E">
        <w:t xml:space="preserve">Access to any data with identifying information will be limited only to </w:t>
      </w:r>
      <w:r>
        <w:t>JBS</w:t>
      </w:r>
      <w:r w:rsidRPr="009A037E">
        <w:t xml:space="preserve"> directly working on the survey</w:t>
      </w:r>
      <w:r>
        <w:t xml:space="preserve"> and with the need to know to perform their work assignments directly related to the project</w:t>
      </w:r>
      <w:r w:rsidRPr="009A037E">
        <w:t xml:space="preserve">. </w:t>
      </w:r>
      <w:r>
        <w:t>JBS</w:t>
      </w:r>
      <w:r w:rsidRPr="009A037E">
        <w:t xml:space="preserve"> will de-identify the data prior to analysis, so that individual responses cannot be linked to a specific individual. Additionally, all analyses, summaries, or briefings will be presented at the aggregate-level, and it will not be possible to identify individual respondents in any material that is presented.</w:t>
      </w:r>
      <w:r w:rsidRPr="00DA01CA">
        <w:t xml:space="preserve"> </w:t>
      </w:r>
      <w:r>
        <w:t>JBS</w:t>
      </w:r>
      <w:r w:rsidRPr="009A037E">
        <w:t xml:space="preserve"> will provide AmeriCorps a de-identified dataset that can be used for further analysis or shared with other research and evaluators for additional secondary analysis.</w:t>
      </w:r>
    </w:p>
    <w:p w:rsidR="000723EC" w:rsidP="000723EC" w14:paraId="623F8353" w14:textId="77777777">
      <w:pPr>
        <w:pStyle w:val="Heading2"/>
        <w:numPr>
          <w:ilvl w:val="0"/>
          <w:numId w:val="9"/>
        </w:numPr>
      </w:pPr>
      <w:bookmarkStart w:id="13" w:name="_Toc157357115"/>
      <w:r w:rsidRPr="00505E03">
        <w:t>Sensitive Questions</w:t>
      </w:r>
      <w:r>
        <w:t>.</w:t>
      </w:r>
      <w:bookmarkEnd w:id="13"/>
      <w:r>
        <w:t xml:space="preserve">  </w:t>
      </w:r>
    </w:p>
    <w:p w:rsidR="000723EC" w:rsidRPr="009A037E" w:rsidP="000723EC" w14:paraId="399E01E3" w14:textId="77777777">
      <w:pPr>
        <w:tabs>
          <w:tab w:val="left" w:pos="360"/>
        </w:tabs>
        <w:spacing w:after="120"/>
      </w:pPr>
      <w:r w:rsidRPr="00C4062D">
        <w:t xml:space="preserve">Of the proposed questions, those on self-assessment of symptoms of depression, and loneliness are likely to be the most sensitive. The literature suggests that adults respond well to those questions and the data obtained are reliable, valid and of high quality. AmeriCorps proposes </w:t>
      </w:r>
      <w:r w:rsidRPr="00C4062D">
        <w:t xml:space="preserve">these questions because evidence-based findings are needed to better understand how volunteering is associated with these psychosocial outcomes. A rigorous analysis examining this association is important for AmeriCorps to measure and report on progress in meeting its goal to strengthen national service. </w:t>
      </w:r>
      <w:r w:rsidRPr="00384412">
        <w:rPr>
          <w:rFonts w:eastAsiaTheme="minorHAnsi"/>
        </w:rPr>
        <w:t xml:space="preserve">Self-report of depressive symptoms is the 10-item scale developed by the Center for Epidemiological Studies Depression Scale (CES-D). This widely used scale in research has shown this scale to be reliable and valid. </w:t>
      </w:r>
      <w:r w:rsidRPr="00C4062D">
        <w:t>As part of the intake and sign-up process, grantees already collect self-report information on health and medical conditions from caregivers, clients</w:t>
      </w:r>
      <w:r>
        <w:t>,</w:t>
      </w:r>
      <w:r w:rsidRPr="00C4062D">
        <w:t xml:space="preserve"> and volunteers. The privacy assurances, as well as the rapport that exists between the grantees and the participants make these questions less intrusive. Appendix A includes a copy of the consent for to be used for data collection with all participants.</w:t>
      </w:r>
    </w:p>
    <w:p w:rsidR="000723EC" w:rsidP="000723EC" w14:paraId="7DBB292B" w14:textId="77777777">
      <w:pPr>
        <w:tabs>
          <w:tab w:val="left" w:pos="360"/>
        </w:tabs>
        <w:spacing w:after="120"/>
      </w:pPr>
      <w:r>
        <w:t>JBS staff will analyze the i</w:t>
      </w:r>
      <w:r w:rsidRPr="00C4062D">
        <w:t xml:space="preserve">nformation in aggregate and survey responses will be de-identified for analysis. Unless required by law, AmeriCorps will hold all personal identifiers such as name and address in total confidence and will not release them. Upon conclusion of the data collection </w:t>
      </w:r>
      <w:r>
        <w:t xml:space="preserve">JBS will destroy </w:t>
      </w:r>
      <w:r w:rsidRPr="00C4062D">
        <w:t>all personal identifiers.</w:t>
      </w:r>
    </w:p>
    <w:p w:rsidR="000723EC" w:rsidRPr="002F3296" w:rsidP="000723EC" w14:paraId="1027504F" w14:textId="77777777">
      <w:pPr>
        <w:pStyle w:val="Heading2"/>
        <w:numPr>
          <w:ilvl w:val="0"/>
          <w:numId w:val="9"/>
        </w:numPr>
      </w:pPr>
      <w:bookmarkStart w:id="14" w:name="_Toc157357116"/>
      <w:r w:rsidRPr="002F3296">
        <w:t xml:space="preserve">Burden </w:t>
      </w:r>
      <w:r>
        <w:t>Estimate</w:t>
      </w:r>
      <w:r w:rsidRPr="002F3296">
        <w:t>.</w:t>
      </w:r>
      <w:bookmarkEnd w:id="14"/>
      <w:r w:rsidRPr="002F3296">
        <w:t xml:space="preserve"> </w:t>
      </w:r>
    </w:p>
    <w:p w:rsidR="000723EC" w:rsidRPr="00AA7611" w:rsidP="000723EC" w14:paraId="4F409993" w14:textId="473E8B10">
      <w:pPr>
        <w:pStyle w:val="NormalWeb"/>
        <w:widowControl w:val="0"/>
        <w:tabs>
          <w:tab w:val="left" w:pos="360"/>
          <w:tab w:val="left" w:pos="720"/>
          <w:tab w:val="left" w:pos="1080"/>
          <w:tab w:val="left" w:pos="1440"/>
        </w:tabs>
        <w:spacing w:before="0" w:beforeAutospacing="0" w:after="0" w:afterAutospacing="0"/>
        <w:rPr>
          <w:i/>
          <w:iCs/>
        </w:rPr>
      </w:pPr>
      <w:r w:rsidRPr="005D6334">
        <w:t xml:space="preserve">We estimate a </w:t>
      </w:r>
      <w:r w:rsidRPr="00B73572">
        <w:t>total of 5,048</w:t>
      </w:r>
      <w:r w:rsidRPr="00B73572">
        <w:rPr>
          <w:b/>
        </w:rPr>
        <w:t xml:space="preserve"> </w:t>
      </w:r>
      <w:r w:rsidRPr="00B73572">
        <w:t>respondents</w:t>
      </w:r>
      <w:r w:rsidRPr="005D6334">
        <w:t xml:space="preserve"> will respond to this information collection, with a subset also participating in one or more focus groups, resulting in a </w:t>
      </w:r>
      <w:r w:rsidRPr="00045901">
        <w:t xml:space="preserve">total of 5,048 responses (that include all respondents in both quantitative see </w:t>
      </w:r>
      <w:r w:rsidRPr="00045901">
        <w:rPr>
          <w:i/>
          <w:iCs/>
        </w:rPr>
        <w:t>Table 2 below</w:t>
      </w:r>
      <w:r w:rsidRPr="00045901">
        <w:t xml:space="preserve"> and qualitative data collection see </w:t>
      </w:r>
      <w:r w:rsidRPr="00045901">
        <w:rPr>
          <w:i/>
          <w:iCs/>
        </w:rPr>
        <w:t>Table 3 below</w:t>
      </w:r>
      <w:r w:rsidRPr="00045901">
        <w:t>) with an average response time of 0.50 hours for quantitative surveys and 1 hour for qualitative data collection</w:t>
      </w:r>
      <w:r>
        <w:rPr>
          <w:rStyle w:val="FootnoteReference"/>
        </w:rPr>
        <w:footnoteReference w:id="2"/>
      </w:r>
      <w:r w:rsidRPr="00045901">
        <w:t>.</w:t>
      </w:r>
      <w:r w:rsidRPr="005D6334">
        <w:t xml:space="preserve"> </w:t>
      </w:r>
      <w:r w:rsidRPr="00C24FF6">
        <w:t xml:space="preserve">The burden hours for each category of respondents subject to this clearance are described in </w:t>
      </w:r>
      <w:r w:rsidRPr="004620C5">
        <w:rPr>
          <w:i/>
          <w:iCs/>
        </w:rPr>
        <w:t>Tables 2</w:t>
      </w:r>
      <w:r w:rsidRPr="00C24FF6">
        <w:t xml:space="preserve"> and </w:t>
      </w:r>
      <w:r w:rsidRPr="004620C5">
        <w:rPr>
          <w:i/>
          <w:iCs/>
        </w:rPr>
        <w:t>3</w:t>
      </w:r>
      <w:r w:rsidR="00AA7611">
        <w:t>, and</w:t>
      </w:r>
      <w:r w:rsidR="00AA7611">
        <w:t xml:space="preserve"> are totaled in </w:t>
      </w:r>
      <w:r w:rsidR="00AA7611">
        <w:rPr>
          <w:i/>
          <w:iCs/>
        </w:rPr>
        <w:t xml:space="preserve">Table 4. </w:t>
      </w:r>
    </w:p>
    <w:p w:rsidR="00AB14E0" w:rsidP="000723EC" w14:paraId="77E61C70" w14:textId="77777777">
      <w:pPr>
        <w:pStyle w:val="NormalWeb"/>
        <w:widowControl w:val="0"/>
        <w:tabs>
          <w:tab w:val="left" w:pos="360"/>
          <w:tab w:val="left" w:pos="720"/>
          <w:tab w:val="left" w:pos="1080"/>
          <w:tab w:val="left" w:pos="1440"/>
        </w:tabs>
        <w:spacing w:before="0" w:beforeAutospacing="0" w:after="0" w:afterAutospacing="0"/>
      </w:pPr>
    </w:p>
    <w:p w:rsidR="000723EC" w:rsidRPr="00C24FF6" w:rsidP="000723EC" w14:paraId="7C50830D" w14:textId="0A49331B">
      <w:pPr>
        <w:pStyle w:val="Caption"/>
        <w:rPr>
          <w:szCs w:val="24"/>
        </w:rPr>
      </w:pPr>
      <w:r w:rsidRPr="00C24FF6">
        <w:rPr>
          <w:sz w:val="24"/>
          <w:szCs w:val="24"/>
        </w:rPr>
        <w:t>Table 2 Surveys</w:t>
      </w:r>
      <w:r w:rsidR="00CE61C2">
        <w:rPr>
          <w:sz w:val="24"/>
          <w:szCs w:val="24"/>
        </w:rPr>
        <w:t xml:space="preserve"> -</w:t>
      </w:r>
      <w:r w:rsidRPr="00C24FF6">
        <w:rPr>
          <w:sz w:val="24"/>
          <w:szCs w:val="24"/>
        </w:rPr>
        <w:t xml:space="preserve"> Estimates of Hour Burden</w:t>
      </w:r>
    </w:p>
    <w:tbl>
      <w:tblPr>
        <w:tblW w:w="0" w:type="auto"/>
        <w:tblLook w:val="04A0"/>
      </w:tblPr>
      <w:tblGrid>
        <w:gridCol w:w="1473"/>
        <w:gridCol w:w="1730"/>
        <w:gridCol w:w="1537"/>
        <w:gridCol w:w="1997"/>
        <w:gridCol w:w="1441"/>
        <w:gridCol w:w="1162"/>
      </w:tblGrid>
      <w:tr w14:paraId="59E5C73F" w14:textId="77777777" w:rsidTr="00C35277">
        <w:tblPrEx>
          <w:tblW w:w="0" w:type="auto"/>
          <w:tblLook w:val="04A0"/>
        </w:tblPrEx>
        <w:trPr>
          <w:trHeight w:val="870"/>
        </w:trPr>
        <w:tc>
          <w:tcPr>
            <w:tcW w:w="0" w:type="auto"/>
            <w:tcBorders>
              <w:top w:val="single" w:sz="8" w:space="0" w:color="auto"/>
              <w:left w:val="single" w:sz="8" w:space="0" w:color="auto"/>
              <w:bottom w:val="single" w:sz="8" w:space="0" w:color="auto"/>
              <w:right w:val="single" w:sz="8" w:space="0" w:color="auto"/>
            </w:tcBorders>
            <w:shd w:val="clear" w:color="auto" w:fill="003399"/>
            <w:vAlign w:val="center"/>
            <w:hideMark/>
          </w:tcPr>
          <w:p w:rsidR="000723EC" w:rsidRPr="00720179" w:rsidP="00C35277" w14:paraId="37C08415" w14:textId="77777777">
            <w:pPr>
              <w:overflowPunct/>
              <w:autoSpaceDE/>
              <w:autoSpaceDN/>
              <w:adjustRightInd/>
              <w:jc w:val="center"/>
              <w:textAlignment w:val="auto"/>
              <w:rPr>
                <w:rFonts w:ascii="Times New Roman" w:hAnsi="Times New Roman"/>
                <w:b/>
                <w:color w:val="FFFFFF" w:themeColor="background1"/>
                <w:sz w:val="22"/>
                <w:szCs w:val="22"/>
              </w:rPr>
            </w:pPr>
            <w:r w:rsidRPr="00720179">
              <w:rPr>
                <w:rFonts w:ascii="Times New Roman" w:hAnsi="Times New Roman"/>
                <w:b/>
                <w:color w:val="FFFFFF" w:themeColor="background1"/>
                <w:sz w:val="22"/>
                <w:szCs w:val="22"/>
              </w:rPr>
              <w:t> </w:t>
            </w:r>
          </w:p>
        </w:tc>
        <w:tc>
          <w:tcPr>
            <w:tcW w:w="0" w:type="auto"/>
            <w:tcBorders>
              <w:top w:val="single" w:sz="8" w:space="0" w:color="auto"/>
              <w:left w:val="nil"/>
              <w:bottom w:val="single" w:sz="8" w:space="0" w:color="auto"/>
              <w:right w:val="single" w:sz="8" w:space="0" w:color="auto"/>
            </w:tcBorders>
            <w:shd w:val="clear" w:color="auto" w:fill="003399"/>
            <w:vAlign w:val="center"/>
            <w:hideMark/>
          </w:tcPr>
          <w:p w:rsidR="000723EC" w:rsidRPr="00720179" w:rsidP="00C35277" w14:paraId="6F97E4EE" w14:textId="77777777">
            <w:pPr>
              <w:overflowPunct/>
              <w:autoSpaceDE/>
              <w:autoSpaceDN/>
              <w:adjustRightInd/>
              <w:jc w:val="center"/>
              <w:textAlignment w:val="auto"/>
              <w:rPr>
                <w:rFonts w:ascii="Times New Roman" w:hAnsi="Times New Roman"/>
                <w:b/>
                <w:color w:val="FFFFFF" w:themeColor="background1"/>
                <w:sz w:val="22"/>
                <w:szCs w:val="22"/>
              </w:rPr>
            </w:pPr>
            <w:r w:rsidRPr="00720179">
              <w:rPr>
                <w:rFonts w:ascii="Times New Roman" w:hAnsi="Times New Roman"/>
                <w:b/>
                <w:color w:val="FFFFFF" w:themeColor="background1"/>
                <w:sz w:val="22"/>
                <w:szCs w:val="22"/>
              </w:rPr>
              <w:t>Total Number of Respondents</w:t>
            </w:r>
          </w:p>
        </w:tc>
        <w:tc>
          <w:tcPr>
            <w:tcW w:w="0" w:type="auto"/>
            <w:tcBorders>
              <w:top w:val="single" w:sz="8" w:space="0" w:color="auto"/>
              <w:left w:val="nil"/>
              <w:bottom w:val="single" w:sz="8" w:space="0" w:color="auto"/>
              <w:right w:val="single" w:sz="8" w:space="0" w:color="auto"/>
            </w:tcBorders>
            <w:shd w:val="clear" w:color="auto" w:fill="003399"/>
            <w:vAlign w:val="center"/>
            <w:hideMark/>
          </w:tcPr>
          <w:p w:rsidR="000723EC" w:rsidRPr="00720179" w:rsidP="00C35277" w14:paraId="31366D5B" w14:textId="77777777">
            <w:pPr>
              <w:overflowPunct/>
              <w:autoSpaceDE/>
              <w:autoSpaceDN/>
              <w:adjustRightInd/>
              <w:jc w:val="center"/>
              <w:textAlignment w:val="auto"/>
              <w:rPr>
                <w:rFonts w:ascii="Times New Roman" w:hAnsi="Times New Roman"/>
                <w:b/>
                <w:color w:val="FFFFFF" w:themeColor="background1"/>
                <w:sz w:val="22"/>
                <w:szCs w:val="22"/>
              </w:rPr>
            </w:pPr>
            <w:r w:rsidRPr="00720179">
              <w:rPr>
                <w:rFonts w:ascii="Times New Roman" w:hAnsi="Times New Roman"/>
                <w:b/>
                <w:color w:val="FFFFFF" w:themeColor="background1"/>
                <w:sz w:val="22"/>
                <w:szCs w:val="22"/>
              </w:rPr>
              <w:t>Responses per respondent</w:t>
            </w:r>
          </w:p>
        </w:tc>
        <w:tc>
          <w:tcPr>
            <w:tcW w:w="0" w:type="auto"/>
            <w:tcBorders>
              <w:top w:val="single" w:sz="8" w:space="0" w:color="auto"/>
              <w:left w:val="nil"/>
              <w:bottom w:val="single" w:sz="8" w:space="0" w:color="auto"/>
              <w:right w:val="single" w:sz="8" w:space="0" w:color="auto"/>
            </w:tcBorders>
            <w:shd w:val="clear" w:color="auto" w:fill="003399"/>
            <w:vAlign w:val="center"/>
            <w:hideMark/>
          </w:tcPr>
          <w:p w:rsidR="000723EC" w:rsidRPr="00720179" w:rsidP="00C35277" w14:paraId="100E0F4F" w14:textId="27C1D8BE">
            <w:pPr>
              <w:overflowPunct/>
              <w:autoSpaceDE/>
              <w:autoSpaceDN/>
              <w:adjustRightInd/>
              <w:jc w:val="center"/>
              <w:textAlignment w:val="auto"/>
              <w:rPr>
                <w:rFonts w:ascii="Times New Roman" w:hAnsi="Times New Roman"/>
                <w:b/>
                <w:color w:val="FFFFFF" w:themeColor="background1"/>
                <w:sz w:val="22"/>
                <w:szCs w:val="22"/>
              </w:rPr>
            </w:pPr>
            <w:r w:rsidRPr="00720179">
              <w:rPr>
                <w:rFonts w:ascii="Times New Roman" w:hAnsi="Times New Roman"/>
                <w:b/>
                <w:color w:val="FFFFFF" w:themeColor="background1"/>
                <w:sz w:val="22"/>
                <w:szCs w:val="22"/>
              </w:rPr>
              <w:t>Participation Time (Minutes) per Respon</w:t>
            </w:r>
            <w:r w:rsidR="00F806B1">
              <w:rPr>
                <w:rFonts w:ascii="Times New Roman" w:hAnsi="Times New Roman"/>
                <w:b/>
                <w:color w:val="FFFFFF" w:themeColor="background1"/>
                <w:sz w:val="22"/>
                <w:szCs w:val="22"/>
              </w:rPr>
              <w:t>se</w:t>
            </w:r>
          </w:p>
        </w:tc>
        <w:tc>
          <w:tcPr>
            <w:tcW w:w="0" w:type="auto"/>
            <w:tcBorders>
              <w:top w:val="single" w:sz="8" w:space="0" w:color="auto"/>
              <w:left w:val="nil"/>
              <w:bottom w:val="single" w:sz="8" w:space="0" w:color="auto"/>
              <w:right w:val="single" w:sz="8" w:space="0" w:color="auto"/>
            </w:tcBorders>
            <w:shd w:val="clear" w:color="auto" w:fill="003399"/>
            <w:vAlign w:val="center"/>
            <w:hideMark/>
          </w:tcPr>
          <w:p w:rsidR="000723EC" w:rsidRPr="00720179" w:rsidP="00C35277" w14:paraId="066DF59C" w14:textId="3C1ED57A">
            <w:pPr>
              <w:overflowPunct/>
              <w:autoSpaceDE/>
              <w:autoSpaceDN/>
              <w:adjustRightInd/>
              <w:jc w:val="center"/>
              <w:textAlignment w:val="auto"/>
              <w:rPr>
                <w:rFonts w:ascii="Times New Roman" w:hAnsi="Times New Roman"/>
                <w:b/>
                <w:color w:val="FFFFFF" w:themeColor="background1"/>
                <w:sz w:val="22"/>
                <w:szCs w:val="22"/>
              </w:rPr>
            </w:pPr>
            <w:r w:rsidRPr="00720179">
              <w:rPr>
                <w:rFonts w:ascii="Times New Roman" w:hAnsi="Times New Roman"/>
                <w:b/>
                <w:color w:val="FFFFFF" w:themeColor="background1"/>
                <w:sz w:val="22"/>
                <w:szCs w:val="22"/>
              </w:rPr>
              <w:t>Burden Hours per Respon</w:t>
            </w:r>
            <w:r w:rsidR="00F806B1">
              <w:rPr>
                <w:rFonts w:ascii="Times New Roman" w:hAnsi="Times New Roman"/>
                <w:b/>
                <w:color w:val="FFFFFF" w:themeColor="background1"/>
                <w:sz w:val="22"/>
                <w:szCs w:val="22"/>
              </w:rPr>
              <w:t>se</w:t>
            </w:r>
          </w:p>
        </w:tc>
        <w:tc>
          <w:tcPr>
            <w:tcW w:w="0" w:type="auto"/>
            <w:tcBorders>
              <w:top w:val="single" w:sz="8" w:space="0" w:color="auto"/>
              <w:left w:val="nil"/>
              <w:bottom w:val="single" w:sz="8" w:space="0" w:color="auto"/>
              <w:right w:val="single" w:sz="8" w:space="0" w:color="auto"/>
            </w:tcBorders>
            <w:shd w:val="clear" w:color="auto" w:fill="003399"/>
            <w:vAlign w:val="center"/>
            <w:hideMark/>
          </w:tcPr>
          <w:p w:rsidR="000723EC" w:rsidRPr="00720179" w:rsidP="00C35277" w14:paraId="43742615" w14:textId="12E146DC">
            <w:pPr>
              <w:overflowPunct/>
              <w:autoSpaceDE/>
              <w:autoSpaceDN/>
              <w:adjustRightInd/>
              <w:jc w:val="center"/>
              <w:textAlignment w:val="auto"/>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Total </w:t>
            </w:r>
            <w:r w:rsidRPr="00720179">
              <w:rPr>
                <w:rFonts w:ascii="Times New Roman" w:hAnsi="Times New Roman"/>
                <w:b/>
                <w:color w:val="FFFFFF" w:themeColor="background1"/>
                <w:sz w:val="22"/>
                <w:szCs w:val="22"/>
              </w:rPr>
              <w:t xml:space="preserve">Burden Hours </w:t>
            </w:r>
          </w:p>
        </w:tc>
      </w:tr>
      <w:tr w14:paraId="45694FD6" w14:textId="77777777" w:rsidTr="00C35277">
        <w:tblPrEx>
          <w:tblW w:w="0" w:type="auto"/>
          <w:tblLook w:val="04A0"/>
        </w:tblPrEx>
        <w:trPr>
          <w:trHeight w:val="1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723EC" w:rsidRPr="005D6334" w:rsidP="00C35277" w14:paraId="5F19B100" w14:textId="77777777">
            <w:pPr>
              <w:overflowPunct/>
              <w:autoSpaceDE/>
              <w:autoSpaceDN/>
              <w:adjustRightInd/>
              <w:jc w:val="center"/>
              <w:textAlignment w:val="auto"/>
              <w:rPr>
                <w:rFonts w:ascii="Times New Roman" w:hAnsi="Times New Roman"/>
                <w:b/>
                <w:bCs/>
                <w:color w:val="000000"/>
                <w:sz w:val="22"/>
                <w:szCs w:val="22"/>
              </w:rPr>
            </w:pPr>
            <w:r w:rsidRPr="005D6334">
              <w:rPr>
                <w:rFonts w:ascii="Times New Roman" w:hAnsi="Times New Roman"/>
                <w:b/>
                <w:bCs/>
                <w:color w:val="000000"/>
                <w:sz w:val="22"/>
                <w:szCs w:val="22"/>
              </w:rPr>
              <w:t>Station staff</w:t>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77A8232A"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2,618 </w:t>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0859FE1E"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1 </w:t>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7F76821C"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20 </w:t>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006A7BBD"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0.33 </w:t>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1019B60A"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873 </w:t>
            </w:r>
          </w:p>
        </w:tc>
      </w:tr>
      <w:tr w14:paraId="0AB8360C" w14:textId="77777777" w:rsidTr="00C35277">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723EC" w:rsidRPr="005D6334" w:rsidP="00C35277" w14:paraId="74289E8A" w14:textId="77777777">
            <w:pPr>
              <w:overflowPunct/>
              <w:autoSpaceDE/>
              <w:autoSpaceDN/>
              <w:adjustRightInd/>
              <w:jc w:val="center"/>
              <w:textAlignment w:val="auto"/>
              <w:rPr>
                <w:rFonts w:ascii="Times New Roman" w:hAnsi="Times New Roman"/>
                <w:b/>
                <w:bCs/>
                <w:color w:val="000000"/>
                <w:sz w:val="22"/>
                <w:szCs w:val="22"/>
              </w:rPr>
            </w:pPr>
            <w:r w:rsidRPr="005D6334">
              <w:rPr>
                <w:rFonts w:ascii="Times New Roman" w:hAnsi="Times New Roman"/>
                <w:b/>
                <w:bCs/>
                <w:color w:val="000000"/>
                <w:sz w:val="22"/>
                <w:szCs w:val="22"/>
              </w:rPr>
              <w:t>Current Volunteers</w:t>
            </w:r>
            <w:r>
              <w:rPr>
                <w:rStyle w:val="FootnoteReference"/>
                <w:rFonts w:ascii="Times New Roman" w:hAnsi="Times New Roman"/>
                <w:b/>
                <w:bCs/>
                <w:color w:val="000000"/>
                <w:sz w:val="22"/>
                <w:szCs w:val="22"/>
              </w:rPr>
              <w:footnoteReference w:id="3"/>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55571BE7"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1,560 </w:t>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09D64BDB"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1 </w:t>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7D28C95A"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30 </w:t>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20C175C3"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0.50 </w:t>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38CF7B41"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780 </w:t>
            </w:r>
          </w:p>
        </w:tc>
      </w:tr>
      <w:tr w14:paraId="3062D2C3" w14:textId="77777777" w:rsidTr="00C35277">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723EC" w:rsidRPr="008739A8" w:rsidP="00C35277" w14:paraId="57FE1E22" w14:textId="77777777">
            <w:pPr>
              <w:overflowPunct/>
              <w:autoSpaceDE/>
              <w:autoSpaceDN/>
              <w:adjustRightInd/>
              <w:jc w:val="center"/>
              <w:textAlignment w:val="auto"/>
              <w:rPr>
                <w:rFonts w:ascii="Times New Roman" w:hAnsi="Times New Roman"/>
                <w:b/>
                <w:bCs/>
                <w:color w:val="000000"/>
                <w:sz w:val="22"/>
                <w:szCs w:val="22"/>
              </w:rPr>
            </w:pPr>
            <w:r w:rsidRPr="008739A8">
              <w:rPr>
                <w:rFonts w:ascii="Times New Roman" w:hAnsi="Times New Roman"/>
                <w:b/>
                <w:bCs/>
                <w:color w:val="000000"/>
                <w:sz w:val="22"/>
                <w:szCs w:val="22"/>
              </w:rPr>
              <w:t>Former Volunteers</w:t>
            </w:r>
            <w:r>
              <w:rPr>
                <w:rStyle w:val="FootnoteReference"/>
                <w:rFonts w:ascii="Times New Roman" w:hAnsi="Times New Roman"/>
                <w:b/>
                <w:bCs/>
                <w:color w:val="000000"/>
                <w:sz w:val="22"/>
                <w:szCs w:val="22"/>
              </w:rPr>
              <w:footnoteReference w:id="4"/>
            </w:r>
            <w:r w:rsidRPr="008739A8">
              <w:rPr>
                <w:rFonts w:ascii="Times New Roman" w:hAnsi="Times New Roman"/>
                <w:b/>
                <w:bCs/>
                <w:color w:val="000000"/>
                <w:sz w:val="22"/>
                <w:szCs w:val="22"/>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0723EC" w:rsidRPr="008739A8" w:rsidP="00C35277" w14:paraId="4AD6EBE5" w14:textId="77777777">
            <w:pPr>
              <w:overflowPunct/>
              <w:autoSpaceDE/>
              <w:autoSpaceDN/>
              <w:adjustRightInd/>
              <w:jc w:val="center"/>
              <w:textAlignment w:val="auto"/>
              <w:rPr>
                <w:rFonts w:ascii="Times New Roman" w:hAnsi="Times New Roman"/>
                <w:color w:val="000000"/>
                <w:sz w:val="22"/>
                <w:szCs w:val="22"/>
              </w:rPr>
            </w:pPr>
            <w:r w:rsidRPr="008739A8">
              <w:rPr>
                <w:color w:val="000000"/>
                <w:sz w:val="22"/>
                <w:szCs w:val="22"/>
              </w:rPr>
              <w:t xml:space="preserve">                                       260 </w:t>
            </w:r>
          </w:p>
        </w:tc>
        <w:tc>
          <w:tcPr>
            <w:tcW w:w="0" w:type="auto"/>
            <w:tcBorders>
              <w:top w:val="nil"/>
              <w:left w:val="nil"/>
              <w:bottom w:val="single" w:sz="8" w:space="0" w:color="auto"/>
              <w:right w:val="single" w:sz="8" w:space="0" w:color="auto"/>
            </w:tcBorders>
            <w:shd w:val="clear" w:color="auto" w:fill="auto"/>
            <w:vAlign w:val="center"/>
            <w:hideMark/>
          </w:tcPr>
          <w:p w:rsidR="000723EC" w:rsidRPr="008739A8" w:rsidP="00C35277" w14:paraId="32249F76" w14:textId="77777777">
            <w:pPr>
              <w:overflowPunct/>
              <w:autoSpaceDE/>
              <w:autoSpaceDN/>
              <w:adjustRightInd/>
              <w:jc w:val="center"/>
              <w:textAlignment w:val="auto"/>
              <w:rPr>
                <w:rFonts w:ascii="Times New Roman" w:hAnsi="Times New Roman"/>
                <w:color w:val="000000"/>
                <w:sz w:val="22"/>
                <w:szCs w:val="22"/>
              </w:rPr>
            </w:pPr>
            <w:r w:rsidRPr="008739A8">
              <w:rPr>
                <w:color w:val="000000"/>
                <w:sz w:val="22"/>
                <w:szCs w:val="22"/>
              </w:rPr>
              <w:t xml:space="preserve">                                1 </w:t>
            </w:r>
          </w:p>
        </w:tc>
        <w:tc>
          <w:tcPr>
            <w:tcW w:w="0" w:type="auto"/>
            <w:tcBorders>
              <w:top w:val="nil"/>
              <w:left w:val="nil"/>
              <w:bottom w:val="single" w:sz="8" w:space="0" w:color="auto"/>
              <w:right w:val="single" w:sz="8" w:space="0" w:color="auto"/>
            </w:tcBorders>
            <w:shd w:val="clear" w:color="auto" w:fill="auto"/>
            <w:vAlign w:val="center"/>
            <w:hideMark/>
          </w:tcPr>
          <w:p w:rsidR="000723EC" w:rsidRPr="008739A8" w:rsidP="00C35277" w14:paraId="42064197" w14:textId="77777777">
            <w:pPr>
              <w:overflowPunct/>
              <w:autoSpaceDE/>
              <w:autoSpaceDN/>
              <w:adjustRightInd/>
              <w:jc w:val="center"/>
              <w:textAlignment w:val="auto"/>
              <w:rPr>
                <w:rFonts w:ascii="Times New Roman" w:hAnsi="Times New Roman"/>
                <w:color w:val="000000"/>
                <w:sz w:val="22"/>
                <w:szCs w:val="22"/>
              </w:rPr>
            </w:pPr>
            <w:r w:rsidRPr="008739A8">
              <w:rPr>
                <w:color w:val="000000"/>
                <w:sz w:val="22"/>
                <w:szCs w:val="22"/>
              </w:rPr>
              <w:t xml:space="preserve">                            30 </w:t>
            </w:r>
          </w:p>
        </w:tc>
        <w:tc>
          <w:tcPr>
            <w:tcW w:w="0" w:type="auto"/>
            <w:tcBorders>
              <w:top w:val="nil"/>
              <w:left w:val="nil"/>
              <w:bottom w:val="single" w:sz="8" w:space="0" w:color="auto"/>
              <w:right w:val="single" w:sz="8" w:space="0" w:color="auto"/>
            </w:tcBorders>
            <w:shd w:val="clear" w:color="auto" w:fill="auto"/>
            <w:vAlign w:val="center"/>
            <w:hideMark/>
          </w:tcPr>
          <w:p w:rsidR="000723EC" w:rsidRPr="008739A8" w:rsidP="00C35277" w14:paraId="050F21E3" w14:textId="77777777">
            <w:pPr>
              <w:overflowPunct/>
              <w:autoSpaceDE/>
              <w:autoSpaceDN/>
              <w:adjustRightInd/>
              <w:jc w:val="center"/>
              <w:textAlignment w:val="auto"/>
              <w:rPr>
                <w:rFonts w:ascii="Times New Roman" w:hAnsi="Times New Roman"/>
                <w:color w:val="000000"/>
                <w:sz w:val="22"/>
                <w:szCs w:val="22"/>
              </w:rPr>
            </w:pPr>
            <w:r w:rsidRPr="008739A8">
              <w:rPr>
                <w:color w:val="000000"/>
                <w:sz w:val="22"/>
                <w:szCs w:val="22"/>
              </w:rPr>
              <w:t xml:space="preserve">                  0.50 </w:t>
            </w:r>
          </w:p>
        </w:tc>
        <w:tc>
          <w:tcPr>
            <w:tcW w:w="0" w:type="auto"/>
            <w:tcBorders>
              <w:top w:val="nil"/>
              <w:left w:val="nil"/>
              <w:bottom w:val="single" w:sz="8" w:space="0" w:color="auto"/>
              <w:right w:val="single" w:sz="8" w:space="0" w:color="auto"/>
            </w:tcBorders>
            <w:shd w:val="clear" w:color="auto" w:fill="auto"/>
            <w:vAlign w:val="center"/>
            <w:hideMark/>
          </w:tcPr>
          <w:p w:rsidR="000723EC" w:rsidRPr="008739A8" w:rsidP="00C35277" w14:paraId="3093C7C0" w14:textId="77777777">
            <w:pPr>
              <w:overflowPunct/>
              <w:autoSpaceDE/>
              <w:autoSpaceDN/>
              <w:adjustRightInd/>
              <w:jc w:val="center"/>
              <w:textAlignment w:val="auto"/>
              <w:rPr>
                <w:rFonts w:ascii="Times New Roman" w:hAnsi="Times New Roman"/>
                <w:color w:val="000000"/>
                <w:sz w:val="22"/>
                <w:szCs w:val="22"/>
              </w:rPr>
            </w:pPr>
            <w:r w:rsidRPr="008739A8">
              <w:rPr>
                <w:color w:val="000000"/>
                <w:sz w:val="22"/>
                <w:szCs w:val="22"/>
              </w:rPr>
              <w:t xml:space="preserve">                   130 </w:t>
            </w:r>
          </w:p>
        </w:tc>
      </w:tr>
      <w:tr w14:paraId="15793740" w14:textId="77777777" w:rsidTr="00C35277">
        <w:tblPrEx>
          <w:tblW w:w="0" w:type="auto"/>
          <w:tblLook w:val="04A0"/>
        </w:tblPrEx>
        <w:trPr>
          <w:trHeight w:val="2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723EC" w:rsidRPr="005D6334" w:rsidP="00C35277" w14:paraId="5A3C5DA7" w14:textId="77777777">
            <w:pPr>
              <w:overflowPunct/>
              <w:autoSpaceDE/>
              <w:autoSpaceDN/>
              <w:adjustRightInd/>
              <w:jc w:val="center"/>
              <w:textAlignment w:val="auto"/>
              <w:rPr>
                <w:rFonts w:ascii="Times New Roman" w:hAnsi="Times New Roman"/>
                <w:b/>
                <w:bCs/>
                <w:color w:val="000000"/>
                <w:sz w:val="22"/>
                <w:szCs w:val="22"/>
              </w:rPr>
            </w:pPr>
            <w:r w:rsidRPr="005D6334">
              <w:rPr>
                <w:rFonts w:ascii="Times New Roman" w:hAnsi="Times New Roman"/>
                <w:b/>
                <w:bCs/>
                <w:color w:val="000000"/>
                <w:sz w:val="22"/>
                <w:szCs w:val="22"/>
              </w:rPr>
              <w:t>SCP Caregivers</w:t>
            </w:r>
            <w:r>
              <w:rPr>
                <w:rStyle w:val="FootnoteReference"/>
                <w:rFonts w:ascii="Times New Roman" w:hAnsi="Times New Roman"/>
                <w:b/>
                <w:bCs/>
                <w:color w:val="000000"/>
                <w:sz w:val="22"/>
                <w:szCs w:val="22"/>
              </w:rPr>
              <w:footnoteReference w:id="5"/>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58E1AF33"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260 </w:t>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650B2811"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1 </w:t>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780D0DA2"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30 </w:t>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27D0EA8D"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0.50 </w:t>
            </w:r>
          </w:p>
        </w:tc>
        <w:tc>
          <w:tcPr>
            <w:tcW w:w="0" w:type="auto"/>
            <w:tcBorders>
              <w:top w:val="nil"/>
              <w:left w:val="nil"/>
              <w:bottom w:val="single" w:sz="8" w:space="0" w:color="auto"/>
              <w:right w:val="single" w:sz="8" w:space="0" w:color="auto"/>
            </w:tcBorders>
            <w:shd w:val="clear" w:color="auto" w:fill="auto"/>
            <w:vAlign w:val="center"/>
            <w:hideMark/>
          </w:tcPr>
          <w:p w:rsidR="000723EC" w:rsidRPr="005D6334" w:rsidP="00C35277" w14:paraId="14C2EFE1"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130</w:t>
            </w:r>
          </w:p>
        </w:tc>
      </w:tr>
      <w:tr w14:paraId="2CE36F12" w14:textId="77777777" w:rsidTr="00C35277">
        <w:tblPrEx>
          <w:tblW w:w="0" w:type="auto"/>
          <w:tblLook w:val="04A0"/>
        </w:tblPrEx>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0723EC" w:rsidRPr="005D6334" w:rsidP="00C35277" w14:paraId="664941AD" w14:textId="77777777">
            <w:pPr>
              <w:overflowPunct/>
              <w:autoSpaceDE/>
              <w:autoSpaceDN/>
              <w:adjustRightInd/>
              <w:jc w:val="center"/>
              <w:textAlignment w:val="auto"/>
              <w:rPr>
                <w:rFonts w:ascii="Times New Roman" w:hAnsi="Times New Roman"/>
                <w:b/>
                <w:bCs/>
                <w:color w:val="000000"/>
                <w:sz w:val="22"/>
                <w:szCs w:val="22"/>
              </w:rPr>
            </w:pPr>
            <w:r w:rsidRPr="005D6334">
              <w:rPr>
                <w:rFonts w:ascii="Times New Roman" w:hAnsi="Times New Roman"/>
                <w:b/>
                <w:bCs/>
                <w:color w:val="000000"/>
                <w:sz w:val="22"/>
                <w:szCs w:val="22"/>
              </w:rPr>
              <w:t>SCP Clients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0723EC" w:rsidRPr="005D6334" w:rsidP="00C35277" w14:paraId="2369893A"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260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0723EC" w:rsidRPr="005D6334" w:rsidP="00C35277" w14:paraId="22C247D2"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1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0723EC" w:rsidRPr="005D6334" w:rsidP="00C35277" w14:paraId="1249FD49"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30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0723EC" w:rsidRPr="005D6334" w:rsidP="00C35277" w14:paraId="3B86A3A0"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0.50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0723EC" w:rsidRPr="005D6334" w:rsidP="00C35277" w14:paraId="373FFD41" w14:textId="77777777">
            <w:pPr>
              <w:overflowPunct/>
              <w:autoSpaceDE/>
              <w:autoSpaceDN/>
              <w:adjustRightInd/>
              <w:jc w:val="center"/>
              <w:textAlignment w:val="auto"/>
              <w:rPr>
                <w:rFonts w:ascii="Times New Roman" w:hAnsi="Times New Roman"/>
                <w:color w:val="000000"/>
                <w:sz w:val="22"/>
                <w:szCs w:val="22"/>
              </w:rPr>
            </w:pPr>
            <w:r>
              <w:rPr>
                <w:color w:val="000000"/>
                <w:sz w:val="22"/>
                <w:szCs w:val="22"/>
              </w:rPr>
              <w:t xml:space="preserve">                   130 </w:t>
            </w:r>
          </w:p>
        </w:tc>
      </w:tr>
      <w:tr w14:paraId="64DC3F6D" w14:textId="77777777" w:rsidTr="00C35277">
        <w:tblPrEx>
          <w:tblW w:w="0" w:type="auto"/>
          <w:tblLook w:val="04A0"/>
        </w:tblPrEx>
        <w:trPr>
          <w:trHeight w:val="315"/>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tcPr>
          <w:p w:rsidR="000723EC" w:rsidRPr="005D6334" w:rsidP="00C35277" w14:paraId="2C28D1D1" w14:textId="77777777">
            <w:pPr>
              <w:overflowPunct/>
              <w:autoSpaceDE/>
              <w:autoSpaceDN/>
              <w:adjustRightInd/>
              <w:jc w:val="center"/>
              <w:textAlignment w:val="auto"/>
              <w:rPr>
                <w:rFonts w:ascii="Times New Roman" w:hAnsi="Times New Roman"/>
                <w:b/>
                <w:bCs/>
                <w:color w:val="000000"/>
                <w:sz w:val="22"/>
                <w:szCs w:val="22"/>
              </w:rPr>
            </w:pPr>
            <w:r w:rsidRPr="005D6334">
              <w:rPr>
                <w:rFonts w:ascii="Times New Roman" w:hAnsi="Times New Roman"/>
                <w:b/>
                <w:bCs/>
                <w:color w:val="000000"/>
                <w:sz w:val="22"/>
                <w:szCs w:val="22"/>
              </w:rPr>
              <w:t>Total</w:t>
            </w:r>
          </w:p>
        </w:tc>
        <w:tc>
          <w:tcPr>
            <w:tcW w:w="0" w:type="auto"/>
            <w:tcBorders>
              <w:top w:val="single" w:sz="8" w:space="0" w:color="auto"/>
              <w:left w:val="nil"/>
              <w:bottom w:val="single" w:sz="4" w:space="0" w:color="auto"/>
              <w:right w:val="single" w:sz="8" w:space="0" w:color="auto"/>
            </w:tcBorders>
            <w:shd w:val="clear" w:color="auto" w:fill="auto"/>
            <w:vAlign w:val="center"/>
          </w:tcPr>
          <w:p w:rsidR="000723EC" w:rsidRPr="005D6334" w:rsidP="00C35277" w14:paraId="35061552" w14:textId="77777777">
            <w:pPr>
              <w:overflowPunct/>
              <w:autoSpaceDE/>
              <w:autoSpaceDN/>
              <w:adjustRightInd/>
              <w:jc w:val="center"/>
              <w:textAlignment w:val="auto"/>
              <w:rPr>
                <w:rFonts w:ascii="Times New Roman" w:hAnsi="Times New Roman"/>
                <w:color w:val="000000"/>
                <w:sz w:val="22"/>
                <w:szCs w:val="22"/>
              </w:rPr>
            </w:pPr>
            <w:r>
              <w:rPr>
                <w:b/>
                <w:bCs/>
                <w:color w:val="000000"/>
                <w:sz w:val="22"/>
                <w:szCs w:val="22"/>
              </w:rPr>
              <w:t xml:space="preserve">                              4,958 </w:t>
            </w:r>
          </w:p>
        </w:tc>
        <w:tc>
          <w:tcPr>
            <w:tcW w:w="0" w:type="auto"/>
            <w:tcBorders>
              <w:top w:val="single" w:sz="8" w:space="0" w:color="auto"/>
              <w:left w:val="nil"/>
              <w:bottom w:val="single" w:sz="4" w:space="0" w:color="auto"/>
              <w:right w:val="single" w:sz="8" w:space="0" w:color="auto"/>
            </w:tcBorders>
            <w:shd w:val="clear" w:color="auto" w:fill="auto"/>
            <w:vAlign w:val="center"/>
          </w:tcPr>
          <w:p w:rsidR="000723EC" w:rsidRPr="005D6334" w:rsidP="00C35277" w14:paraId="456CAED3" w14:textId="0A16331A">
            <w:pPr>
              <w:overflowPunct/>
              <w:autoSpaceDE/>
              <w:autoSpaceDN/>
              <w:adjustRightInd/>
              <w:jc w:val="center"/>
              <w:textAlignment w:val="auto"/>
              <w:rPr>
                <w:rFonts w:ascii="Times New Roman" w:hAnsi="Times New Roman"/>
                <w:color w:val="000000"/>
                <w:sz w:val="22"/>
                <w:szCs w:val="22"/>
              </w:rPr>
            </w:pPr>
            <w:r>
              <w:rPr>
                <w:b/>
                <w:bCs/>
                <w:color w:val="000000"/>
                <w:sz w:val="22"/>
                <w:szCs w:val="22"/>
              </w:rPr>
              <w:t xml:space="preserve">                               </w:t>
            </w:r>
            <w:r w:rsidR="00295EC5">
              <w:rPr>
                <w:b/>
                <w:bCs/>
                <w:color w:val="000000"/>
                <w:sz w:val="22"/>
                <w:szCs w:val="22"/>
              </w:rPr>
              <w:t>1</w:t>
            </w:r>
            <w:r>
              <w:rPr>
                <w:b/>
                <w:bCs/>
                <w:color w:val="000000"/>
                <w:sz w:val="22"/>
                <w:szCs w:val="22"/>
              </w:rPr>
              <w:t xml:space="preserve"> </w:t>
            </w:r>
          </w:p>
        </w:tc>
        <w:tc>
          <w:tcPr>
            <w:tcW w:w="0" w:type="auto"/>
            <w:tcBorders>
              <w:top w:val="single" w:sz="8" w:space="0" w:color="auto"/>
              <w:left w:val="nil"/>
              <w:bottom w:val="single" w:sz="4" w:space="0" w:color="auto"/>
              <w:right w:val="single" w:sz="8" w:space="0" w:color="auto"/>
            </w:tcBorders>
            <w:shd w:val="clear" w:color="auto" w:fill="auto"/>
            <w:vAlign w:val="center"/>
          </w:tcPr>
          <w:p w:rsidR="000723EC" w:rsidP="00C35277" w14:paraId="757BABCA" w14:textId="77777777">
            <w:pPr>
              <w:overflowPunct/>
              <w:autoSpaceDE/>
              <w:autoSpaceDN/>
              <w:adjustRightInd/>
              <w:jc w:val="center"/>
              <w:textAlignment w:val="auto"/>
              <w:rPr>
                <w:b/>
                <w:bCs/>
                <w:color w:val="000000"/>
                <w:sz w:val="22"/>
                <w:szCs w:val="22"/>
              </w:rPr>
            </w:pPr>
            <w:r>
              <w:rPr>
                <w:b/>
                <w:bCs/>
                <w:color w:val="000000"/>
                <w:sz w:val="22"/>
                <w:szCs w:val="22"/>
              </w:rPr>
              <w:t xml:space="preserve">                         </w:t>
            </w:r>
          </w:p>
          <w:p w:rsidR="000723EC" w:rsidRPr="005D6334" w:rsidP="00C35277" w14:paraId="247A6E1A" w14:textId="77777777">
            <w:pPr>
              <w:overflowPunct/>
              <w:autoSpaceDE/>
              <w:autoSpaceDN/>
              <w:adjustRightInd/>
              <w:jc w:val="center"/>
              <w:textAlignment w:val="auto"/>
              <w:rPr>
                <w:rFonts w:ascii="Times New Roman" w:hAnsi="Times New Roman"/>
                <w:color w:val="000000"/>
                <w:sz w:val="22"/>
                <w:szCs w:val="22"/>
              </w:rPr>
            </w:pPr>
            <w:r>
              <w:rPr>
                <w:b/>
                <w:bCs/>
                <w:color w:val="000000"/>
                <w:sz w:val="22"/>
                <w:szCs w:val="22"/>
              </w:rPr>
              <w:t xml:space="preserve">140 </w:t>
            </w:r>
          </w:p>
        </w:tc>
        <w:tc>
          <w:tcPr>
            <w:tcW w:w="0" w:type="auto"/>
            <w:tcBorders>
              <w:top w:val="single" w:sz="8" w:space="0" w:color="auto"/>
              <w:left w:val="nil"/>
              <w:bottom w:val="single" w:sz="4" w:space="0" w:color="auto"/>
              <w:right w:val="single" w:sz="8" w:space="0" w:color="auto"/>
            </w:tcBorders>
            <w:shd w:val="clear" w:color="auto" w:fill="auto"/>
            <w:vAlign w:val="center"/>
          </w:tcPr>
          <w:p w:rsidR="000723EC" w:rsidRPr="005D6334" w:rsidP="00C35277" w14:paraId="07DEAFE5" w14:textId="6E30F04C">
            <w:pPr>
              <w:overflowPunct/>
              <w:autoSpaceDE/>
              <w:autoSpaceDN/>
              <w:adjustRightInd/>
              <w:jc w:val="center"/>
              <w:textAlignment w:val="auto"/>
              <w:rPr>
                <w:rFonts w:ascii="Times New Roman" w:hAnsi="Times New Roman"/>
                <w:color w:val="000000"/>
                <w:sz w:val="22"/>
                <w:szCs w:val="22"/>
              </w:rPr>
            </w:pPr>
            <w:r>
              <w:rPr>
                <w:b/>
                <w:bCs/>
                <w:color w:val="000000"/>
                <w:sz w:val="22"/>
                <w:szCs w:val="22"/>
              </w:rPr>
              <w:t xml:space="preserve">                     0.</w:t>
            </w:r>
            <w:r w:rsidR="00FA3F79">
              <w:rPr>
                <w:b/>
                <w:bCs/>
                <w:color w:val="000000"/>
                <w:sz w:val="22"/>
                <w:szCs w:val="22"/>
              </w:rPr>
              <w:t>466</w:t>
            </w:r>
            <w:r w:rsidR="00F806B1">
              <w:rPr>
                <w:b/>
                <w:bCs/>
                <w:color w:val="000000"/>
                <w:sz w:val="22"/>
                <w:szCs w:val="22"/>
              </w:rPr>
              <w:t>*</w:t>
            </w:r>
          </w:p>
        </w:tc>
        <w:tc>
          <w:tcPr>
            <w:tcW w:w="0" w:type="auto"/>
            <w:tcBorders>
              <w:top w:val="single" w:sz="8" w:space="0" w:color="auto"/>
              <w:left w:val="nil"/>
              <w:bottom w:val="single" w:sz="4" w:space="0" w:color="auto"/>
              <w:right w:val="single" w:sz="8" w:space="0" w:color="auto"/>
            </w:tcBorders>
            <w:shd w:val="clear" w:color="auto" w:fill="auto"/>
            <w:vAlign w:val="center"/>
          </w:tcPr>
          <w:p w:rsidR="000723EC" w:rsidP="00C35277" w14:paraId="050E8C82" w14:textId="77777777">
            <w:pPr>
              <w:overflowPunct/>
              <w:autoSpaceDE/>
              <w:autoSpaceDN/>
              <w:adjustRightInd/>
              <w:jc w:val="center"/>
              <w:textAlignment w:val="auto"/>
              <w:rPr>
                <w:b/>
                <w:bCs/>
                <w:color w:val="000000"/>
                <w:sz w:val="22"/>
                <w:szCs w:val="22"/>
              </w:rPr>
            </w:pPr>
            <w:r>
              <w:rPr>
                <w:b/>
                <w:bCs/>
                <w:color w:val="000000"/>
                <w:sz w:val="22"/>
                <w:szCs w:val="22"/>
              </w:rPr>
              <w:t xml:space="preserve">              </w:t>
            </w:r>
          </w:p>
          <w:p w:rsidR="000723EC" w:rsidRPr="005D6334" w:rsidP="00C35277" w14:paraId="1A310011" w14:textId="13B5B2E4">
            <w:pPr>
              <w:overflowPunct/>
              <w:autoSpaceDE/>
              <w:autoSpaceDN/>
              <w:adjustRightInd/>
              <w:jc w:val="center"/>
              <w:textAlignment w:val="auto"/>
              <w:rPr>
                <w:rFonts w:ascii="Times New Roman" w:hAnsi="Times New Roman"/>
                <w:color w:val="000000"/>
                <w:sz w:val="22"/>
                <w:szCs w:val="22"/>
              </w:rPr>
            </w:pPr>
            <w:r>
              <w:rPr>
                <w:b/>
                <w:bCs/>
                <w:color w:val="000000"/>
                <w:sz w:val="22"/>
                <w:szCs w:val="22"/>
              </w:rPr>
              <w:t>2,</w:t>
            </w:r>
            <w:r w:rsidR="00136710">
              <w:rPr>
                <w:b/>
                <w:bCs/>
                <w:color w:val="000000"/>
                <w:sz w:val="22"/>
                <w:szCs w:val="22"/>
              </w:rPr>
              <w:t>479</w:t>
            </w:r>
            <w:r w:rsidR="00494885">
              <w:rPr>
                <w:b/>
                <w:bCs/>
                <w:color w:val="000000"/>
                <w:sz w:val="22"/>
                <w:szCs w:val="22"/>
              </w:rPr>
              <w:t>**</w:t>
            </w:r>
            <w:r>
              <w:rPr>
                <w:b/>
                <w:bCs/>
                <w:color w:val="000000"/>
                <w:sz w:val="22"/>
                <w:szCs w:val="22"/>
              </w:rPr>
              <w:t xml:space="preserve"> </w:t>
            </w:r>
          </w:p>
        </w:tc>
      </w:tr>
    </w:tbl>
    <w:p w:rsidR="000723EC" w:rsidP="000723EC" w14:paraId="707A1BBA" w14:textId="41739BEC">
      <w:pPr>
        <w:tabs>
          <w:tab w:val="left" w:pos="360"/>
        </w:tabs>
        <w:spacing w:before="200" w:after="200"/>
      </w:pPr>
      <w:r>
        <w:t xml:space="preserve">*Averaged. </w:t>
      </w:r>
      <w:r w:rsidRPr="00C24FF6">
        <w:t>The time to complete each survey will vary and depend on the characteristics of those completing the survey. Based on the pretest results, JBS estimates that respondents will take between 20 to 30 minutes depending on the survey.</w:t>
      </w:r>
      <w:r>
        <w:t xml:space="preserve"> </w:t>
      </w:r>
    </w:p>
    <w:p w:rsidR="0031329A" w:rsidP="000723EC" w14:paraId="79BFCFAB" w14:textId="79A37A6C">
      <w:pPr>
        <w:tabs>
          <w:tab w:val="left" w:pos="360"/>
        </w:tabs>
        <w:spacing w:before="200" w:after="200"/>
      </w:pPr>
      <w:r>
        <w:t xml:space="preserve">**The sum of burden hours is </w:t>
      </w:r>
      <w:r>
        <w:rPr>
          <w:color w:val="000000"/>
        </w:rPr>
        <w:t>2,043 but averaging the burden hours per response and multiplying by the number of responses accounts for the difference.</w:t>
      </w:r>
    </w:p>
    <w:tbl>
      <w:tblPr>
        <w:tblW w:w="5000" w:type="pct"/>
        <w:tblCellSpacing w:w="22" w:type="dxa"/>
        <w:tblCellMar>
          <w:left w:w="0" w:type="dxa"/>
          <w:right w:w="0" w:type="dxa"/>
        </w:tblCellMar>
        <w:tblLook w:val="04A0"/>
      </w:tblPr>
      <w:tblGrid>
        <w:gridCol w:w="9248"/>
        <w:gridCol w:w="112"/>
      </w:tblGrid>
      <w:tr w14:paraId="4878FD15" w14:textId="77777777" w:rsidTr="00C35277">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8B0705" w:rsidRPr="0066527F" w:rsidP="00C35277" w14:paraId="2AD59017" w14:textId="77777777">
            <w:pPr>
              <w:widowControl w:val="0"/>
              <w:rPr>
                <w:b/>
                <w:bCs/>
                <w:szCs w:val="22"/>
              </w:rPr>
            </w:pPr>
            <w:r w:rsidRPr="0066527F">
              <w:rPr>
                <w:b/>
                <w:bCs/>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277"/>
              <w:gridCol w:w="2083"/>
              <w:gridCol w:w="1737"/>
              <w:gridCol w:w="2298"/>
            </w:tblGrid>
            <w:tr w14:paraId="09F37B9E" w14:textId="77777777" w:rsidTr="00C35277">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86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0705" w:rsidRPr="00915869" w:rsidP="00C35277" w14:paraId="5E059AFE" w14:textId="77777777">
                  <w:pPr>
                    <w:widowControl w:val="0"/>
                    <w:jc w:val="center"/>
                    <w:rPr>
                      <w:b/>
                      <w:bCs/>
                      <w:szCs w:val="22"/>
                    </w:rPr>
                  </w:pPr>
                  <w:r w:rsidRPr="00915869">
                    <w:rPr>
                      <w:b/>
                      <w:bCs/>
                      <w:szCs w:val="22"/>
                    </w:rPr>
                    <w:t xml:space="preserve">  </w:t>
                  </w:r>
                </w:p>
              </w:tc>
              <w:tc>
                <w:tcPr>
                  <w:tcW w:w="140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0705" w:rsidRPr="00915869" w:rsidP="00C35277" w14:paraId="1817FDE8" w14:textId="77777777">
                  <w:pPr>
                    <w:widowControl w:val="0"/>
                    <w:jc w:val="center"/>
                    <w:rPr>
                      <w:b/>
                      <w:bCs/>
                      <w:szCs w:val="22"/>
                    </w:rPr>
                  </w:pPr>
                  <w:r w:rsidRPr="00915869">
                    <w:rPr>
                      <w:b/>
                      <w:bCs/>
                      <w:szCs w:val="22"/>
                    </w:rPr>
                    <w:t xml:space="preserve">Time Per Response </w:t>
                  </w:r>
                </w:p>
              </w:tc>
              <w:tc>
                <w:tcPr>
                  <w:tcW w:w="117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0705" w:rsidRPr="00915869" w:rsidP="00C35277" w14:paraId="6B747BE1" w14:textId="77777777">
                  <w:pPr>
                    <w:widowControl w:val="0"/>
                    <w:jc w:val="center"/>
                    <w:rPr>
                      <w:b/>
                      <w:bCs/>
                      <w:szCs w:val="22"/>
                    </w:rPr>
                  </w:pPr>
                  <w:r w:rsidRPr="00915869">
                    <w:rPr>
                      <w:b/>
                      <w:bCs/>
                      <w:szCs w:val="22"/>
                    </w:rPr>
                    <w:t xml:space="preserve">Hours </w:t>
                  </w:r>
                </w:p>
              </w:tc>
              <w:tc>
                <w:tcPr>
                  <w:tcW w:w="155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0705" w:rsidRPr="00915869" w:rsidP="00C35277" w14:paraId="6EC15554" w14:textId="77777777">
                  <w:pPr>
                    <w:widowControl w:val="0"/>
                    <w:jc w:val="center"/>
                    <w:rPr>
                      <w:b/>
                      <w:bCs/>
                      <w:szCs w:val="22"/>
                    </w:rPr>
                  </w:pPr>
                  <w:r w:rsidRPr="00915869">
                    <w:rPr>
                      <w:b/>
                      <w:bCs/>
                      <w:szCs w:val="22"/>
                    </w:rPr>
                    <w:t xml:space="preserve">Cost Per Response </w:t>
                  </w:r>
                </w:p>
              </w:tc>
            </w:tr>
            <w:tr w14:paraId="322358DA" w14:textId="77777777" w:rsidTr="00C35277">
              <w:tblPrEx>
                <w:tblW w:w="7395" w:type="dxa"/>
                <w:tblCellSpacing w:w="0" w:type="dxa"/>
                <w:shd w:val="clear" w:color="auto" w:fill="EFEFEF"/>
                <w:tblCellMar>
                  <w:left w:w="0" w:type="dxa"/>
                  <w:right w:w="0" w:type="dxa"/>
                </w:tblCellMar>
                <w:tblLook w:val="04A0"/>
              </w:tblPrEx>
              <w:trPr>
                <w:tblCellSpacing w:w="0" w:type="dxa"/>
              </w:trPr>
              <w:tc>
                <w:tcPr>
                  <w:tcW w:w="86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5CDA18DD" w14:textId="77777777">
                  <w:pPr>
                    <w:widowControl w:val="0"/>
                    <w:rPr>
                      <w:szCs w:val="22"/>
                    </w:rPr>
                  </w:pPr>
                  <w:r w:rsidRPr="00915869">
                    <w:rPr>
                      <w:szCs w:val="22"/>
                    </w:rPr>
                    <w:t xml:space="preserve">Reporting </w:t>
                  </w:r>
                </w:p>
              </w:tc>
              <w:tc>
                <w:tcPr>
                  <w:tcW w:w="14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35F8C687" w14:textId="64EF6C47">
                  <w:pPr>
                    <w:widowControl w:val="0"/>
                    <w:jc w:val="center"/>
                  </w:pPr>
                  <w:r>
                    <w:t>0.</w:t>
                  </w:r>
                  <w:r w:rsidR="00605291">
                    <w:t>466</w:t>
                  </w:r>
                </w:p>
              </w:tc>
              <w:tc>
                <w:tcPr>
                  <w:tcW w:w="117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23E506A1" w14:textId="56B926F4">
                  <w:pPr>
                    <w:widowControl w:val="0"/>
                    <w:jc w:val="center"/>
                  </w:pPr>
                  <w:r>
                    <w:t>0.</w:t>
                  </w:r>
                  <w:r w:rsidR="00605291">
                    <w:t>466</w:t>
                  </w:r>
                </w:p>
              </w:tc>
              <w:tc>
                <w:tcPr>
                  <w:tcW w:w="155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243C234F" w14:textId="63CC8261">
                  <w:pPr>
                    <w:widowControl w:val="0"/>
                    <w:jc w:val="center"/>
                  </w:pPr>
                  <w:r>
                    <w:t>$</w:t>
                  </w:r>
                  <w:r w:rsidR="00605291">
                    <w:t>22.07</w:t>
                  </w:r>
                </w:p>
              </w:tc>
            </w:tr>
            <w:tr w14:paraId="43ACEE1A" w14:textId="77777777" w:rsidTr="00C35277">
              <w:tblPrEx>
                <w:tblW w:w="7395" w:type="dxa"/>
                <w:tblCellSpacing w:w="0" w:type="dxa"/>
                <w:shd w:val="clear" w:color="auto" w:fill="EFEFEF"/>
                <w:tblCellMar>
                  <w:left w:w="0" w:type="dxa"/>
                  <w:right w:w="0" w:type="dxa"/>
                </w:tblCellMar>
                <w:tblLook w:val="04A0"/>
              </w:tblPrEx>
              <w:trPr>
                <w:tblCellSpacing w:w="0" w:type="dxa"/>
              </w:trPr>
              <w:tc>
                <w:tcPr>
                  <w:tcW w:w="86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11148428" w14:textId="77777777">
                  <w:pPr>
                    <w:widowControl w:val="0"/>
                    <w:rPr>
                      <w:szCs w:val="22"/>
                    </w:rPr>
                  </w:pPr>
                  <w:r w:rsidRPr="00915869">
                    <w:rPr>
                      <w:szCs w:val="22"/>
                    </w:rPr>
                    <w:t xml:space="preserve">Record Keeping </w:t>
                  </w:r>
                </w:p>
              </w:tc>
              <w:tc>
                <w:tcPr>
                  <w:tcW w:w="14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5B1EA7A7" w14:textId="77777777">
                  <w:pPr>
                    <w:widowControl w:val="0"/>
                    <w:jc w:val="center"/>
                  </w:pPr>
                  <w:r>
                    <w:t>--</w:t>
                  </w:r>
                </w:p>
              </w:tc>
              <w:tc>
                <w:tcPr>
                  <w:tcW w:w="117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4212A98E" w14:textId="77777777">
                  <w:pPr>
                    <w:widowControl w:val="0"/>
                    <w:jc w:val="center"/>
                  </w:pPr>
                  <w:r>
                    <w:t>--</w:t>
                  </w:r>
                </w:p>
              </w:tc>
              <w:tc>
                <w:tcPr>
                  <w:tcW w:w="155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60FF7809" w14:textId="77777777">
                  <w:pPr>
                    <w:widowControl w:val="0"/>
                    <w:jc w:val="center"/>
                  </w:pPr>
                  <w:r>
                    <w:t>--</w:t>
                  </w:r>
                </w:p>
              </w:tc>
            </w:tr>
            <w:tr w14:paraId="25109B3C" w14:textId="77777777" w:rsidTr="00C35277">
              <w:tblPrEx>
                <w:tblW w:w="7395" w:type="dxa"/>
                <w:tblCellSpacing w:w="0" w:type="dxa"/>
                <w:shd w:val="clear" w:color="auto" w:fill="EFEFEF"/>
                <w:tblCellMar>
                  <w:left w:w="0" w:type="dxa"/>
                  <w:right w:w="0" w:type="dxa"/>
                </w:tblCellMar>
                <w:tblLook w:val="04A0"/>
              </w:tblPrEx>
              <w:trPr>
                <w:tblCellSpacing w:w="0" w:type="dxa"/>
              </w:trPr>
              <w:tc>
                <w:tcPr>
                  <w:tcW w:w="86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5C372672" w14:textId="77777777">
                  <w:pPr>
                    <w:widowControl w:val="0"/>
                    <w:rPr>
                      <w:szCs w:val="22"/>
                    </w:rPr>
                  </w:pPr>
                  <w:r w:rsidRPr="00915869">
                    <w:rPr>
                      <w:szCs w:val="22"/>
                    </w:rPr>
                    <w:t xml:space="preserve">Third Party Disclosure </w:t>
                  </w:r>
                </w:p>
              </w:tc>
              <w:tc>
                <w:tcPr>
                  <w:tcW w:w="14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4ACADCCC" w14:textId="77777777">
                  <w:pPr>
                    <w:widowControl w:val="0"/>
                    <w:jc w:val="center"/>
                  </w:pPr>
                  <w:r>
                    <w:t>--</w:t>
                  </w:r>
                </w:p>
              </w:tc>
              <w:tc>
                <w:tcPr>
                  <w:tcW w:w="117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638561D6" w14:textId="77777777">
                  <w:pPr>
                    <w:widowControl w:val="0"/>
                    <w:jc w:val="center"/>
                  </w:pPr>
                  <w:r>
                    <w:t>--</w:t>
                  </w:r>
                </w:p>
              </w:tc>
              <w:tc>
                <w:tcPr>
                  <w:tcW w:w="155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0F0745E2" w14:textId="77777777">
                  <w:pPr>
                    <w:widowControl w:val="0"/>
                    <w:jc w:val="center"/>
                  </w:pPr>
                  <w:r>
                    <w:t>--</w:t>
                  </w:r>
                </w:p>
              </w:tc>
            </w:tr>
            <w:tr w14:paraId="42998B30" w14:textId="77777777" w:rsidTr="00C35277">
              <w:tblPrEx>
                <w:tblW w:w="7395" w:type="dxa"/>
                <w:tblCellSpacing w:w="0" w:type="dxa"/>
                <w:shd w:val="clear" w:color="auto" w:fill="EFEFEF"/>
                <w:tblCellMar>
                  <w:left w:w="0" w:type="dxa"/>
                  <w:right w:w="0" w:type="dxa"/>
                </w:tblCellMar>
                <w:tblLook w:val="04A0"/>
              </w:tblPrEx>
              <w:trPr>
                <w:tblCellSpacing w:w="0" w:type="dxa"/>
              </w:trPr>
              <w:tc>
                <w:tcPr>
                  <w:tcW w:w="86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0920261D" w14:textId="77777777">
                  <w:pPr>
                    <w:widowControl w:val="0"/>
                    <w:rPr>
                      <w:szCs w:val="22"/>
                    </w:rPr>
                  </w:pPr>
                  <w:r w:rsidRPr="00915869">
                    <w:rPr>
                      <w:szCs w:val="22"/>
                    </w:rPr>
                    <w:t xml:space="preserve">Total </w:t>
                  </w:r>
                </w:p>
              </w:tc>
              <w:tc>
                <w:tcPr>
                  <w:tcW w:w="14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3162EDCB" w14:textId="08CA1DD3">
                  <w:pPr>
                    <w:widowControl w:val="0"/>
                    <w:jc w:val="center"/>
                  </w:pPr>
                </w:p>
              </w:tc>
              <w:tc>
                <w:tcPr>
                  <w:tcW w:w="117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3B49549F" w14:textId="6F7C25FC">
                  <w:pPr>
                    <w:widowControl w:val="0"/>
                    <w:jc w:val="center"/>
                  </w:pPr>
                  <w:r>
                    <w:t>0.</w:t>
                  </w:r>
                  <w:r w:rsidR="00605291">
                    <w:t>47</w:t>
                  </w:r>
                </w:p>
              </w:tc>
              <w:tc>
                <w:tcPr>
                  <w:tcW w:w="155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0705" w:rsidRPr="00915869" w:rsidP="00C35277" w14:paraId="0740235E" w14:textId="5E396798">
                  <w:pPr>
                    <w:widowControl w:val="0"/>
                    <w:jc w:val="center"/>
                  </w:pPr>
                  <w:r>
                    <w:t>$</w:t>
                  </w:r>
                  <w:r w:rsidR="00605291">
                    <w:t>22.07</w:t>
                  </w:r>
                </w:p>
              </w:tc>
            </w:tr>
          </w:tbl>
          <w:p w:rsidR="008B0705" w:rsidRPr="00915869" w:rsidP="00C35277" w14:paraId="177D9991" w14:textId="77777777">
            <w:pPr>
              <w:widowControl w:val="0"/>
              <w:rPr>
                <w:szCs w:val="22"/>
              </w:rPr>
            </w:pPr>
          </w:p>
        </w:tc>
      </w:tr>
      <w:tr w14:paraId="02382E87" w14:textId="77777777" w:rsidTr="00C35277">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8B0705" w:rsidRPr="0066527F" w:rsidP="00C35277" w14:paraId="6491EB50" w14:textId="77777777">
            <w:pPr>
              <w:widowControl w:val="0"/>
              <w:rPr>
                <w:b/>
                <w:bCs/>
                <w:szCs w:val="22"/>
              </w:rPr>
            </w:pPr>
            <w:r w:rsidRPr="0066527F">
              <w:rPr>
                <w:b/>
                <w:bCs/>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57E63A8B" w14:textId="77777777" w:rsidTr="00C35277">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0705" w:rsidRPr="00915869" w:rsidP="00C35277" w14:paraId="4CFD505A"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0705" w:rsidRPr="00915869" w:rsidP="00C35277" w14:paraId="2D0062F0"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0705" w:rsidP="00C35277" w14:paraId="02E06DA7" w14:textId="77777777">
                  <w:pPr>
                    <w:widowControl w:val="0"/>
                    <w:jc w:val="center"/>
                    <w:rPr>
                      <w:b/>
                      <w:bCs/>
                      <w:szCs w:val="22"/>
                    </w:rPr>
                  </w:pPr>
                  <w:r w:rsidRPr="00915869">
                    <w:rPr>
                      <w:b/>
                      <w:bCs/>
                      <w:szCs w:val="22"/>
                    </w:rPr>
                    <w:t>Annual Cost Burden</w:t>
                  </w:r>
                </w:p>
                <w:p w:rsidR="008B0705" w:rsidRPr="00915869" w:rsidP="00C35277" w14:paraId="76DB58AF" w14:textId="77777777">
                  <w:pPr>
                    <w:widowControl w:val="0"/>
                    <w:jc w:val="center"/>
                    <w:rPr>
                      <w:b/>
                      <w:bCs/>
                      <w:szCs w:val="22"/>
                    </w:rPr>
                  </w:pPr>
                  <w:r w:rsidRPr="00915869">
                    <w:rPr>
                      <w:b/>
                      <w:bCs/>
                      <w:szCs w:val="22"/>
                    </w:rPr>
                    <w:t xml:space="preserve">(Dollars) </w:t>
                  </w:r>
                </w:p>
              </w:tc>
            </w:tr>
            <w:tr w14:paraId="44FCEFCA" w14:textId="77777777" w:rsidTr="00C35277">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B0705" w:rsidRPr="00915869" w:rsidP="00C35277" w14:paraId="3660D8EA"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B0705" w:rsidRPr="00915869" w:rsidP="0018531C" w14:paraId="3C6E4A7F" w14:textId="07723A5A">
                  <w:pPr>
                    <w:widowControl w:val="0"/>
                    <w:jc w:val="right"/>
                    <w:rPr>
                      <w:szCs w:val="22"/>
                    </w:rPr>
                  </w:pPr>
                  <w:r>
                    <w:rPr>
                      <w:szCs w:val="22"/>
                    </w:rPr>
                    <w:t>2,310.42</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B0705" w:rsidRPr="00915869" w:rsidP="00C35277" w14:paraId="6E2CBA88" w14:textId="4F9E3B37">
                  <w:pPr>
                    <w:widowControl w:val="0"/>
                    <w:jc w:val="right"/>
                    <w:rPr>
                      <w:szCs w:val="22"/>
                    </w:rPr>
                  </w:pPr>
                  <w:r w:rsidRPr="00EB2C54">
                    <w:rPr>
                      <w:szCs w:val="22"/>
                    </w:rPr>
                    <w:t>$</w:t>
                  </w:r>
                  <w:r w:rsidR="00642432">
                    <w:rPr>
                      <w:szCs w:val="22"/>
                    </w:rPr>
                    <w:t>109,423.</w:t>
                  </w:r>
                  <w:r w:rsidR="00D6349A">
                    <w:rPr>
                      <w:szCs w:val="22"/>
                    </w:rPr>
                    <w:t>06</w:t>
                  </w:r>
                </w:p>
              </w:tc>
            </w:tr>
            <w:tr w14:paraId="48500D3D" w14:textId="77777777" w:rsidTr="00C35277">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B0705" w:rsidRPr="00915869" w:rsidP="00C35277" w14:paraId="3687DFF1"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B0705" w:rsidRPr="00915869" w:rsidP="00C35277" w14:paraId="15A6E5F0" w14:textId="77777777">
                  <w:pPr>
                    <w:widowControl w:val="0"/>
                    <w:rPr>
                      <w:szCs w:val="22"/>
                    </w:rPr>
                  </w:pPr>
                  <w:r>
                    <w:rPr>
                      <w:szCs w:val="22"/>
                    </w:rPr>
                    <w:t>--</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B0705" w:rsidRPr="00915869" w:rsidP="00C35277" w14:paraId="3ECFE34E" w14:textId="77777777">
                  <w:pPr>
                    <w:widowControl w:val="0"/>
                    <w:jc w:val="right"/>
                    <w:rPr>
                      <w:szCs w:val="22"/>
                    </w:rPr>
                  </w:pPr>
                  <w:r>
                    <w:rPr>
                      <w:szCs w:val="22"/>
                    </w:rPr>
                    <w:t>--</w:t>
                  </w:r>
                </w:p>
              </w:tc>
            </w:tr>
            <w:tr w14:paraId="7965D1D7" w14:textId="77777777" w:rsidTr="00C35277">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B0705" w:rsidRPr="00915869" w:rsidP="00C35277" w14:paraId="4218B833"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B0705" w:rsidRPr="00915869" w:rsidP="00C35277" w14:paraId="495F4A9A" w14:textId="77777777">
                  <w:pPr>
                    <w:widowControl w:val="0"/>
                    <w:rPr>
                      <w:szCs w:val="22"/>
                    </w:rPr>
                  </w:pPr>
                  <w:r>
                    <w:rPr>
                      <w:szCs w:val="22"/>
                    </w:rPr>
                    <w:t>--</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B0705" w:rsidRPr="00915869" w:rsidP="00C35277" w14:paraId="67BDDA1F" w14:textId="77777777">
                  <w:pPr>
                    <w:widowControl w:val="0"/>
                    <w:jc w:val="right"/>
                    <w:rPr>
                      <w:szCs w:val="22"/>
                    </w:rPr>
                  </w:pPr>
                  <w:r>
                    <w:rPr>
                      <w:szCs w:val="22"/>
                    </w:rPr>
                    <w:t>--</w:t>
                  </w:r>
                </w:p>
              </w:tc>
            </w:tr>
            <w:tr w14:paraId="05B16912" w14:textId="77777777" w:rsidTr="00C35277">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B0705" w:rsidRPr="00915869" w:rsidP="00C35277" w14:paraId="52302B9A"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B0705" w:rsidRPr="00915869" w:rsidP="0018531C" w14:paraId="1D058E96" w14:textId="17D96D7A">
                  <w:pPr>
                    <w:widowControl w:val="0"/>
                    <w:jc w:val="right"/>
                    <w:rPr>
                      <w:szCs w:val="22"/>
                    </w:rPr>
                  </w:pPr>
                  <w:r>
                    <w:rPr>
                      <w:szCs w:val="22"/>
                    </w:rPr>
                    <w:t>2,310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B0705" w:rsidRPr="00915869" w:rsidP="00C35277" w14:paraId="793BC996" w14:textId="35B6468B">
                  <w:pPr>
                    <w:widowControl w:val="0"/>
                    <w:jc w:val="right"/>
                    <w:rPr>
                      <w:szCs w:val="22"/>
                    </w:rPr>
                  </w:pPr>
                  <w:r w:rsidRPr="00EB2C54">
                    <w:rPr>
                      <w:szCs w:val="22"/>
                    </w:rPr>
                    <w:t>$</w:t>
                  </w:r>
                  <w:r w:rsidR="00D6349A">
                    <w:rPr>
                      <w:szCs w:val="22"/>
                    </w:rPr>
                    <w:t>109,423</w:t>
                  </w:r>
                </w:p>
              </w:tc>
            </w:tr>
          </w:tbl>
          <w:p w:rsidR="008B0705" w:rsidRPr="00915869" w:rsidP="00C35277" w14:paraId="02188879" w14:textId="77777777">
            <w:pPr>
              <w:widowControl w:val="0"/>
              <w:rPr>
                <w:szCs w:val="22"/>
              </w:rPr>
            </w:pPr>
          </w:p>
        </w:tc>
      </w:tr>
    </w:tbl>
    <w:p w:rsidR="008B0705" w:rsidRPr="00B16111" w:rsidP="008B0705" w14:paraId="405D96BC" w14:textId="77777777">
      <w:pPr>
        <w:widowControl w:val="0"/>
        <w:rPr>
          <w:rFonts w:ascii="Times New Roman" w:eastAsia="+mn-ea" w:hAnsi="Times New Roman"/>
          <w:color w:val="000000"/>
        </w:rPr>
      </w:pPr>
    </w:p>
    <w:p w:rsidR="008B0705" w:rsidRPr="00B16111" w:rsidP="008B0705" w14:paraId="616C82C8" w14:textId="1E1C0DAD">
      <w:pPr>
        <w:pStyle w:val="Default"/>
        <w:widowControl w:val="0"/>
        <w:rPr>
          <w:rFonts w:ascii="Times New Roman" w:eastAsia="Times New Roman" w:hAnsi="Times New Roman"/>
        </w:rPr>
      </w:pPr>
      <w:r w:rsidRPr="00B16111">
        <w:rPr>
          <w:rFonts w:ascii="Times New Roman" w:eastAsia="+mn-ea" w:hAnsi="Times New Roman"/>
        </w:rPr>
        <w:t>The $47.36 cost per hour is based on the Office of Personnel Management (OPM) General Schedule (GS) hourly rate of</w:t>
      </w:r>
      <w:r w:rsidRPr="00B16111">
        <w:rPr>
          <w:rFonts w:ascii="Times New Roman" w:hAnsi="Times New Roman"/>
          <w:color w:val="000000" w:themeColor="text1"/>
        </w:rPr>
        <w:t xml:space="preserve"> $34.76 for a GS-11, step 1, employee (</w:t>
      </w:r>
      <w:hyperlink r:id="rId8" w:history="1">
        <w:r w:rsidRPr="00B16111">
          <w:rPr>
            <w:rStyle w:val="Hyperlink"/>
            <w:rFonts w:ascii="Times New Roman" w:hAnsi="Times New Roman"/>
          </w:rPr>
          <w:t>Salary Table 2024-RUS</w:t>
        </w:r>
      </w:hyperlink>
      <w:r w:rsidRPr="00B16111">
        <w:rPr>
          <w:rFonts w:ascii="Times New Roman" w:hAnsi="Times New Roman"/>
          <w:color w:val="000000" w:themeColor="text1"/>
        </w:rPr>
        <w:t xml:space="preserve"> for calendar year 2023 for the rest of the U.S.) plus the 36.25% civilian personnel full fringe benefit rate from </w:t>
      </w:r>
      <w:hyperlink r:id="rId9" w:anchor="memoranda-2024">
        <w:r w:rsidRPr="00B16111">
          <w:rPr>
            <w:rStyle w:val="Hyperlink"/>
            <w:rFonts w:ascii="Times New Roman" w:hAnsi="Times New Roman"/>
          </w:rPr>
          <w:t>OMB memorandum M-08-13</w:t>
        </w:r>
      </w:hyperlink>
      <w:r w:rsidRPr="00B16111">
        <w:rPr>
          <w:rFonts w:ascii="Times New Roman" w:hAnsi="Times New Roman"/>
          <w:color w:val="000000" w:themeColor="text1"/>
        </w:rPr>
        <w:t xml:space="preserve"> ($34.76 + $12.60 = $47.36, rounded to the nearest dollar).</w:t>
      </w:r>
      <w:r w:rsidRPr="00F30633" w:rsidR="00F30633">
        <w:t xml:space="preserve"> </w:t>
      </w:r>
      <w:r w:rsidRPr="00F30633" w:rsidR="00F30633">
        <w:rPr>
          <w:rFonts w:ascii="Times New Roman" w:hAnsi="Times New Roman"/>
          <w:color w:val="000000" w:themeColor="text1"/>
        </w:rPr>
        <w:t>There are no direct costs to respondents other than their time to participate in the study.</w:t>
      </w:r>
    </w:p>
    <w:p w:rsidR="008B0705" w:rsidP="000723EC" w14:paraId="71BE4121" w14:textId="77777777">
      <w:pPr>
        <w:tabs>
          <w:tab w:val="left" w:pos="360"/>
        </w:tabs>
        <w:spacing w:before="200" w:after="200"/>
      </w:pPr>
    </w:p>
    <w:p w:rsidR="000723EC" w:rsidP="000723EC" w14:paraId="17869453" w14:textId="1A75CFDD">
      <w:pPr>
        <w:tabs>
          <w:tab w:val="left" w:pos="360"/>
        </w:tabs>
        <w:spacing w:before="200" w:after="200"/>
      </w:pPr>
      <w:r w:rsidRPr="001E7F44">
        <w:rPr>
          <w:rFonts w:ascii="Times New Roman" w:hAnsi="Times New Roman"/>
          <w:i/>
          <w:iCs/>
          <w:color w:val="1F497D"/>
          <w:szCs w:val="24"/>
        </w:rPr>
        <w:t xml:space="preserve">Table 3 Qualitative Data Collection </w:t>
      </w:r>
      <w:r w:rsidR="00D33EB2">
        <w:rPr>
          <w:rFonts w:ascii="Times New Roman" w:hAnsi="Times New Roman"/>
          <w:i/>
          <w:iCs/>
          <w:color w:val="1F497D"/>
          <w:szCs w:val="24"/>
        </w:rPr>
        <w:t xml:space="preserve">(Focus Groups and Interviews) </w:t>
      </w:r>
      <w:r w:rsidR="00CE61C2">
        <w:rPr>
          <w:rFonts w:ascii="Times New Roman" w:hAnsi="Times New Roman"/>
          <w:i/>
          <w:iCs/>
          <w:color w:val="1F497D"/>
          <w:szCs w:val="24"/>
        </w:rPr>
        <w:t xml:space="preserve">- </w:t>
      </w:r>
      <w:r w:rsidRPr="001E7F44">
        <w:rPr>
          <w:rFonts w:ascii="Times New Roman" w:hAnsi="Times New Roman"/>
          <w:i/>
          <w:iCs/>
          <w:color w:val="1F497D"/>
          <w:szCs w:val="24"/>
        </w:rPr>
        <w:t>Estimates of Hour Burden</w:t>
      </w:r>
    </w:p>
    <w:tbl>
      <w:tblPr>
        <w:tblW w:w="11115" w:type="dxa"/>
        <w:tblInd w:w="-730" w:type="dxa"/>
        <w:tblLook w:val="04A0"/>
      </w:tblPr>
      <w:tblGrid>
        <w:gridCol w:w="3690"/>
        <w:gridCol w:w="1440"/>
        <w:gridCol w:w="1268"/>
        <w:gridCol w:w="1729"/>
        <w:gridCol w:w="1329"/>
        <w:gridCol w:w="1659"/>
      </w:tblGrid>
      <w:tr w14:paraId="69C3FC4D" w14:textId="77777777" w:rsidTr="00C35277">
        <w:tblPrEx>
          <w:tblW w:w="11115" w:type="dxa"/>
          <w:tblInd w:w="-730" w:type="dxa"/>
          <w:tblLook w:val="04A0"/>
        </w:tblPrEx>
        <w:trPr>
          <w:trHeight w:val="1015"/>
        </w:trPr>
        <w:tc>
          <w:tcPr>
            <w:tcW w:w="3690" w:type="dxa"/>
            <w:tcBorders>
              <w:top w:val="single" w:sz="8" w:space="0" w:color="auto"/>
              <w:left w:val="single" w:sz="8" w:space="0" w:color="auto"/>
              <w:bottom w:val="single" w:sz="8" w:space="0" w:color="auto"/>
              <w:right w:val="single" w:sz="8" w:space="0" w:color="auto"/>
            </w:tcBorders>
            <w:shd w:val="clear" w:color="auto" w:fill="003399"/>
            <w:noWrap/>
            <w:hideMark/>
          </w:tcPr>
          <w:p w:rsidR="000723EC" w:rsidRPr="00720179" w:rsidP="00C35277" w14:paraId="20F50168" w14:textId="77777777">
            <w:pPr>
              <w:overflowPunct/>
              <w:autoSpaceDE/>
              <w:autoSpaceDN/>
              <w:adjustRightInd/>
              <w:textAlignment w:val="auto"/>
              <w:rPr>
                <w:rFonts w:ascii="Times New Roman" w:hAnsi="Times New Roman"/>
                <w:color w:val="FFFFFF" w:themeColor="background1"/>
                <w:sz w:val="22"/>
                <w:szCs w:val="22"/>
              </w:rPr>
            </w:pPr>
            <w:r w:rsidRPr="00720179">
              <w:rPr>
                <w:rFonts w:ascii="Times New Roman" w:hAnsi="Times New Roman"/>
                <w:color w:val="FFFFFF" w:themeColor="background1"/>
                <w:sz w:val="22"/>
                <w:szCs w:val="22"/>
              </w:rPr>
              <w:t> </w:t>
            </w:r>
          </w:p>
        </w:tc>
        <w:tc>
          <w:tcPr>
            <w:tcW w:w="1440" w:type="dxa"/>
            <w:tcBorders>
              <w:top w:val="single" w:sz="8" w:space="0" w:color="auto"/>
              <w:left w:val="nil"/>
              <w:bottom w:val="single" w:sz="8" w:space="0" w:color="auto"/>
              <w:right w:val="single" w:sz="8" w:space="0" w:color="auto"/>
            </w:tcBorders>
            <w:shd w:val="clear" w:color="auto" w:fill="003399"/>
            <w:vAlign w:val="center"/>
            <w:hideMark/>
          </w:tcPr>
          <w:p w:rsidR="000723EC" w:rsidRPr="00720179" w:rsidP="00C35277" w14:paraId="7243B0AB" w14:textId="77777777">
            <w:pPr>
              <w:overflowPunct/>
              <w:autoSpaceDE/>
              <w:autoSpaceDN/>
              <w:adjustRightInd/>
              <w:jc w:val="center"/>
              <w:textAlignment w:val="auto"/>
              <w:rPr>
                <w:rFonts w:ascii="Times New Roman" w:hAnsi="Times New Roman"/>
                <w:b/>
                <w:color w:val="FFFFFF" w:themeColor="background1"/>
                <w:sz w:val="22"/>
                <w:szCs w:val="22"/>
              </w:rPr>
            </w:pPr>
            <w:r w:rsidRPr="00720179">
              <w:rPr>
                <w:rFonts w:ascii="Times New Roman" w:hAnsi="Times New Roman"/>
                <w:b/>
                <w:color w:val="FFFFFF" w:themeColor="background1"/>
                <w:sz w:val="22"/>
                <w:szCs w:val="22"/>
              </w:rPr>
              <w:t>Total Number of Respondents</w:t>
            </w:r>
          </w:p>
        </w:tc>
        <w:tc>
          <w:tcPr>
            <w:tcW w:w="1268" w:type="dxa"/>
            <w:tcBorders>
              <w:top w:val="single" w:sz="8" w:space="0" w:color="auto"/>
              <w:left w:val="nil"/>
              <w:bottom w:val="single" w:sz="8" w:space="0" w:color="auto"/>
              <w:right w:val="single" w:sz="8" w:space="0" w:color="auto"/>
            </w:tcBorders>
            <w:shd w:val="clear" w:color="auto" w:fill="003399"/>
            <w:vAlign w:val="center"/>
            <w:hideMark/>
          </w:tcPr>
          <w:p w:rsidR="000723EC" w:rsidRPr="00720179" w:rsidP="00C35277" w14:paraId="29DD91AC" w14:textId="77777777">
            <w:pPr>
              <w:overflowPunct/>
              <w:autoSpaceDE/>
              <w:autoSpaceDN/>
              <w:adjustRightInd/>
              <w:jc w:val="center"/>
              <w:textAlignment w:val="auto"/>
              <w:rPr>
                <w:rFonts w:ascii="Times New Roman" w:hAnsi="Times New Roman"/>
                <w:b/>
                <w:color w:val="FFFFFF" w:themeColor="background1"/>
                <w:sz w:val="22"/>
                <w:szCs w:val="22"/>
              </w:rPr>
            </w:pPr>
            <w:r w:rsidRPr="00720179">
              <w:rPr>
                <w:rFonts w:ascii="Times New Roman" w:hAnsi="Times New Roman"/>
                <w:b/>
                <w:color w:val="FFFFFF" w:themeColor="background1"/>
                <w:sz w:val="22"/>
                <w:szCs w:val="22"/>
              </w:rPr>
              <w:t>Responses per respondent</w:t>
            </w:r>
          </w:p>
        </w:tc>
        <w:tc>
          <w:tcPr>
            <w:tcW w:w="1729" w:type="dxa"/>
            <w:tcBorders>
              <w:top w:val="single" w:sz="8" w:space="0" w:color="auto"/>
              <w:left w:val="nil"/>
              <w:bottom w:val="single" w:sz="8" w:space="0" w:color="auto"/>
              <w:right w:val="single" w:sz="8" w:space="0" w:color="auto"/>
            </w:tcBorders>
            <w:shd w:val="clear" w:color="auto" w:fill="003399"/>
            <w:vAlign w:val="center"/>
            <w:hideMark/>
          </w:tcPr>
          <w:p w:rsidR="000723EC" w:rsidRPr="00720179" w:rsidP="00C35277" w14:paraId="342A4F93" w14:textId="692D8E82">
            <w:pPr>
              <w:overflowPunct/>
              <w:autoSpaceDE/>
              <w:autoSpaceDN/>
              <w:adjustRightInd/>
              <w:jc w:val="center"/>
              <w:textAlignment w:val="auto"/>
              <w:rPr>
                <w:rFonts w:ascii="Times New Roman" w:hAnsi="Times New Roman"/>
                <w:b/>
                <w:color w:val="FFFFFF" w:themeColor="background1"/>
                <w:sz w:val="22"/>
                <w:szCs w:val="22"/>
              </w:rPr>
            </w:pPr>
            <w:r w:rsidRPr="00720179">
              <w:rPr>
                <w:rFonts w:ascii="Times New Roman" w:hAnsi="Times New Roman"/>
                <w:b/>
                <w:color w:val="FFFFFF" w:themeColor="background1"/>
                <w:sz w:val="22"/>
                <w:szCs w:val="22"/>
              </w:rPr>
              <w:t>Participation Time (Minutes) per Respon</w:t>
            </w:r>
            <w:r w:rsidR="00873C90">
              <w:rPr>
                <w:rFonts w:ascii="Times New Roman" w:hAnsi="Times New Roman"/>
                <w:b/>
                <w:color w:val="FFFFFF" w:themeColor="background1"/>
                <w:sz w:val="22"/>
                <w:szCs w:val="22"/>
              </w:rPr>
              <w:t>se</w:t>
            </w:r>
          </w:p>
        </w:tc>
        <w:tc>
          <w:tcPr>
            <w:tcW w:w="1329" w:type="dxa"/>
            <w:tcBorders>
              <w:top w:val="single" w:sz="8" w:space="0" w:color="auto"/>
              <w:left w:val="nil"/>
              <w:bottom w:val="single" w:sz="8" w:space="0" w:color="auto"/>
              <w:right w:val="single" w:sz="8" w:space="0" w:color="auto"/>
            </w:tcBorders>
            <w:shd w:val="clear" w:color="auto" w:fill="003399"/>
            <w:vAlign w:val="center"/>
            <w:hideMark/>
          </w:tcPr>
          <w:p w:rsidR="000723EC" w:rsidRPr="00720179" w:rsidP="00C35277" w14:paraId="563B76F2" w14:textId="12ABFEC0">
            <w:pPr>
              <w:overflowPunct/>
              <w:autoSpaceDE/>
              <w:autoSpaceDN/>
              <w:adjustRightInd/>
              <w:jc w:val="center"/>
              <w:textAlignment w:val="auto"/>
              <w:rPr>
                <w:rFonts w:ascii="Times New Roman" w:hAnsi="Times New Roman"/>
                <w:b/>
                <w:color w:val="FFFFFF" w:themeColor="background1"/>
                <w:sz w:val="22"/>
                <w:szCs w:val="22"/>
              </w:rPr>
            </w:pPr>
            <w:r w:rsidRPr="00720179">
              <w:rPr>
                <w:rFonts w:ascii="Times New Roman" w:hAnsi="Times New Roman"/>
                <w:b/>
                <w:color w:val="FFFFFF" w:themeColor="background1"/>
                <w:sz w:val="22"/>
                <w:szCs w:val="22"/>
              </w:rPr>
              <w:t>Burden Hours per Respon</w:t>
            </w:r>
            <w:r w:rsidR="00873C90">
              <w:rPr>
                <w:rFonts w:ascii="Times New Roman" w:hAnsi="Times New Roman"/>
                <w:b/>
                <w:color w:val="FFFFFF" w:themeColor="background1"/>
                <w:sz w:val="22"/>
                <w:szCs w:val="22"/>
              </w:rPr>
              <w:t>se</w:t>
            </w:r>
          </w:p>
        </w:tc>
        <w:tc>
          <w:tcPr>
            <w:tcW w:w="1659" w:type="dxa"/>
            <w:tcBorders>
              <w:top w:val="single" w:sz="8" w:space="0" w:color="auto"/>
              <w:left w:val="nil"/>
              <w:bottom w:val="single" w:sz="8" w:space="0" w:color="auto"/>
              <w:right w:val="single" w:sz="8" w:space="0" w:color="auto"/>
            </w:tcBorders>
            <w:shd w:val="clear" w:color="auto" w:fill="003399"/>
            <w:vAlign w:val="center"/>
            <w:hideMark/>
          </w:tcPr>
          <w:p w:rsidR="000723EC" w:rsidRPr="00720179" w:rsidP="00C35277" w14:paraId="424EF2C3" w14:textId="6024288C">
            <w:pPr>
              <w:overflowPunct/>
              <w:autoSpaceDE/>
              <w:autoSpaceDN/>
              <w:adjustRightInd/>
              <w:jc w:val="center"/>
              <w:textAlignment w:val="auto"/>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Total </w:t>
            </w:r>
            <w:r w:rsidRPr="00720179">
              <w:rPr>
                <w:rFonts w:ascii="Times New Roman" w:hAnsi="Times New Roman"/>
                <w:b/>
                <w:color w:val="FFFFFF" w:themeColor="background1"/>
                <w:sz w:val="22"/>
                <w:szCs w:val="22"/>
              </w:rPr>
              <w:t>Burden Hours</w:t>
            </w:r>
          </w:p>
        </w:tc>
      </w:tr>
      <w:tr w14:paraId="3FB218EF" w14:textId="77777777" w:rsidTr="001C40B1">
        <w:tblPrEx>
          <w:tblW w:w="11115" w:type="dxa"/>
          <w:tblInd w:w="-730" w:type="dxa"/>
          <w:tblLook w:val="04A0"/>
        </w:tblPrEx>
        <w:trPr>
          <w:trHeight w:val="324"/>
        </w:trPr>
        <w:tc>
          <w:tcPr>
            <w:tcW w:w="11115" w:type="dxa"/>
            <w:gridSpan w:val="6"/>
            <w:tcBorders>
              <w:top w:val="nil"/>
              <w:left w:val="single" w:sz="8" w:space="0" w:color="auto"/>
              <w:bottom w:val="single" w:sz="8" w:space="0" w:color="auto"/>
              <w:right w:val="single" w:sz="8" w:space="0" w:color="auto"/>
            </w:tcBorders>
            <w:shd w:val="clear" w:color="auto" w:fill="auto"/>
            <w:noWrap/>
            <w:vAlign w:val="center"/>
            <w:hideMark/>
          </w:tcPr>
          <w:p w:rsidR="0017257F" w:rsidRPr="0017257F" w:rsidP="0017257F" w14:paraId="4442548A" w14:textId="4DA2D2C0">
            <w:pPr>
              <w:overflowPunct/>
              <w:autoSpaceDE/>
              <w:autoSpaceDN/>
              <w:adjustRightInd/>
              <w:textAlignment w:val="auto"/>
              <w:rPr>
                <w:rFonts w:ascii="Times New Roman" w:hAnsi="Times New Roman"/>
                <w:b/>
                <w:bCs/>
                <w:color w:val="000000"/>
                <w:sz w:val="22"/>
                <w:szCs w:val="22"/>
              </w:rPr>
            </w:pPr>
            <w:r w:rsidRPr="00B14D3C">
              <w:rPr>
                <w:rFonts w:ascii="Times New Roman" w:hAnsi="Times New Roman"/>
                <w:b/>
                <w:bCs/>
                <w:color w:val="000000"/>
                <w:sz w:val="22"/>
                <w:szCs w:val="22"/>
              </w:rPr>
              <w:t>Legacy Programs</w:t>
            </w:r>
            <w:r w:rsidRPr="00B14D3C">
              <w:rPr>
                <w:rFonts w:ascii="Times New Roman" w:hAnsi="Times New Roman"/>
                <w:color w:val="000000"/>
                <w:sz w:val="22"/>
                <w:szCs w:val="22"/>
              </w:rPr>
              <w:t>  </w:t>
            </w:r>
          </w:p>
        </w:tc>
      </w:tr>
      <w:tr w14:paraId="1C54DB88" w14:textId="77777777" w:rsidTr="00C35277">
        <w:tblPrEx>
          <w:tblW w:w="11115" w:type="dxa"/>
          <w:tblInd w:w="-730" w:type="dxa"/>
          <w:tblLook w:val="04A0"/>
        </w:tblPrEx>
        <w:trPr>
          <w:trHeight w:val="324"/>
        </w:trPr>
        <w:tc>
          <w:tcPr>
            <w:tcW w:w="3690" w:type="dxa"/>
            <w:tcBorders>
              <w:top w:val="nil"/>
              <w:left w:val="single" w:sz="8" w:space="0" w:color="auto"/>
              <w:bottom w:val="single" w:sz="8" w:space="0" w:color="auto"/>
              <w:right w:val="single" w:sz="8" w:space="0" w:color="auto"/>
            </w:tcBorders>
            <w:shd w:val="clear" w:color="auto" w:fill="auto"/>
            <w:noWrap/>
            <w:vAlign w:val="center"/>
            <w:hideMark/>
          </w:tcPr>
          <w:p w:rsidR="000723EC" w:rsidRPr="00B14D3C" w:rsidP="00C35277" w14:paraId="2E736AC2" w14:textId="77777777">
            <w:pPr>
              <w:overflowPunct/>
              <w:autoSpaceDE/>
              <w:autoSpaceDN/>
              <w:adjustRightInd/>
              <w:textAlignment w:val="auto"/>
              <w:rPr>
                <w:rFonts w:ascii="Times New Roman" w:hAnsi="Times New Roman"/>
                <w:color w:val="000000"/>
                <w:sz w:val="22"/>
                <w:szCs w:val="22"/>
              </w:rPr>
            </w:pPr>
            <w:r w:rsidRPr="00B14D3C">
              <w:rPr>
                <w:rFonts w:ascii="Times New Roman" w:hAnsi="Times New Roman"/>
                <w:color w:val="000000"/>
                <w:sz w:val="22"/>
                <w:szCs w:val="22"/>
              </w:rPr>
              <w:t>Focus groups (FGP, SCP, RSVP grantees)</w:t>
            </w:r>
          </w:p>
        </w:tc>
        <w:tc>
          <w:tcPr>
            <w:tcW w:w="1440" w:type="dxa"/>
            <w:tcBorders>
              <w:top w:val="nil"/>
              <w:left w:val="nil"/>
              <w:bottom w:val="single" w:sz="8" w:space="0" w:color="auto"/>
              <w:right w:val="single" w:sz="8" w:space="0" w:color="auto"/>
            </w:tcBorders>
            <w:shd w:val="clear" w:color="auto" w:fill="auto"/>
            <w:noWrap/>
            <w:vAlign w:val="center"/>
            <w:hideMark/>
          </w:tcPr>
          <w:p w:rsidR="000723EC" w:rsidRPr="00B14D3C" w:rsidP="00C35277" w14:paraId="1CD35777" w14:textId="77777777">
            <w:pPr>
              <w:overflowPunct/>
              <w:autoSpaceDE/>
              <w:autoSpaceDN/>
              <w:adjustRightInd/>
              <w:jc w:val="center"/>
              <w:textAlignment w:val="auto"/>
              <w:rPr>
                <w:rFonts w:ascii="Times New Roman" w:hAnsi="Times New Roman"/>
                <w:color w:val="000000"/>
                <w:sz w:val="22"/>
                <w:szCs w:val="22"/>
              </w:rPr>
            </w:pPr>
            <w:r w:rsidRPr="00B14D3C">
              <w:rPr>
                <w:rFonts w:ascii="Times New Roman" w:hAnsi="Times New Roman"/>
                <w:color w:val="000000"/>
                <w:sz w:val="22"/>
                <w:szCs w:val="22"/>
              </w:rPr>
              <w:t>30</w:t>
            </w:r>
          </w:p>
        </w:tc>
        <w:tc>
          <w:tcPr>
            <w:tcW w:w="1268" w:type="dxa"/>
            <w:tcBorders>
              <w:top w:val="nil"/>
              <w:left w:val="nil"/>
              <w:bottom w:val="single" w:sz="8" w:space="0" w:color="auto"/>
              <w:right w:val="single" w:sz="8" w:space="0" w:color="auto"/>
            </w:tcBorders>
            <w:shd w:val="clear" w:color="auto" w:fill="auto"/>
            <w:noWrap/>
            <w:vAlign w:val="center"/>
            <w:hideMark/>
          </w:tcPr>
          <w:p w:rsidR="000723EC" w:rsidRPr="00B14D3C" w:rsidP="00C35277" w14:paraId="72CF328A" w14:textId="77777777">
            <w:pPr>
              <w:overflowPunct/>
              <w:autoSpaceDE/>
              <w:autoSpaceDN/>
              <w:adjustRightInd/>
              <w:jc w:val="center"/>
              <w:textAlignment w:val="auto"/>
              <w:rPr>
                <w:rFonts w:ascii="Times New Roman" w:hAnsi="Times New Roman"/>
                <w:color w:val="000000"/>
                <w:sz w:val="22"/>
                <w:szCs w:val="22"/>
              </w:rPr>
            </w:pPr>
            <w:r w:rsidRPr="00B14D3C">
              <w:rPr>
                <w:rFonts w:ascii="Times New Roman" w:hAnsi="Times New Roman"/>
                <w:color w:val="000000"/>
                <w:sz w:val="22"/>
                <w:szCs w:val="22"/>
              </w:rPr>
              <w:t>1</w:t>
            </w:r>
          </w:p>
        </w:tc>
        <w:tc>
          <w:tcPr>
            <w:tcW w:w="1729" w:type="dxa"/>
            <w:tcBorders>
              <w:top w:val="nil"/>
              <w:left w:val="nil"/>
              <w:bottom w:val="single" w:sz="8" w:space="0" w:color="auto"/>
              <w:right w:val="single" w:sz="8" w:space="0" w:color="auto"/>
            </w:tcBorders>
            <w:shd w:val="clear" w:color="auto" w:fill="auto"/>
            <w:noWrap/>
            <w:vAlign w:val="center"/>
            <w:hideMark/>
          </w:tcPr>
          <w:p w:rsidR="000723EC" w:rsidRPr="00B14D3C" w:rsidP="00C35277" w14:paraId="11D2CED3" w14:textId="77777777">
            <w:pPr>
              <w:overflowPunct/>
              <w:autoSpaceDE/>
              <w:autoSpaceDN/>
              <w:adjustRightInd/>
              <w:jc w:val="center"/>
              <w:textAlignment w:val="auto"/>
              <w:rPr>
                <w:rFonts w:ascii="Times New Roman" w:hAnsi="Times New Roman"/>
                <w:color w:val="000000"/>
                <w:sz w:val="22"/>
                <w:szCs w:val="22"/>
              </w:rPr>
            </w:pPr>
            <w:r w:rsidRPr="00B14D3C">
              <w:rPr>
                <w:rFonts w:ascii="Times New Roman" w:hAnsi="Times New Roman"/>
                <w:color w:val="000000"/>
                <w:sz w:val="22"/>
                <w:szCs w:val="22"/>
              </w:rPr>
              <w:t>75</w:t>
            </w:r>
          </w:p>
        </w:tc>
        <w:tc>
          <w:tcPr>
            <w:tcW w:w="1329" w:type="dxa"/>
            <w:tcBorders>
              <w:top w:val="nil"/>
              <w:left w:val="nil"/>
              <w:bottom w:val="single" w:sz="8" w:space="0" w:color="auto"/>
              <w:right w:val="single" w:sz="8" w:space="0" w:color="auto"/>
            </w:tcBorders>
            <w:shd w:val="clear" w:color="auto" w:fill="auto"/>
            <w:vAlign w:val="center"/>
            <w:hideMark/>
          </w:tcPr>
          <w:p w:rsidR="000723EC" w:rsidRPr="00B14D3C" w:rsidP="00C35277" w14:paraId="5F551D56" w14:textId="77777777">
            <w:pPr>
              <w:overflowPunct/>
              <w:autoSpaceDE/>
              <w:autoSpaceDN/>
              <w:adjustRightInd/>
              <w:jc w:val="center"/>
              <w:textAlignment w:val="auto"/>
              <w:rPr>
                <w:rFonts w:ascii="Times New Roman" w:hAnsi="Times New Roman"/>
                <w:color w:val="000000"/>
                <w:sz w:val="22"/>
                <w:szCs w:val="22"/>
              </w:rPr>
            </w:pPr>
            <w:r w:rsidRPr="00B14D3C">
              <w:rPr>
                <w:rFonts w:ascii="Times New Roman" w:hAnsi="Times New Roman"/>
                <w:color w:val="000000"/>
                <w:sz w:val="22"/>
                <w:szCs w:val="22"/>
              </w:rPr>
              <w:t>1.25</w:t>
            </w:r>
          </w:p>
        </w:tc>
        <w:tc>
          <w:tcPr>
            <w:tcW w:w="1659" w:type="dxa"/>
            <w:tcBorders>
              <w:top w:val="nil"/>
              <w:left w:val="nil"/>
              <w:bottom w:val="single" w:sz="8" w:space="0" w:color="auto"/>
              <w:right w:val="single" w:sz="8" w:space="0" w:color="auto"/>
            </w:tcBorders>
            <w:shd w:val="clear" w:color="auto" w:fill="auto"/>
            <w:noWrap/>
            <w:vAlign w:val="center"/>
            <w:hideMark/>
          </w:tcPr>
          <w:p w:rsidR="000723EC" w:rsidRPr="00B14D3C" w:rsidP="00C35277" w14:paraId="5F535E48" w14:textId="77777777">
            <w:pPr>
              <w:overflowPunct/>
              <w:autoSpaceDE/>
              <w:autoSpaceDN/>
              <w:adjustRightInd/>
              <w:jc w:val="center"/>
              <w:textAlignment w:val="auto"/>
              <w:rPr>
                <w:rFonts w:ascii="Times New Roman" w:hAnsi="Times New Roman"/>
                <w:color w:val="000000"/>
                <w:sz w:val="22"/>
                <w:szCs w:val="22"/>
              </w:rPr>
            </w:pPr>
            <w:r w:rsidRPr="00B14D3C">
              <w:rPr>
                <w:rFonts w:ascii="Times New Roman" w:hAnsi="Times New Roman"/>
                <w:color w:val="000000"/>
                <w:sz w:val="22"/>
                <w:szCs w:val="22"/>
              </w:rPr>
              <w:t>37.5</w:t>
            </w:r>
          </w:p>
        </w:tc>
      </w:tr>
      <w:tr w14:paraId="50AF57B3" w14:textId="77777777" w:rsidTr="00594268">
        <w:tblPrEx>
          <w:tblW w:w="11115" w:type="dxa"/>
          <w:tblInd w:w="-730" w:type="dxa"/>
          <w:tblLook w:val="04A0"/>
        </w:tblPrEx>
        <w:trPr>
          <w:trHeight w:val="324"/>
        </w:trPr>
        <w:tc>
          <w:tcPr>
            <w:tcW w:w="11115" w:type="dxa"/>
            <w:gridSpan w:val="6"/>
            <w:tcBorders>
              <w:top w:val="nil"/>
              <w:left w:val="single" w:sz="8" w:space="0" w:color="auto"/>
              <w:bottom w:val="single" w:sz="8" w:space="0" w:color="auto"/>
              <w:right w:val="single" w:sz="8" w:space="0" w:color="auto"/>
            </w:tcBorders>
            <w:shd w:val="clear" w:color="auto" w:fill="auto"/>
            <w:noWrap/>
            <w:vAlign w:val="center"/>
            <w:hideMark/>
          </w:tcPr>
          <w:p w:rsidR="0017257F" w:rsidRPr="0017257F" w:rsidP="0017257F" w14:paraId="7DF8E67D" w14:textId="7F39EC1D">
            <w:pPr>
              <w:overflowPunct/>
              <w:autoSpaceDE/>
              <w:autoSpaceDN/>
              <w:adjustRightInd/>
              <w:textAlignment w:val="auto"/>
              <w:rPr>
                <w:rFonts w:ascii="Times New Roman" w:hAnsi="Times New Roman"/>
                <w:b/>
                <w:bCs/>
                <w:color w:val="000000"/>
                <w:sz w:val="22"/>
                <w:szCs w:val="22"/>
              </w:rPr>
            </w:pPr>
            <w:r w:rsidRPr="00B14D3C">
              <w:rPr>
                <w:rFonts w:ascii="Times New Roman" w:hAnsi="Times New Roman"/>
                <w:b/>
                <w:bCs/>
                <w:color w:val="000000"/>
                <w:sz w:val="22"/>
                <w:szCs w:val="22"/>
              </w:rPr>
              <w:t xml:space="preserve">Senior Demonstration Programs </w:t>
            </w:r>
            <w:r>
              <w:rPr>
                <w:rFonts w:ascii="Times New Roman" w:hAnsi="Times New Roman"/>
                <w:b/>
                <w:bCs/>
                <w:color w:val="000000"/>
                <w:sz w:val="22"/>
                <w:szCs w:val="22"/>
              </w:rPr>
              <w:t xml:space="preserve">(SDP) </w:t>
            </w:r>
            <w:r w:rsidRPr="00B14D3C">
              <w:rPr>
                <w:rFonts w:ascii="Times New Roman" w:hAnsi="Times New Roman"/>
                <w:b/>
                <w:bCs/>
                <w:color w:val="000000"/>
                <w:sz w:val="22"/>
                <w:szCs w:val="22"/>
              </w:rPr>
              <w:t>Case Studies (10 case studies)</w:t>
            </w:r>
          </w:p>
        </w:tc>
      </w:tr>
      <w:tr w14:paraId="3CEE173F" w14:textId="77777777" w:rsidTr="00C35277">
        <w:tblPrEx>
          <w:tblW w:w="11115" w:type="dxa"/>
          <w:tblInd w:w="-730" w:type="dxa"/>
          <w:tblLook w:val="04A0"/>
        </w:tblPrEx>
        <w:trPr>
          <w:trHeight w:val="324"/>
        </w:trPr>
        <w:tc>
          <w:tcPr>
            <w:tcW w:w="3690" w:type="dxa"/>
            <w:tcBorders>
              <w:top w:val="nil"/>
              <w:left w:val="single" w:sz="8" w:space="0" w:color="auto"/>
              <w:bottom w:val="single" w:sz="8" w:space="0" w:color="auto"/>
              <w:right w:val="single" w:sz="8" w:space="0" w:color="auto"/>
            </w:tcBorders>
            <w:shd w:val="clear" w:color="auto" w:fill="auto"/>
            <w:noWrap/>
            <w:vAlign w:val="center"/>
            <w:hideMark/>
          </w:tcPr>
          <w:p w:rsidR="000723EC" w:rsidRPr="00B14D3C" w:rsidP="00C35277" w14:paraId="71C45C65" w14:textId="328CAD84">
            <w:pPr>
              <w:overflowPunct/>
              <w:autoSpaceDE/>
              <w:autoSpaceDN/>
              <w:adjustRightInd/>
              <w:textAlignment w:val="auto"/>
              <w:rPr>
                <w:rFonts w:ascii="Times New Roman" w:hAnsi="Times New Roman"/>
                <w:color w:val="000000"/>
                <w:sz w:val="22"/>
                <w:szCs w:val="22"/>
              </w:rPr>
            </w:pPr>
            <w:r>
              <w:rPr>
                <w:color w:val="000000"/>
              </w:rPr>
              <w:t>Interviews</w:t>
            </w:r>
            <w:r>
              <w:rPr>
                <w:color w:val="000000"/>
              </w:rPr>
              <w:t xml:space="preserve"> (SDP grantees) (estimate 1 grantee per program)</w:t>
            </w:r>
          </w:p>
        </w:tc>
        <w:tc>
          <w:tcPr>
            <w:tcW w:w="1440" w:type="dxa"/>
            <w:tcBorders>
              <w:top w:val="nil"/>
              <w:left w:val="nil"/>
              <w:bottom w:val="single" w:sz="8" w:space="0" w:color="auto"/>
              <w:right w:val="single" w:sz="8" w:space="0" w:color="auto"/>
            </w:tcBorders>
            <w:shd w:val="clear" w:color="auto" w:fill="auto"/>
            <w:noWrap/>
            <w:vAlign w:val="center"/>
            <w:hideMark/>
          </w:tcPr>
          <w:p w:rsidR="000723EC" w:rsidRPr="00B14D3C" w:rsidP="00C35277" w14:paraId="15197DE3" w14:textId="77777777">
            <w:pPr>
              <w:overflowPunct/>
              <w:autoSpaceDE/>
              <w:autoSpaceDN/>
              <w:adjustRightInd/>
              <w:jc w:val="center"/>
              <w:textAlignment w:val="auto"/>
              <w:rPr>
                <w:rFonts w:ascii="Times New Roman" w:hAnsi="Times New Roman"/>
                <w:color w:val="000000"/>
                <w:sz w:val="22"/>
                <w:szCs w:val="22"/>
              </w:rPr>
            </w:pPr>
            <w:r>
              <w:rPr>
                <w:color w:val="000000"/>
              </w:rPr>
              <w:t>10</w:t>
            </w:r>
          </w:p>
        </w:tc>
        <w:tc>
          <w:tcPr>
            <w:tcW w:w="1268" w:type="dxa"/>
            <w:tcBorders>
              <w:top w:val="nil"/>
              <w:left w:val="nil"/>
              <w:bottom w:val="single" w:sz="8" w:space="0" w:color="auto"/>
              <w:right w:val="single" w:sz="8" w:space="0" w:color="auto"/>
            </w:tcBorders>
            <w:shd w:val="clear" w:color="auto" w:fill="auto"/>
            <w:noWrap/>
            <w:vAlign w:val="center"/>
            <w:hideMark/>
          </w:tcPr>
          <w:p w:rsidR="000723EC" w:rsidRPr="00B14D3C" w:rsidP="00C35277" w14:paraId="0DFF3639" w14:textId="77777777">
            <w:pPr>
              <w:overflowPunct/>
              <w:autoSpaceDE/>
              <w:autoSpaceDN/>
              <w:adjustRightInd/>
              <w:jc w:val="center"/>
              <w:textAlignment w:val="auto"/>
              <w:rPr>
                <w:rFonts w:ascii="Times New Roman" w:hAnsi="Times New Roman"/>
                <w:color w:val="000000"/>
                <w:sz w:val="22"/>
                <w:szCs w:val="22"/>
              </w:rPr>
            </w:pPr>
            <w:r>
              <w:rPr>
                <w:color w:val="000000"/>
              </w:rPr>
              <w:t>1</w:t>
            </w:r>
          </w:p>
        </w:tc>
        <w:tc>
          <w:tcPr>
            <w:tcW w:w="1729" w:type="dxa"/>
            <w:tcBorders>
              <w:top w:val="nil"/>
              <w:left w:val="nil"/>
              <w:bottom w:val="single" w:sz="8" w:space="0" w:color="auto"/>
              <w:right w:val="single" w:sz="8" w:space="0" w:color="auto"/>
            </w:tcBorders>
            <w:shd w:val="clear" w:color="auto" w:fill="auto"/>
            <w:noWrap/>
            <w:vAlign w:val="center"/>
            <w:hideMark/>
          </w:tcPr>
          <w:p w:rsidR="000723EC" w:rsidRPr="00B14D3C" w:rsidP="00C35277" w14:paraId="12CFEA7F" w14:textId="77777777">
            <w:pPr>
              <w:overflowPunct/>
              <w:autoSpaceDE/>
              <w:autoSpaceDN/>
              <w:adjustRightInd/>
              <w:jc w:val="center"/>
              <w:textAlignment w:val="auto"/>
              <w:rPr>
                <w:rFonts w:ascii="Times New Roman" w:hAnsi="Times New Roman"/>
                <w:color w:val="000000"/>
                <w:sz w:val="22"/>
                <w:szCs w:val="22"/>
              </w:rPr>
            </w:pPr>
            <w:r>
              <w:rPr>
                <w:color w:val="000000"/>
              </w:rPr>
              <w:t>60</w:t>
            </w:r>
          </w:p>
        </w:tc>
        <w:tc>
          <w:tcPr>
            <w:tcW w:w="1329" w:type="dxa"/>
            <w:tcBorders>
              <w:top w:val="nil"/>
              <w:left w:val="nil"/>
              <w:bottom w:val="single" w:sz="8" w:space="0" w:color="auto"/>
              <w:right w:val="single" w:sz="8" w:space="0" w:color="auto"/>
            </w:tcBorders>
            <w:shd w:val="clear" w:color="auto" w:fill="auto"/>
            <w:vAlign w:val="center"/>
            <w:hideMark/>
          </w:tcPr>
          <w:p w:rsidR="000723EC" w:rsidRPr="00B14D3C" w:rsidP="00C35277" w14:paraId="4D63D00B" w14:textId="77777777">
            <w:pPr>
              <w:overflowPunct/>
              <w:autoSpaceDE/>
              <w:autoSpaceDN/>
              <w:adjustRightInd/>
              <w:jc w:val="center"/>
              <w:textAlignment w:val="auto"/>
              <w:rPr>
                <w:rFonts w:ascii="Times New Roman" w:hAnsi="Times New Roman"/>
                <w:color w:val="000000"/>
                <w:sz w:val="22"/>
                <w:szCs w:val="22"/>
              </w:rPr>
            </w:pPr>
            <w:r>
              <w:rPr>
                <w:color w:val="000000"/>
              </w:rPr>
              <w:t>1</w:t>
            </w:r>
          </w:p>
        </w:tc>
        <w:tc>
          <w:tcPr>
            <w:tcW w:w="1659" w:type="dxa"/>
            <w:tcBorders>
              <w:top w:val="nil"/>
              <w:left w:val="nil"/>
              <w:bottom w:val="single" w:sz="8" w:space="0" w:color="auto"/>
              <w:right w:val="single" w:sz="8" w:space="0" w:color="auto"/>
            </w:tcBorders>
            <w:shd w:val="clear" w:color="auto" w:fill="auto"/>
            <w:noWrap/>
            <w:vAlign w:val="center"/>
            <w:hideMark/>
          </w:tcPr>
          <w:p w:rsidR="000723EC" w:rsidRPr="00B14D3C" w:rsidP="00C35277" w14:paraId="093121E6" w14:textId="77777777">
            <w:pPr>
              <w:overflowPunct/>
              <w:autoSpaceDE/>
              <w:autoSpaceDN/>
              <w:adjustRightInd/>
              <w:jc w:val="center"/>
              <w:textAlignment w:val="auto"/>
              <w:rPr>
                <w:rFonts w:ascii="Times New Roman" w:hAnsi="Times New Roman"/>
                <w:color w:val="000000"/>
                <w:sz w:val="22"/>
                <w:szCs w:val="22"/>
              </w:rPr>
            </w:pPr>
            <w:r>
              <w:rPr>
                <w:color w:val="000000"/>
              </w:rPr>
              <w:t>10</w:t>
            </w:r>
          </w:p>
        </w:tc>
      </w:tr>
      <w:tr w14:paraId="761C9F49" w14:textId="77777777" w:rsidTr="00C35277">
        <w:tblPrEx>
          <w:tblW w:w="11115" w:type="dxa"/>
          <w:tblInd w:w="-730" w:type="dxa"/>
          <w:tblLook w:val="04A0"/>
        </w:tblPrEx>
        <w:trPr>
          <w:trHeight w:val="324"/>
        </w:trPr>
        <w:tc>
          <w:tcPr>
            <w:tcW w:w="3690" w:type="dxa"/>
            <w:tcBorders>
              <w:top w:val="nil"/>
              <w:left w:val="single" w:sz="8" w:space="0" w:color="auto"/>
              <w:bottom w:val="single" w:sz="8" w:space="0" w:color="auto"/>
              <w:right w:val="single" w:sz="8" w:space="0" w:color="auto"/>
            </w:tcBorders>
            <w:shd w:val="clear" w:color="auto" w:fill="auto"/>
            <w:noWrap/>
            <w:vAlign w:val="center"/>
            <w:hideMark/>
          </w:tcPr>
          <w:p w:rsidR="000723EC" w:rsidRPr="00B14D3C" w:rsidP="00C35277" w14:paraId="14FEA98D" w14:textId="77777777">
            <w:pPr>
              <w:overflowPunct/>
              <w:autoSpaceDE/>
              <w:autoSpaceDN/>
              <w:adjustRightInd/>
              <w:textAlignment w:val="auto"/>
              <w:rPr>
                <w:rFonts w:ascii="Times New Roman" w:hAnsi="Times New Roman"/>
                <w:color w:val="000000"/>
                <w:sz w:val="22"/>
                <w:szCs w:val="22"/>
              </w:rPr>
            </w:pPr>
            <w:r>
              <w:rPr>
                <w:color w:val="000000"/>
              </w:rPr>
              <w:t>Interviews (Station Staff) (estimate up to 2 station staff per program)</w:t>
            </w:r>
          </w:p>
        </w:tc>
        <w:tc>
          <w:tcPr>
            <w:tcW w:w="1440" w:type="dxa"/>
            <w:tcBorders>
              <w:top w:val="nil"/>
              <w:left w:val="nil"/>
              <w:bottom w:val="single" w:sz="8" w:space="0" w:color="auto"/>
              <w:right w:val="single" w:sz="8" w:space="0" w:color="auto"/>
            </w:tcBorders>
            <w:shd w:val="clear" w:color="auto" w:fill="auto"/>
            <w:noWrap/>
            <w:vAlign w:val="center"/>
            <w:hideMark/>
          </w:tcPr>
          <w:p w:rsidR="000723EC" w:rsidRPr="00B14D3C" w:rsidP="00C35277" w14:paraId="08BB3BA6" w14:textId="77777777">
            <w:pPr>
              <w:overflowPunct/>
              <w:autoSpaceDE/>
              <w:autoSpaceDN/>
              <w:adjustRightInd/>
              <w:jc w:val="center"/>
              <w:textAlignment w:val="auto"/>
              <w:rPr>
                <w:rFonts w:ascii="Times New Roman" w:hAnsi="Times New Roman"/>
                <w:color w:val="000000"/>
                <w:sz w:val="22"/>
                <w:szCs w:val="22"/>
              </w:rPr>
            </w:pPr>
            <w:r>
              <w:rPr>
                <w:color w:val="000000"/>
              </w:rPr>
              <w:t>20</w:t>
            </w:r>
          </w:p>
        </w:tc>
        <w:tc>
          <w:tcPr>
            <w:tcW w:w="1268" w:type="dxa"/>
            <w:tcBorders>
              <w:top w:val="nil"/>
              <w:left w:val="nil"/>
              <w:bottom w:val="single" w:sz="8" w:space="0" w:color="auto"/>
              <w:right w:val="single" w:sz="8" w:space="0" w:color="auto"/>
            </w:tcBorders>
            <w:shd w:val="clear" w:color="auto" w:fill="auto"/>
            <w:noWrap/>
            <w:vAlign w:val="center"/>
            <w:hideMark/>
          </w:tcPr>
          <w:p w:rsidR="000723EC" w:rsidRPr="00B14D3C" w:rsidP="00C35277" w14:paraId="11EC1657" w14:textId="77777777">
            <w:pPr>
              <w:overflowPunct/>
              <w:autoSpaceDE/>
              <w:autoSpaceDN/>
              <w:adjustRightInd/>
              <w:jc w:val="center"/>
              <w:textAlignment w:val="auto"/>
              <w:rPr>
                <w:rFonts w:ascii="Times New Roman" w:hAnsi="Times New Roman"/>
                <w:color w:val="000000"/>
                <w:sz w:val="22"/>
                <w:szCs w:val="22"/>
              </w:rPr>
            </w:pPr>
            <w:r>
              <w:rPr>
                <w:color w:val="000000"/>
              </w:rPr>
              <w:t>1</w:t>
            </w:r>
          </w:p>
        </w:tc>
        <w:tc>
          <w:tcPr>
            <w:tcW w:w="1729" w:type="dxa"/>
            <w:tcBorders>
              <w:top w:val="nil"/>
              <w:left w:val="nil"/>
              <w:bottom w:val="single" w:sz="8" w:space="0" w:color="auto"/>
              <w:right w:val="single" w:sz="8" w:space="0" w:color="auto"/>
            </w:tcBorders>
            <w:shd w:val="clear" w:color="auto" w:fill="auto"/>
            <w:noWrap/>
            <w:vAlign w:val="center"/>
            <w:hideMark/>
          </w:tcPr>
          <w:p w:rsidR="000723EC" w:rsidRPr="00B14D3C" w:rsidP="00C35277" w14:paraId="2921C293" w14:textId="77777777">
            <w:pPr>
              <w:overflowPunct/>
              <w:autoSpaceDE/>
              <w:autoSpaceDN/>
              <w:adjustRightInd/>
              <w:jc w:val="center"/>
              <w:textAlignment w:val="auto"/>
              <w:rPr>
                <w:rFonts w:ascii="Times New Roman" w:hAnsi="Times New Roman"/>
                <w:color w:val="000000"/>
                <w:sz w:val="22"/>
                <w:szCs w:val="22"/>
              </w:rPr>
            </w:pPr>
            <w:r>
              <w:rPr>
                <w:color w:val="000000"/>
              </w:rPr>
              <w:t>60</w:t>
            </w:r>
          </w:p>
        </w:tc>
        <w:tc>
          <w:tcPr>
            <w:tcW w:w="1329" w:type="dxa"/>
            <w:tcBorders>
              <w:top w:val="nil"/>
              <w:left w:val="nil"/>
              <w:bottom w:val="single" w:sz="8" w:space="0" w:color="auto"/>
              <w:right w:val="single" w:sz="8" w:space="0" w:color="auto"/>
            </w:tcBorders>
            <w:shd w:val="clear" w:color="auto" w:fill="auto"/>
            <w:vAlign w:val="center"/>
            <w:hideMark/>
          </w:tcPr>
          <w:p w:rsidR="000723EC" w:rsidRPr="00B14D3C" w:rsidP="00C35277" w14:paraId="0F32595F" w14:textId="77777777">
            <w:pPr>
              <w:overflowPunct/>
              <w:autoSpaceDE/>
              <w:autoSpaceDN/>
              <w:adjustRightInd/>
              <w:jc w:val="center"/>
              <w:textAlignment w:val="auto"/>
              <w:rPr>
                <w:rFonts w:ascii="Times New Roman" w:hAnsi="Times New Roman"/>
                <w:color w:val="000000"/>
                <w:sz w:val="22"/>
                <w:szCs w:val="22"/>
              </w:rPr>
            </w:pPr>
            <w:r>
              <w:rPr>
                <w:color w:val="000000"/>
              </w:rPr>
              <w:t>1</w:t>
            </w:r>
          </w:p>
        </w:tc>
        <w:tc>
          <w:tcPr>
            <w:tcW w:w="1659" w:type="dxa"/>
            <w:tcBorders>
              <w:top w:val="nil"/>
              <w:left w:val="nil"/>
              <w:bottom w:val="single" w:sz="8" w:space="0" w:color="auto"/>
              <w:right w:val="single" w:sz="8" w:space="0" w:color="auto"/>
            </w:tcBorders>
            <w:shd w:val="clear" w:color="auto" w:fill="auto"/>
            <w:noWrap/>
            <w:vAlign w:val="center"/>
            <w:hideMark/>
          </w:tcPr>
          <w:p w:rsidR="000723EC" w:rsidRPr="00B14D3C" w:rsidP="00C35277" w14:paraId="199B4E6E" w14:textId="293451BC">
            <w:pPr>
              <w:overflowPunct/>
              <w:autoSpaceDE/>
              <w:autoSpaceDN/>
              <w:adjustRightInd/>
              <w:jc w:val="center"/>
              <w:textAlignment w:val="auto"/>
              <w:rPr>
                <w:rFonts w:ascii="Times New Roman" w:hAnsi="Times New Roman"/>
                <w:color w:val="000000"/>
                <w:sz w:val="22"/>
                <w:szCs w:val="22"/>
              </w:rPr>
            </w:pPr>
            <w:r>
              <w:rPr>
                <w:color w:val="000000"/>
              </w:rPr>
              <w:t>2</w:t>
            </w:r>
            <w:r>
              <w:rPr>
                <w:color w:val="000000"/>
              </w:rPr>
              <w:t>0</w:t>
            </w:r>
          </w:p>
        </w:tc>
      </w:tr>
      <w:tr w14:paraId="76939D5F" w14:textId="77777777" w:rsidTr="00C35277">
        <w:tblPrEx>
          <w:tblW w:w="11115" w:type="dxa"/>
          <w:tblInd w:w="-730" w:type="dxa"/>
          <w:tblLook w:val="04A0"/>
        </w:tblPrEx>
        <w:trPr>
          <w:trHeight w:val="324"/>
        </w:trPr>
        <w:tc>
          <w:tcPr>
            <w:tcW w:w="36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0723EC" w:rsidRPr="00B14D3C" w:rsidP="00C35277" w14:paraId="43179EBE" w14:textId="77777777">
            <w:pPr>
              <w:overflowPunct/>
              <w:autoSpaceDE/>
              <w:autoSpaceDN/>
              <w:adjustRightInd/>
              <w:textAlignment w:val="auto"/>
              <w:rPr>
                <w:rFonts w:ascii="Times New Roman" w:hAnsi="Times New Roman"/>
                <w:color w:val="000000"/>
                <w:sz w:val="22"/>
                <w:szCs w:val="22"/>
              </w:rPr>
            </w:pPr>
            <w:r>
              <w:rPr>
                <w:color w:val="000000"/>
              </w:rPr>
              <w:t>Interviews (Volunteers) (estimate up to 3 volunteers per program)</w:t>
            </w:r>
          </w:p>
        </w:tc>
        <w:tc>
          <w:tcPr>
            <w:tcW w:w="1440" w:type="dxa"/>
            <w:tcBorders>
              <w:top w:val="single" w:sz="8" w:space="0" w:color="auto"/>
              <w:left w:val="nil"/>
              <w:bottom w:val="single" w:sz="4" w:space="0" w:color="auto"/>
              <w:right w:val="single" w:sz="8" w:space="0" w:color="auto"/>
            </w:tcBorders>
            <w:shd w:val="clear" w:color="auto" w:fill="auto"/>
            <w:noWrap/>
            <w:vAlign w:val="center"/>
            <w:hideMark/>
          </w:tcPr>
          <w:p w:rsidR="000723EC" w:rsidRPr="00B14D3C" w:rsidP="00C35277" w14:paraId="7C31B629" w14:textId="77777777">
            <w:pPr>
              <w:overflowPunct/>
              <w:autoSpaceDE/>
              <w:autoSpaceDN/>
              <w:adjustRightInd/>
              <w:jc w:val="center"/>
              <w:textAlignment w:val="auto"/>
              <w:rPr>
                <w:rFonts w:ascii="Times New Roman" w:hAnsi="Times New Roman"/>
                <w:color w:val="000000"/>
                <w:sz w:val="22"/>
                <w:szCs w:val="22"/>
              </w:rPr>
            </w:pPr>
            <w:r>
              <w:rPr>
                <w:color w:val="000000"/>
              </w:rPr>
              <w:t>30</w:t>
            </w:r>
          </w:p>
        </w:tc>
        <w:tc>
          <w:tcPr>
            <w:tcW w:w="1268" w:type="dxa"/>
            <w:tcBorders>
              <w:top w:val="single" w:sz="8" w:space="0" w:color="auto"/>
              <w:left w:val="nil"/>
              <w:bottom w:val="single" w:sz="4" w:space="0" w:color="auto"/>
              <w:right w:val="single" w:sz="8" w:space="0" w:color="auto"/>
            </w:tcBorders>
            <w:shd w:val="clear" w:color="auto" w:fill="auto"/>
            <w:noWrap/>
            <w:vAlign w:val="center"/>
            <w:hideMark/>
          </w:tcPr>
          <w:p w:rsidR="000723EC" w:rsidRPr="00B14D3C" w:rsidP="00C35277" w14:paraId="1A264C9E" w14:textId="77777777">
            <w:pPr>
              <w:overflowPunct/>
              <w:autoSpaceDE/>
              <w:autoSpaceDN/>
              <w:adjustRightInd/>
              <w:jc w:val="center"/>
              <w:textAlignment w:val="auto"/>
              <w:rPr>
                <w:rFonts w:ascii="Times New Roman" w:hAnsi="Times New Roman"/>
                <w:color w:val="000000"/>
                <w:sz w:val="22"/>
                <w:szCs w:val="22"/>
              </w:rPr>
            </w:pPr>
            <w:r>
              <w:rPr>
                <w:color w:val="000000"/>
              </w:rPr>
              <w:t>1</w:t>
            </w:r>
          </w:p>
        </w:tc>
        <w:tc>
          <w:tcPr>
            <w:tcW w:w="1729" w:type="dxa"/>
            <w:tcBorders>
              <w:top w:val="single" w:sz="8" w:space="0" w:color="auto"/>
              <w:left w:val="nil"/>
              <w:bottom w:val="single" w:sz="4" w:space="0" w:color="auto"/>
              <w:right w:val="single" w:sz="8" w:space="0" w:color="auto"/>
            </w:tcBorders>
            <w:shd w:val="clear" w:color="auto" w:fill="auto"/>
            <w:noWrap/>
            <w:vAlign w:val="center"/>
            <w:hideMark/>
          </w:tcPr>
          <w:p w:rsidR="000723EC" w:rsidRPr="00B14D3C" w:rsidP="00C35277" w14:paraId="4A55F77B" w14:textId="77777777">
            <w:pPr>
              <w:overflowPunct/>
              <w:autoSpaceDE/>
              <w:autoSpaceDN/>
              <w:adjustRightInd/>
              <w:jc w:val="center"/>
              <w:textAlignment w:val="auto"/>
              <w:rPr>
                <w:rFonts w:ascii="Times New Roman" w:hAnsi="Times New Roman"/>
                <w:color w:val="000000"/>
                <w:sz w:val="22"/>
                <w:szCs w:val="22"/>
              </w:rPr>
            </w:pPr>
            <w:r>
              <w:rPr>
                <w:color w:val="000000"/>
              </w:rPr>
              <w:t>30</w:t>
            </w:r>
          </w:p>
        </w:tc>
        <w:tc>
          <w:tcPr>
            <w:tcW w:w="1329" w:type="dxa"/>
            <w:tcBorders>
              <w:top w:val="single" w:sz="8" w:space="0" w:color="auto"/>
              <w:left w:val="nil"/>
              <w:bottom w:val="single" w:sz="4" w:space="0" w:color="auto"/>
              <w:right w:val="single" w:sz="8" w:space="0" w:color="auto"/>
            </w:tcBorders>
            <w:shd w:val="clear" w:color="auto" w:fill="auto"/>
            <w:vAlign w:val="center"/>
            <w:hideMark/>
          </w:tcPr>
          <w:p w:rsidR="000723EC" w:rsidRPr="00B14D3C" w:rsidP="00C35277" w14:paraId="5F03F85B" w14:textId="77777777">
            <w:pPr>
              <w:overflowPunct/>
              <w:autoSpaceDE/>
              <w:autoSpaceDN/>
              <w:adjustRightInd/>
              <w:jc w:val="center"/>
              <w:textAlignment w:val="auto"/>
              <w:rPr>
                <w:rFonts w:ascii="Times New Roman" w:hAnsi="Times New Roman"/>
                <w:color w:val="000000"/>
                <w:sz w:val="22"/>
                <w:szCs w:val="22"/>
              </w:rPr>
            </w:pPr>
            <w:r>
              <w:rPr>
                <w:color w:val="000000"/>
              </w:rPr>
              <w:t>0.5</w:t>
            </w:r>
          </w:p>
        </w:tc>
        <w:tc>
          <w:tcPr>
            <w:tcW w:w="1659" w:type="dxa"/>
            <w:tcBorders>
              <w:top w:val="single" w:sz="8" w:space="0" w:color="auto"/>
              <w:left w:val="nil"/>
              <w:bottom w:val="single" w:sz="4" w:space="0" w:color="auto"/>
              <w:right w:val="single" w:sz="8" w:space="0" w:color="auto"/>
            </w:tcBorders>
            <w:shd w:val="clear" w:color="auto" w:fill="auto"/>
            <w:noWrap/>
            <w:vAlign w:val="center"/>
            <w:hideMark/>
          </w:tcPr>
          <w:p w:rsidR="000723EC" w:rsidRPr="00B14D3C" w:rsidP="00C35277" w14:paraId="365BB09F" w14:textId="77777777">
            <w:pPr>
              <w:overflowPunct/>
              <w:autoSpaceDE/>
              <w:autoSpaceDN/>
              <w:adjustRightInd/>
              <w:jc w:val="center"/>
              <w:textAlignment w:val="auto"/>
              <w:rPr>
                <w:rFonts w:ascii="Times New Roman" w:hAnsi="Times New Roman"/>
                <w:color w:val="000000"/>
                <w:sz w:val="22"/>
                <w:szCs w:val="22"/>
              </w:rPr>
            </w:pPr>
            <w:r>
              <w:rPr>
                <w:color w:val="000000"/>
              </w:rPr>
              <w:t>15</w:t>
            </w:r>
          </w:p>
        </w:tc>
      </w:tr>
      <w:tr w14:paraId="7FE5DD3F" w14:textId="77777777" w:rsidTr="00C35277">
        <w:tblPrEx>
          <w:tblW w:w="11115" w:type="dxa"/>
          <w:tblInd w:w="-730" w:type="dxa"/>
          <w:tblLook w:val="04A0"/>
        </w:tblPrEx>
        <w:trPr>
          <w:trHeight w:val="324"/>
        </w:trPr>
        <w:tc>
          <w:tcPr>
            <w:tcW w:w="3690" w:type="dxa"/>
            <w:tcBorders>
              <w:top w:val="single" w:sz="4" w:space="0" w:color="auto"/>
              <w:left w:val="single" w:sz="8" w:space="0" w:color="auto"/>
              <w:bottom w:val="single" w:sz="8" w:space="0" w:color="auto"/>
              <w:right w:val="single" w:sz="8" w:space="0" w:color="auto"/>
            </w:tcBorders>
            <w:shd w:val="clear" w:color="auto" w:fill="auto"/>
            <w:noWrap/>
            <w:vAlign w:val="center"/>
          </w:tcPr>
          <w:p w:rsidR="000723EC" w:rsidRPr="00801FC6" w:rsidP="00C35277" w14:paraId="18094F02" w14:textId="77777777">
            <w:pPr>
              <w:overflowPunct/>
              <w:autoSpaceDE/>
              <w:autoSpaceDN/>
              <w:adjustRightInd/>
              <w:textAlignment w:val="auto"/>
              <w:rPr>
                <w:rFonts w:ascii="Times New Roman" w:hAnsi="Times New Roman"/>
                <w:color w:val="000000"/>
                <w:sz w:val="22"/>
                <w:szCs w:val="22"/>
              </w:rPr>
            </w:pPr>
            <w:r>
              <w:rPr>
                <w:b/>
                <w:bCs/>
                <w:color w:val="000000"/>
                <w:sz w:val="22"/>
                <w:szCs w:val="22"/>
              </w:rPr>
              <w:t>Total</w:t>
            </w:r>
          </w:p>
        </w:tc>
        <w:tc>
          <w:tcPr>
            <w:tcW w:w="1440" w:type="dxa"/>
            <w:tcBorders>
              <w:top w:val="single" w:sz="4" w:space="0" w:color="auto"/>
              <w:left w:val="nil"/>
              <w:bottom w:val="single" w:sz="8" w:space="0" w:color="auto"/>
              <w:right w:val="single" w:sz="8" w:space="0" w:color="auto"/>
            </w:tcBorders>
            <w:shd w:val="clear" w:color="auto" w:fill="auto"/>
            <w:noWrap/>
            <w:vAlign w:val="center"/>
          </w:tcPr>
          <w:p w:rsidR="000723EC" w:rsidRPr="00801FC6" w:rsidP="00C35277" w14:paraId="3828BF31" w14:textId="77777777">
            <w:pPr>
              <w:overflowPunct/>
              <w:autoSpaceDE/>
              <w:autoSpaceDN/>
              <w:adjustRightInd/>
              <w:jc w:val="center"/>
              <w:textAlignment w:val="auto"/>
              <w:rPr>
                <w:rFonts w:ascii="Times New Roman" w:hAnsi="Times New Roman"/>
                <w:color w:val="000000"/>
                <w:sz w:val="22"/>
                <w:szCs w:val="22"/>
              </w:rPr>
            </w:pPr>
            <w:r>
              <w:rPr>
                <w:b/>
                <w:bCs/>
                <w:color w:val="000000"/>
              </w:rPr>
              <w:t>90</w:t>
            </w:r>
          </w:p>
        </w:tc>
        <w:tc>
          <w:tcPr>
            <w:tcW w:w="1268" w:type="dxa"/>
            <w:tcBorders>
              <w:top w:val="single" w:sz="4" w:space="0" w:color="auto"/>
              <w:left w:val="nil"/>
              <w:bottom w:val="single" w:sz="8" w:space="0" w:color="auto"/>
              <w:right w:val="single" w:sz="8" w:space="0" w:color="auto"/>
            </w:tcBorders>
            <w:shd w:val="clear" w:color="auto" w:fill="auto"/>
            <w:noWrap/>
            <w:vAlign w:val="center"/>
          </w:tcPr>
          <w:p w:rsidR="000723EC" w:rsidRPr="00801FC6" w:rsidP="00C35277" w14:paraId="0E3B8EE0" w14:textId="4A256E58">
            <w:pPr>
              <w:overflowPunct/>
              <w:autoSpaceDE/>
              <w:autoSpaceDN/>
              <w:adjustRightInd/>
              <w:jc w:val="center"/>
              <w:textAlignment w:val="auto"/>
              <w:rPr>
                <w:rFonts w:ascii="Times New Roman" w:hAnsi="Times New Roman"/>
                <w:color w:val="000000"/>
                <w:sz w:val="22"/>
                <w:szCs w:val="22"/>
              </w:rPr>
            </w:pPr>
            <w:r>
              <w:rPr>
                <w:color w:val="000000"/>
                <w:sz w:val="22"/>
              </w:rPr>
              <w:t>1</w:t>
            </w:r>
          </w:p>
        </w:tc>
        <w:tc>
          <w:tcPr>
            <w:tcW w:w="1729" w:type="dxa"/>
            <w:tcBorders>
              <w:top w:val="single" w:sz="4" w:space="0" w:color="auto"/>
              <w:left w:val="nil"/>
              <w:bottom w:val="single" w:sz="8" w:space="0" w:color="auto"/>
              <w:right w:val="single" w:sz="8" w:space="0" w:color="auto"/>
            </w:tcBorders>
            <w:shd w:val="clear" w:color="auto" w:fill="auto"/>
            <w:noWrap/>
            <w:vAlign w:val="center"/>
          </w:tcPr>
          <w:p w:rsidR="000723EC" w:rsidRPr="00801FC6" w:rsidP="00C35277" w14:paraId="1DE4D336" w14:textId="77777777">
            <w:pPr>
              <w:overflowPunct/>
              <w:autoSpaceDE/>
              <w:autoSpaceDN/>
              <w:adjustRightInd/>
              <w:jc w:val="center"/>
              <w:textAlignment w:val="auto"/>
              <w:rPr>
                <w:rFonts w:ascii="Times New Roman" w:hAnsi="Times New Roman"/>
                <w:color w:val="000000"/>
                <w:sz w:val="22"/>
                <w:szCs w:val="22"/>
              </w:rPr>
            </w:pPr>
            <w:r>
              <w:rPr>
                <w:b/>
                <w:bCs/>
                <w:color w:val="000000"/>
              </w:rPr>
              <w:t>225</w:t>
            </w:r>
          </w:p>
        </w:tc>
        <w:tc>
          <w:tcPr>
            <w:tcW w:w="1329" w:type="dxa"/>
            <w:tcBorders>
              <w:top w:val="single" w:sz="4" w:space="0" w:color="auto"/>
              <w:left w:val="nil"/>
              <w:bottom w:val="single" w:sz="8" w:space="0" w:color="auto"/>
              <w:right w:val="single" w:sz="8" w:space="0" w:color="auto"/>
            </w:tcBorders>
            <w:shd w:val="clear" w:color="auto" w:fill="auto"/>
            <w:vAlign w:val="center"/>
          </w:tcPr>
          <w:p w:rsidR="000723EC" w:rsidRPr="001E5A6C" w:rsidP="00C35277" w14:paraId="6E877C0E" w14:textId="142FC6EE">
            <w:pPr>
              <w:overflowPunct/>
              <w:autoSpaceDE/>
              <w:autoSpaceDN/>
              <w:adjustRightInd/>
              <w:jc w:val="center"/>
              <w:textAlignment w:val="auto"/>
              <w:rPr>
                <w:rFonts w:ascii="Times New Roman" w:hAnsi="Times New Roman"/>
                <w:b/>
                <w:bCs/>
                <w:color w:val="000000"/>
                <w:sz w:val="22"/>
                <w:szCs w:val="22"/>
              </w:rPr>
            </w:pPr>
            <w:r>
              <w:rPr>
                <w:b/>
                <w:bCs/>
                <w:color w:val="000000"/>
                <w:szCs w:val="22"/>
              </w:rPr>
              <w:t>0.9375</w:t>
            </w:r>
            <w:r w:rsidR="0038770C">
              <w:rPr>
                <w:b/>
                <w:bCs/>
                <w:color w:val="000000"/>
                <w:szCs w:val="22"/>
              </w:rPr>
              <w:t>*</w:t>
            </w:r>
          </w:p>
        </w:tc>
        <w:tc>
          <w:tcPr>
            <w:tcW w:w="1659" w:type="dxa"/>
            <w:tcBorders>
              <w:top w:val="single" w:sz="4" w:space="0" w:color="auto"/>
              <w:left w:val="nil"/>
              <w:bottom w:val="single" w:sz="8" w:space="0" w:color="auto"/>
              <w:right w:val="single" w:sz="8" w:space="0" w:color="auto"/>
            </w:tcBorders>
            <w:shd w:val="clear" w:color="auto" w:fill="auto"/>
            <w:noWrap/>
            <w:vAlign w:val="center"/>
          </w:tcPr>
          <w:p w:rsidR="000723EC" w:rsidRPr="002A7091" w:rsidP="002A7091" w14:paraId="5EAF2330" w14:textId="626852D6">
            <w:pPr>
              <w:overflowPunct/>
              <w:autoSpaceDE/>
              <w:autoSpaceDN/>
              <w:adjustRightInd/>
              <w:jc w:val="center"/>
              <w:textAlignment w:val="auto"/>
              <w:rPr>
                <w:b/>
                <w:bCs/>
                <w:color w:val="000000"/>
              </w:rPr>
            </w:pPr>
            <w:r>
              <w:rPr>
                <w:b/>
                <w:bCs/>
                <w:color w:val="000000"/>
              </w:rPr>
              <w:t>84.37</w:t>
            </w:r>
            <w:r w:rsidR="00BE3395">
              <w:rPr>
                <w:b/>
                <w:bCs/>
                <w:color w:val="000000"/>
              </w:rPr>
              <w:t>**</w:t>
            </w:r>
          </w:p>
        </w:tc>
      </w:tr>
    </w:tbl>
    <w:p w:rsidR="000723EC" w:rsidP="0038770C" w14:paraId="3065C0E9" w14:textId="11E3C805">
      <w:pPr>
        <w:ind w:left="-720"/>
      </w:pPr>
      <w:r>
        <w:t>*Averaged.</w:t>
      </w:r>
    </w:p>
    <w:p w:rsidR="00BE3395" w:rsidRPr="00BE3395" w:rsidP="0038770C" w14:paraId="5EE677AC" w14:textId="63446AC5">
      <w:pPr>
        <w:ind w:left="-720"/>
      </w:pPr>
      <w:r>
        <w:t xml:space="preserve">**The sum of burden hours is </w:t>
      </w:r>
      <w:r w:rsidRPr="002A7091" w:rsidR="002A7091">
        <w:rPr>
          <w:color w:val="000000"/>
        </w:rPr>
        <w:t>82.5</w:t>
      </w:r>
      <w:r w:rsidR="002A7091">
        <w:rPr>
          <w:color w:val="000000"/>
        </w:rPr>
        <w:t xml:space="preserve"> but</w:t>
      </w:r>
      <w:r>
        <w:rPr>
          <w:color w:val="000000"/>
        </w:rPr>
        <w:t xml:space="preserve"> averaging </w:t>
      </w:r>
      <w:r w:rsidR="002A7091">
        <w:rPr>
          <w:color w:val="000000"/>
        </w:rPr>
        <w:t xml:space="preserve">the burden hours per response and multiplying by the number of responses accounts for the difference. </w:t>
      </w:r>
    </w:p>
    <w:tbl>
      <w:tblPr>
        <w:tblW w:w="5000" w:type="pct"/>
        <w:tblCellSpacing w:w="22" w:type="dxa"/>
        <w:tblCellMar>
          <w:left w:w="0" w:type="dxa"/>
          <w:right w:w="0" w:type="dxa"/>
        </w:tblCellMar>
        <w:tblLook w:val="04A0"/>
      </w:tblPr>
      <w:tblGrid>
        <w:gridCol w:w="9248"/>
        <w:gridCol w:w="112"/>
      </w:tblGrid>
      <w:tr w14:paraId="7B65EB06" w14:textId="77777777" w:rsidTr="00C35277">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2431A2" w:rsidRPr="0066527F" w:rsidP="00C35277" w14:paraId="67267D94" w14:textId="77777777">
            <w:pPr>
              <w:widowControl w:val="0"/>
              <w:rPr>
                <w:b/>
                <w:bCs/>
                <w:szCs w:val="22"/>
              </w:rPr>
            </w:pPr>
            <w:r w:rsidRPr="0066527F">
              <w:rPr>
                <w:b/>
                <w:bCs/>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277"/>
              <w:gridCol w:w="2083"/>
              <w:gridCol w:w="1737"/>
              <w:gridCol w:w="2298"/>
            </w:tblGrid>
            <w:tr w14:paraId="76F04DF4" w14:textId="77777777" w:rsidTr="00C35277">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86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431A2" w:rsidRPr="00915869" w:rsidP="00C35277" w14:paraId="4AAC8236" w14:textId="77777777">
                  <w:pPr>
                    <w:widowControl w:val="0"/>
                    <w:jc w:val="center"/>
                    <w:rPr>
                      <w:b/>
                      <w:bCs/>
                      <w:szCs w:val="22"/>
                    </w:rPr>
                  </w:pPr>
                  <w:r w:rsidRPr="00915869">
                    <w:rPr>
                      <w:b/>
                      <w:bCs/>
                      <w:szCs w:val="22"/>
                    </w:rPr>
                    <w:t xml:space="preserve">  </w:t>
                  </w:r>
                </w:p>
              </w:tc>
              <w:tc>
                <w:tcPr>
                  <w:tcW w:w="140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431A2" w:rsidRPr="00915869" w:rsidP="00C35277" w14:paraId="570C3D96" w14:textId="77777777">
                  <w:pPr>
                    <w:widowControl w:val="0"/>
                    <w:jc w:val="center"/>
                    <w:rPr>
                      <w:b/>
                      <w:bCs/>
                      <w:szCs w:val="22"/>
                    </w:rPr>
                  </w:pPr>
                  <w:r w:rsidRPr="00915869">
                    <w:rPr>
                      <w:b/>
                      <w:bCs/>
                      <w:szCs w:val="22"/>
                    </w:rPr>
                    <w:t xml:space="preserve">Time Per Response </w:t>
                  </w:r>
                </w:p>
              </w:tc>
              <w:tc>
                <w:tcPr>
                  <w:tcW w:w="117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431A2" w:rsidRPr="00915869" w:rsidP="00C35277" w14:paraId="0BA399E2" w14:textId="77777777">
                  <w:pPr>
                    <w:widowControl w:val="0"/>
                    <w:jc w:val="center"/>
                    <w:rPr>
                      <w:b/>
                      <w:bCs/>
                      <w:szCs w:val="22"/>
                    </w:rPr>
                  </w:pPr>
                  <w:r w:rsidRPr="00915869">
                    <w:rPr>
                      <w:b/>
                      <w:bCs/>
                      <w:szCs w:val="22"/>
                    </w:rPr>
                    <w:t xml:space="preserve">Hours </w:t>
                  </w:r>
                </w:p>
              </w:tc>
              <w:tc>
                <w:tcPr>
                  <w:tcW w:w="155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431A2" w:rsidRPr="00915869" w:rsidP="00C35277" w14:paraId="1E532648" w14:textId="77777777">
                  <w:pPr>
                    <w:widowControl w:val="0"/>
                    <w:jc w:val="center"/>
                    <w:rPr>
                      <w:b/>
                      <w:bCs/>
                      <w:szCs w:val="22"/>
                    </w:rPr>
                  </w:pPr>
                  <w:r w:rsidRPr="00915869">
                    <w:rPr>
                      <w:b/>
                      <w:bCs/>
                      <w:szCs w:val="22"/>
                    </w:rPr>
                    <w:t xml:space="preserve">Cost Per Response </w:t>
                  </w:r>
                </w:p>
              </w:tc>
            </w:tr>
            <w:tr w14:paraId="316DC62D" w14:textId="77777777" w:rsidTr="00C35277">
              <w:tblPrEx>
                <w:tblW w:w="7395" w:type="dxa"/>
                <w:tblCellSpacing w:w="0" w:type="dxa"/>
                <w:shd w:val="clear" w:color="auto" w:fill="EFEFEF"/>
                <w:tblCellMar>
                  <w:left w:w="0" w:type="dxa"/>
                  <w:right w:w="0" w:type="dxa"/>
                </w:tblCellMar>
                <w:tblLook w:val="04A0"/>
              </w:tblPrEx>
              <w:trPr>
                <w:tblCellSpacing w:w="0" w:type="dxa"/>
              </w:trPr>
              <w:tc>
                <w:tcPr>
                  <w:tcW w:w="86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7BEB7383" w14:textId="77777777">
                  <w:pPr>
                    <w:widowControl w:val="0"/>
                    <w:rPr>
                      <w:szCs w:val="22"/>
                    </w:rPr>
                  </w:pPr>
                  <w:r w:rsidRPr="00915869">
                    <w:rPr>
                      <w:szCs w:val="22"/>
                    </w:rPr>
                    <w:t xml:space="preserve">Reporting </w:t>
                  </w:r>
                </w:p>
              </w:tc>
              <w:tc>
                <w:tcPr>
                  <w:tcW w:w="14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12BB5BC2" w14:textId="77777777">
                  <w:pPr>
                    <w:widowControl w:val="0"/>
                    <w:jc w:val="center"/>
                  </w:pPr>
                  <w:r>
                    <w:t>0.5 hours (avg)</w:t>
                  </w:r>
                </w:p>
              </w:tc>
              <w:tc>
                <w:tcPr>
                  <w:tcW w:w="117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38BBDBFF" w14:textId="77777777">
                  <w:pPr>
                    <w:widowControl w:val="0"/>
                    <w:jc w:val="center"/>
                  </w:pPr>
                  <w:r>
                    <w:t>0.50 (avg)</w:t>
                  </w:r>
                </w:p>
              </w:tc>
              <w:tc>
                <w:tcPr>
                  <w:tcW w:w="155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19F39A29" w14:textId="77777777">
                  <w:pPr>
                    <w:widowControl w:val="0"/>
                    <w:jc w:val="center"/>
                  </w:pPr>
                  <w:r>
                    <w:t>$23.68</w:t>
                  </w:r>
                </w:p>
              </w:tc>
            </w:tr>
            <w:tr w14:paraId="15D17032" w14:textId="77777777" w:rsidTr="00C35277">
              <w:tblPrEx>
                <w:tblW w:w="7395" w:type="dxa"/>
                <w:tblCellSpacing w:w="0" w:type="dxa"/>
                <w:shd w:val="clear" w:color="auto" w:fill="EFEFEF"/>
                <w:tblCellMar>
                  <w:left w:w="0" w:type="dxa"/>
                  <w:right w:w="0" w:type="dxa"/>
                </w:tblCellMar>
                <w:tblLook w:val="04A0"/>
              </w:tblPrEx>
              <w:trPr>
                <w:tblCellSpacing w:w="0" w:type="dxa"/>
              </w:trPr>
              <w:tc>
                <w:tcPr>
                  <w:tcW w:w="86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5B58776D" w14:textId="77777777">
                  <w:pPr>
                    <w:widowControl w:val="0"/>
                    <w:rPr>
                      <w:szCs w:val="22"/>
                    </w:rPr>
                  </w:pPr>
                  <w:r w:rsidRPr="00915869">
                    <w:rPr>
                      <w:szCs w:val="22"/>
                    </w:rPr>
                    <w:t xml:space="preserve">Record Keeping </w:t>
                  </w:r>
                </w:p>
              </w:tc>
              <w:tc>
                <w:tcPr>
                  <w:tcW w:w="14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6BEA6A96" w14:textId="77777777">
                  <w:pPr>
                    <w:widowControl w:val="0"/>
                    <w:jc w:val="center"/>
                  </w:pPr>
                  <w:r>
                    <w:t>--</w:t>
                  </w:r>
                </w:p>
              </w:tc>
              <w:tc>
                <w:tcPr>
                  <w:tcW w:w="117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1B07DC1A" w14:textId="77777777">
                  <w:pPr>
                    <w:widowControl w:val="0"/>
                    <w:jc w:val="center"/>
                  </w:pPr>
                  <w:r>
                    <w:t>--</w:t>
                  </w:r>
                </w:p>
              </w:tc>
              <w:tc>
                <w:tcPr>
                  <w:tcW w:w="155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1793A298" w14:textId="77777777">
                  <w:pPr>
                    <w:widowControl w:val="0"/>
                    <w:jc w:val="center"/>
                  </w:pPr>
                  <w:r>
                    <w:t>--</w:t>
                  </w:r>
                </w:p>
              </w:tc>
            </w:tr>
            <w:tr w14:paraId="57F00075" w14:textId="77777777" w:rsidTr="00C35277">
              <w:tblPrEx>
                <w:tblW w:w="7395" w:type="dxa"/>
                <w:tblCellSpacing w:w="0" w:type="dxa"/>
                <w:shd w:val="clear" w:color="auto" w:fill="EFEFEF"/>
                <w:tblCellMar>
                  <w:left w:w="0" w:type="dxa"/>
                  <w:right w:w="0" w:type="dxa"/>
                </w:tblCellMar>
                <w:tblLook w:val="04A0"/>
              </w:tblPrEx>
              <w:trPr>
                <w:tblCellSpacing w:w="0" w:type="dxa"/>
              </w:trPr>
              <w:tc>
                <w:tcPr>
                  <w:tcW w:w="86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1EC9F2E0" w14:textId="77777777">
                  <w:pPr>
                    <w:widowControl w:val="0"/>
                    <w:rPr>
                      <w:szCs w:val="22"/>
                    </w:rPr>
                  </w:pPr>
                  <w:r w:rsidRPr="00915869">
                    <w:rPr>
                      <w:szCs w:val="22"/>
                    </w:rPr>
                    <w:t xml:space="preserve">Third Party Disclosure </w:t>
                  </w:r>
                </w:p>
              </w:tc>
              <w:tc>
                <w:tcPr>
                  <w:tcW w:w="14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44774481" w14:textId="77777777">
                  <w:pPr>
                    <w:widowControl w:val="0"/>
                    <w:jc w:val="center"/>
                  </w:pPr>
                  <w:r>
                    <w:t>--</w:t>
                  </w:r>
                </w:p>
              </w:tc>
              <w:tc>
                <w:tcPr>
                  <w:tcW w:w="117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2E8BED7E" w14:textId="77777777">
                  <w:pPr>
                    <w:widowControl w:val="0"/>
                    <w:jc w:val="center"/>
                  </w:pPr>
                  <w:r>
                    <w:t>--</w:t>
                  </w:r>
                </w:p>
              </w:tc>
              <w:tc>
                <w:tcPr>
                  <w:tcW w:w="155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4922D270" w14:textId="77777777">
                  <w:pPr>
                    <w:widowControl w:val="0"/>
                    <w:jc w:val="center"/>
                  </w:pPr>
                  <w:r>
                    <w:t>--</w:t>
                  </w:r>
                </w:p>
              </w:tc>
            </w:tr>
            <w:tr w14:paraId="3D309719" w14:textId="77777777" w:rsidTr="00C35277">
              <w:tblPrEx>
                <w:tblW w:w="7395" w:type="dxa"/>
                <w:tblCellSpacing w:w="0" w:type="dxa"/>
                <w:shd w:val="clear" w:color="auto" w:fill="EFEFEF"/>
                <w:tblCellMar>
                  <w:left w:w="0" w:type="dxa"/>
                  <w:right w:w="0" w:type="dxa"/>
                </w:tblCellMar>
                <w:tblLook w:val="04A0"/>
              </w:tblPrEx>
              <w:trPr>
                <w:tblCellSpacing w:w="0" w:type="dxa"/>
              </w:trPr>
              <w:tc>
                <w:tcPr>
                  <w:tcW w:w="86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2D4E6651" w14:textId="77777777">
                  <w:pPr>
                    <w:widowControl w:val="0"/>
                    <w:rPr>
                      <w:szCs w:val="22"/>
                    </w:rPr>
                  </w:pPr>
                  <w:r w:rsidRPr="00915869">
                    <w:rPr>
                      <w:szCs w:val="22"/>
                    </w:rPr>
                    <w:t xml:space="preserve">Total </w:t>
                  </w:r>
                </w:p>
              </w:tc>
              <w:tc>
                <w:tcPr>
                  <w:tcW w:w="14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33B7F4CA" w14:textId="77777777">
                  <w:pPr>
                    <w:widowControl w:val="0"/>
                    <w:jc w:val="center"/>
                  </w:pPr>
                  <w:r>
                    <w:t>0.50 (avg) hours</w:t>
                  </w:r>
                </w:p>
              </w:tc>
              <w:tc>
                <w:tcPr>
                  <w:tcW w:w="117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3336A82D" w14:textId="77777777">
                  <w:pPr>
                    <w:widowControl w:val="0"/>
                    <w:jc w:val="center"/>
                  </w:pPr>
                  <w:r>
                    <w:t>0.50 (avg)</w:t>
                  </w:r>
                </w:p>
              </w:tc>
              <w:tc>
                <w:tcPr>
                  <w:tcW w:w="155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2431A2" w:rsidRPr="00915869" w:rsidP="00C35277" w14:paraId="52DE8211" w14:textId="77777777">
                  <w:pPr>
                    <w:widowControl w:val="0"/>
                    <w:jc w:val="center"/>
                  </w:pPr>
                  <w:r>
                    <w:t>$23.68</w:t>
                  </w:r>
                </w:p>
              </w:tc>
            </w:tr>
          </w:tbl>
          <w:p w:rsidR="002431A2" w:rsidRPr="00915869" w:rsidP="00C35277" w14:paraId="0C217A85" w14:textId="77777777">
            <w:pPr>
              <w:widowControl w:val="0"/>
              <w:rPr>
                <w:szCs w:val="22"/>
              </w:rPr>
            </w:pPr>
          </w:p>
        </w:tc>
      </w:tr>
      <w:tr w14:paraId="2C89FA51" w14:textId="77777777" w:rsidTr="00C35277">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2431A2" w:rsidRPr="0066527F" w:rsidP="00C35277" w14:paraId="0FF6338D" w14:textId="77777777">
            <w:pPr>
              <w:widowControl w:val="0"/>
              <w:rPr>
                <w:b/>
                <w:bCs/>
                <w:szCs w:val="22"/>
              </w:rPr>
            </w:pPr>
            <w:r w:rsidRPr="0066527F">
              <w:rPr>
                <w:b/>
                <w:bCs/>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4178CC5E" w14:textId="77777777" w:rsidTr="00C35277">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431A2" w:rsidRPr="00915869" w:rsidP="00C35277" w14:paraId="73247120"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431A2" w:rsidRPr="00915869" w:rsidP="00C35277" w14:paraId="5814CEB6"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431A2" w:rsidP="00C35277" w14:paraId="314B0026" w14:textId="77777777">
                  <w:pPr>
                    <w:widowControl w:val="0"/>
                    <w:jc w:val="center"/>
                    <w:rPr>
                      <w:b/>
                      <w:bCs/>
                      <w:szCs w:val="22"/>
                    </w:rPr>
                  </w:pPr>
                  <w:r w:rsidRPr="00915869">
                    <w:rPr>
                      <w:b/>
                      <w:bCs/>
                      <w:szCs w:val="22"/>
                    </w:rPr>
                    <w:t>Annual Cost Burden</w:t>
                  </w:r>
                </w:p>
                <w:p w:rsidR="002431A2" w:rsidRPr="00915869" w:rsidP="00C35277" w14:paraId="25517817" w14:textId="77777777">
                  <w:pPr>
                    <w:widowControl w:val="0"/>
                    <w:jc w:val="center"/>
                    <w:rPr>
                      <w:b/>
                      <w:bCs/>
                      <w:szCs w:val="22"/>
                    </w:rPr>
                  </w:pPr>
                  <w:r w:rsidRPr="00915869">
                    <w:rPr>
                      <w:b/>
                      <w:bCs/>
                      <w:szCs w:val="22"/>
                    </w:rPr>
                    <w:t xml:space="preserve">(Dollars) </w:t>
                  </w:r>
                </w:p>
              </w:tc>
            </w:tr>
            <w:tr w14:paraId="4B4B322D" w14:textId="77777777" w:rsidTr="00C35277">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431A2" w:rsidRPr="00915869" w:rsidP="00C35277" w14:paraId="52450CF6"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431A2" w:rsidRPr="00915869" w:rsidP="00C35277" w14:paraId="3E0F18E7" w14:textId="77777777">
                  <w:pPr>
                    <w:widowControl w:val="0"/>
                    <w:jc w:val="right"/>
                    <w:rPr>
                      <w:szCs w:val="22"/>
                    </w:rPr>
                  </w:pPr>
                  <w:r>
                    <w:rPr>
                      <w:szCs w:val="22"/>
                    </w:rPr>
                    <w:t>2,479</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431A2" w:rsidRPr="00915869" w:rsidP="00C35277" w14:paraId="643B2018" w14:textId="77777777">
                  <w:pPr>
                    <w:widowControl w:val="0"/>
                    <w:jc w:val="right"/>
                    <w:rPr>
                      <w:szCs w:val="22"/>
                    </w:rPr>
                  </w:pPr>
                  <w:r w:rsidRPr="00EB2C54">
                    <w:rPr>
                      <w:szCs w:val="22"/>
                    </w:rPr>
                    <w:t>$</w:t>
                  </w:r>
                  <w:r>
                    <w:rPr>
                      <w:szCs w:val="22"/>
                    </w:rPr>
                    <w:t>117,405.44</w:t>
                  </w:r>
                </w:p>
              </w:tc>
            </w:tr>
            <w:tr w14:paraId="3B990429" w14:textId="77777777" w:rsidTr="00C35277">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431A2" w:rsidRPr="00915869" w:rsidP="00C35277" w14:paraId="1ED0D30C"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431A2" w:rsidRPr="00915869" w:rsidP="00C35277" w14:paraId="4C3D4003" w14:textId="77777777">
                  <w:pPr>
                    <w:widowControl w:val="0"/>
                    <w:rPr>
                      <w:szCs w:val="22"/>
                    </w:rPr>
                  </w:pPr>
                  <w:r>
                    <w:rPr>
                      <w:szCs w:val="22"/>
                    </w:rPr>
                    <w:t>--</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431A2" w:rsidRPr="00915869" w:rsidP="00C35277" w14:paraId="64CD85F5" w14:textId="77777777">
                  <w:pPr>
                    <w:widowControl w:val="0"/>
                    <w:jc w:val="right"/>
                    <w:rPr>
                      <w:szCs w:val="22"/>
                    </w:rPr>
                  </w:pPr>
                  <w:r>
                    <w:rPr>
                      <w:szCs w:val="22"/>
                    </w:rPr>
                    <w:t>--</w:t>
                  </w:r>
                </w:p>
              </w:tc>
            </w:tr>
            <w:tr w14:paraId="0DC6C6EB" w14:textId="77777777" w:rsidTr="00C35277">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431A2" w:rsidRPr="00915869" w:rsidP="00C35277" w14:paraId="784171E8"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431A2" w:rsidRPr="00915869" w:rsidP="00C35277" w14:paraId="01BBC965" w14:textId="77777777">
                  <w:pPr>
                    <w:widowControl w:val="0"/>
                    <w:rPr>
                      <w:szCs w:val="22"/>
                    </w:rPr>
                  </w:pPr>
                  <w:r>
                    <w:rPr>
                      <w:szCs w:val="22"/>
                    </w:rPr>
                    <w:t>--</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431A2" w:rsidRPr="00915869" w:rsidP="00C35277" w14:paraId="1C29E1C3" w14:textId="77777777">
                  <w:pPr>
                    <w:widowControl w:val="0"/>
                    <w:jc w:val="right"/>
                    <w:rPr>
                      <w:szCs w:val="22"/>
                    </w:rPr>
                  </w:pPr>
                  <w:r>
                    <w:rPr>
                      <w:szCs w:val="22"/>
                    </w:rPr>
                    <w:t>--</w:t>
                  </w:r>
                </w:p>
              </w:tc>
            </w:tr>
            <w:tr w14:paraId="66F49DD4" w14:textId="77777777" w:rsidTr="00C35277">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431A2" w:rsidRPr="00915869" w:rsidP="00C35277" w14:paraId="1DC9DE05"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431A2" w:rsidRPr="00915869" w:rsidP="00C35277" w14:paraId="64572594" w14:textId="77777777">
                  <w:pPr>
                    <w:widowControl w:val="0"/>
                    <w:jc w:val="right"/>
                    <w:rPr>
                      <w:szCs w:val="22"/>
                    </w:rPr>
                  </w:pPr>
                  <w:r>
                    <w:rPr>
                      <w:szCs w:val="22"/>
                    </w:rPr>
                    <w:t>2,479</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431A2" w:rsidRPr="00915869" w:rsidP="00C35277" w14:paraId="7E498EB4" w14:textId="77777777">
                  <w:pPr>
                    <w:widowControl w:val="0"/>
                    <w:jc w:val="right"/>
                    <w:rPr>
                      <w:szCs w:val="22"/>
                    </w:rPr>
                  </w:pPr>
                  <w:r w:rsidRPr="00EB2C54">
                    <w:rPr>
                      <w:szCs w:val="22"/>
                    </w:rPr>
                    <w:t>$</w:t>
                  </w:r>
                  <w:r>
                    <w:rPr>
                      <w:szCs w:val="22"/>
                    </w:rPr>
                    <w:t>117,405</w:t>
                  </w:r>
                </w:p>
              </w:tc>
            </w:tr>
          </w:tbl>
          <w:p w:rsidR="002431A2" w:rsidRPr="00915869" w:rsidP="00C35277" w14:paraId="5157B365" w14:textId="77777777">
            <w:pPr>
              <w:widowControl w:val="0"/>
              <w:rPr>
                <w:szCs w:val="22"/>
              </w:rPr>
            </w:pPr>
          </w:p>
        </w:tc>
      </w:tr>
    </w:tbl>
    <w:p w:rsidR="002431A2" w:rsidRPr="00B16111" w:rsidP="002431A2" w14:paraId="4454B9FC" w14:textId="77777777">
      <w:pPr>
        <w:widowControl w:val="0"/>
        <w:rPr>
          <w:rFonts w:ascii="Times New Roman" w:eastAsia="+mn-ea" w:hAnsi="Times New Roman"/>
          <w:color w:val="000000"/>
        </w:rPr>
      </w:pPr>
    </w:p>
    <w:p w:rsidR="002431A2" w:rsidRPr="00B16111" w:rsidP="002431A2" w14:paraId="016FDA1C" w14:textId="2B7E61C4">
      <w:pPr>
        <w:pStyle w:val="Default"/>
        <w:widowControl w:val="0"/>
        <w:rPr>
          <w:rFonts w:ascii="Times New Roman" w:eastAsia="Times New Roman" w:hAnsi="Times New Roman"/>
        </w:rPr>
      </w:pPr>
      <w:r w:rsidRPr="00B16111">
        <w:rPr>
          <w:rFonts w:ascii="Times New Roman" w:eastAsia="+mn-ea" w:hAnsi="Times New Roman"/>
        </w:rPr>
        <w:t>The $47.36 cost per hour is based on the Office of Personnel Management (OPM) General Schedule (GS) hourly rate of</w:t>
      </w:r>
      <w:r w:rsidRPr="00B16111">
        <w:rPr>
          <w:rFonts w:ascii="Times New Roman" w:hAnsi="Times New Roman"/>
          <w:color w:val="000000" w:themeColor="text1"/>
        </w:rPr>
        <w:t xml:space="preserve"> $34.76 for a GS-11, step 1, employee (</w:t>
      </w:r>
      <w:hyperlink r:id="rId8" w:history="1">
        <w:r w:rsidRPr="00B16111">
          <w:rPr>
            <w:rStyle w:val="Hyperlink"/>
            <w:rFonts w:ascii="Times New Roman" w:hAnsi="Times New Roman"/>
          </w:rPr>
          <w:t>Salary Table 2024-RUS</w:t>
        </w:r>
      </w:hyperlink>
      <w:r w:rsidRPr="00B16111">
        <w:rPr>
          <w:rFonts w:ascii="Times New Roman" w:hAnsi="Times New Roman"/>
          <w:color w:val="000000" w:themeColor="text1"/>
        </w:rPr>
        <w:t xml:space="preserve"> for calendar year 2023 for the rest of the U.S.) plus the 36.25% civilian personnel full fringe benefit rate from </w:t>
      </w:r>
      <w:hyperlink r:id="rId9" w:anchor="memoranda-2024">
        <w:r w:rsidRPr="00B16111">
          <w:rPr>
            <w:rStyle w:val="Hyperlink"/>
            <w:rFonts w:ascii="Times New Roman" w:hAnsi="Times New Roman"/>
          </w:rPr>
          <w:t>OMB memorandum M-08-13</w:t>
        </w:r>
      </w:hyperlink>
      <w:r w:rsidRPr="00B16111">
        <w:rPr>
          <w:rFonts w:ascii="Times New Roman" w:hAnsi="Times New Roman"/>
          <w:color w:val="000000" w:themeColor="text1"/>
        </w:rPr>
        <w:t xml:space="preserve"> ($34.76 + $12.60 = $47.36, rounded to the nearest dollar).</w:t>
      </w:r>
      <w:r w:rsidRPr="00F30633" w:rsidR="00F30633">
        <w:t xml:space="preserve"> </w:t>
      </w:r>
      <w:r w:rsidRPr="00F30633" w:rsidR="00F30633">
        <w:rPr>
          <w:rFonts w:ascii="Times New Roman" w:hAnsi="Times New Roman"/>
          <w:color w:val="000000" w:themeColor="text1"/>
        </w:rPr>
        <w:t>There are no direct costs to respondents other than their time to participate in the study.</w:t>
      </w:r>
    </w:p>
    <w:p w:rsidR="002431A2" w:rsidP="000723EC" w14:paraId="6A48785C" w14:textId="77777777"/>
    <w:p w:rsidR="002431A2" w:rsidP="000723EC" w14:paraId="675C9E01" w14:textId="77777777"/>
    <w:p w:rsidR="000723EC" w:rsidP="00F30633" w14:paraId="4AA66A68" w14:textId="1CB85480">
      <w:pPr>
        <w:tabs>
          <w:tab w:val="left" w:pos="360"/>
        </w:tabs>
        <w:spacing w:before="200" w:after="200"/>
      </w:pPr>
      <w:r w:rsidRPr="001E7F44">
        <w:rPr>
          <w:rFonts w:ascii="Times New Roman" w:hAnsi="Times New Roman"/>
          <w:i/>
          <w:iCs/>
          <w:color w:val="1F497D"/>
          <w:szCs w:val="24"/>
        </w:rPr>
        <w:t xml:space="preserve">Table </w:t>
      </w:r>
      <w:r>
        <w:rPr>
          <w:rFonts w:ascii="Times New Roman" w:hAnsi="Times New Roman"/>
          <w:i/>
          <w:iCs/>
          <w:color w:val="1F497D"/>
          <w:szCs w:val="24"/>
        </w:rPr>
        <w:t>4</w:t>
      </w:r>
      <w:r w:rsidRPr="001E7F44">
        <w:rPr>
          <w:rFonts w:ascii="Times New Roman" w:hAnsi="Times New Roman"/>
          <w:i/>
          <w:iCs/>
          <w:color w:val="1F497D"/>
          <w:szCs w:val="24"/>
        </w:rPr>
        <w:t xml:space="preserve"> </w:t>
      </w:r>
      <w:r>
        <w:rPr>
          <w:rFonts w:ascii="Times New Roman" w:hAnsi="Times New Roman"/>
          <w:i/>
          <w:iCs/>
          <w:color w:val="1F497D"/>
          <w:szCs w:val="24"/>
        </w:rPr>
        <w:t>Total</w:t>
      </w:r>
      <w:r w:rsidRPr="001E7F44">
        <w:rPr>
          <w:rFonts w:ascii="Times New Roman" w:hAnsi="Times New Roman"/>
          <w:i/>
          <w:iCs/>
          <w:color w:val="1F497D"/>
          <w:szCs w:val="24"/>
        </w:rPr>
        <w:t xml:space="preserve"> Estimates of Hour Burden</w:t>
      </w:r>
    </w:p>
    <w:tbl>
      <w:tblPr>
        <w:tblW w:w="5000" w:type="pct"/>
        <w:tblCellSpacing w:w="22" w:type="dxa"/>
        <w:tblCellMar>
          <w:left w:w="0" w:type="dxa"/>
          <w:right w:w="0" w:type="dxa"/>
        </w:tblCellMar>
        <w:tblLook w:val="04A0"/>
      </w:tblPr>
      <w:tblGrid>
        <w:gridCol w:w="9360"/>
      </w:tblGrid>
      <w:tr w14:paraId="6DD80DEC" w14:textId="77777777" w:rsidTr="00C35277">
        <w:tblPrEx>
          <w:tblW w:w="5000" w:type="pct"/>
          <w:tblCellSpacing w:w="22" w:type="dxa"/>
          <w:tblCellMar>
            <w:left w:w="0" w:type="dxa"/>
            <w:right w:w="0" w:type="dxa"/>
          </w:tblCellMar>
          <w:tblLook w:val="04A0"/>
        </w:tblPrEx>
        <w:trPr>
          <w:tblCellSpacing w:w="22" w:type="dxa"/>
        </w:trPr>
        <w:tc>
          <w:tcPr>
            <w:tcW w:w="4953" w:type="pct"/>
            <w:tcMar>
              <w:top w:w="15" w:type="dxa"/>
              <w:left w:w="15" w:type="dxa"/>
              <w:bottom w:w="15" w:type="dxa"/>
              <w:right w:w="15" w:type="dxa"/>
            </w:tcMar>
            <w:vAlign w:val="bottom"/>
            <w:hideMark/>
          </w:tcPr>
          <w:tbl>
            <w:tblPr>
              <w:tblW w:w="9202"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40"/>
              <w:gridCol w:w="1172"/>
              <w:gridCol w:w="1334"/>
              <w:gridCol w:w="1334"/>
              <w:gridCol w:w="1334"/>
              <w:gridCol w:w="1178"/>
              <w:gridCol w:w="1110"/>
            </w:tblGrid>
            <w:tr w14:paraId="0C0D0191" w14:textId="77777777" w:rsidTr="0095646E">
              <w:tblPrEx>
                <w:tblW w:w="9202"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rHeight w:val="1443"/>
                <w:tblCellSpacing w:w="0" w:type="dxa"/>
              </w:trPr>
              <w:tc>
                <w:tcPr>
                  <w:tcW w:w="945"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723EC" w:rsidRPr="00915869" w:rsidP="00C35277" w14:paraId="6D4D07B9" w14:textId="77777777">
                  <w:pPr>
                    <w:widowControl w:val="0"/>
                    <w:rPr>
                      <w:b/>
                      <w:bCs/>
                      <w:szCs w:val="22"/>
                    </w:rPr>
                  </w:pPr>
                </w:p>
              </w:tc>
              <w:tc>
                <w:tcPr>
                  <w:tcW w:w="637"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723EC" w:rsidRPr="00915869" w:rsidP="00C35277" w14:paraId="3F2E2C48" w14:textId="77777777">
                  <w:pPr>
                    <w:widowControl w:val="0"/>
                    <w:rPr>
                      <w:b/>
                      <w:bCs/>
                      <w:szCs w:val="22"/>
                    </w:rPr>
                  </w:pPr>
                  <w:r w:rsidRPr="00915869">
                    <w:rPr>
                      <w:b/>
                      <w:bCs/>
                      <w:szCs w:val="22"/>
                    </w:rPr>
                    <w:t>Requested</w:t>
                  </w:r>
                </w:p>
              </w:tc>
              <w:tc>
                <w:tcPr>
                  <w:tcW w:w="725"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723EC" w:rsidRPr="00915869" w:rsidP="00C35277" w14:paraId="6965AB88" w14:textId="77777777">
                  <w:pPr>
                    <w:widowControl w:val="0"/>
                    <w:rPr>
                      <w:b/>
                      <w:bCs/>
                      <w:szCs w:val="22"/>
                    </w:rPr>
                  </w:pPr>
                  <w:r w:rsidRPr="00915869">
                    <w:rPr>
                      <w:b/>
                      <w:bCs/>
                      <w:szCs w:val="22"/>
                    </w:rPr>
                    <w:t>Program Change Due to New Statute</w:t>
                  </w:r>
                </w:p>
              </w:tc>
              <w:tc>
                <w:tcPr>
                  <w:tcW w:w="725"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723EC" w:rsidRPr="00915869" w:rsidP="00C35277" w14:paraId="7C727764" w14:textId="77777777">
                  <w:pPr>
                    <w:widowControl w:val="0"/>
                    <w:rPr>
                      <w:b/>
                      <w:bCs/>
                      <w:szCs w:val="22"/>
                    </w:rPr>
                  </w:pPr>
                  <w:r w:rsidRPr="00915869">
                    <w:rPr>
                      <w:b/>
                      <w:bCs/>
                      <w:szCs w:val="22"/>
                    </w:rPr>
                    <w:t>Program Change Due to Agency Discretion</w:t>
                  </w:r>
                </w:p>
              </w:tc>
              <w:tc>
                <w:tcPr>
                  <w:tcW w:w="725"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723EC" w:rsidRPr="00915869" w:rsidP="00C35277" w14:paraId="4E5B2240" w14:textId="77777777">
                  <w:pPr>
                    <w:widowControl w:val="0"/>
                    <w:rPr>
                      <w:b/>
                      <w:bCs/>
                      <w:szCs w:val="22"/>
                    </w:rPr>
                  </w:pPr>
                  <w:r w:rsidRPr="00915869">
                    <w:rPr>
                      <w:b/>
                      <w:bCs/>
                      <w:szCs w:val="22"/>
                    </w:rPr>
                    <w:t>Change Due to Adjustment in Agency Estimate</w:t>
                  </w:r>
                </w:p>
              </w:tc>
              <w:tc>
                <w:tcPr>
                  <w:tcW w:w="640"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723EC" w:rsidRPr="00915869" w:rsidP="00C35277" w14:paraId="193DD2E2" w14:textId="77777777">
                  <w:pPr>
                    <w:widowControl w:val="0"/>
                    <w:rPr>
                      <w:b/>
                      <w:bCs/>
                      <w:szCs w:val="22"/>
                    </w:rPr>
                  </w:pPr>
                  <w:r w:rsidRPr="00915869">
                    <w:rPr>
                      <w:b/>
                      <w:bCs/>
                      <w:szCs w:val="22"/>
                    </w:rPr>
                    <w:t>Change Due to Potential Violation of the PRA</w:t>
                  </w:r>
                </w:p>
              </w:tc>
              <w:tc>
                <w:tcPr>
                  <w:tcW w:w="6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723EC" w:rsidRPr="00915869" w:rsidP="00C35277" w14:paraId="73CFF593" w14:textId="77777777">
                  <w:pPr>
                    <w:widowControl w:val="0"/>
                    <w:ind w:right="-255"/>
                    <w:rPr>
                      <w:b/>
                      <w:bCs/>
                      <w:szCs w:val="22"/>
                    </w:rPr>
                  </w:pPr>
                  <w:r w:rsidRPr="00915869">
                    <w:rPr>
                      <w:b/>
                      <w:bCs/>
                      <w:szCs w:val="22"/>
                    </w:rPr>
                    <w:t>Previously Approved</w:t>
                  </w:r>
                </w:p>
              </w:tc>
            </w:tr>
            <w:tr w14:paraId="1D5641D6" w14:textId="77777777" w:rsidTr="0095646E">
              <w:tblPrEx>
                <w:tblW w:w="9202" w:type="dxa"/>
                <w:tblCellSpacing w:w="0" w:type="dxa"/>
                <w:shd w:val="clear" w:color="auto" w:fill="EFEFEF"/>
                <w:tblCellMar>
                  <w:left w:w="0" w:type="dxa"/>
                  <w:right w:w="0" w:type="dxa"/>
                </w:tblCellMar>
                <w:tblLook w:val="04A0"/>
              </w:tblPrEx>
              <w:trPr>
                <w:trHeight w:val="847"/>
                <w:tblCellSpacing w:w="0" w:type="dxa"/>
              </w:trPr>
              <w:tc>
                <w:tcPr>
                  <w:tcW w:w="94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6A01C036" w14:textId="77777777">
                  <w:pPr>
                    <w:widowControl w:val="0"/>
                    <w:rPr>
                      <w:szCs w:val="22"/>
                    </w:rPr>
                  </w:pPr>
                  <w:r w:rsidRPr="00915869">
                    <w:rPr>
                      <w:szCs w:val="22"/>
                    </w:rPr>
                    <w:t>Annual Number of Responses for this IC</w:t>
                  </w:r>
                </w:p>
              </w:tc>
              <w:tc>
                <w:tcPr>
                  <w:tcW w:w="63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6037BBB8" w14:textId="77777777">
                  <w:pPr>
                    <w:widowControl w:val="0"/>
                    <w:rPr>
                      <w:szCs w:val="22"/>
                    </w:rPr>
                  </w:pPr>
                  <w:r>
                    <w:rPr>
                      <w:szCs w:val="22"/>
                    </w:rPr>
                    <w:t>5,048</w:t>
                  </w:r>
                </w:p>
              </w:tc>
              <w:tc>
                <w:tcPr>
                  <w:tcW w:w="72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95646E" w:rsidRPr="00915869" w:rsidP="0095646E" w14:paraId="55297575" w14:textId="2148E404">
                  <w:pPr>
                    <w:widowControl w:val="0"/>
                    <w:rPr>
                      <w:szCs w:val="22"/>
                    </w:rPr>
                  </w:pPr>
                  <w:r>
                    <w:rPr>
                      <w:szCs w:val="22"/>
                    </w:rPr>
                    <w:t>0</w:t>
                  </w:r>
                </w:p>
              </w:tc>
              <w:tc>
                <w:tcPr>
                  <w:tcW w:w="72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328BEDC2" w14:textId="29FB3616">
                  <w:pPr>
                    <w:widowControl w:val="0"/>
                    <w:rPr>
                      <w:szCs w:val="22"/>
                    </w:rPr>
                  </w:pPr>
                  <w:r>
                    <w:rPr>
                      <w:szCs w:val="22"/>
                    </w:rPr>
                    <w:t>5,048</w:t>
                  </w:r>
                </w:p>
              </w:tc>
              <w:tc>
                <w:tcPr>
                  <w:tcW w:w="72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3D2D06AA" w14:textId="77777777">
                  <w:pPr>
                    <w:widowControl w:val="0"/>
                    <w:rPr>
                      <w:szCs w:val="22"/>
                    </w:rPr>
                  </w:pPr>
                  <w:r>
                    <w:rPr>
                      <w:szCs w:val="22"/>
                    </w:rPr>
                    <w:t>0</w:t>
                  </w:r>
                </w:p>
              </w:tc>
              <w:tc>
                <w:tcPr>
                  <w:tcW w:w="64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036583C6" w14:textId="77777777">
                  <w:pPr>
                    <w:widowControl w:val="0"/>
                    <w:rPr>
                      <w:szCs w:val="22"/>
                    </w:rPr>
                  </w:pPr>
                  <w:r>
                    <w:rPr>
                      <w:szCs w:val="22"/>
                    </w:rPr>
                    <w:t>0</w:t>
                  </w:r>
                </w:p>
              </w:tc>
              <w:tc>
                <w:tcPr>
                  <w:tcW w:w="6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687CF880" w14:textId="77777777">
                  <w:pPr>
                    <w:widowControl w:val="0"/>
                    <w:rPr>
                      <w:szCs w:val="22"/>
                    </w:rPr>
                  </w:pPr>
                  <w:r>
                    <w:rPr>
                      <w:szCs w:val="22"/>
                    </w:rPr>
                    <w:t>0</w:t>
                  </w:r>
                </w:p>
              </w:tc>
            </w:tr>
            <w:tr w14:paraId="5DF2C2C4" w14:textId="77777777" w:rsidTr="0095646E">
              <w:tblPrEx>
                <w:tblW w:w="9202" w:type="dxa"/>
                <w:tblCellSpacing w:w="0" w:type="dxa"/>
                <w:shd w:val="clear" w:color="auto" w:fill="EFEFEF"/>
                <w:tblCellMar>
                  <w:left w:w="0" w:type="dxa"/>
                  <w:right w:w="0" w:type="dxa"/>
                </w:tblCellMar>
                <w:tblLook w:val="04A0"/>
              </w:tblPrEx>
              <w:trPr>
                <w:trHeight w:val="564"/>
                <w:tblCellSpacing w:w="0" w:type="dxa"/>
              </w:trPr>
              <w:tc>
                <w:tcPr>
                  <w:tcW w:w="94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11286179" w14:textId="77777777">
                  <w:pPr>
                    <w:widowControl w:val="0"/>
                    <w:rPr>
                      <w:szCs w:val="22"/>
                    </w:rPr>
                  </w:pPr>
                  <w:r w:rsidRPr="00915869">
                    <w:rPr>
                      <w:szCs w:val="22"/>
                    </w:rPr>
                    <w:t>Annual IC Time Burden (Hour)</w:t>
                  </w:r>
                </w:p>
              </w:tc>
              <w:tc>
                <w:tcPr>
                  <w:tcW w:w="63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5530114F" w14:textId="2CDCB337">
                  <w:pPr>
                    <w:widowControl w:val="0"/>
                    <w:rPr>
                      <w:szCs w:val="22"/>
                    </w:rPr>
                  </w:pPr>
                  <w:r>
                    <w:rPr>
                      <w:szCs w:val="22"/>
                    </w:rPr>
                    <w:t>2,394</w:t>
                  </w:r>
                </w:p>
              </w:tc>
              <w:tc>
                <w:tcPr>
                  <w:tcW w:w="72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95646E" w:rsidRPr="00915869" w:rsidP="0095646E" w14:paraId="3014DFF0" w14:textId="046039A9">
                  <w:pPr>
                    <w:widowControl w:val="0"/>
                    <w:rPr>
                      <w:szCs w:val="22"/>
                    </w:rPr>
                  </w:pPr>
                  <w:r>
                    <w:rPr>
                      <w:szCs w:val="22"/>
                    </w:rPr>
                    <w:t>0</w:t>
                  </w:r>
                </w:p>
              </w:tc>
              <w:tc>
                <w:tcPr>
                  <w:tcW w:w="72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2BDFC4AB" w14:textId="0BBABE88">
                  <w:pPr>
                    <w:widowControl w:val="0"/>
                    <w:rPr>
                      <w:szCs w:val="22"/>
                    </w:rPr>
                  </w:pPr>
                  <w:r>
                    <w:rPr>
                      <w:szCs w:val="22"/>
                    </w:rPr>
                    <w:t>2,394</w:t>
                  </w:r>
                </w:p>
              </w:tc>
              <w:tc>
                <w:tcPr>
                  <w:tcW w:w="72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42889CBA" w14:textId="77777777">
                  <w:pPr>
                    <w:widowControl w:val="0"/>
                    <w:rPr>
                      <w:szCs w:val="22"/>
                    </w:rPr>
                  </w:pPr>
                  <w:r>
                    <w:rPr>
                      <w:szCs w:val="22"/>
                    </w:rPr>
                    <w:t>0</w:t>
                  </w:r>
                </w:p>
              </w:tc>
              <w:tc>
                <w:tcPr>
                  <w:tcW w:w="64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0DF165CA" w14:textId="77777777">
                  <w:pPr>
                    <w:widowControl w:val="0"/>
                    <w:rPr>
                      <w:szCs w:val="22"/>
                    </w:rPr>
                  </w:pPr>
                  <w:r>
                    <w:rPr>
                      <w:szCs w:val="22"/>
                    </w:rPr>
                    <w:t>0</w:t>
                  </w:r>
                </w:p>
              </w:tc>
              <w:tc>
                <w:tcPr>
                  <w:tcW w:w="6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00DA9E2D" w14:textId="77777777">
                  <w:pPr>
                    <w:widowControl w:val="0"/>
                    <w:rPr>
                      <w:szCs w:val="22"/>
                    </w:rPr>
                  </w:pPr>
                  <w:r>
                    <w:rPr>
                      <w:szCs w:val="22"/>
                    </w:rPr>
                    <w:t>0</w:t>
                  </w:r>
                </w:p>
              </w:tc>
            </w:tr>
            <w:tr w14:paraId="50AB0270" w14:textId="77777777" w:rsidTr="0095646E">
              <w:tblPrEx>
                <w:tblW w:w="9202" w:type="dxa"/>
                <w:tblCellSpacing w:w="0" w:type="dxa"/>
                <w:shd w:val="clear" w:color="auto" w:fill="EFEFEF"/>
                <w:tblCellMar>
                  <w:left w:w="0" w:type="dxa"/>
                  <w:right w:w="0" w:type="dxa"/>
                </w:tblCellMar>
                <w:tblLook w:val="04A0"/>
              </w:tblPrEx>
              <w:trPr>
                <w:trHeight w:val="564"/>
                <w:tblCellSpacing w:w="0" w:type="dxa"/>
              </w:trPr>
              <w:tc>
                <w:tcPr>
                  <w:tcW w:w="94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4526CFAA" w14:textId="77777777">
                  <w:pPr>
                    <w:widowControl w:val="0"/>
                    <w:rPr>
                      <w:szCs w:val="22"/>
                    </w:rPr>
                  </w:pPr>
                  <w:r w:rsidRPr="00915869">
                    <w:rPr>
                      <w:szCs w:val="22"/>
                    </w:rPr>
                    <w:t>Annual IC Cost Burden (Dollars)</w:t>
                  </w:r>
                </w:p>
              </w:tc>
              <w:tc>
                <w:tcPr>
                  <w:tcW w:w="63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7CF998BA" w14:textId="6916C168">
                  <w:pPr>
                    <w:widowControl w:val="0"/>
                    <w:rPr>
                      <w:szCs w:val="22"/>
                    </w:rPr>
                  </w:pPr>
                  <w:r>
                    <w:rPr>
                      <w:szCs w:val="22"/>
                    </w:rPr>
                    <w:t xml:space="preserve"> $113,419</w:t>
                  </w:r>
                </w:p>
              </w:tc>
              <w:tc>
                <w:tcPr>
                  <w:tcW w:w="72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95646E" w:rsidRPr="00915869" w:rsidP="0095646E" w14:paraId="0E650DF6" w14:textId="7A90B174">
                  <w:pPr>
                    <w:widowControl w:val="0"/>
                    <w:rPr>
                      <w:szCs w:val="22"/>
                    </w:rPr>
                  </w:pPr>
                  <w:r>
                    <w:rPr>
                      <w:szCs w:val="22"/>
                    </w:rPr>
                    <w:t>0</w:t>
                  </w:r>
                </w:p>
              </w:tc>
              <w:tc>
                <w:tcPr>
                  <w:tcW w:w="72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55D5498B" w14:textId="33471656">
                  <w:pPr>
                    <w:widowControl w:val="0"/>
                    <w:rPr>
                      <w:szCs w:val="22"/>
                    </w:rPr>
                  </w:pPr>
                  <w:r>
                    <w:rPr>
                      <w:szCs w:val="22"/>
                    </w:rPr>
                    <w:t xml:space="preserve"> $113,419</w:t>
                  </w:r>
                </w:p>
              </w:tc>
              <w:tc>
                <w:tcPr>
                  <w:tcW w:w="72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727335A8" w14:textId="77777777">
                  <w:pPr>
                    <w:widowControl w:val="0"/>
                    <w:rPr>
                      <w:szCs w:val="22"/>
                    </w:rPr>
                  </w:pPr>
                  <w:r>
                    <w:rPr>
                      <w:szCs w:val="22"/>
                    </w:rPr>
                    <w:t>0</w:t>
                  </w:r>
                </w:p>
              </w:tc>
              <w:tc>
                <w:tcPr>
                  <w:tcW w:w="64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48DE57E8" w14:textId="77777777">
                  <w:pPr>
                    <w:widowControl w:val="0"/>
                    <w:rPr>
                      <w:szCs w:val="22"/>
                    </w:rPr>
                  </w:pPr>
                  <w:r>
                    <w:rPr>
                      <w:szCs w:val="22"/>
                    </w:rPr>
                    <w:t>0</w:t>
                  </w:r>
                </w:p>
              </w:tc>
              <w:tc>
                <w:tcPr>
                  <w:tcW w:w="6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95646E" w:rsidRPr="00915869" w:rsidP="0095646E" w14:paraId="14DF2C16" w14:textId="77777777">
                  <w:pPr>
                    <w:widowControl w:val="0"/>
                    <w:rPr>
                      <w:szCs w:val="22"/>
                    </w:rPr>
                  </w:pPr>
                  <w:r>
                    <w:rPr>
                      <w:szCs w:val="22"/>
                    </w:rPr>
                    <w:t>0</w:t>
                  </w:r>
                </w:p>
              </w:tc>
            </w:tr>
          </w:tbl>
          <w:p w:rsidR="000723EC" w:rsidRPr="00915869" w:rsidP="00C35277" w14:paraId="4B89503D" w14:textId="77777777">
            <w:pPr>
              <w:widowControl w:val="0"/>
              <w:rPr>
                <w:szCs w:val="22"/>
              </w:rPr>
            </w:pPr>
          </w:p>
        </w:tc>
      </w:tr>
    </w:tbl>
    <w:p w:rsidR="000723EC" w:rsidP="00B16111" w14:paraId="30D8B58F" w14:textId="77777777"/>
    <w:p w:rsidR="000723EC" w:rsidRPr="0066527F" w:rsidP="000723EC" w14:paraId="04BA01AD" w14:textId="77777777">
      <w:pPr>
        <w:pStyle w:val="Heading2"/>
        <w:numPr>
          <w:ilvl w:val="0"/>
          <w:numId w:val="9"/>
        </w:numPr>
      </w:pPr>
      <w:bookmarkStart w:id="15" w:name="_Toc157357117"/>
      <w:r w:rsidRPr="61B61BCA">
        <w:t>Estimated nonrecurring costs.</w:t>
      </w:r>
      <w:bookmarkEnd w:id="15"/>
    </w:p>
    <w:p w:rsidR="000723EC" w:rsidP="000723EC" w14:paraId="6EDEEB57" w14:textId="77777777">
      <w:pPr>
        <w:pStyle w:val="ListParagraph"/>
        <w:widowControl w:val="0"/>
        <w:tabs>
          <w:tab w:val="left" w:pos="360"/>
          <w:tab w:val="left" w:pos="720"/>
          <w:tab w:val="left" w:pos="1080"/>
        </w:tabs>
        <w:spacing w:after="120"/>
        <w:ind w:left="0"/>
      </w:pPr>
      <w:r w:rsidRPr="00EF7604">
        <w:rPr>
          <w:rFonts w:ascii="Times New Roman" w:hAnsi="Times New Roman"/>
          <w:szCs w:val="24"/>
        </w:rPr>
        <w:t xml:space="preserve">No </w:t>
      </w:r>
      <w:r w:rsidRPr="00EF7604">
        <w:t>total capital and start-up costs, operation and maintenance costs, or purchase of services beyond customary and usual operating costs are required by this information collection.</w:t>
      </w:r>
    </w:p>
    <w:p w:rsidR="000723EC" w:rsidP="000723EC" w14:paraId="78F749DC" w14:textId="77777777">
      <w:pPr>
        <w:pStyle w:val="ListParagraph"/>
        <w:widowControl w:val="0"/>
        <w:tabs>
          <w:tab w:val="left" w:pos="360"/>
          <w:tab w:val="left" w:pos="720"/>
          <w:tab w:val="left" w:pos="1080"/>
        </w:tabs>
        <w:spacing w:after="120"/>
        <w:ind w:left="0"/>
      </w:pPr>
    </w:p>
    <w:p w:rsidR="000723EC" w:rsidRPr="00DE416A" w:rsidP="000723EC" w14:paraId="41D9746F" w14:textId="77777777">
      <w:pPr>
        <w:pStyle w:val="Heading2"/>
        <w:numPr>
          <w:ilvl w:val="0"/>
          <w:numId w:val="9"/>
        </w:numPr>
        <w:rPr>
          <w:szCs w:val="24"/>
        </w:rPr>
      </w:pPr>
      <w:bookmarkStart w:id="16" w:name="_Toc157357118"/>
      <w:r w:rsidRPr="61B61BCA">
        <w:t>Estimated cost to the Government.</w:t>
      </w:r>
      <w:bookmarkEnd w:id="16"/>
      <w:r w:rsidRPr="61B61BCA">
        <w:t xml:space="preserve"> </w:t>
      </w:r>
    </w:p>
    <w:p w:rsidR="000723EC" w:rsidRPr="0066527F" w:rsidP="000723EC" w14:paraId="4E54955F" w14:textId="77777777">
      <w:pPr>
        <w:pStyle w:val="ListParagraph"/>
        <w:widowControl w:val="0"/>
        <w:tabs>
          <w:tab w:val="left" w:pos="360"/>
          <w:tab w:val="left" w:pos="720"/>
          <w:tab w:val="left" w:pos="1080"/>
        </w:tabs>
        <w:spacing w:after="120"/>
        <w:ind w:left="0"/>
        <w:rPr>
          <w:rFonts w:ascii="Times New Roman" w:hAnsi="Times New Roman"/>
          <w:szCs w:val="24"/>
        </w:rPr>
      </w:pPr>
      <w:r w:rsidRPr="0066527F">
        <w:rPr>
          <w:rFonts w:ascii="Times New Roman" w:hAnsi="Times New Roman"/>
          <w:szCs w:val="24"/>
        </w:rPr>
        <w:t>The estimated cost to the Government is shown in the following table. It is estimated that it will take the Government 1 hour(s) to review each response. This estimate was developed by staff involved in the management of current activity.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4"/>
        <w:gridCol w:w="2245"/>
      </w:tblGrid>
      <w:tr w14:paraId="1A3FBF99" w14:textId="77777777" w:rsidTr="00C35277">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003399"/>
            <w:vAlign w:val="center"/>
            <w:hideMark/>
          </w:tcPr>
          <w:p w:rsidR="000723EC" w:rsidRPr="00720179" w:rsidP="00C35277" w14:paraId="1DF34F8E" w14:textId="77777777">
            <w:pPr>
              <w:overflowPunct/>
              <w:autoSpaceDE/>
              <w:autoSpaceDN/>
              <w:adjustRightInd/>
              <w:jc w:val="center"/>
              <w:rPr>
                <w:rFonts w:ascii="Times New Roman" w:hAnsi="Times New Roman"/>
                <w:color w:val="FFFFFF" w:themeColor="background1"/>
                <w:szCs w:val="24"/>
              </w:rPr>
            </w:pPr>
            <w:r w:rsidRPr="00720179">
              <w:rPr>
                <w:rFonts w:ascii="Times New Roman" w:hAnsi="Times New Roman"/>
                <w:color w:val="FFFFFF" w:themeColor="background1"/>
                <w:szCs w:val="24"/>
              </w:rPr>
              <w:t>Estimation of Cost to the Government </w:t>
            </w:r>
          </w:p>
        </w:tc>
      </w:tr>
      <w:tr w14:paraId="5459715C" w14:textId="77777777" w:rsidTr="00C35277">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0723EC" w:rsidRPr="00EF7604" w:rsidP="00C35277" w14:paraId="1AA60F3A" w14:textId="77777777">
            <w:pPr>
              <w:overflowPunct/>
              <w:autoSpaceDE/>
              <w:autoSpaceDN/>
              <w:adjustRightInd/>
              <w:rPr>
                <w:rFonts w:ascii="Times New Roman" w:hAnsi="Times New Roman"/>
                <w:szCs w:val="24"/>
              </w:rPr>
            </w:pPr>
            <w:r w:rsidRPr="00EF7604">
              <w:rPr>
                <w:rFonts w:ascii="Times New Roman" w:hAnsi="Times New Roman"/>
                <w:color w:val="201F1E"/>
                <w:szCs w:val="24"/>
              </w:rPr>
              <w:t>Number of responses </w:t>
            </w:r>
          </w:p>
        </w:tc>
        <w:tc>
          <w:tcPr>
            <w:tcW w:w="2250" w:type="dxa"/>
            <w:tcBorders>
              <w:top w:val="nil"/>
              <w:left w:val="nil"/>
              <w:bottom w:val="single" w:sz="6" w:space="0" w:color="auto"/>
              <w:right w:val="single" w:sz="6" w:space="0" w:color="auto"/>
            </w:tcBorders>
            <w:shd w:val="clear" w:color="auto" w:fill="FFFFFF"/>
            <w:vAlign w:val="center"/>
            <w:hideMark/>
          </w:tcPr>
          <w:p w:rsidR="000723EC" w:rsidRPr="00EF7604" w:rsidP="00C35277" w14:paraId="6FA2D1D9" w14:textId="77777777">
            <w:pPr>
              <w:overflowPunct/>
              <w:autoSpaceDE/>
              <w:autoSpaceDN/>
              <w:adjustRightInd/>
              <w:rPr>
                <w:rFonts w:ascii="Times New Roman" w:hAnsi="Times New Roman"/>
                <w:szCs w:val="24"/>
              </w:rPr>
            </w:pPr>
            <w:r>
              <w:rPr>
                <w:rFonts w:ascii="Times New Roman" w:hAnsi="Times New Roman"/>
                <w:color w:val="201F1E"/>
                <w:szCs w:val="24"/>
              </w:rPr>
              <w:t>5,048</w:t>
            </w:r>
          </w:p>
        </w:tc>
      </w:tr>
      <w:tr w14:paraId="054C7FBC" w14:textId="77777777" w:rsidTr="00C35277">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0723EC" w:rsidRPr="00EF7604" w:rsidP="00C35277" w14:paraId="065EB642" w14:textId="77777777">
            <w:pPr>
              <w:overflowPunct/>
              <w:autoSpaceDE/>
              <w:autoSpaceDN/>
              <w:adjustRightInd/>
              <w:rPr>
                <w:rFonts w:ascii="Times New Roman" w:hAnsi="Times New Roman"/>
                <w:szCs w:val="24"/>
              </w:rPr>
            </w:pPr>
            <w:r w:rsidRPr="00EF7604">
              <w:rPr>
                <w:rFonts w:ascii="Times New Roman" w:hAnsi="Times New Roman"/>
                <w:color w:val="201F1E"/>
                <w:szCs w:val="24"/>
              </w:rPr>
              <w:t>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0723EC" w:rsidRPr="00EF7604" w:rsidP="00C35277" w14:paraId="7A82C1AA" w14:textId="77777777">
            <w:pPr>
              <w:overflowPunct/>
              <w:autoSpaceDE/>
              <w:autoSpaceDN/>
              <w:adjustRightInd/>
              <w:rPr>
                <w:rFonts w:ascii="Times New Roman" w:hAnsi="Times New Roman"/>
                <w:szCs w:val="24"/>
              </w:rPr>
            </w:pPr>
            <w:r w:rsidRPr="00EF7604">
              <w:rPr>
                <w:rFonts w:ascii="Times New Roman" w:hAnsi="Times New Roman"/>
                <w:color w:val="201F1E"/>
                <w:szCs w:val="24"/>
              </w:rPr>
              <w:t>1</w:t>
            </w:r>
          </w:p>
        </w:tc>
      </w:tr>
      <w:tr w14:paraId="2B3BA971" w14:textId="77777777" w:rsidTr="00C35277">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0723EC" w:rsidRPr="00EF7604" w:rsidP="00C35277" w14:paraId="62CD1534" w14:textId="77777777">
            <w:pPr>
              <w:overflowPunct/>
              <w:autoSpaceDE/>
              <w:autoSpaceDN/>
              <w:adjustRightInd/>
              <w:rPr>
                <w:rFonts w:ascii="Times New Roman" w:hAnsi="Times New Roman"/>
                <w:szCs w:val="24"/>
              </w:rPr>
            </w:pPr>
            <w:r w:rsidRPr="00EF7604">
              <w:rPr>
                <w:rFonts w:ascii="Times New Roman" w:hAnsi="Times New Roman"/>
                <w:color w:val="201F1E"/>
                <w:szCs w:val="24"/>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0723EC" w:rsidRPr="00EF7604" w:rsidP="00C35277" w14:paraId="70B357C9" w14:textId="77777777">
            <w:pPr>
              <w:overflowPunct/>
              <w:autoSpaceDE/>
              <w:autoSpaceDN/>
              <w:adjustRightInd/>
              <w:rPr>
                <w:rFonts w:ascii="Times New Roman" w:hAnsi="Times New Roman"/>
                <w:szCs w:val="24"/>
              </w:rPr>
            </w:pPr>
            <w:r>
              <w:rPr>
                <w:rFonts w:ascii="Times New Roman" w:hAnsi="Times New Roman"/>
                <w:color w:val="201F1E"/>
                <w:szCs w:val="24"/>
              </w:rPr>
              <w:t>5,048</w:t>
            </w:r>
          </w:p>
        </w:tc>
      </w:tr>
      <w:tr w14:paraId="0C4FA330" w14:textId="77777777" w:rsidTr="00C35277">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0723EC" w:rsidRPr="00EF7604" w:rsidP="00C35277" w14:paraId="2AE00B6D" w14:textId="77777777">
            <w:pPr>
              <w:overflowPunct/>
              <w:autoSpaceDE/>
              <w:autoSpaceDN/>
              <w:adjustRightInd/>
              <w:rPr>
                <w:rFonts w:ascii="Times New Roman" w:hAnsi="Times New Roman"/>
                <w:szCs w:val="24"/>
              </w:rPr>
            </w:pPr>
            <w:r w:rsidRPr="00EF7604">
              <w:rPr>
                <w:rFonts w:ascii="Times New Roman" w:hAnsi="Times New Roman"/>
                <w:color w:val="201F1E"/>
                <w:szCs w:val="24"/>
              </w:rPr>
              <w:t>Cost per hour (hourly wage) </w:t>
            </w:r>
          </w:p>
        </w:tc>
        <w:tc>
          <w:tcPr>
            <w:tcW w:w="2250" w:type="dxa"/>
            <w:tcBorders>
              <w:top w:val="nil"/>
              <w:left w:val="nil"/>
              <w:bottom w:val="single" w:sz="6" w:space="0" w:color="auto"/>
              <w:right w:val="single" w:sz="6" w:space="0" w:color="auto"/>
            </w:tcBorders>
            <w:shd w:val="clear" w:color="auto" w:fill="FFFFFF"/>
            <w:vAlign w:val="center"/>
            <w:hideMark/>
          </w:tcPr>
          <w:p w:rsidR="000723EC" w:rsidRPr="00EF7604" w:rsidP="00C35277" w14:paraId="702310FD" w14:textId="327A3590">
            <w:pPr>
              <w:overflowPunct/>
              <w:autoSpaceDE/>
              <w:autoSpaceDN/>
              <w:adjustRightInd/>
              <w:rPr>
                <w:rFonts w:ascii="Times New Roman" w:hAnsi="Times New Roman"/>
                <w:szCs w:val="24"/>
              </w:rPr>
            </w:pPr>
            <w:r w:rsidRPr="00EF7604">
              <w:rPr>
                <w:rFonts w:ascii="Times New Roman" w:hAnsi="Times New Roman"/>
                <w:color w:val="201F1E"/>
                <w:szCs w:val="24"/>
              </w:rPr>
              <w:t>$</w:t>
            </w:r>
            <w:r w:rsidR="006F1DCD">
              <w:rPr>
                <w:rFonts w:ascii="Times New Roman" w:hAnsi="Times New Roman"/>
                <w:color w:val="201F1E"/>
                <w:szCs w:val="24"/>
              </w:rPr>
              <w:t>52.24</w:t>
            </w:r>
          </w:p>
        </w:tc>
      </w:tr>
      <w:tr w14:paraId="1C181203" w14:textId="77777777" w:rsidTr="00C35277">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0723EC" w:rsidRPr="00EF7604" w:rsidP="00C35277" w14:paraId="663423DB" w14:textId="77777777">
            <w:pPr>
              <w:overflowPunct/>
              <w:autoSpaceDE/>
              <w:autoSpaceDN/>
              <w:adjustRightInd/>
              <w:rPr>
                <w:rFonts w:ascii="Times New Roman" w:hAnsi="Times New Roman"/>
                <w:szCs w:val="24"/>
              </w:rPr>
            </w:pPr>
            <w:r w:rsidRPr="00EF7604">
              <w:rPr>
                <w:rFonts w:ascii="Times New Roman" w:hAnsi="Times New Roman"/>
                <w:color w:val="201F1E"/>
                <w:szCs w:val="24"/>
              </w:rPr>
              <w:t>Annual burden (estimated hours multiplied by cost per hour) </w:t>
            </w:r>
          </w:p>
        </w:tc>
        <w:tc>
          <w:tcPr>
            <w:tcW w:w="2250" w:type="dxa"/>
            <w:tcBorders>
              <w:top w:val="nil"/>
              <w:left w:val="nil"/>
              <w:bottom w:val="single" w:sz="6" w:space="0" w:color="auto"/>
              <w:right w:val="single" w:sz="6" w:space="0" w:color="auto"/>
            </w:tcBorders>
            <w:shd w:val="clear" w:color="auto" w:fill="FFFFFF"/>
            <w:vAlign w:val="center"/>
            <w:hideMark/>
          </w:tcPr>
          <w:p w:rsidR="000723EC" w:rsidRPr="00EF7604" w:rsidP="00C35277" w14:paraId="795063F8" w14:textId="2599DB07">
            <w:pPr>
              <w:overflowPunct/>
              <w:autoSpaceDE/>
              <w:autoSpaceDN/>
              <w:adjustRightInd/>
              <w:rPr>
                <w:rFonts w:ascii="Times New Roman" w:hAnsi="Times New Roman"/>
                <w:szCs w:val="24"/>
              </w:rPr>
            </w:pPr>
            <w:r w:rsidRPr="00EF7604">
              <w:rPr>
                <w:rFonts w:ascii="Times New Roman" w:hAnsi="Times New Roman"/>
                <w:color w:val="201F1E"/>
                <w:szCs w:val="24"/>
              </w:rPr>
              <w:t>$</w:t>
            </w:r>
            <w:r w:rsidR="000F7968">
              <w:rPr>
                <w:rFonts w:ascii="Times New Roman" w:hAnsi="Times New Roman"/>
                <w:color w:val="201F1E"/>
                <w:szCs w:val="24"/>
              </w:rPr>
              <w:t>263</w:t>
            </w:r>
            <w:r w:rsidR="00C179D8">
              <w:rPr>
                <w:rFonts w:ascii="Times New Roman" w:hAnsi="Times New Roman"/>
                <w:color w:val="201F1E"/>
                <w:szCs w:val="24"/>
              </w:rPr>
              <w:t>,</w:t>
            </w:r>
            <w:r w:rsidR="000F7968">
              <w:rPr>
                <w:rFonts w:ascii="Times New Roman" w:hAnsi="Times New Roman"/>
                <w:color w:val="201F1E"/>
                <w:szCs w:val="24"/>
              </w:rPr>
              <w:t>70</w:t>
            </w:r>
            <w:r w:rsidR="00432B2B">
              <w:rPr>
                <w:rFonts w:ascii="Times New Roman" w:hAnsi="Times New Roman"/>
                <w:color w:val="201F1E"/>
                <w:szCs w:val="24"/>
              </w:rPr>
              <w:t>8 (rounded)</w:t>
            </w:r>
          </w:p>
        </w:tc>
      </w:tr>
    </w:tbl>
    <w:p w:rsidR="000723EC" w:rsidRPr="00EF7604" w:rsidP="000723EC" w14:paraId="6277CCBD" w14:textId="77777777">
      <w:pPr>
        <w:shd w:val="clear" w:color="auto" w:fill="FFFFFF"/>
        <w:overflowPunct/>
        <w:autoSpaceDE/>
        <w:autoSpaceDN/>
        <w:adjustRightInd/>
        <w:rPr>
          <w:rFonts w:ascii="Segoe UI" w:hAnsi="Segoe UI" w:cs="Segoe UI"/>
          <w:sz w:val="18"/>
          <w:szCs w:val="18"/>
        </w:rPr>
      </w:pPr>
      <w:r w:rsidRPr="00EF7604">
        <w:rPr>
          <w:rFonts w:ascii="Times New Roman" w:hAnsi="Times New Roman"/>
          <w:color w:val="201F1E"/>
          <w:szCs w:val="24"/>
        </w:rPr>
        <w:t>  </w:t>
      </w:r>
    </w:p>
    <w:p w:rsidR="006F1DCD" w:rsidP="006F1DCD" w14:paraId="1CED4D18" w14:textId="2AB8A31D">
      <w:pPr>
        <w:pStyle w:val="xmsonormal"/>
        <w:shd w:val="clear" w:color="auto" w:fill="FFFFFF" w:themeFill="background1"/>
        <w:spacing w:before="0" w:beforeAutospacing="0" w:after="0" w:afterAutospacing="0"/>
        <w:rPr>
          <w:color w:val="201F1E"/>
          <w:bdr w:val="none" w:sz="0" w:space="0" w:color="auto" w:frame="1"/>
        </w:rPr>
      </w:pPr>
      <w:r w:rsidRPr="00EF7604">
        <w:rPr>
          <w:b/>
          <w:bCs/>
          <w:color w:val="201F1E"/>
        </w:rPr>
        <w:t>Note:</w:t>
      </w:r>
      <w:r w:rsidRPr="006F1DCD">
        <w:rPr>
          <w:color w:val="201F1E"/>
          <w:bdr w:val="none" w:sz="0" w:space="0" w:color="auto" w:frame="1"/>
        </w:rPr>
        <w:t xml:space="preserve"> </w:t>
      </w:r>
      <w:r w:rsidRPr="0EEECE9C">
        <w:rPr>
          <w:color w:val="201F1E"/>
          <w:bdr w:val="none" w:sz="0" w:space="0" w:color="auto" w:frame="1"/>
        </w:rPr>
        <w:t>The cost per hour is based on the average of eight 202</w:t>
      </w:r>
      <w:r>
        <w:rPr>
          <w:color w:val="201F1E"/>
          <w:bdr w:val="none" w:sz="0" w:space="0" w:color="auto" w:frame="1"/>
        </w:rPr>
        <w:t>4</w:t>
      </w:r>
      <w:r w:rsidRPr="0EEECE9C">
        <w:rPr>
          <w:color w:val="201F1E"/>
          <w:bdr w:val="none" w:sz="0" w:space="0" w:color="auto" w:frame="1"/>
        </w:rPr>
        <w:t xml:space="preserve"> OPM GS hourly rates (base + locality) for a GS-11, step 1 employee living in our eight regions of operation, plus the 36.25% civilian personnel full fringe benefit rate from OMB memorandum M-08-13. The average cost per hour is $</w:t>
      </w:r>
      <w:r>
        <w:rPr>
          <w:color w:val="201F1E"/>
          <w:bdr w:val="none" w:sz="0" w:space="0" w:color="auto" w:frame="1"/>
        </w:rPr>
        <w:t>38.34</w:t>
      </w:r>
      <w:r w:rsidRPr="0EEECE9C">
        <w:rPr>
          <w:color w:val="201F1E"/>
          <w:bdr w:val="none" w:sz="0" w:space="0" w:color="auto" w:frame="1"/>
        </w:rPr>
        <w:t xml:space="preserve"> (average hourly rate) + $13.</w:t>
      </w:r>
      <w:r>
        <w:rPr>
          <w:color w:val="201F1E"/>
          <w:bdr w:val="none" w:sz="0" w:space="0" w:color="auto" w:frame="1"/>
        </w:rPr>
        <w:t xml:space="preserve">90 </w:t>
      </w:r>
      <w:r w:rsidRPr="0EEECE9C">
        <w:rPr>
          <w:color w:val="201F1E"/>
          <w:bdr w:val="none" w:sz="0" w:space="0" w:color="auto" w:frame="1"/>
        </w:rPr>
        <w:t>($</w:t>
      </w:r>
      <w:r>
        <w:rPr>
          <w:color w:val="201F1E"/>
          <w:bdr w:val="none" w:sz="0" w:space="0" w:color="auto" w:frame="1"/>
        </w:rPr>
        <w:t>38.34</w:t>
      </w:r>
      <w:r w:rsidRPr="0EEECE9C">
        <w:rPr>
          <w:color w:val="201F1E"/>
          <w:bdr w:val="none" w:sz="0" w:space="0" w:color="auto" w:frame="1"/>
        </w:rPr>
        <w:t xml:space="preserve"> average hourly rate x 36.25% fringe) = $</w:t>
      </w:r>
      <w:r>
        <w:rPr>
          <w:color w:val="201F1E"/>
          <w:bdr w:val="none" w:sz="0" w:space="0" w:color="auto" w:frame="1"/>
        </w:rPr>
        <w:t>52.24</w:t>
      </w:r>
      <w:r w:rsidRPr="0EEECE9C">
        <w:rPr>
          <w:color w:val="201F1E"/>
          <w:bdr w:val="none" w:sz="0" w:space="0" w:color="auto" w:frame="1"/>
        </w:rPr>
        <w:t>/hour (rounded to the nearest penny).</w:t>
      </w:r>
    </w:p>
    <w:p w:rsidR="006F1DCD" w:rsidP="006F1DCD" w14:paraId="56B3608B" w14:textId="77777777">
      <w:pPr>
        <w:pStyle w:val="xmsonormal"/>
        <w:shd w:val="clear" w:color="auto" w:fill="FFFFFF" w:themeFill="background1"/>
        <w:spacing w:before="0" w:beforeAutospacing="0" w:after="0" w:afterAutospacing="0"/>
        <w:rPr>
          <w:color w:val="201F1E"/>
          <w:bdr w:val="none" w:sz="0" w:space="0" w:color="auto" w:frame="1"/>
        </w:rPr>
      </w:pPr>
    </w:p>
    <w:p w:rsidR="006F1DCD" w:rsidRPr="0070112F" w:rsidP="006F1DCD" w14:paraId="3A8B91A2" w14:textId="77777777">
      <w:pPr>
        <w:pStyle w:val="xmsonormal"/>
        <w:shd w:val="clear" w:color="auto" w:fill="FFFFFF" w:themeFill="background1"/>
        <w:spacing w:before="0" w:beforeAutospacing="0" w:after="0" w:afterAutospacing="0"/>
      </w:pPr>
      <w:r>
        <w:rPr>
          <w:color w:val="201F1E"/>
          <w:bdr w:val="none" w:sz="0" w:space="0" w:color="auto" w:frame="1"/>
        </w:rPr>
        <w:t xml:space="preserve">The eight regions of operation and cities used are West (Sacramento - $38.44), Mountain (Denver - $38.65), North Central (Des Moines, IA - $35.02), South Central (Houston - $40.09), Midwest (Chicago - $38.81), Southeast (Atlanta - $36.74), Mid-Atlantic (Washington, DC - $39.66), and Northeast (Boston - $39.27). The average is $38.34 ($306.68/8). </w:t>
      </w:r>
    </w:p>
    <w:p w:rsidR="000723EC" w:rsidRPr="00956B81" w:rsidP="000723EC" w14:paraId="0BC3C29D" w14:textId="77777777">
      <w:pPr>
        <w:shd w:val="clear" w:color="auto" w:fill="FFFFFF"/>
        <w:overflowPunct/>
        <w:autoSpaceDE/>
        <w:autoSpaceDN/>
        <w:adjustRightInd/>
        <w:rPr>
          <w:rFonts w:ascii="Times New Roman" w:hAnsi="Times New Roman"/>
          <w:szCs w:val="24"/>
        </w:rPr>
      </w:pPr>
    </w:p>
    <w:p w:rsidR="000723EC" w:rsidRPr="00DE416A" w:rsidP="000723EC" w14:paraId="700DC2AB" w14:textId="77777777">
      <w:pPr>
        <w:pStyle w:val="Heading2"/>
        <w:numPr>
          <w:ilvl w:val="0"/>
          <w:numId w:val="9"/>
        </w:numPr>
        <w:rPr>
          <w:szCs w:val="24"/>
        </w:rPr>
      </w:pPr>
      <w:bookmarkStart w:id="17" w:name="_Toc157357119"/>
      <w:r w:rsidRPr="61B61BCA">
        <w:t>Reasons for changes.</w:t>
      </w:r>
      <w:bookmarkEnd w:id="17"/>
      <w:r w:rsidRPr="61B61BCA">
        <w:t xml:space="preserve"> </w:t>
      </w:r>
    </w:p>
    <w:p w:rsidR="000723EC" w:rsidRPr="001E0975" w:rsidP="000723EC" w14:paraId="5AF21ED1" w14:textId="3D798777">
      <w:pPr>
        <w:pStyle w:val="ListParagraph"/>
        <w:widowControl w:val="0"/>
        <w:tabs>
          <w:tab w:val="left" w:pos="360"/>
          <w:tab w:val="left" w:pos="720"/>
          <w:tab w:val="left" w:pos="1080"/>
        </w:tabs>
        <w:ind w:left="0"/>
        <w:rPr>
          <w:rFonts w:eastAsia="Calibri"/>
        </w:rPr>
      </w:pPr>
      <w:r w:rsidRPr="004A7E0A">
        <w:rPr>
          <w:rFonts w:eastAsia="Calibri"/>
        </w:rPr>
        <w:t xml:space="preserve">The information collection is a necessary program change in response to the COVID-19 pandemic to evaluate how participation in AmeriCorps Seniors promotes healthy aging among its older adult volunteers and how the program effectively responded to a public health emergency to address shifting community needs while maintaining the benefits to the volunteers </w:t>
      </w:r>
      <w:r w:rsidRPr="004A7E0A">
        <w:rPr>
          <w:rFonts w:eastAsia="Calibri"/>
        </w:rPr>
        <w:t>who serve these communities.</w:t>
      </w:r>
    </w:p>
    <w:p w:rsidR="000723EC" w:rsidRPr="001E0975" w:rsidP="000723EC" w14:paraId="15952C24" w14:textId="77777777">
      <w:pPr>
        <w:pStyle w:val="ListParagraph"/>
        <w:widowControl w:val="0"/>
        <w:tabs>
          <w:tab w:val="left" w:pos="360"/>
          <w:tab w:val="left" w:pos="720"/>
          <w:tab w:val="left" w:pos="1080"/>
        </w:tabs>
        <w:ind w:left="0"/>
        <w:rPr>
          <w:rFonts w:ascii="Times New Roman" w:hAnsi="Times New Roman"/>
          <w:szCs w:val="24"/>
        </w:rPr>
      </w:pPr>
    </w:p>
    <w:p w:rsidR="000723EC" w:rsidRPr="00DE416A" w:rsidP="000723EC" w14:paraId="16CB305B" w14:textId="77777777">
      <w:pPr>
        <w:pStyle w:val="Heading2"/>
        <w:numPr>
          <w:ilvl w:val="0"/>
          <w:numId w:val="9"/>
        </w:numPr>
      </w:pPr>
      <w:bookmarkStart w:id="18" w:name="_Toc157357120"/>
      <w:r w:rsidRPr="0066527F">
        <w:t>Publicizing Results.</w:t>
      </w:r>
      <w:bookmarkEnd w:id="18"/>
      <w:r w:rsidRPr="0066527F">
        <w:t xml:space="preserve"> </w:t>
      </w:r>
    </w:p>
    <w:p w:rsidR="000723EC" w:rsidRPr="00920E30" w:rsidP="000723EC" w14:paraId="0C0ACD48" w14:textId="77777777">
      <w:pPr>
        <w:rPr>
          <w:rFonts w:ascii="Cambria" w:hAnsi="Cambria"/>
          <w:b/>
          <w:szCs w:val="24"/>
        </w:rPr>
      </w:pPr>
      <w:r w:rsidRPr="00920E30">
        <w:rPr>
          <w:rFonts w:ascii="Cambria" w:hAnsi="Cambria"/>
          <w:b/>
          <w:szCs w:val="24"/>
        </w:rPr>
        <w:t>Time Schedule</w:t>
      </w:r>
    </w:p>
    <w:p w:rsidR="000723EC" w:rsidP="004A7E0A" w14:paraId="50D5CD99" w14:textId="4EE2B487">
      <w:r w:rsidRPr="00920E30">
        <w:t xml:space="preserve">The </w:t>
      </w:r>
      <w:r>
        <w:t>information collection will occur</w:t>
      </w:r>
      <w:r w:rsidRPr="00920E30">
        <w:t xml:space="preserve"> </w:t>
      </w:r>
      <w:r>
        <w:t>once OMB is approved for data collection</w:t>
      </w:r>
      <w:r w:rsidRPr="00920E30">
        <w:t xml:space="preserve">. Figure 1 shows the </w:t>
      </w:r>
      <w:r>
        <w:t xml:space="preserve">time schedule from survey administration, data analysis and reporting. </w:t>
      </w:r>
      <w:r>
        <w:rPr>
          <w:rFonts w:ascii="Times New Roman" w:hAnsi="Times New Roman"/>
        </w:rPr>
        <w:t xml:space="preserve">The information collection are surveys to volunteers, caregivers, </w:t>
      </w:r>
      <w:r>
        <w:rPr>
          <w:rFonts w:ascii="Times New Roman" w:hAnsi="Times New Roman"/>
        </w:rPr>
        <w:t>clients</w:t>
      </w:r>
      <w:r>
        <w:rPr>
          <w:rFonts w:ascii="Times New Roman" w:hAnsi="Times New Roman"/>
        </w:rPr>
        <w:t xml:space="preserve"> and station staff. Grantees will participate in focus groups. A sample of grantees, station staff, and volunteers from the SDP program will participate in interviews. The timeline for the data collection occurs from June 2024 through November 2024, following by analysis of the data then dissemination. </w:t>
      </w:r>
      <w:r w:rsidRPr="0EEECE9C">
        <w:rPr>
          <w:rFonts w:ascii="Times New Roman" w:hAnsi="Times New Roman"/>
        </w:rPr>
        <w:t xml:space="preserve"> </w:t>
      </w:r>
      <w:bookmarkStart w:id="19" w:name="_Hlk156558014"/>
    </w:p>
    <w:p w:rsidR="000723EC" w:rsidRPr="00700392" w:rsidP="000723EC" w14:paraId="353D5687" w14:textId="77777777">
      <w:pPr>
        <w:spacing w:before="240"/>
        <w:rPr>
          <w:b/>
          <w:bCs/>
        </w:rPr>
      </w:pPr>
      <w:r w:rsidRPr="00700392">
        <w:rPr>
          <w:b/>
          <w:bCs/>
        </w:rPr>
        <w:t>Figure 1: Project Schedule</w:t>
      </w:r>
    </w:p>
    <w:p w:rsidR="000723EC" w:rsidP="000723EC" w14:paraId="0D2D3AC2" w14:textId="77777777">
      <w:bookmarkStart w:id="20" w:name="_Hlk156860896"/>
      <w:r>
        <w:rPr>
          <w:noProof/>
        </w:rPr>
        <w:drawing>
          <wp:inline distT="0" distB="0" distL="0" distR="0">
            <wp:extent cx="6492240" cy="2847975"/>
            <wp:effectExtent l="0" t="19050" r="41910" b="2857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bookmarkEnd w:id="19"/>
    <w:bookmarkEnd w:id="20"/>
    <w:p w:rsidR="000723EC" w:rsidRPr="00920E30" w:rsidP="000723EC" w14:paraId="1B33E36B" w14:textId="77777777">
      <w:pPr>
        <w:rPr>
          <w:rFonts w:ascii="Times New Roman" w:hAnsi="Times New Roman"/>
          <w:szCs w:val="24"/>
        </w:rPr>
      </w:pPr>
    </w:p>
    <w:p w:rsidR="000723EC" w:rsidRPr="00920E30" w:rsidP="000723EC" w14:paraId="30A84987" w14:textId="77777777">
      <w:pPr>
        <w:ind w:right="720"/>
        <w:rPr>
          <w:rFonts w:ascii="Cambria" w:hAnsi="Cambria"/>
          <w:b/>
          <w:szCs w:val="24"/>
        </w:rPr>
      </w:pPr>
      <w:r w:rsidRPr="00920E30">
        <w:rPr>
          <w:rFonts w:ascii="Cambria" w:hAnsi="Cambria"/>
          <w:b/>
          <w:szCs w:val="24"/>
        </w:rPr>
        <w:t>Publication Plan</w:t>
      </w:r>
    </w:p>
    <w:p w:rsidR="000723EC" w:rsidRPr="00675770" w:rsidP="000723EC" w14:paraId="431988B9" w14:textId="77777777">
      <w:pPr>
        <w:spacing w:after="120"/>
        <w:ind w:right="720"/>
        <w:rPr>
          <w:rFonts w:ascii="Times New Roman" w:hAnsi="Times New Roman"/>
          <w:szCs w:val="24"/>
        </w:rPr>
      </w:pPr>
      <w:r>
        <w:t xml:space="preserve">AmeriCorps will disseminate the findings through issue briefs, reports, and AmeriCorps-sponsored webinars, and professional associations presentations (e.g., American Society on Aging). </w:t>
      </w:r>
    </w:p>
    <w:p w:rsidR="000723EC" w:rsidRPr="00920E30" w:rsidP="000723EC" w14:paraId="459F0264" w14:textId="77777777">
      <w:pPr>
        <w:spacing w:after="120"/>
        <w:ind w:right="720"/>
      </w:pPr>
      <w:r>
        <w:t>JBS research staff will</w:t>
      </w:r>
      <w:r w:rsidRPr="00920E30">
        <w:t xml:space="preserve"> analyze the data and provide AmeriCorps </w:t>
      </w:r>
      <w:r>
        <w:t xml:space="preserve">with </w:t>
      </w:r>
      <w:r w:rsidRPr="00920E30">
        <w:t xml:space="preserve">a </w:t>
      </w:r>
      <w:r>
        <w:t xml:space="preserve">comprehensive evaluation </w:t>
      </w:r>
      <w:r w:rsidRPr="00920E30">
        <w:t xml:space="preserve">report detailing the steps taken to conduct the evaluation and </w:t>
      </w:r>
      <w:r>
        <w:t>present</w:t>
      </w:r>
      <w:r w:rsidRPr="00920E30">
        <w:t xml:space="preserve"> the results; an emphasis will be made on the strengths and limitations of the data and corresponding analyses to ensure appropriate use of results. The report may be in the form of manuscripts intended for academic peer-reviewed journals. The evaluator will provide supporting materials that will include data files and a user’s guide for future research. </w:t>
      </w:r>
    </w:p>
    <w:p w:rsidR="000723EC" w:rsidRPr="00920E30" w:rsidP="000723EC" w14:paraId="002B805D" w14:textId="77777777">
      <w:pPr>
        <w:ind w:right="720"/>
        <w:rPr>
          <w:rFonts w:ascii="Cambria" w:hAnsi="Cambria"/>
          <w:b/>
          <w:szCs w:val="24"/>
        </w:rPr>
      </w:pPr>
      <w:r w:rsidRPr="00920E30">
        <w:rPr>
          <w:rFonts w:ascii="Cambria" w:hAnsi="Cambria"/>
          <w:b/>
          <w:szCs w:val="24"/>
        </w:rPr>
        <w:t>Analysis</w:t>
      </w:r>
    </w:p>
    <w:p w:rsidR="000723EC" w:rsidRPr="00920E30" w:rsidP="000723EC" w14:paraId="1FE80E95" w14:textId="77777777">
      <w:pPr>
        <w:tabs>
          <w:tab w:val="left" w:pos="360"/>
        </w:tabs>
        <w:spacing w:after="120"/>
        <w:ind w:right="720"/>
        <w:rPr>
          <w:rFonts w:ascii="Times New Roman" w:hAnsi="Times New Roman"/>
          <w:szCs w:val="24"/>
        </w:rPr>
      </w:pPr>
      <w:r w:rsidRPr="00920E30">
        <w:rPr>
          <w:rFonts w:ascii="Times New Roman" w:hAnsi="Times New Roman"/>
          <w:szCs w:val="24"/>
        </w:rPr>
        <w:t xml:space="preserve">Depending on the research questions, </w:t>
      </w:r>
      <w:r>
        <w:rPr>
          <w:rFonts w:ascii="Times New Roman" w:hAnsi="Times New Roman"/>
          <w:szCs w:val="24"/>
        </w:rPr>
        <w:t>o</w:t>
      </w:r>
      <w:r w:rsidRPr="00920E30">
        <w:rPr>
          <w:rFonts w:ascii="Times New Roman" w:hAnsi="Times New Roman"/>
          <w:szCs w:val="24"/>
        </w:rPr>
        <w:t xml:space="preserve">ur approach for the data analysis will include descriptive analysis, </w:t>
      </w:r>
      <w:r>
        <w:rPr>
          <w:rFonts w:ascii="Times New Roman" w:hAnsi="Times New Roman"/>
          <w:szCs w:val="24"/>
        </w:rPr>
        <w:t xml:space="preserve">multivariate regression </w:t>
      </w:r>
      <w:r w:rsidRPr="00920E30">
        <w:rPr>
          <w:rFonts w:ascii="Times New Roman" w:hAnsi="Times New Roman"/>
          <w:szCs w:val="24"/>
        </w:rPr>
        <w:t>analysis, and thematic analysis</w:t>
      </w:r>
      <w:r>
        <w:rPr>
          <w:rFonts w:ascii="Times New Roman" w:hAnsi="Times New Roman"/>
          <w:szCs w:val="24"/>
        </w:rPr>
        <w:t xml:space="preserve"> for qualitative focus groups and interview data</w:t>
      </w:r>
      <w:r w:rsidRPr="00920E30">
        <w:rPr>
          <w:rFonts w:ascii="Times New Roman" w:hAnsi="Times New Roman"/>
          <w:szCs w:val="24"/>
        </w:rPr>
        <w:t>.</w:t>
      </w:r>
      <w:r>
        <w:rPr>
          <w:rFonts w:ascii="Times New Roman" w:hAnsi="Times New Roman"/>
          <w:szCs w:val="24"/>
        </w:rPr>
        <w:t xml:space="preserve"> Appendix A includes a table that summarizes the type of analysis for each research question</w:t>
      </w:r>
      <w:r w:rsidRPr="00920E30">
        <w:rPr>
          <w:rFonts w:ascii="Times New Roman" w:hAnsi="Times New Roman"/>
          <w:szCs w:val="24"/>
        </w:rPr>
        <w:t>.</w:t>
      </w:r>
    </w:p>
    <w:p w:rsidR="000723EC" w:rsidRPr="00920E30" w:rsidP="000723EC" w14:paraId="248436B6" w14:textId="77777777">
      <w:pPr>
        <w:spacing w:after="120"/>
        <w:ind w:right="720"/>
        <w:rPr>
          <w:rFonts w:ascii="Times New Roman" w:hAnsi="Times New Roman"/>
          <w:szCs w:val="24"/>
        </w:rPr>
      </w:pPr>
      <w:r w:rsidRPr="00920E30">
        <w:rPr>
          <w:rFonts w:ascii="Times New Roman" w:hAnsi="Times New Roman"/>
          <w:b/>
          <w:bCs/>
          <w:szCs w:val="24"/>
        </w:rPr>
        <w:t xml:space="preserve">Descriptive Analysis. </w:t>
      </w:r>
      <w:r w:rsidRPr="00920E30">
        <w:rPr>
          <w:rFonts w:ascii="Times New Roman" w:hAnsi="Times New Roman"/>
          <w:szCs w:val="24"/>
        </w:rPr>
        <w:t xml:space="preserve">Our data analysis assesses whether the way in which older adults carry out their volunteer activities affects satisfaction and psychosocial health outcomes, and the outcomes for caregivers and clients. The descriptive analysis will answer some of the research questions, and it will enable us to detect errors, determine if any violations of statistical assumptions exist, ascertain the relationships among explanatory variables, assess the direction and size of relationships between explanatory and outcome variables, and generate hypotheses. We will examine variable frequencies, central tendencies, response distribution, and presence of outliers. We will conduct </w:t>
      </w:r>
      <w:r>
        <w:rPr>
          <w:rFonts w:ascii="Times New Roman" w:hAnsi="Times New Roman"/>
          <w:szCs w:val="24"/>
        </w:rPr>
        <w:t>cross-tabulations</w:t>
      </w:r>
      <w:r w:rsidRPr="00920E30">
        <w:rPr>
          <w:rFonts w:ascii="Times New Roman" w:hAnsi="Times New Roman"/>
          <w:szCs w:val="24"/>
        </w:rPr>
        <w:t xml:space="preserve"> to assess relationships and statistical measures of association between multiple variables. We will explore data reduction techniques (e.g., Principal Component Analysis) to construct composite variables that could simplify data elements in the dataset, minimize problems associated with multicollinearity, eliminate redundant variables from multivariate analyses, reduce sample size requirements for analyses, and increase the interpretive power of the derived constructs. At the end of </w:t>
      </w:r>
      <w:r>
        <w:rPr>
          <w:rFonts w:ascii="Times New Roman" w:hAnsi="Times New Roman"/>
          <w:szCs w:val="24"/>
        </w:rPr>
        <w:t>the</w:t>
      </w:r>
      <w:r w:rsidRPr="00920E30">
        <w:rPr>
          <w:rFonts w:ascii="Times New Roman" w:hAnsi="Times New Roman"/>
          <w:szCs w:val="24"/>
        </w:rPr>
        <w:t xml:space="preserve"> descriptive analysis, we expect to have a solid knowledge base about the data characteristics of the variables of interest and of the relationships among them. </w:t>
      </w:r>
      <w:r>
        <w:rPr>
          <w:rFonts w:ascii="Times New Roman" w:hAnsi="Times New Roman"/>
          <w:szCs w:val="24"/>
        </w:rPr>
        <w:t>Based on the descriptive analysis</w:t>
      </w:r>
      <w:r w:rsidRPr="00920E30">
        <w:rPr>
          <w:rFonts w:ascii="Times New Roman" w:hAnsi="Times New Roman"/>
          <w:szCs w:val="24"/>
        </w:rPr>
        <w:t>, we will assess the validity of the instruments and estimate the reliability of the measures.</w:t>
      </w:r>
    </w:p>
    <w:p w:rsidR="000723EC" w:rsidRPr="00920E30" w:rsidP="000723EC" w14:paraId="7F33980A" w14:textId="77777777">
      <w:pPr>
        <w:spacing w:after="120"/>
        <w:ind w:right="720"/>
        <w:rPr>
          <w:rFonts w:ascii="Times New Roman" w:hAnsi="Times New Roman"/>
          <w:szCs w:val="24"/>
        </w:rPr>
      </w:pPr>
      <w:r w:rsidRPr="00920E30">
        <w:rPr>
          <w:rFonts w:ascii="Times New Roman" w:hAnsi="Times New Roman"/>
          <w:b/>
          <w:bCs/>
          <w:szCs w:val="24"/>
        </w:rPr>
        <w:t xml:space="preserve">Multivariate Analysis. </w:t>
      </w:r>
      <w:r w:rsidRPr="00920E30">
        <w:rPr>
          <w:rFonts w:ascii="Times New Roman" w:hAnsi="Times New Roman"/>
          <w:szCs w:val="24"/>
        </w:rPr>
        <w:t xml:space="preserve">The main statistical analysis will estimate the association between </w:t>
      </w:r>
      <w:r>
        <w:rPr>
          <w:rFonts w:ascii="Times New Roman" w:hAnsi="Times New Roman"/>
          <w:szCs w:val="24"/>
        </w:rPr>
        <w:t xml:space="preserve">the </w:t>
      </w:r>
      <w:r w:rsidRPr="00920E30">
        <w:rPr>
          <w:rFonts w:ascii="Times New Roman" w:hAnsi="Times New Roman"/>
          <w:szCs w:val="24"/>
        </w:rPr>
        <w:t>type of service activities and the outcomes. On each type of outcome of interest, we will use regression models to establish the association between outcomes, program structure</w:t>
      </w:r>
      <w:r>
        <w:rPr>
          <w:rFonts w:ascii="Times New Roman" w:hAnsi="Times New Roman"/>
          <w:szCs w:val="24"/>
        </w:rPr>
        <w:t>,</w:t>
      </w:r>
      <w:r w:rsidRPr="00920E30">
        <w:rPr>
          <w:rFonts w:ascii="Times New Roman" w:hAnsi="Times New Roman"/>
          <w:szCs w:val="24"/>
        </w:rPr>
        <w:t xml:space="preserve"> and service delivery. The </w:t>
      </w:r>
      <w:r>
        <w:rPr>
          <w:rFonts w:ascii="Times New Roman" w:hAnsi="Times New Roman"/>
          <w:szCs w:val="24"/>
        </w:rPr>
        <w:t xml:space="preserve">statistical model </w:t>
      </w:r>
      <w:r w:rsidRPr="00920E30">
        <w:rPr>
          <w:rFonts w:ascii="Times New Roman" w:hAnsi="Times New Roman"/>
          <w:szCs w:val="24"/>
        </w:rPr>
        <w:t xml:space="preserve">will be determined by the nature of the </w:t>
      </w:r>
      <w:r>
        <w:rPr>
          <w:rFonts w:ascii="Times New Roman" w:hAnsi="Times New Roman"/>
          <w:szCs w:val="24"/>
        </w:rPr>
        <w:t>dependent variable</w:t>
      </w:r>
      <w:r w:rsidRPr="00920E30">
        <w:rPr>
          <w:rFonts w:ascii="Times New Roman" w:hAnsi="Times New Roman"/>
          <w:szCs w:val="24"/>
        </w:rPr>
        <w:t xml:space="preserve"> (i.e., binomial, categorical with more than two groups, continuous</w:t>
      </w:r>
      <w:r w:rsidRPr="00920E30">
        <w:rPr>
          <w:rFonts w:ascii="Times New Roman" w:hAnsi="Times New Roman"/>
          <w:szCs w:val="24"/>
        </w:rPr>
        <w:t>) .</w:t>
      </w:r>
      <w:r>
        <w:rPr>
          <w:rFonts w:ascii="Times New Roman" w:hAnsi="Times New Roman"/>
          <w:szCs w:val="24"/>
        </w:rPr>
        <w:t xml:space="preserve"> </w:t>
      </w:r>
      <w:r w:rsidRPr="00634F57">
        <w:rPr>
          <w:rFonts w:ascii="Times New Roman" w:hAnsi="Times New Roman"/>
          <w:szCs w:val="24"/>
        </w:rPr>
        <w:t xml:space="preserve">For </w:t>
      </w:r>
      <w:r>
        <w:rPr>
          <w:rFonts w:ascii="Times New Roman" w:hAnsi="Times New Roman"/>
          <w:szCs w:val="24"/>
        </w:rPr>
        <w:t xml:space="preserve">a </w:t>
      </w:r>
      <w:r w:rsidRPr="00634F57">
        <w:rPr>
          <w:rFonts w:ascii="Times New Roman" w:hAnsi="Times New Roman"/>
          <w:szCs w:val="24"/>
        </w:rPr>
        <w:t>dichotomous variable such as whether the volunteer is in good health or poor</w:t>
      </w:r>
      <w:r>
        <w:rPr>
          <w:rFonts w:ascii="Times New Roman" w:hAnsi="Times New Roman"/>
          <w:szCs w:val="24"/>
        </w:rPr>
        <w:t xml:space="preserve"> health</w:t>
      </w:r>
      <w:r w:rsidRPr="00634F57">
        <w:rPr>
          <w:rFonts w:ascii="Times New Roman" w:hAnsi="Times New Roman"/>
          <w:szCs w:val="24"/>
        </w:rPr>
        <w:t>, we will use a logistic regression model controlling for background characteristics. We will use Structural Equation Models (factor or path analysis) to estimate which factors affect volunteers</w:t>
      </w:r>
      <w:r>
        <w:rPr>
          <w:rFonts w:ascii="Times New Roman" w:hAnsi="Times New Roman"/>
          <w:szCs w:val="24"/>
        </w:rPr>
        <w:t>’</w:t>
      </w:r>
      <w:r w:rsidRPr="00634F57">
        <w:rPr>
          <w:rFonts w:ascii="Times New Roman" w:hAnsi="Times New Roman"/>
          <w:szCs w:val="24"/>
        </w:rPr>
        <w:t xml:space="preserve"> psychosocial health outcomes. Structural Equation Modeling (PLS-SEM) is a statistical method used to analyze the relationships between latent variables. It is a multivariate analysis technique to model complex and interrelated phenomena. SEM estimates the strength and direction of the relationships between latent variables and identif</w:t>
      </w:r>
      <w:r>
        <w:rPr>
          <w:rFonts w:ascii="Times New Roman" w:hAnsi="Times New Roman"/>
          <w:szCs w:val="24"/>
        </w:rPr>
        <w:t>ies</w:t>
      </w:r>
      <w:r w:rsidRPr="00634F57">
        <w:rPr>
          <w:rFonts w:ascii="Times New Roman" w:hAnsi="Times New Roman"/>
          <w:szCs w:val="24"/>
        </w:rPr>
        <w:t xml:space="preserve"> the key drivers of observed phenomena.</w:t>
      </w:r>
    </w:p>
    <w:p w:rsidR="000723EC" w:rsidP="000723EC" w14:paraId="795CB31D" w14:textId="77777777">
      <w:pPr>
        <w:widowControl w:val="0"/>
        <w:tabs>
          <w:tab w:val="left" w:pos="360"/>
          <w:tab w:val="left" w:pos="720"/>
          <w:tab w:val="left" w:pos="1080"/>
        </w:tabs>
        <w:ind w:right="720"/>
        <w:rPr>
          <w:rFonts w:ascii="Times New Roman" w:hAnsi="Times New Roman"/>
          <w:szCs w:val="24"/>
        </w:rPr>
      </w:pPr>
      <w:r w:rsidRPr="00920E30">
        <w:rPr>
          <w:rFonts w:ascii="Times New Roman" w:hAnsi="Times New Roman"/>
          <w:b/>
          <w:bCs/>
          <w:szCs w:val="24"/>
        </w:rPr>
        <w:t xml:space="preserve">Thematic Analysis. </w:t>
      </w:r>
      <w:r w:rsidRPr="00920E30">
        <w:rPr>
          <w:rFonts w:ascii="Times New Roman" w:hAnsi="Times New Roman"/>
          <w:szCs w:val="24"/>
        </w:rPr>
        <w:t xml:space="preserve">The quantitative analysis will be triangulated with the focus groups and semi-structured interview data. One of the major strengths of qualitative research is that it provides an excellent way to explore the range of understandings and themes by including both those that are common and those that are rare. The </w:t>
      </w:r>
      <w:r>
        <w:rPr>
          <w:rFonts w:ascii="Times New Roman" w:hAnsi="Times New Roman"/>
          <w:szCs w:val="24"/>
        </w:rPr>
        <w:t>analysis</w:t>
      </w:r>
      <w:r w:rsidRPr="00920E30">
        <w:rPr>
          <w:rFonts w:ascii="Times New Roman" w:hAnsi="Times New Roman"/>
          <w:szCs w:val="24"/>
        </w:rPr>
        <w:t xml:space="preserve"> of multiple data sources to answer the research questions of how and to what extent the Covid pandemic changed the programmatic structure, senior volunteerism, and service delivery and service experience will enable the JBS team to triangulate the data across instruments and study participants (grantees, volunteers, and stations).</w:t>
      </w:r>
    </w:p>
    <w:p w:rsidR="000723EC" w:rsidRPr="00252B6B" w:rsidP="000723EC" w14:paraId="7450468F" w14:textId="77777777">
      <w:pPr>
        <w:widowControl w:val="0"/>
        <w:tabs>
          <w:tab w:val="left" w:pos="360"/>
          <w:tab w:val="left" w:pos="720"/>
          <w:tab w:val="left" w:pos="1080"/>
        </w:tabs>
        <w:ind w:right="720"/>
        <w:rPr>
          <w:rFonts w:ascii="Times New Roman" w:hAnsi="Times New Roman"/>
          <w:szCs w:val="24"/>
        </w:rPr>
      </w:pPr>
    </w:p>
    <w:p w:rsidR="000723EC" w:rsidRPr="00252B6B" w:rsidP="000723EC" w14:paraId="46AFD2DC" w14:textId="77777777">
      <w:pPr>
        <w:pStyle w:val="Heading2"/>
        <w:numPr>
          <w:ilvl w:val="0"/>
          <w:numId w:val="9"/>
        </w:numPr>
        <w:rPr>
          <w:rFonts w:ascii="Times New Roman" w:hAnsi="Times New Roman"/>
          <w:szCs w:val="24"/>
        </w:rPr>
      </w:pPr>
      <w:bookmarkStart w:id="21" w:name="_Toc157357121"/>
      <w:r w:rsidRPr="001A1AFE">
        <w:rPr>
          <w:rFonts w:ascii="Times New Roman" w:hAnsi="Times New Roman"/>
        </w:rPr>
        <w:t>OMB Not to Display Approval.</w:t>
      </w:r>
      <w:bookmarkEnd w:id="21"/>
      <w:r w:rsidRPr="00252B6B">
        <w:rPr>
          <w:rFonts w:ascii="Times New Roman" w:hAnsi="Times New Roman"/>
        </w:rPr>
        <w:t xml:space="preserve"> </w:t>
      </w:r>
    </w:p>
    <w:p w:rsidR="000723EC" w:rsidRPr="00703901" w:rsidP="000723EC" w14:paraId="623925F3" w14:textId="77777777">
      <w:pPr>
        <w:pStyle w:val="ListParagraph"/>
        <w:ind w:left="360" w:right="720"/>
        <w:rPr>
          <w:rFonts w:eastAsia="Calibri"/>
        </w:rPr>
      </w:pPr>
    </w:p>
    <w:p w:rsidR="000723EC" w:rsidRPr="00672754" w:rsidP="000723EC" w14:paraId="4571C7EC" w14:textId="77777777">
      <w:pPr>
        <w:ind w:right="720"/>
        <w:rPr>
          <w:rFonts w:eastAsia="Calibri"/>
        </w:rPr>
      </w:pPr>
      <w:r w:rsidRPr="00920E30">
        <w:rPr>
          <w:rFonts w:eastAsia="Calibri"/>
        </w:rPr>
        <w:t>The expiration date for OMB approval of the information collection will be displayed.</w:t>
      </w:r>
    </w:p>
    <w:p w:rsidR="000723EC" w:rsidRPr="00672754" w:rsidP="000723EC" w14:paraId="390F911C" w14:textId="77777777">
      <w:pPr>
        <w:widowControl w:val="0"/>
        <w:tabs>
          <w:tab w:val="left" w:pos="360"/>
          <w:tab w:val="left" w:pos="720"/>
          <w:tab w:val="left" w:pos="1080"/>
        </w:tabs>
        <w:ind w:right="720"/>
        <w:rPr>
          <w:rFonts w:ascii="Times New Roman" w:hAnsi="Times New Roman"/>
          <w:szCs w:val="24"/>
        </w:rPr>
      </w:pPr>
    </w:p>
    <w:p w:rsidR="000723EC" w:rsidRPr="00252B6B" w:rsidP="000723EC" w14:paraId="253EB9FD" w14:textId="77777777">
      <w:pPr>
        <w:pStyle w:val="Heading2"/>
        <w:numPr>
          <w:ilvl w:val="0"/>
          <w:numId w:val="9"/>
        </w:numPr>
        <w:rPr>
          <w:rFonts w:ascii="Times New Roman" w:hAnsi="Times New Roman"/>
          <w:szCs w:val="24"/>
        </w:rPr>
      </w:pPr>
      <w:bookmarkStart w:id="22" w:name="_Toc157357122"/>
      <w:r w:rsidRPr="001A1AFE">
        <w:rPr>
          <w:rFonts w:ascii="Times New Roman" w:hAnsi="Times New Roman"/>
        </w:rPr>
        <w:t>Exceptions to "Certification for Paperwork Reduction Submissions."</w:t>
      </w:r>
      <w:bookmarkEnd w:id="22"/>
      <w:r w:rsidRPr="001A1AFE">
        <w:rPr>
          <w:rFonts w:ascii="Times New Roman" w:hAnsi="Times New Roman"/>
        </w:rPr>
        <w:t xml:space="preserve"> </w:t>
      </w:r>
    </w:p>
    <w:p w:rsidR="000723EC" w:rsidRPr="00672754" w:rsidP="000723EC" w14:paraId="7271D814" w14:textId="77777777">
      <w:pPr>
        <w:widowControl w:val="0"/>
        <w:tabs>
          <w:tab w:val="left" w:pos="360"/>
          <w:tab w:val="left" w:pos="720"/>
          <w:tab w:val="left" w:pos="1080"/>
        </w:tabs>
        <w:ind w:right="720"/>
        <w:rPr>
          <w:rFonts w:ascii="Times New Roman" w:hAnsi="Times New Roman"/>
          <w:szCs w:val="24"/>
        </w:rPr>
      </w:pPr>
    </w:p>
    <w:p w:rsidR="000723EC" w:rsidP="000723EC" w14:paraId="147B67D0" w14:textId="77777777">
      <w:pPr>
        <w:widowControl w:val="0"/>
        <w:tabs>
          <w:tab w:val="left" w:pos="360"/>
          <w:tab w:val="left" w:pos="720"/>
          <w:tab w:val="left" w:pos="1080"/>
        </w:tabs>
        <w:ind w:right="720"/>
        <w:rPr>
          <w:rFonts w:ascii="Times New Roman" w:hAnsi="Times New Roman"/>
          <w:szCs w:val="24"/>
        </w:rPr>
      </w:pPr>
      <w:r w:rsidRPr="00920E30">
        <w:rPr>
          <w:rFonts w:ascii="Times New Roman" w:hAnsi="Times New Roman"/>
          <w:szCs w:val="24"/>
        </w:rPr>
        <w:t>This collection of information involves no exceptions to the Certification for Paperwork Reduction Act Submissions.</w:t>
      </w:r>
    </w:p>
    <w:p w:rsidR="000723EC" w:rsidRPr="00252B6B" w:rsidP="000723EC" w14:paraId="5D4A4371" w14:textId="77777777">
      <w:pPr>
        <w:widowControl w:val="0"/>
        <w:tabs>
          <w:tab w:val="left" w:pos="360"/>
          <w:tab w:val="left" w:pos="720"/>
          <w:tab w:val="left" w:pos="1080"/>
        </w:tabs>
        <w:ind w:right="720"/>
        <w:rPr>
          <w:rFonts w:ascii="Times New Roman" w:hAnsi="Times New Roman"/>
          <w:szCs w:val="24"/>
        </w:rPr>
      </w:pPr>
    </w:p>
    <w:p w:rsidR="000723EC" w:rsidRPr="00252B6B" w:rsidP="000723EC" w14:paraId="050A3EB0" w14:textId="77777777">
      <w:pPr>
        <w:pStyle w:val="Heading2"/>
        <w:numPr>
          <w:ilvl w:val="0"/>
          <w:numId w:val="9"/>
        </w:numPr>
        <w:rPr>
          <w:szCs w:val="24"/>
        </w:rPr>
      </w:pPr>
      <w:bookmarkStart w:id="23" w:name="_Toc157357123"/>
      <w:r w:rsidRPr="001A1AFE">
        <w:t>Surveys, Censuses, and Other Collections that Employ Statistical Methods.</w:t>
      </w:r>
      <w:bookmarkEnd w:id="23"/>
      <w:r w:rsidRPr="00252B6B">
        <w:t xml:space="preserve">  </w:t>
      </w:r>
    </w:p>
    <w:p w:rsidR="00280D3B" w:rsidP="000723EC" w14:paraId="4C7D2CE2" w14:textId="7513AA58">
      <w:r w:rsidRPr="0EEECE9C">
        <w:rPr>
          <w:rFonts w:ascii="Times New Roman" w:hAnsi="Times New Roman"/>
        </w:rPr>
        <w:t>This request includes survey and will use statistical estimation technique; Part B supporting statement is completed and appended.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6D1B" w:rsidP="000723EC" w14:paraId="70A16CE5" w14:textId="77777777">
      <w:r>
        <w:separator/>
      </w:r>
    </w:p>
  </w:footnote>
  <w:footnote w:type="continuationSeparator" w:id="1">
    <w:p w:rsidR="004B6D1B" w:rsidP="000723EC" w14:paraId="31C36251" w14:textId="77777777">
      <w:r>
        <w:continuationSeparator/>
      </w:r>
    </w:p>
  </w:footnote>
  <w:footnote w:id="2">
    <w:p w:rsidR="000723EC" w:rsidP="000723EC" w14:paraId="3F7DE4FE" w14:textId="5FFAF10A">
      <w:pPr>
        <w:pStyle w:val="FootnoteText"/>
      </w:pPr>
      <w:r>
        <w:rPr>
          <w:rStyle w:val="FootnoteReference"/>
        </w:rPr>
        <w:footnoteRef/>
      </w:r>
      <w:r>
        <w:t xml:space="preserve"> </w:t>
      </w:r>
      <w:r w:rsidRPr="00DC4979">
        <w:t xml:space="preserve">Estimates </w:t>
      </w:r>
      <w:r>
        <w:t xml:space="preserve">do not match 60-day notice from Federal Register – since posting the notice we added a station level survey increasing the number of estimated respondents. This was added </w:t>
      </w:r>
      <w:r w:rsidR="00D5532A">
        <w:t xml:space="preserve">to </w:t>
      </w:r>
      <w:r>
        <w:t xml:space="preserve">inform our sampling frame for volunteers. Also, </w:t>
      </w:r>
      <w:r w:rsidRPr="00DC4979">
        <w:t>hour estimates</w:t>
      </w:r>
      <w:r>
        <w:t xml:space="preserve"> were</w:t>
      </w:r>
      <w:r w:rsidRPr="00DC4979">
        <w:t xml:space="preserve"> adjusted after piloting instruments to reflect the actual burden time as noted by respondents.</w:t>
      </w:r>
    </w:p>
  </w:footnote>
  <w:footnote w:id="3">
    <w:p w:rsidR="000723EC" w:rsidP="000723EC" w14:paraId="5BC6C681" w14:textId="77777777">
      <w:pPr>
        <w:pStyle w:val="FootnoteText"/>
      </w:pPr>
      <w:r>
        <w:rPr>
          <w:rStyle w:val="FootnoteReference"/>
        </w:rPr>
        <w:footnoteRef/>
      </w:r>
      <w:r>
        <w:t xml:space="preserve"> For the Station Staff and Volunteer surveys (current and former), it is projected that 452 RSVP, 257 FGP, and 158 SCP grantees will be eligible to participate. </w:t>
      </w:r>
    </w:p>
  </w:footnote>
  <w:footnote w:id="4">
    <w:p w:rsidR="000723EC" w:rsidP="000723EC" w14:paraId="73BA21B8" w14:textId="77777777">
      <w:pPr>
        <w:pStyle w:val="FootnoteText"/>
      </w:pPr>
      <w:r>
        <w:rPr>
          <w:rStyle w:val="FootnoteReference"/>
        </w:rPr>
        <w:footnoteRef/>
      </w:r>
      <w:r>
        <w:t xml:space="preserve"> Estimated, as AmeriCorps does not track former volunteers.</w:t>
      </w:r>
    </w:p>
  </w:footnote>
  <w:footnote w:id="5">
    <w:p w:rsidR="000723EC" w:rsidP="000723EC" w14:paraId="46AC8E66" w14:textId="77777777">
      <w:pPr>
        <w:pStyle w:val="FootnoteText"/>
      </w:pPr>
      <w:r>
        <w:rPr>
          <w:rStyle w:val="FootnoteReference"/>
        </w:rPr>
        <w:footnoteRef/>
      </w:r>
      <w:r>
        <w:t xml:space="preserve"> For the SCP Caregiver and Client Survey, it is projected </w:t>
      </w:r>
      <w:r w:rsidRPr="003D6A63">
        <w:t>that 144 SCP with independent living client only, and 14 SCP with</w:t>
      </w:r>
      <w:r>
        <w:t xml:space="preserve"> independent living client and caregivers will be eligible to participate.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D3268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9D2D89"/>
    <w:multiLevelType w:val="hybridMultilevel"/>
    <w:tmpl w:val="BBB21F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BE22CD"/>
    <w:multiLevelType w:val="hybridMultilevel"/>
    <w:tmpl w:val="9CD41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CC781C"/>
    <w:multiLevelType w:val="hybridMultilevel"/>
    <w:tmpl w:val="62EA2B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85660F"/>
    <w:multiLevelType w:val="hybridMultilevel"/>
    <w:tmpl w:val="1602A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39C78DD"/>
    <w:multiLevelType w:val="hybridMultilevel"/>
    <w:tmpl w:val="0D109F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572531"/>
    <w:multiLevelType w:val="hybridMultilevel"/>
    <w:tmpl w:val="168A10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4FA3205"/>
    <w:multiLevelType w:val="hybridMultilevel"/>
    <w:tmpl w:val="12E2BA76"/>
    <w:lvl w:ilvl="0">
      <w:start w:val="3"/>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D30951"/>
    <w:multiLevelType w:val="hybridMultilevel"/>
    <w:tmpl w:val="2E0C0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0236503">
    <w:abstractNumId w:val="8"/>
  </w:num>
  <w:num w:numId="2" w16cid:durableId="704326107">
    <w:abstractNumId w:val="3"/>
  </w:num>
  <w:num w:numId="3" w16cid:durableId="887498485">
    <w:abstractNumId w:val="6"/>
  </w:num>
  <w:num w:numId="4" w16cid:durableId="1106929440">
    <w:abstractNumId w:val="2"/>
  </w:num>
  <w:num w:numId="5" w16cid:durableId="1958175799">
    <w:abstractNumId w:val="5"/>
  </w:num>
  <w:num w:numId="6" w16cid:durableId="1405181005">
    <w:abstractNumId w:val="4"/>
  </w:num>
  <w:num w:numId="7" w16cid:durableId="1248029940">
    <w:abstractNumId w:val="0"/>
  </w:num>
  <w:num w:numId="8" w16cid:durableId="53434355">
    <w:abstractNumId w:val="1"/>
  </w:num>
  <w:num w:numId="9" w16cid:durableId="28200236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EC"/>
    <w:rsid w:val="00017125"/>
    <w:rsid w:val="00045901"/>
    <w:rsid w:val="000723EC"/>
    <w:rsid w:val="000A3543"/>
    <w:rsid w:val="000F7968"/>
    <w:rsid w:val="001161E6"/>
    <w:rsid w:val="00120AB9"/>
    <w:rsid w:val="00136710"/>
    <w:rsid w:val="001450B3"/>
    <w:rsid w:val="0017257F"/>
    <w:rsid w:val="0018531C"/>
    <w:rsid w:val="00197133"/>
    <w:rsid w:val="001A1AFE"/>
    <w:rsid w:val="001C5BF6"/>
    <w:rsid w:val="001E0975"/>
    <w:rsid w:val="001E5A6C"/>
    <w:rsid w:val="001E7F44"/>
    <w:rsid w:val="00213A95"/>
    <w:rsid w:val="002403BD"/>
    <w:rsid w:val="002431A2"/>
    <w:rsid w:val="00252B6B"/>
    <w:rsid w:val="002730D7"/>
    <w:rsid w:val="00280D3B"/>
    <w:rsid w:val="00295EC5"/>
    <w:rsid w:val="002A7091"/>
    <w:rsid w:val="002F3296"/>
    <w:rsid w:val="0031329A"/>
    <w:rsid w:val="003763D7"/>
    <w:rsid w:val="00376837"/>
    <w:rsid w:val="00381E88"/>
    <w:rsid w:val="00384412"/>
    <w:rsid w:val="0038770C"/>
    <w:rsid w:val="00390F87"/>
    <w:rsid w:val="003D6A63"/>
    <w:rsid w:val="003E08C0"/>
    <w:rsid w:val="003F206C"/>
    <w:rsid w:val="003F2FAD"/>
    <w:rsid w:val="00425BAF"/>
    <w:rsid w:val="00432B2B"/>
    <w:rsid w:val="00436E5C"/>
    <w:rsid w:val="004607F7"/>
    <w:rsid w:val="00461253"/>
    <w:rsid w:val="004620C5"/>
    <w:rsid w:val="00494885"/>
    <w:rsid w:val="004A7E0A"/>
    <w:rsid w:val="004B6D1B"/>
    <w:rsid w:val="004D1AA0"/>
    <w:rsid w:val="004D2774"/>
    <w:rsid w:val="004E1D3F"/>
    <w:rsid w:val="00505E03"/>
    <w:rsid w:val="0058551C"/>
    <w:rsid w:val="0059499B"/>
    <w:rsid w:val="005B2E9D"/>
    <w:rsid w:val="005C5AE9"/>
    <w:rsid w:val="005D6334"/>
    <w:rsid w:val="00605291"/>
    <w:rsid w:val="00632763"/>
    <w:rsid w:val="00634F57"/>
    <w:rsid w:val="00642432"/>
    <w:rsid w:val="006504A3"/>
    <w:rsid w:val="0066527F"/>
    <w:rsid w:val="00672754"/>
    <w:rsid w:val="00675770"/>
    <w:rsid w:val="006B6EBA"/>
    <w:rsid w:val="006D3D1A"/>
    <w:rsid w:val="006F1DCD"/>
    <w:rsid w:val="006F392E"/>
    <w:rsid w:val="006F6AAB"/>
    <w:rsid w:val="006F76FE"/>
    <w:rsid w:val="00700392"/>
    <w:rsid w:val="0070112F"/>
    <w:rsid w:val="00703901"/>
    <w:rsid w:val="00720179"/>
    <w:rsid w:val="00723B0E"/>
    <w:rsid w:val="00744B73"/>
    <w:rsid w:val="007B3550"/>
    <w:rsid w:val="00801FC6"/>
    <w:rsid w:val="0086200C"/>
    <w:rsid w:val="008739A8"/>
    <w:rsid w:val="00873C90"/>
    <w:rsid w:val="00886006"/>
    <w:rsid w:val="008B0705"/>
    <w:rsid w:val="008F1CB1"/>
    <w:rsid w:val="00915869"/>
    <w:rsid w:val="00920E30"/>
    <w:rsid w:val="00943E45"/>
    <w:rsid w:val="0095646E"/>
    <w:rsid w:val="00956B81"/>
    <w:rsid w:val="0099242A"/>
    <w:rsid w:val="009A037E"/>
    <w:rsid w:val="00A51E31"/>
    <w:rsid w:val="00A63AD1"/>
    <w:rsid w:val="00A827FC"/>
    <w:rsid w:val="00A833F6"/>
    <w:rsid w:val="00AA7611"/>
    <w:rsid w:val="00AB14E0"/>
    <w:rsid w:val="00AB2ECE"/>
    <w:rsid w:val="00AB4C3A"/>
    <w:rsid w:val="00AC5D55"/>
    <w:rsid w:val="00B14D3C"/>
    <w:rsid w:val="00B16111"/>
    <w:rsid w:val="00B20F59"/>
    <w:rsid w:val="00B629F1"/>
    <w:rsid w:val="00B73572"/>
    <w:rsid w:val="00BE08E1"/>
    <w:rsid w:val="00BE3395"/>
    <w:rsid w:val="00BF7A58"/>
    <w:rsid w:val="00C03650"/>
    <w:rsid w:val="00C179D8"/>
    <w:rsid w:val="00C24FF6"/>
    <w:rsid w:val="00C35277"/>
    <w:rsid w:val="00C4062D"/>
    <w:rsid w:val="00C76F79"/>
    <w:rsid w:val="00C90E84"/>
    <w:rsid w:val="00C934A3"/>
    <w:rsid w:val="00C9600E"/>
    <w:rsid w:val="00CD791B"/>
    <w:rsid w:val="00CE61C2"/>
    <w:rsid w:val="00D12F77"/>
    <w:rsid w:val="00D33EB2"/>
    <w:rsid w:val="00D46ADD"/>
    <w:rsid w:val="00D5532A"/>
    <w:rsid w:val="00D6349A"/>
    <w:rsid w:val="00DA01CA"/>
    <w:rsid w:val="00DA55FC"/>
    <w:rsid w:val="00DC1292"/>
    <w:rsid w:val="00DC4979"/>
    <w:rsid w:val="00DE416A"/>
    <w:rsid w:val="00E655B0"/>
    <w:rsid w:val="00E927AD"/>
    <w:rsid w:val="00EB2C54"/>
    <w:rsid w:val="00EF43F7"/>
    <w:rsid w:val="00EF7604"/>
    <w:rsid w:val="00F30633"/>
    <w:rsid w:val="00F633D1"/>
    <w:rsid w:val="00F806B1"/>
    <w:rsid w:val="00F80E77"/>
    <w:rsid w:val="00FA3F79"/>
    <w:rsid w:val="00FC066F"/>
    <w:rsid w:val="00FF4AA2"/>
    <w:rsid w:val="0EEECE9C"/>
    <w:rsid w:val="3A287212"/>
    <w:rsid w:val="3DE8DD0B"/>
    <w:rsid w:val="599E7BE8"/>
    <w:rsid w:val="5C0F3444"/>
    <w:rsid w:val="61B61BCA"/>
    <w:rsid w:val="7E094C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58BC3B"/>
  <w15:chartTrackingRefBased/>
  <w15:docId w15:val="{4BEC9B0F-7CAE-412D-9338-E2E1708A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3EC"/>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qFormat/>
    <w:rsid w:val="000723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23EC"/>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3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23E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rsid w:val="000723EC"/>
    <w:pPr>
      <w:tabs>
        <w:tab w:val="center" w:pos="4320"/>
        <w:tab w:val="right" w:pos="8640"/>
      </w:tabs>
    </w:pPr>
  </w:style>
  <w:style w:type="character" w:customStyle="1" w:styleId="HeaderChar">
    <w:name w:val="Header Char"/>
    <w:basedOn w:val="DefaultParagraphFont"/>
    <w:link w:val="Header"/>
    <w:uiPriority w:val="99"/>
    <w:rsid w:val="000723EC"/>
    <w:rPr>
      <w:rFonts w:ascii="Tms Rmn" w:eastAsia="Times New Roman" w:hAnsi="Tms Rmn"/>
      <w:szCs w:val="20"/>
    </w:rPr>
  </w:style>
  <w:style w:type="paragraph" w:styleId="Footer">
    <w:name w:val="footer"/>
    <w:basedOn w:val="Normal"/>
    <w:link w:val="FooterChar"/>
    <w:uiPriority w:val="99"/>
    <w:rsid w:val="000723EC"/>
    <w:pPr>
      <w:tabs>
        <w:tab w:val="center" w:pos="4320"/>
        <w:tab w:val="right" w:pos="8640"/>
      </w:tabs>
    </w:pPr>
  </w:style>
  <w:style w:type="character" w:customStyle="1" w:styleId="FooterChar">
    <w:name w:val="Footer Char"/>
    <w:basedOn w:val="DefaultParagraphFont"/>
    <w:link w:val="Footer"/>
    <w:uiPriority w:val="99"/>
    <w:rsid w:val="000723EC"/>
    <w:rPr>
      <w:rFonts w:ascii="Tms Rmn" w:eastAsia="Times New Roman" w:hAnsi="Tms Rmn"/>
      <w:szCs w:val="20"/>
    </w:rPr>
  </w:style>
  <w:style w:type="paragraph" w:styleId="FootnoteText">
    <w:name w:val="footnote text"/>
    <w:basedOn w:val="Normal"/>
    <w:link w:val="FootnoteTextChar"/>
    <w:uiPriority w:val="99"/>
    <w:semiHidden/>
    <w:rsid w:val="000723EC"/>
    <w:rPr>
      <w:sz w:val="20"/>
    </w:rPr>
  </w:style>
  <w:style w:type="character" w:customStyle="1" w:styleId="FootnoteTextChar">
    <w:name w:val="Footnote Text Char"/>
    <w:basedOn w:val="DefaultParagraphFont"/>
    <w:link w:val="FootnoteText"/>
    <w:uiPriority w:val="99"/>
    <w:semiHidden/>
    <w:rsid w:val="000723EC"/>
    <w:rPr>
      <w:rFonts w:ascii="Tms Rmn" w:eastAsia="Times New Roman" w:hAnsi="Tms Rmn"/>
      <w:sz w:val="20"/>
      <w:szCs w:val="20"/>
    </w:rPr>
  </w:style>
  <w:style w:type="character" w:styleId="FootnoteReference">
    <w:name w:val="footnote reference"/>
    <w:basedOn w:val="DefaultParagraphFont"/>
    <w:uiPriority w:val="99"/>
    <w:semiHidden/>
    <w:rsid w:val="000723EC"/>
    <w:rPr>
      <w:vertAlign w:val="superscript"/>
    </w:rPr>
  </w:style>
  <w:style w:type="paragraph" w:styleId="BalloonText">
    <w:name w:val="Balloon Text"/>
    <w:basedOn w:val="Normal"/>
    <w:link w:val="BalloonTextChar"/>
    <w:semiHidden/>
    <w:rsid w:val="000723EC"/>
    <w:rPr>
      <w:rFonts w:ascii="Tahoma" w:hAnsi="Tahoma" w:cs="Tahoma"/>
      <w:sz w:val="16"/>
      <w:szCs w:val="16"/>
    </w:rPr>
  </w:style>
  <w:style w:type="character" w:customStyle="1" w:styleId="BalloonTextChar">
    <w:name w:val="Balloon Text Char"/>
    <w:basedOn w:val="DefaultParagraphFont"/>
    <w:link w:val="BalloonText"/>
    <w:semiHidden/>
    <w:rsid w:val="000723EC"/>
    <w:rPr>
      <w:rFonts w:ascii="Tahoma" w:eastAsia="Times New Roman" w:hAnsi="Tahoma" w:cs="Tahoma"/>
      <w:sz w:val="16"/>
      <w:szCs w:val="16"/>
    </w:rPr>
  </w:style>
  <w:style w:type="character" w:styleId="PageNumber">
    <w:name w:val="page number"/>
    <w:basedOn w:val="DefaultParagraphFont"/>
    <w:rsid w:val="000723EC"/>
  </w:style>
  <w:style w:type="paragraph" w:styleId="EndnoteText">
    <w:name w:val="endnote text"/>
    <w:basedOn w:val="Normal"/>
    <w:link w:val="EndnoteTextChar"/>
    <w:rsid w:val="000723EC"/>
    <w:rPr>
      <w:sz w:val="20"/>
    </w:rPr>
  </w:style>
  <w:style w:type="character" w:customStyle="1" w:styleId="EndnoteTextChar">
    <w:name w:val="Endnote Text Char"/>
    <w:basedOn w:val="DefaultParagraphFont"/>
    <w:link w:val="EndnoteText"/>
    <w:rsid w:val="000723EC"/>
    <w:rPr>
      <w:rFonts w:ascii="Tms Rmn" w:eastAsia="Times New Roman" w:hAnsi="Tms Rmn"/>
      <w:sz w:val="20"/>
      <w:szCs w:val="20"/>
    </w:rPr>
  </w:style>
  <w:style w:type="character" w:styleId="EndnoteReference">
    <w:name w:val="endnote reference"/>
    <w:basedOn w:val="DefaultParagraphFont"/>
    <w:rsid w:val="000723EC"/>
    <w:rPr>
      <w:vertAlign w:val="superscript"/>
    </w:rPr>
  </w:style>
  <w:style w:type="paragraph" w:customStyle="1" w:styleId="p3">
    <w:name w:val="p3"/>
    <w:basedOn w:val="Normal"/>
    <w:rsid w:val="000723EC"/>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0723EC"/>
    <w:pPr>
      <w:widowControl w:val="0"/>
      <w:tabs>
        <w:tab w:val="left" w:pos="680"/>
      </w:tabs>
      <w:overflowPunct/>
      <w:textAlignment w:val="auto"/>
    </w:pPr>
    <w:rPr>
      <w:rFonts w:ascii="Times New Roman" w:hAnsi="Times New Roman"/>
      <w:szCs w:val="24"/>
    </w:rPr>
  </w:style>
  <w:style w:type="paragraph" w:styleId="ListParagraph">
    <w:name w:val="List Paragraph"/>
    <w:basedOn w:val="Normal"/>
    <w:link w:val="ListParagraphChar"/>
    <w:uiPriority w:val="34"/>
    <w:qFormat/>
    <w:rsid w:val="000723EC"/>
    <w:pPr>
      <w:ind w:left="720"/>
      <w:contextualSpacing/>
    </w:pPr>
  </w:style>
  <w:style w:type="paragraph" w:customStyle="1" w:styleId="c2">
    <w:name w:val="c2"/>
    <w:basedOn w:val="Normal"/>
    <w:rsid w:val="000723EC"/>
    <w:pPr>
      <w:widowControl w:val="0"/>
      <w:overflowPunct/>
      <w:jc w:val="center"/>
      <w:textAlignment w:val="auto"/>
    </w:pPr>
    <w:rPr>
      <w:rFonts w:ascii="Times New Roman" w:hAnsi="Times New Roman"/>
      <w:szCs w:val="24"/>
    </w:rPr>
  </w:style>
  <w:style w:type="paragraph" w:styleId="NormalWeb">
    <w:name w:val="Normal (Web)"/>
    <w:basedOn w:val="Normal"/>
    <w:rsid w:val="000723EC"/>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0723EC"/>
    <w:rPr>
      <w:color w:val="0000FF"/>
      <w:u w:val="single"/>
    </w:rPr>
  </w:style>
  <w:style w:type="character" w:styleId="CommentReference">
    <w:name w:val="annotation reference"/>
    <w:basedOn w:val="DefaultParagraphFont"/>
    <w:uiPriority w:val="99"/>
    <w:unhideWhenUsed/>
    <w:rsid w:val="000723EC"/>
    <w:rPr>
      <w:sz w:val="16"/>
      <w:szCs w:val="16"/>
    </w:rPr>
  </w:style>
  <w:style w:type="paragraph" w:styleId="CommentText">
    <w:name w:val="annotation text"/>
    <w:basedOn w:val="Normal"/>
    <w:link w:val="CommentTextChar"/>
    <w:uiPriority w:val="99"/>
    <w:unhideWhenUsed/>
    <w:rsid w:val="000723EC"/>
    <w:rPr>
      <w:sz w:val="20"/>
    </w:rPr>
  </w:style>
  <w:style w:type="character" w:customStyle="1" w:styleId="CommentTextChar">
    <w:name w:val="Comment Text Char"/>
    <w:basedOn w:val="DefaultParagraphFont"/>
    <w:link w:val="CommentText"/>
    <w:uiPriority w:val="99"/>
    <w:rsid w:val="000723EC"/>
    <w:rPr>
      <w:rFonts w:ascii="Tms Rmn" w:eastAsia="Times New Roman" w:hAnsi="Tms Rmn"/>
      <w:sz w:val="20"/>
      <w:szCs w:val="20"/>
    </w:rPr>
  </w:style>
  <w:style w:type="paragraph" w:styleId="CommentSubject">
    <w:name w:val="annotation subject"/>
    <w:basedOn w:val="CommentText"/>
    <w:next w:val="CommentText"/>
    <w:link w:val="CommentSubjectChar"/>
    <w:uiPriority w:val="99"/>
    <w:semiHidden/>
    <w:unhideWhenUsed/>
    <w:rsid w:val="000723EC"/>
    <w:rPr>
      <w:b/>
      <w:bCs/>
    </w:rPr>
  </w:style>
  <w:style w:type="character" w:customStyle="1" w:styleId="CommentSubjectChar">
    <w:name w:val="Comment Subject Char"/>
    <w:basedOn w:val="CommentTextChar"/>
    <w:link w:val="CommentSubject"/>
    <w:uiPriority w:val="99"/>
    <w:semiHidden/>
    <w:rsid w:val="000723EC"/>
    <w:rPr>
      <w:rFonts w:ascii="Tms Rmn" w:eastAsia="Times New Roman" w:hAnsi="Tms Rmn"/>
      <w:b/>
      <w:bCs/>
      <w:sz w:val="20"/>
      <w:szCs w:val="20"/>
    </w:rPr>
  </w:style>
  <w:style w:type="paragraph" w:styleId="BodyText">
    <w:name w:val="Body Text"/>
    <w:basedOn w:val="Normal"/>
    <w:link w:val="BodyTextChar"/>
    <w:uiPriority w:val="1"/>
    <w:qFormat/>
    <w:rsid w:val="000723EC"/>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0723EC"/>
    <w:rPr>
      <w:rFonts w:eastAsia="Times New Roman"/>
      <w:szCs w:val="24"/>
      <w:lang w:bidi="en-US"/>
    </w:rPr>
  </w:style>
  <w:style w:type="paragraph" w:customStyle="1" w:styleId="Default">
    <w:name w:val="Default"/>
    <w:basedOn w:val="Normal"/>
    <w:rsid w:val="000723EC"/>
    <w:pPr>
      <w:overflowPunct/>
      <w:adjustRightInd/>
      <w:textAlignment w:val="auto"/>
    </w:pPr>
    <w:rPr>
      <w:rFonts w:ascii="Calibri" w:eastAsia="Calibri" w:hAnsi="Calibri"/>
      <w:color w:val="000000"/>
      <w:szCs w:val="24"/>
    </w:rPr>
  </w:style>
  <w:style w:type="paragraph" w:customStyle="1" w:styleId="paragraph">
    <w:name w:val="paragraph"/>
    <w:basedOn w:val="Normal"/>
    <w:rsid w:val="000723EC"/>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0723EC"/>
  </w:style>
  <w:style w:type="character" w:customStyle="1" w:styleId="eop">
    <w:name w:val="eop"/>
    <w:basedOn w:val="DefaultParagraphFont"/>
    <w:rsid w:val="000723EC"/>
  </w:style>
  <w:style w:type="paragraph" w:styleId="Revision">
    <w:name w:val="Revision"/>
    <w:hidden/>
    <w:uiPriority w:val="99"/>
    <w:semiHidden/>
    <w:rsid w:val="000723EC"/>
    <w:pPr>
      <w:spacing w:after="0" w:line="240" w:lineRule="auto"/>
    </w:pPr>
    <w:rPr>
      <w:rFonts w:ascii="Tms Rmn" w:eastAsia="Times New Roman" w:hAnsi="Tms Rmn"/>
      <w:szCs w:val="20"/>
    </w:rPr>
  </w:style>
  <w:style w:type="character" w:customStyle="1" w:styleId="ListParagraphChar">
    <w:name w:val="List Paragraph Char"/>
    <w:link w:val="ListParagraph"/>
    <w:uiPriority w:val="34"/>
    <w:rsid w:val="000723EC"/>
    <w:rPr>
      <w:rFonts w:ascii="Tms Rmn" w:eastAsia="Times New Roman" w:hAnsi="Tms Rmn"/>
      <w:szCs w:val="20"/>
    </w:rPr>
  </w:style>
  <w:style w:type="paragraph" w:styleId="Caption">
    <w:name w:val="caption"/>
    <w:basedOn w:val="Normal"/>
    <w:next w:val="Normal"/>
    <w:uiPriority w:val="35"/>
    <w:unhideWhenUsed/>
    <w:qFormat/>
    <w:rsid w:val="000723EC"/>
    <w:pPr>
      <w:overflowPunct/>
      <w:autoSpaceDE/>
      <w:autoSpaceDN/>
      <w:adjustRightInd/>
      <w:spacing w:after="200"/>
      <w:textAlignment w:val="auto"/>
    </w:pPr>
    <w:rPr>
      <w:rFonts w:ascii="Times New Roman" w:eastAsia="Calibri" w:hAnsi="Times New Roman"/>
      <w:i/>
      <w:iCs/>
      <w:color w:val="1F497D"/>
      <w:sz w:val="18"/>
      <w:szCs w:val="18"/>
    </w:rPr>
  </w:style>
  <w:style w:type="character" w:styleId="FollowedHyperlink">
    <w:name w:val="FollowedHyperlink"/>
    <w:basedOn w:val="DefaultParagraphFont"/>
    <w:uiPriority w:val="99"/>
    <w:semiHidden/>
    <w:unhideWhenUsed/>
    <w:rsid w:val="000723EC"/>
    <w:rPr>
      <w:color w:val="954F72" w:themeColor="followedHyperlink"/>
      <w:u w:val="single"/>
    </w:rPr>
  </w:style>
  <w:style w:type="character" w:styleId="UnresolvedMention">
    <w:name w:val="Unresolved Mention"/>
    <w:basedOn w:val="DefaultParagraphFont"/>
    <w:uiPriority w:val="99"/>
    <w:semiHidden/>
    <w:unhideWhenUsed/>
    <w:rsid w:val="000723EC"/>
    <w:rPr>
      <w:color w:val="605E5C"/>
      <w:shd w:val="clear" w:color="auto" w:fill="E1DFDD"/>
    </w:rPr>
  </w:style>
  <w:style w:type="table" w:styleId="GridTable1LightAccent5">
    <w:name w:val="Grid Table 1 Light Accent 5"/>
    <w:basedOn w:val="TableNormal"/>
    <w:uiPriority w:val="46"/>
    <w:rsid w:val="000723EC"/>
    <w:pPr>
      <w:spacing w:after="0" w:line="240" w:lineRule="auto"/>
    </w:pPr>
    <w:rPr>
      <w:rFonts w:asciiTheme="minorHAnsi" w:hAnsiTheme="minorHAnsi" w:cstheme="minorBidi"/>
      <w:kern w:val="2"/>
      <w:sz w:val="22"/>
      <w14:ligatures w14:val="standardContextu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
    <w:name w:val="Table Grid"/>
    <w:basedOn w:val="TableNormal"/>
    <w:uiPriority w:val="39"/>
    <w:rsid w:val="000723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0723EC"/>
    <w:pPr>
      <w:numPr>
        <w:numId w:val="7"/>
      </w:numPr>
      <w:overflowPunct/>
      <w:autoSpaceDE/>
      <w:autoSpaceDN/>
      <w:adjustRightInd/>
      <w:spacing w:after="200" w:line="276" w:lineRule="auto"/>
      <w:contextualSpacing/>
      <w:textAlignment w:val="auto"/>
    </w:pPr>
    <w:rPr>
      <w:rFonts w:asciiTheme="minorHAnsi" w:eastAsiaTheme="minorHAnsi" w:hAnsiTheme="minorHAnsi" w:cstheme="minorBidi"/>
      <w:sz w:val="22"/>
      <w:szCs w:val="22"/>
    </w:rPr>
  </w:style>
  <w:style w:type="character" w:customStyle="1" w:styleId="ui-provider">
    <w:name w:val="ui-provider"/>
    <w:basedOn w:val="DefaultParagraphFont"/>
    <w:rsid w:val="000723EC"/>
  </w:style>
  <w:style w:type="character" w:customStyle="1" w:styleId="tabchar">
    <w:name w:val="tabchar"/>
    <w:basedOn w:val="DefaultParagraphFont"/>
    <w:rsid w:val="000723EC"/>
  </w:style>
  <w:style w:type="character" w:customStyle="1" w:styleId="scxw84606509">
    <w:name w:val="scxw84606509"/>
    <w:basedOn w:val="DefaultParagraphFont"/>
    <w:rsid w:val="000723EC"/>
  </w:style>
  <w:style w:type="paragraph" w:customStyle="1" w:styleId="msonormal">
    <w:name w:val="msonormal"/>
    <w:basedOn w:val="Normal"/>
    <w:rsid w:val="000723EC"/>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textrun">
    <w:name w:val="textrun"/>
    <w:basedOn w:val="DefaultParagraphFont"/>
    <w:rsid w:val="000723EC"/>
  </w:style>
  <w:style w:type="paragraph" w:customStyle="1" w:styleId="outlineelement">
    <w:name w:val="outlineelement"/>
    <w:basedOn w:val="Normal"/>
    <w:rsid w:val="000723EC"/>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tabrun">
    <w:name w:val="tabrun"/>
    <w:basedOn w:val="DefaultParagraphFont"/>
    <w:rsid w:val="000723EC"/>
  </w:style>
  <w:style w:type="character" w:customStyle="1" w:styleId="tableaderchars">
    <w:name w:val="tableaderchars"/>
    <w:basedOn w:val="DefaultParagraphFont"/>
    <w:rsid w:val="000723EC"/>
  </w:style>
  <w:style w:type="character" w:customStyle="1" w:styleId="pagebreakblob">
    <w:name w:val="pagebreakblob"/>
    <w:basedOn w:val="DefaultParagraphFont"/>
    <w:rsid w:val="000723EC"/>
  </w:style>
  <w:style w:type="character" w:customStyle="1" w:styleId="pagebreakborderspan">
    <w:name w:val="pagebreakborderspan"/>
    <w:basedOn w:val="DefaultParagraphFont"/>
    <w:rsid w:val="000723EC"/>
  </w:style>
  <w:style w:type="character" w:customStyle="1" w:styleId="pagebreaktextspan">
    <w:name w:val="pagebreaktextspan"/>
    <w:basedOn w:val="DefaultParagraphFont"/>
    <w:rsid w:val="000723EC"/>
  </w:style>
  <w:style w:type="character" w:customStyle="1" w:styleId="linebreakblob">
    <w:name w:val="linebreakblob"/>
    <w:basedOn w:val="DefaultParagraphFont"/>
    <w:rsid w:val="000723EC"/>
  </w:style>
  <w:style w:type="character" w:customStyle="1" w:styleId="scxw267053920">
    <w:name w:val="scxw267053920"/>
    <w:basedOn w:val="DefaultParagraphFont"/>
    <w:rsid w:val="000723EC"/>
  </w:style>
  <w:style w:type="character" w:customStyle="1" w:styleId="scxw165103986">
    <w:name w:val="scxw165103986"/>
    <w:basedOn w:val="DefaultParagraphFont"/>
    <w:rsid w:val="000723EC"/>
  </w:style>
  <w:style w:type="paragraph" w:styleId="NoSpacing">
    <w:name w:val="No Spacing"/>
    <w:uiPriority w:val="1"/>
    <w:qFormat/>
    <w:rsid w:val="000723EC"/>
    <w:pPr>
      <w:spacing w:after="0" w:line="240" w:lineRule="auto"/>
    </w:pPr>
    <w:rPr>
      <w:rFonts w:asciiTheme="minorHAnsi" w:hAnsiTheme="minorHAnsi" w:cstheme="minorBidi"/>
      <w:sz w:val="22"/>
    </w:rPr>
  </w:style>
  <w:style w:type="character" w:styleId="Mention">
    <w:name w:val="Mention"/>
    <w:basedOn w:val="DefaultParagraphFont"/>
    <w:uiPriority w:val="99"/>
    <w:unhideWhenUsed/>
    <w:rsid w:val="000723EC"/>
    <w:rPr>
      <w:color w:val="2B579A"/>
      <w:shd w:val="clear" w:color="auto" w:fill="E1DFDD"/>
    </w:rPr>
  </w:style>
  <w:style w:type="character" w:customStyle="1" w:styleId="scxw39855772">
    <w:name w:val="scxw39855772"/>
    <w:basedOn w:val="DefaultParagraphFont"/>
    <w:rsid w:val="000723EC"/>
  </w:style>
  <w:style w:type="character" w:customStyle="1" w:styleId="scxw206667429">
    <w:name w:val="scxw206667429"/>
    <w:basedOn w:val="DefaultParagraphFont"/>
    <w:rsid w:val="000723EC"/>
  </w:style>
  <w:style w:type="character" w:customStyle="1" w:styleId="scxw69738533">
    <w:name w:val="scxw69738533"/>
    <w:basedOn w:val="DefaultParagraphFont"/>
    <w:rsid w:val="000723EC"/>
  </w:style>
  <w:style w:type="paragraph" w:styleId="TOCHeading">
    <w:name w:val="TOC Heading"/>
    <w:basedOn w:val="Heading1"/>
    <w:next w:val="Normal"/>
    <w:uiPriority w:val="39"/>
    <w:unhideWhenUsed/>
    <w:qFormat/>
    <w:rsid w:val="000723EC"/>
    <w:pPr>
      <w:overflowPunct/>
      <w:autoSpaceDE/>
      <w:autoSpaceDN/>
      <w:adjustRightInd/>
      <w:spacing w:line="259" w:lineRule="auto"/>
      <w:textAlignment w:val="auto"/>
      <w:outlineLvl w:val="9"/>
    </w:pPr>
  </w:style>
  <w:style w:type="paragraph" w:styleId="TOC1">
    <w:name w:val="toc 1"/>
    <w:basedOn w:val="Normal"/>
    <w:next w:val="Normal"/>
    <w:autoRedefine/>
    <w:uiPriority w:val="39"/>
    <w:unhideWhenUsed/>
    <w:rsid w:val="000723EC"/>
    <w:pPr>
      <w:tabs>
        <w:tab w:val="right" w:leader="dot" w:pos="10070"/>
      </w:tabs>
      <w:spacing w:after="100"/>
    </w:pPr>
  </w:style>
  <w:style w:type="paragraph" w:styleId="TOC2">
    <w:name w:val="toc 2"/>
    <w:basedOn w:val="Normal"/>
    <w:next w:val="Normal"/>
    <w:autoRedefine/>
    <w:uiPriority w:val="39"/>
    <w:unhideWhenUsed/>
    <w:rsid w:val="000723EC"/>
    <w:pPr>
      <w:spacing w:after="100"/>
      <w:ind w:left="240"/>
    </w:pPr>
  </w:style>
  <w:style w:type="character" w:styleId="Strong">
    <w:name w:val="Strong"/>
    <w:basedOn w:val="DefaultParagraphFont"/>
    <w:uiPriority w:val="22"/>
    <w:qFormat/>
    <w:rsid w:val="000723EC"/>
    <w:rPr>
      <w:b/>
      <w:bCs/>
    </w:rPr>
  </w:style>
  <w:style w:type="paragraph" w:customStyle="1" w:styleId="pf0">
    <w:name w:val="pf0"/>
    <w:basedOn w:val="Normal"/>
    <w:rsid w:val="000723EC"/>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f01">
    <w:name w:val="cf01"/>
    <w:basedOn w:val="DefaultParagraphFont"/>
    <w:rsid w:val="000723EC"/>
    <w:rPr>
      <w:rFonts w:ascii="Segoe UI" w:hAnsi="Segoe UI" w:cs="Segoe UI" w:hint="default"/>
      <w:sz w:val="18"/>
      <w:szCs w:val="18"/>
    </w:rPr>
  </w:style>
  <w:style w:type="character" w:customStyle="1" w:styleId="ReferencesChar">
    <w:name w:val="References Char"/>
    <w:link w:val="References"/>
    <w:locked/>
    <w:rsid w:val="000723EC"/>
    <w:rPr>
      <w:rFonts w:eastAsia="Calibri"/>
    </w:rPr>
  </w:style>
  <w:style w:type="paragraph" w:customStyle="1" w:styleId="References">
    <w:name w:val="References"/>
    <w:basedOn w:val="Normal"/>
    <w:link w:val="ReferencesChar"/>
    <w:qFormat/>
    <w:rsid w:val="000723EC"/>
    <w:pPr>
      <w:overflowPunct/>
      <w:autoSpaceDE/>
      <w:autoSpaceDN/>
      <w:adjustRightInd/>
      <w:spacing w:after="200"/>
      <w:ind w:left="720" w:hanging="720"/>
      <w:textAlignment w:val="auto"/>
    </w:pPr>
    <w:rPr>
      <w:rFonts w:ascii="Times New Roman" w:eastAsia="Calibri" w:hAnsi="Times New Roman"/>
      <w:szCs w:val="22"/>
    </w:rPr>
  </w:style>
  <w:style w:type="paragraph" w:customStyle="1" w:styleId="xmsonormal">
    <w:name w:val="x_msonormal"/>
    <w:basedOn w:val="Normal"/>
    <w:rsid w:val="006F1DCD"/>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opm.gov/policy-data-oversight/pay-leave/salaries-wages/salary-tables/pdf/2024/RUS_h.pdf" TargetMode="External" /><Relationship Id="rId9" Type="http://schemas.openxmlformats.org/officeDocument/2006/relationships/hyperlink" Target="https://www.whitehouse.gov/omb/information-for-agencies/memoranda/" TargetMode="External" /></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E65BF1-27D5-487A-A4EE-AE628EE37D44}" type="doc">
      <dgm:prSet loTypeId="urn:microsoft.com/office/officeart/2005/8/layout/vList6" loCatId="process" qsTypeId="urn:microsoft.com/office/officeart/2005/8/quickstyle/simple1" qsCatId="simple" csTypeId="urn:microsoft.com/office/officeart/2005/8/colors/accent1_5" csCatId="accent1" phldr="1"/>
      <dgm:spPr/>
      <dgm:t>
        <a:bodyPr/>
        <a:lstStyle/>
        <a:p>
          <a:endParaRPr lang="en-US"/>
        </a:p>
      </dgm:t>
    </dgm:pt>
    <dgm:pt modelId="{7911ED47-E3D7-4C27-BD21-81AF304BE032}">
      <dgm:prSet phldrT="[Text]" custT="1"/>
      <dgm:spPr/>
      <dgm:t>
        <a:bodyPr/>
        <a:lstStyle/>
        <a:p>
          <a:r>
            <a:rPr lang="en-US" sz="1000"/>
            <a:t>Surveys, focus groups, interviews</a:t>
          </a:r>
        </a:p>
      </dgm:t>
    </dgm:pt>
    <dgm:pt modelId="{99F79790-353D-4F31-9FC4-643C140A962E}" type="parTrans" cxnId="{A8CE6F06-89C1-4272-A2D4-983FDBCAE5ED}">
      <dgm:prSet/>
      <dgm:spPr/>
      <dgm:t>
        <a:bodyPr/>
        <a:lstStyle/>
        <a:p>
          <a:endParaRPr lang="en-US"/>
        </a:p>
      </dgm:t>
    </dgm:pt>
    <dgm:pt modelId="{8EDBBE6F-C895-4E3D-B8C9-9C3ABF1DCE47}" type="sibTrans" cxnId="{A8CE6F06-89C1-4272-A2D4-983FDBCAE5ED}">
      <dgm:prSet/>
      <dgm:spPr/>
      <dgm:t>
        <a:bodyPr/>
        <a:lstStyle/>
        <a:p>
          <a:endParaRPr lang="en-US"/>
        </a:p>
      </dgm:t>
    </dgm:pt>
    <dgm:pt modelId="{DA2C2BD0-72CB-48A5-A287-959176FDEEEE}">
      <dgm:prSet phldrT="[Text]" custT="1"/>
      <dgm:spPr/>
      <dgm:t>
        <a:bodyPr/>
        <a:lstStyle/>
        <a:p>
          <a:r>
            <a:rPr lang="en-US" sz="1000"/>
            <a:t>FGP, SCP, RSVP -- volunteers, caregivers, clients, station staff, grantee</a:t>
          </a:r>
        </a:p>
      </dgm:t>
    </dgm:pt>
    <dgm:pt modelId="{5DCAAC27-973E-45EB-ABEA-80DB661A68D3}" type="parTrans" cxnId="{ACE0D6AF-F5CF-4526-A47A-2D28CAFAA022}">
      <dgm:prSet/>
      <dgm:spPr/>
      <dgm:t>
        <a:bodyPr/>
        <a:lstStyle/>
        <a:p>
          <a:endParaRPr lang="en-US"/>
        </a:p>
      </dgm:t>
    </dgm:pt>
    <dgm:pt modelId="{C276A52F-C80A-4C1D-865C-4B0A2829AAC1}" type="sibTrans" cxnId="{ACE0D6AF-F5CF-4526-A47A-2D28CAFAA022}">
      <dgm:prSet/>
      <dgm:spPr/>
      <dgm:t>
        <a:bodyPr/>
        <a:lstStyle/>
        <a:p>
          <a:endParaRPr lang="en-US"/>
        </a:p>
      </dgm:t>
    </dgm:pt>
    <dgm:pt modelId="{EEE880FE-957E-459F-A8EB-8F44DEEE58C7}">
      <dgm:prSet phldrT="[Text]" custT="1"/>
      <dgm:spPr/>
      <dgm:t>
        <a:bodyPr/>
        <a:lstStyle/>
        <a:p>
          <a:r>
            <a:rPr lang="en-US" sz="1000"/>
            <a:t>Data collection occurs 6/2024 - 11/2024</a:t>
          </a:r>
        </a:p>
      </dgm:t>
    </dgm:pt>
    <dgm:pt modelId="{822D238A-2F71-41DA-AFEC-AE578DBF2072}" type="parTrans" cxnId="{A3F73E42-B226-45D9-9AF4-990D83FAB77A}">
      <dgm:prSet/>
      <dgm:spPr/>
      <dgm:t>
        <a:bodyPr/>
        <a:lstStyle/>
        <a:p>
          <a:endParaRPr lang="en-US"/>
        </a:p>
      </dgm:t>
    </dgm:pt>
    <dgm:pt modelId="{575370B1-9380-4700-8059-2F81C5DD7321}" type="sibTrans" cxnId="{A3F73E42-B226-45D9-9AF4-990D83FAB77A}">
      <dgm:prSet/>
      <dgm:spPr/>
      <dgm:t>
        <a:bodyPr/>
        <a:lstStyle/>
        <a:p>
          <a:endParaRPr lang="en-US"/>
        </a:p>
      </dgm:t>
    </dgm:pt>
    <dgm:pt modelId="{B72F4079-DCED-4C18-BFD5-D248CB86D8DE}">
      <dgm:prSet phldrT="[Text]" custT="1"/>
      <dgm:spPr/>
      <dgm:t>
        <a:bodyPr/>
        <a:lstStyle/>
        <a:p>
          <a:r>
            <a:rPr lang="en-US" sz="1000"/>
            <a:t>FGP, SCP, RSVP -- volunteer surveys, caregiver and client surveys, station staff survey, grantee focus groups</a:t>
          </a:r>
        </a:p>
      </dgm:t>
    </dgm:pt>
    <dgm:pt modelId="{656D96D1-46D4-4499-A5AB-BB088844EA29}" type="parTrans" cxnId="{6F3ED153-307C-4E9E-9102-4920048BADFA}">
      <dgm:prSet/>
      <dgm:spPr/>
      <dgm:t>
        <a:bodyPr/>
        <a:lstStyle/>
        <a:p>
          <a:endParaRPr lang="en-US"/>
        </a:p>
      </dgm:t>
    </dgm:pt>
    <dgm:pt modelId="{E58968CA-5FE2-47A9-B821-54E789D2764C}" type="sibTrans" cxnId="{6F3ED153-307C-4E9E-9102-4920048BADFA}">
      <dgm:prSet/>
      <dgm:spPr/>
      <dgm:t>
        <a:bodyPr/>
        <a:lstStyle/>
        <a:p>
          <a:endParaRPr lang="en-US"/>
        </a:p>
      </dgm:t>
    </dgm:pt>
    <dgm:pt modelId="{0B4E3599-A849-49C4-8C99-F606D4D725D7}">
      <dgm:prSet phldrT="[Text]" custT="1"/>
      <dgm:spPr/>
      <dgm:t>
        <a:bodyPr/>
        <a:lstStyle/>
        <a:p>
          <a:r>
            <a:rPr lang="en-US" sz="1000"/>
            <a:t>Analysis occurs 12/2024-4/2025</a:t>
          </a:r>
        </a:p>
      </dgm:t>
    </dgm:pt>
    <dgm:pt modelId="{FB73A1F4-BABC-442A-B951-B327009DBB3A}" type="parTrans" cxnId="{503CF896-CE45-4540-85DB-C893C1526C84}">
      <dgm:prSet/>
      <dgm:spPr/>
      <dgm:t>
        <a:bodyPr/>
        <a:lstStyle/>
        <a:p>
          <a:endParaRPr lang="en-US"/>
        </a:p>
      </dgm:t>
    </dgm:pt>
    <dgm:pt modelId="{15A18910-D711-4DB7-B11E-B2C2C87EB190}" type="sibTrans" cxnId="{503CF896-CE45-4540-85DB-C893C1526C84}">
      <dgm:prSet/>
      <dgm:spPr/>
      <dgm:t>
        <a:bodyPr/>
        <a:lstStyle/>
        <a:p>
          <a:endParaRPr lang="en-US"/>
        </a:p>
      </dgm:t>
    </dgm:pt>
    <dgm:pt modelId="{9F921871-B9C6-4D63-B536-776888855DEF}">
      <dgm:prSet phldrT="[Text]" custT="1"/>
      <dgm:spPr/>
      <dgm:t>
        <a:bodyPr/>
        <a:lstStyle/>
        <a:p>
          <a:endParaRPr lang="en-US" sz="800"/>
        </a:p>
      </dgm:t>
    </dgm:pt>
    <dgm:pt modelId="{9C19FBBB-F4C6-42B3-B940-F680FC82E806}" type="parTrans" cxnId="{F27FF2A3-C4A3-4E55-8E71-43689D8CCCF6}">
      <dgm:prSet/>
      <dgm:spPr/>
      <dgm:t>
        <a:bodyPr/>
        <a:lstStyle/>
        <a:p>
          <a:endParaRPr lang="en-US"/>
        </a:p>
      </dgm:t>
    </dgm:pt>
    <dgm:pt modelId="{A0578430-2A06-4DF3-B130-A6CDD765A99B}" type="sibTrans" cxnId="{F27FF2A3-C4A3-4E55-8E71-43689D8CCCF6}">
      <dgm:prSet/>
      <dgm:spPr/>
      <dgm:t>
        <a:bodyPr/>
        <a:lstStyle/>
        <a:p>
          <a:endParaRPr lang="en-US"/>
        </a:p>
      </dgm:t>
    </dgm:pt>
    <dgm:pt modelId="{EB3E4A2B-7F87-4946-82A4-BE8E7EE68F6C}">
      <dgm:prSet phldrT="[Text]" custT="1"/>
      <dgm:spPr/>
      <dgm:t>
        <a:bodyPr/>
        <a:lstStyle/>
        <a:p>
          <a:r>
            <a:rPr lang="en-US" sz="1000"/>
            <a:t>Reporting occurs 5/2025-8/2025</a:t>
          </a:r>
        </a:p>
      </dgm:t>
    </dgm:pt>
    <dgm:pt modelId="{F0DFFF06-8882-470D-AD35-731C0D104E59}" type="parTrans" cxnId="{C30C78E9-7F90-457B-AEFE-B8B702D09476}">
      <dgm:prSet/>
      <dgm:spPr/>
      <dgm:t>
        <a:bodyPr/>
        <a:lstStyle/>
        <a:p>
          <a:endParaRPr lang="en-US"/>
        </a:p>
      </dgm:t>
    </dgm:pt>
    <dgm:pt modelId="{5DE67937-0C75-4F71-991C-478391198741}" type="sibTrans" cxnId="{C30C78E9-7F90-457B-AEFE-B8B702D09476}">
      <dgm:prSet/>
      <dgm:spPr/>
      <dgm:t>
        <a:bodyPr/>
        <a:lstStyle/>
        <a:p>
          <a:endParaRPr lang="en-US"/>
        </a:p>
      </dgm:t>
    </dgm:pt>
    <dgm:pt modelId="{31DD34A6-2AEC-4370-B1DC-0D71377A9947}">
      <dgm:prSet custT="1"/>
      <dgm:spPr>
        <a:xfrm>
          <a:off x="3665219" y="3205553"/>
          <a:ext cx="5497830" cy="414039"/>
        </a:xfrm>
      </dgm:spPr>
      <dgm:t>
        <a:bodyPr/>
        <a:lstStyle/>
        <a:p>
          <a:pPr algn="l">
            <a:spcBef>
              <a:spcPts val="600"/>
            </a:spcBef>
            <a:buChar char="•"/>
          </a:pPr>
          <a:r>
            <a:rPr lang="en-US" sz="1000"/>
            <a:t>JBS analyzes the data</a:t>
          </a:r>
        </a:p>
      </dgm:t>
    </dgm:pt>
    <dgm:pt modelId="{3EEF1948-DE6A-41BE-8B75-52CCA93F2093}" type="parTrans" cxnId="{1B77E49E-BCF6-43C7-A1FE-82B4DBCF312A}">
      <dgm:prSet/>
      <dgm:spPr/>
      <dgm:t>
        <a:bodyPr/>
        <a:lstStyle/>
        <a:p>
          <a:endParaRPr lang="en-US"/>
        </a:p>
      </dgm:t>
    </dgm:pt>
    <dgm:pt modelId="{83D170F6-B9F7-4F34-BD63-98B3630B3915}" type="sibTrans" cxnId="{1B77E49E-BCF6-43C7-A1FE-82B4DBCF312A}">
      <dgm:prSet/>
      <dgm:spPr/>
      <dgm:t>
        <a:bodyPr/>
        <a:lstStyle/>
        <a:p>
          <a:endParaRPr lang="en-US"/>
        </a:p>
      </dgm:t>
    </dgm:pt>
    <dgm:pt modelId="{A0F58548-D6A4-4EDB-8067-EAD339FFB4F4}">
      <dgm:prSet custT="1"/>
      <dgm:spPr>
        <a:xfrm>
          <a:off x="3665219" y="3205553"/>
          <a:ext cx="5497830" cy="414039"/>
        </a:xfrm>
      </dgm:spPr>
      <dgm:t>
        <a:bodyPr/>
        <a:lstStyle/>
        <a:p>
          <a:pPr>
            <a:buChar char="•"/>
          </a:pPr>
          <a:r>
            <a:rPr lang="en-US" sz="1000"/>
            <a:t>JBS and ORE collaborates to disseminate the findings as per Communication Plan</a:t>
          </a:r>
        </a:p>
      </dgm:t>
    </dgm:pt>
    <dgm:pt modelId="{77525557-A220-4838-BEF7-9F18473FBD6A}" type="parTrans" cxnId="{75E1717F-406A-4FF2-B687-383B0A6B2506}">
      <dgm:prSet/>
      <dgm:spPr/>
      <dgm:t>
        <a:bodyPr/>
        <a:lstStyle/>
        <a:p>
          <a:endParaRPr lang="en-US"/>
        </a:p>
      </dgm:t>
    </dgm:pt>
    <dgm:pt modelId="{D7DFB3F2-89B3-405F-93CA-1FA65F676F5D}" type="sibTrans" cxnId="{75E1717F-406A-4FF2-B687-383B0A6B2506}">
      <dgm:prSet/>
      <dgm:spPr/>
      <dgm:t>
        <a:bodyPr/>
        <a:lstStyle/>
        <a:p>
          <a:endParaRPr lang="en-US"/>
        </a:p>
      </dgm:t>
    </dgm:pt>
    <dgm:pt modelId="{2E13BB78-03F2-49FC-93F4-E69A7F9B389D}">
      <dgm:prSet phldrT="[Text]" custT="1"/>
      <dgm:spPr/>
      <dgm:t>
        <a:bodyPr/>
        <a:lstStyle/>
        <a:p>
          <a:r>
            <a:rPr lang="en-US" sz="1000"/>
            <a:t>SDP -- grantee, station staff, and volunteer interviews</a:t>
          </a:r>
        </a:p>
      </dgm:t>
    </dgm:pt>
    <dgm:pt modelId="{7015787C-7BE3-4ADC-BA7A-BFA487D13B57}" type="sibTrans" cxnId="{D46573F4-0F3D-46A1-9618-7A68119F5EF2}">
      <dgm:prSet/>
      <dgm:spPr/>
      <dgm:t>
        <a:bodyPr/>
        <a:lstStyle/>
        <a:p>
          <a:endParaRPr lang="en-US"/>
        </a:p>
      </dgm:t>
    </dgm:pt>
    <dgm:pt modelId="{A6A9A9F5-E248-4771-AF37-F717F400D1DD}" type="parTrans" cxnId="{D46573F4-0F3D-46A1-9618-7A68119F5EF2}">
      <dgm:prSet/>
      <dgm:spPr/>
      <dgm:t>
        <a:bodyPr/>
        <a:lstStyle/>
        <a:p>
          <a:endParaRPr lang="en-US"/>
        </a:p>
      </dgm:t>
    </dgm:pt>
    <dgm:pt modelId="{06FB4BAD-305D-4DBD-B0C7-69B56DBCE706}">
      <dgm:prSet phldrT="[Text]" custT="1"/>
      <dgm:spPr/>
      <dgm:t>
        <a:bodyPr/>
        <a:lstStyle/>
        <a:p>
          <a:r>
            <a:rPr lang="en-US" sz="1000"/>
            <a:t>SDP -- grantee, station staff, and volunteer</a:t>
          </a:r>
        </a:p>
      </dgm:t>
    </dgm:pt>
    <dgm:pt modelId="{8BB20E8D-9782-4326-AAB5-93A366742DB7}" type="sibTrans" cxnId="{71A06266-264A-4F44-B641-82B80F95E812}">
      <dgm:prSet/>
      <dgm:spPr/>
      <dgm:t>
        <a:bodyPr/>
        <a:lstStyle/>
        <a:p>
          <a:endParaRPr lang="en-US"/>
        </a:p>
      </dgm:t>
    </dgm:pt>
    <dgm:pt modelId="{3783FA12-0D20-4FC3-A876-DE542315435C}" type="parTrans" cxnId="{71A06266-264A-4F44-B641-82B80F95E812}">
      <dgm:prSet/>
      <dgm:spPr/>
      <dgm:t>
        <a:bodyPr/>
        <a:lstStyle/>
        <a:p>
          <a:endParaRPr lang="en-US"/>
        </a:p>
      </dgm:t>
    </dgm:pt>
    <dgm:pt modelId="{B586E7DB-A6D2-4A3A-8CCB-6C15B18A81B7}" type="pres">
      <dgm:prSet presAssocID="{9FE65BF1-27D5-487A-A4EE-AE628EE37D44}" presName="Name0" presStyleCnt="0">
        <dgm:presLayoutVars>
          <dgm:dir val="norm"/>
          <dgm:animLvl val="lvl"/>
          <dgm:resizeHandles val="rel"/>
        </dgm:presLayoutVars>
      </dgm:prSet>
      <dgm:spPr/>
    </dgm:pt>
    <dgm:pt modelId="{2DF1E708-E5F1-4550-B3C8-5E28F712FD8A}" type="pres">
      <dgm:prSet presAssocID="{7911ED47-E3D7-4C27-BD21-81AF304BE032}" presName="linNode" presStyleCnt="0"/>
      <dgm:spPr/>
    </dgm:pt>
    <dgm:pt modelId="{574C98D0-D8D5-4D26-9C51-B837068D6D6B}" type="pres">
      <dgm:prSet presAssocID="{7911ED47-E3D7-4C27-BD21-81AF304BE032}" presName="parentShp" presStyleLbl="node1" presStyleIdx="0" presStyleCnt="4" custScaleY="524736">
        <dgm:presLayoutVars>
          <dgm:bulletEnabled val="1"/>
        </dgm:presLayoutVars>
      </dgm:prSet>
      <dgm:spPr/>
    </dgm:pt>
    <dgm:pt modelId="{6229EE26-40FE-46C3-BBF6-BD75D945755D}" type="pres">
      <dgm:prSet presAssocID="{7911ED47-E3D7-4C27-BD21-81AF304BE032}" presName="childShp" presStyleLbl="bgAccFollowNode1" presStyleIdx="0" presStyleCnt="4" custScaleY="725614">
        <dgm:presLayoutVars>
          <dgm:bulletEnabled val="1"/>
        </dgm:presLayoutVars>
      </dgm:prSet>
      <dgm:spPr/>
    </dgm:pt>
    <dgm:pt modelId="{73E8AF05-F5FD-4C98-B939-3B28756D63DE}" type="pres">
      <dgm:prSet presAssocID="{8EDBBE6F-C895-4E3D-B8C9-9C3ABF1DCE47}" presName="spacing" presStyleCnt="0"/>
      <dgm:spPr/>
    </dgm:pt>
    <dgm:pt modelId="{6EDB26C8-1264-4DF9-8E31-F678E2EC0A52}" type="pres">
      <dgm:prSet presAssocID="{EEE880FE-957E-459F-A8EB-8F44DEEE58C7}" presName="linNode" presStyleCnt="0"/>
      <dgm:spPr/>
    </dgm:pt>
    <dgm:pt modelId="{04B0ECC3-0A3A-4683-942B-F9106ADE1C91}" type="pres">
      <dgm:prSet presAssocID="{EEE880FE-957E-459F-A8EB-8F44DEEE58C7}" presName="parentShp" presStyleLbl="node1" presStyleIdx="1" presStyleCnt="4" custScaleY="524736">
        <dgm:presLayoutVars>
          <dgm:bulletEnabled val="1"/>
        </dgm:presLayoutVars>
      </dgm:prSet>
      <dgm:spPr/>
    </dgm:pt>
    <dgm:pt modelId="{383BB83B-B2BE-48CC-B54F-C7570DEF8101}" type="pres">
      <dgm:prSet presAssocID="{EEE880FE-957E-459F-A8EB-8F44DEEE58C7}" presName="childShp" presStyleLbl="bgAccFollowNode1" presStyleIdx="1" presStyleCnt="4" custScaleY="731524">
        <dgm:presLayoutVars>
          <dgm:bulletEnabled val="1"/>
        </dgm:presLayoutVars>
      </dgm:prSet>
      <dgm:spPr/>
    </dgm:pt>
    <dgm:pt modelId="{C0BCF1F5-B742-460D-AEFE-8026168A0CE1}" type="pres">
      <dgm:prSet presAssocID="{575370B1-9380-4700-8059-2F81C5DD7321}" presName="spacing" presStyleCnt="0"/>
      <dgm:spPr/>
    </dgm:pt>
    <dgm:pt modelId="{88C942EB-6CB4-4CC5-B35B-139BDED2D0A7}" type="pres">
      <dgm:prSet presAssocID="{0B4E3599-A849-49C4-8C99-F606D4D725D7}" presName="linNode" presStyleCnt="0"/>
      <dgm:spPr/>
    </dgm:pt>
    <dgm:pt modelId="{E45F0964-0B19-4052-A71A-7BB59A274590}" type="pres">
      <dgm:prSet presAssocID="{0B4E3599-A849-49C4-8C99-F606D4D725D7}" presName="parentShp" presStyleLbl="node1" presStyleIdx="2" presStyleCnt="4" custScaleY="528196">
        <dgm:presLayoutVars>
          <dgm:bulletEnabled val="1"/>
        </dgm:presLayoutVars>
      </dgm:prSet>
      <dgm:spPr/>
    </dgm:pt>
    <dgm:pt modelId="{7E29728C-CAAF-4BE1-B6C5-841C1CF3553B}" type="pres">
      <dgm:prSet presAssocID="{0B4E3599-A849-49C4-8C99-F606D4D725D7}" presName="childShp" presStyleLbl="bgAccFollowNode1" presStyleIdx="2" presStyleCnt="4" custScaleY="741291">
        <dgm:presLayoutVars>
          <dgm:bulletEnabled val="1"/>
        </dgm:presLayoutVars>
      </dgm:prSet>
      <dgm:spPr>
        <a:prstGeom prst="rightArrow">
          <a:avLst>
            <a:gd name="adj1" fmla="val 75000"/>
            <a:gd name="adj2" fmla="val 50000"/>
          </a:avLst>
        </a:prstGeom>
      </dgm:spPr>
    </dgm:pt>
    <dgm:pt modelId="{6E6444DF-99B2-47BA-9F0D-94A1D73D3E8D}" type="pres">
      <dgm:prSet presAssocID="{15A18910-D711-4DB7-B11E-B2C2C87EB190}" presName="spacing" presStyleCnt="0"/>
      <dgm:spPr/>
    </dgm:pt>
    <dgm:pt modelId="{3BF83002-1F33-421F-9680-ABB5AF127FB0}" type="pres">
      <dgm:prSet presAssocID="{EB3E4A2B-7F87-4946-82A4-BE8E7EE68F6C}" presName="linNode" presStyleCnt="0"/>
      <dgm:spPr/>
    </dgm:pt>
    <dgm:pt modelId="{D05747D2-6045-4DAF-A4C7-520C24BFB243}" type="pres">
      <dgm:prSet presAssocID="{EB3E4A2B-7F87-4946-82A4-BE8E7EE68F6C}" presName="parentShp" presStyleLbl="node1" presStyleIdx="3" presStyleCnt="4" custScaleY="528196">
        <dgm:presLayoutVars>
          <dgm:bulletEnabled val="1"/>
        </dgm:presLayoutVars>
      </dgm:prSet>
      <dgm:spPr/>
    </dgm:pt>
    <dgm:pt modelId="{E6F4679A-0E88-4BFB-A9FC-682821557CDF}" type="pres">
      <dgm:prSet presAssocID="{EB3E4A2B-7F87-4946-82A4-BE8E7EE68F6C}" presName="childShp" presStyleLbl="bgAccFollowNode1" presStyleIdx="3" presStyleCnt="4" custScaleY="673395">
        <dgm:presLayoutVars>
          <dgm:bulletEnabled val="1"/>
        </dgm:presLayoutVars>
      </dgm:prSet>
      <dgm:spPr>
        <a:prstGeom prst="rightArrow">
          <a:avLst>
            <a:gd name="adj1" fmla="val 75000"/>
            <a:gd name="adj2" fmla="val 50000"/>
          </a:avLst>
        </a:prstGeom>
      </dgm:spPr>
    </dgm:pt>
  </dgm:ptLst>
  <dgm:cxnLst>
    <dgm:cxn modelId="{3A34D500-BFC9-4848-A8B6-8BBAD9C025BB}" type="presOf" srcId="{31DD34A6-2AEC-4370-B1DC-0D71377A9947}" destId="{7E29728C-CAAF-4BE1-B6C5-841C1CF3553B}" srcOrd="0" destOrd="0" presId="urn:microsoft.com/office/officeart/2005/8/layout/vList6"/>
    <dgm:cxn modelId="{A8CE6F06-89C1-4272-A2D4-983FDBCAE5ED}" srcId="{9FE65BF1-27D5-487A-A4EE-AE628EE37D44}" destId="{7911ED47-E3D7-4C27-BD21-81AF304BE032}" srcOrd="0" destOrd="0" parTransId="{99F79790-353D-4F31-9FC4-643C140A962E}" sibTransId="{8EDBBE6F-C895-4E3D-B8C9-9C3ABF1DCE47}"/>
    <dgm:cxn modelId="{3FC0180A-157C-46EA-940A-4AA4E81ECDE7}" type="presOf" srcId="{9FE65BF1-27D5-487A-A4EE-AE628EE37D44}" destId="{B586E7DB-A6D2-4A3A-8CCB-6C15B18A81B7}" srcOrd="0" destOrd="0" presId="urn:microsoft.com/office/officeart/2005/8/layout/vList6"/>
    <dgm:cxn modelId="{E52D4E1A-D980-4225-BDFA-6CA225B33EDD}" type="presOf" srcId="{EB3E4A2B-7F87-4946-82A4-BE8E7EE68F6C}" destId="{D05747D2-6045-4DAF-A4C7-520C24BFB243}" srcOrd="0" destOrd="0" presId="urn:microsoft.com/office/officeart/2005/8/layout/vList6"/>
    <dgm:cxn modelId="{216CE22B-49CE-482C-8588-91CB2B6CE2A2}" type="presOf" srcId="{06FB4BAD-305D-4DBD-B0C7-69B56DBCE706}" destId="{6229EE26-40FE-46C3-BBF6-BD75D945755D}" srcOrd="0" destOrd="1" presId="urn:microsoft.com/office/officeart/2005/8/layout/vList6"/>
    <dgm:cxn modelId="{A3F73E42-B226-45D9-9AF4-990D83FAB77A}" srcId="{9FE65BF1-27D5-487A-A4EE-AE628EE37D44}" destId="{EEE880FE-957E-459F-A8EB-8F44DEEE58C7}" srcOrd="1" destOrd="0" parTransId="{822D238A-2F71-41DA-AFEC-AE578DBF2072}" sibTransId="{575370B1-9380-4700-8059-2F81C5DD7321}"/>
    <dgm:cxn modelId="{71A06266-264A-4F44-B641-82B80F95E812}" srcId="{7911ED47-E3D7-4C27-BD21-81AF304BE032}" destId="{06FB4BAD-305D-4DBD-B0C7-69B56DBCE706}" srcOrd="1" destOrd="0" parTransId="{3783FA12-0D20-4FC3-A876-DE542315435C}" sibTransId="{8BB20E8D-9782-4326-AAB5-93A366742DB7}"/>
    <dgm:cxn modelId="{FC3C2E6B-B54C-46C7-8D2A-815B1AC20522}" type="presOf" srcId="{A0F58548-D6A4-4EDB-8067-EAD339FFB4F4}" destId="{E6F4679A-0E88-4BFB-A9FC-682821557CDF}" srcOrd="0" destOrd="0" presId="urn:microsoft.com/office/officeart/2005/8/layout/vList6"/>
    <dgm:cxn modelId="{CBDE596D-647B-4E69-8152-07E83BCEF262}" type="presOf" srcId="{0B4E3599-A849-49C4-8C99-F606D4D725D7}" destId="{E45F0964-0B19-4052-A71A-7BB59A274590}" srcOrd="0" destOrd="0" presId="urn:microsoft.com/office/officeart/2005/8/layout/vList6"/>
    <dgm:cxn modelId="{6F3ED153-307C-4E9E-9102-4920048BADFA}" srcId="{EEE880FE-957E-459F-A8EB-8F44DEEE58C7}" destId="{B72F4079-DCED-4C18-BFD5-D248CB86D8DE}" srcOrd="0" destOrd="0" parTransId="{656D96D1-46D4-4499-A5AB-BB088844EA29}" sibTransId="{E58968CA-5FE2-47A9-B821-54E789D2764C}"/>
    <dgm:cxn modelId="{75E1717F-406A-4FF2-B687-383B0A6B2506}" srcId="{EB3E4A2B-7F87-4946-82A4-BE8E7EE68F6C}" destId="{A0F58548-D6A4-4EDB-8067-EAD339FFB4F4}" srcOrd="0" destOrd="0" parTransId="{77525557-A220-4838-BEF7-9F18473FBD6A}" sibTransId="{D7DFB3F2-89B3-405F-93CA-1FA65F676F5D}"/>
    <dgm:cxn modelId="{E6F6698B-33CE-4296-B48F-77A97F33EED3}" type="presOf" srcId="{DA2C2BD0-72CB-48A5-A287-959176FDEEEE}" destId="{6229EE26-40FE-46C3-BBF6-BD75D945755D}" srcOrd="0" destOrd="0" presId="urn:microsoft.com/office/officeart/2005/8/layout/vList6"/>
    <dgm:cxn modelId="{503CF896-CE45-4540-85DB-C893C1526C84}" srcId="{9FE65BF1-27D5-487A-A4EE-AE628EE37D44}" destId="{0B4E3599-A849-49C4-8C99-F606D4D725D7}" srcOrd="2" destOrd="0" parTransId="{FB73A1F4-BABC-442A-B951-B327009DBB3A}" sibTransId="{15A18910-D711-4DB7-B11E-B2C2C87EB190}"/>
    <dgm:cxn modelId="{1B77E49E-BCF6-43C7-A1FE-82B4DBCF312A}" srcId="{0B4E3599-A849-49C4-8C99-F606D4D725D7}" destId="{31DD34A6-2AEC-4370-B1DC-0D71377A9947}" srcOrd="0" destOrd="0" parTransId="{3EEF1948-DE6A-41BE-8B75-52CCA93F2093}" sibTransId="{83D170F6-B9F7-4F34-BD63-98B3630B3915}"/>
    <dgm:cxn modelId="{F27FF2A3-C4A3-4E55-8E71-43689D8CCCF6}" srcId="{7911ED47-E3D7-4C27-BD21-81AF304BE032}" destId="{9F921871-B9C6-4D63-B536-776888855DEF}" srcOrd="2" destOrd="0" parTransId="{9C19FBBB-F4C6-42B3-B940-F680FC82E806}" sibTransId="{A0578430-2A06-4DF3-B130-A6CDD765A99B}"/>
    <dgm:cxn modelId="{680AF9AE-3FE2-4C2D-8507-7D9AAA66F11E}" type="presOf" srcId="{B72F4079-DCED-4C18-BFD5-D248CB86D8DE}" destId="{383BB83B-B2BE-48CC-B54F-C7570DEF8101}" srcOrd="0" destOrd="0" presId="urn:microsoft.com/office/officeart/2005/8/layout/vList6"/>
    <dgm:cxn modelId="{ACE0D6AF-F5CF-4526-A47A-2D28CAFAA022}" srcId="{7911ED47-E3D7-4C27-BD21-81AF304BE032}" destId="{DA2C2BD0-72CB-48A5-A287-959176FDEEEE}" srcOrd="0" destOrd="0" parTransId="{5DCAAC27-973E-45EB-ABEA-80DB661A68D3}" sibTransId="{C276A52F-C80A-4C1D-865C-4B0A2829AAC1}"/>
    <dgm:cxn modelId="{C70E31B4-8960-4216-A0F4-BAED649BAAD8}" type="presOf" srcId="{EEE880FE-957E-459F-A8EB-8F44DEEE58C7}" destId="{04B0ECC3-0A3A-4683-942B-F9106ADE1C91}" srcOrd="0" destOrd="0" presId="urn:microsoft.com/office/officeart/2005/8/layout/vList6"/>
    <dgm:cxn modelId="{326A71B8-E48D-43FD-8B4B-62ACD00C5CAD}" type="presOf" srcId="{7911ED47-E3D7-4C27-BD21-81AF304BE032}" destId="{574C98D0-D8D5-4D26-9C51-B837068D6D6B}" srcOrd="0" destOrd="0" presId="urn:microsoft.com/office/officeart/2005/8/layout/vList6"/>
    <dgm:cxn modelId="{C30C78E9-7F90-457B-AEFE-B8B702D09476}" srcId="{9FE65BF1-27D5-487A-A4EE-AE628EE37D44}" destId="{EB3E4A2B-7F87-4946-82A4-BE8E7EE68F6C}" srcOrd="3" destOrd="0" parTransId="{F0DFFF06-8882-470D-AD35-731C0D104E59}" sibTransId="{5DE67937-0C75-4F71-991C-478391198741}"/>
    <dgm:cxn modelId="{1B725AF0-42C6-4D3B-9B86-461029DB21D4}" type="presOf" srcId="{2E13BB78-03F2-49FC-93F4-E69A7F9B389D}" destId="{383BB83B-B2BE-48CC-B54F-C7570DEF8101}" srcOrd="0" destOrd="1" presId="urn:microsoft.com/office/officeart/2005/8/layout/vList6"/>
    <dgm:cxn modelId="{B767B1F0-5286-4435-91BB-0E72E802402A}" type="presOf" srcId="{9F921871-B9C6-4D63-B536-776888855DEF}" destId="{6229EE26-40FE-46C3-BBF6-BD75D945755D}" srcOrd="0" destOrd="2" presId="urn:microsoft.com/office/officeart/2005/8/layout/vList6"/>
    <dgm:cxn modelId="{D46573F4-0F3D-46A1-9618-7A68119F5EF2}" srcId="{EEE880FE-957E-459F-A8EB-8F44DEEE58C7}" destId="{2E13BB78-03F2-49FC-93F4-E69A7F9B389D}" srcOrd="1" destOrd="0" parTransId="{A6A9A9F5-E248-4771-AF37-F717F400D1DD}" sibTransId="{7015787C-7BE3-4ADC-BA7A-BFA487D13B57}"/>
    <dgm:cxn modelId="{3264F2B6-E57E-4599-B4A3-FE60DB25D1AF}" type="presParOf" srcId="{B586E7DB-A6D2-4A3A-8CCB-6C15B18A81B7}" destId="{2DF1E708-E5F1-4550-B3C8-5E28F712FD8A}" srcOrd="0" destOrd="0" presId="urn:microsoft.com/office/officeart/2005/8/layout/vList6"/>
    <dgm:cxn modelId="{117E949D-A916-46FA-A42A-600D19B0D0C5}" type="presParOf" srcId="{2DF1E708-E5F1-4550-B3C8-5E28F712FD8A}" destId="{574C98D0-D8D5-4D26-9C51-B837068D6D6B}" srcOrd="0" destOrd="0" presId="urn:microsoft.com/office/officeart/2005/8/layout/vList6"/>
    <dgm:cxn modelId="{34239A9F-251D-4A7C-A872-7B41DB2417DA}" type="presParOf" srcId="{2DF1E708-E5F1-4550-B3C8-5E28F712FD8A}" destId="{6229EE26-40FE-46C3-BBF6-BD75D945755D}" srcOrd="1" destOrd="0" presId="urn:microsoft.com/office/officeart/2005/8/layout/vList6"/>
    <dgm:cxn modelId="{41768866-E52C-4C50-84E7-83BE94FE67C5}" type="presParOf" srcId="{B586E7DB-A6D2-4A3A-8CCB-6C15B18A81B7}" destId="{73E8AF05-F5FD-4C98-B939-3B28756D63DE}" srcOrd="1" destOrd="0" presId="urn:microsoft.com/office/officeart/2005/8/layout/vList6"/>
    <dgm:cxn modelId="{1D8EA413-F05F-4D1F-A307-F35D60D358C3}" type="presParOf" srcId="{B586E7DB-A6D2-4A3A-8CCB-6C15B18A81B7}" destId="{6EDB26C8-1264-4DF9-8E31-F678E2EC0A52}" srcOrd="2" destOrd="0" presId="urn:microsoft.com/office/officeart/2005/8/layout/vList6"/>
    <dgm:cxn modelId="{2DB69D21-8FDE-45E9-ADBE-71E927F3EFBE}" type="presParOf" srcId="{6EDB26C8-1264-4DF9-8E31-F678E2EC0A52}" destId="{04B0ECC3-0A3A-4683-942B-F9106ADE1C91}" srcOrd="0" destOrd="0" presId="urn:microsoft.com/office/officeart/2005/8/layout/vList6"/>
    <dgm:cxn modelId="{2D688B32-E09B-4EBB-8FFA-94689B4115E3}" type="presParOf" srcId="{6EDB26C8-1264-4DF9-8E31-F678E2EC0A52}" destId="{383BB83B-B2BE-48CC-B54F-C7570DEF8101}" srcOrd="1" destOrd="0" presId="urn:microsoft.com/office/officeart/2005/8/layout/vList6"/>
    <dgm:cxn modelId="{9132A67F-E446-4953-8662-ED6CF8E8B612}" type="presParOf" srcId="{B586E7DB-A6D2-4A3A-8CCB-6C15B18A81B7}" destId="{C0BCF1F5-B742-460D-AEFE-8026168A0CE1}" srcOrd="3" destOrd="0" presId="urn:microsoft.com/office/officeart/2005/8/layout/vList6"/>
    <dgm:cxn modelId="{8B6D724B-AA18-424A-A8FE-65BA09E430DE}" type="presParOf" srcId="{B586E7DB-A6D2-4A3A-8CCB-6C15B18A81B7}" destId="{88C942EB-6CB4-4CC5-B35B-139BDED2D0A7}" srcOrd="4" destOrd="0" presId="urn:microsoft.com/office/officeart/2005/8/layout/vList6"/>
    <dgm:cxn modelId="{682F376E-D8C9-4527-B4EA-A37DB5118912}" type="presParOf" srcId="{88C942EB-6CB4-4CC5-B35B-139BDED2D0A7}" destId="{E45F0964-0B19-4052-A71A-7BB59A274590}" srcOrd="0" destOrd="0" presId="urn:microsoft.com/office/officeart/2005/8/layout/vList6"/>
    <dgm:cxn modelId="{5A24F668-87DF-46CF-88D5-738D42C55595}" type="presParOf" srcId="{88C942EB-6CB4-4CC5-B35B-139BDED2D0A7}" destId="{7E29728C-CAAF-4BE1-B6C5-841C1CF3553B}" srcOrd="1" destOrd="0" presId="urn:microsoft.com/office/officeart/2005/8/layout/vList6"/>
    <dgm:cxn modelId="{335DF8BB-2875-4A8D-BEDA-C004046A44B5}" type="presParOf" srcId="{B586E7DB-A6D2-4A3A-8CCB-6C15B18A81B7}" destId="{6E6444DF-99B2-47BA-9F0D-94A1D73D3E8D}" srcOrd="5" destOrd="0" presId="urn:microsoft.com/office/officeart/2005/8/layout/vList6"/>
    <dgm:cxn modelId="{5A3555D9-E440-4CC0-A89B-F78CE9F1FD0E}" type="presParOf" srcId="{B586E7DB-A6D2-4A3A-8CCB-6C15B18A81B7}" destId="{3BF83002-1F33-421F-9680-ABB5AF127FB0}" srcOrd="6" destOrd="0" presId="urn:microsoft.com/office/officeart/2005/8/layout/vList6"/>
    <dgm:cxn modelId="{3B420F4C-6C54-4618-8608-0C33510D9841}" type="presParOf" srcId="{3BF83002-1F33-421F-9680-ABB5AF127FB0}" destId="{D05747D2-6045-4DAF-A4C7-520C24BFB243}" srcOrd="0" destOrd="0" presId="urn:microsoft.com/office/officeart/2005/8/layout/vList6"/>
    <dgm:cxn modelId="{B3DA13A8-C479-4277-AD11-047B99E7E82C}" type="presParOf" srcId="{3BF83002-1F33-421F-9680-ABB5AF127FB0}" destId="{E6F4679A-0E88-4BFB-A9FC-682821557CDF}" srcOrd="1" destOrd="0" presId="urn:microsoft.com/office/officeart/2005/8/layout/vList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29EE26-40FE-46C3-BBF6-BD75D945755D}">
      <dsp:nvSpPr>
        <dsp:cNvPr id="0" name=""/>
        <dsp:cNvSpPr/>
      </dsp:nvSpPr>
      <dsp:spPr>
        <a:xfrm>
          <a:off x="2597530" y="1539"/>
          <a:ext cx="3891539" cy="711378"/>
        </a:xfrm>
        <a:prstGeom prst="rightArrow">
          <a:avLst>
            <a:gd name="adj1" fmla="val 75000"/>
            <a:gd name="adj2" fmla="val 50000"/>
          </a:avLst>
        </a:prstGeom>
        <a:solidFill>
          <a:schemeClr val="accent1">
            <a:alpha val="90000"/>
            <a:tint val="4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lstStyle/>
        <a:p>
          <a:pPr marL="57150" lvl="1" indent="-57150" algn="l" defTabSz="444500">
            <a:lnSpc>
              <a:spcPct val="90000"/>
            </a:lnSpc>
            <a:spcBef>
              <a:spcPct val="0"/>
            </a:spcBef>
            <a:spcAft>
              <a:spcPct val="15000"/>
            </a:spcAft>
            <a:buChar char="•"/>
          </a:pPr>
          <a:r>
            <a:rPr lang="en-US" sz="1000" kern="1200"/>
            <a:t>FGP, SCP, RSVP -- volunteers, caregivers, clients, station staff, grantee</a:t>
          </a:r>
        </a:p>
        <a:p>
          <a:pPr marL="57150" lvl="1" indent="-57150" algn="l" defTabSz="444500">
            <a:lnSpc>
              <a:spcPct val="90000"/>
            </a:lnSpc>
            <a:spcBef>
              <a:spcPct val="0"/>
            </a:spcBef>
            <a:spcAft>
              <a:spcPct val="15000"/>
            </a:spcAft>
            <a:buChar char="•"/>
          </a:pPr>
          <a:r>
            <a:rPr lang="en-US" sz="1000" kern="1200"/>
            <a:t>SDP -- grantee, station staff, and volunteer</a:t>
          </a:r>
        </a:p>
        <a:p>
          <a:pPr marL="57150" lvl="1" indent="-57150" algn="l" defTabSz="355600">
            <a:lnSpc>
              <a:spcPct val="90000"/>
            </a:lnSpc>
            <a:spcBef>
              <a:spcPct val="0"/>
            </a:spcBef>
            <a:spcAft>
              <a:spcPct val="15000"/>
            </a:spcAft>
            <a:buChar char="•"/>
          </a:pPr>
          <a:endParaRPr lang="en-US" sz="800" kern="1200"/>
        </a:p>
      </dsp:txBody>
      <dsp:txXfrm>
        <a:off x="2597530" y="90461"/>
        <a:ext cx="3624772" cy="533534"/>
      </dsp:txXfrm>
    </dsp:sp>
    <dsp:sp modelId="{574C98D0-D8D5-4D26-9C51-B837068D6D6B}">
      <dsp:nvSpPr>
        <dsp:cNvPr id="0" name=""/>
        <dsp:cNvSpPr/>
      </dsp:nvSpPr>
      <dsp:spPr>
        <a:xfrm>
          <a:off x="3170" y="100008"/>
          <a:ext cx="2594359" cy="514441"/>
        </a:xfrm>
        <a:prstGeom prst="roundRect">
          <a:avLst/>
        </a:prstGeom>
        <a:solidFill>
          <a:schemeClr val="accent1">
            <a:alpha val="9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lstStyle/>
        <a:p>
          <a:pPr marL="0" lvl="0" indent="0" algn="ctr" defTabSz="444500">
            <a:lnSpc>
              <a:spcPct val="90000"/>
            </a:lnSpc>
            <a:spcBef>
              <a:spcPct val="0"/>
            </a:spcBef>
            <a:spcAft>
              <a:spcPct val="35000"/>
            </a:spcAft>
            <a:buNone/>
          </a:pPr>
          <a:r>
            <a:rPr lang="en-US" sz="1000" kern="1200"/>
            <a:t>Surveys, focus groups, interviews</a:t>
          </a:r>
        </a:p>
      </dsp:txBody>
      <dsp:txXfrm>
        <a:off x="28283" y="125121"/>
        <a:ext cx="2544133" cy="464215"/>
      </dsp:txXfrm>
    </dsp:sp>
    <dsp:sp modelId="{383BB83B-B2BE-48CC-B54F-C7570DEF8101}">
      <dsp:nvSpPr>
        <dsp:cNvPr id="0" name=""/>
        <dsp:cNvSpPr/>
      </dsp:nvSpPr>
      <dsp:spPr>
        <a:xfrm>
          <a:off x="2597530" y="722722"/>
          <a:ext cx="3891539" cy="717172"/>
        </a:xfrm>
        <a:prstGeom prst="rightArrow">
          <a:avLst>
            <a:gd name="adj1" fmla="val 75000"/>
            <a:gd name="adj2" fmla="val 50000"/>
          </a:avLst>
        </a:prstGeom>
        <a:solidFill>
          <a:schemeClr val="accent1">
            <a:alpha val="90000"/>
            <a:tint val="4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lstStyle/>
        <a:p>
          <a:pPr marL="57150" lvl="1" indent="-57150" algn="l" defTabSz="444500">
            <a:lnSpc>
              <a:spcPct val="90000"/>
            </a:lnSpc>
            <a:spcBef>
              <a:spcPct val="0"/>
            </a:spcBef>
            <a:spcAft>
              <a:spcPct val="15000"/>
            </a:spcAft>
            <a:buChar char="•"/>
          </a:pPr>
          <a:r>
            <a:rPr lang="en-US" sz="1000" kern="1200"/>
            <a:t>FGP, SCP, RSVP -- volunteer surveys, caregiver and client surveys, station staff survey, grantee focus groups</a:t>
          </a:r>
        </a:p>
        <a:p>
          <a:pPr marL="57150" lvl="1" indent="-57150" algn="l" defTabSz="444500">
            <a:lnSpc>
              <a:spcPct val="90000"/>
            </a:lnSpc>
            <a:spcBef>
              <a:spcPct val="0"/>
            </a:spcBef>
            <a:spcAft>
              <a:spcPct val="15000"/>
            </a:spcAft>
            <a:buChar char="•"/>
          </a:pPr>
          <a:r>
            <a:rPr lang="en-US" sz="1000" kern="1200"/>
            <a:t>SDP -- grantee, station staff, and volunteer interviews</a:t>
          </a:r>
        </a:p>
      </dsp:txBody>
      <dsp:txXfrm>
        <a:off x="2597530" y="812369"/>
        <a:ext cx="3622600" cy="537879"/>
      </dsp:txXfrm>
    </dsp:sp>
    <dsp:sp modelId="{04B0ECC3-0A3A-4683-942B-F9106ADE1C91}">
      <dsp:nvSpPr>
        <dsp:cNvPr id="0" name=""/>
        <dsp:cNvSpPr/>
      </dsp:nvSpPr>
      <dsp:spPr>
        <a:xfrm>
          <a:off x="3170" y="824087"/>
          <a:ext cx="2594359" cy="514441"/>
        </a:xfrm>
        <a:prstGeom prst="roundRect">
          <a:avLst/>
        </a:prstGeom>
        <a:solidFill>
          <a:schemeClr val="accent1">
            <a:alpha val="90000"/>
            <a:hueOff val="0"/>
            <a:satOff val="0"/>
            <a:lumOff val="0"/>
            <a:alphaOff val="-13333"/>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lstStyle/>
        <a:p>
          <a:pPr marL="0" lvl="0" indent="0" algn="ctr" defTabSz="444500">
            <a:lnSpc>
              <a:spcPct val="90000"/>
            </a:lnSpc>
            <a:spcBef>
              <a:spcPct val="0"/>
            </a:spcBef>
            <a:spcAft>
              <a:spcPct val="35000"/>
            </a:spcAft>
            <a:buNone/>
          </a:pPr>
          <a:r>
            <a:rPr lang="en-US" sz="1000" kern="1200"/>
            <a:t>Data collection occurs 6/2024 - 11/2024</a:t>
          </a:r>
        </a:p>
      </dsp:txBody>
      <dsp:txXfrm>
        <a:off x="28283" y="849200"/>
        <a:ext cx="2544133" cy="464215"/>
      </dsp:txXfrm>
    </dsp:sp>
    <dsp:sp modelId="{7E29728C-CAAF-4BE1-B6C5-841C1CF3553B}">
      <dsp:nvSpPr>
        <dsp:cNvPr id="0" name=""/>
        <dsp:cNvSpPr/>
      </dsp:nvSpPr>
      <dsp:spPr>
        <a:xfrm>
          <a:off x="2597530" y="1449698"/>
          <a:ext cx="3891539" cy="726748"/>
        </a:xfrm>
        <a:prstGeom prst="rightArrow">
          <a:avLst>
            <a:gd name="adj1" fmla="val 75000"/>
            <a:gd name="adj2" fmla="val 50000"/>
          </a:avLst>
        </a:prstGeom>
        <a:solidFill>
          <a:schemeClr val="accent1">
            <a:alpha val="90000"/>
            <a:tint val="4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lstStyle/>
        <a:p>
          <a:pPr marL="57150" lvl="1" indent="-57150" algn="l" defTabSz="444500">
            <a:lnSpc>
              <a:spcPct val="90000"/>
            </a:lnSpc>
            <a:spcBef>
              <a:spcPct val="0"/>
            </a:spcBef>
            <a:spcAft>
              <a:spcPct val="15000"/>
            </a:spcAft>
            <a:buChar char="•"/>
          </a:pPr>
          <a:r>
            <a:rPr lang="en-US" sz="1000" kern="1200"/>
            <a:t>JBS analyzes the data</a:t>
          </a:r>
        </a:p>
      </dsp:txBody>
      <dsp:txXfrm>
        <a:off x="2597530" y="1540542"/>
        <a:ext cx="3619009" cy="545061"/>
      </dsp:txXfrm>
    </dsp:sp>
    <dsp:sp modelId="{E45F0964-0B19-4052-A71A-7BB59A274590}">
      <dsp:nvSpPr>
        <dsp:cNvPr id="0" name=""/>
        <dsp:cNvSpPr/>
      </dsp:nvSpPr>
      <dsp:spPr>
        <a:xfrm>
          <a:off x="3170" y="1554156"/>
          <a:ext cx="2594359" cy="517833"/>
        </a:xfrm>
        <a:prstGeom prst="roundRect">
          <a:avLst/>
        </a:prstGeom>
        <a:solidFill>
          <a:schemeClr val="accent1">
            <a:alpha val="90000"/>
            <a:hueOff val="0"/>
            <a:satOff val="0"/>
            <a:lumOff val="0"/>
            <a:alphaOff val="-26667"/>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lstStyle/>
        <a:p>
          <a:pPr marL="0" lvl="0" indent="0" algn="ctr" defTabSz="444500">
            <a:lnSpc>
              <a:spcPct val="90000"/>
            </a:lnSpc>
            <a:spcBef>
              <a:spcPct val="0"/>
            </a:spcBef>
            <a:spcAft>
              <a:spcPct val="35000"/>
            </a:spcAft>
            <a:buNone/>
          </a:pPr>
          <a:r>
            <a:rPr lang="en-US" sz="1000" kern="1200"/>
            <a:t>Analysis occurs 12/2024-4/2025</a:t>
          </a:r>
        </a:p>
      </dsp:txBody>
      <dsp:txXfrm>
        <a:off x="28449" y="1579435"/>
        <a:ext cx="2543801" cy="467275"/>
      </dsp:txXfrm>
    </dsp:sp>
    <dsp:sp modelId="{E6F4679A-0E88-4BFB-A9FC-682821557CDF}">
      <dsp:nvSpPr>
        <dsp:cNvPr id="0" name=""/>
        <dsp:cNvSpPr/>
      </dsp:nvSpPr>
      <dsp:spPr>
        <a:xfrm>
          <a:off x="2597530" y="2186251"/>
          <a:ext cx="3891539" cy="660184"/>
        </a:xfrm>
        <a:prstGeom prst="rightArrow">
          <a:avLst>
            <a:gd name="adj1" fmla="val 75000"/>
            <a:gd name="adj2" fmla="val 50000"/>
          </a:avLst>
        </a:prstGeom>
        <a:solidFill>
          <a:schemeClr val="accent1">
            <a:alpha val="90000"/>
            <a:tint val="4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lstStyle/>
        <a:p>
          <a:pPr marL="57150" lvl="1" indent="-57150" algn="l" defTabSz="444500">
            <a:lnSpc>
              <a:spcPct val="90000"/>
            </a:lnSpc>
            <a:spcBef>
              <a:spcPct val="0"/>
            </a:spcBef>
            <a:spcAft>
              <a:spcPct val="15000"/>
            </a:spcAft>
            <a:buChar char="•"/>
          </a:pPr>
          <a:r>
            <a:rPr lang="en-US" sz="1000" kern="1200"/>
            <a:t>JBS and ORE collaborates to disseminate the findings as per Communication Plan</a:t>
          </a:r>
        </a:p>
      </dsp:txBody>
      <dsp:txXfrm>
        <a:off x="2597530" y="2268774"/>
        <a:ext cx="3643970" cy="495138"/>
      </dsp:txXfrm>
    </dsp:sp>
    <dsp:sp modelId="{D05747D2-6045-4DAF-A4C7-520C24BFB243}">
      <dsp:nvSpPr>
        <dsp:cNvPr id="0" name=""/>
        <dsp:cNvSpPr/>
      </dsp:nvSpPr>
      <dsp:spPr>
        <a:xfrm>
          <a:off x="3170" y="2257426"/>
          <a:ext cx="2594359" cy="517833"/>
        </a:xfrm>
        <a:prstGeom prst="roundRect">
          <a:avLst/>
        </a:prstGeom>
        <a:solidFill>
          <a:schemeClr val="accent1">
            <a:alpha val="90000"/>
            <a:hueOff val="0"/>
            <a:satOff val="0"/>
            <a:lumOff val="0"/>
            <a:alphaOff val="-4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lstStyle/>
        <a:p>
          <a:pPr marL="0" lvl="0" indent="0" algn="ctr" defTabSz="444500">
            <a:lnSpc>
              <a:spcPct val="90000"/>
            </a:lnSpc>
            <a:spcBef>
              <a:spcPct val="0"/>
            </a:spcBef>
            <a:spcAft>
              <a:spcPct val="35000"/>
            </a:spcAft>
            <a:buNone/>
          </a:pPr>
          <a:r>
            <a:rPr lang="en-US" sz="1000" kern="1200"/>
            <a:t>Reporting occurs 5/2025-8/2025</a:t>
          </a:r>
        </a:p>
      </dsp:txBody>
      <dsp:txXfrm>
        <a:off x="28449" y="2282705"/>
        <a:ext cx="2543801" cy="467275"/>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animLvl val="lvl"/>
      <dgm:resizeHandles val="rel"/>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a43b28a6-9bb0-4696-b776-f7505fe88166" xsi:nil="true"/>
    <lcf76f155ced4ddcb4097134ff3c332f xmlns="a43b28a6-9bb0-4696-b776-f7505fe88166">
      <Terms xmlns="http://schemas.microsoft.com/office/infopath/2007/PartnerControls"/>
    </lcf76f155ced4ddcb4097134ff3c332f>
    <TaxCatchAll xmlns="b79ba95e-3014-4428-8fb1-593c923a9eef" xsi:nil="true"/>
    <PublishingExpirationDate xmlns="a43b28a6-9bb0-4696-b776-f7505fe8816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E3C77-7CA9-43F1-8F6A-225AC79A9360}">
  <ds:schemaRefs>
    <ds:schemaRef ds:uri="http://schemas.microsoft.com/office/2006/metadata/properties"/>
    <ds:schemaRef ds:uri="http://schemas.microsoft.com/office/infopath/2007/PartnerControls"/>
    <ds:schemaRef ds:uri="a43b28a6-9bb0-4696-b776-f7505fe88166"/>
    <ds:schemaRef ds:uri="b79ba95e-3014-4428-8fb1-593c923a9eef"/>
    <ds:schemaRef ds:uri="http://schemas.microsoft.com/sharepoint/v3"/>
  </ds:schemaRefs>
</ds:datastoreItem>
</file>

<file path=customXml/itemProps2.xml><?xml version="1.0" encoding="utf-8"?>
<ds:datastoreItem xmlns:ds="http://schemas.openxmlformats.org/officeDocument/2006/customXml" ds:itemID="{C4080C3A-625B-4A2A-8786-F40F98129C7E}">
  <ds:schemaRefs>
    <ds:schemaRef ds:uri="http://schemas.microsoft.com/sharepoint/v3/contenttype/forms"/>
  </ds:schemaRefs>
</ds:datastoreItem>
</file>

<file path=customXml/itemProps3.xml><?xml version="1.0" encoding="utf-8"?>
<ds:datastoreItem xmlns:ds="http://schemas.openxmlformats.org/officeDocument/2006/customXml" ds:itemID="{E1F9CA29-F104-4975-8961-4A2D35D4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6529</Words>
  <Characters>37216</Characters>
  <Application>Microsoft Office Word</Application>
  <DocSecurity>0</DocSecurity>
  <Lines>310</Lines>
  <Paragraphs>87</Paragraphs>
  <ScaleCrop>false</ScaleCrop>
  <Company/>
  <LinksUpToDate>false</LinksUpToDate>
  <CharactersWithSpaces>43658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60</cp:revision>
  <dcterms:created xsi:type="dcterms:W3CDTF">2024-02-12T14:04:00Z</dcterms:created>
  <dcterms:modified xsi:type="dcterms:W3CDTF">2024-03-05T15:37:00Z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ies>
</file>