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4D6D" w:rsidP="00B8395A" w14:paraId="5812A8B6" w14:textId="4C356B0D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Corporation for National and Community Service</w:t>
      </w:r>
    </w:p>
    <w:p w:rsidR="00C87680" w:rsidRPr="00C87680" w:rsidP="00C87680" w14:paraId="514A1F9E" w14:textId="042FEB9A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Puerto Rico</w:t>
      </w:r>
      <w:r w:rsidRPr="00C87680">
        <w:rPr>
          <w:b/>
          <w:bCs/>
          <w:sz w:val="36"/>
          <w:szCs w:val="36"/>
        </w:rPr>
        <w:t xml:space="preserve"> Bundled Evaluation</w:t>
      </w:r>
    </w:p>
    <w:p w:rsidR="00004D6D" w:rsidP="00004D6D" w14:paraId="5EDF4434" w14:textId="015D3319">
      <w:pPr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Justification – Part B Supporting Statement </w:t>
      </w:r>
    </w:p>
    <w:p w:rsidR="000E6E02" w:rsidRPr="003C42AB" w:rsidP="005A0F69" w14:paraId="3F0EB713" w14:textId="0F16E75C">
      <w:pPr>
        <w:pStyle w:val="BodyText"/>
        <w:rPr>
          <w:b/>
        </w:rPr>
      </w:pPr>
      <w:r w:rsidRPr="006F6FB3">
        <w:t xml:space="preserve">For this evaluation, </w:t>
      </w:r>
      <w:r w:rsidRPr="006F6FB3" w:rsidR="006F6FB3">
        <w:t>w</w:t>
      </w:r>
      <w:r w:rsidRPr="006F6FB3">
        <w:t xml:space="preserve">e will </w:t>
      </w:r>
      <w:r w:rsidRPr="006F6FB3" w:rsidR="006F6FB3">
        <w:t xml:space="preserve">conduct online surveys of </w:t>
      </w:r>
      <w:r w:rsidR="00A23CFB">
        <w:t>national service members and national service member alumni</w:t>
      </w:r>
      <w:r w:rsidRPr="006F6FB3" w:rsidR="006F6FB3">
        <w:t xml:space="preserve"> to understand the program </w:t>
      </w:r>
      <w:r w:rsidR="00A23CFB">
        <w:t xml:space="preserve">implementation and outcomes, with a special focus on the </w:t>
      </w:r>
      <w:r w:rsidRPr="006F6FB3" w:rsidR="006F6FB3">
        <w:t>outcomes</w:t>
      </w:r>
      <w:r w:rsidR="00A23CFB">
        <w:t xml:space="preserve"> on the members themselves</w:t>
      </w:r>
      <w:r w:rsidRPr="006F6FB3" w:rsidR="006F6FB3">
        <w:t>.</w:t>
      </w:r>
      <w:r w:rsidRPr="005A0F69" w:rsidR="005A0F69">
        <w:t xml:space="preserve"> </w:t>
      </w:r>
    </w:p>
    <w:p w:rsidR="00261CC1" w:rsidRPr="003C42AB" w:rsidP="004E2B93" w14:paraId="1E902EC7" w14:textId="0A0E8C64">
      <w:pPr>
        <w:pStyle w:val="Heading1"/>
      </w:pPr>
      <w:r w:rsidRPr="003C42AB">
        <w:t>B.1.</w:t>
      </w:r>
      <w:r w:rsidRPr="003C42AB" w:rsidR="004E2B93">
        <w:t xml:space="preserve"> </w:t>
      </w:r>
      <w:r w:rsidRPr="003C42AB">
        <w:t>Respondent Universe</w:t>
      </w:r>
    </w:p>
    <w:p w:rsidR="00261CC1" w:rsidRPr="003C42AB" w:rsidP="004E2B93" w14:paraId="1C5F54CC" w14:textId="6466C758">
      <w:pPr>
        <w:pStyle w:val="BodyText"/>
      </w:pPr>
      <w:r w:rsidRPr="003C42AB">
        <w:t>The universe of projects to be included in this data collection is shown in Exhibit B-1. Since the full universe of projects will be included, no statistical sampling methods will be implemented.</w:t>
      </w:r>
    </w:p>
    <w:p w:rsidR="00261CC1" w:rsidRPr="003C42AB" w:rsidP="004E2B93" w14:paraId="3C941308" w14:textId="6B229B80">
      <w:pPr>
        <w:keepNext/>
        <w:tabs>
          <w:tab w:val="left" w:pos="1440"/>
        </w:tabs>
        <w:spacing w:after="120" w:line="240" w:lineRule="atLeast"/>
        <w:ind w:left="1440" w:hanging="1440"/>
        <w:outlineLvl w:val="0"/>
        <w:rPr>
          <w:b/>
          <w:szCs w:val="20"/>
        </w:rPr>
      </w:pPr>
      <w:r w:rsidRPr="003C42AB">
        <w:rPr>
          <w:b/>
          <w:szCs w:val="20"/>
        </w:rPr>
        <w:t>Exhibit B-1.</w:t>
      </w:r>
      <w:r w:rsidRPr="003C42AB">
        <w:rPr>
          <w:b/>
          <w:szCs w:val="20"/>
        </w:rPr>
        <w:tab/>
        <w:t>Estimated size of universe to be sampled</w:t>
      </w:r>
      <w:r w:rsidR="00543BB3">
        <w:rPr>
          <w:b/>
          <w:szCs w:val="20"/>
        </w:rPr>
        <w:t xml:space="preserve"> in surveys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6"/>
        <w:gridCol w:w="1757"/>
        <w:gridCol w:w="1757"/>
      </w:tblGrid>
      <w:tr w14:paraId="6F257BE1" w14:textId="77777777" w:rsidTr="002939FA">
        <w:tblPrEx>
          <w:tblW w:w="5000" w:type="pct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</w:trPr>
        <w:tc>
          <w:tcPr>
            <w:tcW w:w="2966" w:type="pct"/>
            <w:tcBorders>
              <w:top w:val="single" w:sz="4" w:space="0" w:color="4472C4"/>
              <w:bottom w:val="single" w:sz="4" w:space="0" w:color="112542"/>
              <w:right w:val="single" w:sz="4" w:space="0" w:color="FFFFFF" w:themeColor="background1"/>
            </w:tcBorders>
            <w:shd w:val="clear" w:color="auto" w:fill="11254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1CC1" w:rsidRPr="00871064" w:rsidP="00DD2945" w14:paraId="14195AC7" w14:textId="77777777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10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Population</w:t>
            </w:r>
          </w:p>
        </w:tc>
        <w:tc>
          <w:tcPr>
            <w:tcW w:w="1017" w:type="pct"/>
            <w:tcBorders>
              <w:top w:val="single" w:sz="4" w:space="0" w:color="4472C4"/>
              <w:left w:val="single" w:sz="4" w:space="0" w:color="FFFFFF" w:themeColor="background1"/>
              <w:bottom w:val="single" w:sz="4" w:space="0" w:color="112542"/>
              <w:right w:val="single" w:sz="4" w:space="0" w:color="FFFFFF" w:themeColor="background1"/>
            </w:tcBorders>
            <w:shd w:val="clear" w:color="auto" w:fill="11254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1CC1" w:rsidRPr="00871064" w:rsidP="00DD2945" w14:paraId="2BBC4123" w14:textId="3398D7E8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10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Universe: </w:t>
            </w:r>
          </w:p>
        </w:tc>
        <w:tc>
          <w:tcPr>
            <w:tcW w:w="1017" w:type="pct"/>
            <w:tcBorders>
              <w:top w:val="single" w:sz="4" w:space="0" w:color="4472C4"/>
              <w:left w:val="single" w:sz="4" w:space="0" w:color="FFFFFF" w:themeColor="background1"/>
              <w:bottom w:val="single" w:sz="4" w:space="0" w:color="112542"/>
            </w:tcBorders>
            <w:shd w:val="clear" w:color="auto" w:fill="11254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1CC1" w:rsidRPr="00871064" w:rsidP="00DD2945" w14:paraId="701BA212" w14:textId="099FB48E">
            <w:pPr>
              <w:keepNext/>
              <w:spacing w:line="240" w:lineRule="atLeast"/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7106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Sample: </w:t>
            </w:r>
          </w:p>
        </w:tc>
      </w:tr>
      <w:tr w14:paraId="61DE6816" w14:textId="77777777" w:rsidTr="002939FA">
        <w:tblPrEx>
          <w:tblW w:w="5000" w:type="pct"/>
          <w:tblLook w:val="0000"/>
        </w:tblPrEx>
        <w:trPr>
          <w:trHeight w:val="20"/>
        </w:trPr>
        <w:tc>
          <w:tcPr>
            <w:tcW w:w="2966" w:type="pct"/>
            <w:tcBorders>
              <w:top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61CC1" w:rsidRPr="00871064" w:rsidP="00CD0A10" w14:paraId="0C0E63F2" w14:textId="43F326E6">
            <w:pPr>
              <w:tabs>
                <w:tab w:val="right" w:leader="dot" w:pos="5454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 w:rsidRPr="00871064">
              <w:rPr>
                <w:rFonts w:ascii="Arial" w:hAnsi="Arial"/>
                <w:sz w:val="18"/>
                <w:szCs w:val="18"/>
              </w:rPr>
              <w:t xml:space="preserve">Organizations </w:t>
            </w:r>
            <w:r w:rsidR="00A23CFB">
              <w:rPr>
                <w:rFonts w:ascii="Arial" w:hAnsi="Arial"/>
                <w:sz w:val="18"/>
                <w:szCs w:val="18"/>
              </w:rPr>
              <w:t>with</w:t>
            </w:r>
            <w:r w:rsidRPr="00871064" w:rsidR="006F6FB3">
              <w:rPr>
                <w:rFonts w:ascii="Arial" w:hAnsi="Arial"/>
                <w:sz w:val="18"/>
                <w:szCs w:val="18"/>
              </w:rPr>
              <w:t xml:space="preserve"> AmeriCorps </w:t>
            </w:r>
            <w:r w:rsidR="00A23CFB">
              <w:rPr>
                <w:rFonts w:ascii="Arial" w:hAnsi="Arial"/>
                <w:sz w:val="18"/>
                <w:szCs w:val="18"/>
              </w:rPr>
              <w:t>projects</w:t>
            </w:r>
            <w:r w:rsidRPr="00871064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1CC1" w:rsidRPr="00871064" w:rsidP="002939FA" w14:paraId="1F1D0279" w14:textId="7A09D7A0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61CC1" w:rsidRPr="00871064" w:rsidP="002939FA" w14:paraId="36F4A157" w14:textId="67A6A10C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</w:tr>
      <w:tr w14:paraId="6ED09A4F" w14:textId="77777777" w:rsidTr="002939FA">
        <w:tblPrEx>
          <w:tblW w:w="5000" w:type="pct"/>
          <w:tblLook w:val="0000"/>
        </w:tblPrEx>
        <w:trPr>
          <w:trHeight w:val="20"/>
        </w:trPr>
        <w:tc>
          <w:tcPr>
            <w:tcW w:w="2966" w:type="pct"/>
            <w:tcBorders>
              <w:top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F6FB3" w:rsidRPr="00871064" w:rsidP="006F6FB3" w14:paraId="04CBF7F0" w14:textId="556CD197">
            <w:pPr>
              <w:tabs>
                <w:tab w:val="right" w:leader="dot" w:pos="5454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 w:rsidRPr="00871064">
              <w:rPr>
                <w:rFonts w:ascii="Arial" w:hAnsi="Arial"/>
                <w:sz w:val="18"/>
                <w:szCs w:val="18"/>
              </w:rPr>
              <w:t xml:space="preserve">National service members supported by grantee </w:t>
            </w:r>
            <w:r w:rsidR="001F31AE">
              <w:rPr>
                <w:rFonts w:ascii="Arial" w:hAnsi="Arial"/>
                <w:sz w:val="18"/>
                <w:szCs w:val="18"/>
              </w:rPr>
              <w:t xml:space="preserve">and sponsor </w:t>
            </w:r>
            <w:r w:rsidRPr="00871064">
              <w:rPr>
                <w:rFonts w:ascii="Arial" w:hAnsi="Arial"/>
                <w:sz w:val="18"/>
                <w:szCs w:val="18"/>
              </w:rPr>
              <w:t>organizations</w:t>
            </w:r>
            <w:r w:rsidRPr="00871064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6FB3" w:rsidRPr="00871064" w:rsidP="002939FA" w14:paraId="1FF376D3" w14:textId="0F13A2CE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6FB3" w:rsidRPr="00871064" w:rsidP="002939FA" w14:paraId="5A223ED0" w14:textId="06FE6B55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</w:tr>
      <w:tr w14:paraId="20261476" w14:textId="77777777" w:rsidTr="002939FA">
        <w:tblPrEx>
          <w:tblW w:w="5000" w:type="pct"/>
          <w:tblLook w:val="0000"/>
        </w:tblPrEx>
        <w:trPr>
          <w:trHeight w:val="20"/>
        </w:trPr>
        <w:tc>
          <w:tcPr>
            <w:tcW w:w="2966" w:type="pct"/>
            <w:tcBorders>
              <w:top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F6FB3" w:rsidRPr="00871064" w:rsidP="006F6FB3" w14:paraId="5E5A631B" w14:textId="76AD9A7C">
            <w:pPr>
              <w:tabs>
                <w:tab w:val="right" w:leader="dot" w:pos="5454"/>
              </w:tabs>
              <w:spacing w:after="80" w:line="240" w:lineRule="atLeas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National service member alumni</w:t>
            </w:r>
            <w:r w:rsidRPr="00871064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  <w:right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6FB3" w:rsidRPr="00871064" w:rsidP="002939FA" w14:paraId="4C98F9F2" w14:textId="4EF7BE25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1,500</w:t>
            </w:r>
          </w:p>
        </w:tc>
        <w:tc>
          <w:tcPr>
            <w:tcW w:w="1017" w:type="pct"/>
            <w:tcBorders>
              <w:top w:val="single" w:sz="4" w:space="0" w:color="112542"/>
              <w:left w:val="single" w:sz="4" w:space="0" w:color="112542"/>
              <w:bottom w:val="single" w:sz="4" w:space="0" w:color="112542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6FB3" w:rsidRPr="00871064" w:rsidP="002939FA" w14:paraId="23B98B6A" w14:textId="49FC7126">
            <w:pPr>
              <w:spacing w:after="80" w:line="24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1,500</w:t>
            </w:r>
          </w:p>
        </w:tc>
      </w:tr>
    </w:tbl>
    <w:p w:rsidR="00261CC1" w:rsidRPr="003C42AB" w:rsidP="00261CC1" w14:paraId="1F4F5EBF" w14:textId="038E1FA9">
      <w:pPr>
        <w:spacing w:line="360" w:lineRule="auto"/>
        <w:rPr>
          <w:szCs w:val="20"/>
        </w:rPr>
      </w:pPr>
    </w:p>
    <w:p w:rsidR="00261CC1" w:rsidRPr="003C42AB" w:rsidP="004E2B93" w14:paraId="42F276EA" w14:textId="27BD67C2">
      <w:pPr>
        <w:pStyle w:val="Heading1"/>
      </w:pPr>
      <w:r w:rsidRPr="003C42AB">
        <w:t>B.2.</w:t>
      </w:r>
      <w:r w:rsidRPr="003C42AB" w:rsidR="004E2B93">
        <w:t xml:space="preserve"> </w:t>
      </w:r>
      <w:r w:rsidRPr="003C42AB">
        <w:t>Statistical Methodology</w:t>
      </w:r>
    </w:p>
    <w:p w:rsidR="00261CC1" w:rsidRPr="003C42AB" w:rsidP="004E2B93" w14:paraId="6AC8CB51" w14:textId="77777777">
      <w:pPr>
        <w:pStyle w:val="Heading2"/>
        <w:rPr>
          <w:b w:val="0"/>
        </w:rPr>
      </w:pPr>
      <w:r w:rsidRPr="003C42AB">
        <w:t>B.2.1.</w:t>
      </w:r>
      <w:r w:rsidRPr="003C42AB">
        <w:tab/>
        <w:t>Statistical Methodology for Stratification and Sample Selection</w:t>
      </w:r>
    </w:p>
    <w:p w:rsidR="00261CC1" w:rsidRPr="003C42AB" w:rsidP="004E2B93" w14:paraId="342CDA3D" w14:textId="06612B0D">
      <w:pPr>
        <w:pStyle w:val="BodyText"/>
      </w:pPr>
      <w:r w:rsidRPr="00EF1C22">
        <w:t>For t</w:t>
      </w:r>
      <w:r w:rsidRPr="00EF1C22" w:rsidR="006F6FB3">
        <w:t xml:space="preserve">hese </w:t>
      </w:r>
      <w:r w:rsidRPr="00EF1C22">
        <w:t>survey</w:t>
      </w:r>
      <w:r w:rsidRPr="00EF1C22" w:rsidR="006F6FB3">
        <w:t>s</w:t>
      </w:r>
      <w:r w:rsidRPr="00EF1C22">
        <w:t xml:space="preserve">, we will include </w:t>
      </w:r>
      <w:r w:rsidR="00A23CFB">
        <w:t>all national service members from all 19 fiscal year (FY) 2023 AmeriCorps State and National formula grantee organizations and AmeriCorps VISTA sponsors in Puerto Rico</w:t>
      </w:r>
      <w:r w:rsidRPr="00EF1C22" w:rsidR="00EF1C22">
        <w:t xml:space="preserve">. </w:t>
      </w:r>
      <w:r w:rsidR="00A23CFB">
        <w:t xml:space="preserve">National service member alumni from the past 10 years will be further identified </w:t>
      </w:r>
      <w:r w:rsidRPr="00EF1C22" w:rsidR="005A0F69">
        <w:t>by the grantees</w:t>
      </w:r>
      <w:r w:rsidR="001F31AE">
        <w:t xml:space="preserve"> and sponsors</w:t>
      </w:r>
      <w:r w:rsidRPr="00EF1C22">
        <w:t>.</w:t>
      </w:r>
    </w:p>
    <w:p w:rsidR="00261CC1" w:rsidRPr="003C42AB" w:rsidP="004E2B93" w14:paraId="6CB6E666" w14:textId="77777777">
      <w:pPr>
        <w:pStyle w:val="Heading2"/>
      </w:pPr>
      <w:r w:rsidRPr="003C42AB">
        <w:t>B.2.2.</w:t>
      </w:r>
      <w:r w:rsidRPr="003C42AB">
        <w:tab/>
        <w:t>Estimation Procedure</w:t>
      </w:r>
    </w:p>
    <w:p w:rsidR="00261CC1" w:rsidRPr="003C42AB" w:rsidP="004E2B93" w14:paraId="3FB1C3ED" w14:textId="6726B061">
      <w:pPr>
        <w:pStyle w:val="BodyText"/>
      </w:pPr>
      <w:r w:rsidRPr="003C42AB">
        <w:t xml:space="preserve">We will generate descriptive statistics for each item in </w:t>
      </w:r>
      <w:r w:rsidR="00EF1C22">
        <w:t>the surveys</w:t>
      </w:r>
      <w:r w:rsidRPr="003C42AB">
        <w:t xml:space="preserve">. Descriptive analyses </w:t>
      </w:r>
      <w:r w:rsidR="005A0F69">
        <w:t xml:space="preserve">including means, frequencies, </w:t>
      </w:r>
      <w:r w:rsidR="006C560C">
        <w:t xml:space="preserve">and </w:t>
      </w:r>
      <w:r w:rsidR="005A0F69">
        <w:t xml:space="preserve">standard deviations </w:t>
      </w:r>
      <w:r w:rsidRPr="003C42AB">
        <w:t xml:space="preserve">will help to answer questions about program </w:t>
      </w:r>
      <w:r w:rsidR="00A23CFB">
        <w:t>context</w:t>
      </w:r>
      <w:r w:rsidRPr="003C42AB">
        <w:t>, implementation</w:t>
      </w:r>
      <w:r w:rsidRPr="003C42AB" w:rsidR="006A3FDD">
        <w:t>,</w:t>
      </w:r>
      <w:r w:rsidRPr="003C42AB">
        <w:t xml:space="preserve"> and outcomes. </w:t>
      </w:r>
    </w:p>
    <w:p w:rsidR="00261CC1" w:rsidRPr="003C42AB" w:rsidP="004E2B93" w14:paraId="3C93DC95" w14:textId="77777777">
      <w:pPr>
        <w:pStyle w:val="Heading2"/>
      </w:pPr>
      <w:r w:rsidRPr="003C42AB">
        <w:t>B.2.3.</w:t>
      </w:r>
      <w:r w:rsidRPr="003C42AB">
        <w:tab/>
        <w:t>Degree of Accuracy Needed for the Purpose Described in the Jurisdiction</w:t>
      </w:r>
    </w:p>
    <w:p w:rsidR="00261CC1" w:rsidRPr="003C42AB" w:rsidP="004E2B93" w14:paraId="0F821E9E" w14:textId="284FE904">
      <w:pPr>
        <w:pStyle w:val="BodyText"/>
      </w:pPr>
      <w:r>
        <w:t xml:space="preserve">All </w:t>
      </w:r>
      <w:r w:rsidRPr="003C42AB">
        <w:t xml:space="preserve">statistics produced will be descriptive. </w:t>
      </w:r>
      <w:r>
        <w:t xml:space="preserve">No inferential statistics will be used. </w:t>
      </w:r>
    </w:p>
    <w:p w:rsidR="00261CC1" w:rsidRPr="003C42AB" w:rsidP="004E2B93" w14:paraId="0DDD48C0" w14:textId="77777777">
      <w:pPr>
        <w:pStyle w:val="Heading2"/>
      </w:pPr>
      <w:r w:rsidRPr="003C42AB">
        <w:t>B.2.4.</w:t>
      </w:r>
      <w:r w:rsidRPr="003C42AB">
        <w:tab/>
        <w:t>Unusual Problems Requiring Specialized Sampling Procedures</w:t>
      </w:r>
    </w:p>
    <w:p w:rsidR="00261CC1" w:rsidRPr="003C42AB" w:rsidP="004E2B93" w14:paraId="7D3CADCF" w14:textId="77777777">
      <w:pPr>
        <w:pStyle w:val="BodyText"/>
      </w:pPr>
      <w:r w:rsidRPr="003C42AB">
        <w:t>No unusual problems are anticipated.</w:t>
      </w:r>
    </w:p>
    <w:p w:rsidR="00261CC1" w:rsidRPr="003C42AB" w:rsidP="004E2B93" w14:paraId="37F27332" w14:textId="77777777">
      <w:pPr>
        <w:pStyle w:val="Heading2"/>
      </w:pPr>
      <w:r w:rsidRPr="003C42AB">
        <w:t>B.2.5.</w:t>
      </w:r>
      <w:r w:rsidRPr="003C42AB">
        <w:tab/>
        <w:t>Use of Periodic (Less Frequent Than Annual) Data Collection Cycles</w:t>
      </w:r>
    </w:p>
    <w:p w:rsidR="00261CC1" w:rsidRPr="003C42AB" w:rsidP="00473C15" w14:paraId="2E0C6ED3" w14:textId="32976042">
      <w:pPr>
        <w:pStyle w:val="BodyText"/>
      </w:pPr>
      <w:r>
        <w:t>T</w:t>
      </w:r>
      <w:r w:rsidRPr="003C42AB">
        <w:t>he survey</w:t>
      </w:r>
      <w:r w:rsidR="00EF1C22">
        <w:t>s</w:t>
      </w:r>
      <w:r w:rsidRPr="003C42AB">
        <w:t xml:space="preserve"> will be administered </w:t>
      </w:r>
      <w:r w:rsidR="00EF1C22">
        <w:t xml:space="preserve">in </w:t>
      </w:r>
      <w:r w:rsidR="00A23CFB">
        <w:t>fall</w:t>
      </w:r>
      <w:r w:rsidR="00EF1C22">
        <w:t xml:space="preserve"> 202</w:t>
      </w:r>
      <w:r w:rsidR="00A23CFB">
        <w:t>4</w:t>
      </w:r>
      <w:r w:rsidR="00EF1C22">
        <w:t xml:space="preserve">. </w:t>
      </w:r>
    </w:p>
    <w:p w:rsidR="00261CC1" w:rsidRPr="003C42AB" w:rsidP="00460B7F" w14:paraId="77C28F77" w14:textId="6EE8BC8C">
      <w:pPr>
        <w:pStyle w:val="Heading1"/>
      </w:pPr>
      <w:r w:rsidRPr="003C42AB">
        <w:t>B.3.</w:t>
      </w:r>
      <w:r w:rsidRPr="003C42AB" w:rsidR="00460B7F">
        <w:t xml:space="preserve"> </w:t>
      </w:r>
      <w:r w:rsidRPr="003C42AB">
        <w:t>Methods to Maximize Response Rates and Deal With Issues of Non</w:t>
      </w:r>
      <w:r w:rsidRPr="003C42AB" w:rsidR="003E698F">
        <w:t>-</w:t>
      </w:r>
      <w:r w:rsidRPr="003C42AB">
        <w:t>response</w:t>
      </w:r>
    </w:p>
    <w:p w:rsidR="00261CC1" w:rsidRPr="003C42AB" w:rsidP="00473C15" w14:paraId="7E06B7F2" w14:textId="6A13EEA1">
      <w:pPr>
        <w:pStyle w:val="BodyText"/>
      </w:pPr>
      <w:r w:rsidRPr="003C42AB">
        <w:t xml:space="preserve">For </w:t>
      </w:r>
      <w:r w:rsidR="00A23CFB">
        <w:t>national service</w:t>
      </w:r>
      <w:r w:rsidR="00EF1C22">
        <w:t xml:space="preserve"> member</w:t>
      </w:r>
      <w:r w:rsidR="00A23CFB">
        <w:t>s and national service member alumni</w:t>
      </w:r>
      <w:r w:rsidRPr="003C42AB">
        <w:t xml:space="preserve">, </w:t>
      </w:r>
      <w:r w:rsidR="00A23CFB">
        <w:t xml:space="preserve">a list of individuals </w:t>
      </w:r>
      <w:r w:rsidRPr="003C42AB">
        <w:t>will be provided to ICF by participating grantees</w:t>
      </w:r>
      <w:r w:rsidR="001F31AE">
        <w:t xml:space="preserve"> and sponsors</w:t>
      </w:r>
      <w:r w:rsidR="00BE78BA">
        <w:t>. T</w:t>
      </w:r>
      <w:r w:rsidRPr="003C42AB" w:rsidR="00EF2F70">
        <w:t>he list will</w:t>
      </w:r>
      <w:r w:rsidRPr="003C42AB">
        <w:t xml:space="preserve"> includ</w:t>
      </w:r>
      <w:r w:rsidRPr="003C42AB" w:rsidR="00EF2F70">
        <w:t>e</w:t>
      </w:r>
      <w:r w:rsidRPr="003C42AB">
        <w:t xml:space="preserve"> names and emails. </w:t>
      </w:r>
    </w:p>
    <w:p w:rsidR="00261CC1" w:rsidRPr="003C42AB" w:rsidP="00473C15" w14:paraId="3C72BF07" w14:textId="0A5E765C">
      <w:pPr>
        <w:pStyle w:val="BodyText"/>
      </w:pPr>
      <w:r w:rsidRPr="003C42AB">
        <w:t xml:space="preserve">Before each data collection, participating grantees </w:t>
      </w:r>
      <w:r w:rsidR="001F31AE">
        <w:t xml:space="preserve">and sponsors </w:t>
      </w:r>
      <w:r w:rsidRPr="003C42AB">
        <w:t xml:space="preserve">will email a notification and encourage all </w:t>
      </w:r>
      <w:r w:rsidR="00094655">
        <w:t>prospective</w:t>
      </w:r>
      <w:r w:rsidRPr="003C42AB" w:rsidR="00094655">
        <w:t xml:space="preserve"> </w:t>
      </w:r>
      <w:r w:rsidRPr="003C42AB">
        <w:t xml:space="preserve">respondents to participate in the survey. Within one week of the prenotification, ICF will follow up with a recruitment email providing a link to the </w:t>
      </w:r>
      <w:r w:rsidRPr="003C42AB" w:rsidR="00A00B28">
        <w:br/>
      </w:r>
      <w:r w:rsidR="00A23CFB">
        <w:t>20</w:t>
      </w:r>
      <w:r w:rsidRPr="003C42AB">
        <w:t xml:space="preserve">-minute survey URL </w:t>
      </w:r>
      <w:r w:rsidR="001E7FAA">
        <w:t>delivered via</w:t>
      </w:r>
      <w:r w:rsidRPr="003C42AB">
        <w:t xml:space="preserve"> Qualtrics. Before responding to the survey, participants will be asked to read the consent form describing the purpose of the survey</w:t>
      </w:r>
      <w:r w:rsidRPr="003C42AB" w:rsidR="00EF2F70">
        <w:t>.</w:t>
      </w:r>
      <w:r w:rsidRPr="003C42AB">
        <w:t xml:space="preserve"> </w:t>
      </w:r>
      <w:r w:rsidRPr="003C42AB" w:rsidR="00EF2F70">
        <w:t xml:space="preserve">The form </w:t>
      </w:r>
      <w:r w:rsidRPr="003C42AB">
        <w:t>assur</w:t>
      </w:r>
      <w:r w:rsidRPr="003C42AB" w:rsidR="00EF2F70">
        <w:t>es</w:t>
      </w:r>
      <w:r w:rsidRPr="003C42AB">
        <w:t xml:space="preserve"> that participation is voluntary and th</w:t>
      </w:r>
      <w:r w:rsidRPr="003C42AB" w:rsidR="00EF2F70">
        <w:t>at</w:t>
      </w:r>
      <w:r w:rsidRPr="003C42AB">
        <w:t xml:space="preserve"> responses are </w:t>
      </w:r>
      <w:r w:rsidRPr="003C42AB" w:rsidR="00C91251">
        <w:t>confidential and</w:t>
      </w:r>
      <w:r w:rsidRPr="003C42AB">
        <w:t xml:space="preserve"> provid</w:t>
      </w:r>
      <w:r w:rsidRPr="003C42AB" w:rsidR="00EF2F70">
        <w:t>es</w:t>
      </w:r>
      <w:r w:rsidRPr="003C42AB">
        <w:t xml:space="preserve"> contact information </w:t>
      </w:r>
      <w:r w:rsidRPr="003C42AB" w:rsidR="006E61C5">
        <w:t xml:space="preserve">for </w:t>
      </w:r>
      <w:r w:rsidRPr="003C42AB">
        <w:t xml:space="preserve">the study lead and </w:t>
      </w:r>
      <w:r w:rsidRPr="003C42AB" w:rsidR="00EF2F70">
        <w:t>Institutional Review Board (</w:t>
      </w:r>
      <w:r w:rsidRPr="003C42AB">
        <w:t>IRB</w:t>
      </w:r>
      <w:r w:rsidRPr="003C42AB" w:rsidR="00EF2F70">
        <w:t>)</w:t>
      </w:r>
      <w:r w:rsidRPr="003C42AB">
        <w:t xml:space="preserve">. After </w:t>
      </w:r>
      <w:r w:rsidRPr="003C42AB" w:rsidR="00EF2F70">
        <w:t xml:space="preserve">providing </w:t>
      </w:r>
      <w:r w:rsidRPr="003C42AB">
        <w:t xml:space="preserve">consent, participants will proceed to </w:t>
      </w:r>
      <w:r w:rsidR="00A23CFB">
        <w:t>respond to</w:t>
      </w:r>
      <w:r w:rsidRPr="003C42AB">
        <w:t xml:space="preserve"> the survey. Respondents will be given </w:t>
      </w:r>
      <w:r w:rsidR="00C91251">
        <w:t>1</w:t>
      </w:r>
      <w:r w:rsidRPr="003C42AB" w:rsidR="00C91251">
        <w:t xml:space="preserve"> </w:t>
      </w:r>
      <w:r w:rsidRPr="003C42AB">
        <w:t xml:space="preserve">week to </w:t>
      </w:r>
      <w:r w:rsidR="00E643F3">
        <w:t xml:space="preserve">consent and </w:t>
      </w:r>
      <w:r w:rsidRPr="003C42AB">
        <w:t xml:space="preserve">respond </w:t>
      </w:r>
      <w:r w:rsidRPr="003C42AB" w:rsidR="006E61C5">
        <w:t xml:space="preserve">to </w:t>
      </w:r>
      <w:r w:rsidRPr="003C42AB">
        <w:t xml:space="preserve">the survey. The research team will continue to monitor the completion. We </w:t>
      </w:r>
      <w:r w:rsidRPr="003C42AB">
        <w:t>will</w:t>
      </w:r>
      <w:r w:rsidRPr="003C42AB">
        <w:t xml:space="preserve"> send two reminders on a weekly basis to</w:t>
      </w:r>
      <w:r w:rsidR="00C91251">
        <w:t xml:space="preserve"> </w:t>
      </w:r>
      <w:r w:rsidR="00381EE9">
        <w:t>all survey participants with a note to disregard the email if they completed the survey</w:t>
      </w:r>
      <w:r w:rsidR="00E643F3">
        <w:t xml:space="preserve"> or do not consent to respond to the survey</w:t>
      </w:r>
      <w:r w:rsidRPr="003C42AB">
        <w:t xml:space="preserve">. Respondents will be sent a “thank you” </w:t>
      </w:r>
      <w:r w:rsidR="002939FA">
        <w:t xml:space="preserve">email </w:t>
      </w:r>
      <w:r w:rsidRPr="003C42AB">
        <w:t xml:space="preserve">for their participation. </w:t>
      </w:r>
    </w:p>
    <w:p w:rsidR="00261CC1" w:rsidP="00EA35E8" w14:paraId="2B3C3F3C" w14:textId="6F9F656F">
      <w:pPr>
        <w:pStyle w:val="CommentText"/>
      </w:pPr>
      <w:r w:rsidRPr="000204B9">
        <w:rPr>
          <w:sz w:val="24"/>
          <w:szCs w:val="24"/>
        </w:rPr>
        <w:t>We estimate the response rate</w:t>
      </w:r>
      <w:r w:rsidRPr="000204B9" w:rsidR="00EF1C22">
        <w:rPr>
          <w:sz w:val="24"/>
          <w:szCs w:val="24"/>
        </w:rPr>
        <w:t xml:space="preserve">s for </w:t>
      </w:r>
      <w:r w:rsidRPr="000204B9" w:rsidR="00A23CFB">
        <w:rPr>
          <w:sz w:val="24"/>
          <w:szCs w:val="24"/>
        </w:rPr>
        <w:t>national service member survey to be 50 percent, and 10</w:t>
      </w:r>
      <w:r w:rsidRPr="000204B9" w:rsidR="006F1C7B">
        <w:rPr>
          <w:sz w:val="24"/>
          <w:szCs w:val="24"/>
        </w:rPr>
        <w:t xml:space="preserve"> percent for </w:t>
      </w:r>
      <w:r w:rsidRPr="000204B9" w:rsidR="00A23CFB">
        <w:rPr>
          <w:sz w:val="24"/>
          <w:szCs w:val="24"/>
        </w:rPr>
        <w:t>alumni</w:t>
      </w:r>
      <w:r w:rsidRPr="000204B9" w:rsidR="00E56E73">
        <w:rPr>
          <w:sz w:val="24"/>
          <w:szCs w:val="24"/>
        </w:rPr>
        <w:t xml:space="preserve">. </w:t>
      </w:r>
      <w:r w:rsidRPr="000204B9" w:rsidR="00871064">
        <w:rPr>
          <w:sz w:val="24"/>
          <w:szCs w:val="24"/>
        </w:rPr>
        <w:t xml:space="preserve">The response rate for national service members is based on a rate from a similar bundle evaluation on </w:t>
      </w:r>
      <w:r w:rsidRPr="000204B9" w:rsidR="00A23CFB">
        <w:rPr>
          <w:sz w:val="24"/>
          <w:szCs w:val="24"/>
        </w:rPr>
        <w:t xml:space="preserve">climate change </w:t>
      </w:r>
      <w:r w:rsidRPr="000204B9" w:rsidR="00871064">
        <w:rPr>
          <w:sz w:val="24"/>
          <w:szCs w:val="24"/>
        </w:rPr>
        <w:t>funded by the life cycle evaluation project</w:t>
      </w:r>
      <w:r w:rsidRPr="000204B9" w:rsidR="00A23CFB">
        <w:rPr>
          <w:sz w:val="24"/>
          <w:szCs w:val="24"/>
        </w:rPr>
        <w:t xml:space="preserve"> as well as factoring in the enthusiasm so far for the evaluation by the grantees and sponsors in Puerto Rico</w:t>
      </w:r>
      <w:r w:rsidRPr="003C42AB">
        <w:t xml:space="preserve"> </w:t>
      </w:r>
    </w:p>
    <w:p w:rsidR="00F70E91" w:rsidRPr="003C42AB" w:rsidP="00BE78BA" w14:paraId="0BBEF453" w14:textId="77777777">
      <w:pPr>
        <w:pStyle w:val="CommentText"/>
      </w:pPr>
    </w:p>
    <w:p w:rsidR="00261CC1" w:rsidRPr="003C42AB" w:rsidP="00473C15" w14:paraId="1C33C362" w14:textId="44F1A9FB">
      <w:pPr>
        <w:pStyle w:val="Heading1"/>
      </w:pPr>
      <w:r w:rsidRPr="003C42AB">
        <w:t>B.4.</w:t>
      </w:r>
      <w:r w:rsidRPr="003C42AB" w:rsidR="00473C15">
        <w:t xml:space="preserve"> </w:t>
      </w:r>
      <w:r w:rsidRPr="003C42AB">
        <w:t>Tests of Procedures and Methods</w:t>
      </w:r>
    </w:p>
    <w:p w:rsidR="00261CC1" w:rsidRPr="003C42AB" w:rsidP="00473C15" w14:paraId="08DB477E" w14:textId="26DF99FD">
      <w:pPr>
        <w:pStyle w:val="BodyText"/>
      </w:pPr>
      <w:r w:rsidRPr="003C42AB">
        <w:t>The survey design, data collection procedure</w:t>
      </w:r>
      <w:r w:rsidRPr="003C42AB" w:rsidR="002B1B69">
        <w:t>,</w:t>
      </w:r>
      <w:r w:rsidRPr="003C42AB">
        <w:t xml:space="preserve"> and analysis approaches have been reviewed and approved by </w:t>
      </w:r>
      <w:r w:rsidRPr="003C42AB" w:rsidR="002B1B69">
        <w:t xml:space="preserve">the </w:t>
      </w:r>
      <w:r w:rsidRPr="003C42AB">
        <w:t>AmeriCorps Office of Research and Evaluation. In addition, as described in Section A.8., the research plan has been reviewed by</w:t>
      </w:r>
      <w:r w:rsidR="00A23CFB">
        <w:t xml:space="preserve"> major evaluation stakeholders—including the </w:t>
      </w:r>
      <w:r w:rsidRPr="00A23CFB" w:rsidR="00A23CFB">
        <w:t>Comisión</w:t>
      </w:r>
      <w:r w:rsidRPr="00A23CFB" w:rsidR="00A23CFB">
        <w:t xml:space="preserve"> de </w:t>
      </w:r>
      <w:r w:rsidRPr="00A23CFB" w:rsidR="00A23CFB">
        <w:t>Voluntariado</w:t>
      </w:r>
      <w:r w:rsidRPr="00A23CFB" w:rsidR="00A23CFB">
        <w:t xml:space="preserve"> y </w:t>
      </w:r>
      <w:r w:rsidRPr="00A23CFB" w:rsidR="00A23CFB">
        <w:t>Servicio</w:t>
      </w:r>
      <w:r w:rsidRPr="00A23CFB" w:rsidR="00A23CFB">
        <w:t xml:space="preserve"> </w:t>
      </w:r>
      <w:r w:rsidRPr="00A23CFB" w:rsidR="00A23CFB">
        <w:t>Comunitario</w:t>
      </w:r>
      <w:r w:rsidRPr="00A23CFB" w:rsidR="00A23CFB">
        <w:t xml:space="preserve"> </w:t>
      </w:r>
      <w:r w:rsidR="00A23CFB">
        <w:t xml:space="preserve">and the 13 grantee/sponsor organizations participating in the evaluation. Further, </w:t>
      </w:r>
      <w:r w:rsidRPr="003C42AB">
        <w:t xml:space="preserve">an external </w:t>
      </w:r>
      <w:r w:rsidR="006E59E9">
        <w:t>t</w:t>
      </w:r>
      <w:r w:rsidRPr="003C42AB" w:rsidR="006E59E9">
        <w:t xml:space="preserve">echnical </w:t>
      </w:r>
      <w:r w:rsidR="006E59E9">
        <w:t>w</w:t>
      </w:r>
      <w:r w:rsidRPr="003C42AB" w:rsidR="006E59E9">
        <w:t xml:space="preserve">orking </w:t>
      </w:r>
      <w:r w:rsidR="006E59E9">
        <w:t>g</w:t>
      </w:r>
      <w:r w:rsidRPr="003C42AB" w:rsidR="006E59E9">
        <w:t xml:space="preserve">roup </w:t>
      </w:r>
      <w:r w:rsidRPr="003C42AB">
        <w:t>consisting of six nationally</w:t>
      </w:r>
      <w:r w:rsidRPr="003C42AB" w:rsidR="002B1B69">
        <w:t xml:space="preserve"> </w:t>
      </w:r>
      <w:r w:rsidRPr="003C42AB">
        <w:t xml:space="preserve">recognized </w:t>
      </w:r>
      <w:r w:rsidRPr="009E761A">
        <w:t xml:space="preserve">experts in evaluation of national services </w:t>
      </w:r>
      <w:r w:rsidRPr="009E761A" w:rsidR="00A23CFB">
        <w:t xml:space="preserve">were invited to comment on the research plan. In addition, </w:t>
      </w:r>
      <w:r w:rsidRPr="009E761A">
        <w:t xml:space="preserve">a </w:t>
      </w:r>
      <w:r w:rsidRPr="009E761A" w:rsidR="006E59E9">
        <w:t xml:space="preserve">field working group </w:t>
      </w:r>
      <w:r w:rsidRPr="009E761A">
        <w:t xml:space="preserve">consisting of </w:t>
      </w:r>
      <w:r w:rsidRPr="009E761A" w:rsidR="009E761A">
        <w:t xml:space="preserve">6 </w:t>
      </w:r>
      <w:r w:rsidRPr="009E761A">
        <w:t>program leaders in AmeriCorps</w:t>
      </w:r>
      <w:r w:rsidRPr="009E761A" w:rsidR="00A23CFB">
        <w:t xml:space="preserve"> weighed in on the plan.</w:t>
      </w:r>
      <w:r w:rsidRPr="009E761A">
        <w:t xml:space="preserve"> Finally</w:t>
      </w:r>
      <w:r w:rsidRPr="003C42AB">
        <w:t>, the survey instrument</w:t>
      </w:r>
      <w:r w:rsidR="00CB5BFF">
        <w:t>s</w:t>
      </w:r>
      <w:r w:rsidRPr="003C42AB">
        <w:t>, consent form</w:t>
      </w:r>
      <w:r w:rsidR="00CB5BFF">
        <w:t>s</w:t>
      </w:r>
      <w:r w:rsidRPr="003C42AB" w:rsidR="002B1B69">
        <w:t>,</w:t>
      </w:r>
      <w:r w:rsidRPr="003C42AB">
        <w:t xml:space="preserve"> and recruitment letter</w:t>
      </w:r>
      <w:r w:rsidR="00CB5BFF">
        <w:t>s</w:t>
      </w:r>
      <w:r w:rsidRPr="003C42AB">
        <w:t xml:space="preserve"> </w:t>
      </w:r>
      <w:r w:rsidR="00A23CFB">
        <w:t>will be</w:t>
      </w:r>
      <w:r w:rsidRPr="003C42AB">
        <w:t xml:space="preserve"> reviewed and approved by </w:t>
      </w:r>
      <w:r w:rsidR="006E59E9">
        <w:t xml:space="preserve">the </w:t>
      </w:r>
      <w:r w:rsidRPr="003C42AB">
        <w:t xml:space="preserve">ICF IRB. </w:t>
      </w:r>
    </w:p>
    <w:p w:rsidR="00261CC1" w:rsidRPr="003C42AB" w:rsidP="00473C15" w14:paraId="77FDF501" w14:textId="1ACC5829">
      <w:pPr>
        <w:pStyle w:val="Heading1"/>
      </w:pPr>
      <w:r w:rsidRPr="003C42AB">
        <w:t>B.5.</w:t>
      </w:r>
      <w:r w:rsidRPr="003C42AB" w:rsidR="00473C15">
        <w:t xml:space="preserve"> </w:t>
      </w:r>
      <w:r w:rsidRPr="003C42AB">
        <w:t>Names and Telephone Numbers of Individuals Consulted</w:t>
      </w:r>
    </w:p>
    <w:p w:rsidR="00261CC1" w:rsidRPr="003C42AB" w:rsidP="00237BAA" w14:paraId="64AD1249" w14:textId="77777777">
      <w:pPr>
        <w:keepNext/>
        <w:tabs>
          <w:tab w:val="left" w:pos="1152"/>
        </w:tabs>
        <w:spacing w:after="120" w:line="360" w:lineRule="atLeast"/>
        <w:ind w:left="1152" w:hanging="1152"/>
        <w:outlineLvl w:val="2"/>
        <w:rPr>
          <w:b/>
          <w:szCs w:val="20"/>
        </w:rPr>
      </w:pPr>
      <w:r w:rsidRPr="003C42AB">
        <w:rPr>
          <w:b/>
          <w:szCs w:val="20"/>
        </w:rPr>
        <w:t>Agency Unit</w:t>
      </w:r>
    </w:p>
    <w:p w:rsidR="00261CC1" w:rsidRPr="009E761A" w:rsidP="00473C15" w14:paraId="5EA35C26" w14:textId="1E492438">
      <w:pPr>
        <w:pStyle w:val="ListBullet"/>
      </w:pPr>
      <w:r w:rsidRPr="009E761A">
        <w:t>Amy Borgstrom, Associate Director of Policy, COO Immediate Office, AmeriCorps, 202</w:t>
      </w:r>
      <w:r w:rsidRPr="009E761A" w:rsidR="0052447B">
        <w:t>-</w:t>
      </w:r>
      <w:r w:rsidRPr="009E761A">
        <w:t>606</w:t>
      </w:r>
      <w:r w:rsidRPr="009E761A" w:rsidR="0052447B">
        <w:t>-</w:t>
      </w:r>
      <w:r w:rsidRPr="009E761A">
        <w:t>6930 </w:t>
      </w:r>
    </w:p>
    <w:p w:rsidR="00261CC1" w:rsidP="00473C15" w14:paraId="781A567B" w14:textId="4508A89E">
      <w:pPr>
        <w:pStyle w:val="ListBullet"/>
      </w:pPr>
      <w:r w:rsidRPr="00BE78BA">
        <w:t xml:space="preserve">Jehyra M. Asencio-Yace, </w:t>
      </w:r>
      <w:r w:rsidRPr="003C42AB">
        <w:t>Research Analyst</w:t>
      </w:r>
      <w:r w:rsidR="00A23CFB">
        <w:t xml:space="preserve"> Team Coordinator</w:t>
      </w:r>
      <w:r w:rsidRPr="003C42AB">
        <w:t xml:space="preserve">, Office of Research and Evaluation, </w:t>
      </w:r>
      <w:r w:rsidRPr="003C42AB" w:rsidR="000E6E02">
        <w:t xml:space="preserve">AmeriCorps, </w:t>
      </w:r>
      <w:r w:rsidRPr="003C42AB">
        <w:t>202-956-9736</w:t>
      </w:r>
    </w:p>
    <w:p w:rsidR="00261CC1" w:rsidRPr="003C42AB" w:rsidP="00237BAA" w14:paraId="0897CC86" w14:textId="77777777">
      <w:pPr>
        <w:spacing w:after="120" w:line="360" w:lineRule="auto"/>
        <w:rPr>
          <w:b/>
          <w:szCs w:val="20"/>
        </w:rPr>
      </w:pPr>
      <w:r w:rsidRPr="003C42AB">
        <w:rPr>
          <w:b/>
          <w:szCs w:val="20"/>
        </w:rPr>
        <w:t>Contractor</w:t>
      </w:r>
    </w:p>
    <w:p w:rsidR="00261CC1" w:rsidP="00261CC1" w14:paraId="56D50E69" w14:textId="009BA235">
      <w:pPr>
        <w:pStyle w:val="ListBullet"/>
      </w:pPr>
      <w:r>
        <w:t>Samantha Spinney</w:t>
      </w:r>
      <w:r w:rsidRPr="003C42AB">
        <w:t>, Project Director</w:t>
      </w:r>
      <w:r>
        <w:t xml:space="preserve"> and Principal Investigator</w:t>
      </w:r>
      <w:r w:rsidRPr="003C42AB">
        <w:t>, ICF, 703-</w:t>
      </w:r>
      <w:r>
        <w:t>272-6681</w:t>
      </w:r>
    </w:p>
    <w:p w:rsidR="002A0B9D" w:rsidRPr="002A0B9D" w:rsidP="009E5385" w14:paraId="3B715DE2" w14:textId="76FD1B40">
      <w:pPr>
        <w:spacing w:after="360"/>
      </w:pPr>
    </w:p>
    <w:sectPr w:rsidSect="00AB2141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141" w:rsidP="00AB2141" w14:paraId="424E0860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2A2400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41679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268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37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02C2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8499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1C3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A4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88162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A37EC4"/>
    <w:multiLevelType w:val="hybridMultilevel"/>
    <w:tmpl w:val="E8F48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102FA7"/>
    <w:multiLevelType w:val="hybridMultilevel"/>
    <w:tmpl w:val="15D0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002F3"/>
    <w:multiLevelType w:val="hybridMultilevel"/>
    <w:tmpl w:val="CC9AD5C0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327BE7"/>
    <w:multiLevelType w:val="hybridMultilevel"/>
    <w:tmpl w:val="60CC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8E404F"/>
    <w:multiLevelType w:val="hybridMultilevel"/>
    <w:tmpl w:val="96EA0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39F0"/>
    <w:multiLevelType w:val="hybridMultilevel"/>
    <w:tmpl w:val="2F10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13D37"/>
    <w:multiLevelType w:val="hybridMultilevel"/>
    <w:tmpl w:val="12C2E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43F7D"/>
    <w:multiLevelType w:val="hybridMultilevel"/>
    <w:tmpl w:val="D87C98E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B3FDF"/>
    <w:multiLevelType w:val="hybridMultilevel"/>
    <w:tmpl w:val="697C4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C70A21"/>
    <w:multiLevelType w:val="hybridMultilevel"/>
    <w:tmpl w:val="A322B8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176E8E"/>
    <w:multiLevelType w:val="hybridMultilevel"/>
    <w:tmpl w:val="2C980C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F82"/>
    <w:multiLevelType w:val="hybridMultilevel"/>
    <w:tmpl w:val="0B26FF4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AC322DE"/>
    <w:multiLevelType w:val="hybridMultilevel"/>
    <w:tmpl w:val="0D445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B6901"/>
    <w:multiLevelType w:val="hybridMultilevel"/>
    <w:tmpl w:val="AC54B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A18E5"/>
    <w:multiLevelType w:val="hybridMultilevel"/>
    <w:tmpl w:val="8CB47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9A5DE5"/>
    <w:multiLevelType w:val="hybridMultilevel"/>
    <w:tmpl w:val="212A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C6B8E"/>
    <w:multiLevelType w:val="hybridMultilevel"/>
    <w:tmpl w:val="D3C6E6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2197F"/>
    <w:multiLevelType w:val="hybridMultilevel"/>
    <w:tmpl w:val="6ABC0590"/>
    <w:lvl w:ilvl="0">
      <w:start w:val="1"/>
      <w:numFmt w:val="decimal"/>
      <w:pStyle w:val="numb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AF141D"/>
    <w:multiLevelType w:val="hybridMultilevel"/>
    <w:tmpl w:val="3B8A6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A48EC"/>
    <w:multiLevelType w:val="hybridMultilevel"/>
    <w:tmpl w:val="7B84EA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2660F"/>
    <w:multiLevelType w:val="hybridMultilevel"/>
    <w:tmpl w:val="506E0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45F92"/>
    <w:multiLevelType w:val="hybridMultilevel"/>
    <w:tmpl w:val="9EE0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24C37"/>
    <w:multiLevelType w:val="hybridMultilevel"/>
    <w:tmpl w:val="6364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F16312"/>
    <w:multiLevelType w:val="hybridMultilevel"/>
    <w:tmpl w:val="05B2C4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A1735"/>
    <w:multiLevelType w:val="hybridMultilevel"/>
    <w:tmpl w:val="920A3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12B55"/>
    <w:multiLevelType w:val="hybridMultilevel"/>
    <w:tmpl w:val="B6A08510"/>
    <w:lvl w:ilvl="0">
      <w:start w:val="1"/>
      <w:numFmt w:val="bullet"/>
      <w:pStyle w:val="answer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2800E9"/>
    <w:multiLevelType w:val="hybridMultilevel"/>
    <w:tmpl w:val="1FDA3346"/>
    <w:lvl w:ilvl="0">
      <w:start w:val="1"/>
      <w:numFmt w:val="lowerLetter"/>
      <w:lvlText w:val="%1."/>
      <w:lvlJc w:val="left"/>
      <w:pPr>
        <w:ind w:left="590" w:hanging="360"/>
      </w:pPr>
    </w:lvl>
    <w:lvl w:ilvl="1">
      <w:start w:val="1"/>
      <w:numFmt w:val="lowerLetter"/>
      <w:lvlText w:val="%2."/>
      <w:lvlJc w:val="left"/>
      <w:pPr>
        <w:ind w:left="450" w:hanging="360"/>
      </w:pPr>
    </w:lvl>
    <w:lvl w:ilvl="2">
      <w:start w:val="1"/>
      <w:numFmt w:val="lowerRoman"/>
      <w:lvlText w:val="%3."/>
      <w:lvlJc w:val="right"/>
      <w:pPr>
        <w:ind w:left="2030" w:hanging="180"/>
      </w:pPr>
    </w:lvl>
    <w:lvl w:ilvl="3" w:tentative="1">
      <w:start w:val="1"/>
      <w:numFmt w:val="decimal"/>
      <w:lvlText w:val="%4."/>
      <w:lvlJc w:val="left"/>
      <w:pPr>
        <w:ind w:left="2750" w:hanging="360"/>
      </w:pPr>
    </w:lvl>
    <w:lvl w:ilvl="4" w:tentative="1">
      <w:start w:val="1"/>
      <w:numFmt w:val="lowerLetter"/>
      <w:lvlText w:val="%5."/>
      <w:lvlJc w:val="left"/>
      <w:pPr>
        <w:ind w:left="3470" w:hanging="360"/>
      </w:pPr>
    </w:lvl>
    <w:lvl w:ilvl="5" w:tentative="1">
      <w:start w:val="1"/>
      <w:numFmt w:val="lowerRoman"/>
      <w:lvlText w:val="%6."/>
      <w:lvlJc w:val="right"/>
      <w:pPr>
        <w:ind w:left="4190" w:hanging="180"/>
      </w:pPr>
    </w:lvl>
    <w:lvl w:ilvl="6" w:tentative="1">
      <w:start w:val="1"/>
      <w:numFmt w:val="decimal"/>
      <w:lvlText w:val="%7."/>
      <w:lvlJc w:val="left"/>
      <w:pPr>
        <w:ind w:left="4910" w:hanging="360"/>
      </w:pPr>
    </w:lvl>
    <w:lvl w:ilvl="7" w:tentative="1">
      <w:start w:val="1"/>
      <w:numFmt w:val="lowerLetter"/>
      <w:lvlText w:val="%8."/>
      <w:lvlJc w:val="left"/>
      <w:pPr>
        <w:ind w:left="5630" w:hanging="360"/>
      </w:pPr>
    </w:lvl>
    <w:lvl w:ilvl="8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6">
    <w:nsid w:val="5D543B1B"/>
    <w:multiLevelType w:val="hybridMultilevel"/>
    <w:tmpl w:val="BF58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56468"/>
    <w:multiLevelType w:val="hybridMultilevel"/>
    <w:tmpl w:val="CF8CBD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E3281"/>
    <w:multiLevelType w:val="hybridMultilevel"/>
    <w:tmpl w:val="24A2D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B1178"/>
    <w:multiLevelType w:val="hybridMultilevel"/>
    <w:tmpl w:val="0EE6C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F4A1A"/>
    <w:multiLevelType w:val="hybridMultilevel"/>
    <w:tmpl w:val="9808EF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·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02D17"/>
    <w:multiLevelType w:val="hybridMultilevel"/>
    <w:tmpl w:val="ED847E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422DF"/>
    <w:multiLevelType w:val="hybridMultilevel"/>
    <w:tmpl w:val="F77AC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865A5"/>
    <w:multiLevelType w:val="hybridMultilevel"/>
    <w:tmpl w:val="7452C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E5DF1"/>
    <w:multiLevelType w:val="hybridMultilevel"/>
    <w:tmpl w:val="E7C88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35B7B"/>
    <w:multiLevelType w:val="hybridMultilevel"/>
    <w:tmpl w:val="FA16E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9367">
    <w:abstractNumId w:val="18"/>
  </w:num>
  <w:num w:numId="2" w16cid:durableId="1789620921">
    <w:abstractNumId w:val="20"/>
  </w:num>
  <w:num w:numId="3" w16cid:durableId="1763525009">
    <w:abstractNumId w:val="17"/>
  </w:num>
  <w:num w:numId="4" w16cid:durableId="1812406027">
    <w:abstractNumId w:val="34"/>
  </w:num>
  <w:num w:numId="5" w16cid:durableId="1217542793">
    <w:abstractNumId w:val="26"/>
  </w:num>
  <w:num w:numId="6" w16cid:durableId="1544170199">
    <w:abstractNumId w:val="12"/>
  </w:num>
  <w:num w:numId="7" w16cid:durableId="520824085">
    <w:abstractNumId w:val="40"/>
  </w:num>
  <w:num w:numId="8" w16cid:durableId="1557010907">
    <w:abstractNumId w:val="35"/>
  </w:num>
  <w:num w:numId="9" w16cid:durableId="1799954405">
    <w:abstractNumId w:val="9"/>
  </w:num>
  <w:num w:numId="10" w16cid:durableId="1452699752">
    <w:abstractNumId w:val="19"/>
  </w:num>
  <w:num w:numId="11" w16cid:durableId="1494178941">
    <w:abstractNumId w:val="16"/>
  </w:num>
  <w:num w:numId="12" w16cid:durableId="115485858">
    <w:abstractNumId w:val="25"/>
  </w:num>
  <w:num w:numId="13" w16cid:durableId="1398259">
    <w:abstractNumId w:val="29"/>
  </w:num>
  <w:num w:numId="14" w16cid:durableId="929199574">
    <w:abstractNumId w:val="43"/>
  </w:num>
  <w:num w:numId="15" w16cid:durableId="871458765">
    <w:abstractNumId w:val="36"/>
  </w:num>
  <w:num w:numId="16" w16cid:durableId="855774273">
    <w:abstractNumId w:val="27"/>
  </w:num>
  <w:num w:numId="17" w16cid:durableId="2079816752">
    <w:abstractNumId w:val="24"/>
  </w:num>
  <w:num w:numId="18" w16cid:durableId="1581864491">
    <w:abstractNumId w:val="21"/>
  </w:num>
  <w:num w:numId="19" w16cid:durableId="1473863559">
    <w:abstractNumId w:val="13"/>
  </w:num>
  <w:num w:numId="20" w16cid:durableId="586231648">
    <w:abstractNumId w:val="30"/>
  </w:num>
  <w:num w:numId="21" w16cid:durableId="1465468512">
    <w:abstractNumId w:val="44"/>
  </w:num>
  <w:num w:numId="22" w16cid:durableId="1321613227">
    <w:abstractNumId w:val="15"/>
  </w:num>
  <w:num w:numId="23" w16cid:durableId="1628468674">
    <w:abstractNumId w:val="33"/>
  </w:num>
  <w:num w:numId="24" w16cid:durableId="962883690">
    <w:abstractNumId w:val="14"/>
  </w:num>
  <w:num w:numId="25" w16cid:durableId="539052030">
    <w:abstractNumId w:val="32"/>
  </w:num>
  <w:num w:numId="26" w16cid:durableId="36588432">
    <w:abstractNumId w:val="22"/>
  </w:num>
  <w:num w:numId="27" w16cid:durableId="501432601">
    <w:abstractNumId w:val="23"/>
  </w:num>
  <w:num w:numId="28" w16cid:durableId="830022173">
    <w:abstractNumId w:val="45"/>
  </w:num>
  <w:num w:numId="29" w16cid:durableId="986932265">
    <w:abstractNumId w:val="31"/>
  </w:num>
  <w:num w:numId="30" w16cid:durableId="1730960978">
    <w:abstractNumId w:val="38"/>
  </w:num>
  <w:num w:numId="31" w16cid:durableId="388193844">
    <w:abstractNumId w:val="42"/>
  </w:num>
  <w:num w:numId="32" w16cid:durableId="1152214619">
    <w:abstractNumId w:val="39"/>
  </w:num>
  <w:num w:numId="33" w16cid:durableId="1737625921">
    <w:abstractNumId w:val="10"/>
  </w:num>
  <w:num w:numId="34" w16cid:durableId="442841807">
    <w:abstractNumId w:val="41"/>
  </w:num>
  <w:num w:numId="35" w16cid:durableId="925070081">
    <w:abstractNumId w:val="8"/>
  </w:num>
  <w:num w:numId="36" w16cid:durableId="1029525670">
    <w:abstractNumId w:val="7"/>
  </w:num>
  <w:num w:numId="37" w16cid:durableId="2078163097">
    <w:abstractNumId w:val="6"/>
  </w:num>
  <w:num w:numId="38" w16cid:durableId="136068532">
    <w:abstractNumId w:val="5"/>
  </w:num>
  <w:num w:numId="39" w16cid:durableId="1704403546">
    <w:abstractNumId w:val="4"/>
  </w:num>
  <w:num w:numId="40" w16cid:durableId="1405377457">
    <w:abstractNumId w:val="3"/>
  </w:num>
  <w:num w:numId="41" w16cid:durableId="726490902">
    <w:abstractNumId w:val="2"/>
  </w:num>
  <w:num w:numId="42" w16cid:durableId="888802421">
    <w:abstractNumId w:val="1"/>
  </w:num>
  <w:num w:numId="43" w16cid:durableId="1233614604">
    <w:abstractNumId w:val="0"/>
  </w:num>
  <w:num w:numId="44" w16cid:durableId="781610903">
    <w:abstractNumId w:val="28"/>
  </w:num>
  <w:num w:numId="45" w16cid:durableId="841970704">
    <w:abstractNumId w:val="11"/>
  </w:num>
  <w:num w:numId="46" w16cid:durableId="860975062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30"/>
    <w:rsid w:val="00004D6D"/>
    <w:rsid w:val="00006DD7"/>
    <w:rsid w:val="00007554"/>
    <w:rsid w:val="00010244"/>
    <w:rsid w:val="00012532"/>
    <w:rsid w:val="000146DE"/>
    <w:rsid w:val="00015E02"/>
    <w:rsid w:val="000204B9"/>
    <w:rsid w:val="00021BED"/>
    <w:rsid w:val="000249B8"/>
    <w:rsid w:val="00030F82"/>
    <w:rsid w:val="000335C5"/>
    <w:rsid w:val="000369ED"/>
    <w:rsid w:val="00045B55"/>
    <w:rsid w:val="00047C30"/>
    <w:rsid w:val="000548F0"/>
    <w:rsid w:val="000564E3"/>
    <w:rsid w:val="0005770D"/>
    <w:rsid w:val="000641B6"/>
    <w:rsid w:val="00067CFF"/>
    <w:rsid w:val="000836FE"/>
    <w:rsid w:val="00094655"/>
    <w:rsid w:val="000A0161"/>
    <w:rsid w:val="000A3325"/>
    <w:rsid w:val="000A5ED4"/>
    <w:rsid w:val="000A7363"/>
    <w:rsid w:val="000A7642"/>
    <w:rsid w:val="000D04FD"/>
    <w:rsid w:val="000D7CDC"/>
    <w:rsid w:val="000E3F1B"/>
    <w:rsid w:val="000E4AA9"/>
    <w:rsid w:val="000E4D82"/>
    <w:rsid w:val="000E6E02"/>
    <w:rsid w:val="000E74E0"/>
    <w:rsid w:val="000F1089"/>
    <w:rsid w:val="000F5A66"/>
    <w:rsid w:val="000F785D"/>
    <w:rsid w:val="00100627"/>
    <w:rsid w:val="00106FA5"/>
    <w:rsid w:val="001275EB"/>
    <w:rsid w:val="00131B6C"/>
    <w:rsid w:val="0013451D"/>
    <w:rsid w:val="00134DC4"/>
    <w:rsid w:val="001407F0"/>
    <w:rsid w:val="00144AD3"/>
    <w:rsid w:val="00152500"/>
    <w:rsid w:val="0016563F"/>
    <w:rsid w:val="001673F4"/>
    <w:rsid w:val="00170EFA"/>
    <w:rsid w:val="00171233"/>
    <w:rsid w:val="0017171F"/>
    <w:rsid w:val="0018057B"/>
    <w:rsid w:val="001916A7"/>
    <w:rsid w:val="001921D5"/>
    <w:rsid w:val="001A1436"/>
    <w:rsid w:val="001A4F16"/>
    <w:rsid w:val="001A653E"/>
    <w:rsid w:val="001C4C41"/>
    <w:rsid w:val="001C77ED"/>
    <w:rsid w:val="001D450D"/>
    <w:rsid w:val="001E0BD9"/>
    <w:rsid w:val="001E1F5C"/>
    <w:rsid w:val="001E7FAA"/>
    <w:rsid w:val="001F02A6"/>
    <w:rsid w:val="001F02AE"/>
    <w:rsid w:val="001F260D"/>
    <w:rsid w:val="001F31AE"/>
    <w:rsid w:val="00217D36"/>
    <w:rsid w:val="00227EB2"/>
    <w:rsid w:val="0023297B"/>
    <w:rsid w:val="00237BAA"/>
    <w:rsid w:val="00242B8D"/>
    <w:rsid w:val="00245ACF"/>
    <w:rsid w:val="00245D98"/>
    <w:rsid w:val="00247CC2"/>
    <w:rsid w:val="002523CB"/>
    <w:rsid w:val="0025401C"/>
    <w:rsid w:val="00261CC1"/>
    <w:rsid w:val="00262DFD"/>
    <w:rsid w:val="00265177"/>
    <w:rsid w:val="002654A3"/>
    <w:rsid w:val="002664C1"/>
    <w:rsid w:val="00274BF8"/>
    <w:rsid w:val="002750E5"/>
    <w:rsid w:val="00277735"/>
    <w:rsid w:val="0028272F"/>
    <w:rsid w:val="002830DC"/>
    <w:rsid w:val="00285011"/>
    <w:rsid w:val="002939FA"/>
    <w:rsid w:val="002A0B9D"/>
    <w:rsid w:val="002B1B69"/>
    <w:rsid w:val="002B2A5D"/>
    <w:rsid w:val="002C190C"/>
    <w:rsid w:val="002C24F5"/>
    <w:rsid w:val="002D2956"/>
    <w:rsid w:val="002D627E"/>
    <w:rsid w:val="002D7860"/>
    <w:rsid w:val="002E2A81"/>
    <w:rsid w:val="002F41ED"/>
    <w:rsid w:val="002F7BA8"/>
    <w:rsid w:val="003036A7"/>
    <w:rsid w:val="00305DA4"/>
    <w:rsid w:val="00313283"/>
    <w:rsid w:val="0031791E"/>
    <w:rsid w:val="0032482F"/>
    <w:rsid w:val="00335F78"/>
    <w:rsid w:val="00342CB0"/>
    <w:rsid w:val="00355D1F"/>
    <w:rsid w:val="00356971"/>
    <w:rsid w:val="003604DE"/>
    <w:rsid w:val="0036344A"/>
    <w:rsid w:val="00364A30"/>
    <w:rsid w:val="00370ABF"/>
    <w:rsid w:val="00371876"/>
    <w:rsid w:val="00372384"/>
    <w:rsid w:val="00372589"/>
    <w:rsid w:val="00377BCF"/>
    <w:rsid w:val="003802D7"/>
    <w:rsid w:val="00381EE9"/>
    <w:rsid w:val="00383BCC"/>
    <w:rsid w:val="00392709"/>
    <w:rsid w:val="00395A68"/>
    <w:rsid w:val="003A3DB8"/>
    <w:rsid w:val="003A518E"/>
    <w:rsid w:val="003A5485"/>
    <w:rsid w:val="003A5C66"/>
    <w:rsid w:val="003B5756"/>
    <w:rsid w:val="003C078B"/>
    <w:rsid w:val="003C42AB"/>
    <w:rsid w:val="003D5851"/>
    <w:rsid w:val="003E12D7"/>
    <w:rsid w:val="003E2D47"/>
    <w:rsid w:val="003E3C54"/>
    <w:rsid w:val="003E43FB"/>
    <w:rsid w:val="003E698F"/>
    <w:rsid w:val="003F1323"/>
    <w:rsid w:val="003F7F08"/>
    <w:rsid w:val="0040292B"/>
    <w:rsid w:val="00406792"/>
    <w:rsid w:val="00406A08"/>
    <w:rsid w:val="0042170E"/>
    <w:rsid w:val="0042189D"/>
    <w:rsid w:val="004223AB"/>
    <w:rsid w:val="004234F6"/>
    <w:rsid w:val="00425509"/>
    <w:rsid w:val="0042665F"/>
    <w:rsid w:val="0043735B"/>
    <w:rsid w:val="00450D9E"/>
    <w:rsid w:val="004525F8"/>
    <w:rsid w:val="004576E2"/>
    <w:rsid w:val="00460B7F"/>
    <w:rsid w:val="00462B49"/>
    <w:rsid w:val="0047339C"/>
    <w:rsid w:val="00473C15"/>
    <w:rsid w:val="00474932"/>
    <w:rsid w:val="0047697D"/>
    <w:rsid w:val="00476B87"/>
    <w:rsid w:val="00485A6A"/>
    <w:rsid w:val="00494021"/>
    <w:rsid w:val="00495822"/>
    <w:rsid w:val="004A2633"/>
    <w:rsid w:val="004B5108"/>
    <w:rsid w:val="004C11DC"/>
    <w:rsid w:val="004C34E5"/>
    <w:rsid w:val="004C4900"/>
    <w:rsid w:val="004E1B07"/>
    <w:rsid w:val="004E2B93"/>
    <w:rsid w:val="004E2F0A"/>
    <w:rsid w:val="004F576B"/>
    <w:rsid w:val="00501613"/>
    <w:rsid w:val="005048DB"/>
    <w:rsid w:val="0052447B"/>
    <w:rsid w:val="00525AC2"/>
    <w:rsid w:val="00527C28"/>
    <w:rsid w:val="00532D64"/>
    <w:rsid w:val="0053398B"/>
    <w:rsid w:val="00534ADD"/>
    <w:rsid w:val="00536C0C"/>
    <w:rsid w:val="00537A53"/>
    <w:rsid w:val="005400D6"/>
    <w:rsid w:val="00542349"/>
    <w:rsid w:val="00543BB3"/>
    <w:rsid w:val="00543D66"/>
    <w:rsid w:val="005460C1"/>
    <w:rsid w:val="00550D37"/>
    <w:rsid w:val="005528ED"/>
    <w:rsid w:val="005578F3"/>
    <w:rsid w:val="00571D37"/>
    <w:rsid w:val="00581246"/>
    <w:rsid w:val="00581763"/>
    <w:rsid w:val="005A0F69"/>
    <w:rsid w:val="005A216B"/>
    <w:rsid w:val="005A6A23"/>
    <w:rsid w:val="005B0BC1"/>
    <w:rsid w:val="005B3CE4"/>
    <w:rsid w:val="005B4575"/>
    <w:rsid w:val="005C4F77"/>
    <w:rsid w:val="005C7C2B"/>
    <w:rsid w:val="005D20D4"/>
    <w:rsid w:val="005D6FC5"/>
    <w:rsid w:val="005E5D35"/>
    <w:rsid w:val="005F1274"/>
    <w:rsid w:val="0060004D"/>
    <w:rsid w:val="00601A29"/>
    <w:rsid w:val="00602CF7"/>
    <w:rsid w:val="00603DC6"/>
    <w:rsid w:val="00610D35"/>
    <w:rsid w:val="006118CE"/>
    <w:rsid w:val="00612AAC"/>
    <w:rsid w:val="00612FC0"/>
    <w:rsid w:val="00625704"/>
    <w:rsid w:val="00626377"/>
    <w:rsid w:val="00640287"/>
    <w:rsid w:val="00640CBC"/>
    <w:rsid w:val="00644113"/>
    <w:rsid w:val="00647F7A"/>
    <w:rsid w:val="00661CC8"/>
    <w:rsid w:val="00664254"/>
    <w:rsid w:val="00667FAC"/>
    <w:rsid w:val="006818AB"/>
    <w:rsid w:val="00682B91"/>
    <w:rsid w:val="00690B19"/>
    <w:rsid w:val="00694423"/>
    <w:rsid w:val="006A3FDD"/>
    <w:rsid w:val="006A493D"/>
    <w:rsid w:val="006A62C3"/>
    <w:rsid w:val="006A76C8"/>
    <w:rsid w:val="006B20B5"/>
    <w:rsid w:val="006C560C"/>
    <w:rsid w:val="006D341A"/>
    <w:rsid w:val="006D5B6B"/>
    <w:rsid w:val="006E11D3"/>
    <w:rsid w:val="006E59E9"/>
    <w:rsid w:val="006E61C5"/>
    <w:rsid w:val="006F072E"/>
    <w:rsid w:val="006F18C5"/>
    <w:rsid w:val="006F1C7B"/>
    <w:rsid w:val="006F48B4"/>
    <w:rsid w:val="006F5EE7"/>
    <w:rsid w:val="006F6FB3"/>
    <w:rsid w:val="00700AA3"/>
    <w:rsid w:val="0070191A"/>
    <w:rsid w:val="007068F1"/>
    <w:rsid w:val="00707982"/>
    <w:rsid w:val="00710383"/>
    <w:rsid w:val="00712CF6"/>
    <w:rsid w:val="007208E0"/>
    <w:rsid w:val="00720D3F"/>
    <w:rsid w:val="007210A4"/>
    <w:rsid w:val="007307F4"/>
    <w:rsid w:val="00745DF7"/>
    <w:rsid w:val="00752BD2"/>
    <w:rsid w:val="00764B23"/>
    <w:rsid w:val="00767636"/>
    <w:rsid w:val="007703BC"/>
    <w:rsid w:val="0077086A"/>
    <w:rsid w:val="00772A51"/>
    <w:rsid w:val="007821F5"/>
    <w:rsid w:val="00783CB6"/>
    <w:rsid w:val="0078448A"/>
    <w:rsid w:val="00784F6F"/>
    <w:rsid w:val="0078642A"/>
    <w:rsid w:val="00786538"/>
    <w:rsid w:val="007868E0"/>
    <w:rsid w:val="00790A3B"/>
    <w:rsid w:val="007A0461"/>
    <w:rsid w:val="007A0544"/>
    <w:rsid w:val="007B0421"/>
    <w:rsid w:val="007B397E"/>
    <w:rsid w:val="007B54A3"/>
    <w:rsid w:val="007C18EB"/>
    <w:rsid w:val="00801346"/>
    <w:rsid w:val="00805881"/>
    <w:rsid w:val="008059A6"/>
    <w:rsid w:val="00813B48"/>
    <w:rsid w:val="00816201"/>
    <w:rsid w:val="00821BA7"/>
    <w:rsid w:val="008258B0"/>
    <w:rsid w:val="008268A9"/>
    <w:rsid w:val="0083384B"/>
    <w:rsid w:val="00843F85"/>
    <w:rsid w:val="008514C5"/>
    <w:rsid w:val="00853E13"/>
    <w:rsid w:val="0086467B"/>
    <w:rsid w:val="00871064"/>
    <w:rsid w:val="008714AD"/>
    <w:rsid w:val="0087615E"/>
    <w:rsid w:val="008828E7"/>
    <w:rsid w:val="00883D5D"/>
    <w:rsid w:val="008845BA"/>
    <w:rsid w:val="00884607"/>
    <w:rsid w:val="008846C1"/>
    <w:rsid w:val="00891AAB"/>
    <w:rsid w:val="00894301"/>
    <w:rsid w:val="008A3591"/>
    <w:rsid w:val="008B0B90"/>
    <w:rsid w:val="008B5DB2"/>
    <w:rsid w:val="008B6F8F"/>
    <w:rsid w:val="008C0CB9"/>
    <w:rsid w:val="008C5E03"/>
    <w:rsid w:val="008C66B9"/>
    <w:rsid w:val="008D67F0"/>
    <w:rsid w:val="008D6D85"/>
    <w:rsid w:val="008E2967"/>
    <w:rsid w:val="008E4B86"/>
    <w:rsid w:val="008E7CBB"/>
    <w:rsid w:val="008F05FA"/>
    <w:rsid w:val="008F63D5"/>
    <w:rsid w:val="00903DAE"/>
    <w:rsid w:val="00910CBF"/>
    <w:rsid w:val="00913F00"/>
    <w:rsid w:val="00920544"/>
    <w:rsid w:val="009301D0"/>
    <w:rsid w:val="00943703"/>
    <w:rsid w:val="00952C42"/>
    <w:rsid w:val="00955841"/>
    <w:rsid w:val="00956C12"/>
    <w:rsid w:val="00966DEA"/>
    <w:rsid w:val="009729BB"/>
    <w:rsid w:val="009740BD"/>
    <w:rsid w:val="009746F6"/>
    <w:rsid w:val="00974BCF"/>
    <w:rsid w:val="009803ED"/>
    <w:rsid w:val="009923EE"/>
    <w:rsid w:val="009A4EA0"/>
    <w:rsid w:val="009A5E27"/>
    <w:rsid w:val="009B0B40"/>
    <w:rsid w:val="009B35B8"/>
    <w:rsid w:val="009B3EDD"/>
    <w:rsid w:val="009C1AA7"/>
    <w:rsid w:val="009C262A"/>
    <w:rsid w:val="009C742C"/>
    <w:rsid w:val="009D3C11"/>
    <w:rsid w:val="009D496B"/>
    <w:rsid w:val="009E4AD7"/>
    <w:rsid w:val="009E5385"/>
    <w:rsid w:val="009E761A"/>
    <w:rsid w:val="009F0225"/>
    <w:rsid w:val="009F2F5F"/>
    <w:rsid w:val="009F58BA"/>
    <w:rsid w:val="00A00B28"/>
    <w:rsid w:val="00A01C21"/>
    <w:rsid w:val="00A0286F"/>
    <w:rsid w:val="00A14FD4"/>
    <w:rsid w:val="00A1511F"/>
    <w:rsid w:val="00A17ADF"/>
    <w:rsid w:val="00A23CFB"/>
    <w:rsid w:val="00A271AA"/>
    <w:rsid w:val="00A43547"/>
    <w:rsid w:val="00A5580B"/>
    <w:rsid w:val="00A61E83"/>
    <w:rsid w:val="00A63C6E"/>
    <w:rsid w:val="00A651D2"/>
    <w:rsid w:val="00A6586B"/>
    <w:rsid w:val="00A722F7"/>
    <w:rsid w:val="00A74D6E"/>
    <w:rsid w:val="00A7746D"/>
    <w:rsid w:val="00A803AD"/>
    <w:rsid w:val="00A8211C"/>
    <w:rsid w:val="00A84C29"/>
    <w:rsid w:val="00A85B0B"/>
    <w:rsid w:val="00A92F9C"/>
    <w:rsid w:val="00A96521"/>
    <w:rsid w:val="00A97A42"/>
    <w:rsid w:val="00AA022F"/>
    <w:rsid w:val="00AA06AA"/>
    <w:rsid w:val="00AA30AB"/>
    <w:rsid w:val="00AA35D2"/>
    <w:rsid w:val="00AB0750"/>
    <w:rsid w:val="00AB0921"/>
    <w:rsid w:val="00AB1B77"/>
    <w:rsid w:val="00AB2141"/>
    <w:rsid w:val="00AC084E"/>
    <w:rsid w:val="00AC0D6C"/>
    <w:rsid w:val="00AC10DA"/>
    <w:rsid w:val="00AC2195"/>
    <w:rsid w:val="00AC2C4E"/>
    <w:rsid w:val="00AC53F6"/>
    <w:rsid w:val="00AD4164"/>
    <w:rsid w:val="00AD6A80"/>
    <w:rsid w:val="00AE2ED0"/>
    <w:rsid w:val="00AE72B7"/>
    <w:rsid w:val="00AF115B"/>
    <w:rsid w:val="00AF11F6"/>
    <w:rsid w:val="00AF152A"/>
    <w:rsid w:val="00B0318C"/>
    <w:rsid w:val="00B0569E"/>
    <w:rsid w:val="00B13A3B"/>
    <w:rsid w:val="00B206EF"/>
    <w:rsid w:val="00B24300"/>
    <w:rsid w:val="00B24780"/>
    <w:rsid w:val="00B27FEF"/>
    <w:rsid w:val="00B45E5D"/>
    <w:rsid w:val="00B46B2D"/>
    <w:rsid w:val="00B47868"/>
    <w:rsid w:val="00B6323F"/>
    <w:rsid w:val="00B65CCC"/>
    <w:rsid w:val="00B66920"/>
    <w:rsid w:val="00B66F85"/>
    <w:rsid w:val="00B71130"/>
    <w:rsid w:val="00B74A04"/>
    <w:rsid w:val="00B81DC0"/>
    <w:rsid w:val="00B82E84"/>
    <w:rsid w:val="00B8395A"/>
    <w:rsid w:val="00B84FF4"/>
    <w:rsid w:val="00B92FFB"/>
    <w:rsid w:val="00B9619E"/>
    <w:rsid w:val="00BA3141"/>
    <w:rsid w:val="00BB3F52"/>
    <w:rsid w:val="00BC22A8"/>
    <w:rsid w:val="00BD21BD"/>
    <w:rsid w:val="00BD6DAC"/>
    <w:rsid w:val="00BE21F7"/>
    <w:rsid w:val="00BE78BA"/>
    <w:rsid w:val="00BF16B3"/>
    <w:rsid w:val="00BF4213"/>
    <w:rsid w:val="00C012F4"/>
    <w:rsid w:val="00C024BE"/>
    <w:rsid w:val="00C03E0E"/>
    <w:rsid w:val="00C1231D"/>
    <w:rsid w:val="00C2392F"/>
    <w:rsid w:val="00C25995"/>
    <w:rsid w:val="00C31573"/>
    <w:rsid w:val="00C521E2"/>
    <w:rsid w:val="00C75A40"/>
    <w:rsid w:val="00C76053"/>
    <w:rsid w:val="00C776F3"/>
    <w:rsid w:val="00C77AF1"/>
    <w:rsid w:val="00C850ED"/>
    <w:rsid w:val="00C87260"/>
    <w:rsid w:val="00C87680"/>
    <w:rsid w:val="00C91251"/>
    <w:rsid w:val="00C94ADF"/>
    <w:rsid w:val="00C9722E"/>
    <w:rsid w:val="00C97A2D"/>
    <w:rsid w:val="00CA064D"/>
    <w:rsid w:val="00CA1D20"/>
    <w:rsid w:val="00CA4FDE"/>
    <w:rsid w:val="00CB5BFF"/>
    <w:rsid w:val="00CC1D1D"/>
    <w:rsid w:val="00CC294E"/>
    <w:rsid w:val="00CD0A10"/>
    <w:rsid w:val="00CD1357"/>
    <w:rsid w:val="00CD1937"/>
    <w:rsid w:val="00CD6199"/>
    <w:rsid w:val="00CE01F4"/>
    <w:rsid w:val="00CE03BC"/>
    <w:rsid w:val="00CF3610"/>
    <w:rsid w:val="00CF4028"/>
    <w:rsid w:val="00D00265"/>
    <w:rsid w:val="00D17138"/>
    <w:rsid w:val="00D205DD"/>
    <w:rsid w:val="00D32195"/>
    <w:rsid w:val="00D321CD"/>
    <w:rsid w:val="00D41BD4"/>
    <w:rsid w:val="00D546C6"/>
    <w:rsid w:val="00D55F14"/>
    <w:rsid w:val="00D65082"/>
    <w:rsid w:val="00D700EE"/>
    <w:rsid w:val="00D71F83"/>
    <w:rsid w:val="00D72423"/>
    <w:rsid w:val="00D733A5"/>
    <w:rsid w:val="00D82466"/>
    <w:rsid w:val="00D82E32"/>
    <w:rsid w:val="00D853ED"/>
    <w:rsid w:val="00D90641"/>
    <w:rsid w:val="00DA15D3"/>
    <w:rsid w:val="00DA7DBC"/>
    <w:rsid w:val="00DB3E8A"/>
    <w:rsid w:val="00DC5643"/>
    <w:rsid w:val="00DD2945"/>
    <w:rsid w:val="00DE1F7D"/>
    <w:rsid w:val="00DE700E"/>
    <w:rsid w:val="00DE739C"/>
    <w:rsid w:val="00DF7FE6"/>
    <w:rsid w:val="00E05427"/>
    <w:rsid w:val="00E110F6"/>
    <w:rsid w:val="00E11905"/>
    <w:rsid w:val="00E17F3C"/>
    <w:rsid w:val="00E20150"/>
    <w:rsid w:val="00E21528"/>
    <w:rsid w:val="00E22BFC"/>
    <w:rsid w:val="00E26EEF"/>
    <w:rsid w:val="00E4078D"/>
    <w:rsid w:val="00E43A99"/>
    <w:rsid w:val="00E56E73"/>
    <w:rsid w:val="00E602A9"/>
    <w:rsid w:val="00E643F3"/>
    <w:rsid w:val="00E6593F"/>
    <w:rsid w:val="00E66822"/>
    <w:rsid w:val="00E717C6"/>
    <w:rsid w:val="00E7426E"/>
    <w:rsid w:val="00E80E01"/>
    <w:rsid w:val="00E91C7A"/>
    <w:rsid w:val="00E96260"/>
    <w:rsid w:val="00E97C3E"/>
    <w:rsid w:val="00EA35E8"/>
    <w:rsid w:val="00EA5074"/>
    <w:rsid w:val="00EC09A8"/>
    <w:rsid w:val="00EC4EC1"/>
    <w:rsid w:val="00ED3199"/>
    <w:rsid w:val="00ED6566"/>
    <w:rsid w:val="00EE1EDC"/>
    <w:rsid w:val="00EE1F94"/>
    <w:rsid w:val="00EE2FC8"/>
    <w:rsid w:val="00EF1804"/>
    <w:rsid w:val="00EF1C22"/>
    <w:rsid w:val="00EF2F70"/>
    <w:rsid w:val="00F0249C"/>
    <w:rsid w:val="00F038D7"/>
    <w:rsid w:val="00F1446C"/>
    <w:rsid w:val="00F17B19"/>
    <w:rsid w:val="00F23EB5"/>
    <w:rsid w:val="00F27355"/>
    <w:rsid w:val="00F30F7E"/>
    <w:rsid w:val="00F357E4"/>
    <w:rsid w:val="00F35AE1"/>
    <w:rsid w:val="00F37CEA"/>
    <w:rsid w:val="00F441A4"/>
    <w:rsid w:val="00F51C71"/>
    <w:rsid w:val="00F531F9"/>
    <w:rsid w:val="00F533D3"/>
    <w:rsid w:val="00F5523D"/>
    <w:rsid w:val="00F64F16"/>
    <w:rsid w:val="00F67808"/>
    <w:rsid w:val="00F70E91"/>
    <w:rsid w:val="00F7448A"/>
    <w:rsid w:val="00F74D44"/>
    <w:rsid w:val="00F84415"/>
    <w:rsid w:val="00F95BB9"/>
    <w:rsid w:val="00F95DA2"/>
    <w:rsid w:val="00FB08F4"/>
    <w:rsid w:val="00FC4182"/>
    <w:rsid w:val="00FC7332"/>
    <w:rsid w:val="00FD0C2B"/>
    <w:rsid w:val="00FD6D17"/>
    <w:rsid w:val="00FE0106"/>
    <w:rsid w:val="00FE5360"/>
    <w:rsid w:val="00FF17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F5B6F5"/>
  <w15:chartTrackingRefBased/>
  <w15:docId w15:val="{1588508E-E1C0-49E5-99B9-EE2DACF8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1D"/>
    <w:pPr>
      <w:keepNext/>
      <w:spacing w:after="240"/>
      <w:outlineLvl w:val="0"/>
    </w:pPr>
    <w:rPr>
      <w:b/>
      <w:bCs/>
      <w:color w:val="112542"/>
      <w:kern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1D"/>
    <w:pPr>
      <w:keepNext/>
      <w:keepLines/>
      <w:spacing w:before="40" w:after="12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7C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C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7C30"/>
  </w:style>
  <w:style w:type="paragraph" w:styleId="CommentText">
    <w:name w:val="annotation text"/>
    <w:basedOn w:val="Normal"/>
    <w:link w:val="CommentTextChar"/>
    <w:rsid w:val="00047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C3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047C3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E72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Question"/>
    <w:basedOn w:val="Normal"/>
    <w:uiPriority w:val="34"/>
    <w:qFormat/>
    <w:rsid w:val="00602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C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211C"/>
    <w:pPr>
      <w:spacing w:after="0" w:line="240" w:lineRule="auto"/>
    </w:pPr>
  </w:style>
  <w:style w:type="paragraph" w:customStyle="1" w:styleId="answer">
    <w:name w:val="answer"/>
    <w:basedOn w:val="NoSpacing"/>
    <w:qFormat/>
    <w:rsid w:val="00A8211C"/>
    <w:pPr>
      <w:numPr>
        <w:numId w:val="4"/>
      </w:numPr>
      <w:spacing w:after="240"/>
      <w:contextualSpacing/>
    </w:pPr>
    <w:rPr>
      <w:sz w:val="24"/>
      <w:szCs w:val="24"/>
    </w:rPr>
  </w:style>
  <w:style w:type="paragraph" w:customStyle="1" w:styleId="number">
    <w:name w:val="number"/>
    <w:qFormat/>
    <w:rsid w:val="0070191A"/>
    <w:pPr>
      <w:numPr>
        <w:numId w:val="5"/>
      </w:numPr>
      <w:spacing w:after="0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30AB"/>
    <w:rPr>
      <w:color w:val="808080"/>
    </w:rPr>
  </w:style>
  <w:style w:type="character" w:customStyle="1" w:styleId="Answer0">
    <w:name w:val="Answer"/>
    <w:uiPriority w:val="1"/>
    <w:rsid w:val="00AA30AB"/>
    <w:rPr>
      <w:rFonts w:asciiTheme="minorHAnsi" w:hAnsiTheme="minorHAnsi"/>
      <w:b/>
      <w:sz w:val="22"/>
      <w:u w:val="single"/>
    </w:rPr>
  </w:style>
  <w:style w:type="character" w:customStyle="1" w:styleId="Terms">
    <w:name w:val="Terms"/>
    <w:uiPriority w:val="1"/>
    <w:rsid w:val="003C078B"/>
    <w:rPr>
      <w:rFonts w:ascii="Calibri" w:hAnsi="Calibri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78B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078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078B"/>
  </w:style>
  <w:style w:type="paragraph" w:styleId="Revision">
    <w:name w:val="Revision"/>
    <w:hidden/>
    <w:uiPriority w:val="99"/>
    <w:semiHidden/>
    <w:rsid w:val="003C078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D20D4"/>
    <w:rPr>
      <w:color w:val="954F72" w:themeColor="followedHyperlink"/>
      <w:u w:val="single"/>
    </w:rPr>
  </w:style>
  <w:style w:type="character" w:customStyle="1" w:styleId="baddress">
    <w:name w:val="b_address"/>
    <w:basedOn w:val="DefaultParagraphFont"/>
    <w:rsid w:val="004C34E5"/>
  </w:style>
  <w:style w:type="character" w:customStyle="1" w:styleId="Heading1Char">
    <w:name w:val="Heading 1 Char"/>
    <w:basedOn w:val="DefaultParagraphFont"/>
    <w:link w:val="Heading1"/>
    <w:uiPriority w:val="9"/>
    <w:rsid w:val="00C1231D"/>
    <w:rPr>
      <w:rFonts w:ascii="Times New Roman" w:eastAsia="Times New Roman" w:hAnsi="Times New Roman" w:cs="Times New Roman"/>
      <w:b/>
      <w:bCs/>
      <w:color w:val="112542"/>
      <w:kern w:val="36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E2B93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E2B93"/>
    <w:rPr>
      <w:rFonts w:ascii="Times New Roman" w:eastAsia="Times New Roman" w:hAnsi="Times New Roman" w:cs="Times New Roman"/>
      <w:sz w:val="24"/>
      <w:szCs w:val="24"/>
    </w:rPr>
  </w:style>
  <w:style w:type="character" w:styleId="HTMLVariable">
    <w:name w:val="HTML Variable"/>
    <w:uiPriority w:val="99"/>
    <w:unhideWhenUsed/>
    <w:rsid w:val="00BF4213"/>
    <w:rPr>
      <w:sz w:val="24"/>
      <w:szCs w:val="24"/>
    </w:rPr>
  </w:style>
  <w:style w:type="paragraph" w:styleId="ListNumber">
    <w:name w:val="List Number"/>
    <w:basedOn w:val="CommentText"/>
    <w:uiPriority w:val="99"/>
    <w:unhideWhenUsed/>
    <w:rsid w:val="00AC2195"/>
    <w:pPr>
      <w:numPr>
        <w:numId w:val="2"/>
      </w:numPr>
      <w:spacing w:after="120"/>
    </w:pPr>
    <w:rPr>
      <w:sz w:val="24"/>
    </w:rPr>
  </w:style>
  <w:style w:type="paragraph" w:styleId="ListBullet">
    <w:name w:val="List Bullet"/>
    <w:basedOn w:val="Normal"/>
    <w:uiPriority w:val="99"/>
    <w:unhideWhenUsed/>
    <w:rsid w:val="00383BCC"/>
    <w:pPr>
      <w:numPr>
        <w:numId w:val="35"/>
      </w:numPr>
      <w:spacing w:after="120"/>
    </w:pPr>
  </w:style>
  <w:style w:type="paragraph" w:styleId="TOC1">
    <w:name w:val="toc 1"/>
    <w:basedOn w:val="Normal"/>
    <w:next w:val="Normal"/>
    <w:autoRedefine/>
    <w:uiPriority w:val="39"/>
    <w:unhideWhenUsed/>
    <w:rsid w:val="003802D7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C1231D"/>
    <w:rPr>
      <w:rFonts w:ascii="Times New Roman" w:hAnsi="Times New Roman" w:eastAsiaTheme="majorEastAsia" w:cstheme="majorBidi"/>
      <w:b/>
      <w:i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2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9ba95e-3014-4428-8fb1-593c923a9eef">
      <UserInfo>
        <DisplayName>Spinney, Samantha</DisplayName>
        <AccountId>2897</AccountId>
        <AccountType/>
      </UserInfo>
    </SharedWithUsers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01B6-4119-4F80-8D56-BE93EF433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CE64-71AC-419D-82F3-41EDC644A5FD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df88ac32-33d1-4efc-b131-5aec47c92a5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011ee46-da43-4a55-9734-10700f5be09a"/>
    <ds:schemaRef ds:uri="b79ba95e-3014-4428-8fb1-593c923a9eef"/>
    <ds:schemaRef ds:uri="http://schemas.microsoft.com/sharepoint/v3"/>
    <ds:schemaRef ds:uri="a43b28a6-9bb0-4696-b776-f7505fe88166"/>
  </ds:schemaRefs>
</ds:datastoreItem>
</file>

<file path=customXml/itemProps3.xml><?xml version="1.0" encoding="utf-8"?>
<ds:datastoreItem xmlns:ds="http://schemas.openxmlformats.org/officeDocument/2006/customXml" ds:itemID="{B69134D0-689B-4BBC-9619-DFFF838E3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9820D-F032-46AD-B45D-17F9D17AB2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Holbrook, Brynn</dc:creator>
  <cp:lastModifiedBy>Appel, Elizabeth</cp:lastModifiedBy>
  <cp:revision>3</cp:revision>
  <dcterms:created xsi:type="dcterms:W3CDTF">2024-08-30T17:59:00Z</dcterms:created>
  <dcterms:modified xsi:type="dcterms:W3CDTF">2024-08-30T18:00:00Z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_dlc_DocIdItemGuid">
    <vt:lpwstr>64cc52de-1dc0-4602-be76-94e2b890c7c4</vt:lpwstr>
  </property>
</Properties>
</file>