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CF2" w:rsidRPr="002A5325" w:rsidP="00E2213C" w14:paraId="7AF70435" w14:textId="77777777">
      <w:pPr>
        <w:rPr>
          <w:b/>
          <w:szCs w:val="22"/>
        </w:rPr>
      </w:pPr>
    </w:p>
    <w:p w:rsidR="002128E3" w:rsidP="00E2213C" w14:paraId="16735493" w14:textId="3010436A">
      <w:pPr>
        <w:rPr>
          <w:b/>
          <w:szCs w:val="22"/>
        </w:rPr>
      </w:pPr>
      <w:r>
        <w:rPr>
          <w:b/>
          <w:szCs w:val="22"/>
        </w:rPr>
        <w:t>In</w:t>
      </w:r>
      <w:r w:rsidR="00B10CB5">
        <w:rPr>
          <w:b/>
          <w:szCs w:val="22"/>
        </w:rPr>
        <w:t>carcerated People</w:t>
      </w:r>
      <w:r>
        <w:rPr>
          <w:b/>
          <w:szCs w:val="22"/>
        </w:rPr>
        <w:t>’s Communications Services (IPCS) Provider</w:t>
      </w:r>
      <w:r w:rsidR="002B30B5">
        <w:rPr>
          <w:b/>
          <w:szCs w:val="22"/>
        </w:rPr>
        <w:tab/>
      </w:r>
      <w:r w:rsidR="002B30B5">
        <w:rPr>
          <w:b/>
          <w:szCs w:val="22"/>
        </w:rPr>
        <w:tab/>
      </w:r>
      <w:r w:rsidR="002B30B5">
        <w:rPr>
          <w:b/>
          <w:szCs w:val="22"/>
        </w:rPr>
        <w:tab/>
        <w:t>3060-1222</w:t>
      </w:r>
    </w:p>
    <w:p w:rsidR="008A300F" w:rsidP="00E2213C" w14:paraId="605E1B42" w14:textId="6D133A2B">
      <w:pPr>
        <w:rPr>
          <w:b/>
          <w:szCs w:val="22"/>
        </w:rPr>
      </w:pPr>
      <w:r>
        <w:rPr>
          <w:b/>
          <w:szCs w:val="22"/>
        </w:rPr>
        <w:t xml:space="preserve">Annual </w:t>
      </w:r>
      <w:r w:rsidR="002128E3">
        <w:rPr>
          <w:b/>
          <w:szCs w:val="22"/>
        </w:rPr>
        <w:t>Reporting</w:t>
      </w:r>
      <w:r w:rsidR="00F7512C">
        <w:rPr>
          <w:b/>
          <w:szCs w:val="22"/>
        </w:rPr>
        <w:t xml:space="preserve">, Certification, </w:t>
      </w:r>
      <w:r w:rsidR="002128E3">
        <w:rPr>
          <w:b/>
          <w:szCs w:val="22"/>
        </w:rPr>
        <w:t>and Other Requirements</w:t>
      </w:r>
      <w:r>
        <w:rPr>
          <w:b/>
          <w:szCs w:val="22"/>
        </w:rPr>
        <w:t xml:space="preserve">, </w:t>
      </w:r>
      <w:r w:rsidR="000D1F97">
        <w:rPr>
          <w:b/>
          <w:szCs w:val="22"/>
        </w:rPr>
        <w:tab/>
      </w:r>
      <w:r w:rsidR="000D1F97">
        <w:rPr>
          <w:b/>
          <w:szCs w:val="22"/>
        </w:rPr>
        <w:tab/>
      </w:r>
      <w:r w:rsidR="000D1F97">
        <w:rPr>
          <w:b/>
          <w:szCs w:val="22"/>
        </w:rPr>
        <w:tab/>
        <w:t xml:space="preserve">            April 2025</w:t>
      </w:r>
    </w:p>
    <w:p w:rsidR="0091090D" w:rsidP="00E2213C" w14:paraId="7B851645" w14:textId="542D16C2">
      <w:pPr>
        <w:rPr>
          <w:b/>
          <w:szCs w:val="22"/>
        </w:rPr>
      </w:pPr>
      <w:r w:rsidRPr="008A300F">
        <w:rPr>
          <w:b/>
          <w:szCs w:val="22"/>
        </w:rPr>
        <w:t>WC Docket Nos. 23-62, 12-37</w:t>
      </w:r>
      <w:r>
        <w:rPr>
          <w:b/>
          <w:szCs w:val="22"/>
        </w:rPr>
        <w:t>5</w:t>
      </w:r>
    </w:p>
    <w:p w:rsidR="00E2213C" w:rsidRPr="002128E3" w:rsidP="00E2213C" w14:paraId="30A8553A" w14:textId="4F0B31DF">
      <w:pPr>
        <w:rPr>
          <w:b/>
          <w:bCs/>
        </w:rPr>
      </w:pPr>
      <w:r>
        <w:rPr>
          <w:b/>
          <w:szCs w:val="22"/>
        </w:rPr>
        <w:tab/>
      </w:r>
      <w:r>
        <w:rPr>
          <w:b/>
          <w:szCs w:val="22"/>
        </w:rPr>
        <w:tab/>
      </w:r>
      <w:r>
        <w:rPr>
          <w:b/>
          <w:szCs w:val="22"/>
        </w:rPr>
        <w:tab/>
        <w:t xml:space="preserve">    </w:t>
      </w:r>
      <w:r w:rsidR="000A56A0">
        <w:rPr>
          <w:b/>
          <w:szCs w:val="22"/>
        </w:rPr>
        <w:t xml:space="preserve"> </w:t>
      </w:r>
      <w:r>
        <w:rPr>
          <w:b/>
          <w:szCs w:val="22"/>
        </w:rPr>
        <w:t xml:space="preserve"> </w:t>
      </w:r>
      <w:r w:rsidR="00F821D6">
        <w:rPr>
          <w:b/>
          <w:szCs w:val="22"/>
        </w:rPr>
        <w:t xml:space="preserve">    </w:t>
      </w:r>
      <w:r w:rsidR="00AE08EA">
        <w:tab/>
      </w:r>
      <w:r>
        <w:rPr>
          <w:b/>
          <w:szCs w:val="22"/>
        </w:rPr>
        <w:tab/>
      </w:r>
      <w:r>
        <w:rPr>
          <w:b/>
          <w:szCs w:val="22"/>
        </w:rPr>
        <w:tab/>
      </w:r>
    </w:p>
    <w:p w:rsidR="00810818" w:rsidRPr="004460F4" w:rsidP="00E2213C" w14:paraId="44DA6B76" w14:textId="77777777">
      <w:pPr>
        <w:jc w:val="right"/>
        <w:rPr>
          <w:b/>
          <w:szCs w:val="22"/>
          <w:u w:val="single"/>
        </w:rPr>
      </w:pPr>
    </w:p>
    <w:p w:rsidR="007E0735" w:rsidRPr="004367FD" w:rsidP="00A2413C" w14:paraId="0A595C19" w14:textId="77777777">
      <w:pPr>
        <w:jc w:val="center"/>
        <w:rPr>
          <w:b/>
          <w:bCs/>
        </w:rPr>
      </w:pPr>
      <w:r w:rsidRPr="004367FD">
        <w:rPr>
          <w:b/>
          <w:bCs/>
        </w:rPr>
        <w:t>SUPPORTING STATEMENT</w:t>
      </w:r>
    </w:p>
    <w:p w:rsidR="007A4A45" w:rsidRPr="004460F4" w:rsidP="007A4A45" w14:paraId="212ED079" w14:textId="77777777">
      <w:pPr>
        <w:rPr>
          <w:szCs w:val="22"/>
        </w:rPr>
      </w:pPr>
    </w:p>
    <w:p w:rsidR="00A35F8E" w:rsidP="00262EFF" w14:paraId="5F4D457B" w14:textId="3202D4D3">
      <w:pPr>
        <w:pStyle w:val="Numberedparagraphs"/>
        <w:numPr>
          <w:ilvl w:val="0"/>
          <w:numId w:val="0"/>
        </w:numPr>
        <w:tabs>
          <w:tab w:val="left" w:pos="720"/>
          <w:tab w:val="clear" w:pos="1440"/>
        </w:tabs>
        <w:rPr>
          <w:szCs w:val="22"/>
        </w:rPr>
      </w:pPr>
      <w:r>
        <w:rPr>
          <w:szCs w:val="22"/>
        </w:rPr>
        <w:tab/>
      </w:r>
      <w:r w:rsidRPr="004460F4" w:rsidR="007A4A45">
        <w:rPr>
          <w:szCs w:val="22"/>
        </w:rPr>
        <w:t>This submission is being made pursuant to 44 U.S.C. §</w:t>
      </w:r>
      <w:r w:rsidRPr="004460F4" w:rsidR="007A7A22">
        <w:rPr>
          <w:szCs w:val="22"/>
        </w:rPr>
        <w:t xml:space="preserve"> </w:t>
      </w:r>
      <w:r w:rsidRPr="004460F4" w:rsidR="007A4A45">
        <w:rPr>
          <w:szCs w:val="22"/>
        </w:rPr>
        <w:t>3507 of</w:t>
      </w:r>
      <w:r w:rsidRPr="004460F4" w:rsidR="004153C5">
        <w:rPr>
          <w:szCs w:val="22"/>
        </w:rPr>
        <w:t xml:space="preserve"> the</w:t>
      </w:r>
      <w:r w:rsidRPr="004460F4" w:rsidR="007A4A45">
        <w:rPr>
          <w:szCs w:val="22"/>
        </w:rPr>
        <w:t xml:space="preserve"> Paperwork Reduction Act of 1995 </w:t>
      </w:r>
      <w:r w:rsidR="002062EC">
        <w:rPr>
          <w:szCs w:val="22"/>
        </w:rPr>
        <w:t xml:space="preserve">(PRA) </w:t>
      </w:r>
      <w:r w:rsidRPr="004460F4" w:rsidR="007A4A45">
        <w:rPr>
          <w:szCs w:val="22"/>
        </w:rPr>
        <w:t xml:space="preserve">to </w:t>
      </w:r>
      <w:r w:rsidR="00845E1B">
        <w:rPr>
          <w:szCs w:val="22"/>
        </w:rPr>
        <w:t xml:space="preserve">revise an </w:t>
      </w:r>
      <w:r w:rsidRPr="004460F4" w:rsidR="007A4A45">
        <w:rPr>
          <w:szCs w:val="22"/>
        </w:rPr>
        <w:t xml:space="preserve">existing </w:t>
      </w:r>
      <w:r w:rsidR="00845E1B">
        <w:rPr>
          <w:szCs w:val="22"/>
        </w:rPr>
        <w:t xml:space="preserve">information collection in order to obtain </w:t>
      </w:r>
      <w:r w:rsidRPr="004460F4" w:rsidR="007A4A45">
        <w:rPr>
          <w:szCs w:val="22"/>
        </w:rPr>
        <w:t xml:space="preserve">Office of Management and Budget (OMB) approval </w:t>
      </w:r>
      <w:r w:rsidR="00845E1B">
        <w:rPr>
          <w:szCs w:val="22"/>
        </w:rPr>
        <w:t xml:space="preserve">for </w:t>
      </w:r>
      <w:r w:rsidRPr="004460F4" w:rsidR="007A4A45">
        <w:rPr>
          <w:szCs w:val="22"/>
        </w:rPr>
        <w:t>the full three-year clearance.</w:t>
      </w:r>
      <w:r w:rsidR="00B84D20">
        <w:rPr>
          <w:szCs w:val="22"/>
        </w:rPr>
        <w:t xml:space="preserve">  </w:t>
      </w:r>
    </w:p>
    <w:p w:rsidR="00B9212C" w:rsidRPr="002A5325" w:rsidP="00262EFF" w14:paraId="59EC1AB5" w14:textId="372EE83E">
      <w:pPr>
        <w:pStyle w:val="Numberedparagraphs"/>
        <w:numPr>
          <w:ilvl w:val="0"/>
          <w:numId w:val="0"/>
        </w:numPr>
        <w:tabs>
          <w:tab w:val="left" w:pos="720"/>
          <w:tab w:val="clear" w:pos="1440"/>
        </w:tabs>
        <w:rPr>
          <w:b/>
          <w:szCs w:val="22"/>
        </w:rPr>
      </w:pPr>
      <w:r w:rsidRPr="002A5325">
        <w:rPr>
          <w:b/>
          <w:szCs w:val="22"/>
        </w:rPr>
        <w:t>A.</w:t>
      </w:r>
      <w:r w:rsidRPr="002A5325" w:rsidR="002A5325">
        <w:rPr>
          <w:b/>
          <w:szCs w:val="22"/>
        </w:rPr>
        <w:t xml:space="preserve"> </w:t>
      </w:r>
      <w:r w:rsidR="002A5325">
        <w:rPr>
          <w:b/>
          <w:szCs w:val="22"/>
        </w:rPr>
        <w:tab/>
      </w:r>
      <w:r w:rsidRPr="002A5325" w:rsidR="00C90927">
        <w:rPr>
          <w:b/>
          <w:szCs w:val="22"/>
          <w:u w:val="single"/>
        </w:rPr>
        <w:t>Justification</w:t>
      </w:r>
      <w:r w:rsidRPr="002A5325" w:rsidR="00C90927">
        <w:rPr>
          <w:b/>
          <w:szCs w:val="22"/>
        </w:rPr>
        <w:t>:</w:t>
      </w:r>
    </w:p>
    <w:p w:rsidR="00D31FCA" w:rsidP="00BA50EC" w14:paraId="53699C6D" w14:textId="0806C195">
      <w:pPr>
        <w:rPr>
          <w:b/>
          <w:szCs w:val="22"/>
        </w:rPr>
      </w:pPr>
      <w:r w:rsidRPr="00AC68A8">
        <w:rPr>
          <w:b/>
          <w:i/>
          <w:szCs w:val="22"/>
        </w:rPr>
        <w:t xml:space="preserve">Circumstances that </w:t>
      </w:r>
      <w:r w:rsidR="00994DE1">
        <w:rPr>
          <w:b/>
          <w:i/>
          <w:szCs w:val="22"/>
        </w:rPr>
        <w:t>M</w:t>
      </w:r>
      <w:r w:rsidRPr="00AC68A8">
        <w:rPr>
          <w:b/>
          <w:i/>
          <w:szCs w:val="22"/>
        </w:rPr>
        <w:t xml:space="preserve">ake the </w:t>
      </w:r>
      <w:r w:rsidR="00994DE1">
        <w:rPr>
          <w:b/>
          <w:i/>
          <w:szCs w:val="22"/>
        </w:rPr>
        <w:t>C</w:t>
      </w:r>
      <w:r w:rsidRPr="00AC68A8">
        <w:rPr>
          <w:b/>
          <w:i/>
          <w:szCs w:val="22"/>
        </w:rPr>
        <w:t xml:space="preserve">ollection </w:t>
      </w:r>
      <w:r w:rsidR="00994DE1">
        <w:rPr>
          <w:b/>
          <w:i/>
          <w:szCs w:val="22"/>
        </w:rPr>
        <w:t>N</w:t>
      </w:r>
      <w:r w:rsidRPr="00AC68A8">
        <w:rPr>
          <w:b/>
          <w:i/>
          <w:szCs w:val="22"/>
        </w:rPr>
        <w:t>ecessary</w:t>
      </w:r>
      <w:r w:rsidRPr="00AC68A8">
        <w:rPr>
          <w:b/>
          <w:szCs w:val="22"/>
        </w:rPr>
        <w:t>:</w:t>
      </w:r>
      <w:r w:rsidR="00A30F96">
        <w:rPr>
          <w:b/>
          <w:szCs w:val="22"/>
        </w:rPr>
        <w:t xml:space="preserve">  </w:t>
      </w:r>
    </w:p>
    <w:p w:rsidR="00800FCD" w:rsidRPr="00102013" w:rsidP="00BA50EC" w14:paraId="470175B2" w14:textId="77777777">
      <w:pPr>
        <w:rPr>
          <w:bCs/>
          <w:szCs w:val="22"/>
        </w:rPr>
      </w:pPr>
    </w:p>
    <w:p w:rsidR="009B7485" w:rsidP="00964806" w14:paraId="75098329" w14:textId="36FA144C">
      <w:pPr>
        <w:ind w:firstLine="720"/>
      </w:pPr>
      <w:r>
        <w:t>1.</w:t>
      </w:r>
      <w:r w:rsidR="002F2C67">
        <w:tab/>
      </w:r>
      <w:r w:rsidRPr="00A60301" w:rsidR="00A60301">
        <w:t>This supporting statement addresses the paperwork burdens associated with several sets of ne</w:t>
      </w:r>
      <w:r w:rsidR="000D68AA">
        <w:t xml:space="preserve">w </w:t>
      </w:r>
      <w:r w:rsidRPr="00A60301" w:rsidR="00A60301">
        <w:t>and revised rules that the Commission adopted to implement the</w:t>
      </w:r>
      <w:r w:rsidR="0064009E">
        <w:t xml:space="preserve"> </w:t>
      </w:r>
      <w:r w:rsidR="00866C1D">
        <w:t>Martha Wright-Reed Just and Reasonable Communications Act of 2022</w:t>
      </w:r>
      <w:r w:rsidR="00DE2722">
        <w:t xml:space="preserve"> (</w:t>
      </w:r>
      <w:r w:rsidR="0064009E">
        <w:t>Martha Wright-Reed Act</w:t>
      </w:r>
      <w:r w:rsidR="00DE2722">
        <w:t xml:space="preserve"> or the Act)</w:t>
      </w:r>
      <w:r w:rsidR="0064009E">
        <w:t>, which expand</w:t>
      </w:r>
      <w:r w:rsidR="00DE2722">
        <w:t>s</w:t>
      </w:r>
      <w:r w:rsidR="0064009E">
        <w:t xml:space="preserve"> the Commission’s statutory authority</w:t>
      </w:r>
      <w:r w:rsidRPr="0021492C" w:rsidR="0064009E">
        <w:t xml:space="preserve"> </w:t>
      </w:r>
      <w:r w:rsidR="0064009E">
        <w:t xml:space="preserve">over communications between incarcerated people and the non-incarcerated to include </w:t>
      </w:r>
      <w:r w:rsidRPr="00A01B32" w:rsidR="0064009E">
        <w:t>“any audio or video communications service used by inmates</w:t>
      </w:r>
      <w:r w:rsidR="0064009E">
        <w:t xml:space="preserve"> </w:t>
      </w:r>
      <w:r w:rsidRPr="00A01B32" w:rsidR="0064009E">
        <w:t>. . . regardless of technology used.”</w:t>
      </w:r>
      <w:r>
        <w:rPr>
          <w:sz w:val="20"/>
          <w:vertAlign w:val="superscript"/>
        </w:rPr>
        <w:footnoteReference w:id="3"/>
      </w:r>
      <w:r w:rsidR="0064009E">
        <w:t xml:space="preserve">  The new Act also amends section 2(b) of the Communications Act of 1934, as amended (the Communications Act), to make clear that the Commission’s authority extends to intrastate </w:t>
      </w:r>
      <w:r w:rsidRPr="001A4524" w:rsidR="0064009E">
        <w:t xml:space="preserve">as well as interstate and international </w:t>
      </w:r>
      <w:r w:rsidR="0064009E">
        <w:t>communications services used by incarcerated people.</w:t>
      </w:r>
      <w:r>
        <w:rPr>
          <w:rStyle w:val="FootnoteReference"/>
        </w:rPr>
        <w:footnoteReference w:id="4"/>
      </w:r>
      <w:r w:rsidR="0064009E">
        <w:t xml:space="preserve">  </w:t>
      </w:r>
    </w:p>
    <w:p w:rsidR="00F70B27" w:rsidP="00F70B27" w14:paraId="720B843F" w14:textId="77777777">
      <w:pPr>
        <w:pStyle w:val="ListParagraph"/>
      </w:pPr>
    </w:p>
    <w:p w:rsidR="00E25FFD" w:rsidP="00EA6035" w14:paraId="630DEA7A" w14:textId="5C8F467E">
      <w:pPr>
        <w:pStyle w:val="ParaNum"/>
        <w:numPr>
          <w:ilvl w:val="0"/>
          <w:numId w:val="0"/>
        </w:numPr>
        <w:ind w:firstLine="720"/>
      </w:pPr>
      <w:r>
        <w:t xml:space="preserve">The Act directs the Commission to “promulgate any regulations necessary to implement” </w:t>
      </w:r>
      <w:r w:rsidR="002062EC">
        <w:t>it</w:t>
      </w:r>
      <w:r>
        <w:t xml:space="preserve">, including </w:t>
      </w:r>
      <w:r w:rsidR="002062EC">
        <w:t xml:space="preserve">the </w:t>
      </w:r>
      <w:r>
        <w:t>mandate that the Commission establish a “compensation plan” ensuring that all rates and charges for IPCS “are just and reasonable,” not earlier than 18 months and not later than 24 months after the Act’s January 5, 2023 enactment date.</w:t>
      </w:r>
      <w:r>
        <w:rPr>
          <w:sz w:val="20"/>
          <w:vertAlign w:val="superscript"/>
        </w:rPr>
        <w:footnoteReference w:id="5"/>
      </w:r>
      <w:r>
        <w:t xml:space="preserve">  </w:t>
      </w:r>
      <w:r w:rsidRPr="00C92A96" w:rsidR="00C92A96">
        <w:t>Pursuant to that directive,</w:t>
      </w:r>
      <w:r w:rsidR="00C92A96">
        <w:t xml:space="preserve"> </w:t>
      </w:r>
      <w:r w:rsidR="002F7DA9">
        <w:t xml:space="preserve">the Commission released the </w:t>
      </w:r>
      <w:r w:rsidRPr="00092305" w:rsidR="002F7DA9">
        <w:rPr>
          <w:i/>
          <w:iCs/>
        </w:rPr>
        <w:t>2024 IPCS Order</w:t>
      </w:r>
      <w:r w:rsidR="00BB4AE5">
        <w:t xml:space="preserve"> </w:t>
      </w:r>
      <w:r w:rsidRPr="00BB4AE5" w:rsidR="00BB4AE5">
        <w:t>on July 22, 2024</w:t>
      </w:r>
      <w:r w:rsidR="00AB6864">
        <w:t>,</w:t>
      </w:r>
      <w:r w:rsidR="003318B8">
        <w:t xml:space="preserve"> which</w:t>
      </w:r>
      <w:r w:rsidR="00C61B1A">
        <w:t xml:space="preserve"> </w:t>
      </w:r>
      <w:r w:rsidRPr="00656587" w:rsidR="00656587">
        <w:t>fundamentally reform</w:t>
      </w:r>
      <w:r w:rsidR="002911EF">
        <w:t>ed</w:t>
      </w:r>
      <w:r w:rsidRPr="00656587" w:rsidR="00656587">
        <w:t xml:space="preserve"> the regulation of IPCS in all correctional facilities, regardless of the technology used to deliver these services, and significantly lower</w:t>
      </w:r>
      <w:r w:rsidR="0024342D">
        <w:t>ed</w:t>
      </w:r>
      <w:r w:rsidRPr="00656587" w:rsidR="00656587">
        <w:t xml:space="preserve"> the IPCS rates that incarcerated people and their loved ones will pay.</w:t>
      </w:r>
      <w:r>
        <w:rPr>
          <w:vertAlign w:val="superscript"/>
        </w:rPr>
        <w:footnoteReference w:id="6"/>
      </w:r>
      <w:r w:rsidR="00656587">
        <w:t xml:space="preserve"> </w:t>
      </w:r>
    </w:p>
    <w:p w:rsidR="00A07F3C" w:rsidP="004065A3" w14:paraId="7221E49F" w14:textId="5C2A4DA1">
      <w:pPr>
        <w:pStyle w:val="ParaNum"/>
        <w:widowControl/>
        <w:numPr>
          <w:ilvl w:val="0"/>
          <w:numId w:val="0"/>
        </w:numPr>
        <w:ind w:firstLine="720"/>
      </w:pPr>
      <w:r w:rsidRPr="004E2C46">
        <w:t xml:space="preserve">The </w:t>
      </w:r>
      <w:r w:rsidRPr="004E2C46">
        <w:rPr>
          <w:i/>
          <w:iCs/>
        </w:rPr>
        <w:t>2024 IPCS Order</w:t>
      </w:r>
      <w:r w:rsidRPr="004E2C46">
        <w:t xml:space="preserve"> address</w:t>
      </w:r>
      <w:r w:rsidR="0024342D">
        <w:t>ed</w:t>
      </w:r>
      <w:r w:rsidRPr="004E2C46">
        <w:t xml:space="preserve"> six major rulemaking areas that implicate the PRA.</w:t>
      </w:r>
      <w:r>
        <w:rPr>
          <w:vertAlign w:val="superscript"/>
        </w:rPr>
        <w:footnoteReference w:id="7"/>
      </w:r>
      <w:r w:rsidRPr="004E2C46">
        <w:t xml:space="preserve">  This submission seeks OMB review of five of these areas: disability access (new paperwork requirements), alternate pricing plans (new paperwork requirements), inactive accounts (new paperwork requirements), consumer</w:t>
      </w:r>
      <w:r w:rsidR="001F40A1">
        <w:t>s</w:t>
      </w:r>
      <w:r w:rsidRPr="004E2C46">
        <w:t xml:space="preserve"> disclosure (revised paperwork requirements), and waiver requests (revised paperwork </w:t>
      </w:r>
      <w:r w:rsidRPr="004E2C46">
        <w:t>requirements).</w:t>
      </w:r>
      <w:r>
        <w:t xml:space="preserve">  </w:t>
      </w:r>
      <w:r w:rsidR="00BD6FE9">
        <w:t xml:space="preserve">We </w:t>
      </w:r>
      <w:r w:rsidR="001F40A1">
        <w:t>are</w:t>
      </w:r>
      <w:r w:rsidR="009B2692">
        <w:t xml:space="preserve"> </w:t>
      </w:r>
      <w:r w:rsidR="00760329">
        <w:t>address</w:t>
      </w:r>
      <w:r w:rsidR="007F6C70">
        <w:t>ing</w:t>
      </w:r>
      <w:r w:rsidR="00760329">
        <w:t xml:space="preserve"> </w:t>
      </w:r>
      <w:r w:rsidR="00DD233B">
        <w:t>any</w:t>
      </w:r>
      <w:r w:rsidR="00F21BA5">
        <w:t xml:space="preserve"> changes in</w:t>
      </w:r>
      <w:r w:rsidR="00DD233B">
        <w:t xml:space="preserve"> </w:t>
      </w:r>
      <w:r w:rsidR="00D42008">
        <w:t xml:space="preserve">paperwork burdens arising from the </w:t>
      </w:r>
      <w:r w:rsidRPr="00DD253C" w:rsidR="00DD253C">
        <w:t>sixth area—</w:t>
      </w:r>
      <w:r w:rsidRPr="002D4FC9" w:rsidR="002D4FC9">
        <w:t>revisions to the annual reporting and certification rules</w:t>
      </w:r>
      <w:r w:rsidR="0096483D">
        <w:t>, and ass</w:t>
      </w:r>
      <w:r w:rsidR="009C5B47">
        <w:t>ociated forms</w:t>
      </w:r>
      <w:r w:rsidR="00EB4255">
        <w:t>—</w:t>
      </w:r>
      <w:r w:rsidRPr="0050172F" w:rsidR="0050172F">
        <w:t>separate</w:t>
      </w:r>
      <w:r w:rsidR="00753FCC">
        <w:t>ly</w:t>
      </w:r>
      <w:r w:rsidR="0088505C">
        <w:t>.</w:t>
      </w:r>
      <w:r>
        <w:rPr>
          <w:rStyle w:val="FootnoteReference"/>
        </w:rPr>
        <w:footnoteReference w:id="8"/>
      </w:r>
      <w:r w:rsidRPr="00890863" w:rsidR="00890863">
        <w:rPr>
          <w:rStyle w:val="FootnoteReference"/>
        </w:rPr>
        <w:t xml:space="preserve"> </w:t>
      </w:r>
    </w:p>
    <w:p w:rsidR="00AF7FC1" w:rsidP="00D913EC" w14:paraId="65F0DB0D" w14:textId="77777777">
      <w:pPr>
        <w:widowControl/>
        <w:spacing w:line="247" w:lineRule="auto"/>
        <w:ind w:right="15"/>
        <w:rPr>
          <w:b/>
          <w:bCs/>
          <w:i/>
          <w:iCs/>
        </w:rPr>
      </w:pPr>
    </w:p>
    <w:p w:rsidR="00B42180" w:rsidRPr="002A70F1" w:rsidP="00D913EC" w14:paraId="322B6D16" w14:textId="0B63C9B1">
      <w:pPr>
        <w:widowControl/>
        <w:spacing w:line="247" w:lineRule="auto"/>
        <w:ind w:right="15"/>
        <w:rPr>
          <w:b/>
          <w:bCs/>
          <w:i/>
          <w:iCs/>
        </w:rPr>
      </w:pPr>
      <w:r w:rsidRPr="002A70F1">
        <w:rPr>
          <w:b/>
          <w:bCs/>
          <w:i/>
          <w:iCs/>
          <w:u w:val="single"/>
        </w:rPr>
        <w:t xml:space="preserve">New </w:t>
      </w:r>
      <w:r w:rsidR="00951DFB">
        <w:rPr>
          <w:b/>
          <w:bCs/>
          <w:i/>
          <w:iCs/>
          <w:u w:val="single"/>
        </w:rPr>
        <w:t>R</w:t>
      </w:r>
      <w:r w:rsidRPr="002A70F1">
        <w:rPr>
          <w:b/>
          <w:bCs/>
          <w:i/>
          <w:iCs/>
          <w:u w:val="single"/>
        </w:rPr>
        <w:t>equirements</w:t>
      </w:r>
      <w:r w:rsidRPr="002A70F1" w:rsidR="00D913EC">
        <w:rPr>
          <w:b/>
          <w:bCs/>
          <w:i/>
          <w:iCs/>
          <w:u w:val="single"/>
        </w:rPr>
        <w:t xml:space="preserve"> for </w:t>
      </w:r>
      <w:r w:rsidR="00FF598E">
        <w:rPr>
          <w:b/>
          <w:bCs/>
          <w:i/>
          <w:iCs/>
          <w:u w:val="single"/>
        </w:rPr>
        <w:t>W</w:t>
      </w:r>
      <w:r w:rsidRPr="002A70F1" w:rsidR="00D913EC">
        <w:rPr>
          <w:b/>
          <w:bCs/>
          <w:i/>
          <w:iCs/>
          <w:u w:val="single"/>
        </w:rPr>
        <w:t xml:space="preserve">hich </w:t>
      </w:r>
      <w:r w:rsidR="00951DFB">
        <w:rPr>
          <w:b/>
          <w:bCs/>
          <w:i/>
          <w:iCs/>
          <w:u w:val="single"/>
        </w:rPr>
        <w:t>W</w:t>
      </w:r>
      <w:r w:rsidRPr="002A70F1" w:rsidR="00D913EC">
        <w:rPr>
          <w:b/>
          <w:bCs/>
          <w:i/>
          <w:iCs/>
          <w:u w:val="single"/>
        </w:rPr>
        <w:t xml:space="preserve">e </w:t>
      </w:r>
      <w:r w:rsidR="00951DFB">
        <w:rPr>
          <w:b/>
          <w:bCs/>
          <w:i/>
          <w:iCs/>
          <w:u w:val="single"/>
        </w:rPr>
        <w:t>A</w:t>
      </w:r>
      <w:r w:rsidRPr="002A70F1" w:rsidR="00D913EC">
        <w:rPr>
          <w:b/>
          <w:bCs/>
          <w:i/>
          <w:iCs/>
          <w:u w:val="single"/>
        </w:rPr>
        <w:t xml:space="preserve">re </w:t>
      </w:r>
      <w:r w:rsidR="00951DFB">
        <w:rPr>
          <w:b/>
          <w:bCs/>
          <w:i/>
          <w:iCs/>
          <w:u w:val="single"/>
        </w:rPr>
        <w:t>S</w:t>
      </w:r>
      <w:r w:rsidRPr="002A70F1" w:rsidR="00D913EC">
        <w:rPr>
          <w:b/>
          <w:bCs/>
          <w:i/>
          <w:iCs/>
          <w:u w:val="single"/>
        </w:rPr>
        <w:t xml:space="preserve">eeking OMB </w:t>
      </w:r>
      <w:r w:rsidR="00951DFB">
        <w:rPr>
          <w:b/>
          <w:bCs/>
          <w:i/>
          <w:iCs/>
          <w:u w:val="single"/>
        </w:rPr>
        <w:t>A</w:t>
      </w:r>
      <w:r w:rsidRPr="002A70F1" w:rsidR="00D913EC">
        <w:rPr>
          <w:b/>
          <w:bCs/>
          <w:i/>
          <w:iCs/>
          <w:u w:val="single"/>
        </w:rPr>
        <w:t>pproval</w:t>
      </w:r>
      <w:r w:rsidRPr="002A70F1" w:rsidR="00D913EC">
        <w:rPr>
          <w:b/>
          <w:bCs/>
          <w:i/>
          <w:iCs/>
        </w:rPr>
        <w:t>:</w:t>
      </w:r>
    </w:p>
    <w:p w:rsidR="00D82CFE" w:rsidP="00BC1628" w14:paraId="035DF6D3" w14:textId="77777777">
      <w:pPr>
        <w:spacing w:after="120"/>
        <w:jc w:val="both"/>
        <w:rPr>
          <w:b/>
          <w:bCs/>
        </w:rPr>
      </w:pPr>
    </w:p>
    <w:p w:rsidR="00E66C18" w:rsidP="00E66C18" w14:paraId="649A94A1" w14:textId="77777777">
      <w:pPr>
        <w:pStyle w:val="ParaNum"/>
        <w:widowControl/>
        <w:numPr>
          <w:ilvl w:val="0"/>
          <w:numId w:val="0"/>
        </w:numPr>
        <w:ind w:firstLine="360"/>
        <w:rPr>
          <w:b/>
        </w:rPr>
      </w:pPr>
      <w:r w:rsidRPr="00C03474">
        <w:rPr>
          <w:b/>
          <w:u w:val="single"/>
        </w:rPr>
        <w:t>Communications access for Incarcerated People with disabilities</w:t>
      </w:r>
      <w:r w:rsidRPr="00C03474" w:rsidR="00D82CFE">
        <w:rPr>
          <w:b/>
          <w:u w:val="single"/>
        </w:rPr>
        <w:t xml:space="preserve"> </w:t>
      </w:r>
      <w:bookmarkStart w:id="0" w:name="_Hlk176250310"/>
      <w:r w:rsidRPr="00C03474" w:rsidR="00D82CFE">
        <w:rPr>
          <w:b/>
          <w:u w:val="single"/>
        </w:rPr>
        <w:t>(§ 64.6</w:t>
      </w:r>
      <w:r w:rsidRPr="00C03474" w:rsidR="008956CD">
        <w:rPr>
          <w:b/>
          <w:u w:val="single"/>
        </w:rPr>
        <w:t>040(f)</w:t>
      </w:r>
      <w:bookmarkEnd w:id="0"/>
      <w:r w:rsidRPr="00C03474" w:rsidR="00D82CFE">
        <w:rPr>
          <w:b/>
          <w:u w:val="single"/>
        </w:rPr>
        <w:t>)</w:t>
      </w:r>
      <w:r w:rsidR="00AB722B">
        <w:rPr>
          <w:b/>
        </w:rPr>
        <w:t>.</w:t>
      </w:r>
      <w:bookmarkStart w:id="1" w:name="_Hlk175605567"/>
    </w:p>
    <w:p w:rsidR="00E67AD6" w:rsidP="00F41ACD" w14:paraId="191A2605" w14:textId="39C22678">
      <w:pPr>
        <w:pStyle w:val="ParaNum"/>
        <w:numPr>
          <w:ilvl w:val="0"/>
          <w:numId w:val="0"/>
        </w:numPr>
        <w:ind w:firstLine="720"/>
      </w:pPr>
      <w:r w:rsidRPr="00E66C18">
        <w:rPr>
          <w:b/>
          <w:bCs/>
          <w:i/>
          <w:iCs/>
        </w:rPr>
        <w:t>Background</w:t>
      </w:r>
      <w:r>
        <w:t xml:space="preserve">.  </w:t>
      </w:r>
      <w:r w:rsidRPr="00D61D6B">
        <w:t xml:space="preserve">In the </w:t>
      </w:r>
      <w:r w:rsidRPr="001D762B">
        <w:rPr>
          <w:i/>
          <w:iCs/>
        </w:rPr>
        <w:t>2022 ICS Order</w:t>
      </w:r>
      <w:r w:rsidRPr="00D61D6B">
        <w:t>, the Commission</w:t>
      </w:r>
      <w:r>
        <w:t xml:space="preserve"> took action </w:t>
      </w:r>
      <w:r w:rsidRPr="00D61D6B">
        <w:t xml:space="preserve">to improve access to </w:t>
      </w:r>
      <w:r w:rsidRPr="00B576CA">
        <w:t xml:space="preserve">Telecommunications Relay Service </w:t>
      </w:r>
      <w:r>
        <w:t>(</w:t>
      </w:r>
      <w:r w:rsidRPr="00D61D6B">
        <w:t>TRS</w:t>
      </w:r>
      <w:r>
        <w:t>)</w:t>
      </w:r>
      <w:r w:rsidRPr="00D61D6B">
        <w:t xml:space="preserve"> and related communications services</w:t>
      </w:r>
      <w:r>
        <w:t xml:space="preserve"> for incarcerated people with communication disabilities.</w:t>
      </w:r>
      <w:r>
        <w:rPr>
          <w:rStyle w:val="FootnoteReference"/>
        </w:rPr>
        <w:footnoteReference w:id="9"/>
      </w:r>
      <w:r>
        <w:t xml:space="preserve">  The Commission clarified and expanded the restrictions </w:t>
      </w:r>
      <w:r w:rsidR="002643B6">
        <w:t xml:space="preserve">on </w:t>
      </w:r>
      <w:r>
        <w:t xml:space="preserve">charges for TRS calls, and expanded the scope of </w:t>
      </w:r>
      <w:r w:rsidR="00FD3D55">
        <w:t xml:space="preserve">IPCS </w:t>
      </w:r>
      <w:r>
        <w:t>Annual Reports to reflect these and other changes.</w:t>
      </w:r>
      <w:r>
        <w:rPr>
          <w:rStyle w:val="FootnoteReference"/>
        </w:rPr>
        <w:footnoteReference w:id="10"/>
      </w:r>
      <w:r>
        <w:t xml:space="preserve">  For example, the Commission added section 64.6040(c), which, among other things, requires providers, as part of their obligation to provide access to TRS, to “[w]</w:t>
      </w:r>
      <w:r w:rsidRPr="00856459">
        <w:t>ork</w:t>
      </w:r>
      <w:r w:rsidRPr="00856459">
        <w:t xml:space="preserve"> with correctional authorities, equipment vendors, and TRS providers to ensure that screen-equipped communications devices such as tablets, smartphones, or videophones are available to incarcerated people who need to use TRS for effective communication</w:t>
      </w:r>
      <w:r>
        <w:t>, and all necessary TRS provider software applications are included, with any adjustments needed to meet the security needs of the institution, provide compatibility with institutional communications systems, and allow operability over the Inmate Calling Services Provider’s network.”</w:t>
      </w:r>
      <w:r>
        <w:rPr>
          <w:rStyle w:val="FootnoteReference"/>
        </w:rPr>
        <w:footnoteReference w:id="11"/>
      </w:r>
    </w:p>
    <w:p w:rsidR="00E67AD6" w:rsidP="00F41ACD" w14:paraId="1B315753" w14:textId="47B0780D">
      <w:pPr>
        <w:pStyle w:val="ParaNum"/>
        <w:numPr>
          <w:ilvl w:val="0"/>
          <w:numId w:val="0"/>
        </w:numPr>
        <w:ind w:firstLine="720"/>
      </w:pPr>
      <w:r w:rsidRPr="00B9170D">
        <w:t xml:space="preserve">In the </w:t>
      </w:r>
      <w:r w:rsidRPr="005E2D98">
        <w:rPr>
          <w:i/>
          <w:iCs/>
        </w:rPr>
        <w:t>2023 IPCS Notice</w:t>
      </w:r>
      <w:r w:rsidRPr="00B9170D">
        <w:t>, the Commission sought comment on the extent to which the Martha Wright-Reed Act expands its ability to ensure that any audio and video communications services used by incarcerated people are accessible to and usable by people with disabilities.</w:t>
      </w:r>
      <w:r>
        <w:rPr>
          <w:rStyle w:val="FootnoteReference"/>
        </w:rPr>
        <w:footnoteReference w:id="12"/>
      </w:r>
      <w:r w:rsidRPr="00B9170D">
        <w:t xml:space="preserve">  </w:t>
      </w:r>
      <w:r>
        <w:t xml:space="preserve">In the </w:t>
      </w:r>
      <w:r w:rsidRPr="00F33C52">
        <w:rPr>
          <w:i/>
          <w:iCs/>
        </w:rPr>
        <w:t>2024 IPCS Order</w:t>
      </w:r>
      <w:r>
        <w:t xml:space="preserve">, the Commission </w:t>
      </w:r>
      <w:r w:rsidR="00F37F62">
        <w:t xml:space="preserve">again amended </w:t>
      </w:r>
      <w:r>
        <w:t>section 64.6040</w:t>
      </w:r>
      <w:r w:rsidR="000F71E5">
        <w:t xml:space="preserve">, adding section </w:t>
      </w:r>
      <w:r w:rsidR="0095025F">
        <w:t>64.</w:t>
      </w:r>
      <w:r w:rsidR="000F71E5">
        <w:t>6040(</w:t>
      </w:r>
      <w:r>
        <w:t>f</w:t>
      </w:r>
      <w:r w:rsidR="000F71E5">
        <w:t>)</w:t>
      </w:r>
      <w:r>
        <w:t xml:space="preserve"> to ensure that IPCS providers offer information and documentation in accessible formats.</w:t>
      </w:r>
      <w:r>
        <w:rPr>
          <w:rStyle w:val="FootnoteReference"/>
        </w:rPr>
        <w:footnoteReference w:id="13"/>
      </w:r>
    </w:p>
    <w:p w:rsidR="004A24F7" w:rsidP="004A24F7" w14:paraId="52B949A8" w14:textId="77777777">
      <w:pPr>
        <w:widowControl/>
        <w:spacing w:after="120"/>
      </w:pPr>
      <w:r w:rsidRPr="00305B9A">
        <w:rPr>
          <w:b/>
          <w:bCs/>
          <w:u w:val="single"/>
        </w:rPr>
        <w:t>Section 64.6</w:t>
      </w:r>
      <w:r>
        <w:rPr>
          <w:b/>
          <w:bCs/>
          <w:u w:val="single"/>
        </w:rPr>
        <w:t>040</w:t>
      </w:r>
      <w:r w:rsidRPr="00305B9A">
        <w:rPr>
          <w:b/>
          <w:bCs/>
          <w:u w:val="single"/>
        </w:rPr>
        <w:t>(f)</w:t>
      </w:r>
      <w:r w:rsidRPr="00305B9A">
        <w:rPr>
          <w:b/>
          <w:bCs/>
        </w:rPr>
        <w:t>:</w:t>
      </w:r>
    </w:p>
    <w:bookmarkEnd w:id="1"/>
    <w:p w:rsidR="00BC1628" w:rsidRPr="00FE39FC" w:rsidP="006F4D2F" w14:paraId="761943F2" w14:textId="581F3642">
      <w:pPr>
        <w:spacing w:after="120"/>
        <w:ind w:left="360"/>
        <w:rPr>
          <w:i/>
        </w:rPr>
      </w:pPr>
      <w:r w:rsidRPr="00FE39FC">
        <w:t xml:space="preserve">(f) </w:t>
      </w:r>
    </w:p>
    <w:p w:rsidR="00BC1628" w:rsidRPr="00FE39FC" w:rsidP="00BC1628" w14:paraId="4250945F" w14:textId="77777777">
      <w:pPr>
        <w:widowControl/>
        <w:spacing w:after="120"/>
        <w:ind w:left="1080" w:hanging="360"/>
        <w:rPr>
          <w:rFonts w:eastAsia="Calibri"/>
          <w:kern w:val="2"/>
        </w:rPr>
      </w:pPr>
      <w:r w:rsidRPr="00FE39FC">
        <w:t xml:space="preserve">(1) A Provider shall ensure that the information and documentation that it provides to current or potential </w:t>
      </w:r>
      <w:r>
        <w:t>C</w:t>
      </w:r>
      <w:r w:rsidRPr="00FE39FC">
        <w:t xml:space="preserve">onsumers of Incarcerated People’s Communications Services is accessible. </w:t>
      </w:r>
      <w:r>
        <w:t xml:space="preserve"> </w:t>
      </w:r>
      <w:r w:rsidRPr="00FE39FC">
        <w:t>Such information and documentation includes, but is not limited to, disclosures of charges, user guides, bills, installation guides for end user devices, and product support communications.</w:t>
      </w:r>
    </w:p>
    <w:p w:rsidR="00BC1628" w:rsidRPr="00FE39FC" w:rsidP="00BC1628" w14:paraId="2858EB49" w14:textId="77777777">
      <w:pPr>
        <w:widowControl/>
        <w:spacing w:after="120"/>
        <w:ind w:left="1080" w:hanging="360"/>
        <w:rPr>
          <w:rFonts w:eastAsia="Calibri"/>
          <w:kern w:val="2"/>
        </w:rPr>
      </w:pPr>
      <w:r w:rsidRPr="00FE39FC">
        <w:t xml:space="preserve">(2) The term “accessible” has the same meaning given such term under § 14.10 of this chapter, as such section may be amended from time to time. </w:t>
      </w:r>
    </w:p>
    <w:p w:rsidR="00BC1628" w:rsidRPr="00FE39FC" w:rsidP="00BC1628" w14:paraId="76472323" w14:textId="77777777">
      <w:pPr>
        <w:widowControl/>
        <w:spacing w:after="120"/>
        <w:ind w:left="1080" w:hanging="360"/>
        <w:rPr>
          <w:rFonts w:eastAsia="Calibri"/>
          <w:kern w:val="2"/>
        </w:rPr>
      </w:pPr>
      <w:r w:rsidRPr="00FE39FC">
        <w:t xml:space="preserve">(3) The requirement to ensure the information is accessible also includes ensuring access, at no extra cost, to call centers and customer support regarding the products and services for current or potential </w:t>
      </w:r>
      <w:r>
        <w:t>C</w:t>
      </w:r>
      <w:r w:rsidRPr="00FE39FC">
        <w:t xml:space="preserve">onsumers of Incarcerated People’s Communications Services.  </w:t>
      </w:r>
    </w:p>
    <w:p w:rsidR="00B913F8" w:rsidRPr="00F278EB" w:rsidP="00B913F8" w14:paraId="69B6A89D" w14:textId="031A5A17">
      <w:pPr>
        <w:spacing w:after="120"/>
        <w:jc w:val="both"/>
        <w:rPr>
          <w:b/>
          <w:bCs/>
          <w:u w:val="single"/>
        </w:rPr>
      </w:pPr>
      <w:r w:rsidRPr="00F278EB">
        <w:rPr>
          <w:b/>
          <w:u w:val="single"/>
        </w:rPr>
        <w:t>Protection of consumer funds in inactive accounts</w:t>
      </w:r>
      <w:r w:rsidRPr="00F278EB" w:rsidR="00D82CFE">
        <w:rPr>
          <w:b/>
          <w:u w:val="single"/>
        </w:rPr>
        <w:t xml:space="preserve"> </w:t>
      </w:r>
      <w:bookmarkStart w:id="4" w:name="_Hlk175643033"/>
      <w:r w:rsidRPr="00F278EB" w:rsidR="00D82CFE">
        <w:rPr>
          <w:b/>
          <w:u w:val="single"/>
        </w:rPr>
        <w:t>(</w:t>
      </w:r>
      <w:bookmarkStart w:id="5" w:name="_Hlk176253478"/>
      <w:r w:rsidRPr="00F278EB" w:rsidR="00D82CFE">
        <w:rPr>
          <w:b/>
          <w:u w:val="single"/>
        </w:rPr>
        <w:t xml:space="preserve">§§ </w:t>
      </w:r>
      <w:bookmarkEnd w:id="5"/>
      <w:r w:rsidRPr="00F278EB" w:rsidR="00D82CFE">
        <w:rPr>
          <w:b/>
          <w:u w:val="single"/>
        </w:rPr>
        <w:t>64.6130(d),</w:t>
      </w:r>
      <w:bookmarkEnd w:id="4"/>
      <w:r w:rsidRPr="00F278EB" w:rsidR="00D82CFE">
        <w:rPr>
          <w:b/>
          <w:u w:val="single"/>
        </w:rPr>
        <w:t xml:space="preserve"> (e), (f), (h)-(k)</w:t>
      </w:r>
      <w:r w:rsidRPr="00F278EB" w:rsidR="008956CD">
        <w:rPr>
          <w:b/>
          <w:u w:val="single"/>
        </w:rPr>
        <w:t>)</w:t>
      </w:r>
      <w:r w:rsidR="00946313">
        <w:rPr>
          <w:b/>
          <w:u w:val="single"/>
        </w:rPr>
        <w:t>.</w:t>
      </w:r>
    </w:p>
    <w:p w:rsidR="000714B8" w:rsidP="00657558" w14:paraId="4F8636F7" w14:textId="7F903958">
      <w:pPr>
        <w:pStyle w:val="ParaNum"/>
        <w:numPr>
          <w:ilvl w:val="0"/>
          <w:numId w:val="0"/>
        </w:numPr>
        <w:ind w:firstLine="720"/>
      </w:pPr>
      <w:r w:rsidRPr="00FB5D31">
        <w:rPr>
          <w:b/>
          <w:bCs/>
          <w:i/>
          <w:iCs/>
        </w:rPr>
        <w:t>Background</w:t>
      </w:r>
      <w:r>
        <w:t xml:space="preserve">.  </w:t>
      </w:r>
      <w:r w:rsidRPr="009F120E" w:rsidR="00B42180">
        <w:t xml:space="preserve">In the </w:t>
      </w:r>
      <w:r w:rsidRPr="006D6D4A" w:rsidR="00B42180">
        <w:rPr>
          <w:i/>
        </w:rPr>
        <w:t>2022 ICS Order</w:t>
      </w:r>
      <w:r w:rsidRPr="009F120E" w:rsidR="00B42180">
        <w:t xml:space="preserve">, </w:t>
      </w:r>
      <w:r w:rsidR="00B42180">
        <w:t xml:space="preserve">in response </w:t>
      </w:r>
      <w:r w:rsidRPr="009F120E" w:rsidR="00B42180">
        <w:t>to allegations of abusive provider practices, the Commission adopted interim rules that prohibit providers from seizing or otherwise disposing of funds in inactive inmate calling services accounts until the accounts have been continuously inactive for at least 180 calendar days.</w:t>
      </w:r>
      <w:r>
        <w:rPr>
          <w:rStyle w:val="FootnoteReference"/>
        </w:rPr>
        <w:footnoteReference w:id="14"/>
      </w:r>
      <w:r w:rsidR="00B42180">
        <w:t xml:space="preserve">  </w:t>
      </w:r>
      <w:r w:rsidRPr="00C03D52" w:rsidR="00B42180">
        <w:t xml:space="preserve">In the </w:t>
      </w:r>
      <w:r w:rsidRPr="006D6D4A" w:rsidR="00B42180">
        <w:rPr>
          <w:i/>
          <w:iCs/>
        </w:rPr>
        <w:t>2022 ICS Further Notice</w:t>
      </w:r>
      <w:r w:rsidRPr="00C03D52" w:rsidR="00B42180">
        <w:t xml:space="preserve">, the Commission sought comment on </w:t>
      </w:r>
      <w:r w:rsidR="00B42180">
        <w:t xml:space="preserve">whether the Commission should adopt additional requirements regarding inactive accounts to protect consumers as it </w:t>
      </w:r>
      <w:r w:rsidRPr="00C03D52" w:rsidR="00B42180">
        <w:t>adopt</w:t>
      </w:r>
      <w:r w:rsidR="00B42180">
        <w:t>s</w:t>
      </w:r>
      <w:r w:rsidRPr="00C03D52" w:rsidR="00B42180">
        <w:t xml:space="preserve"> final rules.</w:t>
      </w:r>
      <w:r>
        <w:rPr>
          <w:rStyle w:val="FootnoteReference"/>
        </w:rPr>
        <w:footnoteReference w:id="15"/>
      </w:r>
      <w:r w:rsidR="00B42180">
        <w:t xml:space="preserve">  In the </w:t>
      </w:r>
      <w:r w:rsidRPr="00D61D59" w:rsidR="00B42180">
        <w:rPr>
          <w:i/>
          <w:iCs/>
        </w:rPr>
        <w:t>2024 IPCS Order</w:t>
      </w:r>
      <w:r w:rsidR="00B42180">
        <w:t xml:space="preserve">, the Commission revised and strengthened </w:t>
      </w:r>
      <w:r w:rsidR="0060103B">
        <w:t>the</w:t>
      </w:r>
      <w:r w:rsidR="00B42180">
        <w:t xml:space="preserve"> existing inactive account rules.  The</w:t>
      </w:r>
      <w:r w:rsidR="0060103B">
        <w:t xml:space="preserve"> new</w:t>
      </w:r>
      <w:r w:rsidR="00D76B1C">
        <w:t xml:space="preserve"> </w:t>
      </w:r>
      <w:r w:rsidR="00B42180">
        <w:t xml:space="preserve">permanent rules </w:t>
      </w:r>
      <w:r w:rsidR="000E11D5">
        <w:t xml:space="preserve">build upon the interim rules addressing </w:t>
      </w:r>
      <w:r w:rsidR="00B42180">
        <w:t>the treatment of unused funds in IPCS accounts</w:t>
      </w:r>
      <w:r w:rsidR="002616C3">
        <w:t xml:space="preserve"> and include the </w:t>
      </w:r>
      <w:r w:rsidR="006E3E3B">
        <w:t xml:space="preserve">information collection </w:t>
      </w:r>
      <w:r w:rsidR="005C3D79">
        <w:t>requirements set forth below</w:t>
      </w:r>
      <w:r w:rsidR="000E11D5">
        <w:t>.</w:t>
      </w:r>
      <w:r>
        <w:rPr>
          <w:sz w:val="20"/>
          <w:vertAlign w:val="superscript"/>
        </w:rPr>
        <w:footnoteReference w:id="16"/>
      </w:r>
      <w:r w:rsidR="00B42180">
        <w:t xml:space="preserve">  </w:t>
      </w:r>
    </w:p>
    <w:p w:rsidR="00AB686E" w:rsidP="006B1EA8" w14:paraId="64E19CF9" w14:textId="77777777">
      <w:pPr>
        <w:spacing w:after="120"/>
        <w:rPr>
          <w:b/>
          <w:bCs/>
        </w:rPr>
      </w:pPr>
      <w:r w:rsidRPr="00013D1F">
        <w:rPr>
          <w:b/>
          <w:bCs/>
          <w:u w:val="single"/>
        </w:rPr>
        <w:t xml:space="preserve">Section </w:t>
      </w:r>
      <w:r w:rsidRPr="00013D1F" w:rsidR="00013D1F">
        <w:rPr>
          <w:b/>
          <w:bCs/>
          <w:u w:val="single"/>
        </w:rPr>
        <w:t>64.6130(d)</w:t>
      </w:r>
      <w:r w:rsidR="00013D1F">
        <w:rPr>
          <w:b/>
          <w:bCs/>
        </w:rPr>
        <w:t>:</w:t>
      </w:r>
    </w:p>
    <w:p w:rsidR="00584151" w:rsidRPr="00FE39FC" w:rsidP="00584151" w14:paraId="1FAFFE53" w14:textId="1D947F3A">
      <w:pPr>
        <w:spacing w:after="120"/>
        <w:ind w:left="720" w:hanging="360"/>
        <w:rPr>
          <w:i/>
        </w:rPr>
      </w:pPr>
      <w:r w:rsidRPr="00FE39FC">
        <w:t>(</w:t>
      </w:r>
      <w:r>
        <w:t>d</w:t>
      </w:r>
      <w:r w:rsidRPr="00FE39FC">
        <w:t>) After 180 days of continuous account inactivity have passed, or at the end of any longer alternative period set by state law, the Provider must:</w:t>
      </w:r>
    </w:p>
    <w:p w:rsidR="00584151" w:rsidRPr="00FE39FC" w:rsidP="00584151" w14:paraId="3DBC8580" w14:textId="77777777">
      <w:pPr>
        <w:widowControl/>
        <w:spacing w:after="120"/>
        <w:ind w:left="1080" w:hanging="360"/>
        <w:rPr>
          <w:rFonts w:eastAsia="Calibri"/>
          <w:kern w:val="2"/>
        </w:rPr>
      </w:pPr>
      <w:r w:rsidRPr="00FE39FC">
        <w:t xml:space="preserve">(1) Contact the account holder prior to closing the account and refunding the remaining balance to determine whether the account holder wishes to continue using the </w:t>
      </w:r>
      <w:r>
        <w:t>IPCS A</w:t>
      </w:r>
      <w:r w:rsidRPr="00FE39FC">
        <w:t>ccount, or to close it and obtain a refund; and</w:t>
      </w:r>
    </w:p>
    <w:p w:rsidR="00584151" w:rsidRPr="00FE39FC" w:rsidP="00584151" w14:paraId="045A670E" w14:textId="77777777">
      <w:pPr>
        <w:widowControl/>
        <w:spacing w:after="120"/>
        <w:ind w:left="1080" w:hanging="360"/>
        <w:rPr>
          <w:rFonts w:eastAsia="Calibri"/>
          <w:kern w:val="2"/>
        </w:rPr>
      </w:pPr>
      <w:r w:rsidRPr="00FE39FC">
        <w:t xml:space="preserve">(2) Make reasonable efforts to refund the balance in the </w:t>
      </w:r>
      <w:r>
        <w:t>IPCS</w:t>
      </w:r>
      <w:r w:rsidRPr="00FE39FC">
        <w:t xml:space="preserve"> </w:t>
      </w:r>
      <w:r>
        <w:t>A</w:t>
      </w:r>
      <w:r w:rsidRPr="00FE39FC">
        <w:t>ccount to the account holder or such other person as the account holder has specified.  Reasonable efforts include, but are not limited to:</w:t>
      </w:r>
    </w:p>
    <w:p w:rsidR="00584151" w:rsidRPr="00FE39FC" w:rsidP="00584151" w14:paraId="1B30389D" w14:textId="77777777">
      <w:pPr>
        <w:spacing w:after="120"/>
        <w:ind w:left="1440"/>
        <w:rPr>
          <w:rFonts w:eastAsia="Calibri"/>
          <w:kern w:val="0"/>
        </w:rPr>
      </w:pPr>
      <w:r w:rsidRPr="00FE39FC">
        <w:rPr>
          <w:rFonts w:eastAsia="Calibri"/>
          <w:kern w:val="0"/>
        </w:rPr>
        <w:t xml:space="preserve">(i) Notification to the account holder that the account has been deemed inactive; </w:t>
      </w:r>
    </w:p>
    <w:p w:rsidR="00584151" w:rsidRPr="00FE39FC" w:rsidP="00584151" w14:paraId="23F89F2D" w14:textId="77777777">
      <w:pPr>
        <w:spacing w:after="120"/>
        <w:ind w:left="1440"/>
        <w:rPr>
          <w:rFonts w:eastAsia="Calibri"/>
          <w:kern w:val="0"/>
        </w:rPr>
      </w:pPr>
      <w:r w:rsidRPr="00FE39FC">
        <w:rPr>
          <w:rFonts w:eastAsia="Calibri"/>
          <w:kern w:val="0"/>
        </w:rPr>
        <w:t>(ii) The collection of contact information needed to process the refund; and</w:t>
      </w:r>
    </w:p>
    <w:p w:rsidR="00584151" w:rsidP="00584151" w14:paraId="13FF4769" w14:textId="77777777">
      <w:pPr>
        <w:spacing w:after="120"/>
        <w:ind w:left="1440"/>
        <w:rPr>
          <w:rFonts w:eastAsia="Calibri"/>
          <w:kern w:val="0"/>
        </w:rPr>
      </w:pPr>
      <w:r w:rsidRPr="00FE39FC">
        <w:rPr>
          <w:rFonts w:eastAsia="Calibri"/>
          <w:kern w:val="0"/>
        </w:rPr>
        <w:t xml:space="preserve">(iii) Timely responses to inquiries from an account holder. </w:t>
      </w:r>
    </w:p>
    <w:p w:rsidR="00B1089B" w:rsidRPr="00B1089B" w:rsidP="00B1089B" w14:paraId="5082B3AA" w14:textId="017E2DFF">
      <w:pPr>
        <w:spacing w:after="120"/>
        <w:rPr>
          <w:rFonts w:eastAsia="Calibri"/>
          <w:b/>
          <w:bCs/>
          <w:kern w:val="0"/>
        </w:rPr>
      </w:pPr>
      <w:bookmarkStart w:id="6" w:name="_Hlk175751519"/>
      <w:r w:rsidRPr="00B1089B">
        <w:rPr>
          <w:rFonts w:eastAsia="Calibri"/>
          <w:b/>
          <w:bCs/>
          <w:kern w:val="0"/>
          <w:u w:val="single"/>
        </w:rPr>
        <w:t>Section 64.6130(e)</w:t>
      </w:r>
      <w:bookmarkEnd w:id="6"/>
      <w:r>
        <w:rPr>
          <w:rFonts w:eastAsia="Calibri"/>
          <w:b/>
          <w:bCs/>
          <w:kern w:val="0"/>
        </w:rPr>
        <w:t>:</w:t>
      </w:r>
    </w:p>
    <w:p w:rsidR="00584151" w:rsidP="00584151" w14:paraId="43633440" w14:textId="00531D57">
      <w:pPr>
        <w:widowControl/>
        <w:spacing w:after="120"/>
        <w:ind w:left="720" w:hanging="360"/>
      </w:pPr>
      <w:r w:rsidRPr="00FE39FC">
        <w:t>(</w:t>
      </w:r>
      <w:r>
        <w:t>e</w:t>
      </w:r>
      <w:r w:rsidRPr="00FE39FC">
        <w:t xml:space="preserve">) If a </w:t>
      </w:r>
      <w:r>
        <w:t>P</w:t>
      </w:r>
      <w:r w:rsidRPr="00FE39FC">
        <w:t xml:space="preserve">rovider’s reasonable efforts to refund the balance of the </w:t>
      </w:r>
      <w:r>
        <w:t>IPCS A</w:t>
      </w:r>
      <w:r w:rsidRPr="00FE39FC">
        <w:t xml:space="preserve">ccount fail, the </w:t>
      </w:r>
      <w:r>
        <w:t>P</w:t>
      </w:r>
      <w:r w:rsidRPr="00FE39FC">
        <w:t>rovider must dispose of remaining funds in accordance with applicable state consumer protection law concerning unclaimed funds or the disposition of such accounts.</w:t>
      </w:r>
    </w:p>
    <w:p w:rsidR="00305B9A" w:rsidRPr="00305B9A" w:rsidP="00305B9A" w14:paraId="36D69172" w14:textId="3F974D83">
      <w:pPr>
        <w:widowControl/>
        <w:spacing w:after="120"/>
        <w:rPr>
          <w:b/>
          <w:bCs/>
        </w:rPr>
      </w:pPr>
      <w:r w:rsidRPr="00305B9A">
        <w:rPr>
          <w:b/>
          <w:bCs/>
          <w:u w:val="single"/>
        </w:rPr>
        <w:t>Section 64.6130(f)</w:t>
      </w:r>
      <w:r w:rsidRPr="00305B9A">
        <w:rPr>
          <w:b/>
          <w:bCs/>
        </w:rPr>
        <w:t>:</w:t>
      </w:r>
    </w:p>
    <w:p w:rsidR="00584151" w:rsidP="00584151" w14:paraId="4FD8626D" w14:textId="77777777">
      <w:pPr>
        <w:spacing w:after="120"/>
        <w:ind w:left="720" w:hanging="360"/>
      </w:pPr>
      <w:r w:rsidRPr="00FE39FC">
        <w:t>(</w:t>
      </w:r>
      <w:r>
        <w:t>f</w:t>
      </w:r>
      <w:r w:rsidRPr="00FE39FC">
        <w:t>) If a Provider becomes aware tha</w:t>
      </w:r>
      <w:r>
        <w:t>t</w:t>
      </w:r>
      <w:r w:rsidRPr="00FE39FC">
        <w:t xml:space="preserve"> an Incarcerated Person has been released or transferred, the 180-day inactivity period shall be deemed to have run and the Provider shall begin processing a refund in accordance with this section.  The Provider shall contact the account holder prior to closing the </w:t>
      </w:r>
      <w:r>
        <w:t>IPCS A</w:t>
      </w:r>
      <w:r w:rsidRPr="00FE39FC">
        <w:t xml:space="preserve">ccount and refunding the remaining balance in the </w:t>
      </w:r>
      <w:r>
        <w:t>IPCS A</w:t>
      </w:r>
      <w:r w:rsidRPr="00FE39FC">
        <w:t xml:space="preserve">ccount, to determine whether the account holder wishes to continue using the </w:t>
      </w:r>
      <w:r>
        <w:t>IPCS A</w:t>
      </w:r>
      <w:r w:rsidRPr="00FE39FC">
        <w:t xml:space="preserve">ccount, or to close it and obtain a refund from the Provider.  </w:t>
      </w:r>
    </w:p>
    <w:p w:rsidR="00305B9A" w:rsidRPr="009847E8" w:rsidP="00305B9A" w14:paraId="360CC3CA" w14:textId="5B25961C">
      <w:pPr>
        <w:spacing w:after="120"/>
        <w:rPr>
          <w:b/>
          <w:bCs/>
          <w:iCs/>
        </w:rPr>
      </w:pPr>
      <w:r w:rsidRPr="009847E8">
        <w:rPr>
          <w:b/>
          <w:bCs/>
          <w:iCs/>
          <w:u w:val="single"/>
        </w:rPr>
        <w:t>Section 64.6130(h)</w:t>
      </w:r>
      <w:r w:rsidRPr="009847E8">
        <w:rPr>
          <w:b/>
          <w:bCs/>
          <w:iCs/>
        </w:rPr>
        <w:t>:</w:t>
      </w:r>
    </w:p>
    <w:p w:rsidR="00584151" w:rsidP="00584151" w14:paraId="599FF778" w14:textId="77777777">
      <w:pPr>
        <w:spacing w:after="120"/>
        <w:ind w:left="720" w:hanging="360"/>
      </w:pPr>
      <w:r w:rsidRPr="00FE39FC">
        <w:t>(</w:t>
      </w:r>
      <w:r>
        <w:t>h</w:t>
      </w:r>
      <w:r w:rsidRPr="00FE39FC">
        <w:t xml:space="preserve">) Any refund made pursuant to this section shall be issued within 30 calendar days of the </w:t>
      </w:r>
      <w:r>
        <w:t>IPCS A</w:t>
      </w:r>
      <w:r w:rsidRPr="00FE39FC">
        <w:t>ccount being deemed inactive or within 30 calendar days of a request for a refund from an account holder or other such individual as the account holder may have specified to receive a refund.</w:t>
      </w:r>
    </w:p>
    <w:p w:rsidR="00ED6BAB" w:rsidRPr="00ED6BAB" w:rsidP="00ED6BAB" w14:paraId="3B2D71D8" w14:textId="285B5557">
      <w:pPr>
        <w:spacing w:after="120"/>
        <w:rPr>
          <w:b/>
          <w:bCs/>
          <w:iCs/>
        </w:rPr>
      </w:pPr>
      <w:r w:rsidRPr="00ED6BAB">
        <w:rPr>
          <w:b/>
          <w:bCs/>
          <w:iCs/>
          <w:u w:val="single"/>
        </w:rPr>
        <w:t>Section 64.6130(i)</w:t>
      </w:r>
      <w:r w:rsidRPr="00ED6BAB">
        <w:rPr>
          <w:b/>
          <w:bCs/>
          <w:iCs/>
        </w:rPr>
        <w:t>:</w:t>
      </w:r>
    </w:p>
    <w:p w:rsidR="00584151" w:rsidP="00584151" w14:paraId="68E5A124" w14:textId="77777777">
      <w:pPr>
        <w:spacing w:after="120"/>
        <w:ind w:left="720" w:hanging="360"/>
      </w:pPr>
      <w:r w:rsidRPr="00FE39FC">
        <w:t>(</w:t>
      </w:r>
      <w:r>
        <w:t>i</w:t>
      </w:r>
      <w:r w:rsidRPr="00FE39FC">
        <w:t xml:space="preserve">) In the absence of a Consumer’s request for a refund, the requirement to provide a refund in </w:t>
      </w:r>
      <w:r w:rsidRPr="00FE39FC">
        <w:t>accordance with this section shall not apply where the balance in an inactive IPCS Account is $1.50 or less.  To the extent a Provider is unable to issue a refund requested by a Consumer, the Provider shall treat such balances consistent with applicable state consumer protection law concerning unclaimed funds or the disposition of such accounts.</w:t>
      </w:r>
    </w:p>
    <w:p w:rsidR="00925CF4" w:rsidRPr="00925CF4" w:rsidP="00925CF4" w14:paraId="1962E99E" w14:textId="49103FAD">
      <w:pPr>
        <w:spacing w:after="120"/>
        <w:rPr>
          <w:b/>
          <w:bCs/>
          <w:iCs/>
          <w:u w:val="single"/>
        </w:rPr>
      </w:pPr>
      <w:bookmarkStart w:id="7" w:name="_Hlk175762019"/>
      <w:r w:rsidRPr="00925CF4">
        <w:rPr>
          <w:b/>
          <w:bCs/>
          <w:iCs/>
          <w:u w:val="single"/>
        </w:rPr>
        <w:t>Section 64.6130(</w:t>
      </w:r>
      <w:r>
        <w:rPr>
          <w:b/>
          <w:bCs/>
          <w:iCs/>
          <w:u w:val="single"/>
        </w:rPr>
        <w:t>j</w:t>
      </w:r>
      <w:r w:rsidRPr="00925CF4">
        <w:rPr>
          <w:b/>
          <w:bCs/>
          <w:iCs/>
          <w:u w:val="single"/>
        </w:rPr>
        <w:t>)</w:t>
      </w:r>
      <w:r w:rsidRPr="00925CF4">
        <w:rPr>
          <w:b/>
          <w:bCs/>
          <w:iCs/>
        </w:rPr>
        <w:t>:</w:t>
      </w:r>
    </w:p>
    <w:bookmarkEnd w:id="7"/>
    <w:p w:rsidR="00584151" w:rsidRPr="00FE39FC" w:rsidP="00584151" w14:paraId="4C63C728" w14:textId="77777777">
      <w:pPr>
        <w:spacing w:after="120"/>
        <w:ind w:left="720" w:hanging="360"/>
        <w:rPr>
          <w:i/>
        </w:rPr>
      </w:pPr>
      <w:r w:rsidRPr="00FE39FC">
        <w:t>(</w:t>
      </w:r>
      <w:r>
        <w:t>j</w:t>
      </w:r>
      <w:r w:rsidRPr="00FE39FC">
        <w:t>) Providers shall issue refunds required pursuant to this section through:</w:t>
      </w:r>
    </w:p>
    <w:p w:rsidR="00584151" w:rsidRPr="00FE39FC" w:rsidP="00584151" w14:paraId="2ADC24A5" w14:textId="77777777">
      <w:pPr>
        <w:widowControl/>
        <w:spacing w:after="120"/>
        <w:ind w:left="1080" w:hanging="360"/>
        <w:rPr>
          <w:rFonts w:eastAsia="Calibri"/>
          <w:kern w:val="2"/>
        </w:rPr>
      </w:pPr>
      <w:r w:rsidRPr="00FE39FC">
        <w:rPr>
          <w:rFonts w:eastAsia="Calibri"/>
          <w:kern w:val="2"/>
        </w:rPr>
        <w:t xml:space="preserve">(1) </w:t>
      </w:r>
      <w:r w:rsidRPr="00FE39FC">
        <w:rPr>
          <w:rFonts w:eastAsia="Calibri"/>
        </w:rPr>
        <w:t>T</w:t>
      </w:r>
      <w:r w:rsidRPr="00FE39FC">
        <w:rPr>
          <w:rFonts w:eastAsia="Calibri"/>
          <w:kern w:val="2"/>
        </w:rPr>
        <w:t xml:space="preserve">he IPCS Account holder’s original form of payment; </w:t>
      </w:r>
    </w:p>
    <w:p w:rsidR="00584151" w:rsidRPr="00FE39FC" w:rsidP="00584151" w14:paraId="5A76A2FC" w14:textId="77777777">
      <w:pPr>
        <w:widowControl/>
        <w:spacing w:after="120"/>
        <w:ind w:left="1080" w:hanging="360"/>
        <w:rPr>
          <w:rFonts w:eastAsia="Calibri"/>
          <w:kern w:val="2"/>
        </w:rPr>
      </w:pPr>
      <w:r w:rsidRPr="00FE39FC">
        <w:rPr>
          <w:rFonts w:eastAsia="Calibri"/>
          <w:kern w:val="2"/>
        </w:rPr>
        <w:t>(2) An electronic transfer to a bank account;</w:t>
      </w:r>
    </w:p>
    <w:p w:rsidR="00584151" w:rsidRPr="00FE39FC" w:rsidP="00584151" w14:paraId="14577D9C" w14:textId="77777777">
      <w:pPr>
        <w:widowControl/>
        <w:spacing w:after="120"/>
        <w:ind w:left="1080" w:hanging="360"/>
        <w:rPr>
          <w:rFonts w:eastAsia="Calibri"/>
          <w:kern w:val="2"/>
        </w:rPr>
      </w:pPr>
      <w:r w:rsidRPr="00FE39FC">
        <w:rPr>
          <w:rFonts w:eastAsia="Calibri"/>
          <w:kern w:val="2"/>
        </w:rPr>
        <w:t xml:space="preserve">(3) </w:t>
      </w:r>
      <w:r>
        <w:rPr>
          <w:rFonts w:eastAsia="Calibri"/>
          <w:kern w:val="2"/>
        </w:rPr>
        <w:t>A</w:t>
      </w:r>
      <w:r w:rsidRPr="00FE39FC">
        <w:rPr>
          <w:rFonts w:eastAsia="Calibri"/>
          <w:kern w:val="2"/>
        </w:rPr>
        <w:t xml:space="preserve"> check; </w:t>
      </w:r>
      <w:r w:rsidRPr="00FE39FC">
        <w:rPr>
          <w:rFonts w:eastAsia="Calibri"/>
        </w:rPr>
        <w:t>or</w:t>
      </w:r>
    </w:p>
    <w:p w:rsidR="00584151" w:rsidP="00584151" w14:paraId="7B7A77E6" w14:textId="77777777">
      <w:pPr>
        <w:widowControl/>
        <w:spacing w:after="120"/>
        <w:ind w:left="1080" w:hanging="360"/>
        <w:rPr>
          <w:rFonts w:eastAsia="Calibri"/>
        </w:rPr>
      </w:pPr>
      <w:r w:rsidRPr="00FE39FC">
        <w:rPr>
          <w:rFonts w:eastAsia="Calibri"/>
          <w:kern w:val="2"/>
        </w:rPr>
        <w:t>(4) A debit card</w:t>
      </w:r>
      <w:r w:rsidRPr="00FE39FC">
        <w:rPr>
          <w:rFonts w:eastAsia="Calibri"/>
        </w:rPr>
        <w:t>.</w:t>
      </w:r>
    </w:p>
    <w:p w:rsidR="00925CF4" w:rsidRPr="00925CF4" w:rsidP="00925CF4" w14:paraId="24D010D2" w14:textId="319EE4C2">
      <w:pPr>
        <w:widowControl/>
        <w:spacing w:after="120"/>
        <w:rPr>
          <w:rFonts w:eastAsia="Calibri"/>
          <w:b/>
          <w:bCs/>
          <w:kern w:val="2"/>
          <w:u w:val="single"/>
        </w:rPr>
      </w:pPr>
      <w:r w:rsidRPr="00925CF4">
        <w:rPr>
          <w:rFonts w:eastAsia="Calibri"/>
          <w:b/>
          <w:bCs/>
          <w:kern w:val="2"/>
          <w:u w:val="single"/>
        </w:rPr>
        <w:t>Section 64.6130(k)</w:t>
      </w:r>
      <w:r w:rsidRPr="00925CF4">
        <w:rPr>
          <w:rFonts w:eastAsia="Calibri"/>
          <w:b/>
          <w:bCs/>
          <w:kern w:val="2"/>
        </w:rPr>
        <w:t>:</w:t>
      </w:r>
    </w:p>
    <w:p w:rsidR="00584151" w:rsidRPr="00A20EB5" w:rsidP="00584151" w14:paraId="2456B588" w14:textId="64C0800E">
      <w:pPr>
        <w:spacing w:after="120"/>
        <w:ind w:left="630" w:hanging="270"/>
        <w:rPr>
          <w:i/>
        </w:rPr>
      </w:pPr>
      <w:r w:rsidRPr="00A20EB5">
        <w:t xml:space="preserve">(k) Providers shall clearly, accurately, and conspicuously disclose to IPCS Account holders, through their Billing Statements or Statements of Account, notice of the status of IPCS Accounts prior to their being deemed inactive. </w:t>
      </w:r>
      <w:r w:rsidRPr="00A20EB5" w:rsidR="00E72420">
        <w:t xml:space="preserve"> </w:t>
      </w:r>
    </w:p>
    <w:p w:rsidR="00584151" w:rsidRPr="00A20EB5" w:rsidP="00584151" w14:paraId="2D7EE95D" w14:textId="77777777">
      <w:pPr>
        <w:widowControl/>
        <w:spacing w:after="120"/>
        <w:ind w:left="1080" w:hanging="360"/>
        <w:rPr>
          <w:rFonts w:ascii="Aptos" w:eastAsia="Calibri" w:hAnsi="Aptos"/>
          <w:snapToGrid/>
          <w:kern w:val="2"/>
          <w:szCs w:val="22"/>
        </w:rPr>
      </w:pPr>
      <w:r w:rsidRPr="00A20EB5">
        <w:rPr>
          <w:rFonts w:eastAsia="Calibri"/>
          <w:kern w:val="2"/>
        </w:rPr>
        <w:t xml:space="preserve">(1) This notice shall initially be provided at least 60 calendar days prior to an IPCS Account being deemed inactive. </w:t>
      </w:r>
    </w:p>
    <w:p w:rsidR="00584151" w:rsidRPr="00A20EB5" w:rsidP="00584151" w14:paraId="78CB6F25" w14:textId="77777777">
      <w:pPr>
        <w:widowControl/>
        <w:spacing w:after="120"/>
        <w:ind w:left="1080" w:hanging="360"/>
        <w:rPr>
          <w:rFonts w:ascii="Aptos" w:eastAsia="Calibri" w:hAnsi="Aptos"/>
          <w:snapToGrid/>
          <w:kern w:val="2"/>
          <w:szCs w:val="22"/>
        </w:rPr>
      </w:pPr>
      <w:r w:rsidRPr="00A20EB5">
        <w:rPr>
          <w:rFonts w:eastAsia="Calibri"/>
          <w:kern w:val="2"/>
        </w:rPr>
        <w:t xml:space="preserve">(2) The notice shall be included in each Billing </w:t>
      </w:r>
      <w:r w:rsidRPr="00A20EB5">
        <w:rPr>
          <w:rFonts w:eastAsia="Calibri"/>
        </w:rPr>
        <w:t>S</w:t>
      </w:r>
      <w:r w:rsidRPr="00A20EB5">
        <w:rPr>
          <w:rFonts w:eastAsia="Calibri"/>
          <w:kern w:val="2"/>
        </w:rPr>
        <w:t xml:space="preserve">tatement or </w:t>
      </w:r>
      <w:r w:rsidRPr="00A20EB5">
        <w:rPr>
          <w:rFonts w:eastAsia="Calibri"/>
        </w:rPr>
        <w:t>S</w:t>
      </w:r>
      <w:r w:rsidRPr="00A20EB5">
        <w:rPr>
          <w:rFonts w:eastAsia="Calibri"/>
          <w:kern w:val="2"/>
        </w:rPr>
        <w:t xml:space="preserve">tatement of </w:t>
      </w:r>
      <w:r w:rsidRPr="00A20EB5">
        <w:rPr>
          <w:rFonts w:eastAsia="Calibri"/>
        </w:rPr>
        <w:t>A</w:t>
      </w:r>
      <w:r w:rsidRPr="00A20EB5">
        <w:rPr>
          <w:rFonts w:eastAsia="Calibri"/>
          <w:kern w:val="2"/>
        </w:rPr>
        <w:t xml:space="preserve">ccount the Provider sends, or makes available to, the </w:t>
      </w:r>
      <w:r w:rsidRPr="00A20EB5">
        <w:rPr>
          <w:rFonts w:eastAsia="Calibri"/>
        </w:rPr>
        <w:t>a</w:t>
      </w:r>
      <w:r w:rsidRPr="00A20EB5">
        <w:rPr>
          <w:rFonts w:eastAsia="Calibri"/>
          <w:kern w:val="2"/>
        </w:rPr>
        <w:t xml:space="preserve">ccount </w:t>
      </w:r>
      <w:r w:rsidRPr="00A20EB5">
        <w:rPr>
          <w:rFonts w:eastAsia="Calibri"/>
        </w:rPr>
        <w:t>h</w:t>
      </w:r>
      <w:r w:rsidRPr="00A20EB5">
        <w:rPr>
          <w:rFonts w:eastAsia="Calibri"/>
          <w:kern w:val="2"/>
        </w:rPr>
        <w:t xml:space="preserve">older </w:t>
      </w:r>
      <w:r w:rsidRPr="00A20EB5">
        <w:rPr>
          <w:rFonts w:eastAsia="Calibri"/>
        </w:rPr>
        <w:t>until the IPCS Account holder takes one of the actions sufficient to restart the 180-day period in paragraph (c) of this section or the I</w:t>
      </w:r>
      <w:r w:rsidRPr="00A20EB5">
        <w:rPr>
          <w:rFonts w:eastAsia="Calibri"/>
          <w:kern w:val="2"/>
        </w:rPr>
        <w:t xml:space="preserve">PCS Account becomes inactive </w:t>
      </w:r>
      <w:r w:rsidRPr="00A20EB5">
        <w:rPr>
          <w:rFonts w:eastAsia="Calibri"/>
        </w:rPr>
        <w:t xml:space="preserve">pursuant to this section.  </w:t>
      </w:r>
    </w:p>
    <w:p w:rsidR="00584151" w:rsidRPr="00FE39FC" w:rsidP="00584151" w14:paraId="2F73E0E5" w14:textId="32E0080C">
      <w:pPr>
        <w:widowControl/>
        <w:spacing w:after="120"/>
        <w:ind w:left="1080" w:hanging="360"/>
        <w:rPr>
          <w:rFonts w:eastAsia="Calibri"/>
          <w:kern w:val="2"/>
        </w:rPr>
      </w:pPr>
      <w:r w:rsidRPr="00A20EB5">
        <w:rPr>
          <w:rFonts w:eastAsia="Calibri"/>
          <w:kern w:val="2"/>
        </w:rPr>
        <w:t xml:space="preserve">(3) All notices provided pursuant to this paragraph shall describe how the </w:t>
      </w:r>
      <w:r w:rsidRPr="00A20EB5">
        <w:rPr>
          <w:rFonts w:eastAsia="Calibri"/>
        </w:rPr>
        <w:t>IPCS Account h</w:t>
      </w:r>
      <w:r w:rsidRPr="00A20EB5">
        <w:rPr>
          <w:rFonts w:eastAsia="Calibri"/>
          <w:kern w:val="2"/>
        </w:rPr>
        <w:t xml:space="preserve">older can keep the IPCS Account active and how </w:t>
      </w:r>
      <w:r w:rsidRPr="00A20EB5">
        <w:rPr>
          <w:rFonts w:eastAsia="Calibri"/>
        </w:rPr>
        <w:t>t</w:t>
      </w:r>
      <w:r w:rsidRPr="00A20EB5">
        <w:rPr>
          <w:rFonts w:eastAsia="Calibri"/>
          <w:kern w:val="2"/>
        </w:rPr>
        <w:t>he IPCS Account holder may update the refund information associated with the IPCS Account</w:t>
      </w:r>
      <w:r w:rsidRPr="00A20EB5" w:rsidR="00E72420">
        <w:rPr>
          <w:rFonts w:eastAsia="Calibri"/>
          <w:kern w:val="2"/>
        </w:rPr>
        <w:t>.</w:t>
      </w:r>
    </w:p>
    <w:p w:rsidR="00B42180" w:rsidRPr="00935E3E" w:rsidP="00EA5922" w14:paraId="5B2A5EC8" w14:textId="333A777E">
      <w:pPr>
        <w:widowControl/>
        <w:spacing w:line="247" w:lineRule="auto"/>
        <w:ind w:right="15"/>
        <w:rPr>
          <w:u w:val="single"/>
        </w:rPr>
      </w:pPr>
      <w:r w:rsidRPr="00C00893">
        <w:rPr>
          <w:b/>
          <w:bCs/>
          <w:u w:val="single"/>
        </w:rPr>
        <w:t>Alternate Pricing Plans Reporting Requirements</w:t>
      </w:r>
      <w:r w:rsidRPr="00935E3E">
        <w:rPr>
          <w:b/>
          <w:bCs/>
          <w:i/>
          <w:iCs/>
          <w:u w:val="single"/>
        </w:rPr>
        <w:t xml:space="preserve"> </w:t>
      </w:r>
      <w:r w:rsidRPr="00935E3E">
        <w:rPr>
          <w:b/>
          <w:bCs/>
          <w:u w:val="single"/>
        </w:rPr>
        <w:t>(</w:t>
      </w:r>
      <w:r w:rsidRPr="00764E57" w:rsidR="00764E57">
        <w:rPr>
          <w:b/>
          <w:bCs/>
          <w:u w:val="single"/>
        </w:rPr>
        <w:t>§</w:t>
      </w:r>
      <w:bookmarkStart w:id="8" w:name="_Hlk176253537"/>
      <w:r w:rsidRPr="00764E57" w:rsidR="00764E57">
        <w:rPr>
          <w:b/>
          <w:bCs/>
          <w:u w:val="single"/>
        </w:rPr>
        <w:t>§</w:t>
      </w:r>
      <w:bookmarkEnd w:id="8"/>
      <w:r w:rsidRPr="00764E57" w:rsidR="00764E57">
        <w:rPr>
          <w:b/>
          <w:bCs/>
          <w:u w:val="single"/>
        </w:rPr>
        <w:t xml:space="preserve"> </w:t>
      </w:r>
      <w:r w:rsidRPr="00935E3E">
        <w:rPr>
          <w:b/>
          <w:bCs/>
          <w:u w:val="single"/>
        </w:rPr>
        <w:t>64.6140(c), (d), (e)(2)-(4), (f)(2), (4))</w:t>
      </w:r>
    </w:p>
    <w:p w:rsidR="00B42180" w:rsidP="00B42180" w14:paraId="0382F2F4" w14:textId="77777777">
      <w:pPr>
        <w:widowControl/>
        <w:spacing w:line="247" w:lineRule="auto"/>
        <w:ind w:right="15"/>
      </w:pPr>
    </w:p>
    <w:p w:rsidR="00B42180" w:rsidP="00B42180" w14:paraId="51AF3B61" w14:textId="383AF09A">
      <w:pPr>
        <w:widowControl/>
        <w:spacing w:line="247" w:lineRule="auto"/>
        <w:ind w:right="15" w:firstLine="720"/>
      </w:pPr>
      <w:r w:rsidRPr="0085011E">
        <w:rPr>
          <w:b/>
          <w:bCs/>
          <w:i/>
          <w:iCs/>
        </w:rPr>
        <w:t>Background.</w:t>
      </w:r>
      <w:r>
        <w:t xml:space="preserve">  </w:t>
      </w:r>
      <w:r w:rsidRPr="00381826" w:rsidR="00CD7FF0">
        <w:t xml:space="preserve">The Commission has traditionally required IPCS providers to </w:t>
      </w:r>
      <w:r w:rsidR="00AB47BB">
        <w:t>price their</w:t>
      </w:r>
      <w:r w:rsidRPr="00381826" w:rsidR="00CD7FF0">
        <w:t xml:space="preserve"> interstate and international audio IPCS on a per-minute basis.</w:t>
      </w:r>
      <w:r>
        <w:rPr>
          <w:rStyle w:val="FootnoteReference"/>
        </w:rPr>
        <w:footnoteReference w:id="17"/>
      </w:r>
      <w:r w:rsidRPr="00381826" w:rsidR="00CD7FF0">
        <w:t xml:space="preserve">  </w:t>
      </w:r>
      <w:r w:rsidRPr="005A739E">
        <w:t>In</w:t>
      </w:r>
      <w:r>
        <w:t xml:space="preserve"> the </w:t>
      </w:r>
      <w:r>
        <w:rPr>
          <w:i/>
          <w:iCs/>
        </w:rPr>
        <w:t>2020</w:t>
      </w:r>
      <w:r w:rsidRPr="00E068BA">
        <w:rPr>
          <w:i/>
          <w:iCs/>
        </w:rPr>
        <w:t xml:space="preserve"> ICS</w:t>
      </w:r>
      <w:r>
        <w:rPr>
          <w:i/>
          <w:iCs/>
        </w:rPr>
        <w:t xml:space="preserve"> Notice</w:t>
      </w:r>
      <w:r>
        <w:t>, the Commission sought comment about “alternative rate structures” and whether it should change its rules “to recognize industry innovations” including new pay models.</w:t>
      </w:r>
      <w:r>
        <w:rPr>
          <w:rStyle w:val="FootnoteReference"/>
        </w:rPr>
        <w:footnoteReference w:id="18"/>
      </w:r>
      <w:r>
        <w:t xml:space="preserve">  In </w:t>
      </w:r>
      <w:r w:rsidRPr="005A739E">
        <w:t xml:space="preserve">the </w:t>
      </w:r>
      <w:r>
        <w:rPr>
          <w:i/>
          <w:iCs/>
        </w:rPr>
        <w:t xml:space="preserve">2021 ICS </w:t>
      </w:r>
      <w:r w:rsidRPr="005A739E">
        <w:rPr>
          <w:i/>
          <w:iCs/>
        </w:rPr>
        <w:t>Notice</w:t>
      </w:r>
      <w:r w:rsidRPr="005A739E">
        <w:t>, the Commission asked whether it should consider “a</w:t>
      </w:r>
      <w:r w:rsidRPr="005A739E">
        <w:rPr>
          <w:szCs w:val="22"/>
        </w:rPr>
        <w:t xml:space="preserve">lternative rate structures, </w:t>
      </w:r>
      <w:r w:rsidRPr="005A739E">
        <w:rPr>
          <w:snapToGrid/>
          <w:kern w:val="0"/>
          <w:szCs w:val="22"/>
        </w:rPr>
        <w:t xml:space="preserve">such as one under which an incarcerated person would have a </w:t>
      </w:r>
      <w:r w:rsidRPr="005A739E">
        <w:t>specified</w:t>
      </w:r>
      <w:r w:rsidRPr="005A739E">
        <w:rPr>
          <w:snapToGrid/>
          <w:kern w:val="0"/>
          <w:szCs w:val="22"/>
        </w:rPr>
        <w:t>—or unlimited—number of monthly minutes of use for a predetermined monthly charge.”</w:t>
      </w:r>
      <w:r>
        <w:rPr>
          <w:rStyle w:val="FootnoteReference"/>
          <w:kern w:val="0"/>
        </w:rPr>
        <w:footnoteReference w:id="19"/>
      </w:r>
      <w:r>
        <w:rPr>
          <w:snapToGrid/>
          <w:kern w:val="0"/>
          <w:szCs w:val="22"/>
        </w:rPr>
        <w:t xml:space="preserve">  </w:t>
      </w:r>
      <w:r w:rsidRPr="005A739E">
        <w:t xml:space="preserve">In the </w:t>
      </w:r>
      <w:r w:rsidRPr="005A739E">
        <w:rPr>
          <w:i/>
          <w:iCs/>
        </w:rPr>
        <w:t xml:space="preserve">2022 </w:t>
      </w:r>
      <w:r>
        <w:rPr>
          <w:i/>
          <w:iCs/>
        </w:rPr>
        <w:t xml:space="preserve">ICS </w:t>
      </w:r>
      <w:r w:rsidRPr="005A739E">
        <w:rPr>
          <w:i/>
          <w:iCs/>
        </w:rPr>
        <w:t>Notice</w:t>
      </w:r>
      <w:r w:rsidRPr="005A739E">
        <w:t xml:space="preserve">, and </w:t>
      </w:r>
      <w:r>
        <w:t xml:space="preserve">again </w:t>
      </w:r>
      <w:r w:rsidRPr="005A739E">
        <w:t xml:space="preserve">in the </w:t>
      </w:r>
      <w:r w:rsidRPr="005A739E">
        <w:rPr>
          <w:i/>
          <w:iCs/>
        </w:rPr>
        <w:t>2023 IPCS Notice</w:t>
      </w:r>
      <w:r w:rsidRPr="005A739E">
        <w:t xml:space="preserve">, the Commission </w:t>
      </w:r>
      <w:r>
        <w:t>sought</w:t>
      </w:r>
      <w:r w:rsidRPr="005A739E">
        <w:t xml:space="preserve"> further comment </w:t>
      </w:r>
      <w:r>
        <w:t>on</w:t>
      </w:r>
      <w:r w:rsidRPr="005A739E">
        <w:t xml:space="preserve"> </w:t>
      </w:r>
      <w:r>
        <w:t>a</w:t>
      </w:r>
      <w:r w:rsidRPr="008A3079">
        <w:t>lternate</w:t>
      </w:r>
      <w:r>
        <w:t xml:space="preserve"> pricing </w:t>
      </w:r>
      <w:r w:rsidRPr="008A3079">
        <w:t>p</w:t>
      </w:r>
      <w:r>
        <w:t>lans, conditions that may be placed on the plans, and consumer disclosures to ensure that providers accurately disclose the details of any a</w:t>
      </w:r>
      <w:r w:rsidRPr="008A3079">
        <w:t>lternate</w:t>
      </w:r>
      <w:r>
        <w:t xml:space="preserve"> pricing </w:t>
      </w:r>
      <w:r w:rsidRPr="008A3079">
        <w:t>p</w:t>
      </w:r>
      <w:r>
        <w:t>lans.</w:t>
      </w:r>
      <w:r>
        <w:rPr>
          <w:rStyle w:val="FootnoteReference"/>
        </w:rPr>
        <w:footnoteReference w:id="20"/>
      </w:r>
    </w:p>
    <w:p w:rsidR="000C4A7E" w:rsidP="00B42180" w14:paraId="048CE57D" w14:textId="77777777">
      <w:pPr>
        <w:widowControl/>
        <w:spacing w:line="247" w:lineRule="auto"/>
        <w:ind w:right="15" w:firstLine="720"/>
      </w:pPr>
    </w:p>
    <w:p w:rsidR="00026529" w:rsidP="00B42180" w14:paraId="056CBCDF" w14:textId="38CB95A8">
      <w:pPr>
        <w:pStyle w:val="ParaNum"/>
        <w:numPr>
          <w:ilvl w:val="0"/>
          <w:numId w:val="0"/>
        </w:numPr>
        <w:tabs>
          <w:tab w:val="num" w:pos="1440"/>
        </w:tabs>
        <w:ind w:firstLine="720"/>
      </w:pPr>
      <w:r>
        <w:t>In recognition of the pro-consumer benefits of allowing more flexible pricing programs,</w:t>
      </w:r>
      <w:r>
        <w:rPr>
          <w:rStyle w:val="FootnoteReference"/>
        </w:rPr>
        <w:footnoteReference w:id="21"/>
      </w:r>
      <w:r>
        <w:t xml:space="preserve"> the Commission in the </w:t>
      </w:r>
      <w:r w:rsidRPr="002909A5">
        <w:rPr>
          <w:i/>
          <w:iCs/>
        </w:rPr>
        <w:t>2024 IPCS Order</w:t>
      </w:r>
      <w:r>
        <w:t xml:space="preserve"> permitted </w:t>
      </w:r>
      <w:r w:rsidRPr="00BF185F">
        <w:t xml:space="preserve">IPCS providers to offer incarcerated people and their friends and family </w:t>
      </w:r>
      <w:r>
        <w:t xml:space="preserve">IPCS </w:t>
      </w:r>
      <w:r w:rsidRPr="00BF185F">
        <w:t xml:space="preserve">via </w:t>
      </w:r>
      <w:r>
        <w:t xml:space="preserve">optional </w:t>
      </w:r>
      <w:r w:rsidRPr="00BF185F">
        <w:t>“alterna</w:t>
      </w:r>
      <w:r>
        <w:t>t</w:t>
      </w:r>
      <w:r w:rsidRPr="00BF185F">
        <w:t>e pricing p</w:t>
      </w:r>
      <w:r>
        <w:t>lans,</w:t>
      </w:r>
      <w:r w:rsidRPr="00BF185F">
        <w:t>”</w:t>
      </w:r>
      <w:r>
        <w:t xml:space="preserve"> subject to clearly defined safeguards to ensure that IPCS consumers are protected.</w:t>
      </w:r>
      <w:r>
        <w:rPr>
          <w:rStyle w:val="FootnoteReference"/>
        </w:rPr>
        <w:footnoteReference w:id="22"/>
      </w:r>
      <w:r w:rsidRPr="00BF185F">
        <w:t xml:space="preserve"> </w:t>
      </w:r>
      <w:r>
        <w:t xml:space="preserve"> To help ensure that consumers who enroll in the plans benefit from them and that IPCS providers do not use such plans to otherwise evade the Commission’s IPCS rules, the Commission required that the plans comply with the general rules applicable to all IPCS in addition to specific consumer protection and disclosure rules for alternate pricing plans</w:t>
      </w:r>
      <w:r w:rsidRPr="008E1448" w:rsidR="008E1448">
        <w:t>, as set forth below</w:t>
      </w:r>
      <w:r>
        <w:t>.</w:t>
      </w:r>
      <w:r>
        <w:rPr>
          <w:rStyle w:val="FootnoteReference"/>
        </w:rPr>
        <w:footnoteReference w:id="23"/>
      </w:r>
    </w:p>
    <w:p w:rsidR="00DF106F" w:rsidP="00F93D8F" w14:paraId="7FF44F38" w14:textId="299C101E">
      <w:pPr>
        <w:pStyle w:val="ParaNum"/>
        <w:numPr>
          <w:ilvl w:val="0"/>
          <w:numId w:val="0"/>
        </w:numPr>
        <w:tabs>
          <w:tab w:val="num" w:pos="1440"/>
        </w:tabs>
      </w:pPr>
      <w:r w:rsidRPr="006247DB">
        <w:rPr>
          <w:b/>
          <w:bCs/>
          <w:u w:val="single"/>
        </w:rPr>
        <w:t>Section 64.6140(c</w:t>
      </w:r>
      <w:r w:rsidR="006B0897">
        <w:rPr>
          <w:b/>
          <w:bCs/>
          <w:u w:val="single"/>
        </w:rPr>
        <w:t>)</w:t>
      </w:r>
      <w:r w:rsidRPr="00732C90" w:rsidR="006C1D70">
        <w:rPr>
          <w:b/>
          <w:bCs/>
        </w:rPr>
        <w:t>:</w:t>
      </w:r>
    </w:p>
    <w:p w:rsidR="00965697" w:rsidRPr="00FE39FC" w:rsidP="00965697" w14:paraId="184A3AD6" w14:textId="77777777">
      <w:pPr>
        <w:spacing w:after="120"/>
        <w:ind w:left="720" w:hanging="360"/>
        <w:rPr>
          <w:i/>
        </w:rPr>
      </w:pPr>
      <w:r w:rsidRPr="00FE39FC">
        <w:t xml:space="preserve">(c) </w:t>
      </w:r>
      <w:r w:rsidRPr="00FE39FC">
        <w:rPr>
          <w:i/>
        </w:rPr>
        <w:t>Consumer Disclosures</w:t>
      </w:r>
      <w:r w:rsidRPr="00FE39FC">
        <w:t xml:space="preserve">.  </w:t>
      </w:r>
    </w:p>
    <w:p w:rsidR="00965697" w:rsidRPr="00FE39FC" w:rsidP="00965697" w14:paraId="72BFECB8" w14:textId="77777777">
      <w:pPr>
        <w:widowControl/>
        <w:spacing w:after="120"/>
        <w:ind w:left="1080" w:hanging="360"/>
        <w:rPr>
          <w:rFonts w:eastAsia="Calibri"/>
          <w:kern w:val="2"/>
        </w:rPr>
      </w:pPr>
      <w:r w:rsidRPr="00FE39FC">
        <w:t xml:space="preserve">(1) A Provider offering an Alternate Pricing Plan must comply with the consumer disclosure requirements in § 64.6110 </w:t>
      </w:r>
      <w:r>
        <w:t>of this chapter</w:t>
      </w:r>
      <w:r w:rsidRPr="00FE39FC">
        <w:t xml:space="preserve"> as well as the requirements in this section.</w:t>
      </w:r>
    </w:p>
    <w:p w:rsidR="00965697" w:rsidRPr="00FE39FC" w:rsidP="00965697" w14:paraId="47E94BE6" w14:textId="77777777">
      <w:pPr>
        <w:widowControl/>
        <w:spacing w:after="120"/>
        <w:ind w:left="1080" w:hanging="360"/>
        <w:rPr>
          <w:rFonts w:eastAsia="Calibri"/>
          <w:kern w:val="2"/>
        </w:rPr>
      </w:pPr>
      <w:r w:rsidRPr="00FE39FC">
        <w:t xml:space="preserve">(2) </w:t>
      </w:r>
      <w:r w:rsidRPr="00FE39FC">
        <w:rPr>
          <w:rFonts w:eastAsia="TimesNewRoman"/>
          <w:kern w:val="0"/>
        </w:rPr>
        <w:t>Before a Consumer enrolls in an Alternate Pricing Plan; upon request, at any time after Alternate Pricing Plan enrollment; with a Billing Statement or Statement of Account, and any related communications; and at the beginning of each call or communication, t</w:t>
      </w:r>
      <w:r w:rsidRPr="00FE39FC">
        <w:t>he Provider also must make disclosures that include the following information for each Alternate Pricing Plan offered by the Provider:</w:t>
      </w:r>
    </w:p>
    <w:p w:rsidR="00965697" w:rsidRPr="0035180E" w:rsidP="00965697" w14:paraId="5C119689" w14:textId="77777777">
      <w:pPr>
        <w:spacing w:after="120"/>
        <w:ind w:left="1440"/>
        <w:rPr>
          <w:rFonts w:ascii="Aptos" w:eastAsia="Calibri" w:hAnsi="Aptos"/>
          <w:snapToGrid/>
          <w:kern w:val="0"/>
          <w:szCs w:val="22"/>
        </w:rPr>
      </w:pPr>
      <w:r w:rsidRPr="00FE39FC">
        <w:rPr>
          <w:rFonts w:eastAsia="Calibri"/>
          <w:kern w:val="0"/>
        </w:rPr>
        <w:t xml:space="preserve">(i) The rates and any added </w:t>
      </w:r>
      <w:r>
        <w:rPr>
          <w:rFonts w:eastAsia="Calibri"/>
          <w:kern w:val="0"/>
        </w:rPr>
        <w:t>Mandatory T</w:t>
      </w:r>
      <w:r w:rsidRPr="00FE39FC">
        <w:rPr>
          <w:rFonts w:eastAsia="Calibri"/>
          <w:kern w:val="0"/>
        </w:rPr>
        <w:t xml:space="preserve">axes or </w:t>
      </w:r>
      <w:r>
        <w:rPr>
          <w:rFonts w:eastAsia="Calibri"/>
          <w:kern w:val="0"/>
        </w:rPr>
        <w:t>Mandatory F</w:t>
      </w:r>
      <w:r w:rsidRPr="00FE39FC">
        <w:rPr>
          <w:rFonts w:eastAsia="Calibri"/>
          <w:kern w:val="0"/>
        </w:rPr>
        <w:t xml:space="preserve">ees, a detailed explanation of the </w:t>
      </w:r>
      <w:r>
        <w:rPr>
          <w:rFonts w:eastAsia="Calibri"/>
          <w:kern w:val="0"/>
        </w:rPr>
        <w:t>Mandatory T</w:t>
      </w:r>
      <w:r w:rsidRPr="00FE39FC">
        <w:rPr>
          <w:rFonts w:eastAsia="Calibri"/>
          <w:kern w:val="0"/>
        </w:rPr>
        <w:t xml:space="preserve">axes and </w:t>
      </w:r>
      <w:r>
        <w:rPr>
          <w:rFonts w:eastAsia="Calibri"/>
          <w:kern w:val="0"/>
        </w:rPr>
        <w:t>Mandatory F</w:t>
      </w:r>
      <w:r w:rsidRPr="00FE39FC">
        <w:rPr>
          <w:rFonts w:eastAsia="Calibri"/>
          <w:kern w:val="0"/>
        </w:rPr>
        <w:t>ees, total charge, quantity of minutes, calls or communications included in the Plan, the service period, and the beginning and end dates of the service period;</w:t>
      </w:r>
    </w:p>
    <w:p w:rsidR="00965697" w:rsidRPr="0035180E" w:rsidP="00965697" w14:paraId="29C8F9C3" w14:textId="77777777">
      <w:pPr>
        <w:spacing w:after="120"/>
        <w:ind w:left="1440"/>
        <w:rPr>
          <w:rFonts w:ascii="Aptos" w:eastAsia="Calibri" w:hAnsi="Aptos"/>
          <w:snapToGrid/>
          <w:kern w:val="0"/>
          <w:szCs w:val="22"/>
        </w:rPr>
      </w:pPr>
      <w:r w:rsidRPr="00FE39FC">
        <w:rPr>
          <w:rFonts w:eastAsia="Calibri"/>
          <w:kern w:val="0"/>
        </w:rPr>
        <w:t>(ii) Terms and conditions, including those concerning dropped calls and communications in paragraph (</w:t>
      </w:r>
      <w:r>
        <w:rPr>
          <w:rFonts w:eastAsia="Calibri"/>
          <w:kern w:val="0"/>
        </w:rPr>
        <w:t>d</w:t>
      </w:r>
      <w:r w:rsidRPr="00FE39FC">
        <w:rPr>
          <w:rFonts w:eastAsia="Calibri"/>
          <w:kern w:val="0"/>
        </w:rPr>
        <w:t>) of this section, automatic renewals in paragraph (</w:t>
      </w:r>
      <w:r>
        <w:rPr>
          <w:rFonts w:eastAsia="Calibri"/>
          <w:kern w:val="0"/>
        </w:rPr>
        <w:t>e</w:t>
      </w:r>
      <w:r w:rsidRPr="00FE39FC">
        <w:rPr>
          <w:rFonts w:eastAsia="Calibri"/>
          <w:kern w:val="0"/>
        </w:rPr>
        <w:t>) of this section and cancellations in paragraph (</w:t>
      </w:r>
      <w:r>
        <w:rPr>
          <w:rFonts w:eastAsia="Calibri"/>
          <w:kern w:val="0"/>
        </w:rPr>
        <w:t>f</w:t>
      </w:r>
      <w:r w:rsidRPr="00FE39FC">
        <w:rPr>
          <w:rFonts w:eastAsia="Calibri"/>
          <w:kern w:val="0"/>
        </w:rPr>
        <w:t>) of this section;</w:t>
      </w:r>
    </w:p>
    <w:p w:rsidR="00965697" w:rsidRPr="0035180E" w:rsidP="00965697" w14:paraId="1E226836" w14:textId="77777777">
      <w:pPr>
        <w:spacing w:after="120"/>
        <w:ind w:left="1440"/>
        <w:rPr>
          <w:rFonts w:ascii="Aptos" w:eastAsia="Calibri" w:hAnsi="Aptos"/>
          <w:snapToGrid/>
          <w:kern w:val="0"/>
          <w:szCs w:val="22"/>
        </w:rPr>
      </w:pPr>
      <w:r w:rsidRPr="00FE39FC">
        <w:rPr>
          <w:rFonts w:eastAsia="Calibri"/>
          <w:kern w:val="0"/>
        </w:rPr>
        <w:t>(iii) An explanation that per-minute rates are always available as an option to an Alternate Pricing Plan and</w:t>
      </w:r>
      <w:r w:rsidRPr="00FE39FC">
        <w:rPr>
          <w:rFonts w:eastAsia="Calibri"/>
          <w:kern w:val="0"/>
        </w:rPr>
        <w:t xml:space="preserve"> </w:t>
      </w:r>
      <w:r w:rsidRPr="00FE39FC">
        <w:rPr>
          <w:rFonts w:eastAsia="Calibri"/>
          <w:kern w:val="0"/>
        </w:rPr>
        <w:t>that per-minute rates apply if the Consumer exceeds the calls/communications allotted in the Plan;</w:t>
      </w:r>
    </w:p>
    <w:p w:rsidR="00965697" w:rsidRPr="0035180E" w:rsidP="00965697" w14:paraId="2904A634" w14:textId="77777777">
      <w:pPr>
        <w:spacing w:after="120"/>
        <w:ind w:left="1440"/>
        <w:rPr>
          <w:rFonts w:ascii="Aptos" w:eastAsia="Calibri" w:hAnsi="Aptos"/>
          <w:snapToGrid/>
          <w:kern w:val="0"/>
          <w:szCs w:val="22"/>
        </w:rPr>
      </w:pPr>
      <w:r w:rsidRPr="00FE39FC">
        <w:rPr>
          <w:rFonts w:eastAsia="Calibri"/>
          <w:kern w:val="0"/>
        </w:rPr>
        <w:t xml:space="preserve">(iv) The Breakeven Point indicating at the amount of Alternate Pricing Plan usage above which the Consumer will save money compared to the </w:t>
      </w:r>
      <w:r>
        <w:rPr>
          <w:rFonts w:eastAsia="Calibri"/>
          <w:kern w:val="0"/>
        </w:rPr>
        <w:t>P</w:t>
      </w:r>
      <w:r w:rsidRPr="00FE39FC">
        <w:rPr>
          <w:rFonts w:eastAsia="Calibri"/>
          <w:kern w:val="0"/>
        </w:rPr>
        <w:t>rovider’s applicable per-minute rate for the same type and amount of service at the Correctional Facility; and</w:t>
      </w:r>
    </w:p>
    <w:p w:rsidR="00965697" w:rsidRPr="0035180E" w:rsidP="00965697" w14:paraId="3268D06A" w14:textId="77777777">
      <w:pPr>
        <w:spacing w:after="120"/>
        <w:ind w:left="1440"/>
        <w:rPr>
          <w:rFonts w:ascii="Aptos" w:eastAsia="Calibri" w:hAnsi="Aptos"/>
          <w:snapToGrid/>
          <w:kern w:val="0"/>
          <w:szCs w:val="22"/>
        </w:rPr>
      </w:pPr>
      <w:r w:rsidRPr="00FE39FC">
        <w:rPr>
          <w:rFonts w:eastAsia="Calibri"/>
          <w:kern w:val="0"/>
        </w:rPr>
        <w:t xml:space="preserve">(v) The ability to obtain prior usage and billing data, upon request, for each of the most recent three service periods (where feasible), including total usage and total charges including taxes and fees.  </w:t>
      </w:r>
    </w:p>
    <w:p w:rsidR="00965697" w:rsidRPr="0035180E" w:rsidP="00965697" w14:paraId="7A103CD5" w14:textId="77777777">
      <w:pPr>
        <w:widowControl/>
        <w:spacing w:after="120"/>
        <w:ind w:left="1080" w:hanging="360"/>
        <w:rPr>
          <w:rFonts w:ascii="Aptos" w:eastAsia="Calibri" w:hAnsi="Aptos"/>
          <w:snapToGrid/>
          <w:kern w:val="2"/>
          <w:szCs w:val="22"/>
        </w:rPr>
      </w:pPr>
      <w:r w:rsidRPr="00FE39FC">
        <w:rPr>
          <w:rFonts w:eastAsia="Calibri"/>
          <w:kern w:val="2"/>
        </w:rPr>
        <w:t xml:space="preserve">(3) The Provider must make the disclosures for Alternate Pricing Plans pursuant to </w:t>
      </w:r>
      <w:r>
        <w:rPr>
          <w:rFonts w:eastAsia="Calibri"/>
          <w:kern w:val="2"/>
        </w:rPr>
        <w:t xml:space="preserve">this </w:t>
      </w:r>
      <w:r w:rsidRPr="00FE39FC">
        <w:rPr>
          <w:rFonts w:eastAsia="Calibri"/>
          <w:kern w:val="2"/>
        </w:rPr>
        <w:t>paragraph (c) of this section available: to the public on the Provider’s website; on the Provider’s online or mobile application, if Consumers use the application to enroll in the Plan; via paper upon request; and via the methods for general IPCS disclosures pursuant to § 64.</w:t>
      </w:r>
      <w:r w:rsidRPr="00FE39FC">
        <w:rPr>
          <w:rFonts w:eastAsia="Calibri"/>
        </w:rPr>
        <w:t>6110</w:t>
      </w:r>
      <w:r>
        <w:rPr>
          <w:rFonts w:eastAsia="Calibri"/>
        </w:rPr>
        <w:t xml:space="preserve"> of this chapter</w:t>
      </w:r>
      <w:r w:rsidRPr="00FE39FC">
        <w:rPr>
          <w:rFonts w:eastAsia="Calibri"/>
        </w:rPr>
        <w:t xml:space="preserve"> before, during,</w:t>
      </w:r>
      <w:r w:rsidRPr="00FE39FC">
        <w:rPr>
          <w:rFonts w:eastAsia="Calibri"/>
          <w:kern w:val="2"/>
        </w:rPr>
        <w:t xml:space="preserve"> and after a Consumer’s enrollment in a Plan.</w:t>
      </w:r>
    </w:p>
    <w:p w:rsidR="00965697" w:rsidRPr="0035180E" w:rsidP="00965697" w14:paraId="5BFABEC6" w14:textId="7EB2D3F5">
      <w:pPr>
        <w:widowControl/>
        <w:spacing w:after="120"/>
        <w:ind w:left="1080" w:hanging="360"/>
        <w:rPr>
          <w:rFonts w:ascii="Aptos" w:eastAsia="Calibri" w:hAnsi="Aptos"/>
          <w:snapToGrid/>
          <w:kern w:val="2"/>
          <w:szCs w:val="22"/>
        </w:rPr>
      </w:pPr>
      <w:r w:rsidRPr="00FE39FC">
        <w:rPr>
          <w:rFonts w:eastAsia="Calibri"/>
          <w:kern w:val="2"/>
        </w:rPr>
        <w:t xml:space="preserve">(4) In every communication between the Provider and a Consumer (or the Incarcerated </w:t>
      </w:r>
      <w:r w:rsidRPr="00FE39FC">
        <w:rPr>
          <w:rFonts w:eastAsia="Calibri"/>
        </w:rPr>
        <w:t>P</w:t>
      </w:r>
      <w:r w:rsidRPr="00FE39FC">
        <w:rPr>
          <w:rFonts w:eastAsia="Calibri"/>
          <w:kern w:val="2"/>
        </w:rPr>
        <w:t>erson, if they are not the Consumer) concerning the Alternate Pricing Plan, the Provider must either include the disclosures for Alternate Pricing Plans pursuant to paragraph (</w:t>
      </w:r>
      <w:r w:rsidRPr="00FE39FC">
        <w:rPr>
          <w:rFonts w:eastAsia="Calibri"/>
        </w:rPr>
        <w:t>c</w:t>
      </w:r>
      <w:r w:rsidRPr="00FE39FC">
        <w:rPr>
          <w:rFonts w:eastAsia="Calibri"/>
          <w:kern w:val="2"/>
        </w:rPr>
        <w:t xml:space="preserve">) of this section, or provide clear, easy to follow, instructions for how the consumer (or </w:t>
      </w:r>
      <w:r w:rsidRPr="00FE39FC">
        <w:rPr>
          <w:rFonts w:eastAsia="Calibri"/>
        </w:rPr>
        <w:t xml:space="preserve">Incarcerated Person, if not the Consumer) may immediately obtain access to those disclosures.  </w:t>
      </w:r>
    </w:p>
    <w:p w:rsidR="00965697" w:rsidRPr="00FE39FC" w:rsidP="00965697" w14:paraId="3D759476" w14:textId="77777777">
      <w:pPr>
        <w:widowControl/>
        <w:spacing w:after="120"/>
        <w:ind w:left="1080" w:hanging="360"/>
        <w:rPr>
          <w:rFonts w:eastAsia="Calibri"/>
          <w:kern w:val="2"/>
        </w:rPr>
      </w:pPr>
      <w:r w:rsidRPr="00FE39FC">
        <w:t>(5) Before a Consumer enrolls in a Plan, and at any time upon Consumer request, the Provider must also provide to the Consumer:</w:t>
      </w:r>
    </w:p>
    <w:p w:rsidR="00965697" w:rsidRPr="0035180E" w:rsidP="00965697" w14:paraId="62CD473C" w14:textId="77777777">
      <w:pPr>
        <w:spacing w:after="120"/>
        <w:ind w:left="1440"/>
        <w:rPr>
          <w:rFonts w:ascii="Aptos" w:eastAsia="Calibri" w:hAnsi="Aptos"/>
          <w:snapToGrid/>
          <w:kern w:val="0"/>
          <w:szCs w:val="22"/>
        </w:rPr>
      </w:pPr>
      <w:r w:rsidRPr="00FE39FC">
        <w:rPr>
          <w:rFonts w:eastAsia="Calibri"/>
          <w:kern w:val="0"/>
        </w:rPr>
        <w:t xml:space="preserve">(i) The rates, Breakeven Point, and total cost including any </w:t>
      </w:r>
      <w:r>
        <w:rPr>
          <w:rFonts w:eastAsia="Calibri"/>
          <w:kern w:val="0"/>
        </w:rPr>
        <w:t>Mandatory T</w:t>
      </w:r>
      <w:r w:rsidRPr="00FE39FC">
        <w:rPr>
          <w:rFonts w:eastAsia="Calibri"/>
          <w:kern w:val="0"/>
        </w:rPr>
        <w:t xml:space="preserve">axes or </w:t>
      </w:r>
      <w:r>
        <w:rPr>
          <w:rFonts w:eastAsia="Calibri"/>
          <w:kern w:val="0"/>
        </w:rPr>
        <w:t>Mandatory F</w:t>
      </w:r>
      <w:r w:rsidRPr="00FE39FC">
        <w:rPr>
          <w:rFonts w:eastAsia="Calibri"/>
          <w:kern w:val="0"/>
        </w:rPr>
        <w:t xml:space="preserve">ees associated with the Plan; and  </w:t>
      </w:r>
    </w:p>
    <w:p w:rsidR="00965697" w:rsidRPr="0035180E" w:rsidP="00965697" w14:paraId="7832B6DD" w14:textId="77777777">
      <w:pPr>
        <w:spacing w:after="120"/>
        <w:ind w:left="1440"/>
        <w:rPr>
          <w:rFonts w:ascii="Aptos" w:eastAsia="Calibri" w:hAnsi="Aptos"/>
          <w:snapToGrid/>
          <w:kern w:val="0"/>
          <w:szCs w:val="22"/>
        </w:rPr>
      </w:pPr>
      <w:r w:rsidRPr="00FE39FC">
        <w:rPr>
          <w:rFonts w:eastAsia="Calibri"/>
          <w:kern w:val="0"/>
        </w:rPr>
        <w:t xml:space="preserve">(ii) An explanation that the Consumer’s prior usage and billing data is available upon request through a readily accessible means and must include:  </w:t>
      </w:r>
    </w:p>
    <w:p w:rsidR="00965697" w:rsidRPr="00FE39FC" w:rsidP="00965697" w14:paraId="4C9E35F8" w14:textId="77777777">
      <w:pPr>
        <w:widowControl/>
        <w:spacing w:after="120"/>
        <w:ind w:left="1800" w:hanging="360"/>
      </w:pPr>
      <w:r w:rsidRPr="00FE39FC">
        <w:t xml:space="preserve">(A) For the Provider’s most recent three service periods (where feasible): the minutes of use for each of the calls or communications made by the Consumer and the applicable per-minute rate that was charged; the total number of minutes; and the totals charged for each service period including the details of any </w:t>
      </w:r>
      <w:r>
        <w:t>Mandatory T</w:t>
      </w:r>
      <w:r w:rsidRPr="00FE39FC">
        <w:t xml:space="preserve">axes and </w:t>
      </w:r>
      <w:r>
        <w:t>Mandatory F</w:t>
      </w:r>
      <w:r w:rsidRPr="00FE39FC">
        <w:t xml:space="preserve">ees; and  </w:t>
      </w:r>
    </w:p>
    <w:p w:rsidR="00965697" w:rsidRPr="00FE39FC" w:rsidP="00965697" w14:paraId="6C894455" w14:textId="77777777">
      <w:pPr>
        <w:spacing w:after="120"/>
        <w:ind w:left="1800" w:hanging="360"/>
      </w:pPr>
      <w:r w:rsidRPr="00FE39FC">
        <w:t>(B) This prior usage and billing data must be made available to the Consumer via the Provider’s website or online or mobile application or via paper upon request of the Consumer.</w:t>
      </w:r>
    </w:p>
    <w:p w:rsidR="00965697" w:rsidRPr="0035180E" w:rsidP="00965697" w14:paraId="690F5787" w14:textId="77777777">
      <w:pPr>
        <w:widowControl/>
        <w:spacing w:after="120"/>
        <w:ind w:left="1080" w:hanging="360"/>
        <w:rPr>
          <w:rFonts w:ascii="Aptos" w:eastAsia="Calibri" w:hAnsi="Aptos"/>
          <w:snapToGrid/>
          <w:kern w:val="2"/>
          <w:szCs w:val="22"/>
        </w:rPr>
      </w:pPr>
      <w:r w:rsidRPr="00FE39FC">
        <w:rPr>
          <w:rFonts w:eastAsia="TimesNewRoman"/>
          <w:kern w:val="0"/>
        </w:rPr>
        <w:t xml:space="preserve">(6) After the Consumer enrolls in a Plan, the Provider must </w:t>
      </w:r>
      <w:r w:rsidRPr="00FE39FC">
        <w:t>provide Billing Statements and Statements of Account for the Plan via the same method the Consumer used to sign up for the Plan, and via paper upon Consumer request.  The Billing Statements and Statements of Account must include information specific to the Alternate Pricing Plan for the service period but the Consumer must be able to receive, upon request, information for the past three service periods (where feasible</w:t>
      </w:r>
      <w:r w:rsidRPr="00FE39FC">
        <w:t>)</w:t>
      </w:r>
      <w:r w:rsidRPr="00FE39FC">
        <w:t xml:space="preserve">.  The Billing Statement or Statement of Account must include for each service period: </w:t>
      </w:r>
    </w:p>
    <w:p w:rsidR="00965697" w:rsidRPr="00FE39FC" w:rsidP="00965697" w14:paraId="0C9DD08E" w14:textId="77777777">
      <w:pPr>
        <w:spacing w:after="120"/>
        <w:ind w:left="1440"/>
        <w:rPr>
          <w:rFonts w:eastAsia="Calibri"/>
          <w:kern w:val="0"/>
        </w:rPr>
      </w:pPr>
      <w:r w:rsidRPr="00FE39FC">
        <w:rPr>
          <w:rFonts w:eastAsia="Calibri"/>
          <w:kern w:val="0"/>
        </w:rPr>
        <w:t xml:space="preserve">(i) Call details, including the duration of each call made, and the total minutes used for that service period, and the total charge including </w:t>
      </w:r>
      <w:r>
        <w:rPr>
          <w:rFonts w:eastAsia="Calibri"/>
          <w:kern w:val="0"/>
        </w:rPr>
        <w:t>Mandatory T</w:t>
      </w:r>
      <w:r w:rsidRPr="00FE39FC">
        <w:rPr>
          <w:rFonts w:eastAsia="Calibri"/>
          <w:kern w:val="0"/>
        </w:rPr>
        <w:t xml:space="preserve">axes and </w:t>
      </w:r>
      <w:r>
        <w:rPr>
          <w:rFonts w:eastAsia="Calibri"/>
          <w:kern w:val="0"/>
        </w:rPr>
        <w:t>Mandatory F</w:t>
      </w:r>
      <w:r w:rsidRPr="00FE39FC">
        <w:rPr>
          <w:rFonts w:eastAsia="Calibri"/>
          <w:kern w:val="0"/>
        </w:rPr>
        <w:t xml:space="preserve">ees, with explanations of each </w:t>
      </w:r>
      <w:r>
        <w:rPr>
          <w:rFonts w:eastAsia="Calibri"/>
          <w:kern w:val="0"/>
        </w:rPr>
        <w:t>Mandatory T</w:t>
      </w:r>
      <w:r w:rsidRPr="00FE39FC">
        <w:rPr>
          <w:rFonts w:eastAsia="Calibri"/>
          <w:kern w:val="0"/>
        </w:rPr>
        <w:t xml:space="preserve">ax or </w:t>
      </w:r>
      <w:r>
        <w:rPr>
          <w:rFonts w:eastAsia="Calibri"/>
          <w:kern w:val="0"/>
        </w:rPr>
        <w:t>Mandatory F</w:t>
      </w:r>
      <w:r w:rsidRPr="00FE39FC">
        <w:rPr>
          <w:rFonts w:eastAsia="Calibri"/>
          <w:kern w:val="0"/>
        </w:rPr>
        <w:t xml:space="preserve">ee; </w:t>
      </w:r>
    </w:p>
    <w:p w:rsidR="00965697" w:rsidRPr="00FE39FC" w:rsidP="00965697" w14:paraId="1D568A64" w14:textId="77777777">
      <w:pPr>
        <w:spacing w:after="120"/>
        <w:ind w:left="1440"/>
        <w:rPr>
          <w:rFonts w:eastAsia="Calibri"/>
          <w:kern w:val="0"/>
        </w:rPr>
      </w:pPr>
      <w:r w:rsidRPr="00FE39FC">
        <w:rPr>
          <w:rFonts w:eastAsia="Calibri"/>
          <w:kern w:val="0"/>
        </w:rPr>
        <w:t>(ii) The charges that would have been assessed for each call using the</w:t>
      </w:r>
      <w:r w:rsidRPr="00FE39FC">
        <w:rPr>
          <w:rFonts w:eastAsia="Calibri"/>
          <w:kern w:val="0"/>
        </w:rPr>
        <w:t xml:space="preserve"> </w:t>
      </w:r>
      <w:r w:rsidRPr="00FE39FC">
        <w:rPr>
          <w:rFonts w:eastAsia="Calibri"/>
          <w:kern w:val="0"/>
        </w:rPr>
        <w:t>Provider’s per-minute rate, and the total of those charges;</w:t>
      </w:r>
    </w:p>
    <w:p w:rsidR="00965697" w:rsidRPr="00FE39FC" w:rsidP="00965697" w14:paraId="1C07D7A7" w14:textId="77777777">
      <w:pPr>
        <w:spacing w:after="120"/>
        <w:ind w:left="1440"/>
        <w:rPr>
          <w:rFonts w:eastAsia="Calibri"/>
          <w:kern w:val="0"/>
        </w:rPr>
      </w:pPr>
      <w:r w:rsidRPr="00FE39FC">
        <w:rPr>
          <w:rFonts w:eastAsia="Calibri"/>
          <w:kern w:val="0"/>
        </w:rPr>
        <w:t xml:space="preserve">(iii) The calculated per-minute rate for the service period under the Alternate Pricing Plan, calculated as the charge for the service period divided by the total minutes used by that Consumer, with an explanation of that rate; </w:t>
      </w:r>
    </w:p>
    <w:p w:rsidR="00965697" w:rsidRPr="00FE39FC" w:rsidP="00965697" w14:paraId="73E8D36B" w14:textId="77777777">
      <w:pPr>
        <w:spacing w:after="120"/>
        <w:ind w:left="1440"/>
        <w:rPr>
          <w:rFonts w:eastAsia="Calibri"/>
          <w:kern w:val="0"/>
        </w:rPr>
      </w:pPr>
      <w:r w:rsidRPr="00FE39FC">
        <w:rPr>
          <w:rFonts w:eastAsia="Calibri"/>
          <w:kern w:val="0"/>
        </w:rPr>
        <w:t>(iv) The Breakeven Point with an explanation of the Breakeven Point; and</w:t>
      </w:r>
    </w:p>
    <w:p w:rsidR="00965697" w:rsidRPr="00FE39FC" w:rsidP="00965697" w14:paraId="4603A116" w14:textId="77777777">
      <w:pPr>
        <w:spacing w:after="120"/>
        <w:ind w:left="1440"/>
        <w:rPr>
          <w:rFonts w:eastAsia="TimesNewRoman"/>
          <w:kern w:val="0"/>
        </w:rPr>
      </w:pPr>
      <w:r w:rsidRPr="00FE39FC">
        <w:rPr>
          <w:rFonts w:eastAsia="Calibri"/>
          <w:kern w:val="0"/>
        </w:rPr>
        <w:t xml:space="preserve">(v) Information about deposits made to the Consumer’s IPCS Account and the IPCS Account balance. </w:t>
      </w:r>
      <w:r w:rsidRPr="00FE39FC">
        <w:rPr>
          <w:rFonts w:eastAsia="TimesNewRoman"/>
          <w:kern w:val="0"/>
        </w:rPr>
        <w:t xml:space="preserve"> </w:t>
      </w:r>
    </w:p>
    <w:p w:rsidR="00965697" w:rsidRPr="0035180E" w:rsidP="00965697" w14:paraId="1447B484" w14:textId="6DDE75ED">
      <w:pPr>
        <w:widowControl/>
        <w:spacing w:after="120"/>
        <w:ind w:left="1080" w:hanging="360"/>
        <w:rPr>
          <w:rFonts w:ascii="Aptos" w:eastAsia="Calibri" w:hAnsi="Aptos"/>
          <w:snapToGrid/>
          <w:kern w:val="2"/>
          <w:szCs w:val="22"/>
        </w:rPr>
      </w:pPr>
      <w:r w:rsidRPr="00FE39FC">
        <w:rPr>
          <w:rFonts w:eastAsia="TimesNewRoman"/>
          <w:kern w:val="0"/>
        </w:rPr>
        <w:t xml:space="preserve">(7) The Provider must make available the number of minutes, calls, or communications remaining </w:t>
      </w:r>
      <w:r>
        <w:rPr>
          <w:rFonts w:eastAsia="TimesNewRoman"/>
          <w:kern w:val="0"/>
        </w:rPr>
        <w:t xml:space="preserve">under a Consumer’s Alternate Pricing Plan </w:t>
      </w:r>
      <w:r w:rsidRPr="00FE39FC">
        <w:rPr>
          <w:rFonts w:eastAsia="TimesNewRoman"/>
          <w:kern w:val="0"/>
        </w:rPr>
        <w:t xml:space="preserve">for the service period without the Consumer having to initiate a call or communication that would count toward a fixed allotment of minutes, calls, or communications in an Alternate Pricing Plan.  </w:t>
      </w:r>
    </w:p>
    <w:p w:rsidR="00670E6B" w:rsidP="00414DD6" w14:paraId="6FCCCDEB" w14:textId="75D3236C">
      <w:pPr>
        <w:spacing w:after="120"/>
        <w:ind w:left="360" w:hanging="360"/>
      </w:pPr>
      <w:r w:rsidRPr="00323B9D">
        <w:rPr>
          <w:b/>
          <w:bCs/>
          <w:u w:val="single"/>
        </w:rPr>
        <w:t>Section 64.</w:t>
      </w:r>
      <w:r w:rsidRPr="00D966C5">
        <w:rPr>
          <w:b/>
          <w:bCs/>
          <w:u w:val="single"/>
        </w:rPr>
        <w:t>6140(d</w:t>
      </w:r>
      <w:r w:rsidRPr="00732C90">
        <w:rPr>
          <w:b/>
          <w:bCs/>
          <w:u w:val="single"/>
        </w:rPr>
        <w:t>)</w:t>
      </w:r>
      <w:r w:rsidRPr="00732C90" w:rsidR="006C1D70">
        <w:rPr>
          <w:b/>
          <w:bCs/>
        </w:rPr>
        <w:t>:</w:t>
      </w:r>
    </w:p>
    <w:p w:rsidR="00670E6B" w:rsidRPr="00FE39FC" w:rsidP="00670E6B" w14:paraId="41A7D4F4" w14:textId="7E6124C6">
      <w:pPr>
        <w:spacing w:after="120"/>
        <w:ind w:left="720" w:hanging="360"/>
        <w:rPr>
          <w:i/>
        </w:rPr>
      </w:pPr>
      <w:r w:rsidRPr="00FE39FC">
        <w:t xml:space="preserve">(d) </w:t>
      </w:r>
      <w:r w:rsidRPr="00FE39FC">
        <w:rPr>
          <w:i/>
        </w:rPr>
        <w:t>Dropped Calls or Communications and Related Consumer Disclosures.</w:t>
      </w:r>
    </w:p>
    <w:p w:rsidR="00670E6B" w:rsidRPr="00FE39FC" w:rsidP="00670E6B" w14:paraId="5EA176CC" w14:textId="77777777">
      <w:pPr>
        <w:widowControl/>
        <w:spacing w:after="120"/>
        <w:ind w:left="1080" w:hanging="360"/>
        <w:rPr>
          <w:rFonts w:eastAsia="Calibri"/>
          <w:kern w:val="2"/>
        </w:rPr>
      </w:pPr>
      <w:r w:rsidRPr="00FE39FC">
        <w:t>(1) A Provider offering an Alternate Pricing Plan must explain its policies regarding dropped calls or communications in plain language in its consumer disclosures.</w:t>
      </w:r>
    </w:p>
    <w:p w:rsidR="00670E6B" w:rsidRPr="00FE39FC" w:rsidP="00670E6B" w14:paraId="735747FF" w14:textId="77777777">
      <w:pPr>
        <w:widowControl/>
        <w:spacing w:after="120"/>
        <w:ind w:left="1080" w:hanging="360"/>
        <w:rPr>
          <w:rFonts w:eastAsia="Calibri"/>
          <w:kern w:val="2"/>
        </w:rPr>
      </w:pPr>
      <w:r w:rsidRPr="00FE39FC">
        <w:t>(2) The consumer disclosures must include:</w:t>
      </w:r>
    </w:p>
    <w:p w:rsidR="00670E6B" w:rsidRPr="0035180E" w:rsidP="00670E6B" w14:paraId="7672044F" w14:textId="77777777">
      <w:pPr>
        <w:spacing w:after="120"/>
        <w:ind w:left="1440"/>
        <w:rPr>
          <w:rFonts w:ascii="Aptos" w:eastAsia="Calibri" w:hAnsi="Aptos"/>
          <w:snapToGrid/>
          <w:kern w:val="0"/>
          <w:szCs w:val="22"/>
        </w:rPr>
      </w:pPr>
      <w:r w:rsidRPr="00FE39FC">
        <w:rPr>
          <w:rFonts w:eastAsia="Calibri"/>
          <w:kern w:val="0"/>
        </w:rPr>
        <w:t>(i) The types of dropped calls and communications that a Consumer can seek a credit or refund for;</w:t>
      </w:r>
    </w:p>
    <w:p w:rsidR="00670E6B" w:rsidRPr="0035180E" w:rsidP="00670E6B" w14:paraId="0F1C4283" w14:textId="77777777">
      <w:pPr>
        <w:spacing w:after="120"/>
        <w:ind w:left="1440"/>
        <w:rPr>
          <w:rFonts w:ascii="Aptos" w:eastAsia="Calibri" w:hAnsi="Aptos"/>
          <w:snapToGrid/>
          <w:kern w:val="0"/>
          <w:szCs w:val="22"/>
        </w:rPr>
      </w:pPr>
      <w:r w:rsidRPr="00FE39FC">
        <w:rPr>
          <w:rFonts w:eastAsia="Calibri"/>
          <w:kern w:val="0"/>
        </w:rPr>
        <w:t>(ii) How the Provider will calculate a credit or refund for a dropped call or communication; and</w:t>
      </w:r>
    </w:p>
    <w:p w:rsidR="00670E6B" w:rsidRPr="0035180E" w:rsidP="00670E6B" w14:paraId="4A306026" w14:textId="5371F3C7">
      <w:pPr>
        <w:spacing w:after="120"/>
        <w:ind w:left="1440"/>
        <w:rPr>
          <w:rFonts w:ascii="Aptos" w:eastAsia="Calibri" w:hAnsi="Aptos"/>
          <w:snapToGrid/>
          <w:kern w:val="0"/>
          <w:szCs w:val="22"/>
        </w:rPr>
      </w:pPr>
      <w:r w:rsidRPr="00FE39FC">
        <w:rPr>
          <w:rFonts w:eastAsia="Calibri"/>
          <w:kern w:val="0"/>
        </w:rPr>
        <w:t>(iii) The method the Consumer must use to request a credit or refund for a dropped call or communication, and that method must be easy for the Consumer to complete.</w:t>
      </w:r>
    </w:p>
    <w:p w:rsidR="00670E6B" w:rsidP="00670E6B" w14:paraId="11B22F48" w14:textId="0342E553">
      <w:pPr>
        <w:pStyle w:val="ParaNum"/>
        <w:numPr>
          <w:ilvl w:val="0"/>
          <w:numId w:val="0"/>
        </w:numPr>
      </w:pPr>
      <w:r>
        <w:t xml:space="preserve"> </w:t>
      </w:r>
      <w:r w:rsidRPr="00E254D3" w:rsidR="00A24F2B">
        <w:rPr>
          <w:b/>
          <w:bCs/>
          <w:u w:val="single"/>
        </w:rPr>
        <w:t>Section 64.6140(e)(2)</w:t>
      </w:r>
      <w:r w:rsidRPr="00D966C5" w:rsidR="00A24F2B">
        <w:rPr>
          <w:b/>
          <w:bCs/>
          <w:u w:val="single"/>
        </w:rPr>
        <w:t>-(4)</w:t>
      </w:r>
      <w:r w:rsidRPr="00732C90" w:rsidR="006C1D70">
        <w:rPr>
          <w:b/>
          <w:bCs/>
        </w:rPr>
        <w:t>:</w:t>
      </w:r>
    </w:p>
    <w:p w:rsidR="00EA5922" w:rsidRPr="00FE39FC" w:rsidP="00EA5922" w14:paraId="56178FB2" w14:textId="77777777">
      <w:pPr>
        <w:spacing w:after="120"/>
        <w:ind w:left="720" w:hanging="360"/>
        <w:rPr>
          <w:i/>
        </w:rPr>
      </w:pPr>
      <w:r w:rsidRPr="00FE39FC">
        <w:t xml:space="preserve">(e) </w:t>
      </w:r>
      <w:r w:rsidRPr="00FE39FC">
        <w:rPr>
          <w:i/>
        </w:rPr>
        <w:t>Automatic Renewals and Related Consumer Disclosures</w:t>
      </w:r>
      <w:r w:rsidRPr="00FE39FC">
        <w:t>.</w:t>
      </w:r>
    </w:p>
    <w:p w:rsidR="00920B34" w:rsidP="00920B34" w14:paraId="0B1D1D08" w14:textId="77777777">
      <w:pPr>
        <w:widowControl/>
        <w:spacing w:after="120"/>
        <w:ind w:left="360" w:hanging="360"/>
      </w:pPr>
      <w:r>
        <w:t>* * * * *</w:t>
      </w:r>
    </w:p>
    <w:p w:rsidR="00EA5922" w:rsidRPr="0035180E" w:rsidP="00EA5922" w14:paraId="040D8011" w14:textId="18B3BAB0">
      <w:pPr>
        <w:widowControl/>
        <w:spacing w:after="120"/>
        <w:ind w:left="1080" w:hanging="360"/>
        <w:rPr>
          <w:rFonts w:ascii="Aptos" w:eastAsia="Calibri" w:hAnsi="Aptos"/>
          <w:snapToGrid/>
          <w:kern w:val="2"/>
          <w:szCs w:val="22"/>
        </w:rPr>
      </w:pPr>
      <w:r w:rsidRPr="00FE39FC">
        <w:rPr>
          <w:rFonts w:eastAsia="Calibri"/>
          <w:kern w:val="2"/>
        </w:rPr>
        <w:t>(2) A Provider offering an Alternate Pricing Plan must explain the terms and conditions of the automatic renewal in plain language in its consumer disclosures when it initially offers the automatic renewal option and before any automatic renewal is about to occur by whatever method the Provider has established for consumer notifications to the Consumer.</w:t>
      </w:r>
    </w:p>
    <w:p w:rsidR="00EA5922" w:rsidRPr="0035180E" w:rsidP="00EA5922" w14:paraId="14F6B5FD" w14:textId="77777777">
      <w:pPr>
        <w:widowControl/>
        <w:spacing w:after="120"/>
        <w:ind w:left="1080" w:hanging="360"/>
        <w:rPr>
          <w:rFonts w:ascii="Aptos" w:eastAsia="Calibri" w:hAnsi="Aptos"/>
          <w:snapToGrid/>
          <w:kern w:val="2"/>
          <w:szCs w:val="22"/>
        </w:rPr>
      </w:pPr>
      <w:r w:rsidRPr="00FE39FC">
        <w:rPr>
          <w:rFonts w:eastAsia="Calibri"/>
          <w:kern w:val="2"/>
        </w:rPr>
        <w:t xml:space="preserve">(3) The consumer disclosures must include an explanation that if a Consumer who requested automatic renewals does not later want the Alternate Pricing Plan to be renewed, the Consumer may cancel their participation in the Alternate Pricing </w:t>
      </w:r>
      <w:r w:rsidRPr="00FE39FC">
        <w:rPr>
          <w:rFonts w:eastAsia="Calibri"/>
        </w:rPr>
        <w:t>Plan.</w:t>
      </w:r>
    </w:p>
    <w:p w:rsidR="00D20E07" w:rsidRPr="00EA5922" w:rsidP="00EA5922" w14:paraId="636B55FB" w14:textId="7F7AF37D">
      <w:pPr>
        <w:widowControl/>
        <w:spacing w:after="120"/>
        <w:ind w:left="1080" w:hanging="360"/>
        <w:rPr>
          <w:rFonts w:ascii="Aptos" w:eastAsia="Calibri" w:hAnsi="Aptos"/>
          <w:snapToGrid/>
          <w:kern w:val="2"/>
          <w:szCs w:val="22"/>
        </w:rPr>
      </w:pPr>
      <w:r w:rsidRPr="00FE39FC">
        <w:rPr>
          <w:rFonts w:eastAsia="Calibri"/>
          <w:kern w:val="2"/>
        </w:rPr>
        <w:t xml:space="preserve">(4) The Provider must give notice of an upcoming renewal for an Alternative Pricing Plan directly to the Consumer no later than three business days prior to the renewal date.  Along with providing the notice, the Provider must explain, in plain language, the terms and conditions of the automatic renewal using, at a minimum, the method of communication the Consumer agreed to at the time they enrolled in the Alternate Pricing </w:t>
      </w:r>
      <w:r w:rsidRPr="00FE39FC">
        <w:rPr>
          <w:rFonts w:eastAsia="Calibri"/>
        </w:rPr>
        <w:t>Plan.</w:t>
      </w:r>
    </w:p>
    <w:p w:rsidR="00605817" w:rsidP="008C2B43" w14:paraId="720E8611" w14:textId="18063091">
      <w:pPr>
        <w:spacing w:after="120"/>
        <w:ind w:left="720" w:hanging="360"/>
      </w:pPr>
      <w:r w:rsidRPr="00EA5922">
        <w:rPr>
          <w:b/>
          <w:bCs/>
          <w:u w:val="single"/>
        </w:rPr>
        <w:t>Section 64.6140(f)(2)</w:t>
      </w:r>
      <w:r w:rsidR="00850A82">
        <w:rPr>
          <w:b/>
          <w:bCs/>
          <w:u w:val="single"/>
        </w:rPr>
        <w:t>, (f</w:t>
      </w:r>
      <w:r w:rsidRPr="009F4F62" w:rsidR="00850A82">
        <w:rPr>
          <w:b/>
          <w:bCs/>
          <w:u w:val="single"/>
        </w:rPr>
        <w:t>)(4)</w:t>
      </w:r>
      <w:r w:rsidRPr="00732C90" w:rsidR="006C1D70">
        <w:rPr>
          <w:b/>
          <w:bCs/>
        </w:rPr>
        <w:t>:</w:t>
      </w:r>
    </w:p>
    <w:p w:rsidR="007B45B6" w:rsidRPr="00FE39FC" w:rsidP="007B45B6" w14:paraId="3F75A297" w14:textId="77777777">
      <w:pPr>
        <w:spacing w:after="120"/>
        <w:ind w:left="720" w:hanging="360"/>
        <w:rPr>
          <w:i/>
        </w:rPr>
      </w:pPr>
      <w:r w:rsidRPr="00FE39FC">
        <w:t xml:space="preserve">(f) </w:t>
      </w:r>
      <w:r w:rsidRPr="00FE39FC">
        <w:rPr>
          <w:i/>
        </w:rPr>
        <w:t>Cancellation by the Consumer and Related Consumer Disclosures.</w:t>
      </w:r>
      <w:r w:rsidRPr="00FE39FC">
        <w:t xml:space="preserve">  </w:t>
      </w:r>
    </w:p>
    <w:p w:rsidR="00E8114A" w:rsidP="00E8114A" w14:paraId="67FF052C" w14:textId="77777777">
      <w:pPr>
        <w:widowControl/>
        <w:spacing w:after="120"/>
        <w:ind w:left="360" w:hanging="360"/>
      </w:pPr>
      <w:r>
        <w:t>* * * * *</w:t>
      </w:r>
    </w:p>
    <w:p w:rsidR="007B45B6" w:rsidRPr="00FE39FC" w:rsidP="007B45B6" w14:paraId="44AA0782" w14:textId="02BF6AAE">
      <w:pPr>
        <w:widowControl/>
        <w:spacing w:after="120"/>
        <w:ind w:left="1080" w:hanging="360"/>
        <w:rPr>
          <w:rFonts w:eastAsia="Calibri"/>
          <w:kern w:val="2"/>
        </w:rPr>
      </w:pPr>
      <w:r w:rsidRPr="00FE39FC">
        <w:t xml:space="preserve">(2) A </w:t>
      </w:r>
      <w:r>
        <w:t>Provider must issue</w:t>
      </w:r>
      <w:r w:rsidRPr="00FE39FC">
        <w:t xml:space="preserve"> a refund for the remaining balance on an Alternate Pricing Plan if:</w:t>
      </w:r>
    </w:p>
    <w:p w:rsidR="007B45B6" w:rsidRPr="00FE39FC" w:rsidP="007B45B6" w14:paraId="49EEEB01" w14:textId="77777777">
      <w:pPr>
        <w:spacing w:after="120"/>
        <w:ind w:left="1440"/>
        <w:rPr>
          <w:rFonts w:eastAsia="Calibri"/>
          <w:kern w:val="0"/>
        </w:rPr>
      </w:pPr>
      <w:r w:rsidRPr="00FE39FC">
        <w:rPr>
          <w:rFonts w:eastAsia="Calibri"/>
          <w:kern w:val="0"/>
        </w:rPr>
        <w:t xml:space="preserve">(i) The Incarcerated Person is released; </w:t>
      </w:r>
    </w:p>
    <w:p w:rsidR="007B45B6" w:rsidRPr="00FE39FC" w:rsidP="007B45B6" w14:paraId="6DBA6AF7" w14:textId="77777777">
      <w:pPr>
        <w:spacing w:after="120"/>
        <w:ind w:left="1440"/>
        <w:rPr>
          <w:rFonts w:eastAsia="Calibri"/>
          <w:kern w:val="0"/>
        </w:rPr>
      </w:pPr>
      <w:r w:rsidRPr="00FE39FC">
        <w:rPr>
          <w:rFonts w:eastAsia="Calibri"/>
          <w:kern w:val="0"/>
        </w:rPr>
        <w:t xml:space="preserve">(ii) The Incarcerated Person is transferred to another Correctional Facility; or </w:t>
      </w:r>
    </w:p>
    <w:p w:rsidR="007B45B6" w:rsidRPr="00FE39FC" w:rsidP="007B45B6" w14:paraId="23A66B43" w14:textId="77777777">
      <w:pPr>
        <w:spacing w:after="120"/>
        <w:ind w:left="1440"/>
        <w:rPr>
          <w:rFonts w:eastAsia="Calibri"/>
          <w:kern w:val="0"/>
        </w:rPr>
      </w:pPr>
      <w:r w:rsidRPr="00FE39FC">
        <w:rPr>
          <w:rFonts w:eastAsia="Calibri"/>
          <w:kern w:val="0"/>
        </w:rPr>
        <w:t xml:space="preserve">(iii) The Incarcerated Person is not permitted to make calls or communications for a substantial portion of the subscription period.  </w:t>
      </w:r>
    </w:p>
    <w:p w:rsidR="003B273C" w:rsidP="00F31A5D" w14:paraId="712EFD11" w14:textId="2714EAA6">
      <w:pPr>
        <w:widowControl/>
        <w:spacing w:after="120"/>
        <w:ind w:left="360" w:hanging="360"/>
      </w:pPr>
      <w:r>
        <w:t>* * * * *</w:t>
      </w:r>
    </w:p>
    <w:p w:rsidR="007B45B6" w:rsidRPr="00FE39FC" w:rsidP="007B45B6" w14:paraId="02DDC753" w14:textId="09112116">
      <w:pPr>
        <w:widowControl/>
        <w:spacing w:after="120"/>
        <w:ind w:left="1080" w:hanging="360"/>
        <w:rPr>
          <w:rFonts w:eastAsia="Calibri"/>
          <w:kern w:val="2"/>
        </w:rPr>
      </w:pPr>
      <w:r w:rsidRPr="00FE39FC">
        <w:t>(4) Consumer disclosures related to Consumer cancellation of an Alternate Pricing Plan must include:</w:t>
      </w:r>
    </w:p>
    <w:p w:rsidR="007B45B6" w:rsidRPr="0035180E" w:rsidP="007B45B6" w14:paraId="113472FA" w14:textId="77777777">
      <w:pPr>
        <w:spacing w:after="120"/>
        <w:ind w:left="1440"/>
        <w:rPr>
          <w:rFonts w:ascii="Aptos" w:eastAsia="Calibri" w:hAnsi="Aptos"/>
          <w:snapToGrid/>
          <w:kern w:val="0"/>
          <w:szCs w:val="22"/>
        </w:rPr>
      </w:pPr>
      <w:r w:rsidRPr="00FE39FC">
        <w:rPr>
          <w:rFonts w:eastAsia="Calibri"/>
          <w:kern w:val="0"/>
        </w:rPr>
        <w:t>(i) An explanation that a Consumer enrolled in an Alternate Pricing Plan may cancel at any time and where applicable, the Provider will begin billing the Consumer at the Provider’s per-minute rates by the first day after the termination date;</w:t>
      </w:r>
    </w:p>
    <w:p w:rsidR="007B45B6" w:rsidRPr="0035180E" w:rsidP="007B45B6" w14:paraId="242BA0AA" w14:textId="77777777">
      <w:pPr>
        <w:spacing w:after="120"/>
        <w:ind w:left="1440"/>
        <w:rPr>
          <w:rFonts w:ascii="Aptos" w:eastAsia="Calibri" w:hAnsi="Aptos"/>
          <w:snapToGrid/>
          <w:kern w:val="0"/>
          <w:szCs w:val="22"/>
        </w:rPr>
      </w:pPr>
      <w:r w:rsidRPr="00FE39FC">
        <w:rPr>
          <w:rFonts w:eastAsia="Calibri"/>
          <w:kern w:val="0"/>
        </w:rPr>
        <w:t xml:space="preserve">(ii) An explanation of the process for requesting cancellation of the Alternate Pricing Plan;  </w:t>
      </w:r>
    </w:p>
    <w:p w:rsidR="007B45B6" w:rsidRPr="0035180E" w:rsidP="007B45B6" w14:paraId="38BF5AF2" w14:textId="77777777">
      <w:pPr>
        <w:spacing w:after="120"/>
        <w:ind w:left="1440"/>
        <w:rPr>
          <w:rFonts w:ascii="Aptos" w:eastAsia="Calibri" w:hAnsi="Aptos"/>
          <w:snapToGrid/>
          <w:kern w:val="0"/>
          <w:szCs w:val="22"/>
        </w:rPr>
      </w:pPr>
      <w:r w:rsidRPr="00FE39FC">
        <w:rPr>
          <w:rFonts w:eastAsia="Calibri"/>
          <w:kern w:val="0"/>
        </w:rPr>
        <w:t xml:space="preserve">(iii) An explanation that the Consumer can end the Alternate Pricing Plan on a specific </w:t>
      </w:r>
      <w:r w:rsidRPr="00FE39FC">
        <w:rPr>
          <w:rFonts w:eastAsia="Calibri"/>
          <w:kern w:val="0"/>
        </w:rPr>
        <w:t xml:space="preserve">termination date of their choosing; and  </w:t>
      </w:r>
    </w:p>
    <w:p w:rsidR="007B45B6" w:rsidRPr="0035180E" w:rsidP="007B45B6" w14:paraId="2010D0CE" w14:textId="79C99545">
      <w:pPr>
        <w:spacing w:after="120"/>
        <w:ind w:left="1440"/>
        <w:rPr>
          <w:rFonts w:ascii="Aptos" w:eastAsia="Calibri" w:hAnsi="Aptos"/>
          <w:snapToGrid/>
          <w:kern w:val="0"/>
          <w:szCs w:val="22"/>
        </w:rPr>
      </w:pPr>
      <w:r w:rsidRPr="00FE39FC">
        <w:rPr>
          <w:rFonts w:eastAsia="Calibri"/>
          <w:kern w:val="0"/>
        </w:rPr>
        <w:t xml:space="preserve">(iv) The special circumstances for which a Consumer who has cancelled their enrollment </w:t>
      </w:r>
      <w:r w:rsidR="001A0BE7">
        <w:rPr>
          <w:rFonts w:eastAsia="Calibri"/>
          <w:kern w:val="0"/>
        </w:rPr>
        <w:t>s</w:t>
      </w:r>
      <w:r w:rsidRPr="00FE39FC">
        <w:rPr>
          <w:rFonts w:eastAsia="Calibri"/>
          <w:kern w:val="0"/>
        </w:rPr>
        <w:t xml:space="preserve">hall receive a refund and how that refund will be calculated.  </w:t>
      </w:r>
    </w:p>
    <w:p w:rsidR="001B5794" w:rsidP="001B5794" w14:paraId="4BB66E39" w14:textId="2D85AFAE">
      <w:pPr>
        <w:pStyle w:val="Numberedparagraphs"/>
        <w:numPr>
          <w:ilvl w:val="0"/>
          <w:numId w:val="0"/>
        </w:numPr>
        <w:tabs>
          <w:tab w:val="clear" w:pos="1440"/>
        </w:tabs>
        <w:rPr>
          <w:szCs w:val="22"/>
        </w:rPr>
      </w:pPr>
      <w:r>
        <w:rPr>
          <w:b/>
          <w:bCs/>
          <w:i/>
          <w:iCs/>
          <w:szCs w:val="22"/>
          <w:u w:val="single"/>
        </w:rPr>
        <w:t xml:space="preserve">Revised </w:t>
      </w:r>
      <w:r w:rsidR="0052169D">
        <w:rPr>
          <w:b/>
          <w:bCs/>
          <w:i/>
          <w:iCs/>
          <w:szCs w:val="22"/>
          <w:u w:val="single"/>
        </w:rPr>
        <w:t>R</w:t>
      </w:r>
      <w:r>
        <w:rPr>
          <w:b/>
          <w:bCs/>
          <w:i/>
          <w:iCs/>
          <w:szCs w:val="22"/>
          <w:u w:val="single"/>
        </w:rPr>
        <w:t>equireme</w:t>
      </w:r>
      <w:r w:rsidRPr="00E8114A">
        <w:rPr>
          <w:b/>
          <w:bCs/>
          <w:i/>
          <w:iCs/>
          <w:szCs w:val="22"/>
          <w:u w:val="single"/>
        </w:rPr>
        <w:t>nts</w:t>
      </w:r>
      <w:r w:rsidR="0090008B">
        <w:rPr>
          <w:b/>
          <w:bCs/>
          <w:i/>
          <w:iCs/>
          <w:szCs w:val="22"/>
          <w:u w:val="single"/>
        </w:rPr>
        <w:t xml:space="preserve"> for </w:t>
      </w:r>
      <w:r w:rsidR="0052169D">
        <w:rPr>
          <w:b/>
          <w:bCs/>
          <w:i/>
          <w:iCs/>
          <w:szCs w:val="22"/>
          <w:u w:val="single"/>
        </w:rPr>
        <w:t>W</w:t>
      </w:r>
      <w:r w:rsidR="0090008B">
        <w:rPr>
          <w:b/>
          <w:bCs/>
          <w:i/>
          <w:iCs/>
          <w:szCs w:val="22"/>
          <w:u w:val="single"/>
        </w:rPr>
        <w:t xml:space="preserve">hich </w:t>
      </w:r>
      <w:r w:rsidR="0052169D">
        <w:rPr>
          <w:b/>
          <w:bCs/>
          <w:i/>
          <w:iCs/>
          <w:szCs w:val="22"/>
          <w:u w:val="single"/>
        </w:rPr>
        <w:t>W</w:t>
      </w:r>
      <w:r w:rsidR="0090008B">
        <w:rPr>
          <w:b/>
          <w:bCs/>
          <w:i/>
          <w:iCs/>
          <w:szCs w:val="22"/>
          <w:u w:val="single"/>
        </w:rPr>
        <w:t xml:space="preserve">e </w:t>
      </w:r>
      <w:r w:rsidR="0052169D">
        <w:rPr>
          <w:b/>
          <w:bCs/>
          <w:i/>
          <w:iCs/>
          <w:szCs w:val="22"/>
          <w:u w:val="single"/>
        </w:rPr>
        <w:t>A</w:t>
      </w:r>
      <w:r w:rsidR="0090008B">
        <w:rPr>
          <w:b/>
          <w:bCs/>
          <w:i/>
          <w:iCs/>
          <w:szCs w:val="22"/>
          <w:u w:val="single"/>
        </w:rPr>
        <w:t xml:space="preserve">re </w:t>
      </w:r>
      <w:r w:rsidR="0052169D">
        <w:rPr>
          <w:b/>
          <w:bCs/>
          <w:i/>
          <w:iCs/>
          <w:szCs w:val="22"/>
          <w:u w:val="single"/>
        </w:rPr>
        <w:t>S</w:t>
      </w:r>
      <w:r w:rsidR="0090008B">
        <w:rPr>
          <w:b/>
          <w:bCs/>
          <w:i/>
          <w:iCs/>
          <w:szCs w:val="22"/>
          <w:u w:val="single"/>
        </w:rPr>
        <w:t xml:space="preserve">eeking OMB </w:t>
      </w:r>
      <w:r w:rsidR="0052169D">
        <w:rPr>
          <w:b/>
          <w:bCs/>
          <w:i/>
          <w:iCs/>
          <w:szCs w:val="22"/>
          <w:u w:val="single"/>
        </w:rPr>
        <w:t>A</w:t>
      </w:r>
      <w:r w:rsidR="0090008B">
        <w:rPr>
          <w:b/>
          <w:bCs/>
          <w:i/>
          <w:iCs/>
          <w:szCs w:val="22"/>
          <w:u w:val="single"/>
        </w:rPr>
        <w:t>pproval</w:t>
      </w:r>
      <w:r w:rsidRPr="00732C90">
        <w:rPr>
          <w:b/>
          <w:bCs/>
          <w:szCs w:val="22"/>
        </w:rPr>
        <w:t>:</w:t>
      </w:r>
    </w:p>
    <w:p w:rsidR="00A40EBB" w:rsidRPr="003C6716" w:rsidP="00C50497" w14:paraId="436DCACD" w14:textId="5D172F53">
      <w:pPr>
        <w:widowControl/>
        <w:spacing w:after="164" w:line="247" w:lineRule="auto"/>
        <w:ind w:right="354"/>
        <w:rPr>
          <w:u w:val="single"/>
        </w:rPr>
      </w:pPr>
      <w:r w:rsidRPr="00A40EBB">
        <w:rPr>
          <w:b/>
          <w:bCs/>
          <w:u w:val="single"/>
        </w:rPr>
        <w:t>Consumer Disclosure Requirements</w:t>
      </w:r>
      <w:r w:rsidR="00726F81">
        <w:rPr>
          <w:b/>
          <w:bCs/>
          <w:u w:val="single"/>
        </w:rPr>
        <w:t xml:space="preserve"> of </w:t>
      </w:r>
      <w:r w:rsidRPr="006676FB" w:rsidR="006676FB">
        <w:rPr>
          <w:b/>
          <w:bCs/>
          <w:u w:val="single"/>
        </w:rPr>
        <w:t>Incarcerated People’s Communications Services Rates</w:t>
      </w:r>
      <w:r w:rsidRPr="003C6716">
        <w:rPr>
          <w:b/>
          <w:bCs/>
          <w:u w:val="single"/>
        </w:rPr>
        <w:t xml:space="preserve"> (</w:t>
      </w:r>
      <w:r w:rsidRPr="00C50497" w:rsidR="00C50497">
        <w:rPr>
          <w:b/>
          <w:bCs/>
          <w:u w:val="single"/>
        </w:rPr>
        <w:t>§ 64.61</w:t>
      </w:r>
      <w:r w:rsidR="00C50497">
        <w:rPr>
          <w:b/>
          <w:bCs/>
          <w:u w:val="single"/>
        </w:rPr>
        <w:t>10</w:t>
      </w:r>
      <w:r w:rsidRPr="003C6716">
        <w:rPr>
          <w:b/>
          <w:bCs/>
          <w:u w:val="single"/>
        </w:rPr>
        <w:t>)</w:t>
      </w:r>
    </w:p>
    <w:p w:rsidR="007D2887" w:rsidP="007D2887" w14:paraId="6630100F" w14:textId="77777777">
      <w:pPr>
        <w:pStyle w:val="ParaNum"/>
        <w:numPr>
          <w:ilvl w:val="0"/>
          <w:numId w:val="0"/>
        </w:numPr>
        <w:ind w:firstLine="720"/>
      </w:pPr>
      <w:r w:rsidRPr="007D2887">
        <w:rPr>
          <w:b/>
          <w:bCs/>
          <w:i/>
          <w:iCs/>
        </w:rPr>
        <w:t>Background</w:t>
      </w:r>
      <w:r>
        <w:t xml:space="preserve">. </w:t>
      </w:r>
      <w:r w:rsidRPr="00F42BC3">
        <w:t>In the</w:t>
      </w:r>
      <w:r>
        <w:t xml:space="preserve"> </w:t>
      </w:r>
      <w:r w:rsidRPr="007D2887">
        <w:rPr>
          <w:i/>
          <w:iCs/>
        </w:rPr>
        <w:t>2015 ICS Order</w:t>
      </w:r>
      <w:r>
        <w:t>, the Commission first required ICS providers to “clearly, accurately, and conspicuously” disclose their interstate, intrastate, and international rates and ancillary service charges to consumers “on their websites or in another reasonable manner readily available to consumers.”</w:t>
      </w:r>
      <w:r>
        <w:rPr>
          <w:rStyle w:val="FootnoteReference"/>
        </w:rPr>
        <w:footnoteReference w:id="24"/>
      </w:r>
      <w:r>
        <w:t xml:space="preserve">  In the </w:t>
      </w:r>
      <w:r w:rsidRPr="007D2887">
        <w:rPr>
          <w:i/>
          <w:iCs/>
        </w:rPr>
        <w:t>2021 ICS Order</w:t>
      </w:r>
      <w:r>
        <w:t>,</w:t>
      </w:r>
      <w:r w:rsidRPr="007D2887">
        <w:rPr>
          <w:i/>
          <w:iCs/>
        </w:rPr>
        <w:t xml:space="preserve"> </w:t>
      </w:r>
      <w:r>
        <w:t>the Commission required providers to separately disclose any charges for terminating international calls,</w:t>
      </w:r>
      <w:r>
        <w:rPr>
          <w:rStyle w:val="FootnoteReference"/>
        </w:rPr>
        <w:footnoteReference w:id="25"/>
      </w:r>
      <w:r>
        <w:t xml:space="preserve"> and to </w:t>
      </w:r>
      <w:r w:rsidRPr="00A273DE">
        <w:t xml:space="preserve">“clearly label” </w:t>
      </w:r>
      <w:r>
        <w:t xml:space="preserve">as </w:t>
      </w:r>
      <w:r w:rsidRPr="00A273DE">
        <w:t>“separate line item[s] on [c]</w:t>
      </w:r>
      <w:r w:rsidRPr="00A273DE">
        <w:t>onsumer</w:t>
      </w:r>
      <w:r w:rsidRPr="00A273DE">
        <w:t xml:space="preserve"> bills”</w:t>
      </w:r>
      <w:r>
        <w:t xml:space="preserve"> </w:t>
      </w:r>
      <w:r w:rsidRPr="00A273DE">
        <w:t xml:space="preserve">any </w:t>
      </w:r>
      <w:r>
        <w:t xml:space="preserve">amounts charged consumers for </w:t>
      </w:r>
      <w:r w:rsidRPr="00A273DE">
        <w:t>site commission</w:t>
      </w:r>
      <w:r>
        <w:t>s</w:t>
      </w:r>
      <w:r w:rsidRPr="00A273DE">
        <w:t xml:space="preserve"> </w:t>
      </w:r>
      <w:r>
        <w:t>and international calling.</w:t>
      </w:r>
      <w:r>
        <w:rPr>
          <w:rStyle w:val="FootnoteReference"/>
        </w:rPr>
        <w:footnoteReference w:id="26"/>
      </w:r>
    </w:p>
    <w:p w:rsidR="00B36630" w:rsidP="00732C90" w14:paraId="0741FD3E" w14:textId="77777777">
      <w:pPr>
        <w:pStyle w:val="ParaNum"/>
        <w:numPr>
          <w:ilvl w:val="0"/>
          <w:numId w:val="0"/>
        </w:numPr>
        <w:ind w:firstLine="720"/>
      </w:pPr>
      <w:r w:rsidRPr="00F42BC3">
        <w:rPr>
          <w:kern w:val="0"/>
        </w:rPr>
        <w:t xml:space="preserve">In the </w:t>
      </w:r>
      <w:r w:rsidRPr="00F42BC3">
        <w:rPr>
          <w:i/>
          <w:iCs/>
          <w:kern w:val="0"/>
        </w:rPr>
        <w:t>2022</w:t>
      </w:r>
      <w:r w:rsidRPr="00EF2497">
        <w:rPr>
          <w:i/>
          <w:iCs/>
          <w:kern w:val="0"/>
        </w:rPr>
        <w:t xml:space="preserve"> ICS Notice</w:t>
      </w:r>
      <w:r w:rsidRPr="00EF2497">
        <w:rPr>
          <w:kern w:val="0"/>
        </w:rPr>
        <w:t xml:space="preserve">, the Commission </w:t>
      </w:r>
      <w:r>
        <w:t xml:space="preserve">sought comment on expanding the “breadth and scope” of the existing consumer disclosure requirements to reach more ICS consumers and increase transparency </w:t>
      </w:r>
      <w:r w:rsidRPr="00973380">
        <w:t>regarding the rates and charges they pay for IPCS</w:t>
      </w:r>
      <w:r>
        <w:t>.</w:t>
      </w:r>
      <w:r>
        <w:rPr>
          <w:rStyle w:val="FootnoteReference"/>
        </w:rPr>
        <w:footnoteReference w:id="27"/>
      </w:r>
      <w:r>
        <w:t xml:space="preserve">  In the </w:t>
      </w:r>
      <w:r w:rsidRPr="00EF2497">
        <w:rPr>
          <w:i/>
          <w:iCs/>
        </w:rPr>
        <w:t>2023 IPCS Notice</w:t>
      </w:r>
      <w:r>
        <w:t>, the Commission sought “</w:t>
      </w:r>
      <w:r w:rsidRPr="00A01B32">
        <w:t>renewed comment</w:t>
      </w:r>
      <w:r>
        <w:t>” on these matters and asked what additional specific rule changes would be needed to implement the Martha Wright-Reed Act.</w:t>
      </w:r>
      <w:r>
        <w:rPr>
          <w:rStyle w:val="FootnoteReference"/>
        </w:rPr>
        <w:footnoteReference w:id="28"/>
      </w:r>
    </w:p>
    <w:p w:rsidR="000C21AB" w:rsidP="00EB33FB" w14:paraId="64C05A15" w14:textId="12C20B4C">
      <w:pPr>
        <w:widowControl/>
        <w:spacing w:after="138" w:line="247" w:lineRule="auto"/>
        <w:ind w:right="354" w:firstLine="720"/>
      </w:pPr>
      <w:r>
        <w:t xml:space="preserve">In the </w:t>
      </w:r>
      <w:r w:rsidRPr="00BC59BC">
        <w:rPr>
          <w:i/>
          <w:iCs/>
        </w:rPr>
        <w:t>2024 IPCS Order</w:t>
      </w:r>
      <w:r>
        <w:t>, the Commission</w:t>
      </w:r>
      <w:r w:rsidR="00015EBC">
        <w:t xml:space="preserve"> revised and strengthened the </w:t>
      </w:r>
      <w:r w:rsidR="000A1909">
        <w:t>existing consumer disclosure requirements.</w:t>
      </w:r>
      <w:r>
        <w:rPr>
          <w:rStyle w:val="FootnoteReference"/>
        </w:rPr>
        <w:footnoteReference w:id="29"/>
      </w:r>
      <w:r w:rsidR="000A1909">
        <w:t xml:space="preserve">  </w:t>
      </w:r>
      <w:r w:rsidR="00B400D2">
        <w:t xml:space="preserve">The </w:t>
      </w:r>
      <w:r w:rsidR="00111D40">
        <w:t xml:space="preserve">Commission </w:t>
      </w:r>
      <w:r w:rsidR="00FA58CC">
        <w:t>e</w:t>
      </w:r>
      <w:r w:rsidR="004D3C0B">
        <w:t xml:space="preserve">xpanded </w:t>
      </w:r>
      <w:r w:rsidR="00376885">
        <w:t xml:space="preserve">the scope of </w:t>
      </w:r>
      <w:r w:rsidR="004D3C0B">
        <w:t>the existing d</w:t>
      </w:r>
      <w:r w:rsidR="00376885">
        <w:t xml:space="preserve">isclosure requirements to apply to all IPCS providers that provide any audio IPCS or video IPCS subject to </w:t>
      </w:r>
      <w:r w:rsidR="004B0CCA">
        <w:t xml:space="preserve">the Commission’s </w:t>
      </w:r>
      <w:r w:rsidR="00376885">
        <w:t>jurisdiction under the Martha Wright-Reed Act.</w:t>
      </w:r>
      <w:r>
        <w:rPr>
          <w:rStyle w:val="FootnoteReference"/>
        </w:rPr>
        <w:footnoteReference w:id="30"/>
      </w:r>
      <w:r w:rsidR="00376885">
        <w:t xml:space="preserve">  </w:t>
      </w:r>
      <w:r w:rsidR="004D3C0B">
        <w:t xml:space="preserve">The Commission stated that </w:t>
      </w:r>
      <w:r w:rsidR="00E028AC">
        <w:t>“[</w:t>
      </w:r>
      <w:r w:rsidR="004D3C0B">
        <w:t>t</w:t>
      </w:r>
      <w:r w:rsidR="00E028AC">
        <w:t>]</w:t>
      </w:r>
      <w:r w:rsidR="004D3C0B">
        <w:t xml:space="preserve">his </w:t>
      </w:r>
      <w:r w:rsidR="00376885">
        <w:t>essential step in our implementation of the Act will ensure that all IPCS consumers will have the same transparency into their providers’ rates, charges and practices regardless of the type of IPCS they use.</w:t>
      </w:r>
      <w:r w:rsidR="00E028AC">
        <w:t>”</w:t>
      </w:r>
      <w:r>
        <w:rPr>
          <w:rStyle w:val="FootnoteReference"/>
        </w:rPr>
        <w:footnoteReference w:id="31"/>
      </w:r>
      <w:r w:rsidR="00376885">
        <w:t xml:space="preserve"> </w:t>
      </w:r>
      <w:r w:rsidR="008D73B3">
        <w:t xml:space="preserve"> </w:t>
      </w:r>
      <w:r w:rsidR="002B6EB0">
        <w:t>T</w:t>
      </w:r>
      <w:r w:rsidRPr="00F42BC3" w:rsidR="002B6EB0">
        <w:t xml:space="preserve">o </w:t>
      </w:r>
      <w:r w:rsidR="002B6EB0">
        <w:t>promote transparency regarding IPCS offerings, the Commission revised its rules to require IPCS providers to disclose their IPCS rates, charges, and associated practices in an</w:t>
      </w:r>
      <w:r w:rsidRPr="00E117F3" w:rsidR="002B6EB0">
        <w:t xml:space="preserve"> easily access</w:t>
      </w:r>
      <w:r w:rsidR="002B6EB0">
        <w:t xml:space="preserve">ible </w:t>
      </w:r>
      <w:r w:rsidRPr="00E117F3" w:rsidR="002B6EB0">
        <w:t>manner</w:t>
      </w:r>
      <w:r w:rsidR="002B6EB0">
        <w:t xml:space="preserve"> on their </w:t>
      </w:r>
      <w:r w:rsidRPr="00C1507A" w:rsidR="002B6EB0">
        <w:t>public</w:t>
      </w:r>
      <w:r w:rsidR="002B6EB0">
        <w:t>ly available websites.</w:t>
      </w:r>
      <w:r>
        <w:rPr>
          <w:rStyle w:val="FootnoteReference"/>
        </w:rPr>
        <w:footnoteReference w:id="32"/>
      </w:r>
      <w:r w:rsidR="00467DA5">
        <w:t xml:space="preserve">  </w:t>
      </w:r>
      <w:r w:rsidR="003075F0">
        <w:t xml:space="preserve">The Commission also took </w:t>
      </w:r>
      <w:r w:rsidR="009005A1">
        <w:t xml:space="preserve">several </w:t>
      </w:r>
      <w:r w:rsidR="003075F0">
        <w:t>actions</w:t>
      </w:r>
      <w:r w:rsidR="00045CDA">
        <w:t>,</w:t>
      </w:r>
      <w:r w:rsidR="003075F0">
        <w:t xml:space="preserve"> </w:t>
      </w:r>
      <w:r w:rsidR="009A0753">
        <w:t xml:space="preserve">as </w:t>
      </w:r>
      <w:r w:rsidR="003075F0">
        <w:t xml:space="preserve">set forth </w:t>
      </w:r>
      <w:r w:rsidR="00775CCE">
        <w:t>below, t</w:t>
      </w:r>
      <w:r w:rsidRPr="00775CCE" w:rsidR="00BB013C">
        <w:rPr>
          <w:rFonts w:eastAsia="TimesNewRoman"/>
          <w:snapToGrid/>
        </w:rPr>
        <w:t>o ensure</w:t>
      </w:r>
      <w:r w:rsidR="00EB33FB">
        <w:rPr>
          <w:rFonts w:eastAsia="TimesNewRoman"/>
          <w:snapToGrid/>
        </w:rPr>
        <w:t xml:space="preserve"> that</w:t>
      </w:r>
      <w:r w:rsidRPr="00775CCE" w:rsidR="00BB013C">
        <w:rPr>
          <w:rFonts w:eastAsia="TimesNewRoman"/>
          <w:snapToGrid/>
        </w:rPr>
        <w:t xml:space="preserve"> consumers receive the information necessary to make informed decisions.</w:t>
      </w:r>
      <w:r>
        <w:rPr>
          <w:rStyle w:val="FootnoteReference"/>
          <w:rFonts w:eastAsia="TimesNewRoman"/>
          <w:kern w:val="0"/>
        </w:rPr>
        <w:footnoteReference w:id="33"/>
      </w:r>
      <w:r w:rsidRPr="00775CCE" w:rsidR="00540256">
        <w:rPr>
          <w:rFonts w:eastAsia="TimesNewRoman"/>
          <w:snapToGrid/>
        </w:rPr>
        <w:t xml:space="preserve">  </w:t>
      </w:r>
    </w:p>
    <w:p w:rsidR="006676FB" w:rsidRPr="002477B3" w:rsidP="00514467" w14:paraId="7021F26D" w14:textId="73B1C9E8">
      <w:pPr>
        <w:widowControl/>
        <w:spacing w:after="138" w:line="247" w:lineRule="auto"/>
        <w:ind w:right="354"/>
        <w:rPr>
          <w:b/>
          <w:bCs/>
          <w:u w:val="single"/>
        </w:rPr>
      </w:pPr>
      <w:r w:rsidRPr="006676FB">
        <w:rPr>
          <w:b/>
          <w:bCs/>
          <w:u w:val="single"/>
        </w:rPr>
        <w:t>Section 64.6110</w:t>
      </w:r>
      <w:r w:rsidR="002477B3">
        <w:rPr>
          <w:b/>
          <w:bCs/>
          <w:u w:val="single"/>
        </w:rPr>
        <w:t>(a), (c)-(g)</w:t>
      </w:r>
      <w:r w:rsidR="006C1D70">
        <w:rPr>
          <w:b/>
          <w:bCs/>
          <w:u w:val="single"/>
        </w:rPr>
        <w:t>:</w:t>
      </w:r>
    </w:p>
    <w:p w:rsidR="00330D69" w:rsidRPr="00FE39FC" w:rsidP="00414DD6" w14:paraId="36B79F54" w14:textId="4AB3B700">
      <w:pPr>
        <w:widowControl/>
        <w:spacing w:after="138" w:line="247" w:lineRule="auto"/>
        <w:ind w:left="720" w:right="354" w:hanging="361"/>
        <w:rPr>
          <w:i/>
        </w:rPr>
      </w:pPr>
      <w:r>
        <w:t xml:space="preserve">(a)  </w:t>
      </w:r>
      <w:r w:rsidRPr="00FE39FC">
        <w:t xml:space="preserve">Providers must clearly, accurately, and conspicuously disclose their intrastate, interstate, and international Incarcerated People’s Communications Services rates, charges and associated </w:t>
      </w:r>
      <w:r w:rsidRPr="00FE39FC">
        <w:t xml:space="preserve">practices on their publicly available websites.  In connection with international rates, </w:t>
      </w:r>
      <w:r>
        <w:t>P</w:t>
      </w:r>
      <w:r w:rsidRPr="00FE39FC">
        <w:t>roviders shall also separately disclose the rate component for terminating calls to each International Destination where that Provider terminates International C</w:t>
      </w:r>
      <w:r>
        <w:t>ommunications</w:t>
      </w:r>
      <w:r w:rsidRPr="00FE39FC">
        <w:t>.</w:t>
      </w:r>
    </w:p>
    <w:p w:rsidR="00330D69" w:rsidRPr="00FE39FC" w:rsidP="00330D69" w14:paraId="3D682259" w14:textId="77777777">
      <w:pPr>
        <w:widowControl/>
        <w:spacing w:after="120"/>
        <w:ind w:left="1080" w:hanging="360"/>
        <w:rPr>
          <w:rFonts w:eastAsia="Calibri"/>
          <w:kern w:val="2"/>
        </w:rPr>
      </w:pPr>
      <w:r w:rsidRPr="00FE39FC">
        <w:rPr>
          <w:kern w:val="0"/>
        </w:rPr>
        <w:t xml:space="preserve">(1) </w:t>
      </w:r>
      <w:r w:rsidRPr="00FE39FC">
        <w:t xml:space="preserve">In addition to the information required in paragraph (a) of this section, the </w:t>
      </w:r>
      <w:r>
        <w:t>P</w:t>
      </w:r>
      <w:r w:rsidRPr="00FE39FC">
        <w:t>rovider must disclose information on:</w:t>
      </w:r>
    </w:p>
    <w:p w:rsidR="00330D69" w:rsidRPr="0035180E" w:rsidP="00330D69" w14:paraId="5EFA7916" w14:textId="77777777">
      <w:pPr>
        <w:spacing w:after="120"/>
        <w:ind w:left="1440"/>
        <w:rPr>
          <w:rFonts w:ascii="Aptos" w:eastAsia="Calibri" w:hAnsi="Aptos"/>
          <w:snapToGrid/>
          <w:kern w:val="0"/>
          <w:szCs w:val="22"/>
        </w:rPr>
      </w:pPr>
      <w:r w:rsidRPr="00FE39FC">
        <w:rPr>
          <w:rFonts w:eastAsia="Calibri"/>
          <w:kern w:val="0"/>
        </w:rPr>
        <w:t>(i) How to manage an IPCS Account;</w:t>
      </w:r>
    </w:p>
    <w:p w:rsidR="00330D69" w:rsidRPr="0035180E" w:rsidP="00330D69" w14:paraId="4A042924" w14:textId="77777777">
      <w:pPr>
        <w:spacing w:after="120"/>
        <w:ind w:left="1440"/>
        <w:rPr>
          <w:rFonts w:ascii="Aptos" w:eastAsia="Calibri" w:hAnsi="Aptos"/>
          <w:snapToGrid/>
          <w:kern w:val="0"/>
          <w:szCs w:val="22"/>
        </w:rPr>
      </w:pPr>
      <w:r w:rsidRPr="00FE39FC">
        <w:rPr>
          <w:rFonts w:eastAsia="Calibri"/>
          <w:kern w:val="0"/>
        </w:rPr>
        <w:t>(ii) How to fund an IPCS Account;</w:t>
      </w:r>
    </w:p>
    <w:p w:rsidR="00330D69" w:rsidRPr="0035180E" w:rsidP="00330D69" w14:paraId="1CAB365A" w14:textId="77777777">
      <w:pPr>
        <w:spacing w:after="120"/>
        <w:ind w:left="1440"/>
        <w:rPr>
          <w:rFonts w:ascii="Aptos" w:eastAsia="Calibri" w:hAnsi="Aptos"/>
          <w:snapToGrid/>
          <w:kern w:val="0"/>
          <w:szCs w:val="22"/>
        </w:rPr>
      </w:pPr>
      <w:r w:rsidRPr="00FE39FC">
        <w:rPr>
          <w:rFonts w:eastAsia="Calibri"/>
          <w:kern w:val="0"/>
        </w:rPr>
        <w:t>(iii) How to close an IPCS Account and how to obtain a refund of any unused balance in that account</w:t>
      </w:r>
      <w:r>
        <w:rPr>
          <w:rFonts w:eastAsia="Calibri"/>
          <w:kern w:val="0"/>
        </w:rPr>
        <w:t>; and</w:t>
      </w:r>
    </w:p>
    <w:p w:rsidR="00330D69" w:rsidRPr="00FE39FC" w:rsidP="00330D69" w14:paraId="6F50E03A" w14:textId="77777777">
      <w:pPr>
        <w:spacing w:after="120"/>
        <w:ind w:left="1440"/>
        <w:rPr>
          <w:rFonts w:eastAsia="Calibri"/>
          <w:kern w:val="0"/>
        </w:rPr>
      </w:pPr>
      <w:r w:rsidRPr="00FE39FC">
        <w:rPr>
          <w:rFonts w:eastAsia="Calibri"/>
          <w:kern w:val="0"/>
        </w:rPr>
        <w:t xml:space="preserve">(iv) How to obtain a refund of any unused balance in inactive accounts </w:t>
      </w:r>
      <w:r>
        <w:rPr>
          <w:rFonts w:eastAsia="Calibri"/>
          <w:kern w:val="0"/>
        </w:rPr>
        <w:t>pursuant to</w:t>
      </w:r>
      <w:r w:rsidRPr="00FE39FC">
        <w:rPr>
          <w:rFonts w:eastAsia="Calibri"/>
          <w:kern w:val="0"/>
        </w:rPr>
        <w:t xml:space="preserve"> § 64.6130</w:t>
      </w:r>
      <w:r>
        <w:rPr>
          <w:rFonts w:eastAsia="Calibri"/>
          <w:kern w:val="0"/>
        </w:rPr>
        <w:t xml:space="preserve"> of this chapter</w:t>
      </w:r>
      <w:r w:rsidRPr="00FE39FC">
        <w:rPr>
          <w:rFonts w:eastAsia="Calibri"/>
          <w:kern w:val="0"/>
        </w:rPr>
        <w:t xml:space="preserve">. </w:t>
      </w:r>
    </w:p>
    <w:p w:rsidR="00330D69" w:rsidRPr="00FE39FC" w:rsidP="00330D69" w14:paraId="0CB7007E" w14:textId="77777777">
      <w:pPr>
        <w:spacing w:after="120"/>
      </w:pPr>
      <w:r w:rsidRPr="00FE39FC">
        <w:t>* * * * *</w:t>
      </w:r>
    </w:p>
    <w:p w:rsidR="00330D69" w:rsidRPr="00FE39FC" w:rsidP="00330D69" w14:paraId="639A9925" w14:textId="10D379D2">
      <w:pPr>
        <w:spacing w:after="120"/>
        <w:ind w:left="720" w:hanging="360"/>
        <w:rPr>
          <w:i/>
        </w:rPr>
      </w:pPr>
      <w:r w:rsidRPr="00FE39FC">
        <w:t xml:space="preserve">(c) </w:t>
      </w:r>
      <w:r w:rsidRPr="00FE39FC">
        <w:rPr>
          <w:kern w:val="0"/>
        </w:rPr>
        <w:t>Providers must clearly label all charges for International Communications in § 64.6010(</w:t>
      </w:r>
      <w:r w:rsidR="00155D75">
        <w:rPr>
          <w:kern w:val="0"/>
        </w:rPr>
        <w:t>e</w:t>
      </w:r>
      <w:r w:rsidRPr="00FE39FC">
        <w:rPr>
          <w:kern w:val="0"/>
        </w:rPr>
        <w:t>)</w:t>
      </w:r>
      <w:r>
        <w:rPr>
          <w:kern w:val="0"/>
        </w:rPr>
        <w:t xml:space="preserve"> of this chapter</w:t>
      </w:r>
      <w:r w:rsidRPr="00FE39FC">
        <w:rPr>
          <w:kern w:val="0"/>
        </w:rPr>
        <w:t xml:space="preserve"> as a separate line item on Consumer Billing Statements and Statements of Account.  To be clearly labeled, </w:t>
      </w:r>
      <w:r>
        <w:rPr>
          <w:kern w:val="0"/>
        </w:rPr>
        <w:t>P</w:t>
      </w:r>
      <w:r w:rsidRPr="00FE39FC">
        <w:rPr>
          <w:kern w:val="0"/>
        </w:rPr>
        <w:t>roviders must identify the amount charged to the Consumer for the International C</w:t>
      </w:r>
      <w:r>
        <w:rPr>
          <w:kern w:val="0"/>
        </w:rPr>
        <w:t>ommunication</w:t>
      </w:r>
      <w:r w:rsidRPr="00FE39FC">
        <w:rPr>
          <w:kern w:val="0"/>
        </w:rPr>
        <w:t>, including the costs paid by the provider to its underlying international providers to terminate the International C</w:t>
      </w:r>
      <w:r>
        <w:rPr>
          <w:kern w:val="0"/>
        </w:rPr>
        <w:t>ommunication</w:t>
      </w:r>
      <w:r w:rsidRPr="00FE39FC">
        <w:rPr>
          <w:kern w:val="0"/>
        </w:rPr>
        <w:t xml:space="preserve"> to the International Destination of the call.</w:t>
      </w:r>
    </w:p>
    <w:p w:rsidR="00330D69" w:rsidRPr="00FE39FC" w:rsidP="00330D69" w14:paraId="3CF20333" w14:textId="77777777">
      <w:pPr>
        <w:spacing w:after="120"/>
        <w:ind w:left="720" w:hanging="360"/>
        <w:rPr>
          <w:i/>
        </w:rPr>
      </w:pPr>
      <w:r w:rsidRPr="00FE39FC">
        <w:t>(d) Providers shall make disclosures pursuant to this section available:</w:t>
      </w:r>
    </w:p>
    <w:p w:rsidR="00330D69" w:rsidRPr="00FE39FC" w:rsidP="00330D69" w14:paraId="2B717E71" w14:textId="77777777">
      <w:pPr>
        <w:widowControl/>
        <w:spacing w:after="120"/>
        <w:ind w:left="1080" w:hanging="360"/>
        <w:rPr>
          <w:rFonts w:eastAsia="Calibri"/>
          <w:kern w:val="2"/>
        </w:rPr>
      </w:pPr>
      <w:r w:rsidRPr="00FE39FC">
        <w:t>(1</w:t>
      </w:r>
      <w:r w:rsidRPr="00FE39FC">
        <w:rPr>
          <w:rFonts w:eastAsia="Calibri"/>
          <w:kern w:val="2"/>
        </w:rPr>
        <w:t xml:space="preserve">) </w:t>
      </w:r>
      <w:r w:rsidRPr="00FE39FC">
        <w:rPr>
          <w:rFonts w:eastAsia="Calibri"/>
        </w:rPr>
        <w:t xml:space="preserve">Via the Provider’s website in a form generally accessible to the public without needing to have an IPCS Account with the Provider; </w:t>
      </w:r>
    </w:p>
    <w:p w:rsidR="00330D69" w:rsidRPr="0035180E" w:rsidP="00330D69" w14:paraId="3C0C7065" w14:textId="77777777">
      <w:pPr>
        <w:widowControl/>
        <w:spacing w:after="120"/>
        <w:ind w:left="1080" w:hanging="360"/>
        <w:rPr>
          <w:rFonts w:ascii="Aptos" w:eastAsia="Calibri" w:hAnsi="Aptos"/>
          <w:snapToGrid/>
          <w:kern w:val="2"/>
          <w:szCs w:val="22"/>
        </w:rPr>
      </w:pPr>
      <w:r w:rsidRPr="00FE39FC">
        <w:rPr>
          <w:rFonts w:eastAsia="Calibri"/>
          <w:kern w:val="2"/>
        </w:rPr>
        <w:t>(2) Via the Provider’s online or mobile application, if Consumers use that application to create an IPCS Account with the Provider; and</w:t>
      </w:r>
    </w:p>
    <w:p w:rsidR="00330D69" w:rsidRPr="0035180E" w:rsidP="00330D69" w14:paraId="4440A723" w14:textId="77777777">
      <w:pPr>
        <w:widowControl/>
        <w:spacing w:after="120"/>
        <w:ind w:left="1080" w:hanging="360"/>
        <w:rPr>
          <w:rFonts w:ascii="Aptos" w:eastAsia="Calibri" w:hAnsi="Aptos"/>
          <w:snapToGrid/>
          <w:kern w:val="2"/>
          <w:szCs w:val="22"/>
        </w:rPr>
      </w:pPr>
      <w:r w:rsidRPr="00FE39FC">
        <w:rPr>
          <w:rFonts w:eastAsia="Calibri"/>
          <w:kern w:val="2"/>
        </w:rPr>
        <w:t xml:space="preserve">(3) On paper, upon request of the Consumer. </w:t>
      </w:r>
    </w:p>
    <w:p w:rsidR="00330D69" w:rsidRPr="00FE39FC" w:rsidP="00330D69" w14:paraId="7F58B863" w14:textId="77777777">
      <w:pPr>
        <w:spacing w:after="120"/>
        <w:ind w:left="720" w:hanging="360"/>
        <w:rPr>
          <w:i/>
        </w:rPr>
      </w:pPr>
      <w:r w:rsidRPr="00FE39FC">
        <w:t xml:space="preserve">(e) </w:t>
      </w:r>
      <w:r w:rsidRPr="000B3B3B">
        <w:t>Billing Statements and Statements of Account</w:t>
      </w:r>
    </w:p>
    <w:p w:rsidR="00330D69" w:rsidRPr="0035180E" w:rsidP="00330D69" w14:paraId="09A6A388" w14:textId="77777777">
      <w:pPr>
        <w:widowControl/>
        <w:spacing w:after="120"/>
        <w:ind w:left="1080" w:hanging="360"/>
        <w:rPr>
          <w:rFonts w:ascii="Aptos" w:eastAsia="Calibri" w:hAnsi="Aptos"/>
          <w:snapToGrid/>
          <w:kern w:val="2"/>
          <w:szCs w:val="22"/>
        </w:rPr>
      </w:pPr>
      <w:r w:rsidRPr="00FE39FC">
        <w:rPr>
          <w:rFonts w:eastAsia="Calibri"/>
          <w:kern w:val="2"/>
        </w:rPr>
        <w:t xml:space="preserve">(1) Providers must make available </w:t>
      </w:r>
      <w:r w:rsidRPr="00FE39FC">
        <w:rPr>
          <w:rFonts w:eastAsia="Calibri"/>
        </w:rPr>
        <w:t>B</w:t>
      </w:r>
      <w:r w:rsidRPr="00FE39FC">
        <w:rPr>
          <w:rFonts w:eastAsia="Calibri"/>
          <w:kern w:val="2"/>
        </w:rPr>
        <w:t xml:space="preserve">illing </w:t>
      </w:r>
      <w:r w:rsidRPr="00FE39FC">
        <w:rPr>
          <w:rFonts w:eastAsia="Calibri"/>
        </w:rPr>
        <w:t>S</w:t>
      </w:r>
      <w:r w:rsidRPr="00FE39FC">
        <w:rPr>
          <w:rFonts w:eastAsia="Calibri"/>
          <w:kern w:val="2"/>
        </w:rPr>
        <w:t xml:space="preserve">tatements and </w:t>
      </w:r>
      <w:r w:rsidRPr="00FE39FC">
        <w:rPr>
          <w:rFonts w:eastAsia="Calibri"/>
        </w:rPr>
        <w:t>S</w:t>
      </w:r>
      <w:r w:rsidRPr="00FE39FC">
        <w:rPr>
          <w:rFonts w:eastAsia="Calibri"/>
          <w:kern w:val="2"/>
        </w:rPr>
        <w:t xml:space="preserve">tatements of </w:t>
      </w:r>
      <w:r w:rsidRPr="00FE39FC">
        <w:rPr>
          <w:rFonts w:eastAsia="Calibri"/>
        </w:rPr>
        <w:t>A</w:t>
      </w:r>
      <w:r w:rsidRPr="00FE39FC">
        <w:rPr>
          <w:rFonts w:eastAsia="Calibri"/>
          <w:kern w:val="2"/>
        </w:rPr>
        <w:t>ccount to all IPCS Account holders on a monthly basis via</w:t>
      </w:r>
      <w:r w:rsidRPr="00FE39FC">
        <w:rPr>
          <w:rFonts w:eastAsia="Calibri"/>
        </w:rPr>
        <w:t>:</w:t>
      </w:r>
    </w:p>
    <w:p w:rsidR="00330D69" w:rsidRPr="00FE39FC" w:rsidP="00330D69" w14:paraId="58DC4BBB" w14:textId="77777777">
      <w:pPr>
        <w:spacing w:after="120"/>
        <w:ind w:left="1440"/>
        <w:rPr>
          <w:rFonts w:eastAsia="Calibri"/>
          <w:kern w:val="0"/>
        </w:rPr>
      </w:pPr>
      <w:r w:rsidRPr="00FE39FC">
        <w:rPr>
          <w:rFonts w:eastAsia="Calibri"/>
          <w:kern w:val="0"/>
        </w:rPr>
        <w:t xml:space="preserve">(i) The Provider’s website; </w:t>
      </w:r>
    </w:p>
    <w:p w:rsidR="00330D69" w:rsidRPr="00FE39FC" w:rsidP="00330D69" w14:paraId="16522F09" w14:textId="77777777">
      <w:pPr>
        <w:spacing w:after="120"/>
        <w:ind w:left="1440"/>
        <w:rPr>
          <w:rFonts w:eastAsia="Calibri"/>
          <w:kern w:val="0"/>
        </w:rPr>
      </w:pPr>
      <w:r w:rsidRPr="00FE39FC">
        <w:rPr>
          <w:rFonts w:eastAsia="Calibri"/>
          <w:kern w:val="0"/>
        </w:rPr>
        <w:t>(ii) The Provider’s online or mobile application; or</w:t>
      </w:r>
    </w:p>
    <w:p w:rsidR="00330D69" w:rsidRPr="00FE39FC" w:rsidP="00330D69" w14:paraId="69E32789" w14:textId="77777777">
      <w:pPr>
        <w:spacing w:after="120"/>
        <w:ind w:left="1440"/>
        <w:rPr>
          <w:rFonts w:eastAsia="Calibri"/>
          <w:kern w:val="0"/>
        </w:rPr>
      </w:pPr>
      <w:r w:rsidRPr="00FE39FC">
        <w:rPr>
          <w:rFonts w:eastAsia="Calibri"/>
          <w:kern w:val="0"/>
        </w:rPr>
        <w:t>(iii) On paper, upon request of the Consumer.</w:t>
      </w:r>
    </w:p>
    <w:p w:rsidR="00330D69" w:rsidRPr="0035180E" w:rsidP="00330D69" w14:paraId="4A70A69C" w14:textId="77777777">
      <w:pPr>
        <w:widowControl/>
        <w:spacing w:after="120"/>
        <w:ind w:left="1080" w:hanging="360"/>
        <w:rPr>
          <w:rFonts w:ascii="Aptos" w:eastAsia="Calibri" w:hAnsi="Aptos"/>
          <w:snapToGrid/>
          <w:kern w:val="2"/>
          <w:szCs w:val="22"/>
        </w:rPr>
      </w:pPr>
      <w:r w:rsidRPr="00FE39FC">
        <w:rPr>
          <w:rFonts w:eastAsia="Calibri"/>
          <w:kern w:val="2"/>
        </w:rPr>
        <w:t xml:space="preserve">(2) Billing Statements and </w:t>
      </w:r>
      <w:r w:rsidRPr="00FE39FC">
        <w:rPr>
          <w:rFonts w:eastAsia="Calibri"/>
        </w:rPr>
        <w:t>S</w:t>
      </w:r>
      <w:r w:rsidRPr="00FE39FC">
        <w:rPr>
          <w:rFonts w:eastAsia="Calibri"/>
          <w:kern w:val="2"/>
        </w:rPr>
        <w:t xml:space="preserve">tatements of </w:t>
      </w:r>
      <w:r w:rsidRPr="00FE39FC">
        <w:rPr>
          <w:rFonts w:eastAsia="Calibri"/>
        </w:rPr>
        <w:t>A</w:t>
      </w:r>
      <w:r w:rsidRPr="00FE39FC">
        <w:rPr>
          <w:rFonts w:eastAsia="Calibri"/>
          <w:kern w:val="2"/>
        </w:rPr>
        <w:t xml:space="preserve">ccount </w:t>
      </w:r>
      <w:r w:rsidRPr="00FE39FC">
        <w:rPr>
          <w:rFonts w:eastAsia="Calibri"/>
        </w:rPr>
        <w:t xml:space="preserve">shall include: </w:t>
      </w:r>
    </w:p>
    <w:p w:rsidR="00330D69" w:rsidRPr="00FE39FC" w:rsidP="00330D69" w14:paraId="5EB48177" w14:textId="77777777">
      <w:pPr>
        <w:spacing w:after="120"/>
        <w:ind w:left="1800" w:hanging="360"/>
        <w:rPr>
          <w:rFonts w:eastAsia="Calibri"/>
          <w:kern w:val="0"/>
        </w:rPr>
      </w:pPr>
      <w:r w:rsidRPr="00FE39FC">
        <w:rPr>
          <w:rFonts w:eastAsia="Calibri"/>
          <w:kern w:val="0"/>
        </w:rPr>
        <w:t xml:space="preserve">(i) The amount of any deposits to the account; </w:t>
      </w:r>
    </w:p>
    <w:p w:rsidR="00330D69" w:rsidRPr="00FE39FC" w:rsidP="00330D69" w14:paraId="4DD7A76B" w14:textId="77777777">
      <w:pPr>
        <w:spacing w:after="120"/>
        <w:ind w:left="1800" w:hanging="360"/>
        <w:rPr>
          <w:rFonts w:eastAsia="Calibri"/>
          <w:kern w:val="0"/>
        </w:rPr>
      </w:pPr>
      <w:r w:rsidRPr="00FE39FC">
        <w:rPr>
          <w:rFonts w:eastAsia="Calibri"/>
          <w:kern w:val="0"/>
        </w:rPr>
        <w:t>(ii) The duration of any calls and communications for which a charge is assessed; and</w:t>
      </w:r>
    </w:p>
    <w:p w:rsidR="00330D69" w:rsidRPr="00FE39FC" w:rsidP="00330D69" w14:paraId="653E9101" w14:textId="77777777">
      <w:pPr>
        <w:spacing w:after="120"/>
        <w:ind w:left="1800" w:hanging="360"/>
        <w:rPr>
          <w:rFonts w:eastAsia="Calibri"/>
          <w:kern w:val="0"/>
        </w:rPr>
      </w:pPr>
      <w:r w:rsidRPr="00FE39FC">
        <w:rPr>
          <w:rFonts w:eastAsia="Calibri"/>
          <w:kern w:val="0"/>
        </w:rPr>
        <w:t xml:space="preserve">(iii) The balance remaining in the IPCS Account after the deduction of those charges. </w:t>
      </w:r>
    </w:p>
    <w:p w:rsidR="00330D69" w:rsidRPr="00FE39FC" w:rsidP="00330D69" w14:paraId="2C4DCB1A" w14:textId="19E4223B">
      <w:pPr>
        <w:spacing w:after="120"/>
        <w:ind w:left="720" w:hanging="360"/>
        <w:rPr>
          <w:i/>
        </w:rPr>
      </w:pPr>
      <w:r w:rsidRPr="00FE39FC">
        <w:t xml:space="preserve">(f) All disclosures made pursuant to this section, </w:t>
      </w:r>
      <w:r>
        <w:t xml:space="preserve">and </w:t>
      </w:r>
      <w:r w:rsidRPr="00FE39FC">
        <w:t>§§ 64.6130 and 64.6140 shall be clear, accurate, and conspicuous, and shall be available in accessible formats for people with disabilities.</w:t>
      </w:r>
    </w:p>
    <w:p w:rsidR="00330D69" w:rsidRPr="00FE39FC" w:rsidP="00330D69" w14:paraId="3F7561F6" w14:textId="652FACD5">
      <w:pPr>
        <w:spacing w:after="120"/>
        <w:ind w:left="720" w:hanging="360"/>
        <w:rPr>
          <w:i/>
        </w:rPr>
      </w:pPr>
      <w:r w:rsidRPr="00FE39FC">
        <w:t xml:space="preserve">(g) </w:t>
      </w:r>
      <w:r w:rsidRPr="00FE39FC">
        <w:rPr>
          <w:rFonts w:eastAsia="Calibri"/>
          <w:kern w:val="0"/>
        </w:rPr>
        <w:t xml:space="preserve">Paragraph (b) of this section shall cease to be effective upon the </w:t>
      </w:r>
      <w:r>
        <w:rPr>
          <w:rFonts w:eastAsia="Calibri"/>
          <w:kern w:val="0"/>
        </w:rPr>
        <w:t>individual compliance dates prescribed in</w:t>
      </w:r>
      <w:r w:rsidRPr="00FE39FC">
        <w:rPr>
          <w:rFonts w:eastAsia="Calibri"/>
          <w:kern w:val="0"/>
        </w:rPr>
        <w:t xml:space="preserve"> the revisions to </w:t>
      </w:r>
      <w:r w:rsidRPr="00FE39FC">
        <w:t>§ 64.6010 and the addition of § 64.6015.</w:t>
      </w:r>
    </w:p>
    <w:p w:rsidR="00A40EBB" w:rsidP="009D0E31" w14:paraId="4B960437" w14:textId="77777777">
      <w:pPr>
        <w:ind w:right="371"/>
      </w:pPr>
    </w:p>
    <w:p w:rsidR="000D68AA" w:rsidP="000D68AA" w14:paraId="2EEC8BDB" w14:textId="77777777">
      <w:pPr>
        <w:widowControl/>
        <w:spacing w:after="234"/>
        <w:ind w:right="374"/>
        <w:rPr>
          <w:b/>
          <w:bCs/>
          <w:u w:val="single"/>
        </w:rPr>
      </w:pPr>
    </w:p>
    <w:p w:rsidR="00A40EBB" w:rsidP="000D68AA" w14:paraId="552C7D48" w14:textId="11A62BD7">
      <w:pPr>
        <w:widowControl/>
        <w:spacing w:after="234"/>
        <w:ind w:right="374"/>
        <w:rPr>
          <w:b/>
          <w:bCs/>
        </w:rPr>
      </w:pPr>
      <w:r w:rsidRPr="00A40EBB">
        <w:rPr>
          <w:b/>
          <w:bCs/>
          <w:u w:val="single"/>
        </w:rPr>
        <w:t>Waiver Process Reporting Requirements</w:t>
      </w:r>
      <w:r w:rsidRPr="003C6716">
        <w:rPr>
          <w:u w:val="single"/>
        </w:rPr>
        <w:t xml:space="preserve"> </w:t>
      </w:r>
      <w:r w:rsidR="009951B3">
        <w:rPr>
          <w:u w:val="single"/>
        </w:rPr>
        <w:t>(</w:t>
      </w:r>
      <w:r w:rsidRPr="005435E8" w:rsidR="005435E8">
        <w:rPr>
          <w:b/>
          <w:bCs/>
          <w:u w:val="single"/>
        </w:rPr>
        <w:t xml:space="preserve">§ </w:t>
      </w:r>
      <w:r w:rsidRPr="003C6716">
        <w:rPr>
          <w:b/>
          <w:bCs/>
          <w:u w:val="single"/>
        </w:rPr>
        <w:t>64.6120)</w:t>
      </w:r>
    </w:p>
    <w:p w:rsidR="00DB38D5" w:rsidP="00E1221B" w14:paraId="4B31AE43" w14:textId="4ABEEA68">
      <w:pPr>
        <w:spacing w:after="234"/>
        <w:ind w:left="-1" w:right="381" w:firstLine="720"/>
      </w:pPr>
      <w:r w:rsidRPr="006B4FF0">
        <w:rPr>
          <w:b/>
          <w:bCs/>
          <w:i/>
          <w:iCs/>
        </w:rPr>
        <w:t>Background</w:t>
      </w:r>
      <w:r>
        <w:t xml:space="preserve">.  </w:t>
      </w:r>
      <w:r w:rsidR="00A40EBB">
        <w:t xml:space="preserve">In the </w:t>
      </w:r>
      <w:r w:rsidRPr="00F12126" w:rsidR="00A40EBB">
        <w:rPr>
          <w:i/>
          <w:iCs/>
        </w:rPr>
        <w:t>2024 IPCS Order</w:t>
      </w:r>
      <w:r w:rsidR="00A40EBB">
        <w:t xml:space="preserve">, the Commission adopted the waiver process previously adopted by the Commission in the </w:t>
      </w:r>
      <w:r w:rsidR="00A40EBB">
        <w:rPr>
          <w:i/>
        </w:rPr>
        <w:t>2021 ICS Order</w:t>
      </w:r>
      <w:r w:rsidR="00125638">
        <w:rPr>
          <w:iCs/>
        </w:rPr>
        <w:t>, but with modifications</w:t>
      </w:r>
      <w:r w:rsidR="00A40EBB">
        <w:t>.</w:t>
      </w:r>
      <w:r>
        <w:rPr>
          <w:rStyle w:val="FootnoteReference"/>
        </w:rPr>
        <w:footnoteReference w:id="34"/>
      </w:r>
      <w:r w:rsidR="00E1221B">
        <w:t xml:space="preserve"> </w:t>
      </w:r>
      <w:r w:rsidR="008D73B3">
        <w:t xml:space="preserve"> </w:t>
      </w:r>
      <w:r w:rsidRPr="00D618CC" w:rsidR="00E1221B">
        <w:t xml:space="preserve">The modifications reflect </w:t>
      </w:r>
      <w:r w:rsidR="00E1221B">
        <w:t>the Commission’s</w:t>
      </w:r>
      <w:r w:rsidRPr="00D618CC" w:rsidR="00E1221B">
        <w:t xml:space="preserve"> </w:t>
      </w:r>
      <w:r w:rsidR="00055D97">
        <w:t>expanded</w:t>
      </w:r>
      <w:r w:rsidRPr="00D618CC" w:rsidR="00055D97">
        <w:t xml:space="preserve"> </w:t>
      </w:r>
      <w:r w:rsidR="003B43F3">
        <w:t>authority</w:t>
      </w:r>
      <w:r w:rsidRPr="00D618CC" w:rsidR="003B43F3">
        <w:t xml:space="preserve"> </w:t>
      </w:r>
      <w:r w:rsidRPr="00D618CC" w:rsidR="00E1221B">
        <w:t xml:space="preserve">under the Martha Wright-Reed Act to </w:t>
      </w:r>
      <w:r w:rsidR="008E2985">
        <w:t xml:space="preserve">regulate rates and charges for </w:t>
      </w:r>
      <w:r w:rsidRPr="00D618CC" w:rsidR="00E1221B">
        <w:t xml:space="preserve">intrastate </w:t>
      </w:r>
      <w:r w:rsidR="008E2985">
        <w:t xml:space="preserve">IPCS </w:t>
      </w:r>
      <w:r w:rsidRPr="00D618CC" w:rsidR="00E1221B">
        <w:t>and various advanced communications services, including video services and providers that offer them</w:t>
      </w:r>
      <w:r w:rsidR="00E1221B">
        <w:t xml:space="preserve">, in addition to the interstate and international services that previously </w:t>
      </w:r>
      <w:r w:rsidR="008D7683">
        <w:t xml:space="preserve">were </w:t>
      </w:r>
      <w:r w:rsidR="009017D2">
        <w:t>covered by</w:t>
      </w:r>
      <w:r w:rsidR="0093723D">
        <w:t xml:space="preserve"> </w:t>
      </w:r>
      <w:r w:rsidR="00957D5E">
        <w:t xml:space="preserve">the Commission’s </w:t>
      </w:r>
      <w:r w:rsidR="00E1221B">
        <w:t>IPCS rules</w:t>
      </w:r>
      <w:r w:rsidRPr="00D618CC" w:rsidR="00E1221B">
        <w:t>.</w:t>
      </w:r>
      <w:r>
        <w:rPr>
          <w:rStyle w:val="FootnoteReference"/>
        </w:rPr>
        <w:footnoteReference w:id="35"/>
      </w:r>
      <w:r w:rsidR="00C93BAC">
        <w:t xml:space="preserve"> </w:t>
      </w:r>
      <w:r w:rsidR="008D73B3">
        <w:t xml:space="preserve"> </w:t>
      </w:r>
      <w:r w:rsidR="00974432">
        <w:t>The Commission stated that</w:t>
      </w:r>
      <w:r w:rsidR="00C53104">
        <w:t xml:space="preserve"> the</w:t>
      </w:r>
      <w:r w:rsidRPr="00974432" w:rsidR="00974432">
        <w:t xml:space="preserve"> </w:t>
      </w:r>
      <w:r w:rsidR="00421409">
        <w:t xml:space="preserve">revised </w:t>
      </w:r>
      <w:r w:rsidRPr="00974432" w:rsidR="00974432">
        <w:t xml:space="preserve">waiver process </w:t>
      </w:r>
      <w:r w:rsidR="00C53104">
        <w:t>“</w:t>
      </w:r>
      <w:r w:rsidR="009366D8">
        <w:t>[</w:t>
      </w:r>
      <w:r w:rsidRPr="00974432" w:rsidR="00974432">
        <w:t>w</w:t>
      </w:r>
      <w:r w:rsidR="009366D8">
        <w:t>]</w:t>
      </w:r>
      <w:r w:rsidRPr="00974432" w:rsidR="00974432">
        <w:t xml:space="preserve">ill ensure that </w:t>
      </w:r>
      <w:r w:rsidR="00C53104">
        <w:t xml:space="preserve">IPCS </w:t>
      </w:r>
      <w:r w:rsidRPr="00974432" w:rsidR="00974432">
        <w:t>providers that may face unusually high costs to serve a particular facility or set of facilities covered by a contract will have the opportunity to demonstrate that those costs are, indeed, used and useful costs in their provision of IPCS and are therefore recoverable.</w:t>
      </w:r>
      <w:r w:rsidR="00C53104">
        <w:t>”</w:t>
      </w:r>
      <w:r>
        <w:rPr>
          <w:rStyle w:val="FootnoteReference"/>
        </w:rPr>
        <w:footnoteReference w:id="36"/>
      </w:r>
      <w:r w:rsidR="00E87E82">
        <w:t xml:space="preserve">  </w:t>
      </w:r>
    </w:p>
    <w:p w:rsidR="00A40EBB" w:rsidP="00E1221B" w14:paraId="26CF220D" w14:textId="51817E3F">
      <w:pPr>
        <w:spacing w:after="234"/>
        <w:ind w:left="-1" w:right="381" w:firstLine="720"/>
      </w:pPr>
      <w:r>
        <w:t xml:space="preserve">Among other changes, </w:t>
      </w:r>
      <w:r w:rsidR="00B91224">
        <w:t xml:space="preserve">the Commission </w:t>
      </w:r>
      <w:r w:rsidR="004A40CF">
        <w:t xml:space="preserve">required an IPCS provider </w:t>
      </w:r>
      <w:r w:rsidRPr="0073031F" w:rsidR="00B91224">
        <w:t xml:space="preserve">filing a petition for waiver </w:t>
      </w:r>
      <w:r w:rsidR="004A40CF">
        <w:t xml:space="preserve">to </w:t>
      </w:r>
      <w:r w:rsidRPr="0073031F" w:rsidR="00B91224">
        <w:t xml:space="preserve">clearly demonstrate that </w:t>
      </w:r>
      <w:r w:rsidRPr="00BA4337" w:rsidR="00B91224">
        <w:t>good cause</w:t>
      </w:r>
      <w:r w:rsidRPr="0073031F" w:rsidR="00B91224">
        <w:t xml:space="preserve"> exists for waiving </w:t>
      </w:r>
      <w:r w:rsidR="004A40CF">
        <w:t>the Commission’s</w:t>
      </w:r>
      <w:r w:rsidRPr="0073031F" w:rsidR="00B91224">
        <w:t xml:space="preserve"> rate caps </w:t>
      </w:r>
      <w:r w:rsidR="00B91224">
        <w:t xml:space="preserve">or other rules </w:t>
      </w:r>
      <w:r w:rsidRPr="0073031F" w:rsidR="00B91224">
        <w:t>at a given facility or group of facilities, or under a particular contract, and that strict compliance with these caps would be inconsistent with the public interest</w:t>
      </w:r>
      <w:r w:rsidRPr="005F4F7E" w:rsidR="005F4F7E">
        <w:t xml:space="preserve">, as set forth </w:t>
      </w:r>
      <w:r w:rsidR="00054428">
        <w:t>in the rules</w:t>
      </w:r>
      <w:r w:rsidRPr="0073031F" w:rsidR="00B91224">
        <w:t>.</w:t>
      </w:r>
      <w:r>
        <w:rPr>
          <w:rStyle w:val="FootnoteReference"/>
          <w:szCs w:val="22"/>
        </w:rPr>
        <w:footnoteReference w:id="37"/>
      </w:r>
      <w:r w:rsidRPr="0073031F" w:rsidR="00B91224">
        <w:t xml:space="preserve"> </w:t>
      </w:r>
    </w:p>
    <w:p w:rsidR="006B4FF0" w:rsidP="006B4FF0" w14:paraId="6A162660" w14:textId="08B941AE">
      <w:pPr>
        <w:spacing w:after="234"/>
        <w:ind w:right="381"/>
      </w:pPr>
      <w:r w:rsidRPr="009C2AB5">
        <w:rPr>
          <w:b/>
          <w:bCs/>
          <w:u w:val="single"/>
        </w:rPr>
        <w:t>Section 64.6120</w:t>
      </w:r>
      <w:r w:rsidR="00914202">
        <w:rPr>
          <w:b/>
          <w:bCs/>
          <w:u w:val="single"/>
        </w:rPr>
        <w:t>:</w:t>
      </w:r>
    </w:p>
    <w:p w:rsidR="009C2AB5" w:rsidRPr="00FE39FC" w:rsidP="009C2AB5" w14:paraId="60D1DB8A" w14:textId="77777777">
      <w:pPr>
        <w:spacing w:after="120"/>
        <w:ind w:left="720" w:hanging="360"/>
        <w:rPr>
          <w:i/>
        </w:rPr>
      </w:pPr>
      <w:r w:rsidRPr="00FE39FC">
        <w:t xml:space="preserve">(a) A Provider may seek a waiver of the rate caps established in § 64.6010 </w:t>
      </w:r>
      <w:r>
        <w:t xml:space="preserve">of this chapter </w:t>
      </w:r>
      <w:r w:rsidRPr="00FE39FC">
        <w:t xml:space="preserve">on a Correctional Facility or contract basis if the applicable rate caps prevent the Provider from recovering the costs of providing Incarcerated People’s Communications Services at a Correctional Facility or at the Correctional Facilities covered by a contract.  </w:t>
      </w:r>
    </w:p>
    <w:p w:rsidR="009C2AB5" w:rsidRPr="00FE39FC" w:rsidP="009C2AB5" w14:paraId="6DE02595" w14:textId="77777777">
      <w:pPr>
        <w:spacing w:after="120"/>
        <w:ind w:left="720" w:hanging="360"/>
        <w:rPr>
          <w:i/>
        </w:rPr>
      </w:pPr>
      <w:r w:rsidRPr="00FE39FC">
        <w:t>(b) At a minimum, a Provider seeking such a waiver must submit:</w:t>
      </w:r>
    </w:p>
    <w:p w:rsidR="009C2AB5" w:rsidRPr="0035180E" w:rsidP="009C2AB5" w14:paraId="4B0EA6E9" w14:textId="77777777">
      <w:pPr>
        <w:widowControl/>
        <w:spacing w:after="120"/>
        <w:ind w:left="1080" w:hanging="360"/>
        <w:rPr>
          <w:rFonts w:ascii="Aptos" w:eastAsia="Calibri" w:hAnsi="Aptos"/>
          <w:snapToGrid/>
          <w:kern w:val="2"/>
          <w:szCs w:val="22"/>
        </w:rPr>
      </w:pPr>
      <w:r w:rsidRPr="00FE39FC">
        <w:rPr>
          <w:rFonts w:eastAsia="Calibri"/>
          <w:kern w:val="2"/>
        </w:rPr>
        <w:t xml:space="preserve">(1) The Provider’s total company costs, including the nonrecurring costs of the assets it uses to provide </w:t>
      </w:r>
      <w:r w:rsidRPr="00FE39FC">
        <w:rPr>
          <w:rFonts w:eastAsia="Calibri"/>
        </w:rPr>
        <w:t>Incarcerated People’s Communications Services, and its recurring operating expenses for these services at the Correctional Facility or under the contract;</w:t>
      </w:r>
    </w:p>
    <w:p w:rsidR="009C2AB5" w:rsidRPr="0035180E" w:rsidP="009C2AB5" w14:paraId="0C261423" w14:textId="77777777">
      <w:pPr>
        <w:widowControl/>
        <w:spacing w:after="120"/>
        <w:ind w:left="1080" w:hanging="360"/>
        <w:rPr>
          <w:rFonts w:ascii="Aptos" w:eastAsia="Calibri" w:hAnsi="Aptos"/>
          <w:snapToGrid/>
          <w:kern w:val="2"/>
          <w:szCs w:val="22"/>
        </w:rPr>
      </w:pPr>
      <w:r w:rsidRPr="00FE39FC">
        <w:rPr>
          <w:rFonts w:eastAsia="Calibri"/>
          <w:kern w:val="2"/>
        </w:rPr>
        <w:t xml:space="preserve">(2) The methods the </w:t>
      </w:r>
      <w:r>
        <w:rPr>
          <w:rFonts w:eastAsia="Calibri"/>
          <w:kern w:val="2"/>
        </w:rPr>
        <w:t>P</w:t>
      </w:r>
      <w:r w:rsidRPr="00FE39FC">
        <w:rPr>
          <w:rFonts w:eastAsia="Calibri"/>
          <w:kern w:val="2"/>
        </w:rPr>
        <w:t xml:space="preserve">rovider used to identify its direct costs of providing </w:t>
      </w:r>
      <w:r w:rsidRPr="00FE39FC">
        <w:rPr>
          <w:rFonts w:eastAsia="Calibri"/>
        </w:rPr>
        <w:t xml:space="preserve">Incarcerated People’s Communications Services, to allocate its indirect costs between its Incarcerated People’s Communications Services and other operations, and to assign its direct costs to and allocate its indirect costs among its Incarcerated People’s Communications Services contracts and Correctional Facilities; </w:t>
      </w:r>
    </w:p>
    <w:p w:rsidR="009C2AB5" w:rsidP="009C2AB5" w14:paraId="2BDF2DE0" w14:textId="77777777">
      <w:pPr>
        <w:widowControl/>
        <w:spacing w:after="120"/>
        <w:ind w:left="1080" w:hanging="360"/>
        <w:rPr>
          <w:rFonts w:eastAsia="Calibri"/>
        </w:rPr>
      </w:pPr>
      <w:r w:rsidRPr="00FE39FC">
        <w:rPr>
          <w:rFonts w:eastAsia="Calibri"/>
          <w:kern w:val="2"/>
        </w:rPr>
        <w:t xml:space="preserve">(3) The Provider’s demand for </w:t>
      </w:r>
      <w:r w:rsidRPr="00FE39FC">
        <w:rPr>
          <w:rFonts w:eastAsia="Calibri"/>
        </w:rPr>
        <w:t>Incarcerated People’s Communications Services at the Correctional Facility or at each Correctional Facility covered by the contract;</w:t>
      </w:r>
    </w:p>
    <w:p w:rsidR="00C15109" w:rsidRPr="0035180E" w:rsidP="00C15109" w14:paraId="7BF09941" w14:textId="77777777">
      <w:pPr>
        <w:widowControl/>
        <w:spacing w:after="120"/>
        <w:ind w:left="1080" w:hanging="360"/>
        <w:rPr>
          <w:rFonts w:ascii="Aptos" w:eastAsia="Calibri" w:hAnsi="Aptos"/>
          <w:snapToGrid/>
          <w:kern w:val="2"/>
          <w:szCs w:val="22"/>
        </w:rPr>
      </w:pPr>
      <w:r w:rsidRPr="00FE39FC">
        <w:rPr>
          <w:rFonts w:eastAsia="Calibri"/>
          <w:kern w:val="2"/>
        </w:rPr>
        <w:t>(4) The revenue or other compensation the Provider receives from the provision</w:t>
      </w:r>
      <w:r w:rsidRPr="00FE39FC">
        <w:rPr>
          <w:rFonts w:eastAsia="Calibri"/>
        </w:rPr>
        <w:t xml:space="preserve"> of </w:t>
      </w:r>
      <w:r w:rsidRPr="00FE39FC">
        <w:rPr>
          <w:rFonts w:eastAsia="Calibri"/>
          <w:kern w:val="2"/>
        </w:rPr>
        <w:t>Incarcerated People’s Communications Services</w:t>
      </w:r>
      <w:r w:rsidRPr="00FE39FC">
        <w:rPr>
          <w:rFonts w:eastAsia="Calibri"/>
        </w:rPr>
        <w:t xml:space="preserve"> </w:t>
      </w:r>
      <w:r w:rsidRPr="00FE39FC">
        <w:rPr>
          <w:rFonts w:eastAsia="Calibri"/>
          <w:kern w:val="2"/>
        </w:rPr>
        <w:t xml:space="preserve">at the Correctional Facility or at each Correctional Facility covered by the </w:t>
      </w:r>
      <w:r w:rsidRPr="00FE39FC">
        <w:rPr>
          <w:rFonts w:eastAsia="Calibri"/>
        </w:rPr>
        <w:t>contract;</w:t>
      </w:r>
    </w:p>
    <w:p w:rsidR="00C15109" w:rsidRPr="0035180E" w:rsidP="00C15109" w14:paraId="58344148" w14:textId="77777777">
      <w:pPr>
        <w:widowControl/>
        <w:spacing w:after="120"/>
        <w:ind w:left="1080" w:hanging="360"/>
        <w:rPr>
          <w:rFonts w:ascii="Aptos" w:eastAsia="Calibri" w:hAnsi="Aptos"/>
          <w:snapToGrid/>
          <w:kern w:val="2"/>
          <w:szCs w:val="22"/>
        </w:rPr>
      </w:pPr>
      <w:r w:rsidRPr="00FE39FC">
        <w:rPr>
          <w:rFonts w:eastAsia="Calibri"/>
          <w:kern w:val="2"/>
        </w:rPr>
        <w:t xml:space="preserve">(5) A complete and unredacted copy of the contract for the Correctional Facility or Correctional Facilities, and any amendments to such contract; </w:t>
      </w:r>
    </w:p>
    <w:p w:rsidR="00C15109" w:rsidRPr="0035180E" w:rsidP="00C15109" w14:paraId="67B94BEF" w14:textId="77777777">
      <w:pPr>
        <w:widowControl/>
        <w:spacing w:after="120"/>
        <w:ind w:left="1080" w:hanging="360"/>
        <w:rPr>
          <w:rFonts w:ascii="Aptos" w:eastAsia="Calibri" w:hAnsi="Aptos"/>
          <w:snapToGrid/>
          <w:kern w:val="2"/>
          <w:szCs w:val="22"/>
        </w:rPr>
      </w:pPr>
      <w:r w:rsidRPr="00FE39FC">
        <w:rPr>
          <w:rFonts w:eastAsia="Calibri"/>
          <w:kern w:val="2"/>
        </w:rPr>
        <w:t xml:space="preserve">(6) Copies of the initial request for proposals and any amendments thereto, the Provider’s bid in response to that request, and responses to any amendments (or a statement that the Provider no longer has access to those documents because they were executed prior to the effective date of this rule); </w:t>
      </w:r>
    </w:p>
    <w:p w:rsidR="00C15109" w:rsidRPr="0035180E" w:rsidP="00C15109" w14:paraId="4AA2F56D" w14:textId="77777777">
      <w:pPr>
        <w:widowControl/>
        <w:spacing w:after="120"/>
        <w:ind w:left="1080" w:hanging="360"/>
        <w:rPr>
          <w:rFonts w:ascii="Aptos" w:eastAsia="Calibri" w:hAnsi="Aptos"/>
          <w:snapToGrid/>
          <w:kern w:val="2"/>
          <w:szCs w:val="22"/>
        </w:rPr>
      </w:pPr>
      <w:r w:rsidRPr="00FE39FC">
        <w:rPr>
          <w:rFonts w:eastAsia="Calibri"/>
          <w:kern w:val="2"/>
        </w:rPr>
        <w:t xml:space="preserve">(7) A written explanation of how and why the circumstances associated with that Correctional Facility or contract differ from the circumstances at similar Correctional Facilities the Provider serves, and from other Correctional Facilities covered by the same contract, if applicable; and  </w:t>
      </w:r>
    </w:p>
    <w:p w:rsidR="00C15109" w:rsidRPr="0035180E" w:rsidP="00C15109" w14:paraId="68AE3C20" w14:textId="77777777">
      <w:pPr>
        <w:widowControl/>
        <w:spacing w:after="120"/>
        <w:ind w:left="1080" w:hanging="360"/>
        <w:rPr>
          <w:rFonts w:ascii="Aptos" w:eastAsia="Calibri" w:hAnsi="Aptos"/>
          <w:snapToGrid/>
          <w:kern w:val="2"/>
          <w:szCs w:val="22"/>
        </w:rPr>
      </w:pPr>
      <w:r w:rsidRPr="00FE39FC">
        <w:rPr>
          <w:rFonts w:eastAsia="Calibri"/>
          <w:kern w:val="2"/>
        </w:rPr>
        <w:t xml:space="preserve">(8) An attestation from a company officer with knowledge of the underlying information that all of the information the </w:t>
      </w:r>
      <w:r>
        <w:rPr>
          <w:rFonts w:eastAsia="Calibri"/>
          <w:kern w:val="2"/>
        </w:rPr>
        <w:t>P</w:t>
      </w:r>
      <w:r w:rsidRPr="00FE39FC">
        <w:rPr>
          <w:rFonts w:eastAsia="Calibri"/>
          <w:kern w:val="2"/>
        </w:rPr>
        <w:t>rovider submits in support of its waiver request is complete and correct.</w:t>
      </w:r>
    </w:p>
    <w:p w:rsidR="00EB6C65" w:rsidRPr="009E69F6" w:rsidP="00542B21" w14:paraId="4692EAE6" w14:textId="2E1EFF52">
      <w:pPr>
        <w:spacing w:after="120"/>
        <w:ind w:left="720" w:hanging="360"/>
      </w:pPr>
      <w:r w:rsidRPr="00FE39FC">
        <w:t xml:space="preserve">(c) A Provider seeking a waiver pursuant to section 64.6120(a) must provide any additional information requested by the Commission during the course of its review. </w:t>
      </w:r>
    </w:p>
    <w:p w:rsidR="008E345A" w:rsidRPr="006B2693" w:rsidP="00A87FD4" w14:paraId="16D23098" w14:textId="2B770881">
      <w:pPr>
        <w:spacing w:after="161"/>
        <w:ind w:right="388"/>
        <w:rPr>
          <w:b/>
          <w:bCs/>
        </w:rPr>
      </w:pPr>
      <w:r>
        <w:rPr>
          <w:b/>
          <w:bCs/>
          <w:i/>
          <w:iCs/>
          <w:u w:val="single"/>
        </w:rPr>
        <w:t>Previously</w:t>
      </w:r>
      <w:r w:rsidRPr="004B68D5">
        <w:rPr>
          <w:b/>
          <w:bCs/>
          <w:i/>
          <w:iCs/>
          <w:u w:val="single"/>
        </w:rPr>
        <w:t>-Approved</w:t>
      </w:r>
      <w:r w:rsidR="00C84EB1">
        <w:rPr>
          <w:b/>
          <w:bCs/>
          <w:i/>
          <w:iCs/>
          <w:u w:val="single"/>
        </w:rPr>
        <w:t xml:space="preserve"> </w:t>
      </w:r>
      <w:r w:rsidRPr="004B68D5">
        <w:rPr>
          <w:b/>
          <w:bCs/>
          <w:i/>
          <w:iCs/>
          <w:u w:val="single"/>
        </w:rPr>
        <w:t>Requirements</w:t>
      </w:r>
      <w:r w:rsidR="006B2693">
        <w:rPr>
          <w:b/>
          <w:bCs/>
        </w:rPr>
        <w:t>:</w:t>
      </w:r>
    </w:p>
    <w:p w:rsidR="008E345A" w:rsidRPr="00B37E6E" w:rsidP="00914202" w14:paraId="189EE527" w14:textId="753D507E">
      <w:pPr>
        <w:spacing w:after="161"/>
        <w:ind w:right="388"/>
        <w:rPr>
          <w:u w:val="single"/>
        </w:rPr>
      </w:pPr>
      <w:r w:rsidRPr="00B37E6E">
        <w:rPr>
          <w:b/>
          <w:spacing w:val="-3"/>
          <w:szCs w:val="22"/>
          <w:u w:val="single"/>
        </w:rPr>
        <w:t>Communications Access for Incarcerated People with Communication Disabilities (</w:t>
      </w:r>
      <w:r w:rsidRPr="0070504C" w:rsidR="0070504C">
        <w:rPr>
          <w:b/>
          <w:spacing w:val="-3"/>
          <w:szCs w:val="22"/>
          <w:u w:val="single"/>
        </w:rPr>
        <w:t>§</w:t>
      </w:r>
      <w:r w:rsidR="0070504C">
        <w:rPr>
          <w:b/>
          <w:spacing w:val="-3"/>
          <w:szCs w:val="22"/>
          <w:u w:val="single"/>
        </w:rPr>
        <w:t xml:space="preserve"> </w:t>
      </w:r>
      <w:r w:rsidRPr="00B37E6E">
        <w:rPr>
          <w:b/>
          <w:spacing w:val="-3"/>
          <w:szCs w:val="22"/>
          <w:u w:val="single"/>
        </w:rPr>
        <w:t>64.6040(c))</w:t>
      </w:r>
      <w:r w:rsidR="00914202">
        <w:rPr>
          <w:b/>
          <w:spacing w:val="-3"/>
          <w:szCs w:val="22"/>
          <w:u w:val="single"/>
        </w:rPr>
        <w:t>:</w:t>
      </w:r>
    </w:p>
    <w:p w:rsidR="0093783C" w:rsidP="00F41ACD" w14:paraId="5DBE5A01" w14:textId="4707B572">
      <w:pPr>
        <w:spacing w:after="234"/>
        <w:ind w:left="-1" w:right="381" w:firstLine="720"/>
      </w:pPr>
      <w:r w:rsidRPr="00DC3C66">
        <w:rPr>
          <w:b/>
          <w:bCs/>
          <w:i/>
          <w:iCs/>
        </w:rPr>
        <w:t>Background</w:t>
      </w:r>
      <w:r>
        <w:t xml:space="preserve">.  </w:t>
      </w:r>
      <w:r w:rsidR="008E345A">
        <w:t xml:space="preserve">In the </w:t>
      </w:r>
      <w:r w:rsidRPr="00883075" w:rsidR="008E345A">
        <w:rPr>
          <w:i/>
          <w:iCs/>
        </w:rPr>
        <w:t>2022 ICS Order</w:t>
      </w:r>
      <w:r w:rsidR="008E345A">
        <w:t>, the Commission</w:t>
      </w:r>
      <w:r w:rsidRPr="006419FB" w:rsidR="008E345A">
        <w:t xml:space="preserve"> adopted </w:t>
      </w:r>
      <w:r w:rsidR="00C220D6">
        <w:t xml:space="preserve">several </w:t>
      </w:r>
      <w:r w:rsidR="008E345A">
        <w:t xml:space="preserve">requirements </w:t>
      </w:r>
      <w:r w:rsidR="00FD2480">
        <w:t xml:space="preserve">designed to </w:t>
      </w:r>
      <w:r w:rsidRPr="00883075" w:rsidR="008E345A">
        <w:t>improve access to communications services for incarcerated people with communication disabilities</w:t>
      </w:r>
      <w:r w:rsidR="008E345A">
        <w:t>.</w:t>
      </w:r>
      <w:r>
        <w:rPr>
          <w:rStyle w:val="FootnoteReference"/>
        </w:rPr>
        <w:footnoteReference w:id="38"/>
      </w:r>
      <w:r w:rsidR="003625AB">
        <w:t xml:space="preserve">  </w:t>
      </w:r>
      <w:r w:rsidR="009B670D">
        <w:t>Specifically</w:t>
      </w:r>
      <w:r w:rsidR="009F09DC">
        <w:t>, the Commission added section 64.6040(c)</w:t>
      </w:r>
      <w:r w:rsidR="0080416C">
        <w:t>, as set forth below.</w:t>
      </w:r>
      <w:r>
        <w:rPr>
          <w:rStyle w:val="FootnoteReference"/>
        </w:rPr>
        <w:footnoteReference w:id="39"/>
      </w:r>
    </w:p>
    <w:p w:rsidR="00934B94" w:rsidRPr="001D0395" w:rsidP="006C1D70" w14:paraId="34BE8663" w14:textId="0033CE94">
      <w:pPr>
        <w:widowControl/>
        <w:spacing w:after="120"/>
        <w:rPr>
          <w:b/>
          <w:bCs/>
        </w:rPr>
      </w:pPr>
      <w:bookmarkStart w:id="11" w:name="_Hlk141453487"/>
      <w:r w:rsidRPr="00657C05">
        <w:rPr>
          <w:b/>
          <w:bCs/>
          <w:u w:val="single"/>
        </w:rPr>
        <w:t xml:space="preserve">Section </w:t>
      </w:r>
      <w:r w:rsidRPr="00657C05" w:rsidR="007A617B">
        <w:rPr>
          <w:b/>
          <w:bCs/>
          <w:u w:val="single"/>
        </w:rPr>
        <w:t>64.6040(c</w:t>
      </w:r>
      <w:r w:rsidRPr="001D0395" w:rsidR="007A617B">
        <w:rPr>
          <w:b/>
          <w:bCs/>
          <w:u w:val="single"/>
        </w:rPr>
        <w:t>)</w:t>
      </w:r>
      <w:r w:rsidRPr="001D0395" w:rsidR="001D0395">
        <w:rPr>
          <w:b/>
          <w:bCs/>
        </w:rPr>
        <w:t>:</w:t>
      </w:r>
      <w:r w:rsidRPr="001D0395" w:rsidR="007A617B">
        <w:rPr>
          <w:b/>
          <w:bCs/>
        </w:rPr>
        <w:t xml:space="preserve"> </w:t>
      </w:r>
    </w:p>
    <w:p w:rsidR="007A617B" w:rsidP="007A617B" w14:paraId="063803BE" w14:textId="76FC2812">
      <w:pPr>
        <w:widowControl/>
        <w:spacing w:after="120"/>
        <w:ind w:firstLine="720"/>
      </w:pPr>
      <w:r>
        <w:t xml:space="preserve">(c)  </w:t>
      </w:r>
      <w:r w:rsidR="00015E34">
        <w:t>A</w:t>
      </w:r>
      <w:r w:rsidR="003028EE">
        <w:t>s part of its</w:t>
      </w:r>
      <w:r>
        <w:t xml:space="preserve"> obligation to provide access to Telecommunications Relay Service (TRS), a provider shall:</w:t>
      </w:r>
    </w:p>
    <w:p w:rsidR="007A617B" w:rsidP="007A617B" w14:paraId="2DF4363D" w14:textId="77777777">
      <w:pPr>
        <w:widowControl/>
        <w:spacing w:after="120"/>
        <w:ind w:left="720"/>
      </w:pPr>
      <w:r>
        <w:t>(1) Make all necessary contractual and technical arrangements to ensure that, consistent with the security needs of a correctional facility, incarcerated individuals eligible to use TRS can access at least one certified provider of each form of TRS required by this section;</w:t>
      </w:r>
    </w:p>
    <w:p w:rsidR="007A617B" w:rsidP="007A617B" w14:paraId="0CD18E11" w14:textId="77777777">
      <w:pPr>
        <w:widowControl/>
        <w:spacing w:after="120"/>
        <w:ind w:left="720"/>
      </w:pPr>
      <w:r>
        <w:t>(2) Work with correctional authorities, equipment vendors, and TRS providers to e</w:t>
      </w:r>
      <w:r w:rsidRPr="00301F32">
        <w:t>nsur</w:t>
      </w:r>
      <w:r>
        <w:t>e</w:t>
      </w:r>
      <w:r w:rsidRPr="00301F32">
        <w:t xml:space="preserve"> that </w:t>
      </w:r>
      <w:r>
        <w:t xml:space="preserve">screen-equipped </w:t>
      </w:r>
      <w:r w:rsidRPr="00F320AA">
        <w:t xml:space="preserve">communications devices </w:t>
      </w:r>
      <w:r>
        <w:t xml:space="preserve">such as </w:t>
      </w:r>
      <w:r w:rsidRPr="00301F32">
        <w:t xml:space="preserve">tablets, smartphones, </w:t>
      </w:r>
      <w:r>
        <w:t xml:space="preserve">or </w:t>
      </w:r>
      <w:r w:rsidRPr="00301F32">
        <w:t xml:space="preserve">videophones </w:t>
      </w:r>
      <w:r>
        <w:t xml:space="preserve">are </w:t>
      </w:r>
      <w:r w:rsidRPr="00301F32">
        <w:t xml:space="preserve">available </w:t>
      </w:r>
      <w:r>
        <w:t>to incarcerated people</w:t>
      </w:r>
      <w:r w:rsidRPr="00301F32">
        <w:t xml:space="preserve"> </w:t>
      </w:r>
      <w:r>
        <w:t xml:space="preserve">who need </w:t>
      </w:r>
      <w:r w:rsidRPr="00301F32">
        <w:t xml:space="preserve">to </w:t>
      </w:r>
      <w:r>
        <w:t xml:space="preserve">use </w:t>
      </w:r>
      <w:r w:rsidRPr="00301F32">
        <w:t>TRS</w:t>
      </w:r>
      <w:r>
        <w:t xml:space="preserve"> for effective communication</w:t>
      </w:r>
      <w:r w:rsidRPr="00301F32">
        <w:t xml:space="preserve">, </w:t>
      </w:r>
      <w:r>
        <w:t xml:space="preserve">and all necessary </w:t>
      </w:r>
      <w:r w:rsidRPr="00301F32">
        <w:t>TRS provider software applications</w:t>
      </w:r>
      <w:r>
        <w:t xml:space="preserve"> are included, with any adjustments needed to meet </w:t>
      </w:r>
      <w:r w:rsidRPr="00301F32">
        <w:t>the security needs of the institution</w:t>
      </w:r>
      <w:r>
        <w:t xml:space="preserve">, provide compatibility with institutional communication systems, and allow operability over the inmate calling services </w:t>
      </w:r>
      <w:r w:rsidRPr="00465B51">
        <w:t>provider’s</w:t>
      </w:r>
      <w:r>
        <w:t xml:space="preserve"> network; </w:t>
      </w:r>
    </w:p>
    <w:p w:rsidR="007A617B" w:rsidP="007A617B" w14:paraId="5E43D5BA" w14:textId="77777777">
      <w:pPr>
        <w:widowControl/>
        <w:spacing w:after="120"/>
        <w:ind w:left="720"/>
      </w:pPr>
      <w:r>
        <w:t>(3) Provide any assistance needed by TRS providers in collecting the registration information and documentation required by § 64.611 from incarcerated users and correctional authorities; and</w:t>
      </w:r>
    </w:p>
    <w:p w:rsidR="007A617B" w:rsidP="007A617B" w14:paraId="6B6B1935" w14:textId="0D8CDB8A">
      <w:pPr>
        <w:widowControl/>
        <w:spacing w:after="120"/>
        <w:ind w:left="720"/>
      </w:pPr>
      <w:r>
        <w:t xml:space="preserve">(4) When an incarcerated person who has individually registered to use </w:t>
      </w:r>
      <w:r w:rsidRPr="00EC249C">
        <w:t>VRS, IP Relay, or IP CTS</w:t>
      </w:r>
      <w:r>
        <w:t xml:space="preserve"> is released from incarceration or transferred to another correctional authority</w:t>
      </w:r>
      <w:r w:rsidRPr="00EC249C">
        <w:t xml:space="preserve">, notify the TRS provider(s) with which the incarcerated person </w:t>
      </w:r>
      <w:r>
        <w:t>has</w:t>
      </w:r>
      <w:r w:rsidRPr="00EC249C">
        <w:t xml:space="preserve"> registered</w:t>
      </w:r>
      <w:r>
        <w:t>.</w:t>
      </w:r>
    </w:p>
    <w:bookmarkEnd w:id="11"/>
    <w:p w:rsidR="003D121A" w:rsidP="00865635" w14:paraId="720E427B" w14:textId="4AE4D2B9">
      <w:pPr>
        <w:spacing w:after="234"/>
        <w:ind w:left="-1" w:right="381" w:firstLine="720"/>
      </w:pPr>
      <w:r>
        <w:t>I</w:t>
      </w:r>
      <w:r w:rsidR="002439AE">
        <w:t xml:space="preserve">n this </w:t>
      </w:r>
      <w:r w:rsidRPr="00202232" w:rsidR="002439AE">
        <w:t xml:space="preserve">submission, we </w:t>
      </w:r>
      <w:r w:rsidR="00AA745B">
        <w:t>request</w:t>
      </w:r>
      <w:r w:rsidR="002439AE">
        <w:t xml:space="preserve"> that OMB renew its prior approval of the paperwork burdens associated with </w:t>
      </w:r>
      <w:r w:rsidR="009B3E54">
        <w:t>section 64.6040(c)</w:t>
      </w:r>
      <w:r w:rsidR="002439AE">
        <w:t xml:space="preserve">, using </w:t>
      </w:r>
      <w:r w:rsidRPr="00202232" w:rsidR="002439AE">
        <w:t xml:space="preserve">the burden estimates </w:t>
      </w:r>
      <w:r w:rsidR="002439AE">
        <w:t xml:space="preserve">set forth in this Supporting Statement.  </w:t>
      </w:r>
    </w:p>
    <w:p w:rsidR="008E345A" w:rsidP="00D62889" w14:paraId="64830832" w14:textId="7D30503F">
      <w:pPr>
        <w:pStyle w:val="ParaNum"/>
        <w:numPr>
          <w:ilvl w:val="0"/>
          <w:numId w:val="0"/>
        </w:numPr>
      </w:pPr>
      <w:r w:rsidRPr="003353ED">
        <w:rPr>
          <w:b/>
          <w:bCs/>
          <w:u w:val="single"/>
        </w:rPr>
        <w:t xml:space="preserve">Annual Reporting </w:t>
      </w:r>
      <w:r w:rsidR="00184AB7">
        <w:rPr>
          <w:b/>
          <w:bCs/>
          <w:u w:val="single"/>
        </w:rPr>
        <w:t xml:space="preserve">and Certification </w:t>
      </w:r>
      <w:r w:rsidRPr="003353ED">
        <w:rPr>
          <w:b/>
          <w:bCs/>
          <w:u w:val="single"/>
        </w:rPr>
        <w:t>Requirements</w:t>
      </w:r>
      <w:r w:rsidRPr="003C6716">
        <w:rPr>
          <w:b/>
          <w:bCs/>
          <w:u w:val="single"/>
        </w:rPr>
        <w:t xml:space="preserve"> (</w:t>
      </w:r>
      <w:r w:rsidRPr="00D62889" w:rsidR="00D62889">
        <w:rPr>
          <w:b/>
          <w:bCs/>
          <w:u w:val="single"/>
        </w:rPr>
        <w:t>§</w:t>
      </w:r>
      <w:r w:rsidR="00D62889">
        <w:rPr>
          <w:b/>
          <w:bCs/>
          <w:u w:val="single"/>
        </w:rPr>
        <w:t xml:space="preserve"> </w:t>
      </w:r>
      <w:r w:rsidRPr="003C6716">
        <w:rPr>
          <w:b/>
          <w:bCs/>
          <w:u w:val="single"/>
        </w:rPr>
        <w:t>64.6060)</w:t>
      </w:r>
    </w:p>
    <w:p w:rsidR="008E345A" w:rsidP="008E345A" w14:paraId="11DE5FB3" w14:textId="63B3369D">
      <w:pPr>
        <w:pStyle w:val="ParaNum"/>
        <w:numPr>
          <w:ilvl w:val="0"/>
          <w:numId w:val="0"/>
        </w:numPr>
        <w:ind w:firstLine="720"/>
      </w:pPr>
      <w:r w:rsidRPr="007E1246">
        <w:rPr>
          <w:b/>
          <w:bCs/>
          <w:i/>
          <w:iCs/>
        </w:rPr>
        <w:t>Background</w:t>
      </w:r>
      <w:r>
        <w:t xml:space="preserve">.  </w:t>
      </w:r>
      <w:r>
        <w:t>Since 2013, the Commission has required providers of communications service to incarcerated people to file certain pricing and related data and information annually to promote transparency and heighten providers’ accountability.</w:t>
      </w:r>
      <w:r>
        <w:rPr>
          <w:rStyle w:val="FootnoteReference"/>
        </w:rPr>
        <w:footnoteReference w:id="40"/>
      </w:r>
      <w:r>
        <w:t xml:space="preserve">  These annual reports enable the Commission and the public to monitor pricing practices and trends in the IPCS marketplace generally.  Pursuant to the Commission’s rules, ICS providers must file annual reports and certifications by April 1 of each year.</w:t>
      </w:r>
      <w:r>
        <w:rPr>
          <w:rStyle w:val="FootnoteReference"/>
        </w:rPr>
        <w:footnoteReference w:id="41"/>
      </w:r>
      <w:r>
        <w:t xml:space="preserve">  The reports contain information and data about the services provided for the preceding calendar year, and an officer or director of the provider must certify that the information and data are accurate and complete</w:t>
      </w:r>
      <w:r w:rsidRPr="004F2EEC">
        <w:t>.</w:t>
      </w:r>
    </w:p>
    <w:p w:rsidR="008E345A" w:rsidRPr="000200F1" w:rsidP="008E345A" w14:paraId="1B0A2155" w14:textId="77777777">
      <w:pPr>
        <w:pStyle w:val="ParaNum"/>
        <w:widowControl/>
        <w:numPr>
          <w:ilvl w:val="0"/>
          <w:numId w:val="0"/>
        </w:numPr>
        <w:ind w:firstLine="720"/>
      </w:pPr>
      <w:r>
        <w:t xml:space="preserve">The Commission first adopted annual reporting and certification requirements for providers in its </w:t>
      </w:r>
      <w:r w:rsidRPr="00ED2A6D">
        <w:rPr>
          <w:i/>
          <w:iCs/>
        </w:rPr>
        <w:t>2013 ICS Order</w:t>
      </w:r>
      <w:r>
        <w:t>.</w:t>
      </w:r>
      <w:r>
        <w:rPr>
          <w:rStyle w:val="FootnoteReference"/>
        </w:rPr>
        <w:footnoteReference w:id="42"/>
      </w:r>
      <w:r>
        <w:t xml:space="preserve">  The Commission subsequently included additional reporting requirements relevant to industry oversight in 2015,</w:t>
      </w:r>
      <w:r>
        <w:rPr>
          <w:rStyle w:val="FootnoteReference"/>
        </w:rPr>
        <w:footnoteReference w:id="43"/>
      </w:r>
      <w:r>
        <w:t xml:space="preserve"> </w:t>
      </w:r>
      <w:r>
        <w:rPr>
          <w:shd w:val="clear" w:color="auto" w:fill="FFFFFF"/>
        </w:rPr>
        <w:t xml:space="preserve">and </w:t>
      </w:r>
      <w:r w:rsidRPr="00ED2A6D">
        <w:rPr>
          <w:shd w:val="clear" w:color="auto" w:fill="FFFFFF"/>
        </w:rPr>
        <w:t xml:space="preserve">further amended its rules </w:t>
      </w:r>
      <w:r>
        <w:rPr>
          <w:shd w:val="clear" w:color="auto" w:fill="FFFFFF"/>
        </w:rPr>
        <w:t xml:space="preserve">in 2022 </w:t>
      </w:r>
      <w:r w:rsidRPr="00ED2A6D">
        <w:rPr>
          <w:shd w:val="clear" w:color="auto" w:fill="FFFFFF"/>
        </w:rPr>
        <w:t>to require data concerning various services for individuals with disabilities.</w:t>
      </w:r>
      <w:r>
        <w:rPr>
          <w:rStyle w:val="FootnoteReference"/>
          <w:shd w:val="clear" w:color="auto" w:fill="FFFFFF"/>
        </w:rPr>
        <w:footnoteReference w:id="44"/>
      </w:r>
      <w:r w:rsidRPr="00ED2A6D">
        <w:rPr>
          <w:shd w:val="clear" w:color="auto" w:fill="FFFFFF"/>
        </w:rPr>
        <w:t xml:space="preserve">  </w:t>
      </w:r>
    </w:p>
    <w:p w:rsidR="00DB746F" w:rsidP="0079009C" w14:paraId="280B9CD8" w14:textId="35C24846">
      <w:pPr>
        <w:pStyle w:val="ParaNum"/>
        <w:widowControl/>
        <w:numPr>
          <w:ilvl w:val="0"/>
          <w:numId w:val="0"/>
        </w:numPr>
        <w:ind w:firstLine="720"/>
      </w:pPr>
      <w:r w:rsidRPr="00ED2A6D">
        <w:rPr>
          <w:shd w:val="clear" w:color="auto" w:fill="FFFFFF"/>
        </w:rPr>
        <w:t>In</w:t>
      </w:r>
      <w:r>
        <w:t xml:space="preserve"> the </w:t>
      </w:r>
      <w:r w:rsidRPr="00ED2A6D">
        <w:rPr>
          <w:i/>
          <w:iCs/>
        </w:rPr>
        <w:t>2023 IPCS Order</w:t>
      </w:r>
      <w:r>
        <w:t xml:space="preserve">, the Commission reaffirmed and updated its prior delegation of authority to </w:t>
      </w:r>
      <w:r w:rsidRPr="00AF29A8">
        <w:t>WCB and CGB “</w:t>
      </w:r>
      <w:r w:rsidRPr="00AF29A8">
        <w:rPr>
          <w:snapToGrid/>
          <w:kern w:val="0"/>
        </w:rPr>
        <w:t xml:space="preserve">to modify, supplement, and update [the annual reporting] instructions </w:t>
      </w:r>
      <w:r w:rsidRPr="007A428D">
        <w:rPr>
          <w:snapToGrid/>
          <w:kern w:val="0"/>
        </w:rPr>
        <w:t>and</w:t>
      </w:r>
      <w:r>
        <w:rPr>
          <w:snapToGrid/>
          <w:kern w:val="0"/>
        </w:rPr>
        <w:t xml:space="preserve"> . </w:t>
      </w:r>
      <w:r w:rsidRPr="007A428D">
        <w:rPr>
          <w:snapToGrid/>
          <w:kern w:val="0"/>
        </w:rPr>
        <w:t>. . template</w:t>
      </w:r>
      <w:r w:rsidRPr="00AF29A8">
        <w:rPr>
          <w:snapToGrid/>
          <w:kern w:val="0"/>
        </w:rPr>
        <w:t xml:space="preserve"> as appropriate to supplement the information [it would] be receiving in response to the Mandatory </w:t>
      </w:r>
      <w:r w:rsidRPr="00AF29A8">
        <w:rPr>
          <w:shd w:val="clear" w:color="auto" w:fill="FFFFFF"/>
        </w:rPr>
        <w:t>Data</w:t>
      </w:r>
      <w:r w:rsidRPr="00AF29A8">
        <w:rPr>
          <w:snapToGrid/>
          <w:kern w:val="0"/>
        </w:rPr>
        <w:t xml:space="preserve"> Collection.”</w:t>
      </w:r>
      <w:r>
        <w:rPr>
          <w:rStyle w:val="FootnoteReference"/>
          <w:kern w:val="0"/>
          <w:szCs w:val="22"/>
        </w:rPr>
        <w:footnoteReference w:id="45"/>
      </w:r>
      <w:r w:rsidRPr="00ED2A6D">
        <w:rPr>
          <w:rFonts w:ascii="TimesNewRomanPSMT" w:hAnsi="TimesNewRomanPSMT" w:cs="TimesNewRomanPSMT"/>
          <w:snapToGrid/>
          <w:kern w:val="0"/>
        </w:rPr>
        <w:t xml:space="preserve">  </w:t>
      </w:r>
      <w:r>
        <w:t>I</w:t>
      </w:r>
      <w:r w:rsidRPr="00ED2A6D">
        <w:rPr>
          <w:shd w:val="clear" w:color="auto" w:fill="FFFFFF"/>
        </w:rPr>
        <w:t xml:space="preserve">n the </w:t>
      </w:r>
      <w:r>
        <w:rPr>
          <w:shd w:val="clear" w:color="auto" w:fill="FFFFFF"/>
        </w:rPr>
        <w:t xml:space="preserve">accompanying </w:t>
      </w:r>
      <w:r w:rsidRPr="00ED2A6D">
        <w:rPr>
          <w:i/>
          <w:iCs/>
          <w:shd w:val="clear" w:color="auto" w:fill="FFFFFF"/>
        </w:rPr>
        <w:t>2023 IPCS Notice</w:t>
      </w:r>
      <w:r w:rsidRPr="00ED2A6D">
        <w:rPr>
          <w:shd w:val="clear" w:color="auto" w:fill="FFFFFF"/>
        </w:rPr>
        <w:t>, the Commission asked what rule changes or new rules would be necessary to effectuate the Martha Wright-</w:t>
      </w:r>
      <w:r>
        <w:t>Reed Act.</w:t>
      </w:r>
      <w:r>
        <w:rPr>
          <w:rStyle w:val="FootnoteReference"/>
        </w:rPr>
        <w:footnoteReference w:id="46"/>
      </w:r>
      <w:r>
        <w:t xml:space="preserve">  </w:t>
      </w:r>
    </w:p>
    <w:p w:rsidR="008E345A" w:rsidP="0079009C" w14:paraId="1170C965" w14:textId="31F55089">
      <w:pPr>
        <w:pStyle w:val="ParaNum"/>
        <w:widowControl/>
        <w:numPr>
          <w:ilvl w:val="0"/>
          <w:numId w:val="0"/>
        </w:numPr>
        <w:ind w:firstLine="720"/>
      </w:pPr>
      <w:r>
        <w:t xml:space="preserve">In the </w:t>
      </w:r>
      <w:r w:rsidRPr="00067893">
        <w:rPr>
          <w:i/>
          <w:iCs/>
        </w:rPr>
        <w:t>Aug</w:t>
      </w:r>
      <w:r w:rsidR="007E51A7">
        <w:rPr>
          <w:i/>
          <w:iCs/>
        </w:rPr>
        <w:t>ust</w:t>
      </w:r>
      <w:r w:rsidRPr="00067893">
        <w:rPr>
          <w:i/>
          <w:iCs/>
        </w:rPr>
        <w:t xml:space="preserve"> 3, 2023 IPCS Public Notice</w:t>
      </w:r>
      <w:r w:rsidRPr="001B7618">
        <w:t xml:space="preserve">, </w:t>
      </w:r>
      <w:r>
        <w:t xml:space="preserve">WCB and CGB </w:t>
      </w:r>
      <w:r w:rsidR="00ED363F">
        <w:t xml:space="preserve">sought comment on </w:t>
      </w:r>
      <w:r>
        <w:t xml:space="preserve">proposed revisions to the </w:t>
      </w:r>
      <w:r w:rsidRPr="00DA4824">
        <w:t>instructions and templates</w:t>
      </w:r>
      <w:r>
        <w:t xml:space="preserve"> for the annual reports and annual certifications to implement the Martha Wright-Reed Act and reflect the changes that were adopted in the </w:t>
      </w:r>
      <w:r w:rsidRPr="00252CDC">
        <w:rPr>
          <w:i/>
          <w:iCs/>
        </w:rPr>
        <w:t>2022 ICS Order</w:t>
      </w:r>
      <w:r>
        <w:rPr>
          <w:i/>
          <w:iCs/>
        </w:rPr>
        <w:t>.</w:t>
      </w:r>
      <w:r>
        <w:rPr>
          <w:rStyle w:val="FootnoteReference"/>
        </w:rPr>
        <w:footnoteReference w:id="47"/>
      </w:r>
      <w:r w:rsidR="007450BA">
        <w:t xml:space="preserve">  </w:t>
      </w:r>
      <w:r>
        <w:t>Commenters generally supported the Commission’s efforts to track trends in the IPCS marketplace as long as the reporting requirements were not unduly burdensome.</w:t>
      </w:r>
      <w:r w:rsidRPr="00251B44">
        <w:rPr>
          <w:snapToGrid/>
          <w:kern w:val="0"/>
          <w:szCs w:val="22"/>
        </w:rPr>
        <w:t xml:space="preserve"> </w:t>
      </w:r>
      <w:r>
        <w:t xml:space="preserve"> However, one commenter argued that it </w:t>
      </w:r>
      <w:r>
        <w:t>was premature to require reports on video and the expanded TRS obligations, because the Commission had not adopted video IPCS regulations, and the expanded TRS regulations had not yet gone into effect.</w:t>
      </w:r>
      <w:r>
        <w:rPr>
          <w:rStyle w:val="FootnoteReference"/>
        </w:rPr>
        <w:footnoteReference w:id="48"/>
      </w:r>
      <w:r>
        <w:t xml:space="preserve">  </w:t>
      </w:r>
    </w:p>
    <w:p w:rsidR="00555014" w:rsidP="00555014" w14:paraId="1304F117" w14:textId="77777777">
      <w:pPr>
        <w:pStyle w:val="ParaNum"/>
        <w:numPr>
          <w:ilvl w:val="0"/>
          <w:numId w:val="0"/>
        </w:numPr>
        <w:ind w:firstLine="720"/>
        <w:rPr>
          <w:szCs w:val="22"/>
        </w:rPr>
      </w:pPr>
      <w:r>
        <w:t>I</w:t>
      </w:r>
      <w:r w:rsidR="00CF6856">
        <w:t xml:space="preserve">n the </w:t>
      </w:r>
      <w:r w:rsidRPr="00A60EDB" w:rsidR="00CF6856">
        <w:rPr>
          <w:i/>
          <w:iCs/>
        </w:rPr>
        <w:t>2024 IPCS Order</w:t>
      </w:r>
      <w:r w:rsidR="00CF6856">
        <w:t>, the Commission modified</w:t>
      </w:r>
      <w:r w:rsidR="00CF6856">
        <w:t xml:space="preserve"> the scope and content of the requirements for the annual reports and certifications to reflect the Martha Wright-Reed Act’s expansion of Commission authority over other communications services in carceral facilities to include video IPCS and certain other advanced communications services, as well as intrastate IPCS, and the providers that offer these </w:t>
      </w:r>
      <w:r w:rsidR="00CF6856">
        <w:t>services.</w:t>
      </w:r>
      <w:r>
        <w:rPr>
          <w:rStyle w:val="FootnoteReference"/>
        </w:rPr>
        <w:footnoteReference w:id="49"/>
      </w:r>
      <w:r w:rsidR="00CF6856">
        <w:t xml:space="preserve">  </w:t>
      </w:r>
      <w:r w:rsidR="00616F4D">
        <w:t xml:space="preserve">In the </w:t>
      </w:r>
      <w:r w:rsidRPr="004B6D27" w:rsidR="00616F4D">
        <w:rPr>
          <w:i/>
          <w:iCs/>
        </w:rPr>
        <w:t xml:space="preserve">September 11, 2024 </w:t>
      </w:r>
      <w:r w:rsidRPr="004B6D27" w:rsidR="004B6D27">
        <w:rPr>
          <w:i/>
          <w:iCs/>
        </w:rPr>
        <w:t xml:space="preserve">IPCS </w:t>
      </w:r>
      <w:r w:rsidRPr="004B6D27" w:rsidR="00616F4D">
        <w:rPr>
          <w:i/>
          <w:iCs/>
        </w:rPr>
        <w:t>Public Notice</w:t>
      </w:r>
      <w:r w:rsidR="00616F4D">
        <w:t>,</w:t>
      </w:r>
      <w:r>
        <w:rPr>
          <w:rStyle w:val="FootnoteReference"/>
        </w:rPr>
        <w:footnoteReference w:id="50"/>
      </w:r>
      <w:r w:rsidR="00616F4D">
        <w:t xml:space="preserve"> </w:t>
      </w:r>
      <w:r w:rsidR="001F33CA">
        <w:t xml:space="preserve">WCB and </w:t>
      </w:r>
      <w:r w:rsidR="00FE6662">
        <w:t xml:space="preserve">CGB </w:t>
      </w:r>
      <w:r w:rsidRPr="001F33CA" w:rsidR="001F33CA">
        <w:t>invite</w:t>
      </w:r>
      <w:r w:rsidR="001F33CA">
        <w:t>d</w:t>
      </w:r>
      <w:r w:rsidRPr="001F33CA" w:rsidR="001F33CA">
        <w:t xml:space="preserve"> supplemental comment to refresh and expand upon the record </w:t>
      </w:r>
      <w:r w:rsidR="00A32834">
        <w:t xml:space="preserve">developed in response to the </w:t>
      </w:r>
      <w:r w:rsidRPr="00C26284" w:rsidR="004545B9">
        <w:rPr>
          <w:i/>
          <w:iCs/>
        </w:rPr>
        <w:t>August 3, 2023 IPCS Public</w:t>
      </w:r>
      <w:r w:rsidRPr="00C26284" w:rsidR="00FE6662">
        <w:rPr>
          <w:i/>
          <w:iCs/>
        </w:rPr>
        <w:t xml:space="preserve"> Notice</w:t>
      </w:r>
      <w:r>
        <w:rPr>
          <w:rStyle w:val="FootnoteReference"/>
        </w:rPr>
        <w:footnoteReference w:id="51"/>
      </w:r>
      <w:r w:rsidR="00F63A99">
        <w:t xml:space="preserve"> </w:t>
      </w:r>
      <w:r w:rsidR="001937E0">
        <w:rPr>
          <w:szCs w:val="22"/>
        </w:rPr>
        <w:t xml:space="preserve">to </w:t>
      </w:r>
      <w:r w:rsidR="00F3242F">
        <w:rPr>
          <w:szCs w:val="22"/>
        </w:rPr>
        <w:t xml:space="preserve">reflect the Commission’s expanded jurisdiction and the reforms adopted in the </w:t>
      </w:r>
      <w:r w:rsidRPr="00D053E4" w:rsidR="00F3242F">
        <w:rPr>
          <w:i/>
          <w:iCs/>
          <w:szCs w:val="22"/>
        </w:rPr>
        <w:t>2024 IPCS Order</w:t>
      </w:r>
      <w:r w:rsidR="00F3242F">
        <w:rPr>
          <w:szCs w:val="22"/>
        </w:rPr>
        <w:t>.</w:t>
      </w:r>
      <w:r>
        <w:rPr>
          <w:rStyle w:val="FootnoteReference"/>
          <w:szCs w:val="22"/>
        </w:rPr>
        <w:footnoteReference w:id="52"/>
      </w:r>
      <w:r w:rsidR="00727D6F">
        <w:rPr>
          <w:szCs w:val="22"/>
        </w:rPr>
        <w:t xml:space="preserve">  </w:t>
      </w:r>
    </w:p>
    <w:p w:rsidR="006B19DE" w:rsidP="008E0504" w14:paraId="64AA7166" w14:textId="45D24D95">
      <w:pPr>
        <w:pStyle w:val="ParaNum"/>
        <w:numPr>
          <w:ilvl w:val="0"/>
          <w:numId w:val="0"/>
        </w:numPr>
        <w:ind w:firstLine="720"/>
      </w:pPr>
      <w:r w:rsidRPr="00571E5B">
        <w:t xml:space="preserve">On </w:t>
      </w:r>
      <w:r>
        <w:t>January 8, 2025,</w:t>
      </w:r>
      <w:r w:rsidRPr="00571E5B">
        <w:t xml:space="preserve"> the Bureaus released the </w:t>
      </w:r>
      <w:r w:rsidRPr="00571E5B">
        <w:rPr>
          <w:i/>
          <w:iCs/>
        </w:rPr>
        <w:t>2025 Annual Reports Order</w:t>
      </w:r>
      <w:r>
        <w:t>,</w:t>
      </w:r>
      <w:r>
        <w:rPr>
          <w:rStyle w:val="FootnoteReference"/>
        </w:rPr>
        <w:footnoteReference w:id="53"/>
      </w:r>
      <w:r w:rsidRPr="00571E5B">
        <w:t xml:space="preserve"> </w:t>
      </w:r>
      <w:r>
        <w:t>in which it revised the instructions, reporting template</w:t>
      </w:r>
      <w:r w:rsidR="003607E1">
        <w:t xml:space="preserve"> </w:t>
      </w:r>
      <w:r w:rsidR="00F171B0">
        <w:t>(</w:t>
      </w:r>
      <w:r w:rsidRPr="0001620D" w:rsidR="00EE792B">
        <w:rPr>
          <w:i/>
          <w:iCs/>
        </w:rPr>
        <w:t>i.e</w:t>
      </w:r>
      <w:r w:rsidR="00EE792B">
        <w:t xml:space="preserve">., </w:t>
      </w:r>
      <w:r w:rsidR="00685169">
        <w:t xml:space="preserve">FCC </w:t>
      </w:r>
      <w:r w:rsidR="00852F8D">
        <w:t xml:space="preserve">Form </w:t>
      </w:r>
      <w:r w:rsidR="00685169">
        <w:t>2301</w:t>
      </w:r>
      <w:r w:rsidR="0063035D">
        <w:t>(</w:t>
      </w:r>
      <w:r w:rsidR="005E543D">
        <w:t>a</w:t>
      </w:r>
      <w:r w:rsidR="0063035D">
        <w:t>)</w:t>
      </w:r>
      <w:r w:rsidR="00685169">
        <w:t>)</w:t>
      </w:r>
      <w:r>
        <w:t xml:space="preserve">, and certification form </w:t>
      </w:r>
      <w:r w:rsidR="00EE792B">
        <w:t>(</w:t>
      </w:r>
      <w:r w:rsidRPr="0001620D" w:rsidR="00EE792B">
        <w:rPr>
          <w:i/>
          <w:iCs/>
        </w:rPr>
        <w:t>i.e</w:t>
      </w:r>
      <w:r w:rsidR="00EE792B">
        <w:t xml:space="preserve">., </w:t>
      </w:r>
      <w:r w:rsidR="005B6510">
        <w:t>FCC Form 2301</w:t>
      </w:r>
      <w:r w:rsidR="003D1373">
        <w:t>(b)</w:t>
      </w:r>
      <w:r w:rsidR="00D123F3">
        <w:t xml:space="preserve">) </w:t>
      </w:r>
      <w:r>
        <w:t>for the Annual Reports that IPCS providers are required to submit.</w:t>
      </w:r>
      <w:r>
        <w:rPr>
          <w:vertAlign w:val="superscript"/>
        </w:rPr>
        <w:footnoteReference w:id="54"/>
      </w:r>
      <w:r w:rsidRPr="00A327B4">
        <w:t xml:space="preserve">  </w:t>
      </w:r>
      <w:r>
        <w:t>These revisions reflect the Commission’s expanded authority under the Martha Wright-Reed Act,</w:t>
      </w:r>
      <w:r>
        <w:rPr>
          <w:rStyle w:val="FootnoteReference"/>
        </w:rPr>
        <w:footnoteReference w:id="55"/>
      </w:r>
      <w:r>
        <w:t xml:space="preserve"> </w:t>
      </w:r>
      <w:r w:rsidR="005F70E4">
        <w:t xml:space="preserve">as well as </w:t>
      </w:r>
      <w:r>
        <w:t xml:space="preserve">the proposals contained in the </w:t>
      </w:r>
      <w:r>
        <w:rPr>
          <w:i/>
          <w:iCs/>
        </w:rPr>
        <w:t xml:space="preserve">August 3, 2023 </w:t>
      </w:r>
      <w:r w:rsidRPr="00206A99">
        <w:rPr>
          <w:i/>
          <w:iCs/>
        </w:rPr>
        <w:t>Public</w:t>
      </w:r>
      <w:r w:rsidRPr="001001FA">
        <w:rPr>
          <w:i/>
          <w:iCs/>
        </w:rPr>
        <w:t xml:space="preserve"> Notice</w:t>
      </w:r>
      <w:r>
        <w:rPr>
          <w:i/>
          <w:iCs/>
        </w:rPr>
        <w:t xml:space="preserve"> </w:t>
      </w:r>
      <w:r>
        <w:t xml:space="preserve">and </w:t>
      </w:r>
      <w:r>
        <w:rPr>
          <w:i/>
          <w:iCs/>
        </w:rPr>
        <w:t>September 11, 2024 Public Notice</w:t>
      </w:r>
      <w:r>
        <w:t>,</w:t>
      </w:r>
      <w:r>
        <w:rPr>
          <w:rStyle w:val="FootnoteReference"/>
        </w:rPr>
        <w:footnoteReference w:id="56"/>
      </w:r>
      <w:r>
        <w:t xml:space="preserve"> with significant refinements and modifications made in response to comments in support of more streamlined, and therefore less burdensome reporting obligations.  The revisions also reflect the reporting requirements proposed in the </w:t>
      </w:r>
      <w:r w:rsidRPr="00F7063C">
        <w:rPr>
          <w:i/>
          <w:iCs/>
        </w:rPr>
        <w:t xml:space="preserve">August </w:t>
      </w:r>
      <w:r>
        <w:rPr>
          <w:i/>
          <w:iCs/>
        </w:rPr>
        <w:t xml:space="preserve">3, </w:t>
      </w:r>
      <w:r w:rsidRPr="00F7063C">
        <w:rPr>
          <w:i/>
          <w:iCs/>
        </w:rPr>
        <w:t>2023 Public Notice</w:t>
      </w:r>
      <w:r>
        <w:t xml:space="preserve"> regarding access to IPCS by persons with communication disabilities, including access to TRS.</w:t>
      </w:r>
      <w:r>
        <w:rPr>
          <w:rStyle w:val="FootnoteReference"/>
        </w:rPr>
        <w:footnoteReference w:id="57"/>
      </w:r>
      <w:r>
        <w:t xml:space="preserve">  Significantly, the revisions greatly streamline and simplify much of the rate reporting that had been proposed in the </w:t>
      </w:r>
      <w:r w:rsidRPr="00F7063C">
        <w:rPr>
          <w:i/>
          <w:iCs/>
        </w:rPr>
        <w:t xml:space="preserve">August </w:t>
      </w:r>
      <w:r>
        <w:rPr>
          <w:i/>
          <w:iCs/>
        </w:rPr>
        <w:t xml:space="preserve">3, </w:t>
      </w:r>
      <w:r w:rsidRPr="00F7063C">
        <w:rPr>
          <w:i/>
          <w:iCs/>
        </w:rPr>
        <w:t>2023 Public Notice</w:t>
      </w:r>
      <w:r>
        <w:t xml:space="preserve"> and eliminate most of the reporting of site commissions and ancillary service charges that had been proposed in that </w:t>
      </w:r>
      <w:r>
        <w:rPr>
          <w:i/>
          <w:iCs/>
        </w:rPr>
        <w:t>Notice</w:t>
      </w:r>
      <w:r>
        <w:t>.</w:t>
      </w:r>
      <w:r w:rsidR="00054250">
        <w:t xml:space="preserve">  </w:t>
      </w:r>
      <w:r>
        <w:t>In this submission</w:t>
      </w:r>
      <w:r w:rsidR="00ED6E7B">
        <w:t xml:space="preserve">, </w:t>
      </w:r>
      <w:r>
        <w:t>we</w:t>
      </w:r>
      <w:r w:rsidR="008851E2">
        <w:t xml:space="preserve"> only seek </w:t>
      </w:r>
      <w:r w:rsidR="00ED6E7B">
        <w:t>OMB</w:t>
      </w:r>
      <w:r>
        <w:t xml:space="preserve"> approval of the paperwork burdens arising from the new rules addressing disability access, </w:t>
      </w:r>
      <w:r w:rsidRPr="00B21206">
        <w:t xml:space="preserve">alternate pricing plans and inactive accounts, and </w:t>
      </w:r>
      <w:r>
        <w:t xml:space="preserve">the revisions </w:t>
      </w:r>
      <w:r w:rsidRPr="00B21206">
        <w:t>to the consumer disclosure</w:t>
      </w:r>
      <w:r>
        <w:t xml:space="preserve"> rules and waiver reporting requirements.  We </w:t>
      </w:r>
      <w:r w:rsidR="00725EE9">
        <w:t>are</w:t>
      </w:r>
      <w:r w:rsidRPr="002D4FC9">
        <w:t xml:space="preserve"> </w:t>
      </w:r>
      <w:r w:rsidR="005A31D6">
        <w:t>address</w:t>
      </w:r>
      <w:r w:rsidR="00725EE9">
        <w:t>ing</w:t>
      </w:r>
      <w:r w:rsidRPr="002D4FC9">
        <w:t xml:space="preserve"> </w:t>
      </w:r>
      <w:r>
        <w:t xml:space="preserve">PRA </w:t>
      </w:r>
      <w:r w:rsidRPr="002D4FC9">
        <w:t xml:space="preserve">approval of </w:t>
      </w:r>
      <w:r w:rsidR="00ED6E7B">
        <w:t>the</w:t>
      </w:r>
      <w:r>
        <w:t xml:space="preserve"> paperwork burdens arising from the </w:t>
      </w:r>
      <w:r w:rsidRPr="002D4FC9">
        <w:t>revisions to the annual reporting and certification rules s</w:t>
      </w:r>
      <w:r w:rsidR="00725EE9">
        <w:t>eparate</w:t>
      </w:r>
      <w:r w:rsidR="005A31D6">
        <w:t>ly</w:t>
      </w:r>
      <w:r>
        <w:t>.</w:t>
      </w:r>
      <w:r>
        <w:rPr>
          <w:rStyle w:val="FootnoteReference"/>
        </w:rPr>
        <w:footnoteReference w:id="58"/>
      </w:r>
    </w:p>
    <w:p w:rsidR="00D91474" w:rsidRPr="00D91474" w:rsidP="004C39D6" w14:paraId="291A0191" w14:textId="3195F59D">
      <w:pPr>
        <w:spacing w:after="120"/>
        <w:ind w:firstLine="720"/>
      </w:pPr>
      <w:r>
        <w:t>W</w:t>
      </w:r>
      <w:r w:rsidRPr="00090669" w:rsidR="00C90927">
        <w:t xml:space="preserve">e </w:t>
      </w:r>
      <w:r w:rsidRPr="004C39D6" w:rsidR="00C90927">
        <w:rPr>
          <w:szCs w:val="22"/>
        </w:rPr>
        <w:t>estimate</w:t>
      </w:r>
      <w:r w:rsidRPr="00090669" w:rsidR="00C90927">
        <w:t xml:space="preserve"> that approximately </w:t>
      </w:r>
      <w:r w:rsidR="007E1246">
        <w:t>35</w:t>
      </w:r>
      <w:r w:rsidRPr="00090669" w:rsidR="00C90927">
        <w:t xml:space="preserve"> </w:t>
      </w:r>
      <w:r w:rsidR="007E5767">
        <w:t xml:space="preserve">IPCS </w:t>
      </w:r>
      <w:r w:rsidRPr="00090669" w:rsidR="00C90927">
        <w:t xml:space="preserve">providers will be required to </w:t>
      </w:r>
      <w:r w:rsidRPr="00090669" w:rsidR="00203DA7">
        <w:t xml:space="preserve">comply with the </w:t>
      </w:r>
      <w:r w:rsidRPr="00090669" w:rsidR="00F120D2">
        <w:t xml:space="preserve">information </w:t>
      </w:r>
      <w:r w:rsidRPr="00090669" w:rsidR="00653F21">
        <w:t xml:space="preserve">requirements </w:t>
      </w:r>
      <w:r w:rsidRPr="00090669" w:rsidR="00F120D2">
        <w:t>of this collection.</w:t>
      </w:r>
    </w:p>
    <w:p w:rsidR="005F3CA5" w:rsidRPr="00917CE6" w:rsidP="00915F36" w14:paraId="3CFF3E8A" w14:textId="2831D6C8">
      <w:pPr>
        <w:spacing w:after="120"/>
        <w:ind w:firstLine="720"/>
      </w:pPr>
      <w:r w:rsidRPr="00090669">
        <w:t xml:space="preserve">Statutory authority for this information collection is contained in </w:t>
      </w:r>
      <w:r w:rsidRPr="00090669" w:rsidR="006C3295">
        <w:t>sections</w:t>
      </w:r>
      <w:r w:rsidRPr="00090669">
        <w:t xml:space="preserve"> </w:t>
      </w:r>
      <w:r w:rsidRPr="00917CE6">
        <w:t xml:space="preserve">1, 2, 4(i)-(j), </w:t>
      </w:r>
      <w:r>
        <w:t xml:space="preserve">5(c), </w:t>
      </w:r>
      <w:r w:rsidRPr="00917CE6">
        <w:t xml:space="preserve">201(b), 218, 220, </w:t>
      </w:r>
      <w:r>
        <w:t xml:space="preserve">225, 255, </w:t>
      </w:r>
      <w:r w:rsidRPr="00917CE6">
        <w:t xml:space="preserve">276, </w:t>
      </w:r>
      <w:r>
        <w:t xml:space="preserve">403, </w:t>
      </w:r>
      <w:r w:rsidRPr="00917CE6">
        <w:t xml:space="preserve">and </w:t>
      </w:r>
      <w:r>
        <w:t>716</w:t>
      </w:r>
      <w:r w:rsidRPr="00917CE6">
        <w:t xml:space="preserve"> of the Communications Act of 1934, as amended, 47 U.S.C. §§ 151, 152, 154(i)-(j), </w:t>
      </w:r>
      <w:r>
        <w:t xml:space="preserve">155(c), </w:t>
      </w:r>
      <w:r w:rsidRPr="00917CE6">
        <w:t xml:space="preserve">201(b), 218, 220, </w:t>
      </w:r>
      <w:r>
        <w:t xml:space="preserve">225, 255, </w:t>
      </w:r>
      <w:r w:rsidRPr="00917CE6">
        <w:t xml:space="preserve">276, </w:t>
      </w:r>
      <w:r>
        <w:t xml:space="preserve">403, </w:t>
      </w:r>
      <w:r w:rsidRPr="00917CE6">
        <w:t xml:space="preserve">and </w:t>
      </w:r>
      <w:r>
        <w:t>617,</w:t>
      </w:r>
      <w:r w:rsidRPr="00A01B32">
        <w:t xml:space="preserve"> and the Martha Wright-Reed Act, Pub. L. No. 117-338, 136 Stat</w:t>
      </w:r>
      <w:r>
        <w:t>.</w:t>
      </w:r>
      <w:r w:rsidRPr="00A01B32">
        <w:t xml:space="preserve"> 6156 (2022).</w:t>
      </w:r>
    </w:p>
    <w:p w:rsidR="00BC169A" w:rsidRPr="004460F4" w:rsidP="00BC169A" w14:paraId="31907D0C" w14:textId="0F19F055">
      <w:pPr>
        <w:spacing w:after="120"/>
        <w:ind w:firstLine="720"/>
        <w:rPr>
          <w:szCs w:val="22"/>
        </w:rPr>
      </w:pPr>
      <w:r w:rsidRPr="004460F4">
        <w:rPr>
          <w:szCs w:val="22"/>
        </w:rPr>
        <w:t>This information collection does not affect individuals or households; thus, there are no impacts under the Privacy Act.</w:t>
      </w:r>
    </w:p>
    <w:p w:rsidR="007E0735" w:rsidRPr="00EB14BB" w:rsidP="00BC169A" w14:paraId="589F44A8" w14:textId="5E833DBC">
      <w:pPr>
        <w:pStyle w:val="ParaNum"/>
        <w:numPr>
          <w:ilvl w:val="0"/>
          <w:numId w:val="0"/>
        </w:numPr>
        <w:ind w:firstLine="720"/>
        <w:rPr>
          <w:b/>
          <w:bCs/>
        </w:rPr>
      </w:pPr>
      <w:bookmarkStart w:id="13" w:name="_Hlk14172746"/>
      <w:r>
        <w:t>2.</w:t>
      </w:r>
      <w:r>
        <w:tab/>
      </w:r>
      <w:r w:rsidRPr="004460F4" w:rsidR="0029304C">
        <w:t xml:space="preserve">The information requirements set forth below ensure that the Commission </w:t>
      </w:r>
      <w:r w:rsidR="00ED2242">
        <w:t xml:space="preserve">will have </w:t>
      </w:r>
      <w:r w:rsidRPr="004460F4" w:rsidR="0029304C">
        <w:t>access to the information it needs to fulfill its</w:t>
      </w:r>
      <w:r w:rsidR="00EF19DE">
        <w:t xml:space="preserve"> statutory and</w:t>
      </w:r>
      <w:r w:rsidRPr="004460F4" w:rsidR="0029304C">
        <w:t xml:space="preserve"> regulatory duties</w:t>
      </w:r>
      <w:r w:rsidRPr="004460F4" w:rsidR="003D4CB7">
        <w:t>,</w:t>
      </w:r>
      <w:r w:rsidRPr="004460F4" w:rsidR="0029304C">
        <w:t xml:space="preserve"> while minimizing the burden on providers.</w:t>
      </w:r>
      <w:r w:rsidRPr="004460F4" w:rsidR="006D646C">
        <w:t xml:space="preserve"> </w:t>
      </w:r>
      <w:r w:rsidR="00C007D9">
        <w:t xml:space="preserve"> </w:t>
      </w:r>
      <w:r w:rsidR="00EB14BB">
        <w:t xml:space="preserve">Requiring </w:t>
      </w:r>
      <w:r w:rsidRPr="004460F4" w:rsidR="006D646C">
        <w:t xml:space="preserve">providers to </w:t>
      </w:r>
      <w:r w:rsidR="00EB14BB">
        <w:t xml:space="preserve">comply with the new and revised information requirements </w:t>
      </w:r>
      <w:r w:rsidRPr="00035D86" w:rsidR="00194C59">
        <w:t xml:space="preserve">will help the Commission discharge </w:t>
      </w:r>
      <w:r w:rsidRPr="00035D86" w:rsidR="006D646C">
        <w:t>its</w:t>
      </w:r>
      <w:r w:rsidRPr="00035D86" w:rsidR="007A7A22">
        <w:t xml:space="preserve"> statutory</w:t>
      </w:r>
      <w:r w:rsidRPr="00035D86" w:rsidR="006D646C">
        <w:t xml:space="preserve"> mandate</w:t>
      </w:r>
      <w:r w:rsidRPr="00035D86" w:rsidR="007A7A22">
        <w:t>s</w:t>
      </w:r>
      <w:r w:rsidRPr="00035D86" w:rsidR="006D646C">
        <w:t xml:space="preserve"> </w:t>
      </w:r>
      <w:r w:rsidR="00C934E5">
        <w:t xml:space="preserve">regarding </w:t>
      </w:r>
      <w:r w:rsidRPr="00035D86" w:rsidR="007A7A22">
        <w:t>I</w:t>
      </w:r>
      <w:r w:rsidR="00A755D2">
        <w:t>P</w:t>
      </w:r>
      <w:r w:rsidRPr="00035D86" w:rsidR="007A7A22">
        <w:t>CS</w:t>
      </w:r>
      <w:r w:rsidRPr="00EC3A4C" w:rsidR="006D646C">
        <w:t>.</w:t>
      </w:r>
      <w:r w:rsidRPr="00EC3A4C" w:rsidR="00E67A94">
        <w:t xml:space="preserve"> </w:t>
      </w:r>
      <w:bookmarkEnd w:id="13"/>
      <w:r w:rsidR="007846D0">
        <w:t xml:space="preserve"> </w:t>
      </w:r>
    </w:p>
    <w:p w:rsidR="007E0735" w:rsidRPr="004460F4" w:rsidP="00977487" w14:paraId="04E625D9" w14:textId="2117E812">
      <w:pPr>
        <w:pStyle w:val="Numberedparagraphs"/>
        <w:widowControl/>
        <w:numPr>
          <w:ilvl w:val="0"/>
          <w:numId w:val="0"/>
        </w:numPr>
        <w:tabs>
          <w:tab w:val="left" w:pos="720"/>
          <w:tab w:val="clear" w:pos="1440"/>
        </w:tabs>
        <w:rPr>
          <w:szCs w:val="22"/>
        </w:rPr>
      </w:pPr>
      <w:r w:rsidRPr="004460F4">
        <w:rPr>
          <w:szCs w:val="22"/>
        </w:rPr>
        <w:tab/>
        <w:t>3.</w:t>
      </w:r>
      <w:r w:rsidR="00BC169A">
        <w:rPr>
          <w:szCs w:val="22"/>
        </w:rPr>
        <w:tab/>
      </w:r>
      <w:r w:rsidR="005145B1">
        <w:rPr>
          <w:szCs w:val="22"/>
        </w:rPr>
        <w:t>Th</w:t>
      </w:r>
      <w:r w:rsidR="0095219C">
        <w:rPr>
          <w:szCs w:val="22"/>
        </w:rPr>
        <w:t>e</w:t>
      </w:r>
      <w:r w:rsidR="005145B1">
        <w:rPr>
          <w:szCs w:val="22"/>
        </w:rPr>
        <w:t xml:space="preserve"> </w:t>
      </w:r>
      <w:r w:rsidR="003A6155">
        <w:rPr>
          <w:szCs w:val="22"/>
        </w:rPr>
        <w:t>a</w:t>
      </w:r>
      <w:r w:rsidR="00907E71">
        <w:rPr>
          <w:szCs w:val="22"/>
        </w:rPr>
        <w:t xml:space="preserve">nnual </w:t>
      </w:r>
      <w:r w:rsidR="003A6155">
        <w:rPr>
          <w:szCs w:val="22"/>
        </w:rPr>
        <w:t>r</w:t>
      </w:r>
      <w:r w:rsidR="00907E71">
        <w:rPr>
          <w:szCs w:val="22"/>
        </w:rPr>
        <w:t>eports and certification portion of this</w:t>
      </w:r>
      <w:r w:rsidR="005145B1">
        <w:rPr>
          <w:szCs w:val="22"/>
        </w:rPr>
        <w:t xml:space="preserve"> collection involves the use of </w:t>
      </w:r>
      <w:r w:rsidR="003B1F05">
        <w:rPr>
          <w:szCs w:val="22"/>
        </w:rPr>
        <w:t xml:space="preserve">informational technology </w:t>
      </w:r>
      <w:r w:rsidR="005145B1">
        <w:rPr>
          <w:szCs w:val="22"/>
        </w:rPr>
        <w:t xml:space="preserve">to permit the electronic submission of </w:t>
      </w:r>
      <w:r w:rsidR="003B1F05">
        <w:rPr>
          <w:szCs w:val="22"/>
        </w:rPr>
        <w:t>responses.</w:t>
      </w:r>
    </w:p>
    <w:p w:rsidR="007E0735" w:rsidRPr="004460F4" w:rsidP="00C42275" w14:paraId="0C46A604" w14:textId="5988DFAF">
      <w:pPr>
        <w:pStyle w:val="Numberedparagraphs"/>
        <w:widowControl/>
        <w:numPr>
          <w:ilvl w:val="0"/>
          <w:numId w:val="0"/>
        </w:numPr>
        <w:tabs>
          <w:tab w:val="left" w:pos="720"/>
          <w:tab w:val="clear" w:pos="1440"/>
        </w:tabs>
        <w:rPr>
          <w:szCs w:val="22"/>
        </w:rPr>
      </w:pPr>
      <w:r w:rsidRPr="004460F4">
        <w:rPr>
          <w:szCs w:val="22"/>
        </w:rPr>
        <w:tab/>
        <w:t xml:space="preserve">4.  </w:t>
      </w:r>
      <w:r w:rsidR="00BC169A">
        <w:rPr>
          <w:szCs w:val="22"/>
        </w:rPr>
        <w:tab/>
      </w:r>
      <w:r w:rsidRPr="004460F4">
        <w:rPr>
          <w:szCs w:val="22"/>
        </w:rPr>
        <w:t xml:space="preserve">The Commission is not aware of any similar information already available that </w:t>
      </w:r>
      <w:r w:rsidR="00276AED">
        <w:rPr>
          <w:szCs w:val="22"/>
        </w:rPr>
        <w:t xml:space="preserve">can be used or </w:t>
      </w:r>
      <w:r w:rsidRPr="004460F4">
        <w:rPr>
          <w:szCs w:val="22"/>
        </w:rPr>
        <w:t xml:space="preserve">modified for the purposes described in Item 2 above. </w:t>
      </w:r>
      <w:r w:rsidR="0058708E">
        <w:rPr>
          <w:szCs w:val="22"/>
        </w:rPr>
        <w:t xml:space="preserve"> </w:t>
      </w:r>
      <w:r w:rsidR="007C19D8">
        <w:rPr>
          <w:szCs w:val="22"/>
        </w:rPr>
        <w:t xml:space="preserve">The new </w:t>
      </w:r>
      <w:r w:rsidR="00EB14BB">
        <w:rPr>
          <w:szCs w:val="22"/>
        </w:rPr>
        <w:t>and revised requirements will provide the Commission</w:t>
      </w:r>
      <w:r w:rsidR="00964EC2">
        <w:rPr>
          <w:szCs w:val="22"/>
        </w:rPr>
        <w:t xml:space="preserve">, its state counterparts, and the public with a more complete picture of </w:t>
      </w:r>
      <w:r w:rsidR="009D0088">
        <w:rPr>
          <w:szCs w:val="22"/>
        </w:rPr>
        <w:t>IPCS</w:t>
      </w:r>
      <w:r w:rsidR="00964EC2">
        <w:rPr>
          <w:szCs w:val="22"/>
        </w:rPr>
        <w:t xml:space="preserve"> providers’ operations </w:t>
      </w:r>
      <w:r w:rsidR="00BD289E">
        <w:rPr>
          <w:szCs w:val="22"/>
        </w:rPr>
        <w:t xml:space="preserve">and will not </w:t>
      </w:r>
      <w:r w:rsidR="00964EC2">
        <w:rPr>
          <w:szCs w:val="22"/>
        </w:rPr>
        <w:t>unduly increas</w:t>
      </w:r>
      <w:r w:rsidR="00BD289E">
        <w:rPr>
          <w:szCs w:val="22"/>
        </w:rPr>
        <w:t>e</w:t>
      </w:r>
      <w:r w:rsidR="00964EC2">
        <w:rPr>
          <w:szCs w:val="22"/>
        </w:rPr>
        <w:t xml:space="preserve"> the burdens on </w:t>
      </w:r>
      <w:r w:rsidR="00977487">
        <w:rPr>
          <w:szCs w:val="22"/>
        </w:rPr>
        <w:t xml:space="preserve">IPCS </w:t>
      </w:r>
      <w:r w:rsidR="00964EC2">
        <w:rPr>
          <w:szCs w:val="22"/>
        </w:rPr>
        <w:t>providers.</w:t>
      </w:r>
      <w:r w:rsidR="007615AE">
        <w:rPr>
          <w:szCs w:val="22"/>
        </w:rPr>
        <w:t xml:space="preserve"> </w:t>
      </w:r>
    </w:p>
    <w:p w:rsidR="00845E1B" w:rsidP="006437B7" w14:paraId="0D5B9311" w14:textId="011BE5AE">
      <w:pPr>
        <w:pStyle w:val="Numberedparagraphs"/>
        <w:numPr>
          <w:ilvl w:val="0"/>
          <w:numId w:val="0"/>
        </w:numPr>
        <w:tabs>
          <w:tab w:val="left" w:pos="720"/>
        </w:tabs>
        <w:ind w:left="180"/>
        <w:rPr>
          <w:szCs w:val="22"/>
        </w:rPr>
      </w:pPr>
      <w:r>
        <w:rPr>
          <w:szCs w:val="22"/>
        </w:rPr>
        <w:tab/>
      </w:r>
      <w:r w:rsidRPr="004460F4" w:rsidR="007E0735">
        <w:rPr>
          <w:szCs w:val="22"/>
        </w:rPr>
        <w:t xml:space="preserve">5.  </w:t>
      </w:r>
      <w:r w:rsidR="00BC169A">
        <w:rPr>
          <w:szCs w:val="22"/>
        </w:rPr>
        <w:tab/>
      </w:r>
      <w:r w:rsidRPr="004460F4" w:rsidR="007E0735">
        <w:rPr>
          <w:szCs w:val="22"/>
        </w:rPr>
        <w:t>Because the Commission</w:t>
      </w:r>
      <w:r w:rsidR="005008B4">
        <w:rPr>
          <w:szCs w:val="22"/>
        </w:rPr>
        <w:t xml:space="preserve"> </w:t>
      </w:r>
      <w:r w:rsidRPr="004460F4" w:rsidR="007E0735">
        <w:rPr>
          <w:szCs w:val="22"/>
        </w:rPr>
        <w:t>requir</w:t>
      </w:r>
      <w:r w:rsidR="005008B4">
        <w:rPr>
          <w:szCs w:val="22"/>
        </w:rPr>
        <w:t>es</w:t>
      </w:r>
      <w:r w:rsidRPr="004460F4" w:rsidR="007E0735">
        <w:rPr>
          <w:szCs w:val="22"/>
        </w:rPr>
        <w:t xml:space="preserve"> all </w:t>
      </w:r>
      <w:r w:rsidR="00D44198">
        <w:rPr>
          <w:szCs w:val="22"/>
        </w:rPr>
        <w:t>I</w:t>
      </w:r>
      <w:r w:rsidR="005521B1">
        <w:rPr>
          <w:szCs w:val="22"/>
        </w:rPr>
        <w:t>PC</w:t>
      </w:r>
      <w:r w:rsidR="00D44198">
        <w:rPr>
          <w:szCs w:val="22"/>
        </w:rPr>
        <w:t xml:space="preserve">S </w:t>
      </w:r>
      <w:r w:rsidRPr="004460F4" w:rsidR="007E0735">
        <w:rPr>
          <w:szCs w:val="22"/>
        </w:rPr>
        <w:t xml:space="preserve">providers to </w:t>
      </w:r>
      <w:r w:rsidR="009E5E9C">
        <w:rPr>
          <w:szCs w:val="22"/>
        </w:rPr>
        <w:t xml:space="preserve">comply with </w:t>
      </w:r>
      <w:r w:rsidR="0048570E">
        <w:rPr>
          <w:szCs w:val="22"/>
        </w:rPr>
        <w:t xml:space="preserve">the </w:t>
      </w:r>
      <w:r w:rsidR="00EB14BB">
        <w:rPr>
          <w:szCs w:val="22"/>
        </w:rPr>
        <w:t xml:space="preserve">information </w:t>
      </w:r>
      <w:r w:rsidR="0048570E">
        <w:rPr>
          <w:szCs w:val="22"/>
        </w:rPr>
        <w:t>requirements</w:t>
      </w:r>
      <w:r w:rsidRPr="004460F4" w:rsidR="007E0735">
        <w:rPr>
          <w:szCs w:val="22"/>
        </w:rPr>
        <w:t xml:space="preserve">, </w:t>
      </w:r>
      <w:r w:rsidR="0048570E">
        <w:rPr>
          <w:szCs w:val="22"/>
        </w:rPr>
        <w:t xml:space="preserve">this information collection </w:t>
      </w:r>
      <w:r w:rsidRPr="004460F4" w:rsidR="007E0735">
        <w:rPr>
          <w:szCs w:val="22"/>
        </w:rPr>
        <w:t xml:space="preserve">will affect smaller as well as larger providers.  </w:t>
      </w:r>
      <w:r w:rsidR="0048570E">
        <w:rPr>
          <w:szCs w:val="22"/>
        </w:rPr>
        <w:t>The Commission has taken steps to ensure that the reporting templates are competitively neutral and not unduly burdensome for any set of providers</w:t>
      </w:r>
      <w:r w:rsidRPr="004460F4" w:rsidR="007E0735">
        <w:rPr>
          <w:szCs w:val="22"/>
        </w:rPr>
        <w:t xml:space="preserve">. </w:t>
      </w:r>
    </w:p>
    <w:p w:rsidR="00F531AA" w:rsidP="00F531AA" w14:paraId="438320FB" w14:textId="241331CA">
      <w:pPr>
        <w:pStyle w:val="Numberedparagraphs"/>
        <w:numPr>
          <w:ilvl w:val="0"/>
          <w:numId w:val="0"/>
        </w:numPr>
        <w:tabs>
          <w:tab w:val="left" w:pos="720"/>
        </w:tabs>
        <w:ind w:left="180"/>
        <w:rPr>
          <w:szCs w:val="22"/>
        </w:rPr>
      </w:pPr>
      <w:r>
        <w:rPr>
          <w:szCs w:val="22"/>
        </w:rPr>
        <w:tab/>
      </w:r>
      <w:r w:rsidRPr="004460F4" w:rsidR="007E0735">
        <w:rPr>
          <w:szCs w:val="22"/>
        </w:rPr>
        <w:t xml:space="preserve">6.  </w:t>
      </w:r>
      <w:r w:rsidR="00BC169A">
        <w:rPr>
          <w:szCs w:val="22"/>
        </w:rPr>
        <w:tab/>
      </w:r>
      <w:r w:rsidRPr="004460F4" w:rsidR="00387192">
        <w:rPr>
          <w:szCs w:val="22"/>
        </w:rPr>
        <w:t>Collecting</w:t>
      </w:r>
      <w:r w:rsidRPr="004460F4" w:rsidR="007E0735">
        <w:rPr>
          <w:szCs w:val="22"/>
        </w:rPr>
        <w:t xml:space="preserve"> the </w:t>
      </w:r>
      <w:r w:rsidR="00646C17">
        <w:rPr>
          <w:szCs w:val="22"/>
        </w:rPr>
        <w:t>information</w:t>
      </w:r>
      <w:r w:rsidRPr="004460F4" w:rsidR="007E0735">
        <w:rPr>
          <w:szCs w:val="22"/>
        </w:rPr>
        <w:t xml:space="preserve"> on a less frequent basis</w:t>
      </w:r>
      <w:r w:rsidRPr="004460F4" w:rsidR="00FF3566">
        <w:rPr>
          <w:szCs w:val="22"/>
        </w:rPr>
        <w:t>,</w:t>
      </w:r>
      <w:r w:rsidRPr="004460F4" w:rsidR="007E0735">
        <w:rPr>
          <w:szCs w:val="22"/>
        </w:rPr>
        <w:t xml:space="preserve"> or not at all</w:t>
      </w:r>
      <w:r w:rsidRPr="004460F4" w:rsidR="00FF3566">
        <w:rPr>
          <w:szCs w:val="22"/>
        </w:rPr>
        <w:t>,</w:t>
      </w:r>
      <w:r w:rsidRPr="004460F4" w:rsidR="007E0735">
        <w:rPr>
          <w:szCs w:val="22"/>
        </w:rPr>
        <w:t xml:space="preserve"> would undermine the Commission’s efforts to ensure</w:t>
      </w:r>
      <w:r w:rsidRPr="004460F4" w:rsidR="003F701F">
        <w:rPr>
          <w:szCs w:val="22"/>
        </w:rPr>
        <w:t xml:space="preserve"> that I</w:t>
      </w:r>
      <w:r w:rsidR="00174F81">
        <w:rPr>
          <w:szCs w:val="22"/>
        </w:rPr>
        <w:t>PCS</w:t>
      </w:r>
      <w:r w:rsidRPr="004460F4" w:rsidR="003F701F">
        <w:rPr>
          <w:szCs w:val="22"/>
        </w:rPr>
        <w:t xml:space="preserve"> </w:t>
      </w:r>
      <w:r w:rsidRPr="00085F84" w:rsidR="003F701F">
        <w:rPr>
          <w:szCs w:val="22"/>
        </w:rPr>
        <w:t>is provided at</w:t>
      </w:r>
      <w:r w:rsidRPr="00085F84" w:rsidR="007E0735">
        <w:rPr>
          <w:szCs w:val="22"/>
        </w:rPr>
        <w:t xml:space="preserve"> </w:t>
      </w:r>
      <w:r w:rsidRPr="00085F84" w:rsidR="00152BFD">
        <w:rPr>
          <w:szCs w:val="22"/>
        </w:rPr>
        <w:t>just</w:t>
      </w:r>
      <w:r w:rsidRPr="00085F84" w:rsidR="009E5E9C">
        <w:rPr>
          <w:szCs w:val="22"/>
        </w:rPr>
        <w:t xml:space="preserve"> and </w:t>
      </w:r>
      <w:r w:rsidRPr="00085F84" w:rsidR="00152BFD">
        <w:rPr>
          <w:szCs w:val="22"/>
        </w:rPr>
        <w:t>reasonable</w:t>
      </w:r>
      <w:r w:rsidRPr="00085F84" w:rsidR="009E5E9C">
        <w:rPr>
          <w:szCs w:val="22"/>
        </w:rPr>
        <w:t xml:space="preserve"> </w:t>
      </w:r>
      <w:r w:rsidRPr="00085F84" w:rsidR="003F701F">
        <w:rPr>
          <w:szCs w:val="22"/>
        </w:rPr>
        <w:t>rates</w:t>
      </w:r>
      <w:r w:rsidRPr="00085F84" w:rsidR="007E0735">
        <w:rPr>
          <w:szCs w:val="22"/>
        </w:rPr>
        <w:t>.  It would also deprive consumers and other affected parties of the ability to monitor I</w:t>
      </w:r>
      <w:r w:rsidR="00174F81">
        <w:rPr>
          <w:szCs w:val="22"/>
        </w:rPr>
        <w:t>PCS</w:t>
      </w:r>
      <w:r w:rsidR="0054180C">
        <w:rPr>
          <w:szCs w:val="22"/>
        </w:rPr>
        <w:t xml:space="preserve"> rates and charges</w:t>
      </w:r>
      <w:r w:rsidRPr="00085F84" w:rsidR="00873901">
        <w:rPr>
          <w:szCs w:val="22"/>
        </w:rPr>
        <w:t>.</w:t>
      </w:r>
      <w:r w:rsidRPr="00085F84" w:rsidR="00937004">
        <w:rPr>
          <w:szCs w:val="22"/>
        </w:rPr>
        <w:t xml:space="preserve"> </w:t>
      </w:r>
      <w:r w:rsidR="00DD51D6">
        <w:rPr>
          <w:szCs w:val="22"/>
        </w:rPr>
        <w:t xml:space="preserve"> </w:t>
      </w:r>
      <w:r w:rsidR="00623A44">
        <w:rPr>
          <w:szCs w:val="22"/>
        </w:rPr>
        <w:t>N</w:t>
      </w:r>
      <w:r>
        <w:rPr>
          <w:szCs w:val="22"/>
        </w:rPr>
        <w:t>ot</w:t>
      </w:r>
      <w:r w:rsidRPr="00085F84" w:rsidR="00B136F6">
        <w:rPr>
          <w:szCs w:val="22"/>
        </w:rPr>
        <w:t xml:space="preserve"> requiring</w:t>
      </w:r>
      <w:r w:rsidR="0084092E">
        <w:rPr>
          <w:szCs w:val="22"/>
        </w:rPr>
        <w:t xml:space="preserve"> </w:t>
      </w:r>
      <w:r w:rsidRPr="00085F84" w:rsidR="00B136F6">
        <w:rPr>
          <w:szCs w:val="22"/>
        </w:rPr>
        <w:t xml:space="preserve">providers to </w:t>
      </w:r>
      <w:r w:rsidR="009C6AC2">
        <w:rPr>
          <w:szCs w:val="22"/>
        </w:rPr>
        <w:t>disclose their charges</w:t>
      </w:r>
      <w:r w:rsidR="00101BE9">
        <w:rPr>
          <w:szCs w:val="22"/>
        </w:rPr>
        <w:t xml:space="preserve"> would prevent customers from making informed decisions before deciding whether or how to use the provider’s services.</w:t>
      </w:r>
      <w:r w:rsidRPr="00085F84" w:rsidR="00101BE9">
        <w:rPr>
          <w:szCs w:val="22"/>
        </w:rPr>
        <w:t xml:space="preserve"> </w:t>
      </w:r>
    </w:p>
    <w:p w:rsidR="007E0735" w:rsidRPr="004817AC" w:rsidP="00101BE9" w14:paraId="76D37938" w14:textId="596E2BDD">
      <w:pPr>
        <w:pStyle w:val="Numberedparagraphs"/>
        <w:numPr>
          <w:ilvl w:val="0"/>
          <w:numId w:val="0"/>
        </w:numPr>
        <w:tabs>
          <w:tab w:val="left" w:pos="720"/>
        </w:tabs>
        <w:ind w:left="180"/>
        <w:rPr>
          <w:szCs w:val="22"/>
        </w:rPr>
      </w:pPr>
      <w:r>
        <w:rPr>
          <w:szCs w:val="22"/>
        </w:rPr>
        <w:tab/>
      </w:r>
      <w:r w:rsidRPr="004817AC">
        <w:rPr>
          <w:szCs w:val="22"/>
        </w:rPr>
        <w:t xml:space="preserve">7.  </w:t>
      </w:r>
      <w:r w:rsidR="007E5767">
        <w:rPr>
          <w:szCs w:val="22"/>
        </w:rPr>
        <w:tab/>
      </w:r>
      <w:r w:rsidRPr="004817AC">
        <w:rPr>
          <w:szCs w:val="22"/>
        </w:rPr>
        <w:t xml:space="preserve">No other special circumstances will apply to this information collection. </w:t>
      </w:r>
    </w:p>
    <w:p w:rsidR="00EB3336" w:rsidRPr="00EB3336" w:rsidP="00164003" w14:paraId="468336B1" w14:textId="7083AEFF">
      <w:pPr>
        <w:pStyle w:val="Numberedparagraphs"/>
        <w:numPr>
          <w:ilvl w:val="0"/>
          <w:numId w:val="0"/>
        </w:numPr>
        <w:tabs>
          <w:tab w:val="left" w:pos="720"/>
        </w:tabs>
        <w:ind w:left="180"/>
        <w:rPr>
          <w:szCs w:val="22"/>
        </w:rPr>
      </w:pPr>
      <w:r>
        <w:rPr>
          <w:szCs w:val="22"/>
        </w:rPr>
        <w:tab/>
      </w:r>
      <w:r w:rsidRPr="00937004" w:rsidR="00C90927">
        <w:rPr>
          <w:szCs w:val="22"/>
        </w:rPr>
        <w:t xml:space="preserve">8.  </w:t>
      </w:r>
      <w:r w:rsidR="007E5767">
        <w:rPr>
          <w:szCs w:val="22"/>
        </w:rPr>
        <w:tab/>
      </w:r>
      <w:bookmarkStart w:id="14" w:name="_Hlk102471039"/>
      <w:bookmarkStart w:id="15" w:name="_Hlk26368662"/>
      <w:r w:rsidRPr="00EB3336">
        <w:rPr>
          <w:szCs w:val="22"/>
        </w:rPr>
        <w:t xml:space="preserve">Pursuant to 5 CFR § 1320.8(d), on October 25, 2024, the Commission published a 60-Day </w:t>
      </w:r>
      <w:r w:rsidR="000809CB">
        <w:rPr>
          <w:szCs w:val="22"/>
        </w:rPr>
        <w:t>N</w:t>
      </w:r>
      <w:r w:rsidRPr="00EB3336">
        <w:rPr>
          <w:szCs w:val="22"/>
        </w:rPr>
        <w:t>otice in the Federal Register to solicit public comment on the foregoing requirements.</w:t>
      </w:r>
      <w:r>
        <w:rPr>
          <w:szCs w:val="22"/>
          <w:vertAlign w:val="superscript"/>
        </w:rPr>
        <w:footnoteReference w:id="59"/>
      </w:r>
      <w:r w:rsidRPr="00EB3336">
        <w:rPr>
          <w:szCs w:val="22"/>
        </w:rPr>
        <w:t xml:space="preserve">  We received comments from two parties—Securus Technologies, LLC (Securus) and Global Tel*Link Corporation d/b/a </w:t>
      </w:r>
      <w:r w:rsidRPr="00EB3336">
        <w:rPr>
          <w:szCs w:val="22"/>
        </w:rPr>
        <w:t>ViaPath</w:t>
      </w:r>
      <w:r w:rsidRPr="00EB3336">
        <w:rPr>
          <w:szCs w:val="22"/>
        </w:rPr>
        <w:t xml:space="preserve"> Technologies (</w:t>
      </w:r>
      <w:r w:rsidRPr="00EB3336">
        <w:rPr>
          <w:szCs w:val="22"/>
        </w:rPr>
        <w:t>ViaPath</w:t>
      </w:r>
      <w:r w:rsidRPr="00EB3336">
        <w:rPr>
          <w:szCs w:val="22"/>
        </w:rPr>
        <w:t xml:space="preserve">).  Securus’s comments address the rules regarding refunds for inactive IPCS accounts, disclosure rules pertaining to alternate pricing plans, requirements regarding the disclosure of international IPCS rate information, and the Commission’s modifications to the waiver process in the </w:t>
      </w:r>
      <w:r w:rsidRPr="00EB3336">
        <w:rPr>
          <w:i/>
          <w:iCs/>
          <w:szCs w:val="22"/>
        </w:rPr>
        <w:t>2024 IPCS Order</w:t>
      </w:r>
      <w:r w:rsidRPr="00EB3336">
        <w:rPr>
          <w:szCs w:val="22"/>
        </w:rPr>
        <w:t xml:space="preserve">.  </w:t>
      </w:r>
      <w:r w:rsidRPr="00EB3336">
        <w:rPr>
          <w:szCs w:val="22"/>
        </w:rPr>
        <w:t>ViaPath’s</w:t>
      </w:r>
      <w:r w:rsidRPr="00EB3336">
        <w:rPr>
          <w:szCs w:val="22"/>
        </w:rPr>
        <w:t xml:space="preserve"> comments address the Commission’s requirements more generally, focusing on the burdens and costs associated with those requirements.  We address these arguments below. </w:t>
      </w:r>
    </w:p>
    <w:p w:rsidR="00EB3336" w:rsidRPr="00164003" w:rsidP="00164003" w14:paraId="32D5ED0F" w14:textId="77777777">
      <w:pPr>
        <w:pStyle w:val="Numberedparagraphs"/>
        <w:numPr>
          <w:ilvl w:val="0"/>
          <w:numId w:val="0"/>
        </w:numPr>
        <w:tabs>
          <w:tab w:val="left" w:pos="720"/>
        </w:tabs>
        <w:ind w:left="180"/>
        <w:rPr>
          <w:b/>
          <w:bCs/>
          <w:szCs w:val="22"/>
        </w:rPr>
      </w:pPr>
      <w:r w:rsidRPr="00164003">
        <w:rPr>
          <w:b/>
          <w:bCs/>
          <w:szCs w:val="22"/>
        </w:rPr>
        <w:t>Burdens Associated with the Commission’s New and Revised Requirements</w:t>
      </w:r>
    </w:p>
    <w:p w:rsidR="00EB3336" w:rsidRPr="00EB3336" w:rsidP="00164003" w14:paraId="569F5C11" w14:textId="6399D474">
      <w:pPr>
        <w:pStyle w:val="Numberedparagraphs"/>
        <w:widowControl/>
        <w:numPr>
          <w:ilvl w:val="0"/>
          <w:numId w:val="0"/>
        </w:numPr>
        <w:tabs>
          <w:tab w:val="left" w:pos="720"/>
        </w:tabs>
        <w:ind w:left="180"/>
        <w:rPr>
          <w:szCs w:val="22"/>
        </w:rPr>
      </w:pPr>
      <w:r>
        <w:rPr>
          <w:i/>
          <w:iCs/>
          <w:szCs w:val="22"/>
        </w:rPr>
        <w:tab/>
      </w:r>
      <w:r w:rsidRPr="00EB3336">
        <w:rPr>
          <w:i/>
          <w:iCs/>
          <w:szCs w:val="22"/>
        </w:rPr>
        <w:t>Arguments</w:t>
      </w:r>
      <w:r w:rsidRPr="00EB3336">
        <w:rPr>
          <w:szCs w:val="22"/>
        </w:rPr>
        <w:t xml:space="preserve">.  </w:t>
      </w:r>
      <w:r w:rsidRPr="00EB3336">
        <w:rPr>
          <w:szCs w:val="22"/>
        </w:rPr>
        <w:t>ViaPath</w:t>
      </w:r>
      <w:r w:rsidRPr="00EB3336">
        <w:rPr>
          <w:szCs w:val="22"/>
        </w:rPr>
        <w:t xml:space="preserve"> argues that the Commission’s estimate that it will take each IPCS provider between 5 and 240 hours to comply with the Commission’s requirements “demonstrates the </w:t>
      </w:r>
      <w:r w:rsidRPr="00EB3336">
        <w:rPr>
          <w:szCs w:val="22"/>
        </w:rPr>
        <w:t>considerable burden associated with the requirements.”</w:t>
      </w:r>
      <w:r>
        <w:rPr>
          <w:szCs w:val="22"/>
          <w:vertAlign w:val="superscript"/>
        </w:rPr>
        <w:footnoteReference w:id="60"/>
      </w:r>
      <w:r w:rsidRPr="00EB3336">
        <w:rPr>
          <w:szCs w:val="22"/>
        </w:rPr>
        <w:t xml:space="preserve">  </w:t>
      </w:r>
      <w:r w:rsidRPr="00EB3336">
        <w:rPr>
          <w:szCs w:val="22"/>
        </w:rPr>
        <w:t>ViaPath</w:t>
      </w:r>
      <w:r w:rsidRPr="00EB3336">
        <w:rPr>
          <w:szCs w:val="22"/>
        </w:rPr>
        <w:t xml:space="preserve"> also argues that the Commission’s estimate is “substantially understated.”</w:t>
      </w:r>
      <w:r>
        <w:rPr>
          <w:szCs w:val="22"/>
          <w:vertAlign w:val="superscript"/>
        </w:rPr>
        <w:footnoteReference w:id="61"/>
      </w:r>
      <w:r w:rsidRPr="00EB3336">
        <w:rPr>
          <w:szCs w:val="22"/>
        </w:rPr>
        <w:t xml:space="preserve">  </w:t>
      </w:r>
      <w:r w:rsidRPr="00EB3336">
        <w:rPr>
          <w:szCs w:val="22"/>
        </w:rPr>
        <w:t>ViaPath</w:t>
      </w:r>
      <w:r w:rsidRPr="00EB3336">
        <w:rPr>
          <w:szCs w:val="22"/>
        </w:rPr>
        <w:t xml:space="preserve"> notes that in 2023, “the Commission estimated IPCS providers would spend between 5 and 1,200 hours to respond to the annual reporting and certification, third party disclosure, and waiver request requirements.”</w:t>
      </w:r>
      <w:r>
        <w:rPr>
          <w:szCs w:val="22"/>
          <w:vertAlign w:val="superscript"/>
        </w:rPr>
        <w:footnoteReference w:id="62"/>
      </w:r>
      <w:r w:rsidRPr="00EB3336">
        <w:rPr>
          <w:szCs w:val="22"/>
        </w:rPr>
        <w:t xml:space="preserve">  In contrast to the requirements under review at that time, the requirements now under review are “significantly more detailed” in </w:t>
      </w:r>
      <w:r w:rsidRPr="00EB3336">
        <w:rPr>
          <w:szCs w:val="22"/>
        </w:rPr>
        <w:t>ViaPath’s</w:t>
      </w:r>
      <w:r w:rsidRPr="00EB3336">
        <w:rPr>
          <w:szCs w:val="22"/>
        </w:rPr>
        <w:t xml:space="preserve"> view.</w:t>
      </w:r>
      <w:r>
        <w:rPr>
          <w:szCs w:val="22"/>
          <w:vertAlign w:val="superscript"/>
        </w:rPr>
        <w:footnoteReference w:id="63"/>
      </w:r>
      <w:r w:rsidRPr="00EB3336">
        <w:rPr>
          <w:szCs w:val="22"/>
        </w:rPr>
        <w:t xml:space="preserve">  </w:t>
      </w:r>
      <w:r w:rsidRPr="00EB3336">
        <w:rPr>
          <w:szCs w:val="22"/>
        </w:rPr>
        <w:t>ViaPath</w:t>
      </w:r>
      <w:r w:rsidRPr="00EB3336">
        <w:rPr>
          <w:szCs w:val="22"/>
        </w:rPr>
        <w:t xml:space="preserve"> also argues that there are less burdensome mechanisms to achieve the Commission’s goals.</w:t>
      </w:r>
      <w:r>
        <w:rPr>
          <w:szCs w:val="22"/>
          <w:vertAlign w:val="superscript"/>
        </w:rPr>
        <w:footnoteReference w:id="64"/>
      </w:r>
      <w:r w:rsidRPr="00EB3336">
        <w:rPr>
          <w:szCs w:val="22"/>
        </w:rPr>
        <w:t xml:space="preserve">  For example, </w:t>
      </w:r>
      <w:r w:rsidRPr="00EB3336">
        <w:rPr>
          <w:szCs w:val="22"/>
        </w:rPr>
        <w:t>ViaPath</w:t>
      </w:r>
      <w:r w:rsidRPr="00EB3336">
        <w:rPr>
          <w:szCs w:val="22"/>
        </w:rPr>
        <w:t xml:space="preserve"> suggests that, in comparison to the revised consumer disclosure rules adopted in the </w:t>
      </w:r>
      <w:r w:rsidRPr="00EB3336">
        <w:rPr>
          <w:i/>
          <w:iCs/>
          <w:szCs w:val="22"/>
        </w:rPr>
        <w:t>2024 IPCS Order</w:t>
      </w:r>
      <w:r w:rsidRPr="00EB3336">
        <w:rPr>
          <w:szCs w:val="22"/>
        </w:rPr>
        <w:t>, the Commission’s IPCS rate caps, IPCS-related consumer disclosures, Truth-in-Billing rules, Internet-posting requirements, investigative authority, and complaint processes collectively “provide a reliable and much less burdensome way to facilitate transparency.”</w:t>
      </w:r>
      <w:r>
        <w:rPr>
          <w:szCs w:val="22"/>
          <w:vertAlign w:val="superscript"/>
        </w:rPr>
        <w:footnoteReference w:id="65"/>
      </w:r>
      <w:r w:rsidRPr="00EB3336">
        <w:rPr>
          <w:szCs w:val="22"/>
        </w:rPr>
        <w:t xml:space="preserve">  </w:t>
      </w:r>
    </w:p>
    <w:p w:rsidR="00EB3336" w:rsidRPr="00EB3336" w:rsidP="00164003" w14:paraId="098975F6" w14:textId="52FC03B7">
      <w:pPr>
        <w:pStyle w:val="Numberedparagraphs"/>
        <w:widowControl/>
        <w:numPr>
          <w:ilvl w:val="0"/>
          <w:numId w:val="0"/>
        </w:numPr>
        <w:tabs>
          <w:tab w:val="left" w:pos="720"/>
        </w:tabs>
        <w:ind w:left="180"/>
        <w:rPr>
          <w:szCs w:val="22"/>
        </w:rPr>
      </w:pPr>
      <w:r>
        <w:rPr>
          <w:i/>
          <w:iCs/>
          <w:szCs w:val="22"/>
        </w:rPr>
        <w:tab/>
      </w:r>
      <w:r w:rsidRPr="00EB3336">
        <w:rPr>
          <w:i/>
          <w:iCs/>
          <w:szCs w:val="22"/>
        </w:rPr>
        <w:t>Response</w:t>
      </w:r>
      <w:r w:rsidRPr="00EB3336">
        <w:rPr>
          <w:szCs w:val="22"/>
        </w:rPr>
        <w:t xml:space="preserve">.  We are unpersuaded by </w:t>
      </w:r>
      <w:r w:rsidRPr="00EB3336">
        <w:rPr>
          <w:szCs w:val="22"/>
        </w:rPr>
        <w:t>ViaPath’s</w:t>
      </w:r>
      <w:r w:rsidRPr="00EB3336">
        <w:rPr>
          <w:szCs w:val="22"/>
        </w:rPr>
        <w:t xml:space="preserve"> arguments regarding the burdens associated with the Commission’s new and revised information collection requirements.  As an initial matter, we note that due to a typographical error in connection with the annual reporting, third-party disclosure, and waiver request requirements under review in 2023, the 30-Day Federal Register notice incorrectly specified that IPCS providers would spend between 5 and 1,200 hours to respond to those information collection requirements.</w:t>
      </w:r>
      <w:r>
        <w:rPr>
          <w:szCs w:val="22"/>
          <w:vertAlign w:val="superscript"/>
        </w:rPr>
        <w:footnoteReference w:id="66"/>
      </w:r>
      <w:r w:rsidRPr="00EB3336">
        <w:rPr>
          <w:szCs w:val="22"/>
        </w:rPr>
        <w:t xml:space="preserve">  The previously approved time for compliance with those requirements should have read “5—120 hours” rather than “5—1,200 hours.” </w:t>
      </w:r>
      <w:r w:rsidRPr="00EB3336">
        <w:rPr>
          <w:szCs w:val="22"/>
        </w:rPr>
        <w:t>ViaPath’s</w:t>
      </w:r>
      <w:r w:rsidRPr="00EB3336">
        <w:rPr>
          <w:szCs w:val="22"/>
        </w:rPr>
        <w:t xml:space="preserve"> comparison between the requirements under review in 2023 and the requirements now under review is thus far less persuasive given the lack of a significant disparity between the average number of hours the Commission has estimated it will take IPCS providers to comply with the Commission’s new and revised requirements here—between 5 and 240 hours—and those under review in 2023—between 5 and 120 hours.  Additionally, while </w:t>
      </w:r>
      <w:r w:rsidRPr="00EB3336">
        <w:rPr>
          <w:szCs w:val="22"/>
        </w:rPr>
        <w:t>ViaPath</w:t>
      </w:r>
      <w:r w:rsidRPr="00EB3336">
        <w:rPr>
          <w:szCs w:val="22"/>
        </w:rPr>
        <w:t xml:space="preserve"> argues that the “response time estimate is not realistic” and that it is “substantially understated,” </w:t>
      </w:r>
      <w:r w:rsidRPr="00EB3336">
        <w:rPr>
          <w:szCs w:val="22"/>
        </w:rPr>
        <w:t>ViaPath</w:t>
      </w:r>
      <w:r w:rsidRPr="00EB3336">
        <w:rPr>
          <w:szCs w:val="22"/>
        </w:rPr>
        <w:t xml:space="preserve"> provides no additional support for these assertions.</w:t>
      </w:r>
      <w:r>
        <w:rPr>
          <w:szCs w:val="22"/>
          <w:vertAlign w:val="superscript"/>
        </w:rPr>
        <w:footnoteReference w:id="67"/>
      </w:r>
      <w:r w:rsidRPr="00EB3336">
        <w:rPr>
          <w:szCs w:val="22"/>
        </w:rPr>
        <w:t xml:space="preserve">  The estimate that the Commission makes in this Supporting Statement shows an appropriate increase in total burden hours estimated for this collection and is reasonable given the expanded authority granted to the Commission by the Martha Wright-Reed Act.  We are therefore unpersuaded that the Commission’s response time estimate has been understated or is otherwise inaccurate.  Instead, we find that our current burden estimate accurately measures the average number of hours that it will take IPCS providers to comply with the information collection requirements now under review.</w:t>
      </w:r>
    </w:p>
    <w:p w:rsidR="00EB3336" w:rsidRPr="00EB3336" w:rsidP="00164003" w14:paraId="1B6EF68C" w14:textId="4837118E">
      <w:pPr>
        <w:pStyle w:val="Numberedparagraphs"/>
        <w:widowControl/>
        <w:numPr>
          <w:ilvl w:val="0"/>
          <w:numId w:val="0"/>
        </w:numPr>
        <w:tabs>
          <w:tab w:val="left" w:pos="720"/>
        </w:tabs>
        <w:ind w:left="180"/>
        <w:rPr>
          <w:szCs w:val="22"/>
        </w:rPr>
      </w:pPr>
      <w:r>
        <w:rPr>
          <w:szCs w:val="22"/>
        </w:rPr>
        <w:tab/>
      </w:r>
      <w:r w:rsidRPr="00EB3336">
        <w:rPr>
          <w:szCs w:val="22"/>
        </w:rPr>
        <w:t xml:space="preserve">We also reject </w:t>
      </w:r>
      <w:r w:rsidRPr="00EB3336">
        <w:rPr>
          <w:szCs w:val="22"/>
        </w:rPr>
        <w:t>ViaPath’s</w:t>
      </w:r>
      <w:r w:rsidRPr="00EB3336">
        <w:rPr>
          <w:szCs w:val="22"/>
        </w:rPr>
        <w:t xml:space="preserve"> suggestion that the existence of other disclosure rules aimed at increasing the transparency of IPCS providers’ operations to consumers should somehow bar the Commission from requiring additional disclosures or otherwise should foreclose adoption of the revised and expanded consumer disclosure rules at issue here.</w:t>
      </w:r>
      <w:r>
        <w:rPr>
          <w:szCs w:val="22"/>
          <w:vertAlign w:val="superscript"/>
        </w:rPr>
        <w:footnoteReference w:id="68"/>
      </w:r>
      <w:r w:rsidRPr="00EB3336">
        <w:rPr>
          <w:szCs w:val="22"/>
        </w:rPr>
        <w:t xml:space="preserve">  The revised and expanded consumer disclosure rules adopted in the </w:t>
      </w:r>
      <w:r w:rsidRPr="00EB3336">
        <w:rPr>
          <w:i/>
          <w:iCs/>
          <w:szCs w:val="22"/>
        </w:rPr>
        <w:t>2024 IPCS Order</w:t>
      </w:r>
      <w:r w:rsidRPr="00EB3336">
        <w:rPr>
          <w:szCs w:val="22"/>
        </w:rPr>
        <w:t xml:space="preserve"> are designed to “offer increased transparency and protection for consumers beyond those afforded by the Commission’s existing rules” while also “facilitating the </w:t>
      </w:r>
      <w:r w:rsidRPr="00EB3336">
        <w:rPr>
          <w:szCs w:val="22"/>
        </w:rPr>
        <w:t>monitoring and enforcement of [the Commission’s] rules to ensure just and reasonable IPCS rates and charges.”</w:t>
      </w:r>
      <w:r>
        <w:rPr>
          <w:szCs w:val="22"/>
          <w:vertAlign w:val="superscript"/>
        </w:rPr>
        <w:footnoteReference w:id="69"/>
      </w:r>
      <w:r w:rsidRPr="00EB3336">
        <w:rPr>
          <w:szCs w:val="22"/>
        </w:rPr>
        <w:t xml:space="preserve">  Furthermore, the expanded consumer disclosure rules ensure that these rules “include all IPCS providers subject to [the Commission’s] expanded jurisdiction under the Martha Wright-Reed Act, including video IPCS and other advanced communications services.”</w:t>
      </w:r>
      <w:r>
        <w:rPr>
          <w:szCs w:val="22"/>
          <w:vertAlign w:val="superscript"/>
        </w:rPr>
        <w:footnoteReference w:id="70"/>
      </w:r>
      <w:r w:rsidRPr="00EB3336">
        <w:rPr>
          <w:szCs w:val="22"/>
        </w:rPr>
        <w:t xml:space="preserve">  As such, the new rules complement the preexisting consumer disclosure rules consistent with the Commission’s authority to require increased transparency in connection with IPCS pursuant to section 276(b)(1)(A) of the Communications Act, as amended by the Martha Wright-Reed Act, and, to the extent interstate or international telecommunications services are involved, section 201(b) of the Communications Act.</w:t>
      </w:r>
      <w:r>
        <w:rPr>
          <w:szCs w:val="22"/>
          <w:vertAlign w:val="superscript"/>
        </w:rPr>
        <w:footnoteReference w:id="71"/>
      </w:r>
    </w:p>
    <w:p w:rsidR="00EB3336" w:rsidRPr="00164003" w:rsidP="00164003" w14:paraId="0AF51FF8" w14:textId="77777777">
      <w:pPr>
        <w:pStyle w:val="Numberedparagraphs"/>
        <w:numPr>
          <w:ilvl w:val="0"/>
          <w:numId w:val="0"/>
        </w:numPr>
        <w:tabs>
          <w:tab w:val="left" w:pos="720"/>
        </w:tabs>
        <w:ind w:left="180"/>
        <w:rPr>
          <w:b/>
          <w:bCs/>
          <w:szCs w:val="22"/>
        </w:rPr>
      </w:pPr>
      <w:r w:rsidRPr="00164003">
        <w:rPr>
          <w:b/>
          <w:bCs/>
          <w:szCs w:val="22"/>
        </w:rPr>
        <w:t>Costs Associated with the Commission’s New and Revised Requirements</w:t>
      </w:r>
    </w:p>
    <w:p w:rsidR="00EB3336" w:rsidRPr="00EB3336" w:rsidP="00164003" w14:paraId="189119C1" w14:textId="68CF53A8">
      <w:pPr>
        <w:pStyle w:val="Numberedparagraphs"/>
        <w:widowControl/>
        <w:numPr>
          <w:ilvl w:val="0"/>
          <w:numId w:val="0"/>
        </w:numPr>
        <w:tabs>
          <w:tab w:val="left" w:pos="720"/>
        </w:tabs>
        <w:ind w:left="180"/>
        <w:rPr>
          <w:szCs w:val="22"/>
        </w:rPr>
      </w:pPr>
      <w:r>
        <w:rPr>
          <w:i/>
          <w:iCs/>
          <w:szCs w:val="22"/>
        </w:rPr>
        <w:tab/>
      </w:r>
      <w:r w:rsidRPr="00EB3336">
        <w:rPr>
          <w:i/>
          <w:iCs/>
          <w:szCs w:val="22"/>
        </w:rPr>
        <w:t>Arguments</w:t>
      </w:r>
      <w:r w:rsidRPr="00EB3336">
        <w:rPr>
          <w:szCs w:val="22"/>
        </w:rPr>
        <w:t xml:space="preserve">.  OMB requires that agencies estimate both the “the </w:t>
      </w:r>
      <w:r w:rsidR="001F4154">
        <w:rPr>
          <w:szCs w:val="22"/>
        </w:rPr>
        <w:t>total annual</w:t>
      </w:r>
      <w:r w:rsidR="00E25F10">
        <w:rPr>
          <w:szCs w:val="22"/>
        </w:rPr>
        <w:t xml:space="preserve"> </w:t>
      </w:r>
      <w:r w:rsidRPr="00EB3336">
        <w:rPr>
          <w:szCs w:val="22"/>
        </w:rPr>
        <w:t xml:space="preserve">burden” and the “total annual cost” of their information collection requirements.  In the 60-Day </w:t>
      </w:r>
      <w:r w:rsidR="00C70F21">
        <w:rPr>
          <w:szCs w:val="22"/>
        </w:rPr>
        <w:t>N</w:t>
      </w:r>
      <w:r w:rsidRPr="00EB3336">
        <w:rPr>
          <w:szCs w:val="22"/>
        </w:rPr>
        <w:t>otice, the Commission estimated that the total “</w:t>
      </w:r>
      <w:r w:rsidR="00255669">
        <w:rPr>
          <w:szCs w:val="22"/>
        </w:rPr>
        <w:t>annual</w:t>
      </w:r>
      <w:r w:rsidRPr="00EB3336">
        <w:rPr>
          <w:szCs w:val="22"/>
        </w:rPr>
        <w:t xml:space="preserve"> burden” of the Commission’s new and revised information collection requirements applicable to IPCS would be 17,555 hours annually</w:t>
      </w:r>
      <w:r>
        <w:rPr>
          <w:rStyle w:val="FootnoteReference"/>
          <w:szCs w:val="22"/>
        </w:rPr>
        <w:footnoteReference w:id="72"/>
      </w:r>
      <w:r w:rsidRPr="00EB3336">
        <w:rPr>
          <w:szCs w:val="22"/>
        </w:rPr>
        <w:t xml:space="preserve"> and that there would be no “total annual cost” from those requirements.</w:t>
      </w:r>
      <w:r>
        <w:rPr>
          <w:szCs w:val="22"/>
          <w:vertAlign w:val="superscript"/>
        </w:rPr>
        <w:footnoteReference w:id="73"/>
      </w:r>
      <w:r w:rsidRPr="00EB3336">
        <w:rPr>
          <w:szCs w:val="22"/>
        </w:rPr>
        <w:t xml:space="preserve">  </w:t>
      </w:r>
      <w:r w:rsidRPr="00EB3336">
        <w:rPr>
          <w:szCs w:val="22"/>
        </w:rPr>
        <w:t>ViaPath</w:t>
      </w:r>
      <w:r w:rsidRPr="00EB3336">
        <w:rPr>
          <w:szCs w:val="22"/>
        </w:rPr>
        <w:t xml:space="preserve"> challenges the latter estimate, arguing that “implementation of the information collection requirements will require substantial changes, reconfiguration, and reprogramming of IPCS provider systems, including updates to billing systems, back office functions, and websites.”</w:t>
      </w:r>
      <w:r>
        <w:rPr>
          <w:szCs w:val="22"/>
          <w:vertAlign w:val="superscript"/>
        </w:rPr>
        <w:footnoteReference w:id="74"/>
      </w:r>
      <w:r w:rsidRPr="00EB3336">
        <w:rPr>
          <w:szCs w:val="22"/>
        </w:rPr>
        <w:t xml:space="preserve">  </w:t>
      </w:r>
      <w:r w:rsidRPr="00EB3336">
        <w:rPr>
          <w:szCs w:val="22"/>
        </w:rPr>
        <w:t>ViaPath</w:t>
      </w:r>
      <w:r w:rsidRPr="00EB3336">
        <w:rPr>
          <w:szCs w:val="22"/>
        </w:rPr>
        <w:t xml:space="preserve"> contends that the Commission’s cost estimate “ignores the significant costs associated with implementation of the information collection requirements as well as the costs related to ongoing compliance with the requirements.”</w:t>
      </w:r>
      <w:r>
        <w:rPr>
          <w:szCs w:val="22"/>
          <w:vertAlign w:val="superscript"/>
        </w:rPr>
        <w:footnoteReference w:id="75"/>
      </w:r>
    </w:p>
    <w:p w:rsidR="00EB3336" w:rsidRPr="00EB3336" w:rsidP="002D06EC" w14:paraId="38B94575" w14:textId="611B26C3">
      <w:pPr>
        <w:pStyle w:val="Numberedparagraphs"/>
        <w:widowControl/>
        <w:numPr>
          <w:ilvl w:val="0"/>
          <w:numId w:val="0"/>
        </w:numPr>
        <w:tabs>
          <w:tab w:val="left" w:pos="720"/>
        </w:tabs>
        <w:ind w:left="180"/>
      </w:pPr>
      <w:r>
        <w:rPr>
          <w:i/>
          <w:iCs/>
          <w:szCs w:val="22"/>
        </w:rPr>
        <w:tab/>
      </w:r>
      <w:r w:rsidRPr="04DEEDA0">
        <w:rPr>
          <w:i/>
        </w:rPr>
        <w:t>Response</w:t>
      </w:r>
      <w:r w:rsidRPr="04DEEDA0">
        <w:t xml:space="preserve">.  </w:t>
      </w:r>
      <w:r w:rsidRPr="04DEEDA0">
        <w:t>ViaPath’s</w:t>
      </w:r>
      <w:r w:rsidRPr="04DEEDA0">
        <w:t xml:space="preserve"> argument reflects a misunderstanding of the relationship between the Commission’s “</w:t>
      </w:r>
      <w:r w:rsidRPr="04DEEDA0" w:rsidR="00C20F9D">
        <w:t>total annual</w:t>
      </w:r>
      <w:r w:rsidRPr="04DEEDA0">
        <w:t xml:space="preserve"> burden” and “total annual cost” estimates.  The “</w:t>
      </w:r>
      <w:r w:rsidRPr="04DEEDA0" w:rsidR="00493A56">
        <w:t>total annual</w:t>
      </w:r>
      <w:r w:rsidR="007A2C2E">
        <w:rPr>
          <w:szCs w:val="22"/>
        </w:rPr>
        <w:t xml:space="preserve"> </w:t>
      </w:r>
      <w:r w:rsidRPr="04DEEDA0">
        <w:t xml:space="preserve">burden” figure provided in the 60-Day </w:t>
      </w:r>
      <w:r w:rsidRPr="04DEEDA0" w:rsidR="00C70F21">
        <w:t>N</w:t>
      </w:r>
      <w:r w:rsidRPr="04DEEDA0">
        <w:t xml:space="preserve">otice reflects our estimate of the total number of work hours required to comply with the new and revised requirements of this information collection.  In contrast, the “total annual cost” </w:t>
      </w:r>
      <w:r w:rsidRPr="04DEEDA0" w:rsidR="00320C9C">
        <w:t xml:space="preserve">estimate </w:t>
      </w:r>
      <w:r w:rsidRPr="04DEEDA0">
        <w:t xml:space="preserve">provided in </w:t>
      </w:r>
      <w:r w:rsidRPr="04DEEDA0" w:rsidR="00BD1445">
        <w:t>the</w:t>
      </w:r>
      <w:r w:rsidR="00580F31">
        <w:rPr>
          <w:szCs w:val="22"/>
        </w:rPr>
        <w:t xml:space="preserve"> </w:t>
      </w:r>
      <w:r w:rsidRPr="04DEEDA0" w:rsidR="00444E7B">
        <w:t>60-Day Notice</w:t>
      </w:r>
      <w:r w:rsidR="003C4221">
        <w:rPr>
          <w:szCs w:val="22"/>
        </w:rPr>
        <w:t xml:space="preserve"> </w:t>
      </w:r>
      <w:r w:rsidRPr="04DEEDA0" w:rsidR="00151749">
        <w:t>reflects</w:t>
      </w:r>
      <w:r w:rsidRPr="04DEEDA0">
        <w:t xml:space="preserve"> our estimate of any additional </w:t>
      </w:r>
      <w:r w:rsidRPr="04DEEDA0" w:rsidR="007F2E2F">
        <w:t xml:space="preserve">capital expenditures that </w:t>
      </w:r>
      <w:r w:rsidRPr="04DEEDA0">
        <w:t xml:space="preserve">IPCS providers will incur in complying with </w:t>
      </w:r>
      <w:r w:rsidRPr="04DEEDA0" w:rsidR="00353058">
        <w:t>the information collection</w:t>
      </w:r>
      <w:r w:rsidRPr="04DEEDA0">
        <w:t xml:space="preserve"> requirements</w:t>
      </w:r>
      <w:r w:rsidRPr="04DEEDA0" w:rsidR="00354B1E">
        <w:t xml:space="preserve"> beyond those they would incur in the normal course of business</w:t>
      </w:r>
      <w:r w:rsidR="002A53AA">
        <w:rPr>
          <w:szCs w:val="22"/>
        </w:rPr>
        <w:t>.</w:t>
      </w:r>
      <w:r>
        <w:rPr>
          <w:rStyle w:val="FootnoteReference"/>
        </w:rPr>
        <w:footnoteReference w:id="76"/>
      </w:r>
      <w:r w:rsidR="002A53AA">
        <w:rPr>
          <w:szCs w:val="22"/>
        </w:rPr>
        <w:t xml:space="preserve"> </w:t>
      </w:r>
      <w:r w:rsidRPr="04DEEDA0">
        <w:t xml:space="preserve"> While IPCS providers may have to update their existing software or billing systems to comply with the Commission’s rules,</w:t>
      </w:r>
      <w:r>
        <w:rPr>
          <w:vertAlign w:val="superscript"/>
        </w:rPr>
        <w:footnoteReference w:id="77"/>
      </w:r>
      <w:r w:rsidRPr="04DEEDA0">
        <w:t xml:space="preserve"> </w:t>
      </w:r>
      <w:r w:rsidRPr="04DEEDA0">
        <w:t>ViaPath</w:t>
      </w:r>
      <w:r w:rsidRPr="04DEEDA0">
        <w:t xml:space="preserve"> makes no claim that any additional </w:t>
      </w:r>
      <w:r w:rsidRPr="04DEEDA0" w:rsidR="00246FF6">
        <w:t>capital</w:t>
      </w:r>
      <w:r w:rsidRPr="04DEEDA0">
        <w:t xml:space="preserve"> expenditures will be necessary.  </w:t>
      </w:r>
      <w:r w:rsidRPr="04DEEDA0">
        <w:t>ViaPath’s</w:t>
      </w:r>
      <w:r w:rsidRPr="04DEEDA0">
        <w:t xml:space="preserve"> comments therefore provide no basis for finding that the Commission’s cost estimates are “incorrect,” as </w:t>
      </w:r>
      <w:r w:rsidRPr="04DEEDA0">
        <w:t>ViaPath</w:t>
      </w:r>
      <w:r w:rsidRPr="04DEEDA0">
        <w:t xml:space="preserve"> suggests.</w:t>
      </w:r>
      <w:r>
        <w:rPr>
          <w:vertAlign w:val="superscript"/>
        </w:rPr>
        <w:footnoteReference w:id="78"/>
      </w:r>
    </w:p>
    <w:p w:rsidR="00EB3336" w:rsidRPr="002D06EC" w:rsidP="002D06EC" w14:paraId="36AA6C00" w14:textId="77777777">
      <w:pPr>
        <w:pStyle w:val="Numberedparagraphs"/>
        <w:numPr>
          <w:ilvl w:val="0"/>
          <w:numId w:val="0"/>
        </w:numPr>
        <w:tabs>
          <w:tab w:val="left" w:pos="720"/>
        </w:tabs>
        <w:ind w:left="180"/>
        <w:rPr>
          <w:b/>
          <w:bCs/>
          <w:szCs w:val="22"/>
        </w:rPr>
      </w:pPr>
      <w:r w:rsidRPr="002D06EC">
        <w:rPr>
          <w:b/>
          <w:bCs/>
          <w:szCs w:val="22"/>
        </w:rPr>
        <w:t xml:space="preserve">Burdens Associated with Refund Rules for Inactive IPCS Accounts as Applied to Debit Accounts </w:t>
      </w:r>
    </w:p>
    <w:p w:rsidR="00EB3336" w:rsidRPr="00EB3336" w:rsidP="002D06EC" w14:paraId="42FE1551" w14:textId="732E429B">
      <w:pPr>
        <w:pStyle w:val="Numberedparagraphs"/>
        <w:widowControl/>
        <w:numPr>
          <w:ilvl w:val="0"/>
          <w:numId w:val="0"/>
        </w:numPr>
        <w:tabs>
          <w:tab w:val="left" w:pos="720"/>
        </w:tabs>
        <w:ind w:left="180"/>
        <w:rPr>
          <w:szCs w:val="22"/>
        </w:rPr>
      </w:pPr>
      <w:r>
        <w:rPr>
          <w:i/>
          <w:iCs/>
          <w:szCs w:val="22"/>
        </w:rPr>
        <w:tab/>
      </w:r>
      <w:r w:rsidRPr="00EB3336">
        <w:rPr>
          <w:i/>
          <w:iCs/>
          <w:szCs w:val="22"/>
        </w:rPr>
        <w:t>Arguments</w:t>
      </w:r>
      <w:r w:rsidRPr="00EB3336">
        <w:rPr>
          <w:szCs w:val="22"/>
        </w:rPr>
        <w:t xml:space="preserve">.  Securus challenges several aspects of the refund rules for inactive IPCS accounts that the Commission adopted </w:t>
      </w:r>
      <w:r w:rsidR="00237443">
        <w:rPr>
          <w:szCs w:val="22"/>
        </w:rPr>
        <w:t xml:space="preserve">in </w:t>
      </w:r>
      <w:r w:rsidRPr="00EB3336">
        <w:rPr>
          <w:szCs w:val="22"/>
        </w:rPr>
        <w:t xml:space="preserve">the </w:t>
      </w:r>
      <w:r w:rsidRPr="00EB3336">
        <w:rPr>
          <w:i/>
          <w:iCs/>
          <w:szCs w:val="22"/>
        </w:rPr>
        <w:t>2024 IPCS Order</w:t>
      </w:r>
      <w:r w:rsidRPr="00EB3336">
        <w:rPr>
          <w:szCs w:val="22"/>
        </w:rPr>
        <w:t xml:space="preserve"> as those rules apply to debit accounts.</w:t>
      </w:r>
      <w:r>
        <w:rPr>
          <w:szCs w:val="22"/>
          <w:vertAlign w:val="superscript"/>
        </w:rPr>
        <w:footnoteReference w:id="79"/>
      </w:r>
      <w:r w:rsidRPr="00EB3336">
        <w:rPr>
          <w:szCs w:val="22"/>
        </w:rPr>
        <w:t xml:space="preserve">  Securus seeks reversal of the refund rules that require: (1) automatic refunds for debit accounts after 180 days of continuous inactivity; (2) notification to debit account holders 60 days before the 180-day inactivity period expires; and (3) notification to debit account holders before issuing a refund of any unused balance in an IPCS account to determine whether the account holder wishes to close the account and receive a refund or keep the account open.</w:t>
      </w:r>
      <w:r>
        <w:rPr>
          <w:szCs w:val="22"/>
          <w:vertAlign w:val="superscript"/>
        </w:rPr>
        <w:footnoteReference w:id="80"/>
      </w:r>
      <w:r w:rsidRPr="00EB3336">
        <w:rPr>
          <w:szCs w:val="22"/>
        </w:rPr>
        <w:t xml:space="preserve">  Securus asserts that these requirements “make no sense for debit accounts,”</w:t>
      </w:r>
      <w:r>
        <w:rPr>
          <w:szCs w:val="22"/>
          <w:vertAlign w:val="superscript"/>
        </w:rPr>
        <w:footnoteReference w:id="81"/>
      </w:r>
      <w:r w:rsidRPr="00EB3336">
        <w:rPr>
          <w:szCs w:val="22"/>
        </w:rPr>
        <w:t xml:space="preserve"> because, “the incarcerated person is the account holder” and the accounts “may be managed by the correctional authority.”</w:t>
      </w:r>
      <w:r>
        <w:rPr>
          <w:szCs w:val="22"/>
          <w:vertAlign w:val="superscript"/>
        </w:rPr>
        <w:footnoteReference w:id="82"/>
      </w:r>
      <w:r w:rsidRPr="00EB3336">
        <w:rPr>
          <w:szCs w:val="22"/>
        </w:rPr>
        <w:t xml:space="preserve">  </w:t>
      </w:r>
    </w:p>
    <w:p w:rsidR="00EB3336" w:rsidRPr="00EB3336" w:rsidP="002D06EC" w14:paraId="7FEF8872" w14:textId="57F2C3F5">
      <w:pPr>
        <w:pStyle w:val="Numberedparagraphs"/>
        <w:widowControl/>
        <w:numPr>
          <w:ilvl w:val="0"/>
          <w:numId w:val="0"/>
        </w:numPr>
        <w:tabs>
          <w:tab w:val="left" w:pos="720"/>
        </w:tabs>
        <w:ind w:left="180"/>
        <w:rPr>
          <w:szCs w:val="22"/>
        </w:rPr>
      </w:pPr>
      <w:r>
        <w:rPr>
          <w:szCs w:val="22"/>
        </w:rPr>
        <w:tab/>
      </w:r>
      <w:r w:rsidRPr="00EB3336">
        <w:rPr>
          <w:szCs w:val="22"/>
        </w:rPr>
        <w:t>Securus argues that the characteristics of debit accounts make them unsuitable for automatic refunds and associated notices because those accounts never become inactive while an individual is incarcerated.</w:t>
      </w:r>
      <w:r>
        <w:rPr>
          <w:szCs w:val="22"/>
          <w:vertAlign w:val="superscript"/>
        </w:rPr>
        <w:footnoteReference w:id="83"/>
      </w:r>
      <w:r w:rsidRPr="00EB3336">
        <w:rPr>
          <w:szCs w:val="22"/>
        </w:rPr>
        <w:t xml:space="preserve">  According to Securus, if there are unused amounts in debit accounts, those amounts are refunded to incarcerated persons once they are released or transferred.</w:t>
      </w:r>
      <w:r>
        <w:rPr>
          <w:szCs w:val="22"/>
          <w:vertAlign w:val="superscript"/>
        </w:rPr>
        <w:footnoteReference w:id="84"/>
      </w:r>
      <w:r w:rsidRPr="00EB3336">
        <w:rPr>
          <w:szCs w:val="22"/>
        </w:rPr>
        <w:t xml:space="preserve">  Securus asserts that, as a practical matter, “[a]</w:t>
      </w:r>
      <w:r w:rsidRPr="00EB3336">
        <w:rPr>
          <w:szCs w:val="22"/>
        </w:rPr>
        <w:t>ny</w:t>
      </w:r>
      <w:r w:rsidRPr="00EB3336">
        <w:rPr>
          <w:szCs w:val="22"/>
        </w:rPr>
        <w:t xml:space="preserve"> refunded amount would have to be remitted to the incarcerated person’s commissary or trust accounts, over which IPCS providers have no control.”</w:t>
      </w:r>
      <w:r>
        <w:rPr>
          <w:szCs w:val="22"/>
          <w:vertAlign w:val="superscript"/>
        </w:rPr>
        <w:footnoteReference w:id="85"/>
      </w:r>
      <w:r w:rsidRPr="00EB3336">
        <w:rPr>
          <w:szCs w:val="22"/>
        </w:rPr>
        <w:t xml:space="preserve">  As Securus explains, “IPCS providers have no mechanism to directly place funds into such accounts that are controlled by correctional authorities through contract with other third-party vendors.”</w:t>
      </w:r>
      <w:r>
        <w:rPr>
          <w:szCs w:val="22"/>
          <w:vertAlign w:val="superscript"/>
        </w:rPr>
        <w:footnoteReference w:id="86"/>
      </w:r>
      <w:r w:rsidRPr="00EB3336">
        <w:rPr>
          <w:szCs w:val="22"/>
        </w:rPr>
        <w:t xml:space="preserve">  Furthermore, Securus argues that the requirements to provide notice to debit account holders prior to the expiration of the inactivity period and prior to issuing a refund are impractical in the case of debit accounts where the incarcerated person is the account holder because “Securus and other IPCS providers have limited ability to contact incarcerated persons.”</w:t>
      </w:r>
      <w:r>
        <w:rPr>
          <w:szCs w:val="22"/>
          <w:vertAlign w:val="superscript"/>
        </w:rPr>
        <w:footnoteReference w:id="87"/>
      </w:r>
    </w:p>
    <w:p w:rsidR="00EB3336" w:rsidRPr="00EB3336" w:rsidP="002D06EC" w14:paraId="2C87C0B8" w14:textId="2FA3F538">
      <w:pPr>
        <w:pStyle w:val="Numberedparagraphs"/>
        <w:widowControl/>
        <w:numPr>
          <w:ilvl w:val="0"/>
          <w:numId w:val="0"/>
        </w:numPr>
        <w:tabs>
          <w:tab w:val="left" w:pos="720"/>
        </w:tabs>
        <w:ind w:left="180"/>
        <w:rPr>
          <w:szCs w:val="22"/>
        </w:rPr>
      </w:pPr>
      <w:r>
        <w:rPr>
          <w:i/>
          <w:iCs/>
          <w:szCs w:val="22"/>
        </w:rPr>
        <w:tab/>
      </w:r>
      <w:r w:rsidRPr="00EB3336">
        <w:rPr>
          <w:i/>
          <w:iCs/>
          <w:szCs w:val="22"/>
        </w:rPr>
        <w:t>Response</w:t>
      </w:r>
      <w:r w:rsidRPr="00EB3336">
        <w:rPr>
          <w:szCs w:val="22"/>
        </w:rPr>
        <w:t xml:space="preserve">.  Securus’s arguments against applying the Commission’s refund rules to debit accounts reflect a misunderstanding of the Commission’s rules.  In the </w:t>
      </w:r>
      <w:r w:rsidRPr="00EB3336">
        <w:rPr>
          <w:i/>
          <w:iCs/>
          <w:szCs w:val="22"/>
        </w:rPr>
        <w:t>2024 IPCS Order</w:t>
      </w:r>
      <w:r w:rsidRPr="00EB3336">
        <w:rPr>
          <w:szCs w:val="22"/>
        </w:rPr>
        <w:t>, the Commission explained that its “permanent rules for the treatment of balances in inactive IPCS accounts apply to any type of account, that can be used to pay for IPCS, to the extent the provider or its affiliate controls the disposition of the funds in the account.”</w:t>
      </w:r>
      <w:r>
        <w:rPr>
          <w:szCs w:val="22"/>
          <w:vertAlign w:val="superscript"/>
        </w:rPr>
        <w:footnoteReference w:id="88"/>
      </w:r>
      <w:r w:rsidRPr="00EB3336">
        <w:rPr>
          <w:szCs w:val="22"/>
        </w:rPr>
        <w:t xml:space="preserve">  Thus, the applicability of the inactive accounts rules “extends to all accounts administered by, or directly or indirectly controlled by a provider or an affiliate that can be used to pay IPCS rates or charges.”</w:t>
      </w:r>
      <w:r>
        <w:rPr>
          <w:szCs w:val="22"/>
          <w:vertAlign w:val="superscript"/>
        </w:rPr>
        <w:footnoteReference w:id="89"/>
      </w:r>
      <w:r w:rsidRPr="00EB3336">
        <w:rPr>
          <w:szCs w:val="22"/>
        </w:rPr>
        <w:t xml:space="preserve">  Th</w:t>
      </w:r>
      <w:r w:rsidR="00A20956">
        <w:rPr>
          <w:szCs w:val="22"/>
        </w:rPr>
        <w:t>us,</w:t>
      </w:r>
      <w:r w:rsidRPr="00EB3336">
        <w:rPr>
          <w:szCs w:val="22"/>
        </w:rPr>
        <w:t xml:space="preserve"> the Commission’s inactive account rules, including the requirement to make automatic refunds, </w:t>
      </w:r>
      <w:r w:rsidR="00A20956">
        <w:rPr>
          <w:szCs w:val="22"/>
        </w:rPr>
        <w:t xml:space="preserve">only apply to accounts </w:t>
      </w:r>
      <w:r w:rsidRPr="00B66F33" w:rsidR="003E3007">
        <w:rPr>
          <w:i/>
          <w:iCs/>
          <w:szCs w:val="22"/>
        </w:rPr>
        <w:t xml:space="preserve">directly or indirectly </w:t>
      </w:r>
      <w:r w:rsidRPr="00B66F33" w:rsidR="003E3007">
        <w:rPr>
          <w:i/>
          <w:iCs/>
          <w:szCs w:val="22"/>
        </w:rPr>
        <w:t>controlled by a provider or an affiliate</w:t>
      </w:r>
      <w:r w:rsidR="00FF34E2">
        <w:rPr>
          <w:szCs w:val="22"/>
        </w:rPr>
        <w:t>.</w:t>
      </w:r>
      <w:r w:rsidR="009C7456">
        <w:rPr>
          <w:szCs w:val="22"/>
        </w:rPr>
        <w:t xml:space="preserve">  This </w:t>
      </w:r>
      <w:r w:rsidR="007C7555">
        <w:rPr>
          <w:szCs w:val="22"/>
        </w:rPr>
        <w:t xml:space="preserve">language </w:t>
      </w:r>
      <w:r w:rsidRPr="00EB3336" w:rsidR="009C7456">
        <w:rPr>
          <w:szCs w:val="22"/>
        </w:rPr>
        <w:t>addresses Securus’s misplaced concerns</w:t>
      </w:r>
      <w:r w:rsidR="009C7456">
        <w:rPr>
          <w:szCs w:val="22"/>
        </w:rPr>
        <w:t xml:space="preserve"> over debit accounts.</w:t>
      </w:r>
      <w:r w:rsidR="00FF34E2">
        <w:rPr>
          <w:szCs w:val="22"/>
        </w:rPr>
        <w:t xml:space="preserve"> </w:t>
      </w:r>
      <w:r w:rsidRPr="00EB3336">
        <w:rPr>
          <w:szCs w:val="22"/>
        </w:rPr>
        <w:t xml:space="preserve">  </w:t>
      </w:r>
    </w:p>
    <w:p w:rsidR="00EB3336" w:rsidRPr="00EB3336" w:rsidP="002D06EC" w14:paraId="65CA030D" w14:textId="108E1F34">
      <w:pPr>
        <w:pStyle w:val="Numberedparagraphs"/>
        <w:widowControl/>
        <w:numPr>
          <w:ilvl w:val="0"/>
          <w:numId w:val="0"/>
        </w:numPr>
        <w:tabs>
          <w:tab w:val="left" w:pos="720"/>
        </w:tabs>
        <w:ind w:left="180"/>
        <w:rPr>
          <w:szCs w:val="22"/>
        </w:rPr>
      </w:pPr>
      <w:r>
        <w:rPr>
          <w:szCs w:val="22"/>
        </w:rPr>
        <w:tab/>
      </w:r>
      <w:r w:rsidRPr="00EB3336">
        <w:rPr>
          <w:szCs w:val="22"/>
        </w:rPr>
        <w:t>Securus’s additional arguments are, in effect, arguments that the Commission improperly exercised its discretion or otherwise erred in adopting its permanent refund rules for inactive IPCS accounts.</w:t>
      </w:r>
      <w:r>
        <w:rPr>
          <w:szCs w:val="22"/>
          <w:vertAlign w:val="superscript"/>
        </w:rPr>
        <w:footnoteReference w:id="90"/>
      </w:r>
      <w:r w:rsidRPr="00EB3336">
        <w:rPr>
          <w:szCs w:val="22"/>
        </w:rPr>
        <w:t xml:space="preserve">  </w:t>
      </w:r>
      <w:r w:rsidR="003D3C8F">
        <w:rPr>
          <w:szCs w:val="22"/>
        </w:rPr>
        <w:t xml:space="preserve">These </w:t>
      </w:r>
      <w:r w:rsidRPr="00EB3336">
        <w:rPr>
          <w:szCs w:val="22"/>
        </w:rPr>
        <w:t>arguments</w:t>
      </w:r>
      <w:r w:rsidR="00266F16">
        <w:rPr>
          <w:szCs w:val="22"/>
        </w:rPr>
        <w:t xml:space="preserve"> </w:t>
      </w:r>
      <w:r w:rsidRPr="00EB3336" w:rsidR="00266F16">
        <w:rPr>
          <w:szCs w:val="22"/>
        </w:rPr>
        <w:t>have no bearing on OMB’s review of the paperwork burdens associated with th</w:t>
      </w:r>
      <w:r w:rsidR="000D4DD2">
        <w:rPr>
          <w:szCs w:val="22"/>
        </w:rPr>
        <w:t>ese</w:t>
      </w:r>
      <w:r w:rsidRPr="00EB3336" w:rsidR="00266F16">
        <w:rPr>
          <w:szCs w:val="22"/>
        </w:rPr>
        <w:t xml:space="preserve"> rules</w:t>
      </w:r>
      <w:r w:rsidR="007514A1">
        <w:rPr>
          <w:szCs w:val="22"/>
        </w:rPr>
        <w:t xml:space="preserve"> and are </w:t>
      </w:r>
      <w:r w:rsidR="000D4DD2">
        <w:rPr>
          <w:szCs w:val="22"/>
        </w:rPr>
        <w:t xml:space="preserve">essentially </w:t>
      </w:r>
      <w:r w:rsidR="005D6B7B">
        <w:rPr>
          <w:szCs w:val="22"/>
        </w:rPr>
        <w:t xml:space="preserve">procedurally inappropriate </w:t>
      </w:r>
      <w:r w:rsidR="0069380F">
        <w:rPr>
          <w:szCs w:val="22"/>
        </w:rPr>
        <w:t>requests to reconsider the rules themselves.</w:t>
      </w:r>
      <w:r w:rsidRPr="00EB3336">
        <w:rPr>
          <w:szCs w:val="22"/>
        </w:rPr>
        <w:t xml:space="preserve">  In any event, Securus’s argument that debit accounts never become “inactive” while an individual is incarcerated and, thus, the “concern animating the refund rule for prepaid accounts simply does not exist for debit accounts” is unpersuasive.</w:t>
      </w:r>
      <w:r>
        <w:rPr>
          <w:szCs w:val="22"/>
          <w:vertAlign w:val="superscript"/>
        </w:rPr>
        <w:footnoteReference w:id="91"/>
      </w:r>
      <w:r w:rsidRPr="00EB3336">
        <w:rPr>
          <w:szCs w:val="22"/>
        </w:rPr>
        <w:t xml:space="preserve">  In adopting permanent rules addressing the treatment of unused funds in IPCS accounts, the Commission sought “to provide IPCS account holders with informational, procedural, and financial protections that help ensure that IPCS account holders are able to maintain control over the funds in their </w:t>
      </w:r>
      <w:r w:rsidR="00E156B2">
        <w:rPr>
          <w:szCs w:val="22"/>
        </w:rPr>
        <w:t xml:space="preserve">IPCS </w:t>
      </w:r>
      <w:r w:rsidRPr="00EB3336">
        <w:rPr>
          <w:szCs w:val="22"/>
        </w:rPr>
        <w:t>accounts and receive refunds of any unused funds in a timely manner,” thereby removing “obstacles that, as a practical matter, have largely prevented account holders from receiving refunds of unused funds.”</w:t>
      </w:r>
      <w:r>
        <w:rPr>
          <w:szCs w:val="22"/>
          <w:vertAlign w:val="superscript"/>
        </w:rPr>
        <w:footnoteReference w:id="92"/>
      </w:r>
      <w:r w:rsidRPr="00EB3336">
        <w:rPr>
          <w:szCs w:val="22"/>
        </w:rPr>
        <w:t xml:space="preserve">  While accounts that never expire “in theory preserve the value of consumers’ deposits, the longevity of these accounts is of no practical use to account holders if they are not aware that refunds are available.”</w:t>
      </w:r>
      <w:r>
        <w:rPr>
          <w:szCs w:val="22"/>
          <w:vertAlign w:val="superscript"/>
        </w:rPr>
        <w:footnoteReference w:id="93"/>
      </w:r>
      <w:r w:rsidRPr="00EB3336">
        <w:rPr>
          <w:szCs w:val="22"/>
        </w:rPr>
        <w:t xml:space="preserve">  Indeed, as Securus notes, funds may sit in debit accounts “without being used for long periods of time.”</w:t>
      </w:r>
      <w:r>
        <w:rPr>
          <w:szCs w:val="22"/>
          <w:vertAlign w:val="superscript"/>
        </w:rPr>
        <w:footnoteReference w:id="94"/>
      </w:r>
      <w:r w:rsidRPr="00EB3336">
        <w:rPr>
          <w:szCs w:val="22"/>
        </w:rPr>
        <w:t xml:space="preserve">  Absent the inactive account rules, </w:t>
      </w:r>
      <w:r w:rsidR="00AC484B">
        <w:rPr>
          <w:szCs w:val="22"/>
        </w:rPr>
        <w:t xml:space="preserve">including the rules </w:t>
      </w:r>
      <w:r w:rsidR="002D3342">
        <w:rPr>
          <w:szCs w:val="22"/>
        </w:rPr>
        <w:t xml:space="preserve">that </w:t>
      </w:r>
      <w:r w:rsidR="00A9502A">
        <w:rPr>
          <w:szCs w:val="22"/>
        </w:rPr>
        <w:t xml:space="preserve">create paperwork burdens, </w:t>
      </w:r>
      <w:r w:rsidRPr="00EB3336">
        <w:rPr>
          <w:szCs w:val="22"/>
        </w:rPr>
        <w:t>the Commission would be unable to safeguard those funds</w:t>
      </w:r>
      <w:r w:rsidR="005D0072">
        <w:rPr>
          <w:szCs w:val="22"/>
        </w:rPr>
        <w:t xml:space="preserve">. </w:t>
      </w:r>
      <w:r w:rsidRPr="00EB3336">
        <w:rPr>
          <w:szCs w:val="22"/>
        </w:rPr>
        <w:t xml:space="preserve"> And “even in situations where account holders are aware of the availability of refunds, the [inactive account] rules . . . ensure that they have a mechanism enabling them to have the amounts in those accounts returned to them.”</w:t>
      </w:r>
      <w:r>
        <w:rPr>
          <w:szCs w:val="22"/>
          <w:vertAlign w:val="superscript"/>
        </w:rPr>
        <w:footnoteReference w:id="95"/>
      </w:r>
      <w:r w:rsidRPr="00EB3336">
        <w:rPr>
          <w:szCs w:val="22"/>
        </w:rPr>
        <w:t xml:space="preserve">  Together, the Commission’s inactive account rules ensure that the funds deposited into an IPCS account, whether debit or prepaid, remain the property of the account holder and will be refunded to the account holder in appropriate circumstances.</w:t>
      </w:r>
      <w:r>
        <w:rPr>
          <w:szCs w:val="22"/>
          <w:vertAlign w:val="superscript"/>
        </w:rPr>
        <w:footnoteReference w:id="96"/>
      </w:r>
      <w:r w:rsidRPr="00EB3336">
        <w:rPr>
          <w:szCs w:val="22"/>
        </w:rPr>
        <w:t xml:space="preserve">  This is not the appropriate forum for revisiting those rules. </w:t>
      </w:r>
    </w:p>
    <w:p w:rsidR="00EB3336" w:rsidRPr="001F0801" w:rsidP="001F0801" w14:paraId="11E3E6DD" w14:textId="77777777">
      <w:pPr>
        <w:pStyle w:val="Numberedparagraphs"/>
        <w:numPr>
          <w:ilvl w:val="0"/>
          <w:numId w:val="0"/>
        </w:numPr>
        <w:tabs>
          <w:tab w:val="left" w:pos="720"/>
        </w:tabs>
        <w:ind w:left="180"/>
        <w:rPr>
          <w:b/>
          <w:bCs/>
          <w:szCs w:val="22"/>
        </w:rPr>
      </w:pPr>
      <w:r w:rsidRPr="001F0801">
        <w:rPr>
          <w:b/>
          <w:bCs/>
          <w:szCs w:val="22"/>
        </w:rPr>
        <w:t>Disclosures Related to Alternate Pricing Plans</w:t>
      </w:r>
    </w:p>
    <w:p w:rsidR="00EB3336" w:rsidRPr="00EB3336" w:rsidP="001F0801" w14:paraId="6F1C574B" w14:textId="756D60AE">
      <w:pPr>
        <w:pStyle w:val="Numberedparagraphs"/>
        <w:numPr>
          <w:ilvl w:val="0"/>
          <w:numId w:val="0"/>
        </w:numPr>
        <w:tabs>
          <w:tab w:val="left" w:pos="720"/>
        </w:tabs>
        <w:ind w:left="180"/>
        <w:rPr>
          <w:szCs w:val="22"/>
        </w:rPr>
      </w:pPr>
      <w:r>
        <w:rPr>
          <w:i/>
          <w:iCs/>
          <w:szCs w:val="22"/>
        </w:rPr>
        <w:tab/>
      </w:r>
      <w:r w:rsidRPr="00EB3336">
        <w:rPr>
          <w:i/>
          <w:iCs/>
          <w:szCs w:val="22"/>
        </w:rPr>
        <w:t>Arguments</w:t>
      </w:r>
      <w:r w:rsidRPr="00EB3336">
        <w:rPr>
          <w:szCs w:val="22"/>
        </w:rPr>
        <w:t>.  Securus argues that the disclosures required in connection with alternate pricing plans are overly burdensome and go “far beyond what is necessary” to keep consumers informed.</w:t>
      </w:r>
      <w:r>
        <w:rPr>
          <w:szCs w:val="22"/>
          <w:vertAlign w:val="superscript"/>
        </w:rPr>
        <w:footnoteReference w:id="97"/>
      </w:r>
      <w:r w:rsidRPr="00EB3336">
        <w:rPr>
          <w:szCs w:val="22"/>
        </w:rPr>
        <w:t xml:space="preserve">  In Securus’s view, the required disclosures, which include information regarding the rates, the breakeven point, and total cost of an alternate pricing plan, and which are required to be made at various points during a consumer’s use of the plan are duplicative and unnecessary.</w:t>
      </w:r>
      <w:r>
        <w:rPr>
          <w:szCs w:val="22"/>
          <w:vertAlign w:val="superscript"/>
        </w:rPr>
        <w:footnoteReference w:id="98"/>
      </w:r>
      <w:r w:rsidRPr="00EB3336">
        <w:rPr>
          <w:szCs w:val="22"/>
        </w:rPr>
        <w:t xml:space="preserve">  Securus also alleges that some of the required disclosures “suffer from ambiguities regarding what is required.”</w:t>
      </w:r>
      <w:r>
        <w:rPr>
          <w:szCs w:val="22"/>
          <w:vertAlign w:val="superscript"/>
        </w:rPr>
        <w:footnoteReference w:id="99"/>
      </w:r>
      <w:r w:rsidRPr="00EB3336">
        <w:rPr>
          <w:szCs w:val="22"/>
        </w:rPr>
        <w:t xml:space="preserve">  Rather than the current required disclosures, Securus proposes a narrower set of disclosures that would only be provided before the consumer enrolls in an alternate pricing plan and would also be readily available on </w:t>
      </w:r>
      <w:r w:rsidRPr="00EB3336">
        <w:rPr>
          <w:szCs w:val="22"/>
        </w:rPr>
        <w:t>the provider’s website.</w:t>
      </w:r>
      <w:r>
        <w:rPr>
          <w:szCs w:val="22"/>
          <w:vertAlign w:val="superscript"/>
        </w:rPr>
        <w:footnoteReference w:id="100"/>
      </w:r>
    </w:p>
    <w:p w:rsidR="00EB3336" w:rsidRPr="00EB3336" w:rsidP="001F0801" w14:paraId="2D4DBC21" w14:textId="3E2090E9">
      <w:pPr>
        <w:pStyle w:val="Numberedparagraphs"/>
        <w:numPr>
          <w:ilvl w:val="0"/>
          <w:numId w:val="0"/>
        </w:numPr>
        <w:tabs>
          <w:tab w:val="left" w:pos="720"/>
        </w:tabs>
        <w:ind w:left="180"/>
        <w:rPr>
          <w:szCs w:val="22"/>
        </w:rPr>
      </w:pPr>
      <w:r>
        <w:rPr>
          <w:i/>
          <w:iCs/>
          <w:szCs w:val="22"/>
        </w:rPr>
        <w:tab/>
      </w:r>
      <w:r w:rsidRPr="00EB3336">
        <w:rPr>
          <w:i/>
          <w:iCs/>
          <w:szCs w:val="22"/>
        </w:rPr>
        <w:t>Response</w:t>
      </w:r>
      <w:r w:rsidRPr="00EB3336">
        <w:rPr>
          <w:szCs w:val="22"/>
        </w:rPr>
        <w:t>.  Again, Securus’s arguments are, in effect, arguments that the Commission improperly exercised its discretion or otherwise erred in adopting its disclosure rules for alternate pricing plans.  As such, those arguments</w:t>
      </w:r>
      <w:r w:rsidR="009342E6">
        <w:rPr>
          <w:szCs w:val="22"/>
        </w:rPr>
        <w:t xml:space="preserve"> </w:t>
      </w:r>
      <w:r w:rsidR="0046767B">
        <w:rPr>
          <w:szCs w:val="22"/>
        </w:rPr>
        <w:t>go well beyond</w:t>
      </w:r>
      <w:r w:rsidRPr="00EB3336">
        <w:rPr>
          <w:szCs w:val="22"/>
        </w:rPr>
        <w:t xml:space="preserve"> OMB’s review of the paperwork burdens associated with those rules.</w:t>
      </w:r>
      <w:r>
        <w:rPr>
          <w:szCs w:val="22"/>
          <w:vertAlign w:val="superscript"/>
        </w:rPr>
        <w:footnoteReference w:id="101"/>
      </w:r>
      <w:r w:rsidRPr="00EB3336">
        <w:rPr>
          <w:szCs w:val="22"/>
        </w:rPr>
        <w:t xml:space="preserve">  In any event, Securus’s arguments are unpersuasive.  In permitting IPCS providers to offer alternate pricing plans, the Commission acknowledged that such plans can provide meaningful benefits to IPCS consumers but that they may not be a good fit for every consumer.</w:t>
      </w:r>
      <w:r>
        <w:rPr>
          <w:szCs w:val="22"/>
          <w:vertAlign w:val="superscript"/>
        </w:rPr>
        <w:footnoteReference w:id="102"/>
      </w:r>
      <w:r w:rsidRPr="00EB3336">
        <w:rPr>
          <w:szCs w:val="22"/>
        </w:rPr>
        <w:t xml:space="preserve">  In recognition of the benefits that alternate pricing plans may provide, the Commission permitted IPCS providers to offer them, subject to clearly defined guardrails to protect against potential abuse and higher prices.</w:t>
      </w:r>
      <w:r>
        <w:rPr>
          <w:szCs w:val="22"/>
          <w:vertAlign w:val="superscript"/>
        </w:rPr>
        <w:footnoteReference w:id="103"/>
      </w:r>
      <w:r w:rsidRPr="00EB3336">
        <w:rPr>
          <w:szCs w:val="22"/>
        </w:rPr>
        <w:t xml:space="preserve">  Among the guardrails the Commission adopted were disclosure requirements, that, after reviewing the record, the Commission concluded must be made at various points during the consumer’s use of and interaction with an alternate pricing plan, including pre-and post-enrollment.</w:t>
      </w:r>
      <w:r>
        <w:rPr>
          <w:szCs w:val="22"/>
          <w:vertAlign w:val="superscript"/>
        </w:rPr>
        <w:footnoteReference w:id="104"/>
      </w:r>
      <w:r w:rsidRPr="00EB3336">
        <w:rPr>
          <w:szCs w:val="22"/>
        </w:rPr>
        <w:t xml:space="preserve">  As the Commission explained, these disclosures, in conjunction with other safeguards, ensure that IPCS consumers have the information they need “to make informed choices and are protected from unjust and unreasonable rates and charges.”</w:t>
      </w:r>
      <w:r>
        <w:rPr>
          <w:szCs w:val="22"/>
          <w:vertAlign w:val="superscript"/>
        </w:rPr>
        <w:footnoteReference w:id="105"/>
      </w:r>
      <w:r w:rsidRPr="00EB3336">
        <w:rPr>
          <w:szCs w:val="22"/>
        </w:rPr>
        <w:t xml:space="preserve">  While Securus criticizes the required disclosures as overly burdensome and/or duplicative and provides an alternative proposal that would scale back the disclosures, the required disclosures are embedded in the Commission’s rules and reflect the Commission’s balancing of competing consumer and provider interest</w:t>
      </w:r>
      <w:r w:rsidR="00754BB1">
        <w:rPr>
          <w:szCs w:val="22"/>
        </w:rPr>
        <w:t>s</w:t>
      </w:r>
      <w:r w:rsidRPr="00EB3336">
        <w:rPr>
          <w:szCs w:val="22"/>
        </w:rPr>
        <w:t>.  This is not the appropriate forum to revisit that balancing.</w:t>
      </w:r>
    </w:p>
    <w:p w:rsidR="00EB3336" w:rsidRPr="001F0801" w:rsidP="001F0801" w14:paraId="1A36F669" w14:textId="77777777">
      <w:pPr>
        <w:pStyle w:val="Numberedparagraphs"/>
        <w:numPr>
          <w:ilvl w:val="0"/>
          <w:numId w:val="0"/>
        </w:numPr>
        <w:tabs>
          <w:tab w:val="left" w:pos="720"/>
        </w:tabs>
        <w:ind w:left="180"/>
        <w:rPr>
          <w:b/>
          <w:bCs/>
          <w:szCs w:val="22"/>
        </w:rPr>
      </w:pPr>
      <w:r w:rsidRPr="001F0801">
        <w:rPr>
          <w:b/>
          <w:bCs/>
          <w:szCs w:val="22"/>
        </w:rPr>
        <w:t>Disclosure of International IPCS Rate Information</w:t>
      </w:r>
    </w:p>
    <w:p w:rsidR="00EB3336" w:rsidRPr="00EB3336" w:rsidP="001F0801" w14:paraId="4997EB5E" w14:textId="603C8346">
      <w:pPr>
        <w:pStyle w:val="Numberedparagraphs"/>
        <w:numPr>
          <w:ilvl w:val="0"/>
          <w:numId w:val="0"/>
        </w:numPr>
        <w:tabs>
          <w:tab w:val="left" w:pos="720"/>
        </w:tabs>
        <w:ind w:left="180"/>
        <w:rPr>
          <w:szCs w:val="22"/>
        </w:rPr>
      </w:pPr>
      <w:r>
        <w:rPr>
          <w:i/>
          <w:iCs/>
          <w:szCs w:val="22"/>
        </w:rPr>
        <w:tab/>
      </w:r>
      <w:r w:rsidRPr="00EB3336">
        <w:rPr>
          <w:i/>
          <w:iCs/>
          <w:szCs w:val="22"/>
        </w:rPr>
        <w:t>Arguments</w:t>
      </w:r>
      <w:r w:rsidRPr="00EB3336">
        <w:rPr>
          <w:szCs w:val="22"/>
        </w:rPr>
        <w:t xml:space="preserve">.  Securus asks the Commission “confirm that the disclosure of international charges required by section 64.6110(c) is satisfied by using average costs” for terminating international communications that the IPCS provider pays its underlying international service providers </w:t>
      </w:r>
      <w:r>
        <w:rPr>
          <w:szCs w:val="22"/>
          <w:vertAlign w:val="superscript"/>
        </w:rPr>
        <w:footnoteReference w:id="106"/>
      </w:r>
      <w:r w:rsidRPr="00EB3336">
        <w:rPr>
          <w:szCs w:val="22"/>
        </w:rPr>
        <w:t xml:space="preserve">  Securus explains that when the Commission first adopted rate caps for international calling services in 2021, the Commission “allowed providers to use and disclose on bills the average third-party pass-through termination costs.”</w:t>
      </w:r>
      <w:r>
        <w:rPr>
          <w:szCs w:val="22"/>
          <w:vertAlign w:val="superscript"/>
        </w:rPr>
        <w:footnoteReference w:id="107"/>
      </w:r>
      <w:r w:rsidRPr="00EB3336">
        <w:rPr>
          <w:szCs w:val="22"/>
        </w:rPr>
        <w:t xml:space="preserve">  Securus contends that if the Commission’s intent was to require providers to use and disclose to consumers the actual international termination charge assessed for each individual IPCS call, the Commission should be required to amend its rules “to require only average international termination costs in order to comply with the PRA’s requirement for utilizing the least burdensome alternative.”</w:t>
      </w:r>
      <w:r>
        <w:rPr>
          <w:szCs w:val="22"/>
          <w:vertAlign w:val="superscript"/>
        </w:rPr>
        <w:footnoteReference w:id="108"/>
      </w:r>
    </w:p>
    <w:p w:rsidR="00EB3336" w:rsidRPr="00EB3336" w:rsidP="001F0801" w14:paraId="642D4B17" w14:textId="26ABC106">
      <w:pPr>
        <w:pStyle w:val="Numberedparagraphs"/>
        <w:numPr>
          <w:ilvl w:val="0"/>
          <w:numId w:val="0"/>
        </w:numPr>
        <w:tabs>
          <w:tab w:val="left" w:pos="720"/>
        </w:tabs>
        <w:ind w:left="180"/>
        <w:rPr>
          <w:szCs w:val="22"/>
        </w:rPr>
      </w:pPr>
      <w:r>
        <w:rPr>
          <w:i/>
          <w:iCs/>
          <w:szCs w:val="22"/>
        </w:rPr>
        <w:tab/>
      </w:r>
      <w:r w:rsidRPr="00EB3336">
        <w:rPr>
          <w:i/>
          <w:iCs/>
          <w:szCs w:val="22"/>
        </w:rPr>
        <w:t xml:space="preserve">Response.  </w:t>
      </w:r>
      <w:r w:rsidRPr="00EB3336">
        <w:rPr>
          <w:szCs w:val="22"/>
        </w:rPr>
        <w:t xml:space="preserve">In the </w:t>
      </w:r>
      <w:r w:rsidRPr="00EB3336">
        <w:rPr>
          <w:i/>
          <w:iCs/>
          <w:szCs w:val="22"/>
        </w:rPr>
        <w:t>2024 IPCS Order</w:t>
      </w:r>
      <w:r w:rsidRPr="00EB3336">
        <w:rPr>
          <w:szCs w:val="22"/>
        </w:rPr>
        <w:t>, the Commission declined to change its rules for international IPCS calls, including its rule for determining that amount providers may charge IPCS consumers for terminating international calls</w:t>
      </w:r>
      <w:r w:rsidR="008B46FA">
        <w:rPr>
          <w:szCs w:val="22"/>
        </w:rPr>
        <w:t>,</w:t>
      </w:r>
      <w:r w:rsidRPr="00EB3336">
        <w:rPr>
          <w:szCs w:val="22"/>
        </w:rPr>
        <w:t xml:space="preserve"> as well as its rule for disclosing the amounts charged to consumers.</w:t>
      </w:r>
      <w:r>
        <w:rPr>
          <w:szCs w:val="22"/>
          <w:vertAlign w:val="superscript"/>
        </w:rPr>
        <w:footnoteReference w:id="109"/>
      </w:r>
      <w:r w:rsidRPr="00EB3336">
        <w:rPr>
          <w:szCs w:val="22"/>
        </w:rPr>
        <w:t xml:space="preserve">  </w:t>
      </w:r>
      <w:r w:rsidRPr="00EB3336">
        <w:rPr>
          <w:szCs w:val="22"/>
        </w:rPr>
        <w:t xml:space="preserve">Therefore, the average international termination cost methodology for calculating international termination charges that the Commission adopted in 2021 remains in place, and the concern Securus raises regarding the paperwork burdens associated with an alternative method for calculating those charges should have no bearing on OMB’s review of the Commission’s rule for disclosing international termination charges provider.  </w:t>
      </w:r>
    </w:p>
    <w:p w:rsidR="00EB3336" w:rsidRPr="001F0801" w:rsidP="001F0801" w14:paraId="38A6984F" w14:textId="77777777">
      <w:pPr>
        <w:pStyle w:val="Numberedparagraphs"/>
        <w:numPr>
          <w:ilvl w:val="0"/>
          <w:numId w:val="0"/>
        </w:numPr>
        <w:tabs>
          <w:tab w:val="left" w:pos="720"/>
        </w:tabs>
        <w:ind w:left="180"/>
        <w:rPr>
          <w:b/>
          <w:bCs/>
          <w:szCs w:val="22"/>
        </w:rPr>
      </w:pPr>
      <w:r w:rsidRPr="001F0801">
        <w:rPr>
          <w:b/>
          <w:bCs/>
          <w:szCs w:val="22"/>
        </w:rPr>
        <w:t>Modifications to the Waiver Process</w:t>
      </w:r>
    </w:p>
    <w:p w:rsidR="00EB3336" w:rsidRPr="00EB3336" w:rsidP="001F0801" w14:paraId="6A2DD834" w14:textId="0928A424">
      <w:pPr>
        <w:pStyle w:val="Numberedparagraphs"/>
        <w:numPr>
          <w:ilvl w:val="0"/>
          <w:numId w:val="0"/>
        </w:numPr>
        <w:tabs>
          <w:tab w:val="left" w:pos="720"/>
        </w:tabs>
        <w:ind w:left="180"/>
        <w:rPr>
          <w:szCs w:val="22"/>
        </w:rPr>
      </w:pPr>
      <w:r>
        <w:rPr>
          <w:i/>
          <w:iCs/>
          <w:szCs w:val="22"/>
        </w:rPr>
        <w:tab/>
      </w:r>
      <w:r w:rsidRPr="00EB3336">
        <w:rPr>
          <w:i/>
          <w:iCs/>
          <w:szCs w:val="22"/>
        </w:rPr>
        <w:t>Arguments</w:t>
      </w:r>
      <w:r w:rsidRPr="00EB3336">
        <w:rPr>
          <w:szCs w:val="22"/>
        </w:rPr>
        <w:t xml:space="preserve">.  Securus argues that the Commission’s modifications to the waiver process adopted in the </w:t>
      </w:r>
      <w:r w:rsidRPr="00EB3336">
        <w:rPr>
          <w:i/>
          <w:iCs/>
          <w:szCs w:val="22"/>
        </w:rPr>
        <w:t>2024 IPCS Order</w:t>
      </w:r>
      <w:r w:rsidRPr="00EB3336">
        <w:rPr>
          <w:szCs w:val="22"/>
        </w:rPr>
        <w:t xml:space="preserve"> preclude “providers from seeking to recover their costs of providing IPCS at the rate caps as long as they can earn a profit by providing services at other facilities or by offering other services.”</w:t>
      </w:r>
      <w:r>
        <w:rPr>
          <w:szCs w:val="22"/>
          <w:vertAlign w:val="superscript"/>
        </w:rPr>
        <w:footnoteReference w:id="110"/>
      </w:r>
      <w:r w:rsidRPr="00EB3336">
        <w:rPr>
          <w:szCs w:val="22"/>
        </w:rPr>
        <w:t xml:space="preserve">  Securus further argues that the revised waiver process “jettisons” the Commission’s previous approach to waivers, which included a “facility-by-facility waiver process that enabled a provider to obtain a waiver due to the cost structure at a particular facility without regard to the cost structure of the overall contract in which that particular facility is included.”</w:t>
      </w:r>
      <w:r>
        <w:rPr>
          <w:szCs w:val="22"/>
          <w:vertAlign w:val="superscript"/>
        </w:rPr>
        <w:footnoteReference w:id="111"/>
      </w:r>
      <w:r w:rsidRPr="00EB3336">
        <w:rPr>
          <w:szCs w:val="22"/>
        </w:rPr>
        <w:t xml:space="preserve">  Securus goes on to argue that the Commission’s waiver standard “is expressly endorsing cross-subsidization and effectively requires providers to operate services at facilities at a loss.”</w:t>
      </w:r>
      <w:r>
        <w:rPr>
          <w:szCs w:val="22"/>
          <w:vertAlign w:val="superscript"/>
        </w:rPr>
        <w:footnoteReference w:id="112"/>
      </w:r>
      <w:r w:rsidRPr="00EB3336">
        <w:rPr>
          <w:szCs w:val="22"/>
        </w:rPr>
        <w:t xml:space="preserve">  Securus suggests that the modified waiver process adopted in the </w:t>
      </w:r>
      <w:r w:rsidRPr="00EB3336">
        <w:rPr>
          <w:i/>
          <w:iCs/>
          <w:szCs w:val="22"/>
        </w:rPr>
        <w:t>2024 IPCS Order</w:t>
      </w:r>
      <w:r w:rsidRPr="00EB3336">
        <w:rPr>
          <w:szCs w:val="22"/>
        </w:rPr>
        <w:t xml:space="preserve"> be “overturned” and restored to comply with the Commission’s prior waiver process.  </w:t>
      </w:r>
    </w:p>
    <w:p w:rsidR="00080428" w:rsidRPr="00E1433B" w:rsidP="001F0801" w14:paraId="3561FE7F" w14:textId="26C8B9F6">
      <w:pPr>
        <w:pStyle w:val="Numberedparagraphs"/>
        <w:numPr>
          <w:ilvl w:val="0"/>
          <w:numId w:val="0"/>
        </w:numPr>
        <w:tabs>
          <w:tab w:val="left" w:pos="720"/>
        </w:tabs>
        <w:ind w:left="180"/>
        <w:rPr>
          <w:szCs w:val="22"/>
        </w:rPr>
      </w:pPr>
      <w:r>
        <w:rPr>
          <w:i/>
          <w:iCs/>
          <w:szCs w:val="22"/>
        </w:rPr>
        <w:tab/>
      </w:r>
      <w:r w:rsidRPr="00EB3336" w:rsidR="00EB3336">
        <w:rPr>
          <w:i/>
          <w:iCs/>
          <w:szCs w:val="22"/>
        </w:rPr>
        <w:t>Response</w:t>
      </w:r>
      <w:r w:rsidRPr="00EB3336" w:rsidR="00EB3336">
        <w:rPr>
          <w:szCs w:val="22"/>
        </w:rPr>
        <w:t>.  Securus’s arguments are directed to the merits and effects of the Commission’s changes to its IPCS waiver process, rather than any ostensible paperwork burdens associated with those rule changes.</w:t>
      </w:r>
      <w:r>
        <w:rPr>
          <w:szCs w:val="22"/>
          <w:vertAlign w:val="superscript"/>
        </w:rPr>
        <w:footnoteReference w:id="113"/>
      </w:r>
      <w:r w:rsidRPr="00EB3336" w:rsidR="00EB3336">
        <w:rPr>
          <w:szCs w:val="22"/>
        </w:rPr>
        <w:t xml:space="preserve">  As such, those arguments should have no bearing on OMB’s review of the paperwork burdens associated with those rules.  In any event, those changes reflect the Commission’s revision of its prior waiver process in light of the Martha Wright-Reed Act and the record before it.  Securus’s proposal would effectively overturn the revised waiver process and would therefore be more naturally suited to a petition for reconsideration or rulemaking before the Commission than to OMB review of paperwork burdens under the PRA.</w:t>
      </w:r>
      <w:r>
        <w:rPr>
          <w:szCs w:val="22"/>
          <w:vertAlign w:val="superscript"/>
        </w:rPr>
        <w:footnoteReference w:id="114"/>
      </w:r>
    </w:p>
    <w:bookmarkEnd w:id="14"/>
    <w:bookmarkEnd w:id="15"/>
    <w:p w:rsidR="007E0735" w:rsidRPr="004460F4" w:rsidP="007E0735" w14:paraId="503B3755" w14:textId="588687BE">
      <w:pPr>
        <w:pStyle w:val="Numberedparagraphs"/>
        <w:numPr>
          <w:ilvl w:val="0"/>
          <w:numId w:val="0"/>
        </w:numPr>
        <w:tabs>
          <w:tab w:val="left" w:pos="720"/>
          <w:tab w:val="clear" w:pos="1440"/>
        </w:tabs>
        <w:rPr>
          <w:szCs w:val="22"/>
        </w:rPr>
      </w:pPr>
      <w:r w:rsidRPr="004460F4">
        <w:rPr>
          <w:szCs w:val="22"/>
        </w:rPr>
        <w:tab/>
        <w:t xml:space="preserve">9.  </w:t>
      </w:r>
      <w:r w:rsidR="007E5767">
        <w:rPr>
          <w:szCs w:val="22"/>
        </w:rPr>
        <w:tab/>
      </w:r>
      <w:r w:rsidRPr="004460F4">
        <w:rPr>
          <w:szCs w:val="22"/>
        </w:rPr>
        <w:t>The Commission does not anticipate providing any payment or gift to respondents.</w:t>
      </w:r>
    </w:p>
    <w:p w:rsidR="007E0735" w:rsidRPr="004460F4" w:rsidP="007E0735" w14:paraId="0AC69A0A" w14:textId="4BD00BC8">
      <w:pPr>
        <w:pStyle w:val="Numberedparagraphs"/>
        <w:numPr>
          <w:ilvl w:val="0"/>
          <w:numId w:val="0"/>
        </w:numPr>
        <w:tabs>
          <w:tab w:val="left" w:pos="720"/>
          <w:tab w:val="clear" w:pos="1440"/>
        </w:tabs>
        <w:rPr>
          <w:szCs w:val="22"/>
        </w:rPr>
      </w:pPr>
      <w:r w:rsidRPr="004460F4">
        <w:rPr>
          <w:szCs w:val="22"/>
        </w:rPr>
        <w:tab/>
        <w:t xml:space="preserve">10.  </w:t>
      </w:r>
      <w:r w:rsidR="007E5767">
        <w:rPr>
          <w:szCs w:val="22"/>
        </w:rPr>
        <w:tab/>
      </w:r>
      <w:r w:rsidRPr="004460F4">
        <w:rPr>
          <w:szCs w:val="22"/>
        </w:rPr>
        <w:t>The</w:t>
      </w:r>
      <w:r w:rsidR="0063588A">
        <w:rPr>
          <w:szCs w:val="22"/>
        </w:rPr>
        <w:t xml:space="preserve"> </w:t>
      </w:r>
      <w:r w:rsidRPr="009061E3" w:rsidR="0063588A">
        <w:rPr>
          <w:iCs/>
          <w:szCs w:val="22"/>
        </w:rPr>
        <w:t>P</w:t>
      </w:r>
      <w:r w:rsidRPr="009061E3" w:rsidR="00CF71C4">
        <w:rPr>
          <w:iCs/>
          <w:szCs w:val="22"/>
        </w:rPr>
        <w:t>r</w:t>
      </w:r>
      <w:r w:rsidRPr="009061E3" w:rsidR="00884782">
        <w:rPr>
          <w:iCs/>
          <w:szCs w:val="22"/>
        </w:rPr>
        <w:t xml:space="preserve">otective </w:t>
      </w:r>
      <w:r w:rsidRPr="009061E3" w:rsidR="00CF71C4">
        <w:rPr>
          <w:iCs/>
          <w:szCs w:val="22"/>
        </w:rPr>
        <w:t>O</w:t>
      </w:r>
      <w:r w:rsidRPr="009061E3" w:rsidR="00884782">
        <w:rPr>
          <w:iCs/>
          <w:szCs w:val="22"/>
        </w:rPr>
        <w:t>rder</w:t>
      </w:r>
      <w:r w:rsidRPr="001503AC" w:rsidR="00884782">
        <w:rPr>
          <w:iCs/>
          <w:szCs w:val="22"/>
        </w:rPr>
        <w:t xml:space="preserve"> </w:t>
      </w:r>
      <w:r w:rsidR="009146C2">
        <w:rPr>
          <w:szCs w:val="22"/>
        </w:rPr>
        <w:t xml:space="preserve">adopted </w:t>
      </w:r>
      <w:r w:rsidRPr="00AB1E80" w:rsidR="00884782">
        <w:rPr>
          <w:szCs w:val="22"/>
        </w:rPr>
        <w:t xml:space="preserve">in </w:t>
      </w:r>
      <w:r w:rsidR="00146B94">
        <w:rPr>
          <w:szCs w:val="22"/>
        </w:rPr>
        <w:t>the Commission’s I</w:t>
      </w:r>
      <w:r w:rsidR="00AF1A5D">
        <w:rPr>
          <w:szCs w:val="22"/>
        </w:rPr>
        <w:t>P</w:t>
      </w:r>
      <w:r w:rsidR="00146B94">
        <w:rPr>
          <w:szCs w:val="22"/>
        </w:rPr>
        <w:t>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treatment for the proprietary information submitted by providers in response </w:t>
      </w:r>
      <w:r w:rsidR="00A60F59">
        <w:rPr>
          <w:szCs w:val="22"/>
        </w:rPr>
        <w:t>to Commission directives</w:t>
      </w:r>
      <w:r w:rsidRPr="004460F4">
        <w:rPr>
          <w:szCs w:val="22"/>
        </w:rPr>
        <w:t>.</w:t>
      </w:r>
      <w:r>
        <w:rPr>
          <w:rStyle w:val="FootnoteReference"/>
        </w:rPr>
        <w:footnoteReference w:id="115"/>
      </w:r>
      <w:r w:rsidRPr="00B60941">
        <w:rPr>
          <w:sz w:val="20"/>
        </w:rPr>
        <w:t xml:space="preserve"> </w:t>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9146C2">
        <w:rPr>
          <w:szCs w:val="22"/>
        </w:rPr>
        <w:t>,</w:t>
      </w:r>
      <w:r w:rsidR="00CF71C4">
        <w:rPr>
          <w:szCs w:val="22"/>
        </w:rPr>
        <w:t xml:space="preserve"> in accordance with </w:t>
      </w:r>
      <w:r w:rsidRPr="00AB1E80" w:rsidR="00AC7A68">
        <w:rPr>
          <w:szCs w:val="22"/>
        </w:rPr>
        <w:t xml:space="preserve">the Freedom of Information Act and </w:t>
      </w:r>
      <w:r w:rsidRPr="00AB1E80" w:rsidR="00AC7A68">
        <w:rPr>
          <w:szCs w:val="22"/>
        </w:rPr>
        <w:t>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9061E3" w:rsidR="00884782">
        <w:rPr>
          <w:iCs/>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00A92A86" w:rsidRPr="004460F4" w:rsidP="007E0735" w14:paraId="0010232A" w14:textId="44CF27D3">
      <w:pPr>
        <w:pStyle w:val="Numberedparagraphs"/>
        <w:numPr>
          <w:ilvl w:val="0"/>
          <w:numId w:val="0"/>
        </w:numPr>
        <w:tabs>
          <w:tab w:val="left" w:pos="720"/>
          <w:tab w:val="clear" w:pos="1440"/>
        </w:tabs>
        <w:rPr>
          <w:szCs w:val="22"/>
        </w:rPr>
      </w:pPr>
      <w:r w:rsidRPr="004460F4">
        <w:rPr>
          <w:szCs w:val="22"/>
        </w:rPr>
        <w:tab/>
        <w:t xml:space="preserve">11.  </w:t>
      </w:r>
      <w:r w:rsidR="0095051C">
        <w:rPr>
          <w:szCs w:val="22"/>
        </w:rPr>
        <w:tab/>
      </w:r>
      <w:r w:rsidRPr="004460F4">
        <w:rPr>
          <w:szCs w:val="22"/>
        </w:rPr>
        <w:t>The information collection does not address any matters of a sensitive nature.</w:t>
      </w:r>
      <w:r w:rsidRPr="004460F4">
        <w:rPr>
          <w:szCs w:val="22"/>
        </w:rPr>
        <w:tab/>
      </w:r>
    </w:p>
    <w:p w:rsidR="009A513E" w:rsidP="00C6632E" w14:paraId="2628F5AF" w14:textId="7E0CE843">
      <w:pPr>
        <w:pStyle w:val="Numberedparagraphs"/>
        <w:widowControl/>
        <w:numPr>
          <w:ilvl w:val="0"/>
          <w:numId w:val="0"/>
        </w:numPr>
        <w:tabs>
          <w:tab w:val="left" w:pos="720"/>
          <w:tab w:val="clear" w:pos="1440"/>
        </w:tabs>
        <w:rPr>
          <w:szCs w:val="22"/>
        </w:rPr>
      </w:pPr>
      <w:r w:rsidRPr="004460F4">
        <w:rPr>
          <w:szCs w:val="22"/>
        </w:rPr>
        <w:tab/>
      </w:r>
      <w:r w:rsidRPr="004460F4" w:rsidR="007E0735">
        <w:rPr>
          <w:szCs w:val="22"/>
        </w:rPr>
        <w:t xml:space="preserve">12.  </w:t>
      </w:r>
      <w:r w:rsidR="0095051C">
        <w:rPr>
          <w:szCs w:val="22"/>
        </w:rPr>
        <w:tab/>
      </w:r>
      <w:r w:rsidRPr="004460F4" w:rsidR="007E0735">
        <w:rPr>
          <w:szCs w:val="22"/>
        </w:rPr>
        <w:t xml:space="preserve">The following </w:t>
      </w:r>
      <w:r w:rsidR="009146C2">
        <w:rPr>
          <w:szCs w:val="22"/>
        </w:rPr>
        <w:t xml:space="preserve">describes </w:t>
      </w:r>
      <w:r w:rsidRPr="004460F4" w:rsidR="007E0735">
        <w:rPr>
          <w:szCs w:val="22"/>
        </w:rPr>
        <w:t xml:space="preserve">the </w:t>
      </w:r>
      <w:r w:rsidR="008C2814">
        <w:rPr>
          <w:szCs w:val="22"/>
        </w:rPr>
        <w:t>burden hours</w:t>
      </w:r>
      <w:r w:rsidRPr="004460F4" w:rsidR="007E0735">
        <w:rPr>
          <w:szCs w:val="22"/>
        </w:rPr>
        <w:t xml:space="preserve"> </w:t>
      </w:r>
      <w:r w:rsidR="009146C2">
        <w:rPr>
          <w:szCs w:val="22"/>
        </w:rPr>
        <w:t xml:space="preserve">associated with </w:t>
      </w:r>
      <w:r w:rsidRPr="004460F4" w:rsidR="007E0735">
        <w:rPr>
          <w:szCs w:val="22"/>
        </w:rPr>
        <w:t>the collections of information discussed herein</w:t>
      </w:r>
      <w:r w:rsidR="00992065">
        <w:rPr>
          <w:szCs w:val="22"/>
        </w:rPr>
        <w:t>.</w:t>
      </w:r>
    </w:p>
    <w:p w:rsidR="00945F0E" w:rsidRPr="006B0B53" w:rsidP="00945F0E" w14:paraId="18E139BF" w14:textId="6D905F0F">
      <w:pPr>
        <w:pStyle w:val="Numberedparagraphs"/>
        <w:numPr>
          <w:ilvl w:val="0"/>
          <w:numId w:val="0"/>
        </w:numPr>
        <w:tabs>
          <w:tab w:val="left" w:pos="720"/>
          <w:tab w:val="clear" w:pos="1440"/>
        </w:tabs>
        <w:rPr>
          <w:b/>
          <w:szCs w:val="22"/>
          <w:u w:val="single"/>
        </w:rPr>
      </w:pPr>
      <w:r w:rsidRPr="006B0B53">
        <w:rPr>
          <w:b/>
          <w:i/>
          <w:szCs w:val="22"/>
          <w:u w:val="single"/>
        </w:rPr>
        <w:t>New Information Requirements</w:t>
      </w:r>
      <w:r w:rsidRPr="006B0B53">
        <w:rPr>
          <w:b/>
          <w:szCs w:val="22"/>
          <w:u w:val="single"/>
        </w:rPr>
        <w:t>:</w:t>
      </w:r>
    </w:p>
    <w:p w:rsidR="006E503D" w:rsidP="00C221E1" w14:paraId="15CA4728" w14:textId="3E1D6622">
      <w:pPr>
        <w:pStyle w:val="ListParagraph"/>
        <w:numPr>
          <w:ilvl w:val="0"/>
          <w:numId w:val="15"/>
        </w:numPr>
        <w:spacing w:after="120"/>
        <w:jc w:val="both"/>
        <w:rPr>
          <w:b/>
        </w:rPr>
      </w:pPr>
      <w:r w:rsidRPr="005C114E">
        <w:rPr>
          <w:b/>
          <w:u w:val="single"/>
        </w:rPr>
        <w:t>Communications access for Incarcerated People with disabilities</w:t>
      </w:r>
      <w:r w:rsidR="00C12C46">
        <w:rPr>
          <w:b/>
        </w:rPr>
        <w:t>.</w:t>
      </w:r>
    </w:p>
    <w:p w:rsidR="009F6809" w:rsidP="009F6809" w14:paraId="59616EFC" w14:textId="77777777">
      <w:pPr>
        <w:pStyle w:val="ListParagraph"/>
        <w:spacing w:after="120"/>
        <w:jc w:val="both"/>
        <w:rPr>
          <w:b/>
        </w:rPr>
      </w:pPr>
    </w:p>
    <w:p w:rsidR="00C221E1" w:rsidP="009F6809" w14:paraId="4A072F34" w14:textId="485100E6">
      <w:pPr>
        <w:pStyle w:val="ListParagraph"/>
        <w:spacing w:after="120"/>
        <w:jc w:val="both"/>
        <w:rPr>
          <w:b/>
        </w:rPr>
      </w:pPr>
      <w:r w:rsidRPr="00C24241">
        <w:rPr>
          <w:b/>
          <w:u w:val="single"/>
        </w:rPr>
        <w:t xml:space="preserve">Section </w:t>
      </w:r>
      <w:r w:rsidRPr="00C24241">
        <w:rPr>
          <w:b/>
          <w:u w:val="single"/>
        </w:rPr>
        <w:t>64.6040(f)</w:t>
      </w:r>
      <w:r w:rsidRPr="00C24241">
        <w:rPr>
          <w:b/>
          <w:u w:val="single"/>
        </w:rPr>
        <w:t xml:space="preserve"> Requirements</w:t>
      </w:r>
      <w:r>
        <w:rPr>
          <w:b/>
        </w:rPr>
        <w:t>:</w:t>
      </w:r>
    </w:p>
    <w:p w:rsidR="00C221E1" w:rsidRPr="00C221E1" w:rsidP="009812DE" w14:paraId="4B78A467" w14:textId="77777777">
      <w:pPr>
        <w:pStyle w:val="ListParagraph"/>
        <w:spacing w:after="120"/>
        <w:jc w:val="both"/>
        <w:rPr>
          <w:b/>
        </w:rPr>
      </w:pPr>
    </w:p>
    <w:p w:rsidR="00945F0E" w:rsidP="00945F0E" w14:paraId="04657A33" w14:textId="77777777">
      <w:pPr>
        <w:pStyle w:val="ListParagraph"/>
        <w:numPr>
          <w:ilvl w:val="0"/>
          <w:numId w:val="9"/>
        </w:numPr>
        <w:rPr>
          <w:spacing w:val="-3"/>
          <w:szCs w:val="22"/>
        </w:rPr>
      </w:pPr>
      <w:r w:rsidRPr="003F0249">
        <w:rPr>
          <w:spacing w:val="-3"/>
          <w:szCs w:val="22"/>
          <w:u w:val="single"/>
        </w:rPr>
        <w:t>Number of respondents</w:t>
      </w:r>
      <w:r w:rsidRPr="003F0249">
        <w:rPr>
          <w:spacing w:val="-3"/>
          <w:szCs w:val="22"/>
        </w:rPr>
        <w:t xml:space="preserve">:  Approximately </w:t>
      </w:r>
      <w:r>
        <w:rPr>
          <w:spacing w:val="-3"/>
          <w:szCs w:val="22"/>
        </w:rPr>
        <w:t>35</w:t>
      </w:r>
      <w:r w:rsidRPr="003F0249">
        <w:rPr>
          <w:spacing w:val="-3"/>
          <w:szCs w:val="22"/>
        </w:rPr>
        <w:t>.</w:t>
      </w:r>
    </w:p>
    <w:p w:rsidR="00945F0E" w:rsidP="00945F0E" w14:paraId="440DB76A" w14:textId="77777777">
      <w:pPr>
        <w:pStyle w:val="ListParagraph"/>
        <w:ind w:left="1080"/>
        <w:rPr>
          <w:spacing w:val="-3"/>
          <w:szCs w:val="22"/>
        </w:rPr>
      </w:pPr>
    </w:p>
    <w:p w:rsidR="00945F0E" w:rsidP="00945F0E" w14:paraId="5D4242E2" w14:textId="77777777">
      <w:pPr>
        <w:pStyle w:val="ListParagraph"/>
        <w:numPr>
          <w:ilvl w:val="0"/>
          <w:numId w:val="9"/>
        </w:numPr>
        <w:rPr>
          <w:spacing w:val="-3"/>
          <w:szCs w:val="22"/>
        </w:rPr>
      </w:pPr>
      <w:r w:rsidRPr="00BF52BE">
        <w:rPr>
          <w:spacing w:val="-3"/>
          <w:szCs w:val="22"/>
          <w:u w:val="single"/>
        </w:rPr>
        <w:t>Frequency of response</w:t>
      </w:r>
      <w:r w:rsidRPr="00BF52BE">
        <w:rPr>
          <w:spacing w:val="-3"/>
          <w:szCs w:val="22"/>
        </w:rPr>
        <w:t xml:space="preserve">:  </w:t>
      </w:r>
      <w:r>
        <w:rPr>
          <w:spacing w:val="-3"/>
          <w:szCs w:val="22"/>
        </w:rPr>
        <w:t>Annually.</w:t>
      </w:r>
    </w:p>
    <w:p w:rsidR="00945F0E" w:rsidRPr="00BF52BE" w:rsidP="00945F0E" w14:paraId="520CCF16" w14:textId="77777777">
      <w:pPr>
        <w:pStyle w:val="ListParagraph"/>
        <w:rPr>
          <w:spacing w:val="-3"/>
          <w:szCs w:val="22"/>
        </w:rPr>
      </w:pPr>
    </w:p>
    <w:p w:rsidR="00945F0E" w:rsidRPr="00BF52BE" w:rsidP="00945F0E" w14:paraId="507169EA" w14:textId="77777777">
      <w:pPr>
        <w:pStyle w:val="ListParagraph"/>
        <w:numPr>
          <w:ilvl w:val="0"/>
          <w:numId w:val="9"/>
        </w:numPr>
        <w:rPr>
          <w:spacing w:val="-3"/>
          <w:szCs w:val="22"/>
        </w:rPr>
      </w:pPr>
      <w:r w:rsidRPr="00BF52BE">
        <w:rPr>
          <w:spacing w:val="-3"/>
          <w:szCs w:val="22"/>
          <w:u w:val="single"/>
        </w:rPr>
        <w:t>Total number of responses annually</w:t>
      </w:r>
      <w:r w:rsidRPr="00BF52BE">
        <w:rPr>
          <w:spacing w:val="-3"/>
          <w:szCs w:val="22"/>
        </w:rPr>
        <w:t xml:space="preserve">:  Approximately </w:t>
      </w:r>
      <w:r>
        <w:rPr>
          <w:spacing w:val="-3"/>
          <w:szCs w:val="22"/>
        </w:rPr>
        <w:t>35</w:t>
      </w:r>
      <w:r w:rsidRPr="00BF52BE">
        <w:rPr>
          <w:spacing w:val="-3"/>
          <w:szCs w:val="22"/>
        </w:rPr>
        <w:t>.</w:t>
      </w:r>
    </w:p>
    <w:p w:rsidR="00945F0E" w:rsidRPr="004460F4" w:rsidP="00945F0E" w14:paraId="29F91791" w14:textId="77777777">
      <w:pPr>
        <w:tabs>
          <w:tab w:val="left" w:pos="-720"/>
        </w:tabs>
        <w:suppressAutoHyphens/>
        <w:rPr>
          <w:spacing w:val="-3"/>
          <w:szCs w:val="22"/>
        </w:rPr>
      </w:pPr>
    </w:p>
    <w:p w:rsidR="00945F0E" w:rsidRPr="00D40591" w:rsidP="00945F0E" w14:paraId="5409DC2F" w14:textId="4CDB4B8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00D03192">
        <w:rPr>
          <w:spacing w:val="-3"/>
          <w:szCs w:val="22"/>
        </w:rPr>
        <w:t>40</w:t>
      </w:r>
      <w:r w:rsidRPr="009812DE">
        <w:rPr>
          <w:spacing w:val="-3"/>
          <w:szCs w:val="22"/>
        </w:rPr>
        <w:t xml:space="preserve"> hours.</w:t>
      </w:r>
    </w:p>
    <w:p w:rsidR="00945F0E" w:rsidRPr="004460F4" w:rsidP="00945F0E" w14:paraId="1950CDFE" w14:textId="77777777">
      <w:pPr>
        <w:tabs>
          <w:tab w:val="left" w:pos="-720"/>
        </w:tabs>
        <w:suppressAutoHyphens/>
        <w:rPr>
          <w:spacing w:val="-3"/>
          <w:szCs w:val="22"/>
        </w:rPr>
      </w:pPr>
    </w:p>
    <w:p w:rsidR="00945F0E" w:rsidRPr="004460F4" w:rsidP="001B4DBB" w14:paraId="4BFB57B9" w14:textId="0DE00902">
      <w:pPr>
        <w:tabs>
          <w:tab w:val="left" w:pos="-720"/>
        </w:tabs>
        <w:suppressAutoHyphens/>
        <w:ind w:left="1440"/>
        <w:rPr>
          <w:spacing w:val="-3"/>
          <w:szCs w:val="22"/>
        </w:rPr>
      </w:pPr>
      <w:r>
        <w:rPr>
          <w:spacing w:val="-3"/>
          <w:szCs w:val="22"/>
        </w:rPr>
        <w:t>35</w:t>
      </w:r>
      <w:r w:rsidRPr="004460F4">
        <w:rPr>
          <w:spacing w:val="-3"/>
          <w:szCs w:val="22"/>
        </w:rPr>
        <w:t xml:space="preserve"> </w:t>
      </w:r>
      <w:r>
        <w:rPr>
          <w:spacing w:val="-3"/>
          <w:szCs w:val="22"/>
        </w:rPr>
        <w:t xml:space="preserve">respondents </w:t>
      </w:r>
      <w:r w:rsidRPr="004460F4">
        <w:rPr>
          <w:spacing w:val="-3"/>
          <w:szCs w:val="22"/>
        </w:rPr>
        <w:t xml:space="preserve">x </w:t>
      </w:r>
      <w:r w:rsidR="00D03192">
        <w:rPr>
          <w:spacing w:val="-3"/>
          <w:szCs w:val="22"/>
        </w:rPr>
        <w:t>4</w:t>
      </w:r>
      <w:r w:rsidR="00F263C5">
        <w:rPr>
          <w:spacing w:val="-3"/>
          <w:szCs w:val="22"/>
        </w:rPr>
        <w:t>0</w:t>
      </w:r>
      <w:r w:rsidRPr="004460F4">
        <w:rPr>
          <w:spacing w:val="-3"/>
          <w:szCs w:val="22"/>
        </w:rPr>
        <w:t xml:space="preserve"> hours per response x</w:t>
      </w:r>
      <w:r>
        <w:rPr>
          <w:spacing w:val="-3"/>
          <w:szCs w:val="22"/>
        </w:rPr>
        <w:t xml:space="preserve"> </w:t>
      </w:r>
      <w:r w:rsidR="004A3878">
        <w:rPr>
          <w:spacing w:val="-3"/>
          <w:szCs w:val="22"/>
        </w:rPr>
        <w:t xml:space="preserve">1 </w:t>
      </w:r>
      <w:r w:rsidRPr="004460F4">
        <w:rPr>
          <w:spacing w:val="-3"/>
          <w:szCs w:val="22"/>
        </w:rPr>
        <w:t xml:space="preserve">response per year per respondent = </w:t>
      </w:r>
      <w:r w:rsidR="001B4DBB">
        <w:rPr>
          <w:spacing w:val="-3"/>
          <w:szCs w:val="22"/>
        </w:rPr>
        <w:t>1,400</w:t>
      </w:r>
      <w:r>
        <w:rPr>
          <w:spacing w:val="-3"/>
          <w:szCs w:val="22"/>
        </w:rPr>
        <w:t>hours.</w:t>
      </w:r>
    </w:p>
    <w:p w:rsidR="00945F0E" w:rsidRPr="004460F4" w:rsidP="00945F0E" w14:paraId="046134DE" w14:textId="77777777">
      <w:pPr>
        <w:tabs>
          <w:tab w:val="left" w:pos="-720"/>
        </w:tabs>
        <w:suppressAutoHyphens/>
        <w:rPr>
          <w:spacing w:val="-3"/>
          <w:szCs w:val="22"/>
        </w:rPr>
      </w:pPr>
    </w:p>
    <w:p w:rsidR="00945F0E" w:rsidRPr="004460F4" w:rsidP="00945F0E" w14:paraId="2035E844" w14:textId="66C653BD">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1B4DBB">
        <w:rPr>
          <w:b/>
          <w:spacing w:val="-3"/>
          <w:szCs w:val="22"/>
        </w:rPr>
        <w:t>1,400</w:t>
      </w:r>
      <w:r>
        <w:rPr>
          <w:b/>
          <w:spacing w:val="-3"/>
          <w:szCs w:val="22"/>
        </w:rPr>
        <w:t xml:space="preserve"> </w:t>
      </w:r>
      <w:r w:rsidRPr="004460F4">
        <w:rPr>
          <w:b/>
          <w:spacing w:val="-3"/>
          <w:szCs w:val="22"/>
        </w:rPr>
        <w:t>hours</w:t>
      </w:r>
      <w:r w:rsidRPr="004460F4">
        <w:rPr>
          <w:spacing w:val="-3"/>
          <w:szCs w:val="22"/>
        </w:rPr>
        <w:t>.</w:t>
      </w:r>
    </w:p>
    <w:p w:rsidR="00945F0E" w:rsidRPr="004460F4" w:rsidP="00945F0E" w14:paraId="4F1C3458" w14:textId="77777777">
      <w:pPr>
        <w:tabs>
          <w:tab w:val="left" w:pos="-720"/>
        </w:tabs>
        <w:suppressAutoHyphens/>
        <w:rPr>
          <w:spacing w:val="-3"/>
          <w:szCs w:val="22"/>
        </w:rPr>
      </w:pPr>
    </w:p>
    <w:p w:rsidR="00945F0E" w:rsidP="00945F0E" w14:paraId="0811044A" w14:textId="5E77C418">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35</w:t>
      </w:r>
      <w:r w:rsidRPr="004460F4">
        <w:rPr>
          <w:spacing w:val="-3"/>
          <w:szCs w:val="22"/>
        </w:rPr>
        <w:t xml:space="preserve"> providers will require </w:t>
      </w:r>
      <w:r>
        <w:rPr>
          <w:spacing w:val="-3"/>
          <w:szCs w:val="22"/>
        </w:rPr>
        <w:t xml:space="preserve">approximately </w:t>
      </w:r>
      <w:r w:rsidR="00366EDB">
        <w:rPr>
          <w:spacing w:val="-3"/>
          <w:szCs w:val="22"/>
        </w:rPr>
        <w:t xml:space="preserve">80 </w:t>
      </w:r>
      <w:r>
        <w:rPr>
          <w:spacing w:val="-3"/>
          <w:szCs w:val="22"/>
        </w:rPr>
        <w:t>hours of time to comply with the requirements of section 64.</w:t>
      </w:r>
      <w:r w:rsidR="004042B2">
        <w:rPr>
          <w:spacing w:val="-3"/>
          <w:szCs w:val="22"/>
        </w:rPr>
        <w:t>6040(f).</w:t>
      </w:r>
    </w:p>
    <w:p w:rsidR="00945F0E" w:rsidP="00945F0E" w14:paraId="0FDE4914" w14:textId="77777777">
      <w:pPr>
        <w:tabs>
          <w:tab w:val="left" w:pos="-720"/>
        </w:tabs>
        <w:suppressAutoHyphens/>
        <w:ind w:left="1440"/>
        <w:rPr>
          <w:spacing w:val="-3"/>
          <w:szCs w:val="22"/>
        </w:rPr>
      </w:pPr>
    </w:p>
    <w:p w:rsidR="00945F0E" w:rsidP="00945F0E" w14:paraId="5DA62E99" w14:textId="1FC0857E">
      <w:pPr>
        <w:widowControl/>
        <w:tabs>
          <w:tab w:val="left" w:pos="-720"/>
        </w:tabs>
        <w:suppressAutoHyphens/>
        <w:ind w:left="1440"/>
        <w:rPr>
          <w:spacing w:val="-3"/>
          <w:szCs w:val="22"/>
        </w:rPr>
      </w:pPr>
      <w:r w:rsidRPr="009F745F">
        <w:rPr>
          <w:spacing w:val="-3"/>
          <w:szCs w:val="22"/>
        </w:rPr>
        <w:t xml:space="preserve">Approximately </w:t>
      </w:r>
      <w:r>
        <w:rPr>
          <w:spacing w:val="-3"/>
          <w:szCs w:val="22"/>
        </w:rPr>
        <w:t>35</w:t>
      </w:r>
      <w:r w:rsidRPr="009F745F">
        <w:rPr>
          <w:spacing w:val="-3"/>
          <w:szCs w:val="22"/>
        </w:rPr>
        <w:t xml:space="preserve"> respondents annually x 1 response annually x </w:t>
      </w:r>
      <w:r w:rsidR="001B4DBB">
        <w:rPr>
          <w:spacing w:val="-3"/>
          <w:szCs w:val="22"/>
        </w:rPr>
        <w:t>4</w:t>
      </w:r>
      <w:r w:rsidR="006F6225">
        <w:rPr>
          <w:spacing w:val="-3"/>
          <w:szCs w:val="22"/>
        </w:rPr>
        <w:t>0</w:t>
      </w:r>
      <w:r w:rsidRPr="009F745F">
        <w:rPr>
          <w:spacing w:val="-3"/>
          <w:szCs w:val="22"/>
        </w:rPr>
        <w:t xml:space="preserve"> hours per response = </w:t>
      </w:r>
      <w:r w:rsidR="001B4DBB">
        <w:rPr>
          <w:spacing w:val="-3"/>
          <w:szCs w:val="22"/>
        </w:rPr>
        <w:t>1,400.</w:t>
      </w:r>
      <w:r>
        <w:rPr>
          <w:spacing w:val="-3"/>
          <w:szCs w:val="22"/>
        </w:rPr>
        <w:t xml:space="preserve"> </w:t>
      </w:r>
      <w:r w:rsidRPr="009F745F">
        <w:rPr>
          <w:spacing w:val="-3"/>
          <w:szCs w:val="22"/>
        </w:rPr>
        <w:t>hours</w:t>
      </w:r>
      <w:r>
        <w:rPr>
          <w:spacing w:val="-3"/>
          <w:szCs w:val="22"/>
        </w:rPr>
        <w:t>.</w:t>
      </w:r>
      <w:r w:rsidRPr="009F745F">
        <w:rPr>
          <w:spacing w:val="-3"/>
          <w:szCs w:val="22"/>
        </w:rPr>
        <w:t xml:space="preserve">  </w:t>
      </w:r>
    </w:p>
    <w:p w:rsidR="00945F0E" w:rsidP="00945F0E" w14:paraId="53B12064" w14:textId="77777777">
      <w:pPr>
        <w:pStyle w:val="ListParagraph"/>
        <w:tabs>
          <w:tab w:val="left" w:pos="-720"/>
        </w:tabs>
        <w:suppressAutoHyphens/>
        <w:ind w:left="1440"/>
        <w:rPr>
          <w:spacing w:val="-3"/>
          <w:szCs w:val="22"/>
        </w:rPr>
      </w:pPr>
    </w:p>
    <w:p w:rsidR="00945F0E" w:rsidP="00945F0E" w14:paraId="4D348993" w14:textId="1EAAD326">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00115971">
        <w:rPr>
          <w:b/>
          <w:bCs/>
          <w:spacing w:val="-3"/>
          <w:szCs w:val="22"/>
        </w:rPr>
        <w:t>91,672</w:t>
      </w:r>
      <w:r w:rsidR="00D73F7B">
        <w:rPr>
          <w:b/>
          <w:bCs/>
          <w:spacing w:val="-3"/>
          <w:szCs w:val="22"/>
        </w:rPr>
        <w:t>.</w:t>
      </w:r>
    </w:p>
    <w:p w:rsidR="00945F0E" w:rsidRPr="006A2D75" w:rsidP="00945F0E" w14:paraId="738E9FCB" w14:textId="77777777">
      <w:pPr>
        <w:tabs>
          <w:tab w:val="left" w:pos="-720"/>
        </w:tabs>
        <w:suppressAutoHyphens/>
        <w:rPr>
          <w:spacing w:val="-3"/>
          <w:szCs w:val="22"/>
        </w:rPr>
      </w:pPr>
    </w:p>
    <w:p w:rsidR="00945F0E" w:rsidP="00945F0E" w14:paraId="41953551"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945F0E" w:rsidRPr="004460F4" w:rsidP="00945F0E" w14:paraId="142B46F6" w14:textId="77777777">
      <w:pPr>
        <w:tabs>
          <w:tab w:val="left" w:pos="-720"/>
        </w:tabs>
        <w:suppressAutoHyphens/>
        <w:rPr>
          <w:szCs w:val="22"/>
        </w:rPr>
      </w:pPr>
    </w:p>
    <w:p w:rsidR="00945F0E" w:rsidRPr="0022685D" w:rsidP="00945F0E" w14:paraId="5B4DF95F" w14:textId="1A7327DB">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945F0E" w:rsidP="00945F0E" w14:paraId="59649F95" w14:textId="06FC44C7">
      <w:pPr>
        <w:tabs>
          <w:tab w:val="left" w:pos="-720"/>
        </w:tabs>
        <w:suppressAutoHyphens/>
        <w:ind w:left="1440"/>
        <w:rPr>
          <w:szCs w:val="22"/>
        </w:rPr>
      </w:pPr>
      <w:r>
        <w:rPr>
          <w:szCs w:val="22"/>
        </w:rPr>
        <w:t xml:space="preserve">Thus, approximately </w:t>
      </w:r>
      <w:r w:rsidR="001B4DBB">
        <w:rPr>
          <w:szCs w:val="22"/>
        </w:rPr>
        <w:t>1,400</w:t>
      </w:r>
      <w:r>
        <w:rPr>
          <w:szCs w:val="22"/>
        </w:rPr>
        <w:t xml:space="preserve"> hours per year x $6</w:t>
      </w:r>
      <w:r w:rsidR="00115971">
        <w:rPr>
          <w:szCs w:val="22"/>
        </w:rPr>
        <w:t>5.48</w:t>
      </w:r>
      <w:r>
        <w:rPr>
          <w:szCs w:val="22"/>
        </w:rPr>
        <w:t xml:space="preserve"> = $</w:t>
      </w:r>
      <w:bookmarkStart w:id="16" w:name="_Hlk190241650"/>
      <w:r w:rsidR="00115971">
        <w:rPr>
          <w:szCs w:val="22"/>
        </w:rPr>
        <w:t>91,672</w:t>
      </w:r>
      <w:bookmarkEnd w:id="16"/>
      <w:r w:rsidR="00D73F7B">
        <w:rPr>
          <w:szCs w:val="22"/>
        </w:rPr>
        <w:t>.</w:t>
      </w:r>
    </w:p>
    <w:p w:rsidR="009B7236" w:rsidP="00945F0E" w14:paraId="3BDEB6D6" w14:textId="77777777">
      <w:pPr>
        <w:tabs>
          <w:tab w:val="left" w:pos="-720"/>
        </w:tabs>
        <w:suppressAutoHyphens/>
        <w:ind w:left="1440"/>
        <w:rPr>
          <w:szCs w:val="22"/>
        </w:rPr>
      </w:pPr>
    </w:p>
    <w:p w:rsidR="006D0F96" w:rsidRPr="009B7236" w:rsidP="00956233" w14:paraId="08F598CB" w14:textId="4B5B7AE4">
      <w:pPr>
        <w:pStyle w:val="Numberedparagraphs"/>
        <w:numPr>
          <w:ilvl w:val="0"/>
          <w:numId w:val="0"/>
        </w:numPr>
        <w:tabs>
          <w:tab w:val="left" w:pos="720"/>
          <w:tab w:val="clear" w:pos="1440"/>
        </w:tabs>
        <w:rPr>
          <w:b/>
          <w:spacing w:val="-3"/>
          <w:szCs w:val="22"/>
          <w:u w:val="single"/>
        </w:rPr>
      </w:pPr>
      <w:r w:rsidRPr="009B7236">
        <w:rPr>
          <w:b/>
          <w:spacing w:val="-3"/>
          <w:szCs w:val="22"/>
        </w:rPr>
        <w:t>B.</w:t>
      </w:r>
      <w:r w:rsidRPr="009B7236">
        <w:rPr>
          <w:b/>
          <w:spacing w:val="-3"/>
          <w:szCs w:val="22"/>
        </w:rPr>
        <w:tab/>
      </w:r>
      <w:r w:rsidRPr="009B7236">
        <w:rPr>
          <w:b/>
          <w:spacing w:val="-3"/>
          <w:szCs w:val="22"/>
          <w:u w:val="single"/>
        </w:rPr>
        <w:t>Inactive Accounts Reporting Requirements (Section 64.6130)</w:t>
      </w:r>
      <w:r w:rsidRPr="009B7236" w:rsidR="009B7236">
        <w:rPr>
          <w:b/>
          <w:spacing w:val="-3"/>
          <w:szCs w:val="22"/>
          <w:u w:val="single"/>
        </w:rPr>
        <w:t>.</w:t>
      </w:r>
    </w:p>
    <w:p w:rsidR="006D0F96" w:rsidRPr="00286B38" w:rsidP="00246CC9" w14:paraId="50F367C8" w14:textId="5920A24F">
      <w:pPr>
        <w:ind w:firstLine="720"/>
        <w:rPr>
          <w:spacing w:val="-3"/>
          <w:szCs w:val="22"/>
        </w:rPr>
      </w:pPr>
      <w:r w:rsidRPr="00581BB5">
        <w:rPr>
          <w:spacing w:val="-3"/>
          <w:szCs w:val="22"/>
        </w:rPr>
        <w:t>(1)</w:t>
      </w:r>
      <w:r w:rsidRPr="00581BB5" w:rsidR="00CA4209">
        <w:rPr>
          <w:spacing w:val="-3"/>
          <w:szCs w:val="22"/>
        </w:rPr>
        <w:t xml:space="preserve"> </w:t>
      </w:r>
      <w:r w:rsidRPr="00581BB5" w:rsidR="00CA4209">
        <w:rPr>
          <w:spacing w:val="-3"/>
          <w:szCs w:val="22"/>
        </w:rPr>
        <w:tab/>
      </w:r>
      <w:r w:rsidRPr="00581BB5">
        <w:rPr>
          <w:spacing w:val="-3"/>
          <w:szCs w:val="22"/>
          <w:u w:val="single"/>
        </w:rPr>
        <w:t>Number of respondents</w:t>
      </w:r>
      <w:r w:rsidRPr="00286B38">
        <w:rPr>
          <w:spacing w:val="-3"/>
          <w:szCs w:val="22"/>
        </w:rPr>
        <w:t xml:space="preserve">:  Approximately </w:t>
      </w:r>
      <w:r w:rsidRPr="00286B38" w:rsidR="003C4648">
        <w:rPr>
          <w:spacing w:val="-3"/>
          <w:szCs w:val="22"/>
        </w:rPr>
        <w:t>35</w:t>
      </w:r>
      <w:r w:rsidRPr="00286B38">
        <w:rPr>
          <w:spacing w:val="-3"/>
          <w:szCs w:val="22"/>
        </w:rPr>
        <w:t>.</w:t>
      </w:r>
    </w:p>
    <w:p w:rsidR="006D0F96" w:rsidP="006D0F96" w14:paraId="24E13ACD" w14:textId="77777777">
      <w:pPr>
        <w:pStyle w:val="ListParagraph"/>
        <w:ind w:left="1080"/>
        <w:rPr>
          <w:spacing w:val="-3"/>
          <w:szCs w:val="22"/>
        </w:rPr>
      </w:pPr>
    </w:p>
    <w:p w:rsidR="006D0F96" w:rsidRPr="00286B38" w:rsidP="00246CC9" w14:paraId="6F998776" w14:textId="08017297">
      <w:pPr>
        <w:ind w:firstLine="720"/>
        <w:rPr>
          <w:spacing w:val="-3"/>
          <w:szCs w:val="22"/>
        </w:rPr>
      </w:pPr>
      <w:r w:rsidRPr="00581BB5">
        <w:rPr>
          <w:spacing w:val="-3"/>
          <w:szCs w:val="22"/>
        </w:rPr>
        <w:t>(2)</w:t>
      </w:r>
      <w:r w:rsidRPr="00581BB5">
        <w:rPr>
          <w:spacing w:val="-3"/>
          <w:szCs w:val="22"/>
        </w:rPr>
        <w:tab/>
      </w:r>
      <w:r w:rsidRPr="00581BB5">
        <w:rPr>
          <w:spacing w:val="-3"/>
          <w:szCs w:val="22"/>
          <w:u w:val="single"/>
        </w:rPr>
        <w:t>Frequency of response</w:t>
      </w:r>
      <w:r w:rsidRPr="00286B38">
        <w:rPr>
          <w:spacing w:val="-3"/>
          <w:szCs w:val="22"/>
        </w:rPr>
        <w:t xml:space="preserve">:  </w:t>
      </w:r>
      <w:r w:rsidRPr="00286B38" w:rsidR="00A739F9">
        <w:rPr>
          <w:spacing w:val="-3"/>
          <w:szCs w:val="22"/>
        </w:rPr>
        <w:t xml:space="preserve">On occasion </w:t>
      </w:r>
      <w:r w:rsidRPr="00286B38" w:rsidR="00D20E54">
        <w:rPr>
          <w:spacing w:val="-3"/>
          <w:szCs w:val="22"/>
        </w:rPr>
        <w:t>reporting requirement as requested by filer</w:t>
      </w:r>
      <w:r w:rsidRPr="00286B38" w:rsidR="00D40591">
        <w:rPr>
          <w:spacing w:val="-3"/>
          <w:szCs w:val="22"/>
        </w:rPr>
        <w:t>.</w:t>
      </w:r>
    </w:p>
    <w:p w:rsidR="006D0F96" w:rsidRPr="00286B38" w:rsidP="006D0F96" w14:paraId="6FEEB486" w14:textId="77777777">
      <w:pPr>
        <w:pStyle w:val="ListParagraph"/>
        <w:rPr>
          <w:spacing w:val="-3"/>
          <w:szCs w:val="22"/>
        </w:rPr>
      </w:pPr>
    </w:p>
    <w:p w:rsidR="006D0F96" w:rsidRPr="00286B38" w:rsidP="00286B38" w14:paraId="33905FDB" w14:textId="370CC7DB">
      <w:pPr>
        <w:ind w:firstLine="720"/>
        <w:rPr>
          <w:spacing w:val="-3"/>
          <w:szCs w:val="22"/>
        </w:rPr>
      </w:pPr>
      <w:r w:rsidRPr="00581BB5">
        <w:rPr>
          <w:spacing w:val="-3"/>
          <w:szCs w:val="22"/>
        </w:rPr>
        <w:t>(3)</w:t>
      </w:r>
      <w:r w:rsidRPr="00581BB5">
        <w:rPr>
          <w:spacing w:val="-3"/>
          <w:szCs w:val="22"/>
        </w:rPr>
        <w:tab/>
      </w:r>
      <w:r w:rsidRPr="00286B38">
        <w:rPr>
          <w:spacing w:val="-3"/>
          <w:szCs w:val="22"/>
          <w:u w:val="single"/>
        </w:rPr>
        <w:t>Total number of responses annually</w:t>
      </w:r>
      <w:r w:rsidRPr="00286B38">
        <w:rPr>
          <w:spacing w:val="-3"/>
          <w:szCs w:val="22"/>
        </w:rPr>
        <w:t xml:space="preserve">:  Approximately </w:t>
      </w:r>
      <w:r w:rsidRPr="00286B38" w:rsidR="000C07DC">
        <w:rPr>
          <w:spacing w:val="-3"/>
          <w:szCs w:val="22"/>
        </w:rPr>
        <w:t>35</w:t>
      </w:r>
      <w:r w:rsidRPr="00286B38">
        <w:rPr>
          <w:spacing w:val="-3"/>
          <w:szCs w:val="22"/>
        </w:rPr>
        <w:t>.</w:t>
      </w:r>
    </w:p>
    <w:p w:rsidR="006D0F96" w:rsidRPr="004460F4" w:rsidP="006D0F96" w14:paraId="44BA330B" w14:textId="77777777">
      <w:pPr>
        <w:tabs>
          <w:tab w:val="left" w:pos="-720"/>
        </w:tabs>
        <w:suppressAutoHyphens/>
        <w:rPr>
          <w:spacing w:val="-3"/>
          <w:szCs w:val="22"/>
        </w:rPr>
      </w:pPr>
    </w:p>
    <w:p w:rsidR="006D0F96" w:rsidRPr="00286B38" w:rsidP="00CA4209" w14:paraId="364508B6" w14:textId="763F981B">
      <w:pPr>
        <w:pStyle w:val="ListParagraph"/>
        <w:numPr>
          <w:ilvl w:val="0"/>
          <w:numId w:val="9"/>
        </w:numPr>
        <w:tabs>
          <w:tab w:val="left" w:pos="-720"/>
        </w:tabs>
        <w:suppressAutoHyphens/>
        <w:rPr>
          <w:spacing w:val="-3"/>
          <w:szCs w:val="22"/>
        </w:rPr>
      </w:pPr>
      <w:r w:rsidRPr="00DE6E01">
        <w:rPr>
          <w:spacing w:val="-3"/>
          <w:szCs w:val="22"/>
        </w:rPr>
        <w:t xml:space="preserve">       </w:t>
      </w:r>
      <w:r w:rsidRPr="00CA4209">
        <w:rPr>
          <w:spacing w:val="-3"/>
          <w:szCs w:val="22"/>
          <w:u w:val="single"/>
        </w:rPr>
        <w:t xml:space="preserve">Estimated </w:t>
      </w:r>
      <w:r w:rsidRPr="00286B38">
        <w:rPr>
          <w:spacing w:val="-3"/>
          <w:szCs w:val="22"/>
          <w:u w:val="single"/>
        </w:rPr>
        <w:t>Time per Response</w:t>
      </w:r>
      <w:r w:rsidRPr="00286B38">
        <w:rPr>
          <w:spacing w:val="-3"/>
          <w:szCs w:val="22"/>
        </w:rPr>
        <w:t xml:space="preserve">:  </w:t>
      </w:r>
      <w:r w:rsidRPr="00286B38" w:rsidR="00566382">
        <w:rPr>
          <w:spacing w:val="-3"/>
          <w:szCs w:val="22"/>
        </w:rPr>
        <w:t>100</w:t>
      </w:r>
      <w:r w:rsidRPr="00286B38" w:rsidR="000C07DC">
        <w:rPr>
          <w:spacing w:val="-3"/>
          <w:szCs w:val="22"/>
        </w:rPr>
        <w:t xml:space="preserve"> hours.</w:t>
      </w:r>
    </w:p>
    <w:p w:rsidR="006D0F96" w:rsidRPr="004460F4" w:rsidP="006D0F96" w14:paraId="116BEE2F" w14:textId="77777777">
      <w:pPr>
        <w:tabs>
          <w:tab w:val="left" w:pos="-720"/>
        </w:tabs>
        <w:suppressAutoHyphens/>
        <w:rPr>
          <w:spacing w:val="-3"/>
          <w:szCs w:val="22"/>
        </w:rPr>
      </w:pPr>
    </w:p>
    <w:p w:rsidR="006D0F96" w:rsidRPr="004460F4" w:rsidP="006D0F96" w14:paraId="749D4029" w14:textId="2ECD75F8">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3C4648">
        <w:rPr>
          <w:spacing w:val="-3"/>
          <w:szCs w:val="22"/>
        </w:rPr>
        <w:t>5</w:t>
      </w:r>
      <w:r w:rsidRPr="004460F4">
        <w:rPr>
          <w:spacing w:val="-3"/>
          <w:szCs w:val="22"/>
        </w:rPr>
        <w:t xml:space="preserve"> </w:t>
      </w:r>
      <w:r>
        <w:rPr>
          <w:spacing w:val="-3"/>
          <w:szCs w:val="22"/>
        </w:rPr>
        <w:t xml:space="preserve">respondents </w:t>
      </w:r>
      <w:r w:rsidRPr="004460F4">
        <w:rPr>
          <w:spacing w:val="-3"/>
          <w:szCs w:val="22"/>
        </w:rPr>
        <w:t>x</w:t>
      </w:r>
      <w:r w:rsidR="00A739F9">
        <w:rPr>
          <w:spacing w:val="-3"/>
          <w:szCs w:val="22"/>
        </w:rPr>
        <w:t xml:space="preserve"> 100</w:t>
      </w:r>
      <w:r w:rsidRPr="004460F4">
        <w:rPr>
          <w:spacing w:val="-3"/>
          <w:szCs w:val="22"/>
        </w:rPr>
        <w:t xml:space="preserve"> hours per response x</w:t>
      </w:r>
      <w:r>
        <w:rPr>
          <w:spacing w:val="-3"/>
          <w:szCs w:val="22"/>
        </w:rPr>
        <w:t xml:space="preserve"> </w:t>
      </w:r>
      <w:r w:rsidR="00A739F9">
        <w:rPr>
          <w:spacing w:val="-3"/>
          <w:szCs w:val="22"/>
        </w:rPr>
        <w:t>1</w:t>
      </w:r>
      <w:r w:rsidRPr="004460F4">
        <w:rPr>
          <w:spacing w:val="-3"/>
          <w:szCs w:val="22"/>
        </w:rPr>
        <w:t xml:space="preserve"> response per year per respondent = </w:t>
      </w:r>
      <w:r w:rsidR="00A9548D">
        <w:rPr>
          <w:spacing w:val="-3"/>
          <w:szCs w:val="22"/>
        </w:rPr>
        <w:t>3,500</w:t>
      </w:r>
      <w:r>
        <w:rPr>
          <w:spacing w:val="-3"/>
          <w:szCs w:val="22"/>
        </w:rPr>
        <w:t xml:space="preserve"> hours.</w:t>
      </w:r>
    </w:p>
    <w:p w:rsidR="006D0F96" w:rsidRPr="004460F4" w:rsidP="006D0F96" w14:paraId="4FB362D9" w14:textId="77777777">
      <w:pPr>
        <w:tabs>
          <w:tab w:val="left" w:pos="-720"/>
        </w:tabs>
        <w:suppressAutoHyphens/>
        <w:rPr>
          <w:spacing w:val="-3"/>
          <w:szCs w:val="22"/>
        </w:rPr>
      </w:pPr>
    </w:p>
    <w:p w:rsidR="006D0F96" w:rsidRPr="004460F4" w:rsidP="006D0F96" w14:paraId="2FE405B6" w14:textId="185507CC">
      <w:pPr>
        <w:tabs>
          <w:tab w:val="left" w:pos="-720"/>
        </w:tabs>
        <w:suppressAutoHyphens/>
        <w:rPr>
          <w:spacing w:val="-3"/>
          <w:szCs w:val="22"/>
        </w:rPr>
      </w:pPr>
      <w:r w:rsidRPr="004460F4">
        <w:rPr>
          <w:spacing w:val="-3"/>
          <w:szCs w:val="22"/>
        </w:rPr>
        <w:tab/>
        <w:t xml:space="preserve">(5)  </w:t>
      </w:r>
      <w:r w:rsidR="00DE6E01">
        <w:rPr>
          <w:spacing w:val="-3"/>
          <w:szCs w:val="22"/>
        </w:rPr>
        <w:tab/>
      </w:r>
      <w:r w:rsidRPr="004460F4">
        <w:rPr>
          <w:spacing w:val="-3"/>
          <w:szCs w:val="22"/>
          <w:u w:val="single"/>
        </w:rPr>
        <w:t>Total annual burden</w:t>
      </w:r>
      <w:r w:rsidRPr="004460F4">
        <w:rPr>
          <w:spacing w:val="-3"/>
          <w:szCs w:val="22"/>
        </w:rPr>
        <w:t xml:space="preserve">:  </w:t>
      </w:r>
      <w:r>
        <w:rPr>
          <w:spacing w:val="-3"/>
          <w:szCs w:val="22"/>
        </w:rPr>
        <w:t xml:space="preserve">Approximately </w:t>
      </w:r>
      <w:r w:rsidRPr="00A9548D" w:rsidR="00A9548D">
        <w:rPr>
          <w:b/>
          <w:bCs/>
          <w:spacing w:val="-3"/>
          <w:szCs w:val="22"/>
        </w:rPr>
        <w:t xml:space="preserve">3,500 </w:t>
      </w:r>
      <w:r w:rsidRPr="00A9548D">
        <w:rPr>
          <w:b/>
          <w:bCs/>
          <w:spacing w:val="-3"/>
          <w:szCs w:val="22"/>
        </w:rPr>
        <w:t>hours</w:t>
      </w:r>
      <w:r w:rsidRPr="004460F4">
        <w:rPr>
          <w:spacing w:val="-3"/>
          <w:szCs w:val="22"/>
        </w:rPr>
        <w:t>.</w:t>
      </w:r>
    </w:p>
    <w:p w:rsidR="006D0F96" w:rsidRPr="004460F4" w:rsidP="006D0F96" w14:paraId="59BBD9A7" w14:textId="77777777">
      <w:pPr>
        <w:tabs>
          <w:tab w:val="left" w:pos="-720"/>
        </w:tabs>
        <w:suppressAutoHyphens/>
        <w:rPr>
          <w:spacing w:val="-3"/>
          <w:szCs w:val="22"/>
        </w:rPr>
      </w:pPr>
    </w:p>
    <w:p w:rsidR="006D0F96" w:rsidP="006D0F96" w14:paraId="1699C0E6" w14:textId="473A7678">
      <w:pPr>
        <w:tabs>
          <w:tab w:val="left" w:pos="-720"/>
        </w:tabs>
        <w:suppressAutoHyphens/>
        <w:ind w:left="1440"/>
        <w:rPr>
          <w:spacing w:val="-3"/>
          <w:szCs w:val="22"/>
        </w:rPr>
      </w:pPr>
      <w:r w:rsidRPr="004460F4">
        <w:rPr>
          <w:spacing w:val="-3"/>
          <w:szCs w:val="22"/>
        </w:rPr>
        <w:t xml:space="preserve">The Commission estimates that approximately </w:t>
      </w:r>
      <w:r w:rsidR="003C4648">
        <w:rPr>
          <w:spacing w:val="-3"/>
          <w:szCs w:val="22"/>
        </w:rPr>
        <w:t>35</w:t>
      </w:r>
      <w:r w:rsidRPr="004460F4">
        <w:rPr>
          <w:spacing w:val="-3"/>
          <w:szCs w:val="22"/>
        </w:rPr>
        <w:t xml:space="preserve"> providers will require </w:t>
      </w:r>
      <w:r>
        <w:rPr>
          <w:spacing w:val="-3"/>
          <w:szCs w:val="22"/>
        </w:rPr>
        <w:t xml:space="preserve">approximately </w:t>
      </w:r>
      <w:r w:rsidR="004A3878">
        <w:rPr>
          <w:spacing w:val="-3"/>
          <w:szCs w:val="22"/>
        </w:rPr>
        <w:t>100</w:t>
      </w:r>
      <w:r>
        <w:rPr>
          <w:spacing w:val="-3"/>
          <w:szCs w:val="22"/>
        </w:rPr>
        <w:t xml:space="preserve"> hours of time to comply with the requirements of section 64.6130</w:t>
      </w:r>
      <w:r w:rsidR="00360668">
        <w:rPr>
          <w:spacing w:val="-3"/>
          <w:szCs w:val="22"/>
        </w:rPr>
        <w:t>(d),</w:t>
      </w:r>
      <w:r w:rsidRPr="00553C55">
        <w:t xml:space="preserve"> </w:t>
      </w:r>
      <w:r>
        <w:t>(</w:t>
      </w:r>
      <w:r w:rsidRPr="00553C55">
        <w:rPr>
          <w:spacing w:val="-3"/>
          <w:szCs w:val="22"/>
        </w:rPr>
        <w:t>e)</w:t>
      </w:r>
      <w:r w:rsidR="00360668">
        <w:rPr>
          <w:spacing w:val="-3"/>
          <w:szCs w:val="22"/>
        </w:rPr>
        <w:t>, (f), (h)-(k)</w:t>
      </w:r>
      <w:r>
        <w:rPr>
          <w:spacing w:val="-3"/>
          <w:szCs w:val="22"/>
        </w:rPr>
        <w:t>.</w:t>
      </w:r>
    </w:p>
    <w:p w:rsidR="006D0F96" w:rsidP="006D0F96" w14:paraId="2389FA3E" w14:textId="77777777">
      <w:pPr>
        <w:tabs>
          <w:tab w:val="left" w:pos="-720"/>
        </w:tabs>
        <w:suppressAutoHyphens/>
        <w:ind w:left="1440"/>
        <w:rPr>
          <w:spacing w:val="-3"/>
          <w:szCs w:val="22"/>
        </w:rPr>
      </w:pPr>
    </w:p>
    <w:p w:rsidR="006D0F96" w:rsidP="006D0F96" w14:paraId="7F51E952" w14:textId="183FF9CE">
      <w:pPr>
        <w:widowControl/>
        <w:tabs>
          <w:tab w:val="left" w:pos="-720"/>
        </w:tabs>
        <w:suppressAutoHyphens/>
        <w:ind w:left="1440"/>
        <w:rPr>
          <w:spacing w:val="-3"/>
          <w:szCs w:val="22"/>
        </w:rPr>
      </w:pPr>
      <w:r w:rsidRPr="009F745F">
        <w:rPr>
          <w:spacing w:val="-3"/>
          <w:szCs w:val="22"/>
        </w:rPr>
        <w:t xml:space="preserve">Approximately </w:t>
      </w:r>
      <w:r w:rsidR="00D40591">
        <w:rPr>
          <w:spacing w:val="-3"/>
          <w:szCs w:val="22"/>
        </w:rPr>
        <w:t>35</w:t>
      </w:r>
      <w:r w:rsidRPr="009F745F">
        <w:rPr>
          <w:spacing w:val="-3"/>
          <w:szCs w:val="22"/>
        </w:rPr>
        <w:t xml:space="preserve"> respondents annually x 1 response annually x</w:t>
      </w:r>
      <w:r w:rsidR="008F0FAB">
        <w:rPr>
          <w:spacing w:val="-3"/>
          <w:szCs w:val="22"/>
        </w:rPr>
        <w:t xml:space="preserve"> 100 </w:t>
      </w:r>
      <w:r w:rsidRPr="009F745F">
        <w:rPr>
          <w:spacing w:val="-3"/>
          <w:szCs w:val="22"/>
        </w:rPr>
        <w:t xml:space="preserve"> hours per response = </w:t>
      </w:r>
      <w:r w:rsidR="00975E94">
        <w:rPr>
          <w:spacing w:val="-3"/>
          <w:szCs w:val="22"/>
        </w:rPr>
        <w:t>3,500</w:t>
      </w:r>
      <w:r>
        <w:rPr>
          <w:spacing w:val="-3"/>
          <w:szCs w:val="22"/>
        </w:rPr>
        <w:t xml:space="preserve"> </w:t>
      </w:r>
      <w:r w:rsidRPr="009F745F">
        <w:rPr>
          <w:spacing w:val="-3"/>
          <w:szCs w:val="22"/>
        </w:rPr>
        <w:t>hours)</w:t>
      </w:r>
      <w:r>
        <w:rPr>
          <w:spacing w:val="-3"/>
          <w:szCs w:val="22"/>
        </w:rPr>
        <w:t>.</w:t>
      </w:r>
      <w:r w:rsidRPr="009F745F">
        <w:rPr>
          <w:spacing w:val="-3"/>
          <w:szCs w:val="22"/>
        </w:rPr>
        <w:t xml:space="preserve">  </w:t>
      </w:r>
    </w:p>
    <w:p w:rsidR="006D0F96" w:rsidRPr="004460F4" w:rsidP="006D0F96" w14:paraId="0470F5F7" w14:textId="77777777">
      <w:pPr>
        <w:tabs>
          <w:tab w:val="left" w:pos="-720"/>
        </w:tabs>
        <w:suppressAutoHyphens/>
        <w:rPr>
          <w:spacing w:val="-3"/>
          <w:szCs w:val="22"/>
        </w:rPr>
      </w:pPr>
    </w:p>
    <w:p w:rsidR="006D0F96" w:rsidP="006D0F96" w14:paraId="08083024" w14:textId="210CC0A7">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004449FA">
        <w:rPr>
          <w:b/>
          <w:bCs/>
          <w:spacing w:val="-3"/>
          <w:szCs w:val="22"/>
        </w:rPr>
        <w:t>22</w:t>
      </w:r>
      <w:r w:rsidR="00115971">
        <w:rPr>
          <w:b/>
          <w:bCs/>
          <w:spacing w:val="-3"/>
          <w:szCs w:val="22"/>
        </w:rPr>
        <w:t>9,180</w:t>
      </w:r>
      <w:r w:rsidR="004449FA">
        <w:rPr>
          <w:b/>
          <w:bCs/>
          <w:spacing w:val="-3"/>
          <w:szCs w:val="22"/>
        </w:rPr>
        <w:t>.</w:t>
      </w:r>
    </w:p>
    <w:p w:rsidR="006D0F96" w:rsidRPr="006A2D75" w:rsidP="006D0F96" w14:paraId="3D2B7992" w14:textId="77777777">
      <w:pPr>
        <w:tabs>
          <w:tab w:val="left" w:pos="-720"/>
        </w:tabs>
        <w:suppressAutoHyphens/>
        <w:rPr>
          <w:spacing w:val="-3"/>
          <w:szCs w:val="22"/>
        </w:rPr>
      </w:pPr>
    </w:p>
    <w:p w:rsidR="006D0F96" w:rsidP="006D0F96" w14:paraId="47E39B1F"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6D0F96" w:rsidRPr="004460F4" w:rsidP="006D0F96" w14:paraId="01C2E03D" w14:textId="77777777">
      <w:pPr>
        <w:tabs>
          <w:tab w:val="left" w:pos="-720"/>
        </w:tabs>
        <w:suppressAutoHyphens/>
        <w:rPr>
          <w:szCs w:val="22"/>
        </w:rPr>
      </w:pPr>
    </w:p>
    <w:p w:rsidR="006D0F96" w:rsidRPr="0022685D" w:rsidP="006D0F96" w14:paraId="2C212DD2" w14:textId="104DDEAE">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6D0F96" w:rsidP="006D0F96" w14:paraId="0FE7AAD5" w14:textId="2836F041">
      <w:pPr>
        <w:tabs>
          <w:tab w:val="left" w:pos="-720"/>
        </w:tabs>
        <w:suppressAutoHyphens/>
        <w:ind w:left="1440"/>
        <w:rPr>
          <w:szCs w:val="22"/>
        </w:rPr>
      </w:pPr>
      <w:r>
        <w:rPr>
          <w:szCs w:val="22"/>
        </w:rPr>
        <w:t xml:space="preserve">Thus, approximately </w:t>
      </w:r>
      <w:r w:rsidR="00716017">
        <w:rPr>
          <w:szCs w:val="22"/>
        </w:rPr>
        <w:t>3,500</w:t>
      </w:r>
      <w:r>
        <w:rPr>
          <w:szCs w:val="22"/>
        </w:rPr>
        <w:t xml:space="preserve"> hours per year x $6</w:t>
      </w:r>
      <w:r w:rsidR="00115971">
        <w:rPr>
          <w:szCs w:val="22"/>
        </w:rPr>
        <w:t>5.48</w:t>
      </w:r>
      <w:r>
        <w:rPr>
          <w:szCs w:val="22"/>
        </w:rPr>
        <w:t xml:space="preserve"> = $</w:t>
      </w:r>
      <w:r w:rsidR="004449FA">
        <w:rPr>
          <w:szCs w:val="22"/>
        </w:rPr>
        <w:t>22</w:t>
      </w:r>
      <w:r w:rsidR="00115971">
        <w:rPr>
          <w:szCs w:val="22"/>
        </w:rPr>
        <w:t>9,180</w:t>
      </w:r>
      <w:r w:rsidR="004449FA">
        <w:rPr>
          <w:szCs w:val="22"/>
        </w:rPr>
        <w:t>.</w:t>
      </w:r>
    </w:p>
    <w:p w:rsidR="006D0F96" w:rsidP="006D0F96" w14:paraId="45917A2E" w14:textId="77777777">
      <w:pPr>
        <w:tabs>
          <w:tab w:val="left" w:pos="-720"/>
        </w:tabs>
        <w:suppressAutoHyphens/>
        <w:rPr>
          <w:szCs w:val="22"/>
        </w:rPr>
      </w:pPr>
    </w:p>
    <w:p w:rsidR="00007370" w:rsidRPr="006B0B53" w:rsidP="00007370" w14:paraId="1F8DB594" w14:textId="74955344">
      <w:pPr>
        <w:rPr>
          <w:b/>
          <w:spacing w:val="-3"/>
          <w:szCs w:val="22"/>
          <w:u w:val="single"/>
        </w:rPr>
      </w:pPr>
      <w:r w:rsidRPr="00007370">
        <w:rPr>
          <w:b/>
          <w:spacing w:val="-3"/>
          <w:szCs w:val="22"/>
        </w:rPr>
        <w:t>C.</w:t>
      </w:r>
      <w:r>
        <w:rPr>
          <w:b/>
          <w:spacing w:val="-3"/>
          <w:szCs w:val="22"/>
        </w:rPr>
        <w:tab/>
      </w:r>
      <w:r w:rsidRPr="00FC73B8" w:rsidR="006D0F96">
        <w:rPr>
          <w:b/>
          <w:spacing w:val="-3"/>
          <w:szCs w:val="22"/>
          <w:u w:val="single"/>
        </w:rPr>
        <w:t xml:space="preserve">Alternate Pricing Plan Reporting </w:t>
      </w:r>
      <w:r w:rsidRPr="00FC73B8" w:rsidR="005D33FC">
        <w:rPr>
          <w:b/>
          <w:spacing w:val="-3"/>
          <w:szCs w:val="22"/>
          <w:u w:val="single"/>
        </w:rPr>
        <w:t xml:space="preserve">and Consumer Disclosure </w:t>
      </w:r>
      <w:r w:rsidRPr="00FC73B8" w:rsidR="006D0F96">
        <w:rPr>
          <w:b/>
          <w:spacing w:val="-3"/>
          <w:szCs w:val="22"/>
          <w:u w:val="single"/>
        </w:rPr>
        <w:t>Requirements</w:t>
      </w:r>
      <w:r w:rsidRPr="00FC73B8" w:rsidR="00BE70C4">
        <w:rPr>
          <w:b/>
          <w:spacing w:val="-3"/>
          <w:szCs w:val="22"/>
          <w:u w:val="single"/>
        </w:rPr>
        <w:t xml:space="preserve"> </w:t>
      </w:r>
      <w:r w:rsidRPr="00FC73B8" w:rsidR="006963D3">
        <w:rPr>
          <w:b/>
          <w:spacing w:val="-3"/>
          <w:szCs w:val="22"/>
          <w:u w:val="single"/>
        </w:rPr>
        <w:t xml:space="preserve"> </w:t>
      </w:r>
      <w:r w:rsidRPr="00FC73B8" w:rsidR="00BE70C4">
        <w:rPr>
          <w:b/>
          <w:spacing w:val="-3"/>
          <w:szCs w:val="22"/>
          <w:u w:val="single"/>
        </w:rPr>
        <w:t xml:space="preserve">(Section </w:t>
      </w:r>
      <w:r w:rsidRPr="00FC73B8" w:rsidR="006963D3">
        <w:rPr>
          <w:b/>
          <w:spacing w:val="-3"/>
          <w:szCs w:val="22"/>
          <w:u w:val="single"/>
        </w:rPr>
        <w:t>64.6140)</w:t>
      </w:r>
    </w:p>
    <w:p w:rsidR="006D0F96" w:rsidP="006D0F96" w14:paraId="1DA877F1" w14:textId="77777777">
      <w:pPr>
        <w:pStyle w:val="ListParagraph"/>
        <w:ind w:left="1080"/>
        <w:rPr>
          <w:spacing w:val="-3"/>
          <w:szCs w:val="22"/>
        </w:rPr>
      </w:pPr>
    </w:p>
    <w:p w:rsidR="00007370" w:rsidRPr="00007370" w:rsidP="00007370" w14:paraId="59D11430" w14:textId="77777777">
      <w:pPr>
        <w:pStyle w:val="ListParagraph"/>
        <w:numPr>
          <w:ilvl w:val="0"/>
          <w:numId w:val="6"/>
        </w:numPr>
      </w:pPr>
      <w:r w:rsidRPr="006B0B53">
        <w:rPr>
          <w:u w:val="single"/>
        </w:rPr>
        <w:t>Number of respondents</w:t>
      </w:r>
      <w:r w:rsidRPr="00007370">
        <w:t>:  Approximately 5.</w:t>
      </w:r>
    </w:p>
    <w:p w:rsidR="00181B4C" w:rsidRPr="006B0B53" w:rsidP="006B0B53" w14:paraId="40F60FDB" w14:textId="77777777">
      <w:pPr>
        <w:rPr>
          <w:spacing w:val="-3"/>
          <w:szCs w:val="22"/>
        </w:rPr>
      </w:pPr>
    </w:p>
    <w:p w:rsidR="006D0F96" w:rsidP="00085B34" w14:paraId="630E1684" w14:textId="181D8EA5">
      <w:pPr>
        <w:pStyle w:val="ListParagraph"/>
        <w:numPr>
          <w:ilvl w:val="0"/>
          <w:numId w:val="6"/>
        </w:numPr>
        <w:rPr>
          <w:spacing w:val="-3"/>
          <w:szCs w:val="22"/>
        </w:rPr>
      </w:pPr>
      <w:r w:rsidRPr="00404225">
        <w:rPr>
          <w:spacing w:val="-3"/>
          <w:szCs w:val="22"/>
          <w:u w:val="single"/>
        </w:rPr>
        <w:t>Frequency of response</w:t>
      </w:r>
      <w:r w:rsidRPr="00404225">
        <w:rPr>
          <w:spacing w:val="-3"/>
          <w:szCs w:val="22"/>
        </w:rPr>
        <w:t xml:space="preserve">:  </w:t>
      </w:r>
      <w:r w:rsidRPr="00CC0841">
        <w:rPr>
          <w:spacing w:val="-3"/>
          <w:szCs w:val="22"/>
        </w:rPr>
        <w:t>On occasion reporting requirement as requested by filer</w:t>
      </w:r>
      <w:r>
        <w:rPr>
          <w:spacing w:val="-3"/>
          <w:szCs w:val="22"/>
        </w:rPr>
        <w:t>.</w:t>
      </w:r>
    </w:p>
    <w:p w:rsidR="006D0F96" w:rsidRPr="00A13D8A" w:rsidP="006D0F96" w14:paraId="2E82A81C" w14:textId="77777777">
      <w:pPr>
        <w:pStyle w:val="ListParagraph"/>
        <w:rPr>
          <w:spacing w:val="-3"/>
          <w:szCs w:val="22"/>
        </w:rPr>
      </w:pPr>
    </w:p>
    <w:p w:rsidR="006D0F96" w:rsidRPr="00A13D8A" w:rsidP="00085B34" w14:paraId="65781210" w14:textId="77777777">
      <w:pPr>
        <w:pStyle w:val="ListParagraph"/>
        <w:numPr>
          <w:ilvl w:val="0"/>
          <w:numId w:val="6"/>
        </w:numPr>
        <w:rPr>
          <w:spacing w:val="-3"/>
          <w:szCs w:val="22"/>
        </w:rPr>
      </w:pPr>
      <w:r w:rsidRPr="00A13D8A">
        <w:rPr>
          <w:spacing w:val="-3"/>
          <w:szCs w:val="22"/>
          <w:u w:val="single"/>
        </w:rPr>
        <w:t>Total number of responses annually</w:t>
      </w:r>
      <w:r w:rsidRPr="00A13D8A">
        <w:rPr>
          <w:spacing w:val="-3"/>
          <w:szCs w:val="22"/>
        </w:rPr>
        <w:t xml:space="preserve">:  Approximately </w:t>
      </w:r>
      <w:r>
        <w:rPr>
          <w:spacing w:val="-3"/>
          <w:szCs w:val="22"/>
        </w:rPr>
        <w:t>5</w:t>
      </w:r>
      <w:r w:rsidRPr="00A13D8A">
        <w:rPr>
          <w:spacing w:val="-3"/>
          <w:szCs w:val="22"/>
        </w:rPr>
        <w:t>.</w:t>
      </w:r>
    </w:p>
    <w:p w:rsidR="006D0F96" w:rsidRPr="004460F4" w:rsidP="006D0F96" w14:paraId="4A59CC20" w14:textId="77777777">
      <w:pPr>
        <w:tabs>
          <w:tab w:val="left" w:pos="-720"/>
        </w:tabs>
        <w:suppressAutoHyphens/>
        <w:rPr>
          <w:spacing w:val="-3"/>
          <w:szCs w:val="22"/>
        </w:rPr>
      </w:pPr>
    </w:p>
    <w:p w:rsidR="006D0F96" w:rsidRPr="004460F4" w:rsidP="006D0F96" w14:paraId="71F8B912" w14:textId="5558A48E">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B95768" w:rsidR="00566382">
        <w:rPr>
          <w:spacing w:val="-3"/>
          <w:szCs w:val="22"/>
        </w:rPr>
        <w:t>200</w:t>
      </w:r>
      <w:r w:rsidRPr="00B95768">
        <w:rPr>
          <w:spacing w:val="-3"/>
          <w:szCs w:val="22"/>
        </w:rPr>
        <w:t xml:space="preserve"> hours.</w:t>
      </w:r>
    </w:p>
    <w:p w:rsidR="006D0F96" w:rsidRPr="004460F4" w:rsidP="006D0F96" w14:paraId="6DE0D262" w14:textId="77777777">
      <w:pPr>
        <w:tabs>
          <w:tab w:val="left" w:pos="-720"/>
        </w:tabs>
        <w:suppressAutoHyphens/>
        <w:rPr>
          <w:spacing w:val="-3"/>
          <w:szCs w:val="22"/>
        </w:rPr>
      </w:pPr>
    </w:p>
    <w:p w:rsidR="006D0F96" w:rsidRPr="004460F4" w:rsidP="006D0F96" w14:paraId="64F3FAB3" w14:textId="6A3D6982">
      <w:pPr>
        <w:tabs>
          <w:tab w:val="left" w:pos="-720"/>
        </w:tabs>
        <w:suppressAutoHyphens/>
        <w:rPr>
          <w:spacing w:val="-3"/>
          <w:szCs w:val="22"/>
        </w:rPr>
      </w:pPr>
      <w:r w:rsidRPr="004460F4">
        <w:rPr>
          <w:spacing w:val="-3"/>
          <w:szCs w:val="22"/>
        </w:rPr>
        <w:tab/>
      </w:r>
      <w:r w:rsidRPr="004460F4">
        <w:rPr>
          <w:spacing w:val="-3"/>
          <w:szCs w:val="22"/>
        </w:rPr>
        <w:tab/>
      </w:r>
      <w:r>
        <w:rPr>
          <w:spacing w:val="-3"/>
          <w:szCs w:val="22"/>
        </w:rPr>
        <w:t>5</w:t>
      </w:r>
      <w:r w:rsidRPr="004460F4">
        <w:rPr>
          <w:spacing w:val="-3"/>
          <w:szCs w:val="22"/>
        </w:rPr>
        <w:t xml:space="preserve"> </w:t>
      </w:r>
      <w:r>
        <w:rPr>
          <w:spacing w:val="-3"/>
          <w:szCs w:val="22"/>
        </w:rPr>
        <w:t xml:space="preserve">respondents </w:t>
      </w:r>
      <w:r w:rsidRPr="004460F4">
        <w:rPr>
          <w:spacing w:val="-3"/>
          <w:szCs w:val="22"/>
        </w:rPr>
        <w:t xml:space="preserve">x </w:t>
      </w:r>
      <w:r w:rsidR="003A0BAB">
        <w:rPr>
          <w:spacing w:val="-3"/>
          <w:szCs w:val="22"/>
        </w:rPr>
        <w:t>200</w:t>
      </w:r>
      <w:r>
        <w:rPr>
          <w:spacing w:val="-3"/>
          <w:szCs w:val="22"/>
        </w:rPr>
        <w:t xml:space="preserve"> </w:t>
      </w:r>
      <w:r w:rsidRPr="004460F4">
        <w:rPr>
          <w:spacing w:val="-3"/>
          <w:szCs w:val="22"/>
        </w:rPr>
        <w:t xml:space="preserve">hours per response x 1 response per year per respondent = </w:t>
      </w:r>
      <w:r w:rsidR="000F7FA1">
        <w:rPr>
          <w:spacing w:val="-3"/>
          <w:szCs w:val="22"/>
        </w:rPr>
        <w:t xml:space="preserve">1,000 </w:t>
      </w:r>
      <w:r>
        <w:rPr>
          <w:spacing w:val="-3"/>
          <w:szCs w:val="22"/>
        </w:rPr>
        <w:t>hours.</w:t>
      </w:r>
    </w:p>
    <w:p w:rsidR="006D0F96" w:rsidRPr="004460F4" w:rsidP="006D0F96" w14:paraId="7EE5A407" w14:textId="77777777">
      <w:pPr>
        <w:tabs>
          <w:tab w:val="left" w:pos="-720"/>
        </w:tabs>
        <w:suppressAutoHyphens/>
        <w:rPr>
          <w:spacing w:val="-3"/>
          <w:szCs w:val="22"/>
        </w:rPr>
      </w:pPr>
    </w:p>
    <w:p w:rsidR="006D0F96" w:rsidRPr="004460F4" w:rsidP="006D0F96" w14:paraId="4AD29C2D" w14:textId="1AA646A8">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0F7FA1">
        <w:rPr>
          <w:b/>
          <w:spacing w:val="-3"/>
          <w:szCs w:val="22"/>
        </w:rPr>
        <w:t>1,000</w:t>
      </w:r>
      <w:r>
        <w:rPr>
          <w:b/>
          <w:spacing w:val="-3"/>
          <w:szCs w:val="22"/>
        </w:rPr>
        <w:t xml:space="preserve"> </w:t>
      </w:r>
      <w:r w:rsidRPr="004460F4">
        <w:rPr>
          <w:b/>
          <w:spacing w:val="-3"/>
          <w:szCs w:val="22"/>
        </w:rPr>
        <w:t>hours</w:t>
      </w:r>
      <w:r w:rsidRPr="004460F4">
        <w:rPr>
          <w:spacing w:val="-3"/>
          <w:szCs w:val="22"/>
        </w:rPr>
        <w:t>.</w:t>
      </w:r>
    </w:p>
    <w:p w:rsidR="006D0F96" w:rsidRPr="004460F4" w:rsidP="006D0F96" w14:paraId="0CBE391A" w14:textId="77777777">
      <w:pPr>
        <w:tabs>
          <w:tab w:val="left" w:pos="-720"/>
        </w:tabs>
        <w:suppressAutoHyphens/>
        <w:rPr>
          <w:spacing w:val="-3"/>
          <w:szCs w:val="22"/>
        </w:rPr>
      </w:pPr>
    </w:p>
    <w:p w:rsidR="006D0F96" w:rsidP="006D0F96" w14:paraId="78A14A3F" w14:textId="05085C8C">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5</w:t>
      </w:r>
      <w:r w:rsidRPr="004460F4">
        <w:rPr>
          <w:spacing w:val="-3"/>
          <w:szCs w:val="22"/>
        </w:rPr>
        <w:t xml:space="preserve"> providers will require </w:t>
      </w:r>
      <w:r>
        <w:rPr>
          <w:spacing w:val="-3"/>
          <w:szCs w:val="22"/>
        </w:rPr>
        <w:t xml:space="preserve">approximately </w:t>
      </w:r>
      <w:r w:rsidR="00296228">
        <w:rPr>
          <w:spacing w:val="-3"/>
          <w:szCs w:val="22"/>
        </w:rPr>
        <w:t xml:space="preserve">200 </w:t>
      </w:r>
      <w:r>
        <w:rPr>
          <w:spacing w:val="-3"/>
          <w:szCs w:val="22"/>
        </w:rPr>
        <w:t xml:space="preserve">hours of time to comply with the requirements of </w:t>
      </w:r>
      <w:r w:rsidR="00360668">
        <w:rPr>
          <w:spacing w:val="-3"/>
          <w:szCs w:val="22"/>
        </w:rPr>
        <w:t>section 64.</w:t>
      </w:r>
      <w:r w:rsidRPr="002E0A2A">
        <w:rPr>
          <w:spacing w:val="-3"/>
          <w:szCs w:val="22"/>
        </w:rPr>
        <w:t>6140(c), (d), (e)(2)-(4), (f)(2), (f)(4)</w:t>
      </w:r>
      <w:r>
        <w:rPr>
          <w:spacing w:val="-3"/>
          <w:szCs w:val="22"/>
        </w:rPr>
        <w:t>.</w:t>
      </w:r>
    </w:p>
    <w:p w:rsidR="006D0F96" w:rsidP="006D0F96" w14:paraId="5EAA4EBE" w14:textId="77777777">
      <w:pPr>
        <w:tabs>
          <w:tab w:val="left" w:pos="-720"/>
        </w:tabs>
        <w:suppressAutoHyphens/>
        <w:ind w:left="1440"/>
        <w:rPr>
          <w:spacing w:val="-3"/>
          <w:szCs w:val="22"/>
        </w:rPr>
      </w:pPr>
    </w:p>
    <w:p w:rsidR="006D0F96" w:rsidP="006D0F96" w14:paraId="469BB29A" w14:textId="5777EC97">
      <w:pPr>
        <w:tabs>
          <w:tab w:val="left" w:pos="-720"/>
        </w:tabs>
        <w:suppressAutoHyphens/>
        <w:ind w:left="1440"/>
        <w:rPr>
          <w:spacing w:val="-3"/>
          <w:szCs w:val="22"/>
        </w:rPr>
      </w:pPr>
      <w:r w:rsidRPr="009F745F">
        <w:rPr>
          <w:spacing w:val="-3"/>
          <w:szCs w:val="22"/>
        </w:rPr>
        <w:t xml:space="preserve">Approximately </w:t>
      </w:r>
      <w:r>
        <w:rPr>
          <w:spacing w:val="-3"/>
          <w:szCs w:val="22"/>
        </w:rPr>
        <w:t>5</w:t>
      </w:r>
      <w:r w:rsidRPr="009F745F">
        <w:rPr>
          <w:spacing w:val="-3"/>
          <w:szCs w:val="22"/>
        </w:rPr>
        <w:t xml:space="preserve"> respondents annually x 1 response annually x </w:t>
      </w:r>
      <w:r w:rsidR="00296228">
        <w:rPr>
          <w:spacing w:val="-3"/>
          <w:szCs w:val="22"/>
        </w:rPr>
        <w:t>200</w:t>
      </w:r>
      <w:r w:rsidRPr="009F745F">
        <w:rPr>
          <w:spacing w:val="-3"/>
          <w:szCs w:val="22"/>
        </w:rPr>
        <w:t xml:space="preserve"> hours per response = </w:t>
      </w:r>
      <w:r w:rsidR="00296228">
        <w:rPr>
          <w:spacing w:val="-3"/>
          <w:szCs w:val="22"/>
        </w:rPr>
        <w:t xml:space="preserve">1,000 </w:t>
      </w:r>
      <w:r w:rsidRPr="009F745F">
        <w:rPr>
          <w:spacing w:val="-3"/>
          <w:szCs w:val="22"/>
        </w:rPr>
        <w:t>hours)</w:t>
      </w:r>
      <w:r>
        <w:rPr>
          <w:spacing w:val="-3"/>
          <w:szCs w:val="22"/>
        </w:rPr>
        <w:t>.</w:t>
      </w:r>
      <w:r w:rsidRPr="009F745F">
        <w:rPr>
          <w:spacing w:val="-3"/>
          <w:szCs w:val="22"/>
        </w:rPr>
        <w:t xml:space="preserve">  </w:t>
      </w:r>
    </w:p>
    <w:p w:rsidR="006D0F96" w:rsidRPr="004460F4" w:rsidP="006D0F96" w14:paraId="5E1FA725" w14:textId="77777777">
      <w:pPr>
        <w:tabs>
          <w:tab w:val="left" w:pos="-720"/>
        </w:tabs>
        <w:suppressAutoHyphens/>
        <w:rPr>
          <w:spacing w:val="-3"/>
          <w:szCs w:val="22"/>
        </w:rPr>
      </w:pPr>
    </w:p>
    <w:p w:rsidR="006D0F96" w:rsidP="006D0F96" w14:paraId="7F5C112D" w14:textId="2933ED6E">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00810064">
        <w:rPr>
          <w:b/>
          <w:bCs/>
          <w:spacing w:val="-3"/>
          <w:szCs w:val="22"/>
        </w:rPr>
        <w:t>6</w:t>
      </w:r>
      <w:r w:rsidR="00115971">
        <w:rPr>
          <w:b/>
          <w:bCs/>
          <w:spacing w:val="-3"/>
          <w:szCs w:val="22"/>
        </w:rPr>
        <w:t>5,480</w:t>
      </w:r>
      <w:r w:rsidR="005D6A92">
        <w:rPr>
          <w:b/>
          <w:bCs/>
          <w:spacing w:val="-3"/>
          <w:szCs w:val="22"/>
        </w:rPr>
        <w:t>.</w:t>
      </w:r>
    </w:p>
    <w:p w:rsidR="006D0F96" w:rsidRPr="006A2D75" w:rsidP="006D0F96" w14:paraId="0A0BEA48" w14:textId="77777777">
      <w:pPr>
        <w:tabs>
          <w:tab w:val="left" w:pos="-720"/>
        </w:tabs>
        <w:suppressAutoHyphens/>
        <w:rPr>
          <w:spacing w:val="-3"/>
          <w:szCs w:val="22"/>
        </w:rPr>
      </w:pPr>
    </w:p>
    <w:p w:rsidR="006D0F96" w:rsidP="006D0F96" w14:paraId="0627743F"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6D0F96" w:rsidRPr="004460F4" w:rsidP="006D0F96" w14:paraId="32A34F2F" w14:textId="77777777">
      <w:pPr>
        <w:tabs>
          <w:tab w:val="left" w:pos="-720"/>
        </w:tabs>
        <w:suppressAutoHyphens/>
        <w:rPr>
          <w:szCs w:val="22"/>
        </w:rPr>
      </w:pPr>
    </w:p>
    <w:p w:rsidR="006D0F96" w:rsidRPr="0022685D" w:rsidP="006D0F96" w14:paraId="3E217DB0" w14:textId="48286762">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6D0F96" w:rsidRPr="004460F4" w:rsidP="006D0F96" w14:paraId="25DFAAF2" w14:textId="5E18F1A7">
      <w:pPr>
        <w:tabs>
          <w:tab w:val="left" w:pos="-720"/>
        </w:tabs>
        <w:suppressAutoHyphens/>
        <w:ind w:left="1440"/>
        <w:rPr>
          <w:spacing w:val="-3"/>
          <w:szCs w:val="22"/>
        </w:rPr>
      </w:pPr>
      <w:r>
        <w:rPr>
          <w:szCs w:val="22"/>
        </w:rPr>
        <w:t xml:space="preserve">Thus, approximately </w:t>
      </w:r>
      <w:r w:rsidR="00296228">
        <w:rPr>
          <w:szCs w:val="22"/>
        </w:rPr>
        <w:t>1,000</w:t>
      </w:r>
      <w:r>
        <w:rPr>
          <w:szCs w:val="22"/>
        </w:rPr>
        <w:t xml:space="preserve"> hours per year x $6</w:t>
      </w:r>
      <w:r w:rsidR="00115971">
        <w:rPr>
          <w:szCs w:val="22"/>
        </w:rPr>
        <w:t>5.48</w:t>
      </w:r>
      <w:r>
        <w:rPr>
          <w:szCs w:val="22"/>
        </w:rPr>
        <w:t xml:space="preserve"> = $</w:t>
      </w:r>
      <w:r w:rsidR="00810064">
        <w:rPr>
          <w:szCs w:val="22"/>
        </w:rPr>
        <w:t>6</w:t>
      </w:r>
      <w:r w:rsidR="00115971">
        <w:rPr>
          <w:szCs w:val="22"/>
        </w:rPr>
        <w:t>5,480</w:t>
      </w:r>
      <w:r w:rsidR="00810064">
        <w:rPr>
          <w:szCs w:val="22"/>
        </w:rPr>
        <w:t>.</w:t>
      </w:r>
    </w:p>
    <w:p w:rsidR="006D0F96" w:rsidP="006D0F96" w14:paraId="10ADCFDF" w14:textId="77777777">
      <w:pPr>
        <w:pStyle w:val="ListParagraph"/>
        <w:tabs>
          <w:tab w:val="left" w:pos="-720"/>
        </w:tabs>
        <w:suppressAutoHyphens/>
        <w:ind w:left="1440"/>
        <w:rPr>
          <w:spacing w:val="-3"/>
          <w:szCs w:val="22"/>
        </w:rPr>
      </w:pPr>
    </w:p>
    <w:p w:rsidR="0052031D" w:rsidRPr="005C114E" w:rsidP="00230596" w14:paraId="531BDF8C" w14:textId="62ACEEF4">
      <w:pPr>
        <w:pStyle w:val="Numberedparagraphs"/>
        <w:numPr>
          <w:ilvl w:val="0"/>
          <w:numId w:val="0"/>
        </w:numPr>
        <w:tabs>
          <w:tab w:val="left" w:pos="720"/>
          <w:tab w:val="clear" w:pos="1440"/>
        </w:tabs>
        <w:rPr>
          <w:b/>
          <w:bCs/>
          <w:i/>
          <w:iCs/>
          <w:szCs w:val="22"/>
          <w:u w:val="single"/>
        </w:rPr>
      </w:pPr>
      <w:r w:rsidRPr="005C114E">
        <w:rPr>
          <w:b/>
          <w:bCs/>
          <w:i/>
          <w:iCs/>
          <w:szCs w:val="22"/>
          <w:u w:val="single"/>
        </w:rPr>
        <w:t>Revised Information Requirements</w:t>
      </w:r>
      <w:r w:rsidRPr="00F35CF3" w:rsidR="00336AAB">
        <w:rPr>
          <w:b/>
          <w:bCs/>
          <w:i/>
          <w:iCs/>
          <w:szCs w:val="22"/>
          <w:u w:val="single"/>
        </w:rPr>
        <w:t>:</w:t>
      </w:r>
    </w:p>
    <w:p w:rsidR="007E50AA" w:rsidP="00230596" w14:paraId="29DD92F6" w14:textId="7DD3A14A">
      <w:pPr>
        <w:pStyle w:val="Numberedparagraphs"/>
        <w:numPr>
          <w:ilvl w:val="0"/>
          <w:numId w:val="0"/>
        </w:numPr>
        <w:tabs>
          <w:tab w:val="left" w:pos="720"/>
          <w:tab w:val="clear" w:pos="1440"/>
        </w:tabs>
        <w:rPr>
          <w:b/>
          <w:spacing w:val="-3"/>
          <w:szCs w:val="22"/>
          <w:u w:val="single"/>
        </w:rPr>
      </w:pPr>
      <w:r w:rsidRPr="005C114E">
        <w:rPr>
          <w:b/>
          <w:spacing w:val="-3"/>
          <w:szCs w:val="22"/>
        </w:rPr>
        <w:t>D.</w:t>
      </w:r>
      <w:r w:rsidRPr="005C114E">
        <w:rPr>
          <w:b/>
          <w:spacing w:val="-3"/>
          <w:szCs w:val="22"/>
        </w:rPr>
        <w:tab/>
      </w:r>
      <w:r w:rsidRPr="005C114E" w:rsidR="00063993">
        <w:rPr>
          <w:b/>
          <w:spacing w:val="-3"/>
          <w:szCs w:val="22"/>
          <w:u w:val="single"/>
        </w:rPr>
        <w:t xml:space="preserve">Consumer Disclosure </w:t>
      </w:r>
      <w:r w:rsidRPr="005C114E">
        <w:rPr>
          <w:b/>
          <w:spacing w:val="-3"/>
          <w:szCs w:val="22"/>
          <w:u w:val="single"/>
        </w:rPr>
        <w:t>Requirements</w:t>
      </w:r>
      <w:r w:rsidRPr="005C114E" w:rsidR="0069730A">
        <w:rPr>
          <w:b/>
          <w:spacing w:val="-3"/>
          <w:szCs w:val="22"/>
          <w:u w:val="single"/>
        </w:rPr>
        <w:t xml:space="preserve"> (</w:t>
      </w:r>
      <w:bookmarkStart w:id="17" w:name="_Hlk175681915"/>
      <w:r w:rsidRPr="005C114E" w:rsidR="001C152B">
        <w:rPr>
          <w:b/>
          <w:spacing w:val="-3"/>
          <w:szCs w:val="22"/>
          <w:u w:val="single"/>
        </w:rPr>
        <w:t xml:space="preserve">Section </w:t>
      </w:r>
      <w:bookmarkEnd w:id="17"/>
      <w:r w:rsidRPr="005C114E" w:rsidR="00C037A5">
        <w:rPr>
          <w:b/>
          <w:spacing w:val="-3"/>
          <w:szCs w:val="22"/>
          <w:u w:val="single"/>
        </w:rPr>
        <w:t xml:space="preserve"> </w:t>
      </w:r>
      <w:r w:rsidRPr="005C114E" w:rsidR="0069730A">
        <w:rPr>
          <w:b/>
          <w:spacing w:val="-3"/>
          <w:szCs w:val="22"/>
          <w:u w:val="single"/>
        </w:rPr>
        <w:t>64.</w:t>
      </w:r>
      <w:r w:rsidRPr="005C114E" w:rsidR="00C97A9B">
        <w:rPr>
          <w:b/>
          <w:spacing w:val="-3"/>
          <w:szCs w:val="22"/>
          <w:u w:val="single"/>
        </w:rPr>
        <w:t>611</w:t>
      </w:r>
      <w:r w:rsidRPr="005C114E" w:rsidR="002A5684">
        <w:rPr>
          <w:b/>
          <w:spacing w:val="-3"/>
          <w:szCs w:val="22"/>
          <w:u w:val="single"/>
        </w:rPr>
        <w:t>0)</w:t>
      </w:r>
      <w:r w:rsidRPr="005C114E" w:rsidR="00C037A5">
        <w:rPr>
          <w:b/>
          <w:spacing w:val="-3"/>
          <w:szCs w:val="22"/>
        </w:rPr>
        <w:t>.</w:t>
      </w:r>
    </w:p>
    <w:p w:rsidR="005E33B3" w:rsidP="00093D0E" w14:paraId="776E7D09" w14:textId="52F2FD13">
      <w:pPr>
        <w:pStyle w:val="Numberedparagraphs"/>
        <w:numPr>
          <w:ilvl w:val="0"/>
          <w:numId w:val="0"/>
        </w:numPr>
        <w:tabs>
          <w:tab w:val="left" w:pos="720"/>
          <w:tab w:val="clear" w:pos="1440"/>
        </w:tabs>
        <w:rPr>
          <w:spacing w:val="-3"/>
          <w:szCs w:val="22"/>
        </w:rPr>
      </w:pPr>
      <w:r>
        <w:rPr>
          <w:b/>
          <w:spacing w:val="-3"/>
          <w:szCs w:val="22"/>
        </w:rPr>
        <w:tab/>
      </w:r>
      <w:r>
        <w:rPr>
          <w:spacing w:val="-3"/>
          <w:szCs w:val="22"/>
        </w:rPr>
        <w:t xml:space="preserve">(1)  </w:t>
      </w:r>
      <w:r w:rsidR="00192E8B">
        <w:rPr>
          <w:spacing w:val="-3"/>
          <w:szCs w:val="22"/>
        </w:rPr>
        <w:tab/>
      </w:r>
      <w:r w:rsidRPr="003F0249">
        <w:rPr>
          <w:spacing w:val="-3"/>
          <w:szCs w:val="22"/>
          <w:u w:val="single"/>
        </w:rPr>
        <w:t>Number of respondents</w:t>
      </w:r>
      <w:r w:rsidRPr="003F0249">
        <w:rPr>
          <w:spacing w:val="-3"/>
          <w:szCs w:val="22"/>
        </w:rPr>
        <w:t xml:space="preserve">:  Approximately </w:t>
      </w:r>
      <w:r w:rsidR="00D26644">
        <w:rPr>
          <w:spacing w:val="-3"/>
          <w:szCs w:val="22"/>
        </w:rPr>
        <w:t>35.</w:t>
      </w:r>
    </w:p>
    <w:p w:rsidR="00603A70" w:rsidP="00093D0E" w14:paraId="61215823" w14:textId="765E6B3B">
      <w:pPr>
        <w:pStyle w:val="Numberedparagraphs"/>
        <w:numPr>
          <w:ilvl w:val="0"/>
          <w:numId w:val="0"/>
        </w:numPr>
        <w:tabs>
          <w:tab w:val="left" w:pos="720"/>
          <w:tab w:val="clear" w:pos="1440"/>
        </w:tabs>
        <w:rPr>
          <w:spacing w:val="-3"/>
          <w:szCs w:val="22"/>
        </w:rPr>
      </w:pPr>
      <w:r>
        <w:rPr>
          <w:spacing w:val="-3"/>
          <w:szCs w:val="22"/>
        </w:rPr>
        <w:tab/>
        <w:t>(2)</w:t>
      </w:r>
      <w:r w:rsidR="00192E8B">
        <w:rPr>
          <w:spacing w:val="-3"/>
          <w:szCs w:val="22"/>
        </w:rPr>
        <w:tab/>
      </w:r>
      <w:r w:rsidRPr="006B0B53" w:rsidR="00192E8B">
        <w:rPr>
          <w:spacing w:val="-3"/>
          <w:szCs w:val="22"/>
          <w:u w:val="single"/>
        </w:rPr>
        <w:t>Frequency of response</w:t>
      </w:r>
      <w:r w:rsidR="00192E8B">
        <w:rPr>
          <w:spacing w:val="-3"/>
          <w:szCs w:val="22"/>
        </w:rPr>
        <w:t>:</w:t>
      </w:r>
      <w:r>
        <w:rPr>
          <w:spacing w:val="-3"/>
          <w:szCs w:val="22"/>
        </w:rPr>
        <w:tab/>
      </w:r>
      <w:r w:rsidR="000A3781">
        <w:rPr>
          <w:spacing w:val="-3"/>
          <w:szCs w:val="22"/>
        </w:rPr>
        <w:t>Third-party disclosure requirement.</w:t>
      </w:r>
    </w:p>
    <w:p w:rsidR="005E33B3" w:rsidRPr="000A3781" w:rsidP="000A3781" w14:paraId="11E8F659" w14:textId="6AB84F4C">
      <w:pPr>
        <w:pStyle w:val="ListParagraph"/>
      </w:pPr>
      <w:r>
        <w:rPr>
          <w:spacing w:val="-3"/>
          <w:szCs w:val="22"/>
        </w:rPr>
        <w:t>(3)</w:t>
      </w:r>
      <w:r>
        <w:rPr>
          <w:spacing w:val="-3"/>
          <w:szCs w:val="22"/>
        </w:rPr>
        <w:tab/>
      </w:r>
      <w:r w:rsidRPr="006B0B53">
        <w:rPr>
          <w:u w:val="single"/>
        </w:rPr>
        <w:t>Total number of responses annually</w:t>
      </w:r>
      <w:r w:rsidRPr="000A3781">
        <w:t xml:space="preserve">:  Approximately </w:t>
      </w:r>
      <w:r w:rsidRPr="000A3781" w:rsidR="00D26644">
        <w:t>35.</w:t>
      </w:r>
    </w:p>
    <w:p w:rsidR="005E33B3" w:rsidRPr="004460F4" w:rsidP="005E33B3" w14:paraId="313F6663" w14:textId="77777777">
      <w:pPr>
        <w:tabs>
          <w:tab w:val="left" w:pos="-720"/>
        </w:tabs>
        <w:suppressAutoHyphens/>
        <w:rPr>
          <w:spacing w:val="-3"/>
          <w:szCs w:val="22"/>
        </w:rPr>
      </w:pPr>
    </w:p>
    <w:p w:rsidR="005E33B3" w:rsidRPr="003A07BC" w:rsidP="005E33B3" w14:paraId="6847BB54" w14:textId="008E80AF">
      <w:pPr>
        <w:tabs>
          <w:tab w:val="left" w:pos="-720"/>
        </w:tabs>
        <w:suppressAutoHyphens/>
        <w:rPr>
          <w:b/>
          <w:bCs/>
          <w:spacing w:val="-3"/>
          <w:szCs w:val="22"/>
        </w:rPr>
      </w:pPr>
      <w:r w:rsidRPr="004460F4">
        <w:rPr>
          <w:spacing w:val="-3"/>
          <w:szCs w:val="22"/>
        </w:rPr>
        <w:tab/>
        <w:t xml:space="preserve">(4)  </w:t>
      </w:r>
      <w:r w:rsidR="0083251A">
        <w:rPr>
          <w:spacing w:val="-3"/>
          <w:szCs w:val="22"/>
        </w:rPr>
        <w:tab/>
      </w:r>
      <w:r w:rsidRPr="004460F4">
        <w:rPr>
          <w:spacing w:val="-3"/>
          <w:szCs w:val="22"/>
          <w:u w:val="single"/>
        </w:rPr>
        <w:t>Estimated Time per Response</w:t>
      </w:r>
      <w:r w:rsidRPr="004460F4">
        <w:rPr>
          <w:spacing w:val="-3"/>
          <w:szCs w:val="22"/>
        </w:rPr>
        <w:t xml:space="preserve">:  </w:t>
      </w:r>
      <w:r w:rsidR="005D6A92">
        <w:rPr>
          <w:spacing w:val="-3"/>
          <w:szCs w:val="22"/>
        </w:rPr>
        <w:t>80</w:t>
      </w:r>
      <w:r w:rsidR="005613CA">
        <w:rPr>
          <w:spacing w:val="-3"/>
          <w:szCs w:val="22"/>
        </w:rPr>
        <w:t xml:space="preserve"> hours.</w:t>
      </w:r>
    </w:p>
    <w:p w:rsidR="005E33B3" w:rsidRPr="004460F4" w:rsidP="005E33B3" w14:paraId="22EA7DC7" w14:textId="77777777">
      <w:pPr>
        <w:tabs>
          <w:tab w:val="left" w:pos="-720"/>
        </w:tabs>
        <w:suppressAutoHyphens/>
        <w:rPr>
          <w:spacing w:val="-3"/>
          <w:szCs w:val="22"/>
        </w:rPr>
      </w:pPr>
    </w:p>
    <w:p w:rsidR="005E33B3" w:rsidRPr="004460F4" w:rsidP="00AA0310" w14:paraId="18E8033A" w14:textId="1A623F0B">
      <w:pPr>
        <w:tabs>
          <w:tab w:val="left" w:pos="-720"/>
        </w:tabs>
        <w:suppressAutoHyphens/>
        <w:ind w:left="1440"/>
        <w:rPr>
          <w:spacing w:val="-3"/>
          <w:szCs w:val="22"/>
        </w:rPr>
      </w:pPr>
      <w:r>
        <w:rPr>
          <w:spacing w:val="-3"/>
          <w:szCs w:val="22"/>
        </w:rPr>
        <w:t>35</w:t>
      </w:r>
      <w:r w:rsidRPr="004460F4">
        <w:rPr>
          <w:spacing w:val="-3"/>
          <w:szCs w:val="22"/>
        </w:rPr>
        <w:t xml:space="preserve"> </w:t>
      </w:r>
      <w:r>
        <w:rPr>
          <w:spacing w:val="-3"/>
          <w:szCs w:val="22"/>
        </w:rPr>
        <w:t xml:space="preserve">respondents </w:t>
      </w:r>
      <w:r w:rsidRPr="004460F4">
        <w:rPr>
          <w:spacing w:val="-3"/>
          <w:szCs w:val="22"/>
        </w:rPr>
        <w:t xml:space="preserve">x </w:t>
      </w:r>
      <w:r w:rsidR="005D6A92">
        <w:rPr>
          <w:spacing w:val="-3"/>
          <w:szCs w:val="22"/>
        </w:rPr>
        <w:t>80</w:t>
      </w:r>
      <w:r w:rsidRPr="004460F4">
        <w:rPr>
          <w:spacing w:val="-3"/>
          <w:szCs w:val="22"/>
        </w:rPr>
        <w:t xml:space="preserve"> hours per response x </w:t>
      </w:r>
      <w:r w:rsidRPr="00D43128">
        <w:rPr>
          <w:spacing w:val="-3"/>
          <w:szCs w:val="22"/>
        </w:rPr>
        <w:t>1 response per year per respondent</w:t>
      </w:r>
      <w:r w:rsidRPr="00D43128" w:rsidR="00C23B43">
        <w:rPr>
          <w:spacing w:val="-3"/>
          <w:szCs w:val="22"/>
        </w:rPr>
        <w:t xml:space="preserve"> </w:t>
      </w:r>
      <w:r w:rsidRPr="00D43128">
        <w:rPr>
          <w:spacing w:val="-3"/>
          <w:szCs w:val="22"/>
        </w:rPr>
        <w:t xml:space="preserve"> =</w:t>
      </w:r>
      <w:r w:rsidRPr="004460F4">
        <w:rPr>
          <w:spacing w:val="-3"/>
          <w:szCs w:val="22"/>
        </w:rPr>
        <w:t xml:space="preserve"> </w:t>
      </w:r>
      <w:r>
        <w:rPr>
          <w:spacing w:val="-3"/>
          <w:szCs w:val="22"/>
        </w:rPr>
        <w:t xml:space="preserve"> </w:t>
      </w:r>
      <w:r w:rsidR="00AA0310">
        <w:rPr>
          <w:spacing w:val="-3"/>
          <w:szCs w:val="22"/>
        </w:rPr>
        <w:t xml:space="preserve">2,800 </w:t>
      </w:r>
      <w:r>
        <w:rPr>
          <w:spacing w:val="-3"/>
          <w:szCs w:val="22"/>
        </w:rPr>
        <w:t>hours.</w:t>
      </w:r>
    </w:p>
    <w:p w:rsidR="005E33B3" w:rsidRPr="004460F4" w:rsidP="005E33B3" w14:paraId="17D089EF" w14:textId="77777777">
      <w:pPr>
        <w:tabs>
          <w:tab w:val="left" w:pos="-720"/>
        </w:tabs>
        <w:suppressAutoHyphens/>
        <w:rPr>
          <w:spacing w:val="-3"/>
          <w:szCs w:val="22"/>
        </w:rPr>
      </w:pPr>
    </w:p>
    <w:p w:rsidR="005E33B3" w:rsidRPr="004460F4" w:rsidP="005E33B3" w14:paraId="364862B4" w14:textId="0FC6BAAE">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AA0310">
        <w:rPr>
          <w:b/>
          <w:spacing w:val="-3"/>
          <w:szCs w:val="22"/>
        </w:rPr>
        <w:t>2,800</w:t>
      </w:r>
      <w:r>
        <w:rPr>
          <w:b/>
          <w:spacing w:val="-3"/>
          <w:szCs w:val="22"/>
        </w:rPr>
        <w:t xml:space="preserve"> </w:t>
      </w:r>
      <w:r w:rsidRPr="004460F4">
        <w:rPr>
          <w:b/>
          <w:spacing w:val="-3"/>
          <w:szCs w:val="22"/>
        </w:rPr>
        <w:t>hours</w:t>
      </w:r>
      <w:r w:rsidRPr="004460F4">
        <w:rPr>
          <w:spacing w:val="-3"/>
          <w:szCs w:val="22"/>
        </w:rPr>
        <w:t>.</w:t>
      </w:r>
    </w:p>
    <w:p w:rsidR="005E33B3" w:rsidRPr="004460F4" w:rsidP="005E33B3" w14:paraId="11FF54CE" w14:textId="77777777">
      <w:pPr>
        <w:tabs>
          <w:tab w:val="left" w:pos="-720"/>
        </w:tabs>
        <w:suppressAutoHyphens/>
        <w:rPr>
          <w:spacing w:val="-3"/>
          <w:szCs w:val="22"/>
        </w:rPr>
      </w:pPr>
    </w:p>
    <w:p w:rsidR="005E33B3" w:rsidP="005E33B3" w14:paraId="0B652C45" w14:textId="140679A2">
      <w:pPr>
        <w:tabs>
          <w:tab w:val="left" w:pos="-720"/>
        </w:tabs>
        <w:suppressAutoHyphens/>
        <w:ind w:left="1440"/>
        <w:rPr>
          <w:spacing w:val="-3"/>
          <w:szCs w:val="22"/>
        </w:rPr>
      </w:pPr>
      <w:r w:rsidRPr="004460F4">
        <w:rPr>
          <w:spacing w:val="-3"/>
          <w:szCs w:val="22"/>
        </w:rPr>
        <w:t xml:space="preserve">The Commission estimates that approximately </w:t>
      </w:r>
      <w:r w:rsidR="00D26644">
        <w:rPr>
          <w:spacing w:val="-3"/>
          <w:szCs w:val="22"/>
        </w:rPr>
        <w:t>35</w:t>
      </w:r>
      <w:r w:rsidRPr="004460F4">
        <w:rPr>
          <w:spacing w:val="-3"/>
          <w:szCs w:val="22"/>
        </w:rPr>
        <w:t xml:space="preserve"> providers will require </w:t>
      </w:r>
      <w:r>
        <w:rPr>
          <w:spacing w:val="-3"/>
          <w:szCs w:val="22"/>
        </w:rPr>
        <w:t xml:space="preserve">approximately </w:t>
      </w:r>
      <w:r w:rsidR="00AA0310">
        <w:rPr>
          <w:spacing w:val="-3"/>
          <w:szCs w:val="22"/>
        </w:rPr>
        <w:t xml:space="preserve">80 </w:t>
      </w:r>
      <w:r>
        <w:rPr>
          <w:spacing w:val="-3"/>
          <w:szCs w:val="22"/>
        </w:rPr>
        <w:t>hours of time to comply with this requirement.</w:t>
      </w:r>
    </w:p>
    <w:p w:rsidR="005E33B3" w:rsidP="005E33B3" w14:paraId="436006D8" w14:textId="77777777">
      <w:pPr>
        <w:tabs>
          <w:tab w:val="left" w:pos="-720"/>
        </w:tabs>
        <w:suppressAutoHyphens/>
        <w:ind w:left="1440"/>
        <w:rPr>
          <w:spacing w:val="-3"/>
          <w:szCs w:val="22"/>
        </w:rPr>
      </w:pPr>
    </w:p>
    <w:p w:rsidR="005E33B3" w:rsidRPr="004460F4" w:rsidP="004B6609" w14:paraId="72DCF692" w14:textId="410E2A0C">
      <w:pPr>
        <w:tabs>
          <w:tab w:val="left" w:pos="-720"/>
        </w:tabs>
        <w:suppressAutoHyphens/>
        <w:ind w:left="1440"/>
        <w:rPr>
          <w:spacing w:val="-3"/>
          <w:szCs w:val="22"/>
        </w:rPr>
      </w:pPr>
      <w:r w:rsidRPr="009F745F">
        <w:rPr>
          <w:spacing w:val="-3"/>
          <w:szCs w:val="22"/>
        </w:rPr>
        <w:t xml:space="preserve">Approximately </w:t>
      </w:r>
      <w:r w:rsidR="00D26644">
        <w:rPr>
          <w:spacing w:val="-3"/>
          <w:szCs w:val="22"/>
        </w:rPr>
        <w:t>35</w:t>
      </w:r>
      <w:r w:rsidRPr="009F745F">
        <w:rPr>
          <w:spacing w:val="-3"/>
          <w:szCs w:val="22"/>
        </w:rPr>
        <w:t xml:space="preserve"> respondents annually x </w:t>
      </w:r>
      <w:r w:rsidR="00AA0310">
        <w:rPr>
          <w:spacing w:val="-3"/>
          <w:szCs w:val="22"/>
        </w:rPr>
        <w:t>1</w:t>
      </w:r>
      <w:r w:rsidRPr="009F745F">
        <w:rPr>
          <w:spacing w:val="-3"/>
          <w:szCs w:val="22"/>
        </w:rPr>
        <w:t xml:space="preserve"> response annually x </w:t>
      </w:r>
      <w:r w:rsidR="00AA0310">
        <w:rPr>
          <w:spacing w:val="-3"/>
          <w:szCs w:val="22"/>
        </w:rPr>
        <w:t xml:space="preserve">80 </w:t>
      </w:r>
      <w:r w:rsidRPr="009F745F">
        <w:rPr>
          <w:spacing w:val="-3"/>
          <w:szCs w:val="22"/>
        </w:rPr>
        <w:t xml:space="preserve">hours per response = </w:t>
      </w:r>
      <w:r w:rsidR="00E76A90">
        <w:rPr>
          <w:spacing w:val="-3"/>
          <w:szCs w:val="22"/>
        </w:rPr>
        <w:t xml:space="preserve">2,800 </w:t>
      </w:r>
      <w:r w:rsidRPr="009F745F">
        <w:rPr>
          <w:spacing w:val="-3"/>
          <w:szCs w:val="22"/>
        </w:rPr>
        <w:t>hours)</w:t>
      </w:r>
      <w:r>
        <w:rPr>
          <w:spacing w:val="-3"/>
          <w:szCs w:val="22"/>
        </w:rPr>
        <w:t>.</w:t>
      </w:r>
      <w:r w:rsidRPr="009F745F">
        <w:rPr>
          <w:spacing w:val="-3"/>
          <w:szCs w:val="22"/>
        </w:rPr>
        <w:t xml:space="preserve">  </w:t>
      </w:r>
    </w:p>
    <w:p w:rsidR="005E33B3" w:rsidP="005E33B3" w14:paraId="21EC3521" w14:textId="77777777">
      <w:pPr>
        <w:pStyle w:val="ListParagraph"/>
        <w:tabs>
          <w:tab w:val="left" w:pos="-720"/>
        </w:tabs>
        <w:suppressAutoHyphens/>
        <w:ind w:left="1440"/>
        <w:rPr>
          <w:spacing w:val="-3"/>
          <w:szCs w:val="22"/>
        </w:rPr>
      </w:pPr>
    </w:p>
    <w:p w:rsidR="005E33B3" w:rsidP="005E33B3" w14:paraId="7DBEF0A7" w14:textId="38E6E502">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Pr="00F821EB" w:rsidR="00F821EB">
        <w:rPr>
          <w:b/>
          <w:bCs/>
          <w:spacing w:val="-3"/>
          <w:szCs w:val="22"/>
        </w:rPr>
        <w:t>1</w:t>
      </w:r>
      <w:r w:rsidR="00115971">
        <w:rPr>
          <w:b/>
          <w:bCs/>
          <w:spacing w:val="-3"/>
          <w:szCs w:val="22"/>
        </w:rPr>
        <w:t>83,344</w:t>
      </w:r>
      <w:r w:rsidR="00F821EB">
        <w:rPr>
          <w:b/>
          <w:bCs/>
          <w:spacing w:val="-3"/>
          <w:szCs w:val="22"/>
        </w:rPr>
        <w:t>.</w:t>
      </w:r>
    </w:p>
    <w:p w:rsidR="005E33B3" w:rsidRPr="006A2D75" w:rsidP="005E33B3" w14:paraId="21232351" w14:textId="77777777">
      <w:pPr>
        <w:tabs>
          <w:tab w:val="left" w:pos="-720"/>
        </w:tabs>
        <w:suppressAutoHyphens/>
        <w:rPr>
          <w:spacing w:val="-3"/>
          <w:szCs w:val="22"/>
        </w:rPr>
      </w:pPr>
    </w:p>
    <w:p w:rsidR="005E33B3" w:rsidP="005E33B3" w14:paraId="5C0E9C96"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5E33B3" w:rsidRPr="004460F4" w:rsidP="005E33B3" w14:paraId="379A0F3E" w14:textId="77777777">
      <w:pPr>
        <w:tabs>
          <w:tab w:val="left" w:pos="-720"/>
        </w:tabs>
        <w:suppressAutoHyphens/>
        <w:rPr>
          <w:szCs w:val="22"/>
        </w:rPr>
      </w:pPr>
    </w:p>
    <w:p w:rsidR="005E33B3" w:rsidRPr="0022685D" w:rsidP="005E33B3" w14:paraId="2C4794D1" w14:textId="0CEC49C8">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5E33B3" w:rsidP="005E33B3" w14:paraId="5124E0DA" w14:textId="5F9E3ED6">
      <w:pPr>
        <w:tabs>
          <w:tab w:val="left" w:pos="-720"/>
        </w:tabs>
        <w:suppressAutoHyphens/>
        <w:ind w:left="1440"/>
        <w:rPr>
          <w:szCs w:val="22"/>
        </w:rPr>
      </w:pPr>
      <w:r>
        <w:rPr>
          <w:szCs w:val="22"/>
        </w:rPr>
        <w:t xml:space="preserve">Thus, approximately </w:t>
      </w:r>
      <w:r w:rsidR="00E76A90">
        <w:rPr>
          <w:szCs w:val="22"/>
        </w:rPr>
        <w:t xml:space="preserve">2,800 </w:t>
      </w:r>
      <w:r>
        <w:rPr>
          <w:szCs w:val="22"/>
        </w:rPr>
        <w:t>hours per year x $6</w:t>
      </w:r>
      <w:r w:rsidR="00115971">
        <w:rPr>
          <w:szCs w:val="22"/>
        </w:rPr>
        <w:t>5.48</w:t>
      </w:r>
      <w:r>
        <w:rPr>
          <w:szCs w:val="22"/>
        </w:rPr>
        <w:t xml:space="preserve"> = $</w:t>
      </w:r>
      <w:r w:rsidR="00F821EB">
        <w:rPr>
          <w:szCs w:val="22"/>
        </w:rPr>
        <w:t>1</w:t>
      </w:r>
      <w:r w:rsidR="00115971">
        <w:rPr>
          <w:szCs w:val="22"/>
        </w:rPr>
        <w:t>83,344</w:t>
      </w:r>
      <w:r w:rsidR="00F821EB">
        <w:rPr>
          <w:szCs w:val="22"/>
        </w:rPr>
        <w:t>.</w:t>
      </w:r>
    </w:p>
    <w:p w:rsidR="005E33B3" w:rsidP="00496856" w14:paraId="3C55F97B" w14:textId="77777777">
      <w:pPr>
        <w:widowControl/>
        <w:spacing w:after="160"/>
      </w:pPr>
    </w:p>
    <w:p w:rsidR="002E3533" w:rsidRPr="006247DF" w:rsidP="005D74FB" w14:paraId="74626A11" w14:textId="3F638DCB">
      <w:pPr>
        <w:pStyle w:val="Numberedparagraphs"/>
        <w:numPr>
          <w:ilvl w:val="0"/>
          <w:numId w:val="0"/>
        </w:numPr>
        <w:tabs>
          <w:tab w:val="left" w:pos="720"/>
          <w:tab w:val="clear" w:pos="1440"/>
        </w:tabs>
        <w:ind w:left="360"/>
        <w:rPr>
          <w:b/>
          <w:bCs/>
          <w:szCs w:val="22"/>
          <w:u w:val="single"/>
        </w:rPr>
      </w:pPr>
      <w:r w:rsidRPr="00BB36B9">
        <w:rPr>
          <w:b/>
          <w:spacing w:val="-3"/>
          <w:szCs w:val="22"/>
        </w:rPr>
        <w:t>E.</w:t>
      </w:r>
      <w:r w:rsidRPr="00BB36B9">
        <w:rPr>
          <w:b/>
          <w:spacing w:val="-3"/>
          <w:szCs w:val="22"/>
        </w:rPr>
        <w:tab/>
      </w:r>
      <w:r w:rsidRPr="00BB36B9" w:rsidR="008C2A4A">
        <w:rPr>
          <w:b/>
          <w:spacing w:val="-3"/>
          <w:szCs w:val="22"/>
          <w:u w:val="single"/>
        </w:rPr>
        <w:t>Waiver</w:t>
      </w:r>
      <w:r w:rsidRPr="00BB36B9" w:rsidR="00347BB2">
        <w:rPr>
          <w:b/>
          <w:spacing w:val="-3"/>
          <w:szCs w:val="22"/>
          <w:u w:val="single"/>
        </w:rPr>
        <w:t xml:space="preserve"> </w:t>
      </w:r>
      <w:r w:rsidRPr="00BB36B9" w:rsidR="007C3BE2">
        <w:rPr>
          <w:b/>
          <w:spacing w:val="-3"/>
          <w:szCs w:val="22"/>
          <w:u w:val="single"/>
        </w:rPr>
        <w:t xml:space="preserve">Process </w:t>
      </w:r>
      <w:r w:rsidRPr="00BB36B9">
        <w:rPr>
          <w:b/>
          <w:spacing w:val="-3"/>
          <w:szCs w:val="22"/>
          <w:u w:val="single"/>
        </w:rPr>
        <w:t>Requirements</w:t>
      </w:r>
      <w:r w:rsidRPr="00BB36B9" w:rsidR="008C2A4A">
        <w:rPr>
          <w:b/>
          <w:spacing w:val="-3"/>
          <w:szCs w:val="22"/>
          <w:u w:val="single"/>
        </w:rPr>
        <w:t xml:space="preserve"> (</w:t>
      </w:r>
      <w:r w:rsidRPr="00BB36B9" w:rsidR="00D43128">
        <w:rPr>
          <w:b/>
          <w:spacing w:val="-3"/>
          <w:szCs w:val="22"/>
          <w:u w:val="single"/>
        </w:rPr>
        <w:t xml:space="preserve">Section </w:t>
      </w:r>
      <w:r w:rsidRPr="00BB36B9" w:rsidR="008C2A4A">
        <w:rPr>
          <w:b/>
          <w:spacing w:val="-3"/>
          <w:szCs w:val="22"/>
          <w:u w:val="single"/>
        </w:rPr>
        <w:t>64.6120)</w:t>
      </w:r>
      <w:r>
        <w:rPr>
          <w:b/>
          <w:spacing w:val="-3"/>
          <w:szCs w:val="22"/>
        </w:rPr>
        <w:t>:</w:t>
      </w:r>
    </w:p>
    <w:p w:rsidR="002E3533" w:rsidRPr="005D74FB" w:rsidP="00085B34" w14:paraId="7E8C0ADA" w14:textId="51B434E2">
      <w:pPr>
        <w:pStyle w:val="ListParagraph"/>
        <w:numPr>
          <w:ilvl w:val="0"/>
          <w:numId w:val="8"/>
        </w:numPr>
        <w:rPr>
          <w:spacing w:val="-3"/>
          <w:szCs w:val="22"/>
        </w:rPr>
      </w:pPr>
      <w:r w:rsidRPr="003F0249">
        <w:rPr>
          <w:spacing w:val="-3"/>
          <w:szCs w:val="22"/>
          <w:u w:val="single"/>
        </w:rPr>
        <w:t>Number of respondents</w:t>
      </w:r>
      <w:r w:rsidRPr="003F0249">
        <w:rPr>
          <w:spacing w:val="-3"/>
          <w:szCs w:val="22"/>
        </w:rPr>
        <w:t xml:space="preserve">:  </w:t>
      </w:r>
      <w:r w:rsidR="0068617B">
        <w:rPr>
          <w:spacing w:val="-3"/>
          <w:szCs w:val="22"/>
        </w:rPr>
        <w:t xml:space="preserve">Approximately </w:t>
      </w:r>
      <w:r w:rsidR="005D051C">
        <w:rPr>
          <w:spacing w:val="-3"/>
          <w:szCs w:val="22"/>
        </w:rPr>
        <w:t>3 (filing a total of approximately 7 waiver requests per year).</w:t>
      </w:r>
    </w:p>
    <w:p w:rsidR="00135A72" w:rsidP="00135A72" w14:paraId="21D3F131" w14:textId="77777777">
      <w:pPr>
        <w:pStyle w:val="ListParagraph"/>
        <w:ind w:left="1080"/>
        <w:rPr>
          <w:spacing w:val="-3"/>
          <w:szCs w:val="22"/>
        </w:rPr>
      </w:pPr>
    </w:p>
    <w:p w:rsidR="002E3533" w:rsidP="00085B34" w14:paraId="78DB033F" w14:textId="479585D9">
      <w:pPr>
        <w:pStyle w:val="ListParagraph"/>
        <w:numPr>
          <w:ilvl w:val="0"/>
          <w:numId w:val="8"/>
        </w:numPr>
        <w:rPr>
          <w:spacing w:val="-3"/>
          <w:szCs w:val="22"/>
        </w:rPr>
      </w:pPr>
      <w:r w:rsidRPr="00135A72">
        <w:rPr>
          <w:spacing w:val="-3"/>
          <w:szCs w:val="22"/>
          <w:u w:val="single"/>
        </w:rPr>
        <w:t>Frequency of response</w:t>
      </w:r>
      <w:r w:rsidRPr="00135A72">
        <w:rPr>
          <w:spacing w:val="-3"/>
          <w:szCs w:val="22"/>
        </w:rPr>
        <w:t xml:space="preserve">:  </w:t>
      </w:r>
      <w:r w:rsidR="005E33B3">
        <w:rPr>
          <w:spacing w:val="-3"/>
          <w:szCs w:val="22"/>
        </w:rPr>
        <w:t>On occasion reporting requirement as requested by filer.</w:t>
      </w:r>
    </w:p>
    <w:p w:rsidR="00135A72" w:rsidRPr="00135A72" w:rsidP="00135A72" w14:paraId="6ACB0443" w14:textId="77777777">
      <w:pPr>
        <w:pStyle w:val="ListParagraph"/>
        <w:rPr>
          <w:spacing w:val="-3"/>
          <w:szCs w:val="22"/>
        </w:rPr>
      </w:pPr>
    </w:p>
    <w:p w:rsidR="002E3533" w:rsidRPr="00135A72" w:rsidP="00085B34" w14:paraId="15D3F297" w14:textId="0DB9B85C">
      <w:pPr>
        <w:pStyle w:val="ListParagraph"/>
        <w:numPr>
          <w:ilvl w:val="0"/>
          <w:numId w:val="8"/>
        </w:numPr>
        <w:rPr>
          <w:spacing w:val="-3"/>
          <w:szCs w:val="22"/>
        </w:rPr>
      </w:pPr>
      <w:r w:rsidRPr="00135A72">
        <w:rPr>
          <w:spacing w:val="-3"/>
          <w:szCs w:val="22"/>
          <w:u w:val="single"/>
        </w:rPr>
        <w:t>Total number of responses annually</w:t>
      </w:r>
      <w:r w:rsidRPr="00135A72">
        <w:rPr>
          <w:spacing w:val="-3"/>
          <w:szCs w:val="22"/>
        </w:rPr>
        <w:t xml:space="preserve">:  Approximately </w:t>
      </w:r>
      <w:r w:rsidR="00CD0CAB">
        <w:rPr>
          <w:spacing w:val="-3"/>
          <w:szCs w:val="22"/>
        </w:rPr>
        <w:t>7</w:t>
      </w:r>
      <w:r w:rsidRPr="00135A72">
        <w:rPr>
          <w:spacing w:val="-3"/>
          <w:szCs w:val="22"/>
        </w:rPr>
        <w:t>.</w:t>
      </w:r>
    </w:p>
    <w:p w:rsidR="002E3533" w:rsidRPr="004460F4" w:rsidP="002E3533" w14:paraId="7F0E4825" w14:textId="77777777">
      <w:pPr>
        <w:tabs>
          <w:tab w:val="left" w:pos="-720"/>
        </w:tabs>
        <w:suppressAutoHyphens/>
        <w:rPr>
          <w:spacing w:val="-3"/>
          <w:szCs w:val="22"/>
        </w:rPr>
      </w:pPr>
    </w:p>
    <w:p w:rsidR="002E3533" w:rsidP="002E3533" w14:paraId="61F2A39B" w14:textId="0C0187B8">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00F90458">
        <w:rPr>
          <w:spacing w:val="-3"/>
          <w:szCs w:val="22"/>
        </w:rPr>
        <w:t xml:space="preserve">100 </w:t>
      </w:r>
      <w:r w:rsidRPr="00D43128">
        <w:rPr>
          <w:spacing w:val="-3"/>
          <w:szCs w:val="22"/>
        </w:rPr>
        <w:t>hours</w:t>
      </w:r>
      <w:r w:rsidR="00883B00">
        <w:rPr>
          <w:spacing w:val="-3"/>
          <w:szCs w:val="22"/>
        </w:rPr>
        <w:t>.</w:t>
      </w:r>
    </w:p>
    <w:p w:rsidR="00844707" w:rsidRPr="00D26644" w:rsidP="002E3533" w14:paraId="1604E528" w14:textId="77777777">
      <w:pPr>
        <w:tabs>
          <w:tab w:val="left" w:pos="-720"/>
        </w:tabs>
        <w:suppressAutoHyphens/>
        <w:rPr>
          <w:b/>
          <w:bCs/>
          <w:spacing w:val="-3"/>
          <w:szCs w:val="22"/>
        </w:rPr>
      </w:pPr>
    </w:p>
    <w:p w:rsidR="002E3533" w:rsidRPr="004460F4" w:rsidP="00514F79" w14:paraId="7E45C5B1" w14:textId="7143DE15">
      <w:pPr>
        <w:tabs>
          <w:tab w:val="left" w:pos="-720"/>
        </w:tabs>
        <w:suppressAutoHyphens/>
        <w:ind w:left="720"/>
        <w:rPr>
          <w:spacing w:val="-3"/>
          <w:szCs w:val="22"/>
        </w:rPr>
      </w:pPr>
      <w:r>
        <w:rPr>
          <w:spacing w:val="-3"/>
          <w:szCs w:val="22"/>
        </w:rPr>
        <w:tab/>
      </w:r>
      <w:r w:rsidR="006963C9">
        <w:rPr>
          <w:spacing w:val="-3"/>
          <w:szCs w:val="22"/>
        </w:rPr>
        <w:t xml:space="preserve">Approximately </w:t>
      </w:r>
      <w:r w:rsidR="00000400">
        <w:rPr>
          <w:spacing w:val="-3"/>
          <w:szCs w:val="22"/>
        </w:rPr>
        <w:t>7</w:t>
      </w:r>
      <w:r w:rsidRPr="004460F4">
        <w:rPr>
          <w:spacing w:val="-3"/>
          <w:szCs w:val="22"/>
        </w:rPr>
        <w:t xml:space="preserve"> </w:t>
      </w:r>
      <w:r w:rsidR="006963C9">
        <w:rPr>
          <w:spacing w:val="-3"/>
          <w:szCs w:val="22"/>
        </w:rPr>
        <w:t xml:space="preserve">responses </w:t>
      </w:r>
      <w:r w:rsidRPr="004460F4">
        <w:rPr>
          <w:spacing w:val="-3"/>
          <w:szCs w:val="22"/>
        </w:rPr>
        <w:t xml:space="preserve">x </w:t>
      </w:r>
      <w:r w:rsidR="00934D87">
        <w:rPr>
          <w:spacing w:val="-3"/>
          <w:szCs w:val="22"/>
        </w:rPr>
        <w:t>100</w:t>
      </w:r>
      <w:r w:rsidR="00115971">
        <w:rPr>
          <w:spacing w:val="-3"/>
          <w:szCs w:val="22"/>
        </w:rPr>
        <w:t xml:space="preserve"> </w:t>
      </w:r>
      <w:r w:rsidRPr="004460F4">
        <w:rPr>
          <w:spacing w:val="-3"/>
          <w:szCs w:val="22"/>
        </w:rPr>
        <w:t xml:space="preserve">hours per response = </w:t>
      </w:r>
      <w:r>
        <w:rPr>
          <w:spacing w:val="-3"/>
          <w:szCs w:val="22"/>
        </w:rPr>
        <w:t xml:space="preserve"> </w:t>
      </w:r>
      <w:r w:rsidR="00934D87">
        <w:rPr>
          <w:spacing w:val="-3"/>
          <w:szCs w:val="22"/>
        </w:rPr>
        <w:t>700</w:t>
      </w:r>
      <w:r w:rsidR="00D31D6D">
        <w:rPr>
          <w:spacing w:val="-3"/>
          <w:szCs w:val="22"/>
        </w:rPr>
        <w:t xml:space="preserve"> hours</w:t>
      </w:r>
    </w:p>
    <w:p w:rsidR="002E3533" w:rsidRPr="004460F4" w:rsidP="002E3533" w14:paraId="55BE0452" w14:textId="77777777">
      <w:pPr>
        <w:tabs>
          <w:tab w:val="left" w:pos="-720"/>
        </w:tabs>
        <w:suppressAutoHyphens/>
        <w:rPr>
          <w:spacing w:val="-3"/>
          <w:szCs w:val="22"/>
        </w:rPr>
      </w:pPr>
    </w:p>
    <w:p w:rsidR="002E3533" w:rsidRPr="004460F4" w:rsidP="002E3533" w14:paraId="75B8A2B7" w14:textId="58F80FAB">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8421C6">
        <w:rPr>
          <w:spacing w:val="-3"/>
          <w:szCs w:val="22"/>
        </w:rPr>
        <w:t xml:space="preserve">700 </w:t>
      </w:r>
      <w:r w:rsidRPr="004460F4">
        <w:rPr>
          <w:b/>
          <w:spacing w:val="-3"/>
          <w:szCs w:val="22"/>
        </w:rPr>
        <w:t>hours</w:t>
      </w:r>
      <w:r w:rsidRPr="004460F4">
        <w:rPr>
          <w:spacing w:val="-3"/>
          <w:szCs w:val="22"/>
        </w:rPr>
        <w:t>.</w:t>
      </w:r>
    </w:p>
    <w:p w:rsidR="002E3533" w:rsidRPr="004460F4" w:rsidP="002E3533" w14:paraId="47473A05" w14:textId="77777777">
      <w:pPr>
        <w:tabs>
          <w:tab w:val="left" w:pos="-720"/>
        </w:tabs>
        <w:suppressAutoHyphens/>
        <w:rPr>
          <w:spacing w:val="-3"/>
          <w:szCs w:val="22"/>
        </w:rPr>
      </w:pPr>
    </w:p>
    <w:p w:rsidR="00FB7B39" w:rsidRPr="00FB7B39" w:rsidP="00050119" w14:paraId="45F7DD3E" w14:textId="3F7DF26E">
      <w:pPr>
        <w:ind w:left="1440"/>
        <w:rPr>
          <w:spacing w:val="-3"/>
          <w:szCs w:val="22"/>
        </w:rPr>
      </w:pPr>
      <w:r w:rsidRPr="00FB7B39">
        <w:rPr>
          <w:spacing w:val="-3"/>
          <w:szCs w:val="22"/>
        </w:rPr>
        <w:t xml:space="preserve">The Commission estimates that respondents will file approximately 7 responses per year and </w:t>
      </w:r>
      <w:r w:rsidR="00F818DD">
        <w:rPr>
          <w:spacing w:val="-3"/>
          <w:szCs w:val="22"/>
        </w:rPr>
        <w:t xml:space="preserve">that each </w:t>
      </w:r>
      <w:r w:rsidR="00292CDD">
        <w:rPr>
          <w:spacing w:val="-3"/>
          <w:szCs w:val="22"/>
        </w:rPr>
        <w:t xml:space="preserve">filing </w:t>
      </w:r>
      <w:r w:rsidRPr="00FB7B39">
        <w:rPr>
          <w:spacing w:val="-3"/>
          <w:szCs w:val="22"/>
        </w:rPr>
        <w:t xml:space="preserve">will require approximately </w:t>
      </w:r>
      <w:r>
        <w:rPr>
          <w:spacing w:val="-3"/>
          <w:szCs w:val="22"/>
        </w:rPr>
        <w:t>100</w:t>
      </w:r>
      <w:r w:rsidRPr="00FB7B39">
        <w:rPr>
          <w:spacing w:val="-3"/>
          <w:szCs w:val="22"/>
        </w:rPr>
        <w:t xml:space="preserve"> </w:t>
      </w:r>
      <w:r w:rsidR="00CA1E37">
        <w:rPr>
          <w:spacing w:val="-3"/>
          <w:szCs w:val="22"/>
        </w:rPr>
        <w:t xml:space="preserve"> </w:t>
      </w:r>
      <w:r w:rsidRPr="00FB7B39">
        <w:rPr>
          <w:spacing w:val="-3"/>
          <w:szCs w:val="22"/>
        </w:rPr>
        <w:t>hours to comply with the waiver reporting requirement</w:t>
      </w:r>
      <w:r w:rsidR="00D4684F">
        <w:rPr>
          <w:spacing w:val="-3"/>
          <w:szCs w:val="22"/>
        </w:rPr>
        <w:t>s</w:t>
      </w:r>
      <w:r w:rsidRPr="00FB7B39">
        <w:rPr>
          <w:spacing w:val="-3"/>
          <w:szCs w:val="22"/>
        </w:rPr>
        <w:t>.</w:t>
      </w:r>
    </w:p>
    <w:p w:rsidR="002E3533" w:rsidRPr="004460F4" w:rsidP="002E3533" w14:paraId="3ABFDF9D" w14:textId="77777777">
      <w:pPr>
        <w:tabs>
          <w:tab w:val="left" w:pos="-720"/>
        </w:tabs>
        <w:suppressAutoHyphens/>
        <w:rPr>
          <w:spacing w:val="-3"/>
          <w:szCs w:val="22"/>
        </w:rPr>
      </w:pPr>
    </w:p>
    <w:p w:rsidR="002E3533" w:rsidP="002E3533" w14:paraId="083BCB0C" w14:textId="014778F3">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00EC3F49">
        <w:rPr>
          <w:b/>
          <w:bCs/>
          <w:spacing w:val="-3"/>
          <w:szCs w:val="22"/>
        </w:rPr>
        <w:t>87,500</w:t>
      </w:r>
    </w:p>
    <w:p w:rsidR="002E3533" w:rsidRPr="006A2D75" w:rsidP="002E3533" w14:paraId="78E95336" w14:textId="77777777">
      <w:pPr>
        <w:tabs>
          <w:tab w:val="left" w:pos="-720"/>
        </w:tabs>
        <w:suppressAutoHyphens/>
        <w:rPr>
          <w:spacing w:val="-3"/>
          <w:szCs w:val="22"/>
        </w:rPr>
      </w:pPr>
    </w:p>
    <w:p w:rsidR="002E3533" w:rsidP="002E3533" w14:paraId="2A2A463D"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2E3533" w:rsidRPr="004460F4" w:rsidP="002E3533" w14:paraId="32D5634F" w14:textId="77777777">
      <w:pPr>
        <w:tabs>
          <w:tab w:val="left" w:pos="-720"/>
        </w:tabs>
        <w:suppressAutoHyphens/>
        <w:rPr>
          <w:szCs w:val="22"/>
        </w:rPr>
      </w:pPr>
    </w:p>
    <w:p w:rsidR="002E3533" w:rsidRPr="0022685D" w:rsidP="002E3533" w14:paraId="3F4F9CAD" w14:textId="2E172779">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w:t>
      </w:r>
      <w:r w:rsidR="004F5E3C">
        <w:rPr>
          <w:bCs/>
          <w:szCs w:val="22"/>
        </w:rPr>
        <w:t>100</w:t>
      </w:r>
      <w:r w:rsidR="00B4061B">
        <w:rPr>
          <w:bCs/>
          <w:szCs w:val="22"/>
        </w:rPr>
        <w:t xml:space="preserve"> hours of professional </w:t>
      </w:r>
      <w:r>
        <w:rPr>
          <w:bCs/>
          <w:szCs w:val="22"/>
        </w:rPr>
        <w:t xml:space="preserve">personnel </w:t>
      </w:r>
      <w:r w:rsidR="00B4061B">
        <w:rPr>
          <w:bCs/>
          <w:szCs w:val="22"/>
        </w:rPr>
        <w:t>(rate of approximately $125 per hour) to satisfy this waiver request requirement.</w:t>
      </w:r>
    </w:p>
    <w:p w:rsidR="002E3533" w:rsidP="00FB5949" w14:paraId="6C3A5D8E" w14:textId="3806AA9D">
      <w:pPr>
        <w:tabs>
          <w:tab w:val="left" w:pos="-720"/>
        </w:tabs>
        <w:suppressAutoHyphens/>
        <w:ind w:left="1440"/>
        <w:rPr>
          <w:szCs w:val="22"/>
        </w:rPr>
      </w:pPr>
      <w:r>
        <w:rPr>
          <w:szCs w:val="22"/>
        </w:rPr>
        <w:t xml:space="preserve">Thus, approximately </w:t>
      </w:r>
      <w:r w:rsidR="00493C1C">
        <w:rPr>
          <w:szCs w:val="22"/>
        </w:rPr>
        <w:t xml:space="preserve">700 x </w:t>
      </w:r>
      <w:r>
        <w:rPr>
          <w:szCs w:val="22"/>
        </w:rPr>
        <w:t xml:space="preserve"> hours per year x $</w:t>
      </w:r>
      <w:r w:rsidR="004331DC">
        <w:rPr>
          <w:szCs w:val="22"/>
        </w:rPr>
        <w:t>125</w:t>
      </w:r>
      <w:r w:rsidR="00115971">
        <w:rPr>
          <w:szCs w:val="22"/>
        </w:rPr>
        <w:t xml:space="preserve"> </w:t>
      </w:r>
      <w:r>
        <w:rPr>
          <w:szCs w:val="22"/>
        </w:rPr>
        <w:t>=</w:t>
      </w:r>
      <w:r w:rsidR="00115971">
        <w:rPr>
          <w:szCs w:val="22"/>
        </w:rPr>
        <w:t xml:space="preserve"> </w:t>
      </w:r>
      <w:r w:rsidR="00493C1C">
        <w:rPr>
          <w:szCs w:val="22"/>
        </w:rPr>
        <w:t>$</w:t>
      </w:r>
      <w:r w:rsidR="006419B5">
        <w:rPr>
          <w:szCs w:val="22"/>
        </w:rPr>
        <w:t>87,500.</w:t>
      </w:r>
    </w:p>
    <w:p w:rsidR="00DF5368" w:rsidP="00DF5368" w14:paraId="6274885D" w14:textId="77777777">
      <w:pPr>
        <w:tabs>
          <w:tab w:val="left" w:pos="-720"/>
        </w:tabs>
        <w:suppressAutoHyphens/>
        <w:rPr>
          <w:szCs w:val="22"/>
        </w:rPr>
      </w:pPr>
    </w:p>
    <w:p w:rsidR="00AF52D5" w:rsidP="00DF5368" w14:paraId="11504728" w14:textId="77777777">
      <w:pPr>
        <w:tabs>
          <w:tab w:val="left" w:pos="-720"/>
        </w:tabs>
        <w:suppressAutoHyphens/>
        <w:rPr>
          <w:szCs w:val="22"/>
        </w:rPr>
      </w:pPr>
    </w:p>
    <w:p w:rsidR="001E1B87" w:rsidRPr="00F333EF" w:rsidP="001E1B87" w14:paraId="276D3DC4" w14:textId="082A7801">
      <w:pPr>
        <w:tabs>
          <w:tab w:val="left" w:pos="-720"/>
        </w:tabs>
        <w:suppressAutoHyphens/>
        <w:rPr>
          <w:b/>
          <w:bCs/>
          <w:i/>
          <w:iCs/>
          <w:szCs w:val="22"/>
        </w:rPr>
      </w:pPr>
      <w:r w:rsidRPr="00DF343A">
        <w:rPr>
          <w:b/>
          <w:bCs/>
          <w:i/>
          <w:iCs/>
          <w:szCs w:val="22"/>
          <w:u w:val="single"/>
        </w:rPr>
        <w:t>Previously Approved Information Requirements</w:t>
      </w:r>
      <w:r w:rsidRPr="00F333EF">
        <w:rPr>
          <w:b/>
          <w:bCs/>
          <w:i/>
          <w:iCs/>
          <w:szCs w:val="22"/>
        </w:rPr>
        <w:t>:</w:t>
      </w:r>
    </w:p>
    <w:p w:rsidR="00DF5368" w:rsidP="001E1B87" w14:paraId="25FAB461" w14:textId="77777777">
      <w:pPr>
        <w:tabs>
          <w:tab w:val="left" w:pos="-720"/>
        </w:tabs>
        <w:suppressAutoHyphens/>
        <w:rPr>
          <w:szCs w:val="22"/>
        </w:rPr>
      </w:pPr>
    </w:p>
    <w:p w:rsidR="005731E2" w:rsidRPr="009061E3" w:rsidP="00F12D4A" w14:paraId="00575A94" w14:textId="6824D663">
      <w:pPr>
        <w:pStyle w:val="Numberedparagraphs"/>
        <w:numPr>
          <w:ilvl w:val="0"/>
          <w:numId w:val="0"/>
        </w:numPr>
        <w:tabs>
          <w:tab w:val="left" w:pos="720"/>
          <w:tab w:val="clear" w:pos="1440"/>
        </w:tabs>
        <w:ind w:left="720" w:hanging="720"/>
        <w:rPr>
          <w:bCs/>
          <w:szCs w:val="22"/>
        </w:rPr>
      </w:pPr>
      <w:r w:rsidRPr="005D74FB">
        <w:rPr>
          <w:b/>
          <w:spacing w:val="-3"/>
          <w:szCs w:val="22"/>
        </w:rPr>
        <w:t>F.</w:t>
      </w:r>
      <w:r w:rsidRPr="005D74FB">
        <w:rPr>
          <w:b/>
          <w:spacing w:val="-3"/>
          <w:szCs w:val="22"/>
        </w:rPr>
        <w:tab/>
      </w:r>
      <w:r w:rsidRPr="005D74FB">
        <w:rPr>
          <w:b/>
          <w:spacing w:val="-3"/>
          <w:szCs w:val="22"/>
          <w:u w:val="single"/>
        </w:rPr>
        <w:t xml:space="preserve">Communications Access for Incarcerated People with Communication Disabilities </w:t>
      </w:r>
      <w:r w:rsidRPr="005D74FB" w:rsidR="0095051C">
        <w:rPr>
          <w:b/>
          <w:spacing w:val="-3"/>
          <w:szCs w:val="22"/>
          <w:u w:val="single"/>
        </w:rPr>
        <w:t xml:space="preserve">Requirements </w:t>
      </w:r>
      <w:r w:rsidRPr="005D74FB">
        <w:rPr>
          <w:b/>
          <w:spacing w:val="-3"/>
          <w:szCs w:val="22"/>
          <w:u w:val="single"/>
        </w:rPr>
        <w:t>(Section 64.6040(c))</w:t>
      </w:r>
      <w:r w:rsidR="00FB0B39">
        <w:rPr>
          <w:b/>
          <w:spacing w:val="-3"/>
          <w:szCs w:val="22"/>
          <w:u w:val="single"/>
        </w:rPr>
        <w:t>:</w:t>
      </w:r>
      <w:r>
        <w:rPr>
          <w:rStyle w:val="FootnoteReference"/>
          <w:bCs/>
          <w:spacing w:val="-3"/>
          <w:szCs w:val="22"/>
        </w:rPr>
        <w:footnoteReference w:id="116"/>
      </w:r>
    </w:p>
    <w:p w:rsidR="005731E2" w:rsidP="00085B34" w14:paraId="323A9D95" w14:textId="7F82969E">
      <w:pPr>
        <w:pStyle w:val="ListParagraph"/>
        <w:numPr>
          <w:ilvl w:val="0"/>
          <w:numId w:val="10"/>
        </w:numPr>
        <w:rPr>
          <w:spacing w:val="-3"/>
          <w:szCs w:val="22"/>
        </w:rPr>
      </w:pPr>
      <w:r w:rsidRPr="003F0249">
        <w:rPr>
          <w:spacing w:val="-3"/>
          <w:szCs w:val="22"/>
          <w:u w:val="single"/>
        </w:rPr>
        <w:t>Number of respondents</w:t>
      </w:r>
      <w:r w:rsidRPr="003F0249">
        <w:rPr>
          <w:spacing w:val="-3"/>
          <w:szCs w:val="22"/>
        </w:rPr>
        <w:t xml:space="preserve">:  Approximately </w:t>
      </w:r>
      <w:r w:rsidR="003A07BC">
        <w:rPr>
          <w:spacing w:val="-3"/>
          <w:szCs w:val="22"/>
        </w:rPr>
        <w:t>35</w:t>
      </w:r>
      <w:r w:rsidRPr="003F0249">
        <w:rPr>
          <w:spacing w:val="-3"/>
          <w:szCs w:val="22"/>
        </w:rPr>
        <w:t>.</w:t>
      </w:r>
    </w:p>
    <w:p w:rsidR="005731E2" w:rsidP="005731E2" w14:paraId="0DBC315A" w14:textId="77777777">
      <w:pPr>
        <w:pStyle w:val="ListParagraph"/>
        <w:ind w:left="1080"/>
        <w:rPr>
          <w:spacing w:val="-3"/>
          <w:szCs w:val="22"/>
        </w:rPr>
      </w:pPr>
    </w:p>
    <w:p w:rsidR="005731E2" w:rsidP="00085B34" w14:paraId="07BE11DB" w14:textId="77777777">
      <w:pPr>
        <w:pStyle w:val="ListParagraph"/>
        <w:numPr>
          <w:ilvl w:val="0"/>
          <w:numId w:val="10"/>
        </w:numPr>
        <w:rPr>
          <w:spacing w:val="-3"/>
          <w:szCs w:val="22"/>
        </w:rPr>
      </w:pPr>
      <w:r w:rsidRPr="00414DD6">
        <w:rPr>
          <w:spacing w:val="-3"/>
          <w:szCs w:val="22"/>
          <w:u w:val="single"/>
        </w:rPr>
        <w:t>Frequency of response</w:t>
      </w:r>
      <w:r w:rsidRPr="0047307A">
        <w:rPr>
          <w:spacing w:val="-3"/>
          <w:szCs w:val="22"/>
        </w:rPr>
        <w:t>:  Annual.</w:t>
      </w:r>
    </w:p>
    <w:p w:rsidR="005731E2" w:rsidRPr="0047307A" w:rsidP="005731E2" w14:paraId="21BFAEF7" w14:textId="77777777">
      <w:pPr>
        <w:pStyle w:val="ListParagraph"/>
        <w:rPr>
          <w:spacing w:val="-3"/>
          <w:szCs w:val="22"/>
        </w:rPr>
      </w:pPr>
    </w:p>
    <w:p w:rsidR="005731E2" w:rsidP="00085B34" w14:paraId="51A7FA3E" w14:textId="6D2925BD">
      <w:pPr>
        <w:pStyle w:val="ListParagraph"/>
        <w:numPr>
          <w:ilvl w:val="0"/>
          <w:numId w:val="10"/>
        </w:numPr>
        <w:rPr>
          <w:spacing w:val="-3"/>
          <w:szCs w:val="22"/>
        </w:rPr>
      </w:pPr>
      <w:r w:rsidRPr="00414DD6">
        <w:rPr>
          <w:spacing w:val="-3"/>
          <w:szCs w:val="22"/>
          <w:u w:val="single"/>
        </w:rPr>
        <w:t>Total number of responses annually</w:t>
      </w:r>
      <w:r w:rsidRPr="0047307A">
        <w:rPr>
          <w:spacing w:val="-3"/>
          <w:szCs w:val="22"/>
        </w:rPr>
        <w:t xml:space="preserve">:  Approximately </w:t>
      </w:r>
      <w:r w:rsidR="00F12D4A">
        <w:rPr>
          <w:spacing w:val="-3"/>
          <w:szCs w:val="22"/>
        </w:rPr>
        <w:t>35</w:t>
      </w:r>
      <w:r w:rsidRPr="0047307A">
        <w:rPr>
          <w:spacing w:val="-3"/>
          <w:szCs w:val="22"/>
        </w:rPr>
        <w:t>.</w:t>
      </w:r>
    </w:p>
    <w:p w:rsidR="005731E2" w:rsidRPr="0047307A" w:rsidP="005731E2" w14:paraId="3438056D" w14:textId="77777777">
      <w:pPr>
        <w:pStyle w:val="ListParagraph"/>
        <w:rPr>
          <w:spacing w:val="-3"/>
          <w:szCs w:val="22"/>
        </w:rPr>
      </w:pPr>
    </w:p>
    <w:p w:rsidR="005731E2" w:rsidRPr="005D74FB" w:rsidP="00085B34" w14:paraId="6434E576" w14:textId="3A47654F">
      <w:pPr>
        <w:pStyle w:val="ListParagraph"/>
        <w:numPr>
          <w:ilvl w:val="0"/>
          <w:numId w:val="10"/>
        </w:numPr>
        <w:rPr>
          <w:spacing w:val="-3"/>
          <w:szCs w:val="22"/>
        </w:rPr>
      </w:pPr>
      <w:r w:rsidRPr="00414DD6">
        <w:rPr>
          <w:spacing w:val="-3"/>
          <w:szCs w:val="22"/>
          <w:u w:val="single"/>
        </w:rPr>
        <w:t>Estimated Time per Response</w:t>
      </w:r>
      <w:r w:rsidRPr="005D74FB">
        <w:rPr>
          <w:spacing w:val="-3"/>
          <w:szCs w:val="22"/>
        </w:rPr>
        <w:t>:  40 hours</w:t>
      </w:r>
      <w:r w:rsidRPr="005D74FB" w:rsidR="000B1DD8">
        <w:rPr>
          <w:spacing w:val="-3"/>
          <w:szCs w:val="22"/>
        </w:rPr>
        <w:t>.</w:t>
      </w:r>
    </w:p>
    <w:p w:rsidR="005731E2" w:rsidRPr="0047307A" w:rsidP="005731E2" w14:paraId="5C53C8EA" w14:textId="77777777">
      <w:pPr>
        <w:pStyle w:val="ListParagraph"/>
        <w:ind w:left="1080"/>
        <w:rPr>
          <w:spacing w:val="-3"/>
          <w:szCs w:val="22"/>
        </w:rPr>
      </w:pPr>
    </w:p>
    <w:p w:rsidR="005731E2" w:rsidP="005731E2" w14:paraId="154FAC2D" w14:textId="092F563F">
      <w:pPr>
        <w:pStyle w:val="ListParagraph"/>
        <w:ind w:left="1080"/>
        <w:rPr>
          <w:spacing w:val="-3"/>
          <w:szCs w:val="22"/>
        </w:rPr>
      </w:pPr>
      <w:r w:rsidRPr="0047307A">
        <w:rPr>
          <w:spacing w:val="-3"/>
          <w:szCs w:val="22"/>
        </w:rPr>
        <w:tab/>
      </w:r>
      <w:r w:rsidR="003A07BC">
        <w:rPr>
          <w:spacing w:val="-3"/>
          <w:szCs w:val="22"/>
        </w:rPr>
        <w:t>35</w:t>
      </w:r>
      <w:r>
        <w:rPr>
          <w:spacing w:val="-3"/>
          <w:szCs w:val="22"/>
        </w:rPr>
        <w:t xml:space="preserve"> </w:t>
      </w:r>
      <w:r w:rsidRPr="0047307A">
        <w:rPr>
          <w:spacing w:val="-3"/>
          <w:szCs w:val="22"/>
        </w:rPr>
        <w:t xml:space="preserve">respondents x </w:t>
      </w:r>
      <w:r w:rsidR="00DF1D37">
        <w:rPr>
          <w:spacing w:val="-3"/>
          <w:szCs w:val="22"/>
        </w:rPr>
        <w:t>40</w:t>
      </w:r>
      <w:r>
        <w:rPr>
          <w:spacing w:val="-3"/>
          <w:szCs w:val="22"/>
        </w:rPr>
        <w:t xml:space="preserve"> </w:t>
      </w:r>
      <w:r w:rsidRPr="0047307A">
        <w:rPr>
          <w:spacing w:val="-3"/>
          <w:szCs w:val="22"/>
        </w:rPr>
        <w:t xml:space="preserve">hours per response x 1 response per year per respondent =  </w:t>
      </w:r>
      <w:r w:rsidR="00314BD7">
        <w:rPr>
          <w:spacing w:val="-3"/>
          <w:szCs w:val="22"/>
        </w:rPr>
        <w:t xml:space="preserve">1,400 </w:t>
      </w:r>
      <w:r w:rsidRPr="0047307A">
        <w:rPr>
          <w:spacing w:val="-3"/>
          <w:szCs w:val="22"/>
        </w:rPr>
        <w:t>hours.</w:t>
      </w:r>
    </w:p>
    <w:p w:rsidR="00D6057C" w:rsidP="005731E2" w14:paraId="6B835BFF" w14:textId="77777777">
      <w:pPr>
        <w:pStyle w:val="ListParagraph"/>
        <w:ind w:left="1080"/>
        <w:rPr>
          <w:spacing w:val="-3"/>
          <w:szCs w:val="22"/>
        </w:rPr>
      </w:pPr>
    </w:p>
    <w:p w:rsidR="005731E2" w:rsidRPr="004460F4" w:rsidP="005731E2" w14:paraId="200E4384" w14:textId="5E359F37">
      <w:pPr>
        <w:tabs>
          <w:tab w:val="left" w:pos="-720"/>
        </w:tabs>
        <w:suppressAutoHyphens/>
        <w:rPr>
          <w:spacing w:val="-3"/>
          <w:szCs w:val="22"/>
        </w:rPr>
      </w:pPr>
      <w:r w:rsidRPr="004460F4">
        <w:rPr>
          <w:spacing w:val="-3"/>
          <w:szCs w:val="22"/>
        </w:rPr>
        <w:tab/>
        <w:t>(</w:t>
      </w:r>
      <w:r w:rsidR="00533449">
        <w:rPr>
          <w:spacing w:val="-3"/>
          <w:szCs w:val="22"/>
        </w:rPr>
        <w:t>5</w:t>
      </w:r>
      <w:r w:rsidRPr="004460F4">
        <w:rPr>
          <w:spacing w:val="-3"/>
          <w:szCs w:val="22"/>
        </w:rPr>
        <w:t xml:space="preserve">)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314BD7">
        <w:rPr>
          <w:b/>
          <w:spacing w:val="-3"/>
          <w:szCs w:val="22"/>
        </w:rPr>
        <w:t>1,400</w:t>
      </w:r>
      <w:r>
        <w:rPr>
          <w:b/>
          <w:spacing w:val="-3"/>
          <w:szCs w:val="22"/>
        </w:rPr>
        <w:t xml:space="preserve"> </w:t>
      </w:r>
      <w:r w:rsidRPr="004460F4">
        <w:rPr>
          <w:b/>
          <w:spacing w:val="-3"/>
          <w:szCs w:val="22"/>
        </w:rPr>
        <w:t>hours</w:t>
      </w:r>
      <w:r w:rsidRPr="004460F4">
        <w:rPr>
          <w:spacing w:val="-3"/>
          <w:szCs w:val="22"/>
        </w:rPr>
        <w:t>.</w:t>
      </w:r>
    </w:p>
    <w:p w:rsidR="005731E2" w:rsidRPr="004460F4" w:rsidP="005731E2" w14:paraId="5E40EA1B" w14:textId="77777777">
      <w:pPr>
        <w:tabs>
          <w:tab w:val="left" w:pos="-720"/>
        </w:tabs>
        <w:suppressAutoHyphens/>
        <w:rPr>
          <w:spacing w:val="-3"/>
          <w:szCs w:val="22"/>
        </w:rPr>
      </w:pPr>
    </w:p>
    <w:p w:rsidR="005731E2" w:rsidP="005731E2" w14:paraId="7B61EEC3" w14:textId="13A1285E">
      <w:pPr>
        <w:tabs>
          <w:tab w:val="left" w:pos="-720"/>
        </w:tabs>
        <w:suppressAutoHyphens/>
        <w:ind w:left="1440"/>
        <w:rPr>
          <w:spacing w:val="-3"/>
          <w:szCs w:val="22"/>
        </w:rPr>
      </w:pPr>
      <w:r w:rsidRPr="004460F4">
        <w:rPr>
          <w:spacing w:val="-3"/>
          <w:szCs w:val="22"/>
        </w:rPr>
        <w:t xml:space="preserve">The Commission estimates that approximately </w:t>
      </w:r>
      <w:r w:rsidR="003A07BC">
        <w:rPr>
          <w:spacing w:val="-3"/>
          <w:szCs w:val="22"/>
        </w:rPr>
        <w:t>35</w:t>
      </w:r>
      <w:r w:rsidRPr="004460F4">
        <w:rPr>
          <w:spacing w:val="-3"/>
          <w:szCs w:val="22"/>
        </w:rPr>
        <w:t xml:space="preserve"> providers will require </w:t>
      </w:r>
      <w:r>
        <w:rPr>
          <w:spacing w:val="-3"/>
          <w:szCs w:val="22"/>
        </w:rPr>
        <w:t xml:space="preserve">approximately 40 hours of time to comply with the requirements of section </w:t>
      </w:r>
      <w:r w:rsidRPr="003C6578">
        <w:rPr>
          <w:spacing w:val="-3"/>
          <w:szCs w:val="22"/>
        </w:rPr>
        <w:t>64.6040(c)</w:t>
      </w:r>
      <w:r>
        <w:rPr>
          <w:spacing w:val="-3"/>
          <w:szCs w:val="22"/>
        </w:rPr>
        <w:t>.</w:t>
      </w:r>
    </w:p>
    <w:p w:rsidR="005731E2" w:rsidP="005731E2" w14:paraId="7711B0B0" w14:textId="77777777">
      <w:pPr>
        <w:tabs>
          <w:tab w:val="left" w:pos="-720"/>
        </w:tabs>
        <w:suppressAutoHyphens/>
        <w:ind w:left="1440"/>
        <w:rPr>
          <w:spacing w:val="-3"/>
          <w:szCs w:val="22"/>
        </w:rPr>
      </w:pPr>
    </w:p>
    <w:p w:rsidR="005731E2" w:rsidP="005731E2" w14:paraId="7CB447E5" w14:textId="54301EF8">
      <w:pPr>
        <w:tabs>
          <w:tab w:val="left" w:pos="-720"/>
        </w:tabs>
        <w:suppressAutoHyphens/>
        <w:ind w:left="1440"/>
        <w:rPr>
          <w:spacing w:val="-3"/>
          <w:szCs w:val="22"/>
        </w:rPr>
      </w:pPr>
      <w:r w:rsidRPr="009F745F">
        <w:rPr>
          <w:spacing w:val="-3"/>
          <w:szCs w:val="22"/>
        </w:rPr>
        <w:t xml:space="preserve">Approximately </w:t>
      </w:r>
      <w:r w:rsidR="003A07BC">
        <w:rPr>
          <w:spacing w:val="-3"/>
          <w:szCs w:val="22"/>
        </w:rPr>
        <w:t>35</w:t>
      </w:r>
      <w:r w:rsidRPr="009F745F">
        <w:rPr>
          <w:spacing w:val="-3"/>
          <w:szCs w:val="22"/>
        </w:rPr>
        <w:t xml:space="preserve"> respondents annually x 1 response annually x </w:t>
      </w:r>
      <w:r w:rsidR="00314BD7">
        <w:rPr>
          <w:spacing w:val="-3"/>
          <w:szCs w:val="22"/>
        </w:rPr>
        <w:t>40</w:t>
      </w:r>
      <w:r w:rsidRPr="009F745F">
        <w:rPr>
          <w:spacing w:val="-3"/>
          <w:szCs w:val="22"/>
        </w:rPr>
        <w:t xml:space="preserve"> hours per response = </w:t>
      </w:r>
      <w:r w:rsidR="00314BD7">
        <w:rPr>
          <w:spacing w:val="-3"/>
          <w:szCs w:val="22"/>
        </w:rPr>
        <w:t>1,400</w:t>
      </w:r>
      <w:r w:rsidRPr="009F745F">
        <w:rPr>
          <w:spacing w:val="-3"/>
          <w:szCs w:val="22"/>
        </w:rPr>
        <w:t xml:space="preserve"> hours</w:t>
      </w:r>
      <w:r>
        <w:rPr>
          <w:spacing w:val="-3"/>
          <w:szCs w:val="22"/>
        </w:rPr>
        <w:t>.</w:t>
      </w:r>
      <w:r w:rsidRPr="009F745F">
        <w:rPr>
          <w:spacing w:val="-3"/>
          <w:szCs w:val="22"/>
        </w:rPr>
        <w:t xml:space="preserve">  </w:t>
      </w:r>
    </w:p>
    <w:p w:rsidR="005731E2" w:rsidRPr="004460F4" w:rsidP="005731E2" w14:paraId="2B37150D" w14:textId="77777777">
      <w:pPr>
        <w:tabs>
          <w:tab w:val="left" w:pos="-720"/>
        </w:tabs>
        <w:suppressAutoHyphens/>
        <w:rPr>
          <w:spacing w:val="-3"/>
          <w:szCs w:val="22"/>
        </w:rPr>
      </w:pPr>
    </w:p>
    <w:p w:rsidR="005731E2" w:rsidP="005731E2" w14:paraId="6579BFC2" w14:textId="1057EEE7">
      <w:pPr>
        <w:tabs>
          <w:tab w:val="left" w:pos="-720"/>
        </w:tabs>
        <w:suppressAutoHyphens/>
        <w:rPr>
          <w:spacing w:val="-3"/>
          <w:szCs w:val="22"/>
        </w:rPr>
      </w:pPr>
      <w:r>
        <w:rPr>
          <w:spacing w:val="-3"/>
          <w:szCs w:val="22"/>
        </w:rPr>
        <w:tab/>
      </w:r>
      <w:r w:rsidRPr="006A2D75">
        <w:rPr>
          <w:spacing w:val="-3"/>
          <w:szCs w:val="22"/>
        </w:rPr>
        <w:t>(</w:t>
      </w:r>
      <w:r w:rsidR="00414DD6">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00115971">
        <w:rPr>
          <w:b/>
          <w:bCs/>
          <w:spacing w:val="-3"/>
          <w:szCs w:val="22"/>
        </w:rPr>
        <w:t>91,672</w:t>
      </w:r>
      <w:r w:rsidR="00A75352">
        <w:rPr>
          <w:b/>
          <w:bCs/>
          <w:spacing w:val="-3"/>
          <w:szCs w:val="22"/>
        </w:rPr>
        <w:t>.</w:t>
      </w:r>
    </w:p>
    <w:p w:rsidR="005731E2" w:rsidRPr="006A2D75" w:rsidP="005731E2" w14:paraId="0ABE6799" w14:textId="77777777">
      <w:pPr>
        <w:tabs>
          <w:tab w:val="left" w:pos="-720"/>
        </w:tabs>
        <w:suppressAutoHyphens/>
        <w:rPr>
          <w:spacing w:val="-3"/>
          <w:szCs w:val="22"/>
        </w:rPr>
      </w:pPr>
    </w:p>
    <w:p w:rsidR="005731E2" w:rsidP="005731E2" w14:paraId="4598FE32" w14:textId="468DCFFD">
      <w:pPr>
        <w:tabs>
          <w:tab w:val="left" w:pos="-720"/>
        </w:tabs>
        <w:suppressAutoHyphens/>
        <w:rPr>
          <w:spacing w:val="-3"/>
          <w:szCs w:val="22"/>
        </w:rPr>
      </w:pPr>
      <w:r>
        <w:rPr>
          <w:spacing w:val="-3"/>
          <w:szCs w:val="22"/>
        </w:rPr>
        <w:tab/>
      </w:r>
      <w:r w:rsidRPr="006E7B40">
        <w:rPr>
          <w:spacing w:val="-3"/>
          <w:szCs w:val="22"/>
        </w:rPr>
        <w:t>(</w:t>
      </w:r>
      <w:r w:rsidR="00414DD6">
        <w:rPr>
          <w:spacing w:val="-3"/>
          <w:szCs w:val="22"/>
        </w:rPr>
        <w:t>7</w:t>
      </w:r>
      <w:r w:rsidRPr="006E7B40">
        <w:rPr>
          <w:spacing w:val="-3"/>
          <w:szCs w:val="22"/>
        </w:rPr>
        <w:t>)</w:t>
      </w:r>
      <w:r w:rsidRPr="006E7B40">
        <w:rPr>
          <w:spacing w:val="-3"/>
          <w:szCs w:val="22"/>
        </w:rPr>
        <w:tab/>
      </w:r>
      <w:r>
        <w:rPr>
          <w:spacing w:val="-3"/>
          <w:szCs w:val="22"/>
        </w:rPr>
        <w:t>Explanation of the calculation:</w:t>
      </w:r>
    </w:p>
    <w:p w:rsidR="005731E2" w:rsidRPr="004460F4" w:rsidP="005731E2" w14:paraId="195CA50D" w14:textId="77777777">
      <w:pPr>
        <w:tabs>
          <w:tab w:val="left" w:pos="-720"/>
        </w:tabs>
        <w:suppressAutoHyphens/>
        <w:rPr>
          <w:szCs w:val="22"/>
        </w:rPr>
      </w:pPr>
    </w:p>
    <w:p w:rsidR="005731E2" w:rsidRPr="0022685D" w:rsidP="005731E2" w14:paraId="123491E2" w14:textId="1874DF00">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5731E2" w:rsidP="005731E2" w14:paraId="05CD3A63" w14:textId="2EB9F7BC">
      <w:pPr>
        <w:tabs>
          <w:tab w:val="left" w:pos="-720"/>
        </w:tabs>
        <w:suppressAutoHyphens/>
        <w:ind w:left="1440"/>
        <w:rPr>
          <w:szCs w:val="22"/>
        </w:rPr>
      </w:pPr>
      <w:r>
        <w:rPr>
          <w:szCs w:val="22"/>
        </w:rPr>
        <w:t>Thus, approximately 1,</w:t>
      </w:r>
      <w:r w:rsidR="00314BD7">
        <w:rPr>
          <w:szCs w:val="22"/>
        </w:rPr>
        <w:t>4</w:t>
      </w:r>
      <w:r>
        <w:rPr>
          <w:szCs w:val="22"/>
        </w:rPr>
        <w:t>00 hours per year x $6</w:t>
      </w:r>
      <w:r w:rsidR="00115971">
        <w:rPr>
          <w:szCs w:val="22"/>
        </w:rPr>
        <w:t>5.48</w:t>
      </w:r>
      <w:r>
        <w:rPr>
          <w:szCs w:val="22"/>
        </w:rPr>
        <w:t xml:space="preserve"> = </w:t>
      </w:r>
      <w:r w:rsidR="00A75352">
        <w:rPr>
          <w:szCs w:val="22"/>
        </w:rPr>
        <w:t>$</w:t>
      </w:r>
      <w:r w:rsidR="00115971">
        <w:rPr>
          <w:szCs w:val="22"/>
        </w:rPr>
        <w:t>91,672</w:t>
      </w:r>
      <w:r w:rsidR="00A75352">
        <w:rPr>
          <w:szCs w:val="22"/>
        </w:rPr>
        <w:t>.</w:t>
      </w:r>
    </w:p>
    <w:p w:rsidR="003A07BC" w:rsidP="005731E2" w14:paraId="3A716EFF" w14:textId="77777777">
      <w:pPr>
        <w:tabs>
          <w:tab w:val="left" w:pos="-720"/>
        </w:tabs>
        <w:suppressAutoHyphens/>
        <w:ind w:left="1440"/>
        <w:rPr>
          <w:szCs w:val="22"/>
        </w:rPr>
      </w:pPr>
    </w:p>
    <w:p w:rsidR="005731E2" w:rsidRPr="00C40670" w:rsidP="002D77F0" w14:paraId="6032C933" w14:textId="6F848DE2">
      <w:pPr>
        <w:pStyle w:val="Numberedparagraphs"/>
        <w:numPr>
          <w:ilvl w:val="0"/>
          <w:numId w:val="0"/>
        </w:numPr>
        <w:tabs>
          <w:tab w:val="left" w:pos="720"/>
          <w:tab w:val="clear" w:pos="1440"/>
        </w:tabs>
        <w:ind w:left="360"/>
        <w:rPr>
          <w:b/>
          <w:spacing w:val="-3"/>
          <w:szCs w:val="22"/>
        </w:rPr>
      </w:pPr>
      <w:r w:rsidRPr="00C40670">
        <w:rPr>
          <w:b/>
          <w:spacing w:val="-3"/>
          <w:szCs w:val="22"/>
        </w:rPr>
        <w:t>G.</w:t>
      </w:r>
      <w:r w:rsidRPr="00C40670">
        <w:rPr>
          <w:b/>
          <w:spacing w:val="-3"/>
          <w:szCs w:val="22"/>
        </w:rPr>
        <w:tab/>
      </w:r>
      <w:r w:rsidRPr="00C40670">
        <w:rPr>
          <w:b/>
          <w:spacing w:val="-3"/>
          <w:szCs w:val="22"/>
          <w:u w:val="single"/>
        </w:rPr>
        <w:t xml:space="preserve">Annual Reporting </w:t>
      </w:r>
      <w:r w:rsidR="00165BC8">
        <w:rPr>
          <w:b/>
          <w:spacing w:val="-3"/>
          <w:szCs w:val="22"/>
          <w:u w:val="single"/>
        </w:rPr>
        <w:t xml:space="preserve">and Certification </w:t>
      </w:r>
      <w:r w:rsidRPr="00C40670">
        <w:rPr>
          <w:b/>
          <w:spacing w:val="-3"/>
          <w:szCs w:val="22"/>
          <w:u w:val="single"/>
        </w:rPr>
        <w:t>Requirements (Section 64.6060)</w:t>
      </w:r>
      <w:r w:rsidR="00E8458C">
        <w:rPr>
          <w:b/>
          <w:spacing w:val="-3"/>
          <w:szCs w:val="22"/>
          <w:u w:val="single"/>
        </w:rPr>
        <w:t>:</w:t>
      </w:r>
      <w:r>
        <w:rPr>
          <w:rStyle w:val="FootnoteReference"/>
          <w:bCs/>
          <w:spacing w:val="-3"/>
          <w:szCs w:val="22"/>
        </w:rPr>
        <w:footnoteReference w:id="117"/>
      </w:r>
    </w:p>
    <w:p w:rsidR="00C40670" w:rsidRPr="00B91FFE" w:rsidP="00C40670" w14:paraId="4B13137B" w14:textId="5CE744D2">
      <w:pPr>
        <w:pStyle w:val="Numberedparagraphs"/>
        <w:numPr>
          <w:ilvl w:val="0"/>
          <w:numId w:val="0"/>
        </w:numPr>
        <w:tabs>
          <w:tab w:val="left" w:pos="720"/>
          <w:tab w:val="clear" w:pos="1440"/>
        </w:tabs>
        <w:rPr>
          <w:bCs/>
          <w:szCs w:val="22"/>
        </w:rPr>
      </w:pPr>
      <w:r>
        <w:rPr>
          <w:bCs/>
          <w:szCs w:val="22"/>
        </w:rPr>
        <w:tab/>
      </w:r>
      <w:r w:rsidRPr="00B91FFE">
        <w:rPr>
          <w:bCs/>
          <w:szCs w:val="22"/>
        </w:rPr>
        <w:t xml:space="preserve">(1)  </w:t>
      </w:r>
      <w:r w:rsidRPr="00B91FFE">
        <w:rPr>
          <w:bCs/>
          <w:szCs w:val="22"/>
          <w:u w:val="single"/>
        </w:rPr>
        <w:t>Number of respondents</w:t>
      </w:r>
      <w:r w:rsidRPr="00B91FFE">
        <w:rPr>
          <w:bCs/>
          <w:szCs w:val="22"/>
        </w:rPr>
        <w:t>:  Approximately</w:t>
      </w:r>
      <w:r>
        <w:rPr>
          <w:bCs/>
          <w:szCs w:val="22"/>
        </w:rPr>
        <w:t xml:space="preserve"> 35.</w:t>
      </w:r>
    </w:p>
    <w:p w:rsidR="00C40670" w:rsidRPr="00B91FFE" w:rsidP="00C40670" w14:paraId="35DF2230" w14:textId="77777777">
      <w:pPr>
        <w:pStyle w:val="Numberedparagraphs"/>
        <w:numPr>
          <w:ilvl w:val="0"/>
          <w:numId w:val="0"/>
        </w:numPr>
        <w:tabs>
          <w:tab w:val="left" w:pos="720"/>
          <w:tab w:val="clear" w:pos="1440"/>
        </w:tabs>
        <w:rPr>
          <w:bCs/>
          <w:szCs w:val="22"/>
        </w:rPr>
      </w:pPr>
      <w:r w:rsidRPr="00B91FFE">
        <w:rPr>
          <w:bCs/>
          <w:szCs w:val="22"/>
        </w:rPr>
        <w:tab/>
        <w:t xml:space="preserve">(2)  </w:t>
      </w:r>
      <w:r w:rsidRPr="00B91FFE">
        <w:rPr>
          <w:bCs/>
          <w:szCs w:val="22"/>
          <w:u w:val="single"/>
        </w:rPr>
        <w:t>Frequency of response</w:t>
      </w:r>
      <w:r w:rsidRPr="00B91FFE">
        <w:rPr>
          <w:bCs/>
          <w:szCs w:val="22"/>
        </w:rPr>
        <w:t>:  Annual.</w:t>
      </w:r>
    </w:p>
    <w:p w:rsidR="00C40670" w:rsidRPr="00B91FFE" w:rsidP="00C40670" w14:paraId="4C2F505F" w14:textId="569657AD">
      <w:pPr>
        <w:pStyle w:val="Numberedparagraphs"/>
        <w:numPr>
          <w:ilvl w:val="0"/>
          <w:numId w:val="0"/>
        </w:numPr>
        <w:tabs>
          <w:tab w:val="left" w:pos="720"/>
          <w:tab w:val="clear" w:pos="144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Pr>
          <w:bCs/>
          <w:szCs w:val="22"/>
        </w:rPr>
        <w:t>3</w:t>
      </w:r>
      <w:r w:rsidR="00B41779">
        <w:rPr>
          <w:bCs/>
          <w:szCs w:val="22"/>
        </w:rPr>
        <w:t>5.</w:t>
      </w:r>
    </w:p>
    <w:p w:rsidR="00C40670" w:rsidRPr="00B91FFE" w:rsidP="00C40670" w14:paraId="4E2B2A8C" w14:textId="2422C4DB">
      <w:pPr>
        <w:pStyle w:val="Numberedparagraphs"/>
        <w:numPr>
          <w:ilvl w:val="0"/>
          <w:numId w:val="0"/>
        </w:numPr>
        <w:tabs>
          <w:tab w:val="left" w:pos="720"/>
          <w:tab w:val="clear" w:pos="1440"/>
        </w:tabs>
        <w:rPr>
          <w:bCs/>
          <w:szCs w:val="22"/>
        </w:rPr>
      </w:pPr>
      <w:r w:rsidRPr="00B91FFE">
        <w:rPr>
          <w:bCs/>
          <w:szCs w:val="22"/>
        </w:rPr>
        <w:tab/>
        <w:t xml:space="preserve">(4)  </w:t>
      </w:r>
      <w:r w:rsidRPr="00B91FFE">
        <w:rPr>
          <w:bCs/>
          <w:szCs w:val="22"/>
          <w:u w:val="single"/>
        </w:rPr>
        <w:t>Estimated Time per Response</w:t>
      </w:r>
      <w:r w:rsidRPr="00B91FFE">
        <w:rPr>
          <w:bCs/>
          <w:szCs w:val="22"/>
        </w:rPr>
        <w:t xml:space="preserve">:  </w:t>
      </w:r>
      <w:r w:rsidRPr="000251A5">
        <w:rPr>
          <w:bCs/>
          <w:szCs w:val="22"/>
        </w:rPr>
        <w:t>Approximately</w:t>
      </w:r>
      <w:r>
        <w:rPr>
          <w:bCs/>
          <w:szCs w:val="22"/>
        </w:rPr>
        <w:t xml:space="preserve"> </w:t>
      </w:r>
      <w:r w:rsidR="00BB5665">
        <w:rPr>
          <w:bCs/>
          <w:szCs w:val="22"/>
        </w:rPr>
        <w:t>120</w:t>
      </w:r>
      <w:r>
        <w:rPr>
          <w:bCs/>
          <w:szCs w:val="22"/>
        </w:rPr>
        <w:t xml:space="preserve"> hours.</w:t>
      </w:r>
    </w:p>
    <w:p w:rsidR="00C40670" w:rsidRPr="00B91FFE" w:rsidP="00AF52D5" w14:paraId="690C151F" w14:textId="5FC6BBB9">
      <w:pPr>
        <w:pStyle w:val="Numberedparagraphs"/>
        <w:widowControl/>
        <w:numPr>
          <w:ilvl w:val="0"/>
          <w:numId w:val="0"/>
        </w:numPr>
        <w:tabs>
          <w:tab w:val="left" w:pos="720"/>
          <w:tab w:val="clear" w:pos="1440"/>
        </w:tabs>
        <w:ind w:left="1440"/>
        <w:rPr>
          <w:bCs/>
          <w:szCs w:val="22"/>
        </w:rPr>
      </w:pPr>
      <w:r>
        <w:rPr>
          <w:bCs/>
          <w:szCs w:val="22"/>
        </w:rPr>
        <w:t>3</w:t>
      </w:r>
      <w:r w:rsidR="006F4385">
        <w:rPr>
          <w:bCs/>
          <w:szCs w:val="22"/>
        </w:rPr>
        <w:t>5</w:t>
      </w:r>
      <w:r w:rsidRPr="00B91FFE">
        <w:rPr>
          <w:bCs/>
          <w:szCs w:val="22"/>
        </w:rPr>
        <w:t xml:space="preserve"> </w:t>
      </w:r>
      <w:r>
        <w:rPr>
          <w:bCs/>
          <w:szCs w:val="22"/>
        </w:rPr>
        <w:t xml:space="preserve">respondents </w:t>
      </w:r>
      <w:r w:rsidRPr="00B91FFE">
        <w:rPr>
          <w:bCs/>
          <w:szCs w:val="22"/>
        </w:rPr>
        <w:t xml:space="preserve">x </w:t>
      </w:r>
      <w:r>
        <w:rPr>
          <w:bCs/>
          <w:szCs w:val="22"/>
        </w:rPr>
        <w:t xml:space="preserve">approximately 120 </w:t>
      </w:r>
      <w:r w:rsidRPr="00B91FFE">
        <w:rPr>
          <w:bCs/>
          <w:szCs w:val="22"/>
        </w:rPr>
        <w:t xml:space="preserve">hours per response x 1 response </w:t>
      </w:r>
      <w:r>
        <w:rPr>
          <w:bCs/>
          <w:szCs w:val="22"/>
        </w:rPr>
        <w:t xml:space="preserve">per respondent </w:t>
      </w:r>
      <w:r w:rsidRPr="00B91FFE">
        <w:rPr>
          <w:bCs/>
          <w:szCs w:val="22"/>
        </w:rPr>
        <w:t>=</w:t>
      </w:r>
      <w:r>
        <w:rPr>
          <w:bCs/>
          <w:szCs w:val="22"/>
        </w:rPr>
        <w:t xml:space="preserve"> </w:t>
      </w:r>
      <w:r w:rsidR="00B41779">
        <w:rPr>
          <w:bCs/>
          <w:szCs w:val="22"/>
        </w:rPr>
        <w:t xml:space="preserve">4,200 </w:t>
      </w:r>
      <w:r>
        <w:rPr>
          <w:bCs/>
          <w:szCs w:val="22"/>
        </w:rPr>
        <w:t>hours</w:t>
      </w:r>
      <w:r w:rsidRPr="00B91FFE">
        <w:rPr>
          <w:bCs/>
          <w:szCs w:val="22"/>
        </w:rPr>
        <w:t>.</w:t>
      </w:r>
    </w:p>
    <w:p w:rsidR="00C40670" w:rsidRPr="00B91FFE" w:rsidP="00C40670" w14:paraId="0F93456B" w14:textId="661C9573">
      <w:pPr>
        <w:pStyle w:val="Numberedparagraphs"/>
        <w:numPr>
          <w:ilvl w:val="0"/>
          <w:numId w:val="0"/>
        </w:numPr>
        <w:tabs>
          <w:tab w:val="left" w:pos="720"/>
          <w:tab w:val="clear" w:pos="144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Pr>
          <w:b/>
          <w:szCs w:val="22"/>
        </w:rPr>
        <w:t xml:space="preserve"> </w:t>
      </w:r>
      <w:r w:rsidR="00B41779">
        <w:rPr>
          <w:b/>
          <w:szCs w:val="22"/>
        </w:rPr>
        <w:t xml:space="preserve">4,200 </w:t>
      </w:r>
      <w:r w:rsidRPr="004C0C38">
        <w:rPr>
          <w:b/>
          <w:szCs w:val="22"/>
        </w:rPr>
        <w:t>hours</w:t>
      </w:r>
      <w:r>
        <w:rPr>
          <w:bCs/>
          <w:szCs w:val="22"/>
        </w:rPr>
        <w:t>.</w:t>
      </w:r>
    </w:p>
    <w:p w:rsidR="00C40670" w:rsidRPr="00B91FFE" w:rsidP="00AF52D5" w14:paraId="1FDAD6B7" w14:textId="6196E639">
      <w:pPr>
        <w:pStyle w:val="Numberedparagraphs"/>
        <w:widowControl/>
        <w:numPr>
          <w:ilvl w:val="0"/>
          <w:numId w:val="0"/>
        </w:numPr>
        <w:tabs>
          <w:tab w:val="left" w:pos="720"/>
          <w:tab w:val="clear" w:pos="1440"/>
        </w:tabs>
        <w:ind w:left="1440"/>
        <w:rPr>
          <w:bCs/>
          <w:szCs w:val="22"/>
        </w:rPr>
      </w:pPr>
      <w:r w:rsidRPr="00B91FFE">
        <w:rPr>
          <w:bCs/>
          <w:szCs w:val="22"/>
        </w:rPr>
        <w:t xml:space="preserve">The Commission estimates that approximate </w:t>
      </w:r>
      <w:r w:rsidR="00476300">
        <w:rPr>
          <w:bCs/>
          <w:szCs w:val="22"/>
        </w:rPr>
        <w:t xml:space="preserve">35 </w:t>
      </w:r>
      <w:r w:rsidRPr="00B91FFE">
        <w:rPr>
          <w:bCs/>
          <w:szCs w:val="22"/>
        </w:rPr>
        <w:t xml:space="preserve">providers will </w:t>
      </w:r>
      <w:r>
        <w:rPr>
          <w:bCs/>
          <w:szCs w:val="22"/>
        </w:rPr>
        <w:t xml:space="preserve">each </w:t>
      </w:r>
      <w:r w:rsidRPr="00B91FFE">
        <w:rPr>
          <w:bCs/>
          <w:szCs w:val="22"/>
        </w:rPr>
        <w:t xml:space="preserve">require </w:t>
      </w:r>
      <w:r>
        <w:rPr>
          <w:bCs/>
          <w:szCs w:val="22"/>
        </w:rPr>
        <w:t xml:space="preserve">approximately 120 </w:t>
      </w:r>
      <w:r w:rsidRPr="00B91FFE">
        <w:rPr>
          <w:bCs/>
          <w:szCs w:val="22"/>
        </w:rPr>
        <w:t xml:space="preserve">hours </w:t>
      </w:r>
      <w:r>
        <w:rPr>
          <w:bCs/>
          <w:szCs w:val="22"/>
        </w:rPr>
        <w:t>to comply with the reporting requirements.</w:t>
      </w:r>
    </w:p>
    <w:p w:rsidR="00C40670" w:rsidRPr="00B91FFE" w:rsidP="00C40670" w14:paraId="296BF0D7" w14:textId="6724F187">
      <w:pPr>
        <w:pStyle w:val="Numberedparagraphs"/>
        <w:numPr>
          <w:ilvl w:val="0"/>
          <w:numId w:val="0"/>
        </w:numPr>
        <w:tabs>
          <w:tab w:val="left" w:pos="720"/>
          <w:tab w:val="clear" w:pos="1440"/>
        </w:tabs>
        <w:ind w:left="720"/>
        <w:rPr>
          <w:bCs/>
          <w:szCs w:val="22"/>
        </w:rPr>
      </w:pPr>
      <w:r w:rsidRPr="00B91FFE">
        <w:rPr>
          <w:bCs/>
          <w:szCs w:val="22"/>
        </w:rPr>
        <w:t xml:space="preserve">(6)  </w:t>
      </w:r>
      <w:r w:rsidRPr="00B91FFE">
        <w:rPr>
          <w:bCs/>
          <w:szCs w:val="22"/>
          <w:u w:val="single"/>
        </w:rPr>
        <w:t>Total estimate of “in-house” costs to respondents</w:t>
      </w:r>
      <w:r w:rsidRPr="00915F36">
        <w:rPr>
          <w:bCs/>
          <w:szCs w:val="22"/>
        </w:rPr>
        <w:t>:</w:t>
      </w:r>
      <w:r w:rsidRPr="00CC3072">
        <w:rPr>
          <w:b/>
          <w:szCs w:val="22"/>
        </w:rPr>
        <w:t xml:space="preserve">  </w:t>
      </w:r>
      <w:r w:rsidRPr="00381099">
        <w:rPr>
          <w:b/>
          <w:szCs w:val="22"/>
        </w:rPr>
        <w:t>$</w:t>
      </w:r>
      <w:r w:rsidR="0058517E">
        <w:rPr>
          <w:b/>
          <w:szCs w:val="22"/>
        </w:rPr>
        <w:t>2</w:t>
      </w:r>
      <w:r w:rsidR="00115971">
        <w:rPr>
          <w:b/>
          <w:szCs w:val="22"/>
        </w:rPr>
        <w:t>75,016</w:t>
      </w:r>
      <w:r w:rsidR="0058517E">
        <w:rPr>
          <w:b/>
          <w:szCs w:val="22"/>
        </w:rPr>
        <w:t>.</w:t>
      </w:r>
    </w:p>
    <w:p w:rsidR="00C40670" w:rsidRPr="00B91FFE" w:rsidP="00C40670" w14:paraId="2D033116" w14:textId="77777777">
      <w:pPr>
        <w:pStyle w:val="Numberedparagraphs"/>
        <w:numPr>
          <w:ilvl w:val="0"/>
          <w:numId w:val="0"/>
        </w:numPr>
        <w:tabs>
          <w:tab w:val="left" w:pos="720"/>
          <w:tab w:val="clear" w:pos="1440"/>
        </w:tabs>
        <w:ind w:left="720"/>
        <w:rPr>
          <w:bCs/>
          <w:szCs w:val="22"/>
        </w:rPr>
      </w:pPr>
      <w:r w:rsidRPr="00B91FFE">
        <w:rPr>
          <w:bCs/>
          <w:szCs w:val="22"/>
        </w:rPr>
        <w:t xml:space="preserve">(7)  </w:t>
      </w:r>
      <w:r w:rsidRPr="00B91FFE">
        <w:rPr>
          <w:bCs/>
          <w:szCs w:val="22"/>
          <w:u w:val="single"/>
        </w:rPr>
        <w:t>Explanation of calculation</w:t>
      </w:r>
      <w:r w:rsidRPr="00B91FFE">
        <w:rPr>
          <w:bCs/>
          <w:szCs w:val="22"/>
        </w:rPr>
        <w:t>:</w:t>
      </w:r>
    </w:p>
    <w:p w:rsidR="00C40670" w:rsidRPr="00B91FFE" w:rsidP="00C40670" w14:paraId="6E7EEFAF" w14:textId="0ECFC07D">
      <w:pPr>
        <w:pStyle w:val="Numberedparagraphs"/>
        <w:widowControl/>
        <w:numPr>
          <w:ilvl w:val="0"/>
          <w:numId w:val="0"/>
        </w:numPr>
        <w:tabs>
          <w:tab w:val="left" w:pos="720"/>
          <w:tab w:val="clear" w:pos="1440"/>
        </w:tabs>
        <w:ind w:left="1440"/>
        <w:rPr>
          <w:bCs/>
          <w:szCs w:val="22"/>
        </w:rPr>
      </w:pPr>
      <w:r w:rsidRPr="00B91FFE">
        <w:rPr>
          <w:bCs/>
          <w:szCs w:val="22"/>
        </w:rPr>
        <w:t xml:space="preserve">The Commission estimates that approximately </w:t>
      </w:r>
      <w:r>
        <w:rPr>
          <w:bCs/>
          <w:szCs w:val="22"/>
        </w:rPr>
        <w:t>3</w:t>
      </w:r>
      <w:r w:rsidR="00B41779">
        <w:rPr>
          <w:bCs/>
          <w:szCs w:val="22"/>
        </w:rPr>
        <w:t>5</w:t>
      </w:r>
      <w:r w:rsidRPr="00B91FFE">
        <w:rPr>
          <w:bCs/>
          <w:szCs w:val="22"/>
        </w:rPr>
        <w:t xml:space="preserve"> providers will be subject to this reporting requirement.</w:t>
      </w:r>
    </w:p>
    <w:p w:rsidR="00C40670" w:rsidP="00C40670" w14:paraId="16BDEC7C" w14:textId="0F52AD46">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w:t>
      </w:r>
      <w:r w:rsidR="00115971">
        <w:rPr>
          <w:bCs/>
          <w:szCs w:val="22"/>
        </w:rPr>
        <w:t>5.48</w:t>
      </w:r>
      <w:r w:rsidRPr="004C711A">
        <w:rPr>
          <w:bCs/>
          <w:szCs w:val="22"/>
        </w:rPr>
        <w:t xml:space="preserve"> per hou</w:t>
      </w:r>
      <w:r>
        <w:rPr>
          <w:bCs/>
          <w:szCs w:val="22"/>
        </w:rPr>
        <w:t>r.</w:t>
      </w:r>
    </w:p>
    <w:p w:rsidR="00C40670" w:rsidP="00C40670" w14:paraId="0F2617B5" w14:textId="0AA660B4">
      <w:pPr>
        <w:keepLines/>
        <w:tabs>
          <w:tab w:val="left" w:pos="-720"/>
        </w:tabs>
        <w:suppressAutoHyphens/>
        <w:rPr>
          <w:bCs/>
          <w:szCs w:val="22"/>
        </w:rPr>
      </w:pPr>
      <w:r>
        <w:rPr>
          <w:bCs/>
          <w:szCs w:val="22"/>
        </w:rPr>
        <w:tab/>
      </w:r>
      <w:r>
        <w:rPr>
          <w:bCs/>
          <w:szCs w:val="22"/>
        </w:rPr>
        <w:tab/>
      </w:r>
      <w:r w:rsidRPr="00B91FFE">
        <w:rPr>
          <w:bCs/>
          <w:szCs w:val="22"/>
        </w:rPr>
        <w:t>Thus,</w:t>
      </w:r>
      <w:r w:rsidR="00B41779">
        <w:rPr>
          <w:bCs/>
          <w:szCs w:val="22"/>
        </w:rPr>
        <w:t xml:space="preserve"> 4,200</w:t>
      </w:r>
      <w:r>
        <w:rPr>
          <w:bCs/>
          <w:szCs w:val="22"/>
        </w:rPr>
        <w:t xml:space="preserve"> </w:t>
      </w:r>
      <w:r w:rsidRPr="00B91FFE">
        <w:rPr>
          <w:bCs/>
          <w:szCs w:val="22"/>
        </w:rPr>
        <w:t>hours x $</w:t>
      </w:r>
      <w:r>
        <w:rPr>
          <w:bCs/>
          <w:szCs w:val="22"/>
        </w:rPr>
        <w:t>6</w:t>
      </w:r>
      <w:r w:rsidR="00115971">
        <w:rPr>
          <w:bCs/>
          <w:szCs w:val="22"/>
        </w:rPr>
        <w:t>5.48</w:t>
      </w:r>
      <w:r>
        <w:rPr>
          <w:bCs/>
          <w:szCs w:val="22"/>
        </w:rPr>
        <w:t xml:space="preserve"> per hour</w:t>
      </w:r>
      <w:r w:rsidRPr="00B91FFE">
        <w:rPr>
          <w:bCs/>
          <w:szCs w:val="22"/>
        </w:rPr>
        <w:t xml:space="preserve"> = </w:t>
      </w:r>
      <w:r>
        <w:rPr>
          <w:bCs/>
          <w:szCs w:val="22"/>
        </w:rPr>
        <w:t>$</w:t>
      </w:r>
      <w:r w:rsidR="0058517E">
        <w:rPr>
          <w:bCs/>
          <w:szCs w:val="22"/>
        </w:rPr>
        <w:t>2</w:t>
      </w:r>
      <w:r w:rsidR="00115971">
        <w:rPr>
          <w:bCs/>
          <w:szCs w:val="22"/>
        </w:rPr>
        <w:t>75,016</w:t>
      </w:r>
      <w:r w:rsidR="0058517E">
        <w:rPr>
          <w:bCs/>
          <w:szCs w:val="22"/>
        </w:rPr>
        <w:t>.</w:t>
      </w:r>
    </w:p>
    <w:p w:rsidR="00C40670" w:rsidP="00C40670" w14:paraId="4368393F" w14:textId="77777777">
      <w:pPr>
        <w:keepLines/>
        <w:tabs>
          <w:tab w:val="left" w:pos="-720"/>
        </w:tabs>
        <w:suppressAutoHyphens/>
        <w:rPr>
          <w:bCs/>
          <w:szCs w:val="22"/>
        </w:rPr>
      </w:pPr>
    </w:p>
    <w:p w:rsidR="00C40670" w:rsidRPr="00A07DEC" w:rsidP="00C40670" w14:paraId="1068EC19" w14:textId="3AB59D7C">
      <w:pPr>
        <w:keepLines/>
        <w:tabs>
          <w:tab w:val="left" w:pos="-720"/>
        </w:tabs>
        <w:suppressAutoHyphens/>
        <w:rPr>
          <w:b/>
          <w:spacing w:val="-3"/>
          <w:szCs w:val="22"/>
        </w:rPr>
      </w:pPr>
      <w:r>
        <w:rPr>
          <w:b/>
          <w:spacing w:val="-3"/>
          <w:szCs w:val="22"/>
        </w:rPr>
        <w:t>H.</w:t>
      </w:r>
      <w:r w:rsidRPr="00A07DEC">
        <w:rPr>
          <w:b/>
          <w:spacing w:val="-3"/>
          <w:szCs w:val="22"/>
        </w:rPr>
        <w:tab/>
      </w:r>
      <w:r w:rsidRPr="00A07DEC">
        <w:rPr>
          <w:b/>
          <w:spacing w:val="-3"/>
          <w:szCs w:val="22"/>
          <w:u w:val="single"/>
        </w:rPr>
        <w:t>Certification of Information and Data in the Annual Reports</w:t>
      </w:r>
      <w:r w:rsidR="006A4D6E">
        <w:rPr>
          <w:b/>
          <w:spacing w:val="-3"/>
          <w:szCs w:val="22"/>
          <w:u w:val="single"/>
        </w:rPr>
        <w:t>:</w:t>
      </w:r>
      <w:r>
        <w:rPr>
          <w:rStyle w:val="FootnoteReference"/>
          <w:bCs/>
          <w:spacing w:val="-3"/>
          <w:szCs w:val="22"/>
        </w:rPr>
        <w:footnoteReference w:id="118"/>
      </w:r>
    </w:p>
    <w:p w:rsidR="00C40670" w:rsidRPr="004460F4" w:rsidP="00C40670" w14:paraId="24363621" w14:textId="77777777">
      <w:pPr>
        <w:keepLines/>
        <w:tabs>
          <w:tab w:val="left" w:pos="-720"/>
        </w:tabs>
        <w:suppressAutoHyphens/>
        <w:rPr>
          <w:spacing w:val="-3"/>
          <w:szCs w:val="22"/>
        </w:rPr>
      </w:pPr>
    </w:p>
    <w:p w:rsidR="00C40670" w:rsidRPr="00F46FB3" w:rsidP="00C40670" w14:paraId="4EC7488F" w14:textId="45E07611">
      <w:pPr>
        <w:pStyle w:val="ListParagraph"/>
        <w:keepLines/>
        <w:numPr>
          <w:ilvl w:val="0"/>
          <w:numId w:val="16"/>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Pr>
          <w:spacing w:val="-3"/>
          <w:szCs w:val="22"/>
        </w:rPr>
        <w:t>3</w:t>
      </w:r>
      <w:r w:rsidR="001E4B75">
        <w:rPr>
          <w:spacing w:val="-3"/>
          <w:szCs w:val="22"/>
        </w:rPr>
        <w:t>5</w:t>
      </w:r>
      <w:r w:rsidRPr="00F46FB3">
        <w:rPr>
          <w:spacing w:val="-3"/>
          <w:szCs w:val="22"/>
        </w:rPr>
        <w:t>.</w:t>
      </w:r>
    </w:p>
    <w:p w:rsidR="00C40670" w:rsidRPr="004460F4" w:rsidP="00C40670" w14:paraId="4E37751C" w14:textId="77777777">
      <w:pPr>
        <w:keepLines/>
        <w:tabs>
          <w:tab w:val="left" w:pos="-720"/>
        </w:tabs>
        <w:suppressAutoHyphens/>
        <w:rPr>
          <w:spacing w:val="-3"/>
          <w:szCs w:val="22"/>
        </w:rPr>
      </w:pPr>
    </w:p>
    <w:p w:rsidR="00C40670" w:rsidRPr="004460F4" w:rsidP="00C40670" w14:paraId="409480DF"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C40670" w:rsidRPr="004460F4" w:rsidP="00C40670" w14:paraId="1C20D2B7" w14:textId="77777777">
      <w:pPr>
        <w:tabs>
          <w:tab w:val="left" w:pos="-720"/>
        </w:tabs>
        <w:suppressAutoHyphens/>
        <w:rPr>
          <w:spacing w:val="-3"/>
          <w:szCs w:val="22"/>
        </w:rPr>
      </w:pPr>
    </w:p>
    <w:p w:rsidR="00C40670" w:rsidRPr="004460F4" w:rsidP="00C40670" w14:paraId="324078F1" w14:textId="3D88C648">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w:t>
      </w:r>
      <w:r w:rsidR="001E4B75">
        <w:rPr>
          <w:spacing w:val="-3"/>
          <w:szCs w:val="22"/>
        </w:rPr>
        <w:t>5</w:t>
      </w:r>
      <w:r w:rsidRPr="004460F4">
        <w:rPr>
          <w:spacing w:val="-3"/>
          <w:szCs w:val="22"/>
        </w:rPr>
        <w:t>.</w:t>
      </w:r>
    </w:p>
    <w:p w:rsidR="00C40670" w:rsidRPr="004460F4" w:rsidP="00C40670" w14:paraId="6E6C93CF" w14:textId="77777777">
      <w:pPr>
        <w:tabs>
          <w:tab w:val="left" w:pos="-720"/>
        </w:tabs>
        <w:suppressAutoHyphens/>
        <w:rPr>
          <w:spacing w:val="-3"/>
          <w:szCs w:val="22"/>
        </w:rPr>
      </w:pPr>
    </w:p>
    <w:p w:rsidR="00C40670" w:rsidRPr="004460F4" w:rsidP="00C40670" w14:paraId="566F595E" w14:textId="7777777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Pr>
          <w:spacing w:val="-3"/>
          <w:szCs w:val="22"/>
        </w:rPr>
        <w:t xml:space="preserve">Approximately 5 </w:t>
      </w:r>
      <w:r w:rsidRPr="004460F4">
        <w:rPr>
          <w:spacing w:val="-3"/>
          <w:szCs w:val="22"/>
        </w:rPr>
        <w:t>hours.</w:t>
      </w:r>
    </w:p>
    <w:p w:rsidR="00C40670" w:rsidRPr="004460F4" w:rsidP="00C40670" w14:paraId="08C45E04" w14:textId="77777777">
      <w:pPr>
        <w:tabs>
          <w:tab w:val="left" w:pos="-720"/>
        </w:tabs>
        <w:suppressAutoHyphens/>
        <w:rPr>
          <w:spacing w:val="-3"/>
          <w:szCs w:val="22"/>
        </w:rPr>
      </w:pPr>
    </w:p>
    <w:p w:rsidR="00C40670" w:rsidRPr="004460F4" w:rsidP="00C40670" w14:paraId="70578462" w14:textId="7A303EC7">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1E4B75">
        <w:rPr>
          <w:spacing w:val="-3"/>
          <w:szCs w:val="22"/>
        </w:rPr>
        <w:t>5</w:t>
      </w:r>
      <w:r w:rsidRPr="004460F4">
        <w:rPr>
          <w:spacing w:val="-3"/>
          <w:szCs w:val="22"/>
        </w:rPr>
        <w:t xml:space="preserve"> </w:t>
      </w:r>
      <w:r>
        <w:rPr>
          <w:spacing w:val="-3"/>
          <w:szCs w:val="22"/>
        </w:rPr>
        <w:t xml:space="preserve">respondents </w:t>
      </w:r>
      <w:r w:rsidRPr="004460F4">
        <w:rPr>
          <w:spacing w:val="-3"/>
          <w:szCs w:val="22"/>
        </w:rPr>
        <w:t xml:space="preserve">x 5 hours per response x 1 response per year per respondent = </w:t>
      </w:r>
      <w:r w:rsidR="00A440C4">
        <w:rPr>
          <w:spacing w:val="-3"/>
          <w:szCs w:val="22"/>
        </w:rPr>
        <w:t xml:space="preserve">175 </w:t>
      </w:r>
      <w:r>
        <w:rPr>
          <w:spacing w:val="-3"/>
          <w:szCs w:val="22"/>
        </w:rPr>
        <w:t>hours.</w:t>
      </w:r>
    </w:p>
    <w:p w:rsidR="00C40670" w:rsidRPr="004460F4" w:rsidP="00C40670" w14:paraId="687EA7FF" w14:textId="77777777">
      <w:pPr>
        <w:tabs>
          <w:tab w:val="left" w:pos="-720"/>
        </w:tabs>
        <w:suppressAutoHyphens/>
        <w:rPr>
          <w:spacing w:val="-3"/>
          <w:szCs w:val="22"/>
        </w:rPr>
      </w:pPr>
    </w:p>
    <w:p w:rsidR="00C40670" w:rsidRPr="004460F4" w:rsidP="00C40670" w14:paraId="5DFFE057" w14:textId="04721271">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1</w:t>
      </w:r>
      <w:r w:rsidR="006F6BA8">
        <w:rPr>
          <w:b/>
          <w:spacing w:val="-3"/>
          <w:szCs w:val="22"/>
        </w:rPr>
        <w:t>75</w:t>
      </w:r>
      <w:r>
        <w:rPr>
          <w:b/>
          <w:spacing w:val="-3"/>
          <w:szCs w:val="22"/>
        </w:rPr>
        <w:t xml:space="preserve"> </w:t>
      </w:r>
      <w:r w:rsidRPr="004460F4">
        <w:rPr>
          <w:b/>
          <w:spacing w:val="-3"/>
          <w:szCs w:val="22"/>
        </w:rPr>
        <w:t>hours</w:t>
      </w:r>
      <w:r w:rsidRPr="004460F4">
        <w:rPr>
          <w:spacing w:val="-3"/>
          <w:szCs w:val="22"/>
        </w:rPr>
        <w:t>.</w:t>
      </w:r>
    </w:p>
    <w:p w:rsidR="00C40670" w:rsidRPr="004460F4" w:rsidP="00C40670" w14:paraId="3C4E495D" w14:textId="77777777">
      <w:pPr>
        <w:tabs>
          <w:tab w:val="left" w:pos="-720"/>
        </w:tabs>
        <w:suppressAutoHyphens/>
        <w:rPr>
          <w:spacing w:val="-3"/>
          <w:szCs w:val="22"/>
        </w:rPr>
      </w:pPr>
    </w:p>
    <w:p w:rsidR="00C40670" w:rsidRPr="004460F4" w:rsidP="00C40670" w14:paraId="226153DF" w14:textId="1154B7B3">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w:t>
      </w:r>
      <w:r w:rsidR="00A440C4">
        <w:rPr>
          <w:spacing w:val="-3"/>
          <w:szCs w:val="22"/>
        </w:rPr>
        <w:t>5</w:t>
      </w:r>
      <w:r w:rsidRPr="004460F4">
        <w:rPr>
          <w:spacing w:val="-3"/>
          <w:szCs w:val="22"/>
        </w:rPr>
        <w:t xml:space="preserve"> ICS providers will require </w:t>
      </w:r>
      <w:r>
        <w:rPr>
          <w:spacing w:val="-3"/>
          <w:szCs w:val="22"/>
        </w:rPr>
        <w:t>approximately 5</w:t>
      </w:r>
      <w:r w:rsidRPr="004460F4">
        <w:rPr>
          <w:spacing w:val="-3"/>
          <w:szCs w:val="22"/>
        </w:rPr>
        <w:t xml:space="preserve"> hours of time per annual filing.  </w:t>
      </w:r>
    </w:p>
    <w:p w:rsidR="00C40670" w:rsidRPr="004460F4" w:rsidP="00C40670" w14:paraId="0ADB58BF" w14:textId="77777777">
      <w:pPr>
        <w:tabs>
          <w:tab w:val="left" w:pos="-720"/>
        </w:tabs>
        <w:suppressAutoHyphens/>
        <w:ind w:left="1440"/>
        <w:rPr>
          <w:spacing w:val="-3"/>
          <w:szCs w:val="22"/>
        </w:rPr>
      </w:pPr>
    </w:p>
    <w:p w:rsidR="00C40670" w:rsidRPr="004460F4" w:rsidP="00C40670" w14:paraId="1BE85CD9" w14:textId="0BA3EFE9">
      <w:pPr>
        <w:tabs>
          <w:tab w:val="left" w:pos="-720"/>
        </w:tabs>
        <w:suppressAutoHyphens/>
        <w:ind w:left="1440"/>
        <w:rPr>
          <w:spacing w:val="-3"/>
          <w:szCs w:val="22"/>
        </w:rPr>
      </w:pPr>
      <w:r w:rsidRPr="004460F4">
        <w:rPr>
          <w:spacing w:val="-3"/>
          <w:szCs w:val="22"/>
        </w:rPr>
        <w:t xml:space="preserve">Approximately </w:t>
      </w:r>
      <w:r>
        <w:rPr>
          <w:spacing w:val="-3"/>
          <w:szCs w:val="22"/>
        </w:rPr>
        <w:t>3</w:t>
      </w:r>
      <w:r w:rsidR="00A440C4">
        <w:rPr>
          <w:spacing w:val="-3"/>
          <w:szCs w:val="22"/>
        </w:rPr>
        <w:t>5</w:t>
      </w:r>
      <w:r w:rsidRPr="004460F4">
        <w:rPr>
          <w:spacing w:val="-3"/>
          <w:szCs w:val="22"/>
        </w:rPr>
        <w:t xml:space="preserve"> respondents annually x 1 response annually x </w:t>
      </w:r>
      <w:r>
        <w:rPr>
          <w:spacing w:val="-3"/>
          <w:szCs w:val="22"/>
        </w:rPr>
        <w:t>5</w:t>
      </w:r>
      <w:r w:rsidRPr="004460F4">
        <w:rPr>
          <w:spacing w:val="-3"/>
          <w:szCs w:val="22"/>
        </w:rPr>
        <w:t xml:space="preserve"> hours per response = </w:t>
      </w:r>
      <w:r>
        <w:rPr>
          <w:spacing w:val="-3"/>
          <w:szCs w:val="22"/>
        </w:rPr>
        <w:t>1</w:t>
      </w:r>
      <w:r w:rsidR="00A440C4">
        <w:rPr>
          <w:spacing w:val="-3"/>
          <w:szCs w:val="22"/>
        </w:rPr>
        <w:t xml:space="preserve">75 </w:t>
      </w:r>
      <w:r w:rsidRPr="004460F4">
        <w:rPr>
          <w:spacing w:val="-3"/>
          <w:szCs w:val="22"/>
        </w:rPr>
        <w:t>hours.</w:t>
      </w:r>
    </w:p>
    <w:p w:rsidR="00C40670" w:rsidRPr="004460F4" w:rsidP="00C40670" w14:paraId="3C3EB2EB" w14:textId="77777777">
      <w:pPr>
        <w:tabs>
          <w:tab w:val="left" w:pos="-720"/>
        </w:tabs>
        <w:suppressAutoHyphens/>
        <w:rPr>
          <w:spacing w:val="-3"/>
          <w:szCs w:val="22"/>
        </w:rPr>
      </w:pPr>
    </w:p>
    <w:p w:rsidR="00C40670" w:rsidP="00C40670" w14:paraId="4C62C327" w14:textId="5B5CF9A8">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915F36">
        <w:rPr>
          <w:spacing w:val="-3"/>
          <w:szCs w:val="22"/>
        </w:rPr>
        <w:t>:</w:t>
      </w:r>
      <w:r w:rsidRPr="00CC3072">
        <w:rPr>
          <w:b/>
          <w:bCs/>
          <w:spacing w:val="-3"/>
          <w:szCs w:val="22"/>
        </w:rPr>
        <w:t xml:space="preserve">  </w:t>
      </w:r>
      <w:bookmarkStart w:id="19" w:name="_Hlk79444475"/>
      <w:r w:rsidRPr="00CC3072">
        <w:rPr>
          <w:b/>
          <w:bCs/>
          <w:szCs w:val="22"/>
        </w:rPr>
        <w:t>$</w:t>
      </w:r>
      <w:bookmarkEnd w:id="19"/>
      <w:r w:rsidR="006F6BA8">
        <w:rPr>
          <w:b/>
          <w:bCs/>
          <w:szCs w:val="22"/>
        </w:rPr>
        <w:t>21,875.</w:t>
      </w:r>
    </w:p>
    <w:p w:rsidR="00C40670" w:rsidRPr="004460F4" w:rsidP="00C40670" w14:paraId="03E58A96" w14:textId="77777777">
      <w:pPr>
        <w:tabs>
          <w:tab w:val="left" w:pos="-720"/>
        </w:tabs>
        <w:suppressAutoHyphens/>
        <w:rPr>
          <w:spacing w:val="-3"/>
          <w:szCs w:val="22"/>
        </w:rPr>
      </w:pPr>
    </w:p>
    <w:p w:rsidR="00C40670" w:rsidRPr="004460F4" w:rsidP="00C40670" w14:paraId="180240AF"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C40670" w:rsidRPr="004460F4" w:rsidP="00C40670" w14:paraId="29784926" w14:textId="77777777">
      <w:pPr>
        <w:tabs>
          <w:tab w:val="left" w:pos="-720"/>
        </w:tabs>
        <w:suppressAutoHyphens/>
        <w:rPr>
          <w:szCs w:val="22"/>
        </w:rPr>
      </w:pPr>
    </w:p>
    <w:p w:rsidR="00C40670" w:rsidRPr="004460F4" w:rsidP="0079009C" w14:paraId="069B0CE7" w14:textId="0B130F0A">
      <w:pPr>
        <w:widowControl/>
        <w:tabs>
          <w:tab w:val="left" w:pos="-720"/>
        </w:tabs>
        <w:suppressAutoHyphens/>
        <w:ind w:left="1440"/>
        <w:rPr>
          <w:szCs w:val="22"/>
        </w:rPr>
      </w:pPr>
      <w:r w:rsidRPr="004460F4">
        <w:rPr>
          <w:szCs w:val="22"/>
        </w:rPr>
        <w:t xml:space="preserve">The Commission estimates that </w:t>
      </w:r>
      <w:r>
        <w:rPr>
          <w:szCs w:val="22"/>
        </w:rPr>
        <w:t>3</w:t>
      </w:r>
      <w:r w:rsidR="00E2757C">
        <w:rPr>
          <w:szCs w:val="22"/>
        </w:rPr>
        <w:t xml:space="preserve">5 </w:t>
      </w:r>
      <w:r w:rsidRPr="004460F4">
        <w:rPr>
          <w:szCs w:val="22"/>
        </w:rPr>
        <w:t>ICS providers will be subject to this certification requirement.</w:t>
      </w:r>
    </w:p>
    <w:p w:rsidR="00C40670" w:rsidRPr="004460F4" w:rsidP="00C40670" w14:paraId="054AA215" w14:textId="77777777">
      <w:pPr>
        <w:tabs>
          <w:tab w:val="left" w:pos="-720"/>
        </w:tabs>
        <w:suppressAutoHyphens/>
        <w:rPr>
          <w:szCs w:val="22"/>
        </w:rPr>
      </w:pPr>
    </w:p>
    <w:p w:rsidR="00C40670" w:rsidP="00C40670" w14:paraId="1B38C0E5" w14:textId="77777777">
      <w:pPr>
        <w:tabs>
          <w:tab w:val="left" w:pos="-720"/>
        </w:tabs>
        <w:suppressAutoHyphens/>
        <w:ind w:left="1440"/>
        <w:rPr>
          <w:szCs w:val="22"/>
        </w:rPr>
      </w:pPr>
      <w:r w:rsidRPr="004460F4">
        <w:rPr>
          <w:szCs w:val="22"/>
        </w:rPr>
        <w:t xml:space="preserve">We </w:t>
      </w:r>
      <w:r>
        <w:rPr>
          <w:szCs w:val="22"/>
        </w:rPr>
        <w:t>estimate</w:t>
      </w:r>
      <w:r w:rsidRPr="004460F4">
        <w:rPr>
          <w:szCs w:val="22"/>
        </w:rPr>
        <w:t xml:space="preserve"> that respondents will use 5 hours of an officer </w:t>
      </w:r>
      <w:r>
        <w:rPr>
          <w:szCs w:val="22"/>
        </w:rPr>
        <w:t>of the company’s time (</w:t>
      </w:r>
      <w:r w:rsidRPr="004460F4">
        <w:rPr>
          <w:szCs w:val="22"/>
        </w:rPr>
        <w:t xml:space="preserve">rate of </w:t>
      </w:r>
      <w:r>
        <w:rPr>
          <w:szCs w:val="22"/>
        </w:rPr>
        <w:t xml:space="preserve">approximately </w:t>
      </w:r>
      <w:r w:rsidRPr="004460F4">
        <w:rPr>
          <w:szCs w:val="22"/>
        </w:rPr>
        <w:t xml:space="preserve">$125/hour) to satisfy this certification requirement.  </w:t>
      </w:r>
    </w:p>
    <w:p w:rsidR="00C40670" w:rsidP="00C40670" w14:paraId="6B4CCCAF" w14:textId="77777777">
      <w:pPr>
        <w:tabs>
          <w:tab w:val="left" w:pos="-720"/>
        </w:tabs>
        <w:suppressAutoHyphens/>
        <w:ind w:left="1440"/>
        <w:rPr>
          <w:szCs w:val="22"/>
        </w:rPr>
      </w:pPr>
    </w:p>
    <w:p w:rsidR="00C40670" w:rsidP="00C40670" w14:paraId="7C5537F4" w14:textId="447A15B4">
      <w:pPr>
        <w:tabs>
          <w:tab w:val="left" w:pos="-720"/>
        </w:tabs>
        <w:suppressAutoHyphens/>
        <w:ind w:left="1440"/>
        <w:rPr>
          <w:szCs w:val="22"/>
        </w:rPr>
      </w:pPr>
      <w:r>
        <w:rPr>
          <w:szCs w:val="22"/>
        </w:rPr>
        <w:t xml:space="preserve">Thus, approximately </w:t>
      </w:r>
      <w:r w:rsidR="00A440C4">
        <w:rPr>
          <w:szCs w:val="22"/>
        </w:rPr>
        <w:t>175</w:t>
      </w:r>
      <w:r>
        <w:rPr>
          <w:szCs w:val="22"/>
        </w:rPr>
        <w:t xml:space="preserve"> hours per year x $125 = $</w:t>
      </w:r>
      <w:r w:rsidR="006F6BA8">
        <w:rPr>
          <w:szCs w:val="22"/>
        </w:rPr>
        <w:t>21,875.</w:t>
      </w:r>
    </w:p>
    <w:p w:rsidR="00DF56CC" w:rsidP="00C40670" w14:paraId="33B4DBD7" w14:textId="77777777">
      <w:pPr>
        <w:tabs>
          <w:tab w:val="left" w:pos="-720"/>
        </w:tabs>
        <w:suppressAutoHyphens/>
        <w:ind w:left="1440"/>
        <w:rPr>
          <w:szCs w:val="22"/>
        </w:rPr>
      </w:pPr>
    </w:p>
    <w:p w:rsidR="00E960E8" w:rsidRPr="006E6E53" w:rsidP="00E960E8" w14:paraId="184F61EB" w14:textId="719E5688">
      <w:pPr>
        <w:widowControl/>
        <w:tabs>
          <w:tab w:val="left" w:pos="-720"/>
        </w:tabs>
        <w:suppressAutoHyphens/>
        <w:rPr>
          <w:szCs w:val="22"/>
        </w:rPr>
      </w:pPr>
      <w:r w:rsidRPr="004460F4">
        <w:rPr>
          <w:b/>
          <w:spacing w:val="-3"/>
          <w:szCs w:val="22"/>
          <w:u w:val="single"/>
        </w:rPr>
        <w:t>Total Annual Burden Hours</w:t>
      </w:r>
      <w:r w:rsidR="00527F6B">
        <w:rPr>
          <w:b/>
          <w:spacing w:val="-3"/>
          <w:szCs w:val="22"/>
          <w:u w:val="single"/>
        </w:rPr>
        <w:t>:</w:t>
      </w:r>
      <w:r>
        <w:rPr>
          <w:rStyle w:val="FootnoteReference"/>
          <w:bCs/>
          <w:spacing w:val="-3"/>
          <w:szCs w:val="22"/>
        </w:rPr>
        <w:footnoteReference w:id="119"/>
      </w:r>
    </w:p>
    <w:p w:rsidR="00E960E8" w:rsidRPr="004460F4" w:rsidP="00E960E8" w14:paraId="386C223A" w14:textId="77777777">
      <w:pPr>
        <w:tabs>
          <w:tab w:val="left" w:pos="-720"/>
        </w:tabs>
        <w:suppressAutoHyphens/>
        <w:rPr>
          <w:b/>
          <w:spacing w:val="-3"/>
          <w:szCs w:val="22"/>
        </w:rPr>
      </w:pPr>
    </w:p>
    <w:p w:rsidR="00683BF2" w:rsidP="00085B34" w14:paraId="38114C0B" w14:textId="449DFC85">
      <w:pPr>
        <w:pStyle w:val="ListParagraph"/>
        <w:numPr>
          <w:ilvl w:val="0"/>
          <w:numId w:val="5"/>
        </w:numPr>
        <w:tabs>
          <w:tab w:val="left" w:pos="-720"/>
        </w:tabs>
        <w:suppressAutoHyphens/>
        <w:ind w:left="720"/>
        <w:rPr>
          <w:spacing w:val="-3"/>
          <w:szCs w:val="22"/>
        </w:rPr>
      </w:pPr>
      <w:r>
        <w:rPr>
          <w:spacing w:val="-3"/>
          <w:szCs w:val="22"/>
        </w:rPr>
        <w:t xml:space="preserve">Section 64.6040(f) </w:t>
      </w:r>
      <w:r w:rsidR="00404394">
        <w:rPr>
          <w:spacing w:val="-3"/>
          <w:szCs w:val="22"/>
        </w:rPr>
        <w:t xml:space="preserve">Reporting </w:t>
      </w:r>
      <w:r>
        <w:rPr>
          <w:spacing w:val="-3"/>
          <w:szCs w:val="22"/>
        </w:rPr>
        <w:t>Requirements</w:t>
      </w:r>
      <w:r w:rsidR="00DF56CC">
        <w:rPr>
          <w:spacing w:val="-3"/>
          <w:szCs w:val="22"/>
        </w:rPr>
        <w:t>:</w:t>
      </w:r>
      <w:r w:rsidR="001C4816">
        <w:rPr>
          <w:spacing w:val="-3"/>
          <w:szCs w:val="22"/>
        </w:rPr>
        <w:t xml:space="preserve"> </w:t>
      </w:r>
      <w:r w:rsidR="005F5DA7">
        <w:rPr>
          <w:spacing w:val="-3"/>
          <w:szCs w:val="22"/>
        </w:rPr>
        <w:tab/>
      </w:r>
      <w:r w:rsidR="005F5DA7">
        <w:rPr>
          <w:spacing w:val="-3"/>
          <w:szCs w:val="22"/>
        </w:rPr>
        <w:tab/>
      </w:r>
      <w:r w:rsidR="005F5DA7">
        <w:rPr>
          <w:spacing w:val="-3"/>
          <w:szCs w:val="22"/>
        </w:rPr>
        <w:tab/>
      </w:r>
      <w:r w:rsidR="005F5DA7">
        <w:rPr>
          <w:spacing w:val="-3"/>
          <w:szCs w:val="22"/>
        </w:rPr>
        <w:tab/>
      </w:r>
      <w:r w:rsidR="005F5DA7">
        <w:rPr>
          <w:spacing w:val="-3"/>
          <w:szCs w:val="22"/>
        </w:rPr>
        <w:tab/>
      </w:r>
      <w:r w:rsidR="007C6CA6">
        <w:rPr>
          <w:spacing w:val="-3"/>
          <w:szCs w:val="22"/>
        </w:rPr>
        <w:t>1,400</w:t>
      </w:r>
      <w:r w:rsidR="00115971">
        <w:rPr>
          <w:spacing w:val="-3"/>
          <w:szCs w:val="22"/>
        </w:rPr>
        <w:t xml:space="preserve"> </w:t>
      </w:r>
      <w:r w:rsidR="00787D44">
        <w:rPr>
          <w:spacing w:val="-3"/>
          <w:szCs w:val="22"/>
        </w:rPr>
        <w:t>hours</w:t>
      </w:r>
      <w:r w:rsidR="00D62813">
        <w:rPr>
          <w:spacing w:val="-3"/>
          <w:szCs w:val="22"/>
        </w:rPr>
        <w:t>.</w:t>
      </w:r>
    </w:p>
    <w:p w:rsidR="00683BF2" w:rsidP="00085B34" w14:paraId="39083DFE" w14:textId="25F9D6D0">
      <w:pPr>
        <w:pStyle w:val="ListParagraph"/>
        <w:numPr>
          <w:ilvl w:val="0"/>
          <w:numId w:val="5"/>
        </w:numPr>
        <w:tabs>
          <w:tab w:val="left" w:pos="-720"/>
        </w:tabs>
        <w:suppressAutoHyphens/>
        <w:ind w:left="720"/>
        <w:rPr>
          <w:spacing w:val="-3"/>
          <w:szCs w:val="22"/>
        </w:rPr>
      </w:pPr>
      <w:r w:rsidRPr="00683BF2">
        <w:rPr>
          <w:spacing w:val="-3"/>
          <w:szCs w:val="22"/>
        </w:rPr>
        <w:t>Inactive Accounts Reporting Requirements</w:t>
      </w:r>
      <w:r w:rsidR="00DF56CC">
        <w:rPr>
          <w:spacing w:val="-3"/>
          <w:szCs w:val="22"/>
        </w:rPr>
        <w:t>:</w:t>
      </w:r>
      <w:r w:rsidR="005F5DA7">
        <w:rPr>
          <w:spacing w:val="-3"/>
          <w:szCs w:val="22"/>
        </w:rPr>
        <w:tab/>
      </w:r>
      <w:r w:rsidR="005F5DA7">
        <w:rPr>
          <w:spacing w:val="-3"/>
          <w:szCs w:val="22"/>
        </w:rPr>
        <w:tab/>
      </w:r>
      <w:r w:rsidR="005F5DA7">
        <w:rPr>
          <w:spacing w:val="-3"/>
          <w:szCs w:val="22"/>
        </w:rPr>
        <w:tab/>
      </w:r>
      <w:r w:rsidR="005F5DA7">
        <w:rPr>
          <w:spacing w:val="-3"/>
          <w:szCs w:val="22"/>
        </w:rPr>
        <w:tab/>
      </w:r>
      <w:r w:rsidR="005F5DA7">
        <w:rPr>
          <w:spacing w:val="-3"/>
          <w:szCs w:val="22"/>
        </w:rPr>
        <w:tab/>
      </w:r>
      <w:r w:rsidR="00B24306">
        <w:rPr>
          <w:spacing w:val="-3"/>
          <w:szCs w:val="22"/>
        </w:rPr>
        <w:t>3,500 hours</w:t>
      </w:r>
    </w:p>
    <w:p w:rsidR="00683BF2" w:rsidP="00085B34" w14:paraId="759AC572" w14:textId="170E1CD5">
      <w:pPr>
        <w:pStyle w:val="ListParagraph"/>
        <w:numPr>
          <w:ilvl w:val="0"/>
          <w:numId w:val="5"/>
        </w:numPr>
        <w:tabs>
          <w:tab w:val="left" w:pos="-720"/>
        </w:tabs>
        <w:suppressAutoHyphens/>
        <w:ind w:left="720"/>
        <w:rPr>
          <w:spacing w:val="-3"/>
          <w:szCs w:val="22"/>
        </w:rPr>
      </w:pPr>
      <w:r w:rsidRPr="00683BF2">
        <w:rPr>
          <w:spacing w:val="-3"/>
          <w:szCs w:val="22"/>
        </w:rPr>
        <w:t xml:space="preserve">Alternate Pricing Plans Reporting </w:t>
      </w:r>
      <w:r w:rsidR="00404394">
        <w:rPr>
          <w:spacing w:val="-3"/>
          <w:szCs w:val="22"/>
        </w:rPr>
        <w:t xml:space="preserve">and Consumer Disclosure </w:t>
      </w:r>
      <w:r w:rsidRPr="00683BF2">
        <w:rPr>
          <w:spacing w:val="-3"/>
          <w:szCs w:val="22"/>
        </w:rPr>
        <w:t>Requirements</w:t>
      </w:r>
      <w:r w:rsidR="00DF56CC">
        <w:rPr>
          <w:spacing w:val="-3"/>
          <w:szCs w:val="22"/>
        </w:rPr>
        <w:t>:</w:t>
      </w:r>
      <w:r w:rsidR="005F5DA7">
        <w:rPr>
          <w:spacing w:val="-3"/>
          <w:szCs w:val="22"/>
        </w:rPr>
        <w:tab/>
      </w:r>
      <w:r w:rsidR="005F5DA7">
        <w:rPr>
          <w:spacing w:val="-3"/>
          <w:szCs w:val="22"/>
        </w:rPr>
        <w:tab/>
      </w:r>
      <w:r w:rsidR="00B24306">
        <w:rPr>
          <w:spacing w:val="-3"/>
          <w:szCs w:val="22"/>
        </w:rPr>
        <w:t>1,000 hours</w:t>
      </w:r>
      <w:r w:rsidR="00D62813">
        <w:rPr>
          <w:spacing w:val="-3"/>
          <w:szCs w:val="22"/>
        </w:rPr>
        <w:t>.</w:t>
      </w:r>
    </w:p>
    <w:p w:rsidR="00683BF2" w:rsidP="00085B34" w14:paraId="694F348F" w14:textId="5B1D0A07">
      <w:pPr>
        <w:pStyle w:val="ListParagraph"/>
        <w:numPr>
          <w:ilvl w:val="0"/>
          <w:numId w:val="5"/>
        </w:numPr>
        <w:tabs>
          <w:tab w:val="left" w:pos="-720"/>
        </w:tabs>
        <w:suppressAutoHyphens/>
        <w:ind w:left="720"/>
        <w:rPr>
          <w:spacing w:val="-3"/>
          <w:szCs w:val="22"/>
        </w:rPr>
      </w:pPr>
      <w:r w:rsidRPr="00683BF2">
        <w:rPr>
          <w:spacing w:val="-3"/>
          <w:szCs w:val="22"/>
        </w:rPr>
        <w:t>Consumer Disclosure Third-Party Disclosure Requirements</w:t>
      </w:r>
      <w:r w:rsidR="008D61E7">
        <w:rPr>
          <w:spacing w:val="-3"/>
          <w:szCs w:val="22"/>
        </w:rPr>
        <w:t>:</w:t>
      </w:r>
      <w:r w:rsidR="005F5DA7">
        <w:rPr>
          <w:spacing w:val="-3"/>
          <w:szCs w:val="22"/>
        </w:rPr>
        <w:tab/>
      </w:r>
      <w:r w:rsidR="005F5DA7">
        <w:rPr>
          <w:spacing w:val="-3"/>
          <w:szCs w:val="22"/>
        </w:rPr>
        <w:tab/>
      </w:r>
      <w:r w:rsidR="005F5DA7">
        <w:rPr>
          <w:spacing w:val="-3"/>
          <w:szCs w:val="22"/>
        </w:rPr>
        <w:tab/>
      </w:r>
      <w:r w:rsidR="00D62813">
        <w:rPr>
          <w:spacing w:val="-3"/>
          <w:szCs w:val="22"/>
        </w:rPr>
        <w:t>2,800 hours.</w:t>
      </w:r>
    </w:p>
    <w:p w:rsidR="00404394" w:rsidP="00085B34" w14:paraId="66367268" w14:textId="1B50986C">
      <w:pPr>
        <w:pStyle w:val="ListParagraph"/>
        <w:numPr>
          <w:ilvl w:val="0"/>
          <w:numId w:val="5"/>
        </w:numPr>
        <w:tabs>
          <w:tab w:val="left" w:pos="-720"/>
        </w:tabs>
        <w:suppressAutoHyphens/>
        <w:ind w:left="720"/>
        <w:rPr>
          <w:spacing w:val="-3"/>
          <w:szCs w:val="22"/>
        </w:rPr>
      </w:pPr>
      <w:r>
        <w:rPr>
          <w:spacing w:val="-3"/>
          <w:szCs w:val="22"/>
        </w:rPr>
        <w:t>Waiver Process Requirements:</w:t>
      </w:r>
      <w:r w:rsidR="00D86449">
        <w:rPr>
          <w:spacing w:val="-3"/>
          <w:szCs w:val="22"/>
        </w:rPr>
        <w:tab/>
      </w:r>
      <w:r w:rsidR="00D86449">
        <w:rPr>
          <w:spacing w:val="-3"/>
          <w:szCs w:val="22"/>
        </w:rPr>
        <w:tab/>
      </w:r>
      <w:r w:rsidR="00D86449">
        <w:rPr>
          <w:spacing w:val="-3"/>
          <w:szCs w:val="22"/>
        </w:rPr>
        <w:tab/>
      </w:r>
      <w:r w:rsidR="00D86449">
        <w:rPr>
          <w:spacing w:val="-3"/>
          <w:szCs w:val="22"/>
        </w:rPr>
        <w:tab/>
      </w:r>
      <w:r w:rsidR="00D86449">
        <w:rPr>
          <w:spacing w:val="-3"/>
          <w:szCs w:val="22"/>
        </w:rPr>
        <w:tab/>
      </w:r>
      <w:r w:rsidR="00D86449">
        <w:rPr>
          <w:spacing w:val="-3"/>
          <w:szCs w:val="22"/>
        </w:rPr>
        <w:tab/>
      </w:r>
      <w:r w:rsidR="00D86449">
        <w:rPr>
          <w:spacing w:val="-3"/>
          <w:szCs w:val="22"/>
        </w:rPr>
        <w:tab/>
      </w:r>
      <w:r w:rsidR="00F84ECC">
        <w:rPr>
          <w:spacing w:val="-3"/>
          <w:szCs w:val="22"/>
        </w:rPr>
        <w:t xml:space="preserve">   </w:t>
      </w:r>
      <w:r w:rsidR="00E807D1">
        <w:rPr>
          <w:spacing w:val="-3"/>
          <w:szCs w:val="22"/>
        </w:rPr>
        <w:t>700</w:t>
      </w:r>
      <w:r w:rsidR="00F84ECC">
        <w:rPr>
          <w:spacing w:val="-3"/>
          <w:szCs w:val="22"/>
        </w:rPr>
        <w:t xml:space="preserve"> </w:t>
      </w:r>
      <w:r w:rsidR="00D62813">
        <w:rPr>
          <w:spacing w:val="-3"/>
          <w:szCs w:val="22"/>
        </w:rPr>
        <w:t>hours.</w:t>
      </w:r>
    </w:p>
    <w:p w:rsidR="003F3DA6" w:rsidP="00085B34" w14:paraId="11C13DA4" w14:textId="3B4A6FBA">
      <w:pPr>
        <w:pStyle w:val="ListParagraph"/>
        <w:numPr>
          <w:ilvl w:val="0"/>
          <w:numId w:val="5"/>
        </w:numPr>
        <w:tabs>
          <w:tab w:val="left" w:pos="-720"/>
        </w:tabs>
        <w:suppressAutoHyphens/>
        <w:ind w:left="720"/>
        <w:rPr>
          <w:spacing w:val="-3"/>
          <w:szCs w:val="22"/>
        </w:rPr>
      </w:pPr>
      <w:r>
        <w:rPr>
          <w:spacing w:val="-3"/>
          <w:szCs w:val="22"/>
        </w:rPr>
        <w:t>Section 64.6040(c) Reporting Requirements:</w:t>
      </w:r>
      <w:r w:rsidR="00D86449">
        <w:rPr>
          <w:spacing w:val="-3"/>
          <w:szCs w:val="22"/>
        </w:rPr>
        <w:tab/>
      </w:r>
      <w:r w:rsidR="00D86449">
        <w:rPr>
          <w:spacing w:val="-3"/>
          <w:szCs w:val="22"/>
        </w:rPr>
        <w:tab/>
      </w:r>
      <w:r w:rsidR="00D86449">
        <w:rPr>
          <w:spacing w:val="-3"/>
          <w:szCs w:val="22"/>
        </w:rPr>
        <w:tab/>
      </w:r>
      <w:r w:rsidR="00D86449">
        <w:rPr>
          <w:spacing w:val="-3"/>
          <w:szCs w:val="22"/>
        </w:rPr>
        <w:tab/>
      </w:r>
      <w:r w:rsidR="00D86449">
        <w:rPr>
          <w:spacing w:val="-3"/>
          <w:szCs w:val="22"/>
        </w:rPr>
        <w:tab/>
      </w:r>
      <w:r w:rsidR="005F5DA7">
        <w:rPr>
          <w:spacing w:val="-3"/>
          <w:szCs w:val="22"/>
        </w:rPr>
        <w:t>1,400 hours.</w:t>
      </w:r>
    </w:p>
    <w:p w:rsidR="003F3DA6" w:rsidP="00085B34" w14:paraId="54D8C51C" w14:textId="4906F85B">
      <w:pPr>
        <w:pStyle w:val="ListParagraph"/>
        <w:numPr>
          <w:ilvl w:val="0"/>
          <w:numId w:val="5"/>
        </w:numPr>
        <w:tabs>
          <w:tab w:val="left" w:pos="-720"/>
        </w:tabs>
        <w:suppressAutoHyphens/>
        <w:ind w:left="720"/>
        <w:rPr>
          <w:spacing w:val="-3"/>
          <w:szCs w:val="22"/>
        </w:rPr>
      </w:pPr>
      <w:r>
        <w:rPr>
          <w:spacing w:val="-3"/>
          <w:szCs w:val="22"/>
        </w:rPr>
        <w:t xml:space="preserve">Annual Reporting </w:t>
      </w:r>
      <w:r w:rsidR="0046047F">
        <w:rPr>
          <w:spacing w:val="-3"/>
          <w:szCs w:val="22"/>
        </w:rPr>
        <w:t xml:space="preserve">and Certification </w:t>
      </w:r>
      <w:r>
        <w:rPr>
          <w:spacing w:val="-3"/>
          <w:szCs w:val="22"/>
        </w:rPr>
        <w:t>Requirements:</w:t>
      </w:r>
      <w:r w:rsidR="00D86449">
        <w:rPr>
          <w:spacing w:val="-3"/>
          <w:szCs w:val="22"/>
        </w:rPr>
        <w:tab/>
      </w:r>
      <w:r w:rsidR="00D86449">
        <w:rPr>
          <w:spacing w:val="-3"/>
          <w:szCs w:val="22"/>
        </w:rPr>
        <w:tab/>
      </w:r>
      <w:r w:rsidR="00D86449">
        <w:rPr>
          <w:spacing w:val="-3"/>
          <w:szCs w:val="22"/>
        </w:rPr>
        <w:tab/>
      </w:r>
      <w:r w:rsidR="00D86449">
        <w:rPr>
          <w:spacing w:val="-3"/>
          <w:szCs w:val="22"/>
        </w:rPr>
        <w:tab/>
      </w:r>
      <w:r w:rsidR="00D86449">
        <w:rPr>
          <w:spacing w:val="-3"/>
          <w:szCs w:val="22"/>
        </w:rPr>
        <w:tab/>
        <w:t>4,200 hours.</w:t>
      </w:r>
    </w:p>
    <w:p w:rsidR="00D93DB2" w:rsidP="00085B34" w14:paraId="04D12570" w14:textId="1AA8F512">
      <w:pPr>
        <w:pStyle w:val="ListParagraph"/>
        <w:numPr>
          <w:ilvl w:val="0"/>
          <w:numId w:val="5"/>
        </w:numPr>
        <w:tabs>
          <w:tab w:val="left" w:pos="-720"/>
        </w:tabs>
        <w:suppressAutoHyphens/>
        <w:ind w:left="720"/>
        <w:rPr>
          <w:spacing w:val="-3"/>
          <w:szCs w:val="22"/>
        </w:rPr>
      </w:pPr>
      <w:r>
        <w:rPr>
          <w:spacing w:val="-3"/>
          <w:szCs w:val="22"/>
        </w:rPr>
        <w:t>Certification of Data Reporting Requirements</w:t>
      </w:r>
      <w:r w:rsidR="008D61E7">
        <w:rPr>
          <w:spacing w:val="-3"/>
          <w:szCs w:val="22"/>
        </w:rPr>
        <w:t>:</w:t>
      </w:r>
      <w:r w:rsidR="0036365F">
        <w:rPr>
          <w:spacing w:val="-3"/>
          <w:szCs w:val="22"/>
        </w:rPr>
        <w:tab/>
      </w:r>
      <w:r w:rsidR="0036365F">
        <w:rPr>
          <w:spacing w:val="-3"/>
          <w:szCs w:val="22"/>
        </w:rPr>
        <w:tab/>
      </w:r>
      <w:r w:rsidR="0036365F">
        <w:rPr>
          <w:spacing w:val="-3"/>
          <w:szCs w:val="22"/>
        </w:rPr>
        <w:tab/>
      </w:r>
      <w:r w:rsidR="0036365F">
        <w:rPr>
          <w:spacing w:val="-3"/>
          <w:szCs w:val="22"/>
        </w:rPr>
        <w:tab/>
      </w:r>
      <w:r w:rsidR="0036365F">
        <w:rPr>
          <w:spacing w:val="-3"/>
          <w:szCs w:val="22"/>
        </w:rPr>
        <w:tab/>
      </w:r>
      <w:r w:rsidR="00E01DA5">
        <w:rPr>
          <w:spacing w:val="-3"/>
          <w:szCs w:val="22"/>
        </w:rPr>
        <w:t xml:space="preserve">   </w:t>
      </w:r>
      <w:r w:rsidR="0036365F">
        <w:rPr>
          <w:spacing w:val="-3"/>
          <w:szCs w:val="22"/>
        </w:rPr>
        <w:t>175 hours.</w:t>
      </w:r>
    </w:p>
    <w:p w:rsidR="00126AB9" w:rsidRPr="00F65436" w:rsidP="00F65436" w14:paraId="3DFA6994" w14:textId="76C6E56A">
      <w:pPr>
        <w:tabs>
          <w:tab w:val="left" w:pos="-720"/>
        </w:tabs>
        <w:suppressAutoHyphens/>
        <w:rPr>
          <w:spacing w:val="-3"/>
          <w:szCs w:val="22"/>
          <w:u w:val="single"/>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F65436">
        <w:rPr>
          <w:spacing w:val="-3"/>
          <w:szCs w:val="22"/>
        </w:rPr>
        <w:tab/>
      </w:r>
      <w:r w:rsidRPr="00F65436">
        <w:rPr>
          <w:spacing w:val="-3"/>
          <w:szCs w:val="22"/>
        </w:rPr>
        <w:tab/>
      </w:r>
      <w:r w:rsidRPr="00F65436">
        <w:rPr>
          <w:spacing w:val="-3"/>
          <w:szCs w:val="22"/>
        </w:rPr>
        <w:tab/>
      </w:r>
      <w:r w:rsidRPr="00F65436">
        <w:rPr>
          <w:spacing w:val="-3"/>
          <w:szCs w:val="22"/>
        </w:rPr>
        <w:tab/>
      </w:r>
      <w:r w:rsidRPr="00F65436">
        <w:rPr>
          <w:spacing w:val="-3"/>
          <w:szCs w:val="22"/>
        </w:rPr>
        <w:tab/>
      </w:r>
      <w:r w:rsidRPr="00F65436">
        <w:rPr>
          <w:spacing w:val="-3"/>
          <w:szCs w:val="22"/>
        </w:rPr>
        <w:tab/>
      </w:r>
    </w:p>
    <w:p w:rsidR="001946D2" w:rsidRPr="00AB1E80" w:rsidP="007E0735" w14:paraId="2019BFB2" w14:textId="0F078967">
      <w:pPr>
        <w:tabs>
          <w:tab w:val="left" w:pos="-720"/>
        </w:tabs>
        <w:suppressAutoHyphens/>
        <w:ind w:left="720"/>
        <w:rPr>
          <w:b/>
          <w:spacing w:val="-3"/>
          <w:szCs w:val="22"/>
        </w:rPr>
      </w:pPr>
      <w:r w:rsidRPr="004460F4">
        <w:rPr>
          <w:b/>
          <w:spacing w:val="-3"/>
          <w:szCs w:val="22"/>
        </w:rPr>
        <w:t xml:space="preserve">Total Respondents:  </w:t>
      </w:r>
      <w:r w:rsidR="004F42D9">
        <w:rPr>
          <w:b/>
          <w:spacing w:val="-3"/>
          <w:szCs w:val="22"/>
        </w:rPr>
        <w:t>35</w:t>
      </w:r>
      <w:r w:rsidR="003F0390">
        <w:rPr>
          <w:b/>
          <w:spacing w:val="-3"/>
          <w:szCs w:val="22"/>
        </w:rPr>
        <w:t>.</w:t>
      </w:r>
    </w:p>
    <w:p w:rsidR="00E34679" w:rsidP="007E0735" w14:paraId="387F1BE6" w14:textId="62A4C6FD">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4F42D9">
        <w:rPr>
          <w:b/>
          <w:spacing w:val="-3"/>
          <w:szCs w:val="22"/>
        </w:rPr>
        <w:t xml:space="preserve">35 </w:t>
      </w:r>
      <w:r w:rsidR="005D1634">
        <w:rPr>
          <w:b/>
          <w:spacing w:val="-3"/>
          <w:szCs w:val="22"/>
        </w:rPr>
        <w:t xml:space="preserve">(annual reports and certifications) </w:t>
      </w:r>
      <w:r w:rsidR="004F42D9">
        <w:rPr>
          <w:b/>
          <w:spacing w:val="-3"/>
          <w:szCs w:val="22"/>
        </w:rPr>
        <w:t>+ 7</w:t>
      </w:r>
      <w:r w:rsidR="006C53A7">
        <w:rPr>
          <w:b/>
          <w:spacing w:val="-3"/>
          <w:szCs w:val="22"/>
        </w:rPr>
        <w:t xml:space="preserve"> (waiver requests)</w:t>
      </w:r>
      <w:r w:rsidR="004F42D9">
        <w:rPr>
          <w:b/>
          <w:spacing w:val="-3"/>
          <w:szCs w:val="22"/>
        </w:rPr>
        <w:t xml:space="preserve"> + </w:t>
      </w:r>
      <w:r w:rsidR="00580DCF">
        <w:rPr>
          <w:b/>
          <w:spacing w:val="-3"/>
          <w:szCs w:val="22"/>
        </w:rPr>
        <w:t xml:space="preserve">5 </w:t>
      </w:r>
      <w:r w:rsidR="006C53A7">
        <w:rPr>
          <w:b/>
          <w:spacing w:val="-3"/>
          <w:szCs w:val="22"/>
        </w:rPr>
        <w:t>(alternate pricing plans)</w:t>
      </w:r>
      <w:r w:rsidR="005D1634">
        <w:rPr>
          <w:b/>
          <w:spacing w:val="-3"/>
          <w:szCs w:val="22"/>
        </w:rPr>
        <w:t xml:space="preserve"> </w:t>
      </w:r>
      <w:r w:rsidR="00580DCF">
        <w:rPr>
          <w:b/>
          <w:spacing w:val="-3"/>
          <w:szCs w:val="22"/>
        </w:rPr>
        <w:t xml:space="preserve">= </w:t>
      </w:r>
      <w:r w:rsidR="003F0390">
        <w:rPr>
          <w:b/>
          <w:spacing w:val="-3"/>
          <w:szCs w:val="22"/>
        </w:rPr>
        <w:t>47.</w:t>
      </w:r>
    </w:p>
    <w:p w:rsidR="001946D2" w:rsidP="00885B71" w14:paraId="0769F2CC" w14:textId="64C94D56">
      <w:pPr>
        <w:widowControl/>
        <w:tabs>
          <w:tab w:val="left" w:pos="-720"/>
        </w:tabs>
        <w:suppressAutoHyphens/>
        <w:ind w:left="720"/>
        <w:rPr>
          <w:b/>
          <w:spacing w:val="-3"/>
          <w:szCs w:val="22"/>
        </w:rPr>
      </w:pPr>
      <w:r w:rsidRPr="00AB1E80">
        <w:rPr>
          <w:b/>
          <w:spacing w:val="-3"/>
          <w:szCs w:val="22"/>
        </w:rPr>
        <w:t xml:space="preserve">Total In-House Costs:  </w:t>
      </w:r>
      <w:r w:rsidR="003B0ED9">
        <w:rPr>
          <w:b/>
          <w:spacing w:val="-3"/>
          <w:szCs w:val="22"/>
        </w:rPr>
        <w:t>$</w:t>
      </w:r>
      <w:r w:rsidR="00115971">
        <w:rPr>
          <w:b/>
          <w:spacing w:val="-3"/>
          <w:szCs w:val="22"/>
        </w:rPr>
        <w:t>91,672</w:t>
      </w:r>
      <w:r w:rsidR="00E905BA">
        <w:rPr>
          <w:b/>
          <w:spacing w:val="-3"/>
          <w:szCs w:val="22"/>
        </w:rPr>
        <w:t xml:space="preserve"> + $</w:t>
      </w:r>
      <w:r w:rsidR="00A33C1F">
        <w:rPr>
          <w:b/>
          <w:spacing w:val="-3"/>
          <w:szCs w:val="22"/>
        </w:rPr>
        <w:t>22</w:t>
      </w:r>
      <w:r w:rsidR="00115971">
        <w:rPr>
          <w:b/>
          <w:spacing w:val="-3"/>
          <w:szCs w:val="22"/>
        </w:rPr>
        <w:t>9,180</w:t>
      </w:r>
      <w:r w:rsidR="005567CC">
        <w:rPr>
          <w:b/>
          <w:spacing w:val="-3"/>
          <w:szCs w:val="22"/>
        </w:rPr>
        <w:t xml:space="preserve"> </w:t>
      </w:r>
      <w:r w:rsidR="00E905BA">
        <w:rPr>
          <w:b/>
          <w:spacing w:val="-3"/>
          <w:szCs w:val="22"/>
        </w:rPr>
        <w:t xml:space="preserve">+ </w:t>
      </w:r>
      <w:r w:rsidR="00203D29">
        <w:rPr>
          <w:b/>
          <w:spacing w:val="-3"/>
          <w:szCs w:val="22"/>
        </w:rPr>
        <w:t>$</w:t>
      </w:r>
      <w:r w:rsidR="009B5841">
        <w:rPr>
          <w:b/>
          <w:spacing w:val="-3"/>
          <w:szCs w:val="22"/>
        </w:rPr>
        <w:t>6</w:t>
      </w:r>
      <w:r w:rsidR="00115971">
        <w:rPr>
          <w:b/>
          <w:spacing w:val="-3"/>
          <w:szCs w:val="22"/>
        </w:rPr>
        <w:t>5,480</w:t>
      </w:r>
      <w:r w:rsidR="007136C0">
        <w:rPr>
          <w:b/>
          <w:spacing w:val="-3"/>
          <w:szCs w:val="22"/>
        </w:rPr>
        <w:t xml:space="preserve"> </w:t>
      </w:r>
      <w:r w:rsidR="00203D29">
        <w:rPr>
          <w:b/>
          <w:spacing w:val="-3"/>
          <w:szCs w:val="22"/>
        </w:rPr>
        <w:t xml:space="preserve">+ </w:t>
      </w:r>
      <w:r w:rsidR="00E905BA">
        <w:rPr>
          <w:b/>
          <w:spacing w:val="-3"/>
          <w:szCs w:val="22"/>
        </w:rPr>
        <w:t>$</w:t>
      </w:r>
      <w:r w:rsidR="004E62BA">
        <w:rPr>
          <w:b/>
          <w:spacing w:val="-3"/>
          <w:szCs w:val="22"/>
        </w:rPr>
        <w:t>1</w:t>
      </w:r>
      <w:r w:rsidR="00115971">
        <w:rPr>
          <w:b/>
          <w:spacing w:val="-3"/>
          <w:szCs w:val="22"/>
        </w:rPr>
        <w:t>83,344</w:t>
      </w:r>
      <w:r w:rsidR="00AD681D">
        <w:rPr>
          <w:b/>
          <w:spacing w:val="-3"/>
          <w:szCs w:val="22"/>
        </w:rPr>
        <w:t xml:space="preserve"> </w:t>
      </w:r>
      <w:r w:rsidR="00E905BA">
        <w:rPr>
          <w:b/>
          <w:spacing w:val="-3"/>
          <w:szCs w:val="22"/>
        </w:rPr>
        <w:t xml:space="preserve">+ </w:t>
      </w:r>
      <w:r w:rsidR="00CB3819">
        <w:rPr>
          <w:b/>
          <w:spacing w:val="-3"/>
          <w:szCs w:val="22"/>
        </w:rPr>
        <w:t>$</w:t>
      </w:r>
      <w:r w:rsidR="00E807D1">
        <w:rPr>
          <w:b/>
          <w:spacing w:val="-3"/>
          <w:szCs w:val="22"/>
        </w:rPr>
        <w:t>87,</w:t>
      </w:r>
      <w:r w:rsidR="004035AF">
        <w:rPr>
          <w:b/>
          <w:spacing w:val="-3"/>
          <w:szCs w:val="22"/>
        </w:rPr>
        <w:t>500</w:t>
      </w:r>
      <w:r w:rsidR="00CB3819">
        <w:rPr>
          <w:b/>
          <w:spacing w:val="-3"/>
          <w:szCs w:val="22"/>
        </w:rPr>
        <w:t xml:space="preserve">+ </w:t>
      </w:r>
      <w:r w:rsidR="00E905BA">
        <w:rPr>
          <w:b/>
          <w:spacing w:val="-3"/>
          <w:szCs w:val="22"/>
        </w:rPr>
        <w:t>$</w:t>
      </w:r>
      <w:r w:rsidR="00115971">
        <w:rPr>
          <w:b/>
          <w:spacing w:val="-3"/>
          <w:szCs w:val="22"/>
        </w:rPr>
        <w:t>91,672</w:t>
      </w:r>
      <w:r w:rsidR="005E7C95">
        <w:rPr>
          <w:b/>
          <w:spacing w:val="-3"/>
          <w:szCs w:val="22"/>
        </w:rPr>
        <w:t xml:space="preserve"> </w:t>
      </w:r>
      <w:r w:rsidR="00FE1726">
        <w:rPr>
          <w:b/>
          <w:spacing w:val="-3"/>
          <w:szCs w:val="22"/>
        </w:rPr>
        <w:t>+</w:t>
      </w:r>
      <w:r w:rsidR="005E7C95">
        <w:rPr>
          <w:b/>
          <w:spacing w:val="-3"/>
          <w:szCs w:val="22"/>
        </w:rPr>
        <w:t xml:space="preserve"> </w:t>
      </w:r>
      <w:r w:rsidR="00FE1726">
        <w:rPr>
          <w:b/>
          <w:spacing w:val="-3"/>
          <w:szCs w:val="22"/>
        </w:rPr>
        <w:t>$</w:t>
      </w:r>
      <w:r w:rsidR="00433793">
        <w:rPr>
          <w:b/>
          <w:spacing w:val="-3"/>
          <w:szCs w:val="22"/>
        </w:rPr>
        <w:t>2</w:t>
      </w:r>
      <w:r w:rsidR="00115971">
        <w:rPr>
          <w:b/>
          <w:spacing w:val="-3"/>
          <w:szCs w:val="22"/>
        </w:rPr>
        <w:t>75,016</w:t>
      </w:r>
      <w:r w:rsidR="006D586C">
        <w:rPr>
          <w:b/>
          <w:spacing w:val="-3"/>
          <w:szCs w:val="22"/>
        </w:rPr>
        <w:t xml:space="preserve"> + </w:t>
      </w:r>
      <w:r w:rsidR="009F0A34">
        <w:rPr>
          <w:b/>
          <w:spacing w:val="-3"/>
          <w:szCs w:val="22"/>
        </w:rPr>
        <w:t xml:space="preserve">21,875 </w:t>
      </w:r>
      <w:r w:rsidR="006E0E8C">
        <w:rPr>
          <w:b/>
          <w:spacing w:val="-3"/>
          <w:szCs w:val="22"/>
        </w:rPr>
        <w:t>= $</w:t>
      </w:r>
      <w:r w:rsidR="00552FF6">
        <w:rPr>
          <w:b/>
          <w:spacing w:val="-3"/>
          <w:szCs w:val="22"/>
        </w:rPr>
        <w:t>1,</w:t>
      </w:r>
      <w:r w:rsidR="00B1032E">
        <w:rPr>
          <w:b/>
          <w:spacing w:val="-3"/>
          <w:szCs w:val="22"/>
        </w:rPr>
        <w:t>045,739</w:t>
      </w:r>
      <w:r w:rsidR="00A22197">
        <w:rPr>
          <w:b/>
          <w:spacing w:val="-3"/>
          <w:szCs w:val="22"/>
        </w:rPr>
        <w:t>.</w:t>
      </w:r>
    </w:p>
    <w:p w:rsidR="00885B71" w:rsidRPr="00AB1E80" w:rsidP="00AA39A4" w14:paraId="512AA6BB" w14:textId="77777777">
      <w:pPr>
        <w:tabs>
          <w:tab w:val="left" w:pos="-720"/>
        </w:tabs>
        <w:suppressAutoHyphens/>
        <w:ind w:left="720"/>
        <w:rPr>
          <w:spacing w:val="-3"/>
          <w:szCs w:val="22"/>
        </w:rPr>
      </w:pPr>
    </w:p>
    <w:p w:rsidR="007E0735" w:rsidP="004D3ABC" w14:paraId="7EF7F364" w14:textId="730B7BBE">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7C6CA6">
        <w:rPr>
          <w:b/>
          <w:spacing w:val="-3"/>
          <w:szCs w:val="22"/>
        </w:rPr>
        <w:t>1,400</w:t>
      </w:r>
      <w:r w:rsidR="005B6045">
        <w:rPr>
          <w:b/>
          <w:spacing w:val="-3"/>
          <w:szCs w:val="22"/>
        </w:rPr>
        <w:t xml:space="preserve"> hours + 3,500 hours + 1,000 hours +</w:t>
      </w:r>
      <w:r w:rsidR="00764F69">
        <w:rPr>
          <w:b/>
          <w:spacing w:val="-3"/>
          <w:szCs w:val="22"/>
        </w:rPr>
        <w:t xml:space="preserve"> </w:t>
      </w:r>
      <w:r w:rsidR="00640561">
        <w:rPr>
          <w:b/>
          <w:spacing w:val="-3"/>
          <w:szCs w:val="22"/>
        </w:rPr>
        <w:t>2,800 hours +</w:t>
      </w:r>
      <w:r w:rsidR="00764F69">
        <w:rPr>
          <w:b/>
          <w:spacing w:val="-3"/>
          <w:szCs w:val="22"/>
        </w:rPr>
        <w:t xml:space="preserve"> </w:t>
      </w:r>
      <w:r w:rsidR="00E807D1">
        <w:rPr>
          <w:b/>
          <w:spacing w:val="-3"/>
          <w:szCs w:val="22"/>
        </w:rPr>
        <w:t>700</w:t>
      </w:r>
      <w:r w:rsidR="00ED4537">
        <w:rPr>
          <w:b/>
          <w:spacing w:val="-3"/>
          <w:szCs w:val="22"/>
        </w:rPr>
        <w:t xml:space="preserve"> </w:t>
      </w:r>
      <w:r w:rsidR="00640561">
        <w:rPr>
          <w:b/>
          <w:spacing w:val="-3"/>
          <w:szCs w:val="22"/>
        </w:rPr>
        <w:t>hours +</w:t>
      </w:r>
      <w:r w:rsidR="00764F69">
        <w:rPr>
          <w:b/>
          <w:spacing w:val="-3"/>
          <w:szCs w:val="22"/>
        </w:rPr>
        <w:t xml:space="preserve"> </w:t>
      </w:r>
      <w:r w:rsidR="000B5E1F">
        <w:rPr>
          <w:b/>
          <w:spacing w:val="-3"/>
          <w:szCs w:val="22"/>
        </w:rPr>
        <w:t xml:space="preserve">1,400 hours + </w:t>
      </w:r>
      <w:r w:rsidR="00D8350E">
        <w:rPr>
          <w:b/>
          <w:spacing w:val="-3"/>
          <w:szCs w:val="22"/>
        </w:rPr>
        <w:t>4,200</w:t>
      </w:r>
      <w:r w:rsidR="000B5E1F">
        <w:rPr>
          <w:b/>
          <w:spacing w:val="-3"/>
          <w:szCs w:val="22"/>
        </w:rPr>
        <w:t xml:space="preserve"> hours </w:t>
      </w:r>
      <w:r w:rsidR="00152620">
        <w:rPr>
          <w:b/>
          <w:spacing w:val="-3"/>
          <w:szCs w:val="22"/>
        </w:rPr>
        <w:t xml:space="preserve">+ </w:t>
      </w:r>
      <w:r w:rsidR="00F471F1">
        <w:rPr>
          <w:b/>
          <w:spacing w:val="-3"/>
          <w:szCs w:val="22"/>
        </w:rPr>
        <w:t xml:space="preserve">175 </w:t>
      </w:r>
      <w:r w:rsidR="00454A49">
        <w:rPr>
          <w:b/>
          <w:spacing w:val="-3"/>
          <w:szCs w:val="22"/>
        </w:rPr>
        <w:t xml:space="preserve">hours </w:t>
      </w:r>
      <w:r w:rsidR="00F471F1">
        <w:rPr>
          <w:b/>
          <w:spacing w:val="-3"/>
          <w:szCs w:val="22"/>
        </w:rPr>
        <w:t xml:space="preserve">= </w:t>
      </w:r>
      <w:r w:rsidR="00CE2349">
        <w:rPr>
          <w:b/>
          <w:spacing w:val="-3"/>
          <w:szCs w:val="22"/>
        </w:rPr>
        <w:t>15,175</w:t>
      </w:r>
      <w:r w:rsidR="00F471F1">
        <w:rPr>
          <w:b/>
          <w:spacing w:val="-3"/>
          <w:szCs w:val="22"/>
        </w:rPr>
        <w:t xml:space="preserve"> </w:t>
      </w:r>
      <w:r w:rsidR="003847BE">
        <w:rPr>
          <w:b/>
          <w:spacing w:val="-3"/>
          <w:szCs w:val="22"/>
        </w:rPr>
        <w:t>hours.</w:t>
      </w:r>
    </w:p>
    <w:p w:rsidR="004D3ABC" w:rsidRPr="004460F4" w:rsidP="004D3ABC" w14:paraId="4900F5D1" w14:textId="77777777">
      <w:pPr>
        <w:tabs>
          <w:tab w:val="left" w:pos="-720"/>
        </w:tabs>
        <w:suppressAutoHyphens/>
        <w:ind w:left="720"/>
        <w:rPr>
          <w:b/>
          <w:spacing w:val="-3"/>
          <w:szCs w:val="22"/>
        </w:rPr>
      </w:pPr>
    </w:p>
    <w:p w:rsidR="007E0735" w:rsidRPr="004460F4" w:rsidP="007E0735" w14:paraId="09414BB4" w14:textId="33A4C988">
      <w:pPr>
        <w:pStyle w:val="Numberedparagraphs"/>
        <w:numPr>
          <w:ilvl w:val="0"/>
          <w:numId w:val="0"/>
        </w:numPr>
        <w:tabs>
          <w:tab w:val="clear" w:pos="1440"/>
        </w:tabs>
        <w:ind w:firstLine="720"/>
        <w:rPr>
          <w:szCs w:val="22"/>
        </w:rPr>
      </w:pPr>
      <w:r w:rsidRPr="004460F4">
        <w:rPr>
          <w:spacing w:val="-3"/>
          <w:szCs w:val="22"/>
        </w:rPr>
        <w:t xml:space="preserve">13.  </w:t>
      </w:r>
      <w:r w:rsidR="00470FD5">
        <w:rPr>
          <w:spacing w:val="-3"/>
          <w:szCs w:val="22"/>
        </w:rPr>
        <w:tab/>
      </w:r>
      <w:r w:rsidRPr="004460F4">
        <w:rPr>
          <w:spacing w:val="-3"/>
          <w:szCs w:val="22"/>
        </w:rPr>
        <w:t>E</w:t>
      </w:r>
      <w:r w:rsidRPr="004460F4">
        <w:rPr>
          <w:szCs w:val="22"/>
        </w:rPr>
        <w:t>stimated operations and maintenance (O&amp;M) costs of respondents resulting from the collection of information:</w:t>
      </w:r>
    </w:p>
    <w:p w:rsidR="007B6D1D" w:rsidP="007B6D1D" w14:paraId="3812A5DB" w14:textId="77777777">
      <w:pPr>
        <w:pStyle w:val="Numberedparagraphs"/>
        <w:numPr>
          <w:ilvl w:val="0"/>
          <w:numId w:val="0"/>
        </w:numPr>
        <w:tabs>
          <w:tab w:val="left" w:pos="720"/>
          <w:tab w:val="clear" w:pos="144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915F36">
        <w:rPr>
          <w:szCs w:val="22"/>
        </w:rPr>
        <w:t>:</w:t>
      </w:r>
      <w:r w:rsidRPr="00DC19D5">
        <w:rPr>
          <w:szCs w:val="22"/>
        </w:rPr>
        <w:t xml:space="preserve"> </w:t>
      </w:r>
      <w:r w:rsidRPr="00E63ED6">
        <w:rPr>
          <w:b/>
          <w:bCs/>
          <w:szCs w:val="22"/>
        </w:rPr>
        <w:t>$0</w:t>
      </w:r>
      <w:r w:rsidRPr="004460F4">
        <w:rPr>
          <w:szCs w:val="22"/>
        </w:rPr>
        <w:t xml:space="preserve">.  </w:t>
      </w:r>
    </w:p>
    <w:p w:rsidR="007E0735" w:rsidRPr="004460F4" w:rsidP="007B6D1D" w14:paraId="476110BD" w14:textId="156F1D53">
      <w:pPr>
        <w:pStyle w:val="Numberedparagraphs"/>
        <w:numPr>
          <w:ilvl w:val="0"/>
          <w:numId w:val="0"/>
        </w:numPr>
        <w:tabs>
          <w:tab w:val="left" w:pos="720"/>
          <w:tab w:val="clear" w:pos="1440"/>
        </w:tabs>
        <w:rPr>
          <w:szCs w:val="22"/>
        </w:rPr>
      </w:pPr>
      <w:r>
        <w:rPr>
          <w:szCs w:val="22"/>
        </w:rPr>
        <w:tab/>
      </w:r>
      <w:r>
        <w:rPr>
          <w:szCs w:val="22"/>
        </w:rPr>
        <w:tab/>
      </w:r>
      <w:r w:rsidRPr="004460F4" w:rsidR="00C90927">
        <w:rPr>
          <w:szCs w:val="22"/>
        </w:rPr>
        <w:t xml:space="preserve">The collection will not result in additional capital expenditures. </w:t>
      </w:r>
      <w:r w:rsidR="00CE48BB">
        <w:rPr>
          <w:szCs w:val="22"/>
        </w:rPr>
        <w:t xml:space="preserve"> </w:t>
      </w:r>
    </w:p>
    <w:p w:rsidR="007E0735" w:rsidRPr="004460F4" w:rsidP="007E0735" w14:paraId="71CBF35B" w14:textId="77777777">
      <w:pPr>
        <w:pStyle w:val="Numberedparagraphs"/>
        <w:numPr>
          <w:ilvl w:val="0"/>
          <w:numId w:val="0"/>
        </w:numPr>
        <w:tabs>
          <w:tab w:val="left" w:pos="720"/>
          <w:tab w:val="clear" w:pos="144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915F36">
        <w:rPr>
          <w:szCs w:val="22"/>
        </w:rPr>
        <w:t>:</w:t>
      </w:r>
      <w:r w:rsidRPr="00DC19D5">
        <w:rPr>
          <w:szCs w:val="22"/>
        </w:rPr>
        <w:t xml:space="preserve"> </w:t>
      </w:r>
      <w:r w:rsidRPr="004460F4">
        <w:rPr>
          <w:szCs w:val="22"/>
        </w:rPr>
        <w:t xml:space="preserve"> </w:t>
      </w:r>
      <w:r w:rsidRPr="00E63ED6">
        <w:rPr>
          <w:b/>
          <w:bCs/>
          <w:szCs w:val="22"/>
        </w:rPr>
        <w:t>$0</w:t>
      </w:r>
      <w:r w:rsidRPr="004460F4">
        <w:rPr>
          <w:szCs w:val="22"/>
        </w:rPr>
        <w:t>.</w:t>
      </w:r>
    </w:p>
    <w:p w:rsidR="007E0735" w:rsidRPr="004460F4" w:rsidP="007E0735" w14:paraId="3843DBF3" w14:textId="77777777">
      <w:pPr>
        <w:pStyle w:val="Numberedparagraphs"/>
        <w:numPr>
          <w:ilvl w:val="0"/>
          <w:numId w:val="0"/>
        </w:numPr>
        <w:tabs>
          <w:tab w:val="left" w:pos="720"/>
          <w:tab w:val="clear" w:pos="144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007E0735" w:rsidRPr="004460F4" w:rsidP="007E0735" w14:paraId="1E59D6B7" w14:textId="3EF82A05">
      <w:pPr>
        <w:pStyle w:val="Numberedparagraphs"/>
        <w:numPr>
          <w:ilvl w:val="0"/>
          <w:numId w:val="0"/>
        </w:numPr>
        <w:tabs>
          <w:tab w:val="clear" w:pos="1440"/>
        </w:tabs>
        <w:ind w:firstLine="720"/>
        <w:rPr>
          <w:szCs w:val="22"/>
        </w:rPr>
      </w:pPr>
      <w:r w:rsidRPr="004460F4">
        <w:rPr>
          <w:szCs w:val="22"/>
        </w:rPr>
        <w:t xml:space="preserve">14.  </w:t>
      </w:r>
      <w:r w:rsidR="00470FD5">
        <w:rPr>
          <w:szCs w:val="22"/>
        </w:rPr>
        <w:tab/>
      </w:r>
      <w:r w:rsidRPr="004460F4">
        <w:rPr>
          <w:szCs w:val="22"/>
        </w:rPr>
        <w:t xml:space="preserve">There are unlikely to be any additional costs to the Commission because the data will be submitted by </w:t>
      </w:r>
      <w:r w:rsidR="005521B1">
        <w:rPr>
          <w:szCs w:val="22"/>
        </w:rPr>
        <w:t>IPCS</w:t>
      </w:r>
      <w:r w:rsidRPr="004460F4">
        <w:rPr>
          <w:szCs w:val="22"/>
        </w:rPr>
        <w:t xml:space="preserve"> providers in WC Docket No</w:t>
      </w:r>
      <w:r w:rsidR="00F92A26">
        <w:rPr>
          <w:szCs w:val="22"/>
        </w:rPr>
        <w:t>s</w:t>
      </w:r>
      <w:r w:rsidRPr="004460F4">
        <w:rPr>
          <w:szCs w:val="22"/>
        </w:rPr>
        <w:t xml:space="preserve">. </w:t>
      </w:r>
      <w:r w:rsidR="00F92A26">
        <w:rPr>
          <w:szCs w:val="22"/>
        </w:rPr>
        <w:t xml:space="preserve">23-62 and </w:t>
      </w:r>
      <w:r w:rsidRPr="004460F4">
        <w:rPr>
          <w:szCs w:val="22"/>
        </w:rPr>
        <w:t>12-375 via the Commission’s Electronic Comment Filing System, requiring no additional Commission resources to process or publish.</w:t>
      </w:r>
    </w:p>
    <w:p w:rsidR="00FF1336" w:rsidP="00974C33" w14:paraId="1BF50E70" w14:textId="3FE569B5">
      <w:pPr>
        <w:pStyle w:val="Numberedparagraphs"/>
        <w:numPr>
          <w:ilvl w:val="0"/>
          <w:numId w:val="0"/>
        </w:numPr>
        <w:ind w:left="180" w:firstLine="720"/>
        <w:rPr>
          <w:szCs w:val="22"/>
        </w:rPr>
      </w:pPr>
      <w:r w:rsidRPr="00296CBD">
        <w:rPr>
          <w:szCs w:val="22"/>
        </w:rPr>
        <w:t xml:space="preserve">15.  </w:t>
      </w:r>
      <w:r w:rsidRPr="00296CBD">
        <w:rPr>
          <w:szCs w:val="22"/>
        </w:rPr>
        <w:t xml:space="preserve">Since the November 2023 submission to OMB, the Commission is reporting a program change/increase to this collection as a result of rule changes adopted in the </w:t>
      </w:r>
      <w:r w:rsidRPr="00296CBD">
        <w:rPr>
          <w:i/>
          <w:iCs/>
          <w:szCs w:val="22"/>
        </w:rPr>
        <w:t>2024 IPCS</w:t>
      </w:r>
      <w:r w:rsidRPr="00296CBD">
        <w:rPr>
          <w:szCs w:val="22"/>
        </w:rPr>
        <w:t xml:space="preserve"> </w:t>
      </w:r>
      <w:r w:rsidRPr="00296CBD">
        <w:rPr>
          <w:i/>
          <w:iCs/>
          <w:szCs w:val="22"/>
        </w:rPr>
        <w:t>Order</w:t>
      </w:r>
      <w:r w:rsidRPr="00296CBD">
        <w:rPr>
          <w:szCs w:val="22"/>
        </w:rPr>
        <w:t xml:space="preserve">.  In particular, the Commission:  (1) added new rules addressing disability access, alternate pricing plans, and inactive accounts (+5,900 hours); and (2) revised its rules addressing, among other things, consumer disclosure and waiver reporting (+1,760 hours). </w:t>
      </w:r>
      <w:r w:rsidR="00A52281">
        <w:rPr>
          <w:szCs w:val="22"/>
        </w:rPr>
        <w:t xml:space="preserve"> </w:t>
      </w:r>
      <w:r w:rsidR="00974C33">
        <w:rPr>
          <w:szCs w:val="22"/>
        </w:rPr>
        <w:t xml:space="preserve">In addition, </w:t>
      </w:r>
      <w:r w:rsidRPr="00296CBD">
        <w:rPr>
          <w:szCs w:val="22"/>
        </w:rPr>
        <w:t xml:space="preserve">he total number of respondents has increased from 30 to 35 due to the expansion of the Commission’s jurisdiction under the Martha Wright-Reed Act, which now includes additional video-only providers and advanced services such as </w:t>
      </w:r>
      <w:r w:rsidRPr="00296CBD">
        <w:rPr>
          <w:szCs w:val="22"/>
        </w:rPr>
        <w:t>video IPCS.  The total number of annual responses increased from 33 to 47.</w:t>
      </w:r>
      <w:r>
        <w:rPr>
          <w:szCs w:val="22"/>
        </w:rPr>
        <w:t xml:space="preserve">  </w:t>
      </w:r>
      <w:r w:rsidR="00F94B71">
        <w:rPr>
          <w:szCs w:val="22"/>
        </w:rPr>
        <w:t>Because of the increased number of IPCS providers and responses, the burden hours for the section 64.6040</w:t>
      </w:r>
      <w:r w:rsidR="0085640D">
        <w:rPr>
          <w:szCs w:val="22"/>
        </w:rPr>
        <w:t>(c)</w:t>
      </w:r>
      <w:r w:rsidR="001540FB">
        <w:rPr>
          <w:szCs w:val="22"/>
        </w:rPr>
        <w:t xml:space="preserve"> information requirements and the</w:t>
      </w:r>
      <w:r w:rsidR="00813893">
        <w:rPr>
          <w:szCs w:val="22"/>
        </w:rPr>
        <w:t xml:space="preserve"> </w:t>
      </w:r>
      <w:r w:rsidR="00F94B71">
        <w:rPr>
          <w:szCs w:val="22"/>
        </w:rPr>
        <w:t>annual reporting</w:t>
      </w:r>
      <w:r w:rsidR="00813893">
        <w:rPr>
          <w:szCs w:val="22"/>
        </w:rPr>
        <w:t xml:space="preserve"> </w:t>
      </w:r>
      <w:r w:rsidR="0085640D">
        <w:rPr>
          <w:szCs w:val="22"/>
        </w:rPr>
        <w:t xml:space="preserve">and certification </w:t>
      </w:r>
      <w:r w:rsidR="00AE6F79">
        <w:rPr>
          <w:szCs w:val="22"/>
        </w:rPr>
        <w:t xml:space="preserve">information </w:t>
      </w:r>
      <w:r w:rsidR="0085640D">
        <w:rPr>
          <w:szCs w:val="22"/>
        </w:rPr>
        <w:t>requirements have increased from 4,950 to 5,775 hours (+825 hours).</w:t>
      </w:r>
    </w:p>
    <w:p w:rsidR="00A8663D" w:rsidP="00FF1336" w14:paraId="658D94AE" w14:textId="6091C34D">
      <w:pPr>
        <w:pStyle w:val="Numberedparagraphs"/>
        <w:numPr>
          <w:ilvl w:val="0"/>
          <w:numId w:val="0"/>
        </w:numPr>
        <w:ind w:left="180" w:firstLine="720"/>
        <w:rPr>
          <w:szCs w:val="22"/>
        </w:rPr>
      </w:pPr>
      <w:r w:rsidRPr="00A8663D">
        <w:rPr>
          <w:szCs w:val="22"/>
        </w:rPr>
        <w:t>As a result of these changes, the total annual burden hours have increased</w:t>
      </w:r>
      <w:r w:rsidR="00B63868">
        <w:rPr>
          <w:szCs w:val="22"/>
        </w:rPr>
        <w:t xml:space="preserve"> </w:t>
      </w:r>
      <w:r w:rsidRPr="00A8663D">
        <w:rPr>
          <w:szCs w:val="22"/>
        </w:rPr>
        <w:t>from 6,690 burden hours to 15,175 burden hours</w:t>
      </w:r>
      <w:r w:rsidR="000D4C50">
        <w:rPr>
          <w:szCs w:val="22"/>
        </w:rPr>
        <w:t xml:space="preserve"> (</w:t>
      </w:r>
      <w:r w:rsidR="0079083F">
        <w:rPr>
          <w:szCs w:val="22"/>
        </w:rPr>
        <w:t>+</w:t>
      </w:r>
      <w:r w:rsidR="000D4C50">
        <w:rPr>
          <w:szCs w:val="22"/>
        </w:rPr>
        <w:t>8,485)</w:t>
      </w:r>
      <w:r w:rsidR="005F4B9C">
        <w:rPr>
          <w:szCs w:val="22"/>
        </w:rPr>
        <w:t xml:space="preserve"> (5,900 hours + 1,760 hours + 825 hours).</w:t>
      </w:r>
    </w:p>
    <w:p w:rsidR="00FD1EE8" w:rsidRPr="00AB7F39" w:rsidP="00FF1336" w14:paraId="4FEDF883" w14:textId="20B5285A">
      <w:pPr>
        <w:pStyle w:val="Numberedparagraphs"/>
        <w:numPr>
          <w:ilvl w:val="0"/>
          <w:numId w:val="0"/>
        </w:numPr>
        <w:ind w:left="180" w:firstLine="720"/>
        <w:rPr>
          <w:szCs w:val="22"/>
        </w:rPr>
      </w:pPr>
      <w:r>
        <w:rPr>
          <w:szCs w:val="22"/>
        </w:rPr>
        <w:t>No adjustments are being reported</w:t>
      </w:r>
      <w:r w:rsidR="008C1A5A">
        <w:rPr>
          <w:szCs w:val="22"/>
        </w:rPr>
        <w:t xml:space="preserve"> to this collection. </w:t>
      </w:r>
    </w:p>
    <w:p w:rsidR="005060CB" w:rsidRPr="00345821" w:rsidP="00B21E30" w14:paraId="57B2F746" w14:textId="77777777">
      <w:pPr>
        <w:ind w:firstLine="720"/>
        <w:rPr>
          <w:i/>
          <w:iCs/>
          <w:highlight w:val="yellow"/>
        </w:rPr>
      </w:pPr>
    </w:p>
    <w:p w:rsidR="007E0735" w:rsidRPr="00AB1E80" w:rsidP="004460F4" w14:paraId="41CE502E" w14:textId="256BF5C9">
      <w:pPr>
        <w:pStyle w:val="Numberedparagraphs"/>
        <w:numPr>
          <w:ilvl w:val="0"/>
          <w:numId w:val="0"/>
        </w:numPr>
        <w:tabs>
          <w:tab w:val="clear" w:pos="1440"/>
        </w:tabs>
        <w:ind w:firstLine="720"/>
        <w:rPr>
          <w:szCs w:val="22"/>
        </w:rPr>
      </w:pPr>
      <w:r w:rsidRPr="00D063FD">
        <w:rPr>
          <w:szCs w:val="22"/>
        </w:rPr>
        <w:t xml:space="preserve">16.  </w:t>
      </w:r>
      <w:r w:rsidRPr="00D063FD" w:rsidR="00470FD5">
        <w:rPr>
          <w:szCs w:val="22"/>
        </w:rPr>
        <w:tab/>
      </w:r>
      <w:r w:rsidRPr="00D063FD">
        <w:rPr>
          <w:szCs w:val="22"/>
        </w:rPr>
        <w:t>The Commission does not anticipate publishing any of the information collected.  Rather, the provider</w:t>
      </w:r>
      <w:r w:rsidRPr="00D063FD" w:rsidR="00AB1E80">
        <w:rPr>
          <w:szCs w:val="22"/>
        </w:rPr>
        <w:t xml:space="preserve">s’ </w:t>
      </w:r>
      <w:r w:rsidRPr="00D063FD" w:rsidR="0055474E">
        <w:rPr>
          <w:szCs w:val="22"/>
        </w:rPr>
        <w:t>A</w:t>
      </w:r>
      <w:r w:rsidRPr="00D063FD" w:rsidR="00AB1E80">
        <w:rPr>
          <w:szCs w:val="22"/>
        </w:rPr>
        <w:t xml:space="preserve">nnual </w:t>
      </w:r>
      <w:r w:rsidRPr="00D063FD" w:rsidR="0055474E">
        <w:rPr>
          <w:szCs w:val="22"/>
        </w:rPr>
        <w:t>R</w:t>
      </w:r>
      <w:r w:rsidRPr="00D063FD" w:rsidR="00AB1E80">
        <w:rPr>
          <w:szCs w:val="22"/>
        </w:rPr>
        <w:t>eports and</w:t>
      </w:r>
      <w:r w:rsidRPr="00D063FD">
        <w:rPr>
          <w:szCs w:val="22"/>
        </w:rPr>
        <w:t xml:space="preserve"> </w:t>
      </w:r>
      <w:r w:rsidRPr="00D063FD" w:rsidR="0055474E">
        <w:rPr>
          <w:szCs w:val="22"/>
        </w:rPr>
        <w:t>C</w:t>
      </w:r>
      <w:r w:rsidRPr="00D063FD">
        <w:rPr>
          <w:szCs w:val="22"/>
        </w:rPr>
        <w:t>ertifications will be available for public review via the Commission’s ECFS.</w:t>
      </w:r>
    </w:p>
    <w:p w:rsidR="007E0735" w:rsidRPr="004460F4" w:rsidP="004460F4" w14:paraId="22E6D4FF" w14:textId="798A5095">
      <w:pPr>
        <w:pStyle w:val="Numberedparagraphs"/>
        <w:numPr>
          <w:ilvl w:val="0"/>
          <w:numId w:val="0"/>
        </w:numPr>
        <w:tabs>
          <w:tab w:val="clear" w:pos="1440"/>
        </w:tabs>
        <w:ind w:firstLine="720"/>
        <w:rPr>
          <w:szCs w:val="22"/>
        </w:rPr>
      </w:pPr>
      <w:r w:rsidRPr="004460F4">
        <w:rPr>
          <w:szCs w:val="22"/>
        </w:rPr>
        <w:t xml:space="preserve">17.  </w:t>
      </w:r>
      <w:r w:rsidR="00470FD5">
        <w:rPr>
          <w:szCs w:val="22"/>
        </w:rPr>
        <w:tab/>
      </w:r>
      <w:r w:rsidRPr="004460F4">
        <w:rPr>
          <w:szCs w:val="22"/>
        </w:rPr>
        <w:t>The Commission is not seeking approval not to display an OMB expiration date.</w:t>
      </w:r>
    </w:p>
    <w:p w:rsidR="00AD3809" w:rsidP="00195C63" w14:paraId="4C26A9B0" w14:textId="19B5A344">
      <w:pPr>
        <w:pStyle w:val="ParaNum"/>
        <w:numPr>
          <w:ilvl w:val="0"/>
          <w:numId w:val="0"/>
        </w:numPr>
        <w:ind w:firstLine="720"/>
        <w:rPr>
          <w:szCs w:val="22"/>
        </w:rPr>
      </w:pPr>
      <w:r w:rsidRPr="004460F4">
        <w:rPr>
          <w:szCs w:val="22"/>
        </w:rPr>
        <w:t xml:space="preserve">18. </w:t>
      </w:r>
      <w:r w:rsidR="0042539E">
        <w:rPr>
          <w:szCs w:val="22"/>
        </w:rPr>
        <w:t xml:space="preserve"> </w:t>
      </w:r>
      <w:r w:rsidR="00470FD5">
        <w:rPr>
          <w:szCs w:val="22"/>
        </w:rPr>
        <w:tab/>
      </w:r>
      <w:r>
        <w:rPr>
          <w:szCs w:val="22"/>
        </w:rPr>
        <w:t xml:space="preserve">Since </w:t>
      </w:r>
      <w:r w:rsidR="009E7115">
        <w:rPr>
          <w:szCs w:val="22"/>
        </w:rPr>
        <w:t xml:space="preserve">the </w:t>
      </w:r>
      <w:r w:rsidR="00F72F66">
        <w:rPr>
          <w:szCs w:val="22"/>
        </w:rPr>
        <w:t>October 24, 2024 60-</w:t>
      </w:r>
      <w:r w:rsidR="00C70F21">
        <w:rPr>
          <w:szCs w:val="22"/>
        </w:rPr>
        <w:t>D</w:t>
      </w:r>
      <w:r w:rsidR="00F72F66">
        <w:rPr>
          <w:szCs w:val="22"/>
        </w:rPr>
        <w:t xml:space="preserve">ay Notice, the Commission </w:t>
      </w:r>
      <w:r w:rsidR="00295BF6">
        <w:rPr>
          <w:szCs w:val="22"/>
        </w:rPr>
        <w:t xml:space="preserve">has </w:t>
      </w:r>
      <w:r w:rsidR="005757B7">
        <w:rPr>
          <w:szCs w:val="22"/>
        </w:rPr>
        <w:t xml:space="preserve">revised </w:t>
      </w:r>
      <w:r w:rsidR="00F72F66">
        <w:rPr>
          <w:szCs w:val="22"/>
        </w:rPr>
        <w:t>the</w:t>
      </w:r>
      <w:r w:rsidR="002C4F96">
        <w:rPr>
          <w:szCs w:val="22"/>
        </w:rPr>
        <w:t xml:space="preserve"> </w:t>
      </w:r>
      <w:r w:rsidR="00777EEF">
        <w:rPr>
          <w:szCs w:val="22"/>
        </w:rPr>
        <w:t xml:space="preserve">burden hour estimate for complying with </w:t>
      </w:r>
      <w:r w:rsidR="002C4F96">
        <w:rPr>
          <w:szCs w:val="22"/>
        </w:rPr>
        <w:t xml:space="preserve">the </w:t>
      </w:r>
      <w:r w:rsidR="00BD056D">
        <w:rPr>
          <w:szCs w:val="22"/>
        </w:rPr>
        <w:t xml:space="preserve">waiver process reporting </w:t>
      </w:r>
      <w:r w:rsidR="00D4684F">
        <w:rPr>
          <w:szCs w:val="22"/>
        </w:rPr>
        <w:t xml:space="preserve">information collection </w:t>
      </w:r>
      <w:r w:rsidR="00BD056D">
        <w:rPr>
          <w:szCs w:val="22"/>
        </w:rPr>
        <w:t>requirement</w:t>
      </w:r>
      <w:r w:rsidR="00D4684F">
        <w:rPr>
          <w:szCs w:val="22"/>
        </w:rPr>
        <w:t>s</w:t>
      </w:r>
      <w:r w:rsidR="00BD056D">
        <w:rPr>
          <w:szCs w:val="22"/>
        </w:rPr>
        <w:t xml:space="preserve"> from 240 hours per respondent to 100 hours per respondent</w:t>
      </w:r>
      <w:r w:rsidR="00292ADF">
        <w:rPr>
          <w:szCs w:val="22"/>
        </w:rPr>
        <w:t xml:space="preserve"> (-</w:t>
      </w:r>
      <w:r w:rsidR="00C030D8">
        <w:rPr>
          <w:szCs w:val="22"/>
        </w:rPr>
        <w:t>140)</w:t>
      </w:r>
      <w:r w:rsidR="00D33726">
        <w:rPr>
          <w:szCs w:val="22"/>
        </w:rPr>
        <w:t xml:space="preserve"> given the narrower focus of the revised waiver procedure</w:t>
      </w:r>
      <w:r w:rsidR="00BD056D">
        <w:rPr>
          <w:szCs w:val="22"/>
        </w:rPr>
        <w:t xml:space="preserve">.  In addition, the Commission has </w:t>
      </w:r>
      <w:r w:rsidR="00295013">
        <w:rPr>
          <w:szCs w:val="22"/>
        </w:rPr>
        <w:t xml:space="preserve">revised </w:t>
      </w:r>
      <w:r w:rsidR="00BD056D">
        <w:rPr>
          <w:szCs w:val="22"/>
        </w:rPr>
        <w:t xml:space="preserve">the burden hour estimate for compliance with </w:t>
      </w:r>
      <w:r w:rsidR="00D4684F">
        <w:rPr>
          <w:szCs w:val="22"/>
        </w:rPr>
        <w:t xml:space="preserve">the </w:t>
      </w:r>
      <w:r w:rsidR="00BD056D">
        <w:rPr>
          <w:szCs w:val="22"/>
        </w:rPr>
        <w:t>section 64.6040(</w:t>
      </w:r>
      <w:r w:rsidR="00295BF6">
        <w:rPr>
          <w:szCs w:val="22"/>
        </w:rPr>
        <w:t>f)</w:t>
      </w:r>
      <w:r w:rsidR="00D4684F">
        <w:rPr>
          <w:szCs w:val="22"/>
        </w:rPr>
        <w:t xml:space="preserve"> information collection requirements</w:t>
      </w:r>
      <w:r w:rsidR="00295BF6">
        <w:rPr>
          <w:szCs w:val="22"/>
        </w:rPr>
        <w:t xml:space="preserve"> from 80 hours to </w:t>
      </w:r>
      <w:r w:rsidR="00650BCC">
        <w:rPr>
          <w:szCs w:val="22"/>
        </w:rPr>
        <w:t>40 hours (-40)</w:t>
      </w:r>
      <w:r w:rsidR="009B7452">
        <w:rPr>
          <w:szCs w:val="22"/>
        </w:rPr>
        <w:t xml:space="preserve"> to bring it into line with the Commission’s </w:t>
      </w:r>
      <w:r w:rsidR="003C6C8F">
        <w:rPr>
          <w:szCs w:val="22"/>
        </w:rPr>
        <w:t xml:space="preserve">previously approved </w:t>
      </w:r>
      <w:r w:rsidR="009B7452">
        <w:rPr>
          <w:szCs w:val="22"/>
        </w:rPr>
        <w:t xml:space="preserve">burden hour estimate for </w:t>
      </w:r>
      <w:r w:rsidR="001D3CC0">
        <w:rPr>
          <w:szCs w:val="22"/>
        </w:rPr>
        <w:t>a related compliance</w:t>
      </w:r>
      <w:r w:rsidR="008F2BF0">
        <w:rPr>
          <w:szCs w:val="22"/>
        </w:rPr>
        <w:t xml:space="preserve"> obligation </w:t>
      </w:r>
      <w:r w:rsidR="003C6C8F">
        <w:rPr>
          <w:szCs w:val="22"/>
        </w:rPr>
        <w:t>in section 64.6040(c)</w:t>
      </w:r>
      <w:r w:rsidR="00650BCC">
        <w:rPr>
          <w:szCs w:val="22"/>
        </w:rPr>
        <w:t>.</w:t>
      </w:r>
      <w:r w:rsidR="001C37F1">
        <w:rPr>
          <w:szCs w:val="22"/>
        </w:rPr>
        <w:t xml:space="preserve">  As a result, the total burden hour estimate</w:t>
      </w:r>
      <w:r w:rsidR="00CD22EA">
        <w:rPr>
          <w:szCs w:val="22"/>
        </w:rPr>
        <w:t xml:space="preserve"> </w:t>
      </w:r>
      <w:r w:rsidR="00227227">
        <w:rPr>
          <w:szCs w:val="22"/>
        </w:rPr>
        <w:t xml:space="preserve">for this collection </w:t>
      </w:r>
      <w:r w:rsidR="00CD22EA">
        <w:rPr>
          <w:szCs w:val="22"/>
        </w:rPr>
        <w:t>is now 15,</w:t>
      </w:r>
      <w:r w:rsidR="00DF018C">
        <w:rPr>
          <w:szCs w:val="22"/>
        </w:rPr>
        <w:t>1</w:t>
      </w:r>
      <w:r w:rsidR="00A115F7">
        <w:rPr>
          <w:szCs w:val="22"/>
        </w:rPr>
        <w:t>75</w:t>
      </w:r>
      <w:r w:rsidR="007856C4">
        <w:rPr>
          <w:szCs w:val="22"/>
        </w:rPr>
        <w:t xml:space="preserve"> hours,</w:t>
      </w:r>
      <w:r w:rsidR="003271C5">
        <w:rPr>
          <w:szCs w:val="22"/>
        </w:rPr>
        <w:t xml:space="preserve"> </w:t>
      </w:r>
      <w:r w:rsidR="00455969">
        <w:rPr>
          <w:szCs w:val="22"/>
        </w:rPr>
        <w:t xml:space="preserve">2,380 hours less than the </w:t>
      </w:r>
      <w:r w:rsidR="00E165CD">
        <w:rPr>
          <w:szCs w:val="22"/>
        </w:rPr>
        <w:t xml:space="preserve">17,555 </w:t>
      </w:r>
      <w:r w:rsidR="007856C4">
        <w:rPr>
          <w:szCs w:val="22"/>
        </w:rPr>
        <w:t xml:space="preserve">total burden </w:t>
      </w:r>
      <w:r w:rsidR="00E165CD">
        <w:rPr>
          <w:szCs w:val="22"/>
        </w:rPr>
        <w:t xml:space="preserve">hours estimated in the </w:t>
      </w:r>
      <w:r w:rsidRPr="003271C5" w:rsidR="003271C5">
        <w:rPr>
          <w:i/>
          <w:iCs/>
          <w:szCs w:val="22"/>
        </w:rPr>
        <w:t>2024 60-Day Notice</w:t>
      </w:r>
      <w:r w:rsidR="003271C5">
        <w:rPr>
          <w:szCs w:val="22"/>
        </w:rPr>
        <w:t>.</w:t>
      </w:r>
    </w:p>
    <w:p w:rsidR="005828A0" w:rsidP="00120D9A" w14:paraId="12AB7749" w14:textId="6FFA8064">
      <w:pPr>
        <w:pStyle w:val="ParaNum"/>
        <w:numPr>
          <w:ilvl w:val="0"/>
          <w:numId w:val="0"/>
        </w:numPr>
        <w:ind w:firstLine="720"/>
      </w:pPr>
      <w:r>
        <w:t xml:space="preserve">There are no </w:t>
      </w:r>
      <w:r w:rsidR="008C5CC9">
        <w:t xml:space="preserve">other </w:t>
      </w:r>
      <w:r>
        <w:t>exceptions to the Certification Statement.</w:t>
      </w:r>
      <w:r w:rsidR="0042539E">
        <w:t xml:space="preserve"> </w:t>
      </w:r>
    </w:p>
    <w:p w:rsidR="005828A0" w:rsidRPr="00AB1E80" w:rsidP="00120D9A" w14:paraId="7207F70C" w14:textId="77777777">
      <w:pPr>
        <w:pStyle w:val="ParaNum"/>
        <w:numPr>
          <w:ilvl w:val="0"/>
          <w:numId w:val="0"/>
        </w:numPr>
        <w:ind w:firstLine="720"/>
      </w:pPr>
    </w:p>
    <w:p w:rsidR="007E0735" w:rsidRPr="004460F4" w:rsidP="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007E0735" w:rsidRPr="004460F4" w:rsidP="007E0735" w14:paraId="4BE75DCB" w14:textId="77777777">
      <w:pPr>
        <w:rPr>
          <w:szCs w:val="22"/>
        </w:rPr>
      </w:pPr>
    </w:p>
    <w:p w:rsidR="007E0735" w:rsidRPr="004460F4" w:rsidP="00B54A84" w14:paraId="0606048C" w14:textId="4D5DD0D1">
      <w:pPr>
        <w:pStyle w:val="Numberedparagraphs"/>
        <w:widowControl/>
        <w:numPr>
          <w:ilvl w:val="0"/>
          <w:numId w:val="0"/>
        </w:numPr>
        <w:tabs>
          <w:tab w:val="clear" w:pos="1440"/>
        </w:tabs>
        <w:ind w:firstLine="720"/>
        <w:rPr>
          <w:szCs w:val="22"/>
        </w:rPr>
      </w:pPr>
      <w:r>
        <w:rPr>
          <w:szCs w:val="22"/>
        </w:rPr>
        <w:t xml:space="preserve">19.  </w:t>
      </w:r>
      <w:r w:rsidR="00470FD5">
        <w:rPr>
          <w:szCs w:val="22"/>
        </w:rPr>
        <w:tab/>
      </w:r>
      <w:r w:rsidRPr="004460F4">
        <w:rPr>
          <w:szCs w:val="22"/>
        </w:rPr>
        <w:t>The Commission does not anticipate that the proposed collection of information will employ statistical methods.</w:t>
      </w:r>
    </w:p>
    <w:sectPr w:rsidSect="00FF79FA">
      <w:footerReference w:type="even" r:id="rId9"/>
      <w:footerReference w:type="default" r:id="rId10"/>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MS Mincho"/>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C17" w:rsidP="00432BAA" w14:paraId="5E5E2D40"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6C17" w:rsidP="001F7620" w14:paraId="5DFADB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5363962"/>
      <w:docPartObj>
        <w:docPartGallery w:val="Page Numbers (Bottom of Page)"/>
        <w:docPartUnique/>
      </w:docPartObj>
    </w:sdtPr>
    <w:sdtEndPr>
      <w:rPr>
        <w:rStyle w:val="PageNumber"/>
      </w:rPr>
    </w:sdtEndPr>
    <w:sdtContent>
      <w:p w:rsidR="00646C17" w:rsidP="00432BAA" w14:paraId="068FA5EA" w14:textId="43B786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C17" w:rsidRPr="00CA240C" w:rsidP="001F7620" w14:paraId="4FDCB662" w14:textId="77777777">
    <w:pPr>
      <w:pStyle w:val="Footer"/>
      <w:ind w:right="360"/>
      <w:jc w:val="center"/>
      <w:rPr>
        <w:szCs w:val="22"/>
      </w:rPr>
    </w:pPr>
  </w:p>
  <w:p w:rsidR="00646C17" w:rsidRPr="00CA240C" w14:paraId="614DA62A"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EA9" w:rsidP="00C72C3F" w14:paraId="2BAE8C7A" w14:textId="77777777">
      <w:r>
        <w:separator/>
      </w:r>
    </w:p>
  </w:footnote>
  <w:footnote w:type="continuationSeparator" w:id="1">
    <w:p w:rsidR="005D3EA9" w:rsidP="00C72C3F" w14:paraId="30D947F3" w14:textId="77777777">
      <w:r>
        <w:continuationSeparator/>
      </w:r>
    </w:p>
  </w:footnote>
  <w:footnote w:type="continuationNotice" w:id="2">
    <w:p w:rsidR="005D3EA9" w14:paraId="05DCA890" w14:textId="77777777"/>
  </w:footnote>
  <w:footnote w:id="3">
    <w:p w:rsidR="0064009E" w:rsidRPr="00F80DEE" w:rsidP="0064009E" w14:paraId="3A1FA07C" w14:textId="72238E85">
      <w:pPr>
        <w:pStyle w:val="FootnoteText"/>
      </w:pPr>
      <w:r w:rsidRPr="00F80DEE">
        <w:rPr>
          <w:rStyle w:val="FootnoteReference"/>
        </w:rPr>
        <w:footnoteRef/>
      </w:r>
      <w:r w:rsidRPr="00F80DEE">
        <w:t xml:space="preserve"> </w:t>
      </w:r>
      <w:r w:rsidRPr="00506B6D" w:rsidR="00FA28B8">
        <w:t>Martha Wright-Reed Just and Reasonable Communications Act of 2022, Pub. L. No. 117-338, 136 Stat. 6156</w:t>
      </w:r>
      <w:r w:rsidR="00FA28B8">
        <w:t xml:space="preserve">, </w:t>
      </w:r>
      <w:r w:rsidRPr="00F80DEE" w:rsidR="00FA28B8">
        <w:t>§</w:t>
      </w:r>
      <w:r w:rsidR="00FB5BDC">
        <w:t> </w:t>
      </w:r>
      <w:r w:rsidRPr="00F80DEE" w:rsidR="00FA28B8">
        <w:t>2(a)(2), (b)</w:t>
      </w:r>
      <w:r w:rsidRPr="00506B6D" w:rsidR="00FA28B8">
        <w:t xml:space="preserve"> (Martha Wright-Reed Act or Act)</w:t>
      </w:r>
      <w:r w:rsidR="00FA28B8">
        <w:t>.</w:t>
      </w:r>
    </w:p>
  </w:footnote>
  <w:footnote w:id="4">
    <w:p w:rsidR="0064009E" w:rsidRPr="00F80DEE" w:rsidP="0064009E" w14:paraId="6A5C921B" w14:textId="77777777">
      <w:pPr>
        <w:pStyle w:val="FootnoteText"/>
      </w:pPr>
      <w:r w:rsidRPr="00F80DEE">
        <w:rPr>
          <w:rStyle w:val="FootnoteReference"/>
        </w:rPr>
        <w:footnoteRef/>
      </w:r>
      <w:r w:rsidRPr="00F80DEE">
        <w:t xml:space="preserve"> </w:t>
      </w:r>
      <w:r w:rsidRPr="00F80DEE">
        <w:rPr>
          <w:i/>
          <w:iCs/>
        </w:rPr>
        <w:t>Id</w:t>
      </w:r>
      <w:r w:rsidRPr="00F80DEE">
        <w:t xml:space="preserve">. § 2(c). </w:t>
      </w:r>
    </w:p>
  </w:footnote>
  <w:footnote w:id="5">
    <w:p w:rsidR="0064009E" w:rsidRPr="00620A54" w:rsidP="0064009E" w14:paraId="7C5E0693" w14:textId="77777777">
      <w:pPr>
        <w:pStyle w:val="FootnoteText"/>
      </w:pPr>
      <w:r w:rsidRPr="0049397B">
        <w:rPr>
          <w:rStyle w:val="FootnoteReference"/>
        </w:rPr>
        <w:footnoteRef/>
      </w:r>
      <w:r w:rsidRPr="00620A54">
        <w:t xml:space="preserve"> </w:t>
      </w:r>
      <w:r>
        <w:rPr>
          <w:i/>
          <w:iCs/>
        </w:rPr>
        <w:t>Id.</w:t>
      </w:r>
      <w:r w:rsidRPr="00F80DEE">
        <w:t xml:space="preserve"> </w:t>
      </w:r>
      <w:r w:rsidRPr="00620A54">
        <w:t>§</w:t>
      </w:r>
      <w:r>
        <w:t>§ 2,</w:t>
      </w:r>
      <w:r w:rsidRPr="00620A54">
        <w:t> 3(a)</w:t>
      </w:r>
      <w:r>
        <w:t xml:space="preserve">; 47 U.S.C. </w:t>
      </w:r>
      <w:r w:rsidRPr="00620A54">
        <w:t>§ </w:t>
      </w:r>
      <w:r>
        <w:t>276(b)(1)(A).</w:t>
      </w:r>
    </w:p>
  </w:footnote>
  <w:footnote w:id="6">
    <w:p w:rsidR="00656587" w:rsidP="00656587" w14:paraId="29F16063" w14:textId="77777777">
      <w:pPr>
        <w:pStyle w:val="FootnoteText"/>
      </w:pPr>
      <w:r>
        <w:rPr>
          <w:rStyle w:val="FootnoteReference"/>
        </w:rPr>
        <w:footnoteRef/>
      </w:r>
      <w:r>
        <w:t xml:space="preserve"> </w:t>
      </w:r>
      <w:r w:rsidRPr="005E30DB">
        <w:rPr>
          <w:i/>
          <w:iCs/>
        </w:rPr>
        <w:t>Incarcerated People’s Communications Services; Implementation of the Martha Wright-Reed Act; Rates for Interstate Inmate Calling Services</w:t>
      </w:r>
      <w:r w:rsidRPr="003264BA">
        <w:t>, WC Docket Nos. 23-62, 12-375,</w:t>
      </w:r>
      <w:r>
        <w:t xml:space="preserve"> Report and Order, Order on Reconsideration, Clarification and Waiver, and Further Notice of Proposed Rulemaking, FCC 24-75 (rel. July 22, 2024) (</w:t>
      </w:r>
      <w:r w:rsidRPr="005E30DB">
        <w:rPr>
          <w:i/>
          <w:iCs/>
        </w:rPr>
        <w:t>2024 IPCS Order</w:t>
      </w:r>
      <w:r>
        <w:t>).</w:t>
      </w:r>
    </w:p>
  </w:footnote>
  <w:footnote w:id="7">
    <w:p w:rsidR="004E2C46" w:rsidRPr="00B755BD" w:rsidP="004E2C46" w14:paraId="3B78FE2C" w14:textId="2344AA1A">
      <w:pPr>
        <w:pStyle w:val="FootnoteText"/>
      </w:pPr>
      <w:r>
        <w:rPr>
          <w:rStyle w:val="FootnoteReference"/>
        </w:rPr>
        <w:footnoteRef/>
      </w:r>
      <w:r>
        <w:t xml:space="preserve"> The redacted version of the </w:t>
      </w:r>
      <w:r>
        <w:rPr>
          <w:i/>
          <w:iCs/>
        </w:rPr>
        <w:t>2024 IPCS Order</w:t>
      </w:r>
      <w:r>
        <w:t xml:space="preserve">, including the </w:t>
      </w:r>
      <w:r w:rsidR="00D8463D">
        <w:t xml:space="preserve">accompanying </w:t>
      </w:r>
      <w:r>
        <w:t xml:space="preserve">Order on Reconsideration, Clarification and Waiver, Further Notice of Proposed Rulemaking, and the FCC Commissioners’ Separate Statements, is 464 pages </w:t>
      </w:r>
      <w:r w:rsidR="002621C3">
        <w:t>in length</w:t>
      </w:r>
      <w:r>
        <w:t>.</w:t>
      </w:r>
    </w:p>
  </w:footnote>
  <w:footnote w:id="8">
    <w:p w:rsidR="00F23FA1" w:rsidP="0089791B" w14:paraId="6719E412" w14:textId="4CAFD82E">
      <w:pPr>
        <w:pStyle w:val="FootnoteText"/>
      </w:pPr>
      <w:r>
        <w:rPr>
          <w:rStyle w:val="FootnoteReference"/>
        </w:rPr>
        <w:footnoteRef/>
      </w:r>
      <w:r>
        <w:t xml:space="preserve"> </w:t>
      </w:r>
      <w:r w:rsidRPr="00F23FA1">
        <w:t xml:space="preserve">In this submission, we are also seeking renewal of the previously approved </w:t>
      </w:r>
      <w:r w:rsidR="001C2049">
        <w:t xml:space="preserve">paperwork </w:t>
      </w:r>
      <w:r w:rsidRPr="00F23FA1">
        <w:t>requirements for communications access for incarcerated people with communication disabilities in section 64.6040(c) of the Commission’s rules</w:t>
      </w:r>
      <w:r w:rsidR="00AF529D">
        <w:t>.</w:t>
      </w:r>
      <w:r w:rsidR="00D6208F">
        <w:t xml:space="preserve">  </w:t>
      </w:r>
    </w:p>
  </w:footnote>
  <w:footnote w:id="9">
    <w:p w:rsidR="00E67AD6" w:rsidP="00E67AD6" w14:paraId="4EEFDCE6" w14:textId="1099DC5C">
      <w:pPr>
        <w:pStyle w:val="FootnoteText"/>
      </w:pPr>
      <w:r>
        <w:rPr>
          <w:rStyle w:val="FootnoteReference"/>
        </w:rPr>
        <w:footnoteRef/>
      </w:r>
      <w:r>
        <w:t xml:space="preserve"> </w:t>
      </w:r>
      <w:bookmarkStart w:id="2" w:name="_Hlk175897656"/>
      <w:r w:rsidRPr="003A1946">
        <w:rPr>
          <w:i/>
          <w:iCs/>
        </w:rPr>
        <w:t>Rates for Interstate Inmate Calling Services</w:t>
      </w:r>
      <w:r w:rsidRPr="003A1946">
        <w:t>, WC Docket No. 12-375, Fourth Report and Order and Sixth Further Notice of Proposed Rulemaking, 37 FCC Rcd 11900</w:t>
      </w:r>
      <w:r w:rsidR="008116CC">
        <w:t>, 11902, para. 3</w:t>
      </w:r>
      <w:r>
        <w:t xml:space="preserve"> </w:t>
      </w:r>
      <w:r w:rsidRPr="003A1946">
        <w:t>(2022) (</w:t>
      </w:r>
      <w:r w:rsidRPr="003A1946">
        <w:rPr>
          <w:i/>
          <w:iCs/>
        </w:rPr>
        <w:t>2022 ICS Order</w:t>
      </w:r>
      <w:r w:rsidRPr="003A1946">
        <w:t xml:space="preserve"> or </w:t>
      </w:r>
      <w:r w:rsidRPr="003A1946">
        <w:rPr>
          <w:i/>
          <w:iCs/>
        </w:rPr>
        <w:t>2022 ICS Notice</w:t>
      </w:r>
      <w:r w:rsidRPr="003A1946">
        <w:t>).</w:t>
      </w:r>
      <w:bookmarkStart w:id="3" w:name="_Hlk175864433"/>
    </w:p>
    <w:bookmarkEnd w:id="2"/>
    <w:bookmarkEnd w:id="3"/>
  </w:footnote>
  <w:footnote w:id="10">
    <w:p w:rsidR="00E67AD6" w:rsidP="00E67AD6" w14:paraId="62FA43E9" w14:textId="77777777">
      <w:pPr>
        <w:pStyle w:val="FootnoteText"/>
      </w:pPr>
      <w:r>
        <w:rPr>
          <w:rStyle w:val="FootnoteReference"/>
        </w:rPr>
        <w:footnoteRef/>
      </w:r>
      <w:r>
        <w:t xml:space="preserve"> </w:t>
      </w:r>
      <w:r w:rsidRPr="008558B9">
        <w:rPr>
          <w:i/>
          <w:iCs/>
        </w:rPr>
        <w:t>2022 ICS Order</w:t>
      </w:r>
      <w:r>
        <w:t>,</w:t>
      </w:r>
      <w:r w:rsidRPr="00571042">
        <w:t xml:space="preserve"> 37 FCC </w:t>
      </w:r>
      <w:r>
        <w:t xml:space="preserve">at </w:t>
      </w:r>
      <w:r w:rsidRPr="00571042">
        <w:t>11902, para. 3</w:t>
      </w:r>
      <w:r>
        <w:t>.</w:t>
      </w:r>
    </w:p>
  </w:footnote>
  <w:footnote w:id="11">
    <w:p w:rsidR="00E67AD6" w:rsidP="00E67AD6" w14:paraId="360C321D" w14:textId="60411FEF">
      <w:pPr>
        <w:pStyle w:val="FootnoteText"/>
      </w:pPr>
      <w:r>
        <w:rPr>
          <w:rStyle w:val="FootnoteReference"/>
        </w:rPr>
        <w:footnoteRef/>
      </w:r>
      <w:r>
        <w:t xml:space="preserve"> </w:t>
      </w:r>
      <w:r w:rsidRPr="00C550F9">
        <w:t>47 CFR § 64.6040(c)</w:t>
      </w:r>
      <w:r>
        <w:t>(2).</w:t>
      </w:r>
      <w:r w:rsidR="00A54A3A">
        <w:t xml:space="preserve">  </w:t>
      </w:r>
      <w:r w:rsidR="00C84310">
        <w:t xml:space="preserve">OMB approved the burden estimate </w:t>
      </w:r>
      <w:r w:rsidR="00DF5B72">
        <w:t>for section 6040(c)</w:t>
      </w:r>
      <w:r w:rsidR="00E22872">
        <w:t xml:space="preserve"> in December 2023. </w:t>
      </w:r>
      <w:r w:rsidRPr="00DF5B72" w:rsidR="00DF5B72">
        <w:t xml:space="preserve"> </w:t>
      </w:r>
      <w:r w:rsidRPr="00DF5B72" w:rsidR="00DF5B72">
        <w:rPr>
          <w:i/>
          <w:iCs/>
        </w:rPr>
        <w:t>See</w:t>
      </w:r>
      <w:r w:rsidRPr="00DF5B72" w:rsidR="00DF5B72">
        <w:t xml:space="preserve"> Inmate Calling Services (ICS) Provider Annual Reporting, Certification, and Other Requirements, OMB Control No. 3060-1222</w:t>
      </w:r>
      <w:r w:rsidR="0039296D">
        <w:t>, Notice of Approval (Dec. 4, 2023).</w:t>
      </w:r>
    </w:p>
  </w:footnote>
  <w:footnote w:id="12">
    <w:p w:rsidR="00E67AD6" w:rsidP="00E67AD6" w14:paraId="0CEB4EAA" w14:textId="481F5114">
      <w:pPr>
        <w:pStyle w:val="FootnoteText"/>
      </w:pPr>
      <w:r>
        <w:rPr>
          <w:rStyle w:val="FootnoteReference"/>
        </w:rPr>
        <w:footnoteRef/>
      </w:r>
      <w:r w:rsidR="00766B1D">
        <w:rPr>
          <w:i/>
          <w:iCs/>
        </w:rPr>
        <w:t xml:space="preserve"> </w:t>
      </w:r>
      <w:r w:rsidRPr="00766B1D" w:rsidR="001A6B58">
        <w:rPr>
          <w:i/>
          <w:iCs/>
        </w:rPr>
        <w:t>2023 IPCS Notice</w:t>
      </w:r>
      <w:r w:rsidRPr="007F5731">
        <w:t xml:space="preserve">, 38 FCC </w:t>
      </w:r>
      <w:r w:rsidRPr="007F5731">
        <w:t xml:space="preserve">Rcd </w:t>
      </w:r>
      <w:r w:rsidR="001A6B58">
        <w:t xml:space="preserve">at </w:t>
      </w:r>
      <w:r>
        <w:t>2698-99, paras. 75-77</w:t>
      </w:r>
      <w:r w:rsidRPr="007F5731">
        <w:t xml:space="preserve">.  </w:t>
      </w:r>
    </w:p>
  </w:footnote>
  <w:footnote w:id="13">
    <w:p w:rsidR="00E67AD6" w:rsidRPr="00AF4369" w:rsidP="00E67AD6" w14:paraId="3A359837" w14:textId="3F6BBD49">
      <w:pPr>
        <w:pStyle w:val="FootnoteText"/>
      </w:pPr>
      <w:r>
        <w:rPr>
          <w:rStyle w:val="FootnoteReference"/>
        </w:rPr>
        <w:footnoteRef/>
      </w:r>
      <w:r w:rsidR="00766B1D">
        <w:t xml:space="preserve"> </w:t>
      </w:r>
      <w:r w:rsidRPr="00601A38" w:rsidR="00766B1D">
        <w:rPr>
          <w:i/>
          <w:iCs/>
        </w:rPr>
        <w:t>2024 IPCS Order</w:t>
      </w:r>
      <w:r w:rsidR="00371B2C">
        <w:t xml:space="preserve">, Appx. A (Final Rules) at </w:t>
      </w:r>
      <w:r w:rsidR="00601A38">
        <w:t>332.</w:t>
      </w:r>
      <w:r w:rsidR="00766B1D">
        <w:t xml:space="preserve"> </w:t>
      </w:r>
    </w:p>
  </w:footnote>
  <w:footnote w:id="14">
    <w:p w:rsidR="00B42180" w:rsidRPr="007A51EE" w:rsidP="00B42180" w14:paraId="1ECEE958" w14:textId="31120B04">
      <w:pPr>
        <w:pStyle w:val="FootnoteText"/>
      </w:pPr>
      <w:r w:rsidRPr="00BA68CE">
        <w:rPr>
          <w:rStyle w:val="FootnoteReference"/>
        </w:rPr>
        <w:footnoteRef/>
      </w:r>
      <w:r w:rsidRPr="00BA68CE">
        <w:t xml:space="preserve"> </w:t>
      </w:r>
      <w:r w:rsidRPr="00EE702F" w:rsidR="00FC105A">
        <w:rPr>
          <w:i/>
          <w:iCs/>
        </w:rPr>
        <w:t>2022 ICS Order</w:t>
      </w:r>
      <w:r w:rsidR="007A51EE">
        <w:t xml:space="preserve">, </w:t>
      </w:r>
      <w:r w:rsidR="0014177C">
        <w:t xml:space="preserve">37 FCC Rcd at </w:t>
      </w:r>
      <w:r w:rsidR="006C2741">
        <w:t xml:space="preserve">11902, </w:t>
      </w:r>
      <w:r w:rsidR="004D0187">
        <w:t>para. 4.</w:t>
      </w:r>
    </w:p>
  </w:footnote>
  <w:footnote w:id="15">
    <w:p w:rsidR="00B42180" w:rsidRPr="00BA68CE" w:rsidP="00B42180" w14:paraId="02DAA31F" w14:textId="67B186C3">
      <w:pPr>
        <w:pStyle w:val="FootnoteText"/>
      </w:pPr>
      <w:r w:rsidRPr="00BA68CE">
        <w:rPr>
          <w:rStyle w:val="FootnoteReference"/>
        </w:rPr>
        <w:footnoteRef/>
      </w:r>
      <w:r w:rsidRPr="00BA68CE">
        <w:t xml:space="preserve"> </w:t>
      </w:r>
      <w:r w:rsidRPr="00BA68CE">
        <w:rPr>
          <w:i/>
          <w:iCs/>
        </w:rPr>
        <w:t xml:space="preserve">2022 ICS </w:t>
      </w:r>
      <w:r w:rsidR="0014177C">
        <w:rPr>
          <w:i/>
          <w:iCs/>
        </w:rPr>
        <w:t xml:space="preserve">Further </w:t>
      </w:r>
      <w:r w:rsidRPr="00BA68CE">
        <w:rPr>
          <w:i/>
          <w:iCs/>
        </w:rPr>
        <w:t>Notice</w:t>
      </w:r>
      <w:r w:rsidRPr="00BA68CE">
        <w:t>, 37 FCC Rcd at 11944-46, paras. 99-109.</w:t>
      </w:r>
    </w:p>
  </w:footnote>
  <w:footnote w:id="16">
    <w:p w:rsidR="00B42180" w:rsidP="00B42180" w14:paraId="18B0A10C" w14:textId="3D72FFDF">
      <w:pPr>
        <w:pStyle w:val="footnotedescription"/>
        <w:spacing w:after="110" w:line="253" w:lineRule="auto"/>
        <w:ind w:left="2" w:right="639"/>
      </w:pPr>
      <w:r>
        <w:rPr>
          <w:rStyle w:val="footnotemark"/>
        </w:rPr>
        <w:footnoteRef/>
      </w:r>
      <w:r w:rsidR="001F2EDD">
        <w:t xml:space="preserve"> </w:t>
      </w:r>
      <w:r w:rsidRPr="00F70C0A" w:rsidR="00123B51">
        <w:rPr>
          <w:i/>
          <w:iCs/>
        </w:rPr>
        <w:t>2024 IPCS Order</w:t>
      </w:r>
      <w:r w:rsidR="00123B51">
        <w:t xml:space="preserve"> at </w:t>
      </w:r>
      <w:r w:rsidR="000F72FF">
        <w:t xml:space="preserve">274-288, </w:t>
      </w:r>
      <w:r w:rsidR="00123B51">
        <w:t xml:space="preserve">paras. </w:t>
      </w:r>
      <w:r w:rsidR="00F70C0A">
        <w:t>530-56.</w:t>
      </w:r>
      <w:r>
        <w:t xml:space="preserve">  </w:t>
      </w:r>
    </w:p>
  </w:footnote>
  <w:footnote w:id="17">
    <w:p w:rsidR="002A4F6C" w14:paraId="482D128B" w14:textId="4C057B7E">
      <w:pPr>
        <w:pStyle w:val="FootnoteText"/>
      </w:pPr>
      <w:r>
        <w:rPr>
          <w:rStyle w:val="FootnoteReference"/>
        </w:rPr>
        <w:footnoteRef/>
      </w:r>
      <w:r>
        <w:t xml:space="preserve"> </w:t>
      </w:r>
      <w:r w:rsidRPr="00434A9D" w:rsidR="00A578D1">
        <w:rPr>
          <w:i/>
          <w:iCs/>
        </w:rPr>
        <w:t>2024 IPCS Order</w:t>
      </w:r>
      <w:r w:rsidR="00A578D1">
        <w:t xml:space="preserve"> at 227, para. 4</w:t>
      </w:r>
      <w:r w:rsidR="00434A9D">
        <w:t>27</w:t>
      </w:r>
      <w:r w:rsidR="001D4E44">
        <w:t xml:space="preserve">; </w:t>
      </w:r>
      <w:r w:rsidR="001D4E44">
        <w:rPr>
          <w:i/>
          <w:iCs/>
        </w:rPr>
        <w:t xml:space="preserve">see </w:t>
      </w:r>
      <w:r w:rsidR="001D4E44">
        <w:t xml:space="preserve">47 CFR </w:t>
      </w:r>
      <w:r w:rsidRPr="004460F4" w:rsidR="00464F59">
        <w:rPr>
          <w:szCs w:val="22"/>
        </w:rPr>
        <w:t>§</w:t>
      </w:r>
      <w:r w:rsidRPr="004460F4" w:rsidR="00A20A0A">
        <w:rPr>
          <w:szCs w:val="22"/>
        </w:rPr>
        <w:t>§</w:t>
      </w:r>
      <w:r w:rsidR="00464F59">
        <w:t> </w:t>
      </w:r>
      <w:r w:rsidR="00936751">
        <w:t>64.10, 64.6080, 64.6090</w:t>
      </w:r>
      <w:r w:rsidR="005E40C7">
        <w:t xml:space="preserve"> (2023)</w:t>
      </w:r>
      <w:r w:rsidR="00434A9D">
        <w:t>.</w:t>
      </w:r>
    </w:p>
  </w:footnote>
  <w:footnote w:id="18">
    <w:p w:rsidR="00B42180" w:rsidRPr="00F6087F" w:rsidP="00B42180" w14:paraId="5AA0779E" w14:textId="11DAAE44">
      <w:pPr>
        <w:pStyle w:val="FootnoteText"/>
        <w:rPr>
          <w:iCs/>
        </w:rPr>
      </w:pPr>
      <w:r w:rsidRPr="00E12A79">
        <w:rPr>
          <w:rStyle w:val="FootnoteReference"/>
        </w:rPr>
        <w:footnoteRef/>
      </w:r>
      <w:r w:rsidRPr="00E12A79">
        <w:t xml:space="preserve"> </w:t>
      </w:r>
      <w:r w:rsidRPr="000E351A" w:rsidR="000E351A">
        <w:rPr>
          <w:i/>
          <w:iCs/>
        </w:rPr>
        <w:t>Rates for Interstate Inmate Calling Services</w:t>
      </w:r>
      <w:r w:rsidRPr="000E351A" w:rsidR="000E351A">
        <w:t>, WC Docket No. 12-375, Report and Order on Remand and Fourth Further Notice of Proposed Rulemaking, 35 FCC Rcd 8485, 8</w:t>
      </w:r>
      <w:r w:rsidR="00793314">
        <w:t>533</w:t>
      </w:r>
      <w:r w:rsidRPr="000E351A" w:rsidR="000E351A">
        <w:t xml:space="preserve">, para. </w:t>
      </w:r>
      <w:r w:rsidR="00793314">
        <w:t>134</w:t>
      </w:r>
      <w:r w:rsidRPr="000E351A" w:rsidR="000E351A">
        <w:t xml:space="preserve"> (2020) (</w:t>
      </w:r>
      <w:r w:rsidRPr="000E351A" w:rsidR="000E351A">
        <w:rPr>
          <w:i/>
          <w:iCs/>
        </w:rPr>
        <w:t>2020 ICS Notice</w:t>
      </w:r>
      <w:r w:rsidRPr="000E351A" w:rsidR="000E351A">
        <w:t>)</w:t>
      </w:r>
      <w:r w:rsidR="00995A51">
        <w:rPr>
          <w:iCs/>
        </w:rPr>
        <w:t xml:space="preserve">; </w:t>
      </w:r>
      <w:r w:rsidRPr="00995A51" w:rsidR="00995A51">
        <w:rPr>
          <w:i/>
        </w:rPr>
        <w:t>see also 2024 IPCS Order</w:t>
      </w:r>
      <w:r w:rsidR="00995A51">
        <w:rPr>
          <w:iCs/>
        </w:rPr>
        <w:t xml:space="preserve"> at para. 31.</w:t>
      </w:r>
    </w:p>
  </w:footnote>
  <w:footnote w:id="19">
    <w:p w:rsidR="00B42180" w:rsidRPr="00E12A79" w:rsidP="00B42180" w14:paraId="5919C3F6" w14:textId="59F8267D">
      <w:pPr>
        <w:pStyle w:val="FootnoteText"/>
      </w:pPr>
      <w:r w:rsidRPr="00E12A79">
        <w:rPr>
          <w:rStyle w:val="FootnoteReference"/>
        </w:rPr>
        <w:footnoteRef/>
      </w:r>
      <w:r w:rsidRPr="00E12A79">
        <w:t xml:space="preserve"> </w:t>
      </w:r>
      <w:r w:rsidRPr="00772BEE" w:rsidR="00B14BE9">
        <w:rPr>
          <w:i/>
          <w:iCs/>
        </w:rPr>
        <w:t>Rates for Interstate Inmate Calling Services</w:t>
      </w:r>
      <w:r w:rsidRPr="00B14BE9" w:rsidR="00B14BE9">
        <w:t>, WC Docket No. 12-375, Third Report and Order, Order on Reconsideration, and Fifth Further Notice of Proposed Rulemaking, 36 FCC Rcd 9519, 9</w:t>
      </w:r>
      <w:r w:rsidR="00772BEE">
        <w:t>657,</w:t>
      </w:r>
      <w:r w:rsidRPr="00B14BE9" w:rsidR="00B14BE9">
        <w:t xml:space="preserve"> para. </w:t>
      </w:r>
      <w:r w:rsidR="00772BEE">
        <w:t>305</w:t>
      </w:r>
      <w:r w:rsidRPr="00B14BE9" w:rsidR="00B14BE9">
        <w:t xml:space="preserve"> (2021) (</w:t>
      </w:r>
      <w:r w:rsidRPr="00772BEE" w:rsidR="00B14BE9">
        <w:rPr>
          <w:i/>
          <w:iCs/>
        </w:rPr>
        <w:t>2021 ICS Notice</w:t>
      </w:r>
      <w:r w:rsidRPr="00B14BE9" w:rsidR="00B14BE9">
        <w:t>)</w:t>
      </w:r>
      <w:r w:rsidR="00772BEE">
        <w:t>.</w:t>
      </w:r>
    </w:p>
  </w:footnote>
  <w:footnote w:id="20">
    <w:p w:rsidR="00B42180" w:rsidRPr="00E12A79" w:rsidP="00B42180" w14:paraId="4C7F8CDB" w14:textId="1694A6FE">
      <w:pPr>
        <w:pStyle w:val="FootnoteText"/>
      </w:pPr>
      <w:r w:rsidRPr="00E12A79">
        <w:rPr>
          <w:rStyle w:val="FootnoteReference"/>
        </w:rPr>
        <w:footnoteRef/>
      </w:r>
      <w:r w:rsidRPr="00E12A79">
        <w:t xml:space="preserve"> </w:t>
      </w:r>
      <w:r w:rsidRPr="00E12A79">
        <w:rPr>
          <w:i/>
          <w:iCs/>
        </w:rPr>
        <w:t>2022 ICS Notice</w:t>
      </w:r>
      <w:r w:rsidRPr="00E12A79">
        <w:t xml:space="preserve">, 37 FCC Rcd at 11959-63, paras. 148-60; </w:t>
      </w:r>
      <w:r w:rsidRPr="00E12A79">
        <w:rPr>
          <w:i/>
          <w:iCs/>
        </w:rPr>
        <w:t>2023 IPCS Notice</w:t>
      </w:r>
      <w:r w:rsidRPr="00E12A79">
        <w:t>, 38 FCC Rcd at 2687-88, paras. 45-46</w:t>
      </w:r>
      <w:r w:rsidRPr="00470FD5">
        <w:t>.</w:t>
      </w:r>
      <w:r w:rsidR="004A0090">
        <w:t xml:space="preserve"> </w:t>
      </w:r>
    </w:p>
  </w:footnote>
  <w:footnote w:id="21">
    <w:p w:rsidR="00467D93" w14:paraId="05FB17D8" w14:textId="02609115">
      <w:pPr>
        <w:pStyle w:val="FootnoteText"/>
      </w:pPr>
      <w:r>
        <w:rPr>
          <w:rStyle w:val="FootnoteReference"/>
        </w:rPr>
        <w:footnoteRef/>
      </w:r>
      <w:r>
        <w:t xml:space="preserve"> </w:t>
      </w:r>
      <w:r w:rsidRPr="00F21655" w:rsidR="00F21655">
        <w:rPr>
          <w:i/>
          <w:iCs/>
        </w:rPr>
        <w:t>2024 IPCS Order</w:t>
      </w:r>
      <w:r w:rsidRPr="00F21655" w:rsidR="00F21655">
        <w:t xml:space="preserve"> at </w:t>
      </w:r>
      <w:r w:rsidR="00AD4840">
        <w:t>230</w:t>
      </w:r>
      <w:r w:rsidR="006024AF">
        <w:t xml:space="preserve">, </w:t>
      </w:r>
      <w:r w:rsidRPr="00F21655" w:rsidR="00F21655">
        <w:t>para</w:t>
      </w:r>
      <w:r w:rsidR="00F21655">
        <w:t>. 428.</w:t>
      </w:r>
    </w:p>
  </w:footnote>
  <w:footnote w:id="22">
    <w:p w:rsidR="00332111" w14:paraId="619A5C7F" w14:textId="2001C157">
      <w:pPr>
        <w:pStyle w:val="FootnoteText"/>
      </w:pPr>
      <w:r>
        <w:rPr>
          <w:rStyle w:val="FootnoteReference"/>
        </w:rPr>
        <w:footnoteRef/>
      </w:r>
      <w:r>
        <w:t xml:space="preserve"> </w:t>
      </w:r>
      <w:r w:rsidRPr="00F8588D">
        <w:rPr>
          <w:i/>
          <w:iCs/>
        </w:rPr>
        <w:t>2024 IPCS Order</w:t>
      </w:r>
      <w:r>
        <w:t xml:space="preserve"> at </w:t>
      </w:r>
      <w:r w:rsidR="00AD4840">
        <w:t>3-4, 229-49</w:t>
      </w:r>
      <w:r w:rsidR="006024AF">
        <w:t xml:space="preserve">, </w:t>
      </w:r>
      <w:r>
        <w:t xml:space="preserve">paras. </w:t>
      </w:r>
      <w:r w:rsidR="00E42923">
        <w:t xml:space="preserve">2, 3, </w:t>
      </w:r>
      <w:r w:rsidR="00F8588D">
        <w:t>427-71.</w:t>
      </w:r>
    </w:p>
  </w:footnote>
  <w:footnote w:id="23">
    <w:p w:rsidR="00AD64F5" w14:paraId="4307F682" w14:textId="35997828">
      <w:pPr>
        <w:pStyle w:val="FootnoteText"/>
      </w:pPr>
      <w:r>
        <w:rPr>
          <w:rStyle w:val="FootnoteReference"/>
        </w:rPr>
        <w:footnoteRef/>
      </w:r>
      <w:r>
        <w:t xml:space="preserve"> </w:t>
      </w:r>
      <w:r w:rsidRPr="004A0090" w:rsidR="004A0090">
        <w:rPr>
          <w:i/>
          <w:iCs/>
        </w:rPr>
        <w:t>See, e.g.</w:t>
      </w:r>
      <w:r w:rsidR="004A0090">
        <w:t xml:space="preserve">, </w:t>
      </w:r>
      <w:r w:rsidRPr="00AD64F5">
        <w:rPr>
          <w:i/>
          <w:iCs/>
        </w:rPr>
        <w:t>2024 IPCS Order</w:t>
      </w:r>
      <w:r w:rsidRPr="00AD64F5">
        <w:t xml:space="preserve"> at</w:t>
      </w:r>
      <w:r w:rsidR="00934FC4">
        <w:t xml:space="preserve"> </w:t>
      </w:r>
      <w:r w:rsidR="00391A2A">
        <w:t>3-4, 241-45</w:t>
      </w:r>
      <w:r w:rsidR="00D44B91">
        <w:t>, 249, 271-77</w:t>
      </w:r>
      <w:r w:rsidR="006024AF">
        <w:t xml:space="preserve">, </w:t>
      </w:r>
      <w:r w:rsidRPr="00AD64F5">
        <w:t>paras. 2, 3,</w:t>
      </w:r>
      <w:r>
        <w:t xml:space="preserve"> </w:t>
      </w:r>
      <w:r w:rsidR="00D4588C">
        <w:t>452, 455</w:t>
      </w:r>
      <w:r w:rsidR="004A0090">
        <w:t>, 460, 471</w:t>
      </w:r>
      <w:r w:rsidR="00740DC3">
        <w:t>, 518-529 (</w:t>
      </w:r>
      <w:r w:rsidR="00A82A9D">
        <w:t xml:space="preserve">detailing </w:t>
      </w:r>
      <w:r w:rsidR="00740DC3">
        <w:t xml:space="preserve">consumer disclosure rules for </w:t>
      </w:r>
      <w:r w:rsidR="00F31A5D">
        <w:t>a</w:t>
      </w:r>
      <w:r w:rsidR="00740DC3">
        <w:t xml:space="preserve">lternate </w:t>
      </w:r>
      <w:r w:rsidR="00F31A5D">
        <w:t>p</w:t>
      </w:r>
      <w:r w:rsidR="00740DC3">
        <w:t xml:space="preserve">ricing </w:t>
      </w:r>
      <w:r w:rsidR="00F31A5D">
        <w:t>p</w:t>
      </w:r>
      <w:r w:rsidR="00740DC3">
        <w:t>lans).</w:t>
      </w:r>
    </w:p>
  </w:footnote>
  <w:footnote w:id="24">
    <w:p w:rsidR="007D2887" w:rsidRPr="00BA68CE" w:rsidP="007D2887" w14:paraId="566EBB30" w14:textId="5A91F1D6">
      <w:pPr>
        <w:pStyle w:val="FootnoteText"/>
      </w:pPr>
      <w:r w:rsidRPr="00BA68CE">
        <w:rPr>
          <w:rStyle w:val="FootnoteReference"/>
        </w:rPr>
        <w:footnoteRef/>
      </w:r>
      <w:r w:rsidRPr="00BA68CE">
        <w:t xml:space="preserve"> </w:t>
      </w:r>
      <w:r w:rsidRPr="00A81F5D" w:rsidR="00A81F5D">
        <w:rPr>
          <w:i/>
          <w:iCs/>
        </w:rPr>
        <w:t>Rates for Interstate Inmate Calling Services</w:t>
      </w:r>
      <w:r w:rsidRPr="00A81F5D" w:rsidR="00A81F5D">
        <w:t>, WC Docket No. 12-375, Second Report and Order and Third Further Notice of Proposed Rulemaking, 30 FCC Rcd 12763</w:t>
      </w:r>
      <w:r w:rsidR="00A81F5D">
        <w:t>, 12895-96, para. 278</w:t>
      </w:r>
      <w:r w:rsidRPr="00A81F5D" w:rsidR="00A81F5D">
        <w:t xml:space="preserve"> (2015) (</w:t>
      </w:r>
      <w:r w:rsidRPr="00A81F5D" w:rsidR="00A81F5D">
        <w:rPr>
          <w:i/>
          <w:iCs/>
        </w:rPr>
        <w:t>2015 ICS Order</w:t>
      </w:r>
      <w:r w:rsidR="00A81F5D">
        <w:t>).</w:t>
      </w:r>
    </w:p>
  </w:footnote>
  <w:footnote w:id="25">
    <w:p w:rsidR="007D2887" w:rsidRPr="00BA68CE" w:rsidP="00A81F5D" w14:paraId="71101672" w14:textId="58266062">
      <w:pPr>
        <w:pStyle w:val="FootnoteText"/>
        <w:tabs>
          <w:tab w:val="right" w:pos="9360"/>
        </w:tabs>
      </w:pPr>
      <w:r w:rsidRPr="00BA68CE">
        <w:rPr>
          <w:rStyle w:val="FootnoteReference"/>
        </w:rPr>
        <w:footnoteRef/>
      </w:r>
      <w:r w:rsidRPr="00BA68CE">
        <w:t xml:space="preserve"> </w:t>
      </w:r>
      <w:r w:rsidRPr="00BA68CE">
        <w:rPr>
          <w:i/>
          <w:iCs/>
        </w:rPr>
        <w:t>2021 ICS Order</w:t>
      </w:r>
      <w:r w:rsidRPr="00BA68CE">
        <w:t>, 36 FCC Rcd at 9591, para. 166.</w:t>
      </w:r>
      <w:r w:rsidR="00A81F5D">
        <w:tab/>
      </w:r>
    </w:p>
  </w:footnote>
  <w:footnote w:id="26">
    <w:p w:rsidR="007D2887" w:rsidRPr="00BA68CE" w:rsidP="007D2887" w14:paraId="113A16D7" w14:textId="78DFB22E">
      <w:pPr>
        <w:pStyle w:val="FootnoteText"/>
      </w:pPr>
      <w:r w:rsidRPr="00BA68CE">
        <w:rPr>
          <w:rStyle w:val="FootnoteReference"/>
        </w:rPr>
        <w:footnoteRef/>
      </w:r>
      <w:r w:rsidRPr="00BA68CE">
        <w:t xml:space="preserve"> </w:t>
      </w:r>
      <w:r w:rsidR="001D311E">
        <w:rPr>
          <w:i/>
          <w:iCs/>
        </w:rPr>
        <w:t xml:space="preserve">Id. </w:t>
      </w:r>
      <w:r w:rsidRPr="00BA68CE">
        <w:t>at 9564, para. 104.</w:t>
      </w:r>
    </w:p>
  </w:footnote>
  <w:footnote w:id="27">
    <w:p w:rsidR="00B36630" w:rsidRPr="00BA68CE" w:rsidP="00B36630" w14:paraId="099CDFCF" w14:textId="3AB24253">
      <w:pPr>
        <w:pStyle w:val="FootnoteText"/>
      </w:pPr>
      <w:r w:rsidRPr="00BA68CE">
        <w:rPr>
          <w:rStyle w:val="FootnoteReference"/>
        </w:rPr>
        <w:footnoteRef/>
      </w:r>
      <w:r w:rsidRPr="00BA68CE">
        <w:t xml:space="preserve"> </w:t>
      </w:r>
      <w:r w:rsidRPr="00BA68CE">
        <w:rPr>
          <w:i/>
          <w:iCs/>
        </w:rPr>
        <w:t>See 2022 ICS Notice</w:t>
      </w:r>
      <w:r w:rsidRPr="00BA68CE">
        <w:t>, 37 FCC Rcd at 11902, para. 6</w:t>
      </w:r>
      <w:r w:rsidR="006A5B60">
        <w:t>.</w:t>
      </w:r>
    </w:p>
  </w:footnote>
  <w:footnote w:id="28">
    <w:p w:rsidR="00B36630" w:rsidRPr="00BA68CE" w:rsidP="00B36630" w14:paraId="6242C916" w14:textId="77777777">
      <w:pPr>
        <w:pStyle w:val="FootnoteText"/>
      </w:pPr>
      <w:r w:rsidRPr="00BA68CE">
        <w:rPr>
          <w:rStyle w:val="FootnoteReference"/>
        </w:rPr>
        <w:footnoteRef/>
      </w:r>
      <w:r w:rsidRPr="00BA68CE">
        <w:t xml:space="preserve"> </w:t>
      </w:r>
      <w:r w:rsidRPr="00BA68CE">
        <w:rPr>
          <w:i/>
          <w:iCs/>
        </w:rPr>
        <w:t>2023 IPCS Notice</w:t>
      </w:r>
      <w:r w:rsidRPr="00BA68CE">
        <w:t>, 38 FCC Rcd at 2674-75, para. 12</w:t>
      </w:r>
      <w:r w:rsidRPr="00BA68CE">
        <w:rPr>
          <w:snapToGrid w:val="0"/>
        </w:rPr>
        <w:t>.</w:t>
      </w:r>
    </w:p>
  </w:footnote>
  <w:footnote w:id="29">
    <w:p w:rsidR="000A1909" w14:paraId="5ECC0EFA" w14:textId="1B9F2F3B">
      <w:pPr>
        <w:pStyle w:val="FootnoteText"/>
      </w:pPr>
      <w:r>
        <w:rPr>
          <w:rStyle w:val="FootnoteReference"/>
        </w:rPr>
        <w:footnoteRef/>
      </w:r>
      <w:r>
        <w:t xml:space="preserve"> </w:t>
      </w:r>
      <w:r w:rsidRPr="003A7504" w:rsidR="00300320">
        <w:rPr>
          <w:i/>
          <w:iCs/>
        </w:rPr>
        <w:t>2024 IPCS Order</w:t>
      </w:r>
      <w:r w:rsidR="00300320">
        <w:t xml:space="preserve"> at </w:t>
      </w:r>
      <w:r w:rsidR="003A7504">
        <w:t xml:space="preserve">3-4, </w:t>
      </w:r>
      <w:r w:rsidRPr="00106C59" w:rsidR="00DA692D">
        <w:t>261-74</w:t>
      </w:r>
      <w:r w:rsidR="00DA692D">
        <w:t xml:space="preserve">, </w:t>
      </w:r>
      <w:r w:rsidR="003A7504">
        <w:t>para</w:t>
      </w:r>
      <w:r w:rsidR="00DA692D">
        <w:t>s</w:t>
      </w:r>
      <w:r w:rsidR="003A7504">
        <w:t>. 3</w:t>
      </w:r>
      <w:r w:rsidRPr="00106C59" w:rsidR="00106C59">
        <w:t>,</w:t>
      </w:r>
      <w:r w:rsidR="00E9074C">
        <w:t xml:space="preserve"> </w:t>
      </w:r>
      <w:r w:rsidRPr="00106C59" w:rsidR="00106C59">
        <w:t>506-29</w:t>
      </w:r>
      <w:r w:rsidR="00E319ED">
        <w:t>.</w:t>
      </w:r>
    </w:p>
  </w:footnote>
  <w:footnote w:id="30">
    <w:p w:rsidR="00111D40" w14:paraId="1E346CD6" w14:textId="599F6374">
      <w:pPr>
        <w:pStyle w:val="FootnoteText"/>
      </w:pPr>
      <w:r>
        <w:rPr>
          <w:rStyle w:val="FootnoteReference"/>
        </w:rPr>
        <w:footnoteRef/>
      </w:r>
      <w:r>
        <w:t xml:space="preserve"> </w:t>
      </w:r>
      <w:r w:rsidRPr="00B70D02" w:rsidR="00B70D02">
        <w:rPr>
          <w:i/>
          <w:iCs/>
        </w:rPr>
        <w:t>Id</w:t>
      </w:r>
      <w:r w:rsidR="00B70D02">
        <w:t xml:space="preserve">. </w:t>
      </w:r>
      <w:r w:rsidR="00034B2A">
        <w:t xml:space="preserve">at </w:t>
      </w:r>
      <w:r w:rsidRPr="00CA6C7D" w:rsidR="00CA6C7D">
        <w:t>261, para. 505.</w:t>
      </w:r>
    </w:p>
  </w:footnote>
  <w:footnote w:id="31">
    <w:p w:rsidR="00E028AC" w14:paraId="2B4A2813" w14:textId="2C772FF3">
      <w:pPr>
        <w:pStyle w:val="FootnoteText"/>
      </w:pPr>
      <w:r>
        <w:rPr>
          <w:rStyle w:val="FootnoteReference"/>
        </w:rPr>
        <w:footnoteRef/>
      </w:r>
      <w:r>
        <w:t xml:space="preserve"> </w:t>
      </w:r>
      <w:r w:rsidRPr="00CA6C7D" w:rsidR="00CA6C7D">
        <w:rPr>
          <w:i/>
          <w:iCs/>
        </w:rPr>
        <w:t>Id</w:t>
      </w:r>
      <w:r w:rsidR="00CA6C7D">
        <w:t>.</w:t>
      </w:r>
    </w:p>
  </w:footnote>
  <w:footnote w:id="32">
    <w:p w:rsidR="002B6EB0" w:rsidRPr="00BA68CE" w:rsidP="002B6EB0" w14:paraId="02F8DD79" w14:textId="751988B3">
      <w:pPr>
        <w:pStyle w:val="FootnoteText"/>
      </w:pPr>
      <w:r w:rsidRPr="00BA68CE">
        <w:rPr>
          <w:rStyle w:val="FootnoteReference"/>
        </w:rPr>
        <w:footnoteRef/>
      </w:r>
      <w:r w:rsidR="00B70D02">
        <w:t xml:space="preserve"> </w:t>
      </w:r>
      <w:r w:rsidRPr="00467DA5" w:rsidR="0073660F">
        <w:rPr>
          <w:i/>
          <w:iCs/>
        </w:rPr>
        <w:t>Id</w:t>
      </w:r>
      <w:r w:rsidR="0073660F">
        <w:t xml:space="preserve">. at </w:t>
      </w:r>
      <w:r w:rsidR="00620C5A">
        <w:t xml:space="preserve">261-62, para. </w:t>
      </w:r>
      <w:r w:rsidR="00467DA5">
        <w:t>506.</w:t>
      </w:r>
    </w:p>
  </w:footnote>
  <w:footnote w:id="33">
    <w:p w:rsidR="00BB013C" w:rsidRPr="00BA68CE" w:rsidP="00BB013C" w14:paraId="3FF7677C" w14:textId="7FCEE500">
      <w:pPr>
        <w:pStyle w:val="FootnoteText"/>
      </w:pPr>
      <w:r w:rsidRPr="00BA68CE">
        <w:rPr>
          <w:rStyle w:val="FootnoteReference"/>
        </w:rPr>
        <w:footnoteRef/>
      </w:r>
      <w:r w:rsidR="00D17909">
        <w:t xml:space="preserve"> </w:t>
      </w:r>
      <w:r w:rsidRPr="00540256" w:rsidR="00D17909">
        <w:rPr>
          <w:i/>
          <w:iCs/>
        </w:rPr>
        <w:t>Id</w:t>
      </w:r>
      <w:r w:rsidR="00D17909">
        <w:t xml:space="preserve">. </w:t>
      </w:r>
      <w:r w:rsidR="00045CDA">
        <w:t>at 261-</w:t>
      </w:r>
      <w:r w:rsidR="003F7000">
        <w:t>274, paras. 506-29.</w:t>
      </w:r>
    </w:p>
  </w:footnote>
  <w:footnote w:id="34">
    <w:p w:rsidR="00A40EBB" w:rsidP="00A40EBB" w14:paraId="41B48592" w14:textId="4DB42B27">
      <w:pPr>
        <w:pStyle w:val="FootnoteText"/>
      </w:pPr>
      <w:r>
        <w:rPr>
          <w:rStyle w:val="FootnoteReference"/>
        </w:rPr>
        <w:footnoteRef/>
      </w:r>
      <w:r>
        <w:t xml:space="preserve"> </w:t>
      </w:r>
      <w:r w:rsidRPr="00253599">
        <w:rPr>
          <w:i/>
          <w:iCs/>
        </w:rPr>
        <w:t>2024 IPCS Order</w:t>
      </w:r>
      <w:r>
        <w:t xml:space="preserve"> at </w:t>
      </w:r>
      <w:r w:rsidR="00F56E5D">
        <w:t>2</w:t>
      </w:r>
      <w:r w:rsidR="00CD2A1A">
        <w:t>50</w:t>
      </w:r>
      <w:r w:rsidR="00F56E5D">
        <w:t>-5</w:t>
      </w:r>
      <w:r w:rsidR="00CD2A1A">
        <w:t>2</w:t>
      </w:r>
      <w:r w:rsidR="00BD76F6">
        <w:t xml:space="preserve">, </w:t>
      </w:r>
      <w:r>
        <w:t>para</w:t>
      </w:r>
      <w:r w:rsidR="00BD76F6">
        <w:t>s</w:t>
      </w:r>
      <w:r>
        <w:t>. 47</w:t>
      </w:r>
      <w:r w:rsidR="000A0401">
        <w:t>5</w:t>
      </w:r>
      <w:r w:rsidR="00886BF0">
        <w:t>-</w:t>
      </w:r>
      <w:r w:rsidR="00640ED8">
        <w:t>7</w:t>
      </w:r>
      <w:r w:rsidR="00886BF0">
        <w:t>8</w:t>
      </w:r>
      <w:r w:rsidR="004B7BC4">
        <w:t xml:space="preserve">; </w:t>
      </w:r>
      <w:r w:rsidRPr="005408A4" w:rsidR="005408A4">
        <w:rPr>
          <w:i/>
          <w:iCs/>
        </w:rPr>
        <w:t>2021 ICS Order</w:t>
      </w:r>
      <w:r w:rsidRPr="005408A4" w:rsidR="005408A4">
        <w:t>, 36 FCC Rcd at 9593-96, para</w:t>
      </w:r>
      <w:r w:rsidR="00796A84">
        <w:t>s</w:t>
      </w:r>
      <w:r w:rsidRPr="005408A4" w:rsidR="005408A4">
        <w:t>. 169-75</w:t>
      </w:r>
      <w:r w:rsidR="004B7BC4">
        <w:t xml:space="preserve"> (describing the Commission’s previous waiver process).</w:t>
      </w:r>
    </w:p>
  </w:footnote>
  <w:footnote w:id="35">
    <w:p w:rsidR="00EB6C65" w14:paraId="3143E5C6" w14:textId="2FB9C568">
      <w:pPr>
        <w:pStyle w:val="FootnoteText"/>
      </w:pPr>
      <w:r>
        <w:rPr>
          <w:rStyle w:val="FootnoteReference"/>
        </w:rPr>
        <w:footnoteRef/>
      </w:r>
      <w:r>
        <w:t xml:space="preserve"> </w:t>
      </w:r>
      <w:bookmarkStart w:id="9" w:name="_Hlk176252891"/>
      <w:bookmarkStart w:id="10" w:name="_Hlk176253273"/>
      <w:r w:rsidRPr="00EB6C65">
        <w:rPr>
          <w:i/>
          <w:iCs/>
        </w:rPr>
        <w:t>2024 IPCS Order</w:t>
      </w:r>
      <w:r w:rsidRPr="00EB6C65">
        <w:t xml:space="preserve"> at </w:t>
      </w:r>
      <w:r w:rsidR="001E62B3">
        <w:t>248</w:t>
      </w:r>
      <w:r w:rsidR="00BD76F6">
        <w:t xml:space="preserve">, </w:t>
      </w:r>
      <w:r w:rsidRPr="00EB6C65">
        <w:t>para. 475</w:t>
      </w:r>
      <w:r>
        <w:t>.</w:t>
      </w:r>
      <w:bookmarkEnd w:id="9"/>
      <w:bookmarkEnd w:id="10"/>
    </w:p>
  </w:footnote>
  <w:footnote w:id="36">
    <w:p w:rsidR="006D4FC3" w14:paraId="314939A4" w14:textId="1F131B4C">
      <w:pPr>
        <w:pStyle w:val="FootnoteText"/>
      </w:pPr>
      <w:r>
        <w:rPr>
          <w:rStyle w:val="FootnoteReference"/>
        </w:rPr>
        <w:footnoteRef/>
      </w:r>
      <w:r w:rsidR="00972B2C">
        <w:rPr>
          <w:i/>
          <w:iCs/>
        </w:rPr>
        <w:t xml:space="preserve"> Id</w:t>
      </w:r>
      <w:r w:rsidRPr="00972B2C" w:rsidR="00972B2C">
        <w:t>.</w:t>
      </w:r>
    </w:p>
  </w:footnote>
  <w:footnote w:id="37">
    <w:p w:rsidR="00B91224" w:rsidRPr="00E12A79" w:rsidP="00B91224" w14:paraId="66627132" w14:textId="13E855A8">
      <w:pPr>
        <w:pStyle w:val="FootnoteText"/>
      </w:pPr>
      <w:r w:rsidRPr="00E12A79">
        <w:rPr>
          <w:rStyle w:val="FootnoteReference"/>
        </w:rPr>
        <w:footnoteRef/>
      </w:r>
      <w:r w:rsidR="004A40CF">
        <w:t xml:space="preserve"> </w:t>
      </w:r>
      <w:r w:rsidRPr="00B564DC" w:rsidR="004A40CF">
        <w:rPr>
          <w:i/>
          <w:iCs/>
        </w:rPr>
        <w:t xml:space="preserve">2024 IPCS Order </w:t>
      </w:r>
      <w:r w:rsidRPr="004A40CF" w:rsidR="004A40CF">
        <w:t>at 2</w:t>
      </w:r>
      <w:r w:rsidR="00B564DC">
        <w:t>5</w:t>
      </w:r>
      <w:r w:rsidR="00BB2E8B">
        <w:t>2-53</w:t>
      </w:r>
      <w:r w:rsidRPr="004A40CF" w:rsidR="004A40CF">
        <w:t>, para. 4</w:t>
      </w:r>
      <w:r w:rsidR="00B564DC">
        <w:t>80</w:t>
      </w:r>
      <w:r w:rsidRPr="004A40CF" w:rsidR="004A40CF">
        <w:t>.</w:t>
      </w:r>
    </w:p>
  </w:footnote>
  <w:footnote w:id="38">
    <w:p w:rsidR="008E345A" w:rsidRPr="00B42AF3" w:rsidP="008E345A" w14:paraId="584B7FE8" w14:textId="7A6D185A">
      <w:pPr>
        <w:pStyle w:val="FootnoteText"/>
      </w:pPr>
      <w:r>
        <w:rPr>
          <w:rStyle w:val="FootnoteReference"/>
        </w:rPr>
        <w:footnoteRef/>
      </w:r>
      <w:r>
        <w:t xml:space="preserve"> </w:t>
      </w:r>
      <w:r w:rsidRPr="00702F2A" w:rsidR="00702F2A">
        <w:rPr>
          <w:i/>
          <w:iCs/>
        </w:rPr>
        <w:t>See, e.g</w:t>
      </w:r>
      <w:r w:rsidR="00702F2A">
        <w:t xml:space="preserve">., </w:t>
      </w:r>
      <w:r w:rsidRPr="003C76A7">
        <w:rPr>
          <w:i/>
          <w:iCs/>
        </w:rPr>
        <w:t>2022 ICS Order</w:t>
      </w:r>
      <w:r>
        <w:t xml:space="preserve"> at</w:t>
      </w:r>
      <w:r w:rsidR="004008CE">
        <w:t xml:space="preserve"> </w:t>
      </w:r>
      <w:r w:rsidR="00054001">
        <w:t>119</w:t>
      </w:r>
      <w:r w:rsidR="006D6B31">
        <w:t>23-24,</w:t>
      </w:r>
      <w:r w:rsidR="0080416C">
        <w:t xml:space="preserve"> </w:t>
      </w:r>
      <w:r>
        <w:t>para. 51</w:t>
      </w:r>
      <w:r w:rsidR="001774E1">
        <w:t>.</w:t>
      </w:r>
      <w:r>
        <w:t xml:space="preserve"> </w:t>
      </w:r>
      <w:r w:rsidRPr="00211F06">
        <w:t xml:space="preserve">The rules adopted in the </w:t>
      </w:r>
      <w:r w:rsidRPr="00211F06">
        <w:rPr>
          <w:i/>
          <w:iCs/>
        </w:rPr>
        <w:t>2022 ICS Order</w:t>
      </w:r>
      <w:r w:rsidRPr="00211F06">
        <w:t xml:space="preserve"> did not become effective in time to implement changes to the 2023 Annual Report and Certifications.  </w:t>
      </w:r>
    </w:p>
  </w:footnote>
  <w:footnote w:id="39">
    <w:p w:rsidR="009F09DC" w:rsidP="009F09DC" w14:paraId="3894199C" w14:textId="4DDBBA4E">
      <w:pPr>
        <w:pStyle w:val="FootnoteText"/>
      </w:pPr>
      <w:r>
        <w:rPr>
          <w:rStyle w:val="FootnoteReference"/>
        </w:rPr>
        <w:footnoteRef/>
      </w:r>
      <w:r>
        <w:t xml:space="preserve"> OMB approved the burden estimate for </w:t>
      </w:r>
      <w:r w:rsidR="002E1AA8">
        <w:t xml:space="preserve">this section </w:t>
      </w:r>
      <w:r>
        <w:t xml:space="preserve">in December 2023.  </w:t>
      </w:r>
      <w:r w:rsidRPr="00DF5B72">
        <w:rPr>
          <w:i/>
          <w:iCs/>
        </w:rPr>
        <w:t>See</w:t>
      </w:r>
      <w:r w:rsidRPr="00DF5B72">
        <w:t xml:space="preserve"> Inmate Calling Services (ICS) Provider Annual Reporting, Certification, and Other Requirements, OMB Control No. 3060-1222</w:t>
      </w:r>
      <w:r>
        <w:t>, Notice of Approval (Dec. 4, 2023).</w:t>
      </w:r>
    </w:p>
  </w:footnote>
  <w:footnote w:id="40">
    <w:p w:rsidR="000B7435" w14:paraId="5F97B6EA" w14:textId="26179437">
      <w:pPr>
        <w:pStyle w:val="FootnoteText"/>
      </w:pPr>
      <w:r>
        <w:rPr>
          <w:rStyle w:val="FootnoteReference"/>
        </w:rPr>
        <w:footnoteRef/>
      </w:r>
      <w:r>
        <w:t xml:space="preserve"> </w:t>
      </w:r>
      <w:r w:rsidRPr="00B37BCF" w:rsidR="00FB2A33">
        <w:rPr>
          <w:i/>
          <w:iCs/>
        </w:rPr>
        <w:t>Rates for Interstate Inmate Calling Services</w:t>
      </w:r>
      <w:r w:rsidRPr="00FB2A33" w:rsidR="00FB2A33">
        <w:t>, WC Docket No. 12-375, Report and Order and Further Notice of Proposed Rulemaking, 28 FCC Rcd 14107, 14169-70, paras. 116-17 (2013) (</w:t>
      </w:r>
      <w:r w:rsidRPr="00B37BCF" w:rsidR="00FB2A33">
        <w:rPr>
          <w:i/>
          <w:iCs/>
        </w:rPr>
        <w:t>2013 ICS Order</w:t>
      </w:r>
      <w:r w:rsidRPr="00FB2A33" w:rsidR="00FB2A33">
        <w:t>).</w:t>
      </w:r>
    </w:p>
  </w:footnote>
  <w:footnote w:id="41">
    <w:p w:rsidR="008E345A" w:rsidRPr="00BA68CE" w:rsidP="008E345A" w14:paraId="5E824C6E" w14:textId="77777777">
      <w:pPr>
        <w:pStyle w:val="FootnoteText"/>
      </w:pPr>
      <w:r w:rsidRPr="00BA68CE">
        <w:rPr>
          <w:rStyle w:val="FootnoteReference"/>
        </w:rPr>
        <w:footnoteRef/>
      </w:r>
      <w:r w:rsidRPr="00BA68CE">
        <w:t xml:space="preserve"> 47 CFR § 64.6060.</w:t>
      </w:r>
    </w:p>
  </w:footnote>
  <w:footnote w:id="42">
    <w:p w:rsidR="008E345A" w:rsidRPr="00BA68CE" w:rsidP="008E345A" w14:paraId="47BB0EDF" w14:textId="0610357C">
      <w:pPr>
        <w:pStyle w:val="FootnoteText"/>
      </w:pPr>
      <w:r w:rsidRPr="00BA68CE">
        <w:rPr>
          <w:rStyle w:val="FootnoteReference"/>
        </w:rPr>
        <w:footnoteRef/>
      </w:r>
      <w:r w:rsidR="009A2CA4">
        <w:rPr>
          <w:i/>
          <w:iCs/>
        </w:rPr>
        <w:t xml:space="preserve"> </w:t>
      </w:r>
      <w:r w:rsidRPr="009A2CA4" w:rsidR="00D73A17">
        <w:rPr>
          <w:i/>
          <w:iCs/>
        </w:rPr>
        <w:t>See 2013 IPCS Order</w:t>
      </w:r>
      <w:r w:rsidR="00D73A17">
        <w:t xml:space="preserve"> at</w:t>
      </w:r>
      <w:r w:rsidR="005A58E9">
        <w:t xml:space="preserve"> 14169-70, paras. 116-1</w:t>
      </w:r>
      <w:r w:rsidR="009A2CA4">
        <w:t>7.</w:t>
      </w:r>
    </w:p>
  </w:footnote>
  <w:footnote w:id="43">
    <w:p w:rsidR="008E345A" w:rsidRPr="00BA68CE" w:rsidP="008E345A" w14:paraId="6E3664F7" w14:textId="7AEC327A">
      <w:pPr>
        <w:pStyle w:val="FootnoteText"/>
      </w:pPr>
      <w:r w:rsidRPr="00BA68CE">
        <w:rPr>
          <w:rStyle w:val="FootnoteReference"/>
        </w:rPr>
        <w:footnoteRef/>
      </w:r>
      <w:r w:rsidRPr="00BA68CE">
        <w:t xml:space="preserve"> </w:t>
      </w:r>
      <w:r w:rsidRPr="00BA68CE">
        <w:rPr>
          <w:i/>
          <w:iCs/>
        </w:rPr>
        <w:t>2015 ICS Order</w:t>
      </w:r>
      <w:r w:rsidRPr="00BA68CE">
        <w:t>, 30 FCC Rcd at 12891-92, para. 267.</w:t>
      </w:r>
      <w:r w:rsidR="000F14D7">
        <w:t xml:space="preserve">  </w:t>
      </w:r>
      <w:r w:rsidRPr="00842139" w:rsidR="008E5792">
        <w:rPr>
          <w:i/>
        </w:rPr>
        <w:t xml:space="preserve">See </w:t>
      </w:r>
      <w:r w:rsidR="008E5792">
        <w:t>ICS Annual Reporting Form Word Template (</w:t>
      </w:r>
      <w:r w:rsidRPr="00233B12" w:rsidR="008E5792">
        <w:t>Appendix A</w:t>
      </w:r>
      <w:r w:rsidR="008E5792">
        <w:t>) (Current), WC Docket No. 12-375</w:t>
      </w:r>
      <w:r w:rsidRPr="009863E0" w:rsidR="008E5792">
        <w:rPr>
          <w:color w:val="000000"/>
        </w:rPr>
        <w:t xml:space="preserve"> </w:t>
      </w:r>
      <w:hyperlink r:id="rId1" w:history="1">
        <w:r w:rsidRPr="009863E0" w:rsidR="008E5792">
          <w:rPr>
            <w:rStyle w:val="Hyperlink"/>
          </w:rPr>
          <w:t>https://www.fcc.gov/general/ics-data-collections</w:t>
        </w:r>
      </w:hyperlink>
      <w:r w:rsidRPr="009863E0" w:rsidR="008E5792">
        <w:rPr>
          <w:color w:val="0000FF"/>
        </w:rPr>
        <w:t xml:space="preserve"> </w:t>
      </w:r>
      <w:r w:rsidRPr="00130395" w:rsidR="008E5792">
        <w:t>(last visited</w:t>
      </w:r>
      <w:r w:rsidR="008E5792">
        <w:t xml:space="preserve"> XX</w:t>
      </w:r>
      <w:r w:rsidRPr="001F350D" w:rsidR="008E5792">
        <w:t>) (</w:t>
      </w:r>
      <w:r w:rsidR="008E5792">
        <w:t xml:space="preserve">Word </w:t>
      </w:r>
      <w:r w:rsidRPr="00F217A8" w:rsidR="008E5792">
        <w:t>Template); ICS</w:t>
      </w:r>
      <w:r w:rsidR="008E5792">
        <w:t xml:space="preserve"> Annual Reporting Form Excel Template (</w:t>
      </w:r>
      <w:r w:rsidRPr="00233B12" w:rsidR="008E5792">
        <w:t>Appendix B</w:t>
      </w:r>
      <w:r w:rsidR="008E5792">
        <w:t>) (Current), WC Docket No. 12-375,</w:t>
      </w:r>
      <w:r w:rsidRPr="009863E0" w:rsidR="008E5792">
        <w:rPr>
          <w:color w:val="000000"/>
        </w:rPr>
        <w:t xml:space="preserve"> </w:t>
      </w:r>
      <w:hyperlink r:id="rId1" w:history="1">
        <w:r w:rsidRPr="009863E0" w:rsidR="008E5792">
          <w:rPr>
            <w:rStyle w:val="Hyperlink"/>
          </w:rPr>
          <w:t>https://www.fcc.gov/general/ics-data-collections</w:t>
        </w:r>
      </w:hyperlink>
      <w:r w:rsidRPr="009863E0" w:rsidR="008E5792">
        <w:rPr>
          <w:color w:val="0000FF"/>
        </w:rPr>
        <w:t xml:space="preserve"> </w:t>
      </w:r>
      <w:r w:rsidRPr="00130395" w:rsidR="008E5792">
        <w:t xml:space="preserve">(last visited </w:t>
      </w:r>
      <w:r w:rsidR="008E5792">
        <w:t>XX</w:t>
      </w:r>
      <w:r w:rsidRPr="00130395" w:rsidR="008E5792">
        <w:t xml:space="preserve">) </w:t>
      </w:r>
      <w:r w:rsidRPr="001F350D" w:rsidR="008E5792">
        <w:t>(</w:t>
      </w:r>
      <w:r w:rsidR="008E5792">
        <w:t>Excel Template); ICS Annual Reporting and Certification Instructions (Current), WC Docket No. 12-375,</w:t>
      </w:r>
      <w:r w:rsidRPr="009863E0" w:rsidR="008E5792">
        <w:rPr>
          <w:color w:val="000000"/>
        </w:rPr>
        <w:t xml:space="preserve"> </w:t>
      </w:r>
      <w:hyperlink r:id="rId1" w:history="1">
        <w:r w:rsidRPr="009863E0" w:rsidR="008E5792">
          <w:rPr>
            <w:rStyle w:val="Hyperlink"/>
          </w:rPr>
          <w:t>https://www.fcc.gov/general/ics-data-collections</w:t>
        </w:r>
      </w:hyperlink>
      <w:r w:rsidRPr="009863E0" w:rsidR="008E5792">
        <w:rPr>
          <w:color w:val="0000FF"/>
        </w:rPr>
        <w:t xml:space="preserve"> </w:t>
      </w:r>
      <w:r w:rsidRPr="00130395" w:rsidR="008E5792">
        <w:t xml:space="preserve">(last visited </w:t>
      </w:r>
      <w:r w:rsidR="008E5792">
        <w:t>XX</w:t>
      </w:r>
      <w:r w:rsidRPr="00130395" w:rsidR="008E5792">
        <w:t xml:space="preserve">) </w:t>
      </w:r>
      <w:r w:rsidRPr="001F350D" w:rsidR="008E5792">
        <w:t>(</w:t>
      </w:r>
      <w:r w:rsidR="008E5792">
        <w:t xml:space="preserve">Instructions) (Certification Instructions); ICS Annual </w:t>
      </w:r>
      <w:r w:rsidRPr="00F217A8" w:rsidR="008E5792">
        <w:t>Report C</w:t>
      </w:r>
      <w:r w:rsidR="008E5792">
        <w:t>ertification Form (</w:t>
      </w:r>
      <w:r w:rsidRPr="00233B12" w:rsidR="008E5792">
        <w:t>Appendix C)</w:t>
      </w:r>
      <w:r w:rsidR="008E5792">
        <w:t xml:space="preserve"> (Current), WC Docket No. 12-375,</w:t>
      </w:r>
      <w:r w:rsidRPr="009863E0" w:rsidR="008E5792">
        <w:rPr>
          <w:color w:val="000000"/>
        </w:rPr>
        <w:t xml:space="preserve"> </w:t>
      </w:r>
      <w:hyperlink r:id="rId1" w:history="1">
        <w:r w:rsidRPr="009863E0" w:rsidR="008E5792">
          <w:rPr>
            <w:rStyle w:val="Hyperlink"/>
          </w:rPr>
          <w:t>https://www.fcc.gov/general/ics-data-collections</w:t>
        </w:r>
      </w:hyperlink>
      <w:r w:rsidRPr="009863E0" w:rsidR="008E5792">
        <w:rPr>
          <w:color w:val="0000FF"/>
        </w:rPr>
        <w:t xml:space="preserve"> </w:t>
      </w:r>
      <w:r w:rsidRPr="00130395" w:rsidR="008E5792">
        <w:t xml:space="preserve">(last </w:t>
      </w:r>
      <w:r w:rsidRPr="008A025D" w:rsidR="008E5792">
        <w:t>visited XX) (Certification</w:t>
      </w:r>
      <w:r w:rsidR="008E5792">
        <w:t xml:space="preserve"> Form). </w:t>
      </w:r>
    </w:p>
  </w:footnote>
  <w:footnote w:id="44">
    <w:p w:rsidR="008E345A" w:rsidRPr="00BA68CE" w:rsidP="008E345A" w14:paraId="37CC3D69" w14:textId="2D6DA89A">
      <w:pPr>
        <w:pStyle w:val="FootnoteText"/>
      </w:pPr>
      <w:r w:rsidRPr="00BA68CE">
        <w:rPr>
          <w:rStyle w:val="FootnoteReference"/>
        </w:rPr>
        <w:footnoteRef/>
      </w:r>
      <w:r w:rsidRPr="00BA68CE">
        <w:t xml:space="preserve"> </w:t>
      </w:r>
      <w:r w:rsidRPr="00BA68CE">
        <w:rPr>
          <w:i/>
          <w:iCs/>
        </w:rPr>
        <w:t>2022 ICS Order</w:t>
      </w:r>
      <w:r w:rsidRPr="00BA68CE">
        <w:t>, 37 FCC Rcd at 11922-23, paras. 47-49.</w:t>
      </w:r>
      <w:r w:rsidRPr="00BA68CE">
        <w:rPr>
          <w:shd w:val="clear" w:color="auto" w:fill="FFFFFF"/>
        </w:rPr>
        <w:t xml:space="preserve">  </w:t>
      </w:r>
    </w:p>
  </w:footnote>
  <w:footnote w:id="45">
    <w:p w:rsidR="008E345A" w:rsidRPr="00BA68CE" w:rsidP="008E345A" w14:paraId="315CAB5B" w14:textId="77777777">
      <w:pPr>
        <w:pStyle w:val="FootnoteText"/>
      </w:pPr>
      <w:r w:rsidRPr="00BA68CE">
        <w:rPr>
          <w:rStyle w:val="FootnoteReference"/>
        </w:rPr>
        <w:footnoteRef/>
      </w:r>
      <w:r w:rsidRPr="00BA68CE">
        <w:t xml:space="preserve"> </w:t>
      </w:r>
      <w:r w:rsidRPr="00BA68CE">
        <w:rPr>
          <w:i/>
          <w:iCs/>
        </w:rPr>
        <w:t>2023 IPCS Order</w:t>
      </w:r>
      <w:r w:rsidRPr="00BA68CE">
        <w:t xml:space="preserve">, 38 FCC Rcd at 2702, para. 86.  The Word and Excel templates are FCC Form 2301(a), and the certification is FCC Form 2301(b).  </w:t>
      </w:r>
      <w:r w:rsidRPr="00BA68CE">
        <w:rPr>
          <w:i/>
          <w:iCs/>
        </w:rPr>
        <w:t>Rates for Interstate Inmate Calling Services</w:t>
      </w:r>
      <w:r w:rsidRPr="00BA68CE">
        <w:t xml:space="preserve">, WC Docket No. 12-375, Order, 37 FCC Rcd 7558, 7558, para. 2 (WCB 2022).  The Commission also “delegate[d] to WCB and CGB the authority to conduct the requisite Paperwork Reduction Act analysis for any changes to the annual report requirements that were implemented pursuant to [the </w:t>
      </w:r>
      <w:r w:rsidRPr="00BA68CE">
        <w:rPr>
          <w:i/>
          <w:iCs/>
        </w:rPr>
        <w:t>2023 IPCS Order</w:t>
      </w:r>
      <w:r w:rsidRPr="00BA68CE">
        <w:t xml:space="preserve">].”  </w:t>
      </w:r>
      <w:r w:rsidRPr="00BA68CE">
        <w:rPr>
          <w:i/>
          <w:iCs/>
        </w:rPr>
        <w:t>2023 IPCS Order</w:t>
      </w:r>
      <w:r w:rsidRPr="00BA68CE">
        <w:t>, 38 FCC Rcd at 2702, para. 86.</w:t>
      </w:r>
    </w:p>
  </w:footnote>
  <w:footnote w:id="46">
    <w:p w:rsidR="008E345A" w:rsidRPr="00BA68CE" w:rsidP="008E345A" w14:paraId="4B267D1A" w14:textId="77777777">
      <w:pPr>
        <w:pStyle w:val="FootnoteText"/>
      </w:pPr>
      <w:r w:rsidRPr="00BA68CE">
        <w:rPr>
          <w:rStyle w:val="FootnoteReference"/>
        </w:rPr>
        <w:footnoteRef/>
      </w:r>
      <w:r w:rsidRPr="00BA68CE">
        <w:t xml:space="preserve"> </w:t>
      </w:r>
      <w:r w:rsidRPr="00BA68CE">
        <w:rPr>
          <w:i/>
          <w:iCs/>
        </w:rPr>
        <w:t>2023 IPCS Notice</w:t>
      </w:r>
      <w:r w:rsidRPr="00BA68CE">
        <w:t>, 38 FCC Rcd at 2697-98, para. 73.</w:t>
      </w:r>
    </w:p>
  </w:footnote>
  <w:footnote w:id="47">
    <w:p w:rsidR="008E345A" w:rsidRPr="00BA68CE" w:rsidP="008E345A" w14:paraId="1E9A2D62" w14:textId="2A9646AB">
      <w:pPr>
        <w:pStyle w:val="FootnoteText"/>
      </w:pPr>
      <w:r w:rsidRPr="00BA68CE">
        <w:rPr>
          <w:rStyle w:val="FootnoteReference"/>
        </w:rPr>
        <w:footnoteRef/>
      </w:r>
      <w:r w:rsidRPr="00BA68CE">
        <w:t xml:space="preserve"> </w:t>
      </w:r>
      <w:r w:rsidRPr="00BA68CE">
        <w:rPr>
          <w:i/>
        </w:rPr>
        <w:t>Wireline Competition Bureau and Consumer Governmental Affairs Bureau Seek Comment on Revisions to Providers’ Annual Reporting and Certification Requirements</w:t>
      </w:r>
      <w:r w:rsidRPr="00BA68CE">
        <w:t>, WC Docket Nos. 23-62 and 12-375, Public Notice, DA 23-656, at 1 (WCB/CGB Aug. 3, 2023)</w:t>
      </w:r>
      <w:r w:rsidR="0046047F">
        <w:t xml:space="preserve"> (</w:t>
      </w:r>
      <w:r w:rsidR="0046047F">
        <w:rPr>
          <w:i/>
          <w:iCs/>
        </w:rPr>
        <w:t>Aug</w:t>
      </w:r>
      <w:r w:rsidR="007E51A7">
        <w:rPr>
          <w:i/>
          <w:iCs/>
        </w:rPr>
        <w:t>ust</w:t>
      </w:r>
      <w:r w:rsidR="0046047F">
        <w:rPr>
          <w:i/>
          <w:iCs/>
        </w:rPr>
        <w:t xml:space="preserve"> 3, 2023 IPCS Public Notice</w:t>
      </w:r>
      <w:r w:rsidR="0046047F">
        <w:t>)</w:t>
      </w:r>
      <w:r w:rsidRPr="00BA68CE">
        <w:t xml:space="preserve"> (proposing </w:t>
      </w:r>
      <w:r w:rsidR="00291663">
        <w:t xml:space="preserve">to require that </w:t>
      </w:r>
      <w:r w:rsidR="00B63721">
        <w:t xml:space="preserve">IPCS providers’ </w:t>
      </w:r>
      <w:r w:rsidRPr="00BA68CE">
        <w:t>Annual Report</w:t>
      </w:r>
      <w:r w:rsidR="00B63721">
        <w:t>s</w:t>
      </w:r>
      <w:r w:rsidRPr="00BA68CE">
        <w:t xml:space="preserve"> include </w:t>
      </w:r>
      <w:r w:rsidR="007A4466">
        <w:t xml:space="preserve">information on </w:t>
      </w:r>
      <w:r w:rsidRPr="00BA68CE">
        <w:t>video IPCS</w:t>
      </w:r>
      <w:r w:rsidR="007A4466">
        <w:t xml:space="preserve"> </w:t>
      </w:r>
      <w:r w:rsidRPr="00BA68CE">
        <w:t xml:space="preserve">and </w:t>
      </w:r>
      <w:r w:rsidR="007A4466">
        <w:t xml:space="preserve">the providers’ </w:t>
      </w:r>
      <w:r w:rsidR="00BB1801">
        <w:t xml:space="preserve">compliance with </w:t>
      </w:r>
      <w:r w:rsidRPr="00BA68CE">
        <w:t>expanded TRS obligations</w:t>
      </w:r>
      <w:r w:rsidR="007A4466">
        <w:t>, among other information</w:t>
      </w:r>
      <w:r w:rsidRPr="00BA68CE">
        <w:t xml:space="preserve">).  </w:t>
      </w:r>
    </w:p>
  </w:footnote>
  <w:footnote w:id="48">
    <w:p w:rsidR="008E345A" w:rsidRPr="00BA68CE" w:rsidP="008E345A" w14:paraId="1BCBC166" w14:textId="3C8CF615">
      <w:pPr>
        <w:pStyle w:val="FootnoteText"/>
      </w:pPr>
      <w:r w:rsidRPr="00BA68CE">
        <w:rPr>
          <w:rStyle w:val="FootnoteReference"/>
        </w:rPr>
        <w:footnoteRef/>
      </w:r>
      <w:r w:rsidRPr="00BA68CE">
        <w:t xml:space="preserve"> Securus Technologies, LLC Reply to Proposed Revisions to the Annual Reporting Requirements, WC Docket Nos. 23-62 and 12-375, at 1-2 (rec. Sept. 25, 2023).</w:t>
      </w:r>
    </w:p>
  </w:footnote>
  <w:footnote w:id="49">
    <w:p w:rsidR="00CF6856" w:rsidP="00CF6856" w14:paraId="39A55BD6" w14:textId="21F1D3DA">
      <w:pPr>
        <w:pStyle w:val="FootnoteText"/>
      </w:pPr>
      <w:r>
        <w:rPr>
          <w:rStyle w:val="FootnoteReference"/>
        </w:rPr>
        <w:footnoteRef/>
      </w:r>
      <w:r>
        <w:t xml:space="preserve"> </w:t>
      </w:r>
      <w:r w:rsidRPr="000E6002" w:rsidR="00554EEF">
        <w:rPr>
          <w:i/>
          <w:iCs/>
        </w:rPr>
        <w:t>2024 IPCS Order</w:t>
      </w:r>
      <w:r w:rsidR="00554EEF">
        <w:t xml:space="preserve"> at 296</w:t>
      </w:r>
      <w:r w:rsidR="000E6002">
        <w:t>-30, paras. 565-70.</w:t>
      </w:r>
    </w:p>
  </w:footnote>
  <w:footnote w:id="50">
    <w:p w:rsidR="00CB17C2" w14:paraId="1AB1EBB2" w14:textId="6D0C97E4">
      <w:pPr>
        <w:pStyle w:val="FootnoteText"/>
      </w:pPr>
      <w:r>
        <w:rPr>
          <w:rStyle w:val="FootnoteReference"/>
        </w:rPr>
        <w:footnoteRef/>
      </w:r>
      <w:r>
        <w:t xml:space="preserve"> </w:t>
      </w:r>
      <w:r w:rsidRPr="00CB17C2">
        <w:rPr>
          <w:i/>
          <w:iCs/>
        </w:rPr>
        <w:t>See</w:t>
      </w:r>
      <w:r w:rsidRPr="00CB17C2">
        <w:t xml:space="preserve"> Wireline Competition Bureau and Consumer and Governmental Affairs Bureau Seek Additional Comment on Revisions to IPCS Providers’ Annual Reporting and Certification Requirements, WC Docket Nos. 23-62 and 12-375, Public Notice, DA 24-918 (WCB Sept. 11, 2024) (</w:t>
      </w:r>
      <w:r w:rsidRPr="00CB17C2">
        <w:rPr>
          <w:i/>
          <w:iCs/>
        </w:rPr>
        <w:t>September 11, 2024 IPCS Public Notice</w:t>
      </w:r>
      <w:r w:rsidRPr="00CB17C2">
        <w:t>).</w:t>
      </w:r>
    </w:p>
  </w:footnote>
  <w:footnote w:id="51">
    <w:p w:rsidR="00412BCF" w14:paraId="76663833" w14:textId="46AF0520">
      <w:pPr>
        <w:pStyle w:val="FootnoteText"/>
      </w:pPr>
      <w:r>
        <w:rPr>
          <w:rStyle w:val="FootnoteReference"/>
        </w:rPr>
        <w:footnoteRef/>
      </w:r>
      <w:bookmarkStart w:id="12" w:name="_Hlk177051066"/>
      <w:r w:rsidR="005148AB">
        <w:t xml:space="preserve"> </w:t>
      </w:r>
      <w:r w:rsidRPr="0015210F" w:rsidR="005148AB">
        <w:rPr>
          <w:i/>
          <w:iCs/>
        </w:rPr>
        <w:t>See</w:t>
      </w:r>
      <w:r w:rsidR="0015210F">
        <w:rPr>
          <w:i/>
          <w:iCs/>
        </w:rPr>
        <w:t xml:space="preserve"> generally</w:t>
      </w:r>
      <w:r w:rsidRPr="0015210F" w:rsidR="005148AB">
        <w:rPr>
          <w:i/>
          <w:iCs/>
        </w:rPr>
        <w:t xml:space="preserve"> </w:t>
      </w:r>
      <w:r w:rsidRPr="0015210F" w:rsidR="0015210F">
        <w:rPr>
          <w:i/>
          <w:iCs/>
        </w:rPr>
        <w:t>August 3, 2023 IPCS Public Notice</w:t>
      </w:r>
      <w:r w:rsidR="0015210F">
        <w:t>.</w:t>
      </w:r>
    </w:p>
    <w:bookmarkEnd w:id="12"/>
  </w:footnote>
  <w:footnote w:id="52">
    <w:p w:rsidR="00F3242F" w:rsidP="00F3242F" w14:paraId="4E797BFC" w14:textId="77777777">
      <w:pPr>
        <w:pStyle w:val="FootnoteText"/>
      </w:pPr>
      <w:r>
        <w:rPr>
          <w:rStyle w:val="FootnoteReference"/>
        </w:rPr>
        <w:footnoteRef/>
      </w:r>
      <w:r>
        <w:t xml:space="preserve"> </w:t>
      </w:r>
      <w:r>
        <w:rPr>
          <w:i/>
          <w:iCs/>
        </w:rPr>
        <w:t>See generally 2024 IPCS Order</w:t>
      </w:r>
      <w:r>
        <w:t>.</w:t>
      </w:r>
    </w:p>
  </w:footnote>
  <w:footnote w:id="53">
    <w:p w:rsidR="00700142" w:rsidP="00700142" w14:paraId="63656478" w14:textId="77777777">
      <w:pPr>
        <w:pStyle w:val="FootnoteText"/>
      </w:pPr>
      <w:r>
        <w:rPr>
          <w:rStyle w:val="FootnoteReference"/>
        </w:rPr>
        <w:footnoteRef/>
      </w:r>
      <w:r>
        <w:t xml:space="preserve"> </w:t>
      </w:r>
      <w:r w:rsidRPr="00A10A3B">
        <w:rPr>
          <w:i/>
          <w:iCs/>
        </w:rPr>
        <w:t>See Incarcerated People’s Communications Services; Implementation of the Martha Wright-Reed Act; Rates for Interstate Inmate Calling Services</w:t>
      </w:r>
      <w:r w:rsidRPr="00A10A3B">
        <w:t>, WC Docket Nos. 23-62</w:t>
      </w:r>
      <w:r>
        <w:t>,</w:t>
      </w:r>
      <w:r w:rsidRPr="00A10A3B">
        <w:t>12-375,</w:t>
      </w:r>
      <w:r>
        <w:t xml:space="preserve"> Order, DA 25-23 (rel. Jan. 8, 2025) (</w:t>
      </w:r>
      <w:r w:rsidRPr="00232230">
        <w:rPr>
          <w:i/>
          <w:iCs/>
        </w:rPr>
        <w:t xml:space="preserve">2025 </w:t>
      </w:r>
      <w:r>
        <w:rPr>
          <w:i/>
          <w:iCs/>
        </w:rPr>
        <w:t>Annual Reports</w:t>
      </w:r>
      <w:r w:rsidRPr="00232230">
        <w:rPr>
          <w:i/>
          <w:iCs/>
        </w:rPr>
        <w:t xml:space="preserve"> Order</w:t>
      </w:r>
      <w:r>
        <w:t>).</w:t>
      </w:r>
    </w:p>
  </w:footnote>
  <w:footnote w:id="54">
    <w:p w:rsidR="00700142" w:rsidP="00700142" w14:paraId="43CC4861" w14:textId="5D43B2D5">
      <w:pPr>
        <w:pStyle w:val="FootnoteText"/>
      </w:pPr>
      <w:r w:rsidRPr="001C4CD5">
        <w:rPr>
          <w:rStyle w:val="FootnoteReference"/>
        </w:rPr>
        <w:footnoteRef/>
      </w:r>
      <w:r>
        <w:t xml:space="preserve"> </w:t>
      </w:r>
      <w:r w:rsidRPr="003D1B69">
        <w:rPr>
          <w:i/>
          <w:iCs/>
        </w:rPr>
        <w:t xml:space="preserve">2025 </w:t>
      </w:r>
      <w:r>
        <w:rPr>
          <w:i/>
          <w:iCs/>
        </w:rPr>
        <w:t xml:space="preserve">Annual Reports </w:t>
      </w:r>
      <w:r w:rsidRPr="003D1B69">
        <w:rPr>
          <w:i/>
          <w:iCs/>
        </w:rPr>
        <w:t>Order</w:t>
      </w:r>
      <w:r>
        <w:t xml:space="preserve">, </w:t>
      </w:r>
      <w:r w:rsidRPr="003D1B69">
        <w:rPr>
          <w:i/>
          <w:iCs/>
        </w:rPr>
        <w:t>passim</w:t>
      </w:r>
      <w:r>
        <w:t>.</w:t>
      </w:r>
      <w:r w:rsidR="00582F78">
        <w:t xml:space="preserve"> </w:t>
      </w:r>
    </w:p>
  </w:footnote>
  <w:footnote w:id="55">
    <w:p w:rsidR="00700142" w:rsidP="00700142" w14:paraId="0F018396" w14:textId="77777777">
      <w:pPr>
        <w:pStyle w:val="FootnoteText"/>
      </w:pPr>
      <w:r>
        <w:rPr>
          <w:rStyle w:val="FootnoteReference"/>
        </w:rPr>
        <w:footnoteRef/>
      </w:r>
      <w:r>
        <w:t xml:space="preserve"> </w:t>
      </w:r>
      <w:r w:rsidRPr="00E12A79">
        <w:t>Martha Wright-Reed Just and Reasonable Communications Act of 2022, Pub. L. No. 117-338, 136 Stat. 6156</w:t>
      </w:r>
      <w:r>
        <w:t xml:space="preserve"> (2022); </w:t>
      </w:r>
      <w:r w:rsidRPr="006A3CBB">
        <w:rPr>
          <w:i/>
          <w:iCs/>
        </w:rPr>
        <w:t>2024 IPCS Order</w:t>
      </w:r>
      <w:r w:rsidRPr="006A3CBB">
        <w:t xml:space="preserve"> </w:t>
      </w:r>
      <w:r>
        <w:t>at 296-98, paras. 569-72.</w:t>
      </w:r>
    </w:p>
  </w:footnote>
  <w:footnote w:id="56">
    <w:p w:rsidR="00700142" w:rsidRPr="00DC5803" w:rsidP="00700142" w14:paraId="4821DCDF" w14:textId="77777777">
      <w:pPr>
        <w:pStyle w:val="FootnoteText"/>
      </w:pPr>
      <w:r w:rsidRPr="0003021D">
        <w:rPr>
          <w:rStyle w:val="FootnoteReference"/>
        </w:rPr>
        <w:footnoteRef/>
      </w:r>
      <w:r w:rsidRPr="0003021D">
        <w:t xml:space="preserve"> </w:t>
      </w:r>
      <w:r w:rsidRPr="0003021D">
        <w:rPr>
          <w:i/>
          <w:iCs/>
        </w:rPr>
        <w:t xml:space="preserve">August </w:t>
      </w:r>
      <w:r>
        <w:rPr>
          <w:i/>
          <w:iCs/>
        </w:rPr>
        <w:t xml:space="preserve">3, </w:t>
      </w:r>
      <w:r w:rsidRPr="0003021D">
        <w:rPr>
          <w:i/>
          <w:iCs/>
        </w:rPr>
        <w:t>2023</w:t>
      </w:r>
      <w:r w:rsidRPr="0003021D">
        <w:t xml:space="preserve"> </w:t>
      </w:r>
      <w:r w:rsidRPr="0003021D">
        <w:rPr>
          <w:i/>
          <w:iCs/>
        </w:rPr>
        <w:t>Public Notice</w:t>
      </w:r>
      <w:r>
        <w:t xml:space="preserve">; </w:t>
      </w:r>
      <w:r w:rsidRPr="00FF55A9">
        <w:rPr>
          <w:i/>
          <w:iCs/>
        </w:rPr>
        <w:t>September</w:t>
      </w:r>
      <w:r>
        <w:rPr>
          <w:i/>
          <w:iCs/>
        </w:rPr>
        <w:t xml:space="preserve"> 11,</w:t>
      </w:r>
      <w:r w:rsidRPr="00FF55A9">
        <w:rPr>
          <w:i/>
          <w:iCs/>
        </w:rPr>
        <w:t xml:space="preserve"> 2024 Public Notice</w:t>
      </w:r>
      <w:r>
        <w:t>.</w:t>
      </w:r>
    </w:p>
  </w:footnote>
  <w:footnote w:id="57">
    <w:p w:rsidR="00700142" w:rsidP="00700142" w14:paraId="56232682" w14:textId="77777777">
      <w:pPr>
        <w:pStyle w:val="FootnoteText"/>
      </w:pPr>
      <w:r>
        <w:rPr>
          <w:rStyle w:val="FootnoteReference"/>
        </w:rPr>
        <w:footnoteRef/>
      </w:r>
      <w:r>
        <w:t xml:space="preserve"> </w:t>
      </w:r>
      <w:r w:rsidRPr="00542EFE">
        <w:rPr>
          <w:i/>
          <w:iCs/>
        </w:rPr>
        <w:t>See 2025</w:t>
      </w:r>
      <w:r>
        <w:rPr>
          <w:i/>
          <w:iCs/>
        </w:rPr>
        <w:t xml:space="preserve"> Annual Reports</w:t>
      </w:r>
      <w:r w:rsidRPr="00542EFE">
        <w:rPr>
          <w:i/>
          <w:iCs/>
        </w:rPr>
        <w:t xml:space="preserve"> Order</w:t>
      </w:r>
      <w:r>
        <w:t xml:space="preserve">; </w:t>
      </w:r>
      <w:r w:rsidRPr="00E12A79">
        <w:rPr>
          <w:i/>
          <w:iCs/>
        </w:rPr>
        <w:t>Rates for Interstate Inmate Calling Services</w:t>
      </w:r>
      <w:r w:rsidRPr="00E12A79">
        <w:t>, WC Docket No. 12-375, Fourth Report and Order and Sixth Further Notice of Proposed Rulemaking, 37 FCC Rcd 11900</w:t>
      </w:r>
      <w:r>
        <w:t xml:space="preserve">, 11922-24, paras. 47-62 </w:t>
      </w:r>
      <w:r w:rsidRPr="00E12A79">
        <w:t>(2022) (</w:t>
      </w:r>
      <w:r w:rsidRPr="00E12A79">
        <w:rPr>
          <w:i/>
          <w:iCs/>
        </w:rPr>
        <w:t>2022 ICS Order</w:t>
      </w:r>
      <w:r w:rsidRPr="00E12A79">
        <w:t xml:space="preserve"> or </w:t>
      </w:r>
      <w:r w:rsidRPr="00E12A79">
        <w:rPr>
          <w:i/>
          <w:iCs/>
        </w:rPr>
        <w:t>2022 ICS Notice</w:t>
      </w:r>
      <w:r w:rsidRPr="00E12A79">
        <w:t>)</w:t>
      </w:r>
      <w:r>
        <w:t>;</w:t>
      </w:r>
      <w:r>
        <w:rPr>
          <w:i/>
          <w:iCs/>
        </w:rPr>
        <w:t xml:space="preserve"> s</w:t>
      </w:r>
      <w:r w:rsidRPr="00F7063C">
        <w:rPr>
          <w:i/>
          <w:iCs/>
        </w:rPr>
        <w:t xml:space="preserve">ee August </w:t>
      </w:r>
      <w:r>
        <w:rPr>
          <w:i/>
          <w:iCs/>
        </w:rPr>
        <w:t xml:space="preserve">3, </w:t>
      </w:r>
      <w:r w:rsidRPr="00F7063C">
        <w:rPr>
          <w:i/>
          <w:iCs/>
        </w:rPr>
        <w:t>2023 Public Notice</w:t>
      </w:r>
      <w:r>
        <w:t xml:space="preserve">, 38 FCC Rcd at 6738 (describing proposed modifications to reporting obligations regarding disability access </w:t>
      </w:r>
      <w:r w:rsidRPr="00E01793">
        <w:t>and related considerations).</w:t>
      </w:r>
    </w:p>
  </w:footnote>
  <w:footnote w:id="58">
    <w:p w:rsidR="00B145FA" w14:paraId="2FF71C1B" w14:textId="06369796">
      <w:pPr>
        <w:pStyle w:val="FootnoteText"/>
      </w:pPr>
      <w:r>
        <w:rPr>
          <w:rStyle w:val="FootnoteReference"/>
        </w:rPr>
        <w:footnoteRef/>
      </w:r>
      <w:r>
        <w:t xml:space="preserve"> </w:t>
      </w:r>
      <w:r w:rsidRPr="004E5C60" w:rsidR="0055522F">
        <w:rPr>
          <w:i/>
          <w:iCs/>
        </w:rPr>
        <w:t>See Incarcerated People’s Communications Services</w:t>
      </w:r>
      <w:r w:rsidRPr="004E5C60" w:rsidR="006C1AFC">
        <w:rPr>
          <w:i/>
          <w:iCs/>
        </w:rPr>
        <w:t xml:space="preserve"> </w:t>
      </w:r>
      <w:r w:rsidR="004E5C60">
        <w:rPr>
          <w:i/>
          <w:iCs/>
        </w:rPr>
        <w:t>(I</w:t>
      </w:r>
      <w:r w:rsidR="0095520B">
        <w:rPr>
          <w:i/>
          <w:iCs/>
        </w:rPr>
        <w:t xml:space="preserve">PCS) </w:t>
      </w:r>
      <w:r w:rsidRPr="004E5C60" w:rsidR="006C1AFC">
        <w:rPr>
          <w:i/>
          <w:iCs/>
        </w:rPr>
        <w:t>Provider Annual Reporting, Certification, and Other Requirements</w:t>
      </w:r>
      <w:r w:rsidR="006C1AFC">
        <w:t>, 3060-1222, 90 FR 11415 (Mar. 6, 2025)</w:t>
      </w:r>
      <w:r w:rsidR="00DE4C2E">
        <w:t xml:space="preserve"> (</w:t>
      </w:r>
      <w:r w:rsidR="00083D6F">
        <w:t>Annual Reporting and Certification</w:t>
      </w:r>
      <w:r w:rsidR="003E15B1">
        <w:t xml:space="preserve"> </w:t>
      </w:r>
      <w:r w:rsidR="00424807">
        <w:t>60-Day Notice</w:t>
      </w:r>
      <w:r w:rsidR="00DE4C2E">
        <w:t>)</w:t>
      </w:r>
      <w:r w:rsidR="004E5C60">
        <w:t>.</w:t>
      </w:r>
    </w:p>
  </w:footnote>
  <w:footnote w:id="59">
    <w:p w:rsidR="00EB3336" w:rsidP="00EB3336" w14:paraId="08630632" w14:textId="77777777">
      <w:pPr>
        <w:pStyle w:val="FootnoteText"/>
      </w:pPr>
      <w:r>
        <w:rPr>
          <w:rStyle w:val="FootnoteReference"/>
        </w:rPr>
        <w:footnoteRef/>
      </w:r>
      <w:r>
        <w:t xml:space="preserve"> </w:t>
      </w:r>
      <w:r>
        <w:rPr>
          <w:i/>
          <w:iCs/>
        </w:rPr>
        <w:t xml:space="preserve">See </w:t>
      </w:r>
      <w:r>
        <w:t>Federal Communications Commission, Information Collection Being Reviewed by the Federal Communications Commission, 89 Fed. Reg. 85209 (Oct. 25, 2024) (</w:t>
      </w:r>
      <w:r>
        <w:rPr>
          <w:i/>
          <w:iCs/>
        </w:rPr>
        <w:t>October 25, 2024 Federal Register Notice</w:t>
      </w:r>
      <w:r>
        <w:t>).</w:t>
      </w:r>
    </w:p>
  </w:footnote>
  <w:footnote w:id="60">
    <w:p w:rsidR="00EB3336" w:rsidP="00EB3336" w14:paraId="59F17093" w14:textId="77777777">
      <w:pPr>
        <w:pStyle w:val="FootnoteText"/>
      </w:pPr>
      <w:r>
        <w:rPr>
          <w:rStyle w:val="FootnoteReference"/>
        </w:rPr>
        <w:footnoteRef/>
      </w:r>
      <w:r>
        <w:t xml:space="preserve"> Global Tel*Link Corporation d/b/a </w:t>
      </w:r>
      <w:r>
        <w:t>ViaPath</w:t>
      </w:r>
      <w:r>
        <w:t xml:space="preserve"> Technologies Paperwork Reduction Act Comments, WC Docket Nos. 23-62 and 12-375, at 3 (rec. Jan. 7, 2025) (</w:t>
      </w:r>
      <w:r>
        <w:t>ViaPath</w:t>
      </w:r>
      <w:r>
        <w:t xml:space="preserve"> Comments).  </w:t>
      </w:r>
    </w:p>
  </w:footnote>
  <w:footnote w:id="61">
    <w:p w:rsidR="00EB3336" w:rsidP="00EB3336" w14:paraId="1E788B06" w14:textId="2A2B81F0">
      <w:pPr>
        <w:pStyle w:val="FootnoteText"/>
      </w:pPr>
      <w:r>
        <w:rPr>
          <w:rStyle w:val="FootnoteReference"/>
        </w:rPr>
        <w:footnoteRef/>
      </w:r>
      <w:r w:rsidR="000965B1">
        <w:t xml:space="preserve"> </w:t>
      </w:r>
      <w:r w:rsidR="00913320">
        <w:rPr>
          <w:i/>
          <w:iCs/>
        </w:rPr>
        <w:t>Id.</w:t>
      </w:r>
      <w:r>
        <w:t xml:space="preserve">  </w:t>
      </w:r>
    </w:p>
  </w:footnote>
  <w:footnote w:id="62">
    <w:p w:rsidR="00EB3336" w:rsidP="00EB3336" w14:paraId="117A33EF" w14:textId="2F5E2BF5">
      <w:pPr>
        <w:pStyle w:val="FootnoteText"/>
      </w:pPr>
      <w:r>
        <w:rPr>
          <w:rStyle w:val="FootnoteReference"/>
        </w:rPr>
        <w:footnoteRef/>
      </w:r>
      <w:r>
        <w:t xml:space="preserve"> </w:t>
      </w:r>
      <w:r w:rsidR="000965B1">
        <w:rPr>
          <w:i/>
          <w:iCs/>
        </w:rPr>
        <w:t>Id.</w:t>
      </w:r>
      <w:r>
        <w:t xml:space="preserve">  </w:t>
      </w:r>
    </w:p>
  </w:footnote>
  <w:footnote w:id="63">
    <w:p w:rsidR="00EB3336" w:rsidP="00F1425D" w14:paraId="182707A2" w14:textId="4AC9147E">
      <w:pPr>
        <w:pStyle w:val="FootnoteText"/>
      </w:pPr>
      <w:r>
        <w:rPr>
          <w:rStyle w:val="FootnoteReference"/>
        </w:rPr>
        <w:footnoteRef/>
      </w:r>
      <w:r>
        <w:t xml:space="preserve"> </w:t>
      </w:r>
      <w:r w:rsidR="000965B1">
        <w:rPr>
          <w:i/>
          <w:iCs/>
        </w:rPr>
        <w:t>Id.</w:t>
      </w:r>
      <w:r w:rsidR="000965B1">
        <w:t xml:space="preserve">  </w:t>
      </w:r>
      <w:r>
        <w:t xml:space="preserve">  </w:t>
      </w:r>
    </w:p>
  </w:footnote>
  <w:footnote w:id="64">
    <w:p w:rsidR="00EB3336" w:rsidP="00EB3336" w14:paraId="2C5C80FC" w14:textId="1F241259">
      <w:pPr>
        <w:pStyle w:val="FootnoteText"/>
      </w:pPr>
      <w:r>
        <w:rPr>
          <w:rStyle w:val="FootnoteReference"/>
        </w:rPr>
        <w:footnoteRef/>
      </w:r>
      <w:r>
        <w:t xml:space="preserve"> </w:t>
      </w:r>
      <w:r w:rsidR="000965B1">
        <w:rPr>
          <w:i/>
          <w:iCs/>
        </w:rPr>
        <w:t>Id.</w:t>
      </w:r>
      <w:r w:rsidR="000965B1">
        <w:t xml:space="preserve"> </w:t>
      </w:r>
      <w:r>
        <w:t xml:space="preserve">at 4.  </w:t>
      </w:r>
    </w:p>
  </w:footnote>
  <w:footnote w:id="65">
    <w:p w:rsidR="00EB3336" w:rsidP="00EB3336" w14:paraId="73CD00AF" w14:textId="45E09B60">
      <w:pPr>
        <w:pStyle w:val="FootnoteText"/>
      </w:pPr>
      <w:r>
        <w:rPr>
          <w:rStyle w:val="FootnoteReference"/>
        </w:rPr>
        <w:footnoteRef/>
      </w:r>
      <w:r>
        <w:t xml:space="preserve"> </w:t>
      </w:r>
      <w:r w:rsidR="00996AF3">
        <w:rPr>
          <w:i/>
          <w:iCs/>
        </w:rPr>
        <w:t>Id.</w:t>
      </w:r>
      <w:r w:rsidR="00996AF3">
        <w:t xml:space="preserve"> </w:t>
      </w:r>
      <w:r>
        <w:t xml:space="preserve">at 4-5.  </w:t>
      </w:r>
    </w:p>
  </w:footnote>
  <w:footnote w:id="66">
    <w:p w:rsidR="00EB3336" w:rsidP="00EB3336" w14:paraId="1AA0422C" w14:textId="77777777">
      <w:pPr>
        <w:pStyle w:val="FootnoteText"/>
      </w:pPr>
      <w:r>
        <w:rPr>
          <w:rStyle w:val="FootnoteReference"/>
        </w:rPr>
        <w:footnoteRef/>
      </w:r>
      <w:r>
        <w:t xml:space="preserve"> </w:t>
      </w:r>
      <w:r>
        <w:rPr>
          <w:i/>
          <w:iCs/>
        </w:rPr>
        <w:t xml:space="preserve">See </w:t>
      </w:r>
      <w:r>
        <w:t xml:space="preserve">Federal Communications Commission, Information Collection Being Submitted for Review and Approval to Office of Management and Budget, 88 Fed. Reg. 77315, 77316 (Nov. 9, 2023).  </w:t>
      </w:r>
    </w:p>
  </w:footnote>
  <w:footnote w:id="67">
    <w:p w:rsidR="00EB3336" w:rsidP="00EB3336" w14:paraId="459408BF" w14:textId="77777777">
      <w:pPr>
        <w:pStyle w:val="FootnoteText"/>
      </w:pPr>
      <w:r>
        <w:rPr>
          <w:rStyle w:val="FootnoteReference"/>
        </w:rPr>
        <w:footnoteRef/>
      </w:r>
      <w:r>
        <w:t xml:space="preserve"> </w:t>
      </w:r>
      <w:r>
        <w:t>ViaPath</w:t>
      </w:r>
      <w:r>
        <w:t xml:space="preserve"> Comments at 3.  </w:t>
      </w:r>
    </w:p>
  </w:footnote>
  <w:footnote w:id="68">
    <w:p w:rsidR="00EB3336" w:rsidP="00EB3336" w14:paraId="5B205516" w14:textId="54B590CF">
      <w:pPr>
        <w:pStyle w:val="FootnoteText"/>
      </w:pPr>
      <w:r>
        <w:rPr>
          <w:rStyle w:val="FootnoteReference"/>
        </w:rPr>
        <w:footnoteRef/>
      </w:r>
      <w:r>
        <w:t xml:space="preserve"> </w:t>
      </w:r>
      <w:r w:rsidR="00996AF3">
        <w:rPr>
          <w:i/>
          <w:iCs/>
        </w:rPr>
        <w:t>Id.</w:t>
      </w:r>
      <w:r w:rsidR="00996AF3">
        <w:t xml:space="preserve"> </w:t>
      </w:r>
      <w:r>
        <w:t xml:space="preserve">at 4-5.  </w:t>
      </w:r>
    </w:p>
  </w:footnote>
  <w:footnote w:id="69">
    <w:p w:rsidR="00EB3336" w:rsidP="00EB3336" w14:paraId="026D14B2" w14:textId="77777777">
      <w:pPr>
        <w:pStyle w:val="FootnoteText"/>
      </w:pPr>
      <w:r>
        <w:rPr>
          <w:rStyle w:val="FootnoteReference"/>
        </w:rPr>
        <w:footnoteRef/>
      </w:r>
      <w:r>
        <w:t xml:space="preserve"> </w:t>
      </w:r>
      <w:r>
        <w:rPr>
          <w:i/>
          <w:iCs/>
        </w:rPr>
        <w:t>2024 IPCS Order</w:t>
      </w:r>
      <w:r>
        <w:t xml:space="preserve"> at 263, para. 502.  </w:t>
      </w:r>
    </w:p>
  </w:footnote>
  <w:footnote w:id="70">
    <w:p w:rsidR="00EB3336" w:rsidP="00EB3336" w14:paraId="2DBFB320" w14:textId="0914190B">
      <w:pPr>
        <w:pStyle w:val="FootnoteText"/>
      </w:pPr>
      <w:r>
        <w:rPr>
          <w:rStyle w:val="FootnoteReference"/>
        </w:rPr>
        <w:footnoteRef/>
      </w:r>
      <w:r>
        <w:t xml:space="preserve"> </w:t>
      </w:r>
      <w:r w:rsidR="00996AF3">
        <w:rPr>
          <w:i/>
          <w:iCs/>
        </w:rPr>
        <w:t>Id.</w:t>
      </w:r>
      <w:r w:rsidR="00996AF3">
        <w:t xml:space="preserve"> </w:t>
      </w:r>
      <w:r>
        <w:t xml:space="preserve"> </w:t>
      </w:r>
    </w:p>
  </w:footnote>
  <w:footnote w:id="71">
    <w:p w:rsidR="00EB3336" w:rsidP="00EB3336" w14:paraId="2E47B0E3" w14:textId="031B10F9">
      <w:pPr>
        <w:pStyle w:val="FootnoteText"/>
      </w:pPr>
      <w:r>
        <w:rPr>
          <w:rStyle w:val="FootnoteReference"/>
        </w:rPr>
        <w:footnoteRef/>
      </w:r>
      <w:r>
        <w:t xml:space="preserve"> </w:t>
      </w:r>
      <w:r w:rsidR="00996AF3">
        <w:rPr>
          <w:i/>
          <w:iCs/>
        </w:rPr>
        <w:t>Id.</w:t>
      </w:r>
      <w:r w:rsidR="00996AF3">
        <w:t xml:space="preserve"> </w:t>
      </w:r>
      <w:r>
        <w:t xml:space="preserve"> </w:t>
      </w:r>
    </w:p>
  </w:footnote>
  <w:footnote w:id="72">
    <w:p w:rsidR="00C04962" w14:paraId="50538420" w14:textId="2C9A4F0F">
      <w:pPr>
        <w:pStyle w:val="FootnoteText"/>
      </w:pPr>
      <w:r>
        <w:rPr>
          <w:rStyle w:val="FootnoteReference"/>
        </w:rPr>
        <w:footnoteRef/>
      </w:r>
      <w:r>
        <w:t xml:space="preserve"> </w:t>
      </w:r>
      <w:r w:rsidRPr="00317504" w:rsidR="00317504">
        <w:t>As explained</w:t>
      </w:r>
      <w:r w:rsidR="00FE68B1">
        <w:t xml:space="preserve"> below</w:t>
      </w:r>
      <w:r w:rsidRPr="00317504" w:rsidR="00317504">
        <w:t xml:space="preserve"> in Question 18, we have revised the total burden hour estimate from 17,555 to 15,175 hours (-2,380) based on our revised estimates for compliance with </w:t>
      </w:r>
      <w:r w:rsidR="00871650">
        <w:t xml:space="preserve">section 64.6120 </w:t>
      </w:r>
      <w:r w:rsidRPr="00317504" w:rsidR="00317504">
        <w:t xml:space="preserve">waiver </w:t>
      </w:r>
      <w:r w:rsidR="004A349D">
        <w:t xml:space="preserve">process </w:t>
      </w:r>
      <w:r w:rsidRPr="00317504" w:rsidR="00317504">
        <w:t>and section 64.6040(f) information collection requirements.</w:t>
      </w:r>
      <w:r w:rsidR="00585E30">
        <w:t xml:space="preserve">  Th</w:t>
      </w:r>
      <w:r w:rsidR="006832E9">
        <w:t>is</w:t>
      </w:r>
      <w:r w:rsidR="00585E30">
        <w:t xml:space="preserve"> new</w:t>
      </w:r>
      <w:r w:rsidR="00825DC1">
        <w:t xml:space="preserve"> </w:t>
      </w:r>
      <w:r w:rsidR="00FE2D8C">
        <w:t>lower</w:t>
      </w:r>
      <w:r w:rsidR="00825DC1">
        <w:t xml:space="preserve"> estimate </w:t>
      </w:r>
      <w:r w:rsidR="006832E9">
        <w:t>is</w:t>
      </w:r>
      <w:r w:rsidR="00825DC1">
        <w:t xml:space="preserve"> reflected in our 30-Day Notice.</w:t>
      </w:r>
    </w:p>
  </w:footnote>
  <w:footnote w:id="73">
    <w:p w:rsidR="00EB3336" w:rsidP="00EB3336" w14:paraId="03E4B128" w14:textId="301A3633">
      <w:pPr>
        <w:pStyle w:val="FootnoteText"/>
        <w:rPr>
          <w:i/>
          <w:iCs/>
        </w:rPr>
      </w:pPr>
      <w:r>
        <w:rPr>
          <w:rStyle w:val="FootnoteReference"/>
        </w:rPr>
        <w:footnoteRef/>
      </w:r>
      <w:r>
        <w:t xml:space="preserve"> </w:t>
      </w:r>
      <w:r>
        <w:rPr>
          <w:i/>
          <w:iCs/>
        </w:rPr>
        <w:t>Oct. 25, 2024 Federal Register Notice</w:t>
      </w:r>
      <w:r>
        <w:t>, 89 Fed. Reg. at 85210</w:t>
      </w:r>
    </w:p>
  </w:footnote>
  <w:footnote w:id="74">
    <w:p w:rsidR="00EB3336" w:rsidP="00EB3336" w14:paraId="776D0A51" w14:textId="77777777">
      <w:pPr>
        <w:pStyle w:val="FootnoteText"/>
      </w:pPr>
      <w:r>
        <w:rPr>
          <w:rStyle w:val="FootnoteReference"/>
        </w:rPr>
        <w:footnoteRef/>
      </w:r>
      <w:r>
        <w:t xml:space="preserve"> </w:t>
      </w:r>
      <w:r>
        <w:t>ViaPath</w:t>
      </w:r>
      <w:r>
        <w:t xml:space="preserve"> Comments at 4.  </w:t>
      </w:r>
    </w:p>
  </w:footnote>
  <w:footnote w:id="75">
    <w:p w:rsidR="00EB3336" w:rsidP="00EB3336" w14:paraId="2D31CDDF" w14:textId="2B82C316">
      <w:pPr>
        <w:pStyle w:val="FootnoteText"/>
      </w:pPr>
      <w:r>
        <w:rPr>
          <w:rStyle w:val="FootnoteReference"/>
        </w:rPr>
        <w:footnoteRef/>
      </w:r>
      <w:r>
        <w:t xml:space="preserve"> </w:t>
      </w:r>
      <w:r w:rsidR="00996AF3">
        <w:rPr>
          <w:i/>
          <w:iCs/>
        </w:rPr>
        <w:t>Id.</w:t>
      </w:r>
      <w:r w:rsidR="00996AF3">
        <w:t xml:space="preserve"> </w:t>
      </w:r>
      <w:r>
        <w:t xml:space="preserve"> </w:t>
      </w:r>
    </w:p>
  </w:footnote>
  <w:footnote w:id="76">
    <w:p w:rsidR="00656018" w14:paraId="7715BE77" w14:textId="7E4C93C3">
      <w:pPr>
        <w:pStyle w:val="FootnoteText"/>
      </w:pPr>
      <w:r>
        <w:rPr>
          <w:rStyle w:val="FootnoteReference"/>
        </w:rPr>
        <w:footnoteRef/>
      </w:r>
      <w:r>
        <w:t xml:space="preserve"> </w:t>
      </w:r>
      <w:r w:rsidRPr="00656018">
        <w:rPr>
          <w:i/>
          <w:iCs/>
        </w:rPr>
        <w:t>See infra</w:t>
      </w:r>
      <w:r>
        <w:t xml:space="preserve"> Question 13.</w:t>
      </w:r>
    </w:p>
  </w:footnote>
  <w:footnote w:id="77">
    <w:p w:rsidR="00EB3336" w:rsidP="00EB3336" w14:paraId="0B33F522" w14:textId="598DCFD4">
      <w:pPr>
        <w:pStyle w:val="FootnoteText"/>
      </w:pPr>
      <w:r>
        <w:rPr>
          <w:rStyle w:val="FootnoteReference"/>
        </w:rPr>
        <w:footnoteRef/>
      </w:r>
      <w:r>
        <w:t xml:space="preserve"> </w:t>
      </w:r>
      <w:r>
        <w:t>ViaPath</w:t>
      </w:r>
      <w:r>
        <w:t xml:space="preserve"> Comments at 4 (noting the need to update existing systems); </w:t>
      </w:r>
      <w:r w:rsidR="00192AF8">
        <w:t>Securus Technologies, LLC Comments, WC Docket Nos. 23-62 and 12-375, at 2 (rec. Jan. 7, 2025) (Securus Comments)</w:t>
      </w:r>
      <w:r w:rsidR="00B42F74">
        <w:t xml:space="preserve"> </w:t>
      </w:r>
      <w:r>
        <w:t xml:space="preserve">(asserting that IPCS providers will have “to substantially revamp internal systems” to comply with the rules adopted in the </w:t>
      </w:r>
      <w:r>
        <w:rPr>
          <w:i/>
          <w:iCs/>
        </w:rPr>
        <w:t>2024 IPCS Order</w:t>
      </w:r>
      <w:r>
        <w:t>).</w:t>
      </w:r>
    </w:p>
  </w:footnote>
  <w:footnote w:id="78">
    <w:p w:rsidR="00EB3336" w:rsidP="00EB3336" w14:paraId="634FBFF0" w14:textId="77777777">
      <w:pPr>
        <w:pStyle w:val="FootnoteText"/>
      </w:pPr>
      <w:r>
        <w:rPr>
          <w:rStyle w:val="FootnoteReference"/>
        </w:rPr>
        <w:footnoteRef/>
      </w:r>
      <w:r>
        <w:t xml:space="preserve"> </w:t>
      </w:r>
      <w:r>
        <w:t>ViaPath</w:t>
      </w:r>
      <w:r>
        <w:t xml:space="preserve"> Comments at 4.  </w:t>
      </w:r>
    </w:p>
  </w:footnote>
  <w:footnote w:id="79">
    <w:p w:rsidR="00EB3336" w:rsidP="00EB3336" w14:paraId="058348EF" w14:textId="77777777">
      <w:pPr>
        <w:pStyle w:val="FootnoteText"/>
      </w:pPr>
      <w:r>
        <w:rPr>
          <w:rStyle w:val="FootnoteReference"/>
        </w:rPr>
        <w:footnoteRef/>
      </w:r>
      <w:r>
        <w:t xml:space="preserve"> </w:t>
      </w:r>
      <w:r>
        <w:rPr>
          <w:i/>
          <w:iCs/>
        </w:rPr>
        <w:t>See 2024 IPCS Order</w:t>
      </w:r>
      <w:r>
        <w:t xml:space="preserve"> at 277-90, paras. 530-56; </w:t>
      </w:r>
      <w:r>
        <w:rPr>
          <w:i/>
          <w:iCs/>
        </w:rPr>
        <w:t>id.</w:t>
      </w:r>
      <w:r>
        <w:t xml:space="preserve"> at 337-39, Appx. A, § 64.6130. </w:t>
      </w:r>
    </w:p>
  </w:footnote>
  <w:footnote w:id="80">
    <w:p w:rsidR="00EB3336" w:rsidP="00EB3336" w14:paraId="1891BE23" w14:textId="582341BA">
      <w:pPr>
        <w:pStyle w:val="FootnoteText"/>
      </w:pPr>
      <w:r>
        <w:rPr>
          <w:rStyle w:val="FootnoteReference"/>
        </w:rPr>
        <w:footnoteRef/>
      </w:r>
      <w:r>
        <w:t xml:space="preserve"> Securus </w:t>
      </w:r>
      <w:r w:rsidR="00AD5A70">
        <w:t xml:space="preserve">Comments </w:t>
      </w:r>
      <w:r>
        <w:t>at</w:t>
      </w:r>
      <w:r>
        <w:t xml:space="preserve"> 14.  </w:t>
      </w:r>
    </w:p>
  </w:footnote>
  <w:footnote w:id="81">
    <w:p w:rsidR="00EB3336" w:rsidP="004432AE" w14:paraId="2A37F8DE" w14:textId="21ECBCE7">
      <w:pPr>
        <w:pStyle w:val="FootnoteText"/>
      </w:pPr>
      <w:r>
        <w:rPr>
          <w:rStyle w:val="FootnoteReference"/>
        </w:rPr>
        <w:footnoteRef/>
      </w:r>
      <w:r>
        <w:t xml:space="preserve"> </w:t>
      </w:r>
      <w:r w:rsidR="00D80502">
        <w:rPr>
          <w:i/>
          <w:iCs/>
        </w:rPr>
        <w:t>Id.</w:t>
      </w:r>
      <w:r w:rsidR="00D80502">
        <w:t xml:space="preserve"> </w:t>
      </w:r>
      <w:r>
        <w:t xml:space="preserve">at 11.  Securus distinguishes between prepaid IPCS accounts, which “are created by the friends and family of the incarcerated” person and for which the “friend or family member is the account holder,” and debit accounts, which “are established when a person arrives at the correctional facility and the account remains open and available until the person is released or transferred from that facility.”  </w:t>
      </w:r>
      <w:r>
        <w:rPr>
          <w:i/>
          <w:iCs/>
        </w:rPr>
        <w:t xml:space="preserve">Id. </w:t>
      </w:r>
      <w:r>
        <w:t>at 10.</w:t>
      </w:r>
    </w:p>
  </w:footnote>
  <w:footnote w:id="82">
    <w:p w:rsidR="00EB3336" w:rsidP="00EB3336" w14:paraId="4053204F" w14:textId="1E11DDEE">
      <w:pPr>
        <w:pStyle w:val="FootnoteText"/>
      </w:pPr>
      <w:r>
        <w:rPr>
          <w:rStyle w:val="FootnoteReference"/>
        </w:rPr>
        <w:footnoteRef/>
      </w:r>
      <w:r>
        <w:t xml:space="preserve"> </w:t>
      </w:r>
      <w:r w:rsidR="00DC56B9">
        <w:rPr>
          <w:i/>
          <w:iCs/>
        </w:rPr>
        <w:t>Id.</w:t>
      </w:r>
      <w:r w:rsidR="00DC56B9">
        <w:t xml:space="preserve"> </w:t>
      </w:r>
      <w:r>
        <w:t xml:space="preserve">at 5.  </w:t>
      </w:r>
    </w:p>
  </w:footnote>
  <w:footnote w:id="83">
    <w:p w:rsidR="00EB3336" w:rsidP="00EB3336" w14:paraId="500B515D" w14:textId="2E7BBA1F">
      <w:pPr>
        <w:pStyle w:val="FootnoteText"/>
      </w:pPr>
      <w:r>
        <w:rPr>
          <w:rStyle w:val="FootnoteReference"/>
        </w:rPr>
        <w:footnoteRef/>
      </w:r>
      <w:r>
        <w:t xml:space="preserve"> </w:t>
      </w:r>
      <w:r w:rsidR="00DC56B9">
        <w:rPr>
          <w:i/>
          <w:iCs/>
        </w:rPr>
        <w:t>Id.</w:t>
      </w:r>
      <w:r w:rsidR="00DC56B9">
        <w:t xml:space="preserve"> </w:t>
      </w:r>
      <w:r>
        <w:t xml:space="preserve">at 11.  </w:t>
      </w:r>
    </w:p>
  </w:footnote>
  <w:footnote w:id="84">
    <w:p w:rsidR="00EB3336" w:rsidP="00EB3336" w14:paraId="5D3D2E61" w14:textId="5B9FF5C0">
      <w:pPr>
        <w:pStyle w:val="FootnoteText"/>
      </w:pPr>
      <w:r>
        <w:rPr>
          <w:rStyle w:val="FootnoteReference"/>
        </w:rPr>
        <w:footnoteRef/>
      </w:r>
      <w:r>
        <w:t xml:space="preserve"> </w:t>
      </w:r>
      <w:r w:rsidR="0035667C">
        <w:rPr>
          <w:i/>
          <w:iCs/>
        </w:rPr>
        <w:t>Id.</w:t>
      </w:r>
      <w:r>
        <w:t xml:space="preserve">  </w:t>
      </w:r>
    </w:p>
  </w:footnote>
  <w:footnote w:id="85">
    <w:p w:rsidR="00EB3336" w:rsidP="00EB3336" w14:paraId="0F293807" w14:textId="22A3B353">
      <w:pPr>
        <w:pStyle w:val="FootnoteText"/>
      </w:pPr>
      <w:r>
        <w:rPr>
          <w:rStyle w:val="FootnoteReference"/>
        </w:rPr>
        <w:footnoteRef/>
      </w:r>
      <w:r>
        <w:t xml:space="preserve"> </w:t>
      </w:r>
      <w:r w:rsidR="0035667C">
        <w:rPr>
          <w:i/>
          <w:iCs/>
        </w:rPr>
        <w:t>Id.</w:t>
      </w:r>
      <w:r w:rsidR="0035667C">
        <w:t xml:space="preserve"> </w:t>
      </w:r>
      <w:r>
        <w:t xml:space="preserve">at 12.  </w:t>
      </w:r>
    </w:p>
  </w:footnote>
  <w:footnote w:id="86">
    <w:p w:rsidR="00EB3336" w:rsidP="00EB3336" w14:paraId="3B571087" w14:textId="7D233231">
      <w:pPr>
        <w:pStyle w:val="FootnoteText"/>
      </w:pPr>
      <w:r>
        <w:rPr>
          <w:rStyle w:val="FootnoteReference"/>
        </w:rPr>
        <w:footnoteRef/>
      </w:r>
      <w:r>
        <w:t xml:space="preserve"> </w:t>
      </w:r>
      <w:r w:rsidR="0035667C">
        <w:rPr>
          <w:i/>
          <w:iCs/>
        </w:rPr>
        <w:t>Id.</w:t>
      </w:r>
      <w:r w:rsidR="0035667C">
        <w:t xml:space="preserve"> </w:t>
      </w:r>
      <w:r>
        <w:t xml:space="preserve">  </w:t>
      </w:r>
    </w:p>
  </w:footnote>
  <w:footnote w:id="87">
    <w:p w:rsidR="00EB3336" w:rsidP="00EB3336" w14:paraId="1621D66C" w14:textId="4A498719">
      <w:pPr>
        <w:pStyle w:val="FootnoteText"/>
      </w:pPr>
      <w:r>
        <w:rPr>
          <w:rStyle w:val="FootnoteReference"/>
        </w:rPr>
        <w:footnoteRef/>
      </w:r>
      <w:r>
        <w:t xml:space="preserve"> </w:t>
      </w:r>
      <w:r w:rsidR="0035667C">
        <w:rPr>
          <w:i/>
          <w:iCs/>
        </w:rPr>
        <w:t>Id.</w:t>
      </w:r>
      <w:r w:rsidR="0035667C">
        <w:t xml:space="preserve"> </w:t>
      </w:r>
      <w:r>
        <w:t xml:space="preserve">at 13.  </w:t>
      </w:r>
    </w:p>
  </w:footnote>
  <w:footnote w:id="88">
    <w:p w:rsidR="00EB3336" w:rsidP="00EB3336" w14:paraId="2B2BBCBC" w14:textId="77777777">
      <w:pPr>
        <w:pStyle w:val="FootnoteText"/>
      </w:pPr>
      <w:r>
        <w:rPr>
          <w:rStyle w:val="FootnoteReference"/>
        </w:rPr>
        <w:footnoteRef/>
      </w:r>
      <w:r>
        <w:t xml:space="preserve"> </w:t>
      </w:r>
      <w:r>
        <w:rPr>
          <w:i/>
          <w:iCs/>
        </w:rPr>
        <w:t>2024 IPCS Order</w:t>
      </w:r>
      <w:r>
        <w:t xml:space="preserve"> at 280, para. 535.  </w:t>
      </w:r>
    </w:p>
  </w:footnote>
  <w:footnote w:id="89">
    <w:p w:rsidR="00EB3336" w:rsidP="00EB3336" w14:paraId="47F4476C" w14:textId="3CFC5D18">
      <w:pPr>
        <w:pStyle w:val="FootnoteText"/>
      </w:pPr>
      <w:r>
        <w:rPr>
          <w:rStyle w:val="FootnoteReference"/>
        </w:rPr>
        <w:footnoteRef/>
      </w:r>
      <w:r>
        <w:t xml:space="preserve"> </w:t>
      </w:r>
      <w:r w:rsidR="00C927BD">
        <w:rPr>
          <w:i/>
          <w:iCs/>
        </w:rPr>
        <w:t>Id.</w:t>
      </w:r>
      <w:r w:rsidR="00C927BD">
        <w:t xml:space="preserve"> </w:t>
      </w:r>
      <w:r>
        <w:t xml:space="preserve">at 280, para. 536.  </w:t>
      </w:r>
    </w:p>
  </w:footnote>
  <w:footnote w:id="90">
    <w:p w:rsidR="00EB3336" w:rsidP="00EB3336" w14:paraId="0164CCE2" w14:textId="77777777">
      <w:pPr>
        <w:pStyle w:val="FootnoteText"/>
      </w:pPr>
      <w:r>
        <w:rPr>
          <w:rStyle w:val="FootnoteReference"/>
        </w:rPr>
        <w:footnoteRef/>
      </w:r>
      <w:r>
        <w:t xml:space="preserve"> We note that Securus did not seek reconsideration of Commission’s permanent refund rules for inactive IPCS accounts or otherwise request that the Commission revisit those rules.</w:t>
      </w:r>
    </w:p>
  </w:footnote>
  <w:footnote w:id="91">
    <w:p w:rsidR="00EB3336" w:rsidP="00EB3336" w14:paraId="1314BAFE" w14:textId="77777777">
      <w:pPr>
        <w:pStyle w:val="FootnoteText"/>
      </w:pPr>
      <w:r>
        <w:rPr>
          <w:rStyle w:val="FootnoteReference"/>
        </w:rPr>
        <w:footnoteRef/>
      </w:r>
      <w:r>
        <w:t xml:space="preserve"> Securus Comments at 11.  </w:t>
      </w:r>
    </w:p>
  </w:footnote>
  <w:footnote w:id="92">
    <w:p w:rsidR="00EB3336" w:rsidP="00EB3336" w14:paraId="1D56614B" w14:textId="77777777">
      <w:pPr>
        <w:pStyle w:val="FootnoteText"/>
      </w:pPr>
      <w:r>
        <w:rPr>
          <w:rStyle w:val="FootnoteReference"/>
        </w:rPr>
        <w:footnoteRef/>
      </w:r>
      <w:r>
        <w:t xml:space="preserve"> </w:t>
      </w:r>
      <w:r>
        <w:rPr>
          <w:i/>
          <w:iCs/>
        </w:rPr>
        <w:t>2024 IPCS Order</w:t>
      </w:r>
      <w:r>
        <w:t xml:space="preserve"> at 277, para. 530.  </w:t>
      </w:r>
    </w:p>
  </w:footnote>
  <w:footnote w:id="93">
    <w:p w:rsidR="00EB3336" w:rsidP="00EB3336" w14:paraId="15DF3003" w14:textId="474AECA1">
      <w:pPr>
        <w:pStyle w:val="FootnoteText"/>
      </w:pPr>
      <w:r>
        <w:rPr>
          <w:rStyle w:val="FootnoteReference"/>
        </w:rPr>
        <w:footnoteRef/>
      </w:r>
      <w:r>
        <w:t xml:space="preserve"> </w:t>
      </w:r>
      <w:r w:rsidR="00C927BD">
        <w:rPr>
          <w:i/>
          <w:iCs/>
        </w:rPr>
        <w:t>Id.</w:t>
      </w:r>
      <w:r w:rsidR="00C927BD">
        <w:t xml:space="preserve"> </w:t>
      </w:r>
      <w:r>
        <w:t xml:space="preserve">at 284, para. 546.  </w:t>
      </w:r>
    </w:p>
  </w:footnote>
  <w:footnote w:id="94">
    <w:p w:rsidR="00EB3336" w:rsidP="00EB3336" w14:paraId="2E418FF0" w14:textId="77777777">
      <w:pPr>
        <w:pStyle w:val="FootnoteText"/>
      </w:pPr>
      <w:r>
        <w:rPr>
          <w:rStyle w:val="FootnoteReference"/>
        </w:rPr>
        <w:footnoteRef/>
      </w:r>
      <w:r>
        <w:t xml:space="preserve"> Securus Comments at 5.  </w:t>
      </w:r>
    </w:p>
  </w:footnote>
  <w:footnote w:id="95">
    <w:p w:rsidR="00EB3336" w:rsidP="00EB3336" w14:paraId="1F543666" w14:textId="77777777">
      <w:pPr>
        <w:pStyle w:val="FootnoteText"/>
      </w:pPr>
      <w:r>
        <w:rPr>
          <w:rStyle w:val="FootnoteReference"/>
        </w:rPr>
        <w:footnoteRef/>
      </w:r>
      <w:r>
        <w:t xml:space="preserve"> </w:t>
      </w:r>
      <w:r>
        <w:rPr>
          <w:i/>
          <w:iCs/>
        </w:rPr>
        <w:t xml:space="preserve">2024 IPCS Order </w:t>
      </w:r>
      <w:r>
        <w:t xml:space="preserve">at 284-85, para. 546.  </w:t>
      </w:r>
    </w:p>
  </w:footnote>
  <w:footnote w:id="96">
    <w:p w:rsidR="00EB3336" w:rsidP="00EB3336" w14:paraId="7CB7BA7C" w14:textId="11F16E88">
      <w:pPr>
        <w:pStyle w:val="FootnoteText"/>
      </w:pPr>
      <w:r>
        <w:rPr>
          <w:rStyle w:val="FootnoteReference"/>
        </w:rPr>
        <w:footnoteRef/>
      </w:r>
      <w:r>
        <w:t xml:space="preserve"> </w:t>
      </w:r>
      <w:r w:rsidR="00BD465C">
        <w:rPr>
          <w:i/>
          <w:iCs/>
        </w:rPr>
        <w:t>Id.</w:t>
      </w:r>
      <w:r w:rsidR="00BD465C">
        <w:t xml:space="preserve"> </w:t>
      </w:r>
      <w:r>
        <w:t xml:space="preserve">at 279, para. 534; </w:t>
      </w:r>
      <w:r>
        <w:rPr>
          <w:i/>
          <w:iCs/>
        </w:rPr>
        <w:t>id.</w:t>
      </w:r>
      <w:r>
        <w:t xml:space="preserve"> at 337, Appx. A, § 64.6130(a).  </w:t>
      </w:r>
    </w:p>
  </w:footnote>
  <w:footnote w:id="97">
    <w:p w:rsidR="00EB3336" w:rsidP="00EB3336" w14:paraId="2F7A1DEC" w14:textId="77777777">
      <w:pPr>
        <w:pStyle w:val="FootnoteText"/>
      </w:pPr>
      <w:r>
        <w:rPr>
          <w:rStyle w:val="FootnoteReference"/>
        </w:rPr>
        <w:footnoteRef/>
      </w:r>
      <w:r>
        <w:t xml:space="preserve"> Securus Comments at 16.  </w:t>
      </w:r>
    </w:p>
  </w:footnote>
  <w:footnote w:id="98">
    <w:p w:rsidR="00EB3336" w:rsidP="00EB3336" w14:paraId="7ADAB422" w14:textId="762A10A6">
      <w:pPr>
        <w:pStyle w:val="FootnoteText"/>
      </w:pPr>
      <w:r>
        <w:rPr>
          <w:rStyle w:val="FootnoteReference"/>
        </w:rPr>
        <w:footnoteRef/>
      </w:r>
      <w:r>
        <w:t xml:space="preserve"> </w:t>
      </w:r>
      <w:r>
        <w:rPr>
          <w:i/>
          <w:iCs/>
        </w:rPr>
        <w:t xml:space="preserve">See generally </w:t>
      </w:r>
      <w:r w:rsidR="00914B4A">
        <w:rPr>
          <w:i/>
          <w:iCs/>
        </w:rPr>
        <w:t xml:space="preserve">id. </w:t>
      </w:r>
      <w:r>
        <w:t xml:space="preserve">at 16-20.  </w:t>
      </w:r>
    </w:p>
  </w:footnote>
  <w:footnote w:id="99">
    <w:p w:rsidR="00EB3336" w:rsidP="00EB3336" w14:paraId="333D6E8B" w14:textId="46CDA7D1">
      <w:pPr>
        <w:pStyle w:val="FootnoteText"/>
      </w:pPr>
      <w:r>
        <w:rPr>
          <w:rStyle w:val="FootnoteReference"/>
        </w:rPr>
        <w:footnoteRef/>
      </w:r>
      <w:r>
        <w:t xml:space="preserve"> </w:t>
      </w:r>
      <w:r w:rsidR="00914B4A">
        <w:rPr>
          <w:i/>
          <w:iCs/>
        </w:rPr>
        <w:t>Id.</w:t>
      </w:r>
      <w:r w:rsidR="00914B4A">
        <w:t xml:space="preserve"> </w:t>
      </w:r>
      <w:r>
        <w:t xml:space="preserve">at 18.  </w:t>
      </w:r>
    </w:p>
  </w:footnote>
  <w:footnote w:id="100">
    <w:p w:rsidR="00EB3336" w:rsidP="00EB3336" w14:paraId="56C69D71" w14:textId="5BBC4197">
      <w:pPr>
        <w:pStyle w:val="FootnoteText"/>
      </w:pPr>
      <w:r>
        <w:rPr>
          <w:rStyle w:val="FootnoteReference"/>
        </w:rPr>
        <w:footnoteRef/>
      </w:r>
      <w:r>
        <w:t xml:space="preserve"> </w:t>
      </w:r>
      <w:r w:rsidR="00914B4A">
        <w:rPr>
          <w:i/>
          <w:iCs/>
        </w:rPr>
        <w:t>Id.</w:t>
      </w:r>
      <w:r w:rsidR="00914B4A">
        <w:t xml:space="preserve"> </w:t>
      </w:r>
      <w:r>
        <w:t xml:space="preserve">at 22.  </w:t>
      </w:r>
    </w:p>
  </w:footnote>
  <w:footnote w:id="101">
    <w:p w:rsidR="00EB3336" w:rsidP="00EB3336" w14:paraId="1C92D4D1" w14:textId="77777777">
      <w:pPr>
        <w:pStyle w:val="FootnoteText"/>
      </w:pPr>
      <w:r>
        <w:rPr>
          <w:rStyle w:val="FootnoteReference"/>
        </w:rPr>
        <w:footnoteRef/>
      </w:r>
      <w:r>
        <w:t xml:space="preserve"> We note that Securus did not seek reconsideration of Commission’s disclosure rules for alternate pricing plans or  otherwise request that the Commission revisit those rules.</w:t>
      </w:r>
    </w:p>
  </w:footnote>
  <w:footnote w:id="102">
    <w:p w:rsidR="00EB3336" w:rsidP="00EB3336" w14:paraId="47FB0475" w14:textId="77777777">
      <w:pPr>
        <w:pStyle w:val="FootnoteText"/>
      </w:pPr>
      <w:r>
        <w:rPr>
          <w:rStyle w:val="FootnoteReference"/>
        </w:rPr>
        <w:footnoteRef/>
      </w:r>
      <w:r>
        <w:t xml:space="preserve"> </w:t>
      </w:r>
      <w:r>
        <w:rPr>
          <w:i/>
          <w:iCs/>
        </w:rPr>
        <w:t>2024 IPCS Order</w:t>
      </w:r>
      <w:r>
        <w:t xml:space="preserve"> at 230, para. 428.  </w:t>
      </w:r>
    </w:p>
  </w:footnote>
  <w:footnote w:id="103">
    <w:p w:rsidR="00EB3336" w:rsidP="00EB3336" w14:paraId="03E6CEA1" w14:textId="3F2EDF9A">
      <w:pPr>
        <w:pStyle w:val="FootnoteText"/>
      </w:pPr>
      <w:r>
        <w:rPr>
          <w:rStyle w:val="FootnoteReference"/>
        </w:rPr>
        <w:footnoteRef/>
      </w:r>
      <w:r>
        <w:t xml:space="preserve"> </w:t>
      </w:r>
      <w:r w:rsidR="00385922">
        <w:rPr>
          <w:i/>
          <w:iCs/>
        </w:rPr>
        <w:t>Id</w:t>
      </w:r>
      <w:r>
        <w:t>.</w:t>
      </w:r>
    </w:p>
  </w:footnote>
  <w:footnote w:id="104">
    <w:p w:rsidR="00EB3336" w:rsidP="00EB3336" w14:paraId="4891ACF6" w14:textId="619A1A6D">
      <w:pPr>
        <w:pStyle w:val="FootnoteText"/>
      </w:pPr>
      <w:r>
        <w:rPr>
          <w:rStyle w:val="FootnoteReference"/>
        </w:rPr>
        <w:footnoteRef/>
      </w:r>
      <w:r>
        <w:t xml:space="preserve"> </w:t>
      </w:r>
      <w:r>
        <w:rPr>
          <w:i/>
          <w:iCs/>
        </w:rPr>
        <w:t>See, e.g.</w:t>
      </w:r>
      <w:r>
        <w:t xml:space="preserve">, </w:t>
      </w:r>
      <w:r w:rsidR="00FE15A5">
        <w:rPr>
          <w:i/>
          <w:iCs/>
        </w:rPr>
        <w:t xml:space="preserve">id. </w:t>
      </w:r>
      <w:r>
        <w:t xml:space="preserve">at 274, para. 512.  </w:t>
      </w:r>
    </w:p>
  </w:footnote>
  <w:footnote w:id="105">
    <w:p w:rsidR="00EB3336" w:rsidP="00EB3336" w14:paraId="17A5353B" w14:textId="18FB9F2E">
      <w:pPr>
        <w:pStyle w:val="FootnoteText"/>
      </w:pPr>
      <w:r>
        <w:rPr>
          <w:rStyle w:val="FootnoteReference"/>
        </w:rPr>
        <w:footnoteRef/>
      </w:r>
      <w:r>
        <w:t xml:space="preserve"> </w:t>
      </w:r>
      <w:r w:rsidR="00FE15A5">
        <w:rPr>
          <w:i/>
          <w:iCs/>
        </w:rPr>
        <w:t>Id.</w:t>
      </w:r>
      <w:r w:rsidR="00FE15A5">
        <w:t xml:space="preserve"> </w:t>
      </w:r>
      <w:r>
        <w:t>at 230, para. 428.</w:t>
      </w:r>
    </w:p>
  </w:footnote>
  <w:footnote w:id="106">
    <w:p w:rsidR="00EB3336" w:rsidP="00EB3336" w14:paraId="37F7E66F" w14:textId="77777777">
      <w:pPr>
        <w:pStyle w:val="FootnoteText"/>
      </w:pPr>
      <w:r>
        <w:rPr>
          <w:rStyle w:val="FootnoteReference"/>
        </w:rPr>
        <w:footnoteRef/>
      </w:r>
      <w:r>
        <w:t xml:space="preserve"> Securus Comments at 24.</w:t>
      </w:r>
    </w:p>
  </w:footnote>
  <w:footnote w:id="107">
    <w:p w:rsidR="00EB3336" w:rsidP="00EB3336" w14:paraId="3C500D89" w14:textId="08165772">
      <w:pPr>
        <w:pStyle w:val="FootnoteText"/>
      </w:pPr>
      <w:r>
        <w:rPr>
          <w:rStyle w:val="FootnoteReference"/>
        </w:rPr>
        <w:footnoteRef/>
      </w:r>
      <w:r>
        <w:t xml:space="preserve"> </w:t>
      </w:r>
      <w:r w:rsidR="00F2312A">
        <w:rPr>
          <w:i/>
          <w:iCs/>
        </w:rPr>
        <w:t>Id.</w:t>
      </w:r>
      <w:r w:rsidR="00F2312A">
        <w:t xml:space="preserve"> </w:t>
      </w:r>
      <w:r>
        <w:t>at 23-24.</w:t>
      </w:r>
    </w:p>
  </w:footnote>
  <w:footnote w:id="108">
    <w:p w:rsidR="00EB3336" w:rsidP="00EB3336" w14:paraId="6624191C" w14:textId="5C255893">
      <w:pPr>
        <w:pStyle w:val="FootnoteText"/>
      </w:pPr>
      <w:r>
        <w:rPr>
          <w:rStyle w:val="FootnoteReference"/>
        </w:rPr>
        <w:footnoteRef/>
      </w:r>
      <w:r>
        <w:t xml:space="preserve"> </w:t>
      </w:r>
      <w:r w:rsidR="00B82B1B">
        <w:rPr>
          <w:i/>
          <w:iCs/>
        </w:rPr>
        <w:t>Id.</w:t>
      </w:r>
      <w:r w:rsidR="00B82B1B">
        <w:t xml:space="preserve"> </w:t>
      </w:r>
      <w:r>
        <w:t xml:space="preserve">at 24.  </w:t>
      </w:r>
    </w:p>
  </w:footnote>
  <w:footnote w:id="109">
    <w:p w:rsidR="00EB3336" w:rsidP="00EB3336" w14:paraId="11E426EF" w14:textId="0BFC5024">
      <w:pPr>
        <w:pStyle w:val="FootnoteText"/>
      </w:pPr>
      <w:r>
        <w:rPr>
          <w:rStyle w:val="FootnoteReference"/>
        </w:rPr>
        <w:footnoteRef/>
      </w:r>
      <w:r>
        <w:t xml:space="preserve"> </w:t>
      </w:r>
      <w:r>
        <w:rPr>
          <w:i/>
          <w:iCs/>
        </w:rPr>
        <w:t>2024 IPCS Order</w:t>
      </w:r>
      <w:r>
        <w:t xml:space="preserve">, at </w:t>
      </w:r>
      <w:r w:rsidR="00B77942">
        <w:t>250</w:t>
      </w:r>
      <w:r w:rsidR="009E18C7">
        <w:t>,</w:t>
      </w:r>
      <w:r>
        <w:t xml:space="preserve"> para. 473.</w:t>
      </w:r>
    </w:p>
  </w:footnote>
  <w:footnote w:id="110">
    <w:p w:rsidR="00EB3336" w:rsidP="00EB3336" w14:paraId="78B6578B" w14:textId="77777777">
      <w:pPr>
        <w:pStyle w:val="FootnoteText"/>
      </w:pPr>
      <w:r>
        <w:rPr>
          <w:rStyle w:val="FootnoteReference"/>
        </w:rPr>
        <w:footnoteRef/>
      </w:r>
      <w:r>
        <w:t xml:space="preserve"> Securus Comments at 24.  </w:t>
      </w:r>
    </w:p>
  </w:footnote>
  <w:footnote w:id="111">
    <w:p w:rsidR="00EB3336" w:rsidP="00EB3336" w14:paraId="06495C98" w14:textId="452F56F4">
      <w:pPr>
        <w:pStyle w:val="FootnoteText"/>
      </w:pPr>
      <w:r>
        <w:rPr>
          <w:rStyle w:val="FootnoteReference"/>
        </w:rPr>
        <w:footnoteRef/>
      </w:r>
      <w:r>
        <w:t xml:space="preserve"> </w:t>
      </w:r>
      <w:r w:rsidR="00B82B1B">
        <w:rPr>
          <w:i/>
          <w:iCs/>
        </w:rPr>
        <w:t>Id.</w:t>
      </w:r>
      <w:r w:rsidR="00B82B1B">
        <w:t xml:space="preserve"> </w:t>
      </w:r>
      <w:r>
        <w:t xml:space="preserve">at 24-25. </w:t>
      </w:r>
    </w:p>
  </w:footnote>
  <w:footnote w:id="112">
    <w:p w:rsidR="00EB3336" w:rsidP="00EB3336" w14:paraId="4771F8AD" w14:textId="44279992">
      <w:pPr>
        <w:pStyle w:val="FootnoteText"/>
      </w:pPr>
      <w:r>
        <w:rPr>
          <w:rStyle w:val="FootnoteReference"/>
        </w:rPr>
        <w:footnoteRef/>
      </w:r>
      <w:r>
        <w:t xml:space="preserve"> </w:t>
      </w:r>
      <w:r w:rsidR="00B82B1B">
        <w:rPr>
          <w:i/>
          <w:iCs/>
        </w:rPr>
        <w:t>Id.</w:t>
      </w:r>
      <w:r w:rsidR="00B82B1B">
        <w:t xml:space="preserve"> </w:t>
      </w:r>
      <w:r>
        <w:t xml:space="preserve">at 25.  </w:t>
      </w:r>
    </w:p>
  </w:footnote>
  <w:footnote w:id="113">
    <w:p w:rsidR="00EB3336" w:rsidP="00EB3336" w14:paraId="7A5DED4B" w14:textId="3E3B4217">
      <w:pPr>
        <w:pStyle w:val="FootnoteText"/>
      </w:pPr>
      <w:r>
        <w:rPr>
          <w:rStyle w:val="FootnoteReference"/>
        </w:rPr>
        <w:footnoteRef/>
      </w:r>
      <w:r>
        <w:t xml:space="preserve"> </w:t>
      </w:r>
      <w:r>
        <w:rPr>
          <w:i/>
          <w:iCs/>
        </w:rPr>
        <w:t>See, e.g.</w:t>
      </w:r>
      <w:r>
        <w:t xml:space="preserve">, </w:t>
      </w:r>
      <w:r w:rsidR="00B82B1B">
        <w:rPr>
          <w:i/>
          <w:iCs/>
        </w:rPr>
        <w:t xml:space="preserve">id. </w:t>
      </w:r>
      <w:r>
        <w:t xml:space="preserve">(arguing that the “practical inability to obtain a waiver undercuts the Commission’s reliance on a waiver process to justify rate caps that . . . preclude cost recovery”).  </w:t>
      </w:r>
    </w:p>
  </w:footnote>
  <w:footnote w:id="114">
    <w:p w:rsidR="00EB3336" w:rsidP="00EB3336" w14:paraId="00655E65" w14:textId="4EE87014">
      <w:pPr>
        <w:pStyle w:val="FootnoteText"/>
      </w:pPr>
      <w:r>
        <w:rPr>
          <w:rStyle w:val="FootnoteReference"/>
        </w:rPr>
        <w:footnoteRef/>
      </w:r>
      <w:r>
        <w:t xml:space="preserve"> We note that Securus did not seek reconsideration of Commission’s revised waiver process or otherwise request that the Commission revisit that process.  We further note that the Wireline Competition Bureau recently </w:t>
      </w:r>
      <w:r w:rsidR="0045550F">
        <w:t xml:space="preserve">partially </w:t>
      </w:r>
      <w:r>
        <w:t xml:space="preserve">granted a waiver request sought by Securus.  </w:t>
      </w:r>
      <w:r>
        <w:rPr>
          <w:i/>
          <w:iCs/>
        </w:rPr>
        <w:t>See</w:t>
      </w:r>
      <w:r>
        <w:t xml:space="preserve"> </w:t>
      </w:r>
      <w:r>
        <w:rPr>
          <w:i/>
          <w:iCs/>
        </w:rPr>
        <w:t>Incarcerated People’s Communications Services; Implementation of the Martha Wright-Reed Act; Rates for Interstate Inmate Calling Services</w:t>
      </w:r>
      <w:r>
        <w:t xml:space="preserve">, WC Docket Nos. 23-62, 12-375, Order, DA 24-1277 (WCB Dec. 19, 2024).  </w:t>
      </w:r>
    </w:p>
  </w:footnote>
  <w:footnote w:id="115">
    <w:p w:rsidR="00646C17" w:rsidP="00D7761B" w14:paraId="3F4E1F95" w14:textId="58D33757">
      <w:pPr>
        <w:pStyle w:val="FootnoteText"/>
      </w:pPr>
      <w:r w:rsidRPr="004B1A9A">
        <w:rPr>
          <w:rStyle w:val="FootnoteReference"/>
        </w:rPr>
        <w:footnoteRef/>
      </w:r>
      <w:r w:rsidRPr="004B1A9A">
        <w:t xml:space="preserve"> </w:t>
      </w:r>
      <w:r w:rsidRPr="002B1C05" w:rsidR="00555485">
        <w:rPr>
          <w:i/>
          <w:iCs/>
        </w:rPr>
        <w:t>Incarcerated People’s Communications Services; Implementation of the Martha Wright-Reed Act; Rates for Inmate Calling Services</w:t>
      </w:r>
      <w:r w:rsidR="00555485">
        <w:t>, WC Docket Nos. 23-62, 12-375, Protective Order, DA 23-298 (WCB Apr. 5, 2023).</w:t>
      </w:r>
      <w:r w:rsidRPr="00917CE6" w:rsidR="00555485">
        <w:t xml:space="preserve"> </w:t>
      </w:r>
      <w:r w:rsidR="00555485">
        <w:t xml:space="preserve"> Filings that contain confidential information should be appropriately redacted and filed pursuant to the procedure described in that Order.  </w:t>
      </w:r>
      <w:r w:rsidRPr="00926709" w:rsidR="00555485">
        <w:rPr>
          <w:i/>
          <w:iCs/>
        </w:rPr>
        <w:t>See also Rates for Interstate Inmate Calling Services</w:t>
      </w:r>
      <w:r w:rsidR="00555485">
        <w:t>, WC Docket No. 12-375, Order, 35 FCC Rcd 9267 (WCB 2020) (clarifying non-confidential treatment for certain information)</w:t>
      </w:r>
      <w:r w:rsidR="00985DF6">
        <w:t>.</w:t>
      </w:r>
    </w:p>
  </w:footnote>
  <w:footnote w:id="116">
    <w:p w:rsidR="00A74802" w14:paraId="56039B5D" w14:textId="74C2FFE9">
      <w:pPr>
        <w:pStyle w:val="FootnoteText"/>
      </w:pPr>
      <w:r>
        <w:rPr>
          <w:rStyle w:val="FootnoteReference"/>
        </w:rPr>
        <w:footnoteRef/>
      </w:r>
      <w:r>
        <w:t xml:space="preserve"> </w:t>
      </w:r>
      <w:r w:rsidRPr="00FD0906" w:rsidR="00FD0906">
        <w:t>OMB approved th</w:t>
      </w:r>
      <w:r w:rsidR="00B80982">
        <w:t>e</w:t>
      </w:r>
      <w:r w:rsidRPr="00FD0906" w:rsidR="00FD0906">
        <w:t xml:space="preserve"> burden estimate</w:t>
      </w:r>
      <w:r w:rsidR="00C52363">
        <w:t xml:space="preserve"> </w:t>
      </w:r>
      <w:r w:rsidR="00B80982">
        <w:t>for this section</w:t>
      </w:r>
      <w:r w:rsidRPr="00FD0906" w:rsidR="00FD0906">
        <w:t xml:space="preserve"> in December 2023.  </w:t>
      </w:r>
      <w:r w:rsidRPr="00FD0906" w:rsidR="00FD0906">
        <w:rPr>
          <w:i/>
          <w:iCs/>
        </w:rPr>
        <w:t>See</w:t>
      </w:r>
      <w:r w:rsidRPr="00FD0906" w:rsidR="00FD0906">
        <w:t xml:space="preserve"> Inmate Calling Services (ICS) Provider Annual Reporting, Certification, and Other Requirements, OMB Control No. 3060-1222, Notice of Approval (Dec. </w:t>
      </w:r>
      <w:r w:rsidR="002B763B">
        <w:t>14</w:t>
      </w:r>
      <w:r w:rsidRPr="00FD0906" w:rsidR="00FD0906">
        <w:t>, 2023).</w:t>
      </w:r>
    </w:p>
  </w:footnote>
  <w:footnote w:id="117">
    <w:p w:rsidR="00C40670" w:rsidRPr="00F32213" w14:paraId="5FB9A2DB" w14:textId="593C8A72">
      <w:pPr>
        <w:pStyle w:val="FootnoteText"/>
      </w:pPr>
      <w:r>
        <w:rPr>
          <w:rStyle w:val="FootnoteReference"/>
        </w:rPr>
        <w:footnoteRef/>
      </w:r>
      <w:r>
        <w:t xml:space="preserve"> </w:t>
      </w:r>
      <w:r w:rsidR="001B2241">
        <w:t>OMB approved th</w:t>
      </w:r>
      <w:r w:rsidR="00E73E83">
        <w:t>is</w:t>
      </w:r>
      <w:r w:rsidR="00E45D27">
        <w:t xml:space="preserve"> </w:t>
      </w:r>
      <w:r w:rsidR="00A11296">
        <w:t>burden estimate</w:t>
      </w:r>
      <w:r w:rsidR="00901B0B">
        <w:t xml:space="preserve"> </w:t>
      </w:r>
      <w:r w:rsidR="00A11296">
        <w:t xml:space="preserve">when </w:t>
      </w:r>
      <w:r w:rsidR="00640E1D">
        <w:t>th</w:t>
      </w:r>
      <w:r w:rsidR="00B02AC8">
        <w:t>is</w:t>
      </w:r>
      <w:r w:rsidR="00640E1D">
        <w:t xml:space="preserve"> collection </w:t>
      </w:r>
      <w:r w:rsidR="00A11296">
        <w:t xml:space="preserve">was revised in </w:t>
      </w:r>
      <w:r w:rsidR="00C52363">
        <w:t>202</w:t>
      </w:r>
      <w:r w:rsidR="00885B71">
        <w:t>2</w:t>
      </w:r>
      <w:r w:rsidR="00C52363">
        <w:t xml:space="preserve">, following adoption of the </w:t>
      </w:r>
      <w:r w:rsidRPr="00C537CA" w:rsidR="00C52363">
        <w:rPr>
          <w:i/>
          <w:iCs/>
        </w:rPr>
        <w:t xml:space="preserve">2022 ICS </w:t>
      </w:r>
      <w:r w:rsidRPr="00C537CA" w:rsidR="005214B7">
        <w:rPr>
          <w:i/>
          <w:iCs/>
        </w:rPr>
        <w:t>Order</w:t>
      </w:r>
      <w:r w:rsidR="00C52363">
        <w:t>.</w:t>
      </w:r>
      <w:r w:rsidR="00D35F50">
        <w:t xml:space="preserve"> </w:t>
      </w:r>
      <w:r w:rsidR="00C52363">
        <w:t xml:space="preserve"> </w:t>
      </w:r>
      <w:r w:rsidRPr="004A4BE3" w:rsidR="00C52363">
        <w:rPr>
          <w:i/>
          <w:iCs/>
        </w:rPr>
        <w:t>See</w:t>
      </w:r>
      <w:r w:rsidRPr="00C52363" w:rsidR="00C52363">
        <w:t xml:space="preserve"> Inmate Calling Services (ICS) Provider Annual Reporting, Certification, and Other Requirements, OMB Control No. 3060-1222, </w:t>
      </w:r>
      <w:r w:rsidR="004A4BE3">
        <w:t xml:space="preserve">Notice of </w:t>
      </w:r>
      <w:r w:rsidR="00E05E74">
        <w:t>Action</w:t>
      </w:r>
      <w:r w:rsidR="004A4BE3">
        <w:t xml:space="preserve"> (</w:t>
      </w:r>
      <w:r w:rsidR="00BA7C55">
        <w:t>Oct</w:t>
      </w:r>
      <w:r w:rsidR="008A025D">
        <w:t>.</w:t>
      </w:r>
      <w:r w:rsidR="005214B7">
        <w:t xml:space="preserve"> </w:t>
      </w:r>
      <w:r w:rsidR="004A4BE3">
        <w:t>3, 2022</w:t>
      </w:r>
      <w:r w:rsidR="00EA5C96">
        <w:t xml:space="preserve">). </w:t>
      </w:r>
      <w:r w:rsidR="00CC2A72">
        <w:t xml:space="preserve"> </w:t>
      </w:r>
      <w:r w:rsidRPr="001168D1" w:rsidR="004323E9">
        <w:t>However, a</w:t>
      </w:r>
      <w:r w:rsidRPr="001168D1" w:rsidR="00CC2A72">
        <w:t xml:space="preserve">s </w:t>
      </w:r>
      <w:r w:rsidRPr="001168D1" w:rsidR="00C92DD8">
        <w:t xml:space="preserve">noted </w:t>
      </w:r>
      <w:r w:rsidRPr="001168D1" w:rsidR="00123A6D">
        <w:t xml:space="preserve">above, the </w:t>
      </w:r>
      <w:r w:rsidRPr="001168D1" w:rsidR="00B80982">
        <w:t xml:space="preserve">changes to section </w:t>
      </w:r>
      <w:bookmarkStart w:id="18" w:name="_Hlk176291573"/>
      <w:r w:rsidRPr="001168D1" w:rsidR="00B80982">
        <w:t>64.6060(a)(5)-(7)</w:t>
      </w:r>
      <w:r w:rsidRPr="001168D1" w:rsidR="00EA5C96">
        <w:t xml:space="preserve"> </w:t>
      </w:r>
      <w:bookmarkEnd w:id="18"/>
      <w:r w:rsidRPr="001168D1" w:rsidR="00B80982">
        <w:t xml:space="preserve">have not </w:t>
      </w:r>
      <w:r w:rsidRPr="001168D1" w:rsidR="00FF665D">
        <w:t xml:space="preserve">yet </w:t>
      </w:r>
      <w:r w:rsidRPr="001168D1" w:rsidR="005E73F0">
        <w:t xml:space="preserve">been </w:t>
      </w:r>
      <w:r w:rsidRPr="001168D1" w:rsidR="007359EB">
        <w:t>submitted to OMB for review under the PRA</w:t>
      </w:r>
      <w:r w:rsidRPr="001168D1" w:rsidR="00B80982">
        <w:t xml:space="preserve">.  </w:t>
      </w:r>
      <w:r w:rsidR="00143CF0">
        <w:t xml:space="preserve">When we submit those changes, we will also submit </w:t>
      </w:r>
      <w:r w:rsidR="00196F2E">
        <w:t xml:space="preserve">the changes to </w:t>
      </w:r>
      <w:r w:rsidR="008A765B">
        <w:t xml:space="preserve">FCC </w:t>
      </w:r>
      <w:r w:rsidR="00196F2E">
        <w:t>F</w:t>
      </w:r>
      <w:r w:rsidR="001B5088">
        <w:t xml:space="preserve">orms </w:t>
      </w:r>
      <w:r w:rsidR="00323159">
        <w:t>2301(a) and 2301</w:t>
      </w:r>
      <w:r w:rsidR="00EE2DE1">
        <w:t>(b)</w:t>
      </w:r>
      <w:r w:rsidR="00C7434E">
        <w:t xml:space="preserve">adopted in the </w:t>
      </w:r>
      <w:r w:rsidR="00F32213">
        <w:rPr>
          <w:i/>
          <w:iCs/>
        </w:rPr>
        <w:t xml:space="preserve">2025 </w:t>
      </w:r>
      <w:r w:rsidR="00C7434E">
        <w:rPr>
          <w:i/>
          <w:iCs/>
        </w:rPr>
        <w:t>Annual Reports Ord</w:t>
      </w:r>
      <w:r w:rsidR="00F32213">
        <w:rPr>
          <w:i/>
          <w:iCs/>
        </w:rPr>
        <w:t>er</w:t>
      </w:r>
      <w:r w:rsidR="00F32213">
        <w:t>.</w:t>
      </w:r>
    </w:p>
  </w:footnote>
  <w:footnote w:id="118">
    <w:p w:rsidR="0058517E" w14:paraId="607C33BC" w14:textId="3747142F">
      <w:pPr>
        <w:pStyle w:val="FootnoteText"/>
      </w:pPr>
      <w:r>
        <w:rPr>
          <w:rStyle w:val="FootnoteReference"/>
        </w:rPr>
        <w:footnoteRef/>
      </w:r>
      <w:r>
        <w:t xml:space="preserve"> </w:t>
      </w:r>
      <w:r w:rsidRPr="008A025D" w:rsidR="008A025D">
        <w:t>OMB approved this burden estimate when th</w:t>
      </w:r>
      <w:r w:rsidR="00885B71">
        <w:t>e</w:t>
      </w:r>
      <w:r w:rsidRPr="008A025D" w:rsidR="008A025D">
        <w:t xml:space="preserve"> collection was revised in</w:t>
      </w:r>
      <w:r w:rsidR="008A025D">
        <w:t xml:space="preserve"> 202</w:t>
      </w:r>
      <w:r w:rsidR="00885B71">
        <w:t>2</w:t>
      </w:r>
      <w:r w:rsidR="008A025D">
        <w:t>.</w:t>
      </w:r>
      <w:r w:rsidRPr="008A025D" w:rsidR="008A025D">
        <w:t xml:space="preserve">  </w:t>
      </w:r>
      <w:r w:rsidRPr="00675A91" w:rsidR="00040774">
        <w:rPr>
          <w:i/>
          <w:iCs/>
        </w:rPr>
        <w:t>See</w:t>
      </w:r>
      <w:r w:rsidRPr="00040774" w:rsidR="00040774">
        <w:t xml:space="preserve"> Inmate Calling Services (ICS) Provider Annual Reporting, Certification, and Other Requirements, OMB Control No. 3060-1222, Notice of A</w:t>
      </w:r>
      <w:r w:rsidR="00DA1AED">
        <w:t xml:space="preserve">ction </w:t>
      </w:r>
      <w:r w:rsidRPr="00040774" w:rsidR="00040774">
        <w:t>(</w:t>
      </w:r>
      <w:r w:rsidR="008A025D">
        <w:t>Nov.</w:t>
      </w:r>
      <w:r w:rsidRPr="00040774" w:rsidR="00040774">
        <w:t xml:space="preserve"> 3, 202</w:t>
      </w:r>
      <w:r w:rsidR="00885B71">
        <w:t>2</w:t>
      </w:r>
      <w:r w:rsidRPr="00040774" w:rsidR="00040774">
        <w:t>).</w:t>
      </w:r>
    </w:p>
  </w:footnote>
  <w:footnote w:id="119">
    <w:p w:rsidR="00BB3715" w14:paraId="04F21B40" w14:textId="132DEFCA">
      <w:pPr>
        <w:pStyle w:val="FootnoteText"/>
      </w:pPr>
      <w:r>
        <w:rPr>
          <w:rStyle w:val="FootnoteReference"/>
        </w:rPr>
        <w:footnoteRef/>
      </w:r>
      <w:r>
        <w:t xml:space="preserve"> </w:t>
      </w:r>
      <w:r w:rsidR="006B3E21">
        <w:t xml:space="preserve">We note that </w:t>
      </w:r>
      <w:r w:rsidR="00DA1AED">
        <w:t>these burden estimates are averages.</w:t>
      </w:r>
      <w:r w:rsidR="00EA7DA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133C2"/>
    <w:multiLevelType w:val="hybridMultilevel"/>
    <w:tmpl w:val="DCCE8D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096AE5"/>
    <w:multiLevelType w:val="hybridMultilevel"/>
    <w:tmpl w:val="F4B674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9B0891"/>
    <w:multiLevelType w:val="hybridMultilevel"/>
    <w:tmpl w:val="EAFA36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FE4B2B"/>
    <w:multiLevelType w:val="hybridMultilevel"/>
    <w:tmpl w:val="68563A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BC3EF7"/>
    <w:multiLevelType w:val="hybridMultilevel"/>
    <w:tmpl w:val="DFAC75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C003FB"/>
    <w:multiLevelType w:val="hybridMultilevel"/>
    <w:tmpl w:val="E1AAC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8601CD"/>
    <w:multiLevelType w:val="hybridMultilevel"/>
    <w:tmpl w:val="2C843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87DB2"/>
    <w:multiLevelType w:val="hybridMultilevel"/>
    <w:tmpl w:val="3AA88F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A5139F"/>
    <w:multiLevelType w:val="hybridMultilevel"/>
    <w:tmpl w:val="274AA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9A55014"/>
    <w:multiLevelType w:val="hybridMultilevel"/>
    <w:tmpl w:val="BA68B06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B8208B"/>
    <w:multiLevelType w:val="hybridMultilevel"/>
    <w:tmpl w:val="3F3AFA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6D83D08"/>
    <w:multiLevelType w:val="multilevel"/>
    <w:tmpl w:val="781C6A3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38E20425"/>
    <w:multiLevelType w:val="hybridMultilevel"/>
    <w:tmpl w:val="F4B6749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C984D89"/>
    <w:multiLevelType w:val="hybridMultilevel"/>
    <w:tmpl w:val="7E6EC6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824C27"/>
    <w:multiLevelType w:val="hybridMultilevel"/>
    <w:tmpl w:val="906AA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4F40AA2"/>
    <w:multiLevelType w:val="hybridMultilevel"/>
    <w:tmpl w:val="4F32B8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BE95C58"/>
    <w:multiLevelType w:val="hybridMultilevel"/>
    <w:tmpl w:val="3F1228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E891EEF"/>
    <w:multiLevelType w:val="hybridMultilevel"/>
    <w:tmpl w:val="BE229F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DE5382"/>
    <w:multiLevelType w:val="hybridMultilevel"/>
    <w:tmpl w:val="5798EC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7534EB6"/>
    <w:multiLevelType w:val="hybridMultilevel"/>
    <w:tmpl w:val="E2846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710CF3"/>
    <w:multiLevelType w:val="hybridMultilevel"/>
    <w:tmpl w:val="C0889BC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nsid w:val="6BC53F10"/>
    <w:multiLevelType w:val="hybridMultilevel"/>
    <w:tmpl w:val="EF66BAEC"/>
    <w:lvl w:ilvl="0">
      <w:start w:val="1"/>
      <w:numFmt w:val="lowerLetter"/>
      <w:lvlText w:val="(%1)"/>
      <w:lvlJc w:val="left"/>
      <w:pPr>
        <w:ind w:left="3820" w:hanging="670"/>
      </w:pPr>
      <w:rPr>
        <w:rFonts w:hint="default"/>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4">
    <w:nsid w:val="6EAE5D81"/>
    <w:multiLevelType w:val="hybridMultilevel"/>
    <w:tmpl w:val="B8D65A4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EDF772F"/>
    <w:multiLevelType w:val="hybridMultilevel"/>
    <w:tmpl w:val="C63ECF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2751469">
    <w:abstractNumId w:val="12"/>
  </w:num>
  <w:num w:numId="2" w16cid:durableId="667904123">
    <w:abstractNumId w:val="9"/>
  </w:num>
  <w:num w:numId="3" w16cid:durableId="294920366">
    <w:abstractNumId w:val="22"/>
  </w:num>
  <w:num w:numId="4" w16cid:durableId="1077484380">
    <w:abstractNumId w:val="13"/>
  </w:num>
  <w:num w:numId="5" w16cid:durableId="954100385">
    <w:abstractNumId w:val="23"/>
  </w:num>
  <w:num w:numId="6" w16cid:durableId="2131624808">
    <w:abstractNumId w:val="19"/>
  </w:num>
  <w:num w:numId="7" w16cid:durableId="1802772528">
    <w:abstractNumId w:val="16"/>
  </w:num>
  <w:num w:numId="8" w16cid:durableId="1142305254">
    <w:abstractNumId w:val="11"/>
  </w:num>
  <w:num w:numId="9" w16cid:durableId="2049835817">
    <w:abstractNumId w:val="21"/>
  </w:num>
  <w:num w:numId="10" w16cid:durableId="1430000846">
    <w:abstractNumId w:val="17"/>
  </w:num>
  <w:num w:numId="11" w16cid:durableId="1553926496">
    <w:abstractNumId w:val="18"/>
  </w:num>
  <w:num w:numId="12" w16cid:durableId="1383020830">
    <w:abstractNumId w:val="10"/>
  </w:num>
  <w:num w:numId="13" w16cid:durableId="1596858532">
    <w:abstractNumId w:val="22"/>
    <w:lvlOverride w:ilvl="0">
      <w:startOverride w:val="1"/>
    </w:lvlOverride>
  </w:num>
  <w:num w:numId="14" w16cid:durableId="1047224431">
    <w:abstractNumId w:val="24"/>
  </w:num>
  <w:num w:numId="15" w16cid:durableId="413010107">
    <w:abstractNumId w:val="7"/>
  </w:num>
  <w:num w:numId="16" w16cid:durableId="1512794961">
    <w:abstractNumId w:val="1"/>
  </w:num>
  <w:num w:numId="17" w16cid:durableId="2094546178">
    <w:abstractNumId w:val="22"/>
    <w:lvlOverride w:ilvl="0">
      <w:startOverride w:val="1"/>
    </w:lvlOverride>
  </w:num>
  <w:num w:numId="18" w16cid:durableId="1520124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665640">
    <w:abstractNumId w:val="12"/>
  </w:num>
  <w:num w:numId="20" w16cid:durableId="351928594">
    <w:abstractNumId w:val="12"/>
  </w:num>
  <w:num w:numId="21" w16cid:durableId="1670478954">
    <w:abstractNumId w:val="12"/>
  </w:num>
  <w:num w:numId="22" w16cid:durableId="1254239618">
    <w:abstractNumId w:val="12"/>
  </w:num>
  <w:num w:numId="23" w16cid:durableId="1902641669">
    <w:abstractNumId w:val="12"/>
  </w:num>
  <w:num w:numId="24" w16cid:durableId="205914447">
    <w:abstractNumId w:val="12"/>
  </w:num>
  <w:num w:numId="25" w16cid:durableId="1055665728">
    <w:abstractNumId w:val="12"/>
  </w:num>
  <w:num w:numId="26" w16cid:durableId="1054618465">
    <w:abstractNumId w:val="12"/>
  </w:num>
  <w:num w:numId="27" w16cid:durableId="395670410">
    <w:abstractNumId w:val="12"/>
  </w:num>
  <w:num w:numId="28" w16cid:durableId="962465468">
    <w:abstractNumId w:val="12"/>
  </w:num>
  <w:num w:numId="29" w16cid:durableId="1465657079">
    <w:abstractNumId w:val="12"/>
  </w:num>
  <w:num w:numId="30" w16cid:durableId="1371298900">
    <w:abstractNumId w:val="15"/>
  </w:num>
  <w:num w:numId="31" w16cid:durableId="751239737">
    <w:abstractNumId w:val="5"/>
  </w:num>
  <w:num w:numId="32" w16cid:durableId="1608273437">
    <w:abstractNumId w:val="0"/>
  </w:num>
  <w:num w:numId="33" w16cid:durableId="1656907634">
    <w:abstractNumId w:val="14"/>
  </w:num>
  <w:num w:numId="34" w16cid:durableId="930160700">
    <w:abstractNumId w:val="3"/>
  </w:num>
  <w:num w:numId="35" w16cid:durableId="553934286">
    <w:abstractNumId w:val="20"/>
  </w:num>
  <w:num w:numId="36" w16cid:durableId="1397048794">
    <w:abstractNumId w:val="4"/>
  </w:num>
  <w:num w:numId="37" w16cid:durableId="396977836">
    <w:abstractNumId w:val="6"/>
  </w:num>
  <w:num w:numId="38" w16cid:durableId="1160462395">
    <w:abstractNumId w:val="2"/>
  </w:num>
  <w:num w:numId="39" w16cid:durableId="106549059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01EA"/>
    <w:rsid w:val="00000400"/>
    <w:rsid w:val="00000589"/>
    <w:rsid w:val="00000F8D"/>
    <w:rsid w:val="0000181F"/>
    <w:rsid w:val="000023D8"/>
    <w:rsid w:val="000023DD"/>
    <w:rsid w:val="000023F2"/>
    <w:rsid w:val="00002461"/>
    <w:rsid w:val="0000261D"/>
    <w:rsid w:val="000029B2"/>
    <w:rsid w:val="0000335D"/>
    <w:rsid w:val="00003469"/>
    <w:rsid w:val="00003BB0"/>
    <w:rsid w:val="00003C05"/>
    <w:rsid w:val="00004036"/>
    <w:rsid w:val="0000460F"/>
    <w:rsid w:val="00004634"/>
    <w:rsid w:val="000049C7"/>
    <w:rsid w:val="000052FF"/>
    <w:rsid w:val="00005EFC"/>
    <w:rsid w:val="00006200"/>
    <w:rsid w:val="000065DE"/>
    <w:rsid w:val="00007370"/>
    <w:rsid w:val="00007936"/>
    <w:rsid w:val="00007AAC"/>
    <w:rsid w:val="00007FE0"/>
    <w:rsid w:val="00010AF4"/>
    <w:rsid w:val="00010C70"/>
    <w:rsid w:val="0001190A"/>
    <w:rsid w:val="00011F59"/>
    <w:rsid w:val="000128E1"/>
    <w:rsid w:val="00012D3C"/>
    <w:rsid w:val="00013041"/>
    <w:rsid w:val="0001349F"/>
    <w:rsid w:val="00013D1F"/>
    <w:rsid w:val="0001401B"/>
    <w:rsid w:val="00014872"/>
    <w:rsid w:val="00014A5F"/>
    <w:rsid w:val="00015265"/>
    <w:rsid w:val="00015695"/>
    <w:rsid w:val="00015BEB"/>
    <w:rsid w:val="00015E34"/>
    <w:rsid w:val="00015EBC"/>
    <w:rsid w:val="0001604C"/>
    <w:rsid w:val="0001620D"/>
    <w:rsid w:val="000166BD"/>
    <w:rsid w:val="0001755F"/>
    <w:rsid w:val="000175DE"/>
    <w:rsid w:val="0001772A"/>
    <w:rsid w:val="00017734"/>
    <w:rsid w:val="000200F1"/>
    <w:rsid w:val="000203C5"/>
    <w:rsid w:val="00020514"/>
    <w:rsid w:val="00020D9A"/>
    <w:rsid w:val="0002125D"/>
    <w:rsid w:val="000214E1"/>
    <w:rsid w:val="000219B7"/>
    <w:rsid w:val="000222A5"/>
    <w:rsid w:val="000222C5"/>
    <w:rsid w:val="00022469"/>
    <w:rsid w:val="0002254D"/>
    <w:rsid w:val="00022705"/>
    <w:rsid w:val="00022ECD"/>
    <w:rsid w:val="00023101"/>
    <w:rsid w:val="00023A56"/>
    <w:rsid w:val="00023FA5"/>
    <w:rsid w:val="00024096"/>
    <w:rsid w:val="00024362"/>
    <w:rsid w:val="000244DC"/>
    <w:rsid w:val="00024753"/>
    <w:rsid w:val="00024AF8"/>
    <w:rsid w:val="0002501F"/>
    <w:rsid w:val="000251A5"/>
    <w:rsid w:val="000256E9"/>
    <w:rsid w:val="00025B0D"/>
    <w:rsid w:val="00025B60"/>
    <w:rsid w:val="00025C91"/>
    <w:rsid w:val="00025E1F"/>
    <w:rsid w:val="00025E67"/>
    <w:rsid w:val="0002641C"/>
    <w:rsid w:val="00026529"/>
    <w:rsid w:val="000268FE"/>
    <w:rsid w:val="000269A8"/>
    <w:rsid w:val="00026AF7"/>
    <w:rsid w:val="00026C7D"/>
    <w:rsid w:val="000270C4"/>
    <w:rsid w:val="0002737D"/>
    <w:rsid w:val="00027642"/>
    <w:rsid w:val="0002767D"/>
    <w:rsid w:val="000278B1"/>
    <w:rsid w:val="00027CAD"/>
    <w:rsid w:val="0003021D"/>
    <w:rsid w:val="0003039E"/>
    <w:rsid w:val="00030522"/>
    <w:rsid w:val="00030A44"/>
    <w:rsid w:val="00030AC2"/>
    <w:rsid w:val="00031A49"/>
    <w:rsid w:val="000320AD"/>
    <w:rsid w:val="00032FBD"/>
    <w:rsid w:val="00033109"/>
    <w:rsid w:val="00033340"/>
    <w:rsid w:val="00033827"/>
    <w:rsid w:val="00033FD3"/>
    <w:rsid w:val="0003428C"/>
    <w:rsid w:val="00034B2A"/>
    <w:rsid w:val="00035896"/>
    <w:rsid w:val="00035A84"/>
    <w:rsid w:val="00035B66"/>
    <w:rsid w:val="00035D86"/>
    <w:rsid w:val="00035FC5"/>
    <w:rsid w:val="0003672D"/>
    <w:rsid w:val="0003674F"/>
    <w:rsid w:val="00036C3E"/>
    <w:rsid w:val="00037B6C"/>
    <w:rsid w:val="00037BBD"/>
    <w:rsid w:val="000404A0"/>
    <w:rsid w:val="00040774"/>
    <w:rsid w:val="00040C07"/>
    <w:rsid w:val="00040D88"/>
    <w:rsid w:val="00040EFD"/>
    <w:rsid w:val="00040F26"/>
    <w:rsid w:val="00041033"/>
    <w:rsid w:val="000410FE"/>
    <w:rsid w:val="000413EE"/>
    <w:rsid w:val="0004162F"/>
    <w:rsid w:val="00041A3C"/>
    <w:rsid w:val="0004293C"/>
    <w:rsid w:val="00042C29"/>
    <w:rsid w:val="000433ED"/>
    <w:rsid w:val="0004391D"/>
    <w:rsid w:val="000440E7"/>
    <w:rsid w:val="00044572"/>
    <w:rsid w:val="00044D32"/>
    <w:rsid w:val="00044FA7"/>
    <w:rsid w:val="00045055"/>
    <w:rsid w:val="0004511E"/>
    <w:rsid w:val="0004515D"/>
    <w:rsid w:val="000454D7"/>
    <w:rsid w:val="00045840"/>
    <w:rsid w:val="00045AD5"/>
    <w:rsid w:val="00045AF1"/>
    <w:rsid w:val="00045CDA"/>
    <w:rsid w:val="0004610E"/>
    <w:rsid w:val="000461D8"/>
    <w:rsid w:val="00046307"/>
    <w:rsid w:val="00046723"/>
    <w:rsid w:val="000469E5"/>
    <w:rsid w:val="00046BF4"/>
    <w:rsid w:val="000476AD"/>
    <w:rsid w:val="00050097"/>
    <w:rsid w:val="00050119"/>
    <w:rsid w:val="000507AC"/>
    <w:rsid w:val="0005146E"/>
    <w:rsid w:val="0005170F"/>
    <w:rsid w:val="00051CB1"/>
    <w:rsid w:val="00051E08"/>
    <w:rsid w:val="0005258A"/>
    <w:rsid w:val="000525F3"/>
    <w:rsid w:val="000534FD"/>
    <w:rsid w:val="000537D2"/>
    <w:rsid w:val="00053CCB"/>
    <w:rsid w:val="00053FE5"/>
    <w:rsid w:val="00054001"/>
    <w:rsid w:val="000541F1"/>
    <w:rsid w:val="0005424B"/>
    <w:rsid w:val="00054250"/>
    <w:rsid w:val="0005433E"/>
    <w:rsid w:val="00054428"/>
    <w:rsid w:val="0005461B"/>
    <w:rsid w:val="000549CB"/>
    <w:rsid w:val="00055596"/>
    <w:rsid w:val="000558A8"/>
    <w:rsid w:val="00055D97"/>
    <w:rsid w:val="00055E2D"/>
    <w:rsid w:val="00055E4A"/>
    <w:rsid w:val="000562CD"/>
    <w:rsid w:val="00056829"/>
    <w:rsid w:val="00056B3D"/>
    <w:rsid w:val="000572A2"/>
    <w:rsid w:val="0005777A"/>
    <w:rsid w:val="00057923"/>
    <w:rsid w:val="00057E97"/>
    <w:rsid w:val="0006008E"/>
    <w:rsid w:val="000600B6"/>
    <w:rsid w:val="00060A89"/>
    <w:rsid w:val="00061055"/>
    <w:rsid w:val="00061283"/>
    <w:rsid w:val="00061546"/>
    <w:rsid w:val="000615E5"/>
    <w:rsid w:val="00061E3D"/>
    <w:rsid w:val="00061E4D"/>
    <w:rsid w:val="00062010"/>
    <w:rsid w:val="0006202B"/>
    <w:rsid w:val="00062152"/>
    <w:rsid w:val="0006218A"/>
    <w:rsid w:val="00062562"/>
    <w:rsid w:val="00062944"/>
    <w:rsid w:val="00062AF4"/>
    <w:rsid w:val="00062BCA"/>
    <w:rsid w:val="000631B3"/>
    <w:rsid w:val="00063658"/>
    <w:rsid w:val="00063993"/>
    <w:rsid w:val="00063A4F"/>
    <w:rsid w:val="0006415C"/>
    <w:rsid w:val="000646DF"/>
    <w:rsid w:val="0006570D"/>
    <w:rsid w:val="00065AAD"/>
    <w:rsid w:val="00065EC5"/>
    <w:rsid w:val="000667DE"/>
    <w:rsid w:val="00066BD3"/>
    <w:rsid w:val="00066CCB"/>
    <w:rsid w:val="00066E3C"/>
    <w:rsid w:val="000676FB"/>
    <w:rsid w:val="00067718"/>
    <w:rsid w:val="00067893"/>
    <w:rsid w:val="00067B64"/>
    <w:rsid w:val="00067EAC"/>
    <w:rsid w:val="00070841"/>
    <w:rsid w:val="00070950"/>
    <w:rsid w:val="000710CD"/>
    <w:rsid w:val="000714B8"/>
    <w:rsid w:val="00071504"/>
    <w:rsid w:val="00071685"/>
    <w:rsid w:val="000718DA"/>
    <w:rsid w:val="00071945"/>
    <w:rsid w:val="00071B2A"/>
    <w:rsid w:val="00071DD0"/>
    <w:rsid w:val="00072EA1"/>
    <w:rsid w:val="00072FE6"/>
    <w:rsid w:val="000733E0"/>
    <w:rsid w:val="000733FD"/>
    <w:rsid w:val="00073508"/>
    <w:rsid w:val="00073BE4"/>
    <w:rsid w:val="00074038"/>
    <w:rsid w:val="000740E9"/>
    <w:rsid w:val="000741DE"/>
    <w:rsid w:val="000747A9"/>
    <w:rsid w:val="000759E2"/>
    <w:rsid w:val="00075D2E"/>
    <w:rsid w:val="00075E57"/>
    <w:rsid w:val="00075F35"/>
    <w:rsid w:val="00076120"/>
    <w:rsid w:val="00076735"/>
    <w:rsid w:val="00076D7E"/>
    <w:rsid w:val="00076F01"/>
    <w:rsid w:val="00076FFE"/>
    <w:rsid w:val="000772E9"/>
    <w:rsid w:val="000773BB"/>
    <w:rsid w:val="000774D5"/>
    <w:rsid w:val="00077520"/>
    <w:rsid w:val="000775C9"/>
    <w:rsid w:val="00077780"/>
    <w:rsid w:val="00080428"/>
    <w:rsid w:val="00080488"/>
    <w:rsid w:val="0008054B"/>
    <w:rsid w:val="0008095C"/>
    <w:rsid w:val="000809CB"/>
    <w:rsid w:val="00080E8D"/>
    <w:rsid w:val="0008113A"/>
    <w:rsid w:val="000816E0"/>
    <w:rsid w:val="00081813"/>
    <w:rsid w:val="000819EF"/>
    <w:rsid w:val="00081A45"/>
    <w:rsid w:val="00081ABE"/>
    <w:rsid w:val="00081B8D"/>
    <w:rsid w:val="00081EC4"/>
    <w:rsid w:val="000822ED"/>
    <w:rsid w:val="00082885"/>
    <w:rsid w:val="00082F91"/>
    <w:rsid w:val="0008322E"/>
    <w:rsid w:val="000835A7"/>
    <w:rsid w:val="00083CE7"/>
    <w:rsid w:val="00083D6F"/>
    <w:rsid w:val="0008405E"/>
    <w:rsid w:val="000841E8"/>
    <w:rsid w:val="00084DCB"/>
    <w:rsid w:val="00084DE5"/>
    <w:rsid w:val="00085123"/>
    <w:rsid w:val="0008532D"/>
    <w:rsid w:val="000853E4"/>
    <w:rsid w:val="000854AA"/>
    <w:rsid w:val="000857BF"/>
    <w:rsid w:val="000858BC"/>
    <w:rsid w:val="00085B34"/>
    <w:rsid w:val="00085CCC"/>
    <w:rsid w:val="00085F84"/>
    <w:rsid w:val="000865F5"/>
    <w:rsid w:val="00086ADF"/>
    <w:rsid w:val="000876B8"/>
    <w:rsid w:val="00087B72"/>
    <w:rsid w:val="00087C30"/>
    <w:rsid w:val="00087E84"/>
    <w:rsid w:val="000902A8"/>
    <w:rsid w:val="00090669"/>
    <w:rsid w:val="000909D3"/>
    <w:rsid w:val="00090BE3"/>
    <w:rsid w:val="00090DCA"/>
    <w:rsid w:val="000914FB"/>
    <w:rsid w:val="0009154E"/>
    <w:rsid w:val="00091C10"/>
    <w:rsid w:val="00092305"/>
    <w:rsid w:val="0009284F"/>
    <w:rsid w:val="00092EC3"/>
    <w:rsid w:val="00093D0E"/>
    <w:rsid w:val="00093F8F"/>
    <w:rsid w:val="00094398"/>
    <w:rsid w:val="00094453"/>
    <w:rsid w:val="00094A8E"/>
    <w:rsid w:val="00094C31"/>
    <w:rsid w:val="000952CA"/>
    <w:rsid w:val="0009596E"/>
    <w:rsid w:val="000959C2"/>
    <w:rsid w:val="000959D4"/>
    <w:rsid w:val="00095C2D"/>
    <w:rsid w:val="00095F19"/>
    <w:rsid w:val="000965B1"/>
    <w:rsid w:val="00096821"/>
    <w:rsid w:val="00096A46"/>
    <w:rsid w:val="0009704C"/>
    <w:rsid w:val="00097303"/>
    <w:rsid w:val="000973A7"/>
    <w:rsid w:val="00097B05"/>
    <w:rsid w:val="00097E44"/>
    <w:rsid w:val="000A0401"/>
    <w:rsid w:val="000A06AC"/>
    <w:rsid w:val="000A0ABE"/>
    <w:rsid w:val="000A0B76"/>
    <w:rsid w:val="000A1148"/>
    <w:rsid w:val="000A1909"/>
    <w:rsid w:val="000A1934"/>
    <w:rsid w:val="000A1EAE"/>
    <w:rsid w:val="000A2FA8"/>
    <w:rsid w:val="000A3073"/>
    <w:rsid w:val="000A3781"/>
    <w:rsid w:val="000A3E3E"/>
    <w:rsid w:val="000A4199"/>
    <w:rsid w:val="000A423B"/>
    <w:rsid w:val="000A43FB"/>
    <w:rsid w:val="000A4A0F"/>
    <w:rsid w:val="000A4D0C"/>
    <w:rsid w:val="000A50AC"/>
    <w:rsid w:val="000A561B"/>
    <w:rsid w:val="000A562B"/>
    <w:rsid w:val="000A56A0"/>
    <w:rsid w:val="000A56A3"/>
    <w:rsid w:val="000A5A22"/>
    <w:rsid w:val="000A6045"/>
    <w:rsid w:val="000A6111"/>
    <w:rsid w:val="000A73AF"/>
    <w:rsid w:val="000A7661"/>
    <w:rsid w:val="000A7B6C"/>
    <w:rsid w:val="000B008D"/>
    <w:rsid w:val="000B0385"/>
    <w:rsid w:val="000B0F32"/>
    <w:rsid w:val="000B0F7C"/>
    <w:rsid w:val="000B1285"/>
    <w:rsid w:val="000B1632"/>
    <w:rsid w:val="000B1DD8"/>
    <w:rsid w:val="000B2183"/>
    <w:rsid w:val="000B23AC"/>
    <w:rsid w:val="000B2C23"/>
    <w:rsid w:val="000B2D17"/>
    <w:rsid w:val="000B2DE7"/>
    <w:rsid w:val="000B2E77"/>
    <w:rsid w:val="000B3B3B"/>
    <w:rsid w:val="000B3BA5"/>
    <w:rsid w:val="000B417E"/>
    <w:rsid w:val="000B4F7D"/>
    <w:rsid w:val="000B5168"/>
    <w:rsid w:val="000B51F4"/>
    <w:rsid w:val="000B528C"/>
    <w:rsid w:val="000B53E7"/>
    <w:rsid w:val="000B55ED"/>
    <w:rsid w:val="000B58A3"/>
    <w:rsid w:val="000B5933"/>
    <w:rsid w:val="000B5CFE"/>
    <w:rsid w:val="000B5DAE"/>
    <w:rsid w:val="000B5DE6"/>
    <w:rsid w:val="000B5E04"/>
    <w:rsid w:val="000B5E1F"/>
    <w:rsid w:val="000B5E3B"/>
    <w:rsid w:val="000B60B6"/>
    <w:rsid w:val="000B6890"/>
    <w:rsid w:val="000B696B"/>
    <w:rsid w:val="000B7189"/>
    <w:rsid w:val="000B71A9"/>
    <w:rsid w:val="000B7435"/>
    <w:rsid w:val="000B7931"/>
    <w:rsid w:val="000B7CD1"/>
    <w:rsid w:val="000C031A"/>
    <w:rsid w:val="000C07DC"/>
    <w:rsid w:val="000C08B6"/>
    <w:rsid w:val="000C08BF"/>
    <w:rsid w:val="000C0E75"/>
    <w:rsid w:val="000C0EC1"/>
    <w:rsid w:val="000C1163"/>
    <w:rsid w:val="000C1C8F"/>
    <w:rsid w:val="000C1F87"/>
    <w:rsid w:val="000C21AB"/>
    <w:rsid w:val="000C2392"/>
    <w:rsid w:val="000C28F8"/>
    <w:rsid w:val="000C2921"/>
    <w:rsid w:val="000C2A9E"/>
    <w:rsid w:val="000C2EBD"/>
    <w:rsid w:val="000C304B"/>
    <w:rsid w:val="000C3256"/>
    <w:rsid w:val="000C4056"/>
    <w:rsid w:val="000C414E"/>
    <w:rsid w:val="000C43C9"/>
    <w:rsid w:val="000C4762"/>
    <w:rsid w:val="000C480E"/>
    <w:rsid w:val="000C4831"/>
    <w:rsid w:val="000C4A7E"/>
    <w:rsid w:val="000C4D35"/>
    <w:rsid w:val="000C50E2"/>
    <w:rsid w:val="000C5A71"/>
    <w:rsid w:val="000C5AE1"/>
    <w:rsid w:val="000C5BAB"/>
    <w:rsid w:val="000C6E5D"/>
    <w:rsid w:val="000C718B"/>
    <w:rsid w:val="000C77F4"/>
    <w:rsid w:val="000C79C1"/>
    <w:rsid w:val="000C7B92"/>
    <w:rsid w:val="000C7CBF"/>
    <w:rsid w:val="000C7FE5"/>
    <w:rsid w:val="000D027F"/>
    <w:rsid w:val="000D03CD"/>
    <w:rsid w:val="000D08F4"/>
    <w:rsid w:val="000D0A81"/>
    <w:rsid w:val="000D1330"/>
    <w:rsid w:val="000D14FC"/>
    <w:rsid w:val="000D18C4"/>
    <w:rsid w:val="000D1B7D"/>
    <w:rsid w:val="000D1C0E"/>
    <w:rsid w:val="000D1F97"/>
    <w:rsid w:val="000D27DE"/>
    <w:rsid w:val="000D2B01"/>
    <w:rsid w:val="000D2E39"/>
    <w:rsid w:val="000D3326"/>
    <w:rsid w:val="000D38A1"/>
    <w:rsid w:val="000D39D1"/>
    <w:rsid w:val="000D3A0E"/>
    <w:rsid w:val="000D3FD9"/>
    <w:rsid w:val="000D4B48"/>
    <w:rsid w:val="000D4BE6"/>
    <w:rsid w:val="000D4C50"/>
    <w:rsid w:val="000D4C73"/>
    <w:rsid w:val="000D4DD2"/>
    <w:rsid w:val="000D4E51"/>
    <w:rsid w:val="000D4F8A"/>
    <w:rsid w:val="000D55EA"/>
    <w:rsid w:val="000D56CB"/>
    <w:rsid w:val="000D623B"/>
    <w:rsid w:val="000D63BC"/>
    <w:rsid w:val="000D675B"/>
    <w:rsid w:val="000D68AA"/>
    <w:rsid w:val="000D6E50"/>
    <w:rsid w:val="000D71DD"/>
    <w:rsid w:val="000D739E"/>
    <w:rsid w:val="000D7BD2"/>
    <w:rsid w:val="000D7C08"/>
    <w:rsid w:val="000D7E22"/>
    <w:rsid w:val="000E08C1"/>
    <w:rsid w:val="000E11D5"/>
    <w:rsid w:val="000E120E"/>
    <w:rsid w:val="000E150B"/>
    <w:rsid w:val="000E18BD"/>
    <w:rsid w:val="000E1E08"/>
    <w:rsid w:val="000E2777"/>
    <w:rsid w:val="000E2FCD"/>
    <w:rsid w:val="000E2FDB"/>
    <w:rsid w:val="000E3070"/>
    <w:rsid w:val="000E3225"/>
    <w:rsid w:val="000E3290"/>
    <w:rsid w:val="000E351A"/>
    <w:rsid w:val="000E36B6"/>
    <w:rsid w:val="000E37EE"/>
    <w:rsid w:val="000E39EE"/>
    <w:rsid w:val="000E3C95"/>
    <w:rsid w:val="000E3E0F"/>
    <w:rsid w:val="000E4FBD"/>
    <w:rsid w:val="000E5959"/>
    <w:rsid w:val="000E5D4A"/>
    <w:rsid w:val="000E5E5A"/>
    <w:rsid w:val="000E6002"/>
    <w:rsid w:val="000E6484"/>
    <w:rsid w:val="000E6A49"/>
    <w:rsid w:val="000E6A54"/>
    <w:rsid w:val="000E6BC5"/>
    <w:rsid w:val="000E6DC7"/>
    <w:rsid w:val="000E6E70"/>
    <w:rsid w:val="000E712B"/>
    <w:rsid w:val="000E7295"/>
    <w:rsid w:val="000E7967"/>
    <w:rsid w:val="000E7B3A"/>
    <w:rsid w:val="000F0161"/>
    <w:rsid w:val="000F0C41"/>
    <w:rsid w:val="000F0E1C"/>
    <w:rsid w:val="000F0E4F"/>
    <w:rsid w:val="000F1303"/>
    <w:rsid w:val="000F14D7"/>
    <w:rsid w:val="000F15C0"/>
    <w:rsid w:val="000F2168"/>
    <w:rsid w:val="000F2188"/>
    <w:rsid w:val="000F26DC"/>
    <w:rsid w:val="000F2994"/>
    <w:rsid w:val="000F2F62"/>
    <w:rsid w:val="000F328B"/>
    <w:rsid w:val="000F3623"/>
    <w:rsid w:val="000F4876"/>
    <w:rsid w:val="000F4C97"/>
    <w:rsid w:val="000F4D5E"/>
    <w:rsid w:val="000F4E5B"/>
    <w:rsid w:val="000F4E78"/>
    <w:rsid w:val="000F4EBF"/>
    <w:rsid w:val="000F5EE9"/>
    <w:rsid w:val="000F6908"/>
    <w:rsid w:val="000F6E1D"/>
    <w:rsid w:val="000F71E5"/>
    <w:rsid w:val="000F72FF"/>
    <w:rsid w:val="000F75DE"/>
    <w:rsid w:val="000F77C8"/>
    <w:rsid w:val="000F7912"/>
    <w:rsid w:val="000F7B82"/>
    <w:rsid w:val="000F7FA1"/>
    <w:rsid w:val="00100166"/>
    <w:rsid w:val="001001FA"/>
    <w:rsid w:val="00100279"/>
    <w:rsid w:val="00100344"/>
    <w:rsid w:val="00100790"/>
    <w:rsid w:val="00101287"/>
    <w:rsid w:val="00101A21"/>
    <w:rsid w:val="00101BE9"/>
    <w:rsid w:val="00101C6B"/>
    <w:rsid w:val="00101DEC"/>
    <w:rsid w:val="00101EE9"/>
    <w:rsid w:val="00102013"/>
    <w:rsid w:val="001021B8"/>
    <w:rsid w:val="001026CB"/>
    <w:rsid w:val="00102D77"/>
    <w:rsid w:val="001033AC"/>
    <w:rsid w:val="001037C9"/>
    <w:rsid w:val="00103F52"/>
    <w:rsid w:val="00103F8D"/>
    <w:rsid w:val="00104CAD"/>
    <w:rsid w:val="00104DEC"/>
    <w:rsid w:val="00106537"/>
    <w:rsid w:val="0010655C"/>
    <w:rsid w:val="0010660A"/>
    <w:rsid w:val="0010673F"/>
    <w:rsid w:val="00106C59"/>
    <w:rsid w:val="00106CAF"/>
    <w:rsid w:val="00106D8B"/>
    <w:rsid w:val="00106ED3"/>
    <w:rsid w:val="00107142"/>
    <w:rsid w:val="00107296"/>
    <w:rsid w:val="001073B4"/>
    <w:rsid w:val="0010760F"/>
    <w:rsid w:val="001076F9"/>
    <w:rsid w:val="0010798D"/>
    <w:rsid w:val="001109D2"/>
    <w:rsid w:val="001110C7"/>
    <w:rsid w:val="00111422"/>
    <w:rsid w:val="001117AB"/>
    <w:rsid w:val="00111D40"/>
    <w:rsid w:val="00112202"/>
    <w:rsid w:val="001125FD"/>
    <w:rsid w:val="001130FC"/>
    <w:rsid w:val="0011324B"/>
    <w:rsid w:val="00113419"/>
    <w:rsid w:val="00113C0C"/>
    <w:rsid w:val="00113DD9"/>
    <w:rsid w:val="00113EA3"/>
    <w:rsid w:val="00113FFF"/>
    <w:rsid w:val="00114B92"/>
    <w:rsid w:val="00114F8E"/>
    <w:rsid w:val="0011508C"/>
    <w:rsid w:val="00115142"/>
    <w:rsid w:val="001153CA"/>
    <w:rsid w:val="0011553F"/>
    <w:rsid w:val="00115971"/>
    <w:rsid w:val="00115A63"/>
    <w:rsid w:val="00115AC4"/>
    <w:rsid w:val="00115D06"/>
    <w:rsid w:val="00115DAF"/>
    <w:rsid w:val="00115EDD"/>
    <w:rsid w:val="001168AD"/>
    <w:rsid w:val="001168D1"/>
    <w:rsid w:val="00116F53"/>
    <w:rsid w:val="0011705A"/>
    <w:rsid w:val="001172FA"/>
    <w:rsid w:val="00117584"/>
    <w:rsid w:val="0011791C"/>
    <w:rsid w:val="001203EF"/>
    <w:rsid w:val="00120458"/>
    <w:rsid w:val="00120860"/>
    <w:rsid w:val="00120D9A"/>
    <w:rsid w:val="00120DA1"/>
    <w:rsid w:val="001212F3"/>
    <w:rsid w:val="001214FB"/>
    <w:rsid w:val="00121811"/>
    <w:rsid w:val="001218C3"/>
    <w:rsid w:val="00121942"/>
    <w:rsid w:val="0012264E"/>
    <w:rsid w:val="001227B4"/>
    <w:rsid w:val="00122CA8"/>
    <w:rsid w:val="00122CD1"/>
    <w:rsid w:val="00122D15"/>
    <w:rsid w:val="0012318A"/>
    <w:rsid w:val="001231EC"/>
    <w:rsid w:val="001237BE"/>
    <w:rsid w:val="001238E0"/>
    <w:rsid w:val="00123A6D"/>
    <w:rsid w:val="00123B51"/>
    <w:rsid w:val="00123E48"/>
    <w:rsid w:val="00123EC6"/>
    <w:rsid w:val="00124334"/>
    <w:rsid w:val="00124DB5"/>
    <w:rsid w:val="00125350"/>
    <w:rsid w:val="00125638"/>
    <w:rsid w:val="00125757"/>
    <w:rsid w:val="00125B7E"/>
    <w:rsid w:val="00125E1D"/>
    <w:rsid w:val="0012630A"/>
    <w:rsid w:val="001263DB"/>
    <w:rsid w:val="0012671E"/>
    <w:rsid w:val="00126861"/>
    <w:rsid w:val="00126AB9"/>
    <w:rsid w:val="00126E44"/>
    <w:rsid w:val="00126F3E"/>
    <w:rsid w:val="00127492"/>
    <w:rsid w:val="00127EBB"/>
    <w:rsid w:val="00130296"/>
    <w:rsid w:val="00130322"/>
    <w:rsid w:val="00130395"/>
    <w:rsid w:val="00130990"/>
    <w:rsid w:val="00130CEA"/>
    <w:rsid w:val="001313A6"/>
    <w:rsid w:val="001319C1"/>
    <w:rsid w:val="00131FA8"/>
    <w:rsid w:val="0013236A"/>
    <w:rsid w:val="001327A8"/>
    <w:rsid w:val="00132AB4"/>
    <w:rsid w:val="00132DD6"/>
    <w:rsid w:val="00132F8B"/>
    <w:rsid w:val="001335C2"/>
    <w:rsid w:val="00133F74"/>
    <w:rsid w:val="0013430A"/>
    <w:rsid w:val="001346E7"/>
    <w:rsid w:val="00135102"/>
    <w:rsid w:val="0013524F"/>
    <w:rsid w:val="00135A53"/>
    <w:rsid w:val="00135A72"/>
    <w:rsid w:val="00135C2F"/>
    <w:rsid w:val="00135F4B"/>
    <w:rsid w:val="0013614F"/>
    <w:rsid w:val="001362E7"/>
    <w:rsid w:val="00137377"/>
    <w:rsid w:val="00137D84"/>
    <w:rsid w:val="00137E5E"/>
    <w:rsid w:val="00137F8C"/>
    <w:rsid w:val="00140066"/>
    <w:rsid w:val="001402CE"/>
    <w:rsid w:val="001403C2"/>
    <w:rsid w:val="00140407"/>
    <w:rsid w:val="0014049D"/>
    <w:rsid w:val="00140DD4"/>
    <w:rsid w:val="00141125"/>
    <w:rsid w:val="001414A9"/>
    <w:rsid w:val="0014177C"/>
    <w:rsid w:val="00142563"/>
    <w:rsid w:val="00143342"/>
    <w:rsid w:val="0014369E"/>
    <w:rsid w:val="001436C9"/>
    <w:rsid w:val="001438B8"/>
    <w:rsid w:val="00143CF0"/>
    <w:rsid w:val="0014402A"/>
    <w:rsid w:val="001440BA"/>
    <w:rsid w:val="001443A3"/>
    <w:rsid w:val="001444B0"/>
    <w:rsid w:val="00144981"/>
    <w:rsid w:val="00145095"/>
    <w:rsid w:val="001450A4"/>
    <w:rsid w:val="001451E0"/>
    <w:rsid w:val="00145366"/>
    <w:rsid w:val="00145570"/>
    <w:rsid w:val="00145669"/>
    <w:rsid w:val="0014586D"/>
    <w:rsid w:val="001458D5"/>
    <w:rsid w:val="00145999"/>
    <w:rsid w:val="00145F7B"/>
    <w:rsid w:val="0014606F"/>
    <w:rsid w:val="001462DD"/>
    <w:rsid w:val="0014675A"/>
    <w:rsid w:val="001467D9"/>
    <w:rsid w:val="00146B94"/>
    <w:rsid w:val="00146BB8"/>
    <w:rsid w:val="00146BD4"/>
    <w:rsid w:val="00146C4B"/>
    <w:rsid w:val="00147195"/>
    <w:rsid w:val="001476BC"/>
    <w:rsid w:val="001503AC"/>
    <w:rsid w:val="00150D56"/>
    <w:rsid w:val="001511A4"/>
    <w:rsid w:val="001512EA"/>
    <w:rsid w:val="00151538"/>
    <w:rsid w:val="00151749"/>
    <w:rsid w:val="001517A2"/>
    <w:rsid w:val="00151825"/>
    <w:rsid w:val="0015184F"/>
    <w:rsid w:val="001519B1"/>
    <w:rsid w:val="00151BD2"/>
    <w:rsid w:val="0015210F"/>
    <w:rsid w:val="00152147"/>
    <w:rsid w:val="001523D8"/>
    <w:rsid w:val="00152620"/>
    <w:rsid w:val="00152796"/>
    <w:rsid w:val="00152831"/>
    <w:rsid w:val="00152BFD"/>
    <w:rsid w:val="00152EC3"/>
    <w:rsid w:val="00152FA5"/>
    <w:rsid w:val="0015371B"/>
    <w:rsid w:val="00153C31"/>
    <w:rsid w:val="0015401E"/>
    <w:rsid w:val="00154025"/>
    <w:rsid w:val="001540FB"/>
    <w:rsid w:val="001540FE"/>
    <w:rsid w:val="001542A5"/>
    <w:rsid w:val="00154433"/>
    <w:rsid w:val="00154C4F"/>
    <w:rsid w:val="00154CB0"/>
    <w:rsid w:val="00154F0B"/>
    <w:rsid w:val="00154F5A"/>
    <w:rsid w:val="00155080"/>
    <w:rsid w:val="00155526"/>
    <w:rsid w:val="00155965"/>
    <w:rsid w:val="00155D75"/>
    <w:rsid w:val="001562B6"/>
    <w:rsid w:val="001565D2"/>
    <w:rsid w:val="001572F8"/>
    <w:rsid w:val="001579BD"/>
    <w:rsid w:val="001601F3"/>
    <w:rsid w:val="0016031A"/>
    <w:rsid w:val="00160A05"/>
    <w:rsid w:val="00160F7A"/>
    <w:rsid w:val="0016133B"/>
    <w:rsid w:val="001616FC"/>
    <w:rsid w:val="001621EF"/>
    <w:rsid w:val="0016241F"/>
    <w:rsid w:val="00162870"/>
    <w:rsid w:val="001628DC"/>
    <w:rsid w:val="00162CC6"/>
    <w:rsid w:val="00162D0B"/>
    <w:rsid w:val="0016366C"/>
    <w:rsid w:val="00163EBA"/>
    <w:rsid w:val="00164003"/>
    <w:rsid w:val="0016415E"/>
    <w:rsid w:val="001645DE"/>
    <w:rsid w:val="00164A3E"/>
    <w:rsid w:val="00164A8B"/>
    <w:rsid w:val="00164B8F"/>
    <w:rsid w:val="00164C7C"/>
    <w:rsid w:val="001655D8"/>
    <w:rsid w:val="00165996"/>
    <w:rsid w:val="00165BC8"/>
    <w:rsid w:val="00165D37"/>
    <w:rsid w:val="00165EED"/>
    <w:rsid w:val="001664E9"/>
    <w:rsid w:val="001664F1"/>
    <w:rsid w:val="0016668B"/>
    <w:rsid w:val="00166DFE"/>
    <w:rsid w:val="001673BA"/>
    <w:rsid w:val="001677B1"/>
    <w:rsid w:val="00167824"/>
    <w:rsid w:val="00167ACD"/>
    <w:rsid w:val="00167BC1"/>
    <w:rsid w:val="001702C0"/>
    <w:rsid w:val="00170511"/>
    <w:rsid w:val="00170ABE"/>
    <w:rsid w:val="001712A9"/>
    <w:rsid w:val="00171400"/>
    <w:rsid w:val="00171B7A"/>
    <w:rsid w:val="00172439"/>
    <w:rsid w:val="00172823"/>
    <w:rsid w:val="0017298A"/>
    <w:rsid w:val="00172BC7"/>
    <w:rsid w:val="001737FE"/>
    <w:rsid w:val="00173850"/>
    <w:rsid w:val="00174255"/>
    <w:rsid w:val="00174D23"/>
    <w:rsid w:val="00174E89"/>
    <w:rsid w:val="00174F81"/>
    <w:rsid w:val="00175166"/>
    <w:rsid w:val="001753C9"/>
    <w:rsid w:val="001755DC"/>
    <w:rsid w:val="001766E6"/>
    <w:rsid w:val="00176D1C"/>
    <w:rsid w:val="00176D94"/>
    <w:rsid w:val="00176DC0"/>
    <w:rsid w:val="00176DDA"/>
    <w:rsid w:val="001770F8"/>
    <w:rsid w:val="001772D4"/>
    <w:rsid w:val="001774E1"/>
    <w:rsid w:val="00177BBE"/>
    <w:rsid w:val="00177F33"/>
    <w:rsid w:val="001804D0"/>
    <w:rsid w:val="00180AFD"/>
    <w:rsid w:val="001810F8"/>
    <w:rsid w:val="001814EE"/>
    <w:rsid w:val="001815AD"/>
    <w:rsid w:val="00181B4C"/>
    <w:rsid w:val="00181D64"/>
    <w:rsid w:val="00182113"/>
    <w:rsid w:val="00182740"/>
    <w:rsid w:val="00182782"/>
    <w:rsid w:val="001827A4"/>
    <w:rsid w:val="00182942"/>
    <w:rsid w:val="00182C29"/>
    <w:rsid w:val="001831F6"/>
    <w:rsid w:val="00183BA4"/>
    <w:rsid w:val="00183BF5"/>
    <w:rsid w:val="00183CEC"/>
    <w:rsid w:val="00184505"/>
    <w:rsid w:val="00184AB7"/>
    <w:rsid w:val="00184ACB"/>
    <w:rsid w:val="001851FA"/>
    <w:rsid w:val="00185D03"/>
    <w:rsid w:val="00185E13"/>
    <w:rsid w:val="0018688B"/>
    <w:rsid w:val="0018695C"/>
    <w:rsid w:val="00186BB8"/>
    <w:rsid w:val="00186CAC"/>
    <w:rsid w:val="001870FA"/>
    <w:rsid w:val="001872B0"/>
    <w:rsid w:val="001872B4"/>
    <w:rsid w:val="0018790C"/>
    <w:rsid w:val="00187A67"/>
    <w:rsid w:val="00191042"/>
    <w:rsid w:val="00191140"/>
    <w:rsid w:val="001911DC"/>
    <w:rsid w:val="001912F9"/>
    <w:rsid w:val="001913BA"/>
    <w:rsid w:val="001916EE"/>
    <w:rsid w:val="00191A36"/>
    <w:rsid w:val="00191AB8"/>
    <w:rsid w:val="00192AF8"/>
    <w:rsid w:val="00192E67"/>
    <w:rsid w:val="00192E8B"/>
    <w:rsid w:val="00192FE9"/>
    <w:rsid w:val="001937E0"/>
    <w:rsid w:val="00193A29"/>
    <w:rsid w:val="00193A5E"/>
    <w:rsid w:val="00193B20"/>
    <w:rsid w:val="00193DBD"/>
    <w:rsid w:val="00194057"/>
    <w:rsid w:val="001946D2"/>
    <w:rsid w:val="00194782"/>
    <w:rsid w:val="001948F2"/>
    <w:rsid w:val="00194C59"/>
    <w:rsid w:val="00194E5E"/>
    <w:rsid w:val="00195007"/>
    <w:rsid w:val="00195C63"/>
    <w:rsid w:val="00195FD3"/>
    <w:rsid w:val="001960CD"/>
    <w:rsid w:val="00196151"/>
    <w:rsid w:val="0019620F"/>
    <w:rsid w:val="001963D3"/>
    <w:rsid w:val="001965E7"/>
    <w:rsid w:val="00196B16"/>
    <w:rsid w:val="00196CF0"/>
    <w:rsid w:val="00196F2E"/>
    <w:rsid w:val="0019706B"/>
    <w:rsid w:val="001977BE"/>
    <w:rsid w:val="001977CE"/>
    <w:rsid w:val="00197A0E"/>
    <w:rsid w:val="00197A17"/>
    <w:rsid w:val="00197A34"/>
    <w:rsid w:val="001A0381"/>
    <w:rsid w:val="001A0815"/>
    <w:rsid w:val="001A0BE2"/>
    <w:rsid w:val="001A0BE7"/>
    <w:rsid w:val="001A158C"/>
    <w:rsid w:val="001A18B2"/>
    <w:rsid w:val="001A1A75"/>
    <w:rsid w:val="001A1C08"/>
    <w:rsid w:val="001A2055"/>
    <w:rsid w:val="001A28C2"/>
    <w:rsid w:val="001A3135"/>
    <w:rsid w:val="001A3239"/>
    <w:rsid w:val="001A35FE"/>
    <w:rsid w:val="001A394E"/>
    <w:rsid w:val="001A398B"/>
    <w:rsid w:val="001A3AD3"/>
    <w:rsid w:val="001A3B09"/>
    <w:rsid w:val="001A4524"/>
    <w:rsid w:val="001A4AB1"/>
    <w:rsid w:val="001A506E"/>
    <w:rsid w:val="001A5942"/>
    <w:rsid w:val="001A5A1E"/>
    <w:rsid w:val="001A5D03"/>
    <w:rsid w:val="001A5DAE"/>
    <w:rsid w:val="001A60C3"/>
    <w:rsid w:val="001A60CA"/>
    <w:rsid w:val="001A61F5"/>
    <w:rsid w:val="001A6464"/>
    <w:rsid w:val="001A6687"/>
    <w:rsid w:val="001A6934"/>
    <w:rsid w:val="001A6B58"/>
    <w:rsid w:val="001A7026"/>
    <w:rsid w:val="001A75AC"/>
    <w:rsid w:val="001A7EFD"/>
    <w:rsid w:val="001A7F80"/>
    <w:rsid w:val="001A7FD3"/>
    <w:rsid w:val="001B03B0"/>
    <w:rsid w:val="001B0B79"/>
    <w:rsid w:val="001B0DCC"/>
    <w:rsid w:val="001B0DF9"/>
    <w:rsid w:val="001B1368"/>
    <w:rsid w:val="001B138F"/>
    <w:rsid w:val="001B1543"/>
    <w:rsid w:val="001B1D60"/>
    <w:rsid w:val="001B2241"/>
    <w:rsid w:val="001B229F"/>
    <w:rsid w:val="001B248E"/>
    <w:rsid w:val="001B24C4"/>
    <w:rsid w:val="001B273E"/>
    <w:rsid w:val="001B3040"/>
    <w:rsid w:val="001B308E"/>
    <w:rsid w:val="001B31C0"/>
    <w:rsid w:val="001B32E1"/>
    <w:rsid w:val="001B395D"/>
    <w:rsid w:val="001B40C1"/>
    <w:rsid w:val="001B457E"/>
    <w:rsid w:val="001B46A0"/>
    <w:rsid w:val="001B4CBF"/>
    <w:rsid w:val="001B4DBB"/>
    <w:rsid w:val="001B5088"/>
    <w:rsid w:val="001B54EF"/>
    <w:rsid w:val="001B567D"/>
    <w:rsid w:val="001B5692"/>
    <w:rsid w:val="001B56E5"/>
    <w:rsid w:val="001B5794"/>
    <w:rsid w:val="001B6000"/>
    <w:rsid w:val="001B657B"/>
    <w:rsid w:val="001B6E56"/>
    <w:rsid w:val="001B7026"/>
    <w:rsid w:val="001B71BA"/>
    <w:rsid w:val="001B7618"/>
    <w:rsid w:val="001B7664"/>
    <w:rsid w:val="001B783F"/>
    <w:rsid w:val="001B7B01"/>
    <w:rsid w:val="001B7ECF"/>
    <w:rsid w:val="001B7FB1"/>
    <w:rsid w:val="001C0014"/>
    <w:rsid w:val="001C0604"/>
    <w:rsid w:val="001C1182"/>
    <w:rsid w:val="001C152B"/>
    <w:rsid w:val="001C198A"/>
    <w:rsid w:val="001C1AC7"/>
    <w:rsid w:val="001C1B8F"/>
    <w:rsid w:val="001C1BF3"/>
    <w:rsid w:val="001C2049"/>
    <w:rsid w:val="001C2162"/>
    <w:rsid w:val="001C2215"/>
    <w:rsid w:val="001C2467"/>
    <w:rsid w:val="001C2E91"/>
    <w:rsid w:val="001C2FB8"/>
    <w:rsid w:val="001C30CF"/>
    <w:rsid w:val="001C31D8"/>
    <w:rsid w:val="001C3563"/>
    <w:rsid w:val="001C37F1"/>
    <w:rsid w:val="001C38DC"/>
    <w:rsid w:val="001C44C2"/>
    <w:rsid w:val="001C4554"/>
    <w:rsid w:val="001C4816"/>
    <w:rsid w:val="001C4BFB"/>
    <w:rsid w:val="001C4F59"/>
    <w:rsid w:val="001C4F67"/>
    <w:rsid w:val="001C5320"/>
    <w:rsid w:val="001C54B7"/>
    <w:rsid w:val="001C595F"/>
    <w:rsid w:val="001C60C0"/>
    <w:rsid w:val="001C64C2"/>
    <w:rsid w:val="001C65A8"/>
    <w:rsid w:val="001C65DA"/>
    <w:rsid w:val="001C6A7F"/>
    <w:rsid w:val="001C7307"/>
    <w:rsid w:val="001C78B5"/>
    <w:rsid w:val="001C7F2C"/>
    <w:rsid w:val="001D0395"/>
    <w:rsid w:val="001D03B1"/>
    <w:rsid w:val="001D0E1A"/>
    <w:rsid w:val="001D0EFA"/>
    <w:rsid w:val="001D126D"/>
    <w:rsid w:val="001D190E"/>
    <w:rsid w:val="001D1B1C"/>
    <w:rsid w:val="001D2825"/>
    <w:rsid w:val="001D30FB"/>
    <w:rsid w:val="001D311E"/>
    <w:rsid w:val="001D3176"/>
    <w:rsid w:val="001D330C"/>
    <w:rsid w:val="001D33C2"/>
    <w:rsid w:val="001D39BB"/>
    <w:rsid w:val="001D39DE"/>
    <w:rsid w:val="001D3B90"/>
    <w:rsid w:val="001D3CC0"/>
    <w:rsid w:val="001D3EA7"/>
    <w:rsid w:val="001D40BF"/>
    <w:rsid w:val="001D4AD7"/>
    <w:rsid w:val="001D4BD5"/>
    <w:rsid w:val="001D4CA2"/>
    <w:rsid w:val="001D4CFC"/>
    <w:rsid w:val="001D4E44"/>
    <w:rsid w:val="001D50E7"/>
    <w:rsid w:val="001D541E"/>
    <w:rsid w:val="001D5555"/>
    <w:rsid w:val="001D5677"/>
    <w:rsid w:val="001D56D4"/>
    <w:rsid w:val="001D5C33"/>
    <w:rsid w:val="001D6543"/>
    <w:rsid w:val="001D6C17"/>
    <w:rsid w:val="001D6CD5"/>
    <w:rsid w:val="001D762B"/>
    <w:rsid w:val="001E0039"/>
    <w:rsid w:val="001E057F"/>
    <w:rsid w:val="001E0801"/>
    <w:rsid w:val="001E0A73"/>
    <w:rsid w:val="001E0B34"/>
    <w:rsid w:val="001E0CB4"/>
    <w:rsid w:val="001E0F04"/>
    <w:rsid w:val="001E0F11"/>
    <w:rsid w:val="001E1339"/>
    <w:rsid w:val="001E1523"/>
    <w:rsid w:val="001E1703"/>
    <w:rsid w:val="001E1B87"/>
    <w:rsid w:val="001E1E0C"/>
    <w:rsid w:val="001E20A9"/>
    <w:rsid w:val="001E2890"/>
    <w:rsid w:val="001E2BD7"/>
    <w:rsid w:val="001E324B"/>
    <w:rsid w:val="001E3540"/>
    <w:rsid w:val="001E3885"/>
    <w:rsid w:val="001E3AA8"/>
    <w:rsid w:val="001E3B70"/>
    <w:rsid w:val="001E4488"/>
    <w:rsid w:val="001E486B"/>
    <w:rsid w:val="001E4B75"/>
    <w:rsid w:val="001E4C6A"/>
    <w:rsid w:val="001E50A2"/>
    <w:rsid w:val="001E52E8"/>
    <w:rsid w:val="001E5684"/>
    <w:rsid w:val="001E5811"/>
    <w:rsid w:val="001E5888"/>
    <w:rsid w:val="001E589B"/>
    <w:rsid w:val="001E6059"/>
    <w:rsid w:val="001E609E"/>
    <w:rsid w:val="001E60F3"/>
    <w:rsid w:val="001E619E"/>
    <w:rsid w:val="001E61C3"/>
    <w:rsid w:val="001E62B3"/>
    <w:rsid w:val="001E66B0"/>
    <w:rsid w:val="001E670A"/>
    <w:rsid w:val="001F008E"/>
    <w:rsid w:val="001F0801"/>
    <w:rsid w:val="001F09D8"/>
    <w:rsid w:val="001F0C91"/>
    <w:rsid w:val="001F0F0A"/>
    <w:rsid w:val="001F17D0"/>
    <w:rsid w:val="001F18A2"/>
    <w:rsid w:val="001F1A4C"/>
    <w:rsid w:val="001F1DBF"/>
    <w:rsid w:val="001F1F5C"/>
    <w:rsid w:val="001F21CC"/>
    <w:rsid w:val="001F23C8"/>
    <w:rsid w:val="001F2444"/>
    <w:rsid w:val="001F264B"/>
    <w:rsid w:val="001F2CF8"/>
    <w:rsid w:val="001F2D7E"/>
    <w:rsid w:val="001F2EDD"/>
    <w:rsid w:val="001F33CA"/>
    <w:rsid w:val="001F350D"/>
    <w:rsid w:val="001F3C2B"/>
    <w:rsid w:val="001F3EF6"/>
    <w:rsid w:val="001F40A1"/>
    <w:rsid w:val="001F40F7"/>
    <w:rsid w:val="001F4154"/>
    <w:rsid w:val="001F41DF"/>
    <w:rsid w:val="001F42E7"/>
    <w:rsid w:val="001F4388"/>
    <w:rsid w:val="001F443B"/>
    <w:rsid w:val="001F4768"/>
    <w:rsid w:val="001F4D14"/>
    <w:rsid w:val="001F50AF"/>
    <w:rsid w:val="001F511C"/>
    <w:rsid w:val="001F5155"/>
    <w:rsid w:val="001F52CD"/>
    <w:rsid w:val="001F5803"/>
    <w:rsid w:val="001F5E0C"/>
    <w:rsid w:val="001F6868"/>
    <w:rsid w:val="001F71BB"/>
    <w:rsid w:val="001F7326"/>
    <w:rsid w:val="001F7620"/>
    <w:rsid w:val="001F776B"/>
    <w:rsid w:val="001F78F5"/>
    <w:rsid w:val="001F7CF7"/>
    <w:rsid w:val="001F7E3E"/>
    <w:rsid w:val="002001B6"/>
    <w:rsid w:val="0020021D"/>
    <w:rsid w:val="00200589"/>
    <w:rsid w:val="00200924"/>
    <w:rsid w:val="00200F1A"/>
    <w:rsid w:val="002011F1"/>
    <w:rsid w:val="00201328"/>
    <w:rsid w:val="00201933"/>
    <w:rsid w:val="00201D1C"/>
    <w:rsid w:val="00202232"/>
    <w:rsid w:val="002023AB"/>
    <w:rsid w:val="00203A8F"/>
    <w:rsid w:val="00203D29"/>
    <w:rsid w:val="00203DA7"/>
    <w:rsid w:val="00204475"/>
    <w:rsid w:val="00204636"/>
    <w:rsid w:val="002048BA"/>
    <w:rsid w:val="002052D7"/>
    <w:rsid w:val="00205709"/>
    <w:rsid w:val="00205A7F"/>
    <w:rsid w:val="00205F92"/>
    <w:rsid w:val="002062EC"/>
    <w:rsid w:val="002063AC"/>
    <w:rsid w:val="00206640"/>
    <w:rsid w:val="0020686C"/>
    <w:rsid w:val="00206A99"/>
    <w:rsid w:val="00206F15"/>
    <w:rsid w:val="002071F1"/>
    <w:rsid w:val="00207316"/>
    <w:rsid w:val="0020779C"/>
    <w:rsid w:val="00207C19"/>
    <w:rsid w:val="0021050B"/>
    <w:rsid w:val="0021054B"/>
    <w:rsid w:val="0021095B"/>
    <w:rsid w:val="00210D49"/>
    <w:rsid w:val="00210FBD"/>
    <w:rsid w:val="00211000"/>
    <w:rsid w:val="002111D0"/>
    <w:rsid w:val="00211649"/>
    <w:rsid w:val="00211AEF"/>
    <w:rsid w:val="00211E8D"/>
    <w:rsid w:val="00211EEF"/>
    <w:rsid w:val="00211F06"/>
    <w:rsid w:val="002122E1"/>
    <w:rsid w:val="002125C9"/>
    <w:rsid w:val="002128E3"/>
    <w:rsid w:val="00212A21"/>
    <w:rsid w:val="00212C3E"/>
    <w:rsid w:val="00212C7D"/>
    <w:rsid w:val="00213392"/>
    <w:rsid w:val="00213406"/>
    <w:rsid w:val="00213BFE"/>
    <w:rsid w:val="00213F08"/>
    <w:rsid w:val="0021411B"/>
    <w:rsid w:val="00214166"/>
    <w:rsid w:val="002141B2"/>
    <w:rsid w:val="00214667"/>
    <w:rsid w:val="0021492C"/>
    <w:rsid w:val="00214AF6"/>
    <w:rsid w:val="00214B66"/>
    <w:rsid w:val="002155D3"/>
    <w:rsid w:val="002162B6"/>
    <w:rsid w:val="002166A5"/>
    <w:rsid w:val="00217105"/>
    <w:rsid w:val="00217713"/>
    <w:rsid w:val="002178B4"/>
    <w:rsid w:val="00220AB9"/>
    <w:rsid w:val="00220CED"/>
    <w:rsid w:val="00220F9B"/>
    <w:rsid w:val="00221544"/>
    <w:rsid w:val="00221A66"/>
    <w:rsid w:val="00221C2A"/>
    <w:rsid w:val="00221E38"/>
    <w:rsid w:val="00222163"/>
    <w:rsid w:val="0022274B"/>
    <w:rsid w:val="002229C4"/>
    <w:rsid w:val="002229D9"/>
    <w:rsid w:val="0022325C"/>
    <w:rsid w:val="0022334E"/>
    <w:rsid w:val="002246B5"/>
    <w:rsid w:val="0022480A"/>
    <w:rsid w:val="00224B5F"/>
    <w:rsid w:val="00224EDC"/>
    <w:rsid w:val="00224F56"/>
    <w:rsid w:val="00225054"/>
    <w:rsid w:val="00225529"/>
    <w:rsid w:val="00225857"/>
    <w:rsid w:val="00225920"/>
    <w:rsid w:val="00225F9F"/>
    <w:rsid w:val="0022685D"/>
    <w:rsid w:val="002268C5"/>
    <w:rsid w:val="00226C84"/>
    <w:rsid w:val="00226E24"/>
    <w:rsid w:val="00227227"/>
    <w:rsid w:val="00227391"/>
    <w:rsid w:val="00227B08"/>
    <w:rsid w:val="00230596"/>
    <w:rsid w:val="0023096A"/>
    <w:rsid w:val="00230B3D"/>
    <w:rsid w:val="00231416"/>
    <w:rsid w:val="00231EBE"/>
    <w:rsid w:val="00232230"/>
    <w:rsid w:val="00232240"/>
    <w:rsid w:val="002327DA"/>
    <w:rsid w:val="002329CB"/>
    <w:rsid w:val="00232FCF"/>
    <w:rsid w:val="002330F9"/>
    <w:rsid w:val="0023317E"/>
    <w:rsid w:val="00233A66"/>
    <w:rsid w:val="00233B12"/>
    <w:rsid w:val="002342F9"/>
    <w:rsid w:val="00234BF9"/>
    <w:rsid w:val="002352E0"/>
    <w:rsid w:val="00235977"/>
    <w:rsid w:val="00235EAB"/>
    <w:rsid w:val="002365C0"/>
    <w:rsid w:val="00237087"/>
    <w:rsid w:val="00237443"/>
    <w:rsid w:val="00237475"/>
    <w:rsid w:val="002375C3"/>
    <w:rsid w:val="002375FE"/>
    <w:rsid w:val="00240325"/>
    <w:rsid w:val="00240B54"/>
    <w:rsid w:val="00240C17"/>
    <w:rsid w:val="00240EA1"/>
    <w:rsid w:val="002411AD"/>
    <w:rsid w:val="0024125D"/>
    <w:rsid w:val="0024198A"/>
    <w:rsid w:val="00241BFF"/>
    <w:rsid w:val="00241D9F"/>
    <w:rsid w:val="00241DC3"/>
    <w:rsid w:val="00241FD0"/>
    <w:rsid w:val="00242343"/>
    <w:rsid w:val="0024254C"/>
    <w:rsid w:val="002428A2"/>
    <w:rsid w:val="00242C65"/>
    <w:rsid w:val="00242E80"/>
    <w:rsid w:val="0024342D"/>
    <w:rsid w:val="002434C3"/>
    <w:rsid w:val="00243829"/>
    <w:rsid w:val="002439AE"/>
    <w:rsid w:val="00243FA7"/>
    <w:rsid w:val="00244669"/>
    <w:rsid w:val="00244C66"/>
    <w:rsid w:val="00244C99"/>
    <w:rsid w:val="00244DC5"/>
    <w:rsid w:val="002452F3"/>
    <w:rsid w:val="00245798"/>
    <w:rsid w:val="002459EF"/>
    <w:rsid w:val="00245B94"/>
    <w:rsid w:val="00245FC5"/>
    <w:rsid w:val="002465A3"/>
    <w:rsid w:val="00246B04"/>
    <w:rsid w:val="00246CA9"/>
    <w:rsid w:val="00246CC9"/>
    <w:rsid w:val="00246FD5"/>
    <w:rsid w:val="00246FF6"/>
    <w:rsid w:val="002470D7"/>
    <w:rsid w:val="002472DD"/>
    <w:rsid w:val="002477B3"/>
    <w:rsid w:val="00247D99"/>
    <w:rsid w:val="00250293"/>
    <w:rsid w:val="002507CA"/>
    <w:rsid w:val="002510C0"/>
    <w:rsid w:val="002512B1"/>
    <w:rsid w:val="002515CE"/>
    <w:rsid w:val="00251908"/>
    <w:rsid w:val="0025195B"/>
    <w:rsid w:val="002519CC"/>
    <w:rsid w:val="00251B44"/>
    <w:rsid w:val="002523D4"/>
    <w:rsid w:val="00252BBD"/>
    <w:rsid w:val="00252C4D"/>
    <w:rsid w:val="00252CDC"/>
    <w:rsid w:val="00252D45"/>
    <w:rsid w:val="00252DD6"/>
    <w:rsid w:val="00252F8C"/>
    <w:rsid w:val="0025308F"/>
    <w:rsid w:val="00253599"/>
    <w:rsid w:val="0025377C"/>
    <w:rsid w:val="00253967"/>
    <w:rsid w:val="00254139"/>
    <w:rsid w:val="00254736"/>
    <w:rsid w:val="00254AF6"/>
    <w:rsid w:val="00254B45"/>
    <w:rsid w:val="00255597"/>
    <w:rsid w:val="00255669"/>
    <w:rsid w:val="0025587F"/>
    <w:rsid w:val="00255ECD"/>
    <w:rsid w:val="00256659"/>
    <w:rsid w:val="00256688"/>
    <w:rsid w:val="0025683F"/>
    <w:rsid w:val="00256CE5"/>
    <w:rsid w:val="0025760D"/>
    <w:rsid w:val="00257667"/>
    <w:rsid w:val="0025778A"/>
    <w:rsid w:val="00257BFC"/>
    <w:rsid w:val="00257C05"/>
    <w:rsid w:val="00257F0A"/>
    <w:rsid w:val="00257F3A"/>
    <w:rsid w:val="00260155"/>
    <w:rsid w:val="0026085F"/>
    <w:rsid w:val="00260938"/>
    <w:rsid w:val="00260C1C"/>
    <w:rsid w:val="00260DE4"/>
    <w:rsid w:val="00260ECA"/>
    <w:rsid w:val="00260EDC"/>
    <w:rsid w:val="00261279"/>
    <w:rsid w:val="0026132B"/>
    <w:rsid w:val="0026134B"/>
    <w:rsid w:val="002616C3"/>
    <w:rsid w:val="00261AC5"/>
    <w:rsid w:val="00261E89"/>
    <w:rsid w:val="00261F1D"/>
    <w:rsid w:val="002621C3"/>
    <w:rsid w:val="0026223B"/>
    <w:rsid w:val="002624FF"/>
    <w:rsid w:val="00262A5F"/>
    <w:rsid w:val="00262EFF"/>
    <w:rsid w:val="002636B3"/>
    <w:rsid w:val="00263BB6"/>
    <w:rsid w:val="00264293"/>
    <w:rsid w:val="002643B6"/>
    <w:rsid w:val="002644BA"/>
    <w:rsid w:val="00264AE7"/>
    <w:rsid w:val="00264F39"/>
    <w:rsid w:val="0026516A"/>
    <w:rsid w:val="002659B7"/>
    <w:rsid w:val="00265DC2"/>
    <w:rsid w:val="0026649C"/>
    <w:rsid w:val="00266A5D"/>
    <w:rsid w:val="00266F16"/>
    <w:rsid w:val="002704ED"/>
    <w:rsid w:val="0027069A"/>
    <w:rsid w:val="00270ADC"/>
    <w:rsid w:val="00270CD9"/>
    <w:rsid w:val="00270D88"/>
    <w:rsid w:val="00270E40"/>
    <w:rsid w:val="00271246"/>
    <w:rsid w:val="002712B8"/>
    <w:rsid w:val="002712EE"/>
    <w:rsid w:val="00271353"/>
    <w:rsid w:val="00271D5C"/>
    <w:rsid w:val="00271EB4"/>
    <w:rsid w:val="00272038"/>
    <w:rsid w:val="00272D08"/>
    <w:rsid w:val="00273154"/>
    <w:rsid w:val="002735A3"/>
    <w:rsid w:val="002736C5"/>
    <w:rsid w:val="00273820"/>
    <w:rsid w:val="00273B9F"/>
    <w:rsid w:val="00273E9C"/>
    <w:rsid w:val="00274057"/>
    <w:rsid w:val="00274768"/>
    <w:rsid w:val="00274B3A"/>
    <w:rsid w:val="002757FF"/>
    <w:rsid w:val="002758B7"/>
    <w:rsid w:val="00275A13"/>
    <w:rsid w:val="00275AD1"/>
    <w:rsid w:val="00276033"/>
    <w:rsid w:val="00276AED"/>
    <w:rsid w:val="002774A2"/>
    <w:rsid w:val="0027763D"/>
    <w:rsid w:val="00277C1B"/>
    <w:rsid w:val="00277CFE"/>
    <w:rsid w:val="00280689"/>
    <w:rsid w:val="00280DFE"/>
    <w:rsid w:val="00281192"/>
    <w:rsid w:val="002813BA"/>
    <w:rsid w:val="00281529"/>
    <w:rsid w:val="00281734"/>
    <w:rsid w:val="002817A2"/>
    <w:rsid w:val="0028192B"/>
    <w:rsid w:val="00281B08"/>
    <w:rsid w:val="00281C59"/>
    <w:rsid w:val="002824A2"/>
    <w:rsid w:val="0028251C"/>
    <w:rsid w:val="002829B0"/>
    <w:rsid w:val="00282F6C"/>
    <w:rsid w:val="002831D7"/>
    <w:rsid w:val="00283341"/>
    <w:rsid w:val="00283BA9"/>
    <w:rsid w:val="00283CE4"/>
    <w:rsid w:val="00284012"/>
    <w:rsid w:val="002843B2"/>
    <w:rsid w:val="0028443B"/>
    <w:rsid w:val="002847F3"/>
    <w:rsid w:val="00284B0B"/>
    <w:rsid w:val="00284E18"/>
    <w:rsid w:val="00284F42"/>
    <w:rsid w:val="00285250"/>
    <w:rsid w:val="0028550E"/>
    <w:rsid w:val="0028571D"/>
    <w:rsid w:val="0028579D"/>
    <w:rsid w:val="002857EF"/>
    <w:rsid w:val="00285AC9"/>
    <w:rsid w:val="00286B38"/>
    <w:rsid w:val="00286E70"/>
    <w:rsid w:val="00286F11"/>
    <w:rsid w:val="00287012"/>
    <w:rsid w:val="002874A1"/>
    <w:rsid w:val="00287809"/>
    <w:rsid w:val="00287A64"/>
    <w:rsid w:val="00287AFF"/>
    <w:rsid w:val="00287B13"/>
    <w:rsid w:val="00287D2E"/>
    <w:rsid w:val="00287FAB"/>
    <w:rsid w:val="00290171"/>
    <w:rsid w:val="0029063B"/>
    <w:rsid w:val="002909A5"/>
    <w:rsid w:val="00290EFB"/>
    <w:rsid w:val="002911EF"/>
    <w:rsid w:val="00291663"/>
    <w:rsid w:val="00291967"/>
    <w:rsid w:val="00292361"/>
    <w:rsid w:val="002924C2"/>
    <w:rsid w:val="00292578"/>
    <w:rsid w:val="0029259B"/>
    <w:rsid w:val="00292967"/>
    <w:rsid w:val="00292ADF"/>
    <w:rsid w:val="00292BB3"/>
    <w:rsid w:val="00292CDD"/>
    <w:rsid w:val="0029304C"/>
    <w:rsid w:val="00293421"/>
    <w:rsid w:val="002938E4"/>
    <w:rsid w:val="0029399D"/>
    <w:rsid w:val="00293AE6"/>
    <w:rsid w:val="00293D31"/>
    <w:rsid w:val="00293F1A"/>
    <w:rsid w:val="002940DD"/>
    <w:rsid w:val="0029449B"/>
    <w:rsid w:val="00294F7B"/>
    <w:rsid w:val="00295013"/>
    <w:rsid w:val="002950C2"/>
    <w:rsid w:val="00295BF6"/>
    <w:rsid w:val="00295DA1"/>
    <w:rsid w:val="002961AA"/>
    <w:rsid w:val="00296228"/>
    <w:rsid w:val="00296C55"/>
    <w:rsid w:val="00296CBD"/>
    <w:rsid w:val="00297313"/>
    <w:rsid w:val="0029758D"/>
    <w:rsid w:val="0029774E"/>
    <w:rsid w:val="002979F9"/>
    <w:rsid w:val="002A1372"/>
    <w:rsid w:val="002A1695"/>
    <w:rsid w:val="002A1710"/>
    <w:rsid w:val="002A20D8"/>
    <w:rsid w:val="002A2C53"/>
    <w:rsid w:val="002A3079"/>
    <w:rsid w:val="002A33CE"/>
    <w:rsid w:val="002A366E"/>
    <w:rsid w:val="002A448F"/>
    <w:rsid w:val="002A4C53"/>
    <w:rsid w:val="002A4DCB"/>
    <w:rsid w:val="002A4F6C"/>
    <w:rsid w:val="002A51B1"/>
    <w:rsid w:val="002A5325"/>
    <w:rsid w:val="002A53AA"/>
    <w:rsid w:val="002A5529"/>
    <w:rsid w:val="002A5684"/>
    <w:rsid w:val="002A591A"/>
    <w:rsid w:val="002A59E1"/>
    <w:rsid w:val="002A5CC3"/>
    <w:rsid w:val="002A6603"/>
    <w:rsid w:val="002A69B7"/>
    <w:rsid w:val="002A6B2D"/>
    <w:rsid w:val="002A702F"/>
    <w:rsid w:val="002A70F1"/>
    <w:rsid w:val="002A7108"/>
    <w:rsid w:val="002A74E2"/>
    <w:rsid w:val="002A78BC"/>
    <w:rsid w:val="002B001C"/>
    <w:rsid w:val="002B130F"/>
    <w:rsid w:val="002B1958"/>
    <w:rsid w:val="002B1970"/>
    <w:rsid w:val="002B1C05"/>
    <w:rsid w:val="002B1E45"/>
    <w:rsid w:val="002B2013"/>
    <w:rsid w:val="002B2B32"/>
    <w:rsid w:val="002B2D6D"/>
    <w:rsid w:val="002B30B5"/>
    <w:rsid w:val="002B3672"/>
    <w:rsid w:val="002B3747"/>
    <w:rsid w:val="002B3E5F"/>
    <w:rsid w:val="002B4365"/>
    <w:rsid w:val="002B4627"/>
    <w:rsid w:val="002B4A07"/>
    <w:rsid w:val="002B5381"/>
    <w:rsid w:val="002B53C6"/>
    <w:rsid w:val="002B5D5C"/>
    <w:rsid w:val="002B65EC"/>
    <w:rsid w:val="002B6EB0"/>
    <w:rsid w:val="002B6F3A"/>
    <w:rsid w:val="002B7430"/>
    <w:rsid w:val="002B763B"/>
    <w:rsid w:val="002C03EC"/>
    <w:rsid w:val="002C0455"/>
    <w:rsid w:val="002C0633"/>
    <w:rsid w:val="002C069E"/>
    <w:rsid w:val="002C0976"/>
    <w:rsid w:val="002C09DB"/>
    <w:rsid w:val="002C1448"/>
    <w:rsid w:val="002C1D57"/>
    <w:rsid w:val="002C235E"/>
    <w:rsid w:val="002C25D2"/>
    <w:rsid w:val="002C2722"/>
    <w:rsid w:val="002C2B76"/>
    <w:rsid w:val="002C2E1A"/>
    <w:rsid w:val="002C3886"/>
    <w:rsid w:val="002C3D23"/>
    <w:rsid w:val="002C3F8A"/>
    <w:rsid w:val="002C416F"/>
    <w:rsid w:val="002C4467"/>
    <w:rsid w:val="002C4AD2"/>
    <w:rsid w:val="002C4D84"/>
    <w:rsid w:val="002C4EF3"/>
    <w:rsid w:val="002C4F96"/>
    <w:rsid w:val="002C5590"/>
    <w:rsid w:val="002C5732"/>
    <w:rsid w:val="002C6984"/>
    <w:rsid w:val="002C69C1"/>
    <w:rsid w:val="002C6D41"/>
    <w:rsid w:val="002C6F64"/>
    <w:rsid w:val="002C75AF"/>
    <w:rsid w:val="002C7A09"/>
    <w:rsid w:val="002C7B9A"/>
    <w:rsid w:val="002C7D6E"/>
    <w:rsid w:val="002C7E3E"/>
    <w:rsid w:val="002D06EC"/>
    <w:rsid w:val="002D1BF2"/>
    <w:rsid w:val="002D1FF3"/>
    <w:rsid w:val="002D2049"/>
    <w:rsid w:val="002D2169"/>
    <w:rsid w:val="002D2376"/>
    <w:rsid w:val="002D254C"/>
    <w:rsid w:val="002D28A9"/>
    <w:rsid w:val="002D3342"/>
    <w:rsid w:val="002D3542"/>
    <w:rsid w:val="002D3CD5"/>
    <w:rsid w:val="002D45CB"/>
    <w:rsid w:val="002D4961"/>
    <w:rsid w:val="002D4A28"/>
    <w:rsid w:val="002D4BB7"/>
    <w:rsid w:val="002D4DC4"/>
    <w:rsid w:val="002D4FC9"/>
    <w:rsid w:val="002D548D"/>
    <w:rsid w:val="002D5907"/>
    <w:rsid w:val="002D593A"/>
    <w:rsid w:val="002D5AA5"/>
    <w:rsid w:val="002D5C42"/>
    <w:rsid w:val="002D632F"/>
    <w:rsid w:val="002D67EF"/>
    <w:rsid w:val="002D6BCB"/>
    <w:rsid w:val="002D6C0A"/>
    <w:rsid w:val="002D6DB7"/>
    <w:rsid w:val="002D7070"/>
    <w:rsid w:val="002D71AF"/>
    <w:rsid w:val="002D7420"/>
    <w:rsid w:val="002D75F9"/>
    <w:rsid w:val="002D77F0"/>
    <w:rsid w:val="002D7F5C"/>
    <w:rsid w:val="002E01FA"/>
    <w:rsid w:val="002E04F2"/>
    <w:rsid w:val="002E078A"/>
    <w:rsid w:val="002E09AE"/>
    <w:rsid w:val="002E0A2A"/>
    <w:rsid w:val="002E0DC4"/>
    <w:rsid w:val="002E14B6"/>
    <w:rsid w:val="002E19CB"/>
    <w:rsid w:val="002E1A3F"/>
    <w:rsid w:val="002E1AA8"/>
    <w:rsid w:val="002E1B8D"/>
    <w:rsid w:val="002E2416"/>
    <w:rsid w:val="002E254C"/>
    <w:rsid w:val="002E2B17"/>
    <w:rsid w:val="002E2CB0"/>
    <w:rsid w:val="002E3382"/>
    <w:rsid w:val="002E3533"/>
    <w:rsid w:val="002E3A0F"/>
    <w:rsid w:val="002E49C3"/>
    <w:rsid w:val="002E4A4F"/>
    <w:rsid w:val="002E4B70"/>
    <w:rsid w:val="002E6014"/>
    <w:rsid w:val="002E65C1"/>
    <w:rsid w:val="002E6D59"/>
    <w:rsid w:val="002E6ED4"/>
    <w:rsid w:val="002E6FE6"/>
    <w:rsid w:val="002E76C3"/>
    <w:rsid w:val="002E781D"/>
    <w:rsid w:val="002E7907"/>
    <w:rsid w:val="002F0502"/>
    <w:rsid w:val="002F0CF8"/>
    <w:rsid w:val="002F21C4"/>
    <w:rsid w:val="002F23A4"/>
    <w:rsid w:val="002F2C67"/>
    <w:rsid w:val="002F312B"/>
    <w:rsid w:val="002F3135"/>
    <w:rsid w:val="002F327A"/>
    <w:rsid w:val="002F33D2"/>
    <w:rsid w:val="002F44CC"/>
    <w:rsid w:val="002F474E"/>
    <w:rsid w:val="002F4F13"/>
    <w:rsid w:val="002F594F"/>
    <w:rsid w:val="002F5A50"/>
    <w:rsid w:val="002F64CC"/>
    <w:rsid w:val="002F66F5"/>
    <w:rsid w:val="002F69E0"/>
    <w:rsid w:val="002F69FE"/>
    <w:rsid w:val="002F6D55"/>
    <w:rsid w:val="002F6F0C"/>
    <w:rsid w:val="002F7532"/>
    <w:rsid w:val="002F7ACC"/>
    <w:rsid w:val="002F7DA9"/>
    <w:rsid w:val="002F7F1C"/>
    <w:rsid w:val="003002BF"/>
    <w:rsid w:val="00300320"/>
    <w:rsid w:val="0030045E"/>
    <w:rsid w:val="00300D02"/>
    <w:rsid w:val="0030102E"/>
    <w:rsid w:val="003013C9"/>
    <w:rsid w:val="00301BA9"/>
    <w:rsid w:val="00301C4E"/>
    <w:rsid w:val="00301F32"/>
    <w:rsid w:val="003023B5"/>
    <w:rsid w:val="003028EE"/>
    <w:rsid w:val="00302A74"/>
    <w:rsid w:val="00302B61"/>
    <w:rsid w:val="003032A3"/>
    <w:rsid w:val="00303836"/>
    <w:rsid w:val="00303C81"/>
    <w:rsid w:val="0030417E"/>
    <w:rsid w:val="0030464F"/>
    <w:rsid w:val="00304698"/>
    <w:rsid w:val="00305B9A"/>
    <w:rsid w:val="00305E11"/>
    <w:rsid w:val="003068B6"/>
    <w:rsid w:val="00306CAB"/>
    <w:rsid w:val="00307470"/>
    <w:rsid w:val="003074BB"/>
    <w:rsid w:val="003075BB"/>
    <w:rsid w:val="003075F0"/>
    <w:rsid w:val="00310023"/>
    <w:rsid w:val="003102A5"/>
    <w:rsid w:val="00310B5B"/>
    <w:rsid w:val="00310F72"/>
    <w:rsid w:val="00311987"/>
    <w:rsid w:val="00311991"/>
    <w:rsid w:val="00311B8F"/>
    <w:rsid w:val="00312F4B"/>
    <w:rsid w:val="003136C8"/>
    <w:rsid w:val="0031398C"/>
    <w:rsid w:val="00313D68"/>
    <w:rsid w:val="00314088"/>
    <w:rsid w:val="00314144"/>
    <w:rsid w:val="00314BD7"/>
    <w:rsid w:val="00314C4E"/>
    <w:rsid w:val="00315030"/>
    <w:rsid w:val="0031531D"/>
    <w:rsid w:val="00315AC0"/>
    <w:rsid w:val="00316292"/>
    <w:rsid w:val="003168E3"/>
    <w:rsid w:val="00316C33"/>
    <w:rsid w:val="00317379"/>
    <w:rsid w:val="003174C0"/>
    <w:rsid w:val="00317504"/>
    <w:rsid w:val="00317654"/>
    <w:rsid w:val="0031774F"/>
    <w:rsid w:val="00317C34"/>
    <w:rsid w:val="003201B3"/>
    <w:rsid w:val="00320C9C"/>
    <w:rsid w:val="0032113C"/>
    <w:rsid w:val="00321493"/>
    <w:rsid w:val="00321597"/>
    <w:rsid w:val="003218A6"/>
    <w:rsid w:val="00321DE0"/>
    <w:rsid w:val="00321F9F"/>
    <w:rsid w:val="00322228"/>
    <w:rsid w:val="00323159"/>
    <w:rsid w:val="00323402"/>
    <w:rsid w:val="003235EC"/>
    <w:rsid w:val="00323B9D"/>
    <w:rsid w:val="00323DC9"/>
    <w:rsid w:val="00323F6A"/>
    <w:rsid w:val="0032418C"/>
    <w:rsid w:val="003242FF"/>
    <w:rsid w:val="00324A61"/>
    <w:rsid w:val="00324FCD"/>
    <w:rsid w:val="003250A2"/>
    <w:rsid w:val="00325515"/>
    <w:rsid w:val="003264BA"/>
    <w:rsid w:val="0032658D"/>
    <w:rsid w:val="003265AC"/>
    <w:rsid w:val="00326895"/>
    <w:rsid w:val="003269D8"/>
    <w:rsid w:val="00326C2E"/>
    <w:rsid w:val="00326C66"/>
    <w:rsid w:val="00326E1C"/>
    <w:rsid w:val="00326FA7"/>
    <w:rsid w:val="00326FEB"/>
    <w:rsid w:val="003271C5"/>
    <w:rsid w:val="003307C0"/>
    <w:rsid w:val="003307C7"/>
    <w:rsid w:val="00330D69"/>
    <w:rsid w:val="00331081"/>
    <w:rsid w:val="003318B8"/>
    <w:rsid w:val="0033193C"/>
    <w:rsid w:val="00331B48"/>
    <w:rsid w:val="00332008"/>
    <w:rsid w:val="00332111"/>
    <w:rsid w:val="003322C2"/>
    <w:rsid w:val="003323D3"/>
    <w:rsid w:val="003324F3"/>
    <w:rsid w:val="003327C2"/>
    <w:rsid w:val="00332D41"/>
    <w:rsid w:val="00332E6F"/>
    <w:rsid w:val="00332F81"/>
    <w:rsid w:val="003331EE"/>
    <w:rsid w:val="003338D9"/>
    <w:rsid w:val="00333F07"/>
    <w:rsid w:val="003344D0"/>
    <w:rsid w:val="003345D4"/>
    <w:rsid w:val="003346B3"/>
    <w:rsid w:val="003348B9"/>
    <w:rsid w:val="00334EB7"/>
    <w:rsid w:val="00334EFE"/>
    <w:rsid w:val="003353ED"/>
    <w:rsid w:val="00335602"/>
    <w:rsid w:val="00335744"/>
    <w:rsid w:val="0033578E"/>
    <w:rsid w:val="003357DD"/>
    <w:rsid w:val="00335812"/>
    <w:rsid w:val="00335D3D"/>
    <w:rsid w:val="003361C6"/>
    <w:rsid w:val="003364A7"/>
    <w:rsid w:val="003368EA"/>
    <w:rsid w:val="00336959"/>
    <w:rsid w:val="00336972"/>
    <w:rsid w:val="00336AAB"/>
    <w:rsid w:val="00336BB5"/>
    <w:rsid w:val="00336E9D"/>
    <w:rsid w:val="00337264"/>
    <w:rsid w:val="003377FD"/>
    <w:rsid w:val="00337A48"/>
    <w:rsid w:val="003406C8"/>
    <w:rsid w:val="00340BB2"/>
    <w:rsid w:val="00340C99"/>
    <w:rsid w:val="00340FF2"/>
    <w:rsid w:val="00341160"/>
    <w:rsid w:val="003416CF"/>
    <w:rsid w:val="00341994"/>
    <w:rsid w:val="00341B43"/>
    <w:rsid w:val="00341BEA"/>
    <w:rsid w:val="003422F1"/>
    <w:rsid w:val="00342300"/>
    <w:rsid w:val="00342806"/>
    <w:rsid w:val="00343277"/>
    <w:rsid w:val="0034327E"/>
    <w:rsid w:val="00343285"/>
    <w:rsid w:val="003439EC"/>
    <w:rsid w:val="00343CF2"/>
    <w:rsid w:val="00344AA7"/>
    <w:rsid w:val="0034525B"/>
    <w:rsid w:val="003453C8"/>
    <w:rsid w:val="0034568B"/>
    <w:rsid w:val="00345821"/>
    <w:rsid w:val="0034621B"/>
    <w:rsid w:val="00346388"/>
    <w:rsid w:val="003465A6"/>
    <w:rsid w:val="00346911"/>
    <w:rsid w:val="00346971"/>
    <w:rsid w:val="00347176"/>
    <w:rsid w:val="0034731A"/>
    <w:rsid w:val="003475B6"/>
    <w:rsid w:val="00347810"/>
    <w:rsid w:val="00347BB2"/>
    <w:rsid w:val="00347F70"/>
    <w:rsid w:val="00350171"/>
    <w:rsid w:val="003509CC"/>
    <w:rsid w:val="00351175"/>
    <w:rsid w:val="0035180E"/>
    <w:rsid w:val="00352282"/>
    <w:rsid w:val="00352AD4"/>
    <w:rsid w:val="00352F56"/>
    <w:rsid w:val="00353058"/>
    <w:rsid w:val="003532AB"/>
    <w:rsid w:val="00353522"/>
    <w:rsid w:val="00353FE2"/>
    <w:rsid w:val="003541DB"/>
    <w:rsid w:val="00354239"/>
    <w:rsid w:val="00354A3F"/>
    <w:rsid w:val="00354B1E"/>
    <w:rsid w:val="003552C5"/>
    <w:rsid w:val="00355F5A"/>
    <w:rsid w:val="003561F6"/>
    <w:rsid w:val="00356317"/>
    <w:rsid w:val="0035667C"/>
    <w:rsid w:val="003569D6"/>
    <w:rsid w:val="00356B66"/>
    <w:rsid w:val="003573B7"/>
    <w:rsid w:val="00357A39"/>
    <w:rsid w:val="00357A72"/>
    <w:rsid w:val="00357CEA"/>
    <w:rsid w:val="00357D52"/>
    <w:rsid w:val="00360668"/>
    <w:rsid w:val="003607E1"/>
    <w:rsid w:val="00360CCE"/>
    <w:rsid w:val="0036131C"/>
    <w:rsid w:val="00361355"/>
    <w:rsid w:val="0036180E"/>
    <w:rsid w:val="00362151"/>
    <w:rsid w:val="003625AB"/>
    <w:rsid w:val="00363253"/>
    <w:rsid w:val="00363591"/>
    <w:rsid w:val="0036365F"/>
    <w:rsid w:val="0036407B"/>
    <w:rsid w:val="00364179"/>
    <w:rsid w:val="003641B2"/>
    <w:rsid w:val="003642D9"/>
    <w:rsid w:val="0036430C"/>
    <w:rsid w:val="003645D8"/>
    <w:rsid w:val="003648F1"/>
    <w:rsid w:val="00364AF5"/>
    <w:rsid w:val="00364F41"/>
    <w:rsid w:val="00364F48"/>
    <w:rsid w:val="003650B1"/>
    <w:rsid w:val="00365281"/>
    <w:rsid w:val="003655B3"/>
    <w:rsid w:val="00365DEF"/>
    <w:rsid w:val="00365FCE"/>
    <w:rsid w:val="00366145"/>
    <w:rsid w:val="003668AC"/>
    <w:rsid w:val="00366A1E"/>
    <w:rsid w:val="00366CBA"/>
    <w:rsid w:val="00366EDB"/>
    <w:rsid w:val="0036740A"/>
    <w:rsid w:val="00370080"/>
    <w:rsid w:val="003702B4"/>
    <w:rsid w:val="00370ABC"/>
    <w:rsid w:val="00370ACF"/>
    <w:rsid w:val="0037100A"/>
    <w:rsid w:val="0037145F"/>
    <w:rsid w:val="003715A5"/>
    <w:rsid w:val="0037183B"/>
    <w:rsid w:val="003719F5"/>
    <w:rsid w:val="00371ADD"/>
    <w:rsid w:val="00371B2C"/>
    <w:rsid w:val="0037200C"/>
    <w:rsid w:val="0037211C"/>
    <w:rsid w:val="003724EE"/>
    <w:rsid w:val="0037256F"/>
    <w:rsid w:val="00372683"/>
    <w:rsid w:val="00372C58"/>
    <w:rsid w:val="00373ACE"/>
    <w:rsid w:val="00373C59"/>
    <w:rsid w:val="00373FD2"/>
    <w:rsid w:val="00374D32"/>
    <w:rsid w:val="00374FDA"/>
    <w:rsid w:val="00375840"/>
    <w:rsid w:val="003759E7"/>
    <w:rsid w:val="00375B34"/>
    <w:rsid w:val="003760F0"/>
    <w:rsid w:val="00376269"/>
    <w:rsid w:val="0037654A"/>
    <w:rsid w:val="00376781"/>
    <w:rsid w:val="00376885"/>
    <w:rsid w:val="00376BDB"/>
    <w:rsid w:val="00377037"/>
    <w:rsid w:val="0037793B"/>
    <w:rsid w:val="00377C35"/>
    <w:rsid w:val="00377CBC"/>
    <w:rsid w:val="0038034E"/>
    <w:rsid w:val="003804A7"/>
    <w:rsid w:val="003807C1"/>
    <w:rsid w:val="003808BD"/>
    <w:rsid w:val="003808E5"/>
    <w:rsid w:val="00381099"/>
    <w:rsid w:val="00381826"/>
    <w:rsid w:val="003818BB"/>
    <w:rsid w:val="003819E2"/>
    <w:rsid w:val="00381B7C"/>
    <w:rsid w:val="00381CBD"/>
    <w:rsid w:val="0038228C"/>
    <w:rsid w:val="003822F7"/>
    <w:rsid w:val="0038286E"/>
    <w:rsid w:val="003829B5"/>
    <w:rsid w:val="00382BA5"/>
    <w:rsid w:val="00383462"/>
    <w:rsid w:val="003835FC"/>
    <w:rsid w:val="003836EE"/>
    <w:rsid w:val="00383D50"/>
    <w:rsid w:val="00383EA3"/>
    <w:rsid w:val="00384034"/>
    <w:rsid w:val="003840E4"/>
    <w:rsid w:val="003847BE"/>
    <w:rsid w:val="00384D2A"/>
    <w:rsid w:val="00385762"/>
    <w:rsid w:val="00385922"/>
    <w:rsid w:val="00385BDD"/>
    <w:rsid w:val="00385C0F"/>
    <w:rsid w:val="00385D0E"/>
    <w:rsid w:val="00385E1F"/>
    <w:rsid w:val="003865C9"/>
    <w:rsid w:val="00386BCD"/>
    <w:rsid w:val="00387192"/>
    <w:rsid w:val="00387747"/>
    <w:rsid w:val="00387A7B"/>
    <w:rsid w:val="00387EEC"/>
    <w:rsid w:val="00390644"/>
    <w:rsid w:val="00390E1F"/>
    <w:rsid w:val="00390EA9"/>
    <w:rsid w:val="00390EB1"/>
    <w:rsid w:val="00390ED2"/>
    <w:rsid w:val="00390F75"/>
    <w:rsid w:val="00391918"/>
    <w:rsid w:val="003919FD"/>
    <w:rsid w:val="00391A2A"/>
    <w:rsid w:val="00391E2B"/>
    <w:rsid w:val="0039281E"/>
    <w:rsid w:val="0039296D"/>
    <w:rsid w:val="0039305D"/>
    <w:rsid w:val="003931EF"/>
    <w:rsid w:val="00393297"/>
    <w:rsid w:val="00393370"/>
    <w:rsid w:val="003937DC"/>
    <w:rsid w:val="00393867"/>
    <w:rsid w:val="00393BCC"/>
    <w:rsid w:val="00393F55"/>
    <w:rsid w:val="00393F5B"/>
    <w:rsid w:val="00394157"/>
    <w:rsid w:val="003945FF"/>
    <w:rsid w:val="00394627"/>
    <w:rsid w:val="00394880"/>
    <w:rsid w:val="00395105"/>
    <w:rsid w:val="00396383"/>
    <w:rsid w:val="00396821"/>
    <w:rsid w:val="00396CB1"/>
    <w:rsid w:val="00397060"/>
    <w:rsid w:val="0039738A"/>
    <w:rsid w:val="003973FC"/>
    <w:rsid w:val="00397499"/>
    <w:rsid w:val="00397608"/>
    <w:rsid w:val="003978EC"/>
    <w:rsid w:val="00397E5D"/>
    <w:rsid w:val="003A04A6"/>
    <w:rsid w:val="003A07BC"/>
    <w:rsid w:val="003A0972"/>
    <w:rsid w:val="003A0BAB"/>
    <w:rsid w:val="003A0F70"/>
    <w:rsid w:val="003A10F5"/>
    <w:rsid w:val="003A1813"/>
    <w:rsid w:val="003A1946"/>
    <w:rsid w:val="003A19AB"/>
    <w:rsid w:val="003A1CB9"/>
    <w:rsid w:val="003A1D2C"/>
    <w:rsid w:val="003A1E15"/>
    <w:rsid w:val="003A2166"/>
    <w:rsid w:val="003A2431"/>
    <w:rsid w:val="003A25C6"/>
    <w:rsid w:val="003A2900"/>
    <w:rsid w:val="003A2B78"/>
    <w:rsid w:val="003A379A"/>
    <w:rsid w:val="003A48E4"/>
    <w:rsid w:val="003A48FC"/>
    <w:rsid w:val="003A4CE2"/>
    <w:rsid w:val="003A5936"/>
    <w:rsid w:val="003A5D53"/>
    <w:rsid w:val="003A5F11"/>
    <w:rsid w:val="003A6155"/>
    <w:rsid w:val="003A63DA"/>
    <w:rsid w:val="003A6944"/>
    <w:rsid w:val="003A6A48"/>
    <w:rsid w:val="003A7504"/>
    <w:rsid w:val="003A78EA"/>
    <w:rsid w:val="003B035C"/>
    <w:rsid w:val="003B0395"/>
    <w:rsid w:val="003B07DA"/>
    <w:rsid w:val="003B0ABA"/>
    <w:rsid w:val="003B0B10"/>
    <w:rsid w:val="003B0ED9"/>
    <w:rsid w:val="003B1368"/>
    <w:rsid w:val="003B1641"/>
    <w:rsid w:val="003B168F"/>
    <w:rsid w:val="003B1B5A"/>
    <w:rsid w:val="003B1F05"/>
    <w:rsid w:val="003B2324"/>
    <w:rsid w:val="003B23ED"/>
    <w:rsid w:val="003B2498"/>
    <w:rsid w:val="003B273C"/>
    <w:rsid w:val="003B29A9"/>
    <w:rsid w:val="003B2A53"/>
    <w:rsid w:val="003B2A78"/>
    <w:rsid w:val="003B2CFC"/>
    <w:rsid w:val="003B2FD9"/>
    <w:rsid w:val="003B304B"/>
    <w:rsid w:val="003B3073"/>
    <w:rsid w:val="003B30BE"/>
    <w:rsid w:val="003B33A3"/>
    <w:rsid w:val="003B3488"/>
    <w:rsid w:val="003B3ACB"/>
    <w:rsid w:val="003B43F3"/>
    <w:rsid w:val="003B496F"/>
    <w:rsid w:val="003B56D1"/>
    <w:rsid w:val="003B591F"/>
    <w:rsid w:val="003B5DBD"/>
    <w:rsid w:val="003B6D89"/>
    <w:rsid w:val="003B6FC7"/>
    <w:rsid w:val="003B712A"/>
    <w:rsid w:val="003B76AF"/>
    <w:rsid w:val="003B7D4A"/>
    <w:rsid w:val="003C05B4"/>
    <w:rsid w:val="003C05ED"/>
    <w:rsid w:val="003C0AEF"/>
    <w:rsid w:val="003C0D73"/>
    <w:rsid w:val="003C0F8B"/>
    <w:rsid w:val="003C1365"/>
    <w:rsid w:val="003C1BF8"/>
    <w:rsid w:val="003C2271"/>
    <w:rsid w:val="003C24D5"/>
    <w:rsid w:val="003C25EA"/>
    <w:rsid w:val="003C281F"/>
    <w:rsid w:val="003C2C08"/>
    <w:rsid w:val="003C2C92"/>
    <w:rsid w:val="003C3698"/>
    <w:rsid w:val="003C4221"/>
    <w:rsid w:val="003C42B3"/>
    <w:rsid w:val="003C4648"/>
    <w:rsid w:val="003C4F41"/>
    <w:rsid w:val="003C4FF5"/>
    <w:rsid w:val="003C5C02"/>
    <w:rsid w:val="003C5D1D"/>
    <w:rsid w:val="003C601F"/>
    <w:rsid w:val="003C63F4"/>
    <w:rsid w:val="003C6578"/>
    <w:rsid w:val="003C660C"/>
    <w:rsid w:val="003C6716"/>
    <w:rsid w:val="003C6852"/>
    <w:rsid w:val="003C689F"/>
    <w:rsid w:val="003C6C8F"/>
    <w:rsid w:val="003C7385"/>
    <w:rsid w:val="003C76A7"/>
    <w:rsid w:val="003C7C87"/>
    <w:rsid w:val="003C7E0A"/>
    <w:rsid w:val="003C7F7D"/>
    <w:rsid w:val="003D017E"/>
    <w:rsid w:val="003D0DB9"/>
    <w:rsid w:val="003D0DDF"/>
    <w:rsid w:val="003D121A"/>
    <w:rsid w:val="003D1373"/>
    <w:rsid w:val="003D1432"/>
    <w:rsid w:val="003D18AE"/>
    <w:rsid w:val="003D19E4"/>
    <w:rsid w:val="003D1B69"/>
    <w:rsid w:val="003D2156"/>
    <w:rsid w:val="003D239C"/>
    <w:rsid w:val="003D23A1"/>
    <w:rsid w:val="003D25A5"/>
    <w:rsid w:val="003D2607"/>
    <w:rsid w:val="003D2931"/>
    <w:rsid w:val="003D2BC1"/>
    <w:rsid w:val="003D2E01"/>
    <w:rsid w:val="003D3C8F"/>
    <w:rsid w:val="003D3FB3"/>
    <w:rsid w:val="003D44AC"/>
    <w:rsid w:val="003D49B2"/>
    <w:rsid w:val="003D4B90"/>
    <w:rsid w:val="003D4BC9"/>
    <w:rsid w:val="003D4CB7"/>
    <w:rsid w:val="003D56CE"/>
    <w:rsid w:val="003D5DE1"/>
    <w:rsid w:val="003D6299"/>
    <w:rsid w:val="003D6CB8"/>
    <w:rsid w:val="003D6D05"/>
    <w:rsid w:val="003D732B"/>
    <w:rsid w:val="003D76AE"/>
    <w:rsid w:val="003D771E"/>
    <w:rsid w:val="003E010B"/>
    <w:rsid w:val="003E042E"/>
    <w:rsid w:val="003E0B12"/>
    <w:rsid w:val="003E0D3B"/>
    <w:rsid w:val="003E0E30"/>
    <w:rsid w:val="003E15B1"/>
    <w:rsid w:val="003E1632"/>
    <w:rsid w:val="003E165E"/>
    <w:rsid w:val="003E1872"/>
    <w:rsid w:val="003E1B10"/>
    <w:rsid w:val="003E2234"/>
    <w:rsid w:val="003E24F0"/>
    <w:rsid w:val="003E2AF3"/>
    <w:rsid w:val="003E3007"/>
    <w:rsid w:val="003E31BD"/>
    <w:rsid w:val="003E3520"/>
    <w:rsid w:val="003E3674"/>
    <w:rsid w:val="003E38F8"/>
    <w:rsid w:val="003E39F2"/>
    <w:rsid w:val="003E3B20"/>
    <w:rsid w:val="003E3CAF"/>
    <w:rsid w:val="003E4A4F"/>
    <w:rsid w:val="003E4AF5"/>
    <w:rsid w:val="003E4D0A"/>
    <w:rsid w:val="003E59F8"/>
    <w:rsid w:val="003E5AD0"/>
    <w:rsid w:val="003E5C4A"/>
    <w:rsid w:val="003E606C"/>
    <w:rsid w:val="003E65C8"/>
    <w:rsid w:val="003E6BC7"/>
    <w:rsid w:val="003E6CA2"/>
    <w:rsid w:val="003E6EF9"/>
    <w:rsid w:val="003E7579"/>
    <w:rsid w:val="003E79E5"/>
    <w:rsid w:val="003E7D3A"/>
    <w:rsid w:val="003E7E9D"/>
    <w:rsid w:val="003F0081"/>
    <w:rsid w:val="003F012B"/>
    <w:rsid w:val="003F0249"/>
    <w:rsid w:val="003F027E"/>
    <w:rsid w:val="003F0390"/>
    <w:rsid w:val="003F0561"/>
    <w:rsid w:val="003F069B"/>
    <w:rsid w:val="003F0792"/>
    <w:rsid w:val="003F08B2"/>
    <w:rsid w:val="003F098C"/>
    <w:rsid w:val="003F0D81"/>
    <w:rsid w:val="003F140B"/>
    <w:rsid w:val="003F143D"/>
    <w:rsid w:val="003F1A5A"/>
    <w:rsid w:val="003F1BD8"/>
    <w:rsid w:val="003F2B11"/>
    <w:rsid w:val="003F2D4B"/>
    <w:rsid w:val="003F2DF4"/>
    <w:rsid w:val="003F3CB6"/>
    <w:rsid w:val="003F3DA6"/>
    <w:rsid w:val="003F412A"/>
    <w:rsid w:val="003F448E"/>
    <w:rsid w:val="003F4793"/>
    <w:rsid w:val="003F4911"/>
    <w:rsid w:val="003F4B1C"/>
    <w:rsid w:val="003F5292"/>
    <w:rsid w:val="003F5485"/>
    <w:rsid w:val="003F560C"/>
    <w:rsid w:val="003F5D0F"/>
    <w:rsid w:val="003F5F43"/>
    <w:rsid w:val="003F5FD8"/>
    <w:rsid w:val="003F5FEC"/>
    <w:rsid w:val="003F6305"/>
    <w:rsid w:val="003F63AF"/>
    <w:rsid w:val="003F6752"/>
    <w:rsid w:val="003F7000"/>
    <w:rsid w:val="003F701F"/>
    <w:rsid w:val="003F7029"/>
    <w:rsid w:val="003F70F3"/>
    <w:rsid w:val="003F7A29"/>
    <w:rsid w:val="003F7DA0"/>
    <w:rsid w:val="003F7DD1"/>
    <w:rsid w:val="003F7F1C"/>
    <w:rsid w:val="004005D3"/>
    <w:rsid w:val="004008CE"/>
    <w:rsid w:val="00400915"/>
    <w:rsid w:val="00400C34"/>
    <w:rsid w:val="004018F1"/>
    <w:rsid w:val="00401BFC"/>
    <w:rsid w:val="00401DA1"/>
    <w:rsid w:val="00402003"/>
    <w:rsid w:val="004020BA"/>
    <w:rsid w:val="00402382"/>
    <w:rsid w:val="00402416"/>
    <w:rsid w:val="0040259F"/>
    <w:rsid w:val="00402746"/>
    <w:rsid w:val="00402A00"/>
    <w:rsid w:val="00402A52"/>
    <w:rsid w:val="00402A53"/>
    <w:rsid w:val="00402C72"/>
    <w:rsid w:val="00403284"/>
    <w:rsid w:val="004035AF"/>
    <w:rsid w:val="0040365F"/>
    <w:rsid w:val="004036B3"/>
    <w:rsid w:val="004036D6"/>
    <w:rsid w:val="00403878"/>
    <w:rsid w:val="00403D23"/>
    <w:rsid w:val="0040403C"/>
    <w:rsid w:val="00404225"/>
    <w:rsid w:val="004042B2"/>
    <w:rsid w:val="00404394"/>
    <w:rsid w:val="00404B60"/>
    <w:rsid w:val="00404B9C"/>
    <w:rsid w:val="00404BA3"/>
    <w:rsid w:val="0040508A"/>
    <w:rsid w:val="00405121"/>
    <w:rsid w:val="004051F0"/>
    <w:rsid w:val="0040538F"/>
    <w:rsid w:val="004053DA"/>
    <w:rsid w:val="00405952"/>
    <w:rsid w:val="00405ADA"/>
    <w:rsid w:val="0040617C"/>
    <w:rsid w:val="00406599"/>
    <w:rsid w:val="004065A3"/>
    <w:rsid w:val="004067EE"/>
    <w:rsid w:val="004070FD"/>
    <w:rsid w:val="00407250"/>
    <w:rsid w:val="00407668"/>
    <w:rsid w:val="00407CD8"/>
    <w:rsid w:val="0041012E"/>
    <w:rsid w:val="00410511"/>
    <w:rsid w:val="004105EE"/>
    <w:rsid w:val="004111EF"/>
    <w:rsid w:val="004114A1"/>
    <w:rsid w:val="0041163F"/>
    <w:rsid w:val="0041169A"/>
    <w:rsid w:val="004118B1"/>
    <w:rsid w:val="00412112"/>
    <w:rsid w:val="00412155"/>
    <w:rsid w:val="004123F4"/>
    <w:rsid w:val="004127AC"/>
    <w:rsid w:val="00412BCF"/>
    <w:rsid w:val="00412E8B"/>
    <w:rsid w:val="00413122"/>
    <w:rsid w:val="004134EC"/>
    <w:rsid w:val="00413539"/>
    <w:rsid w:val="0041387D"/>
    <w:rsid w:val="00414451"/>
    <w:rsid w:val="0041464B"/>
    <w:rsid w:val="0041478A"/>
    <w:rsid w:val="0041496C"/>
    <w:rsid w:val="00414BC1"/>
    <w:rsid w:val="00414DD6"/>
    <w:rsid w:val="004151E8"/>
    <w:rsid w:val="004152E6"/>
    <w:rsid w:val="004153C5"/>
    <w:rsid w:val="004155E7"/>
    <w:rsid w:val="00415A86"/>
    <w:rsid w:val="00415ADB"/>
    <w:rsid w:val="00415EA2"/>
    <w:rsid w:val="00415EC4"/>
    <w:rsid w:val="0041614C"/>
    <w:rsid w:val="004161B6"/>
    <w:rsid w:val="00416678"/>
    <w:rsid w:val="004166ED"/>
    <w:rsid w:val="00417380"/>
    <w:rsid w:val="00417FE1"/>
    <w:rsid w:val="00420263"/>
    <w:rsid w:val="0042091B"/>
    <w:rsid w:val="00420ACA"/>
    <w:rsid w:val="00421409"/>
    <w:rsid w:val="00421736"/>
    <w:rsid w:val="00421B51"/>
    <w:rsid w:val="00421C40"/>
    <w:rsid w:val="00422B67"/>
    <w:rsid w:val="00423425"/>
    <w:rsid w:val="00423B3E"/>
    <w:rsid w:val="00423F09"/>
    <w:rsid w:val="004240C4"/>
    <w:rsid w:val="004243FF"/>
    <w:rsid w:val="00424685"/>
    <w:rsid w:val="00424807"/>
    <w:rsid w:val="00425023"/>
    <w:rsid w:val="0042531C"/>
    <w:rsid w:val="0042539E"/>
    <w:rsid w:val="004259BB"/>
    <w:rsid w:val="00425CFD"/>
    <w:rsid w:val="0042624D"/>
    <w:rsid w:val="00426369"/>
    <w:rsid w:val="004267F3"/>
    <w:rsid w:val="00426E3A"/>
    <w:rsid w:val="00426EBA"/>
    <w:rsid w:val="0042722E"/>
    <w:rsid w:val="0043022A"/>
    <w:rsid w:val="00430234"/>
    <w:rsid w:val="0043063C"/>
    <w:rsid w:val="00430985"/>
    <w:rsid w:val="00430CE0"/>
    <w:rsid w:val="00430D37"/>
    <w:rsid w:val="0043125F"/>
    <w:rsid w:val="004313FA"/>
    <w:rsid w:val="00431EAD"/>
    <w:rsid w:val="00431F61"/>
    <w:rsid w:val="0043215D"/>
    <w:rsid w:val="004323E9"/>
    <w:rsid w:val="004326E7"/>
    <w:rsid w:val="00432874"/>
    <w:rsid w:val="00432BAA"/>
    <w:rsid w:val="004330DF"/>
    <w:rsid w:val="0043319F"/>
    <w:rsid w:val="004331DC"/>
    <w:rsid w:val="00433454"/>
    <w:rsid w:val="00433793"/>
    <w:rsid w:val="004338E9"/>
    <w:rsid w:val="004341D4"/>
    <w:rsid w:val="00434A9D"/>
    <w:rsid w:val="00434AE1"/>
    <w:rsid w:val="00434BF8"/>
    <w:rsid w:val="004358F7"/>
    <w:rsid w:val="00435B32"/>
    <w:rsid w:val="004367FD"/>
    <w:rsid w:val="004369C7"/>
    <w:rsid w:val="004369E8"/>
    <w:rsid w:val="00436D47"/>
    <w:rsid w:val="00436F39"/>
    <w:rsid w:val="0043766E"/>
    <w:rsid w:val="00440140"/>
    <w:rsid w:val="0044095A"/>
    <w:rsid w:val="004412A3"/>
    <w:rsid w:val="00441524"/>
    <w:rsid w:val="004416B1"/>
    <w:rsid w:val="0044188B"/>
    <w:rsid w:val="00441954"/>
    <w:rsid w:val="00441F7F"/>
    <w:rsid w:val="00441FD8"/>
    <w:rsid w:val="004424BC"/>
    <w:rsid w:val="00442C2D"/>
    <w:rsid w:val="00442E32"/>
    <w:rsid w:val="00442E65"/>
    <w:rsid w:val="00442EC7"/>
    <w:rsid w:val="00443059"/>
    <w:rsid w:val="004432AE"/>
    <w:rsid w:val="004433A4"/>
    <w:rsid w:val="0044340B"/>
    <w:rsid w:val="00443507"/>
    <w:rsid w:val="00443B0C"/>
    <w:rsid w:val="00443C79"/>
    <w:rsid w:val="00443F5E"/>
    <w:rsid w:val="00443F78"/>
    <w:rsid w:val="00444714"/>
    <w:rsid w:val="004447EF"/>
    <w:rsid w:val="00444860"/>
    <w:rsid w:val="00444942"/>
    <w:rsid w:val="004449FA"/>
    <w:rsid w:val="004449FC"/>
    <w:rsid w:val="00444E7B"/>
    <w:rsid w:val="00444F9D"/>
    <w:rsid w:val="004453A1"/>
    <w:rsid w:val="004458FC"/>
    <w:rsid w:val="004460F4"/>
    <w:rsid w:val="0044625E"/>
    <w:rsid w:val="00446781"/>
    <w:rsid w:val="004469EC"/>
    <w:rsid w:val="00446B10"/>
    <w:rsid w:val="00446B69"/>
    <w:rsid w:val="00446E8D"/>
    <w:rsid w:val="00447230"/>
    <w:rsid w:val="004475AC"/>
    <w:rsid w:val="00447638"/>
    <w:rsid w:val="00447925"/>
    <w:rsid w:val="00447A6B"/>
    <w:rsid w:val="00447E7B"/>
    <w:rsid w:val="0045024F"/>
    <w:rsid w:val="00450275"/>
    <w:rsid w:val="0045046C"/>
    <w:rsid w:val="004505BF"/>
    <w:rsid w:val="0045078B"/>
    <w:rsid w:val="00450865"/>
    <w:rsid w:val="00450C62"/>
    <w:rsid w:val="00450EB8"/>
    <w:rsid w:val="00450FAE"/>
    <w:rsid w:val="00451894"/>
    <w:rsid w:val="00451AC3"/>
    <w:rsid w:val="00451AF1"/>
    <w:rsid w:val="00451BCD"/>
    <w:rsid w:val="00451EEA"/>
    <w:rsid w:val="00451FFC"/>
    <w:rsid w:val="0045218F"/>
    <w:rsid w:val="00452D33"/>
    <w:rsid w:val="00452E1B"/>
    <w:rsid w:val="00452FD9"/>
    <w:rsid w:val="004532BE"/>
    <w:rsid w:val="004538D3"/>
    <w:rsid w:val="00453E91"/>
    <w:rsid w:val="00454112"/>
    <w:rsid w:val="00454231"/>
    <w:rsid w:val="004545B9"/>
    <w:rsid w:val="00454A49"/>
    <w:rsid w:val="0045550F"/>
    <w:rsid w:val="00455662"/>
    <w:rsid w:val="00455969"/>
    <w:rsid w:val="00455DEF"/>
    <w:rsid w:val="00455DF7"/>
    <w:rsid w:val="00456058"/>
    <w:rsid w:val="0045669A"/>
    <w:rsid w:val="0045729E"/>
    <w:rsid w:val="004574F0"/>
    <w:rsid w:val="004577B1"/>
    <w:rsid w:val="004579A2"/>
    <w:rsid w:val="00457F8E"/>
    <w:rsid w:val="00457F9C"/>
    <w:rsid w:val="0046003D"/>
    <w:rsid w:val="0046043E"/>
    <w:rsid w:val="0046046F"/>
    <w:rsid w:val="0046047F"/>
    <w:rsid w:val="00460660"/>
    <w:rsid w:val="004610DC"/>
    <w:rsid w:val="0046188F"/>
    <w:rsid w:val="00461969"/>
    <w:rsid w:val="00461F56"/>
    <w:rsid w:val="0046233C"/>
    <w:rsid w:val="004623AB"/>
    <w:rsid w:val="0046265D"/>
    <w:rsid w:val="004627E7"/>
    <w:rsid w:val="00462A71"/>
    <w:rsid w:val="00462DD5"/>
    <w:rsid w:val="00462E09"/>
    <w:rsid w:val="0046300B"/>
    <w:rsid w:val="00463080"/>
    <w:rsid w:val="004633B9"/>
    <w:rsid w:val="00463DDB"/>
    <w:rsid w:val="00464831"/>
    <w:rsid w:val="0046484D"/>
    <w:rsid w:val="0046497C"/>
    <w:rsid w:val="004649CC"/>
    <w:rsid w:val="00464F59"/>
    <w:rsid w:val="004650FD"/>
    <w:rsid w:val="00465372"/>
    <w:rsid w:val="00465987"/>
    <w:rsid w:val="00465B51"/>
    <w:rsid w:val="0046616A"/>
    <w:rsid w:val="0046618B"/>
    <w:rsid w:val="00466382"/>
    <w:rsid w:val="004664C2"/>
    <w:rsid w:val="00466742"/>
    <w:rsid w:val="00466A5F"/>
    <w:rsid w:val="00466E64"/>
    <w:rsid w:val="00467235"/>
    <w:rsid w:val="004674AB"/>
    <w:rsid w:val="00467534"/>
    <w:rsid w:val="0046755C"/>
    <w:rsid w:val="0046762C"/>
    <w:rsid w:val="0046767B"/>
    <w:rsid w:val="004676A7"/>
    <w:rsid w:val="0046790A"/>
    <w:rsid w:val="00467956"/>
    <w:rsid w:val="00467D93"/>
    <w:rsid w:val="00467DA5"/>
    <w:rsid w:val="00467F0A"/>
    <w:rsid w:val="00467F55"/>
    <w:rsid w:val="00470492"/>
    <w:rsid w:val="00470809"/>
    <w:rsid w:val="00470C66"/>
    <w:rsid w:val="00470DEA"/>
    <w:rsid w:val="00470FD5"/>
    <w:rsid w:val="00471416"/>
    <w:rsid w:val="00472A28"/>
    <w:rsid w:val="0047307A"/>
    <w:rsid w:val="00473340"/>
    <w:rsid w:val="00473B5E"/>
    <w:rsid w:val="00473CBC"/>
    <w:rsid w:val="00473F97"/>
    <w:rsid w:val="00474266"/>
    <w:rsid w:val="0047470F"/>
    <w:rsid w:val="00474C0F"/>
    <w:rsid w:val="00474DC0"/>
    <w:rsid w:val="0047516C"/>
    <w:rsid w:val="004757CB"/>
    <w:rsid w:val="0047588F"/>
    <w:rsid w:val="00475D86"/>
    <w:rsid w:val="00475F48"/>
    <w:rsid w:val="00476300"/>
    <w:rsid w:val="00476457"/>
    <w:rsid w:val="004764B5"/>
    <w:rsid w:val="00476689"/>
    <w:rsid w:val="004770F4"/>
    <w:rsid w:val="00477396"/>
    <w:rsid w:val="004775E2"/>
    <w:rsid w:val="00477B10"/>
    <w:rsid w:val="0048006B"/>
    <w:rsid w:val="004806DE"/>
    <w:rsid w:val="00480A86"/>
    <w:rsid w:val="00480DB7"/>
    <w:rsid w:val="00480FE7"/>
    <w:rsid w:val="004812CA"/>
    <w:rsid w:val="004813D8"/>
    <w:rsid w:val="00481631"/>
    <w:rsid w:val="00481764"/>
    <w:rsid w:val="004817AC"/>
    <w:rsid w:val="004819DA"/>
    <w:rsid w:val="00482302"/>
    <w:rsid w:val="00482698"/>
    <w:rsid w:val="00482878"/>
    <w:rsid w:val="00482C71"/>
    <w:rsid w:val="004836D1"/>
    <w:rsid w:val="004842B9"/>
    <w:rsid w:val="004844A3"/>
    <w:rsid w:val="00484A36"/>
    <w:rsid w:val="00484B46"/>
    <w:rsid w:val="00484ED9"/>
    <w:rsid w:val="0048508F"/>
    <w:rsid w:val="004854EF"/>
    <w:rsid w:val="0048570E"/>
    <w:rsid w:val="0048590B"/>
    <w:rsid w:val="00485C8B"/>
    <w:rsid w:val="00485CFE"/>
    <w:rsid w:val="00486409"/>
    <w:rsid w:val="004864B3"/>
    <w:rsid w:val="004864C9"/>
    <w:rsid w:val="004866FE"/>
    <w:rsid w:val="004872DF"/>
    <w:rsid w:val="00487425"/>
    <w:rsid w:val="00487608"/>
    <w:rsid w:val="0048776F"/>
    <w:rsid w:val="004878EF"/>
    <w:rsid w:val="004901A7"/>
    <w:rsid w:val="0049021B"/>
    <w:rsid w:val="0049030F"/>
    <w:rsid w:val="0049045A"/>
    <w:rsid w:val="00490A96"/>
    <w:rsid w:val="00490D83"/>
    <w:rsid w:val="00490F3D"/>
    <w:rsid w:val="004914F0"/>
    <w:rsid w:val="0049182B"/>
    <w:rsid w:val="00491CE4"/>
    <w:rsid w:val="00491DA2"/>
    <w:rsid w:val="004920C9"/>
    <w:rsid w:val="0049240C"/>
    <w:rsid w:val="004926C9"/>
    <w:rsid w:val="00492713"/>
    <w:rsid w:val="00492D5A"/>
    <w:rsid w:val="00492E3D"/>
    <w:rsid w:val="0049317E"/>
    <w:rsid w:val="004932CB"/>
    <w:rsid w:val="0049369E"/>
    <w:rsid w:val="004936A9"/>
    <w:rsid w:val="00493A56"/>
    <w:rsid w:val="00493C1C"/>
    <w:rsid w:val="00494BAF"/>
    <w:rsid w:val="00494D2F"/>
    <w:rsid w:val="00495052"/>
    <w:rsid w:val="00496008"/>
    <w:rsid w:val="0049608E"/>
    <w:rsid w:val="0049646B"/>
    <w:rsid w:val="00496856"/>
    <w:rsid w:val="004974B2"/>
    <w:rsid w:val="004974DF"/>
    <w:rsid w:val="004974E5"/>
    <w:rsid w:val="004974FE"/>
    <w:rsid w:val="00497504"/>
    <w:rsid w:val="0049753B"/>
    <w:rsid w:val="00497695"/>
    <w:rsid w:val="00497727"/>
    <w:rsid w:val="004A007B"/>
    <w:rsid w:val="004A0090"/>
    <w:rsid w:val="004A069A"/>
    <w:rsid w:val="004A06BD"/>
    <w:rsid w:val="004A0C0A"/>
    <w:rsid w:val="004A199D"/>
    <w:rsid w:val="004A1C51"/>
    <w:rsid w:val="004A1D08"/>
    <w:rsid w:val="004A24F7"/>
    <w:rsid w:val="004A2AEA"/>
    <w:rsid w:val="004A2C2D"/>
    <w:rsid w:val="004A3194"/>
    <w:rsid w:val="004A349D"/>
    <w:rsid w:val="004A3878"/>
    <w:rsid w:val="004A3A19"/>
    <w:rsid w:val="004A3ABD"/>
    <w:rsid w:val="004A3D20"/>
    <w:rsid w:val="004A40CF"/>
    <w:rsid w:val="004A470C"/>
    <w:rsid w:val="004A4BE3"/>
    <w:rsid w:val="004A4EB6"/>
    <w:rsid w:val="004A51D6"/>
    <w:rsid w:val="004A5223"/>
    <w:rsid w:val="004A5356"/>
    <w:rsid w:val="004A575D"/>
    <w:rsid w:val="004A5CBC"/>
    <w:rsid w:val="004A61D4"/>
    <w:rsid w:val="004A66EB"/>
    <w:rsid w:val="004A6A8E"/>
    <w:rsid w:val="004A6C14"/>
    <w:rsid w:val="004A6E9E"/>
    <w:rsid w:val="004B015F"/>
    <w:rsid w:val="004B0CCA"/>
    <w:rsid w:val="004B0E41"/>
    <w:rsid w:val="004B131C"/>
    <w:rsid w:val="004B132E"/>
    <w:rsid w:val="004B1805"/>
    <w:rsid w:val="004B1A13"/>
    <w:rsid w:val="004B1A9A"/>
    <w:rsid w:val="004B1E0F"/>
    <w:rsid w:val="004B220C"/>
    <w:rsid w:val="004B2786"/>
    <w:rsid w:val="004B28FF"/>
    <w:rsid w:val="004B2C0A"/>
    <w:rsid w:val="004B35EB"/>
    <w:rsid w:val="004B3BA8"/>
    <w:rsid w:val="004B3DF9"/>
    <w:rsid w:val="004B4904"/>
    <w:rsid w:val="004B4A12"/>
    <w:rsid w:val="004B4E77"/>
    <w:rsid w:val="004B5B7F"/>
    <w:rsid w:val="004B6609"/>
    <w:rsid w:val="004B68D5"/>
    <w:rsid w:val="004B6A26"/>
    <w:rsid w:val="004B6D27"/>
    <w:rsid w:val="004B6FD1"/>
    <w:rsid w:val="004B71D1"/>
    <w:rsid w:val="004B72D6"/>
    <w:rsid w:val="004B7653"/>
    <w:rsid w:val="004B7714"/>
    <w:rsid w:val="004B78D6"/>
    <w:rsid w:val="004B7BC4"/>
    <w:rsid w:val="004B7D01"/>
    <w:rsid w:val="004C0126"/>
    <w:rsid w:val="004C01E3"/>
    <w:rsid w:val="004C035A"/>
    <w:rsid w:val="004C04D2"/>
    <w:rsid w:val="004C0521"/>
    <w:rsid w:val="004C0565"/>
    <w:rsid w:val="004C0C38"/>
    <w:rsid w:val="004C120C"/>
    <w:rsid w:val="004C16F9"/>
    <w:rsid w:val="004C175F"/>
    <w:rsid w:val="004C1CBF"/>
    <w:rsid w:val="004C1E05"/>
    <w:rsid w:val="004C2414"/>
    <w:rsid w:val="004C296F"/>
    <w:rsid w:val="004C3258"/>
    <w:rsid w:val="004C39D6"/>
    <w:rsid w:val="004C3ABC"/>
    <w:rsid w:val="004C3D42"/>
    <w:rsid w:val="004C3FDD"/>
    <w:rsid w:val="004C403B"/>
    <w:rsid w:val="004C4593"/>
    <w:rsid w:val="004C465D"/>
    <w:rsid w:val="004C4797"/>
    <w:rsid w:val="004C4DBC"/>
    <w:rsid w:val="004C55BE"/>
    <w:rsid w:val="004C63B6"/>
    <w:rsid w:val="004C6B15"/>
    <w:rsid w:val="004C6DE4"/>
    <w:rsid w:val="004C707A"/>
    <w:rsid w:val="004C711A"/>
    <w:rsid w:val="004C720C"/>
    <w:rsid w:val="004C73F2"/>
    <w:rsid w:val="004C78D3"/>
    <w:rsid w:val="004D0187"/>
    <w:rsid w:val="004D04BA"/>
    <w:rsid w:val="004D0D1F"/>
    <w:rsid w:val="004D0D26"/>
    <w:rsid w:val="004D0DD2"/>
    <w:rsid w:val="004D1A83"/>
    <w:rsid w:val="004D1D6C"/>
    <w:rsid w:val="004D22FA"/>
    <w:rsid w:val="004D2369"/>
    <w:rsid w:val="004D2486"/>
    <w:rsid w:val="004D24AE"/>
    <w:rsid w:val="004D24CF"/>
    <w:rsid w:val="004D27D7"/>
    <w:rsid w:val="004D37DE"/>
    <w:rsid w:val="004D3A27"/>
    <w:rsid w:val="004D3ABC"/>
    <w:rsid w:val="004D3C0B"/>
    <w:rsid w:val="004D4603"/>
    <w:rsid w:val="004D4CB4"/>
    <w:rsid w:val="004D4D1D"/>
    <w:rsid w:val="004D4F40"/>
    <w:rsid w:val="004D4F59"/>
    <w:rsid w:val="004D5494"/>
    <w:rsid w:val="004D5AF0"/>
    <w:rsid w:val="004D663B"/>
    <w:rsid w:val="004D6E2D"/>
    <w:rsid w:val="004D757D"/>
    <w:rsid w:val="004E1059"/>
    <w:rsid w:val="004E1B0A"/>
    <w:rsid w:val="004E1E5C"/>
    <w:rsid w:val="004E236F"/>
    <w:rsid w:val="004E27E1"/>
    <w:rsid w:val="004E2C46"/>
    <w:rsid w:val="004E2EC0"/>
    <w:rsid w:val="004E35C0"/>
    <w:rsid w:val="004E3BE3"/>
    <w:rsid w:val="004E44A4"/>
    <w:rsid w:val="004E464B"/>
    <w:rsid w:val="004E4CCF"/>
    <w:rsid w:val="004E4D76"/>
    <w:rsid w:val="004E4FAA"/>
    <w:rsid w:val="004E5362"/>
    <w:rsid w:val="004E5C60"/>
    <w:rsid w:val="004E6167"/>
    <w:rsid w:val="004E62BA"/>
    <w:rsid w:val="004E651F"/>
    <w:rsid w:val="004E6787"/>
    <w:rsid w:val="004E68B1"/>
    <w:rsid w:val="004E6998"/>
    <w:rsid w:val="004E6DCC"/>
    <w:rsid w:val="004E6EFF"/>
    <w:rsid w:val="004E7128"/>
    <w:rsid w:val="004E72C1"/>
    <w:rsid w:val="004E7DBA"/>
    <w:rsid w:val="004E7EF0"/>
    <w:rsid w:val="004E7F02"/>
    <w:rsid w:val="004F06C4"/>
    <w:rsid w:val="004F112E"/>
    <w:rsid w:val="004F1C95"/>
    <w:rsid w:val="004F1D0A"/>
    <w:rsid w:val="004F2EEC"/>
    <w:rsid w:val="004F3142"/>
    <w:rsid w:val="004F3418"/>
    <w:rsid w:val="004F3846"/>
    <w:rsid w:val="004F3E5D"/>
    <w:rsid w:val="004F3FC8"/>
    <w:rsid w:val="004F41CB"/>
    <w:rsid w:val="004F42D9"/>
    <w:rsid w:val="004F433D"/>
    <w:rsid w:val="004F45BB"/>
    <w:rsid w:val="004F4674"/>
    <w:rsid w:val="004F4BEB"/>
    <w:rsid w:val="004F4E11"/>
    <w:rsid w:val="004F4FE0"/>
    <w:rsid w:val="004F50CB"/>
    <w:rsid w:val="004F50D0"/>
    <w:rsid w:val="004F521A"/>
    <w:rsid w:val="004F53E1"/>
    <w:rsid w:val="004F5562"/>
    <w:rsid w:val="004F589C"/>
    <w:rsid w:val="004F597F"/>
    <w:rsid w:val="004F5A0C"/>
    <w:rsid w:val="004F5BA8"/>
    <w:rsid w:val="004F5E30"/>
    <w:rsid w:val="004F5E3C"/>
    <w:rsid w:val="004F5FCD"/>
    <w:rsid w:val="004F6679"/>
    <w:rsid w:val="004F6878"/>
    <w:rsid w:val="004F6F1F"/>
    <w:rsid w:val="004F7291"/>
    <w:rsid w:val="004F73C4"/>
    <w:rsid w:val="004F756C"/>
    <w:rsid w:val="004F76D2"/>
    <w:rsid w:val="004F7A28"/>
    <w:rsid w:val="004F7DEA"/>
    <w:rsid w:val="00500677"/>
    <w:rsid w:val="005008B4"/>
    <w:rsid w:val="00500D40"/>
    <w:rsid w:val="00500DCF"/>
    <w:rsid w:val="005011EB"/>
    <w:rsid w:val="005012D2"/>
    <w:rsid w:val="0050172F"/>
    <w:rsid w:val="00501942"/>
    <w:rsid w:val="00501A55"/>
    <w:rsid w:val="00501B9A"/>
    <w:rsid w:val="00501D65"/>
    <w:rsid w:val="00501DBA"/>
    <w:rsid w:val="00501E14"/>
    <w:rsid w:val="0050227C"/>
    <w:rsid w:val="0050284B"/>
    <w:rsid w:val="00502FCF"/>
    <w:rsid w:val="00503092"/>
    <w:rsid w:val="005046C1"/>
    <w:rsid w:val="005050BB"/>
    <w:rsid w:val="00505C1A"/>
    <w:rsid w:val="00505F2C"/>
    <w:rsid w:val="005060CB"/>
    <w:rsid w:val="00506443"/>
    <w:rsid w:val="005066D3"/>
    <w:rsid w:val="0050689B"/>
    <w:rsid w:val="00506A00"/>
    <w:rsid w:val="00506B6D"/>
    <w:rsid w:val="00506B83"/>
    <w:rsid w:val="005070CD"/>
    <w:rsid w:val="0050725B"/>
    <w:rsid w:val="005074ED"/>
    <w:rsid w:val="005077EA"/>
    <w:rsid w:val="00507BF4"/>
    <w:rsid w:val="00507C21"/>
    <w:rsid w:val="00507CD2"/>
    <w:rsid w:val="00507DED"/>
    <w:rsid w:val="005104CC"/>
    <w:rsid w:val="005107E6"/>
    <w:rsid w:val="0051080B"/>
    <w:rsid w:val="00510A8F"/>
    <w:rsid w:val="00510E02"/>
    <w:rsid w:val="00511050"/>
    <w:rsid w:val="005112CE"/>
    <w:rsid w:val="005115FE"/>
    <w:rsid w:val="00511DE3"/>
    <w:rsid w:val="00512143"/>
    <w:rsid w:val="005126F2"/>
    <w:rsid w:val="00512CF9"/>
    <w:rsid w:val="00513532"/>
    <w:rsid w:val="00514093"/>
    <w:rsid w:val="00514467"/>
    <w:rsid w:val="005145B1"/>
    <w:rsid w:val="005147EC"/>
    <w:rsid w:val="005148AB"/>
    <w:rsid w:val="005148B1"/>
    <w:rsid w:val="00514C29"/>
    <w:rsid w:val="00514C47"/>
    <w:rsid w:val="00514E88"/>
    <w:rsid w:val="00514EDE"/>
    <w:rsid w:val="00514F79"/>
    <w:rsid w:val="00515333"/>
    <w:rsid w:val="00515571"/>
    <w:rsid w:val="00515AB0"/>
    <w:rsid w:val="00516089"/>
    <w:rsid w:val="0051641F"/>
    <w:rsid w:val="0051667D"/>
    <w:rsid w:val="005166F6"/>
    <w:rsid w:val="005168B0"/>
    <w:rsid w:val="0051735B"/>
    <w:rsid w:val="005174B1"/>
    <w:rsid w:val="00517A51"/>
    <w:rsid w:val="00517E20"/>
    <w:rsid w:val="00520079"/>
    <w:rsid w:val="0052031D"/>
    <w:rsid w:val="00520359"/>
    <w:rsid w:val="005205EC"/>
    <w:rsid w:val="005214B7"/>
    <w:rsid w:val="0052169D"/>
    <w:rsid w:val="00521817"/>
    <w:rsid w:val="00521908"/>
    <w:rsid w:val="00521A23"/>
    <w:rsid w:val="00521B88"/>
    <w:rsid w:val="00521EA5"/>
    <w:rsid w:val="005224B2"/>
    <w:rsid w:val="00522820"/>
    <w:rsid w:val="0052287E"/>
    <w:rsid w:val="00522920"/>
    <w:rsid w:val="00522AC4"/>
    <w:rsid w:val="00522DF7"/>
    <w:rsid w:val="00522FC3"/>
    <w:rsid w:val="005232FD"/>
    <w:rsid w:val="0052356C"/>
    <w:rsid w:val="0052414F"/>
    <w:rsid w:val="005243EF"/>
    <w:rsid w:val="00524F14"/>
    <w:rsid w:val="00525667"/>
    <w:rsid w:val="005258E8"/>
    <w:rsid w:val="00525FF6"/>
    <w:rsid w:val="005261D0"/>
    <w:rsid w:val="005267E6"/>
    <w:rsid w:val="0052681D"/>
    <w:rsid w:val="0052682C"/>
    <w:rsid w:val="00526EBF"/>
    <w:rsid w:val="00527902"/>
    <w:rsid w:val="00527F6B"/>
    <w:rsid w:val="0053046E"/>
    <w:rsid w:val="00530565"/>
    <w:rsid w:val="00530A8E"/>
    <w:rsid w:val="00530A9F"/>
    <w:rsid w:val="005317C4"/>
    <w:rsid w:val="00532E4A"/>
    <w:rsid w:val="00533449"/>
    <w:rsid w:val="0053395C"/>
    <w:rsid w:val="00533BD4"/>
    <w:rsid w:val="00533EB5"/>
    <w:rsid w:val="0053403D"/>
    <w:rsid w:val="0053422E"/>
    <w:rsid w:val="005342CC"/>
    <w:rsid w:val="0053435B"/>
    <w:rsid w:val="005347DB"/>
    <w:rsid w:val="005351EE"/>
    <w:rsid w:val="005354A6"/>
    <w:rsid w:val="0053561F"/>
    <w:rsid w:val="00535829"/>
    <w:rsid w:val="00535D27"/>
    <w:rsid w:val="00535E93"/>
    <w:rsid w:val="00536036"/>
    <w:rsid w:val="00537425"/>
    <w:rsid w:val="00537B6A"/>
    <w:rsid w:val="00540256"/>
    <w:rsid w:val="00540872"/>
    <w:rsid w:val="005408A4"/>
    <w:rsid w:val="005408A6"/>
    <w:rsid w:val="00540EFE"/>
    <w:rsid w:val="005410C9"/>
    <w:rsid w:val="0054114F"/>
    <w:rsid w:val="005411F7"/>
    <w:rsid w:val="005416B4"/>
    <w:rsid w:val="00541748"/>
    <w:rsid w:val="0054179D"/>
    <w:rsid w:val="005417E2"/>
    <w:rsid w:val="0054180C"/>
    <w:rsid w:val="00541F5D"/>
    <w:rsid w:val="005424F2"/>
    <w:rsid w:val="0054259E"/>
    <w:rsid w:val="0054284A"/>
    <w:rsid w:val="00542959"/>
    <w:rsid w:val="00542B21"/>
    <w:rsid w:val="00542E01"/>
    <w:rsid w:val="00542E05"/>
    <w:rsid w:val="00542EFE"/>
    <w:rsid w:val="00543391"/>
    <w:rsid w:val="005435C7"/>
    <w:rsid w:val="005435E8"/>
    <w:rsid w:val="00543704"/>
    <w:rsid w:val="00543AAF"/>
    <w:rsid w:val="00544193"/>
    <w:rsid w:val="00544463"/>
    <w:rsid w:val="0054462E"/>
    <w:rsid w:val="0054468E"/>
    <w:rsid w:val="00544A46"/>
    <w:rsid w:val="00544AC4"/>
    <w:rsid w:val="00544E9C"/>
    <w:rsid w:val="00545094"/>
    <w:rsid w:val="00545DAD"/>
    <w:rsid w:val="00546896"/>
    <w:rsid w:val="00546BE9"/>
    <w:rsid w:val="00546DF6"/>
    <w:rsid w:val="00546EDE"/>
    <w:rsid w:val="00547328"/>
    <w:rsid w:val="00547393"/>
    <w:rsid w:val="005503DD"/>
    <w:rsid w:val="005509CC"/>
    <w:rsid w:val="00551065"/>
    <w:rsid w:val="00551511"/>
    <w:rsid w:val="00551930"/>
    <w:rsid w:val="00551F33"/>
    <w:rsid w:val="005520A8"/>
    <w:rsid w:val="005521B1"/>
    <w:rsid w:val="00552305"/>
    <w:rsid w:val="0055282B"/>
    <w:rsid w:val="00552BED"/>
    <w:rsid w:val="00552FF6"/>
    <w:rsid w:val="005535E0"/>
    <w:rsid w:val="00553840"/>
    <w:rsid w:val="005539D3"/>
    <w:rsid w:val="00553C55"/>
    <w:rsid w:val="00553C5D"/>
    <w:rsid w:val="00554543"/>
    <w:rsid w:val="0055474E"/>
    <w:rsid w:val="00554EEF"/>
    <w:rsid w:val="00555014"/>
    <w:rsid w:val="0055522F"/>
    <w:rsid w:val="0055532E"/>
    <w:rsid w:val="00555485"/>
    <w:rsid w:val="00555629"/>
    <w:rsid w:val="00555E35"/>
    <w:rsid w:val="00556082"/>
    <w:rsid w:val="0055650A"/>
    <w:rsid w:val="005567CC"/>
    <w:rsid w:val="005568F7"/>
    <w:rsid w:val="00556A98"/>
    <w:rsid w:val="00556CC9"/>
    <w:rsid w:val="00557126"/>
    <w:rsid w:val="00557349"/>
    <w:rsid w:val="00557A19"/>
    <w:rsid w:val="00557D23"/>
    <w:rsid w:val="0056065A"/>
    <w:rsid w:val="00560D1E"/>
    <w:rsid w:val="0056104C"/>
    <w:rsid w:val="00561293"/>
    <w:rsid w:val="005613CA"/>
    <w:rsid w:val="005613D9"/>
    <w:rsid w:val="005615F6"/>
    <w:rsid w:val="00561BD8"/>
    <w:rsid w:val="00562134"/>
    <w:rsid w:val="0056302F"/>
    <w:rsid w:val="0056395D"/>
    <w:rsid w:val="00563A4C"/>
    <w:rsid w:val="0056402B"/>
    <w:rsid w:val="005644C1"/>
    <w:rsid w:val="00565190"/>
    <w:rsid w:val="0056567E"/>
    <w:rsid w:val="0056587B"/>
    <w:rsid w:val="00566382"/>
    <w:rsid w:val="00566AF3"/>
    <w:rsid w:val="00566B91"/>
    <w:rsid w:val="00566C45"/>
    <w:rsid w:val="0056737E"/>
    <w:rsid w:val="005674C0"/>
    <w:rsid w:val="00567EEE"/>
    <w:rsid w:val="00567FFD"/>
    <w:rsid w:val="00570058"/>
    <w:rsid w:val="0057069C"/>
    <w:rsid w:val="00570C88"/>
    <w:rsid w:val="00571042"/>
    <w:rsid w:val="00571687"/>
    <w:rsid w:val="00571984"/>
    <w:rsid w:val="00571ACC"/>
    <w:rsid w:val="00571E5B"/>
    <w:rsid w:val="0057275D"/>
    <w:rsid w:val="00572BA5"/>
    <w:rsid w:val="00572D41"/>
    <w:rsid w:val="005731A7"/>
    <w:rsid w:val="005731E2"/>
    <w:rsid w:val="0057355C"/>
    <w:rsid w:val="00573664"/>
    <w:rsid w:val="005736D0"/>
    <w:rsid w:val="00573747"/>
    <w:rsid w:val="00573834"/>
    <w:rsid w:val="00573A51"/>
    <w:rsid w:val="00573CE8"/>
    <w:rsid w:val="00574439"/>
    <w:rsid w:val="00574811"/>
    <w:rsid w:val="00574836"/>
    <w:rsid w:val="00574E97"/>
    <w:rsid w:val="00574FD5"/>
    <w:rsid w:val="005757B7"/>
    <w:rsid w:val="00575904"/>
    <w:rsid w:val="00575A7B"/>
    <w:rsid w:val="00576C47"/>
    <w:rsid w:val="00576CD1"/>
    <w:rsid w:val="00576FFE"/>
    <w:rsid w:val="00577580"/>
    <w:rsid w:val="0057771F"/>
    <w:rsid w:val="00577724"/>
    <w:rsid w:val="00577A27"/>
    <w:rsid w:val="00577F39"/>
    <w:rsid w:val="0058004B"/>
    <w:rsid w:val="005802B9"/>
    <w:rsid w:val="005804E0"/>
    <w:rsid w:val="00580DCF"/>
    <w:rsid w:val="00580F31"/>
    <w:rsid w:val="00580F69"/>
    <w:rsid w:val="00581178"/>
    <w:rsid w:val="00581906"/>
    <w:rsid w:val="00581ADC"/>
    <w:rsid w:val="00581BB5"/>
    <w:rsid w:val="0058211F"/>
    <w:rsid w:val="005825A4"/>
    <w:rsid w:val="00582838"/>
    <w:rsid w:val="005828A0"/>
    <w:rsid w:val="00582F78"/>
    <w:rsid w:val="0058334A"/>
    <w:rsid w:val="0058388A"/>
    <w:rsid w:val="00583FCD"/>
    <w:rsid w:val="00584151"/>
    <w:rsid w:val="0058425A"/>
    <w:rsid w:val="005844D9"/>
    <w:rsid w:val="00584C93"/>
    <w:rsid w:val="00584D5D"/>
    <w:rsid w:val="00584E45"/>
    <w:rsid w:val="005850E0"/>
    <w:rsid w:val="0058517E"/>
    <w:rsid w:val="005851DA"/>
    <w:rsid w:val="00585311"/>
    <w:rsid w:val="00585747"/>
    <w:rsid w:val="00585E30"/>
    <w:rsid w:val="00586661"/>
    <w:rsid w:val="00586D6A"/>
    <w:rsid w:val="00586F20"/>
    <w:rsid w:val="0058708E"/>
    <w:rsid w:val="0058710E"/>
    <w:rsid w:val="00587873"/>
    <w:rsid w:val="00587D66"/>
    <w:rsid w:val="005904B4"/>
    <w:rsid w:val="005904D2"/>
    <w:rsid w:val="00590803"/>
    <w:rsid w:val="0059080B"/>
    <w:rsid w:val="0059083D"/>
    <w:rsid w:val="00590CA1"/>
    <w:rsid w:val="00590EE8"/>
    <w:rsid w:val="00591BAB"/>
    <w:rsid w:val="00591CAC"/>
    <w:rsid w:val="00592149"/>
    <w:rsid w:val="0059222B"/>
    <w:rsid w:val="00592815"/>
    <w:rsid w:val="00592B89"/>
    <w:rsid w:val="00592D03"/>
    <w:rsid w:val="0059336B"/>
    <w:rsid w:val="005934E6"/>
    <w:rsid w:val="00594068"/>
    <w:rsid w:val="00594723"/>
    <w:rsid w:val="00594AFB"/>
    <w:rsid w:val="00594BEE"/>
    <w:rsid w:val="005953A0"/>
    <w:rsid w:val="005957F7"/>
    <w:rsid w:val="005958B5"/>
    <w:rsid w:val="00595B2A"/>
    <w:rsid w:val="00595BB8"/>
    <w:rsid w:val="00595EF7"/>
    <w:rsid w:val="0059607A"/>
    <w:rsid w:val="00596794"/>
    <w:rsid w:val="00596CA6"/>
    <w:rsid w:val="00596E82"/>
    <w:rsid w:val="005971AC"/>
    <w:rsid w:val="00597437"/>
    <w:rsid w:val="00597805"/>
    <w:rsid w:val="00597E6D"/>
    <w:rsid w:val="005A03B5"/>
    <w:rsid w:val="005A12B5"/>
    <w:rsid w:val="005A151D"/>
    <w:rsid w:val="005A2118"/>
    <w:rsid w:val="005A22D2"/>
    <w:rsid w:val="005A2AFE"/>
    <w:rsid w:val="005A2BBD"/>
    <w:rsid w:val="005A2F44"/>
    <w:rsid w:val="005A301B"/>
    <w:rsid w:val="005A30AB"/>
    <w:rsid w:val="005A31D6"/>
    <w:rsid w:val="005A34D6"/>
    <w:rsid w:val="005A3865"/>
    <w:rsid w:val="005A39A1"/>
    <w:rsid w:val="005A3A06"/>
    <w:rsid w:val="005A404E"/>
    <w:rsid w:val="005A4177"/>
    <w:rsid w:val="005A47C1"/>
    <w:rsid w:val="005A4CD5"/>
    <w:rsid w:val="005A58E9"/>
    <w:rsid w:val="005A59F7"/>
    <w:rsid w:val="005A61BD"/>
    <w:rsid w:val="005A71D7"/>
    <w:rsid w:val="005A739E"/>
    <w:rsid w:val="005A7811"/>
    <w:rsid w:val="005A7A52"/>
    <w:rsid w:val="005A7DDF"/>
    <w:rsid w:val="005A7E8A"/>
    <w:rsid w:val="005A7F71"/>
    <w:rsid w:val="005A7F87"/>
    <w:rsid w:val="005B0081"/>
    <w:rsid w:val="005B01E2"/>
    <w:rsid w:val="005B0B52"/>
    <w:rsid w:val="005B0E3C"/>
    <w:rsid w:val="005B11BC"/>
    <w:rsid w:val="005B128A"/>
    <w:rsid w:val="005B12FB"/>
    <w:rsid w:val="005B18A7"/>
    <w:rsid w:val="005B19A9"/>
    <w:rsid w:val="005B1C05"/>
    <w:rsid w:val="005B1C6B"/>
    <w:rsid w:val="005B1D47"/>
    <w:rsid w:val="005B265E"/>
    <w:rsid w:val="005B271D"/>
    <w:rsid w:val="005B2848"/>
    <w:rsid w:val="005B2CD6"/>
    <w:rsid w:val="005B343B"/>
    <w:rsid w:val="005B3B7B"/>
    <w:rsid w:val="005B3DAE"/>
    <w:rsid w:val="005B3FF7"/>
    <w:rsid w:val="005B4C1D"/>
    <w:rsid w:val="005B4E90"/>
    <w:rsid w:val="005B55D7"/>
    <w:rsid w:val="005B5BC0"/>
    <w:rsid w:val="005B5C20"/>
    <w:rsid w:val="005B6045"/>
    <w:rsid w:val="005B619F"/>
    <w:rsid w:val="005B63CB"/>
    <w:rsid w:val="005B63F6"/>
    <w:rsid w:val="005B6510"/>
    <w:rsid w:val="005B655C"/>
    <w:rsid w:val="005B722B"/>
    <w:rsid w:val="005B7927"/>
    <w:rsid w:val="005B7ADB"/>
    <w:rsid w:val="005B7D95"/>
    <w:rsid w:val="005C072D"/>
    <w:rsid w:val="005C114E"/>
    <w:rsid w:val="005C16CC"/>
    <w:rsid w:val="005C19A1"/>
    <w:rsid w:val="005C1C8C"/>
    <w:rsid w:val="005C1CCB"/>
    <w:rsid w:val="005C2587"/>
    <w:rsid w:val="005C2778"/>
    <w:rsid w:val="005C29AC"/>
    <w:rsid w:val="005C2C46"/>
    <w:rsid w:val="005C2D09"/>
    <w:rsid w:val="005C30BD"/>
    <w:rsid w:val="005C3AE3"/>
    <w:rsid w:val="005C3D79"/>
    <w:rsid w:val="005C3D8A"/>
    <w:rsid w:val="005C3DC9"/>
    <w:rsid w:val="005C3DFD"/>
    <w:rsid w:val="005C3F02"/>
    <w:rsid w:val="005C3FD4"/>
    <w:rsid w:val="005C40C9"/>
    <w:rsid w:val="005C4331"/>
    <w:rsid w:val="005C4516"/>
    <w:rsid w:val="005C4A77"/>
    <w:rsid w:val="005C4C4E"/>
    <w:rsid w:val="005C5204"/>
    <w:rsid w:val="005C57BF"/>
    <w:rsid w:val="005C6569"/>
    <w:rsid w:val="005C661A"/>
    <w:rsid w:val="005C6DA5"/>
    <w:rsid w:val="005C6E76"/>
    <w:rsid w:val="005C741F"/>
    <w:rsid w:val="005C7E85"/>
    <w:rsid w:val="005D0072"/>
    <w:rsid w:val="005D0320"/>
    <w:rsid w:val="005D051C"/>
    <w:rsid w:val="005D0586"/>
    <w:rsid w:val="005D0730"/>
    <w:rsid w:val="005D0856"/>
    <w:rsid w:val="005D1634"/>
    <w:rsid w:val="005D1E29"/>
    <w:rsid w:val="005D1E56"/>
    <w:rsid w:val="005D2027"/>
    <w:rsid w:val="005D2DD5"/>
    <w:rsid w:val="005D2F02"/>
    <w:rsid w:val="005D2F34"/>
    <w:rsid w:val="005D2F60"/>
    <w:rsid w:val="005D31F7"/>
    <w:rsid w:val="005D335E"/>
    <w:rsid w:val="005D33FC"/>
    <w:rsid w:val="005D3D2A"/>
    <w:rsid w:val="005D3EA9"/>
    <w:rsid w:val="005D449D"/>
    <w:rsid w:val="005D48CC"/>
    <w:rsid w:val="005D4D38"/>
    <w:rsid w:val="005D4EC5"/>
    <w:rsid w:val="005D52B2"/>
    <w:rsid w:val="005D5CBE"/>
    <w:rsid w:val="005D5D9B"/>
    <w:rsid w:val="005D5EA3"/>
    <w:rsid w:val="005D61BD"/>
    <w:rsid w:val="005D673F"/>
    <w:rsid w:val="005D689B"/>
    <w:rsid w:val="005D689E"/>
    <w:rsid w:val="005D6A92"/>
    <w:rsid w:val="005D6B7B"/>
    <w:rsid w:val="005D6C9E"/>
    <w:rsid w:val="005D72E8"/>
    <w:rsid w:val="005D74FB"/>
    <w:rsid w:val="005D78C7"/>
    <w:rsid w:val="005E0068"/>
    <w:rsid w:val="005E0176"/>
    <w:rsid w:val="005E0D1D"/>
    <w:rsid w:val="005E1B35"/>
    <w:rsid w:val="005E1DD4"/>
    <w:rsid w:val="005E282B"/>
    <w:rsid w:val="005E2C70"/>
    <w:rsid w:val="005E2D98"/>
    <w:rsid w:val="005E30DB"/>
    <w:rsid w:val="005E33B3"/>
    <w:rsid w:val="005E40C7"/>
    <w:rsid w:val="005E4943"/>
    <w:rsid w:val="005E499A"/>
    <w:rsid w:val="005E4D25"/>
    <w:rsid w:val="005E543D"/>
    <w:rsid w:val="005E5902"/>
    <w:rsid w:val="005E5A0D"/>
    <w:rsid w:val="005E648F"/>
    <w:rsid w:val="005E6749"/>
    <w:rsid w:val="005E68B2"/>
    <w:rsid w:val="005E6FA1"/>
    <w:rsid w:val="005E71E7"/>
    <w:rsid w:val="005E73F0"/>
    <w:rsid w:val="005E7700"/>
    <w:rsid w:val="005E7C14"/>
    <w:rsid w:val="005E7C95"/>
    <w:rsid w:val="005F068C"/>
    <w:rsid w:val="005F0AC1"/>
    <w:rsid w:val="005F0ECE"/>
    <w:rsid w:val="005F0F13"/>
    <w:rsid w:val="005F1498"/>
    <w:rsid w:val="005F1761"/>
    <w:rsid w:val="005F1AB5"/>
    <w:rsid w:val="005F26AD"/>
    <w:rsid w:val="005F28EE"/>
    <w:rsid w:val="005F298F"/>
    <w:rsid w:val="005F2FF3"/>
    <w:rsid w:val="005F3316"/>
    <w:rsid w:val="005F371C"/>
    <w:rsid w:val="005F39B4"/>
    <w:rsid w:val="005F3CA5"/>
    <w:rsid w:val="005F3D0C"/>
    <w:rsid w:val="005F4B9C"/>
    <w:rsid w:val="005F4F7E"/>
    <w:rsid w:val="005F5AB2"/>
    <w:rsid w:val="005F5DA7"/>
    <w:rsid w:val="005F60FA"/>
    <w:rsid w:val="005F642E"/>
    <w:rsid w:val="005F671F"/>
    <w:rsid w:val="005F6F03"/>
    <w:rsid w:val="005F70E4"/>
    <w:rsid w:val="005F7197"/>
    <w:rsid w:val="005F7543"/>
    <w:rsid w:val="005F795A"/>
    <w:rsid w:val="005F7980"/>
    <w:rsid w:val="00600051"/>
    <w:rsid w:val="006000B0"/>
    <w:rsid w:val="00600228"/>
    <w:rsid w:val="0060073C"/>
    <w:rsid w:val="00600775"/>
    <w:rsid w:val="006008E8"/>
    <w:rsid w:val="0060103B"/>
    <w:rsid w:val="00601402"/>
    <w:rsid w:val="0060163E"/>
    <w:rsid w:val="00601A38"/>
    <w:rsid w:val="00602366"/>
    <w:rsid w:val="006024AF"/>
    <w:rsid w:val="006024B6"/>
    <w:rsid w:val="00602678"/>
    <w:rsid w:val="0060267F"/>
    <w:rsid w:val="006027EA"/>
    <w:rsid w:val="00602B24"/>
    <w:rsid w:val="00602F17"/>
    <w:rsid w:val="0060301A"/>
    <w:rsid w:val="006030F6"/>
    <w:rsid w:val="00603217"/>
    <w:rsid w:val="0060378D"/>
    <w:rsid w:val="00603A70"/>
    <w:rsid w:val="00603D2E"/>
    <w:rsid w:val="00603E78"/>
    <w:rsid w:val="006046B5"/>
    <w:rsid w:val="00604BB4"/>
    <w:rsid w:val="00605817"/>
    <w:rsid w:val="00605871"/>
    <w:rsid w:val="00605888"/>
    <w:rsid w:val="00605A4F"/>
    <w:rsid w:val="00605BFA"/>
    <w:rsid w:val="00605EFA"/>
    <w:rsid w:val="006071D2"/>
    <w:rsid w:val="0060730F"/>
    <w:rsid w:val="0060739A"/>
    <w:rsid w:val="006075C1"/>
    <w:rsid w:val="006108EE"/>
    <w:rsid w:val="0061092F"/>
    <w:rsid w:val="00610BC4"/>
    <w:rsid w:val="00610DC1"/>
    <w:rsid w:val="00611063"/>
    <w:rsid w:val="00611775"/>
    <w:rsid w:val="00611B6B"/>
    <w:rsid w:val="006122C5"/>
    <w:rsid w:val="00612613"/>
    <w:rsid w:val="0061274C"/>
    <w:rsid w:val="006127D2"/>
    <w:rsid w:val="0061287C"/>
    <w:rsid w:val="006129A5"/>
    <w:rsid w:val="00613A35"/>
    <w:rsid w:val="00613C89"/>
    <w:rsid w:val="00613EC3"/>
    <w:rsid w:val="00613FFE"/>
    <w:rsid w:val="00614292"/>
    <w:rsid w:val="00614D56"/>
    <w:rsid w:val="00614E14"/>
    <w:rsid w:val="006150EB"/>
    <w:rsid w:val="00615133"/>
    <w:rsid w:val="006152A8"/>
    <w:rsid w:val="0061544B"/>
    <w:rsid w:val="00615662"/>
    <w:rsid w:val="0061572D"/>
    <w:rsid w:val="006158A3"/>
    <w:rsid w:val="00615D1B"/>
    <w:rsid w:val="0061664D"/>
    <w:rsid w:val="00616653"/>
    <w:rsid w:val="006166E1"/>
    <w:rsid w:val="00616738"/>
    <w:rsid w:val="00616972"/>
    <w:rsid w:val="00616BD0"/>
    <w:rsid w:val="00616E9F"/>
    <w:rsid w:val="00616F4D"/>
    <w:rsid w:val="0061762F"/>
    <w:rsid w:val="00617C12"/>
    <w:rsid w:val="006205BF"/>
    <w:rsid w:val="00620A54"/>
    <w:rsid w:val="00620C5A"/>
    <w:rsid w:val="00620FDB"/>
    <w:rsid w:val="006212CF"/>
    <w:rsid w:val="006215A5"/>
    <w:rsid w:val="0062176B"/>
    <w:rsid w:val="00621DAE"/>
    <w:rsid w:val="00621F0F"/>
    <w:rsid w:val="0062207F"/>
    <w:rsid w:val="006227C2"/>
    <w:rsid w:val="0062288B"/>
    <w:rsid w:val="00622936"/>
    <w:rsid w:val="00622B7B"/>
    <w:rsid w:val="006231A0"/>
    <w:rsid w:val="006232B9"/>
    <w:rsid w:val="0062372B"/>
    <w:rsid w:val="00623A44"/>
    <w:rsid w:val="00623E7B"/>
    <w:rsid w:val="0062422A"/>
    <w:rsid w:val="0062432F"/>
    <w:rsid w:val="006247DB"/>
    <w:rsid w:val="006247DF"/>
    <w:rsid w:val="00624B4E"/>
    <w:rsid w:val="0062598E"/>
    <w:rsid w:val="00625B20"/>
    <w:rsid w:val="00625D6A"/>
    <w:rsid w:val="00625E66"/>
    <w:rsid w:val="00625F87"/>
    <w:rsid w:val="00626ACA"/>
    <w:rsid w:val="00626BA7"/>
    <w:rsid w:val="00627090"/>
    <w:rsid w:val="00627570"/>
    <w:rsid w:val="0062757C"/>
    <w:rsid w:val="006276CB"/>
    <w:rsid w:val="00627ABE"/>
    <w:rsid w:val="00627FB7"/>
    <w:rsid w:val="0063035D"/>
    <w:rsid w:val="006305F9"/>
    <w:rsid w:val="0063071F"/>
    <w:rsid w:val="00630831"/>
    <w:rsid w:val="00630BB3"/>
    <w:rsid w:val="006310EF"/>
    <w:rsid w:val="00631667"/>
    <w:rsid w:val="0063177E"/>
    <w:rsid w:val="00632469"/>
    <w:rsid w:val="00632F76"/>
    <w:rsid w:val="006332F4"/>
    <w:rsid w:val="006341D7"/>
    <w:rsid w:val="00634557"/>
    <w:rsid w:val="006347EF"/>
    <w:rsid w:val="0063486C"/>
    <w:rsid w:val="006348C3"/>
    <w:rsid w:val="00635268"/>
    <w:rsid w:val="006357FD"/>
    <w:rsid w:val="0063588A"/>
    <w:rsid w:val="0063599B"/>
    <w:rsid w:val="00635EFD"/>
    <w:rsid w:val="006361CE"/>
    <w:rsid w:val="006362B7"/>
    <w:rsid w:val="00636522"/>
    <w:rsid w:val="00636818"/>
    <w:rsid w:val="00636BCA"/>
    <w:rsid w:val="00637086"/>
    <w:rsid w:val="0064009E"/>
    <w:rsid w:val="0064049F"/>
    <w:rsid w:val="00640561"/>
    <w:rsid w:val="00640B4E"/>
    <w:rsid w:val="00640DD1"/>
    <w:rsid w:val="00640E1D"/>
    <w:rsid w:val="00640ED8"/>
    <w:rsid w:val="00641208"/>
    <w:rsid w:val="0064159A"/>
    <w:rsid w:val="006419B5"/>
    <w:rsid w:val="006419FB"/>
    <w:rsid w:val="00641B0A"/>
    <w:rsid w:val="00641BC7"/>
    <w:rsid w:val="00641EE5"/>
    <w:rsid w:val="0064247A"/>
    <w:rsid w:val="00642872"/>
    <w:rsid w:val="00642B2A"/>
    <w:rsid w:val="00642CCB"/>
    <w:rsid w:val="00642D73"/>
    <w:rsid w:val="006437B7"/>
    <w:rsid w:val="0064446A"/>
    <w:rsid w:val="00644742"/>
    <w:rsid w:val="00644821"/>
    <w:rsid w:val="00644A46"/>
    <w:rsid w:val="00644E7E"/>
    <w:rsid w:val="00645190"/>
    <w:rsid w:val="00645259"/>
    <w:rsid w:val="00645326"/>
    <w:rsid w:val="006455EA"/>
    <w:rsid w:val="00645657"/>
    <w:rsid w:val="00645B9D"/>
    <w:rsid w:val="00645D4D"/>
    <w:rsid w:val="00646207"/>
    <w:rsid w:val="00646208"/>
    <w:rsid w:val="00646895"/>
    <w:rsid w:val="00646C17"/>
    <w:rsid w:val="00646F5B"/>
    <w:rsid w:val="00647B00"/>
    <w:rsid w:val="0065028E"/>
    <w:rsid w:val="006505A2"/>
    <w:rsid w:val="0065091B"/>
    <w:rsid w:val="006509C7"/>
    <w:rsid w:val="00650B78"/>
    <w:rsid w:val="00650BCC"/>
    <w:rsid w:val="00650EE0"/>
    <w:rsid w:val="00651525"/>
    <w:rsid w:val="006516AB"/>
    <w:rsid w:val="006518C0"/>
    <w:rsid w:val="006518FD"/>
    <w:rsid w:val="00651F35"/>
    <w:rsid w:val="006524DB"/>
    <w:rsid w:val="006527B9"/>
    <w:rsid w:val="00652822"/>
    <w:rsid w:val="00652C97"/>
    <w:rsid w:val="00652D18"/>
    <w:rsid w:val="00652E88"/>
    <w:rsid w:val="00652F6D"/>
    <w:rsid w:val="0065353D"/>
    <w:rsid w:val="00653A44"/>
    <w:rsid w:val="00653F0B"/>
    <w:rsid w:val="00653F21"/>
    <w:rsid w:val="00654317"/>
    <w:rsid w:val="0065481A"/>
    <w:rsid w:val="006548E0"/>
    <w:rsid w:val="0065525A"/>
    <w:rsid w:val="006556C3"/>
    <w:rsid w:val="00656018"/>
    <w:rsid w:val="00656546"/>
    <w:rsid w:val="00656587"/>
    <w:rsid w:val="006565C0"/>
    <w:rsid w:val="00656683"/>
    <w:rsid w:val="00656B88"/>
    <w:rsid w:val="00656DA1"/>
    <w:rsid w:val="0065724B"/>
    <w:rsid w:val="0065747C"/>
    <w:rsid w:val="00657558"/>
    <w:rsid w:val="00657C05"/>
    <w:rsid w:val="00657D30"/>
    <w:rsid w:val="00657DB4"/>
    <w:rsid w:val="00660AA1"/>
    <w:rsid w:val="00661352"/>
    <w:rsid w:val="00661423"/>
    <w:rsid w:val="00661785"/>
    <w:rsid w:val="00661954"/>
    <w:rsid w:val="00661B90"/>
    <w:rsid w:val="00661EC1"/>
    <w:rsid w:val="00662505"/>
    <w:rsid w:val="00662694"/>
    <w:rsid w:val="006629C4"/>
    <w:rsid w:val="00662A40"/>
    <w:rsid w:val="00662BF2"/>
    <w:rsid w:val="00662C8F"/>
    <w:rsid w:val="0066314F"/>
    <w:rsid w:val="00663D21"/>
    <w:rsid w:val="006644C9"/>
    <w:rsid w:val="00664D54"/>
    <w:rsid w:val="00665964"/>
    <w:rsid w:val="00665CA7"/>
    <w:rsid w:val="00666C03"/>
    <w:rsid w:val="00666E5F"/>
    <w:rsid w:val="0066727F"/>
    <w:rsid w:val="006676FB"/>
    <w:rsid w:val="00667923"/>
    <w:rsid w:val="006708AF"/>
    <w:rsid w:val="00670E6B"/>
    <w:rsid w:val="0067167A"/>
    <w:rsid w:val="006718D7"/>
    <w:rsid w:val="00671A6F"/>
    <w:rsid w:val="00671E70"/>
    <w:rsid w:val="00671F91"/>
    <w:rsid w:val="006724C0"/>
    <w:rsid w:val="006728B0"/>
    <w:rsid w:val="00672AFB"/>
    <w:rsid w:val="00672D3A"/>
    <w:rsid w:val="00672EFE"/>
    <w:rsid w:val="00673056"/>
    <w:rsid w:val="00673061"/>
    <w:rsid w:val="0067339C"/>
    <w:rsid w:val="00673959"/>
    <w:rsid w:val="006741B6"/>
    <w:rsid w:val="0067458D"/>
    <w:rsid w:val="0067485F"/>
    <w:rsid w:val="00674E55"/>
    <w:rsid w:val="0067532D"/>
    <w:rsid w:val="006758D9"/>
    <w:rsid w:val="00675A91"/>
    <w:rsid w:val="00675B59"/>
    <w:rsid w:val="00675D0A"/>
    <w:rsid w:val="00675D51"/>
    <w:rsid w:val="006761D8"/>
    <w:rsid w:val="006768D0"/>
    <w:rsid w:val="00676F2A"/>
    <w:rsid w:val="006770D4"/>
    <w:rsid w:val="006773A2"/>
    <w:rsid w:val="0067765F"/>
    <w:rsid w:val="006778FD"/>
    <w:rsid w:val="006779F8"/>
    <w:rsid w:val="00677CC2"/>
    <w:rsid w:val="00680396"/>
    <w:rsid w:val="00680C52"/>
    <w:rsid w:val="00681AEB"/>
    <w:rsid w:val="00681E22"/>
    <w:rsid w:val="00681F6D"/>
    <w:rsid w:val="0068283D"/>
    <w:rsid w:val="00682EB1"/>
    <w:rsid w:val="0068301C"/>
    <w:rsid w:val="006832E9"/>
    <w:rsid w:val="006839D1"/>
    <w:rsid w:val="00683BF2"/>
    <w:rsid w:val="00683CEC"/>
    <w:rsid w:val="006841E7"/>
    <w:rsid w:val="006846DE"/>
    <w:rsid w:val="00684A4A"/>
    <w:rsid w:val="00684E4B"/>
    <w:rsid w:val="00685169"/>
    <w:rsid w:val="0068538A"/>
    <w:rsid w:val="00685A16"/>
    <w:rsid w:val="00685CB0"/>
    <w:rsid w:val="00685E31"/>
    <w:rsid w:val="0068617B"/>
    <w:rsid w:val="006862BA"/>
    <w:rsid w:val="00686640"/>
    <w:rsid w:val="0068671C"/>
    <w:rsid w:val="006869D0"/>
    <w:rsid w:val="00686C7F"/>
    <w:rsid w:val="00686F09"/>
    <w:rsid w:val="00687115"/>
    <w:rsid w:val="00687F9F"/>
    <w:rsid w:val="00687FAA"/>
    <w:rsid w:val="0069043D"/>
    <w:rsid w:val="00690515"/>
    <w:rsid w:val="0069062B"/>
    <w:rsid w:val="006907FA"/>
    <w:rsid w:val="00690899"/>
    <w:rsid w:val="00690FCC"/>
    <w:rsid w:val="00691AE2"/>
    <w:rsid w:val="00692549"/>
    <w:rsid w:val="0069257D"/>
    <w:rsid w:val="006926C7"/>
    <w:rsid w:val="0069271B"/>
    <w:rsid w:val="00693171"/>
    <w:rsid w:val="006932F8"/>
    <w:rsid w:val="0069364E"/>
    <w:rsid w:val="0069380F"/>
    <w:rsid w:val="00693865"/>
    <w:rsid w:val="006938DB"/>
    <w:rsid w:val="00693A4B"/>
    <w:rsid w:val="00693ACE"/>
    <w:rsid w:val="00693B30"/>
    <w:rsid w:val="0069557A"/>
    <w:rsid w:val="006958F2"/>
    <w:rsid w:val="00695DAB"/>
    <w:rsid w:val="00696283"/>
    <w:rsid w:val="006963C9"/>
    <w:rsid w:val="006963D3"/>
    <w:rsid w:val="0069651B"/>
    <w:rsid w:val="00696B34"/>
    <w:rsid w:val="0069730A"/>
    <w:rsid w:val="00697718"/>
    <w:rsid w:val="00697825"/>
    <w:rsid w:val="00697AE5"/>
    <w:rsid w:val="00697B7C"/>
    <w:rsid w:val="006A008A"/>
    <w:rsid w:val="006A0270"/>
    <w:rsid w:val="006A0474"/>
    <w:rsid w:val="006A07C9"/>
    <w:rsid w:val="006A0866"/>
    <w:rsid w:val="006A10B3"/>
    <w:rsid w:val="006A11A2"/>
    <w:rsid w:val="006A1757"/>
    <w:rsid w:val="006A18EF"/>
    <w:rsid w:val="006A1BB3"/>
    <w:rsid w:val="006A1D73"/>
    <w:rsid w:val="006A1EF5"/>
    <w:rsid w:val="006A2262"/>
    <w:rsid w:val="006A28E8"/>
    <w:rsid w:val="006A2D75"/>
    <w:rsid w:val="006A307F"/>
    <w:rsid w:val="006A3091"/>
    <w:rsid w:val="006A328D"/>
    <w:rsid w:val="006A32C4"/>
    <w:rsid w:val="006A3CBB"/>
    <w:rsid w:val="006A4740"/>
    <w:rsid w:val="006A4A01"/>
    <w:rsid w:val="006A4D6E"/>
    <w:rsid w:val="006A511A"/>
    <w:rsid w:val="006A5A12"/>
    <w:rsid w:val="006A5B60"/>
    <w:rsid w:val="006A6B9F"/>
    <w:rsid w:val="006A6BBB"/>
    <w:rsid w:val="006A6E50"/>
    <w:rsid w:val="006A70D1"/>
    <w:rsid w:val="006A736A"/>
    <w:rsid w:val="006A7F8B"/>
    <w:rsid w:val="006B0772"/>
    <w:rsid w:val="006B0897"/>
    <w:rsid w:val="006B0B53"/>
    <w:rsid w:val="006B0C4C"/>
    <w:rsid w:val="006B0D02"/>
    <w:rsid w:val="006B0EB7"/>
    <w:rsid w:val="006B1746"/>
    <w:rsid w:val="006B1870"/>
    <w:rsid w:val="006B19DE"/>
    <w:rsid w:val="006B1DCC"/>
    <w:rsid w:val="006B1EA8"/>
    <w:rsid w:val="006B2098"/>
    <w:rsid w:val="006B2693"/>
    <w:rsid w:val="006B28A8"/>
    <w:rsid w:val="006B29E8"/>
    <w:rsid w:val="006B2AE3"/>
    <w:rsid w:val="006B2CED"/>
    <w:rsid w:val="006B2DD5"/>
    <w:rsid w:val="006B2F09"/>
    <w:rsid w:val="006B3E21"/>
    <w:rsid w:val="006B417C"/>
    <w:rsid w:val="006B4D7E"/>
    <w:rsid w:val="006B4FF0"/>
    <w:rsid w:val="006B5265"/>
    <w:rsid w:val="006B54B4"/>
    <w:rsid w:val="006B6704"/>
    <w:rsid w:val="006B6AE4"/>
    <w:rsid w:val="006B7205"/>
    <w:rsid w:val="006B75E4"/>
    <w:rsid w:val="006B79DF"/>
    <w:rsid w:val="006C077B"/>
    <w:rsid w:val="006C085F"/>
    <w:rsid w:val="006C0993"/>
    <w:rsid w:val="006C1077"/>
    <w:rsid w:val="006C1385"/>
    <w:rsid w:val="006C1963"/>
    <w:rsid w:val="006C1AFC"/>
    <w:rsid w:val="006C1C58"/>
    <w:rsid w:val="006C1D70"/>
    <w:rsid w:val="006C1DD8"/>
    <w:rsid w:val="006C21DB"/>
    <w:rsid w:val="006C2228"/>
    <w:rsid w:val="006C227A"/>
    <w:rsid w:val="006C26BB"/>
    <w:rsid w:val="006C2713"/>
    <w:rsid w:val="006C2741"/>
    <w:rsid w:val="006C28E8"/>
    <w:rsid w:val="006C29EA"/>
    <w:rsid w:val="006C2ABB"/>
    <w:rsid w:val="006C2C24"/>
    <w:rsid w:val="006C3195"/>
    <w:rsid w:val="006C31C1"/>
    <w:rsid w:val="006C3295"/>
    <w:rsid w:val="006C34F4"/>
    <w:rsid w:val="006C364F"/>
    <w:rsid w:val="006C3E5F"/>
    <w:rsid w:val="006C4481"/>
    <w:rsid w:val="006C476B"/>
    <w:rsid w:val="006C494F"/>
    <w:rsid w:val="006C4AEC"/>
    <w:rsid w:val="006C4BEF"/>
    <w:rsid w:val="006C4DF8"/>
    <w:rsid w:val="006C4ED5"/>
    <w:rsid w:val="006C53A7"/>
    <w:rsid w:val="006C5490"/>
    <w:rsid w:val="006C558D"/>
    <w:rsid w:val="006C5F44"/>
    <w:rsid w:val="006C6049"/>
    <w:rsid w:val="006C652E"/>
    <w:rsid w:val="006C6745"/>
    <w:rsid w:val="006C685C"/>
    <w:rsid w:val="006C6C66"/>
    <w:rsid w:val="006C7521"/>
    <w:rsid w:val="006C79CB"/>
    <w:rsid w:val="006D0C44"/>
    <w:rsid w:val="006D0E19"/>
    <w:rsid w:val="006D0F96"/>
    <w:rsid w:val="006D1310"/>
    <w:rsid w:val="006D1332"/>
    <w:rsid w:val="006D2D67"/>
    <w:rsid w:val="006D2FBC"/>
    <w:rsid w:val="006D3108"/>
    <w:rsid w:val="006D3167"/>
    <w:rsid w:val="006D335A"/>
    <w:rsid w:val="006D359B"/>
    <w:rsid w:val="006D3A17"/>
    <w:rsid w:val="006D3FDC"/>
    <w:rsid w:val="006D4348"/>
    <w:rsid w:val="006D46FD"/>
    <w:rsid w:val="006D4A8C"/>
    <w:rsid w:val="006D4EBC"/>
    <w:rsid w:val="006D4FC3"/>
    <w:rsid w:val="006D53F3"/>
    <w:rsid w:val="006D586C"/>
    <w:rsid w:val="006D587E"/>
    <w:rsid w:val="006D5B47"/>
    <w:rsid w:val="006D5CAB"/>
    <w:rsid w:val="006D637E"/>
    <w:rsid w:val="006D646C"/>
    <w:rsid w:val="006D6482"/>
    <w:rsid w:val="006D6924"/>
    <w:rsid w:val="006D6B31"/>
    <w:rsid w:val="006D6CEB"/>
    <w:rsid w:val="006D6D4A"/>
    <w:rsid w:val="006D6E14"/>
    <w:rsid w:val="006D7336"/>
    <w:rsid w:val="006D7357"/>
    <w:rsid w:val="006D74B8"/>
    <w:rsid w:val="006D7623"/>
    <w:rsid w:val="006D776C"/>
    <w:rsid w:val="006D7939"/>
    <w:rsid w:val="006D7E8A"/>
    <w:rsid w:val="006E0404"/>
    <w:rsid w:val="006E04FC"/>
    <w:rsid w:val="006E053B"/>
    <w:rsid w:val="006E0A73"/>
    <w:rsid w:val="006E0DF4"/>
    <w:rsid w:val="006E0E8C"/>
    <w:rsid w:val="006E0F47"/>
    <w:rsid w:val="006E0F7B"/>
    <w:rsid w:val="006E0F97"/>
    <w:rsid w:val="006E130E"/>
    <w:rsid w:val="006E153A"/>
    <w:rsid w:val="006E1675"/>
    <w:rsid w:val="006E1EF0"/>
    <w:rsid w:val="006E2270"/>
    <w:rsid w:val="006E2324"/>
    <w:rsid w:val="006E27BC"/>
    <w:rsid w:val="006E2FB2"/>
    <w:rsid w:val="006E35CA"/>
    <w:rsid w:val="006E3DA3"/>
    <w:rsid w:val="006E3E3B"/>
    <w:rsid w:val="006E41FE"/>
    <w:rsid w:val="006E4ADC"/>
    <w:rsid w:val="006E4F20"/>
    <w:rsid w:val="006E503D"/>
    <w:rsid w:val="006E5206"/>
    <w:rsid w:val="006E53A4"/>
    <w:rsid w:val="006E60DB"/>
    <w:rsid w:val="006E65EE"/>
    <w:rsid w:val="006E6A51"/>
    <w:rsid w:val="006E6E53"/>
    <w:rsid w:val="006E6ED5"/>
    <w:rsid w:val="006E6F6A"/>
    <w:rsid w:val="006E735D"/>
    <w:rsid w:val="006E78ED"/>
    <w:rsid w:val="006E7B40"/>
    <w:rsid w:val="006F0097"/>
    <w:rsid w:val="006F020B"/>
    <w:rsid w:val="006F0786"/>
    <w:rsid w:val="006F0832"/>
    <w:rsid w:val="006F0905"/>
    <w:rsid w:val="006F0EB5"/>
    <w:rsid w:val="006F128E"/>
    <w:rsid w:val="006F183D"/>
    <w:rsid w:val="006F1A9B"/>
    <w:rsid w:val="006F1C8D"/>
    <w:rsid w:val="006F1CB1"/>
    <w:rsid w:val="006F219A"/>
    <w:rsid w:val="006F2C6F"/>
    <w:rsid w:val="006F2C99"/>
    <w:rsid w:val="006F3C5F"/>
    <w:rsid w:val="006F3EEF"/>
    <w:rsid w:val="006F4385"/>
    <w:rsid w:val="006F4654"/>
    <w:rsid w:val="006F4AE3"/>
    <w:rsid w:val="006F4D2F"/>
    <w:rsid w:val="006F52EA"/>
    <w:rsid w:val="006F545D"/>
    <w:rsid w:val="006F5586"/>
    <w:rsid w:val="006F5886"/>
    <w:rsid w:val="006F59B6"/>
    <w:rsid w:val="006F5F18"/>
    <w:rsid w:val="006F621E"/>
    <w:rsid w:val="006F6225"/>
    <w:rsid w:val="006F68E0"/>
    <w:rsid w:val="006F6BA8"/>
    <w:rsid w:val="006F6CB8"/>
    <w:rsid w:val="006F7301"/>
    <w:rsid w:val="006F788C"/>
    <w:rsid w:val="006F78BE"/>
    <w:rsid w:val="006F7C73"/>
    <w:rsid w:val="00700142"/>
    <w:rsid w:val="00700A76"/>
    <w:rsid w:val="00700AEA"/>
    <w:rsid w:val="0070114F"/>
    <w:rsid w:val="007013E6"/>
    <w:rsid w:val="00701785"/>
    <w:rsid w:val="0070245F"/>
    <w:rsid w:val="00702605"/>
    <w:rsid w:val="00702A43"/>
    <w:rsid w:val="00702E28"/>
    <w:rsid w:val="00702F2A"/>
    <w:rsid w:val="00702FC6"/>
    <w:rsid w:val="007035D8"/>
    <w:rsid w:val="00703CAA"/>
    <w:rsid w:val="00703F9F"/>
    <w:rsid w:val="00704BA0"/>
    <w:rsid w:val="0070504C"/>
    <w:rsid w:val="0070551C"/>
    <w:rsid w:val="00705A7B"/>
    <w:rsid w:val="00705AE9"/>
    <w:rsid w:val="00705BC0"/>
    <w:rsid w:val="00705E6F"/>
    <w:rsid w:val="00705EAD"/>
    <w:rsid w:val="0070626B"/>
    <w:rsid w:val="00706523"/>
    <w:rsid w:val="00706BCC"/>
    <w:rsid w:val="00706C0F"/>
    <w:rsid w:val="00706F27"/>
    <w:rsid w:val="00707B1B"/>
    <w:rsid w:val="00707D55"/>
    <w:rsid w:val="00710160"/>
    <w:rsid w:val="00710176"/>
    <w:rsid w:val="007103AF"/>
    <w:rsid w:val="007105F3"/>
    <w:rsid w:val="007108BA"/>
    <w:rsid w:val="00710EBE"/>
    <w:rsid w:val="00710FAE"/>
    <w:rsid w:val="00711535"/>
    <w:rsid w:val="00711BB9"/>
    <w:rsid w:val="00711CF3"/>
    <w:rsid w:val="00711FDE"/>
    <w:rsid w:val="007122D0"/>
    <w:rsid w:val="00712C65"/>
    <w:rsid w:val="00712F9F"/>
    <w:rsid w:val="00712FA6"/>
    <w:rsid w:val="00713040"/>
    <w:rsid w:val="00713380"/>
    <w:rsid w:val="007136C0"/>
    <w:rsid w:val="00713B6D"/>
    <w:rsid w:val="00713D73"/>
    <w:rsid w:val="00714162"/>
    <w:rsid w:val="007148FF"/>
    <w:rsid w:val="007155B9"/>
    <w:rsid w:val="00715A3A"/>
    <w:rsid w:val="00715B2A"/>
    <w:rsid w:val="00715D7E"/>
    <w:rsid w:val="00716017"/>
    <w:rsid w:val="0071666E"/>
    <w:rsid w:val="0071746F"/>
    <w:rsid w:val="00717714"/>
    <w:rsid w:val="00717983"/>
    <w:rsid w:val="00717B14"/>
    <w:rsid w:val="00720372"/>
    <w:rsid w:val="007205C9"/>
    <w:rsid w:val="007207E4"/>
    <w:rsid w:val="00720CE4"/>
    <w:rsid w:val="00721191"/>
    <w:rsid w:val="007212D7"/>
    <w:rsid w:val="00721364"/>
    <w:rsid w:val="00722107"/>
    <w:rsid w:val="007221FA"/>
    <w:rsid w:val="00722332"/>
    <w:rsid w:val="00722648"/>
    <w:rsid w:val="00723170"/>
    <w:rsid w:val="007231B9"/>
    <w:rsid w:val="00723D3F"/>
    <w:rsid w:val="00724932"/>
    <w:rsid w:val="007249F9"/>
    <w:rsid w:val="00725188"/>
    <w:rsid w:val="0072532F"/>
    <w:rsid w:val="007253E1"/>
    <w:rsid w:val="007259E6"/>
    <w:rsid w:val="00725EE9"/>
    <w:rsid w:val="0072660C"/>
    <w:rsid w:val="00726874"/>
    <w:rsid w:val="007268D5"/>
    <w:rsid w:val="00726D57"/>
    <w:rsid w:val="00726F0D"/>
    <w:rsid w:val="00726F81"/>
    <w:rsid w:val="00727173"/>
    <w:rsid w:val="00727861"/>
    <w:rsid w:val="00727889"/>
    <w:rsid w:val="00727D6F"/>
    <w:rsid w:val="0073031F"/>
    <w:rsid w:val="00730349"/>
    <w:rsid w:val="00730758"/>
    <w:rsid w:val="007307D2"/>
    <w:rsid w:val="00730E82"/>
    <w:rsid w:val="00731097"/>
    <w:rsid w:val="0073144D"/>
    <w:rsid w:val="0073182B"/>
    <w:rsid w:val="007319E6"/>
    <w:rsid w:val="00732616"/>
    <w:rsid w:val="007326B7"/>
    <w:rsid w:val="00732C90"/>
    <w:rsid w:val="0073316E"/>
    <w:rsid w:val="00733896"/>
    <w:rsid w:val="00733934"/>
    <w:rsid w:val="007348AB"/>
    <w:rsid w:val="00734B1A"/>
    <w:rsid w:val="007351A8"/>
    <w:rsid w:val="007352F0"/>
    <w:rsid w:val="0073567B"/>
    <w:rsid w:val="007359EB"/>
    <w:rsid w:val="00735F8A"/>
    <w:rsid w:val="007365F4"/>
    <w:rsid w:val="0073660F"/>
    <w:rsid w:val="00737C6B"/>
    <w:rsid w:val="007402C4"/>
    <w:rsid w:val="007407CF"/>
    <w:rsid w:val="00740DC3"/>
    <w:rsid w:val="00740E47"/>
    <w:rsid w:val="0074211D"/>
    <w:rsid w:val="00742DD5"/>
    <w:rsid w:val="00742E68"/>
    <w:rsid w:val="007437AA"/>
    <w:rsid w:val="00743AAA"/>
    <w:rsid w:val="00743BB7"/>
    <w:rsid w:val="0074420B"/>
    <w:rsid w:val="007446F6"/>
    <w:rsid w:val="007447E2"/>
    <w:rsid w:val="00744FC6"/>
    <w:rsid w:val="007450BA"/>
    <w:rsid w:val="00745159"/>
    <w:rsid w:val="007454ED"/>
    <w:rsid w:val="007456C6"/>
    <w:rsid w:val="00746107"/>
    <w:rsid w:val="007463E2"/>
    <w:rsid w:val="00746709"/>
    <w:rsid w:val="007468E2"/>
    <w:rsid w:val="00746AA5"/>
    <w:rsid w:val="00746D83"/>
    <w:rsid w:val="00746E67"/>
    <w:rsid w:val="00747E15"/>
    <w:rsid w:val="007501E2"/>
    <w:rsid w:val="00751022"/>
    <w:rsid w:val="007514A1"/>
    <w:rsid w:val="0075157C"/>
    <w:rsid w:val="00751AE4"/>
    <w:rsid w:val="00751C2A"/>
    <w:rsid w:val="00751C86"/>
    <w:rsid w:val="00752323"/>
    <w:rsid w:val="00752637"/>
    <w:rsid w:val="007526F7"/>
    <w:rsid w:val="00752728"/>
    <w:rsid w:val="007528B1"/>
    <w:rsid w:val="00752BC4"/>
    <w:rsid w:val="00753067"/>
    <w:rsid w:val="007534A3"/>
    <w:rsid w:val="007534D3"/>
    <w:rsid w:val="00753632"/>
    <w:rsid w:val="0075369C"/>
    <w:rsid w:val="0075399B"/>
    <w:rsid w:val="00753FCC"/>
    <w:rsid w:val="00754740"/>
    <w:rsid w:val="0075487D"/>
    <w:rsid w:val="00754BB1"/>
    <w:rsid w:val="00754E4C"/>
    <w:rsid w:val="00754EBD"/>
    <w:rsid w:val="0075591D"/>
    <w:rsid w:val="00755E1A"/>
    <w:rsid w:val="00755F9F"/>
    <w:rsid w:val="007565A1"/>
    <w:rsid w:val="00756BB5"/>
    <w:rsid w:val="007573AD"/>
    <w:rsid w:val="007577F6"/>
    <w:rsid w:val="00757845"/>
    <w:rsid w:val="00760034"/>
    <w:rsid w:val="00760329"/>
    <w:rsid w:val="00760573"/>
    <w:rsid w:val="00760BFD"/>
    <w:rsid w:val="007615AE"/>
    <w:rsid w:val="0076163E"/>
    <w:rsid w:val="007618C9"/>
    <w:rsid w:val="00762486"/>
    <w:rsid w:val="007624E1"/>
    <w:rsid w:val="00762DEB"/>
    <w:rsid w:val="0076313E"/>
    <w:rsid w:val="00763527"/>
    <w:rsid w:val="00763612"/>
    <w:rsid w:val="0076367B"/>
    <w:rsid w:val="007640DA"/>
    <w:rsid w:val="00764457"/>
    <w:rsid w:val="007647E2"/>
    <w:rsid w:val="00764B1C"/>
    <w:rsid w:val="00764E57"/>
    <w:rsid w:val="00764F69"/>
    <w:rsid w:val="007659EE"/>
    <w:rsid w:val="00766210"/>
    <w:rsid w:val="0076649C"/>
    <w:rsid w:val="00766733"/>
    <w:rsid w:val="00766B1D"/>
    <w:rsid w:val="00766B60"/>
    <w:rsid w:val="0076718C"/>
    <w:rsid w:val="0076722F"/>
    <w:rsid w:val="00767606"/>
    <w:rsid w:val="00767E90"/>
    <w:rsid w:val="00770236"/>
    <w:rsid w:val="00770470"/>
    <w:rsid w:val="00770CA5"/>
    <w:rsid w:val="00770DD5"/>
    <w:rsid w:val="00770E2D"/>
    <w:rsid w:val="00771493"/>
    <w:rsid w:val="00771EA2"/>
    <w:rsid w:val="0077264C"/>
    <w:rsid w:val="007726CC"/>
    <w:rsid w:val="00772BEE"/>
    <w:rsid w:val="007730FF"/>
    <w:rsid w:val="0077321B"/>
    <w:rsid w:val="00773245"/>
    <w:rsid w:val="0077354D"/>
    <w:rsid w:val="007735FE"/>
    <w:rsid w:val="00773A2F"/>
    <w:rsid w:val="00773C75"/>
    <w:rsid w:val="00774458"/>
    <w:rsid w:val="007754E6"/>
    <w:rsid w:val="00775CCE"/>
    <w:rsid w:val="0077620F"/>
    <w:rsid w:val="007762DD"/>
    <w:rsid w:val="007762E7"/>
    <w:rsid w:val="0077664D"/>
    <w:rsid w:val="00776B4C"/>
    <w:rsid w:val="007770F0"/>
    <w:rsid w:val="007774D3"/>
    <w:rsid w:val="007776A3"/>
    <w:rsid w:val="007776B4"/>
    <w:rsid w:val="00777A8A"/>
    <w:rsid w:val="00777DC3"/>
    <w:rsid w:val="00777EEF"/>
    <w:rsid w:val="007800D3"/>
    <w:rsid w:val="0078013F"/>
    <w:rsid w:val="007810C9"/>
    <w:rsid w:val="00781567"/>
    <w:rsid w:val="0078183F"/>
    <w:rsid w:val="00781A36"/>
    <w:rsid w:val="00781AC8"/>
    <w:rsid w:val="00781C80"/>
    <w:rsid w:val="00782B09"/>
    <w:rsid w:val="007834B7"/>
    <w:rsid w:val="00783595"/>
    <w:rsid w:val="007838A0"/>
    <w:rsid w:val="00783FC2"/>
    <w:rsid w:val="007846D0"/>
    <w:rsid w:val="00784855"/>
    <w:rsid w:val="00784B06"/>
    <w:rsid w:val="00784B07"/>
    <w:rsid w:val="007851A5"/>
    <w:rsid w:val="00785487"/>
    <w:rsid w:val="007854DF"/>
    <w:rsid w:val="007854EF"/>
    <w:rsid w:val="007855ED"/>
    <w:rsid w:val="007856C4"/>
    <w:rsid w:val="00785EEF"/>
    <w:rsid w:val="00786D33"/>
    <w:rsid w:val="0078739D"/>
    <w:rsid w:val="007879D5"/>
    <w:rsid w:val="00787D44"/>
    <w:rsid w:val="00787F33"/>
    <w:rsid w:val="00790007"/>
    <w:rsid w:val="0079009C"/>
    <w:rsid w:val="007901DC"/>
    <w:rsid w:val="0079083F"/>
    <w:rsid w:val="00790B3A"/>
    <w:rsid w:val="007910F1"/>
    <w:rsid w:val="007912EB"/>
    <w:rsid w:val="00791439"/>
    <w:rsid w:val="0079163B"/>
    <w:rsid w:val="007919EC"/>
    <w:rsid w:val="00791B03"/>
    <w:rsid w:val="00791B57"/>
    <w:rsid w:val="00792500"/>
    <w:rsid w:val="00792E84"/>
    <w:rsid w:val="00793314"/>
    <w:rsid w:val="0079341B"/>
    <w:rsid w:val="00793681"/>
    <w:rsid w:val="00793ABE"/>
    <w:rsid w:val="0079488E"/>
    <w:rsid w:val="007955A3"/>
    <w:rsid w:val="00795CC6"/>
    <w:rsid w:val="00795EEF"/>
    <w:rsid w:val="007961FB"/>
    <w:rsid w:val="00796A84"/>
    <w:rsid w:val="00796D26"/>
    <w:rsid w:val="00797106"/>
    <w:rsid w:val="007972B2"/>
    <w:rsid w:val="007973F5"/>
    <w:rsid w:val="00797976"/>
    <w:rsid w:val="00797DB2"/>
    <w:rsid w:val="007A005D"/>
    <w:rsid w:val="007A00C8"/>
    <w:rsid w:val="007A065F"/>
    <w:rsid w:val="007A06F4"/>
    <w:rsid w:val="007A0B7E"/>
    <w:rsid w:val="007A1345"/>
    <w:rsid w:val="007A1491"/>
    <w:rsid w:val="007A170D"/>
    <w:rsid w:val="007A180D"/>
    <w:rsid w:val="007A18BE"/>
    <w:rsid w:val="007A1EAE"/>
    <w:rsid w:val="007A1EC1"/>
    <w:rsid w:val="007A20CE"/>
    <w:rsid w:val="007A25FF"/>
    <w:rsid w:val="007A27B6"/>
    <w:rsid w:val="007A2971"/>
    <w:rsid w:val="007A2C2E"/>
    <w:rsid w:val="007A2CE0"/>
    <w:rsid w:val="007A2F81"/>
    <w:rsid w:val="007A31ED"/>
    <w:rsid w:val="007A3567"/>
    <w:rsid w:val="007A37D1"/>
    <w:rsid w:val="007A3B65"/>
    <w:rsid w:val="007A428D"/>
    <w:rsid w:val="007A4466"/>
    <w:rsid w:val="007A44C4"/>
    <w:rsid w:val="007A498D"/>
    <w:rsid w:val="007A4A45"/>
    <w:rsid w:val="007A51EE"/>
    <w:rsid w:val="007A5314"/>
    <w:rsid w:val="007A537B"/>
    <w:rsid w:val="007A57A8"/>
    <w:rsid w:val="007A617B"/>
    <w:rsid w:val="007A64AC"/>
    <w:rsid w:val="007A6683"/>
    <w:rsid w:val="007A68B4"/>
    <w:rsid w:val="007A6B2D"/>
    <w:rsid w:val="007A6E2B"/>
    <w:rsid w:val="007A76A5"/>
    <w:rsid w:val="007A7A22"/>
    <w:rsid w:val="007A7F8C"/>
    <w:rsid w:val="007B02D8"/>
    <w:rsid w:val="007B0817"/>
    <w:rsid w:val="007B0852"/>
    <w:rsid w:val="007B0A82"/>
    <w:rsid w:val="007B0EC8"/>
    <w:rsid w:val="007B113B"/>
    <w:rsid w:val="007B1520"/>
    <w:rsid w:val="007B168C"/>
    <w:rsid w:val="007B17EF"/>
    <w:rsid w:val="007B1AFB"/>
    <w:rsid w:val="007B1C57"/>
    <w:rsid w:val="007B20AE"/>
    <w:rsid w:val="007B2C55"/>
    <w:rsid w:val="007B3247"/>
    <w:rsid w:val="007B39AD"/>
    <w:rsid w:val="007B4049"/>
    <w:rsid w:val="007B4093"/>
    <w:rsid w:val="007B421A"/>
    <w:rsid w:val="007B427F"/>
    <w:rsid w:val="007B4495"/>
    <w:rsid w:val="007B44CC"/>
    <w:rsid w:val="007B45B6"/>
    <w:rsid w:val="007B4934"/>
    <w:rsid w:val="007B4B53"/>
    <w:rsid w:val="007B4B95"/>
    <w:rsid w:val="007B4D05"/>
    <w:rsid w:val="007B520F"/>
    <w:rsid w:val="007B5725"/>
    <w:rsid w:val="007B5EDD"/>
    <w:rsid w:val="007B5F3A"/>
    <w:rsid w:val="007B6D1D"/>
    <w:rsid w:val="007B7051"/>
    <w:rsid w:val="007B72CA"/>
    <w:rsid w:val="007B74C2"/>
    <w:rsid w:val="007B760C"/>
    <w:rsid w:val="007B78AF"/>
    <w:rsid w:val="007B7E20"/>
    <w:rsid w:val="007C022F"/>
    <w:rsid w:val="007C0E8E"/>
    <w:rsid w:val="007C125E"/>
    <w:rsid w:val="007C13F8"/>
    <w:rsid w:val="007C13FD"/>
    <w:rsid w:val="007C19D8"/>
    <w:rsid w:val="007C1E7F"/>
    <w:rsid w:val="007C2C2A"/>
    <w:rsid w:val="007C2CFC"/>
    <w:rsid w:val="007C2EB5"/>
    <w:rsid w:val="007C2F1C"/>
    <w:rsid w:val="007C3042"/>
    <w:rsid w:val="007C32CB"/>
    <w:rsid w:val="007C3BE2"/>
    <w:rsid w:val="007C425F"/>
    <w:rsid w:val="007C4600"/>
    <w:rsid w:val="007C468B"/>
    <w:rsid w:val="007C4950"/>
    <w:rsid w:val="007C5201"/>
    <w:rsid w:val="007C5296"/>
    <w:rsid w:val="007C5460"/>
    <w:rsid w:val="007C5703"/>
    <w:rsid w:val="007C5947"/>
    <w:rsid w:val="007C5C5A"/>
    <w:rsid w:val="007C5C81"/>
    <w:rsid w:val="007C5F9C"/>
    <w:rsid w:val="007C6165"/>
    <w:rsid w:val="007C6CA6"/>
    <w:rsid w:val="007C7236"/>
    <w:rsid w:val="007C7555"/>
    <w:rsid w:val="007C7782"/>
    <w:rsid w:val="007D0448"/>
    <w:rsid w:val="007D0624"/>
    <w:rsid w:val="007D0645"/>
    <w:rsid w:val="007D1C10"/>
    <w:rsid w:val="007D1E7D"/>
    <w:rsid w:val="007D1ECB"/>
    <w:rsid w:val="007D1FAA"/>
    <w:rsid w:val="007D2758"/>
    <w:rsid w:val="007D2887"/>
    <w:rsid w:val="007D2916"/>
    <w:rsid w:val="007D37BE"/>
    <w:rsid w:val="007D3D66"/>
    <w:rsid w:val="007D4229"/>
    <w:rsid w:val="007D435D"/>
    <w:rsid w:val="007D494D"/>
    <w:rsid w:val="007D4D52"/>
    <w:rsid w:val="007D4E7C"/>
    <w:rsid w:val="007D50D9"/>
    <w:rsid w:val="007D5317"/>
    <w:rsid w:val="007D5776"/>
    <w:rsid w:val="007D57E0"/>
    <w:rsid w:val="007D5857"/>
    <w:rsid w:val="007D653B"/>
    <w:rsid w:val="007D6E9D"/>
    <w:rsid w:val="007D7054"/>
    <w:rsid w:val="007D78AE"/>
    <w:rsid w:val="007D7C41"/>
    <w:rsid w:val="007D7DDC"/>
    <w:rsid w:val="007E01FC"/>
    <w:rsid w:val="007E048E"/>
    <w:rsid w:val="007E0735"/>
    <w:rsid w:val="007E07AC"/>
    <w:rsid w:val="007E07E9"/>
    <w:rsid w:val="007E0CC4"/>
    <w:rsid w:val="007E0DF7"/>
    <w:rsid w:val="007E1246"/>
    <w:rsid w:val="007E14C4"/>
    <w:rsid w:val="007E1683"/>
    <w:rsid w:val="007E1821"/>
    <w:rsid w:val="007E1F48"/>
    <w:rsid w:val="007E2525"/>
    <w:rsid w:val="007E25AC"/>
    <w:rsid w:val="007E266A"/>
    <w:rsid w:val="007E2859"/>
    <w:rsid w:val="007E3DFA"/>
    <w:rsid w:val="007E43F8"/>
    <w:rsid w:val="007E4683"/>
    <w:rsid w:val="007E4A94"/>
    <w:rsid w:val="007E4C0B"/>
    <w:rsid w:val="007E50AA"/>
    <w:rsid w:val="007E51A7"/>
    <w:rsid w:val="007E52A5"/>
    <w:rsid w:val="007E5767"/>
    <w:rsid w:val="007E5C81"/>
    <w:rsid w:val="007E6184"/>
    <w:rsid w:val="007E6313"/>
    <w:rsid w:val="007E63C2"/>
    <w:rsid w:val="007E6614"/>
    <w:rsid w:val="007E69C6"/>
    <w:rsid w:val="007E73AB"/>
    <w:rsid w:val="007E7582"/>
    <w:rsid w:val="007E7E67"/>
    <w:rsid w:val="007E7F80"/>
    <w:rsid w:val="007F05B9"/>
    <w:rsid w:val="007F077C"/>
    <w:rsid w:val="007F0E34"/>
    <w:rsid w:val="007F14E5"/>
    <w:rsid w:val="007F17ED"/>
    <w:rsid w:val="007F1816"/>
    <w:rsid w:val="007F182A"/>
    <w:rsid w:val="007F1E71"/>
    <w:rsid w:val="007F1E7A"/>
    <w:rsid w:val="007F1F15"/>
    <w:rsid w:val="007F2213"/>
    <w:rsid w:val="007F243A"/>
    <w:rsid w:val="007F2843"/>
    <w:rsid w:val="007F294F"/>
    <w:rsid w:val="007F2E2F"/>
    <w:rsid w:val="007F347C"/>
    <w:rsid w:val="007F363D"/>
    <w:rsid w:val="007F3667"/>
    <w:rsid w:val="007F3D19"/>
    <w:rsid w:val="007F4024"/>
    <w:rsid w:val="007F44FD"/>
    <w:rsid w:val="007F4C13"/>
    <w:rsid w:val="007F5088"/>
    <w:rsid w:val="007F5109"/>
    <w:rsid w:val="007F5731"/>
    <w:rsid w:val="007F582D"/>
    <w:rsid w:val="007F58F3"/>
    <w:rsid w:val="007F5B1B"/>
    <w:rsid w:val="007F5B9F"/>
    <w:rsid w:val="007F5DE4"/>
    <w:rsid w:val="007F5E65"/>
    <w:rsid w:val="007F6195"/>
    <w:rsid w:val="007F6682"/>
    <w:rsid w:val="007F6AB7"/>
    <w:rsid w:val="007F6C70"/>
    <w:rsid w:val="007F6E0F"/>
    <w:rsid w:val="007F76C7"/>
    <w:rsid w:val="007F7976"/>
    <w:rsid w:val="007F7A9B"/>
    <w:rsid w:val="007F7C87"/>
    <w:rsid w:val="007F7D4C"/>
    <w:rsid w:val="007F7E51"/>
    <w:rsid w:val="0080052D"/>
    <w:rsid w:val="00800FCD"/>
    <w:rsid w:val="008012F4"/>
    <w:rsid w:val="008016B9"/>
    <w:rsid w:val="008016D2"/>
    <w:rsid w:val="00801B34"/>
    <w:rsid w:val="00801C7E"/>
    <w:rsid w:val="00801DB2"/>
    <w:rsid w:val="00801FAE"/>
    <w:rsid w:val="00801FD2"/>
    <w:rsid w:val="0080222B"/>
    <w:rsid w:val="0080228B"/>
    <w:rsid w:val="00802336"/>
    <w:rsid w:val="008025AF"/>
    <w:rsid w:val="0080286F"/>
    <w:rsid w:val="00802AC5"/>
    <w:rsid w:val="008034DA"/>
    <w:rsid w:val="008035D4"/>
    <w:rsid w:val="00803931"/>
    <w:rsid w:val="00803BA9"/>
    <w:rsid w:val="00803DD9"/>
    <w:rsid w:val="00803E18"/>
    <w:rsid w:val="00803FFA"/>
    <w:rsid w:val="0080416C"/>
    <w:rsid w:val="0080479D"/>
    <w:rsid w:val="00804B42"/>
    <w:rsid w:val="00805000"/>
    <w:rsid w:val="008053C1"/>
    <w:rsid w:val="00805885"/>
    <w:rsid w:val="008058D3"/>
    <w:rsid w:val="00806B4C"/>
    <w:rsid w:val="00806DCF"/>
    <w:rsid w:val="00807250"/>
    <w:rsid w:val="008073AD"/>
    <w:rsid w:val="00807544"/>
    <w:rsid w:val="008075F9"/>
    <w:rsid w:val="00807703"/>
    <w:rsid w:val="008078A5"/>
    <w:rsid w:val="00807CF0"/>
    <w:rsid w:val="00807D9F"/>
    <w:rsid w:val="00810060"/>
    <w:rsid w:val="00810064"/>
    <w:rsid w:val="00810329"/>
    <w:rsid w:val="00810818"/>
    <w:rsid w:val="0081092F"/>
    <w:rsid w:val="00810E9A"/>
    <w:rsid w:val="008111C3"/>
    <w:rsid w:val="0081123A"/>
    <w:rsid w:val="0081137B"/>
    <w:rsid w:val="00811381"/>
    <w:rsid w:val="008116CC"/>
    <w:rsid w:val="008119EA"/>
    <w:rsid w:val="00811E8B"/>
    <w:rsid w:val="00812D48"/>
    <w:rsid w:val="008130BD"/>
    <w:rsid w:val="0081348F"/>
    <w:rsid w:val="00813893"/>
    <w:rsid w:val="008139A3"/>
    <w:rsid w:val="00813D40"/>
    <w:rsid w:val="0081496D"/>
    <w:rsid w:val="00814A0A"/>
    <w:rsid w:val="0081559B"/>
    <w:rsid w:val="00815728"/>
    <w:rsid w:val="00815E45"/>
    <w:rsid w:val="0081629A"/>
    <w:rsid w:val="0081640F"/>
    <w:rsid w:val="00816B53"/>
    <w:rsid w:val="00816E03"/>
    <w:rsid w:val="0081708C"/>
    <w:rsid w:val="0081720F"/>
    <w:rsid w:val="008177FB"/>
    <w:rsid w:val="00817B06"/>
    <w:rsid w:val="00817CD4"/>
    <w:rsid w:val="00817F63"/>
    <w:rsid w:val="00820664"/>
    <w:rsid w:val="008208A9"/>
    <w:rsid w:val="00820DED"/>
    <w:rsid w:val="008211F0"/>
    <w:rsid w:val="008219B5"/>
    <w:rsid w:val="00821CFF"/>
    <w:rsid w:val="008220FF"/>
    <w:rsid w:val="008221B2"/>
    <w:rsid w:val="00822711"/>
    <w:rsid w:val="00822AB3"/>
    <w:rsid w:val="00822E60"/>
    <w:rsid w:val="0082363F"/>
    <w:rsid w:val="008236CC"/>
    <w:rsid w:val="00823AA0"/>
    <w:rsid w:val="00824234"/>
    <w:rsid w:val="00824470"/>
    <w:rsid w:val="00824D29"/>
    <w:rsid w:val="00824E5E"/>
    <w:rsid w:val="00824F5D"/>
    <w:rsid w:val="008259BF"/>
    <w:rsid w:val="00825A2D"/>
    <w:rsid w:val="00825DC1"/>
    <w:rsid w:val="00825E9C"/>
    <w:rsid w:val="00826139"/>
    <w:rsid w:val="00826238"/>
    <w:rsid w:val="0082643C"/>
    <w:rsid w:val="00826AB3"/>
    <w:rsid w:val="0082704C"/>
    <w:rsid w:val="00830057"/>
    <w:rsid w:val="00830484"/>
    <w:rsid w:val="00830560"/>
    <w:rsid w:val="0083063F"/>
    <w:rsid w:val="00830AFF"/>
    <w:rsid w:val="00830C29"/>
    <w:rsid w:val="00830DDF"/>
    <w:rsid w:val="008310A0"/>
    <w:rsid w:val="008310D5"/>
    <w:rsid w:val="00831982"/>
    <w:rsid w:val="00831B98"/>
    <w:rsid w:val="00831BBE"/>
    <w:rsid w:val="00831E16"/>
    <w:rsid w:val="00831E96"/>
    <w:rsid w:val="0083251A"/>
    <w:rsid w:val="00833341"/>
    <w:rsid w:val="00833C71"/>
    <w:rsid w:val="00833D3D"/>
    <w:rsid w:val="00833F57"/>
    <w:rsid w:val="008345A4"/>
    <w:rsid w:val="00834D64"/>
    <w:rsid w:val="00835098"/>
    <w:rsid w:val="008357D8"/>
    <w:rsid w:val="0083596C"/>
    <w:rsid w:val="00835C81"/>
    <w:rsid w:val="00835CF0"/>
    <w:rsid w:val="008360A3"/>
    <w:rsid w:val="008360E2"/>
    <w:rsid w:val="00836218"/>
    <w:rsid w:val="00836588"/>
    <w:rsid w:val="008369A9"/>
    <w:rsid w:val="00836B5B"/>
    <w:rsid w:val="00836D43"/>
    <w:rsid w:val="0083701F"/>
    <w:rsid w:val="0083716F"/>
    <w:rsid w:val="0083796F"/>
    <w:rsid w:val="00837C56"/>
    <w:rsid w:val="00837CF9"/>
    <w:rsid w:val="00837E6D"/>
    <w:rsid w:val="00837F7E"/>
    <w:rsid w:val="0084092E"/>
    <w:rsid w:val="00840CF4"/>
    <w:rsid w:val="008412C3"/>
    <w:rsid w:val="00842139"/>
    <w:rsid w:val="008421C6"/>
    <w:rsid w:val="00842213"/>
    <w:rsid w:val="0084221D"/>
    <w:rsid w:val="008427B9"/>
    <w:rsid w:val="008427E3"/>
    <w:rsid w:val="0084291A"/>
    <w:rsid w:val="00842DB3"/>
    <w:rsid w:val="00843B2E"/>
    <w:rsid w:val="00843CF2"/>
    <w:rsid w:val="00843F5D"/>
    <w:rsid w:val="00844707"/>
    <w:rsid w:val="008447ED"/>
    <w:rsid w:val="00844E13"/>
    <w:rsid w:val="008455B5"/>
    <w:rsid w:val="00845908"/>
    <w:rsid w:val="00845BC8"/>
    <w:rsid w:val="00845CB9"/>
    <w:rsid w:val="00845E1B"/>
    <w:rsid w:val="00846146"/>
    <w:rsid w:val="008463F9"/>
    <w:rsid w:val="00846419"/>
    <w:rsid w:val="00846455"/>
    <w:rsid w:val="00846F6A"/>
    <w:rsid w:val="008471E9"/>
    <w:rsid w:val="0085011E"/>
    <w:rsid w:val="008504A1"/>
    <w:rsid w:val="00850A67"/>
    <w:rsid w:val="00850A82"/>
    <w:rsid w:val="00850C3F"/>
    <w:rsid w:val="00850DB7"/>
    <w:rsid w:val="00851058"/>
    <w:rsid w:val="00851095"/>
    <w:rsid w:val="008513A1"/>
    <w:rsid w:val="00851AA0"/>
    <w:rsid w:val="00851CE0"/>
    <w:rsid w:val="008524E1"/>
    <w:rsid w:val="008525CC"/>
    <w:rsid w:val="0085271E"/>
    <w:rsid w:val="008527C1"/>
    <w:rsid w:val="0085292C"/>
    <w:rsid w:val="008529D6"/>
    <w:rsid w:val="00852AC0"/>
    <w:rsid w:val="00852D58"/>
    <w:rsid w:val="00852D68"/>
    <w:rsid w:val="00852F8D"/>
    <w:rsid w:val="00853CE7"/>
    <w:rsid w:val="008548CE"/>
    <w:rsid w:val="0085502E"/>
    <w:rsid w:val="008552C5"/>
    <w:rsid w:val="00855524"/>
    <w:rsid w:val="0085573E"/>
    <w:rsid w:val="008557D8"/>
    <w:rsid w:val="008558B9"/>
    <w:rsid w:val="0085640D"/>
    <w:rsid w:val="00856459"/>
    <w:rsid w:val="0085650D"/>
    <w:rsid w:val="00856815"/>
    <w:rsid w:val="0085682B"/>
    <w:rsid w:val="00856B19"/>
    <w:rsid w:val="00856B44"/>
    <w:rsid w:val="0085703A"/>
    <w:rsid w:val="0085737E"/>
    <w:rsid w:val="00857391"/>
    <w:rsid w:val="008573F3"/>
    <w:rsid w:val="00857564"/>
    <w:rsid w:val="00857566"/>
    <w:rsid w:val="008579F0"/>
    <w:rsid w:val="00857A0A"/>
    <w:rsid w:val="00857EE3"/>
    <w:rsid w:val="00857FBB"/>
    <w:rsid w:val="00860A21"/>
    <w:rsid w:val="00860F55"/>
    <w:rsid w:val="008615EA"/>
    <w:rsid w:val="008623A8"/>
    <w:rsid w:val="0086266C"/>
    <w:rsid w:val="00862A56"/>
    <w:rsid w:val="008635FB"/>
    <w:rsid w:val="00863731"/>
    <w:rsid w:val="00863749"/>
    <w:rsid w:val="0086386C"/>
    <w:rsid w:val="0086432D"/>
    <w:rsid w:val="00864877"/>
    <w:rsid w:val="00865635"/>
    <w:rsid w:val="0086577C"/>
    <w:rsid w:val="00865BE1"/>
    <w:rsid w:val="0086628C"/>
    <w:rsid w:val="00866C1D"/>
    <w:rsid w:val="00866CF3"/>
    <w:rsid w:val="00866D48"/>
    <w:rsid w:val="00866DE4"/>
    <w:rsid w:val="00866E23"/>
    <w:rsid w:val="00866FA7"/>
    <w:rsid w:val="00867017"/>
    <w:rsid w:val="0086781C"/>
    <w:rsid w:val="00867F11"/>
    <w:rsid w:val="00870B13"/>
    <w:rsid w:val="00870B60"/>
    <w:rsid w:val="008711E3"/>
    <w:rsid w:val="00871650"/>
    <w:rsid w:val="008717D6"/>
    <w:rsid w:val="008719E9"/>
    <w:rsid w:val="00871E1B"/>
    <w:rsid w:val="00872185"/>
    <w:rsid w:val="0087257F"/>
    <w:rsid w:val="008732C3"/>
    <w:rsid w:val="00873901"/>
    <w:rsid w:val="00873CD8"/>
    <w:rsid w:val="00874770"/>
    <w:rsid w:val="00874AF7"/>
    <w:rsid w:val="00874CBF"/>
    <w:rsid w:val="00874D41"/>
    <w:rsid w:val="00874FC9"/>
    <w:rsid w:val="008759E9"/>
    <w:rsid w:val="00876CD6"/>
    <w:rsid w:val="00880557"/>
    <w:rsid w:val="00881483"/>
    <w:rsid w:val="00881825"/>
    <w:rsid w:val="00881843"/>
    <w:rsid w:val="00881D7F"/>
    <w:rsid w:val="00882188"/>
    <w:rsid w:val="00882189"/>
    <w:rsid w:val="0088246F"/>
    <w:rsid w:val="00882B04"/>
    <w:rsid w:val="00882D1D"/>
    <w:rsid w:val="00883075"/>
    <w:rsid w:val="00883222"/>
    <w:rsid w:val="00883B00"/>
    <w:rsid w:val="008840EF"/>
    <w:rsid w:val="008841F4"/>
    <w:rsid w:val="00884782"/>
    <w:rsid w:val="00884930"/>
    <w:rsid w:val="00884966"/>
    <w:rsid w:val="00884B20"/>
    <w:rsid w:val="0088505C"/>
    <w:rsid w:val="008851E2"/>
    <w:rsid w:val="008852A0"/>
    <w:rsid w:val="008852AE"/>
    <w:rsid w:val="00885642"/>
    <w:rsid w:val="00885759"/>
    <w:rsid w:val="0088598E"/>
    <w:rsid w:val="00885B71"/>
    <w:rsid w:val="0088600F"/>
    <w:rsid w:val="008865EA"/>
    <w:rsid w:val="00886BBD"/>
    <w:rsid w:val="00886BF0"/>
    <w:rsid w:val="00886EC2"/>
    <w:rsid w:val="00886FFE"/>
    <w:rsid w:val="00887BA5"/>
    <w:rsid w:val="0089018D"/>
    <w:rsid w:val="0089054A"/>
    <w:rsid w:val="00890556"/>
    <w:rsid w:val="0089061E"/>
    <w:rsid w:val="00890863"/>
    <w:rsid w:val="00891482"/>
    <w:rsid w:val="00891739"/>
    <w:rsid w:val="008917D2"/>
    <w:rsid w:val="00891A6F"/>
    <w:rsid w:val="00891BA4"/>
    <w:rsid w:val="00891F6F"/>
    <w:rsid w:val="00892464"/>
    <w:rsid w:val="00892B6C"/>
    <w:rsid w:val="00893879"/>
    <w:rsid w:val="008939A5"/>
    <w:rsid w:val="008941BB"/>
    <w:rsid w:val="0089429C"/>
    <w:rsid w:val="0089474F"/>
    <w:rsid w:val="0089497A"/>
    <w:rsid w:val="00894BF9"/>
    <w:rsid w:val="00894F5F"/>
    <w:rsid w:val="008956CD"/>
    <w:rsid w:val="00896A12"/>
    <w:rsid w:val="00896C0F"/>
    <w:rsid w:val="00896C8D"/>
    <w:rsid w:val="00897451"/>
    <w:rsid w:val="008976A2"/>
    <w:rsid w:val="0089791B"/>
    <w:rsid w:val="00897ACE"/>
    <w:rsid w:val="00897B87"/>
    <w:rsid w:val="008A025D"/>
    <w:rsid w:val="008A06EB"/>
    <w:rsid w:val="008A0BB0"/>
    <w:rsid w:val="008A1B9D"/>
    <w:rsid w:val="008A1F18"/>
    <w:rsid w:val="008A23F0"/>
    <w:rsid w:val="008A265A"/>
    <w:rsid w:val="008A2CA0"/>
    <w:rsid w:val="008A2F17"/>
    <w:rsid w:val="008A300F"/>
    <w:rsid w:val="008A3079"/>
    <w:rsid w:val="008A3652"/>
    <w:rsid w:val="008A3EB5"/>
    <w:rsid w:val="008A3FA3"/>
    <w:rsid w:val="008A402C"/>
    <w:rsid w:val="008A450D"/>
    <w:rsid w:val="008A4C4A"/>
    <w:rsid w:val="008A5248"/>
    <w:rsid w:val="008A53A5"/>
    <w:rsid w:val="008A577E"/>
    <w:rsid w:val="008A5941"/>
    <w:rsid w:val="008A5AB1"/>
    <w:rsid w:val="008A5D63"/>
    <w:rsid w:val="008A5EA2"/>
    <w:rsid w:val="008A603C"/>
    <w:rsid w:val="008A687C"/>
    <w:rsid w:val="008A732D"/>
    <w:rsid w:val="008A7407"/>
    <w:rsid w:val="008A7527"/>
    <w:rsid w:val="008A752A"/>
    <w:rsid w:val="008A7650"/>
    <w:rsid w:val="008A765B"/>
    <w:rsid w:val="008A7AA3"/>
    <w:rsid w:val="008B04C3"/>
    <w:rsid w:val="008B0542"/>
    <w:rsid w:val="008B056B"/>
    <w:rsid w:val="008B0876"/>
    <w:rsid w:val="008B08E4"/>
    <w:rsid w:val="008B09EF"/>
    <w:rsid w:val="008B1047"/>
    <w:rsid w:val="008B19EA"/>
    <w:rsid w:val="008B1D1A"/>
    <w:rsid w:val="008B20F5"/>
    <w:rsid w:val="008B2640"/>
    <w:rsid w:val="008B2CF2"/>
    <w:rsid w:val="008B3278"/>
    <w:rsid w:val="008B3F37"/>
    <w:rsid w:val="008B4243"/>
    <w:rsid w:val="008B46FA"/>
    <w:rsid w:val="008B4B47"/>
    <w:rsid w:val="008B4E66"/>
    <w:rsid w:val="008B5118"/>
    <w:rsid w:val="008B59D5"/>
    <w:rsid w:val="008B5F7E"/>
    <w:rsid w:val="008B5FD1"/>
    <w:rsid w:val="008B60CA"/>
    <w:rsid w:val="008B6272"/>
    <w:rsid w:val="008B6490"/>
    <w:rsid w:val="008B6597"/>
    <w:rsid w:val="008B65B9"/>
    <w:rsid w:val="008B6726"/>
    <w:rsid w:val="008B6A62"/>
    <w:rsid w:val="008B6C42"/>
    <w:rsid w:val="008B711B"/>
    <w:rsid w:val="008B715E"/>
    <w:rsid w:val="008B7301"/>
    <w:rsid w:val="008C0279"/>
    <w:rsid w:val="008C046C"/>
    <w:rsid w:val="008C12DE"/>
    <w:rsid w:val="008C1A5A"/>
    <w:rsid w:val="008C1F52"/>
    <w:rsid w:val="008C2814"/>
    <w:rsid w:val="008C2A4A"/>
    <w:rsid w:val="008C2B0B"/>
    <w:rsid w:val="008C2B43"/>
    <w:rsid w:val="008C2B7D"/>
    <w:rsid w:val="008C3604"/>
    <w:rsid w:val="008C4756"/>
    <w:rsid w:val="008C503C"/>
    <w:rsid w:val="008C5CC9"/>
    <w:rsid w:val="008C5FD1"/>
    <w:rsid w:val="008C6182"/>
    <w:rsid w:val="008C7022"/>
    <w:rsid w:val="008C7354"/>
    <w:rsid w:val="008C7F21"/>
    <w:rsid w:val="008D0424"/>
    <w:rsid w:val="008D15BF"/>
    <w:rsid w:val="008D15E9"/>
    <w:rsid w:val="008D1BD4"/>
    <w:rsid w:val="008D1C17"/>
    <w:rsid w:val="008D1D2A"/>
    <w:rsid w:val="008D2A9D"/>
    <w:rsid w:val="008D2AA5"/>
    <w:rsid w:val="008D3CC2"/>
    <w:rsid w:val="008D3E23"/>
    <w:rsid w:val="008D3F1E"/>
    <w:rsid w:val="008D3FE5"/>
    <w:rsid w:val="008D485D"/>
    <w:rsid w:val="008D4DD7"/>
    <w:rsid w:val="008D4F9A"/>
    <w:rsid w:val="008D5686"/>
    <w:rsid w:val="008D5865"/>
    <w:rsid w:val="008D6033"/>
    <w:rsid w:val="008D60E4"/>
    <w:rsid w:val="008D6189"/>
    <w:rsid w:val="008D61E7"/>
    <w:rsid w:val="008D6884"/>
    <w:rsid w:val="008D69FB"/>
    <w:rsid w:val="008D6CD0"/>
    <w:rsid w:val="008D6DB6"/>
    <w:rsid w:val="008D6FF4"/>
    <w:rsid w:val="008D71E9"/>
    <w:rsid w:val="008D720E"/>
    <w:rsid w:val="008D73B3"/>
    <w:rsid w:val="008D7683"/>
    <w:rsid w:val="008D7821"/>
    <w:rsid w:val="008D7B4D"/>
    <w:rsid w:val="008D7DB1"/>
    <w:rsid w:val="008E0038"/>
    <w:rsid w:val="008E0371"/>
    <w:rsid w:val="008E0504"/>
    <w:rsid w:val="008E1069"/>
    <w:rsid w:val="008E12B2"/>
    <w:rsid w:val="008E1448"/>
    <w:rsid w:val="008E16F4"/>
    <w:rsid w:val="008E18B5"/>
    <w:rsid w:val="008E1B23"/>
    <w:rsid w:val="008E242A"/>
    <w:rsid w:val="008E24AF"/>
    <w:rsid w:val="008E256D"/>
    <w:rsid w:val="008E28A5"/>
    <w:rsid w:val="008E2985"/>
    <w:rsid w:val="008E2BFE"/>
    <w:rsid w:val="008E2FF2"/>
    <w:rsid w:val="008E345A"/>
    <w:rsid w:val="008E34B4"/>
    <w:rsid w:val="008E3843"/>
    <w:rsid w:val="008E4005"/>
    <w:rsid w:val="008E41CF"/>
    <w:rsid w:val="008E48A9"/>
    <w:rsid w:val="008E4932"/>
    <w:rsid w:val="008E4B98"/>
    <w:rsid w:val="008E548F"/>
    <w:rsid w:val="008E5583"/>
    <w:rsid w:val="008E558A"/>
    <w:rsid w:val="008E5792"/>
    <w:rsid w:val="008E5797"/>
    <w:rsid w:val="008E58C0"/>
    <w:rsid w:val="008E5BA5"/>
    <w:rsid w:val="008E5ED5"/>
    <w:rsid w:val="008E61C4"/>
    <w:rsid w:val="008E6504"/>
    <w:rsid w:val="008E688F"/>
    <w:rsid w:val="008E6E4E"/>
    <w:rsid w:val="008E6EAD"/>
    <w:rsid w:val="008E701E"/>
    <w:rsid w:val="008E7113"/>
    <w:rsid w:val="008E72A0"/>
    <w:rsid w:val="008E73DB"/>
    <w:rsid w:val="008E7877"/>
    <w:rsid w:val="008E7C1E"/>
    <w:rsid w:val="008E7E98"/>
    <w:rsid w:val="008F012C"/>
    <w:rsid w:val="008F03B2"/>
    <w:rsid w:val="008F09A3"/>
    <w:rsid w:val="008F0DB6"/>
    <w:rsid w:val="008F0DD4"/>
    <w:rsid w:val="008F0DF2"/>
    <w:rsid w:val="008F0F57"/>
    <w:rsid w:val="008F0FAB"/>
    <w:rsid w:val="008F1016"/>
    <w:rsid w:val="008F1390"/>
    <w:rsid w:val="008F14A2"/>
    <w:rsid w:val="008F16E9"/>
    <w:rsid w:val="008F17F1"/>
    <w:rsid w:val="008F1D21"/>
    <w:rsid w:val="008F2677"/>
    <w:rsid w:val="008F2BF0"/>
    <w:rsid w:val="008F2D04"/>
    <w:rsid w:val="008F3A49"/>
    <w:rsid w:val="008F3B55"/>
    <w:rsid w:val="008F3EA5"/>
    <w:rsid w:val="008F40F4"/>
    <w:rsid w:val="008F424E"/>
    <w:rsid w:val="008F4548"/>
    <w:rsid w:val="008F4676"/>
    <w:rsid w:val="008F4E19"/>
    <w:rsid w:val="008F52F5"/>
    <w:rsid w:val="008F52FE"/>
    <w:rsid w:val="008F53C4"/>
    <w:rsid w:val="008F554E"/>
    <w:rsid w:val="008F56E0"/>
    <w:rsid w:val="008F575D"/>
    <w:rsid w:val="008F5A9E"/>
    <w:rsid w:val="008F5DB8"/>
    <w:rsid w:val="008F5FC5"/>
    <w:rsid w:val="008F5FE4"/>
    <w:rsid w:val="008F6B4A"/>
    <w:rsid w:val="008F6E3E"/>
    <w:rsid w:val="008F71AD"/>
    <w:rsid w:val="008F749C"/>
    <w:rsid w:val="008F754F"/>
    <w:rsid w:val="008F75D3"/>
    <w:rsid w:val="008F7652"/>
    <w:rsid w:val="008F7AFE"/>
    <w:rsid w:val="008F7CA1"/>
    <w:rsid w:val="0090008B"/>
    <w:rsid w:val="009000CE"/>
    <w:rsid w:val="00900369"/>
    <w:rsid w:val="009005A1"/>
    <w:rsid w:val="009009D6"/>
    <w:rsid w:val="00900C35"/>
    <w:rsid w:val="00900D9D"/>
    <w:rsid w:val="0090142A"/>
    <w:rsid w:val="009017D2"/>
    <w:rsid w:val="00901901"/>
    <w:rsid w:val="00901B0B"/>
    <w:rsid w:val="009020C2"/>
    <w:rsid w:val="00902747"/>
    <w:rsid w:val="009034F0"/>
    <w:rsid w:val="00904581"/>
    <w:rsid w:val="00904DCA"/>
    <w:rsid w:val="00905014"/>
    <w:rsid w:val="009052CC"/>
    <w:rsid w:val="00905497"/>
    <w:rsid w:val="00905510"/>
    <w:rsid w:val="00905E6A"/>
    <w:rsid w:val="009061E3"/>
    <w:rsid w:val="009063AF"/>
    <w:rsid w:val="0090652D"/>
    <w:rsid w:val="009068D9"/>
    <w:rsid w:val="009075C7"/>
    <w:rsid w:val="00907E71"/>
    <w:rsid w:val="0091005A"/>
    <w:rsid w:val="0091029E"/>
    <w:rsid w:val="00910506"/>
    <w:rsid w:val="00910698"/>
    <w:rsid w:val="0091075F"/>
    <w:rsid w:val="00910798"/>
    <w:rsid w:val="0091090D"/>
    <w:rsid w:val="00910DF1"/>
    <w:rsid w:val="0091106A"/>
    <w:rsid w:val="0091113A"/>
    <w:rsid w:val="00911377"/>
    <w:rsid w:val="009114C2"/>
    <w:rsid w:val="009115A5"/>
    <w:rsid w:val="00911973"/>
    <w:rsid w:val="00911B11"/>
    <w:rsid w:val="00911DA8"/>
    <w:rsid w:val="009121A2"/>
    <w:rsid w:val="009126D3"/>
    <w:rsid w:val="009128D1"/>
    <w:rsid w:val="00912AF5"/>
    <w:rsid w:val="00912E79"/>
    <w:rsid w:val="00913320"/>
    <w:rsid w:val="0091356E"/>
    <w:rsid w:val="00913598"/>
    <w:rsid w:val="00913AFB"/>
    <w:rsid w:val="00913CE8"/>
    <w:rsid w:val="00914202"/>
    <w:rsid w:val="009146C2"/>
    <w:rsid w:val="0091499A"/>
    <w:rsid w:val="00914AFC"/>
    <w:rsid w:val="00914B4A"/>
    <w:rsid w:val="00914EC3"/>
    <w:rsid w:val="0091511F"/>
    <w:rsid w:val="009154D6"/>
    <w:rsid w:val="00915530"/>
    <w:rsid w:val="00915CB7"/>
    <w:rsid w:val="00915F35"/>
    <w:rsid w:val="00915F36"/>
    <w:rsid w:val="0091626F"/>
    <w:rsid w:val="009166BD"/>
    <w:rsid w:val="009168B6"/>
    <w:rsid w:val="00917223"/>
    <w:rsid w:val="009175C4"/>
    <w:rsid w:val="00917756"/>
    <w:rsid w:val="009178BA"/>
    <w:rsid w:val="00917CE6"/>
    <w:rsid w:val="00917EBA"/>
    <w:rsid w:val="009200F5"/>
    <w:rsid w:val="00920221"/>
    <w:rsid w:val="009202FD"/>
    <w:rsid w:val="0092041A"/>
    <w:rsid w:val="0092079A"/>
    <w:rsid w:val="009209B0"/>
    <w:rsid w:val="00920B34"/>
    <w:rsid w:val="00920F23"/>
    <w:rsid w:val="0092121B"/>
    <w:rsid w:val="00921BBC"/>
    <w:rsid w:val="00921EC7"/>
    <w:rsid w:val="009224A0"/>
    <w:rsid w:val="00923039"/>
    <w:rsid w:val="0092305F"/>
    <w:rsid w:val="00923478"/>
    <w:rsid w:val="00923AB1"/>
    <w:rsid w:val="00923BDE"/>
    <w:rsid w:val="00923E75"/>
    <w:rsid w:val="00924315"/>
    <w:rsid w:val="009247B2"/>
    <w:rsid w:val="009251D7"/>
    <w:rsid w:val="009256BF"/>
    <w:rsid w:val="00925A06"/>
    <w:rsid w:val="00925CF4"/>
    <w:rsid w:val="00926709"/>
    <w:rsid w:val="00926D2E"/>
    <w:rsid w:val="00927783"/>
    <w:rsid w:val="00927912"/>
    <w:rsid w:val="009279ED"/>
    <w:rsid w:val="00927BB4"/>
    <w:rsid w:val="00927FD5"/>
    <w:rsid w:val="00927FE5"/>
    <w:rsid w:val="00930CF3"/>
    <w:rsid w:val="009316AA"/>
    <w:rsid w:val="00931E6E"/>
    <w:rsid w:val="00931F59"/>
    <w:rsid w:val="009322E6"/>
    <w:rsid w:val="00932503"/>
    <w:rsid w:val="009327A3"/>
    <w:rsid w:val="009328FE"/>
    <w:rsid w:val="00932F46"/>
    <w:rsid w:val="0093304B"/>
    <w:rsid w:val="00933AA1"/>
    <w:rsid w:val="00933F03"/>
    <w:rsid w:val="00933FAF"/>
    <w:rsid w:val="00934268"/>
    <w:rsid w:val="00934272"/>
    <w:rsid w:val="009342E6"/>
    <w:rsid w:val="00934630"/>
    <w:rsid w:val="00934B94"/>
    <w:rsid w:val="00934BEA"/>
    <w:rsid w:val="00934D87"/>
    <w:rsid w:val="00934F62"/>
    <w:rsid w:val="00934FC4"/>
    <w:rsid w:val="00935187"/>
    <w:rsid w:val="0093589B"/>
    <w:rsid w:val="009358CE"/>
    <w:rsid w:val="00935E3E"/>
    <w:rsid w:val="00935F0A"/>
    <w:rsid w:val="00936536"/>
    <w:rsid w:val="00936568"/>
    <w:rsid w:val="009366D8"/>
    <w:rsid w:val="00936751"/>
    <w:rsid w:val="0093682A"/>
    <w:rsid w:val="00936D0F"/>
    <w:rsid w:val="00936EEA"/>
    <w:rsid w:val="00936F81"/>
    <w:rsid w:val="00937004"/>
    <w:rsid w:val="0093712D"/>
    <w:rsid w:val="0093723D"/>
    <w:rsid w:val="0093742C"/>
    <w:rsid w:val="0093767E"/>
    <w:rsid w:val="009377D5"/>
    <w:rsid w:val="0093783C"/>
    <w:rsid w:val="00937BF9"/>
    <w:rsid w:val="009404EC"/>
    <w:rsid w:val="00940ED7"/>
    <w:rsid w:val="0094100F"/>
    <w:rsid w:val="00941161"/>
    <w:rsid w:val="009411D7"/>
    <w:rsid w:val="00941498"/>
    <w:rsid w:val="009421B0"/>
    <w:rsid w:val="00942801"/>
    <w:rsid w:val="009429CD"/>
    <w:rsid w:val="00942CDC"/>
    <w:rsid w:val="009432C2"/>
    <w:rsid w:val="009433B0"/>
    <w:rsid w:val="009436AF"/>
    <w:rsid w:val="00944114"/>
    <w:rsid w:val="0094430D"/>
    <w:rsid w:val="009448B8"/>
    <w:rsid w:val="00945022"/>
    <w:rsid w:val="00945729"/>
    <w:rsid w:val="00945CFE"/>
    <w:rsid w:val="00945ED2"/>
    <w:rsid w:val="00945F0E"/>
    <w:rsid w:val="00945F62"/>
    <w:rsid w:val="00946313"/>
    <w:rsid w:val="00946667"/>
    <w:rsid w:val="00946BAD"/>
    <w:rsid w:val="00946D07"/>
    <w:rsid w:val="00946E43"/>
    <w:rsid w:val="00947400"/>
    <w:rsid w:val="00947C4C"/>
    <w:rsid w:val="00947DAB"/>
    <w:rsid w:val="009501AA"/>
    <w:rsid w:val="0095025F"/>
    <w:rsid w:val="009502A2"/>
    <w:rsid w:val="0095051C"/>
    <w:rsid w:val="009506EB"/>
    <w:rsid w:val="0095097F"/>
    <w:rsid w:val="00950B13"/>
    <w:rsid w:val="0095178F"/>
    <w:rsid w:val="00951DFB"/>
    <w:rsid w:val="009520AB"/>
    <w:rsid w:val="0095219C"/>
    <w:rsid w:val="00952B63"/>
    <w:rsid w:val="00954138"/>
    <w:rsid w:val="009546D0"/>
    <w:rsid w:val="00954B68"/>
    <w:rsid w:val="0095520B"/>
    <w:rsid w:val="009552BA"/>
    <w:rsid w:val="00955806"/>
    <w:rsid w:val="009558CD"/>
    <w:rsid w:val="00955DB2"/>
    <w:rsid w:val="00955E57"/>
    <w:rsid w:val="00955F89"/>
    <w:rsid w:val="00956233"/>
    <w:rsid w:val="0095669B"/>
    <w:rsid w:val="00956BD5"/>
    <w:rsid w:val="0095792C"/>
    <w:rsid w:val="009579FC"/>
    <w:rsid w:val="00957C69"/>
    <w:rsid w:val="00957D5E"/>
    <w:rsid w:val="00957EFC"/>
    <w:rsid w:val="00960042"/>
    <w:rsid w:val="009600DF"/>
    <w:rsid w:val="009607A6"/>
    <w:rsid w:val="00960A39"/>
    <w:rsid w:val="00961043"/>
    <w:rsid w:val="00961524"/>
    <w:rsid w:val="00961CFD"/>
    <w:rsid w:val="00961EAD"/>
    <w:rsid w:val="009621B2"/>
    <w:rsid w:val="009628A4"/>
    <w:rsid w:val="00962921"/>
    <w:rsid w:val="00962D13"/>
    <w:rsid w:val="00963140"/>
    <w:rsid w:val="00963AC1"/>
    <w:rsid w:val="00963B2E"/>
    <w:rsid w:val="00963B60"/>
    <w:rsid w:val="00963F31"/>
    <w:rsid w:val="00964159"/>
    <w:rsid w:val="00964474"/>
    <w:rsid w:val="00964806"/>
    <w:rsid w:val="00964815"/>
    <w:rsid w:val="0096483D"/>
    <w:rsid w:val="00964EBF"/>
    <w:rsid w:val="00964EC2"/>
    <w:rsid w:val="00964F80"/>
    <w:rsid w:val="00965646"/>
    <w:rsid w:val="00965693"/>
    <w:rsid w:val="00965697"/>
    <w:rsid w:val="00965934"/>
    <w:rsid w:val="0096599B"/>
    <w:rsid w:val="009659DF"/>
    <w:rsid w:val="00966323"/>
    <w:rsid w:val="009668C0"/>
    <w:rsid w:val="0096713B"/>
    <w:rsid w:val="00967888"/>
    <w:rsid w:val="00967D2A"/>
    <w:rsid w:val="009700E5"/>
    <w:rsid w:val="00970247"/>
    <w:rsid w:val="00970669"/>
    <w:rsid w:val="0097077A"/>
    <w:rsid w:val="00970811"/>
    <w:rsid w:val="00970D03"/>
    <w:rsid w:val="00970D2E"/>
    <w:rsid w:val="00970F72"/>
    <w:rsid w:val="0097120B"/>
    <w:rsid w:val="0097127B"/>
    <w:rsid w:val="00971551"/>
    <w:rsid w:val="009715AA"/>
    <w:rsid w:val="00971611"/>
    <w:rsid w:val="00971881"/>
    <w:rsid w:val="00971BB3"/>
    <w:rsid w:val="00971C9C"/>
    <w:rsid w:val="00971D58"/>
    <w:rsid w:val="00972B2C"/>
    <w:rsid w:val="00972D05"/>
    <w:rsid w:val="00973229"/>
    <w:rsid w:val="00973380"/>
    <w:rsid w:val="00973B0A"/>
    <w:rsid w:val="00973C62"/>
    <w:rsid w:val="00973D10"/>
    <w:rsid w:val="00973E3D"/>
    <w:rsid w:val="0097439E"/>
    <w:rsid w:val="00974432"/>
    <w:rsid w:val="009746B3"/>
    <w:rsid w:val="0097499B"/>
    <w:rsid w:val="00974AFF"/>
    <w:rsid w:val="00974C06"/>
    <w:rsid w:val="00974C33"/>
    <w:rsid w:val="00974CA7"/>
    <w:rsid w:val="0097585C"/>
    <w:rsid w:val="00975E94"/>
    <w:rsid w:val="0097676F"/>
    <w:rsid w:val="00976D7A"/>
    <w:rsid w:val="0097700F"/>
    <w:rsid w:val="00977487"/>
    <w:rsid w:val="0097756E"/>
    <w:rsid w:val="0097770F"/>
    <w:rsid w:val="00977A74"/>
    <w:rsid w:val="00977C4D"/>
    <w:rsid w:val="00977D86"/>
    <w:rsid w:val="009801D3"/>
    <w:rsid w:val="0098063D"/>
    <w:rsid w:val="00980BA7"/>
    <w:rsid w:val="00980D37"/>
    <w:rsid w:val="00980ED4"/>
    <w:rsid w:val="00980EEA"/>
    <w:rsid w:val="009812DC"/>
    <w:rsid w:val="009812DE"/>
    <w:rsid w:val="00981999"/>
    <w:rsid w:val="00981C98"/>
    <w:rsid w:val="0098247C"/>
    <w:rsid w:val="00982927"/>
    <w:rsid w:val="00982BB6"/>
    <w:rsid w:val="00983995"/>
    <w:rsid w:val="00983B91"/>
    <w:rsid w:val="009847E8"/>
    <w:rsid w:val="00984A82"/>
    <w:rsid w:val="00984AC9"/>
    <w:rsid w:val="00984CE0"/>
    <w:rsid w:val="0098596E"/>
    <w:rsid w:val="00985C59"/>
    <w:rsid w:val="00985DF6"/>
    <w:rsid w:val="00985F5C"/>
    <w:rsid w:val="0098615E"/>
    <w:rsid w:val="009863E0"/>
    <w:rsid w:val="009868FC"/>
    <w:rsid w:val="009869AE"/>
    <w:rsid w:val="009869E0"/>
    <w:rsid w:val="009869EF"/>
    <w:rsid w:val="00986D36"/>
    <w:rsid w:val="00986EBE"/>
    <w:rsid w:val="00987390"/>
    <w:rsid w:val="009878B3"/>
    <w:rsid w:val="00987989"/>
    <w:rsid w:val="009901BB"/>
    <w:rsid w:val="009909DE"/>
    <w:rsid w:val="00990E94"/>
    <w:rsid w:val="00990F5B"/>
    <w:rsid w:val="00990FAC"/>
    <w:rsid w:val="00991243"/>
    <w:rsid w:val="009913B1"/>
    <w:rsid w:val="00992065"/>
    <w:rsid w:val="00992196"/>
    <w:rsid w:val="00992387"/>
    <w:rsid w:val="009925F3"/>
    <w:rsid w:val="00992695"/>
    <w:rsid w:val="0099296D"/>
    <w:rsid w:val="00992B8D"/>
    <w:rsid w:val="00992F8F"/>
    <w:rsid w:val="00993234"/>
    <w:rsid w:val="009933F5"/>
    <w:rsid w:val="00993512"/>
    <w:rsid w:val="009935BD"/>
    <w:rsid w:val="00994A41"/>
    <w:rsid w:val="00994D20"/>
    <w:rsid w:val="00994DE1"/>
    <w:rsid w:val="009951B3"/>
    <w:rsid w:val="0099582E"/>
    <w:rsid w:val="0099587A"/>
    <w:rsid w:val="00995A51"/>
    <w:rsid w:val="0099601B"/>
    <w:rsid w:val="0099628C"/>
    <w:rsid w:val="009962D8"/>
    <w:rsid w:val="009963D3"/>
    <w:rsid w:val="00996A94"/>
    <w:rsid w:val="00996AF3"/>
    <w:rsid w:val="00997042"/>
    <w:rsid w:val="0099708C"/>
    <w:rsid w:val="00997377"/>
    <w:rsid w:val="00997666"/>
    <w:rsid w:val="009979A3"/>
    <w:rsid w:val="00997B91"/>
    <w:rsid w:val="00997E99"/>
    <w:rsid w:val="00997FCB"/>
    <w:rsid w:val="009A0281"/>
    <w:rsid w:val="009A0753"/>
    <w:rsid w:val="009A14E8"/>
    <w:rsid w:val="009A1531"/>
    <w:rsid w:val="009A176D"/>
    <w:rsid w:val="009A18AB"/>
    <w:rsid w:val="009A1A37"/>
    <w:rsid w:val="009A1B8F"/>
    <w:rsid w:val="009A1CA3"/>
    <w:rsid w:val="009A1EE1"/>
    <w:rsid w:val="009A2572"/>
    <w:rsid w:val="009A2CA4"/>
    <w:rsid w:val="009A3183"/>
    <w:rsid w:val="009A3611"/>
    <w:rsid w:val="009A3622"/>
    <w:rsid w:val="009A3735"/>
    <w:rsid w:val="009A37DD"/>
    <w:rsid w:val="009A3BE8"/>
    <w:rsid w:val="009A415F"/>
    <w:rsid w:val="009A41BA"/>
    <w:rsid w:val="009A43C8"/>
    <w:rsid w:val="009A458F"/>
    <w:rsid w:val="009A469A"/>
    <w:rsid w:val="009A46E1"/>
    <w:rsid w:val="009A49C4"/>
    <w:rsid w:val="009A4A23"/>
    <w:rsid w:val="009A4C25"/>
    <w:rsid w:val="009A4DA1"/>
    <w:rsid w:val="009A4FE1"/>
    <w:rsid w:val="009A513E"/>
    <w:rsid w:val="009A5CC3"/>
    <w:rsid w:val="009A6500"/>
    <w:rsid w:val="009A6538"/>
    <w:rsid w:val="009A6657"/>
    <w:rsid w:val="009A6D77"/>
    <w:rsid w:val="009A6E30"/>
    <w:rsid w:val="009A72D3"/>
    <w:rsid w:val="009A734D"/>
    <w:rsid w:val="009A7967"/>
    <w:rsid w:val="009A7AC1"/>
    <w:rsid w:val="009B00D8"/>
    <w:rsid w:val="009B04F0"/>
    <w:rsid w:val="009B0641"/>
    <w:rsid w:val="009B0753"/>
    <w:rsid w:val="009B0956"/>
    <w:rsid w:val="009B16D8"/>
    <w:rsid w:val="009B1C2E"/>
    <w:rsid w:val="009B1CAB"/>
    <w:rsid w:val="009B2069"/>
    <w:rsid w:val="009B22E6"/>
    <w:rsid w:val="009B23EA"/>
    <w:rsid w:val="009B2692"/>
    <w:rsid w:val="009B2693"/>
    <w:rsid w:val="009B26C3"/>
    <w:rsid w:val="009B2AE3"/>
    <w:rsid w:val="009B2F70"/>
    <w:rsid w:val="009B3139"/>
    <w:rsid w:val="009B3189"/>
    <w:rsid w:val="009B3C71"/>
    <w:rsid w:val="009B3D09"/>
    <w:rsid w:val="009B3D8E"/>
    <w:rsid w:val="009B3E54"/>
    <w:rsid w:val="009B47D7"/>
    <w:rsid w:val="009B54AD"/>
    <w:rsid w:val="009B5614"/>
    <w:rsid w:val="009B5841"/>
    <w:rsid w:val="009B5939"/>
    <w:rsid w:val="009B5965"/>
    <w:rsid w:val="009B5DC6"/>
    <w:rsid w:val="009B5E98"/>
    <w:rsid w:val="009B670D"/>
    <w:rsid w:val="009B6958"/>
    <w:rsid w:val="009B6A56"/>
    <w:rsid w:val="009B6D3C"/>
    <w:rsid w:val="009B6DD8"/>
    <w:rsid w:val="009B7236"/>
    <w:rsid w:val="009B7452"/>
    <w:rsid w:val="009B7485"/>
    <w:rsid w:val="009B759C"/>
    <w:rsid w:val="009B75D4"/>
    <w:rsid w:val="009B7A3D"/>
    <w:rsid w:val="009C0056"/>
    <w:rsid w:val="009C03F7"/>
    <w:rsid w:val="009C064F"/>
    <w:rsid w:val="009C0658"/>
    <w:rsid w:val="009C17D2"/>
    <w:rsid w:val="009C1D09"/>
    <w:rsid w:val="009C1E8D"/>
    <w:rsid w:val="009C20A8"/>
    <w:rsid w:val="009C21C2"/>
    <w:rsid w:val="009C2673"/>
    <w:rsid w:val="009C2AB5"/>
    <w:rsid w:val="009C2DEC"/>
    <w:rsid w:val="009C31F9"/>
    <w:rsid w:val="009C37D5"/>
    <w:rsid w:val="009C3A6B"/>
    <w:rsid w:val="009C3C4C"/>
    <w:rsid w:val="009C3F4D"/>
    <w:rsid w:val="009C4DF9"/>
    <w:rsid w:val="009C50F0"/>
    <w:rsid w:val="009C55CC"/>
    <w:rsid w:val="009C5B47"/>
    <w:rsid w:val="009C5C3E"/>
    <w:rsid w:val="009C5F3A"/>
    <w:rsid w:val="009C5FC1"/>
    <w:rsid w:val="009C6151"/>
    <w:rsid w:val="009C6331"/>
    <w:rsid w:val="009C65D1"/>
    <w:rsid w:val="009C6AC2"/>
    <w:rsid w:val="009C6C93"/>
    <w:rsid w:val="009C73F6"/>
    <w:rsid w:val="009C7456"/>
    <w:rsid w:val="009C7891"/>
    <w:rsid w:val="009C7983"/>
    <w:rsid w:val="009C7EF6"/>
    <w:rsid w:val="009D0088"/>
    <w:rsid w:val="009D013D"/>
    <w:rsid w:val="009D0573"/>
    <w:rsid w:val="009D0A94"/>
    <w:rsid w:val="009D0CAF"/>
    <w:rsid w:val="009D0E31"/>
    <w:rsid w:val="009D0E50"/>
    <w:rsid w:val="009D1478"/>
    <w:rsid w:val="009D1E3E"/>
    <w:rsid w:val="009D2639"/>
    <w:rsid w:val="009D2985"/>
    <w:rsid w:val="009D38D4"/>
    <w:rsid w:val="009D3B7A"/>
    <w:rsid w:val="009D3BD5"/>
    <w:rsid w:val="009D4B03"/>
    <w:rsid w:val="009D4B76"/>
    <w:rsid w:val="009D4D47"/>
    <w:rsid w:val="009D4F2C"/>
    <w:rsid w:val="009D5659"/>
    <w:rsid w:val="009D5858"/>
    <w:rsid w:val="009D62F2"/>
    <w:rsid w:val="009D630B"/>
    <w:rsid w:val="009D6B7C"/>
    <w:rsid w:val="009D71E7"/>
    <w:rsid w:val="009D73AA"/>
    <w:rsid w:val="009D73CF"/>
    <w:rsid w:val="009D74CB"/>
    <w:rsid w:val="009D75D1"/>
    <w:rsid w:val="009D7612"/>
    <w:rsid w:val="009E04D3"/>
    <w:rsid w:val="009E04FA"/>
    <w:rsid w:val="009E0AE9"/>
    <w:rsid w:val="009E0C0C"/>
    <w:rsid w:val="009E0D86"/>
    <w:rsid w:val="009E0D9E"/>
    <w:rsid w:val="009E1239"/>
    <w:rsid w:val="009E14F3"/>
    <w:rsid w:val="009E18C7"/>
    <w:rsid w:val="009E29EF"/>
    <w:rsid w:val="009E31AA"/>
    <w:rsid w:val="009E33B8"/>
    <w:rsid w:val="009E3915"/>
    <w:rsid w:val="009E3A17"/>
    <w:rsid w:val="009E3B48"/>
    <w:rsid w:val="009E3E72"/>
    <w:rsid w:val="009E403F"/>
    <w:rsid w:val="009E4351"/>
    <w:rsid w:val="009E4745"/>
    <w:rsid w:val="009E495D"/>
    <w:rsid w:val="009E4C9E"/>
    <w:rsid w:val="009E5BAD"/>
    <w:rsid w:val="009E5C33"/>
    <w:rsid w:val="009E5E60"/>
    <w:rsid w:val="009E5E9C"/>
    <w:rsid w:val="009E616B"/>
    <w:rsid w:val="009E6330"/>
    <w:rsid w:val="009E6891"/>
    <w:rsid w:val="009E69F6"/>
    <w:rsid w:val="009E6A40"/>
    <w:rsid w:val="009E7115"/>
    <w:rsid w:val="009E725E"/>
    <w:rsid w:val="009E79DB"/>
    <w:rsid w:val="009F0373"/>
    <w:rsid w:val="009F0939"/>
    <w:rsid w:val="009F09DC"/>
    <w:rsid w:val="009F0A34"/>
    <w:rsid w:val="009F0E61"/>
    <w:rsid w:val="009F0EE7"/>
    <w:rsid w:val="009F10DB"/>
    <w:rsid w:val="009F1159"/>
    <w:rsid w:val="009F1187"/>
    <w:rsid w:val="009F120E"/>
    <w:rsid w:val="009F13BE"/>
    <w:rsid w:val="009F1827"/>
    <w:rsid w:val="009F1A3F"/>
    <w:rsid w:val="009F23A4"/>
    <w:rsid w:val="009F270E"/>
    <w:rsid w:val="009F2A3F"/>
    <w:rsid w:val="009F2AF7"/>
    <w:rsid w:val="009F3235"/>
    <w:rsid w:val="009F38FA"/>
    <w:rsid w:val="009F3BD2"/>
    <w:rsid w:val="009F3C24"/>
    <w:rsid w:val="009F3C96"/>
    <w:rsid w:val="009F3CD0"/>
    <w:rsid w:val="009F3E22"/>
    <w:rsid w:val="009F41CB"/>
    <w:rsid w:val="009F4B71"/>
    <w:rsid w:val="009F4D26"/>
    <w:rsid w:val="009F4E1C"/>
    <w:rsid w:val="009F4F62"/>
    <w:rsid w:val="009F5378"/>
    <w:rsid w:val="009F5427"/>
    <w:rsid w:val="009F5B7A"/>
    <w:rsid w:val="009F5E31"/>
    <w:rsid w:val="009F616E"/>
    <w:rsid w:val="009F61FB"/>
    <w:rsid w:val="009F6549"/>
    <w:rsid w:val="009F6809"/>
    <w:rsid w:val="009F6816"/>
    <w:rsid w:val="009F6ED5"/>
    <w:rsid w:val="009F7040"/>
    <w:rsid w:val="009F70F1"/>
    <w:rsid w:val="009F745F"/>
    <w:rsid w:val="009F756F"/>
    <w:rsid w:val="009F785E"/>
    <w:rsid w:val="009F7FA8"/>
    <w:rsid w:val="00A00EEE"/>
    <w:rsid w:val="00A00F7A"/>
    <w:rsid w:val="00A01079"/>
    <w:rsid w:val="00A0117F"/>
    <w:rsid w:val="00A011CA"/>
    <w:rsid w:val="00A0146E"/>
    <w:rsid w:val="00A019AC"/>
    <w:rsid w:val="00A01B32"/>
    <w:rsid w:val="00A01B8E"/>
    <w:rsid w:val="00A01BA8"/>
    <w:rsid w:val="00A02472"/>
    <w:rsid w:val="00A026F0"/>
    <w:rsid w:val="00A02D8B"/>
    <w:rsid w:val="00A02F7D"/>
    <w:rsid w:val="00A03AB8"/>
    <w:rsid w:val="00A03F5D"/>
    <w:rsid w:val="00A042E6"/>
    <w:rsid w:val="00A04D82"/>
    <w:rsid w:val="00A04E38"/>
    <w:rsid w:val="00A0521B"/>
    <w:rsid w:val="00A05846"/>
    <w:rsid w:val="00A058F5"/>
    <w:rsid w:val="00A058FB"/>
    <w:rsid w:val="00A05C48"/>
    <w:rsid w:val="00A05FE6"/>
    <w:rsid w:val="00A06326"/>
    <w:rsid w:val="00A06693"/>
    <w:rsid w:val="00A068B9"/>
    <w:rsid w:val="00A06C41"/>
    <w:rsid w:val="00A06EE1"/>
    <w:rsid w:val="00A0711C"/>
    <w:rsid w:val="00A07144"/>
    <w:rsid w:val="00A0775C"/>
    <w:rsid w:val="00A07DEC"/>
    <w:rsid w:val="00A07F3C"/>
    <w:rsid w:val="00A102A0"/>
    <w:rsid w:val="00A1035E"/>
    <w:rsid w:val="00A10546"/>
    <w:rsid w:val="00A10A3B"/>
    <w:rsid w:val="00A10B77"/>
    <w:rsid w:val="00A10ECF"/>
    <w:rsid w:val="00A11296"/>
    <w:rsid w:val="00A11417"/>
    <w:rsid w:val="00A115F7"/>
    <w:rsid w:val="00A11A17"/>
    <w:rsid w:val="00A11CA7"/>
    <w:rsid w:val="00A11D77"/>
    <w:rsid w:val="00A125C6"/>
    <w:rsid w:val="00A13721"/>
    <w:rsid w:val="00A13D8A"/>
    <w:rsid w:val="00A1435B"/>
    <w:rsid w:val="00A14504"/>
    <w:rsid w:val="00A14EC2"/>
    <w:rsid w:val="00A151D2"/>
    <w:rsid w:val="00A15A51"/>
    <w:rsid w:val="00A15B8B"/>
    <w:rsid w:val="00A1616C"/>
    <w:rsid w:val="00A16349"/>
    <w:rsid w:val="00A163BA"/>
    <w:rsid w:val="00A165CA"/>
    <w:rsid w:val="00A16E9F"/>
    <w:rsid w:val="00A16EA9"/>
    <w:rsid w:val="00A17232"/>
    <w:rsid w:val="00A176D6"/>
    <w:rsid w:val="00A20956"/>
    <w:rsid w:val="00A20A0A"/>
    <w:rsid w:val="00A20EB5"/>
    <w:rsid w:val="00A210C2"/>
    <w:rsid w:val="00A21C05"/>
    <w:rsid w:val="00A21CE8"/>
    <w:rsid w:val="00A22030"/>
    <w:rsid w:val="00A22197"/>
    <w:rsid w:val="00A222FA"/>
    <w:rsid w:val="00A228D4"/>
    <w:rsid w:val="00A23058"/>
    <w:rsid w:val="00A2370C"/>
    <w:rsid w:val="00A239A0"/>
    <w:rsid w:val="00A239CF"/>
    <w:rsid w:val="00A23A44"/>
    <w:rsid w:val="00A23DFC"/>
    <w:rsid w:val="00A23FA4"/>
    <w:rsid w:val="00A2413C"/>
    <w:rsid w:val="00A244A1"/>
    <w:rsid w:val="00A24F2B"/>
    <w:rsid w:val="00A25460"/>
    <w:rsid w:val="00A26319"/>
    <w:rsid w:val="00A2646E"/>
    <w:rsid w:val="00A26568"/>
    <w:rsid w:val="00A26F28"/>
    <w:rsid w:val="00A2702E"/>
    <w:rsid w:val="00A273DE"/>
    <w:rsid w:val="00A27BF5"/>
    <w:rsid w:val="00A30B1A"/>
    <w:rsid w:val="00A30E76"/>
    <w:rsid w:val="00A30F96"/>
    <w:rsid w:val="00A312B6"/>
    <w:rsid w:val="00A314E6"/>
    <w:rsid w:val="00A31676"/>
    <w:rsid w:val="00A316CF"/>
    <w:rsid w:val="00A31B83"/>
    <w:rsid w:val="00A31ECE"/>
    <w:rsid w:val="00A323FC"/>
    <w:rsid w:val="00A327B4"/>
    <w:rsid w:val="00A327D4"/>
    <w:rsid w:val="00A32834"/>
    <w:rsid w:val="00A32AAC"/>
    <w:rsid w:val="00A3308D"/>
    <w:rsid w:val="00A331D5"/>
    <w:rsid w:val="00A3393D"/>
    <w:rsid w:val="00A33A30"/>
    <w:rsid w:val="00A33C1F"/>
    <w:rsid w:val="00A33E2D"/>
    <w:rsid w:val="00A3424A"/>
    <w:rsid w:val="00A34695"/>
    <w:rsid w:val="00A34B71"/>
    <w:rsid w:val="00A34D6C"/>
    <w:rsid w:val="00A3573E"/>
    <w:rsid w:val="00A35D56"/>
    <w:rsid w:val="00A35F8E"/>
    <w:rsid w:val="00A363FE"/>
    <w:rsid w:val="00A365E6"/>
    <w:rsid w:val="00A36615"/>
    <w:rsid w:val="00A3699E"/>
    <w:rsid w:val="00A3739D"/>
    <w:rsid w:val="00A37432"/>
    <w:rsid w:val="00A37485"/>
    <w:rsid w:val="00A37784"/>
    <w:rsid w:val="00A37C63"/>
    <w:rsid w:val="00A37CD0"/>
    <w:rsid w:val="00A40099"/>
    <w:rsid w:val="00A4078D"/>
    <w:rsid w:val="00A409CD"/>
    <w:rsid w:val="00A40D15"/>
    <w:rsid w:val="00A40D8E"/>
    <w:rsid w:val="00A40EBB"/>
    <w:rsid w:val="00A415A7"/>
    <w:rsid w:val="00A41DE2"/>
    <w:rsid w:val="00A41EBB"/>
    <w:rsid w:val="00A41F19"/>
    <w:rsid w:val="00A437E2"/>
    <w:rsid w:val="00A43B60"/>
    <w:rsid w:val="00A43BA2"/>
    <w:rsid w:val="00A43E21"/>
    <w:rsid w:val="00A44017"/>
    <w:rsid w:val="00A440C4"/>
    <w:rsid w:val="00A440F7"/>
    <w:rsid w:val="00A4433F"/>
    <w:rsid w:val="00A44C2D"/>
    <w:rsid w:val="00A44FD9"/>
    <w:rsid w:val="00A46770"/>
    <w:rsid w:val="00A46814"/>
    <w:rsid w:val="00A46898"/>
    <w:rsid w:val="00A46CCB"/>
    <w:rsid w:val="00A47701"/>
    <w:rsid w:val="00A47A5E"/>
    <w:rsid w:val="00A47EE7"/>
    <w:rsid w:val="00A5024E"/>
    <w:rsid w:val="00A502CC"/>
    <w:rsid w:val="00A5038C"/>
    <w:rsid w:val="00A503A1"/>
    <w:rsid w:val="00A5043B"/>
    <w:rsid w:val="00A50732"/>
    <w:rsid w:val="00A50772"/>
    <w:rsid w:val="00A50876"/>
    <w:rsid w:val="00A50A28"/>
    <w:rsid w:val="00A50B60"/>
    <w:rsid w:val="00A50B95"/>
    <w:rsid w:val="00A50CB8"/>
    <w:rsid w:val="00A50FF4"/>
    <w:rsid w:val="00A510CA"/>
    <w:rsid w:val="00A514C3"/>
    <w:rsid w:val="00A51643"/>
    <w:rsid w:val="00A51764"/>
    <w:rsid w:val="00A519D9"/>
    <w:rsid w:val="00A52281"/>
    <w:rsid w:val="00A52D6F"/>
    <w:rsid w:val="00A52DDD"/>
    <w:rsid w:val="00A52F06"/>
    <w:rsid w:val="00A52F8B"/>
    <w:rsid w:val="00A53797"/>
    <w:rsid w:val="00A537D0"/>
    <w:rsid w:val="00A53AB4"/>
    <w:rsid w:val="00A53ABE"/>
    <w:rsid w:val="00A549AF"/>
    <w:rsid w:val="00A54A3A"/>
    <w:rsid w:val="00A54CD3"/>
    <w:rsid w:val="00A54F78"/>
    <w:rsid w:val="00A5509C"/>
    <w:rsid w:val="00A5533B"/>
    <w:rsid w:val="00A5533F"/>
    <w:rsid w:val="00A55921"/>
    <w:rsid w:val="00A560E4"/>
    <w:rsid w:val="00A561AF"/>
    <w:rsid w:val="00A565C8"/>
    <w:rsid w:val="00A56663"/>
    <w:rsid w:val="00A56C70"/>
    <w:rsid w:val="00A56CA4"/>
    <w:rsid w:val="00A56D9C"/>
    <w:rsid w:val="00A5705F"/>
    <w:rsid w:val="00A57169"/>
    <w:rsid w:val="00A571D3"/>
    <w:rsid w:val="00A57247"/>
    <w:rsid w:val="00A5724B"/>
    <w:rsid w:val="00A5745A"/>
    <w:rsid w:val="00A5756D"/>
    <w:rsid w:val="00A577F5"/>
    <w:rsid w:val="00A578CA"/>
    <w:rsid w:val="00A578D1"/>
    <w:rsid w:val="00A57AF2"/>
    <w:rsid w:val="00A6012D"/>
    <w:rsid w:val="00A60301"/>
    <w:rsid w:val="00A60AF8"/>
    <w:rsid w:val="00A60E8A"/>
    <w:rsid w:val="00A60EDB"/>
    <w:rsid w:val="00A60F59"/>
    <w:rsid w:val="00A613AA"/>
    <w:rsid w:val="00A61E9D"/>
    <w:rsid w:val="00A622FD"/>
    <w:rsid w:val="00A63FFE"/>
    <w:rsid w:val="00A64064"/>
    <w:rsid w:val="00A640F9"/>
    <w:rsid w:val="00A64123"/>
    <w:rsid w:val="00A645CE"/>
    <w:rsid w:val="00A647EC"/>
    <w:rsid w:val="00A648B4"/>
    <w:rsid w:val="00A64CCB"/>
    <w:rsid w:val="00A64DA9"/>
    <w:rsid w:val="00A65242"/>
    <w:rsid w:val="00A6526C"/>
    <w:rsid w:val="00A657F8"/>
    <w:rsid w:val="00A65E9B"/>
    <w:rsid w:val="00A6612C"/>
    <w:rsid w:val="00A6619B"/>
    <w:rsid w:val="00A664C4"/>
    <w:rsid w:val="00A670E8"/>
    <w:rsid w:val="00A67BBB"/>
    <w:rsid w:val="00A67CD9"/>
    <w:rsid w:val="00A67DFF"/>
    <w:rsid w:val="00A67EFF"/>
    <w:rsid w:val="00A67F48"/>
    <w:rsid w:val="00A7005C"/>
    <w:rsid w:val="00A705C2"/>
    <w:rsid w:val="00A706C9"/>
    <w:rsid w:val="00A70B41"/>
    <w:rsid w:val="00A70BAF"/>
    <w:rsid w:val="00A711EA"/>
    <w:rsid w:val="00A712E0"/>
    <w:rsid w:val="00A71407"/>
    <w:rsid w:val="00A71505"/>
    <w:rsid w:val="00A715BF"/>
    <w:rsid w:val="00A717B1"/>
    <w:rsid w:val="00A71821"/>
    <w:rsid w:val="00A7226F"/>
    <w:rsid w:val="00A722DA"/>
    <w:rsid w:val="00A723CE"/>
    <w:rsid w:val="00A72A30"/>
    <w:rsid w:val="00A72B28"/>
    <w:rsid w:val="00A72C8C"/>
    <w:rsid w:val="00A72E4C"/>
    <w:rsid w:val="00A72ED4"/>
    <w:rsid w:val="00A73032"/>
    <w:rsid w:val="00A7310F"/>
    <w:rsid w:val="00A739F9"/>
    <w:rsid w:val="00A73AF1"/>
    <w:rsid w:val="00A743F3"/>
    <w:rsid w:val="00A74802"/>
    <w:rsid w:val="00A74A4F"/>
    <w:rsid w:val="00A74AEB"/>
    <w:rsid w:val="00A74EFC"/>
    <w:rsid w:val="00A75352"/>
    <w:rsid w:val="00A754F6"/>
    <w:rsid w:val="00A755D2"/>
    <w:rsid w:val="00A7570B"/>
    <w:rsid w:val="00A757BE"/>
    <w:rsid w:val="00A75989"/>
    <w:rsid w:val="00A75E58"/>
    <w:rsid w:val="00A7639E"/>
    <w:rsid w:val="00A764EF"/>
    <w:rsid w:val="00A767EB"/>
    <w:rsid w:val="00A7696E"/>
    <w:rsid w:val="00A769C1"/>
    <w:rsid w:val="00A76C66"/>
    <w:rsid w:val="00A76C7E"/>
    <w:rsid w:val="00A76DDD"/>
    <w:rsid w:val="00A76F12"/>
    <w:rsid w:val="00A77869"/>
    <w:rsid w:val="00A77A34"/>
    <w:rsid w:val="00A77A8A"/>
    <w:rsid w:val="00A77D85"/>
    <w:rsid w:val="00A77DB6"/>
    <w:rsid w:val="00A77FE9"/>
    <w:rsid w:val="00A8065D"/>
    <w:rsid w:val="00A80909"/>
    <w:rsid w:val="00A80CA3"/>
    <w:rsid w:val="00A80FBF"/>
    <w:rsid w:val="00A81169"/>
    <w:rsid w:val="00A8139C"/>
    <w:rsid w:val="00A81628"/>
    <w:rsid w:val="00A81CC6"/>
    <w:rsid w:val="00A81F5D"/>
    <w:rsid w:val="00A81FA4"/>
    <w:rsid w:val="00A82195"/>
    <w:rsid w:val="00A82504"/>
    <w:rsid w:val="00A82656"/>
    <w:rsid w:val="00A827F7"/>
    <w:rsid w:val="00A82A9D"/>
    <w:rsid w:val="00A82B74"/>
    <w:rsid w:val="00A82CB3"/>
    <w:rsid w:val="00A82CF7"/>
    <w:rsid w:val="00A83840"/>
    <w:rsid w:val="00A8391D"/>
    <w:rsid w:val="00A83A75"/>
    <w:rsid w:val="00A83E49"/>
    <w:rsid w:val="00A83E73"/>
    <w:rsid w:val="00A844B1"/>
    <w:rsid w:val="00A845FA"/>
    <w:rsid w:val="00A84871"/>
    <w:rsid w:val="00A848A7"/>
    <w:rsid w:val="00A84948"/>
    <w:rsid w:val="00A84D6B"/>
    <w:rsid w:val="00A85268"/>
    <w:rsid w:val="00A854E5"/>
    <w:rsid w:val="00A859C8"/>
    <w:rsid w:val="00A86413"/>
    <w:rsid w:val="00A8663D"/>
    <w:rsid w:val="00A86B0C"/>
    <w:rsid w:val="00A8792A"/>
    <w:rsid w:val="00A879CC"/>
    <w:rsid w:val="00A87AD5"/>
    <w:rsid w:val="00A87E8D"/>
    <w:rsid w:val="00A87FD4"/>
    <w:rsid w:val="00A90038"/>
    <w:rsid w:val="00A90B56"/>
    <w:rsid w:val="00A90C6D"/>
    <w:rsid w:val="00A90F7D"/>
    <w:rsid w:val="00A915CE"/>
    <w:rsid w:val="00A92675"/>
    <w:rsid w:val="00A92A86"/>
    <w:rsid w:val="00A93AAF"/>
    <w:rsid w:val="00A93D84"/>
    <w:rsid w:val="00A93E3A"/>
    <w:rsid w:val="00A94150"/>
    <w:rsid w:val="00A94557"/>
    <w:rsid w:val="00A94824"/>
    <w:rsid w:val="00A94885"/>
    <w:rsid w:val="00A94CD2"/>
    <w:rsid w:val="00A94F32"/>
    <w:rsid w:val="00A9502A"/>
    <w:rsid w:val="00A9544C"/>
    <w:rsid w:val="00A9548D"/>
    <w:rsid w:val="00A95552"/>
    <w:rsid w:val="00A95C1D"/>
    <w:rsid w:val="00A95D7A"/>
    <w:rsid w:val="00A95EA5"/>
    <w:rsid w:val="00A95EF0"/>
    <w:rsid w:val="00A96005"/>
    <w:rsid w:val="00A964E1"/>
    <w:rsid w:val="00A969B3"/>
    <w:rsid w:val="00A97A8E"/>
    <w:rsid w:val="00A97FD4"/>
    <w:rsid w:val="00AA01AD"/>
    <w:rsid w:val="00AA0310"/>
    <w:rsid w:val="00AA07CF"/>
    <w:rsid w:val="00AA0889"/>
    <w:rsid w:val="00AA0988"/>
    <w:rsid w:val="00AA0AA6"/>
    <w:rsid w:val="00AA15C9"/>
    <w:rsid w:val="00AA1B23"/>
    <w:rsid w:val="00AA1BE9"/>
    <w:rsid w:val="00AA1C16"/>
    <w:rsid w:val="00AA1E2F"/>
    <w:rsid w:val="00AA1FC5"/>
    <w:rsid w:val="00AA2340"/>
    <w:rsid w:val="00AA2D7E"/>
    <w:rsid w:val="00AA2F8D"/>
    <w:rsid w:val="00AA30B5"/>
    <w:rsid w:val="00AA30D5"/>
    <w:rsid w:val="00AA3245"/>
    <w:rsid w:val="00AA3468"/>
    <w:rsid w:val="00AA34B3"/>
    <w:rsid w:val="00AA396E"/>
    <w:rsid w:val="00AA39A4"/>
    <w:rsid w:val="00AA3B70"/>
    <w:rsid w:val="00AA4400"/>
    <w:rsid w:val="00AA4685"/>
    <w:rsid w:val="00AA4990"/>
    <w:rsid w:val="00AA4A7F"/>
    <w:rsid w:val="00AA4BC6"/>
    <w:rsid w:val="00AA5B0E"/>
    <w:rsid w:val="00AA5D7D"/>
    <w:rsid w:val="00AA6133"/>
    <w:rsid w:val="00AA67BA"/>
    <w:rsid w:val="00AA6B80"/>
    <w:rsid w:val="00AA7005"/>
    <w:rsid w:val="00AA745B"/>
    <w:rsid w:val="00AA74BF"/>
    <w:rsid w:val="00AA74E1"/>
    <w:rsid w:val="00AA7716"/>
    <w:rsid w:val="00AA7A6F"/>
    <w:rsid w:val="00AB01F2"/>
    <w:rsid w:val="00AB0859"/>
    <w:rsid w:val="00AB1495"/>
    <w:rsid w:val="00AB174B"/>
    <w:rsid w:val="00AB1B04"/>
    <w:rsid w:val="00AB1E80"/>
    <w:rsid w:val="00AB2E21"/>
    <w:rsid w:val="00AB32F2"/>
    <w:rsid w:val="00AB38BF"/>
    <w:rsid w:val="00AB4149"/>
    <w:rsid w:val="00AB47BB"/>
    <w:rsid w:val="00AB49E0"/>
    <w:rsid w:val="00AB4AAD"/>
    <w:rsid w:val="00AB4BAF"/>
    <w:rsid w:val="00AB4C03"/>
    <w:rsid w:val="00AB4CF0"/>
    <w:rsid w:val="00AB6551"/>
    <w:rsid w:val="00AB65B2"/>
    <w:rsid w:val="00AB674F"/>
    <w:rsid w:val="00AB6864"/>
    <w:rsid w:val="00AB686E"/>
    <w:rsid w:val="00AB6FF6"/>
    <w:rsid w:val="00AB722B"/>
    <w:rsid w:val="00AB737D"/>
    <w:rsid w:val="00AB7AA2"/>
    <w:rsid w:val="00AB7D0B"/>
    <w:rsid w:val="00AB7F39"/>
    <w:rsid w:val="00AB7F3E"/>
    <w:rsid w:val="00AC0351"/>
    <w:rsid w:val="00AC0AF4"/>
    <w:rsid w:val="00AC1097"/>
    <w:rsid w:val="00AC11A0"/>
    <w:rsid w:val="00AC1367"/>
    <w:rsid w:val="00AC14F2"/>
    <w:rsid w:val="00AC19AC"/>
    <w:rsid w:val="00AC1B54"/>
    <w:rsid w:val="00AC2398"/>
    <w:rsid w:val="00AC2853"/>
    <w:rsid w:val="00AC2DD0"/>
    <w:rsid w:val="00AC306D"/>
    <w:rsid w:val="00AC30AD"/>
    <w:rsid w:val="00AC33C0"/>
    <w:rsid w:val="00AC3B55"/>
    <w:rsid w:val="00AC3DA0"/>
    <w:rsid w:val="00AC3DFC"/>
    <w:rsid w:val="00AC42ED"/>
    <w:rsid w:val="00AC459F"/>
    <w:rsid w:val="00AC484B"/>
    <w:rsid w:val="00AC4869"/>
    <w:rsid w:val="00AC4887"/>
    <w:rsid w:val="00AC536F"/>
    <w:rsid w:val="00AC53B2"/>
    <w:rsid w:val="00AC6213"/>
    <w:rsid w:val="00AC68A8"/>
    <w:rsid w:val="00AC6B50"/>
    <w:rsid w:val="00AC6DFC"/>
    <w:rsid w:val="00AC6FFC"/>
    <w:rsid w:val="00AC706C"/>
    <w:rsid w:val="00AC781E"/>
    <w:rsid w:val="00AC7A68"/>
    <w:rsid w:val="00AC7B37"/>
    <w:rsid w:val="00AD0413"/>
    <w:rsid w:val="00AD05A4"/>
    <w:rsid w:val="00AD0CF0"/>
    <w:rsid w:val="00AD0D71"/>
    <w:rsid w:val="00AD0F45"/>
    <w:rsid w:val="00AD10EC"/>
    <w:rsid w:val="00AD1227"/>
    <w:rsid w:val="00AD1824"/>
    <w:rsid w:val="00AD1847"/>
    <w:rsid w:val="00AD1A1F"/>
    <w:rsid w:val="00AD1E31"/>
    <w:rsid w:val="00AD2830"/>
    <w:rsid w:val="00AD2F63"/>
    <w:rsid w:val="00AD376D"/>
    <w:rsid w:val="00AD3809"/>
    <w:rsid w:val="00AD3932"/>
    <w:rsid w:val="00AD39C1"/>
    <w:rsid w:val="00AD3C2B"/>
    <w:rsid w:val="00AD3DDB"/>
    <w:rsid w:val="00AD3EBE"/>
    <w:rsid w:val="00AD42DA"/>
    <w:rsid w:val="00AD4802"/>
    <w:rsid w:val="00AD4840"/>
    <w:rsid w:val="00AD4978"/>
    <w:rsid w:val="00AD4AB1"/>
    <w:rsid w:val="00AD4D90"/>
    <w:rsid w:val="00AD4F58"/>
    <w:rsid w:val="00AD59B2"/>
    <w:rsid w:val="00AD5A70"/>
    <w:rsid w:val="00AD5C03"/>
    <w:rsid w:val="00AD5F94"/>
    <w:rsid w:val="00AD6005"/>
    <w:rsid w:val="00AD64F5"/>
    <w:rsid w:val="00AD681D"/>
    <w:rsid w:val="00AD6FEA"/>
    <w:rsid w:val="00AD7059"/>
    <w:rsid w:val="00AD71D6"/>
    <w:rsid w:val="00AD75C6"/>
    <w:rsid w:val="00AD7A92"/>
    <w:rsid w:val="00AD7ADA"/>
    <w:rsid w:val="00AE026A"/>
    <w:rsid w:val="00AE034D"/>
    <w:rsid w:val="00AE045B"/>
    <w:rsid w:val="00AE050A"/>
    <w:rsid w:val="00AE08EA"/>
    <w:rsid w:val="00AE094E"/>
    <w:rsid w:val="00AE098B"/>
    <w:rsid w:val="00AE1BD5"/>
    <w:rsid w:val="00AE23D2"/>
    <w:rsid w:val="00AE2773"/>
    <w:rsid w:val="00AE2F94"/>
    <w:rsid w:val="00AE3904"/>
    <w:rsid w:val="00AE4193"/>
    <w:rsid w:val="00AE47E5"/>
    <w:rsid w:val="00AE4984"/>
    <w:rsid w:val="00AE4A4D"/>
    <w:rsid w:val="00AE4D3C"/>
    <w:rsid w:val="00AE52E8"/>
    <w:rsid w:val="00AE5789"/>
    <w:rsid w:val="00AE6380"/>
    <w:rsid w:val="00AE6755"/>
    <w:rsid w:val="00AE6B73"/>
    <w:rsid w:val="00AE6C7B"/>
    <w:rsid w:val="00AE6DB4"/>
    <w:rsid w:val="00AE6F79"/>
    <w:rsid w:val="00AE6FE6"/>
    <w:rsid w:val="00AE7A25"/>
    <w:rsid w:val="00AE7D3F"/>
    <w:rsid w:val="00AE7DCB"/>
    <w:rsid w:val="00AE7EFF"/>
    <w:rsid w:val="00AE7F8A"/>
    <w:rsid w:val="00AF02AE"/>
    <w:rsid w:val="00AF0802"/>
    <w:rsid w:val="00AF09E3"/>
    <w:rsid w:val="00AF0E0A"/>
    <w:rsid w:val="00AF127A"/>
    <w:rsid w:val="00AF15ED"/>
    <w:rsid w:val="00AF185D"/>
    <w:rsid w:val="00AF1A5D"/>
    <w:rsid w:val="00AF1AAD"/>
    <w:rsid w:val="00AF1D6E"/>
    <w:rsid w:val="00AF1F9B"/>
    <w:rsid w:val="00AF290A"/>
    <w:rsid w:val="00AF29A8"/>
    <w:rsid w:val="00AF2D59"/>
    <w:rsid w:val="00AF2F1D"/>
    <w:rsid w:val="00AF2F3A"/>
    <w:rsid w:val="00AF2FAB"/>
    <w:rsid w:val="00AF3351"/>
    <w:rsid w:val="00AF4369"/>
    <w:rsid w:val="00AF47FB"/>
    <w:rsid w:val="00AF4AD3"/>
    <w:rsid w:val="00AF5041"/>
    <w:rsid w:val="00AF529D"/>
    <w:rsid w:val="00AF52D5"/>
    <w:rsid w:val="00AF5339"/>
    <w:rsid w:val="00AF5817"/>
    <w:rsid w:val="00AF5A05"/>
    <w:rsid w:val="00AF5C11"/>
    <w:rsid w:val="00AF5E66"/>
    <w:rsid w:val="00AF5FDA"/>
    <w:rsid w:val="00AF65A8"/>
    <w:rsid w:val="00AF669B"/>
    <w:rsid w:val="00AF66AA"/>
    <w:rsid w:val="00AF70DB"/>
    <w:rsid w:val="00AF762D"/>
    <w:rsid w:val="00AF7813"/>
    <w:rsid w:val="00AF7FC1"/>
    <w:rsid w:val="00B001AE"/>
    <w:rsid w:val="00B0131A"/>
    <w:rsid w:val="00B017A4"/>
    <w:rsid w:val="00B01E36"/>
    <w:rsid w:val="00B020F6"/>
    <w:rsid w:val="00B02AC8"/>
    <w:rsid w:val="00B02BBF"/>
    <w:rsid w:val="00B02BE3"/>
    <w:rsid w:val="00B02DAB"/>
    <w:rsid w:val="00B03177"/>
    <w:rsid w:val="00B031EF"/>
    <w:rsid w:val="00B0362A"/>
    <w:rsid w:val="00B036CF"/>
    <w:rsid w:val="00B03836"/>
    <w:rsid w:val="00B039F2"/>
    <w:rsid w:val="00B03F15"/>
    <w:rsid w:val="00B04131"/>
    <w:rsid w:val="00B0463C"/>
    <w:rsid w:val="00B047B5"/>
    <w:rsid w:val="00B047D8"/>
    <w:rsid w:val="00B04853"/>
    <w:rsid w:val="00B04C58"/>
    <w:rsid w:val="00B05037"/>
    <w:rsid w:val="00B05097"/>
    <w:rsid w:val="00B05353"/>
    <w:rsid w:val="00B0598A"/>
    <w:rsid w:val="00B05CFF"/>
    <w:rsid w:val="00B063E4"/>
    <w:rsid w:val="00B0643B"/>
    <w:rsid w:val="00B064A5"/>
    <w:rsid w:val="00B067C7"/>
    <w:rsid w:val="00B067DE"/>
    <w:rsid w:val="00B06BB6"/>
    <w:rsid w:val="00B07C1E"/>
    <w:rsid w:val="00B07CA3"/>
    <w:rsid w:val="00B1032E"/>
    <w:rsid w:val="00B10348"/>
    <w:rsid w:val="00B1051B"/>
    <w:rsid w:val="00B1089B"/>
    <w:rsid w:val="00B10929"/>
    <w:rsid w:val="00B109CC"/>
    <w:rsid w:val="00B109FF"/>
    <w:rsid w:val="00B10A22"/>
    <w:rsid w:val="00B10B6C"/>
    <w:rsid w:val="00B10C1A"/>
    <w:rsid w:val="00B10CB5"/>
    <w:rsid w:val="00B11EF0"/>
    <w:rsid w:val="00B12A9D"/>
    <w:rsid w:val="00B130A9"/>
    <w:rsid w:val="00B13257"/>
    <w:rsid w:val="00B13695"/>
    <w:rsid w:val="00B136F6"/>
    <w:rsid w:val="00B13A01"/>
    <w:rsid w:val="00B13E33"/>
    <w:rsid w:val="00B1406E"/>
    <w:rsid w:val="00B14357"/>
    <w:rsid w:val="00B145FA"/>
    <w:rsid w:val="00B148DD"/>
    <w:rsid w:val="00B14BE9"/>
    <w:rsid w:val="00B14E49"/>
    <w:rsid w:val="00B15629"/>
    <w:rsid w:val="00B1565E"/>
    <w:rsid w:val="00B1567C"/>
    <w:rsid w:val="00B1569E"/>
    <w:rsid w:val="00B15A33"/>
    <w:rsid w:val="00B15BA9"/>
    <w:rsid w:val="00B16055"/>
    <w:rsid w:val="00B16192"/>
    <w:rsid w:val="00B1661A"/>
    <w:rsid w:val="00B16658"/>
    <w:rsid w:val="00B1677C"/>
    <w:rsid w:val="00B17096"/>
    <w:rsid w:val="00B17826"/>
    <w:rsid w:val="00B17A19"/>
    <w:rsid w:val="00B17EE2"/>
    <w:rsid w:val="00B20142"/>
    <w:rsid w:val="00B21206"/>
    <w:rsid w:val="00B2157C"/>
    <w:rsid w:val="00B2176C"/>
    <w:rsid w:val="00B219B5"/>
    <w:rsid w:val="00B21D58"/>
    <w:rsid w:val="00B21E30"/>
    <w:rsid w:val="00B22590"/>
    <w:rsid w:val="00B22B87"/>
    <w:rsid w:val="00B22E2D"/>
    <w:rsid w:val="00B22F10"/>
    <w:rsid w:val="00B2321A"/>
    <w:rsid w:val="00B23328"/>
    <w:rsid w:val="00B23D94"/>
    <w:rsid w:val="00B23DA8"/>
    <w:rsid w:val="00B242D0"/>
    <w:rsid w:val="00B24306"/>
    <w:rsid w:val="00B24A27"/>
    <w:rsid w:val="00B24D36"/>
    <w:rsid w:val="00B24D87"/>
    <w:rsid w:val="00B25AB4"/>
    <w:rsid w:val="00B25EA0"/>
    <w:rsid w:val="00B25F76"/>
    <w:rsid w:val="00B26740"/>
    <w:rsid w:val="00B26F30"/>
    <w:rsid w:val="00B27430"/>
    <w:rsid w:val="00B2772C"/>
    <w:rsid w:val="00B27E58"/>
    <w:rsid w:val="00B30244"/>
    <w:rsid w:val="00B30313"/>
    <w:rsid w:val="00B30360"/>
    <w:rsid w:val="00B303FE"/>
    <w:rsid w:val="00B305EF"/>
    <w:rsid w:val="00B30DD4"/>
    <w:rsid w:val="00B31948"/>
    <w:rsid w:val="00B31A9A"/>
    <w:rsid w:val="00B32640"/>
    <w:rsid w:val="00B32969"/>
    <w:rsid w:val="00B32EAF"/>
    <w:rsid w:val="00B32FEA"/>
    <w:rsid w:val="00B3300D"/>
    <w:rsid w:val="00B33035"/>
    <w:rsid w:val="00B332EA"/>
    <w:rsid w:val="00B334CF"/>
    <w:rsid w:val="00B33832"/>
    <w:rsid w:val="00B33D23"/>
    <w:rsid w:val="00B33E42"/>
    <w:rsid w:val="00B3446B"/>
    <w:rsid w:val="00B34996"/>
    <w:rsid w:val="00B34B3E"/>
    <w:rsid w:val="00B34F47"/>
    <w:rsid w:val="00B35425"/>
    <w:rsid w:val="00B355DF"/>
    <w:rsid w:val="00B35914"/>
    <w:rsid w:val="00B35B06"/>
    <w:rsid w:val="00B35C92"/>
    <w:rsid w:val="00B3642B"/>
    <w:rsid w:val="00B36630"/>
    <w:rsid w:val="00B36BA2"/>
    <w:rsid w:val="00B36FCA"/>
    <w:rsid w:val="00B371BA"/>
    <w:rsid w:val="00B37BCF"/>
    <w:rsid w:val="00B37E6E"/>
    <w:rsid w:val="00B400D2"/>
    <w:rsid w:val="00B4023C"/>
    <w:rsid w:val="00B4061B"/>
    <w:rsid w:val="00B407B3"/>
    <w:rsid w:val="00B408ED"/>
    <w:rsid w:val="00B409A9"/>
    <w:rsid w:val="00B409B2"/>
    <w:rsid w:val="00B41779"/>
    <w:rsid w:val="00B4182C"/>
    <w:rsid w:val="00B41A52"/>
    <w:rsid w:val="00B41CED"/>
    <w:rsid w:val="00B42180"/>
    <w:rsid w:val="00B427EE"/>
    <w:rsid w:val="00B42AF3"/>
    <w:rsid w:val="00B42E85"/>
    <w:rsid w:val="00B42F65"/>
    <w:rsid w:val="00B42F74"/>
    <w:rsid w:val="00B431A8"/>
    <w:rsid w:val="00B43B05"/>
    <w:rsid w:val="00B44021"/>
    <w:rsid w:val="00B44D24"/>
    <w:rsid w:val="00B44F5C"/>
    <w:rsid w:val="00B45373"/>
    <w:rsid w:val="00B453F2"/>
    <w:rsid w:val="00B45470"/>
    <w:rsid w:val="00B45569"/>
    <w:rsid w:val="00B45BAD"/>
    <w:rsid w:val="00B45C99"/>
    <w:rsid w:val="00B45CCA"/>
    <w:rsid w:val="00B45EA7"/>
    <w:rsid w:val="00B45F9C"/>
    <w:rsid w:val="00B45FFC"/>
    <w:rsid w:val="00B46029"/>
    <w:rsid w:val="00B462DA"/>
    <w:rsid w:val="00B46B43"/>
    <w:rsid w:val="00B46BB9"/>
    <w:rsid w:val="00B47021"/>
    <w:rsid w:val="00B4752A"/>
    <w:rsid w:val="00B47972"/>
    <w:rsid w:val="00B47C32"/>
    <w:rsid w:val="00B50150"/>
    <w:rsid w:val="00B5032F"/>
    <w:rsid w:val="00B50FC2"/>
    <w:rsid w:val="00B51279"/>
    <w:rsid w:val="00B5163F"/>
    <w:rsid w:val="00B51CBA"/>
    <w:rsid w:val="00B53367"/>
    <w:rsid w:val="00B539B5"/>
    <w:rsid w:val="00B53E19"/>
    <w:rsid w:val="00B54043"/>
    <w:rsid w:val="00B54691"/>
    <w:rsid w:val="00B5499A"/>
    <w:rsid w:val="00B54A84"/>
    <w:rsid w:val="00B5573C"/>
    <w:rsid w:val="00B55865"/>
    <w:rsid w:val="00B5589D"/>
    <w:rsid w:val="00B5629D"/>
    <w:rsid w:val="00B564DC"/>
    <w:rsid w:val="00B5700C"/>
    <w:rsid w:val="00B576CA"/>
    <w:rsid w:val="00B578B2"/>
    <w:rsid w:val="00B57CBD"/>
    <w:rsid w:val="00B60330"/>
    <w:rsid w:val="00B607EE"/>
    <w:rsid w:val="00B60941"/>
    <w:rsid w:val="00B60A88"/>
    <w:rsid w:val="00B60CFE"/>
    <w:rsid w:val="00B60D7F"/>
    <w:rsid w:val="00B60DCF"/>
    <w:rsid w:val="00B60F12"/>
    <w:rsid w:val="00B60FC9"/>
    <w:rsid w:val="00B61578"/>
    <w:rsid w:val="00B6176C"/>
    <w:rsid w:val="00B61DC9"/>
    <w:rsid w:val="00B62883"/>
    <w:rsid w:val="00B631BD"/>
    <w:rsid w:val="00B63404"/>
    <w:rsid w:val="00B63721"/>
    <w:rsid w:val="00B63868"/>
    <w:rsid w:val="00B63FCE"/>
    <w:rsid w:val="00B64F39"/>
    <w:rsid w:val="00B64FDD"/>
    <w:rsid w:val="00B659A1"/>
    <w:rsid w:val="00B65B50"/>
    <w:rsid w:val="00B6653E"/>
    <w:rsid w:val="00B668CE"/>
    <w:rsid w:val="00B66A61"/>
    <w:rsid w:val="00B66AB8"/>
    <w:rsid w:val="00B66F33"/>
    <w:rsid w:val="00B67B55"/>
    <w:rsid w:val="00B67B7C"/>
    <w:rsid w:val="00B67D48"/>
    <w:rsid w:val="00B67F5A"/>
    <w:rsid w:val="00B709DF"/>
    <w:rsid w:val="00B70D02"/>
    <w:rsid w:val="00B70F61"/>
    <w:rsid w:val="00B70FB5"/>
    <w:rsid w:val="00B710F8"/>
    <w:rsid w:val="00B71781"/>
    <w:rsid w:val="00B71ED6"/>
    <w:rsid w:val="00B7222A"/>
    <w:rsid w:val="00B72278"/>
    <w:rsid w:val="00B722F6"/>
    <w:rsid w:val="00B72982"/>
    <w:rsid w:val="00B72FD2"/>
    <w:rsid w:val="00B72FED"/>
    <w:rsid w:val="00B7333E"/>
    <w:rsid w:val="00B73504"/>
    <w:rsid w:val="00B736AB"/>
    <w:rsid w:val="00B73A68"/>
    <w:rsid w:val="00B73D64"/>
    <w:rsid w:val="00B74B77"/>
    <w:rsid w:val="00B755BD"/>
    <w:rsid w:val="00B76169"/>
    <w:rsid w:val="00B770CC"/>
    <w:rsid w:val="00B7713E"/>
    <w:rsid w:val="00B77942"/>
    <w:rsid w:val="00B77975"/>
    <w:rsid w:val="00B77B21"/>
    <w:rsid w:val="00B80335"/>
    <w:rsid w:val="00B80345"/>
    <w:rsid w:val="00B80567"/>
    <w:rsid w:val="00B80982"/>
    <w:rsid w:val="00B80DAA"/>
    <w:rsid w:val="00B81D03"/>
    <w:rsid w:val="00B81D7A"/>
    <w:rsid w:val="00B8207C"/>
    <w:rsid w:val="00B820B6"/>
    <w:rsid w:val="00B826D4"/>
    <w:rsid w:val="00B82A4E"/>
    <w:rsid w:val="00B82B1B"/>
    <w:rsid w:val="00B82C0A"/>
    <w:rsid w:val="00B82C71"/>
    <w:rsid w:val="00B82E28"/>
    <w:rsid w:val="00B833AF"/>
    <w:rsid w:val="00B83D28"/>
    <w:rsid w:val="00B83F25"/>
    <w:rsid w:val="00B841DD"/>
    <w:rsid w:val="00B8498D"/>
    <w:rsid w:val="00B84A4F"/>
    <w:rsid w:val="00B84AE0"/>
    <w:rsid w:val="00B84D20"/>
    <w:rsid w:val="00B85536"/>
    <w:rsid w:val="00B8583D"/>
    <w:rsid w:val="00B85B08"/>
    <w:rsid w:val="00B86398"/>
    <w:rsid w:val="00B86D2F"/>
    <w:rsid w:val="00B86D40"/>
    <w:rsid w:val="00B86FBB"/>
    <w:rsid w:val="00B871D6"/>
    <w:rsid w:val="00B871FD"/>
    <w:rsid w:val="00B87929"/>
    <w:rsid w:val="00B87B14"/>
    <w:rsid w:val="00B87D8B"/>
    <w:rsid w:val="00B87EDE"/>
    <w:rsid w:val="00B90205"/>
    <w:rsid w:val="00B90B7D"/>
    <w:rsid w:val="00B9102C"/>
    <w:rsid w:val="00B91224"/>
    <w:rsid w:val="00B91271"/>
    <w:rsid w:val="00B913F8"/>
    <w:rsid w:val="00B9170D"/>
    <w:rsid w:val="00B917C1"/>
    <w:rsid w:val="00B91A5A"/>
    <w:rsid w:val="00B91D1F"/>
    <w:rsid w:val="00B91F5B"/>
    <w:rsid w:val="00B91FFE"/>
    <w:rsid w:val="00B9212C"/>
    <w:rsid w:val="00B9292D"/>
    <w:rsid w:val="00B929E9"/>
    <w:rsid w:val="00B92C6A"/>
    <w:rsid w:val="00B93508"/>
    <w:rsid w:val="00B93B40"/>
    <w:rsid w:val="00B93C7E"/>
    <w:rsid w:val="00B940CB"/>
    <w:rsid w:val="00B9439A"/>
    <w:rsid w:val="00B94519"/>
    <w:rsid w:val="00B945D9"/>
    <w:rsid w:val="00B9461B"/>
    <w:rsid w:val="00B94674"/>
    <w:rsid w:val="00B94732"/>
    <w:rsid w:val="00B949C7"/>
    <w:rsid w:val="00B95027"/>
    <w:rsid w:val="00B9567D"/>
    <w:rsid w:val="00B95768"/>
    <w:rsid w:val="00B9579C"/>
    <w:rsid w:val="00B95856"/>
    <w:rsid w:val="00B9612D"/>
    <w:rsid w:val="00B964FC"/>
    <w:rsid w:val="00B9699C"/>
    <w:rsid w:val="00B969F0"/>
    <w:rsid w:val="00B96D6A"/>
    <w:rsid w:val="00B96E45"/>
    <w:rsid w:val="00B97108"/>
    <w:rsid w:val="00B978D7"/>
    <w:rsid w:val="00B97CBC"/>
    <w:rsid w:val="00B97D32"/>
    <w:rsid w:val="00B97F21"/>
    <w:rsid w:val="00BA010A"/>
    <w:rsid w:val="00BA029A"/>
    <w:rsid w:val="00BA190F"/>
    <w:rsid w:val="00BA20CD"/>
    <w:rsid w:val="00BA20FF"/>
    <w:rsid w:val="00BA23C0"/>
    <w:rsid w:val="00BA26AF"/>
    <w:rsid w:val="00BA2DA2"/>
    <w:rsid w:val="00BA3139"/>
    <w:rsid w:val="00BA3540"/>
    <w:rsid w:val="00BA3B6B"/>
    <w:rsid w:val="00BA4337"/>
    <w:rsid w:val="00BA4ABE"/>
    <w:rsid w:val="00BA4CD1"/>
    <w:rsid w:val="00BA4FB4"/>
    <w:rsid w:val="00BA50EC"/>
    <w:rsid w:val="00BA594A"/>
    <w:rsid w:val="00BA6198"/>
    <w:rsid w:val="00BA63E4"/>
    <w:rsid w:val="00BA6610"/>
    <w:rsid w:val="00BA68CE"/>
    <w:rsid w:val="00BA6905"/>
    <w:rsid w:val="00BA698B"/>
    <w:rsid w:val="00BA69E2"/>
    <w:rsid w:val="00BA74D2"/>
    <w:rsid w:val="00BA76CF"/>
    <w:rsid w:val="00BA791D"/>
    <w:rsid w:val="00BA7C55"/>
    <w:rsid w:val="00BA7DEE"/>
    <w:rsid w:val="00BB013C"/>
    <w:rsid w:val="00BB047E"/>
    <w:rsid w:val="00BB0A8A"/>
    <w:rsid w:val="00BB0E6A"/>
    <w:rsid w:val="00BB0F80"/>
    <w:rsid w:val="00BB108D"/>
    <w:rsid w:val="00BB134F"/>
    <w:rsid w:val="00BB136F"/>
    <w:rsid w:val="00BB1800"/>
    <w:rsid w:val="00BB1801"/>
    <w:rsid w:val="00BB1AB7"/>
    <w:rsid w:val="00BB299D"/>
    <w:rsid w:val="00BB2AF9"/>
    <w:rsid w:val="00BB2D21"/>
    <w:rsid w:val="00BB2E8B"/>
    <w:rsid w:val="00BB304C"/>
    <w:rsid w:val="00BB36B9"/>
    <w:rsid w:val="00BB3715"/>
    <w:rsid w:val="00BB3716"/>
    <w:rsid w:val="00BB3744"/>
    <w:rsid w:val="00BB385E"/>
    <w:rsid w:val="00BB4111"/>
    <w:rsid w:val="00BB4153"/>
    <w:rsid w:val="00BB4946"/>
    <w:rsid w:val="00BB4971"/>
    <w:rsid w:val="00BB4AE5"/>
    <w:rsid w:val="00BB4C23"/>
    <w:rsid w:val="00BB51C2"/>
    <w:rsid w:val="00BB5415"/>
    <w:rsid w:val="00BB55D9"/>
    <w:rsid w:val="00BB5665"/>
    <w:rsid w:val="00BB5A8A"/>
    <w:rsid w:val="00BB5BB9"/>
    <w:rsid w:val="00BB5C0A"/>
    <w:rsid w:val="00BB5D0D"/>
    <w:rsid w:val="00BB5F7C"/>
    <w:rsid w:val="00BB5FBD"/>
    <w:rsid w:val="00BB6138"/>
    <w:rsid w:val="00BB6209"/>
    <w:rsid w:val="00BB62EA"/>
    <w:rsid w:val="00BB66E1"/>
    <w:rsid w:val="00BB6F34"/>
    <w:rsid w:val="00BB6FFC"/>
    <w:rsid w:val="00BB793F"/>
    <w:rsid w:val="00BB7A5B"/>
    <w:rsid w:val="00BC09EA"/>
    <w:rsid w:val="00BC104B"/>
    <w:rsid w:val="00BC127B"/>
    <w:rsid w:val="00BC1628"/>
    <w:rsid w:val="00BC169A"/>
    <w:rsid w:val="00BC1D58"/>
    <w:rsid w:val="00BC2075"/>
    <w:rsid w:val="00BC240A"/>
    <w:rsid w:val="00BC243B"/>
    <w:rsid w:val="00BC26C2"/>
    <w:rsid w:val="00BC2D30"/>
    <w:rsid w:val="00BC2D3B"/>
    <w:rsid w:val="00BC310C"/>
    <w:rsid w:val="00BC3268"/>
    <w:rsid w:val="00BC32CD"/>
    <w:rsid w:val="00BC32E3"/>
    <w:rsid w:val="00BC3330"/>
    <w:rsid w:val="00BC352C"/>
    <w:rsid w:val="00BC3AD5"/>
    <w:rsid w:val="00BC49E9"/>
    <w:rsid w:val="00BC4A93"/>
    <w:rsid w:val="00BC4F3C"/>
    <w:rsid w:val="00BC52FB"/>
    <w:rsid w:val="00BC55F4"/>
    <w:rsid w:val="00BC59BC"/>
    <w:rsid w:val="00BC5F6E"/>
    <w:rsid w:val="00BC678E"/>
    <w:rsid w:val="00BC6BD6"/>
    <w:rsid w:val="00BC7140"/>
    <w:rsid w:val="00BC72D1"/>
    <w:rsid w:val="00BC764C"/>
    <w:rsid w:val="00BC78FA"/>
    <w:rsid w:val="00BC7A5B"/>
    <w:rsid w:val="00BD056D"/>
    <w:rsid w:val="00BD0B9A"/>
    <w:rsid w:val="00BD0C13"/>
    <w:rsid w:val="00BD1445"/>
    <w:rsid w:val="00BD1894"/>
    <w:rsid w:val="00BD1B73"/>
    <w:rsid w:val="00BD244E"/>
    <w:rsid w:val="00BD289E"/>
    <w:rsid w:val="00BD2AD6"/>
    <w:rsid w:val="00BD2B42"/>
    <w:rsid w:val="00BD2DFD"/>
    <w:rsid w:val="00BD3163"/>
    <w:rsid w:val="00BD3F7D"/>
    <w:rsid w:val="00BD4289"/>
    <w:rsid w:val="00BD465C"/>
    <w:rsid w:val="00BD5457"/>
    <w:rsid w:val="00BD577C"/>
    <w:rsid w:val="00BD5864"/>
    <w:rsid w:val="00BD610B"/>
    <w:rsid w:val="00BD6142"/>
    <w:rsid w:val="00BD6195"/>
    <w:rsid w:val="00BD638F"/>
    <w:rsid w:val="00BD6628"/>
    <w:rsid w:val="00BD6826"/>
    <w:rsid w:val="00BD6BCE"/>
    <w:rsid w:val="00BD6C0F"/>
    <w:rsid w:val="00BD6CB2"/>
    <w:rsid w:val="00BD6DC4"/>
    <w:rsid w:val="00BD6E08"/>
    <w:rsid w:val="00BD6FE9"/>
    <w:rsid w:val="00BD7551"/>
    <w:rsid w:val="00BD7554"/>
    <w:rsid w:val="00BD76F6"/>
    <w:rsid w:val="00BD77CE"/>
    <w:rsid w:val="00BD7984"/>
    <w:rsid w:val="00BE0106"/>
    <w:rsid w:val="00BE0953"/>
    <w:rsid w:val="00BE0E62"/>
    <w:rsid w:val="00BE0EBE"/>
    <w:rsid w:val="00BE18FC"/>
    <w:rsid w:val="00BE1FC3"/>
    <w:rsid w:val="00BE2715"/>
    <w:rsid w:val="00BE2A13"/>
    <w:rsid w:val="00BE2C2C"/>
    <w:rsid w:val="00BE2DF1"/>
    <w:rsid w:val="00BE3A6F"/>
    <w:rsid w:val="00BE3ABB"/>
    <w:rsid w:val="00BE49F0"/>
    <w:rsid w:val="00BE5370"/>
    <w:rsid w:val="00BE5DD1"/>
    <w:rsid w:val="00BE5EDA"/>
    <w:rsid w:val="00BE6085"/>
    <w:rsid w:val="00BE646C"/>
    <w:rsid w:val="00BE6E56"/>
    <w:rsid w:val="00BE70C4"/>
    <w:rsid w:val="00BE7184"/>
    <w:rsid w:val="00BE7343"/>
    <w:rsid w:val="00BE75D7"/>
    <w:rsid w:val="00BE799F"/>
    <w:rsid w:val="00BF060B"/>
    <w:rsid w:val="00BF079A"/>
    <w:rsid w:val="00BF0B98"/>
    <w:rsid w:val="00BF1066"/>
    <w:rsid w:val="00BF185F"/>
    <w:rsid w:val="00BF1A99"/>
    <w:rsid w:val="00BF1CB7"/>
    <w:rsid w:val="00BF1D57"/>
    <w:rsid w:val="00BF2075"/>
    <w:rsid w:val="00BF2577"/>
    <w:rsid w:val="00BF2B28"/>
    <w:rsid w:val="00BF47DE"/>
    <w:rsid w:val="00BF4956"/>
    <w:rsid w:val="00BF4B38"/>
    <w:rsid w:val="00BF52BE"/>
    <w:rsid w:val="00BF62C6"/>
    <w:rsid w:val="00BF6660"/>
    <w:rsid w:val="00BF6DB7"/>
    <w:rsid w:val="00BF763B"/>
    <w:rsid w:val="00BF79D2"/>
    <w:rsid w:val="00BF7E6B"/>
    <w:rsid w:val="00C00158"/>
    <w:rsid w:val="00C0034F"/>
    <w:rsid w:val="00C007D9"/>
    <w:rsid w:val="00C00893"/>
    <w:rsid w:val="00C00985"/>
    <w:rsid w:val="00C011B0"/>
    <w:rsid w:val="00C01821"/>
    <w:rsid w:val="00C018D7"/>
    <w:rsid w:val="00C02232"/>
    <w:rsid w:val="00C02639"/>
    <w:rsid w:val="00C027E4"/>
    <w:rsid w:val="00C02BD2"/>
    <w:rsid w:val="00C02E1F"/>
    <w:rsid w:val="00C02FB7"/>
    <w:rsid w:val="00C030D8"/>
    <w:rsid w:val="00C03374"/>
    <w:rsid w:val="00C03465"/>
    <w:rsid w:val="00C03474"/>
    <w:rsid w:val="00C037A5"/>
    <w:rsid w:val="00C038C4"/>
    <w:rsid w:val="00C03D52"/>
    <w:rsid w:val="00C03E66"/>
    <w:rsid w:val="00C04962"/>
    <w:rsid w:val="00C04F85"/>
    <w:rsid w:val="00C05186"/>
    <w:rsid w:val="00C05325"/>
    <w:rsid w:val="00C057B2"/>
    <w:rsid w:val="00C05D4B"/>
    <w:rsid w:val="00C063E4"/>
    <w:rsid w:val="00C065F5"/>
    <w:rsid w:val="00C0695C"/>
    <w:rsid w:val="00C06CBE"/>
    <w:rsid w:val="00C06FFB"/>
    <w:rsid w:val="00C07C65"/>
    <w:rsid w:val="00C07E94"/>
    <w:rsid w:val="00C1012D"/>
    <w:rsid w:val="00C101BA"/>
    <w:rsid w:val="00C102A8"/>
    <w:rsid w:val="00C102F4"/>
    <w:rsid w:val="00C1037D"/>
    <w:rsid w:val="00C108C1"/>
    <w:rsid w:val="00C10A57"/>
    <w:rsid w:val="00C10E96"/>
    <w:rsid w:val="00C1128E"/>
    <w:rsid w:val="00C115D3"/>
    <w:rsid w:val="00C119A0"/>
    <w:rsid w:val="00C12371"/>
    <w:rsid w:val="00C123C4"/>
    <w:rsid w:val="00C12427"/>
    <w:rsid w:val="00C127B4"/>
    <w:rsid w:val="00C12C24"/>
    <w:rsid w:val="00C12C46"/>
    <w:rsid w:val="00C12D00"/>
    <w:rsid w:val="00C12D01"/>
    <w:rsid w:val="00C12F8C"/>
    <w:rsid w:val="00C13243"/>
    <w:rsid w:val="00C132A0"/>
    <w:rsid w:val="00C14195"/>
    <w:rsid w:val="00C143F8"/>
    <w:rsid w:val="00C14529"/>
    <w:rsid w:val="00C14EDC"/>
    <w:rsid w:val="00C1507A"/>
    <w:rsid w:val="00C15109"/>
    <w:rsid w:val="00C157E0"/>
    <w:rsid w:val="00C15E53"/>
    <w:rsid w:val="00C162FC"/>
    <w:rsid w:val="00C165C5"/>
    <w:rsid w:val="00C168EE"/>
    <w:rsid w:val="00C16A3A"/>
    <w:rsid w:val="00C16EB1"/>
    <w:rsid w:val="00C16ECA"/>
    <w:rsid w:val="00C16F9B"/>
    <w:rsid w:val="00C17249"/>
    <w:rsid w:val="00C17A00"/>
    <w:rsid w:val="00C17B79"/>
    <w:rsid w:val="00C20C5E"/>
    <w:rsid w:val="00C20EA0"/>
    <w:rsid w:val="00C20F9D"/>
    <w:rsid w:val="00C2123A"/>
    <w:rsid w:val="00C2142B"/>
    <w:rsid w:val="00C21C2F"/>
    <w:rsid w:val="00C21DF7"/>
    <w:rsid w:val="00C220D6"/>
    <w:rsid w:val="00C221E1"/>
    <w:rsid w:val="00C22EEB"/>
    <w:rsid w:val="00C230BA"/>
    <w:rsid w:val="00C23B43"/>
    <w:rsid w:val="00C24241"/>
    <w:rsid w:val="00C24520"/>
    <w:rsid w:val="00C245C0"/>
    <w:rsid w:val="00C247B0"/>
    <w:rsid w:val="00C25AC4"/>
    <w:rsid w:val="00C25B1D"/>
    <w:rsid w:val="00C25EDF"/>
    <w:rsid w:val="00C25FC0"/>
    <w:rsid w:val="00C260A2"/>
    <w:rsid w:val="00C26284"/>
    <w:rsid w:val="00C2637D"/>
    <w:rsid w:val="00C26956"/>
    <w:rsid w:val="00C26BF3"/>
    <w:rsid w:val="00C271F1"/>
    <w:rsid w:val="00C27202"/>
    <w:rsid w:val="00C2729A"/>
    <w:rsid w:val="00C275B6"/>
    <w:rsid w:val="00C27B59"/>
    <w:rsid w:val="00C27D18"/>
    <w:rsid w:val="00C27DAC"/>
    <w:rsid w:val="00C3069B"/>
    <w:rsid w:val="00C308BC"/>
    <w:rsid w:val="00C30CA8"/>
    <w:rsid w:val="00C30D48"/>
    <w:rsid w:val="00C30EB1"/>
    <w:rsid w:val="00C30F6E"/>
    <w:rsid w:val="00C31413"/>
    <w:rsid w:val="00C3161E"/>
    <w:rsid w:val="00C3190C"/>
    <w:rsid w:val="00C31BD5"/>
    <w:rsid w:val="00C32301"/>
    <w:rsid w:val="00C32330"/>
    <w:rsid w:val="00C3260B"/>
    <w:rsid w:val="00C32C90"/>
    <w:rsid w:val="00C32FBB"/>
    <w:rsid w:val="00C330A8"/>
    <w:rsid w:val="00C3313A"/>
    <w:rsid w:val="00C33595"/>
    <w:rsid w:val="00C33933"/>
    <w:rsid w:val="00C339AE"/>
    <w:rsid w:val="00C342C2"/>
    <w:rsid w:val="00C348D4"/>
    <w:rsid w:val="00C34FC2"/>
    <w:rsid w:val="00C3594C"/>
    <w:rsid w:val="00C35AA9"/>
    <w:rsid w:val="00C35CD4"/>
    <w:rsid w:val="00C36081"/>
    <w:rsid w:val="00C364E9"/>
    <w:rsid w:val="00C365FC"/>
    <w:rsid w:val="00C3666D"/>
    <w:rsid w:val="00C36A93"/>
    <w:rsid w:val="00C37218"/>
    <w:rsid w:val="00C37C13"/>
    <w:rsid w:val="00C37EC3"/>
    <w:rsid w:val="00C37F79"/>
    <w:rsid w:val="00C402FB"/>
    <w:rsid w:val="00C40670"/>
    <w:rsid w:val="00C40C85"/>
    <w:rsid w:val="00C40E61"/>
    <w:rsid w:val="00C411A1"/>
    <w:rsid w:val="00C417EA"/>
    <w:rsid w:val="00C418D3"/>
    <w:rsid w:val="00C41AF5"/>
    <w:rsid w:val="00C41E67"/>
    <w:rsid w:val="00C421DB"/>
    <w:rsid w:val="00C42275"/>
    <w:rsid w:val="00C422B9"/>
    <w:rsid w:val="00C42A31"/>
    <w:rsid w:val="00C4347F"/>
    <w:rsid w:val="00C43E9C"/>
    <w:rsid w:val="00C43F59"/>
    <w:rsid w:val="00C44FF8"/>
    <w:rsid w:val="00C45415"/>
    <w:rsid w:val="00C458FA"/>
    <w:rsid w:val="00C45B55"/>
    <w:rsid w:val="00C461D0"/>
    <w:rsid w:val="00C4637A"/>
    <w:rsid w:val="00C4678A"/>
    <w:rsid w:val="00C46CA7"/>
    <w:rsid w:val="00C46CF4"/>
    <w:rsid w:val="00C476E3"/>
    <w:rsid w:val="00C47AAF"/>
    <w:rsid w:val="00C47C4A"/>
    <w:rsid w:val="00C50497"/>
    <w:rsid w:val="00C50530"/>
    <w:rsid w:val="00C50AE6"/>
    <w:rsid w:val="00C50DA6"/>
    <w:rsid w:val="00C50EBA"/>
    <w:rsid w:val="00C51196"/>
    <w:rsid w:val="00C52363"/>
    <w:rsid w:val="00C52876"/>
    <w:rsid w:val="00C52CF0"/>
    <w:rsid w:val="00C53104"/>
    <w:rsid w:val="00C533A5"/>
    <w:rsid w:val="00C534BC"/>
    <w:rsid w:val="00C537CA"/>
    <w:rsid w:val="00C53A50"/>
    <w:rsid w:val="00C540FA"/>
    <w:rsid w:val="00C5474D"/>
    <w:rsid w:val="00C550F9"/>
    <w:rsid w:val="00C554AB"/>
    <w:rsid w:val="00C55C25"/>
    <w:rsid w:val="00C561BD"/>
    <w:rsid w:val="00C56489"/>
    <w:rsid w:val="00C574C0"/>
    <w:rsid w:val="00C57D4F"/>
    <w:rsid w:val="00C6009E"/>
    <w:rsid w:val="00C6049B"/>
    <w:rsid w:val="00C60D63"/>
    <w:rsid w:val="00C61370"/>
    <w:rsid w:val="00C614D3"/>
    <w:rsid w:val="00C61632"/>
    <w:rsid w:val="00C61B1A"/>
    <w:rsid w:val="00C62A51"/>
    <w:rsid w:val="00C62A5D"/>
    <w:rsid w:val="00C62D1D"/>
    <w:rsid w:val="00C630C6"/>
    <w:rsid w:val="00C634BF"/>
    <w:rsid w:val="00C63B0F"/>
    <w:rsid w:val="00C63BEC"/>
    <w:rsid w:val="00C645BB"/>
    <w:rsid w:val="00C646B6"/>
    <w:rsid w:val="00C64C49"/>
    <w:rsid w:val="00C64C56"/>
    <w:rsid w:val="00C64D05"/>
    <w:rsid w:val="00C64DBC"/>
    <w:rsid w:val="00C65260"/>
    <w:rsid w:val="00C65FB7"/>
    <w:rsid w:val="00C66140"/>
    <w:rsid w:val="00C66240"/>
    <w:rsid w:val="00C6632E"/>
    <w:rsid w:val="00C669FB"/>
    <w:rsid w:val="00C678F4"/>
    <w:rsid w:val="00C67D79"/>
    <w:rsid w:val="00C67F17"/>
    <w:rsid w:val="00C70952"/>
    <w:rsid w:val="00C70995"/>
    <w:rsid w:val="00C70A52"/>
    <w:rsid w:val="00C70BCC"/>
    <w:rsid w:val="00C70F21"/>
    <w:rsid w:val="00C7105A"/>
    <w:rsid w:val="00C71230"/>
    <w:rsid w:val="00C71367"/>
    <w:rsid w:val="00C71A2A"/>
    <w:rsid w:val="00C71E05"/>
    <w:rsid w:val="00C72338"/>
    <w:rsid w:val="00C72C3F"/>
    <w:rsid w:val="00C72EF4"/>
    <w:rsid w:val="00C7318F"/>
    <w:rsid w:val="00C73C58"/>
    <w:rsid w:val="00C73E84"/>
    <w:rsid w:val="00C74315"/>
    <w:rsid w:val="00C7434E"/>
    <w:rsid w:val="00C7452C"/>
    <w:rsid w:val="00C74D18"/>
    <w:rsid w:val="00C74D70"/>
    <w:rsid w:val="00C754D1"/>
    <w:rsid w:val="00C755D0"/>
    <w:rsid w:val="00C75ED7"/>
    <w:rsid w:val="00C76118"/>
    <w:rsid w:val="00C7655B"/>
    <w:rsid w:val="00C767E6"/>
    <w:rsid w:val="00C76883"/>
    <w:rsid w:val="00C76985"/>
    <w:rsid w:val="00C769CE"/>
    <w:rsid w:val="00C772CD"/>
    <w:rsid w:val="00C773EA"/>
    <w:rsid w:val="00C77F93"/>
    <w:rsid w:val="00C8032C"/>
    <w:rsid w:val="00C8052A"/>
    <w:rsid w:val="00C80B82"/>
    <w:rsid w:val="00C80CD6"/>
    <w:rsid w:val="00C80D17"/>
    <w:rsid w:val="00C80DDD"/>
    <w:rsid w:val="00C81473"/>
    <w:rsid w:val="00C816F3"/>
    <w:rsid w:val="00C81E17"/>
    <w:rsid w:val="00C81FDA"/>
    <w:rsid w:val="00C82435"/>
    <w:rsid w:val="00C824ED"/>
    <w:rsid w:val="00C8251A"/>
    <w:rsid w:val="00C82638"/>
    <w:rsid w:val="00C82790"/>
    <w:rsid w:val="00C82A34"/>
    <w:rsid w:val="00C83191"/>
    <w:rsid w:val="00C8337A"/>
    <w:rsid w:val="00C83558"/>
    <w:rsid w:val="00C83A73"/>
    <w:rsid w:val="00C83ADC"/>
    <w:rsid w:val="00C84048"/>
    <w:rsid w:val="00C84194"/>
    <w:rsid w:val="00C841D3"/>
    <w:rsid w:val="00C84310"/>
    <w:rsid w:val="00C843B4"/>
    <w:rsid w:val="00C84B9F"/>
    <w:rsid w:val="00C84EB1"/>
    <w:rsid w:val="00C857D4"/>
    <w:rsid w:val="00C86178"/>
    <w:rsid w:val="00C8630E"/>
    <w:rsid w:val="00C8692F"/>
    <w:rsid w:val="00C86CF4"/>
    <w:rsid w:val="00C86D97"/>
    <w:rsid w:val="00C86ED4"/>
    <w:rsid w:val="00C86F52"/>
    <w:rsid w:val="00C879C0"/>
    <w:rsid w:val="00C87CAB"/>
    <w:rsid w:val="00C87EA0"/>
    <w:rsid w:val="00C90927"/>
    <w:rsid w:val="00C90A0A"/>
    <w:rsid w:val="00C9121B"/>
    <w:rsid w:val="00C91557"/>
    <w:rsid w:val="00C915F3"/>
    <w:rsid w:val="00C9179E"/>
    <w:rsid w:val="00C91960"/>
    <w:rsid w:val="00C91B06"/>
    <w:rsid w:val="00C91C7E"/>
    <w:rsid w:val="00C91C89"/>
    <w:rsid w:val="00C922DE"/>
    <w:rsid w:val="00C927BD"/>
    <w:rsid w:val="00C92A96"/>
    <w:rsid w:val="00C92CF1"/>
    <w:rsid w:val="00C92DD8"/>
    <w:rsid w:val="00C93094"/>
    <w:rsid w:val="00C934E5"/>
    <w:rsid w:val="00C93795"/>
    <w:rsid w:val="00C93A47"/>
    <w:rsid w:val="00C93BAC"/>
    <w:rsid w:val="00C942EB"/>
    <w:rsid w:val="00C944D9"/>
    <w:rsid w:val="00C9452F"/>
    <w:rsid w:val="00C94EA6"/>
    <w:rsid w:val="00C950D2"/>
    <w:rsid w:val="00C95854"/>
    <w:rsid w:val="00C959A1"/>
    <w:rsid w:val="00C959BA"/>
    <w:rsid w:val="00C95FD4"/>
    <w:rsid w:val="00C96798"/>
    <w:rsid w:val="00C970F3"/>
    <w:rsid w:val="00C97A34"/>
    <w:rsid w:val="00C97A9B"/>
    <w:rsid w:val="00C97B76"/>
    <w:rsid w:val="00CA0954"/>
    <w:rsid w:val="00CA09AF"/>
    <w:rsid w:val="00CA0A42"/>
    <w:rsid w:val="00CA1DE6"/>
    <w:rsid w:val="00CA1E37"/>
    <w:rsid w:val="00CA1EC0"/>
    <w:rsid w:val="00CA240C"/>
    <w:rsid w:val="00CA252E"/>
    <w:rsid w:val="00CA293A"/>
    <w:rsid w:val="00CA2D8F"/>
    <w:rsid w:val="00CA2DC1"/>
    <w:rsid w:val="00CA2E48"/>
    <w:rsid w:val="00CA310F"/>
    <w:rsid w:val="00CA331F"/>
    <w:rsid w:val="00CA3358"/>
    <w:rsid w:val="00CA3485"/>
    <w:rsid w:val="00CA37B2"/>
    <w:rsid w:val="00CA393B"/>
    <w:rsid w:val="00CA3A18"/>
    <w:rsid w:val="00CA3E4B"/>
    <w:rsid w:val="00CA4209"/>
    <w:rsid w:val="00CA42D3"/>
    <w:rsid w:val="00CA439A"/>
    <w:rsid w:val="00CA439C"/>
    <w:rsid w:val="00CA44BC"/>
    <w:rsid w:val="00CA4943"/>
    <w:rsid w:val="00CA4DFF"/>
    <w:rsid w:val="00CA51F1"/>
    <w:rsid w:val="00CA56FF"/>
    <w:rsid w:val="00CA5A96"/>
    <w:rsid w:val="00CA5B05"/>
    <w:rsid w:val="00CA5C96"/>
    <w:rsid w:val="00CA600D"/>
    <w:rsid w:val="00CA602E"/>
    <w:rsid w:val="00CA62AD"/>
    <w:rsid w:val="00CA6C7D"/>
    <w:rsid w:val="00CB04C5"/>
    <w:rsid w:val="00CB0A73"/>
    <w:rsid w:val="00CB0D25"/>
    <w:rsid w:val="00CB0F98"/>
    <w:rsid w:val="00CB151A"/>
    <w:rsid w:val="00CB17C2"/>
    <w:rsid w:val="00CB21C8"/>
    <w:rsid w:val="00CB280D"/>
    <w:rsid w:val="00CB2931"/>
    <w:rsid w:val="00CB2E83"/>
    <w:rsid w:val="00CB2F7C"/>
    <w:rsid w:val="00CB3197"/>
    <w:rsid w:val="00CB31AD"/>
    <w:rsid w:val="00CB3819"/>
    <w:rsid w:val="00CB3C86"/>
    <w:rsid w:val="00CB401F"/>
    <w:rsid w:val="00CB420E"/>
    <w:rsid w:val="00CB4FBF"/>
    <w:rsid w:val="00CB520C"/>
    <w:rsid w:val="00CB52A0"/>
    <w:rsid w:val="00CB5368"/>
    <w:rsid w:val="00CB591B"/>
    <w:rsid w:val="00CB595A"/>
    <w:rsid w:val="00CB5EE4"/>
    <w:rsid w:val="00CB6599"/>
    <w:rsid w:val="00CB6D69"/>
    <w:rsid w:val="00CB7098"/>
    <w:rsid w:val="00CB7646"/>
    <w:rsid w:val="00CB7654"/>
    <w:rsid w:val="00CB77F2"/>
    <w:rsid w:val="00CB7CA2"/>
    <w:rsid w:val="00CB7CC3"/>
    <w:rsid w:val="00CB7FC6"/>
    <w:rsid w:val="00CC01B4"/>
    <w:rsid w:val="00CC06DD"/>
    <w:rsid w:val="00CC070C"/>
    <w:rsid w:val="00CC0841"/>
    <w:rsid w:val="00CC0A93"/>
    <w:rsid w:val="00CC1628"/>
    <w:rsid w:val="00CC163B"/>
    <w:rsid w:val="00CC16CE"/>
    <w:rsid w:val="00CC16EE"/>
    <w:rsid w:val="00CC17DB"/>
    <w:rsid w:val="00CC18FF"/>
    <w:rsid w:val="00CC1966"/>
    <w:rsid w:val="00CC2A72"/>
    <w:rsid w:val="00CC2CFA"/>
    <w:rsid w:val="00CC2DE2"/>
    <w:rsid w:val="00CC3072"/>
    <w:rsid w:val="00CC3086"/>
    <w:rsid w:val="00CC3DF6"/>
    <w:rsid w:val="00CC3E29"/>
    <w:rsid w:val="00CC3FF3"/>
    <w:rsid w:val="00CC4CE3"/>
    <w:rsid w:val="00CC4EB6"/>
    <w:rsid w:val="00CC5387"/>
    <w:rsid w:val="00CC53A1"/>
    <w:rsid w:val="00CC53D5"/>
    <w:rsid w:val="00CC5CA5"/>
    <w:rsid w:val="00CC6080"/>
    <w:rsid w:val="00CC6159"/>
    <w:rsid w:val="00CC6FE8"/>
    <w:rsid w:val="00CC707D"/>
    <w:rsid w:val="00CC72E9"/>
    <w:rsid w:val="00CC75A8"/>
    <w:rsid w:val="00CC778C"/>
    <w:rsid w:val="00CC7A3E"/>
    <w:rsid w:val="00CD0066"/>
    <w:rsid w:val="00CD034B"/>
    <w:rsid w:val="00CD0CAB"/>
    <w:rsid w:val="00CD0EAF"/>
    <w:rsid w:val="00CD117F"/>
    <w:rsid w:val="00CD125E"/>
    <w:rsid w:val="00CD15E5"/>
    <w:rsid w:val="00CD163A"/>
    <w:rsid w:val="00CD16CE"/>
    <w:rsid w:val="00CD22EA"/>
    <w:rsid w:val="00CD2A1A"/>
    <w:rsid w:val="00CD32B9"/>
    <w:rsid w:val="00CD380F"/>
    <w:rsid w:val="00CD3B3A"/>
    <w:rsid w:val="00CD3BBB"/>
    <w:rsid w:val="00CD3BD3"/>
    <w:rsid w:val="00CD4133"/>
    <w:rsid w:val="00CD4643"/>
    <w:rsid w:val="00CD50A1"/>
    <w:rsid w:val="00CD526A"/>
    <w:rsid w:val="00CD5EF5"/>
    <w:rsid w:val="00CD5F3B"/>
    <w:rsid w:val="00CD62B2"/>
    <w:rsid w:val="00CD6333"/>
    <w:rsid w:val="00CD6BDD"/>
    <w:rsid w:val="00CD6E0E"/>
    <w:rsid w:val="00CD711F"/>
    <w:rsid w:val="00CD72C6"/>
    <w:rsid w:val="00CD72EB"/>
    <w:rsid w:val="00CD737C"/>
    <w:rsid w:val="00CD73E8"/>
    <w:rsid w:val="00CD7FF0"/>
    <w:rsid w:val="00CE042A"/>
    <w:rsid w:val="00CE063A"/>
    <w:rsid w:val="00CE07F8"/>
    <w:rsid w:val="00CE08CA"/>
    <w:rsid w:val="00CE0EB9"/>
    <w:rsid w:val="00CE10E9"/>
    <w:rsid w:val="00CE11DF"/>
    <w:rsid w:val="00CE120F"/>
    <w:rsid w:val="00CE1236"/>
    <w:rsid w:val="00CE12D7"/>
    <w:rsid w:val="00CE12E8"/>
    <w:rsid w:val="00CE1692"/>
    <w:rsid w:val="00CE1959"/>
    <w:rsid w:val="00CE1B36"/>
    <w:rsid w:val="00CE1FBF"/>
    <w:rsid w:val="00CE22EB"/>
    <w:rsid w:val="00CE2349"/>
    <w:rsid w:val="00CE25AB"/>
    <w:rsid w:val="00CE2713"/>
    <w:rsid w:val="00CE2EB8"/>
    <w:rsid w:val="00CE3333"/>
    <w:rsid w:val="00CE48BB"/>
    <w:rsid w:val="00CE5498"/>
    <w:rsid w:val="00CE56BA"/>
    <w:rsid w:val="00CE593E"/>
    <w:rsid w:val="00CE619F"/>
    <w:rsid w:val="00CE6722"/>
    <w:rsid w:val="00CE6DDD"/>
    <w:rsid w:val="00CE730A"/>
    <w:rsid w:val="00CE7604"/>
    <w:rsid w:val="00CE76AA"/>
    <w:rsid w:val="00CE7BBD"/>
    <w:rsid w:val="00CE7D9E"/>
    <w:rsid w:val="00CF013A"/>
    <w:rsid w:val="00CF03D1"/>
    <w:rsid w:val="00CF0A79"/>
    <w:rsid w:val="00CF0B91"/>
    <w:rsid w:val="00CF0CBD"/>
    <w:rsid w:val="00CF1682"/>
    <w:rsid w:val="00CF21D0"/>
    <w:rsid w:val="00CF262D"/>
    <w:rsid w:val="00CF269F"/>
    <w:rsid w:val="00CF2A19"/>
    <w:rsid w:val="00CF2A1D"/>
    <w:rsid w:val="00CF2AD6"/>
    <w:rsid w:val="00CF2CD0"/>
    <w:rsid w:val="00CF346A"/>
    <w:rsid w:val="00CF3AA6"/>
    <w:rsid w:val="00CF3D52"/>
    <w:rsid w:val="00CF4112"/>
    <w:rsid w:val="00CF5013"/>
    <w:rsid w:val="00CF532B"/>
    <w:rsid w:val="00CF5B48"/>
    <w:rsid w:val="00CF61D8"/>
    <w:rsid w:val="00CF6856"/>
    <w:rsid w:val="00CF71C4"/>
    <w:rsid w:val="00CF7D5A"/>
    <w:rsid w:val="00D00040"/>
    <w:rsid w:val="00D0012A"/>
    <w:rsid w:val="00D00281"/>
    <w:rsid w:val="00D00907"/>
    <w:rsid w:val="00D009DC"/>
    <w:rsid w:val="00D00FEF"/>
    <w:rsid w:val="00D01027"/>
    <w:rsid w:val="00D01287"/>
    <w:rsid w:val="00D01B99"/>
    <w:rsid w:val="00D0221D"/>
    <w:rsid w:val="00D024CB"/>
    <w:rsid w:val="00D0254B"/>
    <w:rsid w:val="00D02E4B"/>
    <w:rsid w:val="00D0315C"/>
    <w:rsid w:val="00D03192"/>
    <w:rsid w:val="00D03212"/>
    <w:rsid w:val="00D0389F"/>
    <w:rsid w:val="00D038B0"/>
    <w:rsid w:val="00D0395F"/>
    <w:rsid w:val="00D039B6"/>
    <w:rsid w:val="00D039F8"/>
    <w:rsid w:val="00D03CE3"/>
    <w:rsid w:val="00D04465"/>
    <w:rsid w:val="00D0488A"/>
    <w:rsid w:val="00D04A7A"/>
    <w:rsid w:val="00D04B4C"/>
    <w:rsid w:val="00D053E4"/>
    <w:rsid w:val="00D05A82"/>
    <w:rsid w:val="00D06092"/>
    <w:rsid w:val="00D06263"/>
    <w:rsid w:val="00D062E6"/>
    <w:rsid w:val="00D06391"/>
    <w:rsid w:val="00D063FA"/>
    <w:rsid w:val="00D063FD"/>
    <w:rsid w:val="00D067D4"/>
    <w:rsid w:val="00D0682B"/>
    <w:rsid w:val="00D06A2A"/>
    <w:rsid w:val="00D06D7F"/>
    <w:rsid w:val="00D07A7E"/>
    <w:rsid w:val="00D10420"/>
    <w:rsid w:val="00D10A91"/>
    <w:rsid w:val="00D111C6"/>
    <w:rsid w:val="00D11943"/>
    <w:rsid w:val="00D12287"/>
    <w:rsid w:val="00D123F2"/>
    <w:rsid w:val="00D123F3"/>
    <w:rsid w:val="00D1272B"/>
    <w:rsid w:val="00D12D7A"/>
    <w:rsid w:val="00D136C4"/>
    <w:rsid w:val="00D137E9"/>
    <w:rsid w:val="00D13BA5"/>
    <w:rsid w:val="00D13D96"/>
    <w:rsid w:val="00D13E06"/>
    <w:rsid w:val="00D1462D"/>
    <w:rsid w:val="00D14BEB"/>
    <w:rsid w:val="00D14D23"/>
    <w:rsid w:val="00D14D5F"/>
    <w:rsid w:val="00D14ED1"/>
    <w:rsid w:val="00D14F0C"/>
    <w:rsid w:val="00D15538"/>
    <w:rsid w:val="00D15C96"/>
    <w:rsid w:val="00D16172"/>
    <w:rsid w:val="00D1683E"/>
    <w:rsid w:val="00D16C2F"/>
    <w:rsid w:val="00D16EC7"/>
    <w:rsid w:val="00D17273"/>
    <w:rsid w:val="00D17713"/>
    <w:rsid w:val="00D17868"/>
    <w:rsid w:val="00D17909"/>
    <w:rsid w:val="00D17D0B"/>
    <w:rsid w:val="00D17D63"/>
    <w:rsid w:val="00D17F49"/>
    <w:rsid w:val="00D208A2"/>
    <w:rsid w:val="00D20E07"/>
    <w:rsid w:val="00D20E54"/>
    <w:rsid w:val="00D20F4C"/>
    <w:rsid w:val="00D21563"/>
    <w:rsid w:val="00D218B7"/>
    <w:rsid w:val="00D21D21"/>
    <w:rsid w:val="00D22059"/>
    <w:rsid w:val="00D22517"/>
    <w:rsid w:val="00D22E21"/>
    <w:rsid w:val="00D22FD4"/>
    <w:rsid w:val="00D232F6"/>
    <w:rsid w:val="00D2345C"/>
    <w:rsid w:val="00D235A3"/>
    <w:rsid w:val="00D237E6"/>
    <w:rsid w:val="00D239A8"/>
    <w:rsid w:val="00D23B09"/>
    <w:rsid w:val="00D23B8F"/>
    <w:rsid w:val="00D23DE6"/>
    <w:rsid w:val="00D23EEC"/>
    <w:rsid w:val="00D23F96"/>
    <w:rsid w:val="00D24154"/>
    <w:rsid w:val="00D241B5"/>
    <w:rsid w:val="00D244A4"/>
    <w:rsid w:val="00D244BC"/>
    <w:rsid w:val="00D24965"/>
    <w:rsid w:val="00D24B99"/>
    <w:rsid w:val="00D24D60"/>
    <w:rsid w:val="00D25081"/>
    <w:rsid w:val="00D2541B"/>
    <w:rsid w:val="00D254A9"/>
    <w:rsid w:val="00D25625"/>
    <w:rsid w:val="00D25B7D"/>
    <w:rsid w:val="00D25E2E"/>
    <w:rsid w:val="00D26196"/>
    <w:rsid w:val="00D261CA"/>
    <w:rsid w:val="00D26644"/>
    <w:rsid w:val="00D267D6"/>
    <w:rsid w:val="00D27314"/>
    <w:rsid w:val="00D2779E"/>
    <w:rsid w:val="00D301E0"/>
    <w:rsid w:val="00D30263"/>
    <w:rsid w:val="00D3043C"/>
    <w:rsid w:val="00D30B02"/>
    <w:rsid w:val="00D314C9"/>
    <w:rsid w:val="00D3169C"/>
    <w:rsid w:val="00D31D6D"/>
    <w:rsid w:val="00D31FCA"/>
    <w:rsid w:val="00D3254B"/>
    <w:rsid w:val="00D325E7"/>
    <w:rsid w:val="00D326D4"/>
    <w:rsid w:val="00D329BF"/>
    <w:rsid w:val="00D32E55"/>
    <w:rsid w:val="00D33726"/>
    <w:rsid w:val="00D338A5"/>
    <w:rsid w:val="00D339CA"/>
    <w:rsid w:val="00D33AE5"/>
    <w:rsid w:val="00D33B1B"/>
    <w:rsid w:val="00D33B57"/>
    <w:rsid w:val="00D33BE6"/>
    <w:rsid w:val="00D34D19"/>
    <w:rsid w:val="00D34D4E"/>
    <w:rsid w:val="00D350BF"/>
    <w:rsid w:val="00D3520F"/>
    <w:rsid w:val="00D35505"/>
    <w:rsid w:val="00D35670"/>
    <w:rsid w:val="00D35F50"/>
    <w:rsid w:val="00D35F8D"/>
    <w:rsid w:val="00D3604C"/>
    <w:rsid w:val="00D36D7B"/>
    <w:rsid w:val="00D3758E"/>
    <w:rsid w:val="00D376B7"/>
    <w:rsid w:val="00D37AD6"/>
    <w:rsid w:val="00D37C84"/>
    <w:rsid w:val="00D37EC6"/>
    <w:rsid w:val="00D37F55"/>
    <w:rsid w:val="00D4021E"/>
    <w:rsid w:val="00D40299"/>
    <w:rsid w:val="00D40591"/>
    <w:rsid w:val="00D416BB"/>
    <w:rsid w:val="00D41B3A"/>
    <w:rsid w:val="00D42008"/>
    <w:rsid w:val="00D43021"/>
    <w:rsid w:val="00D43128"/>
    <w:rsid w:val="00D432CD"/>
    <w:rsid w:val="00D43C24"/>
    <w:rsid w:val="00D43C69"/>
    <w:rsid w:val="00D43F2B"/>
    <w:rsid w:val="00D44198"/>
    <w:rsid w:val="00D44203"/>
    <w:rsid w:val="00D44B91"/>
    <w:rsid w:val="00D44BAA"/>
    <w:rsid w:val="00D44C28"/>
    <w:rsid w:val="00D4588C"/>
    <w:rsid w:val="00D459B7"/>
    <w:rsid w:val="00D45C83"/>
    <w:rsid w:val="00D45C9D"/>
    <w:rsid w:val="00D45D80"/>
    <w:rsid w:val="00D45D91"/>
    <w:rsid w:val="00D466B1"/>
    <w:rsid w:val="00D467B6"/>
    <w:rsid w:val="00D4684F"/>
    <w:rsid w:val="00D46880"/>
    <w:rsid w:val="00D46C32"/>
    <w:rsid w:val="00D46FA5"/>
    <w:rsid w:val="00D470A0"/>
    <w:rsid w:val="00D47A4B"/>
    <w:rsid w:val="00D47AC8"/>
    <w:rsid w:val="00D47EF2"/>
    <w:rsid w:val="00D50157"/>
    <w:rsid w:val="00D5016C"/>
    <w:rsid w:val="00D50D02"/>
    <w:rsid w:val="00D5146C"/>
    <w:rsid w:val="00D51626"/>
    <w:rsid w:val="00D51737"/>
    <w:rsid w:val="00D51B1E"/>
    <w:rsid w:val="00D51B51"/>
    <w:rsid w:val="00D51E77"/>
    <w:rsid w:val="00D53133"/>
    <w:rsid w:val="00D535C3"/>
    <w:rsid w:val="00D53775"/>
    <w:rsid w:val="00D53B96"/>
    <w:rsid w:val="00D54B67"/>
    <w:rsid w:val="00D54DB3"/>
    <w:rsid w:val="00D55118"/>
    <w:rsid w:val="00D5579A"/>
    <w:rsid w:val="00D55DA4"/>
    <w:rsid w:val="00D55FEA"/>
    <w:rsid w:val="00D56E08"/>
    <w:rsid w:val="00D570EB"/>
    <w:rsid w:val="00D57102"/>
    <w:rsid w:val="00D5717B"/>
    <w:rsid w:val="00D57247"/>
    <w:rsid w:val="00D575B0"/>
    <w:rsid w:val="00D57D4C"/>
    <w:rsid w:val="00D57DC3"/>
    <w:rsid w:val="00D601EE"/>
    <w:rsid w:val="00D6057C"/>
    <w:rsid w:val="00D60618"/>
    <w:rsid w:val="00D6061C"/>
    <w:rsid w:val="00D611ED"/>
    <w:rsid w:val="00D618CC"/>
    <w:rsid w:val="00D6195B"/>
    <w:rsid w:val="00D61B24"/>
    <w:rsid w:val="00D61C95"/>
    <w:rsid w:val="00D61D59"/>
    <w:rsid w:val="00D61D6B"/>
    <w:rsid w:val="00D6208F"/>
    <w:rsid w:val="00D62813"/>
    <w:rsid w:val="00D62889"/>
    <w:rsid w:val="00D62DA1"/>
    <w:rsid w:val="00D633B7"/>
    <w:rsid w:val="00D63B77"/>
    <w:rsid w:val="00D63B7F"/>
    <w:rsid w:val="00D640D0"/>
    <w:rsid w:val="00D64922"/>
    <w:rsid w:val="00D64DCE"/>
    <w:rsid w:val="00D65905"/>
    <w:rsid w:val="00D65C27"/>
    <w:rsid w:val="00D65CD3"/>
    <w:rsid w:val="00D66782"/>
    <w:rsid w:val="00D67B73"/>
    <w:rsid w:val="00D67BDF"/>
    <w:rsid w:val="00D7015A"/>
    <w:rsid w:val="00D702B5"/>
    <w:rsid w:val="00D708AA"/>
    <w:rsid w:val="00D70AFB"/>
    <w:rsid w:val="00D70B40"/>
    <w:rsid w:val="00D70EA4"/>
    <w:rsid w:val="00D70F08"/>
    <w:rsid w:val="00D71E40"/>
    <w:rsid w:val="00D72392"/>
    <w:rsid w:val="00D72578"/>
    <w:rsid w:val="00D726C5"/>
    <w:rsid w:val="00D72747"/>
    <w:rsid w:val="00D72D11"/>
    <w:rsid w:val="00D7324D"/>
    <w:rsid w:val="00D73293"/>
    <w:rsid w:val="00D73399"/>
    <w:rsid w:val="00D73A17"/>
    <w:rsid w:val="00D73F7B"/>
    <w:rsid w:val="00D74445"/>
    <w:rsid w:val="00D7465E"/>
    <w:rsid w:val="00D748FC"/>
    <w:rsid w:val="00D74AD5"/>
    <w:rsid w:val="00D74FFE"/>
    <w:rsid w:val="00D753DA"/>
    <w:rsid w:val="00D75778"/>
    <w:rsid w:val="00D7579A"/>
    <w:rsid w:val="00D75AAC"/>
    <w:rsid w:val="00D75C36"/>
    <w:rsid w:val="00D75DDF"/>
    <w:rsid w:val="00D76571"/>
    <w:rsid w:val="00D7669C"/>
    <w:rsid w:val="00D76B1C"/>
    <w:rsid w:val="00D76E23"/>
    <w:rsid w:val="00D7761B"/>
    <w:rsid w:val="00D7782F"/>
    <w:rsid w:val="00D778E5"/>
    <w:rsid w:val="00D77D00"/>
    <w:rsid w:val="00D8013D"/>
    <w:rsid w:val="00D80377"/>
    <w:rsid w:val="00D80502"/>
    <w:rsid w:val="00D8061B"/>
    <w:rsid w:val="00D809A8"/>
    <w:rsid w:val="00D80B79"/>
    <w:rsid w:val="00D80CCB"/>
    <w:rsid w:val="00D810B2"/>
    <w:rsid w:val="00D8180D"/>
    <w:rsid w:val="00D81929"/>
    <w:rsid w:val="00D81D8F"/>
    <w:rsid w:val="00D81DC6"/>
    <w:rsid w:val="00D8215B"/>
    <w:rsid w:val="00D82691"/>
    <w:rsid w:val="00D82768"/>
    <w:rsid w:val="00D82CFE"/>
    <w:rsid w:val="00D83157"/>
    <w:rsid w:val="00D8350E"/>
    <w:rsid w:val="00D83668"/>
    <w:rsid w:val="00D83739"/>
    <w:rsid w:val="00D84080"/>
    <w:rsid w:val="00D8463D"/>
    <w:rsid w:val="00D84685"/>
    <w:rsid w:val="00D8472F"/>
    <w:rsid w:val="00D84A1C"/>
    <w:rsid w:val="00D8520E"/>
    <w:rsid w:val="00D85A59"/>
    <w:rsid w:val="00D85DB9"/>
    <w:rsid w:val="00D8606F"/>
    <w:rsid w:val="00D861DD"/>
    <w:rsid w:val="00D86449"/>
    <w:rsid w:val="00D8702D"/>
    <w:rsid w:val="00D90236"/>
    <w:rsid w:val="00D913AD"/>
    <w:rsid w:val="00D913EC"/>
    <w:rsid w:val="00D91474"/>
    <w:rsid w:val="00D9181F"/>
    <w:rsid w:val="00D91DE5"/>
    <w:rsid w:val="00D91DF9"/>
    <w:rsid w:val="00D923C5"/>
    <w:rsid w:val="00D9270F"/>
    <w:rsid w:val="00D927BA"/>
    <w:rsid w:val="00D92E01"/>
    <w:rsid w:val="00D93DB2"/>
    <w:rsid w:val="00D93EB3"/>
    <w:rsid w:val="00D94296"/>
    <w:rsid w:val="00D94F0C"/>
    <w:rsid w:val="00D9503A"/>
    <w:rsid w:val="00D957BC"/>
    <w:rsid w:val="00D96394"/>
    <w:rsid w:val="00D96434"/>
    <w:rsid w:val="00D966C5"/>
    <w:rsid w:val="00D96AF0"/>
    <w:rsid w:val="00D9758E"/>
    <w:rsid w:val="00D97642"/>
    <w:rsid w:val="00D97674"/>
    <w:rsid w:val="00D978EC"/>
    <w:rsid w:val="00D97BE7"/>
    <w:rsid w:val="00DA0D48"/>
    <w:rsid w:val="00DA0FC4"/>
    <w:rsid w:val="00DA1148"/>
    <w:rsid w:val="00DA1457"/>
    <w:rsid w:val="00DA1AED"/>
    <w:rsid w:val="00DA1BAC"/>
    <w:rsid w:val="00DA21D0"/>
    <w:rsid w:val="00DA26C3"/>
    <w:rsid w:val="00DA2A57"/>
    <w:rsid w:val="00DA2A5C"/>
    <w:rsid w:val="00DA2BE4"/>
    <w:rsid w:val="00DA350D"/>
    <w:rsid w:val="00DA3536"/>
    <w:rsid w:val="00DA3A07"/>
    <w:rsid w:val="00DA3DB5"/>
    <w:rsid w:val="00DA4069"/>
    <w:rsid w:val="00DA4824"/>
    <w:rsid w:val="00DA5864"/>
    <w:rsid w:val="00DA627D"/>
    <w:rsid w:val="00DA692D"/>
    <w:rsid w:val="00DA70BF"/>
    <w:rsid w:val="00DA7359"/>
    <w:rsid w:val="00DA7435"/>
    <w:rsid w:val="00DA769F"/>
    <w:rsid w:val="00DA78E3"/>
    <w:rsid w:val="00DA79E3"/>
    <w:rsid w:val="00DA7D48"/>
    <w:rsid w:val="00DA7E21"/>
    <w:rsid w:val="00DB003C"/>
    <w:rsid w:val="00DB05B6"/>
    <w:rsid w:val="00DB1526"/>
    <w:rsid w:val="00DB168A"/>
    <w:rsid w:val="00DB1A0D"/>
    <w:rsid w:val="00DB1B35"/>
    <w:rsid w:val="00DB1D92"/>
    <w:rsid w:val="00DB1E8E"/>
    <w:rsid w:val="00DB21C2"/>
    <w:rsid w:val="00DB23FF"/>
    <w:rsid w:val="00DB2E88"/>
    <w:rsid w:val="00DB2ED9"/>
    <w:rsid w:val="00DB32DE"/>
    <w:rsid w:val="00DB3435"/>
    <w:rsid w:val="00DB3658"/>
    <w:rsid w:val="00DB38D5"/>
    <w:rsid w:val="00DB38F4"/>
    <w:rsid w:val="00DB391D"/>
    <w:rsid w:val="00DB396E"/>
    <w:rsid w:val="00DB3DC8"/>
    <w:rsid w:val="00DB3E37"/>
    <w:rsid w:val="00DB4614"/>
    <w:rsid w:val="00DB48F7"/>
    <w:rsid w:val="00DB4AD1"/>
    <w:rsid w:val="00DB56FA"/>
    <w:rsid w:val="00DB6143"/>
    <w:rsid w:val="00DB65A3"/>
    <w:rsid w:val="00DB662A"/>
    <w:rsid w:val="00DB6870"/>
    <w:rsid w:val="00DB73E4"/>
    <w:rsid w:val="00DB746F"/>
    <w:rsid w:val="00DB76C2"/>
    <w:rsid w:val="00DB799C"/>
    <w:rsid w:val="00DC00C8"/>
    <w:rsid w:val="00DC025F"/>
    <w:rsid w:val="00DC13D3"/>
    <w:rsid w:val="00DC1491"/>
    <w:rsid w:val="00DC17D9"/>
    <w:rsid w:val="00DC19D5"/>
    <w:rsid w:val="00DC1A4D"/>
    <w:rsid w:val="00DC1B29"/>
    <w:rsid w:val="00DC20E5"/>
    <w:rsid w:val="00DC2141"/>
    <w:rsid w:val="00DC2567"/>
    <w:rsid w:val="00DC28AF"/>
    <w:rsid w:val="00DC2C1D"/>
    <w:rsid w:val="00DC2F9D"/>
    <w:rsid w:val="00DC30AE"/>
    <w:rsid w:val="00DC33BC"/>
    <w:rsid w:val="00DC3C66"/>
    <w:rsid w:val="00DC3D08"/>
    <w:rsid w:val="00DC3FAF"/>
    <w:rsid w:val="00DC412D"/>
    <w:rsid w:val="00DC4B45"/>
    <w:rsid w:val="00DC4C52"/>
    <w:rsid w:val="00DC4D90"/>
    <w:rsid w:val="00DC51B7"/>
    <w:rsid w:val="00DC538F"/>
    <w:rsid w:val="00DC544A"/>
    <w:rsid w:val="00DC56B9"/>
    <w:rsid w:val="00DC5803"/>
    <w:rsid w:val="00DC5B8D"/>
    <w:rsid w:val="00DC5FE8"/>
    <w:rsid w:val="00DC620A"/>
    <w:rsid w:val="00DC69E8"/>
    <w:rsid w:val="00DC6C58"/>
    <w:rsid w:val="00DC7356"/>
    <w:rsid w:val="00DC7578"/>
    <w:rsid w:val="00DD04D9"/>
    <w:rsid w:val="00DD074D"/>
    <w:rsid w:val="00DD09BB"/>
    <w:rsid w:val="00DD0F25"/>
    <w:rsid w:val="00DD0F9A"/>
    <w:rsid w:val="00DD1176"/>
    <w:rsid w:val="00DD14EF"/>
    <w:rsid w:val="00DD1869"/>
    <w:rsid w:val="00DD18B7"/>
    <w:rsid w:val="00DD1A83"/>
    <w:rsid w:val="00DD1EC0"/>
    <w:rsid w:val="00DD1F1A"/>
    <w:rsid w:val="00DD2210"/>
    <w:rsid w:val="00DD226C"/>
    <w:rsid w:val="00DD233B"/>
    <w:rsid w:val="00DD234F"/>
    <w:rsid w:val="00DD238D"/>
    <w:rsid w:val="00DD253C"/>
    <w:rsid w:val="00DD2B63"/>
    <w:rsid w:val="00DD3067"/>
    <w:rsid w:val="00DD3995"/>
    <w:rsid w:val="00DD3F11"/>
    <w:rsid w:val="00DD41D0"/>
    <w:rsid w:val="00DD4F07"/>
    <w:rsid w:val="00DD51D6"/>
    <w:rsid w:val="00DD53E1"/>
    <w:rsid w:val="00DD55C8"/>
    <w:rsid w:val="00DD55C9"/>
    <w:rsid w:val="00DD5CB2"/>
    <w:rsid w:val="00DD5E7E"/>
    <w:rsid w:val="00DD6AE1"/>
    <w:rsid w:val="00DD6C3D"/>
    <w:rsid w:val="00DD6D12"/>
    <w:rsid w:val="00DD6E51"/>
    <w:rsid w:val="00DD740A"/>
    <w:rsid w:val="00DD7C9E"/>
    <w:rsid w:val="00DE03E9"/>
    <w:rsid w:val="00DE1176"/>
    <w:rsid w:val="00DE138A"/>
    <w:rsid w:val="00DE1B5E"/>
    <w:rsid w:val="00DE1B7A"/>
    <w:rsid w:val="00DE1C7C"/>
    <w:rsid w:val="00DE1F3C"/>
    <w:rsid w:val="00DE1F76"/>
    <w:rsid w:val="00DE21D3"/>
    <w:rsid w:val="00DE2722"/>
    <w:rsid w:val="00DE2D16"/>
    <w:rsid w:val="00DE36AA"/>
    <w:rsid w:val="00DE39EE"/>
    <w:rsid w:val="00DE440F"/>
    <w:rsid w:val="00DE44EB"/>
    <w:rsid w:val="00DE4C2E"/>
    <w:rsid w:val="00DE54D9"/>
    <w:rsid w:val="00DE57D1"/>
    <w:rsid w:val="00DE5A01"/>
    <w:rsid w:val="00DE5A36"/>
    <w:rsid w:val="00DE5FAB"/>
    <w:rsid w:val="00DE6609"/>
    <w:rsid w:val="00DE6826"/>
    <w:rsid w:val="00DE6873"/>
    <w:rsid w:val="00DE6AC6"/>
    <w:rsid w:val="00DE6B7D"/>
    <w:rsid w:val="00DE6DFC"/>
    <w:rsid w:val="00DE6E01"/>
    <w:rsid w:val="00DE7666"/>
    <w:rsid w:val="00DE7A44"/>
    <w:rsid w:val="00DE7A5D"/>
    <w:rsid w:val="00DE7A6F"/>
    <w:rsid w:val="00DF018C"/>
    <w:rsid w:val="00DF04FD"/>
    <w:rsid w:val="00DF0A12"/>
    <w:rsid w:val="00DF0EDF"/>
    <w:rsid w:val="00DF0F51"/>
    <w:rsid w:val="00DF106F"/>
    <w:rsid w:val="00DF1A36"/>
    <w:rsid w:val="00DF1B80"/>
    <w:rsid w:val="00DF1BC5"/>
    <w:rsid w:val="00DF1D37"/>
    <w:rsid w:val="00DF3261"/>
    <w:rsid w:val="00DF343A"/>
    <w:rsid w:val="00DF3443"/>
    <w:rsid w:val="00DF3669"/>
    <w:rsid w:val="00DF37B4"/>
    <w:rsid w:val="00DF39CE"/>
    <w:rsid w:val="00DF3D38"/>
    <w:rsid w:val="00DF41E9"/>
    <w:rsid w:val="00DF46D7"/>
    <w:rsid w:val="00DF4DBF"/>
    <w:rsid w:val="00DF4EE2"/>
    <w:rsid w:val="00DF5230"/>
    <w:rsid w:val="00DF5315"/>
    <w:rsid w:val="00DF5368"/>
    <w:rsid w:val="00DF56CC"/>
    <w:rsid w:val="00DF56DA"/>
    <w:rsid w:val="00DF5B72"/>
    <w:rsid w:val="00DF5CA6"/>
    <w:rsid w:val="00DF5DBE"/>
    <w:rsid w:val="00DF6533"/>
    <w:rsid w:val="00DF695E"/>
    <w:rsid w:val="00DF6AF4"/>
    <w:rsid w:val="00DF6AFA"/>
    <w:rsid w:val="00DF753B"/>
    <w:rsid w:val="00DF7826"/>
    <w:rsid w:val="00DF7843"/>
    <w:rsid w:val="00DF7F69"/>
    <w:rsid w:val="00DF7FC1"/>
    <w:rsid w:val="00E01343"/>
    <w:rsid w:val="00E01793"/>
    <w:rsid w:val="00E01A83"/>
    <w:rsid w:val="00E01DA5"/>
    <w:rsid w:val="00E0221F"/>
    <w:rsid w:val="00E0269F"/>
    <w:rsid w:val="00E028AC"/>
    <w:rsid w:val="00E02A03"/>
    <w:rsid w:val="00E03C5C"/>
    <w:rsid w:val="00E04243"/>
    <w:rsid w:val="00E04B17"/>
    <w:rsid w:val="00E05B82"/>
    <w:rsid w:val="00E05C11"/>
    <w:rsid w:val="00E05CFD"/>
    <w:rsid w:val="00E05E74"/>
    <w:rsid w:val="00E06025"/>
    <w:rsid w:val="00E06788"/>
    <w:rsid w:val="00E068BA"/>
    <w:rsid w:val="00E06910"/>
    <w:rsid w:val="00E06DEF"/>
    <w:rsid w:val="00E071EF"/>
    <w:rsid w:val="00E0784A"/>
    <w:rsid w:val="00E10210"/>
    <w:rsid w:val="00E10254"/>
    <w:rsid w:val="00E10387"/>
    <w:rsid w:val="00E104E7"/>
    <w:rsid w:val="00E10699"/>
    <w:rsid w:val="00E10A7B"/>
    <w:rsid w:val="00E10B52"/>
    <w:rsid w:val="00E1147C"/>
    <w:rsid w:val="00E117F3"/>
    <w:rsid w:val="00E11B0E"/>
    <w:rsid w:val="00E11BD2"/>
    <w:rsid w:val="00E1221B"/>
    <w:rsid w:val="00E126BD"/>
    <w:rsid w:val="00E12A62"/>
    <w:rsid w:val="00E12A79"/>
    <w:rsid w:val="00E12B0F"/>
    <w:rsid w:val="00E1335C"/>
    <w:rsid w:val="00E1338D"/>
    <w:rsid w:val="00E134BD"/>
    <w:rsid w:val="00E13C82"/>
    <w:rsid w:val="00E13CCF"/>
    <w:rsid w:val="00E142E5"/>
    <w:rsid w:val="00E1430B"/>
    <w:rsid w:val="00E1433B"/>
    <w:rsid w:val="00E146F4"/>
    <w:rsid w:val="00E1496A"/>
    <w:rsid w:val="00E14E33"/>
    <w:rsid w:val="00E14F1F"/>
    <w:rsid w:val="00E14F50"/>
    <w:rsid w:val="00E14F54"/>
    <w:rsid w:val="00E156B2"/>
    <w:rsid w:val="00E159A8"/>
    <w:rsid w:val="00E15B79"/>
    <w:rsid w:val="00E16166"/>
    <w:rsid w:val="00E1644B"/>
    <w:rsid w:val="00E165CD"/>
    <w:rsid w:val="00E1693E"/>
    <w:rsid w:val="00E16DA5"/>
    <w:rsid w:val="00E17382"/>
    <w:rsid w:val="00E17BF4"/>
    <w:rsid w:val="00E204D1"/>
    <w:rsid w:val="00E20A63"/>
    <w:rsid w:val="00E20D13"/>
    <w:rsid w:val="00E2165E"/>
    <w:rsid w:val="00E21E22"/>
    <w:rsid w:val="00E2213C"/>
    <w:rsid w:val="00E22241"/>
    <w:rsid w:val="00E22872"/>
    <w:rsid w:val="00E229FB"/>
    <w:rsid w:val="00E22E1E"/>
    <w:rsid w:val="00E22F01"/>
    <w:rsid w:val="00E23BC7"/>
    <w:rsid w:val="00E23C7E"/>
    <w:rsid w:val="00E23EA3"/>
    <w:rsid w:val="00E24938"/>
    <w:rsid w:val="00E24A9C"/>
    <w:rsid w:val="00E250F4"/>
    <w:rsid w:val="00E254D3"/>
    <w:rsid w:val="00E25A19"/>
    <w:rsid w:val="00E25D6B"/>
    <w:rsid w:val="00E25E22"/>
    <w:rsid w:val="00E25E2A"/>
    <w:rsid w:val="00E25F10"/>
    <w:rsid w:val="00E25FFD"/>
    <w:rsid w:val="00E26087"/>
    <w:rsid w:val="00E260D7"/>
    <w:rsid w:val="00E269AA"/>
    <w:rsid w:val="00E26BFF"/>
    <w:rsid w:val="00E2757C"/>
    <w:rsid w:val="00E27E27"/>
    <w:rsid w:val="00E27F9C"/>
    <w:rsid w:val="00E30105"/>
    <w:rsid w:val="00E301F0"/>
    <w:rsid w:val="00E3021A"/>
    <w:rsid w:val="00E30624"/>
    <w:rsid w:val="00E307C0"/>
    <w:rsid w:val="00E30858"/>
    <w:rsid w:val="00E30878"/>
    <w:rsid w:val="00E30AAB"/>
    <w:rsid w:val="00E30CE5"/>
    <w:rsid w:val="00E30F72"/>
    <w:rsid w:val="00E3107F"/>
    <w:rsid w:val="00E31147"/>
    <w:rsid w:val="00E3130F"/>
    <w:rsid w:val="00E319ED"/>
    <w:rsid w:val="00E32EA2"/>
    <w:rsid w:val="00E32FCB"/>
    <w:rsid w:val="00E33061"/>
    <w:rsid w:val="00E333C2"/>
    <w:rsid w:val="00E34679"/>
    <w:rsid w:val="00E34FD2"/>
    <w:rsid w:val="00E352ED"/>
    <w:rsid w:val="00E361F8"/>
    <w:rsid w:val="00E36342"/>
    <w:rsid w:val="00E36357"/>
    <w:rsid w:val="00E36810"/>
    <w:rsid w:val="00E3699D"/>
    <w:rsid w:val="00E36B5E"/>
    <w:rsid w:val="00E36EE1"/>
    <w:rsid w:val="00E37582"/>
    <w:rsid w:val="00E379FD"/>
    <w:rsid w:val="00E37C23"/>
    <w:rsid w:val="00E37F80"/>
    <w:rsid w:val="00E4001B"/>
    <w:rsid w:val="00E404F8"/>
    <w:rsid w:val="00E405A5"/>
    <w:rsid w:val="00E41036"/>
    <w:rsid w:val="00E41374"/>
    <w:rsid w:val="00E41469"/>
    <w:rsid w:val="00E416EC"/>
    <w:rsid w:val="00E41AC3"/>
    <w:rsid w:val="00E41BB8"/>
    <w:rsid w:val="00E41CCA"/>
    <w:rsid w:val="00E41E10"/>
    <w:rsid w:val="00E41E36"/>
    <w:rsid w:val="00E4226C"/>
    <w:rsid w:val="00E4286B"/>
    <w:rsid w:val="00E42923"/>
    <w:rsid w:val="00E42DED"/>
    <w:rsid w:val="00E42FB9"/>
    <w:rsid w:val="00E431D2"/>
    <w:rsid w:val="00E43277"/>
    <w:rsid w:val="00E43328"/>
    <w:rsid w:val="00E43ABF"/>
    <w:rsid w:val="00E43B2F"/>
    <w:rsid w:val="00E43C43"/>
    <w:rsid w:val="00E43D26"/>
    <w:rsid w:val="00E4468C"/>
    <w:rsid w:val="00E44C5E"/>
    <w:rsid w:val="00E44DE0"/>
    <w:rsid w:val="00E44E0A"/>
    <w:rsid w:val="00E451FB"/>
    <w:rsid w:val="00E452C6"/>
    <w:rsid w:val="00E4531D"/>
    <w:rsid w:val="00E45631"/>
    <w:rsid w:val="00E4593E"/>
    <w:rsid w:val="00E45C18"/>
    <w:rsid w:val="00E45D27"/>
    <w:rsid w:val="00E45E55"/>
    <w:rsid w:val="00E46E5F"/>
    <w:rsid w:val="00E4710C"/>
    <w:rsid w:val="00E502B6"/>
    <w:rsid w:val="00E508A5"/>
    <w:rsid w:val="00E508F4"/>
    <w:rsid w:val="00E509DE"/>
    <w:rsid w:val="00E51080"/>
    <w:rsid w:val="00E51113"/>
    <w:rsid w:val="00E511DD"/>
    <w:rsid w:val="00E5152E"/>
    <w:rsid w:val="00E5206A"/>
    <w:rsid w:val="00E52226"/>
    <w:rsid w:val="00E52249"/>
    <w:rsid w:val="00E52303"/>
    <w:rsid w:val="00E52535"/>
    <w:rsid w:val="00E532C3"/>
    <w:rsid w:val="00E537C9"/>
    <w:rsid w:val="00E5382B"/>
    <w:rsid w:val="00E53832"/>
    <w:rsid w:val="00E5386F"/>
    <w:rsid w:val="00E53954"/>
    <w:rsid w:val="00E53CFF"/>
    <w:rsid w:val="00E53E89"/>
    <w:rsid w:val="00E5400C"/>
    <w:rsid w:val="00E544DA"/>
    <w:rsid w:val="00E54C38"/>
    <w:rsid w:val="00E54E38"/>
    <w:rsid w:val="00E55798"/>
    <w:rsid w:val="00E55B3E"/>
    <w:rsid w:val="00E55CD2"/>
    <w:rsid w:val="00E560C6"/>
    <w:rsid w:val="00E56B46"/>
    <w:rsid w:val="00E573CE"/>
    <w:rsid w:val="00E5757A"/>
    <w:rsid w:val="00E57A6D"/>
    <w:rsid w:val="00E57BC2"/>
    <w:rsid w:val="00E57D1A"/>
    <w:rsid w:val="00E57F5D"/>
    <w:rsid w:val="00E601FA"/>
    <w:rsid w:val="00E60277"/>
    <w:rsid w:val="00E60319"/>
    <w:rsid w:val="00E60471"/>
    <w:rsid w:val="00E607E3"/>
    <w:rsid w:val="00E61235"/>
    <w:rsid w:val="00E6185D"/>
    <w:rsid w:val="00E61CDE"/>
    <w:rsid w:val="00E61FB2"/>
    <w:rsid w:val="00E620BC"/>
    <w:rsid w:val="00E62193"/>
    <w:rsid w:val="00E62295"/>
    <w:rsid w:val="00E62326"/>
    <w:rsid w:val="00E625FE"/>
    <w:rsid w:val="00E62D8E"/>
    <w:rsid w:val="00E6330C"/>
    <w:rsid w:val="00E63764"/>
    <w:rsid w:val="00E63814"/>
    <w:rsid w:val="00E63910"/>
    <w:rsid w:val="00E63DCE"/>
    <w:rsid w:val="00E63ED6"/>
    <w:rsid w:val="00E6428E"/>
    <w:rsid w:val="00E64E4E"/>
    <w:rsid w:val="00E652F4"/>
    <w:rsid w:val="00E6575B"/>
    <w:rsid w:val="00E65A26"/>
    <w:rsid w:val="00E6618D"/>
    <w:rsid w:val="00E6647D"/>
    <w:rsid w:val="00E665D6"/>
    <w:rsid w:val="00E66752"/>
    <w:rsid w:val="00E66C18"/>
    <w:rsid w:val="00E675E6"/>
    <w:rsid w:val="00E67A94"/>
    <w:rsid w:val="00E67AD6"/>
    <w:rsid w:val="00E67C6F"/>
    <w:rsid w:val="00E67CAD"/>
    <w:rsid w:val="00E67CC2"/>
    <w:rsid w:val="00E67FFE"/>
    <w:rsid w:val="00E70CF2"/>
    <w:rsid w:val="00E7168C"/>
    <w:rsid w:val="00E720DC"/>
    <w:rsid w:val="00E7221C"/>
    <w:rsid w:val="00E72420"/>
    <w:rsid w:val="00E72579"/>
    <w:rsid w:val="00E72F9C"/>
    <w:rsid w:val="00E73550"/>
    <w:rsid w:val="00E73E51"/>
    <w:rsid w:val="00E73E83"/>
    <w:rsid w:val="00E73F6B"/>
    <w:rsid w:val="00E749AA"/>
    <w:rsid w:val="00E759F9"/>
    <w:rsid w:val="00E75CA5"/>
    <w:rsid w:val="00E7600A"/>
    <w:rsid w:val="00E76706"/>
    <w:rsid w:val="00E76A90"/>
    <w:rsid w:val="00E76C92"/>
    <w:rsid w:val="00E76CEB"/>
    <w:rsid w:val="00E770C5"/>
    <w:rsid w:val="00E77892"/>
    <w:rsid w:val="00E77A15"/>
    <w:rsid w:val="00E77E04"/>
    <w:rsid w:val="00E807D1"/>
    <w:rsid w:val="00E80818"/>
    <w:rsid w:val="00E80A4A"/>
    <w:rsid w:val="00E80D71"/>
    <w:rsid w:val="00E8114A"/>
    <w:rsid w:val="00E814F7"/>
    <w:rsid w:val="00E818CE"/>
    <w:rsid w:val="00E81B9B"/>
    <w:rsid w:val="00E81BE8"/>
    <w:rsid w:val="00E822CE"/>
    <w:rsid w:val="00E8291D"/>
    <w:rsid w:val="00E82CE8"/>
    <w:rsid w:val="00E82F93"/>
    <w:rsid w:val="00E8328B"/>
    <w:rsid w:val="00E83A2B"/>
    <w:rsid w:val="00E83B0A"/>
    <w:rsid w:val="00E83BF5"/>
    <w:rsid w:val="00E83E3C"/>
    <w:rsid w:val="00E8458C"/>
    <w:rsid w:val="00E84792"/>
    <w:rsid w:val="00E84C52"/>
    <w:rsid w:val="00E84EAB"/>
    <w:rsid w:val="00E84F4B"/>
    <w:rsid w:val="00E852E5"/>
    <w:rsid w:val="00E85D61"/>
    <w:rsid w:val="00E86577"/>
    <w:rsid w:val="00E86974"/>
    <w:rsid w:val="00E86D29"/>
    <w:rsid w:val="00E872AD"/>
    <w:rsid w:val="00E87955"/>
    <w:rsid w:val="00E87E82"/>
    <w:rsid w:val="00E87ED5"/>
    <w:rsid w:val="00E903F0"/>
    <w:rsid w:val="00E905BA"/>
    <w:rsid w:val="00E9074C"/>
    <w:rsid w:val="00E90EAA"/>
    <w:rsid w:val="00E915F1"/>
    <w:rsid w:val="00E917D4"/>
    <w:rsid w:val="00E9195C"/>
    <w:rsid w:val="00E91FA5"/>
    <w:rsid w:val="00E92236"/>
    <w:rsid w:val="00E930F0"/>
    <w:rsid w:val="00E93309"/>
    <w:rsid w:val="00E93B32"/>
    <w:rsid w:val="00E94A70"/>
    <w:rsid w:val="00E951E0"/>
    <w:rsid w:val="00E952CE"/>
    <w:rsid w:val="00E956D7"/>
    <w:rsid w:val="00E960B4"/>
    <w:rsid w:val="00E960E8"/>
    <w:rsid w:val="00E96232"/>
    <w:rsid w:val="00E962CD"/>
    <w:rsid w:val="00E96884"/>
    <w:rsid w:val="00E96B9F"/>
    <w:rsid w:val="00E972AD"/>
    <w:rsid w:val="00E9748E"/>
    <w:rsid w:val="00E9795F"/>
    <w:rsid w:val="00E97BBD"/>
    <w:rsid w:val="00E97D77"/>
    <w:rsid w:val="00EA00FA"/>
    <w:rsid w:val="00EA03C2"/>
    <w:rsid w:val="00EA07E7"/>
    <w:rsid w:val="00EA0E43"/>
    <w:rsid w:val="00EA1074"/>
    <w:rsid w:val="00EA1400"/>
    <w:rsid w:val="00EA15F3"/>
    <w:rsid w:val="00EA1C2C"/>
    <w:rsid w:val="00EA1ED5"/>
    <w:rsid w:val="00EA2550"/>
    <w:rsid w:val="00EA29B1"/>
    <w:rsid w:val="00EA2C6A"/>
    <w:rsid w:val="00EA2C7E"/>
    <w:rsid w:val="00EA2DDD"/>
    <w:rsid w:val="00EA3205"/>
    <w:rsid w:val="00EA406E"/>
    <w:rsid w:val="00EA43E9"/>
    <w:rsid w:val="00EA498A"/>
    <w:rsid w:val="00EA5432"/>
    <w:rsid w:val="00EA557A"/>
    <w:rsid w:val="00EA55A7"/>
    <w:rsid w:val="00EA55AF"/>
    <w:rsid w:val="00EA5922"/>
    <w:rsid w:val="00EA5B00"/>
    <w:rsid w:val="00EA5C96"/>
    <w:rsid w:val="00EA5F2E"/>
    <w:rsid w:val="00EA6035"/>
    <w:rsid w:val="00EA60DD"/>
    <w:rsid w:val="00EA69B7"/>
    <w:rsid w:val="00EA7773"/>
    <w:rsid w:val="00EA7DAC"/>
    <w:rsid w:val="00EB0168"/>
    <w:rsid w:val="00EB04CF"/>
    <w:rsid w:val="00EB0EF4"/>
    <w:rsid w:val="00EB14BB"/>
    <w:rsid w:val="00EB1574"/>
    <w:rsid w:val="00EB2A74"/>
    <w:rsid w:val="00EB2C24"/>
    <w:rsid w:val="00EB2C54"/>
    <w:rsid w:val="00EB2CDF"/>
    <w:rsid w:val="00EB3336"/>
    <w:rsid w:val="00EB33FB"/>
    <w:rsid w:val="00EB35D2"/>
    <w:rsid w:val="00EB361D"/>
    <w:rsid w:val="00EB3808"/>
    <w:rsid w:val="00EB3DE2"/>
    <w:rsid w:val="00EB41C9"/>
    <w:rsid w:val="00EB4203"/>
    <w:rsid w:val="00EB4255"/>
    <w:rsid w:val="00EB430D"/>
    <w:rsid w:val="00EB4847"/>
    <w:rsid w:val="00EB4BAA"/>
    <w:rsid w:val="00EB4C0F"/>
    <w:rsid w:val="00EB5981"/>
    <w:rsid w:val="00EB6545"/>
    <w:rsid w:val="00EB6C65"/>
    <w:rsid w:val="00EB71F0"/>
    <w:rsid w:val="00EB7B50"/>
    <w:rsid w:val="00EB7D66"/>
    <w:rsid w:val="00EB7DD6"/>
    <w:rsid w:val="00EB7F4C"/>
    <w:rsid w:val="00EC0277"/>
    <w:rsid w:val="00EC02CB"/>
    <w:rsid w:val="00EC0A1F"/>
    <w:rsid w:val="00EC0E3B"/>
    <w:rsid w:val="00EC1B13"/>
    <w:rsid w:val="00EC21FC"/>
    <w:rsid w:val="00EC23E3"/>
    <w:rsid w:val="00EC249C"/>
    <w:rsid w:val="00EC2CEE"/>
    <w:rsid w:val="00EC2D36"/>
    <w:rsid w:val="00EC2D85"/>
    <w:rsid w:val="00EC2F8C"/>
    <w:rsid w:val="00EC2FA1"/>
    <w:rsid w:val="00EC3A4C"/>
    <w:rsid w:val="00EC3F49"/>
    <w:rsid w:val="00EC49F4"/>
    <w:rsid w:val="00EC4D0D"/>
    <w:rsid w:val="00EC4DB5"/>
    <w:rsid w:val="00EC5015"/>
    <w:rsid w:val="00EC5298"/>
    <w:rsid w:val="00EC531E"/>
    <w:rsid w:val="00EC5580"/>
    <w:rsid w:val="00EC5B51"/>
    <w:rsid w:val="00EC60F8"/>
    <w:rsid w:val="00EC6333"/>
    <w:rsid w:val="00EC6816"/>
    <w:rsid w:val="00EC6FAB"/>
    <w:rsid w:val="00EC7621"/>
    <w:rsid w:val="00ED02CB"/>
    <w:rsid w:val="00ED071A"/>
    <w:rsid w:val="00ED0FB0"/>
    <w:rsid w:val="00ED1458"/>
    <w:rsid w:val="00ED165E"/>
    <w:rsid w:val="00ED17BA"/>
    <w:rsid w:val="00ED2242"/>
    <w:rsid w:val="00ED224D"/>
    <w:rsid w:val="00ED2410"/>
    <w:rsid w:val="00ED245C"/>
    <w:rsid w:val="00ED2522"/>
    <w:rsid w:val="00ED2A6D"/>
    <w:rsid w:val="00ED2B8F"/>
    <w:rsid w:val="00ED3067"/>
    <w:rsid w:val="00ED33C9"/>
    <w:rsid w:val="00ED363F"/>
    <w:rsid w:val="00ED371E"/>
    <w:rsid w:val="00ED3E16"/>
    <w:rsid w:val="00ED3EC4"/>
    <w:rsid w:val="00ED4537"/>
    <w:rsid w:val="00ED48CC"/>
    <w:rsid w:val="00ED48D1"/>
    <w:rsid w:val="00ED5A0F"/>
    <w:rsid w:val="00ED5C35"/>
    <w:rsid w:val="00ED5F04"/>
    <w:rsid w:val="00ED5FFB"/>
    <w:rsid w:val="00ED6353"/>
    <w:rsid w:val="00ED6465"/>
    <w:rsid w:val="00ED6BAB"/>
    <w:rsid w:val="00ED6CC9"/>
    <w:rsid w:val="00ED6E7B"/>
    <w:rsid w:val="00ED76E4"/>
    <w:rsid w:val="00ED7B25"/>
    <w:rsid w:val="00EE07AC"/>
    <w:rsid w:val="00EE092F"/>
    <w:rsid w:val="00EE0D9C"/>
    <w:rsid w:val="00EE0E40"/>
    <w:rsid w:val="00EE0FE9"/>
    <w:rsid w:val="00EE1193"/>
    <w:rsid w:val="00EE18B8"/>
    <w:rsid w:val="00EE1A1E"/>
    <w:rsid w:val="00EE1B35"/>
    <w:rsid w:val="00EE1B5F"/>
    <w:rsid w:val="00EE1D6C"/>
    <w:rsid w:val="00EE2182"/>
    <w:rsid w:val="00EE21C5"/>
    <w:rsid w:val="00EE2CFC"/>
    <w:rsid w:val="00EE2DE1"/>
    <w:rsid w:val="00EE2E83"/>
    <w:rsid w:val="00EE2EE6"/>
    <w:rsid w:val="00EE3220"/>
    <w:rsid w:val="00EE3C60"/>
    <w:rsid w:val="00EE3E21"/>
    <w:rsid w:val="00EE3E2A"/>
    <w:rsid w:val="00EE4000"/>
    <w:rsid w:val="00EE4AD7"/>
    <w:rsid w:val="00EE4F30"/>
    <w:rsid w:val="00EE51C3"/>
    <w:rsid w:val="00EE6453"/>
    <w:rsid w:val="00EE6AEE"/>
    <w:rsid w:val="00EE702F"/>
    <w:rsid w:val="00EE753F"/>
    <w:rsid w:val="00EE792B"/>
    <w:rsid w:val="00EE7CCF"/>
    <w:rsid w:val="00EE7D3D"/>
    <w:rsid w:val="00EF0474"/>
    <w:rsid w:val="00EF09B5"/>
    <w:rsid w:val="00EF0D0E"/>
    <w:rsid w:val="00EF0DB4"/>
    <w:rsid w:val="00EF14B4"/>
    <w:rsid w:val="00EF19DE"/>
    <w:rsid w:val="00EF1A04"/>
    <w:rsid w:val="00EF1AF4"/>
    <w:rsid w:val="00EF2497"/>
    <w:rsid w:val="00EF2F45"/>
    <w:rsid w:val="00EF2F83"/>
    <w:rsid w:val="00EF4296"/>
    <w:rsid w:val="00EF42E3"/>
    <w:rsid w:val="00EF4593"/>
    <w:rsid w:val="00EF46D0"/>
    <w:rsid w:val="00EF4A57"/>
    <w:rsid w:val="00EF5122"/>
    <w:rsid w:val="00EF55F4"/>
    <w:rsid w:val="00EF56F2"/>
    <w:rsid w:val="00EF5D10"/>
    <w:rsid w:val="00EF639F"/>
    <w:rsid w:val="00EF6678"/>
    <w:rsid w:val="00EF7294"/>
    <w:rsid w:val="00EF74C9"/>
    <w:rsid w:val="00EF7521"/>
    <w:rsid w:val="00F00055"/>
    <w:rsid w:val="00F000C6"/>
    <w:rsid w:val="00F000CC"/>
    <w:rsid w:val="00F001AB"/>
    <w:rsid w:val="00F00404"/>
    <w:rsid w:val="00F00560"/>
    <w:rsid w:val="00F010AD"/>
    <w:rsid w:val="00F012D1"/>
    <w:rsid w:val="00F019F6"/>
    <w:rsid w:val="00F01B00"/>
    <w:rsid w:val="00F02466"/>
    <w:rsid w:val="00F024FE"/>
    <w:rsid w:val="00F035E1"/>
    <w:rsid w:val="00F03B9A"/>
    <w:rsid w:val="00F043D6"/>
    <w:rsid w:val="00F047A1"/>
    <w:rsid w:val="00F04D28"/>
    <w:rsid w:val="00F04E42"/>
    <w:rsid w:val="00F04F35"/>
    <w:rsid w:val="00F050B5"/>
    <w:rsid w:val="00F053E0"/>
    <w:rsid w:val="00F05B68"/>
    <w:rsid w:val="00F05C77"/>
    <w:rsid w:val="00F05DDF"/>
    <w:rsid w:val="00F0625F"/>
    <w:rsid w:val="00F062A7"/>
    <w:rsid w:val="00F06441"/>
    <w:rsid w:val="00F06875"/>
    <w:rsid w:val="00F0700C"/>
    <w:rsid w:val="00F07025"/>
    <w:rsid w:val="00F072CE"/>
    <w:rsid w:val="00F0750D"/>
    <w:rsid w:val="00F07ACE"/>
    <w:rsid w:val="00F07C34"/>
    <w:rsid w:val="00F07D90"/>
    <w:rsid w:val="00F10A29"/>
    <w:rsid w:val="00F10A38"/>
    <w:rsid w:val="00F1129C"/>
    <w:rsid w:val="00F11CF2"/>
    <w:rsid w:val="00F12073"/>
    <w:rsid w:val="00F120D2"/>
    <w:rsid w:val="00F12126"/>
    <w:rsid w:val="00F12995"/>
    <w:rsid w:val="00F12D4A"/>
    <w:rsid w:val="00F13291"/>
    <w:rsid w:val="00F136F0"/>
    <w:rsid w:val="00F13AE5"/>
    <w:rsid w:val="00F13B5D"/>
    <w:rsid w:val="00F1417E"/>
    <w:rsid w:val="00F1425D"/>
    <w:rsid w:val="00F14315"/>
    <w:rsid w:val="00F14A28"/>
    <w:rsid w:val="00F155F2"/>
    <w:rsid w:val="00F15636"/>
    <w:rsid w:val="00F15D65"/>
    <w:rsid w:val="00F16111"/>
    <w:rsid w:val="00F16820"/>
    <w:rsid w:val="00F16DC7"/>
    <w:rsid w:val="00F16DF8"/>
    <w:rsid w:val="00F16E9D"/>
    <w:rsid w:val="00F171B0"/>
    <w:rsid w:val="00F177B1"/>
    <w:rsid w:val="00F17A7C"/>
    <w:rsid w:val="00F17DCB"/>
    <w:rsid w:val="00F20123"/>
    <w:rsid w:val="00F2070C"/>
    <w:rsid w:val="00F213A6"/>
    <w:rsid w:val="00F21655"/>
    <w:rsid w:val="00F217A8"/>
    <w:rsid w:val="00F21BA5"/>
    <w:rsid w:val="00F21D01"/>
    <w:rsid w:val="00F21DE9"/>
    <w:rsid w:val="00F21FB1"/>
    <w:rsid w:val="00F2252B"/>
    <w:rsid w:val="00F23061"/>
    <w:rsid w:val="00F2312A"/>
    <w:rsid w:val="00F236B7"/>
    <w:rsid w:val="00F23F90"/>
    <w:rsid w:val="00F23FA1"/>
    <w:rsid w:val="00F24269"/>
    <w:rsid w:val="00F24439"/>
    <w:rsid w:val="00F24796"/>
    <w:rsid w:val="00F25005"/>
    <w:rsid w:val="00F25A09"/>
    <w:rsid w:val="00F25F56"/>
    <w:rsid w:val="00F26176"/>
    <w:rsid w:val="00F2630E"/>
    <w:rsid w:val="00F263C5"/>
    <w:rsid w:val="00F2640B"/>
    <w:rsid w:val="00F26E03"/>
    <w:rsid w:val="00F27898"/>
    <w:rsid w:val="00F278D8"/>
    <w:rsid w:val="00F278EB"/>
    <w:rsid w:val="00F27B01"/>
    <w:rsid w:val="00F27EB8"/>
    <w:rsid w:val="00F3064F"/>
    <w:rsid w:val="00F30A2B"/>
    <w:rsid w:val="00F3135B"/>
    <w:rsid w:val="00F31A5D"/>
    <w:rsid w:val="00F320AA"/>
    <w:rsid w:val="00F32213"/>
    <w:rsid w:val="00F323F7"/>
    <w:rsid w:val="00F3242F"/>
    <w:rsid w:val="00F32BC3"/>
    <w:rsid w:val="00F32CE4"/>
    <w:rsid w:val="00F333A7"/>
    <w:rsid w:val="00F333EF"/>
    <w:rsid w:val="00F3346B"/>
    <w:rsid w:val="00F33C52"/>
    <w:rsid w:val="00F3405A"/>
    <w:rsid w:val="00F343F9"/>
    <w:rsid w:val="00F3482E"/>
    <w:rsid w:val="00F34D1F"/>
    <w:rsid w:val="00F354C7"/>
    <w:rsid w:val="00F358ED"/>
    <w:rsid w:val="00F359BD"/>
    <w:rsid w:val="00F35CF3"/>
    <w:rsid w:val="00F3613C"/>
    <w:rsid w:val="00F365FA"/>
    <w:rsid w:val="00F36686"/>
    <w:rsid w:val="00F36784"/>
    <w:rsid w:val="00F36872"/>
    <w:rsid w:val="00F36F1F"/>
    <w:rsid w:val="00F37655"/>
    <w:rsid w:val="00F377AF"/>
    <w:rsid w:val="00F37F62"/>
    <w:rsid w:val="00F4018E"/>
    <w:rsid w:val="00F404DC"/>
    <w:rsid w:val="00F407E2"/>
    <w:rsid w:val="00F40BCA"/>
    <w:rsid w:val="00F40E7B"/>
    <w:rsid w:val="00F41A8D"/>
    <w:rsid w:val="00F41ACD"/>
    <w:rsid w:val="00F41AF2"/>
    <w:rsid w:val="00F41C7D"/>
    <w:rsid w:val="00F41E80"/>
    <w:rsid w:val="00F41EB5"/>
    <w:rsid w:val="00F41FCA"/>
    <w:rsid w:val="00F42024"/>
    <w:rsid w:val="00F42216"/>
    <w:rsid w:val="00F42A54"/>
    <w:rsid w:val="00F42BC3"/>
    <w:rsid w:val="00F43A0D"/>
    <w:rsid w:val="00F43C36"/>
    <w:rsid w:val="00F44070"/>
    <w:rsid w:val="00F443F3"/>
    <w:rsid w:val="00F444CB"/>
    <w:rsid w:val="00F444E3"/>
    <w:rsid w:val="00F4453A"/>
    <w:rsid w:val="00F45A31"/>
    <w:rsid w:val="00F45BBF"/>
    <w:rsid w:val="00F45EDC"/>
    <w:rsid w:val="00F46AFF"/>
    <w:rsid w:val="00F46C22"/>
    <w:rsid w:val="00F46C3A"/>
    <w:rsid w:val="00F46FB3"/>
    <w:rsid w:val="00F46FEE"/>
    <w:rsid w:val="00F471F1"/>
    <w:rsid w:val="00F47956"/>
    <w:rsid w:val="00F47BB8"/>
    <w:rsid w:val="00F5044C"/>
    <w:rsid w:val="00F50DC5"/>
    <w:rsid w:val="00F511A8"/>
    <w:rsid w:val="00F5140B"/>
    <w:rsid w:val="00F51839"/>
    <w:rsid w:val="00F51ABA"/>
    <w:rsid w:val="00F52034"/>
    <w:rsid w:val="00F526D9"/>
    <w:rsid w:val="00F531AA"/>
    <w:rsid w:val="00F537A1"/>
    <w:rsid w:val="00F538DE"/>
    <w:rsid w:val="00F53D0C"/>
    <w:rsid w:val="00F53D57"/>
    <w:rsid w:val="00F53E75"/>
    <w:rsid w:val="00F541C7"/>
    <w:rsid w:val="00F54B58"/>
    <w:rsid w:val="00F55302"/>
    <w:rsid w:val="00F557AA"/>
    <w:rsid w:val="00F56101"/>
    <w:rsid w:val="00F5624D"/>
    <w:rsid w:val="00F56652"/>
    <w:rsid w:val="00F568F4"/>
    <w:rsid w:val="00F569CB"/>
    <w:rsid w:val="00F56A7F"/>
    <w:rsid w:val="00F56ADD"/>
    <w:rsid w:val="00F56E5D"/>
    <w:rsid w:val="00F57148"/>
    <w:rsid w:val="00F574B7"/>
    <w:rsid w:val="00F57738"/>
    <w:rsid w:val="00F57AFA"/>
    <w:rsid w:val="00F6079C"/>
    <w:rsid w:val="00F6087F"/>
    <w:rsid w:val="00F60FBA"/>
    <w:rsid w:val="00F6179E"/>
    <w:rsid w:val="00F62257"/>
    <w:rsid w:val="00F6361F"/>
    <w:rsid w:val="00F63A99"/>
    <w:rsid w:val="00F63C70"/>
    <w:rsid w:val="00F63F0C"/>
    <w:rsid w:val="00F64605"/>
    <w:rsid w:val="00F65074"/>
    <w:rsid w:val="00F652C8"/>
    <w:rsid w:val="00F65436"/>
    <w:rsid w:val="00F65469"/>
    <w:rsid w:val="00F6560A"/>
    <w:rsid w:val="00F65FF3"/>
    <w:rsid w:val="00F660F5"/>
    <w:rsid w:val="00F665C2"/>
    <w:rsid w:val="00F66810"/>
    <w:rsid w:val="00F66BA4"/>
    <w:rsid w:val="00F66DCD"/>
    <w:rsid w:val="00F66E6C"/>
    <w:rsid w:val="00F70047"/>
    <w:rsid w:val="00F7063C"/>
    <w:rsid w:val="00F70B27"/>
    <w:rsid w:val="00F70C0A"/>
    <w:rsid w:val="00F70D56"/>
    <w:rsid w:val="00F710CC"/>
    <w:rsid w:val="00F713D9"/>
    <w:rsid w:val="00F717B0"/>
    <w:rsid w:val="00F71845"/>
    <w:rsid w:val="00F7189E"/>
    <w:rsid w:val="00F71A73"/>
    <w:rsid w:val="00F71A79"/>
    <w:rsid w:val="00F71F92"/>
    <w:rsid w:val="00F72219"/>
    <w:rsid w:val="00F728D7"/>
    <w:rsid w:val="00F729C6"/>
    <w:rsid w:val="00F72BEB"/>
    <w:rsid w:val="00F72F66"/>
    <w:rsid w:val="00F731EE"/>
    <w:rsid w:val="00F73682"/>
    <w:rsid w:val="00F737BA"/>
    <w:rsid w:val="00F73AF6"/>
    <w:rsid w:val="00F73D09"/>
    <w:rsid w:val="00F73E48"/>
    <w:rsid w:val="00F742CF"/>
    <w:rsid w:val="00F74A07"/>
    <w:rsid w:val="00F74B44"/>
    <w:rsid w:val="00F74C5A"/>
    <w:rsid w:val="00F74CC9"/>
    <w:rsid w:val="00F74D13"/>
    <w:rsid w:val="00F7512C"/>
    <w:rsid w:val="00F75C54"/>
    <w:rsid w:val="00F75E4D"/>
    <w:rsid w:val="00F761D0"/>
    <w:rsid w:val="00F76597"/>
    <w:rsid w:val="00F767A6"/>
    <w:rsid w:val="00F76F52"/>
    <w:rsid w:val="00F802A5"/>
    <w:rsid w:val="00F802EB"/>
    <w:rsid w:val="00F80726"/>
    <w:rsid w:val="00F80DC1"/>
    <w:rsid w:val="00F80DEE"/>
    <w:rsid w:val="00F80E9A"/>
    <w:rsid w:val="00F818DD"/>
    <w:rsid w:val="00F81954"/>
    <w:rsid w:val="00F81F00"/>
    <w:rsid w:val="00F821D6"/>
    <w:rsid w:val="00F821EB"/>
    <w:rsid w:val="00F82A85"/>
    <w:rsid w:val="00F82B8C"/>
    <w:rsid w:val="00F82B9E"/>
    <w:rsid w:val="00F82CAB"/>
    <w:rsid w:val="00F82CCA"/>
    <w:rsid w:val="00F83405"/>
    <w:rsid w:val="00F83835"/>
    <w:rsid w:val="00F83AF1"/>
    <w:rsid w:val="00F83B75"/>
    <w:rsid w:val="00F83CCA"/>
    <w:rsid w:val="00F8414F"/>
    <w:rsid w:val="00F843B6"/>
    <w:rsid w:val="00F848B6"/>
    <w:rsid w:val="00F84DA6"/>
    <w:rsid w:val="00F84E24"/>
    <w:rsid w:val="00F84ECC"/>
    <w:rsid w:val="00F8588D"/>
    <w:rsid w:val="00F8698C"/>
    <w:rsid w:val="00F86B55"/>
    <w:rsid w:val="00F86B80"/>
    <w:rsid w:val="00F8705E"/>
    <w:rsid w:val="00F871D5"/>
    <w:rsid w:val="00F87685"/>
    <w:rsid w:val="00F87AEF"/>
    <w:rsid w:val="00F87CB5"/>
    <w:rsid w:val="00F90458"/>
    <w:rsid w:val="00F90BD1"/>
    <w:rsid w:val="00F90E12"/>
    <w:rsid w:val="00F91151"/>
    <w:rsid w:val="00F91ED3"/>
    <w:rsid w:val="00F92184"/>
    <w:rsid w:val="00F922AA"/>
    <w:rsid w:val="00F92A26"/>
    <w:rsid w:val="00F92A40"/>
    <w:rsid w:val="00F92A9A"/>
    <w:rsid w:val="00F92AE0"/>
    <w:rsid w:val="00F93018"/>
    <w:rsid w:val="00F930CB"/>
    <w:rsid w:val="00F9332B"/>
    <w:rsid w:val="00F9364E"/>
    <w:rsid w:val="00F93A48"/>
    <w:rsid w:val="00F93B01"/>
    <w:rsid w:val="00F93D1F"/>
    <w:rsid w:val="00F93D8F"/>
    <w:rsid w:val="00F93DFE"/>
    <w:rsid w:val="00F93EE1"/>
    <w:rsid w:val="00F93F32"/>
    <w:rsid w:val="00F93FE7"/>
    <w:rsid w:val="00F9413B"/>
    <w:rsid w:val="00F94276"/>
    <w:rsid w:val="00F9487B"/>
    <w:rsid w:val="00F94B71"/>
    <w:rsid w:val="00F94ECD"/>
    <w:rsid w:val="00F956C7"/>
    <w:rsid w:val="00F956CC"/>
    <w:rsid w:val="00F95985"/>
    <w:rsid w:val="00F95991"/>
    <w:rsid w:val="00F95F93"/>
    <w:rsid w:val="00F962DC"/>
    <w:rsid w:val="00F966EE"/>
    <w:rsid w:val="00F96CD6"/>
    <w:rsid w:val="00F96FEB"/>
    <w:rsid w:val="00F97858"/>
    <w:rsid w:val="00FA02A7"/>
    <w:rsid w:val="00FA0870"/>
    <w:rsid w:val="00FA0904"/>
    <w:rsid w:val="00FA095E"/>
    <w:rsid w:val="00FA128D"/>
    <w:rsid w:val="00FA1296"/>
    <w:rsid w:val="00FA12CB"/>
    <w:rsid w:val="00FA177B"/>
    <w:rsid w:val="00FA232D"/>
    <w:rsid w:val="00FA24EC"/>
    <w:rsid w:val="00FA28B8"/>
    <w:rsid w:val="00FA2980"/>
    <w:rsid w:val="00FA29C0"/>
    <w:rsid w:val="00FA29CC"/>
    <w:rsid w:val="00FA2C09"/>
    <w:rsid w:val="00FA3311"/>
    <w:rsid w:val="00FA367C"/>
    <w:rsid w:val="00FA4561"/>
    <w:rsid w:val="00FA4613"/>
    <w:rsid w:val="00FA4B73"/>
    <w:rsid w:val="00FA4F32"/>
    <w:rsid w:val="00FA5037"/>
    <w:rsid w:val="00FA58CC"/>
    <w:rsid w:val="00FA5A43"/>
    <w:rsid w:val="00FA5C39"/>
    <w:rsid w:val="00FA5E12"/>
    <w:rsid w:val="00FA6062"/>
    <w:rsid w:val="00FA64A4"/>
    <w:rsid w:val="00FA64A8"/>
    <w:rsid w:val="00FA6717"/>
    <w:rsid w:val="00FA6751"/>
    <w:rsid w:val="00FA6BB3"/>
    <w:rsid w:val="00FA6C22"/>
    <w:rsid w:val="00FA778F"/>
    <w:rsid w:val="00FA7C2E"/>
    <w:rsid w:val="00FB03FF"/>
    <w:rsid w:val="00FB05B5"/>
    <w:rsid w:val="00FB0830"/>
    <w:rsid w:val="00FB0928"/>
    <w:rsid w:val="00FB0AA0"/>
    <w:rsid w:val="00FB0B39"/>
    <w:rsid w:val="00FB0B7E"/>
    <w:rsid w:val="00FB140C"/>
    <w:rsid w:val="00FB14FE"/>
    <w:rsid w:val="00FB1788"/>
    <w:rsid w:val="00FB1A1E"/>
    <w:rsid w:val="00FB2154"/>
    <w:rsid w:val="00FB23CA"/>
    <w:rsid w:val="00FB2A33"/>
    <w:rsid w:val="00FB334B"/>
    <w:rsid w:val="00FB362F"/>
    <w:rsid w:val="00FB37BC"/>
    <w:rsid w:val="00FB4B21"/>
    <w:rsid w:val="00FB4B60"/>
    <w:rsid w:val="00FB4D2F"/>
    <w:rsid w:val="00FB4E4D"/>
    <w:rsid w:val="00FB51FA"/>
    <w:rsid w:val="00FB553B"/>
    <w:rsid w:val="00FB5949"/>
    <w:rsid w:val="00FB5BDC"/>
    <w:rsid w:val="00FB5D31"/>
    <w:rsid w:val="00FB61FA"/>
    <w:rsid w:val="00FB63D2"/>
    <w:rsid w:val="00FB69BD"/>
    <w:rsid w:val="00FB6C4D"/>
    <w:rsid w:val="00FB713D"/>
    <w:rsid w:val="00FB73A9"/>
    <w:rsid w:val="00FB7562"/>
    <w:rsid w:val="00FB7692"/>
    <w:rsid w:val="00FB76ED"/>
    <w:rsid w:val="00FB7A89"/>
    <w:rsid w:val="00FB7B39"/>
    <w:rsid w:val="00FC09DF"/>
    <w:rsid w:val="00FC0EC3"/>
    <w:rsid w:val="00FC105A"/>
    <w:rsid w:val="00FC127E"/>
    <w:rsid w:val="00FC163B"/>
    <w:rsid w:val="00FC16F0"/>
    <w:rsid w:val="00FC170F"/>
    <w:rsid w:val="00FC1CA1"/>
    <w:rsid w:val="00FC1DA7"/>
    <w:rsid w:val="00FC1EA9"/>
    <w:rsid w:val="00FC24C2"/>
    <w:rsid w:val="00FC24E7"/>
    <w:rsid w:val="00FC275B"/>
    <w:rsid w:val="00FC2A54"/>
    <w:rsid w:val="00FC2A8E"/>
    <w:rsid w:val="00FC2B82"/>
    <w:rsid w:val="00FC311E"/>
    <w:rsid w:val="00FC3378"/>
    <w:rsid w:val="00FC3866"/>
    <w:rsid w:val="00FC4043"/>
    <w:rsid w:val="00FC421B"/>
    <w:rsid w:val="00FC470A"/>
    <w:rsid w:val="00FC4937"/>
    <w:rsid w:val="00FC50CA"/>
    <w:rsid w:val="00FC525D"/>
    <w:rsid w:val="00FC5366"/>
    <w:rsid w:val="00FC5B27"/>
    <w:rsid w:val="00FC5BD2"/>
    <w:rsid w:val="00FC5DC1"/>
    <w:rsid w:val="00FC6A44"/>
    <w:rsid w:val="00FC73B8"/>
    <w:rsid w:val="00FC73D2"/>
    <w:rsid w:val="00FC7457"/>
    <w:rsid w:val="00FC75DA"/>
    <w:rsid w:val="00FC7953"/>
    <w:rsid w:val="00FC796C"/>
    <w:rsid w:val="00FD0207"/>
    <w:rsid w:val="00FD07B0"/>
    <w:rsid w:val="00FD0906"/>
    <w:rsid w:val="00FD0ACF"/>
    <w:rsid w:val="00FD0D37"/>
    <w:rsid w:val="00FD0F5E"/>
    <w:rsid w:val="00FD1187"/>
    <w:rsid w:val="00FD1723"/>
    <w:rsid w:val="00FD17F3"/>
    <w:rsid w:val="00FD1852"/>
    <w:rsid w:val="00FD1D2B"/>
    <w:rsid w:val="00FD1EE8"/>
    <w:rsid w:val="00FD206B"/>
    <w:rsid w:val="00FD22BE"/>
    <w:rsid w:val="00FD2480"/>
    <w:rsid w:val="00FD327B"/>
    <w:rsid w:val="00FD3AB4"/>
    <w:rsid w:val="00FD3D55"/>
    <w:rsid w:val="00FD41C1"/>
    <w:rsid w:val="00FD43F9"/>
    <w:rsid w:val="00FD491A"/>
    <w:rsid w:val="00FD4BB9"/>
    <w:rsid w:val="00FD4D84"/>
    <w:rsid w:val="00FD4D8D"/>
    <w:rsid w:val="00FD52FD"/>
    <w:rsid w:val="00FD5385"/>
    <w:rsid w:val="00FD5436"/>
    <w:rsid w:val="00FD562E"/>
    <w:rsid w:val="00FD5A6F"/>
    <w:rsid w:val="00FD5E01"/>
    <w:rsid w:val="00FD5E4A"/>
    <w:rsid w:val="00FD5EC1"/>
    <w:rsid w:val="00FD6735"/>
    <w:rsid w:val="00FD6898"/>
    <w:rsid w:val="00FD6949"/>
    <w:rsid w:val="00FD69AF"/>
    <w:rsid w:val="00FD6AE1"/>
    <w:rsid w:val="00FD6B3F"/>
    <w:rsid w:val="00FD6EB6"/>
    <w:rsid w:val="00FD71F0"/>
    <w:rsid w:val="00FD76E3"/>
    <w:rsid w:val="00FD783D"/>
    <w:rsid w:val="00FD7F18"/>
    <w:rsid w:val="00FE0477"/>
    <w:rsid w:val="00FE06E9"/>
    <w:rsid w:val="00FE13B4"/>
    <w:rsid w:val="00FE15A5"/>
    <w:rsid w:val="00FE16B4"/>
    <w:rsid w:val="00FE1726"/>
    <w:rsid w:val="00FE1BBB"/>
    <w:rsid w:val="00FE2839"/>
    <w:rsid w:val="00FE2D8C"/>
    <w:rsid w:val="00FE2E22"/>
    <w:rsid w:val="00FE2FD0"/>
    <w:rsid w:val="00FE3374"/>
    <w:rsid w:val="00FE33B9"/>
    <w:rsid w:val="00FE3990"/>
    <w:rsid w:val="00FE39FC"/>
    <w:rsid w:val="00FE3EB5"/>
    <w:rsid w:val="00FE42F6"/>
    <w:rsid w:val="00FE4438"/>
    <w:rsid w:val="00FE4ABE"/>
    <w:rsid w:val="00FE4FF7"/>
    <w:rsid w:val="00FE5705"/>
    <w:rsid w:val="00FE5F0F"/>
    <w:rsid w:val="00FE5F3B"/>
    <w:rsid w:val="00FE6662"/>
    <w:rsid w:val="00FE68B1"/>
    <w:rsid w:val="00FE68E8"/>
    <w:rsid w:val="00FE6D0C"/>
    <w:rsid w:val="00FE79F5"/>
    <w:rsid w:val="00FE7DC4"/>
    <w:rsid w:val="00FF033F"/>
    <w:rsid w:val="00FF06CA"/>
    <w:rsid w:val="00FF1336"/>
    <w:rsid w:val="00FF15C0"/>
    <w:rsid w:val="00FF1715"/>
    <w:rsid w:val="00FF1A2B"/>
    <w:rsid w:val="00FF1B95"/>
    <w:rsid w:val="00FF1BCC"/>
    <w:rsid w:val="00FF1F5C"/>
    <w:rsid w:val="00FF1F9E"/>
    <w:rsid w:val="00FF209F"/>
    <w:rsid w:val="00FF26B6"/>
    <w:rsid w:val="00FF2C94"/>
    <w:rsid w:val="00FF3191"/>
    <w:rsid w:val="00FF34E2"/>
    <w:rsid w:val="00FF3566"/>
    <w:rsid w:val="00FF3CCF"/>
    <w:rsid w:val="00FF3EDA"/>
    <w:rsid w:val="00FF444C"/>
    <w:rsid w:val="00FF4835"/>
    <w:rsid w:val="00FF4BC5"/>
    <w:rsid w:val="00FF4BF5"/>
    <w:rsid w:val="00FF4DDC"/>
    <w:rsid w:val="00FF55A9"/>
    <w:rsid w:val="00FF58D6"/>
    <w:rsid w:val="00FF5986"/>
    <w:rsid w:val="00FF598E"/>
    <w:rsid w:val="00FF63BB"/>
    <w:rsid w:val="00FF63F1"/>
    <w:rsid w:val="00FF646B"/>
    <w:rsid w:val="00FF665D"/>
    <w:rsid w:val="00FF6908"/>
    <w:rsid w:val="00FF70A8"/>
    <w:rsid w:val="00FF721E"/>
    <w:rsid w:val="00FF7281"/>
    <w:rsid w:val="00FF76FC"/>
    <w:rsid w:val="00FF7702"/>
    <w:rsid w:val="00FF789B"/>
    <w:rsid w:val="00FF79FA"/>
    <w:rsid w:val="02727394"/>
    <w:rsid w:val="04DEEDA0"/>
    <w:rsid w:val="7C214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0BB89AA"/>
  <w15:docId w15:val="{247B9175-AB1A-418B-A052-BAC0231E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14A"/>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2413C"/>
    <w:pPr>
      <w:keepNext/>
      <w:numPr>
        <w:numId w:val="2"/>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413C"/>
    <w:pPr>
      <w:keepNext/>
      <w:numPr>
        <w:ilvl w:val="1"/>
        <w:numId w:val="2"/>
      </w:numPr>
      <w:spacing w:after="120"/>
      <w:outlineLvl w:val="1"/>
    </w:pPr>
    <w:rPr>
      <w:b/>
    </w:rPr>
  </w:style>
  <w:style w:type="paragraph" w:styleId="Heading3">
    <w:name w:val="heading 3"/>
    <w:basedOn w:val="Normal"/>
    <w:next w:val="ParaNum"/>
    <w:link w:val="Heading3Char"/>
    <w:qFormat/>
    <w:rsid w:val="00A2413C"/>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A2413C"/>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A2413C"/>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A2413C"/>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A2413C"/>
    <w:pPr>
      <w:numPr>
        <w:ilvl w:val="6"/>
        <w:numId w:val="2"/>
      </w:numPr>
      <w:tabs>
        <w:tab w:val="left" w:pos="5040"/>
      </w:tabs>
      <w:spacing w:after="120"/>
      <w:outlineLvl w:val="6"/>
    </w:pPr>
    <w:rPr>
      <w:b/>
    </w:rPr>
  </w:style>
  <w:style w:type="paragraph" w:styleId="Heading8">
    <w:name w:val="heading 8"/>
    <w:basedOn w:val="Normal"/>
    <w:next w:val="ParaNum"/>
    <w:link w:val="Heading8Char"/>
    <w:qFormat/>
    <w:rsid w:val="00A2413C"/>
    <w:pPr>
      <w:numPr>
        <w:ilvl w:val="7"/>
        <w:numId w:val="2"/>
      </w:numPr>
      <w:tabs>
        <w:tab w:val="left" w:pos="5760"/>
      </w:tabs>
      <w:spacing w:after="120"/>
      <w:outlineLvl w:val="7"/>
    </w:pPr>
    <w:rPr>
      <w:b/>
    </w:rPr>
  </w:style>
  <w:style w:type="paragraph" w:styleId="Heading9">
    <w:name w:val="heading 9"/>
    <w:aliases w:val="9,Heading 9.table,Titre 9,Topic,t,table"/>
    <w:basedOn w:val="Normal"/>
    <w:next w:val="ParaNum"/>
    <w:link w:val="Heading9Char"/>
    <w:qFormat/>
    <w:rsid w:val="00A2413C"/>
    <w:pPr>
      <w:numPr>
        <w:ilvl w:val="8"/>
        <w:numId w:val="2"/>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aliases w:val="9 Char,Heading 9.table Char,Titre 9 Char,Topic Char,t Char,table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qFormat/>
    <w:rsid w:val="00A2413C"/>
    <w:pPr>
      <w:numPr>
        <w:numId w:val="3"/>
      </w:numPr>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A2413C"/>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2413C"/>
    <w:pPr>
      <w:tabs>
        <w:tab w:val="center" w:pos="4320"/>
        <w:tab w:val="right" w:pos="8640"/>
      </w:tabs>
    </w:pPr>
  </w:style>
  <w:style w:type="character" w:customStyle="1" w:styleId="FooterChar">
    <w:name w:val="Footer Char"/>
    <w:link w:val="Footer"/>
    <w:uiPriority w:val="99"/>
    <w:rsid w:val="00A2413C"/>
    <w:rPr>
      <w:rFonts w:ascii="Times New Roman" w:eastAsia="Times New Roman" w:hAnsi="Times New Roman" w:cs="Times New Roman"/>
      <w:snapToGrid w:val="0"/>
      <w:kern w:val="28"/>
      <w:szCs w:val="20"/>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fn Char,fn Char Char"/>
    <w:link w:val="FootnoteTextChar"/>
    <w:uiPriority w:val="99"/>
    <w:qFormat/>
    <w:rsid w:val="00A24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1,ALTS FOOTNOTE Char2,Footnote Text Char Char Char Char Char Char Char1,Footnote Text Char Char Char Char1,Footnote Text Char1 Char Char1,Footnote Text Char1 Char1 Char Char Char Char1,f Char,fn  Char,fn Char1"/>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A2413C"/>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nhideWhenUsed/>
    <w:rsid w:val="00BC2D3B"/>
    <w:rPr>
      <w:sz w:val="20"/>
    </w:rPr>
  </w:style>
  <w:style w:type="character" w:customStyle="1" w:styleId="CommentTextChar">
    <w:name w:val="Comment Text Char"/>
    <w:basedOn w:val="DefaultParagraphFont"/>
    <w:link w:val="CommentText"/>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A2413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A2413C"/>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 Char,ALTS FOOTNOTE Char1,Footnote Text Char Char Char Char,Footnote Text Char Char Char Char Char Char Char,Footnote Text Char Char1,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 w:type="character" w:customStyle="1" w:styleId="EquationCaption">
    <w:name w:val="_Equation Caption"/>
    <w:rsid w:val="00A2413C"/>
  </w:style>
  <w:style w:type="paragraph" w:styleId="BlockText">
    <w:name w:val="Block Text"/>
    <w:basedOn w:val="Normal"/>
    <w:rsid w:val="00A2413C"/>
    <w:pPr>
      <w:spacing w:after="240"/>
      <w:ind w:left="1440" w:right="1440"/>
    </w:pPr>
  </w:style>
  <w:style w:type="paragraph" w:customStyle="1" w:styleId="Bullet">
    <w:name w:val="Bullet"/>
    <w:basedOn w:val="Normal"/>
    <w:rsid w:val="00A2413C"/>
    <w:pPr>
      <w:tabs>
        <w:tab w:val="left" w:pos="2160"/>
      </w:tabs>
      <w:spacing w:after="220"/>
      <w:ind w:left="2160" w:hanging="720"/>
    </w:pPr>
  </w:style>
  <w:style w:type="character" w:styleId="EndnoteReference">
    <w:name w:val="endnote reference"/>
    <w:semiHidden/>
    <w:rsid w:val="00A2413C"/>
    <w:rPr>
      <w:vertAlign w:val="superscript"/>
    </w:rPr>
  </w:style>
  <w:style w:type="paragraph" w:styleId="EndnoteText">
    <w:name w:val="endnote text"/>
    <w:basedOn w:val="Normal"/>
    <w:link w:val="EndnoteTextChar"/>
    <w:semiHidden/>
    <w:rsid w:val="00A2413C"/>
    <w:rPr>
      <w:sz w:val="20"/>
    </w:rPr>
  </w:style>
  <w:style w:type="character" w:customStyle="1" w:styleId="EndnoteTextChar">
    <w:name w:val="Endnote Text Char"/>
    <w:basedOn w:val="DefaultParagraphFont"/>
    <w:link w:val="EndnoteText"/>
    <w:semiHidden/>
    <w:rsid w:val="00A2413C"/>
    <w:rPr>
      <w:rFonts w:ascii="Times New Roman" w:eastAsia="Times New Roman" w:hAnsi="Times New Roman" w:cs="Times New Roman"/>
      <w:snapToGrid w:val="0"/>
      <w:kern w:val="28"/>
      <w:sz w:val="20"/>
      <w:szCs w:val="20"/>
    </w:rPr>
  </w:style>
  <w:style w:type="character" w:customStyle="1" w:styleId="Heading1Char">
    <w:name w:val="Heading 1 Char"/>
    <w:basedOn w:val="DefaultParagraphFont"/>
    <w:link w:val="Heading1"/>
    <w:rsid w:val="00A2413C"/>
    <w:rPr>
      <w:rFonts w:ascii="Times New Roman Bold" w:eastAsia="Times New Roman" w:hAnsi="Times New Roman Bold" w:cs="Times New Roman"/>
      <w:b/>
      <w:caps/>
      <w:snapToGrid w:val="0"/>
      <w:kern w:val="28"/>
      <w:szCs w:val="20"/>
    </w:rPr>
  </w:style>
  <w:style w:type="paragraph" w:customStyle="1" w:styleId="Paratitle">
    <w:name w:val="Para title"/>
    <w:basedOn w:val="Normal"/>
    <w:rsid w:val="00A2413C"/>
    <w:pPr>
      <w:tabs>
        <w:tab w:val="center" w:pos="9270"/>
      </w:tabs>
      <w:spacing w:after="240"/>
    </w:pPr>
    <w:rPr>
      <w:spacing w:val="-2"/>
    </w:rPr>
  </w:style>
  <w:style w:type="paragraph" w:customStyle="1" w:styleId="StyleBoldCentered">
    <w:name w:val="Style Bold Centered"/>
    <w:basedOn w:val="Normal"/>
    <w:rsid w:val="00A2413C"/>
    <w:pPr>
      <w:jc w:val="center"/>
    </w:pPr>
    <w:rPr>
      <w:rFonts w:ascii="Times New Roman Bold" w:hAnsi="Times New Roman Bold"/>
      <w:b/>
      <w:bCs/>
      <w:caps/>
      <w:szCs w:val="22"/>
    </w:rPr>
  </w:style>
  <w:style w:type="paragraph" w:customStyle="1" w:styleId="TableFormat">
    <w:name w:val="TableFormat"/>
    <w:basedOn w:val="Bullet"/>
    <w:rsid w:val="00A2413C"/>
    <w:pPr>
      <w:tabs>
        <w:tab w:val="clear" w:pos="2160"/>
        <w:tab w:val="left" w:pos="5040"/>
      </w:tabs>
      <w:ind w:left="5040" w:hanging="3600"/>
    </w:pPr>
  </w:style>
  <w:style w:type="paragraph" w:styleId="TOAHeading">
    <w:name w:val="toa heading"/>
    <w:basedOn w:val="Normal"/>
    <w:next w:val="Normal"/>
    <w:semiHidden/>
    <w:rsid w:val="00A2413C"/>
    <w:pPr>
      <w:tabs>
        <w:tab w:val="right" w:pos="9360"/>
      </w:tabs>
      <w:suppressAutoHyphens/>
    </w:pPr>
  </w:style>
  <w:style w:type="paragraph" w:styleId="TOC1">
    <w:name w:val="toc 1"/>
    <w:basedOn w:val="Normal"/>
    <w:next w:val="Normal"/>
    <w:semiHidden/>
    <w:rsid w:val="00A24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413C"/>
    <w:pPr>
      <w:tabs>
        <w:tab w:val="left" w:pos="720"/>
        <w:tab w:val="right" w:leader="dot" w:pos="9360"/>
      </w:tabs>
      <w:suppressAutoHyphens/>
      <w:ind w:left="720" w:right="720" w:hanging="360"/>
    </w:pPr>
    <w:rPr>
      <w:noProof/>
    </w:rPr>
  </w:style>
  <w:style w:type="paragraph" w:styleId="TOC3">
    <w:name w:val="toc 3"/>
    <w:basedOn w:val="Normal"/>
    <w:next w:val="Normal"/>
    <w:semiHidden/>
    <w:rsid w:val="00A24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4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4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4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4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4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413C"/>
    <w:pPr>
      <w:tabs>
        <w:tab w:val="left" w:pos="3240"/>
        <w:tab w:val="right" w:leader="dot" w:pos="9360"/>
      </w:tabs>
      <w:suppressAutoHyphens/>
      <w:ind w:left="3240" w:hanging="360"/>
    </w:pPr>
    <w:rPr>
      <w:noProof/>
    </w:rPr>
  </w:style>
  <w:style w:type="paragraph" w:customStyle="1" w:styleId="TOCTitle">
    <w:name w:val="TOC Title"/>
    <w:basedOn w:val="Normal"/>
    <w:rsid w:val="00A2413C"/>
    <w:pPr>
      <w:spacing w:before="240" w:after="240"/>
      <w:jc w:val="center"/>
    </w:pPr>
    <w:rPr>
      <w:rFonts w:ascii="Times New Roman Bold" w:hAnsi="Times New Roman Bold"/>
      <w:b/>
      <w:caps/>
      <w:spacing w:val="-2"/>
    </w:rPr>
  </w:style>
  <w:style w:type="character" w:customStyle="1" w:styleId="ParaNumCharChar1">
    <w:name w:val="ParaNum Char Char1"/>
    <w:locked/>
    <w:rsid w:val="00D57DC3"/>
    <w:rPr>
      <w:snapToGrid w:val="0"/>
      <w:kern w:val="28"/>
      <w:sz w:val="22"/>
    </w:rPr>
  </w:style>
  <w:style w:type="character" w:styleId="FollowedHyperlink">
    <w:name w:val="FollowedHyperlink"/>
    <w:basedOn w:val="DefaultParagraphFont"/>
    <w:uiPriority w:val="99"/>
    <w:semiHidden/>
    <w:unhideWhenUsed/>
    <w:rsid w:val="00B5032F"/>
    <w:rPr>
      <w:color w:val="954F72" w:themeColor="followedHyperlink"/>
      <w:u w:val="single"/>
    </w:rPr>
  </w:style>
  <w:style w:type="character" w:customStyle="1" w:styleId="ssit">
    <w:name w:val="ss_it"/>
    <w:basedOn w:val="DefaultParagraphFont"/>
    <w:rsid w:val="00B3642B"/>
  </w:style>
  <w:style w:type="paragraph" w:customStyle="1" w:styleId="footnotedescription">
    <w:name w:val="footnote description"/>
    <w:next w:val="Normal"/>
    <w:link w:val="footnotedescriptionChar"/>
    <w:hidden/>
    <w:rsid w:val="00C1037D"/>
    <w:pPr>
      <w:spacing w:after="107"/>
      <w:ind w:left="1"/>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C1037D"/>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C1037D"/>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ics-data-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5" ma:contentTypeDescription="Create a new document." ma:contentTypeScope="" ma:versionID="52ef7c2ec5b5ba796348453acc69b2d5">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1949a1a97c80a0984f0fef3bfe1f81f2"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Location" minOccurs="0"/>
                <xsd:element ref="ns4:MediaServiceDateTaken" minOccurs="0"/>
                <xsd:element ref="ns4:MediaServiceObjectDetectorVersions"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661E-368E-4671-A69F-8A14F1C0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5F279-D5C5-4B12-AD27-1BDF4CA6E4FE}">
  <ds:schemaRefs>
    <ds:schemaRef ds:uri="http://schemas.microsoft.com/sharepoint/v3/contenttype/forms"/>
  </ds:schemaRefs>
</ds:datastoreItem>
</file>

<file path=customXml/itemProps3.xml><?xml version="1.0" encoding="utf-8"?>
<ds:datastoreItem xmlns:ds="http://schemas.openxmlformats.org/officeDocument/2006/customXml" ds:itemID="{7FF23722-84CD-4E40-A449-3B731392384C}">
  <ds:schemaRefs>
    <ds:schemaRef ds:uri="http://schemas.microsoft.com/office/2006/metadata/properties"/>
    <ds:schemaRef ds:uri="http://schemas.microsoft.com/office/infopath/2007/PartnerControls"/>
    <ds:schemaRef ds:uri="40be8c06-eb4c-4be5-b4ce-f259999f4503"/>
  </ds:schemaRefs>
</ds:datastoreItem>
</file>

<file path=customXml/itemProps4.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10308</Words>
  <Characters>58762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2</cp:revision>
  <cp:lastPrinted>2025-04-01T20:15:00Z</cp:lastPrinted>
  <dcterms:created xsi:type="dcterms:W3CDTF">2025-04-01T20:53:00Z</dcterms:created>
  <dcterms:modified xsi:type="dcterms:W3CDTF">2025-04-01T20:53:00Z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