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0A1A" w:rsidRPr="00C40A1A" w:rsidP="00C40A1A" w14:paraId="3DCB96DE"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sidRPr="00C40A1A">
        <w:rPr>
          <w:rFonts w:ascii="Times New Roman" w:hAnsi="Times New Roman"/>
          <w:szCs w:val="24"/>
        </w:rPr>
        <w:t>SUPPORTING STATEMENT</w:t>
      </w:r>
    </w:p>
    <w:p w:rsidR="000014B9" w:rsidRPr="000014B9" w:rsidP="000014B9" w14:paraId="466786AF" w14:textId="77777777">
      <w:pPr>
        <w:widowControl/>
        <w:tabs>
          <w:tab w:val="center" w:pos="5112"/>
        </w:tabs>
        <w:jc w:val="center"/>
        <w:rPr>
          <w:rFonts w:ascii="Times New Roman" w:hAnsi="Times New Roman"/>
        </w:rPr>
      </w:pPr>
      <w:r w:rsidRPr="000014B9">
        <w:rPr>
          <w:rFonts w:ascii="Times New Roman" w:hAnsi="Times New Roman"/>
        </w:rPr>
        <w:t>NOTICES REQUIRED OF GOVERNMENT SECURITIES DEALERS</w:t>
      </w:r>
    </w:p>
    <w:p w:rsidR="00B37694" w:rsidRPr="00B37694" w:rsidP="000014B9" w14:paraId="0CA6BEB8" w14:textId="77777777">
      <w:pPr>
        <w:widowControl/>
        <w:tabs>
          <w:tab w:val="center" w:pos="5112"/>
        </w:tabs>
        <w:jc w:val="center"/>
        <w:rPr>
          <w:rFonts w:ascii="Times New Roman" w:hAnsi="Times New Roman"/>
        </w:rPr>
      </w:pPr>
      <w:r w:rsidRPr="000014B9">
        <w:rPr>
          <w:rFonts w:ascii="Times New Roman" w:hAnsi="Times New Roman"/>
        </w:rPr>
        <w:t>OR BROKERS (INSURED STATE NONMEMBER BANKS)</w:t>
      </w:r>
    </w:p>
    <w:p w:rsidR="00C40A1A" w:rsidRPr="00C40A1A" w:rsidP="00915517" w14:paraId="73EF55D5" w14:textId="77777777">
      <w:pPr>
        <w:tabs>
          <w:tab w:val="left" w:pos="0"/>
          <w:tab w:val="right" w:pos="2020"/>
        </w:tabs>
        <w:spacing w:line="360" w:lineRule="auto"/>
        <w:jc w:val="center"/>
        <w:rPr>
          <w:rFonts w:ascii="Times New Roman" w:hAnsi="Times New Roman"/>
          <w:szCs w:val="24"/>
        </w:rPr>
      </w:pPr>
      <w:r w:rsidRPr="00C40A1A">
        <w:rPr>
          <w:rFonts w:ascii="Times New Roman" w:hAnsi="Times New Roman"/>
          <w:szCs w:val="24"/>
        </w:rPr>
        <w:t xml:space="preserve"> </w:t>
      </w:r>
      <w:r w:rsidRPr="00C40A1A">
        <w:rPr>
          <w:rFonts w:ascii="Times New Roman" w:hAnsi="Times New Roman"/>
          <w:szCs w:val="24"/>
        </w:rPr>
        <w:t>(OMB Control No. 3064-0</w:t>
      </w:r>
      <w:r>
        <w:rPr>
          <w:rFonts w:ascii="Times New Roman" w:hAnsi="Times New Roman"/>
          <w:szCs w:val="24"/>
        </w:rPr>
        <w:t>0</w:t>
      </w:r>
      <w:r w:rsidR="000014B9">
        <w:rPr>
          <w:rFonts w:ascii="Times New Roman" w:hAnsi="Times New Roman"/>
          <w:szCs w:val="24"/>
        </w:rPr>
        <w:t>93</w:t>
      </w:r>
      <w:r w:rsidRPr="00C40A1A">
        <w:rPr>
          <w:rFonts w:ascii="Times New Roman" w:hAnsi="Times New Roman"/>
          <w:szCs w:val="24"/>
        </w:rPr>
        <w:t>)</w:t>
      </w:r>
    </w:p>
    <w:p w:rsidR="00F146F1" w14:paraId="3FBCC709"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482C8B72"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6FEE72D2" w14:textId="77777777">
      <w:pPr>
        <w:widowControl/>
        <w:tabs>
          <w:tab w:val="left" w:pos="576"/>
          <w:tab w:val="left" w:pos="1440"/>
          <w:tab w:val="left" w:pos="2160"/>
          <w:tab w:val="left" w:pos="2880"/>
          <w:tab w:val="left" w:pos="3600"/>
          <w:tab w:val="left" w:pos="4320"/>
          <w:tab w:val="left" w:pos="5040"/>
        </w:tabs>
        <w:rPr>
          <w:rFonts w:ascii="Times New Roman" w:hAnsi="Times New Roman"/>
        </w:rPr>
      </w:pPr>
      <w:r>
        <w:rPr>
          <w:rFonts w:ascii="Times New Roman" w:hAnsi="Times New Roman"/>
          <w:u w:val="single"/>
        </w:rPr>
        <w:t>INTRODUCTION</w:t>
      </w:r>
    </w:p>
    <w:p w:rsidR="00D07D24" w:rsidP="00583579" w14:paraId="29B7DD66" w14:textId="77777777">
      <w:pPr>
        <w:widowControl/>
        <w:autoSpaceDE w:val="0"/>
        <w:autoSpaceDN w:val="0"/>
        <w:adjustRightInd w:val="0"/>
        <w:rPr>
          <w:rFonts w:ascii="Times New Roman" w:hAnsi="Times New Roman"/>
          <w:szCs w:val="24"/>
        </w:rPr>
      </w:pPr>
    </w:p>
    <w:p w:rsidR="00B10980" w:rsidP="00583579" w14:paraId="0DB55651" w14:textId="7FA8E363">
      <w:pPr>
        <w:widowControl/>
        <w:autoSpaceDE w:val="0"/>
        <w:autoSpaceDN w:val="0"/>
        <w:adjustRightInd w:val="0"/>
        <w:rPr>
          <w:rFonts w:ascii="Times New Roman" w:hAnsi="Times New Roman"/>
          <w:szCs w:val="24"/>
        </w:rPr>
      </w:pPr>
      <w:r w:rsidRPr="000014B9">
        <w:rPr>
          <w:rFonts w:ascii="Times New Roman" w:hAnsi="Times New Roman"/>
          <w:bCs/>
          <w:szCs w:val="24"/>
        </w:rPr>
        <w:t>The FDIC is requesting OMB approval to extend, without change, a currently approved information collection (OMB Control No. 3064-0093)</w:t>
      </w:r>
      <w:r w:rsidRPr="000014B9">
        <w:rPr>
          <w:rFonts w:ascii="Times New Roman" w:hAnsi="Times New Roman"/>
          <w:szCs w:val="24"/>
        </w:rPr>
        <w:t>.   The FDIC wishe</w:t>
      </w:r>
      <w:r w:rsidR="00906A1A">
        <w:rPr>
          <w:rFonts w:ascii="Times New Roman" w:hAnsi="Times New Roman"/>
          <w:szCs w:val="24"/>
        </w:rPr>
        <w:t>s</w:t>
      </w:r>
      <w:r w:rsidRPr="000014B9">
        <w:rPr>
          <w:rFonts w:ascii="Times New Roman" w:hAnsi="Times New Roman"/>
          <w:szCs w:val="24"/>
        </w:rPr>
        <w:t xml:space="preserve"> to continue the information collection requirements contained in the Government Securities Act of 1986 (the Act).  The current collection expires on </w:t>
      </w:r>
      <w:r w:rsidR="005F4BC0">
        <w:rPr>
          <w:rFonts w:ascii="Times New Roman" w:hAnsi="Times New Roman"/>
          <w:szCs w:val="24"/>
        </w:rPr>
        <w:t>March 31</w:t>
      </w:r>
      <w:r w:rsidRPr="000014B9">
        <w:rPr>
          <w:rFonts w:ascii="Times New Roman" w:hAnsi="Times New Roman"/>
          <w:szCs w:val="24"/>
        </w:rPr>
        <w:t>, 202</w:t>
      </w:r>
      <w:r w:rsidR="005F4BC0">
        <w:rPr>
          <w:rFonts w:ascii="Times New Roman" w:hAnsi="Times New Roman"/>
          <w:szCs w:val="24"/>
        </w:rPr>
        <w:t>5</w:t>
      </w:r>
      <w:r w:rsidRPr="000014B9">
        <w:rPr>
          <w:rFonts w:ascii="Times New Roman" w:hAnsi="Times New Roman"/>
          <w:szCs w:val="24"/>
        </w:rPr>
        <w:t>.  The Act requires all financial institutions that function as government securities brokers and government securities dealers to notify their designated federal regulatory agencies of their broker</w:t>
      </w:r>
      <w:r w:rsidRPr="000014B9">
        <w:rPr>
          <w:rFonts w:ascii="Times New Roman" w:hAnsi="Times New Roman"/>
          <w:szCs w:val="24"/>
        </w:rPr>
        <w:noBreakHyphen/>
        <w:t>dealer activities, unless exempted from the notice requirement by Treasury Department regulation (17 CFR 401).</w:t>
      </w:r>
    </w:p>
    <w:p w:rsidR="000014B9" w:rsidP="00583579" w14:paraId="00BD271D" w14:textId="77777777">
      <w:pPr>
        <w:widowControl/>
        <w:autoSpaceDE w:val="0"/>
        <w:autoSpaceDN w:val="0"/>
        <w:adjustRightInd w:val="0"/>
        <w:rPr>
          <w:rFonts w:ascii="Times New Roman" w:hAnsi="Times New Roman"/>
        </w:rPr>
      </w:pPr>
    </w:p>
    <w:p w:rsidR="00F146F1" w:rsidP="0024672A" w14:paraId="73923429" w14:textId="77777777">
      <w:pPr>
        <w:widowControl/>
        <w:numPr>
          <w:ilvl w:val="0"/>
          <w:numId w:val="2"/>
        </w:numPr>
        <w:rPr>
          <w:rFonts w:ascii="Times New Roman" w:hAnsi="Times New Roman"/>
        </w:rPr>
      </w:pPr>
      <w:r>
        <w:rPr>
          <w:rFonts w:ascii="Times New Roman" w:hAnsi="Times New Roman"/>
          <w:u w:val="single"/>
        </w:rPr>
        <w:t>JUSTIFICATION</w:t>
      </w:r>
    </w:p>
    <w:p w:rsidR="00F146F1" w14:paraId="4AE804AD" w14:textId="77777777">
      <w:pPr>
        <w:widowControl/>
        <w:rPr>
          <w:rFonts w:ascii="Times New Roman" w:hAnsi="Times New Roman"/>
        </w:rPr>
      </w:pPr>
    </w:p>
    <w:p w:rsidR="00F146F1" w:rsidP="00F175D5" w14:paraId="420848EC" w14:textId="77777777">
      <w:pPr>
        <w:widowControl/>
        <w:numPr>
          <w:ilvl w:val="0"/>
          <w:numId w:val="4"/>
        </w:numPr>
        <w:rPr>
          <w:rFonts w:ascii="Times New Roman" w:hAnsi="Times New Roman"/>
        </w:rPr>
      </w:pPr>
      <w:r w:rsidRPr="00C56C82">
        <w:rPr>
          <w:rFonts w:ascii="Times New Roman" w:hAnsi="Times New Roman"/>
          <w:bCs/>
          <w:iCs/>
          <w:u w:val="single"/>
        </w:rPr>
        <w:t>Circumstances tha</w:t>
      </w:r>
      <w:r>
        <w:rPr>
          <w:rFonts w:ascii="Times New Roman" w:hAnsi="Times New Roman"/>
          <w:bCs/>
          <w:iCs/>
          <w:u w:val="single"/>
        </w:rPr>
        <w:t>t make the collection necessary:</w:t>
      </w:r>
    </w:p>
    <w:p w:rsidR="00F146F1" w14:paraId="52E26B09" w14:textId="77777777">
      <w:pPr>
        <w:widowControl/>
        <w:rPr>
          <w:rFonts w:ascii="Times New Roman" w:hAnsi="Times New Roman"/>
        </w:rPr>
      </w:pPr>
    </w:p>
    <w:p w:rsidR="000014B9" w:rsidRPr="000014B9" w:rsidP="000014B9" w14:paraId="53312849" w14:textId="77777777">
      <w:pPr>
        <w:widowControl/>
        <w:ind w:left="1440"/>
        <w:rPr>
          <w:rFonts w:ascii="Times New Roman" w:hAnsi="Times New Roman"/>
        </w:rPr>
      </w:pPr>
      <w:r w:rsidRPr="000014B9">
        <w:rPr>
          <w:rFonts w:ascii="Times New Roman" w:hAnsi="Times New Roman"/>
        </w:rPr>
        <w:t>The Government Securities Act of 1986 (</w:t>
      </w:r>
      <w:r w:rsidRPr="000014B9">
        <w:rPr>
          <w:rFonts w:ascii="Times New Roman" w:hAnsi="Times New Roman"/>
        </w:rPr>
        <w:t>Pub.L</w:t>
      </w:r>
      <w:r w:rsidRPr="000014B9">
        <w:rPr>
          <w:rFonts w:ascii="Times New Roman" w:hAnsi="Times New Roman"/>
        </w:rPr>
        <w:t>. 99</w:t>
      </w:r>
      <w:r w:rsidRPr="000014B9">
        <w:rPr>
          <w:rFonts w:ascii="Times New Roman" w:hAnsi="Times New Roman"/>
        </w:rPr>
        <w:noBreakHyphen/>
        <w:t>571) established a federal system of regulation of brokers and dealers, including banks and other financial institutions, who deal in or broker government securities.  Under the Act, the Secretary of the Treasury is directed to adopt regulations concerning the financial responsibility of government securities brokers and dealers, protection of customer securities and balances, and recordkeeping and reports of government securities brokers and dealers.</w:t>
      </w:r>
    </w:p>
    <w:p w:rsidR="000014B9" w:rsidRPr="000014B9" w:rsidP="000014B9" w14:paraId="1FE36791" w14:textId="77777777">
      <w:pPr>
        <w:widowControl/>
        <w:ind w:left="1440"/>
        <w:rPr>
          <w:rFonts w:ascii="Times New Roman" w:hAnsi="Times New Roman"/>
        </w:rPr>
      </w:pPr>
    </w:p>
    <w:p w:rsidR="000014B9" w:rsidRPr="000014B9" w:rsidP="000014B9" w14:paraId="7208E07E" w14:textId="77777777">
      <w:pPr>
        <w:widowControl/>
        <w:ind w:left="1440"/>
        <w:rPr>
          <w:rFonts w:ascii="Times New Roman" w:hAnsi="Times New Roman"/>
        </w:rPr>
      </w:pPr>
      <w:r w:rsidRPr="000014B9">
        <w:rPr>
          <w:rFonts w:ascii="Times New Roman" w:hAnsi="Times New Roman"/>
        </w:rPr>
        <w:t>Under the Government Securities Act of 1986, all financial institutions that function as government securities brokers or government securities dealers must notify their designated federal supervisory agencies of their broker/dealer activities, unless exempted from the notice of Treasury Department regulation.  The Board of Governors of the Federal Reserve System has the responsibility for establishing the form for this notice, as well as the form of the notice to be filed by financial institutions that are no longer acting as government securities brokers or government securities dealers.  The Board adopted Form G</w:t>
      </w:r>
      <w:r w:rsidRPr="000014B9">
        <w:rPr>
          <w:rFonts w:ascii="Times New Roman" w:hAnsi="Times New Roman"/>
        </w:rPr>
        <w:noBreakHyphen/>
        <w:t>FIN (notification by financial institution of status as government securities broker or dealer) and Form G</w:t>
      </w:r>
      <w:r w:rsidRPr="000014B9">
        <w:rPr>
          <w:rFonts w:ascii="Times New Roman" w:hAnsi="Times New Roman"/>
        </w:rPr>
        <w:noBreakHyphen/>
        <w:t>FINW (notification by financial institutions of termination of status as government securities broker or dealer).  These forms were reviewed and approved by OMB under the Paperwork Reduction Act and assigned OMB control number 7100-0224.</w:t>
      </w:r>
    </w:p>
    <w:p w:rsidR="000014B9" w:rsidRPr="000014B9" w:rsidP="000014B9" w14:paraId="5999322A" w14:textId="77777777">
      <w:pPr>
        <w:widowControl/>
        <w:ind w:left="1440"/>
        <w:rPr>
          <w:rFonts w:ascii="Times New Roman" w:hAnsi="Times New Roman"/>
        </w:rPr>
      </w:pPr>
    </w:p>
    <w:p w:rsidR="00FA4D5D" w:rsidRPr="00FA4D5D" w:rsidP="000014B9" w14:paraId="652660C7" w14:textId="77777777">
      <w:pPr>
        <w:widowControl/>
        <w:ind w:left="1440"/>
        <w:rPr>
          <w:rFonts w:ascii="Times New Roman" w:hAnsi="Times New Roman"/>
        </w:rPr>
      </w:pPr>
      <w:r w:rsidRPr="000014B9">
        <w:rPr>
          <w:rFonts w:ascii="Times New Roman" w:hAnsi="Times New Roman"/>
        </w:rPr>
        <w:t>The Department of the Treasury was responsible for establishing Form G</w:t>
      </w:r>
      <w:r w:rsidRPr="000014B9">
        <w:rPr>
          <w:rFonts w:ascii="Times New Roman" w:hAnsi="Times New Roman"/>
        </w:rPr>
        <w:noBreakHyphen/>
        <w:t>FIN</w:t>
      </w:r>
      <w:r w:rsidRPr="000014B9">
        <w:rPr>
          <w:rFonts w:ascii="Times New Roman" w:hAnsi="Times New Roman"/>
        </w:rPr>
        <w:noBreakHyphen/>
        <w:t>4 (notification by persons associated with financial institutions that are government securities brokers and dealers) and Form G</w:t>
      </w:r>
      <w:r w:rsidRPr="000014B9">
        <w:rPr>
          <w:rFonts w:ascii="Times New Roman" w:hAnsi="Times New Roman"/>
        </w:rPr>
        <w:noBreakHyphen/>
        <w:t>FIN</w:t>
      </w:r>
      <w:r w:rsidRPr="000014B9">
        <w:rPr>
          <w:rFonts w:ascii="Times New Roman" w:hAnsi="Times New Roman"/>
        </w:rPr>
        <w:noBreakHyphen/>
        <w:t xml:space="preserve">5 (notification of termination of association with a financial institution that is a government securities broker or </w:t>
      </w:r>
      <w:r w:rsidRPr="000014B9">
        <w:rPr>
          <w:rFonts w:ascii="Times New Roman" w:hAnsi="Times New Roman"/>
        </w:rPr>
        <w:t>dealer).  These forms were reviewed and approved by OMB under the Paperwork Reduction Act and assign</w:t>
      </w:r>
      <w:r>
        <w:rPr>
          <w:rFonts w:ascii="Times New Roman" w:hAnsi="Times New Roman"/>
        </w:rPr>
        <w:t>ed OMB control number 1505</w:t>
      </w:r>
      <w:r>
        <w:rPr>
          <w:rFonts w:ascii="Times New Roman" w:hAnsi="Times New Roman"/>
        </w:rPr>
        <w:noBreakHyphen/>
        <w:t>0100</w:t>
      </w:r>
      <w:r w:rsidRPr="00FA4D5D">
        <w:rPr>
          <w:rFonts w:ascii="Times New Roman" w:hAnsi="Times New Roman"/>
        </w:rPr>
        <w:t xml:space="preserve">.     </w:t>
      </w:r>
    </w:p>
    <w:p w:rsidR="0024672A" w:rsidP="00FA4D5D" w14:paraId="0C5BA53D" w14:textId="77777777">
      <w:pPr>
        <w:widowControl/>
        <w:rPr>
          <w:rFonts w:ascii="Times New Roman" w:hAnsi="Times New Roman"/>
        </w:rPr>
      </w:pPr>
    </w:p>
    <w:p w:rsidR="00F146F1" w:rsidP="00F175D5" w14:paraId="32DEBAB3" w14:textId="77777777">
      <w:pPr>
        <w:widowControl/>
        <w:numPr>
          <w:ilvl w:val="0"/>
          <w:numId w:val="4"/>
        </w:numPr>
        <w:rPr>
          <w:rFonts w:ascii="Times New Roman" w:hAnsi="Times New Roman"/>
        </w:rPr>
      </w:pPr>
      <w:r w:rsidRPr="00366534">
        <w:rPr>
          <w:rFonts w:ascii="Times New Roman" w:hAnsi="Times New Roman"/>
          <w:u w:val="single"/>
        </w:rPr>
        <w:t>Use of information collected:</w:t>
      </w:r>
    </w:p>
    <w:p w:rsidR="00F146F1" w14:paraId="25AD3EF1" w14:textId="77777777">
      <w:pPr>
        <w:widowControl/>
        <w:rPr>
          <w:rFonts w:ascii="Times New Roman" w:hAnsi="Times New Roman"/>
        </w:rPr>
      </w:pPr>
    </w:p>
    <w:p w:rsidR="000014B9" w:rsidRPr="000014B9" w:rsidP="000014B9" w14:paraId="02547C32" w14:textId="77777777">
      <w:pPr>
        <w:widowControl/>
        <w:ind w:left="1440"/>
        <w:rPr>
          <w:rFonts w:ascii="Times New Roman" w:hAnsi="Times New Roman"/>
        </w:rPr>
      </w:pPr>
      <w:r w:rsidRPr="000014B9">
        <w:rPr>
          <w:rFonts w:ascii="Times New Roman" w:hAnsi="Times New Roman"/>
        </w:rPr>
        <w:t>The federal financial regulators have coordinated the review and revision of the forms associated with this information collection so that all agencies use the same forms even though each agency has its own OMB control number to cover their respective information collections.</w:t>
      </w:r>
    </w:p>
    <w:p w:rsidR="000014B9" w:rsidRPr="000014B9" w:rsidP="000014B9" w14:paraId="7E2D3911" w14:textId="77777777">
      <w:pPr>
        <w:widowControl/>
        <w:ind w:left="1440"/>
        <w:rPr>
          <w:rFonts w:ascii="Times New Roman" w:hAnsi="Times New Roman"/>
        </w:rPr>
      </w:pPr>
    </w:p>
    <w:p w:rsidR="000014B9" w:rsidRPr="000014B9" w:rsidP="000014B9" w14:paraId="27F33625" w14:textId="77777777">
      <w:pPr>
        <w:widowControl/>
        <w:ind w:left="1440"/>
        <w:rPr>
          <w:rFonts w:ascii="Times New Roman" w:hAnsi="Times New Roman"/>
        </w:rPr>
      </w:pPr>
      <w:r w:rsidRPr="000014B9">
        <w:rPr>
          <w:rFonts w:ascii="Times New Roman" w:hAnsi="Times New Roman"/>
        </w:rPr>
        <w:t>The Form G</w:t>
      </w:r>
      <w:r w:rsidRPr="000014B9">
        <w:rPr>
          <w:rFonts w:ascii="Times New Roman" w:hAnsi="Times New Roman"/>
        </w:rPr>
        <w:noBreakHyphen/>
        <w:t>FIN and Form G</w:t>
      </w:r>
      <w:r w:rsidRPr="000014B9">
        <w:rPr>
          <w:rFonts w:ascii="Times New Roman" w:hAnsi="Times New Roman"/>
        </w:rPr>
        <w:noBreakHyphen/>
        <w:t>FINW are used by insured State nonmember banks that are government securities brokers or dealers to notify the FDIC of their status or that they have ceased to function as a government securities broker or dealer.</w:t>
      </w:r>
    </w:p>
    <w:p w:rsidR="000014B9" w:rsidRPr="000014B9" w:rsidP="000014B9" w14:paraId="3870E250" w14:textId="77777777">
      <w:pPr>
        <w:widowControl/>
        <w:ind w:left="1440"/>
        <w:rPr>
          <w:rFonts w:ascii="Times New Roman" w:hAnsi="Times New Roman"/>
        </w:rPr>
      </w:pPr>
    </w:p>
    <w:p w:rsidR="000014B9" w:rsidRPr="000014B9" w:rsidP="000014B9" w14:paraId="5DA6EBBB" w14:textId="77777777">
      <w:pPr>
        <w:widowControl/>
        <w:ind w:left="1440"/>
        <w:rPr>
          <w:rFonts w:ascii="Times New Roman" w:hAnsi="Times New Roman"/>
        </w:rPr>
      </w:pPr>
      <w:r w:rsidRPr="000014B9">
        <w:rPr>
          <w:rFonts w:ascii="Times New Roman" w:hAnsi="Times New Roman"/>
        </w:rPr>
        <w:t>The Form G</w:t>
      </w:r>
      <w:r w:rsidRPr="000014B9">
        <w:rPr>
          <w:rFonts w:ascii="Times New Roman" w:hAnsi="Times New Roman"/>
        </w:rPr>
        <w:noBreakHyphen/>
        <w:t>FIN</w:t>
      </w:r>
      <w:r w:rsidRPr="000014B9">
        <w:rPr>
          <w:rFonts w:ascii="Times New Roman" w:hAnsi="Times New Roman"/>
        </w:rPr>
        <w:noBreakHyphen/>
        <w:t>4 is used by associated persons of insured State nonmember banks that are government securities brokers or dealers to provide certain information to the bank and to the FDIC concerning employment, residence, and statutory disqualification.</w:t>
      </w:r>
    </w:p>
    <w:p w:rsidR="000014B9" w:rsidRPr="000014B9" w:rsidP="000014B9" w14:paraId="67AE4883" w14:textId="77777777">
      <w:pPr>
        <w:widowControl/>
        <w:ind w:left="1440"/>
        <w:rPr>
          <w:rFonts w:ascii="Times New Roman" w:hAnsi="Times New Roman"/>
        </w:rPr>
      </w:pPr>
    </w:p>
    <w:p w:rsidR="00F146F1" w:rsidP="000014B9" w14:paraId="2420B2CB" w14:textId="77777777">
      <w:pPr>
        <w:widowControl/>
        <w:ind w:left="1440"/>
        <w:rPr>
          <w:rFonts w:ascii="Times New Roman" w:hAnsi="Times New Roman"/>
        </w:rPr>
      </w:pPr>
      <w:r w:rsidRPr="000014B9">
        <w:rPr>
          <w:rFonts w:ascii="Times New Roman" w:hAnsi="Times New Roman"/>
        </w:rPr>
        <w:t>The Form G</w:t>
      </w:r>
      <w:r w:rsidRPr="000014B9">
        <w:rPr>
          <w:rFonts w:ascii="Times New Roman" w:hAnsi="Times New Roman"/>
        </w:rPr>
        <w:noBreakHyphen/>
        <w:t>FIN</w:t>
      </w:r>
      <w:r w:rsidRPr="000014B9">
        <w:rPr>
          <w:rFonts w:ascii="Times New Roman" w:hAnsi="Times New Roman"/>
        </w:rPr>
        <w:noBreakHyphen/>
        <w:t>5 is used by insured State nonmember banks that are government securities brokers or dealers to notify the FDIC that an associated person is no longer associated with the government securities broker</w:t>
      </w:r>
      <w:r>
        <w:rPr>
          <w:rFonts w:ascii="Times New Roman" w:hAnsi="Times New Roman"/>
        </w:rPr>
        <w:t xml:space="preserve"> or dealer function of the bank</w:t>
      </w:r>
      <w:r w:rsidR="004A75C2">
        <w:rPr>
          <w:rFonts w:ascii="Times New Roman" w:hAnsi="Times New Roman"/>
        </w:rPr>
        <w:t>.</w:t>
      </w:r>
    </w:p>
    <w:p w:rsidR="00FA4D5D" w:rsidP="00FA4D5D" w14:paraId="1577CA20" w14:textId="77777777">
      <w:pPr>
        <w:widowControl/>
        <w:ind w:left="1440"/>
        <w:rPr>
          <w:rFonts w:ascii="Times New Roman" w:hAnsi="Times New Roman"/>
        </w:rPr>
      </w:pPr>
    </w:p>
    <w:p w:rsidR="00F146F1" w:rsidP="00F175D5" w14:paraId="2F91DFD4" w14:textId="77777777">
      <w:pPr>
        <w:widowControl/>
        <w:numPr>
          <w:ilvl w:val="0"/>
          <w:numId w:val="4"/>
        </w:numPr>
        <w:rPr>
          <w:rFonts w:ascii="Times New Roman" w:hAnsi="Times New Roman"/>
        </w:rPr>
      </w:pPr>
      <w:r w:rsidRPr="00366534">
        <w:rPr>
          <w:rFonts w:ascii="Times New Roman" w:hAnsi="Times New Roman"/>
          <w:u w:val="single"/>
        </w:rPr>
        <w:t>Consideration of the use of improved information technology:</w:t>
      </w:r>
    </w:p>
    <w:p w:rsidR="00F146F1" w14:paraId="0A449652" w14:textId="77777777">
      <w:pPr>
        <w:widowControl/>
        <w:rPr>
          <w:rFonts w:ascii="Times New Roman" w:hAnsi="Times New Roman"/>
        </w:rPr>
      </w:pPr>
    </w:p>
    <w:p w:rsidR="00F146F1" w14:paraId="04477427" w14:textId="77777777">
      <w:pPr>
        <w:widowControl/>
        <w:ind w:left="1440"/>
        <w:rPr>
          <w:rFonts w:ascii="Times New Roman" w:hAnsi="Times New Roman"/>
        </w:rPr>
      </w:pPr>
      <w:r w:rsidRPr="000014B9">
        <w:rPr>
          <w:rFonts w:ascii="Times New Roman" w:hAnsi="Times New Roman"/>
        </w:rPr>
        <w:t>Institutions are free to use whatever methods are the least burdensome to them for sending the necessary information to the FDIC</w:t>
      </w:r>
      <w:r w:rsidRPr="00FA4D5D" w:rsidR="00FA4D5D">
        <w:rPr>
          <w:rFonts w:ascii="Times New Roman" w:hAnsi="Times New Roman"/>
        </w:rPr>
        <w:t>.</w:t>
      </w:r>
      <w:r>
        <w:rPr>
          <w:rFonts w:ascii="Times New Roman" w:hAnsi="Times New Roman"/>
        </w:rPr>
        <w:t xml:space="preserve">  </w:t>
      </w:r>
    </w:p>
    <w:p w:rsidR="00F146F1" w14:paraId="443F9DA9" w14:textId="77777777">
      <w:pPr>
        <w:widowControl/>
        <w:ind w:left="1440"/>
        <w:rPr>
          <w:rFonts w:ascii="Times New Roman" w:hAnsi="Times New Roman"/>
        </w:rPr>
      </w:pPr>
    </w:p>
    <w:p w:rsidR="00F146F1" w:rsidP="00F175D5" w14:paraId="57903DA6" w14:textId="77777777">
      <w:pPr>
        <w:widowControl/>
        <w:numPr>
          <w:ilvl w:val="0"/>
          <w:numId w:val="4"/>
        </w:numPr>
        <w:rPr>
          <w:rFonts w:ascii="Times New Roman" w:hAnsi="Times New Roman"/>
        </w:rPr>
      </w:pPr>
      <w:r w:rsidRPr="00366534">
        <w:rPr>
          <w:rFonts w:ascii="Times New Roman" w:hAnsi="Times New Roman"/>
          <w:u w:val="single"/>
        </w:rPr>
        <w:t>Efforts to identify duplication:</w:t>
      </w:r>
    </w:p>
    <w:p w:rsidR="00F146F1" w14:paraId="539A00AA" w14:textId="77777777">
      <w:pPr>
        <w:widowControl/>
        <w:rPr>
          <w:rFonts w:ascii="Times New Roman" w:hAnsi="Times New Roman"/>
        </w:rPr>
      </w:pPr>
    </w:p>
    <w:p w:rsidR="00F146F1" w:rsidP="00FA4D5D" w14:paraId="56186128" w14:textId="77777777">
      <w:pPr>
        <w:widowControl/>
        <w:ind w:left="1440"/>
        <w:rPr>
          <w:rFonts w:ascii="Times New Roman" w:hAnsi="Times New Roman"/>
        </w:rPr>
      </w:pPr>
      <w:r w:rsidRPr="000014B9">
        <w:rPr>
          <w:rFonts w:ascii="Times New Roman" w:hAnsi="Times New Roman"/>
        </w:rPr>
        <w:t>The information collected does not duplicate information available from other government agencies.  Each federal bank regulatory agency (Fed, OCC, and FDIC) uses the same forms to collect the information from the banks they regulate.  It is up to the bank or associated persons to provide the required notices or personal histories to their primary regulator.</w:t>
      </w:r>
    </w:p>
    <w:p w:rsidR="00ED4700" w14:paraId="00542EDA" w14:textId="77777777">
      <w:pPr>
        <w:widowControl/>
        <w:ind w:left="1440"/>
        <w:rPr>
          <w:rFonts w:ascii="Times New Roman" w:hAnsi="Times New Roman"/>
        </w:rPr>
      </w:pPr>
    </w:p>
    <w:p w:rsidR="00F146F1" w:rsidP="00F175D5" w14:paraId="38960337" w14:textId="77777777">
      <w:pPr>
        <w:widowControl/>
        <w:numPr>
          <w:ilvl w:val="0"/>
          <w:numId w:val="4"/>
        </w:numPr>
        <w:rPr>
          <w:rFonts w:ascii="Times New Roman" w:hAnsi="Times New Roman"/>
        </w:rPr>
      </w:pPr>
      <w:r w:rsidRPr="00366534">
        <w:rPr>
          <w:rFonts w:ascii="Times New Roman" w:hAnsi="Times New Roman"/>
          <w:u w:val="single"/>
        </w:rPr>
        <w:t>Methods used to minimize burden if the collection has a significant impact on a substantial number of small entities:</w:t>
      </w:r>
    </w:p>
    <w:p w:rsidR="00F146F1" w14:paraId="6E061A4A" w14:textId="77777777">
      <w:pPr>
        <w:widowControl/>
        <w:rPr>
          <w:rFonts w:ascii="Times New Roman" w:hAnsi="Times New Roman"/>
        </w:rPr>
      </w:pPr>
    </w:p>
    <w:p w:rsidR="00F146F1" w:rsidP="000014B9" w14:paraId="7B2B71C7" w14:textId="77777777">
      <w:pPr>
        <w:widowControl/>
        <w:ind w:left="1440"/>
        <w:rPr>
          <w:rFonts w:ascii="Times New Roman" w:hAnsi="Times New Roman"/>
          <w:szCs w:val="24"/>
        </w:rPr>
      </w:pPr>
      <w:r w:rsidRPr="000014B9">
        <w:rPr>
          <w:rFonts w:ascii="Times New Roman" w:hAnsi="Times New Roman"/>
        </w:rPr>
        <w:t>The information required is the minimum necessary for compliance with the Act.  All banks, regardless of size, are required to use identical forms.  However, small banks, as a group, will be less burdened with submitting the forms because they are less likely to be government securities brokers or dealers</w:t>
      </w:r>
      <w:r w:rsidRPr="004A75C2" w:rsidR="004A75C2">
        <w:rPr>
          <w:rFonts w:ascii="Times New Roman" w:hAnsi="Times New Roman"/>
          <w:szCs w:val="24"/>
        </w:rPr>
        <w:t>.</w:t>
      </w:r>
    </w:p>
    <w:p w:rsidR="004A75C2" w:rsidP="004A75C2" w14:paraId="4CB8EAE2" w14:textId="77777777">
      <w:pPr>
        <w:widowControl/>
        <w:rPr>
          <w:rFonts w:ascii="Times New Roman" w:hAnsi="Times New Roman"/>
        </w:rPr>
      </w:pPr>
    </w:p>
    <w:p w:rsidR="00F146F1" w:rsidP="00F175D5" w14:paraId="6D17C939" w14:textId="77777777">
      <w:pPr>
        <w:widowControl/>
        <w:numPr>
          <w:ilvl w:val="0"/>
          <w:numId w:val="4"/>
        </w:numPr>
        <w:rPr>
          <w:rFonts w:ascii="Times New Roman" w:hAnsi="Times New Roman"/>
        </w:rPr>
      </w:pPr>
      <w:r w:rsidRPr="00366534">
        <w:rPr>
          <w:rFonts w:ascii="Times New Roman" w:hAnsi="Times New Roman"/>
          <w:u w:val="single"/>
        </w:rPr>
        <w:t>Consequences to the Federal program if the collection were conducted less frequently:</w:t>
      </w:r>
    </w:p>
    <w:p w:rsidR="00F146F1" w14:paraId="448F89D7" w14:textId="77777777">
      <w:pPr>
        <w:widowControl/>
        <w:rPr>
          <w:rFonts w:ascii="Times New Roman" w:hAnsi="Times New Roman"/>
        </w:rPr>
      </w:pPr>
    </w:p>
    <w:p w:rsidR="00F146F1" w14:paraId="51A7D9F1" w14:textId="45BAB824">
      <w:pPr>
        <w:widowControl/>
        <w:ind w:left="1440"/>
        <w:rPr>
          <w:rFonts w:ascii="Times New Roman" w:hAnsi="Times New Roman"/>
        </w:rPr>
      </w:pPr>
      <w:r w:rsidRPr="000014B9">
        <w:rPr>
          <w:rFonts w:ascii="Times New Roman" w:hAnsi="Times New Roman"/>
        </w:rPr>
        <w:t xml:space="preserve">The collection of information is required only on </w:t>
      </w:r>
      <w:r w:rsidRPr="000014B9" w:rsidR="0093292A">
        <w:rPr>
          <w:rFonts w:ascii="Times New Roman" w:hAnsi="Times New Roman"/>
        </w:rPr>
        <w:t>occasion</w:t>
      </w:r>
      <w:r w:rsidRPr="000014B9">
        <w:rPr>
          <w:rFonts w:ascii="Times New Roman" w:hAnsi="Times New Roman"/>
        </w:rPr>
        <w:t>. If the information was not collected FDIC would not be able to fulfill its supervisory mandate under the Act</w:t>
      </w:r>
      <w:r w:rsidRPr="00E57520" w:rsidR="00E57520">
        <w:rPr>
          <w:rFonts w:ascii="Times New Roman" w:hAnsi="Times New Roman"/>
        </w:rPr>
        <w:t>.</w:t>
      </w:r>
    </w:p>
    <w:p w:rsidR="00F146F1" w14:paraId="2F60CE6A" w14:textId="77777777">
      <w:pPr>
        <w:widowControl/>
        <w:rPr>
          <w:rFonts w:ascii="Times New Roman" w:hAnsi="Times New Roman"/>
        </w:rPr>
      </w:pPr>
    </w:p>
    <w:p w:rsidR="00F146F1" w:rsidP="00F175D5" w14:paraId="2FDB8682" w14:textId="77777777">
      <w:pPr>
        <w:widowControl/>
        <w:numPr>
          <w:ilvl w:val="0"/>
          <w:numId w:val="4"/>
        </w:numPr>
        <w:rPr>
          <w:rFonts w:ascii="Times New Roman" w:hAnsi="Times New Roman"/>
        </w:rPr>
      </w:pPr>
      <w:r w:rsidRPr="00366534">
        <w:rPr>
          <w:rFonts w:ascii="Times New Roman" w:hAnsi="Times New Roman"/>
          <w:u w:val="single"/>
        </w:rPr>
        <w:t>Special circumstances necessitating collection inconsistent with 5 CFR Part 1320.5(d)(2):</w:t>
      </w:r>
    </w:p>
    <w:p w:rsidR="00F146F1" w14:paraId="13C40671" w14:textId="77777777">
      <w:pPr>
        <w:widowControl/>
        <w:rPr>
          <w:rFonts w:ascii="Times New Roman" w:hAnsi="Times New Roman"/>
        </w:rPr>
      </w:pPr>
    </w:p>
    <w:p w:rsidR="00F146F1" w:rsidP="00820109" w14:paraId="6237CF07" w14:textId="77777777">
      <w:pPr>
        <w:widowControl/>
        <w:ind w:left="1440"/>
        <w:rPr>
          <w:rFonts w:ascii="Times New Roman" w:hAnsi="Times New Roman"/>
        </w:rPr>
      </w:pPr>
      <w:r w:rsidRPr="00366534">
        <w:rPr>
          <w:rFonts w:ascii="Times New Roman" w:hAnsi="Times New Roman"/>
        </w:rPr>
        <w:t>None.  The</w:t>
      </w:r>
      <w:r w:rsidRPr="00366534">
        <w:rPr>
          <w:rFonts w:ascii="Times New Roman" w:hAnsi="Times New Roman"/>
          <w:bCs/>
          <w:iCs/>
        </w:rPr>
        <w:t xml:space="preserve"> information is collected in a manner consistent with 5 CFR Part 1320.5(d)(2).</w:t>
      </w:r>
    </w:p>
    <w:p w:rsidR="00F146F1" w14:paraId="120E1F4E" w14:textId="77777777">
      <w:pPr>
        <w:widowControl/>
        <w:ind w:left="576"/>
        <w:rPr>
          <w:rFonts w:ascii="Times New Roman" w:hAnsi="Times New Roman"/>
        </w:rPr>
      </w:pPr>
    </w:p>
    <w:p w:rsidR="00F146F1" w:rsidP="00F175D5" w14:paraId="42D3AC0F" w14:textId="77777777">
      <w:pPr>
        <w:widowControl/>
        <w:numPr>
          <w:ilvl w:val="0"/>
          <w:numId w:val="4"/>
        </w:numPr>
        <w:rPr>
          <w:rFonts w:ascii="Times New Roman" w:hAnsi="Times New Roman"/>
        </w:rPr>
      </w:pPr>
      <w:r w:rsidRPr="00366534">
        <w:rPr>
          <w:rFonts w:ascii="Times New Roman" w:hAnsi="Times New Roman"/>
          <w:u w:val="single"/>
        </w:rPr>
        <w:t>Efforts to consult with persons outside the agency:</w:t>
      </w:r>
    </w:p>
    <w:p w:rsidR="00F146F1" w:rsidRPr="00280958" w:rsidP="00280958" w14:paraId="4D7C822E" w14:textId="77777777">
      <w:pPr>
        <w:widowControl/>
        <w:ind w:left="1440"/>
        <w:rPr>
          <w:rFonts w:ascii="Times New Roman" w:hAnsi="Times New Roman"/>
        </w:rPr>
      </w:pPr>
    </w:p>
    <w:p w:rsidR="00F146F1" w:rsidP="00280958" w14:paraId="3C9B0A89" w14:textId="31C7432D">
      <w:pPr>
        <w:pStyle w:val="Footer"/>
        <w:widowControl/>
        <w:tabs>
          <w:tab w:val="clear" w:pos="4320"/>
          <w:tab w:val="clear" w:pos="864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sidR="00732923">
        <w:rPr>
          <w:rFonts w:ascii="Times New Roman" w:hAnsi="Times New Roman"/>
        </w:rPr>
        <w:t>January 23, 2025</w:t>
      </w:r>
      <w:r w:rsidR="000014B9">
        <w:rPr>
          <w:rFonts w:ascii="Times New Roman" w:hAnsi="Times New Roman"/>
        </w:rPr>
        <w:t xml:space="preserve"> (</w:t>
      </w:r>
      <w:r w:rsidR="00732923">
        <w:rPr>
          <w:rFonts w:ascii="Times New Roman" w:hAnsi="Times New Roman"/>
        </w:rPr>
        <w:t>90</w:t>
      </w:r>
      <w:r>
        <w:rPr>
          <w:rFonts w:ascii="Times New Roman" w:hAnsi="Times New Roman"/>
        </w:rPr>
        <w:t xml:space="preserve"> FR </w:t>
      </w:r>
      <w:r w:rsidR="00732923">
        <w:rPr>
          <w:rFonts w:ascii="Times New Roman" w:hAnsi="Times New Roman"/>
        </w:rPr>
        <w:t>8027</w:t>
      </w:r>
      <w:r>
        <w:rPr>
          <w:rFonts w:ascii="Times New Roman" w:hAnsi="Times New Roman"/>
        </w:rPr>
        <w:t>)</w:t>
      </w:r>
      <w:r w:rsidRPr="005E1A91">
        <w:rPr>
          <w:rFonts w:ascii="Times New Roman" w:hAnsi="Times New Roman"/>
        </w:rPr>
        <w:t>.  No comments were received.</w:t>
      </w:r>
      <w:r w:rsidRPr="00280958" w:rsidR="00280958">
        <w:rPr>
          <w:rFonts w:ascii="Times New Roman" w:hAnsi="Times New Roman"/>
        </w:rPr>
        <w:t xml:space="preserve"> </w:t>
      </w:r>
      <w:r w:rsidRPr="00D44BED" w:rsidR="00D44BED">
        <w:rPr>
          <w:rFonts w:ascii="Times New Roman" w:hAnsi="Times New Roman"/>
        </w:rPr>
        <w:t xml:space="preserve">On March 25, 2025, FDIC published a second notice in the Federal Register (90 FR </w:t>
      </w:r>
      <w:r w:rsidRPr="000B44D5" w:rsidR="000B44D5">
        <w:rPr>
          <w:rFonts w:ascii="Times New Roman" w:hAnsi="Times New Roman"/>
        </w:rPr>
        <w:t>13</w:t>
      </w:r>
      <w:r w:rsidR="000B44D5">
        <w:rPr>
          <w:rFonts w:ascii="Times New Roman" w:hAnsi="Times New Roman"/>
        </w:rPr>
        <w:t>596</w:t>
      </w:r>
      <w:r w:rsidRPr="000B44D5" w:rsidR="000B44D5">
        <w:rPr>
          <w:rFonts w:ascii="Times New Roman" w:hAnsi="Times New Roman"/>
        </w:rPr>
        <w:t>)</w:t>
      </w:r>
      <w:r w:rsidRPr="00D44BED" w:rsidR="000B44D5">
        <w:rPr>
          <w:rFonts w:ascii="Times New Roman" w:hAnsi="Times New Roman"/>
        </w:rPr>
        <w:t xml:space="preserve"> </w:t>
      </w:r>
      <w:r w:rsidRPr="00D44BED" w:rsidR="00D44BED">
        <w:rPr>
          <w:rFonts w:ascii="Times New Roman" w:hAnsi="Times New Roman"/>
        </w:rPr>
        <w:t>informing the public that the agency is submitting a request to OMB for the renewal of this information collection.  That notice provides for an additional 30-day comment period and if any comments are received, FDIC will address them as instructed by OMB.</w:t>
      </w:r>
    </w:p>
    <w:p w:rsidR="00280958" w:rsidRPr="00280958" w:rsidP="00280958" w14:paraId="22EFEBDC" w14:textId="77777777">
      <w:pPr>
        <w:pStyle w:val="Footer"/>
        <w:widowControl/>
        <w:tabs>
          <w:tab w:val="clear" w:pos="4320"/>
          <w:tab w:val="clear" w:pos="8640"/>
        </w:tabs>
        <w:ind w:left="1440"/>
        <w:rPr>
          <w:rFonts w:ascii="Times New Roman" w:hAnsi="Times New Roman"/>
        </w:rPr>
      </w:pPr>
    </w:p>
    <w:p w:rsidR="00F146F1" w:rsidP="00F175D5" w14:paraId="69381256" w14:textId="77777777">
      <w:pPr>
        <w:widowControl/>
        <w:numPr>
          <w:ilvl w:val="0"/>
          <w:numId w:val="4"/>
        </w:numPr>
        <w:rPr>
          <w:rFonts w:ascii="Times New Roman" w:hAnsi="Times New Roman"/>
        </w:rPr>
      </w:pPr>
      <w:r w:rsidRPr="00366534">
        <w:rPr>
          <w:rFonts w:ascii="Times New Roman" w:hAnsi="Times New Roman"/>
          <w:u w:val="single"/>
        </w:rPr>
        <w:t>Payment or gift to respondents:</w:t>
      </w:r>
    </w:p>
    <w:p w:rsidR="00F146F1" w14:paraId="27246F05" w14:textId="77777777">
      <w:pPr>
        <w:widowControl/>
        <w:rPr>
          <w:rFonts w:ascii="Times New Roman" w:hAnsi="Times New Roman"/>
        </w:rPr>
      </w:pPr>
    </w:p>
    <w:p w:rsidR="00F146F1" w14:paraId="3BC3DD5F" w14:textId="77777777">
      <w:pPr>
        <w:widowControl/>
        <w:ind w:left="720" w:firstLine="720"/>
        <w:rPr>
          <w:rFonts w:ascii="Times New Roman" w:hAnsi="Times New Roman"/>
        </w:rPr>
      </w:pPr>
      <w:r w:rsidRPr="00712BA4">
        <w:rPr>
          <w:rFonts w:ascii="Times New Roman" w:hAnsi="Times New Roman"/>
        </w:rPr>
        <w:t>Not applicable.</w:t>
      </w:r>
      <w:r>
        <w:rPr>
          <w:rFonts w:ascii="Times New Roman" w:hAnsi="Times New Roman"/>
        </w:rPr>
        <w:t xml:space="preserve"> </w:t>
      </w:r>
    </w:p>
    <w:p w:rsidR="00573F81" w:rsidP="00E57520" w14:paraId="64105515" w14:textId="77777777">
      <w:pPr>
        <w:widowControl/>
        <w:rPr>
          <w:rFonts w:ascii="Times New Roman" w:hAnsi="Times New Roman"/>
        </w:rPr>
      </w:pPr>
    </w:p>
    <w:p w:rsidR="00F146F1" w:rsidP="00F175D5" w14:paraId="619D0315" w14:textId="77777777">
      <w:pPr>
        <w:widowControl/>
        <w:numPr>
          <w:ilvl w:val="0"/>
          <w:numId w:val="4"/>
        </w:numPr>
        <w:rPr>
          <w:rFonts w:ascii="Times New Roman" w:hAnsi="Times New Roman"/>
        </w:rPr>
      </w:pPr>
      <w:r w:rsidRPr="00366534">
        <w:rPr>
          <w:rFonts w:ascii="Times New Roman" w:hAnsi="Times New Roman"/>
          <w:u w:val="single"/>
        </w:rPr>
        <w:t>Any assurance of confidentiality:</w:t>
      </w:r>
    </w:p>
    <w:p w:rsidR="00F146F1" w14:paraId="5F8C3184" w14:textId="77777777">
      <w:pPr>
        <w:widowControl/>
        <w:ind w:left="576"/>
        <w:rPr>
          <w:rFonts w:ascii="Times New Roman" w:hAnsi="Times New Roman"/>
        </w:rPr>
      </w:pPr>
    </w:p>
    <w:p w:rsidR="00F146F1" w14:paraId="20547C95" w14:textId="1E7E4230">
      <w:pPr>
        <w:widowControl/>
        <w:ind w:left="1440"/>
        <w:rPr>
          <w:rFonts w:ascii="Times New Roman" w:hAnsi="Times New Roman"/>
        </w:rPr>
      </w:pPr>
      <w:r w:rsidRPr="00971714">
        <w:rPr>
          <w:rFonts w:ascii="Times New Roman" w:hAnsi="Times New Roman"/>
        </w:rPr>
        <w:t>Information will be kept confidential to the extent allowed by law.  Any information deemed to be of a confidential nature would be exempt from public disclosure in accordance with the provisions of the Freedom of Information Act (5 U.S.C. 552</w:t>
      </w:r>
      <w:r w:rsidRPr="00E57520" w:rsidR="00E57520">
        <w:rPr>
          <w:rFonts w:ascii="Times New Roman" w:hAnsi="Times New Roman"/>
        </w:rPr>
        <w:t>.</w:t>
      </w:r>
      <w:r>
        <w:rPr>
          <w:rFonts w:ascii="Times New Roman" w:hAnsi="Times New Roman"/>
        </w:rPr>
        <w:t xml:space="preserve">  </w:t>
      </w:r>
    </w:p>
    <w:p w:rsidR="00F146F1" w14:paraId="643C1B9F" w14:textId="77777777">
      <w:pPr>
        <w:widowControl/>
        <w:rPr>
          <w:rFonts w:ascii="Times New Roman" w:hAnsi="Times New Roman"/>
        </w:rPr>
      </w:pPr>
    </w:p>
    <w:p w:rsidR="00F146F1" w:rsidP="00F175D5" w14:paraId="70FC8524" w14:textId="77777777">
      <w:pPr>
        <w:widowControl/>
        <w:numPr>
          <w:ilvl w:val="0"/>
          <w:numId w:val="4"/>
        </w:numPr>
        <w:rPr>
          <w:rFonts w:ascii="Times New Roman" w:hAnsi="Times New Roman"/>
        </w:rPr>
      </w:pPr>
      <w:r w:rsidRPr="00366534">
        <w:rPr>
          <w:rFonts w:ascii="Times New Roman" w:hAnsi="Times New Roman"/>
          <w:u w:val="single"/>
        </w:rPr>
        <w:t>Justification for questions of a sensitive nature:</w:t>
      </w:r>
    </w:p>
    <w:p w:rsidR="00F146F1" w14:paraId="228CA2E0" w14:textId="77777777">
      <w:pPr>
        <w:widowControl/>
        <w:rPr>
          <w:rFonts w:ascii="Times New Roman" w:hAnsi="Times New Roman"/>
        </w:rPr>
      </w:pPr>
    </w:p>
    <w:p w:rsidR="009D2562" w:rsidP="009D2562" w14:paraId="08513B54" w14:textId="77777777">
      <w:pPr>
        <w:widowControl/>
        <w:ind w:left="1440"/>
        <w:rPr>
          <w:rFonts w:ascii="Times New Roman" w:hAnsi="Times New Roman"/>
        </w:rPr>
      </w:pPr>
      <w:r w:rsidRPr="000014B9">
        <w:rPr>
          <w:rFonts w:ascii="Times New Roman" w:hAnsi="Times New Roman"/>
        </w:rPr>
        <w:t>Item 17 on Form G</w:t>
      </w:r>
      <w:r w:rsidRPr="000014B9">
        <w:rPr>
          <w:rFonts w:ascii="Times New Roman" w:hAnsi="Times New Roman"/>
        </w:rPr>
        <w:noBreakHyphen/>
        <w:t>FIN</w:t>
      </w:r>
      <w:r w:rsidRPr="000014B9">
        <w:rPr>
          <w:rFonts w:ascii="Times New Roman" w:hAnsi="Times New Roman"/>
        </w:rPr>
        <w:noBreakHyphen/>
        <w:t>4 asks questions of a sensitive nature.  These questions deal with an applicant's possible conviction of any felony or misdemeanor within the past 10 years or other acts of misconduct.  These questions are necessary to determine the applicant's fitness to be associated with the government securities broker or dealer function of a bank where proper and ethical practices are vital to the protection of the investor. Otherwise, the information collection does not request information of a sensitive nature.</w:t>
      </w:r>
    </w:p>
    <w:p w:rsidR="00BE7264" w:rsidP="009D2562" w14:paraId="2F5DB1BA" w14:textId="77777777">
      <w:pPr>
        <w:widowControl/>
        <w:ind w:left="1440"/>
        <w:rPr>
          <w:rFonts w:ascii="Times New Roman" w:hAnsi="Times New Roman"/>
        </w:rPr>
      </w:pPr>
    </w:p>
    <w:p w:rsidR="00BE7264" w:rsidP="009D2562" w14:paraId="3877E67E" w14:textId="77777777">
      <w:pPr>
        <w:widowControl/>
        <w:ind w:left="1440"/>
        <w:rPr>
          <w:rFonts w:ascii="Times New Roman" w:hAnsi="Times New Roman"/>
        </w:rPr>
      </w:pPr>
    </w:p>
    <w:p w:rsidR="00BE7264" w:rsidP="009D2562" w14:paraId="6AD232E8" w14:textId="77777777">
      <w:pPr>
        <w:widowControl/>
        <w:ind w:left="1440"/>
        <w:rPr>
          <w:rFonts w:ascii="Times New Roman" w:hAnsi="Times New Roman"/>
        </w:rPr>
      </w:pPr>
    </w:p>
    <w:p w:rsidR="00BE7264" w:rsidP="009D2562" w14:paraId="1CF7E4E5" w14:textId="77777777">
      <w:pPr>
        <w:widowControl/>
        <w:ind w:left="1440"/>
        <w:rPr>
          <w:rFonts w:ascii="Times New Roman" w:hAnsi="Times New Roman"/>
        </w:rPr>
      </w:pPr>
    </w:p>
    <w:p w:rsidR="00BE7264" w:rsidP="009D2562" w14:paraId="6D14ED58" w14:textId="77777777">
      <w:pPr>
        <w:widowControl/>
        <w:ind w:left="1440"/>
        <w:rPr>
          <w:rFonts w:ascii="Times New Roman" w:hAnsi="Times New Roman"/>
        </w:rPr>
      </w:pPr>
    </w:p>
    <w:p w:rsidR="00BE7264" w:rsidP="009D2562" w14:paraId="56E24619" w14:textId="77777777">
      <w:pPr>
        <w:widowControl/>
        <w:ind w:left="1440"/>
        <w:rPr>
          <w:rFonts w:ascii="Times New Roman" w:hAnsi="Times New Roman"/>
        </w:rPr>
      </w:pPr>
    </w:p>
    <w:p w:rsidR="00BE7264" w:rsidP="009D2562" w14:paraId="41A8141C" w14:textId="77777777">
      <w:pPr>
        <w:widowControl/>
        <w:ind w:left="1440"/>
        <w:rPr>
          <w:rFonts w:ascii="Times New Roman" w:hAnsi="Times New Roman"/>
        </w:rPr>
      </w:pPr>
    </w:p>
    <w:p w:rsidR="00BE7264" w:rsidP="009D2562" w14:paraId="681846A5" w14:textId="77777777">
      <w:pPr>
        <w:widowControl/>
        <w:ind w:left="1440"/>
        <w:rPr>
          <w:rFonts w:ascii="Times New Roman" w:hAnsi="Times New Roman"/>
        </w:rPr>
      </w:pPr>
    </w:p>
    <w:p w:rsidR="00BE7264" w:rsidP="009D2562" w14:paraId="065B04EE" w14:textId="77777777">
      <w:pPr>
        <w:widowControl/>
        <w:ind w:left="1440"/>
        <w:rPr>
          <w:rFonts w:ascii="Times New Roman" w:hAnsi="Times New Roman"/>
        </w:rPr>
      </w:pPr>
    </w:p>
    <w:p w:rsidR="00BE7264" w:rsidRPr="00B91D2F" w:rsidP="009D2562" w14:paraId="6CD8E1E5" w14:textId="77777777">
      <w:pPr>
        <w:widowControl/>
        <w:ind w:left="1440"/>
      </w:pPr>
    </w:p>
    <w:p w:rsidR="002423D4" w:rsidP="00820109" w14:paraId="575EFA50" w14:textId="77777777">
      <w:pPr>
        <w:widowControl/>
        <w:rPr>
          <w:rFonts w:ascii="Times New Roman" w:eastAsia="Calibri" w:hAnsi="Times New Roman"/>
        </w:rPr>
      </w:pPr>
    </w:p>
    <w:p w:rsidR="00F146F1" w:rsidRPr="009234BE" w:rsidP="00F175D5" w14:paraId="71B5AD18" w14:textId="77777777">
      <w:pPr>
        <w:widowControl/>
        <w:numPr>
          <w:ilvl w:val="0"/>
          <w:numId w:val="4"/>
        </w:numPr>
        <w:rPr>
          <w:rFonts w:ascii="Times New Roman" w:hAnsi="Times New Roman"/>
        </w:rPr>
      </w:pPr>
      <w:bookmarkStart w:id="0" w:name="_DV_M10"/>
      <w:bookmarkEnd w:id="0"/>
      <w:r w:rsidRPr="009234BE">
        <w:rPr>
          <w:rFonts w:ascii="Times New Roman" w:hAnsi="Times New Roman"/>
          <w:u w:val="single"/>
        </w:rPr>
        <w:t>Estimate of hour burden including annualized hourly costs:</w:t>
      </w:r>
    </w:p>
    <w:p w:rsidR="00F146F1" w:rsidRPr="00820109" w14:paraId="61BE7059" w14:textId="77777777">
      <w:pPr>
        <w:widowControl/>
        <w:rPr>
          <w:rFonts w:ascii="Times New Roman" w:hAnsi="Times New Roman"/>
          <w:sz w:val="22"/>
          <w:szCs w:val="22"/>
        </w:rPr>
      </w:pPr>
    </w:p>
    <w:tbl>
      <w:tblPr>
        <w:tblW w:w="9700" w:type="dxa"/>
        <w:tblCellMar>
          <w:top w:w="15" w:type="dxa"/>
        </w:tblCellMar>
        <w:tblLook w:val="04A0"/>
      </w:tblPr>
      <w:tblGrid>
        <w:gridCol w:w="222"/>
        <w:gridCol w:w="2031"/>
        <w:gridCol w:w="1604"/>
        <w:gridCol w:w="1685"/>
        <w:gridCol w:w="1682"/>
        <w:gridCol w:w="1098"/>
        <w:gridCol w:w="6"/>
        <w:gridCol w:w="1372"/>
      </w:tblGrid>
      <w:tr w14:paraId="5C3D4D68" w14:textId="77777777" w:rsidTr="009D73A3">
        <w:tblPrEx>
          <w:tblW w:w="9700" w:type="dxa"/>
          <w:tblCellMar>
            <w:top w:w="15" w:type="dxa"/>
          </w:tblCellMar>
          <w:tblLook w:val="04A0"/>
        </w:tblPrEx>
        <w:trPr>
          <w:trHeight w:val="360"/>
        </w:trPr>
        <w:tc>
          <w:tcPr>
            <w:tcW w:w="970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5F6EF2" w:rsidRPr="005F6EF2" w:rsidP="005F6EF2" w14:paraId="26105944" w14:textId="394CD445">
            <w:pPr>
              <w:widowControl/>
              <w:jc w:val="center"/>
              <w:rPr>
                <w:rFonts w:ascii="Times New Roman" w:hAnsi="Times New Roman"/>
                <w:snapToGrid/>
                <w:color w:val="000000"/>
                <w:szCs w:val="24"/>
              </w:rPr>
            </w:pPr>
            <w:r w:rsidRPr="005F6EF2">
              <w:rPr>
                <w:rFonts w:ascii="Times New Roman" w:hAnsi="Times New Roman"/>
                <w:snapToGrid/>
                <w:color w:val="000000"/>
                <w:szCs w:val="24"/>
              </w:rPr>
              <w:t>Summary of Estimated Annual Burden (OMB No. 3064-0093)</w:t>
            </w:r>
          </w:p>
        </w:tc>
      </w:tr>
      <w:tr w14:paraId="6F23716A" w14:textId="77777777" w:rsidTr="009D73A3">
        <w:tblPrEx>
          <w:tblW w:w="9700" w:type="dxa"/>
          <w:tblCellMar>
            <w:top w:w="15" w:type="dxa"/>
          </w:tblCellMar>
          <w:tblLook w:val="04A0"/>
        </w:tblPrEx>
        <w:trPr>
          <w:trHeight w:val="840"/>
        </w:trPr>
        <w:tc>
          <w:tcPr>
            <w:tcW w:w="2253" w:type="dxa"/>
            <w:gridSpan w:val="2"/>
            <w:tcBorders>
              <w:top w:val="nil"/>
              <w:left w:val="single" w:sz="8" w:space="0" w:color="auto"/>
              <w:bottom w:val="single" w:sz="8" w:space="0" w:color="auto"/>
              <w:right w:val="single" w:sz="8" w:space="0" w:color="auto"/>
            </w:tcBorders>
            <w:shd w:val="clear" w:color="auto" w:fill="auto"/>
            <w:vAlign w:val="center"/>
            <w:hideMark/>
          </w:tcPr>
          <w:p w:rsidR="005F6EF2" w:rsidRPr="005F6EF2" w:rsidP="005F6EF2" w14:paraId="36CF8877" w14:textId="77777777">
            <w:pPr>
              <w:widowControl/>
              <w:rPr>
                <w:rFonts w:ascii="Times New Roman" w:hAnsi="Times New Roman"/>
                <w:snapToGrid/>
                <w:color w:val="000000"/>
                <w:sz w:val="20"/>
              </w:rPr>
            </w:pPr>
            <w:r w:rsidRPr="005F6EF2">
              <w:rPr>
                <w:rFonts w:ascii="Times New Roman" w:hAnsi="Times New Roman"/>
                <w:snapToGrid/>
                <w:color w:val="000000"/>
                <w:sz w:val="20"/>
              </w:rPr>
              <w:t>Information Collection (IC) (Obligation to Respond)</w:t>
            </w:r>
          </w:p>
        </w:tc>
        <w:tc>
          <w:tcPr>
            <w:tcW w:w="1604" w:type="dxa"/>
            <w:tcBorders>
              <w:top w:val="nil"/>
              <w:left w:val="nil"/>
              <w:bottom w:val="single" w:sz="8" w:space="0" w:color="auto"/>
              <w:right w:val="single" w:sz="8" w:space="0" w:color="auto"/>
            </w:tcBorders>
            <w:shd w:val="clear" w:color="auto" w:fill="auto"/>
            <w:vAlign w:val="center"/>
            <w:hideMark/>
          </w:tcPr>
          <w:p w:rsidR="005F6EF2" w:rsidRPr="005F6EF2" w:rsidP="005F6EF2" w14:paraId="52B31678" w14:textId="77777777">
            <w:pPr>
              <w:widowControl/>
              <w:jc w:val="center"/>
              <w:rPr>
                <w:rFonts w:ascii="Times New Roman" w:hAnsi="Times New Roman"/>
                <w:snapToGrid/>
                <w:color w:val="000000"/>
                <w:sz w:val="20"/>
              </w:rPr>
            </w:pPr>
            <w:r w:rsidRPr="005F6EF2">
              <w:rPr>
                <w:rFonts w:ascii="Times New Roman" w:hAnsi="Times New Roman"/>
                <w:snapToGrid/>
                <w:color w:val="000000"/>
                <w:sz w:val="20"/>
              </w:rPr>
              <w:t>Type of Burden</w:t>
            </w:r>
            <w:r w:rsidRPr="005F6EF2">
              <w:rPr>
                <w:rFonts w:ascii="Times New Roman" w:hAnsi="Times New Roman"/>
                <w:snapToGrid/>
                <w:color w:val="000000"/>
                <w:sz w:val="20"/>
              </w:rPr>
              <w:br/>
              <w:t>(Frequency of Response)</w:t>
            </w:r>
          </w:p>
        </w:tc>
        <w:tc>
          <w:tcPr>
            <w:tcW w:w="1685" w:type="dxa"/>
            <w:tcBorders>
              <w:top w:val="nil"/>
              <w:left w:val="nil"/>
              <w:bottom w:val="single" w:sz="8" w:space="0" w:color="auto"/>
              <w:right w:val="single" w:sz="8" w:space="0" w:color="auto"/>
            </w:tcBorders>
            <w:shd w:val="clear" w:color="auto" w:fill="auto"/>
            <w:vAlign w:val="center"/>
            <w:hideMark/>
          </w:tcPr>
          <w:p w:rsidR="005F6EF2" w:rsidRPr="005F6EF2" w:rsidP="005F6EF2" w14:paraId="3B71E03F" w14:textId="77777777">
            <w:pPr>
              <w:widowControl/>
              <w:jc w:val="center"/>
              <w:rPr>
                <w:rFonts w:ascii="Times New Roman" w:hAnsi="Times New Roman"/>
                <w:snapToGrid/>
                <w:color w:val="000000"/>
                <w:sz w:val="20"/>
              </w:rPr>
            </w:pPr>
            <w:r w:rsidRPr="005F6EF2">
              <w:rPr>
                <w:rFonts w:ascii="Times New Roman" w:hAnsi="Times New Roman"/>
                <w:snapToGrid/>
                <w:color w:val="000000"/>
                <w:sz w:val="20"/>
              </w:rPr>
              <w:t xml:space="preserve"> Number of Respondents</w:t>
            </w:r>
          </w:p>
        </w:tc>
        <w:tc>
          <w:tcPr>
            <w:tcW w:w="1682" w:type="dxa"/>
            <w:tcBorders>
              <w:top w:val="nil"/>
              <w:left w:val="nil"/>
              <w:bottom w:val="single" w:sz="8" w:space="0" w:color="auto"/>
              <w:right w:val="single" w:sz="8" w:space="0" w:color="auto"/>
            </w:tcBorders>
            <w:shd w:val="clear" w:color="auto" w:fill="auto"/>
            <w:vAlign w:val="center"/>
            <w:hideMark/>
          </w:tcPr>
          <w:p w:rsidR="005F6EF2" w:rsidRPr="005F6EF2" w:rsidP="005F6EF2" w14:paraId="1AB4A4E2" w14:textId="77777777">
            <w:pPr>
              <w:widowControl/>
              <w:jc w:val="center"/>
              <w:rPr>
                <w:rFonts w:ascii="Times New Roman" w:hAnsi="Times New Roman"/>
                <w:snapToGrid/>
                <w:color w:val="000000"/>
                <w:sz w:val="20"/>
              </w:rPr>
            </w:pPr>
            <w:r w:rsidRPr="005F6EF2">
              <w:rPr>
                <w:rFonts w:ascii="Times New Roman" w:hAnsi="Times New Roman"/>
                <w:snapToGrid/>
                <w:color w:val="000000"/>
                <w:sz w:val="20"/>
              </w:rPr>
              <w:t xml:space="preserve"> Number of Responses per Respondent</w:t>
            </w:r>
          </w:p>
        </w:tc>
        <w:tc>
          <w:tcPr>
            <w:tcW w:w="1098" w:type="dxa"/>
            <w:tcBorders>
              <w:top w:val="nil"/>
              <w:left w:val="nil"/>
              <w:bottom w:val="single" w:sz="8" w:space="0" w:color="auto"/>
              <w:right w:val="single" w:sz="8" w:space="0" w:color="auto"/>
            </w:tcBorders>
            <w:shd w:val="clear" w:color="auto" w:fill="auto"/>
            <w:vAlign w:val="center"/>
            <w:hideMark/>
          </w:tcPr>
          <w:p w:rsidR="005F6EF2" w:rsidRPr="005F6EF2" w:rsidP="005F6EF2" w14:paraId="1F263D55" w14:textId="77777777">
            <w:pPr>
              <w:widowControl/>
              <w:jc w:val="center"/>
              <w:rPr>
                <w:rFonts w:ascii="Times New Roman" w:hAnsi="Times New Roman"/>
                <w:snapToGrid/>
                <w:color w:val="000000"/>
                <w:sz w:val="20"/>
              </w:rPr>
            </w:pPr>
            <w:r w:rsidRPr="005F6EF2">
              <w:rPr>
                <w:rFonts w:ascii="Times New Roman" w:hAnsi="Times New Roman"/>
                <w:snapToGrid/>
                <w:color w:val="000000"/>
                <w:sz w:val="20"/>
              </w:rPr>
              <w:t>Average Time per Response (HH:MM)</w:t>
            </w:r>
          </w:p>
        </w:tc>
        <w:tc>
          <w:tcPr>
            <w:tcW w:w="1378" w:type="dxa"/>
            <w:gridSpan w:val="2"/>
            <w:tcBorders>
              <w:top w:val="nil"/>
              <w:left w:val="nil"/>
              <w:bottom w:val="single" w:sz="8" w:space="0" w:color="auto"/>
              <w:right w:val="single" w:sz="8" w:space="0" w:color="auto"/>
            </w:tcBorders>
            <w:shd w:val="clear" w:color="auto" w:fill="auto"/>
            <w:vAlign w:val="center"/>
            <w:hideMark/>
          </w:tcPr>
          <w:p w:rsidR="005F6EF2" w:rsidRPr="005F6EF2" w:rsidP="005F6EF2" w14:paraId="190BA772" w14:textId="77777777">
            <w:pPr>
              <w:widowControl/>
              <w:jc w:val="center"/>
              <w:rPr>
                <w:rFonts w:ascii="Times New Roman" w:hAnsi="Times New Roman"/>
                <w:snapToGrid/>
                <w:color w:val="000000"/>
                <w:sz w:val="20"/>
              </w:rPr>
            </w:pPr>
            <w:r w:rsidRPr="005F6EF2">
              <w:rPr>
                <w:rFonts w:ascii="Times New Roman" w:hAnsi="Times New Roman"/>
                <w:snapToGrid/>
                <w:color w:val="000000"/>
                <w:sz w:val="20"/>
              </w:rPr>
              <w:t>Annual Burden (Hours)</w:t>
            </w:r>
          </w:p>
        </w:tc>
      </w:tr>
      <w:tr w14:paraId="68438472" w14:textId="77777777" w:rsidTr="009D73A3">
        <w:tblPrEx>
          <w:tblW w:w="9700" w:type="dxa"/>
          <w:tblCellMar>
            <w:top w:w="15" w:type="dxa"/>
          </w:tblCellMar>
          <w:tblLook w:val="04A0"/>
        </w:tblPrEx>
        <w:trPr>
          <w:trHeight w:val="1392"/>
        </w:trPr>
        <w:tc>
          <w:tcPr>
            <w:tcW w:w="2253" w:type="dxa"/>
            <w:gridSpan w:val="2"/>
            <w:tcBorders>
              <w:top w:val="nil"/>
              <w:left w:val="single" w:sz="8" w:space="0" w:color="auto"/>
              <w:bottom w:val="single" w:sz="8" w:space="0" w:color="auto"/>
              <w:right w:val="single" w:sz="8" w:space="0" w:color="auto"/>
            </w:tcBorders>
            <w:shd w:val="clear" w:color="auto" w:fill="auto"/>
            <w:vAlign w:val="center"/>
            <w:hideMark/>
          </w:tcPr>
          <w:p w:rsidR="005F6EF2" w:rsidRPr="005F6EF2" w:rsidP="005F6EF2" w14:paraId="3DC2E7C5" w14:textId="77777777">
            <w:pPr>
              <w:widowControl/>
              <w:rPr>
                <w:rFonts w:ascii="Times New Roman" w:hAnsi="Times New Roman"/>
                <w:snapToGrid/>
                <w:color w:val="000000"/>
                <w:sz w:val="20"/>
              </w:rPr>
            </w:pPr>
            <w:r w:rsidRPr="005F6EF2">
              <w:rPr>
                <w:rFonts w:ascii="Times New Roman" w:hAnsi="Times New Roman"/>
                <w:snapToGrid/>
                <w:color w:val="000000"/>
                <w:sz w:val="20"/>
              </w:rPr>
              <w:t>1. Notice by Financial Institutions of Government Securities Broker or Government Securities Dealer Activities (G-FIN),</w:t>
            </w:r>
            <w:r w:rsidRPr="005F6EF2">
              <w:rPr>
                <w:rFonts w:ascii="Times New Roman" w:hAnsi="Times New Roman"/>
                <w:snapToGrid/>
                <w:color w:val="000000"/>
                <w:sz w:val="20"/>
              </w:rPr>
              <w:br/>
              <w:t>17 CFR 401 (Mandatory)</w:t>
            </w:r>
          </w:p>
        </w:tc>
        <w:tc>
          <w:tcPr>
            <w:tcW w:w="1604" w:type="dxa"/>
            <w:tcBorders>
              <w:top w:val="nil"/>
              <w:left w:val="nil"/>
              <w:bottom w:val="single" w:sz="8" w:space="0" w:color="auto"/>
              <w:right w:val="single" w:sz="8" w:space="0" w:color="auto"/>
            </w:tcBorders>
            <w:shd w:val="clear" w:color="auto" w:fill="auto"/>
            <w:vAlign w:val="center"/>
            <w:hideMark/>
          </w:tcPr>
          <w:p w:rsidR="005F6EF2" w:rsidRPr="005F6EF2" w:rsidP="005F6EF2" w14:paraId="79423892" w14:textId="77777777">
            <w:pPr>
              <w:widowControl/>
              <w:jc w:val="center"/>
              <w:rPr>
                <w:rFonts w:ascii="Times New Roman" w:hAnsi="Times New Roman"/>
                <w:snapToGrid/>
                <w:color w:val="000000"/>
                <w:sz w:val="20"/>
              </w:rPr>
            </w:pPr>
            <w:r w:rsidRPr="005F6EF2">
              <w:rPr>
                <w:rFonts w:ascii="Times New Roman" w:hAnsi="Times New Roman"/>
                <w:snapToGrid/>
                <w:color w:val="000000"/>
                <w:sz w:val="20"/>
              </w:rPr>
              <w:t>Reporting</w:t>
            </w:r>
            <w:r w:rsidRPr="005F6EF2">
              <w:rPr>
                <w:rFonts w:ascii="Times New Roman" w:hAnsi="Times New Roman"/>
                <w:snapToGrid/>
                <w:color w:val="000000"/>
                <w:sz w:val="20"/>
              </w:rPr>
              <w:br/>
              <w:t>(On Occasion)</w:t>
            </w:r>
          </w:p>
        </w:tc>
        <w:tc>
          <w:tcPr>
            <w:tcW w:w="1685" w:type="dxa"/>
            <w:tcBorders>
              <w:top w:val="nil"/>
              <w:left w:val="nil"/>
              <w:bottom w:val="single" w:sz="8" w:space="0" w:color="auto"/>
              <w:right w:val="single" w:sz="8" w:space="0" w:color="auto"/>
            </w:tcBorders>
            <w:shd w:val="clear" w:color="auto" w:fill="auto"/>
            <w:noWrap/>
            <w:vAlign w:val="center"/>
            <w:hideMark/>
          </w:tcPr>
          <w:p w:rsidR="005F6EF2" w:rsidRPr="005F6EF2" w:rsidP="005F6EF2" w14:paraId="7C81283B"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2</w:t>
            </w:r>
          </w:p>
        </w:tc>
        <w:tc>
          <w:tcPr>
            <w:tcW w:w="1682" w:type="dxa"/>
            <w:tcBorders>
              <w:top w:val="nil"/>
              <w:left w:val="nil"/>
              <w:bottom w:val="single" w:sz="8" w:space="0" w:color="auto"/>
              <w:right w:val="single" w:sz="8" w:space="0" w:color="auto"/>
            </w:tcBorders>
            <w:shd w:val="clear" w:color="auto" w:fill="auto"/>
            <w:noWrap/>
            <w:vAlign w:val="center"/>
            <w:hideMark/>
          </w:tcPr>
          <w:p w:rsidR="005F6EF2" w:rsidRPr="005F6EF2" w:rsidP="005F6EF2" w14:paraId="01F14E8E"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1</w:t>
            </w:r>
          </w:p>
        </w:tc>
        <w:tc>
          <w:tcPr>
            <w:tcW w:w="1098" w:type="dxa"/>
            <w:tcBorders>
              <w:top w:val="nil"/>
              <w:left w:val="nil"/>
              <w:bottom w:val="single" w:sz="8" w:space="0" w:color="auto"/>
              <w:right w:val="nil"/>
            </w:tcBorders>
            <w:shd w:val="clear" w:color="auto" w:fill="auto"/>
            <w:vAlign w:val="center"/>
            <w:hideMark/>
          </w:tcPr>
          <w:p w:rsidR="005F6EF2" w:rsidRPr="005F6EF2" w:rsidP="005F6EF2" w14:paraId="215F5F73"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01:00</w:t>
            </w:r>
          </w:p>
        </w:tc>
        <w:tc>
          <w:tcPr>
            <w:tcW w:w="1378" w:type="dxa"/>
            <w:gridSpan w:val="2"/>
            <w:tcBorders>
              <w:top w:val="nil"/>
              <w:left w:val="single" w:sz="8" w:space="0" w:color="auto"/>
              <w:bottom w:val="single" w:sz="8" w:space="0" w:color="auto"/>
              <w:right w:val="single" w:sz="8" w:space="0" w:color="auto"/>
            </w:tcBorders>
            <w:shd w:val="clear" w:color="auto" w:fill="auto"/>
            <w:noWrap/>
            <w:vAlign w:val="center"/>
            <w:hideMark/>
          </w:tcPr>
          <w:p w:rsidR="005F6EF2" w:rsidRPr="005F6EF2" w:rsidP="005F6EF2" w14:paraId="62DD8BA8"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2</w:t>
            </w:r>
          </w:p>
        </w:tc>
      </w:tr>
      <w:tr w14:paraId="0C668B18" w14:textId="77777777" w:rsidTr="009D73A3">
        <w:tblPrEx>
          <w:tblW w:w="9700" w:type="dxa"/>
          <w:tblCellMar>
            <w:top w:w="15" w:type="dxa"/>
          </w:tblCellMar>
          <w:tblLook w:val="04A0"/>
        </w:tblPrEx>
        <w:trPr>
          <w:trHeight w:val="1944"/>
        </w:trPr>
        <w:tc>
          <w:tcPr>
            <w:tcW w:w="2253" w:type="dxa"/>
            <w:gridSpan w:val="2"/>
            <w:tcBorders>
              <w:top w:val="nil"/>
              <w:left w:val="single" w:sz="8" w:space="0" w:color="auto"/>
              <w:bottom w:val="single" w:sz="8" w:space="0" w:color="auto"/>
              <w:right w:val="single" w:sz="8" w:space="0" w:color="auto"/>
            </w:tcBorders>
            <w:shd w:val="clear" w:color="auto" w:fill="auto"/>
            <w:vAlign w:val="center"/>
            <w:hideMark/>
          </w:tcPr>
          <w:p w:rsidR="005F6EF2" w:rsidRPr="005F6EF2" w:rsidP="005F6EF2" w14:paraId="013CF025" w14:textId="77777777">
            <w:pPr>
              <w:widowControl/>
              <w:rPr>
                <w:rFonts w:ascii="Times New Roman" w:hAnsi="Times New Roman"/>
                <w:snapToGrid/>
                <w:color w:val="000000"/>
                <w:sz w:val="20"/>
              </w:rPr>
            </w:pPr>
            <w:r w:rsidRPr="005F6EF2">
              <w:rPr>
                <w:rFonts w:ascii="Times New Roman" w:hAnsi="Times New Roman"/>
                <w:snapToGrid/>
                <w:color w:val="000000"/>
                <w:sz w:val="20"/>
              </w:rPr>
              <w:t>2. Notice by Financial Institutions of Termination of Activities as a Government Securities Broker or Government Securities Dealer (G-FINW),</w:t>
            </w:r>
            <w:r w:rsidRPr="005F6EF2">
              <w:rPr>
                <w:rFonts w:ascii="Times New Roman" w:hAnsi="Times New Roman"/>
                <w:snapToGrid/>
                <w:color w:val="000000"/>
                <w:sz w:val="20"/>
              </w:rPr>
              <w:br/>
              <w:t>17 CFR 401 (Mandatory)</w:t>
            </w:r>
          </w:p>
        </w:tc>
        <w:tc>
          <w:tcPr>
            <w:tcW w:w="1604" w:type="dxa"/>
            <w:tcBorders>
              <w:top w:val="nil"/>
              <w:left w:val="nil"/>
              <w:bottom w:val="single" w:sz="8" w:space="0" w:color="auto"/>
              <w:right w:val="single" w:sz="8" w:space="0" w:color="auto"/>
            </w:tcBorders>
            <w:shd w:val="clear" w:color="auto" w:fill="auto"/>
            <w:vAlign w:val="center"/>
            <w:hideMark/>
          </w:tcPr>
          <w:p w:rsidR="005F6EF2" w:rsidRPr="005F6EF2" w:rsidP="005F6EF2" w14:paraId="19D5700B" w14:textId="77777777">
            <w:pPr>
              <w:widowControl/>
              <w:jc w:val="center"/>
              <w:rPr>
                <w:rFonts w:ascii="Times New Roman" w:hAnsi="Times New Roman"/>
                <w:snapToGrid/>
                <w:color w:val="000000"/>
                <w:sz w:val="20"/>
              </w:rPr>
            </w:pPr>
            <w:r w:rsidRPr="005F6EF2">
              <w:rPr>
                <w:rFonts w:ascii="Times New Roman" w:hAnsi="Times New Roman"/>
                <w:snapToGrid/>
                <w:color w:val="000000"/>
                <w:sz w:val="20"/>
              </w:rPr>
              <w:t>Reporting</w:t>
            </w:r>
            <w:r w:rsidRPr="005F6EF2">
              <w:rPr>
                <w:rFonts w:ascii="Times New Roman" w:hAnsi="Times New Roman"/>
                <w:snapToGrid/>
                <w:color w:val="000000"/>
                <w:sz w:val="20"/>
              </w:rPr>
              <w:br/>
              <w:t>(On Occasion)</w:t>
            </w:r>
          </w:p>
        </w:tc>
        <w:tc>
          <w:tcPr>
            <w:tcW w:w="1685" w:type="dxa"/>
            <w:tcBorders>
              <w:top w:val="nil"/>
              <w:left w:val="nil"/>
              <w:bottom w:val="single" w:sz="8" w:space="0" w:color="auto"/>
              <w:right w:val="single" w:sz="8" w:space="0" w:color="auto"/>
            </w:tcBorders>
            <w:shd w:val="clear" w:color="auto" w:fill="auto"/>
            <w:noWrap/>
            <w:vAlign w:val="center"/>
            <w:hideMark/>
          </w:tcPr>
          <w:p w:rsidR="005F6EF2" w:rsidRPr="005F6EF2" w:rsidP="005F6EF2" w14:paraId="2C381D1B"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2</w:t>
            </w:r>
          </w:p>
        </w:tc>
        <w:tc>
          <w:tcPr>
            <w:tcW w:w="1682" w:type="dxa"/>
            <w:tcBorders>
              <w:top w:val="nil"/>
              <w:left w:val="nil"/>
              <w:bottom w:val="single" w:sz="8" w:space="0" w:color="auto"/>
              <w:right w:val="single" w:sz="8" w:space="0" w:color="auto"/>
            </w:tcBorders>
            <w:shd w:val="clear" w:color="auto" w:fill="auto"/>
            <w:noWrap/>
            <w:vAlign w:val="center"/>
            <w:hideMark/>
          </w:tcPr>
          <w:p w:rsidR="005F6EF2" w:rsidRPr="005F6EF2" w:rsidP="005F6EF2" w14:paraId="7FC1623E"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1</w:t>
            </w:r>
          </w:p>
        </w:tc>
        <w:tc>
          <w:tcPr>
            <w:tcW w:w="1098" w:type="dxa"/>
            <w:tcBorders>
              <w:top w:val="nil"/>
              <w:left w:val="nil"/>
              <w:bottom w:val="single" w:sz="8" w:space="0" w:color="auto"/>
              <w:right w:val="nil"/>
            </w:tcBorders>
            <w:shd w:val="clear" w:color="auto" w:fill="auto"/>
            <w:vAlign w:val="center"/>
            <w:hideMark/>
          </w:tcPr>
          <w:p w:rsidR="005F6EF2" w:rsidRPr="005F6EF2" w:rsidP="005F6EF2" w14:paraId="38E2ED61"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02:00</w:t>
            </w:r>
          </w:p>
        </w:tc>
        <w:tc>
          <w:tcPr>
            <w:tcW w:w="1378" w:type="dxa"/>
            <w:gridSpan w:val="2"/>
            <w:tcBorders>
              <w:top w:val="nil"/>
              <w:left w:val="single" w:sz="8" w:space="0" w:color="auto"/>
              <w:bottom w:val="single" w:sz="8" w:space="0" w:color="auto"/>
              <w:right w:val="single" w:sz="8" w:space="0" w:color="auto"/>
            </w:tcBorders>
            <w:shd w:val="clear" w:color="auto" w:fill="auto"/>
            <w:noWrap/>
            <w:vAlign w:val="center"/>
            <w:hideMark/>
          </w:tcPr>
          <w:p w:rsidR="005F6EF2" w:rsidRPr="005F6EF2" w:rsidP="005F6EF2" w14:paraId="74B9866A"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4</w:t>
            </w:r>
          </w:p>
        </w:tc>
      </w:tr>
      <w:tr w14:paraId="39131849" w14:textId="77777777" w:rsidTr="009D73A3">
        <w:tblPrEx>
          <w:tblW w:w="9700" w:type="dxa"/>
          <w:tblCellMar>
            <w:top w:w="15" w:type="dxa"/>
          </w:tblCellMar>
          <w:tblLook w:val="04A0"/>
        </w:tblPrEx>
        <w:trPr>
          <w:trHeight w:val="1668"/>
        </w:trPr>
        <w:tc>
          <w:tcPr>
            <w:tcW w:w="2253" w:type="dxa"/>
            <w:gridSpan w:val="2"/>
            <w:tcBorders>
              <w:top w:val="nil"/>
              <w:left w:val="single" w:sz="8" w:space="0" w:color="auto"/>
              <w:bottom w:val="single" w:sz="8" w:space="0" w:color="auto"/>
              <w:right w:val="single" w:sz="8" w:space="0" w:color="auto"/>
            </w:tcBorders>
            <w:shd w:val="clear" w:color="auto" w:fill="auto"/>
            <w:vAlign w:val="center"/>
            <w:hideMark/>
          </w:tcPr>
          <w:p w:rsidR="005F6EF2" w:rsidRPr="005F6EF2" w:rsidP="005F6EF2" w14:paraId="54F2D17D" w14:textId="77777777">
            <w:pPr>
              <w:widowControl/>
              <w:rPr>
                <w:rFonts w:ascii="Times New Roman" w:hAnsi="Times New Roman"/>
                <w:snapToGrid/>
                <w:color w:val="000000"/>
                <w:sz w:val="20"/>
              </w:rPr>
            </w:pPr>
            <w:r w:rsidRPr="005F6EF2">
              <w:rPr>
                <w:rFonts w:ascii="Times New Roman" w:hAnsi="Times New Roman"/>
                <w:snapToGrid/>
                <w:color w:val="000000"/>
                <w:sz w:val="20"/>
              </w:rPr>
              <w:t>3. Disclosure Form for Person Associated with a Financial Institution Securities Broker or Dealer (G-FIN-4),</w:t>
            </w:r>
            <w:r w:rsidRPr="005F6EF2">
              <w:rPr>
                <w:rFonts w:ascii="Times New Roman" w:hAnsi="Times New Roman"/>
                <w:snapToGrid/>
                <w:color w:val="000000"/>
                <w:sz w:val="20"/>
              </w:rPr>
              <w:br/>
              <w:t>17 CFR 401 (Mandatory)</w:t>
            </w:r>
          </w:p>
        </w:tc>
        <w:tc>
          <w:tcPr>
            <w:tcW w:w="1604" w:type="dxa"/>
            <w:tcBorders>
              <w:top w:val="nil"/>
              <w:left w:val="nil"/>
              <w:bottom w:val="single" w:sz="8" w:space="0" w:color="auto"/>
              <w:right w:val="single" w:sz="8" w:space="0" w:color="auto"/>
            </w:tcBorders>
            <w:shd w:val="clear" w:color="auto" w:fill="auto"/>
            <w:vAlign w:val="center"/>
            <w:hideMark/>
          </w:tcPr>
          <w:p w:rsidR="005F6EF2" w:rsidRPr="005F6EF2" w:rsidP="005F6EF2" w14:paraId="025B83FA" w14:textId="77777777">
            <w:pPr>
              <w:widowControl/>
              <w:jc w:val="center"/>
              <w:rPr>
                <w:rFonts w:ascii="Times New Roman" w:hAnsi="Times New Roman"/>
                <w:snapToGrid/>
                <w:color w:val="000000"/>
                <w:sz w:val="20"/>
              </w:rPr>
            </w:pPr>
            <w:r w:rsidRPr="005F6EF2">
              <w:rPr>
                <w:rFonts w:ascii="Times New Roman" w:hAnsi="Times New Roman"/>
                <w:snapToGrid/>
                <w:color w:val="000000"/>
                <w:sz w:val="20"/>
              </w:rPr>
              <w:t>Reporting</w:t>
            </w:r>
            <w:r w:rsidRPr="005F6EF2">
              <w:rPr>
                <w:rFonts w:ascii="Times New Roman" w:hAnsi="Times New Roman"/>
                <w:snapToGrid/>
                <w:color w:val="000000"/>
                <w:sz w:val="20"/>
              </w:rPr>
              <w:br/>
              <w:t>(On Occasion)</w:t>
            </w:r>
          </w:p>
        </w:tc>
        <w:tc>
          <w:tcPr>
            <w:tcW w:w="1685" w:type="dxa"/>
            <w:tcBorders>
              <w:top w:val="nil"/>
              <w:left w:val="nil"/>
              <w:bottom w:val="single" w:sz="8" w:space="0" w:color="auto"/>
              <w:right w:val="single" w:sz="8" w:space="0" w:color="auto"/>
            </w:tcBorders>
            <w:shd w:val="clear" w:color="auto" w:fill="auto"/>
            <w:noWrap/>
            <w:vAlign w:val="center"/>
            <w:hideMark/>
          </w:tcPr>
          <w:p w:rsidR="005F6EF2" w:rsidRPr="005F6EF2" w:rsidP="005F6EF2" w14:paraId="0BE2BFF3"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2</w:t>
            </w:r>
          </w:p>
        </w:tc>
        <w:tc>
          <w:tcPr>
            <w:tcW w:w="1682" w:type="dxa"/>
            <w:tcBorders>
              <w:top w:val="nil"/>
              <w:left w:val="nil"/>
              <w:bottom w:val="single" w:sz="8" w:space="0" w:color="auto"/>
              <w:right w:val="single" w:sz="8" w:space="0" w:color="auto"/>
            </w:tcBorders>
            <w:shd w:val="clear" w:color="auto" w:fill="auto"/>
            <w:noWrap/>
            <w:vAlign w:val="center"/>
            <w:hideMark/>
          </w:tcPr>
          <w:p w:rsidR="005F6EF2" w:rsidRPr="005F6EF2" w:rsidP="005F6EF2" w14:paraId="14EA949D"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1</w:t>
            </w:r>
          </w:p>
        </w:tc>
        <w:tc>
          <w:tcPr>
            <w:tcW w:w="1098" w:type="dxa"/>
            <w:tcBorders>
              <w:top w:val="nil"/>
              <w:left w:val="nil"/>
              <w:bottom w:val="single" w:sz="8" w:space="0" w:color="auto"/>
              <w:right w:val="nil"/>
            </w:tcBorders>
            <w:shd w:val="clear" w:color="auto" w:fill="auto"/>
            <w:vAlign w:val="center"/>
            <w:hideMark/>
          </w:tcPr>
          <w:p w:rsidR="005F6EF2" w:rsidRPr="005F6EF2" w:rsidP="005F6EF2" w14:paraId="06541283"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02:00</w:t>
            </w:r>
          </w:p>
        </w:tc>
        <w:tc>
          <w:tcPr>
            <w:tcW w:w="1378" w:type="dxa"/>
            <w:gridSpan w:val="2"/>
            <w:tcBorders>
              <w:top w:val="nil"/>
              <w:left w:val="single" w:sz="8" w:space="0" w:color="auto"/>
              <w:bottom w:val="single" w:sz="8" w:space="0" w:color="auto"/>
              <w:right w:val="single" w:sz="8" w:space="0" w:color="auto"/>
            </w:tcBorders>
            <w:shd w:val="clear" w:color="auto" w:fill="auto"/>
            <w:noWrap/>
            <w:vAlign w:val="center"/>
            <w:hideMark/>
          </w:tcPr>
          <w:p w:rsidR="005F6EF2" w:rsidRPr="005F6EF2" w:rsidP="005F6EF2" w14:paraId="6256DAC1"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4</w:t>
            </w:r>
          </w:p>
        </w:tc>
      </w:tr>
      <w:tr w14:paraId="737928D1" w14:textId="77777777" w:rsidTr="009D73A3">
        <w:tblPrEx>
          <w:tblW w:w="9700" w:type="dxa"/>
          <w:tblCellMar>
            <w:top w:w="15" w:type="dxa"/>
          </w:tblCellMar>
          <w:tblLook w:val="04A0"/>
        </w:tblPrEx>
        <w:trPr>
          <w:trHeight w:val="1944"/>
        </w:trPr>
        <w:tc>
          <w:tcPr>
            <w:tcW w:w="2253" w:type="dxa"/>
            <w:gridSpan w:val="2"/>
            <w:tcBorders>
              <w:top w:val="nil"/>
              <w:left w:val="single" w:sz="8" w:space="0" w:color="auto"/>
              <w:bottom w:val="single" w:sz="8" w:space="0" w:color="auto"/>
              <w:right w:val="single" w:sz="8" w:space="0" w:color="auto"/>
            </w:tcBorders>
            <w:shd w:val="clear" w:color="auto" w:fill="auto"/>
            <w:vAlign w:val="center"/>
            <w:hideMark/>
          </w:tcPr>
          <w:p w:rsidR="005F6EF2" w:rsidRPr="005F6EF2" w:rsidP="005F6EF2" w14:paraId="2C97758C" w14:textId="77777777">
            <w:pPr>
              <w:widowControl/>
              <w:rPr>
                <w:rFonts w:ascii="Times New Roman" w:hAnsi="Times New Roman"/>
                <w:snapToGrid/>
                <w:color w:val="000000"/>
                <w:sz w:val="20"/>
              </w:rPr>
            </w:pPr>
            <w:r w:rsidRPr="005F6EF2">
              <w:rPr>
                <w:rFonts w:ascii="Times New Roman" w:hAnsi="Times New Roman"/>
                <w:snapToGrid/>
                <w:color w:val="000000"/>
                <w:sz w:val="20"/>
              </w:rPr>
              <w:t>4. Uniform Termination Notice for Persons Associated with a Financial Institution Government Securities Broker or Dealer (G-FIN-5),</w:t>
            </w:r>
            <w:r w:rsidRPr="005F6EF2">
              <w:rPr>
                <w:rFonts w:ascii="Times New Roman" w:hAnsi="Times New Roman"/>
                <w:snapToGrid/>
                <w:color w:val="000000"/>
                <w:sz w:val="20"/>
              </w:rPr>
              <w:br/>
              <w:t>17 CFR 401 (Mandatory)</w:t>
            </w:r>
          </w:p>
        </w:tc>
        <w:tc>
          <w:tcPr>
            <w:tcW w:w="1604" w:type="dxa"/>
            <w:tcBorders>
              <w:top w:val="nil"/>
              <w:left w:val="nil"/>
              <w:bottom w:val="single" w:sz="8" w:space="0" w:color="auto"/>
              <w:right w:val="single" w:sz="8" w:space="0" w:color="auto"/>
            </w:tcBorders>
            <w:shd w:val="clear" w:color="auto" w:fill="auto"/>
            <w:vAlign w:val="center"/>
            <w:hideMark/>
          </w:tcPr>
          <w:p w:rsidR="005F6EF2" w:rsidRPr="005F6EF2" w:rsidP="005F6EF2" w14:paraId="49854B35" w14:textId="77777777">
            <w:pPr>
              <w:widowControl/>
              <w:jc w:val="center"/>
              <w:rPr>
                <w:rFonts w:ascii="Times New Roman" w:hAnsi="Times New Roman"/>
                <w:snapToGrid/>
                <w:color w:val="000000"/>
                <w:sz w:val="20"/>
              </w:rPr>
            </w:pPr>
            <w:r w:rsidRPr="005F6EF2">
              <w:rPr>
                <w:rFonts w:ascii="Times New Roman" w:hAnsi="Times New Roman"/>
                <w:snapToGrid/>
                <w:color w:val="000000"/>
                <w:sz w:val="20"/>
              </w:rPr>
              <w:t>Reporting</w:t>
            </w:r>
            <w:r w:rsidRPr="005F6EF2">
              <w:rPr>
                <w:rFonts w:ascii="Times New Roman" w:hAnsi="Times New Roman"/>
                <w:snapToGrid/>
                <w:color w:val="000000"/>
                <w:sz w:val="20"/>
              </w:rPr>
              <w:br/>
              <w:t>(On Occasion)</w:t>
            </w:r>
          </w:p>
        </w:tc>
        <w:tc>
          <w:tcPr>
            <w:tcW w:w="1685" w:type="dxa"/>
            <w:tcBorders>
              <w:top w:val="nil"/>
              <w:left w:val="nil"/>
              <w:bottom w:val="single" w:sz="8" w:space="0" w:color="auto"/>
              <w:right w:val="single" w:sz="8" w:space="0" w:color="auto"/>
            </w:tcBorders>
            <w:shd w:val="clear" w:color="auto" w:fill="auto"/>
            <w:noWrap/>
            <w:vAlign w:val="center"/>
            <w:hideMark/>
          </w:tcPr>
          <w:p w:rsidR="005F6EF2" w:rsidRPr="005F6EF2" w:rsidP="005F6EF2" w14:paraId="19A317CF"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2</w:t>
            </w:r>
          </w:p>
        </w:tc>
        <w:tc>
          <w:tcPr>
            <w:tcW w:w="1682" w:type="dxa"/>
            <w:tcBorders>
              <w:top w:val="nil"/>
              <w:left w:val="nil"/>
              <w:bottom w:val="single" w:sz="8" w:space="0" w:color="auto"/>
              <w:right w:val="single" w:sz="8" w:space="0" w:color="auto"/>
            </w:tcBorders>
            <w:shd w:val="clear" w:color="auto" w:fill="auto"/>
            <w:noWrap/>
            <w:vAlign w:val="center"/>
            <w:hideMark/>
          </w:tcPr>
          <w:p w:rsidR="005F6EF2" w:rsidRPr="005F6EF2" w:rsidP="005F6EF2" w14:paraId="20D514BA"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2</w:t>
            </w:r>
          </w:p>
        </w:tc>
        <w:tc>
          <w:tcPr>
            <w:tcW w:w="1098" w:type="dxa"/>
            <w:tcBorders>
              <w:top w:val="nil"/>
              <w:left w:val="nil"/>
              <w:bottom w:val="single" w:sz="8" w:space="0" w:color="auto"/>
              <w:right w:val="nil"/>
            </w:tcBorders>
            <w:shd w:val="clear" w:color="auto" w:fill="auto"/>
            <w:vAlign w:val="center"/>
            <w:hideMark/>
          </w:tcPr>
          <w:p w:rsidR="005F6EF2" w:rsidRPr="005F6EF2" w:rsidP="005F6EF2" w14:paraId="2988E3B6"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00:15</w:t>
            </w:r>
          </w:p>
        </w:tc>
        <w:tc>
          <w:tcPr>
            <w:tcW w:w="1378" w:type="dxa"/>
            <w:gridSpan w:val="2"/>
            <w:tcBorders>
              <w:top w:val="nil"/>
              <w:left w:val="single" w:sz="8" w:space="0" w:color="auto"/>
              <w:bottom w:val="single" w:sz="8" w:space="0" w:color="auto"/>
              <w:right w:val="single" w:sz="8" w:space="0" w:color="auto"/>
            </w:tcBorders>
            <w:shd w:val="clear" w:color="auto" w:fill="auto"/>
            <w:noWrap/>
            <w:vAlign w:val="center"/>
            <w:hideMark/>
          </w:tcPr>
          <w:p w:rsidR="005F6EF2" w:rsidRPr="005F6EF2" w:rsidP="005F6EF2" w14:paraId="0394832E" w14:textId="77777777">
            <w:pPr>
              <w:widowControl/>
              <w:jc w:val="right"/>
              <w:rPr>
                <w:rFonts w:ascii="Times New Roman" w:hAnsi="Times New Roman"/>
                <w:snapToGrid/>
                <w:color w:val="000000"/>
                <w:sz w:val="20"/>
              </w:rPr>
            </w:pPr>
            <w:r w:rsidRPr="005F6EF2">
              <w:rPr>
                <w:rFonts w:ascii="Times New Roman" w:hAnsi="Times New Roman"/>
                <w:snapToGrid/>
                <w:color w:val="000000"/>
                <w:sz w:val="20"/>
              </w:rPr>
              <w:t>1</w:t>
            </w:r>
          </w:p>
        </w:tc>
      </w:tr>
      <w:tr w14:paraId="50A4E62C" w14:textId="77777777" w:rsidTr="009D73A3">
        <w:tblPrEx>
          <w:tblW w:w="9700" w:type="dxa"/>
          <w:tblCellMar>
            <w:top w:w="15" w:type="dxa"/>
          </w:tblCellMar>
          <w:tblLook w:val="04A0"/>
        </w:tblPrEx>
        <w:trPr>
          <w:trHeight w:val="300"/>
        </w:trPr>
        <w:tc>
          <w:tcPr>
            <w:tcW w:w="8328" w:type="dxa"/>
            <w:gridSpan w:val="7"/>
            <w:tcBorders>
              <w:top w:val="single" w:sz="8" w:space="0" w:color="auto"/>
              <w:left w:val="single" w:sz="8" w:space="0" w:color="auto"/>
              <w:bottom w:val="single" w:sz="8" w:space="0" w:color="auto"/>
              <w:right w:val="nil"/>
            </w:tcBorders>
            <w:shd w:val="clear" w:color="000000" w:fill="FFFFFF"/>
            <w:noWrap/>
            <w:vAlign w:val="center"/>
            <w:hideMark/>
          </w:tcPr>
          <w:p w:rsidR="005F6EF2" w:rsidRPr="005F6EF2" w:rsidP="005F6EF2" w14:paraId="0A1FC11B" w14:textId="77777777">
            <w:pPr>
              <w:widowControl/>
              <w:jc w:val="right"/>
              <w:rPr>
                <w:rFonts w:ascii="Times New Roman" w:hAnsi="Times New Roman"/>
                <w:b/>
                <w:bCs/>
                <w:i/>
                <w:iCs/>
                <w:snapToGrid/>
                <w:color w:val="000000"/>
                <w:sz w:val="20"/>
              </w:rPr>
            </w:pPr>
            <w:r w:rsidRPr="005F6EF2">
              <w:rPr>
                <w:rFonts w:ascii="Times New Roman" w:hAnsi="Times New Roman"/>
                <w:b/>
                <w:bCs/>
                <w:i/>
                <w:iCs/>
                <w:snapToGrid/>
                <w:color w:val="000000"/>
                <w:sz w:val="20"/>
              </w:rPr>
              <w:t>Total Annual Burden (Hours):</w:t>
            </w:r>
          </w:p>
        </w:tc>
        <w:tc>
          <w:tcPr>
            <w:tcW w:w="1372" w:type="dxa"/>
            <w:tcBorders>
              <w:top w:val="nil"/>
              <w:left w:val="nil"/>
              <w:bottom w:val="single" w:sz="8" w:space="0" w:color="auto"/>
              <w:right w:val="single" w:sz="8" w:space="0" w:color="auto"/>
            </w:tcBorders>
            <w:shd w:val="clear" w:color="auto" w:fill="auto"/>
            <w:noWrap/>
            <w:vAlign w:val="bottom"/>
            <w:hideMark/>
          </w:tcPr>
          <w:p w:rsidR="005F6EF2" w:rsidRPr="005F6EF2" w:rsidP="005F6EF2" w14:paraId="7F3FE0ED" w14:textId="77777777">
            <w:pPr>
              <w:widowControl/>
              <w:jc w:val="right"/>
              <w:rPr>
                <w:rFonts w:ascii="Times New Roman" w:hAnsi="Times New Roman"/>
                <w:b/>
                <w:bCs/>
                <w:i/>
                <w:iCs/>
                <w:snapToGrid/>
                <w:color w:val="000000"/>
                <w:sz w:val="20"/>
              </w:rPr>
            </w:pPr>
            <w:r w:rsidRPr="005F6EF2">
              <w:rPr>
                <w:rFonts w:ascii="Times New Roman" w:hAnsi="Times New Roman"/>
                <w:b/>
                <w:bCs/>
                <w:i/>
                <w:iCs/>
                <w:snapToGrid/>
                <w:color w:val="000000"/>
                <w:sz w:val="20"/>
              </w:rPr>
              <w:t>11</w:t>
            </w:r>
          </w:p>
        </w:tc>
      </w:tr>
      <w:tr w14:paraId="7F2BFD98" w14:textId="77777777" w:rsidTr="009D73A3">
        <w:tblPrEx>
          <w:tblW w:w="9700" w:type="dxa"/>
          <w:tblCellMar>
            <w:top w:w="15" w:type="dxa"/>
          </w:tblCellMar>
          <w:tblLook w:val="04A0"/>
        </w:tblPrEx>
        <w:trPr>
          <w:trHeight w:val="252"/>
        </w:trPr>
        <w:tc>
          <w:tcPr>
            <w:tcW w:w="9700" w:type="dxa"/>
            <w:gridSpan w:val="8"/>
            <w:tcBorders>
              <w:top w:val="single" w:sz="8" w:space="0" w:color="auto"/>
              <w:left w:val="single" w:sz="8" w:space="0" w:color="auto"/>
              <w:bottom w:val="single" w:sz="4" w:space="0" w:color="auto"/>
              <w:right w:val="single" w:sz="8" w:space="0" w:color="000000"/>
            </w:tcBorders>
            <w:shd w:val="clear" w:color="auto" w:fill="auto"/>
            <w:noWrap/>
            <w:hideMark/>
          </w:tcPr>
          <w:p w:rsidR="005F6EF2" w:rsidRPr="005F6EF2" w:rsidP="005F6EF2" w14:paraId="611F0C69" w14:textId="77777777">
            <w:pPr>
              <w:widowControl/>
              <w:rPr>
                <w:rFonts w:ascii="Times New Roman" w:hAnsi="Times New Roman"/>
                <w:snapToGrid/>
                <w:color w:val="000000"/>
                <w:sz w:val="18"/>
                <w:szCs w:val="18"/>
              </w:rPr>
            </w:pPr>
            <w:r w:rsidRPr="005F6EF2">
              <w:rPr>
                <w:rFonts w:ascii="Times New Roman" w:hAnsi="Times New Roman"/>
                <w:snapToGrid/>
                <w:color w:val="000000"/>
                <w:sz w:val="18"/>
                <w:szCs w:val="18"/>
              </w:rPr>
              <w:t>Source: FDIC.</w:t>
            </w:r>
          </w:p>
        </w:tc>
      </w:tr>
      <w:tr w14:paraId="6AF87920" w14:textId="77777777" w:rsidTr="009D73A3">
        <w:tblPrEx>
          <w:tblW w:w="9700" w:type="dxa"/>
          <w:tblCellMar>
            <w:top w:w="15" w:type="dxa"/>
          </w:tblCellMar>
          <w:tblLook w:val="04A0"/>
        </w:tblPrEx>
        <w:trPr>
          <w:gridAfter w:val="7"/>
          <w:wAfter w:w="9478" w:type="dxa"/>
          <w:trHeight w:val="348"/>
        </w:trPr>
        <w:tc>
          <w:tcPr>
            <w:tcW w:w="222" w:type="dxa"/>
            <w:tcBorders>
              <w:top w:val="nil"/>
              <w:left w:val="nil"/>
              <w:bottom w:val="nil"/>
              <w:right w:val="nil"/>
            </w:tcBorders>
            <w:shd w:val="clear" w:color="auto" w:fill="auto"/>
            <w:noWrap/>
            <w:vAlign w:val="bottom"/>
            <w:hideMark/>
          </w:tcPr>
          <w:p w:rsidR="009D73A3" w:rsidRPr="005F6EF2" w:rsidP="005F6EF2" w14:paraId="6FB4178D" w14:textId="77777777">
            <w:pPr>
              <w:widowControl/>
              <w:rPr>
                <w:rFonts w:ascii="Times New Roman" w:hAnsi="Times New Roman"/>
                <w:snapToGrid/>
                <w:sz w:val="22"/>
                <w:szCs w:val="22"/>
              </w:rPr>
            </w:pPr>
          </w:p>
        </w:tc>
      </w:tr>
    </w:tbl>
    <w:p w:rsidR="009D73A3" w:rsidP="009234BE" w14:paraId="6F435C1E" w14:textId="48A21442">
      <w:pPr>
        <w:tabs>
          <w:tab w:val="left" w:pos="-1440"/>
        </w:tabs>
        <w:spacing w:line="360" w:lineRule="auto"/>
        <w:ind w:left="1440"/>
        <w:contextualSpacing/>
        <w:rPr>
          <w:rFonts w:ascii="Times New Roman" w:hAnsi="Times New Roman"/>
        </w:rPr>
      </w:pPr>
    </w:p>
    <w:p w:rsidR="009D73A3" w14:paraId="0CF009E9" w14:textId="77777777">
      <w:pPr>
        <w:widowControl/>
        <w:rPr>
          <w:rFonts w:ascii="Times New Roman" w:hAnsi="Times New Roman"/>
        </w:rPr>
      </w:pPr>
      <w:r>
        <w:rPr>
          <w:rFonts w:ascii="Times New Roman" w:hAnsi="Times New Roman"/>
        </w:rPr>
        <w:br w:type="page"/>
      </w:r>
    </w:p>
    <w:tbl>
      <w:tblPr>
        <w:tblW w:w="10340" w:type="dxa"/>
        <w:tblLayout w:type="fixed"/>
        <w:tblCellMar>
          <w:top w:w="15" w:type="dxa"/>
        </w:tblCellMar>
        <w:tblLook w:val="04A0"/>
      </w:tblPr>
      <w:tblGrid>
        <w:gridCol w:w="246"/>
        <w:gridCol w:w="1276"/>
        <w:gridCol w:w="898"/>
        <w:gridCol w:w="1080"/>
        <w:gridCol w:w="1080"/>
        <w:gridCol w:w="990"/>
        <w:gridCol w:w="1080"/>
        <w:gridCol w:w="1080"/>
        <w:gridCol w:w="990"/>
        <w:gridCol w:w="1350"/>
        <w:gridCol w:w="43"/>
        <w:gridCol w:w="227"/>
      </w:tblGrid>
      <w:tr w14:paraId="293B2E55" w14:textId="77777777" w:rsidTr="009D73A3">
        <w:tblPrEx>
          <w:tblW w:w="10340" w:type="dxa"/>
          <w:tblLayout w:type="fixed"/>
          <w:tblCellMar>
            <w:top w:w="15" w:type="dxa"/>
          </w:tblCellMar>
          <w:tblLook w:val="04A0"/>
        </w:tblPrEx>
        <w:trPr>
          <w:gridAfter w:val="1"/>
          <w:wAfter w:w="227" w:type="dxa"/>
          <w:trHeight w:val="364"/>
        </w:trPr>
        <w:tc>
          <w:tcPr>
            <w:tcW w:w="10113" w:type="dxa"/>
            <w:gridSpan w:val="11"/>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D73A3" w:rsidRPr="009D73A3" w:rsidP="009D73A3" w14:paraId="29F4A3C3" w14:textId="61491ABA">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Summary of Hourly Burden Cost Estimate (OMB No. 3064-0093)</w:t>
            </w:r>
          </w:p>
        </w:tc>
      </w:tr>
      <w:tr w14:paraId="1BD18E3E" w14:textId="77777777" w:rsidTr="009D73A3">
        <w:tblPrEx>
          <w:tblW w:w="10340" w:type="dxa"/>
          <w:tblLayout w:type="fixed"/>
          <w:tblCellMar>
            <w:top w:w="15" w:type="dxa"/>
          </w:tblCellMar>
          <w:tblLook w:val="04A0"/>
        </w:tblPrEx>
        <w:trPr>
          <w:gridAfter w:val="2"/>
          <w:wAfter w:w="270" w:type="dxa"/>
          <w:trHeight w:val="607"/>
        </w:trPr>
        <w:tc>
          <w:tcPr>
            <w:tcW w:w="1522"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rsidR="009D73A3" w:rsidRPr="009D73A3" w:rsidP="009D73A3" w14:paraId="5E6D3916" w14:textId="77777777">
            <w:pPr>
              <w:widowControl/>
              <w:rPr>
                <w:rFonts w:ascii="Times New Roman" w:hAnsi="Times New Roman"/>
                <w:snapToGrid/>
                <w:color w:val="000000"/>
                <w:sz w:val="22"/>
                <w:szCs w:val="22"/>
              </w:rPr>
            </w:pPr>
            <w:r w:rsidRPr="009D73A3">
              <w:rPr>
                <w:rFonts w:ascii="Times New Roman" w:hAnsi="Times New Roman"/>
                <w:snapToGrid/>
                <w:color w:val="000000"/>
                <w:sz w:val="22"/>
                <w:szCs w:val="22"/>
              </w:rPr>
              <w:t xml:space="preserve">Information Collection (IC) (Obligation to Respond) </w:t>
            </w:r>
          </w:p>
        </w:tc>
        <w:tc>
          <w:tcPr>
            <w:tcW w:w="898" w:type="dxa"/>
            <w:vMerge w:val="restart"/>
            <w:tcBorders>
              <w:top w:val="nil"/>
              <w:left w:val="single" w:sz="8" w:space="0" w:color="auto"/>
              <w:bottom w:val="single" w:sz="8" w:space="0" w:color="auto"/>
              <w:right w:val="single" w:sz="8" w:space="0" w:color="auto"/>
            </w:tcBorders>
            <w:shd w:val="clear" w:color="auto" w:fill="auto"/>
            <w:vAlign w:val="center"/>
            <w:hideMark/>
          </w:tcPr>
          <w:p w:rsidR="009D73A3" w:rsidRPr="009D73A3" w:rsidP="009D73A3" w14:paraId="1F33E267"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 xml:space="preserve">Hourly Weight </w:t>
            </w:r>
            <w:r w:rsidRPr="009D73A3">
              <w:rPr>
                <w:rFonts w:ascii="Times New Roman" w:hAnsi="Times New Roman"/>
                <w:snapToGrid/>
                <w:color w:val="000000"/>
                <w:sz w:val="22"/>
                <w:szCs w:val="22"/>
              </w:rPr>
              <w:br/>
              <w:t>(%)</w:t>
            </w:r>
          </w:p>
        </w:tc>
        <w:tc>
          <w:tcPr>
            <w:tcW w:w="6300"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D73A3" w:rsidRPr="009D73A3" w:rsidP="009D73A3" w14:paraId="248141FE"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 xml:space="preserve">Percentage Shares of Hours Spent by and </w:t>
            </w:r>
            <w:r w:rsidRPr="009D73A3">
              <w:rPr>
                <w:rFonts w:ascii="Times New Roman" w:hAnsi="Times New Roman"/>
                <w:snapToGrid/>
                <w:color w:val="000000"/>
                <w:sz w:val="22"/>
                <w:szCs w:val="22"/>
              </w:rPr>
              <w:br/>
              <w:t xml:space="preserve">Hourly Compensation Rates for each Occupation Group </w:t>
            </w:r>
            <w:r w:rsidRPr="009D73A3">
              <w:rPr>
                <w:rFonts w:ascii="Times New Roman" w:hAnsi="Times New Roman"/>
                <w:snapToGrid/>
                <w:color w:val="000000"/>
                <w:sz w:val="22"/>
                <w:szCs w:val="22"/>
              </w:rPr>
              <w:br/>
              <w:t>(by Collection)</w:t>
            </w:r>
          </w:p>
        </w:tc>
        <w:tc>
          <w:tcPr>
            <w:tcW w:w="1350" w:type="dxa"/>
            <w:vMerge w:val="restart"/>
            <w:tcBorders>
              <w:top w:val="nil"/>
              <w:left w:val="single" w:sz="8" w:space="0" w:color="auto"/>
              <w:bottom w:val="single" w:sz="8" w:space="0" w:color="auto"/>
              <w:right w:val="single" w:sz="8" w:space="0" w:color="auto"/>
            </w:tcBorders>
            <w:shd w:val="clear" w:color="auto" w:fill="auto"/>
            <w:vAlign w:val="center"/>
            <w:hideMark/>
          </w:tcPr>
          <w:p w:rsidR="009D73A3" w:rsidRPr="009D73A3" w:rsidP="009D73A3" w14:paraId="0DCD6613"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Estimated Hourly Compensation Rate</w:t>
            </w:r>
          </w:p>
        </w:tc>
      </w:tr>
      <w:tr w14:paraId="4DFD52B2" w14:textId="77777777" w:rsidTr="009D73A3">
        <w:tblPrEx>
          <w:tblW w:w="10340" w:type="dxa"/>
          <w:tblLayout w:type="fixed"/>
          <w:tblCellMar>
            <w:top w:w="15" w:type="dxa"/>
          </w:tblCellMar>
          <w:tblLook w:val="04A0"/>
        </w:tblPrEx>
        <w:trPr>
          <w:trHeight w:val="875"/>
        </w:trPr>
        <w:tc>
          <w:tcPr>
            <w:tcW w:w="1522" w:type="dxa"/>
            <w:gridSpan w:val="2"/>
            <w:vMerge/>
            <w:tcBorders>
              <w:top w:val="nil"/>
              <w:left w:val="single" w:sz="8" w:space="0" w:color="auto"/>
              <w:bottom w:val="single" w:sz="8" w:space="0" w:color="auto"/>
              <w:right w:val="single" w:sz="8" w:space="0" w:color="auto"/>
            </w:tcBorders>
            <w:vAlign w:val="center"/>
            <w:hideMark/>
          </w:tcPr>
          <w:p w:rsidR="009D73A3" w:rsidRPr="009D73A3" w:rsidP="009D73A3" w14:paraId="514AA1DC" w14:textId="77777777">
            <w:pPr>
              <w:widowControl/>
              <w:rPr>
                <w:rFonts w:ascii="Times New Roman" w:hAnsi="Times New Roman"/>
                <w:snapToGrid/>
                <w:color w:val="000000"/>
                <w:sz w:val="22"/>
                <w:szCs w:val="22"/>
              </w:rPr>
            </w:pPr>
          </w:p>
        </w:tc>
        <w:tc>
          <w:tcPr>
            <w:tcW w:w="898" w:type="dxa"/>
            <w:vMerge/>
            <w:tcBorders>
              <w:top w:val="nil"/>
              <w:left w:val="single" w:sz="8" w:space="0" w:color="auto"/>
              <w:bottom w:val="single" w:sz="8" w:space="0" w:color="auto"/>
              <w:right w:val="single" w:sz="8" w:space="0" w:color="auto"/>
            </w:tcBorders>
            <w:vAlign w:val="center"/>
            <w:hideMark/>
          </w:tcPr>
          <w:p w:rsidR="009D73A3" w:rsidRPr="009D73A3" w:rsidP="009D73A3" w14:paraId="37305DBF" w14:textId="77777777">
            <w:pPr>
              <w:widowControl/>
              <w:rPr>
                <w:rFonts w:ascii="Times New Roman" w:hAnsi="Times New Roman"/>
                <w:snapToGrid/>
                <w:color w:val="000000"/>
                <w:sz w:val="22"/>
                <w:szCs w:val="22"/>
              </w:rPr>
            </w:pPr>
          </w:p>
        </w:tc>
        <w:tc>
          <w:tcPr>
            <w:tcW w:w="6300" w:type="dxa"/>
            <w:gridSpan w:val="6"/>
            <w:vMerge/>
            <w:tcBorders>
              <w:top w:val="single" w:sz="8" w:space="0" w:color="auto"/>
              <w:left w:val="single" w:sz="8" w:space="0" w:color="auto"/>
              <w:bottom w:val="single" w:sz="8" w:space="0" w:color="auto"/>
              <w:right w:val="single" w:sz="8" w:space="0" w:color="auto"/>
            </w:tcBorders>
            <w:vAlign w:val="center"/>
            <w:hideMark/>
          </w:tcPr>
          <w:p w:rsidR="009D73A3" w:rsidRPr="009D73A3" w:rsidP="009D73A3" w14:paraId="558946A5" w14:textId="77777777">
            <w:pPr>
              <w:widowControl/>
              <w:rPr>
                <w:rFonts w:ascii="Times New Roman" w:hAnsi="Times New Roman"/>
                <w:snapToGrid/>
                <w:color w:val="000000"/>
                <w:sz w:val="22"/>
                <w:szCs w:val="22"/>
              </w:rPr>
            </w:pPr>
          </w:p>
        </w:tc>
        <w:tc>
          <w:tcPr>
            <w:tcW w:w="1350" w:type="dxa"/>
            <w:vMerge/>
            <w:tcBorders>
              <w:top w:val="nil"/>
              <w:left w:val="single" w:sz="8" w:space="0" w:color="auto"/>
              <w:bottom w:val="single" w:sz="8" w:space="0" w:color="auto"/>
              <w:right w:val="single" w:sz="8" w:space="0" w:color="auto"/>
            </w:tcBorders>
            <w:vAlign w:val="center"/>
            <w:hideMark/>
          </w:tcPr>
          <w:p w:rsidR="009D73A3" w:rsidRPr="009D73A3" w:rsidP="009D73A3" w14:paraId="0E68151E" w14:textId="77777777">
            <w:pPr>
              <w:widowControl/>
              <w:rPr>
                <w:rFonts w:ascii="Times New Roman" w:hAnsi="Times New Roman"/>
                <w:snapToGrid/>
                <w:color w:val="000000"/>
                <w:sz w:val="22"/>
                <w:szCs w:val="22"/>
              </w:rPr>
            </w:pPr>
          </w:p>
        </w:tc>
        <w:tc>
          <w:tcPr>
            <w:tcW w:w="270" w:type="dxa"/>
            <w:gridSpan w:val="2"/>
            <w:tcBorders>
              <w:top w:val="nil"/>
              <w:left w:val="nil"/>
              <w:bottom w:val="nil"/>
              <w:right w:val="nil"/>
            </w:tcBorders>
            <w:shd w:val="clear" w:color="auto" w:fill="auto"/>
            <w:noWrap/>
            <w:vAlign w:val="bottom"/>
            <w:hideMark/>
          </w:tcPr>
          <w:p w:rsidR="009D73A3" w:rsidRPr="009D73A3" w:rsidP="009D73A3" w14:paraId="49FEC5F6" w14:textId="77777777">
            <w:pPr>
              <w:widowControl/>
              <w:jc w:val="center"/>
              <w:rPr>
                <w:rFonts w:ascii="Times New Roman" w:hAnsi="Times New Roman"/>
                <w:snapToGrid/>
                <w:color w:val="000000"/>
                <w:sz w:val="22"/>
                <w:szCs w:val="22"/>
              </w:rPr>
            </w:pPr>
          </w:p>
        </w:tc>
      </w:tr>
      <w:tr w14:paraId="69C0E03D" w14:textId="77777777" w:rsidTr="009D73A3">
        <w:tblPrEx>
          <w:tblW w:w="10340" w:type="dxa"/>
          <w:tblLayout w:type="fixed"/>
          <w:tblCellMar>
            <w:top w:w="15" w:type="dxa"/>
          </w:tblCellMar>
          <w:tblLook w:val="04A0"/>
        </w:tblPrEx>
        <w:trPr>
          <w:trHeight w:val="364"/>
        </w:trPr>
        <w:tc>
          <w:tcPr>
            <w:tcW w:w="1522" w:type="dxa"/>
            <w:gridSpan w:val="2"/>
            <w:vMerge/>
            <w:tcBorders>
              <w:top w:val="nil"/>
              <w:left w:val="single" w:sz="8" w:space="0" w:color="auto"/>
              <w:bottom w:val="single" w:sz="8" w:space="0" w:color="auto"/>
              <w:right w:val="single" w:sz="8" w:space="0" w:color="auto"/>
            </w:tcBorders>
            <w:vAlign w:val="center"/>
            <w:hideMark/>
          </w:tcPr>
          <w:p w:rsidR="009D73A3" w:rsidRPr="009D73A3" w:rsidP="009D73A3" w14:paraId="0A5A58D3" w14:textId="77777777">
            <w:pPr>
              <w:widowControl/>
              <w:rPr>
                <w:rFonts w:ascii="Times New Roman" w:hAnsi="Times New Roman"/>
                <w:snapToGrid/>
                <w:color w:val="000000"/>
                <w:sz w:val="22"/>
                <w:szCs w:val="22"/>
              </w:rPr>
            </w:pPr>
          </w:p>
        </w:tc>
        <w:tc>
          <w:tcPr>
            <w:tcW w:w="898" w:type="dxa"/>
            <w:vMerge/>
            <w:tcBorders>
              <w:top w:val="nil"/>
              <w:left w:val="single" w:sz="8" w:space="0" w:color="auto"/>
              <w:bottom w:val="single" w:sz="8" w:space="0" w:color="auto"/>
              <w:right w:val="single" w:sz="8" w:space="0" w:color="auto"/>
            </w:tcBorders>
            <w:vAlign w:val="center"/>
            <w:hideMark/>
          </w:tcPr>
          <w:p w:rsidR="009D73A3" w:rsidRPr="009D73A3" w:rsidP="009D73A3" w14:paraId="470E482E" w14:textId="77777777">
            <w:pPr>
              <w:widowControl/>
              <w:rPr>
                <w:rFonts w:ascii="Times New Roman" w:hAnsi="Times New Roman"/>
                <w:snapToGrid/>
                <w:color w:val="000000"/>
                <w:sz w:val="22"/>
                <w:szCs w:val="22"/>
              </w:rPr>
            </w:pPr>
          </w:p>
        </w:tc>
        <w:tc>
          <w:tcPr>
            <w:tcW w:w="1080" w:type="dxa"/>
            <w:vMerge w:val="restart"/>
            <w:tcBorders>
              <w:top w:val="nil"/>
              <w:left w:val="single" w:sz="8" w:space="0" w:color="auto"/>
              <w:bottom w:val="single" w:sz="8" w:space="0" w:color="auto"/>
              <w:right w:val="single" w:sz="8" w:space="0" w:color="auto"/>
            </w:tcBorders>
            <w:shd w:val="clear" w:color="auto" w:fill="auto"/>
            <w:vAlign w:val="center"/>
            <w:hideMark/>
          </w:tcPr>
          <w:p w:rsidR="009D73A3" w:rsidRPr="009D73A3" w:rsidP="009D73A3" w14:paraId="09F3E907"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Exec. &amp; Mgr.      ($146.13)</w:t>
            </w:r>
          </w:p>
        </w:tc>
        <w:tc>
          <w:tcPr>
            <w:tcW w:w="1080" w:type="dxa"/>
            <w:vMerge w:val="restart"/>
            <w:tcBorders>
              <w:top w:val="nil"/>
              <w:left w:val="single" w:sz="8" w:space="0" w:color="auto"/>
              <w:bottom w:val="single" w:sz="8" w:space="0" w:color="auto"/>
              <w:right w:val="single" w:sz="8" w:space="0" w:color="auto"/>
            </w:tcBorders>
            <w:shd w:val="clear" w:color="auto" w:fill="auto"/>
            <w:vAlign w:val="center"/>
            <w:hideMark/>
          </w:tcPr>
          <w:p w:rsidR="009D73A3" w:rsidRPr="009D73A3" w:rsidP="009D73A3" w14:paraId="6D3F5CA0" w14:textId="76AE6CA1">
            <w:pPr>
              <w:widowControl/>
              <w:jc w:val="center"/>
              <w:rPr>
                <w:rFonts w:ascii="Times New Roman" w:hAnsi="Times New Roman"/>
                <w:snapToGrid/>
                <w:color w:val="000000"/>
                <w:sz w:val="22"/>
                <w:szCs w:val="22"/>
              </w:rPr>
            </w:pPr>
            <w:r w:rsidRPr="0093292A">
              <w:rPr>
                <w:rFonts w:ascii="Times New Roman" w:hAnsi="Times New Roman"/>
                <w:snapToGrid/>
                <w:color w:val="000000"/>
                <w:sz w:val="22"/>
                <w:szCs w:val="22"/>
              </w:rPr>
              <w:t>Lawyer (</w:t>
            </w:r>
            <w:r w:rsidRPr="009D73A3">
              <w:rPr>
                <w:rFonts w:ascii="Times New Roman" w:hAnsi="Times New Roman"/>
                <w:snapToGrid/>
                <w:color w:val="000000"/>
                <w:sz w:val="22"/>
                <w:szCs w:val="22"/>
              </w:rPr>
              <w:t>$182.07)</w:t>
            </w:r>
          </w:p>
        </w:tc>
        <w:tc>
          <w:tcPr>
            <w:tcW w:w="990" w:type="dxa"/>
            <w:vMerge w:val="restart"/>
            <w:tcBorders>
              <w:top w:val="nil"/>
              <w:left w:val="single" w:sz="8" w:space="0" w:color="auto"/>
              <w:bottom w:val="single" w:sz="8" w:space="0" w:color="auto"/>
              <w:right w:val="single" w:sz="8" w:space="0" w:color="auto"/>
            </w:tcBorders>
            <w:shd w:val="clear" w:color="auto" w:fill="auto"/>
            <w:vAlign w:val="center"/>
            <w:hideMark/>
          </w:tcPr>
          <w:p w:rsidR="009D73A3" w:rsidRPr="009D73A3" w:rsidP="009D73A3" w14:paraId="32D150F9"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Compl</w:t>
            </w:r>
            <w:r w:rsidRPr="009D73A3">
              <w:rPr>
                <w:rFonts w:ascii="Times New Roman" w:hAnsi="Times New Roman"/>
                <w:snapToGrid/>
                <w:color w:val="000000"/>
                <w:sz w:val="22"/>
                <w:szCs w:val="22"/>
              </w:rPr>
              <w:t>. Ofc.   ($77.07)</w:t>
            </w:r>
          </w:p>
        </w:tc>
        <w:tc>
          <w:tcPr>
            <w:tcW w:w="1080" w:type="dxa"/>
            <w:vMerge w:val="restart"/>
            <w:tcBorders>
              <w:top w:val="nil"/>
              <w:left w:val="single" w:sz="8" w:space="0" w:color="auto"/>
              <w:bottom w:val="single" w:sz="8" w:space="0" w:color="auto"/>
              <w:right w:val="single" w:sz="8" w:space="0" w:color="auto"/>
            </w:tcBorders>
            <w:shd w:val="clear" w:color="auto" w:fill="auto"/>
            <w:vAlign w:val="center"/>
            <w:hideMark/>
          </w:tcPr>
          <w:p w:rsidR="009D73A3" w:rsidRPr="009D73A3" w:rsidP="009D73A3" w14:paraId="231C3B33" w14:textId="2EFDFFBF">
            <w:pPr>
              <w:widowControl/>
              <w:jc w:val="center"/>
              <w:rPr>
                <w:rFonts w:ascii="Times New Roman" w:hAnsi="Times New Roman"/>
                <w:snapToGrid/>
                <w:color w:val="000000"/>
                <w:sz w:val="22"/>
                <w:szCs w:val="22"/>
              </w:rPr>
            </w:pPr>
            <w:r w:rsidRPr="0093292A">
              <w:rPr>
                <w:rFonts w:ascii="Times New Roman" w:hAnsi="Times New Roman"/>
                <w:snapToGrid/>
                <w:color w:val="000000"/>
                <w:sz w:val="22"/>
                <w:szCs w:val="22"/>
              </w:rPr>
              <w:t>IT (</w:t>
            </w:r>
            <w:r w:rsidRPr="009D73A3">
              <w:rPr>
                <w:rFonts w:ascii="Times New Roman" w:hAnsi="Times New Roman"/>
                <w:snapToGrid/>
                <w:color w:val="000000"/>
                <w:sz w:val="22"/>
                <w:szCs w:val="22"/>
              </w:rPr>
              <w:t>$110.91)</w:t>
            </w:r>
          </w:p>
        </w:tc>
        <w:tc>
          <w:tcPr>
            <w:tcW w:w="1080" w:type="dxa"/>
            <w:vMerge w:val="restart"/>
            <w:tcBorders>
              <w:top w:val="nil"/>
              <w:left w:val="single" w:sz="8" w:space="0" w:color="auto"/>
              <w:bottom w:val="single" w:sz="8" w:space="0" w:color="auto"/>
              <w:right w:val="single" w:sz="8" w:space="0" w:color="auto"/>
            </w:tcBorders>
            <w:shd w:val="clear" w:color="auto" w:fill="auto"/>
            <w:vAlign w:val="center"/>
            <w:hideMark/>
          </w:tcPr>
          <w:p w:rsidR="009D73A3" w:rsidRPr="009D73A3" w:rsidP="009D73A3" w14:paraId="0D17C5BC"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 xml:space="preserve">Fin. </w:t>
            </w:r>
            <w:r w:rsidRPr="009D73A3">
              <w:rPr>
                <w:rFonts w:ascii="Times New Roman" w:hAnsi="Times New Roman"/>
                <w:snapToGrid/>
                <w:color w:val="000000"/>
                <w:sz w:val="22"/>
                <w:szCs w:val="22"/>
              </w:rPr>
              <w:t>Anlst</w:t>
            </w:r>
            <w:r w:rsidRPr="009D73A3">
              <w:rPr>
                <w:rFonts w:ascii="Times New Roman" w:hAnsi="Times New Roman"/>
                <w:snapToGrid/>
                <w:color w:val="000000"/>
                <w:sz w:val="22"/>
                <w:szCs w:val="22"/>
              </w:rPr>
              <w:t>.    ($100.28)</w:t>
            </w:r>
          </w:p>
        </w:tc>
        <w:tc>
          <w:tcPr>
            <w:tcW w:w="990" w:type="dxa"/>
            <w:vMerge w:val="restart"/>
            <w:tcBorders>
              <w:top w:val="nil"/>
              <w:left w:val="single" w:sz="8" w:space="0" w:color="auto"/>
              <w:bottom w:val="single" w:sz="8" w:space="0" w:color="auto"/>
              <w:right w:val="single" w:sz="8" w:space="0" w:color="auto"/>
            </w:tcBorders>
            <w:shd w:val="clear" w:color="auto" w:fill="auto"/>
            <w:vAlign w:val="center"/>
            <w:hideMark/>
          </w:tcPr>
          <w:p w:rsidR="009D73A3" w:rsidRPr="009D73A3" w:rsidP="009D73A3" w14:paraId="6409653B" w14:textId="3303FA34">
            <w:pPr>
              <w:widowControl/>
              <w:jc w:val="center"/>
              <w:rPr>
                <w:rFonts w:ascii="Times New Roman" w:hAnsi="Times New Roman"/>
                <w:snapToGrid/>
                <w:color w:val="000000"/>
                <w:sz w:val="22"/>
                <w:szCs w:val="22"/>
              </w:rPr>
            </w:pPr>
            <w:r w:rsidRPr="0093292A">
              <w:rPr>
                <w:rFonts w:ascii="Times New Roman" w:hAnsi="Times New Roman"/>
                <w:snapToGrid/>
                <w:color w:val="000000"/>
                <w:sz w:val="22"/>
                <w:szCs w:val="22"/>
              </w:rPr>
              <w:t>Clerical (</w:t>
            </w:r>
            <w:r w:rsidRPr="009D73A3">
              <w:rPr>
                <w:rFonts w:ascii="Times New Roman" w:hAnsi="Times New Roman"/>
                <w:snapToGrid/>
                <w:color w:val="000000"/>
                <w:sz w:val="22"/>
                <w:szCs w:val="22"/>
              </w:rPr>
              <w:t>$39.39)</w:t>
            </w:r>
          </w:p>
        </w:tc>
        <w:tc>
          <w:tcPr>
            <w:tcW w:w="1350" w:type="dxa"/>
            <w:vMerge/>
            <w:tcBorders>
              <w:top w:val="nil"/>
              <w:left w:val="single" w:sz="8" w:space="0" w:color="auto"/>
              <w:bottom w:val="single" w:sz="8" w:space="0" w:color="auto"/>
              <w:right w:val="single" w:sz="8" w:space="0" w:color="auto"/>
            </w:tcBorders>
            <w:vAlign w:val="center"/>
            <w:hideMark/>
          </w:tcPr>
          <w:p w:rsidR="009D73A3" w:rsidRPr="009D73A3" w:rsidP="009D73A3" w14:paraId="577D8184" w14:textId="77777777">
            <w:pPr>
              <w:widowControl/>
              <w:rPr>
                <w:rFonts w:ascii="Times New Roman" w:hAnsi="Times New Roman"/>
                <w:snapToGrid/>
                <w:color w:val="000000"/>
                <w:sz w:val="22"/>
                <w:szCs w:val="22"/>
              </w:rPr>
            </w:pPr>
          </w:p>
        </w:tc>
        <w:tc>
          <w:tcPr>
            <w:tcW w:w="270" w:type="dxa"/>
            <w:gridSpan w:val="2"/>
            <w:vAlign w:val="center"/>
            <w:hideMark/>
          </w:tcPr>
          <w:p w:rsidR="009D73A3" w:rsidRPr="009D73A3" w:rsidP="009D73A3" w14:paraId="04DE932D" w14:textId="77777777">
            <w:pPr>
              <w:widowControl/>
              <w:rPr>
                <w:rFonts w:ascii="Times New Roman" w:hAnsi="Times New Roman"/>
                <w:snapToGrid/>
                <w:sz w:val="22"/>
                <w:szCs w:val="22"/>
              </w:rPr>
            </w:pPr>
          </w:p>
        </w:tc>
      </w:tr>
      <w:tr w14:paraId="3F735591" w14:textId="77777777" w:rsidTr="009D73A3">
        <w:tblPrEx>
          <w:tblW w:w="10340" w:type="dxa"/>
          <w:tblLayout w:type="fixed"/>
          <w:tblCellMar>
            <w:top w:w="15" w:type="dxa"/>
          </w:tblCellMar>
          <w:tblLook w:val="04A0"/>
        </w:tblPrEx>
        <w:trPr>
          <w:trHeight w:val="850"/>
        </w:trPr>
        <w:tc>
          <w:tcPr>
            <w:tcW w:w="1522" w:type="dxa"/>
            <w:gridSpan w:val="2"/>
            <w:vMerge/>
            <w:tcBorders>
              <w:top w:val="nil"/>
              <w:left w:val="single" w:sz="8" w:space="0" w:color="auto"/>
              <w:bottom w:val="single" w:sz="8" w:space="0" w:color="auto"/>
              <w:right w:val="single" w:sz="8" w:space="0" w:color="auto"/>
            </w:tcBorders>
            <w:vAlign w:val="center"/>
            <w:hideMark/>
          </w:tcPr>
          <w:p w:rsidR="009D73A3" w:rsidRPr="009D73A3" w:rsidP="009D73A3" w14:paraId="27677B86" w14:textId="77777777">
            <w:pPr>
              <w:widowControl/>
              <w:rPr>
                <w:rFonts w:ascii="Times New Roman" w:hAnsi="Times New Roman"/>
                <w:snapToGrid/>
                <w:color w:val="000000"/>
                <w:sz w:val="22"/>
                <w:szCs w:val="22"/>
              </w:rPr>
            </w:pPr>
          </w:p>
        </w:tc>
        <w:tc>
          <w:tcPr>
            <w:tcW w:w="898" w:type="dxa"/>
            <w:vMerge/>
            <w:tcBorders>
              <w:top w:val="nil"/>
              <w:left w:val="single" w:sz="8" w:space="0" w:color="auto"/>
              <w:bottom w:val="single" w:sz="8" w:space="0" w:color="auto"/>
              <w:right w:val="single" w:sz="8" w:space="0" w:color="auto"/>
            </w:tcBorders>
            <w:vAlign w:val="center"/>
            <w:hideMark/>
          </w:tcPr>
          <w:p w:rsidR="009D73A3" w:rsidRPr="009D73A3" w:rsidP="009D73A3" w14:paraId="47FA84B8" w14:textId="77777777">
            <w:pPr>
              <w:widowControl/>
              <w:rPr>
                <w:rFonts w:ascii="Times New Roman" w:hAnsi="Times New Roman"/>
                <w:snapToGrid/>
                <w:color w:val="000000"/>
                <w:sz w:val="22"/>
                <w:szCs w:val="22"/>
              </w:rPr>
            </w:pPr>
          </w:p>
        </w:tc>
        <w:tc>
          <w:tcPr>
            <w:tcW w:w="1080" w:type="dxa"/>
            <w:vMerge/>
            <w:tcBorders>
              <w:top w:val="nil"/>
              <w:left w:val="single" w:sz="8" w:space="0" w:color="auto"/>
              <w:bottom w:val="single" w:sz="8" w:space="0" w:color="auto"/>
              <w:right w:val="single" w:sz="8" w:space="0" w:color="auto"/>
            </w:tcBorders>
            <w:vAlign w:val="center"/>
            <w:hideMark/>
          </w:tcPr>
          <w:p w:rsidR="009D73A3" w:rsidRPr="009D73A3" w:rsidP="009D73A3" w14:paraId="70C253CB" w14:textId="77777777">
            <w:pPr>
              <w:widowControl/>
              <w:rPr>
                <w:rFonts w:ascii="Times New Roman" w:hAnsi="Times New Roman"/>
                <w:snapToGrid/>
                <w:color w:val="000000"/>
                <w:sz w:val="22"/>
                <w:szCs w:val="22"/>
              </w:rPr>
            </w:pPr>
          </w:p>
        </w:tc>
        <w:tc>
          <w:tcPr>
            <w:tcW w:w="1080" w:type="dxa"/>
            <w:vMerge/>
            <w:tcBorders>
              <w:top w:val="nil"/>
              <w:left w:val="single" w:sz="8" w:space="0" w:color="auto"/>
              <w:bottom w:val="single" w:sz="8" w:space="0" w:color="auto"/>
              <w:right w:val="single" w:sz="8" w:space="0" w:color="auto"/>
            </w:tcBorders>
            <w:vAlign w:val="center"/>
            <w:hideMark/>
          </w:tcPr>
          <w:p w:rsidR="009D73A3" w:rsidRPr="009D73A3" w:rsidP="009D73A3" w14:paraId="6A15817D" w14:textId="77777777">
            <w:pPr>
              <w:widowControl/>
              <w:rPr>
                <w:rFonts w:ascii="Times New Roman" w:hAnsi="Times New Roman"/>
                <w:snapToGrid/>
                <w:color w:val="000000"/>
                <w:sz w:val="22"/>
                <w:szCs w:val="22"/>
              </w:rPr>
            </w:pPr>
          </w:p>
        </w:tc>
        <w:tc>
          <w:tcPr>
            <w:tcW w:w="990" w:type="dxa"/>
            <w:vMerge/>
            <w:tcBorders>
              <w:top w:val="nil"/>
              <w:left w:val="single" w:sz="8" w:space="0" w:color="auto"/>
              <w:bottom w:val="single" w:sz="8" w:space="0" w:color="auto"/>
              <w:right w:val="single" w:sz="8" w:space="0" w:color="auto"/>
            </w:tcBorders>
            <w:vAlign w:val="center"/>
            <w:hideMark/>
          </w:tcPr>
          <w:p w:rsidR="009D73A3" w:rsidRPr="009D73A3" w:rsidP="009D73A3" w14:paraId="5615843B" w14:textId="77777777">
            <w:pPr>
              <w:widowControl/>
              <w:rPr>
                <w:rFonts w:ascii="Times New Roman" w:hAnsi="Times New Roman"/>
                <w:snapToGrid/>
                <w:color w:val="000000"/>
                <w:sz w:val="22"/>
                <w:szCs w:val="22"/>
              </w:rPr>
            </w:pPr>
          </w:p>
        </w:tc>
        <w:tc>
          <w:tcPr>
            <w:tcW w:w="1080" w:type="dxa"/>
            <w:vMerge/>
            <w:tcBorders>
              <w:top w:val="nil"/>
              <w:left w:val="single" w:sz="8" w:space="0" w:color="auto"/>
              <w:bottom w:val="single" w:sz="8" w:space="0" w:color="auto"/>
              <w:right w:val="single" w:sz="8" w:space="0" w:color="auto"/>
            </w:tcBorders>
            <w:vAlign w:val="center"/>
            <w:hideMark/>
          </w:tcPr>
          <w:p w:rsidR="009D73A3" w:rsidRPr="009D73A3" w:rsidP="009D73A3" w14:paraId="127EB3E3" w14:textId="77777777">
            <w:pPr>
              <w:widowControl/>
              <w:rPr>
                <w:rFonts w:ascii="Times New Roman" w:hAnsi="Times New Roman"/>
                <w:snapToGrid/>
                <w:color w:val="000000"/>
                <w:sz w:val="22"/>
                <w:szCs w:val="22"/>
              </w:rPr>
            </w:pPr>
          </w:p>
        </w:tc>
        <w:tc>
          <w:tcPr>
            <w:tcW w:w="1080" w:type="dxa"/>
            <w:vMerge/>
            <w:tcBorders>
              <w:top w:val="nil"/>
              <w:left w:val="single" w:sz="8" w:space="0" w:color="auto"/>
              <w:bottom w:val="single" w:sz="8" w:space="0" w:color="auto"/>
              <w:right w:val="single" w:sz="8" w:space="0" w:color="auto"/>
            </w:tcBorders>
            <w:vAlign w:val="center"/>
            <w:hideMark/>
          </w:tcPr>
          <w:p w:rsidR="009D73A3" w:rsidRPr="009D73A3" w:rsidP="009D73A3" w14:paraId="21C7C6E3" w14:textId="77777777">
            <w:pPr>
              <w:widowControl/>
              <w:rPr>
                <w:rFonts w:ascii="Times New Roman" w:hAnsi="Times New Roman"/>
                <w:snapToGrid/>
                <w:color w:val="000000"/>
                <w:sz w:val="22"/>
                <w:szCs w:val="22"/>
              </w:rPr>
            </w:pPr>
          </w:p>
        </w:tc>
        <w:tc>
          <w:tcPr>
            <w:tcW w:w="990" w:type="dxa"/>
            <w:vMerge/>
            <w:tcBorders>
              <w:top w:val="nil"/>
              <w:left w:val="single" w:sz="8" w:space="0" w:color="auto"/>
              <w:bottom w:val="single" w:sz="8" w:space="0" w:color="auto"/>
              <w:right w:val="single" w:sz="8" w:space="0" w:color="auto"/>
            </w:tcBorders>
            <w:vAlign w:val="center"/>
            <w:hideMark/>
          </w:tcPr>
          <w:p w:rsidR="009D73A3" w:rsidRPr="009D73A3" w:rsidP="009D73A3" w14:paraId="0825A785" w14:textId="77777777">
            <w:pPr>
              <w:widowControl/>
              <w:rPr>
                <w:rFonts w:ascii="Times New Roman" w:hAnsi="Times New Roman"/>
                <w:snapToGrid/>
                <w:color w:val="000000"/>
                <w:sz w:val="22"/>
                <w:szCs w:val="22"/>
              </w:rPr>
            </w:pPr>
          </w:p>
        </w:tc>
        <w:tc>
          <w:tcPr>
            <w:tcW w:w="1350" w:type="dxa"/>
            <w:vMerge/>
            <w:tcBorders>
              <w:top w:val="nil"/>
              <w:left w:val="single" w:sz="8" w:space="0" w:color="auto"/>
              <w:bottom w:val="single" w:sz="8" w:space="0" w:color="auto"/>
              <w:right w:val="single" w:sz="8" w:space="0" w:color="auto"/>
            </w:tcBorders>
            <w:vAlign w:val="center"/>
            <w:hideMark/>
          </w:tcPr>
          <w:p w:rsidR="009D73A3" w:rsidRPr="009D73A3" w:rsidP="009D73A3" w14:paraId="27983D82" w14:textId="77777777">
            <w:pPr>
              <w:widowControl/>
              <w:rPr>
                <w:rFonts w:ascii="Times New Roman" w:hAnsi="Times New Roman"/>
                <w:snapToGrid/>
                <w:color w:val="000000"/>
                <w:sz w:val="22"/>
                <w:szCs w:val="22"/>
              </w:rPr>
            </w:pPr>
          </w:p>
        </w:tc>
        <w:tc>
          <w:tcPr>
            <w:tcW w:w="270" w:type="dxa"/>
            <w:gridSpan w:val="2"/>
            <w:tcBorders>
              <w:top w:val="nil"/>
              <w:left w:val="nil"/>
              <w:bottom w:val="nil"/>
              <w:right w:val="nil"/>
            </w:tcBorders>
            <w:shd w:val="clear" w:color="auto" w:fill="auto"/>
            <w:noWrap/>
            <w:vAlign w:val="bottom"/>
            <w:hideMark/>
          </w:tcPr>
          <w:p w:rsidR="009D73A3" w:rsidRPr="009D73A3" w:rsidP="009D73A3" w14:paraId="167C73CE" w14:textId="77777777">
            <w:pPr>
              <w:widowControl/>
              <w:jc w:val="center"/>
              <w:rPr>
                <w:rFonts w:ascii="Times New Roman" w:hAnsi="Times New Roman"/>
                <w:snapToGrid/>
                <w:color w:val="000000"/>
                <w:sz w:val="22"/>
                <w:szCs w:val="22"/>
              </w:rPr>
            </w:pPr>
          </w:p>
        </w:tc>
      </w:tr>
      <w:tr w14:paraId="5FF20DC9" w14:textId="77777777" w:rsidTr="009D73A3">
        <w:tblPrEx>
          <w:tblW w:w="10340" w:type="dxa"/>
          <w:tblLayout w:type="fixed"/>
          <w:tblCellMar>
            <w:top w:w="15" w:type="dxa"/>
          </w:tblCellMar>
          <w:tblLook w:val="04A0"/>
        </w:tblPrEx>
        <w:trPr>
          <w:trHeight w:val="1588"/>
        </w:trPr>
        <w:tc>
          <w:tcPr>
            <w:tcW w:w="1522" w:type="dxa"/>
            <w:gridSpan w:val="2"/>
            <w:tcBorders>
              <w:top w:val="nil"/>
              <w:left w:val="single" w:sz="8" w:space="0" w:color="auto"/>
              <w:bottom w:val="single" w:sz="8" w:space="0" w:color="auto"/>
              <w:right w:val="single" w:sz="8" w:space="0" w:color="auto"/>
            </w:tcBorders>
            <w:shd w:val="clear" w:color="auto" w:fill="auto"/>
            <w:vAlign w:val="center"/>
            <w:hideMark/>
          </w:tcPr>
          <w:p w:rsidR="009D73A3" w:rsidRPr="009D73A3" w:rsidP="009D73A3" w14:paraId="46A66A33" w14:textId="77777777">
            <w:pPr>
              <w:widowControl/>
              <w:rPr>
                <w:rFonts w:ascii="Times New Roman" w:hAnsi="Times New Roman"/>
                <w:snapToGrid/>
                <w:color w:val="000000"/>
                <w:sz w:val="22"/>
                <w:szCs w:val="22"/>
              </w:rPr>
            </w:pPr>
            <w:r w:rsidRPr="009D73A3">
              <w:rPr>
                <w:rFonts w:ascii="Times New Roman" w:hAnsi="Times New Roman"/>
                <w:snapToGrid/>
                <w:color w:val="000000"/>
                <w:sz w:val="22"/>
                <w:szCs w:val="22"/>
              </w:rPr>
              <w:t>1. Notice by Financial Institutions of Government Securities Broker or Government Securities Dealer Activities (G-FIN),</w:t>
            </w:r>
            <w:r w:rsidRPr="009D73A3">
              <w:rPr>
                <w:rFonts w:ascii="Times New Roman" w:hAnsi="Times New Roman"/>
                <w:snapToGrid/>
                <w:color w:val="000000"/>
                <w:sz w:val="22"/>
                <w:szCs w:val="22"/>
              </w:rPr>
              <w:br/>
              <w:t>17 CFR 401 (Mandatory)</w:t>
            </w:r>
          </w:p>
        </w:tc>
        <w:tc>
          <w:tcPr>
            <w:tcW w:w="898" w:type="dxa"/>
            <w:tcBorders>
              <w:top w:val="nil"/>
              <w:left w:val="nil"/>
              <w:bottom w:val="single" w:sz="8" w:space="0" w:color="auto"/>
              <w:right w:val="single" w:sz="8" w:space="0" w:color="auto"/>
            </w:tcBorders>
            <w:shd w:val="clear" w:color="auto" w:fill="auto"/>
            <w:vAlign w:val="center"/>
            <w:hideMark/>
          </w:tcPr>
          <w:p w:rsidR="009D73A3" w:rsidRPr="009D73A3" w:rsidP="009D73A3" w14:paraId="79450E26"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18.18</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693CD006"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20</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5D0558B5"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990" w:type="dxa"/>
            <w:tcBorders>
              <w:top w:val="nil"/>
              <w:left w:val="nil"/>
              <w:bottom w:val="single" w:sz="8" w:space="0" w:color="auto"/>
              <w:right w:val="single" w:sz="8" w:space="0" w:color="auto"/>
            </w:tcBorders>
            <w:shd w:val="clear" w:color="auto" w:fill="auto"/>
            <w:vAlign w:val="center"/>
            <w:hideMark/>
          </w:tcPr>
          <w:p w:rsidR="009D73A3" w:rsidRPr="009D73A3" w:rsidP="009D73A3" w14:paraId="3129127D"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0FB70D1F"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7C7F0B37"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990" w:type="dxa"/>
            <w:tcBorders>
              <w:top w:val="nil"/>
              <w:left w:val="nil"/>
              <w:bottom w:val="single" w:sz="8" w:space="0" w:color="auto"/>
              <w:right w:val="single" w:sz="8" w:space="0" w:color="auto"/>
            </w:tcBorders>
            <w:shd w:val="clear" w:color="auto" w:fill="auto"/>
            <w:vAlign w:val="center"/>
            <w:hideMark/>
          </w:tcPr>
          <w:p w:rsidR="009D73A3" w:rsidRPr="009D73A3" w:rsidP="009D73A3" w14:paraId="30DE3C96"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80</w:t>
            </w:r>
          </w:p>
        </w:tc>
        <w:tc>
          <w:tcPr>
            <w:tcW w:w="1350" w:type="dxa"/>
            <w:tcBorders>
              <w:top w:val="nil"/>
              <w:left w:val="nil"/>
              <w:bottom w:val="single" w:sz="8" w:space="0" w:color="auto"/>
              <w:right w:val="single" w:sz="8" w:space="0" w:color="auto"/>
            </w:tcBorders>
            <w:shd w:val="clear" w:color="auto" w:fill="auto"/>
            <w:vAlign w:val="center"/>
            <w:hideMark/>
          </w:tcPr>
          <w:p w:rsidR="009D73A3" w:rsidRPr="009D73A3" w:rsidP="009D73A3" w14:paraId="58C706DB" w14:textId="77777777">
            <w:pPr>
              <w:widowControl/>
              <w:ind w:firstLine="220" w:firstLineChars="100"/>
              <w:jc w:val="right"/>
              <w:rPr>
                <w:rFonts w:ascii="Times New Roman" w:hAnsi="Times New Roman"/>
                <w:snapToGrid/>
                <w:color w:val="000000"/>
                <w:sz w:val="22"/>
                <w:szCs w:val="22"/>
              </w:rPr>
            </w:pPr>
            <w:r w:rsidRPr="009D73A3">
              <w:rPr>
                <w:rFonts w:ascii="Times New Roman" w:hAnsi="Times New Roman"/>
                <w:snapToGrid/>
                <w:color w:val="000000"/>
                <w:sz w:val="22"/>
                <w:szCs w:val="22"/>
              </w:rPr>
              <w:t xml:space="preserve">$60.74 </w:t>
            </w:r>
          </w:p>
        </w:tc>
        <w:tc>
          <w:tcPr>
            <w:tcW w:w="270" w:type="dxa"/>
            <w:gridSpan w:val="2"/>
            <w:vAlign w:val="center"/>
            <w:hideMark/>
          </w:tcPr>
          <w:p w:rsidR="009D73A3" w:rsidRPr="009D73A3" w:rsidP="009D73A3" w14:paraId="665EDA85" w14:textId="77777777">
            <w:pPr>
              <w:widowControl/>
              <w:rPr>
                <w:rFonts w:ascii="Times New Roman" w:hAnsi="Times New Roman"/>
                <w:snapToGrid/>
                <w:sz w:val="22"/>
                <w:szCs w:val="22"/>
              </w:rPr>
            </w:pPr>
          </w:p>
        </w:tc>
      </w:tr>
      <w:tr w14:paraId="248DCCAA" w14:textId="77777777" w:rsidTr="009D73A3">
        <w:tblPrEx>
          <w:tblW w:w="10340" w:type="dxa"/>
          <w:tblLayout w:type="fixed"/>
          <w:tblCellMar>
            <w:top w:w="15" w:type="dxa"/>
          </w:tblCellMar>
          <w:tblLook w:val="04A0"/>
        </w:tblPrEx>
        <w:trPr>
          <w:trHeight w:val="1851"/>
        </w:trPr>
        <w:tc>
          <w:tcPr>
            <w:tcW w:w="1522" w:type="dxa"/>
            <w:gridSpan w:val="2"/>
            <w:tcBorders>
              <w:top w:val="nil"/>
              <w:left w:val="single" w:sz="8" w:space="0" w:color="auto"/>
              <w:bottom w:val="single" w:sz="8" w:space="0" w:color="auto"/>
              <w:right w:val="single" w:sz="8" w:space="0" w:color="auto"/>
            </w:tcBorders>
            <w:shd w:val="clear" w:color="auto" w:fill="auto"/>
            <w:vAlign w:val="center"/>
            <w:hideMark/>
          </w:tcPr>
          <w:p w:rsidR="009D73A3" w:rsidRPr="009D73A3" w:rsidP="009D73A3" w14:paraId="6407C051" w14:textId="77777777">
            <w:pPr>
              <w:widowControl/>
              <w:rPr>
                <w:rFonts w:ascii="Times New Roman" w:hAnsi="Times New Roman"/>
                <w:snapToGrid/>
                <w:color w:val="000000"/>
                <w:sz w:val="22"/>
                <w:szCs w:val="22"/>
              </w:rPr>
            </w:pPr>
            <w:r w:rsidRPr="009D73A3">
              <w:rPr>
                <w:rFonts w:ascii="Times New Roman" w:hAnsi="Times New Roman"/>
                <w:snapToGrid/>
                <w:color w:val="000000"/>
                <w:sz w:val="22"/>
                <w:szCs w:val="22"/>
              </w:rPr>
              <w:t>2. Notice by Financial Institutions of Termination of Activities as a Government Securities Broker or Government Securities Dealer (G-FINW),</w:t>
            </w:r>
            <w:r w:rsidRPr="009D73A3">
              <w:rPr>
                <w:rFonts w:ascii="Times New Roman" w:hAnsi="Times New Roman"/>
                <w:snapToGrid/>
                <w:color w:val="000000"/>
                <w:sz w:val="22"/>
                <w:szCs w:val="22"/>
              </w:rPr>
              <w:br/>
              <w:t>17 CFR 401 (Mandatory)</w:t>
            </w:r>
          </w:p>
        </w:tc>
        <w:tc>
          <w:tcPr>
            <w:tcW w:w="898" w:type="dxa"/>
            <w:tcBorders>
              <w:top w:val="nil"/>
              <w:left w:val="nil"/>
              <w:bottom w:val="single" w:sz="8" w:space="0" w:color="auto"/>
              <w:right w:val="single" w:sz="8" w:space="0" w:color="auto"/>
            </w:tcBorders>
            <w:shd w:val="clear" w:color="auto" w:fill="auto"/>
            <w:vAlign w:val="center"/>
            <w:hideMark/>
          </w:tcPr>
          <w:p w:rsidR="009D73A3" w:rsidRPr="009D73A3" w:rsidP="009D73A3" w14:paraId="1869DDA3"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36.36</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30687382"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20</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32240C08"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990" w:type="dxa"/>
            <w:tcBorders>
              <w:top w:val="nil"/>
              <w:left w:val="nil"/>
              <w:bottom w:val="single" w:sz="8" w:space="0" w:color="auto"/>
              <w:right w:val="single" w:sz="8" w:space="0" w:color="auto"/>
            </w:tcBorders>
            <w:shd w:val="clear" w:color="auto" w:fill="auto"/>
            <w:vAlign w:val="center"/>
            <w:hideMark/>
          </w:tcPr>
          <w:p w:rsidR="009D73A3" w:rsidRPr="009D73A3" w:rsidP="009D73A3" w14:paraId="2BEE6586"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73B99E9E"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3307048B"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990" w:type="dxa"/>
            <w:tcBorders>
              <w:top w:val="nil"/>
              <w:left w:val="nil"/>
              <w:bottom w:val="single" w:sz="8" w:space="0" w:color="auto"/>
              <w:right w:val="single" w:sz="8" w:space="0" w:color="auto"/>
            </w:tcBorders>
            <w:shd w:val="clear" w:color="auto" w:fill="auto"/>
            <w:vAlign w:val="center"/>
            <w:hideMark/>
          </w:tcPr>
          <w:p w:rsidR="009D73A3" w:rsidRPr="009D73A3" w:rsidP="009D73A3" w14:paraId="2F4606C3"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80</w:t>
            </w:r>
          </w:p>
        </w:tc>
        <w:tc>
          <w:tcPr>
            <w:tcW w:w="1350" w:type="dxa"/>
            <w:tcBorders>
              <w:top w:val="nil"/>
              <w:left w:val="nil"/>
              <w:bottom w:val="single" w:sz="8" w:space="0" w:color="auto"/>
              <w:right w:val="single" w:sz="8" w:space="0" w:color="auto"/>
            </w:tcBorders>
            <w:shd w:val="clear" w:color="auto" w:fill="auto"/>
            <w:vAlign w:val="center"/>
            <w:hideMark/>
          </w:tcPr>
          <w:p w:rsidR="009D73A3" w:rsidRPr="009D73A3" w:rsidP="009D73A3" w14:paraId="2C7E3E82" w14:textId="77777777">
            <w:pPr>
              <w:widowControl/>
              <w:ind w:firstLine="220" w:firstLineChars="100"/>
              <w:jc w:val="right"/>
              <w:rPr>
                <w:rFonts w:ascii="Times New Roman" w:hAnsi="Times New Roman"/>
                <w:snapToGrid/>
                <w:color w:val="000000"/>
                <w:sz w:val="22"/>
                <w:szCs w:val="22"/>
              </w:rPr>
            </w:pPr>
            <w:r w:rsidRPr="009D73A3">
              <w:rPr>
                <w:rFonts w:ascii="Times New Roman" w:hAnsi="Times New Roman"/>
                <w:snapToGrid/>
                <w:color w:val="000000"/>
                <w:sz w:val="22"/>
                <w:szCs w:val="22"/>
              </w:rPr>
              <w:t xml:space="preserve">$60.74 </w:t>
            </w:r>
          </w:p>
        </w:tc>
        <w:tc>
          <w:tcPr>
            <w:tcW w:w="270" w:type="dxa"/>
            <w:gridSpan w:val="2"/>
            <w:vAlign w:val="center"/>
            <w:hideMark/>
          </w:tcPr>
          <w:p w:rsidR="009D73A3" w:rsidRPr="009D73A3" w:rsidP="009D73A3" w14:paraId="0230C8A3" w14:textId="77777777">
            <w:pPr>
              <w:widowControl/>
              <w:rPr>
                <w:rFonts w:ascii="Times New Roman" w:hAnsi="Times New Roman"/>
                <w:snapToGrid/>
                <w:sz w:val="22"/>
                <w:szCs w:val="22"/>
              </w:rPr>
            </w:pPr>
          </w:p>
        </w:tc>
      </w:tr>
      <w:tr w14:paraId="5537197F" w14:textId="77777777" w:rsidTr="009D73A3">
        <w:tblPrEx>
          <w:tblW w:w="10340" w:type="dxa"/>
          <w:tblLayout w:type="fixed"/>
          <w:tblCellMar>
            <w:top w:w="15" w:type="dxa"/>
          </w:tblCellMar>
          <w:tblLook w:val="04A0"/>
        </w:tblPrEx>
        <w:trPr>
          <w:trHeight w:val="1588"/>
        </w:trPr>
        <w:tc>
          <w:tcPr>
            <w:tcW w:w="1522" w:type="dxa"/>
            <w:gridSpan w:val="2"/>
            <w:tcBorders>
              <w:top w:val="nil"/>
              <w:left w:val="single" w:sz="8" w:space="0" w:color="auto"/>
              <w:bottom w:val="single" w:sz="8" w:space="0" w:color="auto"/>
              <w:right w:val="single" w:sz="8" w:space="0" w:color="auto"/>
            </w:tcBorders>
            <w:shd w:val="clear" w:color="auto" w:fill="auto"/>
            <w:vAlign w:val="center"/>
            <w:hideMark/>
          </w:tcPr>
          <w:p w:rsidR="009D73A3" w:rsidRPr="009D73A3" w:rsidP="009D73A3" w14:paraId="6EF1591E" w14:textId="77777777">
            <w:pPr>
              <w:widowControl/>
              <w:rPr>
                <w:rFonts w:ascii="Times New Roman" w:hAnsi="Times New Roman"/>
                <w:snapToGrid/>
                <w:color w:val="000000"/>
                <w:sz w:val="22"/>
                <w:szCs w:val="22"/>
              </w:rPr>
            </w:pPr>
            <w:r w:rsidRPr="009D73A3">
              <w:rPr>
                <w:rFonts w:ascii="Times New Roman" w:hAnsi="Times New Roman"/>
                <w:snapToGrid/>
                <w:color w:val="000000"/>
                <w:sz w:val="22"/>
                <w:szCs w:val="22"/>
              </w:rPr>
              <w:t>3. Disclosure Form for Person Associated with a Financial Institution Securities Broker or Dealer (G-</w:t>
            </w:r>
            <w:r w:rsidRPr="009D73A3">
              <w:rPr>
                <w:rFonts w:ascii="Times New Roman" w:hAnsi="Times New Roman"/>
                <w:snapToGrid/>
                <w:color w:val="000000"/>
                <w:sz w:val="22"/>
                <w:szCs w:val="22"/>
              </w:rPr>
              <w:t>FIN-4),</w:t>
            </w:r>
            <w:r w:rsidRPr="009D73A3">
              <w:rPr>
                <w:rFonts w:ascii="Times New Roman" w:hAnsi="Times New Roman"/>
                <w:snapToGrid/>
                <w:color w:val="000000"/>
                <w:sz w:val="22"/>
                <w:szCs w:val="22"/>
              </w:rPr>
              <w:br/>
              <w:t>17 CFR 401 (Mandatory)</w:t>
            </w:r>
          </w:p>
        </w:tc>
        <w:tc>
          <w:tcPr>
            <w:tcW w:w="898" w:type="dxa"/>
            <w:tcBorders>
              <w:top w:val="nil"/>
              <w:left w:val="nil"/>
              <w:bottom w:val="single" w:sz="8" w:space="0" w:color="auto"/>
              <w:right w:val="single" w:sz="8" w:space="0" w:color="auto"/>
            </w:tcBorders>
            <w:shd w:val="clear" w:color="auto" w:fill="auto"/>
            <w:vAlign w:val="center"/>
            <w:hideMark/>
          </w:tcPr>
          <w:p w:rsidR="009D73A3" w:rsidRPr="009D73A3" w:rsidP="009D73A3" w14:paraId="3BF4D00E"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36.36</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39DE822D"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20</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2834D111"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990" w:type="dxa"/>
            <w:tcBorders>
              <w:top w:val="nil"/>
              <w:left w:val="nil"/>
              <w:bottom w:val="single" w:sz="8" w:space="0" w:color="auto"/>
              <w:right w:val="single" w:sz="8" w:space="0" w:color="auto"/>
            </w:tcBorders>
            <w:shd w:val="clear" w:color="auto" w:fill="auto"/>
            <w:vAlign w:val="center"/>
            <w:hideMark/>
          </w:tcPr>
          <w:p w:rsidR="009D73A3" w:rsidRPr="009D73A3" w:rsidP="009D73A3" w14:paraId="0D452F0D"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322AD034"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2F82237F"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990" w:type="dxa"/>
            <w:tcBorders>
              <w:top w:val="nil"/>
              <w:left w:val="nil"/>
              <w:bottom w:val="single" w:sz="8" w:space="0" w:color="auto"/>
              <w:right w:val="single" w:sz="8" w:space="0" w:color="auto"/>
            </w:tcBorders>
            <w:shd w:val="clear" w:color="auto" w:fill="auto"/>
            <w:vAlign w:val="center"/>
            <w:hideMark/>
          </w:tcPr>
          <w:p w:rsidR="009D73A3" w:rsidRPr="009D73A3" w:rsidP="009D73A3" w14:paraId="2E98995A"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80</w:t>
            </w:r>
          </w:p>
        </w:tc>
        <w:tc>
          <w:tcPr>
            <w:tcW w:w="1350" w:type="dxa"/>
            <w:tcBorders>
              <w:top w:val="nil"/>
              <w:left w:val="nil"/>
              <w:bottom w:val="single" w:sz="8" w:space="0" w:color="auto"/>
              <w:right w:val="single" w:sz="8" w:space="0" w:color="auto"/>
            </w:tcBorders>
            <w:shd w:val="clear" w:color="auto" w:fill="auto"/>
            <w:vAlign w:val="center"/>
            <w:hideMark/>
          </w:tcPr>
          <w:p w:rsidR="009D73A3" w:rsidRPr="009D73A3" w:rsidP="009D73A3" w14:paraId="2F3FDFD9" w14:textId="77777777">
            <w:pPr>
              <w:widowControl/>
              <w:ind w:firstLine="220" w:firstLineChars="100"/>
              <w:jc w:val="right"/>
              <w:rPr>
                <w:rFonts w:ascii="Times New Roman" w:hAnsi="Times New Roman"/>
                <w:snapToGrid/>
                <w:color w:val="000000"/>
                <w:sz w:val="22"/>
                <w:szCs w:val="22"/>
              </w:rPr>
            </w:pPr>
            <w:r w:rsidRPr="009D73A3">
              <w:rPr>
                <w:rFonts w:ascii="Times New Roman" w:hAnsi="Times New Roman"/>
                <w:snapToGrid/>
                <w:color w:val="000000"/>
                <w:sz w:val="22"/>
                <w:szCs w:val="22"/>
              </w:rPr>
              <w:t xml:space="preserve">$60.74 </w:t>
            </w:r>
          </w:p>
        </w:tc>
        <w:tc>
          <w:tcPr>
            <w:tcW w:w="270" w:type="dxa"/>
            <w:gridSpan w:val="2"/>
            <w:vAlign w:val="center"/>
            <w:hideMark/>
          </w:tcPr>
          <w:p w:rsidR="009D73A3" w:rsidRPr="009D73A3" w:rsidP="009D73A3" w14:paraId="407B4C9E" w14:textId="77777777">
            <w:pPr>
              <w:widowControl/>
              <w:rPr>
                <w:rFonts w:ascii="Times New Roman" w:hAnsi="Times New Roman"/>
                <w:snapToGrid/>
                <w:sz w:val="22"/>
                <w:szCs w:val="22"/>
              </w:rPr>
            </w:pPr>
          </w:p>
        </w:tc>
      </w:tr>
      <w:tr w14:paraId="38830823" w14:textId="77777777" w:rsidTr="009D73A3">
        <w:tblPrEx>
          <w:tblW w:w="10340" w:type="dxa"/>
          <w:tblLayout w:type="fixed"/>
          <w:tblCellMar>
            <w:top w:w="15" w:type="dxa"/>
          </w:tblCellMar>
          <w:tblLook w:val="04A0"/>
        </w:tblPrEx>
        <w:trPr>
          <w:trHeight w:val="1851"/>
        </w:trPr>
        <w:tc>
          <w:tcPr>
            <w:tcW w:w="1522" w:type="dxa"/>
            <w:gridSpan w:val="2"/>
            <w:tcBorders>
              <w:top w:val="nil"/>
              <w:left w:val="single" w:sz="8" w:space="0" w:color="auto"/>
              <w:bottom w:val="single" w:sz="8" w:space="0" w:color="auto"/>
              <w:right w:val="single" w:sz="8" w:space="0" w:color="auto"/>
            </w:tcBorders>
            <w:shd w:val="clear" w:color="auto" w:fill="auto"/>
            <w:vAlign w:val="center"/>
            <w:hideMark/>
          </w:tcPr>
          <w:p w:rsidR="009D73A3" w:rsidRPr="009D73A3" w:rsidP="009D73A3" w14:paraId="3DD9FDA5" w14:textId="77777777">
            <w:pPr>
              <w:widowControl/>
              <w:rPr>
                <w:rFonts w:ascii="Times New Roman" w:hAnsi="Times New Roman"/>
                <w:snapToGrid/>
                <w:color w:val="000000"/>
                <w:sz w:val="22"/>
                <w:szCs w:val="22"/>
              </w:rPr>
            </w:pPr>
            <w:r w:rsidRPr="009D73A3">
              <w:rPr>
                <w:rFonts w:ascii="Times New Roman" w:hAnsi="Times New Roman"/>
                <w:snapToGrid/>
                <w:color w:val="000000"/>
                <w:sz w:val="22"/>
                <w:szCs w:val="22"/>
              </w:rPr>
              <w:t>4. Uniform Termination Notice for Persons Associated with a Financial Institution Government Securities Broker or Dealer (G-FIN-5),</w:t>
            </w:r>
            <w:r w:rsidRPr="009D73A3">
              <w:rPr>
                <w:rFonts w:ascii="Times New Roman" w:hAnsi="Times New Roman"/>
                <w:snapToGrid/>
                <w:color w:val="000000"/>
                <w:sz w:val="22"/>
                <w:szCs w:val="22"/>
              </w:rPr>
              <w:br/>
              <w:t>17 CFR 401 (Mandatory)</w:t>
            </w:r>
          </w:p>
        </w:tc>
        <w:tc>
          <w:tcPr>
            <w:tcW w:w="898" w:type="dxa"/>
            <w:tcBorders>
              <w:top w:val="nil"/>
              <w:left w:val="nil"/>
              <w:bottom w:val="single" w:sz="8" w:space="0" w:color="auto"/>
              <w:right w:val="single" w:sz="8" w:space="0" w:color="auto"/>
            </w:tcBorders>
            <w:shd w:val="clear" w:color="auto" w:fill="auto"/>
            <w:vAlign w:val="center"/>
            <w:hideMark/>
          </w:tcPr>
          <w:p w:rsidR="009D73A3" w:rsidRPr="009D73A3" w:rsidP="009D73A3" w14:paraId="6EE47AFB"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9.09</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4E4ED96E"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20</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41F840AE"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990" w:type="dxa"/>
            <w:tcBorders>
              <w:top w:val="nil"/>
              <w:left w:val="nil"/>
              <w:bottom w:val="single" w:sz="8" w:space="0" w:color="auto"/>
              <w:right w:val="single" w:sz="8" w:space="0" w:color="auto"/>
            </w:tcBorders>
            <w:shd w:val="clear" w:color="auto" w:fill="auto"/>
            <w:vAlign w:val="center"/>
            <w:hideMark/>
          </w:tcPr>
          <w:p w:rsidR="009D73A3" w:rsidRPr="009D73A3" w:rsidP="009D73A3" w14:paraId="6BD62661"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118B48E8"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1080" w:type="dxa"/>
            <w:tcBorders>
              <w:top w:val="nil"/>
              <w:left w:val="nil"/>
              <w:bottom w:val="single" w:sz="8" w:space="0" w:color="auto"/>
              <w:right w:val="single" w:sz="8" w:space="0" w:color="auto"/>
            </w:tcBorders>
            <w:shd w:val="clear" w:color="auto" w:fill="auto"/>
            <w:vAlign w:val="center"/>
            <w:hideMark/>
          </w:tcPr>
          <w:p w:rsidR="009D73A3" w:rsidRPr="009D73A3" w:rsidP="009D73A3" w14:paraId="2778B4E3"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0</w:t>
            </w:r>
          </w:p>
        </w:tc>
        <w:tc>
          <w:tcPr>
            <w:tcW w:w="990" w:type="dxa"/>
            <w:tcBorders>
              <w:top w:val="nil"/>
              <w:left w:val="nil"/>
              <w:bottom w:val="single" w:sz="8" w:space="0" w:color="auto"/>
              <w:right w:val="single" w:sz="8" w:space="0" w:color="auto"/>
            </w:tcBorders>
            <w:shd w:val="clear" w:color="auto" w:fill="auto"/>
            <w:vAlign w:val="center"/>
            <w:hideMark/>
          </w:tcPr>
          <w:p w:rsidR="009D73A3" w:rsidRPr="009D73A3" w:rsidP="009D73A3" w14:paraId="5CC042AD" w14:textId="77777777">
            <w:pPr>
              <w:widowControl/>
              <w:jc w:val="center"/>
              <w:rPr>
                <w:rFonts w:ascii="Times New Roman" w:hAnsi="Times New Roman"/>
                <w:snapToGrid/>
                <w:color w:val="000000"/>
                <w:sz w:val="22"/>
                <w:szCs w:val="22"/>
              </w:rPr>
            </w:pPr>
            <w:r w:rsidRPr="009D73A3">
              <w:rPr>
                <w:rFonts w:ascii="Times New Roman" w:hAnsi="Times New Roman"/>
                <w:snapToGrid/>
                <w:color w:val="000000"/>
                <w:sz w:val="22"/>
                <w:szCs w:val="22"/>
              </w:rPr>
              <w:t>80</w:t>
            </w:r>
          </w:p>
        </w:tc>
        <w:tc>
          <w:tcPr>
            <w:tcW w:w="1350" w:type="dxa"/>
            <w:tcBorders>
              <w:top w:val="nil"/>
              <w:left w:val="nil"/>
              <w:bottom w:val="single" w:sz="8" w:space="0" w:color="auto"/>
              <w:right w:val="single" w:sz="8" w:space="0" w:color="auto"/>
            </w:tcBorders>
            <w:shd w:val="clear" w:color="auto" w:fill="auto"/>
            <w:vAlign w:val="center"/>
            <w:hideMark/>
          </w:tcPr>
          <w:p w:rsidR="009D73A3" w:rsidRPr="009D73A3" w:rsidP="009D73A3" w14:paraId="56CADB5C" w14:textId="77777777">
            <w:pPr>
              <w:widowControl/>
              <w:ind w:firstLine="220" w:firstLineChars="100"/>
              <w:jc w:val="right"/>
              <w:rPr>
                <w:rFonts w:ascii="Times New Roman" w:hAnsi="Times New Roman"/>
                <w:snapToGrid/>
                <w:color w:val="000000"/>
                <w:sz w:val="22"/>
                <w:szCs w:val="22"/>
              </w:rPr>
            </w:pPr>
            <w:r w:rsidRPr="009D73A3">
              <w:rPr>
                <w:rFonts w:ascii="Times New Roman" w:hAnsi="Times New Roman"/>
                <w:snapToGrid/>
                <w:color w:val="000000"/>
                <w:sz w:val="22"/>
                <w:szCs w:val="22"/>
              </w:rPr>
              <w:t xml:space="preserve">$60.74 </w:t>
            </w:r>
          </w:p>
        </w:tc>
        <w:tc>
          <w:tcPr>
            <w:tcW w:w="270" w:type="dxa"/>
            <w:gridSpan w:val="2"/>
            <w:vAlign w:val="center"/>
            <w:hideMark/>
          </w:tcPr>
          <w:p w:rsidR="009D73A3" w:rsidRPr="009D73A3" w:rsidP="009D73A3" w14:paraId="3F4E4392" w14:textId="77777777">
            <w:pPr>
              <w:widowControl/>
              <w:rPr>
                <w:rFonts w:ascii="Times New Roman" w:hAnsi="Times New Roman"/>
                <w:snapToGrid/>
                <w:sz w:val="22"/>
                <w:szCs w:val="22"/>
              </w:rPr>
            </w:pPr>
          </w:p>
        </w:tc>
      </w:tr>
      <w:tr w14:paraId="667A106B" w14:textId="77777777" w:rsidTr="009D73A3">
        <w:tblPrEx>
          <w:tblW w:w="10340" w:type="dxa"/>
          <w:tblLayout w:type="fixed"/>
          <w:tblCellMar>
            <w:top w:w="15" w:type="dxa"/>
          </w:tblCellMar>
          <w:tblLook w:val="04A0"/>
        </w:tblPrEx>
        <w:trPr>
          <w:trHeight w:val="303"/>
        </w:trPr>
        <w:tc>
          <w:tcPr>
            <w:tcW w:w="8720" w:type="dxa"/>
            <w:gridSpan w:val="9"/>
            <w:tcBorders>
              <w:top w:val="single" w:sz="8" w:space="0" w:color="auto"/>
              <w:left w:val="single" w:sz="8" w:space="0" w:color="auto"/>
              <w:bottom w:val="single" w:sz="4" w:space="0" w:color="auto"/>
              <w:right w:val="single" w:sz="8" w:space="0" w:color="auto"/>
            </w:tcBorders>
            <w:shd w:val="clear" w:color="auto" w:fill="auto"/>
            <w:vAlign w:val="center"/>
            <w:hideMark/>
          </w:tcPr>
          <w:p w:rsidR="009D73A3" w:rsidRPr="009D73A3" w:rsidP="009D73A3" w14:paraId="15DC073A" w14:textId="77777777">
            <w:pPr>
              <w:widowControl/>
              <w:jc w:val="right"/>
              <w:rPr>
                <w:rFonts w:ascii="Times New Roman" w:hAnsi="Times New Roman"/>
                <w:b/>
                <w:bCs/>
                <w:i/>
                <w:iCs/>
                <w:snapToGrid/>
                <w:color w:val="000000"/>
                <w:sz w:val="22"/>
                <w:szCs w:val="22"/>
              </w:rPr>
            </w:pPr>
            <w:r w:rsidRPr="009D73A3">
              <w:rPr>
                <w:rFonts w:ascii="Times New Roman" w:hAnsi="Times New Roman"/>
                <w:b/>
                <w:bCs/>
                <w:i/>
                <w:iCs/>
                <w:snapToGrid/>
                <w:color w:val="000000"/>
                <w:sz w:val="22"/>
                <w:szCs w:val="22"/>
              </w:rPr>
              <w:t>Weighted Average Hourly Compensation Rate:</w:t>
            </w:r>
          </w:p>
        </w:tc>
        <w:tc>
          <w:tcPr>
            <w:tcW w:w="1350" w:type="dxa"/>
            <w:tcBorders>
              <w:top w:val="nil"/>
              <w:left w:val="nil"/>
              <w:bottom w:val="single" w:sz="4" w:space="0" w:color="auto"/>
              <w:right w:val="single" w:sz="8" w:space="0" w:color="auto"/>
            </w:tcBorders>
            <w:shd w:val="clear" w:color="auto" w:fill="auto"/>
            <w:vAlign w:val="center"/>
            <w:hideMark/>
          </w:tcPr>
          <w:p w:rsidR="009D73A3" w:rsidRPr="009D73A3" w:rsidP="009D73A3" w14:paraId="350DEDC0" w14:textId="77777777">
            <w:pPr>
              <w:widowControl/>
              <w:ind w:firstLine="220" w:firstLineChars="100"/>
              <w:jc w:val="right"/>
              <w:rPr>
                <w:rFonts w:ascii="Times New Roman" w:hAnsi="Times New Roman"/>
                <w:b/>
                <w:bCs/>
                <w:i/>
                <w:iCs/>
                <w:snapToGrid/>
                <w:color w:val="000000"/>
                <w:sz w:val="22"/>
                <w:szCs w:val="22"/>
              </w:rPr>
            </w:pPr>
            <w:r w:rsidRPr="009D73A3">
              <w:rPr>
                <w:rFonts w:ascii="Times New Roman" w:hAnsi="Times New Roman"/>
                <w:b/>
                <w:bCs/>
                <w:i/>
                <w:iCs/>
                <w:snapToGrid/>
                <w:color w:val="000000"/>
                <w:sz w:val="22"/>
                <w:szCs w:val="22"/>
              </w:rPr>
              <w:t xml:space="preserve">$60.74 </w:t>
            </w:r>
          </w:p>
        </w:tc>
        <w:tc>
          <w:tcPr>
            <w:tcW w:w="270" w:type="dxa"/>
            <w:gridSpan w:val="2"/>
            <w:vAlign w:val="center"/>
            <w:hideMark/>
          </w:tcPr>
          <w:p w:rsidR="009D73A3" w:rsidRPr="009D73A3" w:rsidP="009D73A3" w14:paraId="7266A2A2" w14:textId="77777777">
            <w:pPr>
              <w:widowControl/>
              <w:rPr>
                <w:rFonts w:ascii="Times New Roman" w:hAnsi="Times New Roman"/>
                <w:snapToGrid/>
                <w:sz w:val="22"/>
                <w:szCs w:val="22"/>
              </w:rPr>
            </w:pPr>
          </w:p>
        </w:tc>
      </w:tr>
      <w:tr w14:paraId="3905ADC0" w14:textId="77777777" w:rsidTr="009D73A3">
        <w:tblPrEx>
          <w:tblW w:w="10340" w:type="dxa"/>
          <w:tblLayout w:type="fixed"/>
          <w:tblCellMar>
            <w:top w:w="15" w:type="dxa"/>
          </w:tblCellMar>
          <w:tblLook w:val="04A0"/>
        </w:tblPrEx>
        <w:trPr>
          <w:gridAfter w:val="2"/>
          <w:wAfter w:w="270" w:type="dxa"/>
          <w:trHeight w:val="256"/>
        </w:trPr>
        <w:tc>
          <w:tcPr>
            <w:tcW w:w="10070" w:type="dxa"/>
            <w:gridSpan w:val="10"/>
            <w:tcBorders>
              <w:top w:val="single" w:sz="4" w:space="0" w:color="auto"/>
              <w:left w:val="single" w:sz="4" w:space="0" w:color="auto"/>
              <w:bottom w:val="single" w:sz="4" w:space="0" w:color="auto"/>
              <w:right w:val="single" w:sz="4" w:space="0" w:color="auto"/>
            </w:tcBorders>
            <w:vAlign w:val="center"/>
            <w:hideMark/>
          </w:tcPr>
          <w:p w:rsidR="009D73A3" w:rsidRPr="009D73A3" w:rsidP="009D73A3" w14:paraId="4484E302" w14:textId="1ADA8965">
            <w:pPr>
              <w:widowControl/>
              <w:rPr>
                <w:rFonts w:ascii="Times New Roman" w:hAnsi="Times New Roman"/>
                <w:snapToGrid/>
                <w:szCs w:val="24"/>
              </w:rPr>
            </w:pPr>
            <w:r w:rsidRPr="0093292A">
              <w:rPr>
                <w:rFonts w:ascii="Times New Roman" w:hAnsi="Times New Roman"/>
                <w:snapToGrid/>
                <w:szCs w:val="24"/>
              </w:rPr>
              <w:t>Source: Bureau of Labor Statistics</w:t>
            </w:r>
          </w:p>
        </w:tc>
      </w:tr>
      <w:tr w14:paraId="0F3C5CC6" w14:textId="77777777" w:rsidTr="009D73A3">
        <w:tblPrEx>
          <w:tblW w:w="10340" w:type="dxa"/>
          <w:tblLayout w:type="fixed"/>
          <w:tblCellMar>
            <w:top w:w="15" w:type="dxa"/>
          </w:tblCellMar>
          <w:tblLook w:val="04A0"/>
        </w:tblPrEx>
        <w:trPr>
          <w:gridAfter w:val="11"/>
          <w:wAfter w:w="10094" w:type="dxa"/>
          <w:trHeight w:val="293"/>
        </w:trPr>
        <w:tc>
          <w:tcPr>
            <w:tcW w:w="246" w:type="dxa"/>
            <w:tcBorders>
              <w:top w:val="single" w:sz="4" w:space="0" w:color="auto"/>
              <w:left w:val="nil"/>
              <w:bottom w:val="nil"/>
              <w:right w:val="nil"/>
            </w:tcBorders>
            <w:shd w:val="clear" w:color="auto" w:fill="auto"/>
            <w:noWrap/>
            <w:vAlign w:val="bottom"/>
            <w:hideMark/>
          </w:tcPr>
          <w:p w:rsidR="009D73A3" w:rsidRPr="009D73A3" w:rsidP="009D73A3" w14:paraId="471BC409" w14:textId="77777777">
            <w:pPr>
              <w:widowControl/>
              <w:rPr>
                <w:rFonts w:ascii="Times New Roman" w:hAnsi="Times New Roman"/>
                <w:snapToGrid/>
                <w:sz w:val="22"/>
                <w:szCs w:val="22"/>
              </w:rPr>
            </w:pPr>
          </w:p>
        </w:tc>
      </w:tr>
    </w:tbl>
    <w:p w:rsidR="00573F81" w:rsidP="009234BE" w14:paraId="4AD781F9" w14:textId="77777777">
      <w:pPr>
        <w:tabs>
          <w:tab w:val="left" w:pos="-1440"/>
        </w:tabs>
        <w:spacing w:line="360" w:lineRule="auto"/>
        <w:ind w:left="1440"/>
        <w:contextualSpacing/>
        <w:rPr>
          <w:rFonts w:ascii="Times New Roman" w:hAnsi="Times New Roman"/>
        </w:rPr>
      </w:pPr>
    </w:p>
    <w:tbl>
      <w:tblPr>
        <w:tblW w:w="10192" w:type="dxa"/>
        <w:tblLook w:val="04A0"/>
      </w:tblPr>
      <w:tblGrid>
        <w:gridCol w:w="3327"/>
        <w:gridCol w:w="3216"/>
        <w:gridCol w:w="2165"/>
        <w:gridCol w:w="1484"/>
      </w:tblGrid>
      <w:tr w14:paraId="113B143E" w14:textId="77777777" w:rsidTr="0093292A">
        <w:tblPrEx>
          <w:tblW w:w="10192" w:type="dxa"/>
          <w:tblLook w:val="04A0"/>
        </w:tblPrEx>
        <w:trPr>
          <w:trHeight w:val="379"/>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D73A3" w:rsidRPr="009D73A3" w:rsidP="009D73A3" w14:paraId="38362BCC" w14:textId="5DCAF35C">
            <w:pPr>
              <w:widowControl/>
              <w:jc w:val="center"/>
              <w:rPr>
                <w:rFonts w:ascii="Times New Roman" w:hAnsi="Times New Roman"/>
                <w:snapToGrid/>
                <w:color w:val="000000"/>
                <w:szCs w:val="24"/>
              </w:rPr>
            </w:pPr>
            <w:r w:rsidRPr="009D73A3">
              <w:rPr>
                <w:rFonts w:ascii="Times New Roman" w:hAnsi="Times New Roman"/>
                <w:snapToGrid/>
                <w:color w:val="000000"/>
                <w:szCs w:val="24"/>
              </w:rPr>
              <w:t>Total Estimated Cost Burden (OMB No. 3064-0093)</w:t>
            </w:r>
          </w:p>
        </w:tc>
      </w:tr>
      <w:tr w14:paraId="62C1F45E" w14:textId="77777777" w:rsidTr="0093292A">
        <w:tblPrEx>
          <w:tblW w:w="10192" w:type="dxa"/>
          <w:tblLook w:val="04A0"/>
        </w:tblPrEx>
        <w:trPr>
          <w:trHeight w:val="63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D73A3" w:rsidRPr="009D73A3" w:rsidP="009D73A3" w14:paraId="22844DEA" w14:textId="77777777">
            <w:pPr>
              <w:widowControl/>
              <w:rPr>
                <w:rFonts w:ascii="Times New Roman" w:hAnsi="Times New Roman"/>
                <w:snapToGrid/>
                <w:color w:val="000000"/>
                <w:sz w:val="20"/>
              </w:rPr>
            </w:pPr>
            <w:r w:rsidRPr="009D73A3">
              <w:rPr>
                <w:rFonts w:ascii="Times New Roman" w:hAnsi="Times New Roman"/>
                <w:snapToGrid/>
                <w:color w:val="000000"/>
                <w:sz w:val="20"/>
              </w:rPr>
              <w:t>Information Collection Request</w:t>
            </w:r>
          </w:p>
        </w:tc>
        <w:tc>
          <w:tcPr>
            <w:tcW w:w="0" w:type="auto"/>
            <w:tcBorders>
              <w:top w:val="nil"/>
              <w:left w:val="nil"/>
              <w:bottom w:val="single" w:sz="8" w:space="0" w:color="auto"/>
              <w:right w:val="single" w:sz="8" w:space="0" w:color="auto"/>
            </w:tcBorders>
            <w:shd w:val="clear" w:color="auto" w:fill="auto"/>
            <w:vAlign w:val="center"/>
            <w:hideMark/>
          </w:tcPr>
          <w:p w:rsidR="009D73A3" w:rsidRPr="009D73A3" w:rsidP="009D73A3" w14:paraId="48ADD71C" w14:textId="77777777">
            <w:pPr>
              <w:widowControl/>
              <w:jc w:val="center"/>
              <w:rPr>
                <w:rFonts w:ascii="Times New Roman" w:hAnsi="Times New Roman"/>
                <w:snapToGrid/>
                <w:color w:val="000000"/>
                <w:sz w:val="20"/>
              </w:rPr>
            </w:pPr>
            <w:r w:rsidRPr="009D73A3">
              <w:rPr>
                <w:rFonts w:ascii="Times New Roman" w:hAnsi="Times New Roman"/>
                <w:snapToGrid/>
                <w:color w:val="000000"/>
                <w:sz w:val="20"/>
              </w:rPr>
              <w:t>Annual Burden (Hours)</w:t>
            </w:r>
          </w:p>
        </w:tc>
        <w:tc>
          <w:tcPr>
            <w:tcW w:w="0" w:type="auto"/>
            <w:tcBorders>
              <w:top w:val="nil"/>
              <w:left w:val="nil"/>
              <w:bottom w:val="single" w:sz="8" w:space="0" w:color="auto"/>
              <w:right w:val="single" w:sz="8" w:space="0" w:color="auto"/>
            </w:tcBorders>
            <w:shd w:val="clear" w:color="auto" w:fill="auto"/>
            <w:vAlign w:val="center"/>
            <w:hideMark/>
          </w:tcPr>
          <w:p w:rsidR="009D73A3" w:rsidRPr="009D73A3" w:rsidP="009D73A3" w14:paraId="5022237D" w14:textId="77777777">
            <w:pPr>
              <w:widowControl/>
              <w:jc w:val="center"/>
              <w:rPr>
                <w:rFonts w:ascii="Times New Roman" w:hAnsi="Times New Roman"/>
                <w:snapToGrid/>
                <w:color w:val="000000"/>
                <w:sz w:val="20"/>
              </w:rPr>
            </w:pPr>
            <w:r w:rsidRPr="009D73A3">
              <w:rPr>
                <w:rFonts w:ascii="Times New Roman" w:hAnsi="Times New Roman"/>
                <w:snapToGrid/>
                <w:color w:val="000000"/>
                <w:sz w:val="20"/>
              </w:rPr>
              <w:t>Weighted Average Hourly Compensation Rate</w:t>
            </w:r>
          </w:p>
        </w:tc>
        <w:tc>
          <w:tcPr>
            <w:tcW w:w="0" w:type="auto"/>
            <w:tcBorders>
              <w:top w:val="nil"/>
              <w:left w:val="nil"/>
              <w:bottom w:val="single" w:sz="8" w:space="0" w:color="auto"/>
              <w:right w:val="single" w:sz="8" w:space="0" w:color="auto"/>
            </w:tcBorders>
            <w:shd w:val="clear" w:color="auto" w:fill="auto"/>
            <w:vAlign w:val="center"/>
            <w:hideMark/>
          </w:tcPr>
          <w:p w:rsidR="009D73A3" w:rsidRPr="009D73A3" w:rsidP="009D73A3" w14:paraId="48B855D7" w14:textId="77777777">
            <w:pPr>
              <w:widowControl/>
              <w:jc w:val="center"/>
              <w:rPr>
                <w:rFonts w:ascii="Times New Roman" w:hAnsi="Times New Roman"/>
                <w:snapToGrid/>
                <w:color w:val="000000"/>
                <w:sz w:val="20"/>
              </w:rPr>
            </w:pPr>
            <w:r w:rsidRPr="009D73A3">
              <w:rPr>
                <w:rFonts w:ascii="Times New Roman" w:hAnsi="Times New Roman"/>
                <w:snapToGrid/>
                <w:color w:val="000000"/>
                <w:sz w:val="20"/>
              </w:rPr>
              <w:t>Annual Respondent Cost</w:t>
            </w:r>
          </w:p>
        </w:tc>
      </w:tr>
      <w:tr w14:paraId="2B668E45" w14:textId="77777777" w:rsidTr="0093292A">
        <w:tblPrEx>
          <w:tblW w:w="10192" w:type="dxa"/>
          <w:tblLook w:val="04A0"/>
        </w:tblPrEx>
        <w:trPr>
          <w:trHeight w:val="912"/>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D73A3" w:rsidRPr="009D73A3" w:rsidP="009D73A3" w14:paraId="45C89D21" w14:textId="77777777">
            <w:pPr>
              <w:widowControl/>
              <w:rPr>
                <w:rFonts w:ascii="Times New Roman" w:hAnsi="Times New Roman"/>
                <w:snapToGrid/>
                <w:color w:val="000000"/>
                <w:sz w:val="20"/>
              </w:rPr>
            </w:pPr>
            <w:r w:rsidRPr="009D73A3">
              <w:rPr>
                <w:rFonts w:ascii="Times New Roman" w:hAnsi="Times New Roman"/>
                <w:snapToGrid/>
                <w:color w:val="000000"/>
                <w:sz w:val="20"/>
              </w:rPr>
              <w:t>Notices Required of Government Securities Dealers or Brokers (Insured State Nonmember Banks)</w:t>
            </w:r>
          </w:p>
        </w:tc>
        <w:tc>
          <w:tcPr>
            <w:tcW w:w="0" w:type="auto"/>
            <w:tcBorders>
              <w:top w:val="nil"/>
              <w:left w:val="nil"/>
              <w:bottom w:val="single" w:sz="8" w:space="0" w:color="auto"/>
              <w:right w:val="single" w:sz="8" w:space="0" w:color="auto"/>
            </w:tcBorders>
            <w:shd w:val="clear" w:color="auto" w:fill="auto"/>
            <w:noWrap/>
            <w:vAlign w:val="center"/>
            <w:hideMark/>
          </w:tcPr>
          <w:p w:rsidR="009D73A3" w:rsidRPr="009D73A3" w:rsidP="009D73A3" w14:paraId="3C40D2CE" w14:textId="77777777">
            <w:pPr>
              <w:widowControl/>
              <w:ind w:firstLine="400" w:firstLineChars="200"/>
              <w:jc w:val="right"/>
              <w:rPr>
                <w:rFonts w:ascii="Times New Roman" w:hAnsi="Times New Roman"/>
                <w:snapToGrid/>
                <w:color w:val="000000"/>
                <w:sz w:val="20"/>
              </w:rPr>
            </w:pPr>
            <w:r w:rsidRPr="009D73A3">
              <w:rPr>
                <w:rFonts w:ascii="Times New Roman" w:hAnsi="Times New Roman"/>
                <w:snapToGrid/>
                <w:color w:val="000000"/>
                <w:sz w:val="20"/>
              </w:rPr>
              <w:t xml:space="preserve">                                                11 </w:t>
            </w:r>
          </w:p>
        </w:tc>
        <w:tc>
          <w:tcPr>
            <w:tcW w:w="0" w:type="auto"/>
            <w:tcBorders>
              <w:top w:val="nil"/>
              <w:left w:val="nil"/>
              <w:bottom w:val="single" w:sz="8" w:space="0" w:color="auto"/>
              <w:right w:val="single" w:sz="8" w:space="0" w:color="auto"/>
            </w:tcBorders>
            <w:shd w:val="clear" w:color="auto" w:fill="auto"/>
            <w:noWrap/>
            <w:vAlign w:val="center"/>
            <w:hideMark/>
          </w:tcPr>
          <w:p w:rsidR="009D73A3" w:rsidRPr="009D73A3" w:rsidP="009D73A3" w14:paraId="1DE3FE2F" w14:textId="77777777">
            <w:pPr>
              <w:widowControl/>
              <w:ind w:firstLine="200" w:firstLineChars="100"/>
              <w:jc w:val="right"/>
              <w:rPr>
                <w:rFonts w:ascii="Times New Roman" w:hAnsi="Times New Roman"/>
                <w:snapToGrid/>
                <w:color w:val="000000"/>
                <w:sz w:val="20"/>
              </w:rPr>
            </w:pPr>
            <w:r w:rsidRPr="009D73A3">
              <w:rPr>
                <w:rFonts w:ascii="Times New Roman" w:hAnsi="Times New Roman"/>
                <w:snapToGrid/>
                <w:color w:val="000000"/>
                <w:sz w:val="20"/>
              </w:rPr>
              <w:t>$60.74</w:t>
            </w:r>
          </w:p>
        </w:tc>
        <w:tc>
          <w:tcPr>
            <w:tcW w:w="0" w:type="auto"/>
            <w:tcBorders>
              <w:top w:val="nil"/>
              <w:left w:val="nil"/>
              <w:bottom w:val="single" w:sz="8" w:space="0" w:color="auto"/>
              <w:right w:val="single" w:sz="8" w:space="0" w:color="auto"/>
            </w:tcBorders>
            <w:shd w:val="clear" w:color="auto" w:fill="auto"/>
            <w:noWrap/>
            <w:vAlign w:val="center"/>
            <w:hideMark/>
          </w:tcPr>
          <w:p w:rsidR="009D73A3" w:rsidRPr="009D73A3" w:rsidP="009D73A3" w14:paraId="4E9B0047" w14:textId="77777777">
            <w:pPr>
              <w:widowControl/>
              <w:ind w:firstLine="200" w:firstLineChars="100"/>
              <w:jc w:val="right"/>
              <w:rPr>
                <w:rFonts w:ascii="Times New Roman" w:hAnsi="Times New Roman"/>
                <w:snapToGrid/>
                <w:color w:val="000000"/>
                <w:sz w:val="20"/>
              </w:rPr>
            </w:pPr>
            <w:r w:rsidRPr="009D73A3">
              <w:rPr>
                <w:rFonts w:ascii="Times New Roman" w:hAnsi="Times New Roman"/>
                <w:snapToGrid/>
                <w:color w:val="000000"/>
                <w:sz w:val="20"/>
              </w:rPr>
              <w:t>$668</w:t>
            </w:r>
          </w:p>
        </w:tc>
      </w:tr>
      <w:tr w14:paraId="4207CCC7" w14:textId="77777777" w:rsidTr="0093292A">
        <w:tblPrEx>
          <w:tblW w:w="10192" w:type="dxa"/>
          <w:tblLook w:val="04A0"/>
        </w:tblPrEx>
        <w:trPr>
          <w:trHeight w:val="379"/>
        </w:trPr>
        <w:tc>
          <w:tcPr>
            <w:tcW w:w="0" w:type="auto"/>
            <w:gridSpan w:val="3"/>
            <w:tcBorders>
              <w:top w:val="single" w:sz="8" w:space="0" w:color="auto"/>
              <w:left w:val="single" w:sz="8" w:space="0" w:color="auto"/>
              <w:bottom w:val="single" w:sz="8" w:space="0" w:color="auto"/>
              <w:right w:val="nil"/>
            </w:tcBorders>
            <w:shd w:val="clear" w:color="000000" w:fill="FFFFFF"/>
            <w:noWrap/>
            <w:vAlign w:val="center"/>
            <w:hideMark/>
          </w:tcPr>
          <w:p w:rsidR="009D73A3" w:rsidRPr="009D73A3" w:rsidP="009D73A3" w14:paraId="186CA4D1" w14:textId="77777777">
            <w:pPr>
              <w:widowControl/>
              <w:jc w:val="right"/>
              <w:rPr>
                <w:rFonts w:ascii="Times New Roman" w:hAnsi="Times New Roman"/>
                <w:b/>
                <w:bCs/>
                <w:i/>
                <w:iCs/>
                <w:snapToGrid/>
                <w:color w:val="000000"/>
                <w:sz w:val="20"/>
              </w:rPr>
            </w:pPr>
            <w:r w:rsidRPr="009D73A3">
              <w:rPr>
                <w:rFonts w:ascii="Times New Roman" w:hAnsi="Times New Roman"/>
                <w:b/>
                <w:bCs/>
                <w:i/>
                <w:iCs/>
                <w:snapToGrid/>
                <w:color w:val="000000"/>
                <w:sz w:val="20"/>
              </w:rPr>
              <w:t>Total Annual Respondent Cost:</w:t>
            </w:r>
          </w:p>
        </w:tc>
        <w:tc>
          <w:tcPr>
            <w:tcW w:w="0" w:type="auto"/>
            <w:tcBorders>
              <w:top w:val="nil"/>
              <w:left w:val="nil"/>
              <w:bottom w:val="single" w:sz="8" w:space="0" w:color="auto"/>
              <w:right w:val="single" w:sz="8" w:space="0" w:color="auto"/>
            </w:tcBorders>
            <w:shd w:val="clear" w:color="000000" w:fill="FFFFFF"/>
            <w:vAlign w:val="center"/>
            <w:hideMark/>
          </w:tcPr>
          <w:p w:rsidR="009D73A3" w:rsidRPr="009D73A3" w:rsidP="009D73A3" w14:paraId="1AFB9ECD" w14:textId="77777777">
            <w:pPr>
              <w:widowControl/>
              <w:ind w:firstLine="200" w:firstLineChars="100"/>
              <w:jc w:val="right"/>
              <w:rPr>
                <w:rFonts w:ascii="Times New Roman" w:hAnsi="Times New Roman"/>
                <w:b/>
                <w:bCs/>
                <w:i/>
                <w:iCs/>
                <w:snapToGrid/>
                <w:color w:val="000000"/>
                <w:sz w:val="20"/>
              </w:rPr>
            </w:pPr>
            <w:r w:rsidRPr="009D73A3">
              <w:rPr>
                <w:rFonts w:ascii="Times New Roman" w:hAnsi="Times New Roman"/>
                <w:b/>
                <w:bCs/>
                <w:i/>
                <w:iCs/>
                <w:snapToGrid/>
                <w:color w:val="000000"/>
                <w:sz w:val="20"/>
              </w:rPr>
              <w:t xml:space="preserve">$668 </w:t>
            </w:r>
          </w:p>
        </w:tc>
      </w:tr>
      <w:tr w14:paraId="1E4B4137" w14:textId="77777777" w:rsidTr="0093292A">
        <w:tblPrEx>
          <w:tblW w:w="10192" w:type="dxa"/>
          <w:tblLook w:val="04A0"/>
        </w:tblPrEx>
        <w:trPr>
          <w:trHeight w:val="178"/>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hideMark/>
          </w:tcPr>
          <w:p w:rsidR="009D73A3" w:rsidRPr="009D73A3" w:rsidP="009D73A3" w14:paraId="4047D1DF" w14:textId="77777777">
            <w:pPr>
              <w:widowControl/>
              <w:rPr>
                <w:rFonts w:ascii="Times New Roman" w:hAnsi="Times New Roman"/>
                <w:snapToGrid/>
                <w:color w:val="000000"/>
                <w:sz w:val="18"/>
                <w:szCs w:val="18"/>
              </w:rPr>
            </w:pPr>
            <w:r w:rsidRPr="009D73A3">
              <w:rPr>
                <w:rFonts w:ascii="Times New Roman" w:hAnsi="Times New Roman"/>
                <w:snapToGrid/>
                <w:color w:val="000000"/>
                <w:sz w:val="18"/>
                <w:szCs w:val="18"/>
              </w:rPr>
              <w:t>Source: FDIC.</w:t>
            </w:r>
          </w:p>
        </w:tc>
      </w:tr>
    </w:tbl>
    <w:p w:rsidR="009D73A3" w:rsidP="009234BE" w14:paraId="5FE50FAE" w14:textId="77777777">
      <w:pPr>
        <w:tabs>
          <w:tab w:val="left" w:pos="-1440"/>
        </w:tabs>
        <w:spacing w:line="360" w:lineRule="auto"/>
        <w:ind w:left="1440"/>
        <w:contextualSpacing/>
        <w:rPr>
          <w:rFonts w:ascii="Times New Roman" w:hAnsi="Times New Roman"/>
        </w:rPr>
      </w:pPr>
    </w:p>
    <w:p w:rsidR="00F146F1" w:rsidRPr="002423D4" w:rsidP="002423D4" w14:paraId="01C12247" w14:textId="77777777">
      <w:pPr>
        <w:numPr>
          <w:ilvl w:val="0"/>
          <w:numId w:val="4"/>
        </w:numPr>
        <w:tabs>
          <w:tab w:val="left" w:pos="480"/>
          <w:tab w:val="left" w:pos="1080"/>
        </w:tabs>
        <w:suppressAutoHyphens/>
        <w:rPr>
          <w:rFonts w:ascii="Times New Roman" w:hAnsi="Times New Roman"/>
        </w:rPr>
      </w:pPr>
      <w:r w:rsidRPr="00366534">
        <w:rPr>
          <w:rFonts w:ascii="Times New Roman" w:hAnsi="Times New Roman"/>
          <w:u w:val="single"/>
        </w:rPr>
        <w:t>Estimate of start-up cost to respondents:</w:t>
      </w:r>
    </w:p>
    <w:p w:rsidR="00F146F1" w14:paraId="694CB0AB" w14:textId="77777777">
      <w:pPr>
        <w:widowControl/>
        <w:rPr>
          <w:rFonts w:ascii="Times New Roman" w:hAnsi="Times New Roman"/>
        </w:rPr>
      </w:pPr>
    </w:p>
    <w:p w:rsidR="00F146F1" w14:paraId="3E2276C7" w14:textId="77777777">
      <w:pPr>
        <w:widowControl/>
        <w:ind w:left="720" w:firstLine="720"/>
        <w:rPr>
          <w:rFonts w:ascii="Times New Roman" w:hAnsi="Times New Roman"/>
        </w:rPr>
      </w:pPr>
      <w:r w:rsidRPr="00366534">
        <w:rPr>
          <w:rFonts w:ascii="Times New Roman" w:hAnsi="Times New Roman"/>
        </w:rPr>
        <w:t>There are no anticipated capital, start-up, or operating costs.</w:t>
      </w:r>
    </w:p>
    <w:p w:rsidR="00F146F1" w14:paraId="4B3374ED" w14:textId="77777777">
      <w:pPr>
        <w:widowControl/>
        <w:rPr>
          <w:rFonts w:ascii="Times New Roman" w:hAnsi="Times New Roman"/>
        </w:rPr>
      </w:pPr>
    </w:p>
    <w:p w:rsidR="00F146F1" w:rsidP="00F175D5" w14:paraId="101990A0" w14:textId="77777777">
      <w:pPr>
        <w:widowControl/>
        <w:numPr>
          <w:ilvl w:val="0"/>
          <w:numId w:val="4"/>
        </w:numPr>
        <w:rPr>
          <w:rFonts w:ascii="Times New Roman" w:hAnsi="Times New Roman"/>
        </w:rPr>
      </w:pPr>
      <w:r w:rsidRPr="00243153">
        <w:rPr>
          <w:rFonts w:ascii="Times New Roman" w:hAnsi="Times New Roman"/>
          <w:color w:val="000000"/>
          <w:u w:val="single"/>
        </w:rPr>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F146F1" w14:paraId="3FCE0C83" w14:textId="77777777">
      <w:pPr>
        <w:widowControl/>
        <w:rPr>
          <w:rFonts w:ascii="Times New Roman" w:hAnsi="Times New Roman"/>
        </w:rPr>
      </w:pPr>
    </w:p>
    <w:p w:rsidR="00F146F1" w14:paraId="5EC2D4E1" w14:textId="77777777">
      <w:pPr>
        <w:widowControl/>
        <w:ind w:left="1440"/>
        <w:rPr>
          <w:rFonts w:ascii="Times New Roman" w:hAnsi="Times New Roman"/>
        </w:rPr>
      </w:pPr>
      <w:r>
        <w:rPr>
          <w:rFonts w:ascii="Times New Roman" w:hAnsi="Times New Roman"/>
        </w:rPr>
        <w:t xml:space="preserve">None. </w:t>
      </w:r>
    </w:p>
    <w:p w:rsidR="00F146F1" w14:paraId="736DAD07" w14:textId="77777777">
      <w:pPr>
        <w:widowControl/>
        <w:ind w:left="1440"/>
        <w:rPr>
          <w:rFonts w:ascii="Times New Roman" w:hAnsi="Times New Roman"/>
        </w:rPr>
      </w:pPr>
    </w:p>
    <w:p w:rsidR="00F146F1" w:rsidRPr="009234BE" w:rsidP="002423D4" w14:paraId="5193D7F5" w14:textId="77777777">
      <w:pPr>
        <w:numPr>
          <w:ilvl w:val="0"/>
          <w:numId w:val="4"/>
        </w:numPr>
        <w:tabs>
          <w:tab w:val="left" w:pos="480"/>
          <w:tab w:val="left" w:pos="1080"/>
          <w:tab w:val="left" w:pos="1680"/>
        </w:tabs>
        <w:suppressAutoHyphens/>
        <w:rPr>
          <w:rFonts w:ascii="Times New Roman" w:hAnsi="Times New Roman"/>
        </w:rPr>
      </w:pPr>
      <w:r w:rsidRPr="009234BE">
        <w:rPr>
          <w:rFonts w:ascii="Times New Roman" w:hAnsi="Times New Roman"/>
          <w:u w:val="single"/>
        </w:rPr>
        <w:t>Analysis of change in burden:</w:t>
      </w:r>
    </w:p>
    <w:p w:rsidR="00F146F1" w14:paraId="2FD0B9EE" w14:textId="77777777">
      <w:pPr>
        <w:widowControl/>
        <w:rPr>
          <w:rFonts w:ascii="Times New Roman" w:hAnsi="Times New Roman"/>
        </w:rPr>
      </w:pPr>
    </w:p>
    <w:p w:rsidR="004D178A" w:rsidRPr="00AE5959" w:rsidP="004D178A" w14:paraId="7579B6D3" w14:textId="029982AC">
      <w:pPr>
        <w:tabs>
          <w:tab w:val="left" w:pos="-1440"/>
        </w:tabs>
        <w:ind w:left="1440"/>
        <w:rPr>
          <w:rFonts w:ascii="Times New Roman" w:hAnsi="Times New Roman"/>
        </w:rPr>
      </w:pPr>
      <w:r w:rsidRPr="0093292A">
        <w:rPr>
          <w:rFonts w:ascii="Times New Roman" w:hAnsi="Times New Roman"/>
          <w:snapToGrid/>
          <w:szCs w:val="24"/>
        </w:rPr>
        <w:t xml:space="preserve">There has been no change in the method or substance of this information </w:t>
      </w:r>
      <w:r w:rsidRPr="0093292A">
        <w:rPr>
          <w:rFonts w:ascii="Times New Roman" w:hAnsi="Times New Roman"/>
          <w:snapToGrid/>
          <w:szCs w:val="24"/>
        </w:rPr>
        <w:t xml:space="preserve">collection.  The decrease in total estimated annual burden from </w:t>
      </w:r>
      <w:r>
        <w:rPr>
          <w:rFonts w:ascii="Times New Roman" w:hAnsi="Times New Roman"/>
          <w:snapToGrid/>
          <w:szCs w:val="24"/>
        </w:rPr>
        <w:t>21</w:t>
      </w:r>
      <w:r w:rsidRPr="0093292A">
        <w:rPr>
          <w:rFonts w:ascii="Times New Roman" w:hAnsi="Times New Roman"/>
          <w:snapToGrid/>
          <w:szCs w:val="24"/>
        </w:rPr>
        <w:t xml:space="preserve"> hours in 2022 to </w:t>
      </w:r>
      <w:r>
        <w:rPr>
          <w:rFonts w:ascii="Times New Roman" w:hAnsi="Times New Roman"/>
          <w:snapToGrid/>
          <w:szCs w:val="24"/>
        </w:rPr>
        <w:t>11</w:t>
      </w:r>
      <w:r w:rsidRPr="0093292A">
        <w:rPr>
          <w:rFonts w:ascii="Times New Roman" w:hAnsi="Times New Roman"/>
          <w:snapToGrid/>
          <w:szCs w:val="24"/>
        </w:rPr>
        <w:t xml:space="preserve"> hours currently, a decline of </w:t>
      </w:r>
      <w:r>
        <w:rPr>
          <w:rFonts w:ascii="Times New Roman" w:hAnsi="Times New Roman"/>
          <w:snapToGrid/>
          <w:szCs w:val="24"/>
        </w:rPr>
        <w:t>10</w:t>
      </w:r>
      <w:r w:rsidRPr="0093292A">
        <w:rPr>
          <w:rFonts w:ascii="Times New Roman" w:hAnsi="Times New Roman"/>
          <w:snapToGrid/>
          <w:szCs w:val="24"/>
        </w:rPr>
        <w:t xml:space="preserve"> is the result of </w:t>
      </w:r>
      <w:r>
        <w:rPr>
          <w:rFonts w:ascii="Times New Roman" w:hAnsi="Times New Roman"/>
          <w:snapToGrid/>
          <w:szCs w:val="24"/>
        </w:rPr>
        <w:t>both the decrease in the estimated number of responses and the changes to the estimated time per response</w:t>
      </w:r>
      <w:r w:rsidR="00D42DF2">
        <w:rPr>
          <w:rFonts w:ascii="Times New Roman" w:hAnsi="Times New Roman"/>
          <w:spacing w:val="-3"/>
        </w:rPr>
        <w:t>.</w:t>
      </w:r>
      <w:r w:rsidRPr="001F2335" w:rsidR="001F2335">
        <w:rPr>
          <w:rFonts w:ascii="Times New Roman" w:hAnsi="Times New Roman"/>
          <w:spacing w:val="-3"/>
        </w:rPr>
        <w:t xml:space="preserve">  </w:t>
      </w:r>
    </w:p>
    <w:p w:rsidR="00D5774D" w:rsidP="003548EB" w14:paraId="5967B4E9" w14:textId="77777777">
      <w:pPr>
        <w:widowControl/>
        <w:ind w:left="1440"/>
        <w:rPr>
          <w:rFonts w:ascii="Times New Roman" w:hAnsi="Times New Roman"/>
        </w:rPr>
      </w:pPr>
    </w:p>
    <w:p w:rsidR="00F146F1" w:rsidP="00F175D5" w14:paraId="7A943D03" w14:textId="77777777">
      <w:pPr>
        <w:widowControl/>
        <w:numPr>
          <w:ilvl w:val="0"/>
          <w:numId w:val="4"/>
        </w:numPr>
        <w:rPr>
          <w:rFonts w:ascii="Times New Roman" w:hAnsi="Times New Roman"/>
        </w:rPr>
      </w:pPr>
      <w:r w:rsidRPr="00366534">
        <w:rPr>
          <w:rFonts w:ascii="Times New Roman" w:hAnsi="Times New Roman"/>
          <w:u w:val="single"/>
        </w:rPr>
        <w:t>Information regarding collections whose results are planned to be published for statistical use:</w:t>
      </w:r>
    </w:p>
    <w:p w:rsidR="00F146F1" w14:paraId="23F58B49" w14:textId="77777777">
      <w:pPr>
        <w:widowControl/>
        <w:rPr>
          <w:rFonts w:ascii="Times New Roman" w:hAnsi="Times New Roman"/>
        </w:rPr>
      </w:pPr>
    </w:p>
    <w:p w:rsidR="00820109" w:rsidP="00573F81" w14:paraId="1DED3847" w14:textId="77777777">
      <w:pPr>
        <w:widowControl/>
        <w:ind w:left="1296" w:firstLine="144"/>
        <w:rPr>
          <w:rFonts w:ascii="Times New Roman" w:hAnsi="Times New Roman"/>
        </w:rPr>
      </w:pPr>
      <w:r w:rsidRPr="00573F81">
        <w:rPr>
          <w:rFonts w:ascii="Times New Roman" w:hAnsi="Times New Roman"/>
        </w:rPr>
        <w:t>Th</w:t>
      </w:r>
      <w:r w:rsidR="00EC31FD">
        <w:rPr>
          <w:rFonts w:ascii="Times New Roman" w:hAnsi="Times New Roman"/>
        </w:rPr>
        <w:t>e</w:t>
      </w:r>
      <w:r w:rsidRPr="00573F81">
        <w:rPr>
          <w:rFonts w:ascii="Times New Roman" w:hAnsi="Times New Roman"/>
        </w:rPr>
        <w:t xml:space="preserve"> information contained in this collection is not published</w:t>
      </w:r>
      <w:r w:rsidR="00C856F6">
        <w:rPr>
          <w:rFonts w:ascii="Times New Roman" w:hAnsi="Times New Roman"/>
        </w:rPr>
        <w:t>.</w:t>
      </w:r>
    </w:p>
    <w:p w:rsidR="00820109" w14:paraId="3094BD95" w14:textId="77777777">
      <w:pPr>
        <w:widowControl/>
        <w:rPr>
          <w:rFonts w:ascii="Times New Roman" w:hAnsi="Times New Roman"/>
        </w:rPr>
      </w:pPr>
    </w:p>
    <w:p w:rsidR="00F146F1" w:rsidP="00F175D5" w14:paraId="5539C309" w14:textId="77777777">
      <w:pPr>
        <w:widowControl/>
        <w:numPr>
          <w:ilvl w:val="0"/>
          <w:numId w:val="4"/>
        </w:numPr>
        <w:rPr>
          <w:rFonts w:ascii="Times New Roman" w:hAnsi="Times New Roman"/>
        </w:rPr>
      </w:pPr>
      <w:r w:rsidRPr="00366534">
        <w:rPr>
          <w:rFonts w:ascii="Times New Roman" w:hAnsi="Times New Roman"/>
          <w:u w:val="single"/>
        </w:rPr>
        <w:t>Exceptions to expiration date display</w:t>
      </w:r>
      <w:r>
        <w:rPr>
          <w:rFonts w:ascii="Times New Roman" w:hAnsi="Times New Roman"/>
          <w:u w:val="single"/>
        </w:rPr>
        <w:t>:</w:t>
      </w:r>
    </w:p>
    <w:p w:rsidR="00F146F1" w14:paraId="23FC1C2B" w14:textId="77777777">
      <w:pPr>
        <w:widowControl/>
        <w:rPr>
          <w:rFonts w:ascii="Times New Roman" w:hAnsi="Times New Roman"/>
        </w:rPr>
      </w:pPr>
    </w:p>
    <w:p w:rsidR="00F146F1" w:rsidP="00820109" w14:paraId="19D166AE" w14:textId="77777777">
      <w:pPr>
        <w:widowControl/>
        <w:ind w:left="1296" w:firstLine="144"/>
        <w:rPr>
          <w:rFonts w:ascii="Times New Roman" w:hAnsi="Times New Roman"/>
        </w:rPr>
      </w:pPr>
      <w:r w:rsidRPr="00820109">
        <w:rPr>
          <w:rFonts w:ascii="Times New Roman" w:hAnsi="Times New Roman"/>
        </w:rPr>
        <w:t>Not applicable.</w:t>
      </w:r>
      <w:r>
        <w:rPr>
          <w:rFonts w:ascii="Times New Roman" w:hAnsi="Times New Roman"/>
        </w:rPr>
        <w:t xml:space="preserve"> </w:t>
      </w:r>
    </w:p>
    <w:p w:rsidR="00EC31FD" w:rsidP="00820109" w14:paraId="115CD883" w14:textId="77777777">
      <w:pPr>
        <w:widowControl/>
        <w:ind w:left="1296" w:firstLine="144"/>
        <w:rPr>
          <w:rFonts w:ascii="Times New Roman" w:hAnsi="Times New Roman"/>
        </w:rPr>
      </w:pPr>
    </w:p>
    <w:p w:rsidR="00F146F1" w:rsidP="00F175D5" w14:paraId="31EACF04" w14:textId="77777777">
      <w:pPr>
        <w:widowControl/>
        <w:numPr>
          <w:ilvl w:val="0"/>
          <w:numId w:val="4"/>
        </w:numPr>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w:t>
      </w:r>
    </w:p>
    <w:p w:rsidR="00F146F1" w14:paraId="1814937D" w14:textId="77777777">
      <w:pPr>
        <w:widowControl/>
        <w:rPr>
          <w:rFonts w:ascii="Times New Roman" w:hAnsi="Times New Roman"/>
        </w:rPr>
      </w:pPr>
    </w:p>
    <w:p w:rsidR="00F146F1" w14:paraId="686ADD60" w14:textId="77777777">
      <w:pPr>
        <w:widowControl/>
        <w:ind w:left="1296" w:firstLine="144"/>
        <w:rPr>
          <w:rFonts w:ascii="Times New Roman" w:hAnsi="Times New Roman"/>
        </w:rPr>
      </w:pPr>
      <w:r>
        <w:rPr>
          <w:rFonts w:ascii="Times New Roman" w:hAnsi="Times New Roman"/>
        </w:rPr>
        <w:t xml:space="preserve">None. </w:t>
      </w:r>
    </w:p>
    <w:p w:rsidR="00F146F1" w14:paraId="66BBAA34" w14:textId="77777777">
      <w:pPr>
        <w:pStyle w:val="Footer"/>
        <w:widowControl/>
        <w:tabs>
          <w:tab w:val="clear" w:pos="4320"/>
          <w:tab w:val="clear" w:pos="8640"/>
        </w:tabs>
        <w:rPr>
          <w:rFonts w:ascii="Times New Roman" w:hAnsi="Times New Roman"/>
        </w:rPr>
      </w:pPr>
    </w:p>
    <w:p w:rsidR="00F146F1" w:rsidP="0024672A" w14:paraId="487D702C" w14:textId="77777777">
      <w:pPr>
        <w:widowControl/>
        <w:numPr>
          <w:ilvl w:val="0"/>
          <w:numId w:val="2"/>
        </w:numPr>
        <w:rPr>
          <w:rFonts w:ascii="Times New Roman" w:hAnsi="Times New Roman"/>
        </w:rPr>
      </w:pPr>
      <w:r>
        <w:rPr>
          <w:rFonts w:ascii="Times New Roman" w:hAnsi="Times New Roman"/>
          <w:u w:val="single"/>
        </w:rPr>
        <w:t>STATISTICAL METHODS</w:t>
      </w:r>
    </w:p>
    <w:p w:rsidR="00F146F1" w14:paraId="0F451550" w14:textId="77777777">
      <w:pPr>
        <w:widowControl/>
        <w:rPr>
          <w:rFonts w:ascii="Times New Roman" w:hAnsi="Times New Roman"/>
        </w:rPr>
      </w:pPr>
    </w:p>
    <w:p w:rsidR="00F146F1" w14:paraId="684F62EB" w14:textId="77777777">
      <w:pPr>
        <w:ind w:firstLine="720"/>
      </w:pPr>
      <w:r>
        <w:rPr>
          <w:rFonts w:ascii="Times New Roman" w:hAnsi="Times New Roman"/>
        </w:rPr>
        <w:t>Statistical methods are not employed in this collection.</w:t>
      </w:r>
    </w:p>
    <w:sectPr w:rsidSect="00B91D2F">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1577C8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B6E" w:rsidRPr="00AB4B6E" w14:paraId="1EE96A6F" w14:textId="77777777">
    <w:pPr>
      <w:pStyle w:val="Footer"/>
      <w:jc w:val="center"/>
      <w:rPr>
        <w:rFonts w:ascii="Times New Roman" w:hAnsi="Times New Roman"/>
      </w:rPr>
    </w:pPr>
    <w:r w:rsidRPr="00AB4B6E">
      <w:rPr>
        <w:rFonts w:ascii="Times New Roman" w:hAnsi="Times New Roman"/>
      </w:rPr>
      <w:fldChar w:fldCharType="begin"/>
    </w:r>
    <w:r w:rsidRPr="00AB4B6E">
      <w:rPr>
        <w:rFonts w:ascii="Times New Roman" w:hAnsi="Times New Roman"/>
      </w:rPr>
      <w:instrText xml:space="preserve"> PAGE   \* MERGEFORMAT </w:instrText>
    </w:r>
    <w:r w:rsidRPr="00AB4B6E">
      <w:rPr>
        <w:rFonts w:ascii="Times New Roman" w:hAnsi="Times New Roman"/>
      </w:rPr>
      <w:fldChar w:fldCharType="separate"/>
    </w:r>
    <w:r w:rsidR="00906463">
      <w:rPr>
        <w:rFonts w:ascii="Times New Roman" w:hAnsi="Times New Roman"/>
        <w:noProof/>
      </w:rPr>
      <w:t>6</w:t>
    </w:r>
    <w:r w:rsidRPr="00AB4B6E">
      <w:rPr>
        <w:rFonts w:ascii="Times New Roman" w:hAnsi="Times New Roman"/>
        <w:noProof/>
      </w:rPr>
      <w:fldChar w:fldCharType="end"/>
    </w:r>
  </w:p>
  <w:p w:rsidR="00AB4B6E" w14:paraId="7BA4F50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15E428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444775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2B24B37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1FCCA7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A523C"/>
    <w:multiLevelType w:val="hybridMultilevel"/>
    <w:tmpl w:val="6ED445DA"/>
    <w:lvl w:ilvl="0">
      <w:start w:val="1"/>
      <w:numFmt w:val="decimal"/>
      <w:lvlText w:val="%1."/>
      <w:lvlJc w:val="left"/>
      <w:pPr>
        <w:ind w:left="1440" w:hanging="864"/>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2">
    <w:nsid w:val="24411919"/>
    <w:multiLevelType w:val="hybridMultilevel"/>
    <w:tmpl w:val="6E22AA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3446CD4"/>
    <w:multiLevelType w:val="hybridMultilevel"/>
    <w:tmpl w:val="BA4A55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37436B8"/>
    <w:multiLevelType w:val="hybridMultilevel"/>
    <w:tmpl w:val="FD229DE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507846">
    <w:abstractNumId w:val="3"/>
  </w:num>
  <w:num w:numId="2" w16cid:durableId="1964656557">
    <w:abstractNumId w:val="4"/>
  </w:num>
  <w:num w:numId="3" w16cid:durableId="1386874243">
    <w:abstractNumId w:val="0"/>
  </w:num>
  <w:num w:numId="4" w16cid:durableId="934900173">
    <w:abstractNumId w:val="2"/>
  </w:num>
  <w:num w:numId="5" w16cid:durableId="151626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3A"/>
    <w:rsid w:val="000014B9"/>
    <w:rsid w:val="000305E9"/>
    <w:rsid w:val="00041792"/>
    <w:rsid w:val="000467FC"/>
    <w:rsid w:val="00091BEA"/>
    <w:rsid w:val="000B44D5"/>
    <w:rsid w:val="000C1CA9"/>
    <w:rsid w:val="000E621B"/>
    <w:rsid w:val="000F36F0"/>
    <w:rsid w:val="000F78A5"/>
    <w:rsid w:val="001048A5"/>
    <w:rsid w:val="00133277"/>
    <w:rsid w:val="00145F58"/>
    <w:rsid w:val="00182A75"/>
    <w:rsid w:val="0019296B"/>
    <w:rsid w:val="001B6E46"/>
    <w:rsid w:val="001C1315"/>
    <w:rsid w:val="001F2335"/>
    <w:rsid w:val="001F423C"/>
    <w:rsid w:val="002259F8"/>
    <w:rsid w:val="002423D4"/>
    <w:rsid w:val="00243153"/>
    <w:rsid w:val="00244DE1"/>
    <w:rsid w:val="0024672A"/>
    <w:rsid w:val="00257FD9"/>
    <w:rsid w:val="00263676"/>
    <w:rsid w:val="00275749"/>
    <w:rsid w:val="002761FD"/>
    <w:rsid w:val="00280958"/>
    <w:rsid w:val="00293E01"/>
    <w:rsid w:val="002D08FA"/>
    <w:rsid w:val="002D71E7"/>
    <w:rsid w:val="002E7411"/>
    <w:rsid w:val="0030358E"/>
    <w:rsid w:val="003548EB"/>
    <w:rsid w:val="00360271"/>
    <w:rsid w:val="00366534"/>
    <w:rsid w:val="00397D8A"/>
    <w:rsid w:val="003B6611"/>
    <w:rsid w:val="00403156"/>
    <w:rsid w:val="004236C6"/>
    <w:rsid w:val="00440BFE"/>
    <w:rsid w:val="00450EA2"/>
    <w:rsid w:val="004610F8"/>
    <w:rsid w:val="004A1DB1"/>
    <w:rsid w:val="004A735C"/>
    <w:rsid w:val="004A75C2"/>
    <w:rsid w:val="004D178A"/>
    <w:rsid w:val="004D39FB"/>
    <w:rsid w:val="00573F81"/>
    <w:rsid w:val="00577D56"/>
    <w:rsid w:val="00583579"/>
    <w:rsid w:val="005C3A95"/>
    <w:rsid w:val="005D5BCD"/>
    <w:rsid w:val="005D7D11"/>
    <w:rsid w:val="005E1A91"/>
    <w:rsid w:val="005F4BC0"/>
    <w:rsid w:val="005F6EF2"/>
    <w:rsid w:val="00647904"/>
    <w:rsid w:val="00665011"/>
    <w:rsid w:val="00685D84"/>
    <w:rsid w:val="00686394"/>
    <w:rsid w:val="006C20BA"/>
    <w:rsid w:val="006C40EC"/>
    <w:rsid w:val="006D363B"/>
    <w:rsid w:val="006E7CE7"/>
    <w:rsid w:val="00712BA4"/>
    <w:rsid w:val="00732923"/>
    <w:rsid w:val="007520FC"/>
    <w:rsid w:val="007950ED"/>
    <w:rsid w:val="007C18CB"/>
    <w:rsid w:val="007C7C88"/>
    <w:rsid w:val="007E19E5"/>
    <w:rsid w:val="00820109"/>
    <w:rsid w:val="0086148F"/>
    <w:rsid w:val="008D5746"/>
    <w:rsid w:val="00906463"/>
    <w:rsid w:val="00906A1A"/>
    <w:rsid w:val="00915517"/>
    <w:rsid w:val="009234BE"/>
    <w:rsid w:val="0093292A"/>
    <w:rsid w:val="00940034"/>
    <w:rsid w:val="009533E6"/>
    <w:rsid w:val="00966D55"/>
    <w:rsid w:val="00971714"/>
    <w:rsid w:val="009A2D61"/>
    <w:rsid w:val="009D2562"/>
    <w:rsid w:val="009D73A3"/>
    <w:rsid w:val="00A07FF0"/>
    <w:rsid w:val="00A352C5"/>
    <w:rsid w:val="00A92BC6"/>
    <w:rsid w:val="00A9693A"/>
    <w:rsid w:val="00AB4B6E"/>
    <w:rsid w:val="00AC65F4"/>
    <w:rsid w:val="00AC6C23"/>
    <w:rsid w:val="00AE2869"/>
    <w:rsid w:val="00AE5959"/>
    <w:rsid w:val="00AF457E"/>
    <w:rsid w:val="00B10980"/>
    <w:rsid w:val="00B270BA"/>
    <w:rsid w:val="00B37694"/>
    <w:rsid w:val="00B84F00"/>
    <w:rsid w:val="00B91D2F"/>
    <w:rsid w:val="00BD100A"/>
    <w:rsid w:val="00BE42C9"/>
    <w:rsid w:val="00BE7264"/>
    <w:rsid w:val="00C2127E"/>
    <w:rsid w:val="00C30C07"/>
    <w:rsid w:val="00C378BA"/>
    <w:rsid w:val="00C40A1A"/>
    <w:rsid w:val="00C47693"/>
    <w:rsid w:val="00C56C82"/>
    <w:rsid w:val="00C85089"/>
    <w:rsid w:val="00C856F6"/>
    <w:rsid w:val="00CC631A"/>
    <w:rsid w:val="00CF47F1"/>
    <w:rsid w:val="00D07D24"/>
    <w:rsid w:val="00D42DF2"/>
    <w:rsid w:val="00D44BED"/>
    <w:rsid w:val="00D463FB"/>
    <w:rsid w:val="00D5774D"/>
    <w:rsid w:val="00D61C76"/>
    <w:rsid w:val="00DB3B4B"/>
    <w:rsid w:val="00DE7B91"/>
    <w:rsid w:val="00DF6607"/>
    <w:rsid w:val="00E25D2F"/>
    <w:rsid w:val="00E57520"/>
    <w:rsid w:val="00E57EA2"/>
    <w:rsid w:val="00EC31FD"/>
    <w:rsid w:val="00ED4700"/>
    <w:rsid w:val="00EE7AE6"/>
    <w:rsid w:val="00EF4F6D"/>
    <w:rsid w:val="00F00FB3"/>
    <w:rsid w:val="00F146F1"/>
    <w:rsid w:val="00F175D5"/>
    <w:rsid w:val="00F42923"/>
    <w:rsid w:val="00F57EDA"/>
    <w:rsid w:val="00F611B1"/>
    <w:rsid w:val="00F64A3B"/>
    <w:rsid w:val="00F85608"/>
    <w:rsid w:val="00FA0B60"/>
    <w:rsid w:val="00FA4D5D"/>
    <w:rsid w:val="00FA5B95"/>
    <w:rsid w:val="00FE04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54FD3F"/>
  <w15:chartTrackingRefBased/>
  <w15:docId w15:val="{FBF1565E-3DA6-4FF2-990F-5650505E8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Hyperlink">
    <w:name w:val="Hyperlink"/>
    <w:uiPriority w:val="99"/>
    <w:unhideWhenUsed/>
    <w:rsid w:val="00FE0498"/>
    <w:rPr>
      <w:color w:val="0000FF"/>
      <w:u w:val="single"/>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locked/>
    <w:rsid w:val="00FE0498"/>
  </w:style>
  <w:style w:type="paragraph" w:styleId="FootnoteText">
    <w:name w:val="footnote text"/>
    <w:aliases w:val="ALTS FOOTNOTE,Footnote Text Char Char Char Char Char Char Char Char Char Char Char Char Char Char Char Char Char,Footnote Text Char Char Char Char Char Char Char Char Char Char Char Char Char Char Char Char Char Char Char Char,fn,ft"/>
    <w:basedOn w:val="Normal"/>
    <w:link w:val="FootnoteTextChar"/>
    <w:uiPriority w:val="99"/>
    <w:unhideWhenUsed/>
    <w:qFormat/>
    <w:rsid w:val="00FE0498"/>
    <w:pPr>
      <w:widowControl/>
    </w:pPr>
    <w:rPr>
      <w:rFonts w:ascii="Times New Roman" w:hAnsi="Times New Roman"/>
      <w:snapToGrid/>
      <w:sz w:val="20"/>
    </w:rPr>
  </w:style>
  <w:style w:type="character" w:customStyle="1" w:styleId="FootnoteTextChar1">
    <w:name w:val="Footnote Text Char1"/>
    <w:rsid w:val="00FE0498"/>
    <w:rPr>
      <w:rFonts w:ascii="Courier" w:hAnsi="Courier"/>
      <w:snapToGrid w:val="0"/>
    </w:rPr>
  </w:style>
  <w:style w:type="paragraph" w:customStyle="1" w:styleId="Default">
    <w:name w:val="Default"/>
    <w:rsid w:val="00FE0498"/>
    <w:pPr>
      <w:autoSpaceDE w:val="0"/>
      <w:autoSpaceDN w:val="0"/>
      <w:adjustRightInd w:val="0"/>
    </w:pPr>
    <w:rPr>
      <w:color w:val="000000"/>
      <w:sz w:val="24"/>
      <w:szCs w:val="24"/>
    </w:rPr>
  </w:style>
  <w:style w:type="character" w:styleId="FootnoteReference">
    <w:name w:val="footnote reference"/>
    <w:aliases w:val="(Footnote Reference),12,BVI fnr,EN Footnote Reference,Footnote,Footnote Reference Superscript,Footnote reference number,Footnote symbol,Nota,SUPERS,Style 14,Style 16,Style 19,Style 35,Style 39,Style 6,Voetnootverwijzing,fr,note TESI"/>
    <w:uiPriority w:val="99"/>
    <w:unhideWhenUsed/>
    <w:qFormat/>
    <w:rsid w:val="00FE0498"/>
    <w:rPr>
      <w:vertAlign w:val="superscript"/>
    </w:rPr>
  </w:style>
  <w:style w:type="character" w:styleId="FollowedHyperlink">
    <w:name w:val="FollowedHyperlink"/>
    <w:rsid w:val="000305E9"/>
    <w:rPr>
      <w:color w:val="800080"/>
      <w:u w:val="single"/>
    </w:rPr>
  </w:style>
  <w:style w:type="paragraph" w:styleId="BalloonText">
    <w:name w:val="Balloon Text"/>
    <w:basedOn w:val="Normal"/>
    <w:link w:val="BalloonTextChar"/>
    <w:rsid w:val="009533E6"/>
    <w:rPr>
      <w:rFonts w:ascii="Tahoma" w:hAnsi="Tahoma" w:cs="Tahoma"/>
      <w:sz w:val="16"/>
      <w:szCs w:val="16"/>
    </w:rPr>
  </w:style>
  <w:style w:type="character" w:customStyle="1" w:styleId="BalloonTextChar">
    <w:name w:val="Balloon Text Char"/>
    <w:link w:val="BalloonText"/>
    <w:rsid w:val="009533E6"/>
    <w:rPr>
      <w:rFonts w:ascii="Tahoma" w:hAnsi="Tahoma" w:cs="Tahoma"/>
      <w:snapToGrid w:val="0"/>
      <w:sz w:val="16"/>
      <w:szCs w:val="16"/>
    </w:rPr>
  </w:style>
  <w:style w:type="paragraph" w:styleId="Header">
    <w:name w:val="header"/>
    <w:basedOn w:val="Normal"/>
    <w:link w:val="HeaderChar"/>
    <w:rsid w:val="00AB4B6E"/>
    <w:pPr>
      <w:tabs>
        <w:tab w:val="center" w:pos="4680"/>
        <w:tab w:val="right" w:pos="9360"/>
      </w:tabs>
    </w:pPr>
  </w:style>
  <w:style w:type="character" w:customStyle="1" w:styleId="HeaderChar">
    <w:name w:val="Header Char"/>
    <w:link w:val="Header"/>
    <w:rsid w:val="00AB4B6E"/>
    <w:rPr>
      <w:rFonts w:ascii="Courier" w:hAnsi="Courier"/>
      <w:snapToGrid w:val="0"/>
      <w:sz w:val="24"/>
    </w:rPr>
  </w:style>
  <w:style w:type="character" w:customStyle="1" w:styleId="FooterChar">
    <w:name w:val="Footer Char"/>
    <w:link w:val="Footer"/>
    <w:uiPriority w:val="99"/>
    <w:rsid w:val="00AB4B6E"/>
    <w:rPr>
      <w:rFonts w:ascii="Courier" w:hAnsi="Courier"/>
      <w:snapToGrid w:val="0"/>
      <w:sz w:val="24"/>
    </w:rPr>
  </w:style>
  <w:style w:type="character" w:customStyle="1" w:styleId="normaltextrun">
    <w:name w:val="normaltextrun"/>
    <w:rsid w:val="009234BE"/>
  </w:style>
  <w:style w:type="character" w:customStyle="1" w:styleId="eop">
    <w:name w:val="eop"/>
    <w:rsid w:val="009234BE"/>
  </w:style>
  <w:style w:type="table" w:styleId="TableGrid">
    <w:name w:val="Table Grid"/>
    <w:basedOn w:val="TableNormal"/>
    <w:uiPriority w:val="39"/>
    <w:rsid w:val="00820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4D5D"/>
  </w:style>
  <w:style w:type="table" w:customStyle="1" w:styleId="TableGrid1">
    <w:name w:val="Table Grid1"/>
    <w:basedOn w:val="TableNormal"/>
    <w:next w:val="TableGrid"/>
    <w:uiPriority w:val="39"/>
    <w:rsid w:val="007C18CB"/>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4A75C2"/>
    <w:rPr>
      <w:sz w:val="16"/>
      <w:szCs w:val="16"/>
    </w:rPr>
  </w:style>
  <w:style w:type="paragraph" w:styleId="CommentText">
    <w:name w:val="annotation text"/>
    <w:basedOn w:val="Normal"/>
    <w:link w:val="CommentTextChar"/>
    <w:rsid w:val="004A75C2"/>
    <w:rPr>
      <w:sz w:val="20"/>
    </w:rPr>
  </w:style>
  <w:style w:type="character" w:customStyle="1" w:styleId="CommentTextChar">
    <w:name w:val="Comment Text Char"/>
    <w:link w:val="CommentText"/>
    <w:rsid w:val="004A75C2"/>
    <w:rPr>
      <w:rFonts w:ascii="Courier" w:hAnsi="Courier"/>
      <w:snapToGrid w:val="0"/>
    </w:rPr>
  </w:style>
  <w:style w:type="paragraph" w:styleId="CommentSubject">
    <w:name w:val="annotation subject"/>
    <w:basedOn w:val="CommentText"/>
    <w:next w:val="CommentText"/>
    <w:link w:val="CommentSubjectChar"/>
    <w:rsid w:val="004A75C2"/>
    <w:rPr>
      <w:b/>
      <w:bCs/>
    </w:rPr>
  </w:style>
  <w:style w:type="character" w:customStyle="1" w:styleId="CommentSubjectChar">
    <w:name w:val="Comment Subject Char"/>
    <w:link w:val="CommentSubject"/>
    <w:rsid w:val="004A75C2"/>
    <w:rPr>
      <w:rFonts w:ascii="Courier" w:hAnsi="Courier"/>
      <w:b/>
      <w:bCs/>
      <w:snapToGrid w:val="0"/>
    </w:rPr>
  </w:style>
  <w:style w:type="paragraph" w:styleId="Revision">
    <w:name w:val="Revision"/>
    <w:hidden/>
    <w:uiPriority w:val="99"/>
    <w:semiHidden/>
    <w:rsid w:val="004A75C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52B5A-B0CF-4B91-A3F7-87A046E8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1533</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Gofney, Rashida K.</cp:lastModifiedBy>
  <cp:revision>2</cp:revision>
  <dcterms:created xsi:type="dcterms:W3CDTF">2025-03-26T15:15:00Z</dcterms:created>
  <dcterms:modified xsi:type="dcterms:W3CDTF">2025-03-26T15:15:00Z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cacbb225-84b9-4787-82ad-1be9e5fcd0f4</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2025-03-24T17:15:08Z</vt:lpwstr>
  </property>
  <property fmtid="{D5CDD505-2E9C-101B-9397-08002B2CF9AE}" pid="8" name="MSIP_Label_3be8ab8c-433c-4394-a4fb-cd2d5c4d0a5e_SiteId">
    <vt:lpwstr>26c83bc9-31c1-4d77-a523-0816095aba31</vt:lpwstr>
  </property>
  <property fmtid="{D5CDD505-2E9C-101B-9397-08002B2CF9AE}" pid="9" name="MSIP_Label_3be8ab8c-433c-4394-a4fb-cd2d5c4d0a5e_Tag">
    <vt:lpwstr>10, 0, 1, 1</vt:lpwstr>
  </property>
</Properties>
</file>