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FFC" w:rsidRPr="00BF6D43" w:rsidP="005F1FFC" w14:paraId="7E088B25" w14:textId="77777777"/>
    <w:p w:rsidR="005F1FFC" w:rsidRPr="00BF6D43" w:rsidP="005F1FFC" w14:paraId="28CF1330" w14:textId="77777777">
      <w:pPr>
        <w:jc w:val="center"/>
        <w:rPr>
          <w:b/>
          <w:caps/>
          <w:sz w:val="24"/>
          <w:szCs w:val="24"/>
        </w:rPr>
      </w:pPr>
      <w:r w:rsidRPr="00BF6D43">
        <w:rPr>
          <w:b/>
          <w:caps/>
          <w:sz w:val="24"/>
          <w:szCs w:val="24"/>
        </w:rPr>
        <w:t>Supporting</w:t>
      </w:r>
      <w:r w:rsidRPr="00BF6D43">
        <w:rPr>
          <w:b/>
          <w:sz w:val="24"/>
          <w:szCs w:val="24"/>
        </w:rPr>
        <w:t xml:space="preserve"> </w:t>
      </w:r>
      <w:r w:rsidRPr="00BF6D43">
        <w:rPr>
          <w:b/>
          <w:caps/>
          <w:sz w:val="24"/>
          <w:szCs w:val="24"/>
        </w:rPr>
        <w:t>Statement</w:t>
      </w:r>
      <w:r w:rsidRPr="00BF6D43" w:rsidR="00A4452C">
        <w:rPr>
          <w:b/>
          <w:caps/>
          <w:sz w:val="24"/>
          <w:szCs w:val="24"/>
        </w:rPr>
        <w:t xml:space="preserve"> For</w:t>
      </w:r>
    </w:p>
    <w:p w:rsidR="003225D2" w:rsidRPr="00BF6D43" w:rsidP="00181B86" w14:paraId="00B8C0D6" w14:textId="340FA2F6">
      <w:pPr>
        <w:tabs>
          <w:tab w:val="left" w:pos="3046"/>
        </w:tabs>
        <w:jc w:val="center"/>
        <w:rPr>
          <w:b/>
          <w:caps/>
          <w:sz w:val="24"/>
          <w:szCs w:val="24"/>
        </w:rPr>
      </w:pPr>
      <w:r>
        <w:rPr>
          <w:b/>
          <w:caps/>
          <w:sz w:val="24"/>
          <w:szCs w:val="24"/>
        </w:rPr>
        <w:t>Electronic fund transfer act (regulation e)</w:t>
      </w:r>
    </w:p>
    <w:p w:rsidR="003225D2" w:rsidRPr="00BF6D43" w:rsidP="003225D2" w14:paraId="4ACA79D4" w14:textId="5DDAB891">
      <w:pPr>
        <w:jc w:val="center"/>
        <w:rPr>
          <w:b/>
          <w:bCs/>
          <w:sz w:val="24"/>
          <w:szCs w:val="24"/>
        </w:rPr>
      </w:pPr>
      <w:r w:rsidRPr="00BF6D43">
        <w:rPr>
          <w:b/>
          <w:bCs/>
          <w:sz w:val="24"/>
          <w:szCs w:val="24"/>
        </w:rPr>
        <w:t>OMB CONTROL NO.</w:t>
      </w:r>
      <w:r w:rsidR="00546B53">
        <w:rPr>
          <w:b/>
          <w:bCs/>
          <w:sz w:val="24"/>
          <w:szCs w:val="24"/>
        </w:rPr>
        <w:t xml:space="preserve"> 3170-0014</w:t>
      </w:r>
    </w:p>
    <w:p w:rsidR="00A4452C" w:rsidRPr="00BF6D43" w:rsidP="000F0DD6" w14:paraId="7DC5C315" w14:textId="0B2A5A15">
      <w:pPr>
        <w:tabs>
          <w:tab w:val="left" w:pos="880"/>
        </w:tabs>
        <w:rPr>
          <w:b/>
          <w:caps/>
          <w:sz w:val="24"/>
        </w:rPr>
      </w:pPr>
      <w:r w:rsidRPr="00BF6D43">
        <w:rPr>
          <w:b/>
          <w:caps/>
          <w:sz w:val="24"/>
        </w:rPr>
        <w:tab/>
      </w:r>
    </w:p>
    <w:p w:rsidR="005F1FFC" w:rsidRPr="00BF6D43" w:rsidP="005F1FFC" w14:paraId="14A29F18" w14:textId="77777777">
      <w:pPr>
        <w:jc w:val="center"/>
        <w:rPr>
          <w:b/>
          <w:sz w:val="24"/>
        </w:rPr>
      </w:pPr>
    </w:p>
    <w:p w:rsidR="005F1FFC" w:rsidRPr="00BF6D43" w:rsidP="005F1FFC" w14:paraId="3DBE2AB2" w14:textId="77777777">
      <w:pPr>
        <w:rPr>
          <w:b/>
          <w:sz w:val="24"/>
        </w:rPr>
      </w:pPr>
      <w:r w:rsidRPr="00BF6D43">
        <w:rPr>
          <w:b/>
          <w:sz w:val="24"/>
        </w:rPr>
        <w:t xml:space="preserve">A.  </w:t>
      </w:r>
      <w:r w:rsidRPr="00BF6D43">
        <w:rPr>
          <w:b/>
          <w:caps/>
          <w:sz w:val="24"/>
        </w:rPr>
        <w:t>Justification</w:t>
      </w:r>
    </w:p>
    <w:p w:rsidR="005F1FFC" w:rsidRPr="00BF6D43" w:rsidP="005F1FFC" w14:paraId="4378B360" w14:textId="77777777">
      <w:pPr>
        <w:rPr>
          <w:b/>
          <w:sz w:val="24"/>
        </w:rPr>
      </w:pPr>
    </w:p>
    <w:p w:rsidR="00092D91" w:rsidRPr="00BF6D43" w:rsidP="00092D91" w14:paraId="08863302" w14:textId="77777777">
      <w:pPr>
        <w:rPr>
          <w:sz w:val="24"/>
        </w:rPr>
      </w:pPr>
      <w:r w:rsidRPr="00BF6D43">
        <w:rPr>
          <w:b/>
          <w:bCs/>
          <w:sz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1FFC" w:rsidRPr="00BF6D43" w:rsidP="005F1FFC" w14:paraId="1F5F91FF" w14:textId="77777777">
      <w:pPr>
        <w:rPr>
          <w:sz w:val="24"/>
        </w:rPr>
      </w:pPr>
    </w:p>
    <w:p w:rsidR="00052A9A" w:rsidRPr="00BF04B4" w:rsidP="00052A9A" w14:paraId="7242232F" w14:textId="77777777">
      <w:pPr>
        <w:pStyle w:val="CM10"/>
        <w:spacing w:after="240"/>
        <w:ind w:right="190" w:firstLine="720"/>
        <w:rPr>
          <w:color w:val="000000"/>
        </w:rPr>
      </w:pPr>
      <w:r w:rsidRPr="00BF04B4">
        <w:rPr>
          <w:color w:val="000000"/>
        </w:rPr>
        <w:t xml:space="preserve">The Electronic Fund Transfer Act (EFTA), 15 U.S.C. 1693 </w:t>
      </w:r>
      <w:r w:rsidRPr="00BF04B4">
        <w:rPr>
          <w:i/>
          <w:iCs/>
          <w:color w:val="000000"/>
        </w:rPr>
        <w:t>et seq</w:t>
      </w:r>
      <w:r w:rsidRPr="00BF04B4">
        <w:rPr>
          <w:color w:val="000000"/>
        </w:rPr>
        <w:t>., requires accurate disclosure of the costs, terms, and rights relating to electronic fund transfer (EFT) services and remittance transfer services to consumers.  Entities offering EFT services must provide consumers with full and accurate information regarding consumers’ rights and responsibilities in connection with EFT services.  These disclosures are intended to protect the rights of consumers using EFT services, such as automated teller machine (ATM) transfers, telephone bill-payment services, point-of-sale transfers at retail establishments, electronic check conversion, and preauthorized transfers from or to a consumer’s account.  The EFTA also establishes error resolution procedures and limits consumer liability for unauthorized transfers in connection with EFT services.  The EFTA and Regulation E impose disclosure and other requirements on issuers and sellers of gift cards, gift certificates, and general-use prepaid cards.  The EFTA and Regulation E also provide protections for consumers in the United States who send remittance transfers to persons in a foreign country.</w:t>
      </w:r>
      <w:r>
        <w:rPr>
          <w:color w:val="000000"/>
        </w:rPr>
        <w:t xml:space="preserve">  These protections include disclosures, error resolution, and cancellation rights.</w:t>
      </w:r>
    </w:p>
    <w:p w:rsidR="00052A9A" w:rsidRPr="00BF04B4" w:rsidP="00052A9A" w14:paraId="6E4CAF18" w14:textId="77777777">
      <w:pPr>
        <w:pStyle w:val="CM10"/>
        <w:spacing w:after="240"/>
        <w:ind w:right="75" w:firstLine="720"/>
        <w:rPr>
          <w:color w:val="000000"/>
        </w:rPr>
      </w:pPr>
      <w:r w:rsidRPr="00BF04B4">
        <w:t xml:space="preserve">Under the Dodd-Frank Act, in addition to the transfer of rulemaking authority, the CFPB received certain enforcement authorities with respect to the EFTA.  </w:t>
      </w:r>
      <w:r w:rsidRPr="00BF04B4">
        <w:rPr>
          <w:color w:val="000000"/>
        </w:rPr>
        <w:t xml:space="preserve">The EFTA also contains a private right of action with a one-year statute of limitations for aggrieved consumers. </w:t>
      </w:r>
    </w:p>
    <w:p w:rsidR="00052A9A" w:rsidRPr="00052A9A" w:rsidP="00052A9A" w14:paraId="0EE610A7" w14:textId="77777777">
      <w:pPr>
        <w:pStyle w:val="CM10"/>
        <w:spacing w:after="240"/>
        <w:rPr>
          <w:b/>
          <w:bCs/>
          <w:color w:val="000000"/>
          <w:u w:val="single"/>
        </w:rPr>
      </w:pPr>
      <w:r w:rsidRPr="00052A9A">
        <w:rPr>
          <w:b/>
          <w:bCs/>
          <w:color w:val="000000"/>
          <w:u w:val="single"/>
        </w:rPr>
        <w:t xml:space="preserve">Recordkeeping </w:t>
      </w:r>
    </w:p>
    <w:p w:rsidR="00052A9A" w:rsidRPr="00BF04B4" w:rsidP="00052A9A" w14:paraId="2B197D8F" w14:textId="77777777">
      <w:pPr>
        <w:pStyle w:val="CM10"/>
        <w:spacing w:after="240"/>
        <w:ind w:firstLine="720"/>
        <w:rPr>
          <w:color w:val="000000"/>
        </w:rPr>
      </w:pPr>
      <w:r w:rsidRPr="00BF04B4">
        <w:rPr>
          <w:color w:val="000000"/>
        </w:rPr>
        <w:t xml:space="preserve">Section 1005.13(b) of Regulation E requires entities subject to the EFTA to retain evidence of their compliance with the regulation for not less than two years.  It also provides that any entity subject to the EFTA that is notified by the CFPB (or other administrative agency) that it is being investigated or is the subject of an enforcement proceeding, or that has been notified of a private or criminal action being filed, shall retain the records that pertain to the investigation, action, or proceeding until final disposition of the matter, or such earlier time as allowed by a court or agency order.  The recordkeeping requirement ensures that records that might contain evidence of violations of the EFTA remain available to Federal agencies, as well as to private litigants. </w:t>
      </w:r>
    </w:p>
    <w:p w:rsidR="00052A9A" w:rsidRPr="00BF04B4" w:rsidP="00052A9A" w14:paraId="0BF294D8" w14:textId="77777777">
      <w:pPr>
        <w:pStyle w:val="CM4"/>
        <w:spacing w:after="240" w:line="240" w:lineRule="auto"/>
        <w:ind w:firstLine="720"/>
      </w:pPr>
      <w:r w:rsidRPr="00BF04B4">
        <w:t xml:space="preserve">In addition, Regulation E requires that the policies and </w:t>
      </w:r>
      <w:r w:rsidRPr="00BF04B4">
        <w:rPr>
          <w:color w:val="000000"/>
        </w:rPr>
        <w:t>procedures</w:t>
      </w:r>
      <w:r w:rsidRPr="00BF04B4">
        <w:t xml:space="preserve"> concerning error resolution </w:t>
      </w:r>
      <w:r>
        <w:t xml:space="preserve">required </w:t>
      </w:r>
      <w:r w:rsidRPr="00BF04B4">
        <w:t>of remittance transfer providers</w:t>
      </w:r>
      <w:r>
        <w:t xml:space="preserve"> pursuant to </w:t>
      </w:r>
      <w:r w:rsidRPr="00BF04B4">
        <w:rPr>
          <w:iCs/>
          <w:color w:val="000000"/>
        </w:rPr>
        <w:t>§</w:t>
      </w:r>
      <w:r>
        <w:rPr>
          <w:iCs/>
          <w:color w:val="000000"/>
        </w:rPr>
        <w:t> </w:t>
      </w:r>
      <w:r w:rsidRPr="00BF04B4">
        <w:t>1005.33(g)(</w:t>
      </w:r>
      <w:r>
        <w:t>1</w:t>
      </w:r>
      <w:r w:rsidRPr="00BF04B4">
        <w:t>) include provisions regarding the retention of documentation related to error investigations.  Remittance transfer providers must retain evidence of this compliance for two years.</w:t>
      </w:r>
      <w:r>
        <w:t xml:space="preserve">  12 CFR </w:t>
      </w:r>
      <w:r w:rsidRPr="00E33FB2">
        <w:t>1005.33(g)(2)</w:t>
      </w:r>
      <w:r>
        <w:t>.</w:t>
      </w:r>
    </w:p>
    <w:p w:rsidR="00052A9A" w:rsidRPr="00052A9A" w:rsidP="00052A9A" w14:paraId="7444D74A" w14:textId="77777777">
      <w:pPr>
        <w:pStyle w:val="CM10"/>
        <w:spacing w:after="240"/>
        <w:rPr>
          <w:b/>
          <w:bCs/>
          <w:color w:val="000000"/>
          <w:u w:val="single"/>
        </w:rPr>
      </w:pPr>
      <w:r w:rsidRPr="00052A9A">
        <w:rPr>
          <w:b/>
          <w:bCs/>
          <w:color w:val="000000"/>
          <w:u w:val="single"/>
        </w:rPr>
        <w:t xml:space="preserve">Disclosure </w:t>
      </w:r>
    </w:p>
    <w:p w:rsidR="00052A9A" w:rsidRPr="00BF04B4" w:rsidP="00052A9A" w14:paraId="10043443" w14:textId="77777777">
      <w:pPr>
        <w:pStyle w:val="CM4"/>
        <w:spacing w:after="240" w:line="240" w:lineRule="auto"/>
        <w:ind w:firstLine="720"/>
        <w:rPr>
          <w:iCs/>
          <w:color w:val="000000"/>
        </w:rPr>
      </w:pPr>
      <w:r w:rsidRPr="00BF04B4">
        <w:rPr>
          <w:color w:val="000000"/>
        </w:rPr>
        <w:t>The vast majority of</w:t>
      </w:r>
      <w:r w:rsidRPr="00BF04B4">
        <w:rPr>
          <w:color w:val="000000"/>
        </w:rPr>
        <w:t xml:space="preserve"> Regulation E’s disclosure requirements are statutorily mandated by the EFTA.  </w:t>
      </w:r>
      <w:r w:rsidRPr="00BF04B4">
        <w:rPr>
          <w:i/>
          <w:iCs/>
          <w:color w:val="000000"/>
        </w:rPr>
        <w:t>See, e.g.</w:t>
      </w:r>
      <w:r w:rsidRPr="00BF04B4">
        <w:rPr>
          <w:iCs/>
          <w:color w:val="000000"/>
        </w:rPr>
        <w:t>,</w:t>
      </w:r>
      <w:r w:rsidRPr="00BF04B4">
        <w:rPr>
          <w:color w:val="000000"/>
        </w:rPr>
        <w:t xml:space="preserve"> initial disclosures, 12 CFR 1005.7, 15 U.S.C. 1693c(a); change in terms, 12 CFR 1005.8, 15 U.S.C. 1693c(b); receipts at electronic terminals, 12 CFR 1005.9(a), 15 U.S.C. 1693d(a); periodic statements, 12 CFR 1005.9(b), 15 U.S.C. 1693c; certain preauthorized transfer requirements 12 CFR 1005.10, 15 U.S.C. 1693e; certain error resolution requirements, 12 CFR 1005.11, 15 U.S.C. 1693f; and disclosures for remittance transfers, 12 CFR 1005.31, 15 U.S.C. 1693o-1.  The CFPB has issued model forms and clauses that can be used to comply with some of the written disclosure requirements of the EFTA and Regulation E.  </w:t>
      </w:r>
      <w:r w:rsidRPr="00BF04B4">
        <w:rPr>
          <w:i/>
          <w:iCs/>
          <w:color w:val="000000"/>
        </w:rPr>
        <w:t>See</w:t>
      </w:r>
      <w:r w:rsidRPr="00BF04B4">
        <w:rPr>
          <w:color w:val="000000"/>
        </w:rPr>
        <w:t xml:space="preserve"> Appendix A to Regulation E.  Correct use of these model forms and clauses protects entities from liability for the respective requirements under the EFTA and Regulation E, provided that the usage accurately reflects, as applicable, an entity’s EFT services and/or remittance transfer services.  </w:t>
      </w:r>
      <w:r w:rsidRPr="00BF04B4">
        <w:rPr>
          <w:i/>
          <w:iCs/>
          <w:color w:val="000000"/>
        </w:rPr>
        <w:t xml:space="preserve">Id.  </w:t>
      </w:r>
    </w:p>
    <w:p w:rsidR="00052A9A" w:rsidRPr="00A6319D" w:rsidP="00052A9A" w14:paraId="0C55A3EB" w14:textId="77777777">
      <w:pPr>
        <w:pStyle w:val="CM4"/>
        <w:spacing w:after="240" w:line="240" w:lineRule="auto"/>
        <w:ind w:firstLine="720"/>
      </w:pPr>
      <w:r w:rsidRPr="00BF04B4">
        <w:rPr>
          <w:iCs/>
          <w:color w:val="000000"/>
        </w:rPr>
        <w:t xml:space="preserve">The Bureau adopted additional disclosure requirements for prepaid accounts pursuant to its authority under the EFTA and the Dodd-Frank Act in the Prepaid Account Final Rule.  </w:t>
      </w:r>
      <w:r w:rsidRPr="00BF04B4">
        <w:rPr>
          <w:i/>
          <w:iCs/>
          <w:color w:val="000000"/>
        </w:rPr>
        <w:t xml:space="preserve">See </w:t>
      </w:r>
      <w:r w:rsidRPr="00BF04B4">
        <w:rPr>
          <w:iCs/>
          <w:color w:val="000000"/>
        </w:rPr>
        <w:t xml:space="preserve">§§ 1005.15(c) and 1005.18(b).  </w:t>
      </w:r>
      <w:r w:rsidRPr="00BF04B4">
        <w:t xml:space="preserve">The Prepaid Account Final Rule </w:t>
      </w:r>
      <w:r>
        <w:t>(</w:t>
      </w:r>
      <w:r w:rsidRPr="00DB4D54">
        <w:t>81 FR 83934</w:t>
      </w:r>
      <w:r>
        <w:t xml:space="preserve"> (Nov. 22, 2016), as amended by </w:t>
      </w:r>
      <w:r w:rsidRPr="00DB4D54">
        <w:t>82 FR 18975</w:t>
      </w:r>
      <w:r>
        <w:t xml:space="preserve"> (Apr. 25, 2017) and </w:t>
      </w:r>
      <w:r w:rsidRPr="00DB4D54">
        <w:t>83 FR 6364</w:t>
      </w:r>
      <w:r>
        <w:t xml:space="preserve"> (Feb. 13, 2018) </w:t>
      </w:r>
      <w:r w:rsidRPr="00BF04B4">
        <w:t>adopt</w:t>
      </w:r>
      <w:r>
        <w:t>ed</w:t>
      </w:r>
      <w:r w:rsidRPr="00BF04B4">
        <w:t xml:space="preserve"> requirements that expand</w:t>
      </w:r>
      <w:r>
        <w:t>ed</w:t>
      </w:r>
      <w:r w:rsidRPr="00BF04B4">
        <w:t xml:space="preserve"> the account opening requirements in </w:t>
      </w:r>
      <w:r w:rsidRPr="00BF04B4">
        <w:rPr>
          <w:color w:val="000000"/>
        </w:rPr>
        <w:t xml:space="preserve">12 CFR 1005.7(b)(5) as applied to prepaid accounts to require the disclosure of all fees </w:t>
      </w:r>
      <w:r>
        <w:rPr>
          <w:color w:val="000000"/>
        </w:rPr>
        <w:t>that may be imposed in connection with</w:t>
      </w:r>
      <w:r w:rsidRPr="00BF04B4">
        <w:rPr>
          <w:color w:val="000000"/>
        </w:rPr>
        <w:t xml:space="preserve"> the prepaid account, not just fees for EFTs</w:t>
      </w:r>
      <w:r>
        <w:rPr>
          <w:color w:val="000000"/>
        </w:rPr>
        <w:t xml:space="preserve"> or the right to make transfers</w:t>
      </w:r>
      <w:r w:rsidRPr="00BF04B4">
        <w:rPr>
          <w:color w:val="000000"/>
        </w:rPr>
        <w:t xml:space="preserve">. </w:t>
      </w:r>
      <w:r w:rsidRPr="00BF04B4">
        <w:t xml:space="preserve"> </w:t>
      </w:r>
      <w:r w:rsidRPr="00BF04B4">
        <w:rPr>
          <w:iCs/>
          <w:color w:val="000000"/>
        </w:rPr>
        <w:t>Further, the final rule contain</w:t>
      </w:r>
      <w:r>
        <w:rPr>
          <w:iCs/>
          <w:color w:val="000000"/>
        </w:rPr>
        <w:t>ed</w:t>
      </w:r>
      <w:r w:rsidRPr="00BF04B4">
        <w:rPr>
          <w:iCs/>
          <w:color w:val="000000"/>
        </w:rPr>
        <w:t xml:space="preserve"> new requirements that provide, </w:t>
      </w:r>
      <w:r w:rsidRPr="00BF04B4">
        <w:t xml:space="preserve">among other things, that financial institutions must make </w:t>
      </w:r>
      <w:r>
        <w:t xml:space="preserve">certain disclosures </w:t>
      </w:r>
      <w:r w:rsidRPr="00BF04B4">
        <w:t>available to consumers before a consumer agrees to acquire a prepaid account.  The Prepaid Account Final Rule also adopt</w:t>
      </w:r>
      <w:r>
        <w:t>ed</w:t>
      </w:r>
      <w:r w:rsidRPr="00BF04B4">
        <w:t xml:space="preserve"> § 1005.19 to require prepaid account issuers to post agreements for prepaid accounts on their websites and to submit the agreements to the Bureau.  </w:t>
      </w:r>
      <w:r w:rsidRPr="00BF04B4">
        <w:rPr>
          <w:color w:val="000000"/>
        </w:rPr>
        <w:t xml:space="preserve">The Bureau’s final rule </w:t>
      </w:r>
      <w:r>
        <w:rPr>
          <w:color w:val="000000"/>
        </w:rPr>
        <w:t>provides an</w:t>
      </w:r>
      <w:r w:rsidRPr="00BF04B4">
        <w:rPr>
          <w:color w:val="000000"/>
        </w:rPr>
        <w:t xml:space="preserve"> alternative method of compliance </w:t>
      </w:r>
      <w:r>
        <w:rPr>
          <w:color w:val="000000"/>
        </w:rPr>
        <w:t xml:space="preserve">to the periodic statement requirement for prepaid accounts, in </w:t>
      </w:r>
      <w:r w:rsidRPr="00BF04B4">
        <w:rPr>
          <w:iCs/>
          <w:color w:val="000000"/>
        </w:rPr>
        <w:t>§§ 1005.15(</w:t>
      </w:r>
      <w:r>
        <w:rPr>
          <w:iCs/>
          <w:color w:val="000000"/>
        </w:rPr>
        <w:t>d</w:t>
      </w:r>
      <w:r w:rsidRPr="00BF04B4">
        <w:rPr>
          <w:iCs/>
          <w:color w:val="000000"/>
        </w:rPr>
        <w:t>)</w:t>
      </w:r>
      <w:r>
        <w:rPr>
          <w:iCs/>
          <w:color w:val="000000"/>
        </w:rPr>
        <w:t xml:space="preserve"> and 1005.18(c)</w:t>
      </w:r>
      <w:r>
        <w:rPr>
          <w:color w:val="000000"/>
        </w:rPr>
        <w:t>.</w:t>
      </w:r>
    </w:p>
    <w:p w:rsidR="00671941" w:rsidRPr="00BF6D43" w:rsidP="005F1FFC" w14:paraId="370F70A5" w14:textId="77777777">
      <w:pPr>
        <w:rPr>
          <w:sz w:val="24"/>
        </w:rPr>
      </w:pPr>
    </w:p>
    <w:p w:rsidR="00092D91" w:rsidRPr="00BF6D43" w:rsidP="00092D91" w14:paraId="15554E87" w14:textId="77777777">
      <w:pPr>
        <w:rPr>
          <w:sz w:val="24"/>
        </w:rPr>
      </w:pPr>
      <w:r w:rsidRPr="00BF6D43">
        <w:rPr>
          <w:b/>
          <w:bCs/>
          <w:sz w:val="24"/>
        </w:rPr>
        <w:t>2.  Indicate how, by whom, and for what purpose the information is to be used.  Except for a new collection, indicate the actual use the agency has made of the information received from the current collection.</w:t>
      </w:r>
    </w:p>
    <w:p w:rsidR="005F1FFC" w:rsidRPr="00BF6D43" w:rsidP="005F1FFC" w14:paraId="04B2529C" w14:textId="77777777">
      <w:pPr>
        <w:rPr>
          <w:sz w:val="24"/>
        </w:rPr>
      </w:pPr>
    </w:p>
    <w:p w:rsidR="00E939D3" w:rsidRPr="00BF6D43" w:rsidP="00E868A7" w14:paraId="19B9EB12" w14:textId="3EED328D">
      <w:pPr>
        <w:pStyle w:val="CM10"/>
        <w:spacing w:after="240"/>
        <w:ind w:right="-18" w:firstLine="720"/>
      </w:pPr>
      <w:r w:rsidRPr="00BF04B4">
        <w:t>Federal agencies and private litigants use the records to ascertain whether accurate and complete disclosures of EFT services</w:t>
      </w:r>
      <w:r>
        <w:t>, remittance transfer services,</w:t>
      </w:r>
      <w:r w:rsidRPr="00BF04B4">
        <w:t xml:space="preserve"> and other services covered under Regulation E have been provided and other required actions (for example, error resolution and limitation of consumer liability for unauthorized transfers) have been </w:t>
      </w:r>
      <w:r w:rsidRPr="00BF04B4">
        <w:t>taken.  This information will provide the primary evidence of law violations in EFTA enforcement actions brought by the CFPB and other Federal agencies.  Without recordkeeping requirements of Regulation E, the Federal agencies’ abilities to enforce the EFTA would be significantly impaired. Consumers rely on the disclosures required by the EFTA and Regulation E to facilitate informed EFT decision making.  Without this information, consumers would be severely hindered in their ability to assess the true costs and terms of the products offered.  Also, without the special error resolution and limitation of consumer liability provisions, consumers would be unable to detect and correct unauthorized transfers and errors in their EFT and remittance transfer transactions.  These disclosures and provisions are also necessary for the enforcement agencies to enforce the EFTA and Regulation E.</w:t>
      </w:r>
    </w:p>
    <w:p w:rsidR="00092D91" w:rsidRPr="00BF6D43" w:rsidP="00092D91" w14:paraId="0C7BE16B" w14:textId="77777777">
      <w:pPr>
        <w:rPr>
          <w:b/>
          <w:bCs/>
          <w:sz w:val="24"/>
          <w:szCs w:val="24"/>
        </w:rPr>
      </w:pPr>
      <w:r w:rsidRPr="00BF6D43">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F1FFC" w:rsidRPr="00BF6D43" w:rsidP="005F1FFC" w14:paraId="07836B1D" w14:textId="77777777"/>
    <w:p w:rsidR="0074015B" w:rsidRPr="00BF04B4" w:rsidP="0074015B" w14:paraId="088E89AA" w14:textId="77777777">
      <w:pPr>
        <w:pStyle w:val="CM10"/>
        <w:spacing w:after="240"/>
        <w:ind w:firstLine="720"/>
      </w:pPr>
      <w:r w:rsidRPr="00BF04B4">
        <w:t xml:space="preserve">Regulation E provides rules to establish uniform standards for using electronic communication to deliver disclosures required under Regulation E, within the context of the Electronic Signatures in Global and National Commerce Act (ESIGN), 15 U.S.C. 7001(c), </w:t>
      </w:r>
      <w:r w:rsidRPr="00BF04B4">
        <w:rPr>
          <w:i/>
          <w:iCs/>
        </w:rPr>
        <w:t>et seq</w:t>
      </w:r>
      <w:r w:rsidRPr="00BF04B4">
        <w:t>. 72 FR 63452 (Nov. 9, 2007).  These rules enable businesses to use electronic disclosures, consistent with the requirements of ESIGN, which became effective on Oct. 1, 2000.  Use of such electronic communications is also consistent with the Government Paperwork Elimination Act (GPEA), Title XVII of Pub. L. 105-277, codified at 44 U.S.C. 3504 note.  ESIGN and GPEA serve to reduce businesses’ compliance burden related to federal requirements, including Regulation E, by enabling businesses to utilize more efficient electronic media for disclosures and compliance.  In certain circumstances, including in the Prepaid Account Final Rule, Regulation E permits electronic disclosure in situations that may not be compliant with ESIGN.</w:t>
      </w:r>
    </w:p>
    <w:p w:rsidR="0074015B" w:rsidRPr="00BF04B4" w:rsidP="0074015B" w14:paraId="5F43EB43" w14:textId="77777777">
      <w:pPr>
        <w:pStyle w:val="CM10"/>
        <w:spacing w:after="240"/>
        <w:ind w:right="75" w:firstLine="720"/>
      </w:pPr>
      <w:r w:rsidRPr="00BF04B4">
        <w:t xml:space="preserve">Regulation E also permits entities to retain records on any method capable of accurately retaining and reproducing information.  Business entities need only retain evidence demonstrating that their procedures reasonably ensure the consumer’s receipt of required disclosures and documentation; the entity need not retain records that disclosures and documentation were given to each consumer.  Comment 1005.13(b)-1. </w:t>
      </w:r>
    </w:p>
    <w:p w:rsidR="00E939D3" w:rsidRPr="0074015B" w:rsidP="0074015B" w14:paraId="7CEBA56C" w14:textId="4D4540F6">
      <w:pPr>
        <w:pStyle w:val="CM6"/>
        <w:spacing w:after="240" w:line="240" w:lineRule="auto"/>
        <w:ind w:right="262" w:firstLine="720"/>
      </w:pPr>
      <w:r w:rsidRPr="00BF04B4">
        <w:t xml:space="preserve">In addition, due to the nature of </w:t>
      </w:r>
      <w:r>
        <w:t>EFTs</w:t>
      </w:r>
      <w:r w:rsidRPr="00BF04B4">
        <w:t xml:space="preserve">, most entities that use such transfers and are covered by the EFTA also use computer support and various electronic means to facilitate generation of the mandated disclosures, thereby limiting burden. </w:t>
      </w:r>
    </w:p>
    <w:p w:rsidR="00092D91" w:rsidRPr="00BF6D43" w:rsidP="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4.  </w:t>
      </w:r>
      <w:r w:rsidRPr="00BF6D43">
        <w:rPr>
          <w:b/>
          <w:bCs/>
          <w:sz w:val="24"/>
          <w:szCs w:val="24"/>
        </w:rPr>
        <w:t>Describe efforts to identify duplication.  Show specifically why any similar information already available cannot be used or modified for use for the purposes described in Item A.2 above.</w:t>
      </w:r>
    </w:p>
    <w:p w:rsidR="005F1FFC" w:rsidRPr="00BF6D43" w:rsidP="005F1FFC" w14:paraId="7339726A" w14:textId="77777777">
      <w:pPr>
        <w:rPr>
          <w:sz w:val="24"/>
        </w:rPr>
      </w:pPr>
    </w:p>
    <w:p w:rsidR="00C36D8C" w:rsidRPr="00BF04B4" w:rsidP="00C36D8C" w14:paraId="39C2C0B3" w14:textId="77777777">
      <w:pPr>
        <w:pStyle w:val="CM10"/>
        <w:spacing w:after="240"/>
        <w:ind w:firstLine="720"/>
      </w:pPr>
      <w:r w:rsidRPr="00BF04B4">
        <w:t xml:space="preserve">The recordkeeping requirement of Regulation E preserves the information an affected entity uses in making disclosures and taking other required actions regarding EFT </w:t>
      </w:r>
      <w:r>
        <w:t xml:space="preserve">services, remittance transfer services, </w:t>
      </w:r>
      <w:r w:rsidRPr="00BF04B4">
        <w:t xml:space="preserve">and other services covered under Regulation E.  The entity is the only source of this information.  No other federal law mandates its retention, although some states may have similar requirements.  </w:t>
      </w:r>
    </w:p>
    <w:p w:rsidR="00BE61FE" w:rsidRPr="00BF6D43" w:rsidP="00C36D8C" w14:paraId="1111F676" w14:textId="20E81A1F">
      <w:pPr>
        <w:pStyle w:val="CM10"/>
        <w:spacing w:after="240"/>
        <w:ind w:right="-18" w:firstLine="720"/>
      </w:pPr>
      <w:r w:rsidRPr="00BF04B4">
        <w:t>Similarly, covered entities are the only source of the information contained in the disclosures required by the EFTA and Regulation E.  No other federal law mandates these disclosures.  State laws do not duplicate these requirements, although some states may have other rules applicable to EFT</w:t>
      </w:r>
      <w:r>
        <w:t xml:space="preserve"> services, remittance transfer services,</w:t>
      </w:r>
      <w:r w:rsidRPr="00BF04B4">
        <w:t xml:space="preserve"> and other services covered under Regulation E.  </w:t>
      </w:r>
      <w:r>
        <w:t>However, t</w:t>
      </w:r>
      <w:r w:rsidRPr="00BF04B4">
        <w:t>here may</w:t>
      </w:r>
      <w:r>
        <w:t xml:space="preserve"> </w:t>
      </w:r>
      <w:r w:rsidRPr="00BF04B4">
        <w:t>be financial institutions that are also</w:t>
      </w:r>
      <w:r>
        <w:t xml:space="preserve"> “card</w:t>
      </w:r>
      <w:r w:rsidRPr="00BF04B4">
        <w:t xml:space="preserve"> issuers</w:t>
      </w:r>
      <w:r>
        <w:t>”</w:t>
      </w:r>
      <w:r w:rsidRPr="00BF04B4">
        <w:t xml:space="preserve"> under Regulation Z that would be required to submit prepaid account agreements to the Bureau pursuant to § 1005.19(b</w:t>
      </w:r>
      <w:r>
        <w:t>)</w:t>
      </w:r>
      <w:r w:rsidRPr="00BF04B4">
        <w:t xml:space="preserve"> and </w:t>
      </w:r>
      <w:r>
        <w:t xml:space="preserve">open-end </w:t>
      </w:r>
      <w:r w:rsidRPr="00BF04B4">
        <w:t xml:space="preserve">credit card account agreements pursuant to Regulation Z § 1026.58(c).  The Bureau notes, however, that it does not believe it is likely that any agreement will constitute both a credit card agreement and a prepaid account agreement.  </w:t>
      </w:r>
      <w:r>
        <w:t>T</w:t>
      </w:r>
      <w:r w:rsidRPr="00BF04B4">
        <w:t>he Bureau does not believe that an agreement will be</w:t>
      </w:r>
      <w:r w:rsidRPr="00BF04B4">
        <w:rPr>
          <w:color w:val="1F497D"/>
        </w:rPr>
        <w:t xml:space="preserve"> </w:t>
      </w:r>
      <w:r w:rsidRPr="00BF04B4">
        <w:t>required to be submitted twice (</w:t>
      </w:r>
      <w:r w:rsidRPr="00BF04B4">
        <w:rPr>
          <w:i/>
        </w:rPr>
        <w:t>i.e.</w:t>
      </w:r>
      <w:r w:rsidRPr="00BF04B4">
        <w:t xml:space="preserve">, under both </w:t>
      </w:r>
      <w:r>
        <w:t xml:space="preserve">Regulation E </w:t>
      </w:r>
      <w:r w:rsidRPr="00BF04B4">
        <w:t xml:space="preserve">§ 1005.19 and Regulation Z § 1026.58.)  Prepaid </w:t>
      </w:r>
      <w:r>
        <w:t>account</w:t>
      </w:r>
      <w:r w:rsidRPr="00BF04B4">
        <w:t xml:space="preserve"> issuers that offer </w:t>
      </w:r>
      <w:r>
        <w:t xml:space="preserve">open-end </w:t>
      </w:r>
      <w:r w:rsidRPr="00BF04B4">
        <w:t>overdraft credit features</w:t>
      </w:r>
      <w:r>
        <w:t xml:space="preserve"> accessible by hybrid prepaid-credit cards</w:t>
      </w:r>
      <w:r w:rsidRPr="00BF04B4">
        <w:t>, however, will have to submit their credit card agreements under Regulation Z and the prepaid account agreements under Regulation E.</w:t>
      </w:r>
    </w:p>
    <w:p w:rsidR="00092D91" w:rsidRPr="00BF6D43" w:rsidP="00092D91" w14:paraId="78977288" w14:textId="77777777">
      <w:pPr>
        <w:pStyle w:val="BodyText"/>
        <w:rPr>
          <w:b/>
        </w:rPr>
      </w:pPr>
      <w:r w:rsidRPr="00BF6D43">
        <w:rPr>
          <w:b/>
        </w:rPr>
        <w:t xml:space="preserve">5.  </w:t>
      </w:r>
      <w:r w:rsidRPr="00BF6D43">
        <w:rPr>
          <w:b/>
          <w:bCs/>
        </w:rPr>
        <w:t>If the collection of information impacts small businesses or other small entities, describe any methods used to minimize burden.</w:t>
      </w:r>
    </w:p>
    <w:p w:rsidR="005F1FFC" w:rsidRPr="00BF6D43" w:rsidP="00092D91" w14:paraId="6511B9A0" w14:textId="77777777">
      <w:pPr>
        <w:pStyle w:val="BodyText"/>
      </w:pPr>
    </w:p>
    <w:p w:rsidR="00EF2024" w:rsidRPr="00BF04B4" w:rsidP="00EF2024" w14:paraId="1C3C6AD6" w14:textId="77777777">
      <w:pPr>
        <w:pStyle w:val="CM10"/>
        <w:spacing w:after="240"/>
        <w:ind w:right="75" w:firstLine="720"/>
      </w:pPr>
      <w:r>
        <w:t>T</w:t>
      </w:r>
      <w:r w:rsidRPr="00BF04B4">
        <w:t>he Regulation E recordkeeping and disclosure requirements that are mandated by EFTA, the Dodd-Frank Act, and Regulation E on financial institutions and entities offering EFT</w:t>
      </w:r>
      <w:r>
        <w:t xml:space="preserve"> services, remittance transfer services,</w:t>
      </w:r>
      <w:r w:rsidRPr="00BF04B4">
        <w:t xml:space="preserve"> and other services </w:t>
      </w:r>
      <w:r>
        <w:t>covered under Regulation E</w:t>
      </w:r>
      <w:r w:rsidRPr="00BF04B4">
        <w:t xml:space="preserve">.  The disclosure requirements are mandated by the EFTA and/or Regulation E.  </w:t>
      </w:r>
    </w:p>
    <w:p w:rsidR="00E939D3" w:rsidRPr="00BF6D43" w:rsidP="00EF2024" w14:paraId="2EE74F06" w14:textId="5DB4FFC4">
      <w:pPr>
        <w:pStyle w:val="CM10"/>
        <w:spacing w:after="240"/>
        <w:ind w:firstLine="720"/>
      </w:pPr>
      <w:r w:rsidRPr="00BF04B4">
        <w:t>Most entities offering EFT</w:t>
      </w:r>
      <w:r>
        <w:t xml:space="preserve"> services, remittance transfer services,</w:t>
      </w:r>
      <w:r w:rsidRPr="00BF04B4">
        <w:t xml:space="preserve"> and other services </w:t>
      </w:r>
      <w:r>
        <w:t>covered under Regulation E</w:t>
      </w:r>
      <w:r w:rsidRPr="00BF04B4">
        <w:t xml:space="preserve"> today utilize some degree of computerization in their businesses, which further assists in facilitating compliance with Regulation E.  Additionally, as noted above, Regulation E provides, </w:t>
      </w:r>
      <w:r>
        <w:t>and</w:t>
      </w:r>
      <w:r w:rsidRPr="00BF04B4">
        <w:t xml:space="preserve">, model and sample forms that may be used to aid compliance with many of its </w:t>
      </w:r>
      <w:r>
        <w:t xml:space="preserve">disclosure </w:t>
      </w:r>
      <w:r w:rsidRPr="00BF04B4">
        <w:t xml:space="preserve">requirements.  Correct use of model forms insulates </w:t>
      </w:r>
      <w:r>
        <w:t>an</w:t>
      </w:r>
      <w:r w:rsidRPr="00BF04B4">
        <w:t xml:space="preserve"> entity from liability from the respective requirements</w:t>
      </w:r>
      <w:r>
        <w:t>.</w:t>
      </w:r>
      <w:r w:rsidRPr="00BF6D43" w:rsidR="005F1FFC">
        <w:t xml:space="preserve">  </w:t>
      </w:r>
    </w:p>
    <w:p w:rsidR="00F660E8" w:rsidRPr="00BF6D43" w:rsidP="00F660E8" w14:paraId="7ACF7470" w14:textId="77777777">
      <w:pPr>
        <w:rPr>
          <w:b/>
          <w:sz w:val="24"/>
          <w:szCs w:val="24"/>
        </w:rPr>
      </w:pPr>
      <w:r w:rsidRPr="00BF6D43">
        <w:rPr>
          <w:b/>
          <w:sz w:val="24"/>
          <w:szCs w:val="24"/>
        </w:rPr>
        <w:t xml:space="preserve">6.  </w:t>
      </w:r>
      <w:r w:rsidRPr="00BF6D43">
        <w:rPr>
          <w:b/>
          <w:bCs/>
          <w:sz w:val="24"/>
          <w:szCs w:val="24"/>
        </w:rPr>
        <w:t xml:space="preserve">Describe the consequence to federal program or policy activities if the collection is not conducted or is conducted less frequently, as well as any technical or legal obstacles to reducing burden. </w:t>
      </w:r>
    </w:p>
    <w:p w:rsidR="005F1FFC" w:rsidRPr="00BF6D43" w:rsidP="005F1FFC" w14:paraId="03B2F609" w14:textId="77777777">
      <w:pPr>
        <w:rPr>
          <w:sz w:val="24"/>
        </w:rPr>
      </w:pPr>
    </w:p>
    <w:p w:rsidR="00D95F27" w:rsidRPr="00BF04B4" w:rsidP="00D95F27" w14:paraId="1FB4E192" w14:textId="77777777">
      <w:pPr>
        <w:pStyle w:val="CM10"/>
        <w:spacing w:after="240"/>
        <w:ind w:right="190" w:firstLine="720"/>
      </w:pPr>
      <w:r w:rsidRPr="00BF04B4">
        <w:t xml:space="preserve">Information collection pursuant to Regulation E is triggered by specific events, and disclosures must be provided to consumers within the time periods established by the law and regulation.  The current record retention period of two years supports the one-year statute of limitations for private actions, and the CFPB’s need for sufficient </w:t>
      </w:r>
      <w:r w:rsidRPr="00BF04B4">
        <w:t>time to bring enforcement actions regarding EFT transactions</w:t>
      </w:r>
      <w:r>
        <w:t xml:space="preserve"> and other transactions subject to Regulation E</w:t>
      </w:r>
      <w:r w:rsidRPr="00BF04B4">
        <w:t>.  If the retention period were shortened, consumers who sue under the EFTA, and the administrative agencies that enforce the EFTA, might find that the records needed to prove EFTA violations no longer exist.</w:t>
      </w:r>
    </w:p>
    <w:p w:rsidR="00E939D3" w:rsidRPr="00BF6D43" w:rsidP="00D95F27" w14:paraId="224E9EAF" w14:textId="194D57EA">
      <w:pPr>
        <w:pStyle w:val="CM4"/>
        <w:spacing w:after="240" w:line="240" w:lineRule="auto"/>
        <w:ind w:firstLine="720"/>
      </w:pPr>
      <w:r w:rsidRPr="00BF04B4">
        <w:t xml:space="preserve">As noted, the disclosure requirements set forth in Regulation E are needed to foster informed decision-making for </w:t>
      </w:r>
      <w:r>
        <w:t>products and services covered by EFTA and Regulation E</w:t>
      </w:r>
      <w:r w:rsidRPr="00BF04B4">
        <w:t xml:space="preserve"> and to identify errors and unauthorized transfers.  Without these requirements, consumers would not have access to this critical information, their right to sue under the EFTA would be undermined, and the CFPB and other administrative agencies charged with enforcing the EFTA could not fulfill their mandates.</w:t>
      </w:r>
    </w:p>
    <w:p w:rsidR="00F660E8" w:rsidRPr="00BF6D43" w:rsidP="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F6D43">
        <w:rPr>
          <w:b/>
          <w:sz w:val="24"/>
          <w:szCs w:val="24"/>
        </w:rPr>
        <w:t xml:space="preserve">7.  </w:t>
      </w:r>
      <w:r w:rsidRPr="00BF6D43">
        <w:rPr>
          <w:b/>
          <w:bCs/>
          <w:sz w:val="24"/>
          <w:szCs w:val="24"/>
        </w:rPr>
        <w:t>Explain any special circumstances that would cause an information collection to be conducted in a manner:</w:t>
      </w:r>
    </w:p>
    <w:p w:rsidR="00F660E8" w:rsidRPr="00BF6D43" w:rsidP="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report information to the agency more often than </w:t>
      </w:r>
      <w:r w:rsidRPr="00BF6D43">
        <w:rPr>
          <w:b/>
          <w:bCs/>
          <w:sz w:val="24"/>
          <w:szCs w:val="24"/>
        </w:rPr>
        <w:t>quarterly;</w:t>
      </w:r>
    </w:p>
    <w:p w:rsidR="00F660E8" w:rsidRPr="00BF6D43" w:rsidP="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prepare a written response to a collection of information in fewer than 30 days after receipt of </w:t>
      </w:r>
      <w:r w:rsidRPr="00BF6D43">
        <w:rPr>
          <w:b/>
          <w:bCs/>
          <w:sz w:val="24"/>
          <w:szCs w:val="24"/>
        </w:rPr>
        <w:t>it;</w:t>
      </w:r>
    </w:p>
    <w:p w:rsidR="00F660E8" w:rsidRPr="00BF6D43" w:rsidP="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submit more than an original and two copies of any </w:t>
      </w:r>
      <w:r w:rsidRPr="00BF6D43">
        <w:rPr>
          <w:b/>
          <w:bCs/>
          <w:sz w:val="24"/>
          <w:szCs w:val="24"/>
        </w:rPr>
        <w:t>document;</w:t>
      </w:r>
    </w:p>
    <w:p w:rsidR="00F660E8" w:rsidRPr="00BF6D43" w:rsidP="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retain records, other than health, medical, government contract, grant-in-aid, or tax records for more than three </w:t>
      </w:r>
      <w:r w:rsidRPr="00BF6D43">
        <w:rPr>
          <w:b/>
          <w:bCs/>
          <w:sz w:val="24"/>
          <w:szCs w:val="24"/>
        </w:rPr>
        <w:t>years;</w:t>
      </w:r>
    </w:p>
    <w:p w:rsidR="00F660E8" w:rsidRPr="00BF6D43" w:rsidP="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 xml:space="preserve">in connection with a statistical survey, that is not designed to produce valid and reliable results that can be generalized to the universe of </w:t>
      </w:r>
      <w:r w:rsidRPr="00BF6D43">
        <w:rPr>
          <w:b/>
          <w:bCs/>
        </w:rPr>
        <w:t>study;</w:t>
      </w:r>
    </w:p>
    <w:p w:rsidR="00F660E8" w:rsidRPr="00BF6D43" w:rsidP="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 xml:space="preserve">requiring the use of statistical data classification that has not been reviewed and approved by </w:t>
      </w:r>
      <w:r w:rsidRPr="00BF6D43">
        <w:rPr>
          <w:b/>
          <w:bCs/>
        </w:rPr>
        <w:t>OMB;</w:t>
      </w:r>
    </w:p>
    <w:p w:rsidR="00F660E8" w:rsidRPr="00BF6D43" w:rsidP="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660E8" w:rsidRPr="00BF6D43" w:rsidP="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6D43">
        <w:rPr>
          <w:b/>
          <w:bCs/>
        </w:rPr>
        <w:t>requiring respondents to submit proprietary trade secret, or other confidential information unless the agency can demonstrate that it has instituted procedures to protect the information's confidentially to the extent permitted by law.</w:t>
      </w:r>
    </w:p>
    <w:p w:rsidR="005F1FFC" w:rsidRPr="00BF6D43" w:rsidP="005F1FFC" w14:paraId="394DE9F1" w14:textId="77777777">
      <w:pPr>
        <w:ind w:left="720"/>
        <w:rPr>
          <w:sz w:val="24"/>
        </w:rPr>
      </w:pPr>
    </w:p>
    <w:p w:rsidR="00E939D3" w:rsidRPr="00BF6D43" w:rsidP="00760948" w14:paraId="630F2A4B" w14:textId="0D940A32">
      <w:pPr>
        <w:pStyle w:val="CM10"/>
        <w:spacing w:after="240"/>
        <w:ind w:right="-18" w:firstLine="720"/>
      </w:pPr>
      <w:r w:rsidRPr="00BF04B4">
        <w:t xml:space="preserve">The collections of information in Regulation E are consistent with the applicable guidelines contained in 5 CFR 1320.5(d)(2). </w:t>
      </w:r>
    </w:p>
    <w:p w:rsidR="00F660E8" w:rsidRPr="00BF6D43" w:rsidP="00F660E8" w14:paraId="57D65F4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sz w:val="24"/>
          <w:szCs w:val="24"/>
        </w:rPr>
        <w:t xml:space="preserve">8.  </w:t>
      </w:r>
      <w:r w:rsidRPr="00BF6D43">
        <w:rPr>
          <w:b/>
          <w:bCs/>
          <w:sz w:val="24"/>
          <w:szCs w:val="24"/>
        </w:rPr>
        <w:t xml:space="preserve">If applicable, provide a copy and identify the date and page number of </w:t>
      </w:r>
      <w:r w:rsidRPr="00BF6D43">
        <w:rPr>
          <w:b/>
          <w:bCs/>
          <w:sz w:val="24"/>
          <w:szCs w:val="24"/>
        </w:rPr>
        <w:t>publication</w:t>
      </w:r>
      <w:r w:rsidRPr="00BF6D43">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660E8" w:rsidRPr="00BF6D43" w:rsidP="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BF6D43" w:rsidP="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660E8" w:rsidRPr="00BF6D43" w:rsidP="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BF6D43" w:rsidP="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5F1FFC" w:rsidRPr="00BF6D43" w:rsidP="005F1FFC" w14:paraId="3454479C" w14:textId="77777777">
      <w:pPr>
        <w:rPr>
          <w:sz w:val="24"/>
        </w:rPr>
      </w:pPr>
    </w:p>
    <w:p w:rsidR="00A65643" w:rsidP="00BC56A2" w14:paraId="152E2DA5" w14:textId="0CE3267E">
      <w:pPr>
        <w:rPr>
          <w:sz w:val="24"/>
          <w:szCs w:val="24"/>
        </w:rPr>
      </w:pPr>
      <w:r>
        <w:rPr>
          <w:bCs/>
          <w:sz w:val="24"/>
        </w:rPr>
        <w:t>Per requirements in 44 USC 3506(c)(2)(a), the Bureau published a 60-day notice within the Federal Register</w:t>
      </w:r>
      <w:r>
        <w:rPr>
          <w:rStyle w:val="FootnoteReference"/>
          <w:bCs/>
          <w:sz w:val="24"/>
        </w:rPr>
        <w:footnoteReference w:id="2"/>
      </w:r>
      <w:r>
        <w:rPr>
          <w:bCs/>
          <w:sz w:val="24"/>
        </w:rPr>
        <w:t xml:space="preserve">.  </w:t>
      </w:r>
      <w:r w:rsidR="007F244B">
        <w:rPr>
          <w:bCs/>
          <w:sz w:val="24"/>
        </w:rPr>
        <w:t xml:space="preserve"> The Bureau received </w:t>
      </w:r>
      <w:r>
        <w:rPr>
          <w:bCs/>
          <w:sz w:val="24"/>
          <w:u w:val="single"/>
        </w:rPr>
        <w:t>two</w:t>
      </w:r>
      <w:r w:rsidR="007F244B">
        <w:rPr>
          <w:bCs/>
          <w:sz w:val="24"/>
        </w:rPr>
        <w:t xml:space="preserve"> comment</w:t>
      </w:r>
      <w:r>
        <w:rPr>
          <w:bCs/>
          <w:sz w:val="24"/>
        </w:rPr>
        <w:t>s</w:t>
      </w:r>
      <w:r w:rsidR="008926E1">
        <w:rPr>
          <w:bCs/>
          <w:sz w:val="24"/>
        </w:rPr>
        <w:t xml:space="preserve"> </w:t>
      </w:r>
      <w:r w:rsidR="008926E1">
        <w:rPr>
          <w:sz w:val="24"/>
          <w:szCs w:val="24"/>
        </w:rPr>
        <w:t xml:space="preserve">on this information collection </w:t>
      </w:r>
      <w:r>
        <w:rPr>
          <w:sz w:val="24"/>
          <w:szCs w:val="24"/>
        </w:rPr>
        <w:t>extension</w:t>
      </w:r>
      <w:r w:rsidR="00DE066C">
        <w:rPr>
          <w:sz w:val="24"/>
          <w:szCs w:val="24"/>
        </w:rPr>
        <w:t xml:space="preserve">.  However, only one is germane to </w:t>
      </w:r>
      <w:r w:rsidR="007F62A9">
        <w:rPr>
          <w:sz w:val="24"/>
          <w:szCs w:val="24"/>
        </w:rPr>
        <w:t>either the information collection or th</w:t>
      </w:r>
      <w:r w:rsidR="00000E96">
        <w:rPr>
          <w:sz w:val="24"/>
          <w:szCs w:val="24"/>
        </w:rPr>
        <w:t>is information collection</w:t>
      </w:r>
      <w:r w:rsidR="007F62A9">
        <w:rPr>
          <w:sz w:val="24"/>
          <w:szCs w:val="24"/>
        </w:rPr>
        <w:t xml:space="preserve"> extension</w:t>
      </w:r>
      <w:r w:rsidR="00000E96">
        <w:rPr>
          <w:sz w:val="24"/>
          <w:szCs w:val="24"/>
        </w:rPr>
        <w:t xml:space="preserve">.  The applicable comment (submitted by </w:t>
      </w:r>
      <w:r>
        <w:rPr>
          <w:sz w:val="24"/>
          <w:szCs w:val="24"/>
        </w:rPr>
        <w:t xml:space="preserve">the </w:t>
      </w:r>
      <w:r w:rsidR="00CC53BB">
        <w:rPr>
          <w:sz w:val="24"/>
          <w:szCs w:val="24"/>
        </w:rPr>
        <w:t>Independent Community Bankers of America</w:t>
      </w:r>
      <w:r w:rsidR="004C407A">
        <w:rPr>
          <w:sz w:val="24"/>
          <w:szCs w:val="24"/>
        </w:rPr>
        <w:t xml:space="preserve">) makes general recommendations on </w:t>
      </w:r>
      <w:r w:rsidR="00CB2EC4">
        <w:rPr>
          <w:sz w:val="24"/>
          <w:szCs w:val="24"/>
        </w:rPr>
        <w:t xml:space="preserve">reducing </w:t>
      </w:r>
      <w:r w:rsidR="00A84E79">
        <w:rPr>
          <w:sz w:val="24"/>
          <w:szCs w:val="24"/>
        </w:rPr>
        <w:t>information collection burden on respondents</w:t>
      </w:r>
      <w:r w:rsidR="00AE1865">
        <w:rPr>
          <w:sz w:val="24"/>
          <w:szCs w:val="24"/>
        </w:rPr>
        <w:t>.</w:t>
      </w:r>
    </w:p>
    <w:p w:rsidR="00A65643" w:rsidP="00BC56A2" w14:paraId="531874A0" w14:textId="77777777">
      <w:pPr>
        <w:rPr>
          <w:sz w:val="24"/>
          <w:szCs w:val="24"/>
        </w:rPr>
      </w:pPr>
    </w:p>
    <w:p w:rsidR="00915C4F" w:rsidP="00BC56A2" w14:paraId="66940DEA" w14:textId="2799D1F5">
      <w:pPr>
        <w:rPr>
          <w:bCs/>
          <w:sz w:val="24"/>
        </w:rPr>
      </w:pPr>
      <w:r>
        <w:rPr>
          <w:sz w:val="24"/>
          <w:szCs w:val="24"/>
        </w:rPr>
        <w:t>Th</w:t>
      </w:r>
      <w:r w:rsidR="00AB5BBC">
        <w:rPr>
          <w:sz w:val="24"/>
          <w:szCs w:val="24"/>
        </w:rPr>
        <w:t>is request</w:t>
      </w:r>
      <w:r>
        <w:rPr>
          <w:sz w:val="24"/>
          <w:szCs w:val="24"/>
        </w:rPr>
        <w:t xml:space="preserve"> would require further action from the Bureau that is beyond the scope of the information collection </w:t>
      </w:r>
      <w:r w:rsidR="00AB5BBC">
        <w:rPr>
          <w:sz w:val="24"/>
          <w:szCs w:val="24"/>
        </w:rPr>
        <w:t>extension</w:t>
      </w:r>
      <w:r w:rsidR="00FB4977">
        <w:rPr>
          <w:sz w:val="24"/>
          <w:szCs w:val="24"/>
        </w:rPr>
        <w:t xml:space="preserve">.   However, their request </w:t>
      </w:r>
      <w:r>
        <w:rPr>
          <w:sz w:val="24"/>
          <w:szCs w:val="24"/>
        </w:rPr>
        <w:t xml:space="preserve">may be considered </w:t>
      </w:r>
      <w:r w:rsidR="001F19FB">
        <w:rPr>
          <w:sz w:val="24"/>
          <w:szCs w:val="24"/>
        </w:rPr>
        <w:t xml:space="preserve">at </w:t>
      </w:r>
      <w:r>
        <w:rPr>
          <w:sz w:val="24"/>
          <w:szCs w:val="24"/>
        </w:rPr>
        <w:t xml:space="preserve">an appropriate time at </w:t>
      </w:r>
      <w:r w:rsidR="002C46AC">
        <w:rPr>
          <w:sz w:val="24"/>
          <w:szCs w:val="24"/>
        </w:rPr>
        <w:t>Bureau</w:t>
      </w:r>
      <w:r>
        <w:rPr>
          <w:sz w:val="24"/>
          <w:szCs w:val="24"/>
        </w:rPr>
        <w:t xml:space="preserve"> discretion.</w:t>
      </w:r>
    </w:p>
    <w:p w:rsidR="00F81CBF" w:rsidP="00BC56A2" w14:paraId="0A266754" w14:textId="7E56B1D7">
      <w:pPr>
        <w:rPr>
          <w:bCs/>
          <w:sz w:val="24"/>
        </w:rPr>
      </w:pPr>
    </w:p>
    <w:p w:rsidR="00F81CBF" w:rsidP="00BC56A2" w14:paraId="5EF18B60" w14:textId="5BA48625">
      <w:pPr>
        <w:rPr>
          <w:bCs/>
          <w:sz w:val="24"/>
        </w:rPr>
      </w:pPr>
      <w:r>
        <w:rPr>
          <w:bCs/>
          <w:sz w:val="24"/>
        </w:rPr>
        <w:t>Per requirements in 44 USC 3507(b), the Bureau also published a 30-day notice within the Federal Register</w:t>
      </w:r>
      <w:r>
        <w:rPr>
          <w:rStyle w:val="FootnoteReference"/>
          <w:bCs/>
          <w:sz w:val="24"/>
        </w:rPr>
        <w:footnoteReference w:id="3"/>
      </w:r>
      <w:r>
        <w:rPr>
          <w:bCs/>
          <w:sz w:val="24"/>
        </w:rPr>
        <w:t>.  That notice directed respondents to submit comments directly to the OMB desk officer per normative procedure.</w:t>
      </w:r>
    </w:p>
    <w:p w:rsidR="00E939D3" w:rsidRPr="00BF6D43" w:rsidP="005F1FFC" w14:paraId="6891C959" w14:textId="77777777">
      <w:pPr>
        <w:rPr>
          <w:sz w:val="24"/>
        </w:rPr>
      </w:pPr>
    </w:p>
    <w:p w:rsidR="00F660E8" w:rsidRPr="00BF6D43" w:rsidP="00F660E8" w14:paraId="3BE65949" w14:textId="77777777">
      <w:pPr>
        <w:autoSpaceDE w:val="0"/>
        <w:autoSpaceDN w:val="0"/>
        <w:adjustRightInd w:val="0"/>
        <w:rPr>
          <w:b/>
          <w:sz w:val="24"/>
          <w:szCs w:val="24"/>
        </w:rPr>
      </w:pPr>
      <w:r w:rsidRPr="00BF6D43">
        <w:rPr>
          <w:b/>
          <w:sz w:val="24"/>
          <w:szCs w:val="24"/>
        </w:rPr>
        <w:t xml:space="preserve">9.  </w:t>
      </w:r>
      <w:r w:rsidRPr="00BF6D43">
        <w:rPr>
          <w:b/>
          <w:bCs/>
          <w:sz w:val="24"/>
          <w:szCs w:val="24"/>
        </w:rPr>
        <w:t>Explain any decision to provide any payments or gifts to respondents, other than remuneration of contractors or grantees.</w:t>
      </w:r>
    </w:p>
    <w:p w:rsidR="005F1FFC" w:rsidRPr="00BF6D43" w:rsidP="005F1FFC" w14:paraId="0EFC2C53" w14:textId="77777777">
      <w:pPr>
        <w:rPr>
          <w:sz w:val="24"/>
        </w:rPr>
      </w:pPr>
    </w:p>
    <w:p w:rsidR="005F1FFC" w:rsidRPr="00BF6D43" w:rsidP="009E1042" w14:paraId="7429A731" w14:textId="5C0D07FC">
      <w:pPr>
        <w:rPr>
          <w:sz w:val="24"/>
          <w:szCs w:val="24"/>
        </w:rPr>
      </w:pPr>
      <w:r w:rsidRPr="00BF6D43">
        <w:rPr>
          <w:sz w:val="24"/>
          <w:szCs w:val="24"/>
        </w:rPr>
        <w:t>Not applicable. This information collection does not provide payments of gifts to respondents.</w:t>
      </w:r>
    </w:p>
    <w:p w:rsidR="00A93967" w:rsidRPr="00BF6D43" w:rsidP="009E1042" w14:paraId="7CFFEB9F" w14:textId="77777777">
      <w:pPr>
        <w:rPr>
          <w:sz w:val="24"/>
          <w:szCs w:val="24"/>
        </w:rPr>
      </w:pPr>
    </w:p>
    <w:p w:rsidR="00F660E8" w:rsidRPr="00BF6D43" w:rsidP="00F660E8" w14:paraId="00FF3777" w14:textId="77777777">
      <w:pPr>
        <w:rPr>
          <w:b/>
          <w:sz w:val="24"/>
          <w:szCs w:val="24"/>
        </w:rPr>
      </w:pPr>
      <w:r w:rsidRPr="00BF6D43">
        <w:rPr>
          <w:b/>
          <w:sz w:val="24"/>
          <w:szCs w:val="24"/>
        </w:rPr>
        <w:t xml:space="preserve">10.  </w:t>
      </w:r>
      <w:r w:rsidRPr="00BF6D43">
        <w:rPr>
          <w:b/>
          <w:bCs/>
          <w:sz w:val="24"/>
          <w:szCs w:val="24"/>
        </w:rPr>
        <w:t>Describe any assurance of confidentiality provided to respondents and the basis for the assurance in statute, regulation, or agency policy.</w:t>
      </w:r>
    </w:p>
    <w:p w:rsidR="005F1FFC" w:rsidRPr="00BF6D43" w:rsidP="005F1FFC" w14:paraId="59FF77B7" w14:textId="77777777">
      <w:pPr>
        <w:ind w:left="720"/>
        <w:rPr>
          <w:sz w:val="24"/>
        </w:rPr>
      </w:pPr>
    </w:p>
    <w:p w:rsidR="00A93967" w:rsidRPr="00BF6D43" w:rsidP="00FB1F58" w14:paraId="2A4F7C4C" w14:textId="14A75A05">
      <w:pPr>
        <w:pStyle w:val="CM10"/>
        <w:spacing w:after="240"/>
      </w:pPr>
      <w:r w:rsidRPr="00BF04B4">
        <w:t>Some of the required recordkeeping and disclosures contain private financial information about consumers who use EFT services</w:t>
      </w:r>
      <w:r>
        <w:t>, remittance services, and other services covered by Regulation E</w:t>
      </w:r>
      <w:r w:rsidRPr="00BF04B4">
        <w:t xml:space="preserve">.  Such information is protected by the Right to Financial Privacy Act, 12 U.S.C. 3401 </w:t>
      </w:r>
      <w:r w:rsidRPr="00BF04B4">
        <w:rPr>
          <w:i/>
          <w:iCs/>
        </w:rPr>
        <w:t>et seq</w:t>
      </w:r>
      <w:r w:rsidRPr="00BF04B4">
        <w:t xml:space="preserve">.  Such records may also constitute confidential customer lists.  Any of these records that contain private financial information that are provided to the CFPB would be covered by the protections of 12 CFR 1070.40 </w:t>
      </w:r>
      <w:r w:rsidRPr="00BF04B4">
        <w:rPr>
          <w:i/>
        </w:rPr>
        <w:t>et seq.</w:t>
      </w:r>
      <w:r w:rsidRPr="00BF04B4">
        <w:t>, section 1022(c) of the Dodd-Frank Act, and by the exemptions of the Freedom of Information Act, 5 U.S.C. 552(b), as applicable.  The</w:t>
      </w:r>
      <w:r>
        <w:t xml:space="preserve"> prepaid</w:t>
      </w:r>
      <w:r w:rsidRPr="00BF04B4">
        <w:t xml:space="preserve"> account agreements collected pursuant to </w:t>
      </w:r>
      <w:r w:rsidRPr="00BF04B4">
        <w:t xml:space="preserve">§ 1005.19(b) </w:t>
      </w:r>
      <w:r>
        <w:t>do</w:t>
      </w:r>
      <w:r w:rsidRPr="00BF04B4">
        <w:t xml:space="preserve"> not contain any confidential information</w:t>
      </w:r>
      <w:r w:rsidR="005B7808">
        <w:t>.</w:t>
      </w:r>
    </w:p>
    <w:p w:rsidR="00F660E8" w:rsidRPr="00BF6D43" w:rsidP="00F660E8" w14:paraId="466038D0" w14:textId="77777777">
      <w:pPr>
        <w:rPr>
          <w:sz w:val="24"/>
        </w:rPr>
      </w:pPr>
      <w:r w:rsidRPr="00BF6D43">
        <w:rPr>
          <w:b/>
          <w:sz w:val="24"/>
          <w:szCs w:val="24"/>
        </w:rPr>
        <w:t xml:space="preserve">11.  </w:t>
      </w:r>
      <w:r w:rsidRPr="00BF6D43">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1FFC" w:rsidRPr="00BF6D43" w:rsidP="005F1FFC" w14:paraId="74706F28" w14:textId="77777777">
      <w:pPr>
        <w:ind w:left="720"/>
        <w:rPr>
          <w:sz w:val="24"/>
        </w:rPr>
      </w:pPr>
    </w:p>
    <w:p w:rsidR="00A93967" w:rsidRPr="00BF6D43" w:rsidP="00BF35C2" w14:paraId="42E5A68A" w14:textId="108FC782">
      <w:pPr>
        <w:pStyle w:val="CM10"/>
        <w:spacing w:after="240"/>
        <w:ind w:firstLine="720"/>
      </w:pPr>
      <w:r w:rsidRPr="00BF04B4">
        <w:t>This information collection contains no questions of a sensitive nature, as defined by OMB guidelines.</w:t>
      </w:r>
    </w:p>
    <w:p w:rsidR="00F660E8" w:rsidRPr="00BF6D43" w:rsidP="00F660E8" w14:paraId="7F32CD21" w14:textId="77777777">
      <w:pPr>
        <w:contextualSpacing/>
        <w:rPr>
          <w:b/>
          <w:sz w:val="24"/>
          <w:szCs w:val="24"/>
        </w:rPr>
      </w:pPr>
      <w:r w:rsidRPr="00BF6D43">
        <w:rPr>
          <w:b/>
          <w:sz w:val="24"/>
          <w:szCs w:val="24"/>
        </w:rPr>
        <w:t>12.  Provide estimates of the hour burden of the collection of information.  The statement should:</w:t>
      </w:r>
    </w:p>
    <w:p w:rsidR="00F660E8" w:rsidRPr="00BF6D43" w:rsidP="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660E8" w:rsidRPr="00BF6D43" w:rsidP="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If this request for approval covers more than one form, provide separate hour burden estimates for each form.</w:t>
      </w:r>
    </w:p>
    <w:p w:rsidR="00F660E8" w:rsidRPr="00BF6D43" w:rsidP="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C16BB" w:rsidRPr="00BF6D43" w:rsidP="005F1FFC" w14:paraId="18388E76" w14:textId="77777777">
      <w:pPr>
        <w:rPr>
          <w:bCs/>
          <w:sz w:val="24"/>
        </w:rPr>
      </w:pPr>
    </w:p>
    <w:p w:rsidR="005F1FFC" w:rsidRPr="00BF6D43" w:rsidP="005F1FFC" w14:paraId="3717194D" w14:textId="4A8CD79D">
      <w:pPr>
        <w:rPr>
          <w:bCs/>
          <w:sz w:val="24"/>
        </w:rPr>
      </w:pPr>
      <w:r w:rsidRPr="00BF6D43">
        <w:rPr>
          <w:bCs/>
          <w:sz w:val="24"/>
        </w:rPr>
        <w:t>The Bureau estimates the burden of this information collection as follows:</w:t>
      </w:r>
    </w:p>
    <w:p w:rsidR="004742E6" w:rsidP="005F1FFC" w14:paraId="60FDCE5C" w14:textId="03E27EE2">
      <w:pPr>
        <w:rPr>
          <w:b/>
          <w:sz w:val="24"/>
          <w:szCs w:val="24"/>
        </w:rPr>
      </w:pPr>
    </w:p>
    <w:tbl>
      <w:tblPr>
        <w:tblW w:w="963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tblPr>
      <w:tblGrid>
        <w:gridCol w:w="2196"/>
        <w:gridCol w:w="1440"/>
        <w:gridCol w:w="1530"/>
        <w:gridCol w:w="1494"/>
        <w:gridCol w:w="1620"/>
        <w:gridCol w:w="1350"/>
      </w:tblGrid>
      <w:tr w14:paraId="74C62896" w14:textId="77777777" w:rsidTr="00F47932">
        <w:tblPrEx>
          <w:tblW w:w="963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tblPrEx>
        <w:trPr>
          <w:cantSplit/>
        </w:trPr>
        <w:tc>
          <w:tcPr>
            <w:tcW w:w="2196" w:type="dxa"/>
            <w:shd w:val="clear" w:color="auto" w:fill="D9D9D9" w:themeFill="background1" w:themeFillShade="D9"/>
            <w:vAlign w:val="center"/>
          </w:tcPr>
          <w:p w:rsidR="00AF6D1E" w:rsidRPr="00AF6D1E" w:rsidP="008C4689" w14:paraId="6EE4F004" w14:textId="7E4821FE">
            <w:pPr>
              <w:tabs>
                <w:tab w:val="left" w:pos="-1440"/>
                <w:tab w:val="left" w:pos="-720"/>
                <w:tab w:val="left" w:pos="0"/>
                <w:tab w:val="left" w:pos="240"/>
                <w:tab w:val="left" w:pos="720"/>
                <w:tab w:val="left" w:pos="1440"/>
                <w:tab w:val="left" w:pos="2160"/>
                <w:tab w:val="left" w:pos="2880"/>
                <w:tab w:val="left" w:pos="3600"/>
              </w:tabs>
              <w:spacing w:after="120"/>
              <w:rPr>
                <w:b/>
                <w:bCs/>
                <w:iCs/>
              </w:rPr>
            </w:pPr>
            <w:r>
              <w:rPr>
                <w:b/>
                <w:bCs/>
                <w:iCs/>
              </w:rPr>
              <w:t>Information Collection Requirement</w:t>
            </w:r>
          </w:p>
        </w:tc>
        <w:tc>
          <w:tcPr>
            <w:tcW w:w="1440" w:type="dxa"/>
            <w:shd w:val="clear" w:color="auto" w:fill="D9D9D9" w:themeFill="background1" w:themeFillShade="D9"/>
            <w:vAlign w:val="center"/>
          </w:tcPr>
          <w:p w:rsidR="00AF6D1E" w:rsidRPr="00AF6D1E" w:rsidP="008C4689" w14:paraId="5FD8C84E" w14:textId="18276657">
            <w:pPr>
              <w:tabs>
                <w:tab w:val="left" w:pos="-1440"/>
                <w:tab w:val="left" w:pos="-720"/>
                <w:tab w:val="left" w:pos="0"/>
                <w:tab w:val="left" w:pos="240"/>
                <w:tab w:val="left" w:pos="720"/>
              </w:tabs>
              <w:spacing w:after="120"/>
              <w:jc w:val="center"/>
              <w:rPr>
                <w:b/>
                <w:bCs/>
                <w:iCs/>
              </w:rPr>
            </w:pPr>
            <w:r w:rsidRPr="00AF6D1E">
              <w:rPr>
                <w:b/>
                <w:bCs/>
                <w:iCs/>
                <w:color w:val="000000"/>
              </w:rPr>
              <w:t xml:space="preserve">Number of </w:t>
            </w:r>
            <w:r w:rsidR="00F47932">
              <w:rPr>
                <w:b/>
                <w:bCs/>
                <w:iCs/>
                <w:color w:val="000000"/>
              </w:rPr>
              <w:t>R</w:t>
            </w:r>
            <w:r w:rsidRPr="00AF6D1E">
              <w:rPr>
                <w:b/>
                <w:bCs/>
                <w:iCs/>
                <w:color w:val="000000"/>
              </w:rPr>
              <w:t>espondents</w:t>
            </w:r>
          </w:p>
        </w:tc>
        <w:tc>
          <w:tcPr>
            <w:tcW w:w="1530" w:type="dxa"/>
            <w:shd w:val="clear" w:color="auto" w:fill="D9D9D9" w:themeFill="background1" w:themeFillShade="D9"/>
            <w:vAlign w:val="center"/>
          </w:tcPr>
          <w:p w:rsidR="00AF6D1E" w:rsidRPr="00AF6D1E" w:rsidP="008C4689" w14:paraId="1A89461C" w14:textId="3DD0B32E">
            <w:pPr>
              <w:tabs>
                <w:tab w:val="left" w:pos="-1440"/>
                <w:tab w:val="left" w:pos="-720"/>
                <w:tab w:val="left" w:pos="0"/>
                <w:tab w:val="left" w:pos="240"/>
                <w:tab w:val="left" w:pos="720"/>
              </w:tabs>
              <w:spacing w:after="120"/>
              <w:jc w:val="center"/>
              <w:rPr>
                <w:b/>
                <w:bCs/>
                <w:iCs/>
              </w:rPr>
            </w:pPr>
            <w:r>
              <w:rPr>
                <w:b/>
                <w:bCs/>
                <w:iCs/>
                <w:color w:val="000000"/>
              </w:rPr>
              <w:t>Number of Responses per Respondent</w:t>
            </w:r>
          </w:p>
        </w:tc>
        <w:tc>
          <w:tcPr>
            <w:tcW w:w="1494" w:type="dxa"/>
            <w:shd w:val="clear" w:color="auto" w:fill="D9D9D9" w:themeFill="background1" w:themeFillShade="D9"/>
            <w:vAlign w:val="center"/>
          </w:tcPr>
          <w:p w:rsidR="00AF6D1E" w:rsidRPr="00AF6D1E" w:rsidP="008C4689" w14:paraId="1F53579F" w14:textId="63700AE7">
            <w:pPr>
              <w:tabs>
                <w:tab w:val="left" w:pos="-1440"/>
                <w:tab w:val="left" w:pos="-720"/>
                <w:tab w:val="left" w:pos="0"/>
                <w:tab w:val="left" w:pos="240"/>
                <w:tab w:val="left" w:pos="720"/>
              </w:tabs>
              <w:spacing w:after="120"/>
              <w:jc w:val="center"/>
              <w:rPr>
                <w:b/>
                <w:bCs/>
                <w:iCs/>
                <w:color w:val="000000"/>
              </w:rPr>
            </w:pPr>
            <w:r>
              <w:rPr>
                <w:b/>
                <w:bCs/>
                <w:iCs/>
                <w:color w:val="000000"/>
              </w:rPr>
              <w:t>Total Responses</w:t>
            </w:r>
          </w:p>
        </w:tc>
        <w:tc>
          <w:tcPr>
            <w:tcW w:w="1620" w:type="dxa"/>
            <w:shd w:val="clear" w:color="auto" w:fill="D9D9D9" w:themeFill="background1" w:themeFillShade="D9"/>
            <w:vAlign w:val="center"/>
          </w:tcPr>
          <w:p w:rsidR="00AF6D1E" w:rsidRPr="00AF6D1E" w:rsidP="008C4689" w14:paraId="5B55321F" w14:textId="07307F0B">
            <w:pPr>
              <w:tabs>
                <w:tab w:val="left" w:pos="-1440"/>
                <w:tab w:val="left" w:pos="-720"/>
                <w:tab w:val="left" w:pos="0"/>
                <w:tab w:val="left" w:pos="240"/>
                <w:tab w:val="left" w:pos="720"/>
              </w:tabs>
              <w:spacing w:after="120"/>
              <w:jc w:val="center"/>
              <w:rPr>
                <w:b/>
                <w:bCs/>
                <w:iCs/>
              </w:rPr>
            </w:pPr>
            <w:r>
              <w:rPr>
                <w:b/>
                <w:bCs/>
                <w:iCs/>
                <w:color w:val="000000"/>
              </w:rPr>
              <w:t xml:space="preserve">Average </w:t>
            </w:r>
            <w:r w:rsidR="00E46165">
              <w:rPr>
                <w:b/>
                <w:bCs/>
                <w:iCs/>
                <w:color w:val="000000"/>
              </w:rPr>
              <w:t>Time</w:t>
            </w:r>
            <w:r w:rsidR="000B45AA">
              <w:rPr>
                <w:b/>
                <w:bCs/>
                <w:iCs/>
                <w:color w:val="000000"/>
              </w:rPr>
              <w:t xml:space="preserve"> </w:t>
            </w:r>
            <w:r>
              <w:rPr>
                <w:b/>
                <w:bCs/>
                <w:iCs/>
                <w:color w:val="000000"/>
              </w:rPr>
              <w:t>Burden</w:t>
            </w:r>
            <w:r w:rsidR="000B45AA">
              <w:rPr>
                <w:b/>
                <w:bCs/>
                <w:iCs/>
                <w:color w:val="000000"/>
              </w:rPr>
              <w:t xml:space="preserve"> per Response</w:t>
            </w:r>
          </w:p>
        </w:tc>
        <w:tc>
          <w:tcPr>
            <w:tcW w:w="1350" w:type="dxa"/>
            <w:shd w:val="clear" w:color="auto" w:fill="D9D9D9" w:themeFill="background1" w:themeFillShade="D9"/>
            <w:vAlign w:val="center"/>
          </w:tcPr>
          <w:p w:rsidR="00AF6D1E" w:rsidRPr="00AF6D1E" w:rsidP="008C4689" w14:paraId="6E70B46A" w14:textId="3C5D0EEE">
            <w:pPr>
              <w:tabs>
                <w:tab w:val="left" w:pos="-1440"/>
                <w:tab w:val="left" w:pos="-720"/>
                <w:tab w:val="left" w:pos="0"/>
                <w:tab w:val="left" w:pos="240"/>
                <w:tab w:val="left" w:pos="720"/>
              </w:tabs>
              <w:spacing w:after="120"/>
              <w:jc w:val="center"/>
              <w:rPr>
                <w:b/>
                <w:bCs/>
                <w:iCs/>
              </w:rPr>
            </w:pPr>
            <w:r>
              <w:rPr>
                <w:b/>
                <w:bCs/>
                <w:iCs/>
              </w:rPr>
              <w:t>Total Annual Burden</w:t>
            </w:r>
          </w:p>
        </w:tc>
      </w:tr>
      <w:tr w14:paraId="0A8473AE"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710FF9DA" w14:textId="77777777">
            <w:pPr>
              <w:spacing w:after="120"/>
            </w:pPr>
            <w:r w:rsidRPr="00AF6D1E">
              <w:t>Transaction Receipts</w:t>
            </w:r>
          </w:p>
        </w:tc>
        <w:tc>
          <w:tcPr>
            <w:tcW w:w="1440" w:type="dxa"/>
          </w:tcPr>
          <w:p w:rsidR="00AF6D1E" w:rsidRPr="00AF6D1E" w:rsidP="008C4689" w14:paraId="0CF107AD" w14:textId="77777777">
            <w:pPr>
              <w:pStyle w:val="Footer"/>
              <w:spacing w:after="120"/>
              <w:jc w:val="right"/>
              <w:rPr>
                <w:snapToGrid w:val="0"/>
              </w:rPr>
            </w:pPr>
            <w:r w:rsidRPr="00AF6D1E">
              <w:rPr>
                <w:snapToGrid w:val="0"/>
              </w:rPr>
              <w:t>100,000</w:t>
            </w:r>
          </w:p>
        </w:tc>
        <w:tc>
          <w:tcPr>
            <w:tcW w:w="1530" w:type="dxa"/>
          </w:tcPr>
          <w:p w:rsidR="00AF6D1E" w:rsidRPr="00AF6D1E" w:rsidP="008C4689" w14:paraId="15C0257B" w14:textId="77777777">
            <w:pPr>
              <w:pStyle w:val="Footer"/>
              <w:spacing w:after="120"/>
              <w:jc w:val="right"/>
              <w:rPr>
                <w:snapToGrid w:val="0"/>
              </w:rPr>
            </w:pPr>
            <w:r w:rsidRPr="00AF6D1E">
              <w:rPr>
                <w:snapToGrid w:val="0"/>
              </w:rPr>
              <w:t>40</w:t>
            </w:r>
          </w:p>
        </w:tc>
        <w:tc>
          <w:tcPr>
            <w:tcW w:w="1494" w:type="dxa"/>
          </w:tcPr>
          <w:p w:rsidR="00AF6D1E" w:rsidRPr="00AF6D1E" w:rsidP="008C4689" w14:paraId="076AAAEA" w14:textId="77777777">
            <w:pPr>
              <w:spacing w:after="120"/>
              <w:jc w:val="right"/>
            </w:pPr>
            <w:r w:rsidRPr="00AF6D1E">
              <w:t>4,000,000</w:t>
            </w:r>
          </w:p>
        </w:tc>
        <w:tc>
          <w:tcPr>
            <w:tcW w:w="1620" w:type="dxa"/>
          </w:tcPr>
          <w:p w:rsidR="00AF6D1E" w:rsidRPr="00AF6D1E" w:rsidP="008C4689" w14:paraId="222B9492" w14:textId="77777777">
            <w:pPr>
              <w:spacing w:after="120"/>
              <w:jc w:val="right"/>
            </w:pPr>
            <w:r w:rsidRPr="00AF6D1E">
              <w:t>1.2 minutes</w:t>
            </w:r>
          </w:p>
        </w:tc>
        <w:tc>
          <w:tcPr>
            <w:tcW w:w="1350" w:type="dxa"/>
          </w:tcPr>
          <w:p w:rsidR="00AF6D1E" w:rsidRPr="00AF6D1E" w:rsidP="008C4689" w14:paraId="7CEF7C67" w14:textId="77777777">
            <w:pPr>
              <w:spacing w:after="120"/>
              <w:jc w:val="right"/>
            </w:pPr>
            <w:r w:rsidRPr="00AF6D1E">
              <w:t>80,000</w:t>
            </w:r>
          </w:p>
        </w:tc>
      </w:tr>
      <w:tr w14:paraId="229B3C69"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1656A238" w14:textId="77777777">
            <w:pPr>
              <w:spacing w:after="120"/>
            </w:pPr>
            <w:r w:rsidRPr="00AF6D1E">
              <w:t xml:space="preserve">Change in Terms </w:t>
            </w:r>
          </w:p>
        </w:tc>
        <w:tc>
          <w:tcPr>
            <w:tcW w:w="1440" w:type="dxa"/>
          </w:tcPr>
          <w:p w:rsidR="00AF6D1E" w:rsidRPr="00AF6D1E" w:rsidP="008C4689" w14:paraId="149A072D" w14:textId="77777777">
            <w:pPr>
              <w:tabs>
                <w:tab w:val="left" w:pos="-1440"/>
                <w:tab w:val="left" w:pos="-720"/>
                <w:tab w:val="left" w:pos="0"/>
                <w:tab w:val="left" w:pos="240"/>
                <w:tab w:val="left" w:pos="720"/>
              </w:tabs>
              <w:spacing w:after="120"/>
              <w:jc w:val="right"/>
            </w:pPr>
            <w:r w:rsidRPr="00AF6D1E">
              <w:rPr>
                <w:snapToGrid w:val="0"/>
              </w:rPr>
              <w:t>100,000</w:t>
            </w:r>
          </w:p>
        </w:tc>
        <w:tc>
          <w:tcPr>
            <w:tcW w:w="1530" w:type="dxa"/>
          </w:tcPr>
          <w:p w:rsidR="00AF6D1E" w:rsidRPr="00AF6D1E" w:rsidP="008C4689" w14:paraId="7412121A"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10</w:t>
            </w:r>
          </w:p>
        </w:tc>
        <w:tc>
          <w:tcPr>
            <w:tcW w:w="1494" w:type="dxa"/>
          </w:tcPr>
          <w:p w:rsidR="00AF6D1E" w:rsidRPr="00AF6D1E" w:rsidP="008C4689" w14:paraId="744D5798" w14:textId="77777777">
            <w:pPr>
              <w:pStyle w:val="Footer"/>
              <w:tabs>
                <w:tab w:val="left" w:pos="-1440"/>
                <w:tab w:val="left" w:pos="-720"/>
                <w:tab w:val="left" w:pos="0"/>
                <w:tab w:val="left" w:pos="240"/>
                <w:tab w:val="left" w:pos="720"/>
              </w:tabs>
              <w:spacing w:after="120"/>
              <w:jc w:val="right"/>
            </w:pPr>
            <w:r w:rsidRPr="00AF6D1E">
              <w:t>1,000,000</w:t>
            </w:r>
          </w:p>
        </w:tc>
        <w:tc>
          <w:tcPr>
            <w:tcW w:w="1620" w:type="dxa"/>
          </w:tcPr>
          <w:p w:rsidR="00AF6D1E" w:rsidRPr="00AF6D1E" w:rsidP="008C4689" w14:paraId="56264EA4" w14:textId="77777777">
            <w:pPr>
              <w:pStyle w:val="Footer"/>
              <w:tabs>
                <w:tab w:val="left" w:pos="-1440"/>
                <w:tab w:val="left" w:pos="-720"/>
                <w:tab w:val="left" w:pos="0"/>
                <w:tab w:val="left" w:pos="240"/>
                <w:tab w:val="left" w:pos="720"/>
              </w:tabs>
              <w:spacing w:after="120"/>
              <w:jc w:val="right"/>
              <w:rPr>
                <w:snapToGrid w:val="0"/>
              </w:rPr>
            </w:pPr>
            <w:r w:rsidRPr="00AF6D1E">
              <w:t>16.5 minutes</w:t>
            </w:r>
          </w:p>
        </w:tc>
        <w:tc>
          <w:tcPr>
            <w:tcW w:w="1350" w:type="dxa"/>
          </w:tcPr>
          <w:p w:rsidR="00AF6D1E" w:rsidRPr="00AF6D1E" w:rsidP="008C4689" w14:paraId="16A3BD20" w14:textId="77777777">
            <w:pPr>
              <w:pStyle w:val="Footer"/>
              <w:tabs>
                <w:tab w:val="left" w:pos="-1440"/>
                <w:tab w:val="left" w:pos="-720"/>
                <w:tab w:val="left" w:pos="0"/>
                <w:tab w:val="left" w:pos="240"/>
                <w:tab w:val="left" w:pos="720"/>
              </w:tabs>
              <w:spacing w:after="120"/>
              <w:jc w:val="right"/>
              <w:rPr>
                <w:snapToGrid w:val="0"/>
              </w:rPr>
            </w:pPr>
            <w:r w:rsidRPr="00AF6D1E">
              <w:t>275,000</w:t>
            </w:r>
          </w:p>
        </w:tc>
      </w:tr>
      <w:tr w14:paraId="1B2F5F7C"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38693C12" w14:textId="77777777">
            <w:pPr>
              <w:spacing w:after="120"/>
            </w:pPr>
            <w:r w:rsidRPr="00AF6D1E">
              <w:t>Payroll Disclosures</w:t>
            </w:r>
          </w:p>
        </w:tc>
        <w:tc>
          <w:tcPr>
            <w:tcW w:w="1440" w:type="dxa"/>
          </w:tcPr>
          <w:p w:rsidR="00AF6D1E" w:rsidRPr="00AF6D1E" w:rsidP="008C4689" w14:paraId="383253A9" w14:textId="77777777">
            <w:pPr>
              <w:tabs>
                <w:tab w:val="left" w:pos="-1440"/>
                <w:tab w:val="left" w:pos="-720"/>
                <w:tab w:val="left" w:pos="0"/>
                <w:tab w:val="left" w:pos="240"/>
                <w:tab w:val="left" w:pos="720"/>
              </w:tabs>
              <w:spacing w:after="120"/>
              <w:jc w:val="right"/>
              <w:rPr>
                <w:bCs/>
              </w:rPr>
            </w:pPr>
            <w:r w:rsidRPr="00AF6D1E">
              <w:t>600,000</w:t>
            </w:r>
          </w:p>
        </w:tc>
        <w:tc>
          <w:tcPr>
            <w:tcW w:w="1530" w:type="dxa"/>
          </w:tcPr>
          <w:p w:rsidR="00AF6D1E" w:rsidRPr="00AF6D1E" w:rsidP="008C4689" w14:paraId="7DC03B0E"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1</w:t>
            </w:r>
          </w:p>
        </w:tc>
        <w:tc>
          <w:tcPr>
            <w:tcW w:w="1494" w:type="dxa"/>
          </w:tcPr>
          <w:p w:rsidR="00AF6D1E" w:rsidRPr="00AF6D1E" w:rsidP="008C4689" w14:paraId="52A67EEC"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600,000</w:t>
            </w:r>
          </w:p>
        </w:tc>
        <w:tc>
          <w:tcPr>
            <w:tcW w:w="1620" w:type="dxa"/>
          </w:tcPr>
          <w:p w:rsidR="00AF6D1E" w:rsidRPr="00AF6D1E" w:rsidP="008C4689" w14:paraId="586000DE"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90 minutes</w:t>
            </w:r>
          </w:p>
        </w:tc>
        <w:tc>
          <w:tcPr>
            <w:tcW w:w="1350" w:type="dxa"/>
          </w:tcPr>
          <w:p w:rsidR="00AF6D1E" w:rsidRPr="00AF6D1E" w:rsidP="008C4689" w14:paraId="760E3C62" w14:textId="77777777">
            <w:pPr>
              <w:pStyle w:val="Footer"/>
              <w:tabs>
                <w:tab w:val="left" w:pos="-1440"/>
                <w:tab w:val="left" w:pos="-720"/>
                <w:tab w:val="left" w:pos="0"/>
                <w:tab w:val="left" w:pos="240"/>
                <w:tab w:val="left" w:pos="720"/>
              </w:tabs>
              <w:spacing w:after="120"/>
              <w:jc w:val="right"/>
              <w:rPr>
                <w:snapToGrid w:val="0"/>
              </w:rPr>
            </w:pPr>
            <w:r w:rsidRPr="00AF6D1E">
              <w:rPr>
                <w:snapToGrid w:val="0"/>
              </w:rPr>
              <w:t>900,000</w:t>
            </w:r>
          </w:p>
        </w:tc>
      </w:tr>
      <w:tr w14:paraId="46F95287"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036ED079" w14:textId="77777777">
            <w:pPr>
              <w:spacing w:after="120"/>
            </w:pPr>
            <w:r w:rsidRPr="00AF6D1E">
              <w:t>Recordkeeping</w:t>
            </w:r>
          </w:p>
        </w:tc>
        <w:tc>
          <w:tcPr>
            <w:tcW w:w="1440" w:type="dxa"/>
          </w:tcPr>
          <w:p w:rsidR="00AF6D1E" w:rsidRPr="00AF6D1E" w:rsidP="008C4689" w14:paraId="4D405CD1" w14:textId="77777777">
            <w:pPr>
              <w:pStyle w:val="Footer"/>
              <w:spacing w:after="120"/>
              <w:jc w:val="right"/>
              <w:rPr>
                <w:snapToGrid w:val="0"/>
              </w:rPr>
            </w:pPr>
            <w:r w:rsidRPr="00AF6D1E">
              <w:rPr>
                <w:snapToGrid w:val="0"/>
              </w:rPr>
              <w:t>600,000</w:t>
            </w:r>
          </w:p>
        </w:tc>
        <w:tc>
          <w:tcPr>
            <w:tcW w:w="1530" w:type="dxa"/>
          </w:tcPr>
          <w:p w:rsidR="00AF6D1E" w:rsidRPr="00AF6D1E" w:rsidP="008C4689" w14:paraId="393593DF" w14:textId="77777777">
            <w:pPr>
              <w:pStyle w:val="Footer"/>
              <w:spacing w:after="120"/>
              <w:jc w:val="right"/>
              <w:rPr>
                <w:snapToGrid w:val="0"/>
              </w:rPr>
            </w:pPr>
            <w:r w:rsidRPr="00AF6D1E">
              <w:rPr>
                <w:snapToGrid w:val="0"/>
              </w:rPr>
              <w:t>1</w:t>
            </w:r>
          </w:p>
        </w:tc>
        <w:tc>
          <w:tcPr>
            <w:tcW w:w="1494" w:type="dxa"/>
          </w:tcPr>
          <w:p w:rsidR="00AF6D1E" w:rsidRPr="00AF6D1E" w:rsidP="008C4689" w14:paraId="57769299" w14:textId="77777777">
            <w:pPr>
              <w:spacing w:after="120"/>
              <w:jc w:val="right"/>
            </w:pPr>
            <w:r w:rsidRPr="00AF6D1E">
              <w:t>600,000</w:t>
            </w:r>
          </w:p>
        </w:tc>
        <w:tc>
          <w:tcPr>
            <w:tcW w:w="1620" w:type="dxa"/>
          </w:tcPr>
          <w:p w:rsidR="00AF6D1E" w:rsidRPr="00AF6D1E" w:rsidP="008C4689" w14:paraId="7AE2E772" w14:textId="77777777">
            <w:pPr>
              <w:spacing w:after="120"/>
              <w:jc w:val="right"/>
            </w:pPr>
            <w:r w:rsidRPr="00AF6D1E">
              <w:t>58.3 minutes</w:t>
            </w:r>
          </w:p>
        </w:tc>
        <w:tc>
          <w:tcPr>
            <w:tcW w:w="1350" w:type="dxa"/>
          </w:tcPr>
          <w:p w:rsidR="00AF6D1E" w:rsidRPr="00AF6D1E" w:rsidP="008C4689" w14:paraId="6DD607E2" w14:textId="77777777">
            <w:pPr>
              <w:spacing w:after="120"/>
              <w:jc w:val="right"/>
            </w:pPr>
            <w:r w:rsidRPr="00AF6D1E">
              <w:rPr>
                <w:color w:val="000000"/>
              </w:rPr>
              <w:t>583,000</w:t>
            </w:r>
          </w:p>
        </w:tc>
      </w:tr>
      <w:tr w14:paraId="215C4A56"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65DFCE65" w14:textId="77777777">
            <w:pPr>
              <w:spacing w:after="120"/>
            </w:pPr>
            <w:r w:rsidRPr="00AF6D1E">
              <w:t>Error Resolution</w:t>
            </w:r>
          </w:p>
        </w:tc>
        <w:tc>
          <w:tcPr>
            <w:tcW w:w="1440" w:type="dxa"/>
          </w:tcPr>
          <w:p w:rsidR="00AF6D1E" w:rsidRPr="00AF6D1E" w:rsidP="008C4689" w14:paraId="55FDF239" w14:textId="77777777">
            <w:pPr>
              <w:pStyle w:val="Footer"/>
              <w:spacing w:after="120"/>
              <w:jc w:val="right"/>
              <w:rPr>
                <w:snapToGrid w:val="0"/>
              </w:rPr>
            </w:pPr>
            <w:r w:rsidRPr="00AF6D1E">
              <w:rPr>
                <w:snapToGrid w:val="0"/>
              </w:rPr>
              <w:t>100,000</w:t>
            </w:r>
          </w:p>
        </w:tc>
        <w:tc>
          <w:tcPr>
            <w:tcW w:w="1530" w:type="dxa"/>
          </w:tcPr>
          <w:p w:rsidR="00AF6D1E" w:rsidRPr="00AF6D1E" w:rsidP="008C4689" w14:paraId="0A426660" w14:textId="77777777">
            <w:pPr>
              <w:pStyle w:val="Footer"/>
              <w:spacing w:after="120"/>
              <w:jc w:val="right"/>
              <w:rPr>
                <w:snapToGrid w:val="0"/>
              </w:rPr>
            </w:pPr>
            <w:r w:rsidRPr="00AF6D1E">
              <w:rPr>
                <w:snapToGrid w:val="0"/>
              </w:rPr>
              <w:t>10</w:t>
            </w:r>
          </w:p>
        </w:tc>
        <w:tc>
          <w:tcPr>
            <w:tcW w:w="1494" w:type="dxa"/>
          </w:tcPr>
          <w:p w:rsidR="00AF6D1E" w:rsidRPr="00AF6D1E" w:rsidP="008C4689" w14:paraId="305E3968" w14:textId="77777777">
            <w:pPr>
              <w:spacing w:after="120"/>
              <w:jc w:val="right"/>
            </w:pPr>
            <w:r w:rsidRPr="00AF6D1E">
              <w:t>1,000,000</w:t>
            </w:r>
          </w:p>
        </w:tc>
        <w:tc>
          <w:tcPr>
            <w:tcW w:w="1620" w:type="dxa"/>
          </w:tcPr>
          <w:p w:rsidR="00AF6D1E" w:rsidRPr="00AF6D1E" w:rsidP="008C4689" w14:paraId="29CD1E07" w14:textId="77777777">
            <w:pPr>
              <w:spacing w:after="120"/>
              <w:jc w:val="right"/>
            </w:pPr>
            <w:r w:rsidRPr="00AF6D1E">
              <w:t>3.96 minutes</w:t>
            </w:r>
          </w:p>
        </w:tc>
        <w:tc>
          <w:tcPr>
            <w:tcW w:w="1350" w:type="dxa"/>
          </w:tcPr>
          <w:p w:rsidR="00AF6D1E" w:rsidRPr="00AF6D1E" w:rsidP="008C4689" w14:paraId="3D05C4D1" w14:textId="77777777">
            <w:pPr>
              <w:spacing w:after="120"/>
              <w:jc w:val="right"/>
              <w:rPr>
                <w:u w:val="single"/>
              </w:rPr>
            </w:pPr>
            <w:r w:rsidRPr="00AF6D1E">
              <w:rPr>
                <w:color w:val="000000"/>
              </w:rPr>
              <w:t>66,000</w:t>
            </w:r>
          </w:p>
        </w:tc>
      </w:tr>
      <w:tr w14:paraId="092F2BD9"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6C9C98DC" w14:textId="77777777">
            <w:pPr>
              <w:spacing w:after="120"/>
            </w:pPr>
            <w:r w:rsidRPr="00AF6D1E">
              <w:t xml:space="preserve">Prepaid Account Short Form Additional Fee Type Disclosure, depository institutions </w:t>
            </w:r>
          </w:p>
        </w:tc>
        <w:tc>
          <w:tcPr>
            <w:tcW w:w="1440" w:type="dxa"/>
          </w:tcPr>
          <w:p w:rsidR="00AF6D1E" w:rsidRPr="00AF6D1E" w:rsidP="008C4689" w14:paraId="4EA12509" w14:textId="77777777">
            <w:pPr>
              <w:pStyle w:val="Footer"/>
              <w:spacing w:after="120"/>
              <w:jc w:val="right"/>
              <w:rPr>
                <w:snapToGrid w:val="0"/>
              </w:rPr>
            </w:pPr>
            <w:r w:rsidRPr="00AF6D1E">
              <w:rPr>
                <w:snapToGrid w:val="0"/>
              </w:rPr>
              <w:t>18</w:t>
            </w:r>
          </w:p>
        </w:tc>
        <w:tc>
          <w:tcPr>
            <w:tcW w:w="1530" w:type="dxa"/>
          </w:tcPr>
          <w:p w:rsidR="00AF6D1E" w:rsidRPr="00AF6D1E" w:rsidP="008C4689" w14:paraId="1716A084" w14:textId="77777777">
            <w:pPr>
              <w:pStyle w:val="Footer"/>
              <w:spacing w:after="120"/>
              <w:jc w:val="right"/>
              <w:rPr>
                <w:snapToGrid w:val="0"/>
              </w:rPr>
            </w:pPr>
            <w:r w:rsidRPr="00AF6D1E">
              <w:rPr>
                <w:snapToGrid w:val="0"/>
              </w:rPr>
              <w:t>12</w:t>
            </w:r>
          </w:p>
        </w:tc>
        <w:tc>
          <w:tcPr>
            <w:tcW w:w="1494" w:type="dxa"/>
          </w:tcPr>
          <w:p w:rsidR="00AF6D1E" w:rsidRPr="00AF6D1E" w:rsidP="008C4689" w14:paraId="5A189E0D" w14:textId="77777777">
            <w:pPr>
              <w:spacing w:after="120"/>
              <w:jc w:val="right"/>
            </w:pPr>
            <w:r w:rsidRPr="00AF6D1E">
              <w:t>216</w:t>
            </w:r>
          </w:p>
        </w:tc>
        <w:tc>
          <w:tcPr>
            <w:tcW w:w="1620" w:type="dxa"/>
          </w:tcPr>
          <w:p w:rsidR="00AF6D1E" w:rsidRPr="00AF6D1E" w:rsidP="008C4689" w14:paraId="7D74381A" w14:textId="77777777">
            <w:pPr>
              <w:spacing w:after="120"/>
              <w:jc w:val="right"/>
            </w:pPr>
            <w:r w:rsidRPr="00AF6D1E">
              <w:t>240 minutes</w:t>
            </w:r>
          </w:p>
        </w:tc>
        <w:tc>
          <w:tcPr>
            <w:tcW w:w="1350" w:type="dxa"/>
          </w:tcPr>
          <w:p w:rsidR="00AF6D1E" w:rsidRPr="00AF6D1E" w:rsidP="008C4689" w14:paraId="6E994669" w14:textId="77777777">
            <w:pPr>
              <w:spacing w:after="120"/>
              <w:jc w:val="right"/>
              <w:rPr>
                <w:color w:val="000000"/>
              </w:rPr>
            </w:pPr>
            <w:r w:rsidRPr="00AF6D1E">
              <w:rPr>
                <w:color w:val="000000"/>
              </w:rPr>
              <w:t>864</w:t>
            </w:r>
          </w:p>
        </w:tc>
      </w:tr>
      <w:tr w14:paraId="7BF2EF01"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71B1E77D" w14:textId="77777777">
            <w:pPr>
              <w:spacing w:after="120"/>
            </w:pPr>
            <w:r w:rsidRPr="00AF6D1E">
              <w:t>Prepaid Account Short Form Additional Fee Type Disclosure, non-depository institutions</w:t>
            </w:r>
          </w:p>
        </w:tc>
        <w:tc>
          <w:tcPr>
            <w:tcW w:w="1440" w:type="dxa"/>
          </w:tcPr>
          <w:p w:rsidR="00AF6D1E" w:rsidRPr="00AF6D1E" w:rsidP="008C4689" w14:paraId="510AA770" w14:textId="77777777">
            <w:pPr>
              <w:pStyle w:val="Footer"/>
              <w:spacing w:after="120"/>
              <w:jc w:val="right"/>
              <w:rPr>
                <w:snapToGrid w:val="0"/>
              </w:rPr>
            </w:pPr>
            <w:r w:rsidRPr="00AF6D1E">
              <w:rPr>
                <w:snapToGrid w:val="0"/>
              </w:rPr>
              <w:t>142</w:t>
            </w:r>
          </w:p>
        </w:tc>
        <w:tc>
          <w:tcPr>
            <w:tcW w:w="1530" w:type="dxa"/>
          </w:tcPr>
          <w:p w:rsidR="00AF6D1E" w:rsidRPr="00AF6D1E" w:rsidP="008C4689" w14:paraId="20C64570" w14:textId="77777777">
            <w:pPr>
              <w:pStyle w:val="Footer"/>
              <w:spacing w:after="120"/>
              <w:jc w:val="right"/>
              <w:rPr>
                <w:snapToGrid w:val="0"/>
              </w:rPr>
            </w:pPr>
            <w:r w:rsidRPr="00AF6D1E">
              <w:rPr>
                <w:snapToGrid w:val="0"/>
              </w:rPr>
              <w:t>12</w:t>
            </w:r>
          </w:p>
        </w:tc>
        <w:tc>
          <w:tcPr>
            <w:tcW w:w="1494" w:type="dxa"/>
          </w:tcPr>
          <w:p w:rsidR="00AF6D1E" w:rsidRPr="00AF6D1E" w:rsidP="008C4689" w14:paraId="716293AE" w14:textId="77777777">
            <w:pPr>
              <w:spacing w:after="120"/>
              <w:jc w:val="right"/>
            </w:pPr>
            <w:r w:rsidRPr="00AF6D1E">
              <w:t>1704</w:t>
            </w:r>
          </w:p>
        </w:tc>
        <w:tc>
          <w:tcPr>
            <w:tcW w:w="1620" w:type="dxa"/>
          </w:tcPr>
          <w:p w:rsidR="00AF6D1E" w:rsidRPr="00AF6D1E" w:rsidP="008C4689" w14:paraId="6DC86AAD" w14:textId="77777777">
            <w:pPr>
              <w:spacing w:after="120"/>
              <w:jc w:val="right"/>
            </w:pPr>
            <w:r w:rsidRPr="00AF6D1E">
              <w:t>120 minutes</w:t>
            </w:r>
          </w:p>
        </w:tc>
        <w:tc>
          <w:tcPr>
            <w:tcW w:w="1350" w:type="dxa"/>
          </w:tcPr>
          <w:p w:rsidR="00AF6D1E" w:rsidRPr="00AF6D1E" w:rsidP="008C4689" w14:paraId="3CB1616A" w14:textId="77777777">
            <w:pPr>
              <w:spacing w:after="120"/>
              <w:jc w:val="right"/>
              <w:rPr>
                <w:color w:val="000000"/>
              </w:rPr>
            </w:pPr>
            <w:r w:rsidRPr="00AF6D1E">
              <w:rPr>
                <w:color w:val="000000"/>
              </w:rPr>
              <w:t>3,408</w:t>
            </w:r>
          </w:p>
        </w:tc>
      </w:tr>
      <w:tr w14:paraId="65244B35"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31C7EEDA" w14:textId="77777777">
            <w:pPr>
              <w:spacing w:after="120"/>
            </w:pPr>
            <w:r w:rsidRPr="00AF6D1E">
              <w:t xml:space="preserve">Prepaid Account Error Resolution, depository institutions </w:t>
            </w:r>
          </w:p>
        </w:tc>
        <w:tc>
          <w:tcPr>
            <w:tcW w:w="1440" w:type="dxa"/>
          </w:tcPr>
          <w:p w:rsidR="00AF6D1E" w:rsidRPr="00AF6D1E" w:rsidP="008C4689" w14:paraId="5E22F3D7" w14:textId="77777777">
            <w:pPr>
              <w:pStyle w:val="Footer"/>
              <w:spacing w:after="120"/>
              <w:jc w:val="right"/>
              <w:rPr>
                <w:snapToGrid w:val="0"/>
              </w:rPr>
            </w:pPr>
            <w:r w:rsidRPr="00AF6D1E">
              <w:rPr>
                <w:snapToGrid w:val="0"/>
              </w:rPr>
              <w:t>2</w:t>
            </w:r>
          </w:p>
        </w:tc>
        <w:tc>
          <w:tcPr>
            <w:tcW w:w="1530" w:type="dxa"/>
          </w:tcPr>
          <w:p w:rsidR="00AF6D1E" w:rsidRPr="00AF6D1E" w:rsidP="008C4689" w14:paraId="7DF1665A" w14:textId="77777777">
            <w:pPr>
              <w:pStyle w:val="Footer"/>
              <w:spacing w:after="120"/>
              <w:jc w:val="right"/>
              <w:rPr>
                <w:snapToGrid w:val="0"/>
              </w:rPr>
            </w:pPr>
            <w:r w:rsidRPr="00AF6D1E">
              <w:rPr>
                <w:snapToGrid w:val="0"/>
              </w:rPr>
              <w:t>539</w:t>
            </w:r>
          </w:p>
        </w:tc>
        <w:tc>
          <w:tcPr>
            <w:tcW w:w="1494" w:type="dxa"/>
          </w:tcPr>
          <w:p w:rsidR="00AF6D1E" w:rsidRPr="00AF6D1E" w:rsidP="008C4689" w14:paraId="30F09670" w14:textId="77777777">
            <w:pPr>
              <w:spacing w:after="120"/>
              <w:jc w:val="right"/>
            </w:pPr>
            <w:r w:rsidRPr="00AF6D1E">
              <w:t>1078</w:t>
            </w:r>
          </w:p>
        </w:tc>
        <w:tc>
          <w:tcPr>
            <w:tcW w:w="1620" w:type="dxa"/>
          </w:tcPr>
          <w:p w:rsidR="00AF6D1E" w:rsidRPr="00AF6D1E" w:rsidP="008C4689" w14:paraId="18C81763" w14:textId="77777777">
            <w:pPr>
              <w:spacing w:after="120"/>
              <w:jc w:val="right"/>
            </w:pPr>
            <w:r w:rsidRPr="00AF6D1E">
              <w:t>30 minutes</w:t>
            </w:r>
          </w:p>
        </w:tc>
        <w:tc>
          <w:tcPr>
            <w:tcW w:w="1350" w:type="dxa"/>
          </w:tcPr>
          <w:p w:rsidR="00AF6D1E" w:rsidRPr="00AF6D1E" w:rsidP="008C4689" w14:paraId="4F35FC7E" w14:textId="77777777">
            <w:pPr>
              <w:spacing w:after="120"/>
              <w:jc w:val="right"/>
              <w:rPr>
                <w:color w:val="000000"/>
              </w:rPr>
            </w:pPr>
            <w:r w:rsidRPr="00AF6D1E">
              <w:rPr>
                <w:color w:val="000000"/>
              </w:rPr>
              <w:t>539</w:t>
            </w:r>
          </w:p>
        </w:tc>
      </w:tr>
      <w:tr w14:paraId="5E73EC98"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3C661D80" w14:textId="77777777">
            <w:pPr>
              <w:spacing w:after="120"/>
            </w:pPr>
            <w:r w:rsidRPr="00AF6D1E">
              <w:t xml:space="preserve">Prepaid Account Error Resolution, non-depository institutions </w:t>
            </w:r>
          </w:p>
        </w:tc>
        <w:tc>
          <w:tcPr>
            <w:tcW w:w="1440" w:type="dxa"/>
          </w:tcPr>
          <w:p w:rsidR="00AF6D1E" w:rsidRPr="00AF6D1E" w:rsidP="008C4689" w14:paraId="34868AE5" w14:textId="77777777">
            <w:pPr>
              <w:pStyle w:val="Footer"/>
              <w:spacing w:after="120"/>
              <w:jc w:val="right"/>
              <w:rPr>
                <w:snapToGrid w:val="0"/>
              </w:rPr>
            </w:pPr>
            <w:r w:rsidRPr="00AF6D1E">
              <w:rPr>
                <w:snapToGrid w:val="0"/>
              </w:rPr>
              <w:t>18</w:t>
            </w:r>
          </w:p>
        </w:tc>
        <w:tc>
          <w:tcPr>
            <w:tcW w:w="1530" w:type="dxa"/>
          </w:tcPr>
          <w:p w:rsidR="00AF6D1E" w:rsidRPr="00AF6D1E" w:rsidP="008C4689" w14:paraId="288B5367" w14:textId="77777777">
            <w:pPr>
              <w:pStyle w:val="Footer"/>
              <w:spacing w:after="120"/>
              <w:jc w:val="right"/>
              <w:rPr>
                <w:snapToGrid w:val="0"/>
              </w:rPr>
            </w:pPr>
            <w:r w:rsidRPr="00AF6D1E">
              <w:rPr>
                <w:snapToGrid w:val="0"/>
              </w:rPr>
              <w:t>539</w:t>
            </w:r>
          </w:p>
        </w:tc>
        <w:tc>
          <w:tcPr>
            <w:tcW w:w="1494" w:type="dxa"/>
          </w:tcPr>
          <w:p w:rsidR="00AF6D1E" w:rsidRPr="00AF6D1E" w:rsidP="008C4689" w14:paraId="040B5297" w14:textId="77777777">
            <w:pPr>
              <w:spacing w:after="120"/>
              <w:jc w:val="right"/>
            </w:pPr>
            <w:r w:rsidRPr="00AF6D1E">
              <w:t>9702</w:t>
            </w:r>
          </w:p>
        </w:tc>
        <w:tc>
          <w:tcPr>
            <w:tcW w:w="1620" w:type="dxa"/>
          </w:tcPr>
          <w:p w:rsidR="00AF6D1E" w:rsidRPr="00AF6D1E" w:rsidP="008C4689" w14:paraId="416C18DD" w14:textId="77777777">
            <w:pPr>
              <w:spacing w:after="120"/>
              <w:jc w:val="right"/>
            </w:pPr>
            <w:r w:rsidRPr="00AF6D1E">
              <w:t>15 minutes</w:t>
            </w:r>
          </w:p>
        </w:tc>
        <w:tc>
          <w:tcPr>
            <w:tcW w:w="1350" w:type="dxa"/>
          </w:tcPr>
          <w:p w:rsidR="00AF6D1E" w:rsidRPr="00AF6D1E" w:rsidP="008C4689" w14:paraId="6B029DFD" w14:textId="77777777">
            <w:pPr>
              <w:spacing w:after="120"/>
              <w:jc w:val="right"/>
              <w:rPr>
                <w:color w:val="000000"/>
              </w:rPr>
            </w:pPr>
            <w:r w:rsidRPr="00AF6D1E">
              <w:rPr>
                <w:color w:val="000000"/>
              </w:rPr>
              <w:t>2,426</w:t>
            </w:r>
          </w:p>
        </w:tc>
      </w:tr>
      <w:tr w14:paraId="12A54DA1"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20485C76" w14:textId="77777777">
            <w:pPr>
              <w:spacing w:after="120"/>
            </w:pPr>
            <w:r w:rsidRPr="00AF6D1E">
              <w:t xml:space="preserve">Submission of Prepaid Account Agreements, depository institutions </w:t>
            </w:r>
          </w:p>
        </w:tc>
        <w:tc>
          <w:tcPr>
            <w:tcW w:w="1440" w:type="dxa"/>
          </w:tcPr>
          <w:p w:rsidR="00AF6D1E" w:rsidRPr="00AF6D1E" w:rsidP="008C4689" w14:paraId="130FDB29" w14:textId="77777777">
            <w:pPr>
              <w:pStyle w:val="Footer"/>
              <w:spacing w:after="120"/>
              <w:jc w:val="right"/>
              <w:rPr>
                <w:snapToGrid w:val="0"/>
              </w:rPr>
            </w:pPr>
            <w:r w:rsidRPr="00AF6D1E">
              <w:rPr>
                <w:snapToGrid w:val="0"/>
              </w:rPr>
              <w:t>36</w:t>
            </w:r>
          </w:p>
        </w:tc>
        <w:tc>
          <w:tcPr>
            <w:tcW w:w="1530" w:type="dxa"/>
          </w:tcPr>
          <w:p w:rsidR="00AF6D1E" w:rsidRPr="00AF6D1E" w:rsidP="008C4689" w14:paraId="62576186" w14:textId="77777777">
            <w:pPr>
              <w:pStyle w:val="Footer"/>
              <w:spacing w:after="120"/>
              <w:jc w:val="right"/>
              <w:rPr>
                <w:snapToGrid w:val="0"/>
              </w:rPr>
            </w:pPr>
            <w:r w:rsidRPr="00AF6D1E">
              <w:rPr>
                <w:snapToGrid w:val="0"/>
              </w:rPr>
              <w:t>5</w:t>
            </w:r>
          </w:p>
        </w:tc>
        <w:tc>
          <w:tcPr>
            <w:tcW w:w="1494" w:type="dxa"/>
          </w:tcPr>
          <w:p w:rsidR="00AF6D1E" w:rsidRPr="00AF6D1E" w:rsidP="008C4689" w14:paraId="4D454345" w14:textId="77777777">
            <w:pPr>
              <w:spacing w:after="120"/>
              <w:jc w:val="right"/>
            </w:pPr>
            <w:r w:rsidRPr="00AF6D1E">
              <w:t>180</w:t>
            </w:r>
          </w:p>
        </w:tc>
        <w:tc>
          <w:tcPr>
            <w:tcW w:w="1620" w:type="dxa"/>
          </w:tcPr>
          <w:p w:rsidR="00AF6D1E" w:rsidRPr="00AF6D1E" w:rsidP="008C4689" w14:paraId="753295FD" w14:textId="77777777">
            <w:pPr>
              <w:spacing w:after="120"/>
              <w:jc w:val="right"/>
            </w:pPr>
            <w:r w:rsidRPr="00AF6D1E">
              <w:t>5 minutes</w:t>
            </w:r>
          </w:p>
        </w:tc>
        <w:tc>
          <w:tcPr>
            <w:tcW w:w="1350" w:type="dxa"/>
          </w:tcPr>
          <w:p w:rsidR="00AF6D1E" w:rsidRPr="00AF6D1E" w:rsidP="008C4689" w14:paraId="30B108A4" w14:textId="77777777">
            <w:pPr>
              <w:spacing w:after="120"/>
              <w:jc w:val="right"/>
              <w:rPr>
                <w:color w:val="000000"/>
              </w:rPr>
            </w:pPr>
            <w:r w:rsidRPr="00AF6D1E">
              <w:rPr>
                <w:color w:val="000000"/>
              </w:rPr>
              <w:t>15</w:t>
            </w:r>
          </w:p>
        </w:tc>
      </w:tr>
      <w:tr w14:paraId="2F445E13"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6A9FC8FE" w14:textId="77777777">
            <w:pPr>
              <w:spacing w:after="120"/>
            </w:pPr>
            <w:r w:rsidRPr="00AF6D1E">
              <w:t>Submission of Prepaid Account Agreements, non-depository institutions</w:t>
            </w:r>
          </w:p>
        </w:tc>
        <w:tc>
          <w:tcPr>
            <w:tcW w:w="1440" w:type="dxa"/>
          </w:tcPr>
          <w:p w:rsidR="00AF6D1E" w:rsidRPr="00AF6D1E" w:rsidP="008C4689" w14:paraId="0EEE9843" w14:textId="77777777">
            <w:pPr>
              <w:pStyle w:val="Footer"/>
              <w:spacing w:after="120"/>
              <w:jc w:val="right"/>
              <w:rPr>
                <w:snapToGrid w:val="0"/>
              </w:rPr>
            </w:pPr>
            <w:r w:rsidRPr="00AF6D1E">
              <w:rPr>
                <w:snapToGrid w:val="0"/>
              </w:rPr>
              <w:t>10</w:t>
            </w:r>
          </w:p>
        </w:tc>
        <w:tc>
          <w:tcPr>
            <w:tcW w:w="1530" w:type="dxa"/>
          </w:tcPr>
          <w:p w:rsidR="00AF6D1E" w:rsidRPr="00AF6D1E" w:rsidP="008C4689" w14:paraId="7253E999" w14:textId="77777777">
            <w:pPr>
              <w:pStyle w:val="Footer"/>
              <w:spacing w:after="120"/>
              <w:jc w:val="right"/>
              <w:rPr>
                <w:snapToGrid w:val="0"/>
              </w:rPr>
            </w:pPr>
            <w:r w:rsidRPr="00AF6D1E">
              <w:rPr>
                <w:snapToGrid w:val="0"/>
              </w:rPr>
              <w:t>5</w:t>
            </w:r>
          </w:p>
        </w:tc>
        <w:tc>
          <w:tcPr>
            <w:tcW w:w="1494" w:type="dxa"/>
          </w:tcPr>
          <w:p w:rsidR="00AF6D1E" w:rsidRPr="00AF6D1E" w:rsidP="008C4689" w14:paraId="183599AE" w14:textId="77777777">
            <w:pPr>
              <w:spacing w:after="120"/>
              <w:jc w:val="right"/>
            </w:pPr>
            <w:r w:rsidRPr="00AF6D1E">
              <w:t>50</w:t>
            </w:r>
          </w:p>
        </w:tc>
        <w:tc>
          <w:tcPr>
            <w:tcW w:w="1620" w:type="dxa"/>
          </w:tcPr>
          <w:p w:rsidR="00AF6D1E" w:rsidRPr="00AF6D1E" w:rsidP="008C4689" w14:paraId="5B556EDE" w14:textId="77777777">
            <w:pPr>
              <w:spacing w:after="120"/>
              <w:jc w:val="right"/>
            </w:pPr>
            <w:r w:rsidRPr="00AF6D1E">
              <w:t>3 minutes</w:t>
            </w:r>
          </w:p>
        </w:tc>
        <w:tc>
          <w:tcPr>
            <w:tcW w:w="1350" w:type="dxa"/>
          </w:tcPr>
          <w:p w:rsidR="00AF6D1E" w:rsidRPr="00AF6D1E" w:rsidP="008C4689" w14:paraId="778B1F80" w14:textId="77777777">
            <w:pPr>
              <w:spacing w:after="120"/>
              <w:jc w:val="right"/>
              <w:rPr>
                <w:color w:val="000000"/>
              </w:rPr>
            </w:pPr>
            <w:r w:rsidRPr="00AF6D1E">
              <w:rPr>
                <w:color w:val="000000"/>
              </w:rPr>
              <w:t>2</w:t>
            </w:r>
          </w:p>
        </w:tc>
      </w:tr>
      <w:tr w14:paraId="22436D70"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6CD9BA05" w14:textId="77777777">
            <w:pPr>
              <w:spacing w:after="120"/>
              <w:rPr>
                <w:i/>
                <w:iCs/>
              </w:rPr>
            </w:pPr>
            <w:r w:rsidRPr="00AF6D1E">
              <w:t xml:space="preserve">Prepaid Account Short Form Additional Fee Type Disclosure, depository institutions </w:t>
            </w:r>
          </w:p>
        </w:tc>
        <w:tc>
          <w:tcPr>
            <w:tcW w:w="1440" w:type="dxa"/>
          </w:tcPr>
          <w:p w:rsidR="00AF6D1E" w:rsidRPr="00AF6D1E" w:rsidP="008C4689" w14:paraId="77C237B7" w14:textId="77777777">
            <w:pPr>
              <w:pStyle w:val="Footer"/>
              <w:spacing w:after="120"/>
              <w:jc w:val="right"/>
              <w:rPr>
                <w:snapToGrid w:val="0"/>
              </w:rPr>
            </w:pPr>
            <w:r w:rsidRPr="00AF6D1E">
              <w:rPr>
                <w:snapToGrid w:val="0"/>
              </w:rPr>
              <w:t>18</w:t>
            </w:r>
          </w:p>
        </w:tc>
        <w:tc>
          <w:tcPr>
            <w:tcW w:w="1530" w:type="dxa"/>
          </w:tcPr>
          <w:p w:rsidR="00AF6D1E" w:rsidRPr="00AF6D1E" w:rsidP="008C4689" w14:paraId="70E068E1" w14:textId="77777777">
            <w:pPr>
              <w:pStyle w:val="Footer"/>
              <w:spacing w:after="120"/>
              <w:jc w:val="right"/>
              <w:rPr>
                <w:snapToGrid w:val="0"/>
              </w:rPr>
            </w:pPr>
            <w:r w:rsidRPr="00AF6D1E">
              <w:rPr>
                <w:snapToGrid w:val="0"/>
              </w:rPr>
              <w:t>12</w:t>
            </w:r>
          </w:p>
        </w:tc>
        <w:tc>
          <w:tcPr>
            <w:tcW w:w="1494" w:type="dxa"/>
          </w:tcPr>
          <w:p w:rsidR="00AF6D1E" w:rsidRPr="00AF6D1E" w:rsidP="008C4689" w14:paraId="6C247440" w14:textId="77777777">
            <w:pPr>
              <w:spacing w:after="120"/>
              <w:jc w:val="right"/>
            </w:pPr>
            <w:r w:rsidRPr="00AF6D1E">
              <w:t>216</w:t>
            </w:r>
          </w:p>
        </w:tc>
        <w:tc>
          <w:tcPr>
            <w:tcW w:w="1620" w:type="dxa"/>
          </w:tcPr>
          <w:p w:rsidR="00AF6D1E" w:rsidRPr="00AF6D1E" w:rsidP="008C4689" w14:paraId="4D8CA679" w14:textId="77777777">
            <w:pPr>
              <w:spacing w:after="120"/>
              <w:jc w:val="right"/>
            </w:pPr>
            <w:r w:rsidRPr="00AF6D1E">
              <w:t>240 minutes</w:t>
            </w:r>
          </w:p>
        </w:tc>
        <w:tc>
          <w:tcPr>
            <w:tcW w:w="1350" w:type="dxa"/>
          </w:tcPr>
          <w:p w:rsidR="00AF6D1E" w:rsidRPr="00AF6D1E" w:rsidP="008C4689" w14:paraId="27DB471A" w14:textId="77777777">
            <w:pPr>
              <w:spacing w:after="120"/>
              <w:jc w:val="right"/>
              <w:rPr>
                <w:color w:val="000000"/>
              </w:rPr>
            </w:pPr>
            <w:r w:rsidRPr="00AF6D1E">
              <w:rPr>
                <w:color w:val="000000"/>
              </w:rPr>
              <w:t>864</w:t>
            </w:r>
          </w:p>
        </w:tc>
      </w:tr>
      <w:tr w14:paraId="7413FCFF"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0FCA35FC" w14:textId="77777777">
            <w:pPr>
              <w:spacing w:after="120"/>
              <w:ind w:left="-18"/>
            </w:pPr>
            <w:r w:rsidRPr="00AF6D1E">
              <w:rPr>
                <w:i/>
                <w:iCs/>
              </w:rPr>
              <w:t>1005.31 Disclosures</w:t>
            </w:r>
          </w:p>
        </w:tc>
        <w:tc>
          <w:tcPr>
            <w:tcW w:w="1440" w:type="dxa"/>
          </w:tcPr>
          <w:p w:rsidR="00AF6D1E" w:rsidRPr="00AF6D1E" w:rsidP="008C4689" w14:paraId="5B85C549" w14:textId="77777777">
            <w:pPr>
              <w:pStyle w:val="Footer"/>
              <w:spacing w:after="120"/>
              <w:jc w:val="right"/>
              <w:rPr>
                <w:snapToGrid w:val="0"/>
              </w:rPr>
            </w:pPr>
          </w:p>
        </w:tc>
        <w:tc>
          <w:tcPr>
            <w:tcW w:w="1530" w:type="dxa"/>
          </w:tcPr>
          <w:p w:rsidR="00AF6D1E" w:rsidRPr="00AF6D1E" w:rsidP="008C4689" w14:paraId="35EE58F6" w14:textId="77777777">
            <w:pPr>
              <w:pStyle w:val="Footer"/>
              <w:spacing w:after="120"/>
              <w:jc w:val="right"/>
              <w:rPr>
                <w:snapToGrid w:val="0"/>
              </w:rPr>
            </w:pPr>
          </w:p>
        </w:tc>
        <w:tc>
          <w:tcPr>
            <w:tcW w:w="1494" w:type="dxa"/>
          </w:tcPr>
          <w:p w:rsidR="00AF6D1E" w:rsidRPr="00AF6D1E" w:rsidP="008C4689" w14:paraId="13D7AE3C" w14:textId="77777777">
            <w:pPr>
              <w:spacing w:after="120"/>
              <w:jc w:val="right"/>
            </w:pPr>
          </w:p>
        </w:tc>
        <w:tc>
          <w:tcPr>
            <w:tcW w:w="1620" w:type="dxa"/>
          </w:tcPr>
          <w:p w:rsidR="00AF6D1E" w:rsidRPr="00AF6D1E" w:rsidP="008C4689" w14:paraId="5443F79B" w14:textId="77777777">
            <w:pPr>
              <w:spacing w:after="120"/>
              <w:jc w:val="right"/>
            </w:pPr>
          </w:p>
        </w:tc>
        <w:tc>
          <w:tcPr>
            <w:tcW w:w="1350" w:type="dxa"/>
          </w:tcPr>
          <w:p w:rsidR="00AF6D1E" w:rsidRPr="00AF6D1E" w:rsidP="008C4689" w14:paraId="4E7EDDE8" w14:textId="77777777">
            <w:pPr>
              <w:spacing w:after="120"/>
              <w:jc w:val="right"/>
              <w:rPr>
                <w:color w:val="000000"/>
              </w:rPr>
            </w:pPr>
          </w:p>
        </w:tc>
      </w:tr>
      <w:tr w14:paraId="3FAB17B7"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3DDDBC2C" w14:textId="77777777">
            <w:pPr>
              <w:spacing w:after="120"/>
              <w:ind w:left="162"/>
            </w:pPr>
            <w:r w:rsidRPr="00AF6D1E">
              <w:t>1005.31 Maintaining Disclosures</w:t>
            </w:r>
          </w:p>
        </w:tc>
        <w:tc>
          <w:tcPr>
            <w:tcW w:w="1440" w:type="dxa"/>
          </w:tcPr>
          <w:p w:rsidR="00AF6D1E" w:rsidRPr="00AF6D1E" w:rsidP="008C4689" w14:paraId="7E88AF6F" w14:textId="77777777">
            <w:pPr>
              <w:pStyle w:val="Footer"/>
              <w:spacing w:after="120"/>
              <w:jc w:val="right"/>
              <w:rPr>
                <w:snapToGrid w:val="0"/>
              </w:rPr>
            </w:pPr>
            <w:r w:rsidRPr="00AF6D1E">
              <w:rPr>
                <w:snapToGrid w:val="0"/>
              </w:rPr>
              <w:t>160</w:t>
            </w:r>
          </w:p>
        </w:tc>
        <w:tc>
          <w:tcPr>
            <w:tcW w:w="1530" w:type="dxa"/>
          </w:tcPr>
          <w:p w:rsidR="00AF6D1E" w:rsidRPr="00AF6D1E" w:rsidP="008C4689" w14:paraId="5CBF3227" w14:textId="77777777">
            <w:pPr>
              <w:pStyle w:val="Footer"/>
              <w:spacing w:after="120"/>
              <w:jc w:val="right"/>
              <w:rPr>
                <w:snapToGrid w:val="0"/>
              </w:rPr>
            </w:pPr>
            <w:r w:rsidRPr="00AF6D1E">
              <w:rPr>
                <w:snapToGrid w:val="0"/>
              </w:rPr>
              <w:t>1</w:t>
            </w:r>
          </w:p>
        </w:tc>
        <w:tc>
          <w:tcPr>
            <w:tcW w:w="1494" w:type="dxa"/>
          </w:tcPr>
          <w:p w:rsidR="00AF6D1E" w:rsidRPr="00AF6D1E" w:rsidP="008C4689" w14:paraId="2DF3F3B0" w14:textId="77777777">
            <w:pPr>
              <w:spacing w:after="120"/>
              <w:jc w:val="right"/>
            </w:pPr>
            <w:r w:rsidRPr="00AF6D1E">
              <w:t>160</w:t>
            </w:r>
          </w:p>
        </w:tc>
        <w:tc>
          <w:tcPr>
            <w:tcW w:w="1620" w:type="dxa"/>
          </w:tcPr>
          <w:p w:rsidR="00AF6D1E" w:rsidRPr="00AF6D1E" w:rsidP="008C4689" w14:paraId="02D86189" w14:textId="77777777">
            <w:pPr>
              <w:spacing w:after="120"/>
              <w:jc w:val="right"/>
            </w:pPr>
            <w:r w:rsidRPr="00AF6D1E">
              <w:t>48 hours</w:t>
            </w:r>
          </w:p>
        </w:tc>
        <w:tc>
          <w:tcPr>
            <w:tcW w:w="1350" w:type="dxa"/>
          </w:tcPr>
          <w:p w:rsidR="00AF6D1E" w:rsidRPr="00AF6D1E" w:rsidP="008C4689" w14:paraId="422279E5" w14:textId="77777777">
            <w:pPr>
              <w:spacing w:after="120"/>
              <w:jc w:val="right"/>
              <w:rPr>
                <w:color w:val="000000"/>
              </w:rPr>
            </w:pPr>
            <w:r w:rsidRPr="00AF6D1E">
              <w:rPr>
                <w:color w:val="000000"/>
              </w:rPr>
              <w:t>7,680</w:t>
            </w:r>
          </w:p>
        </w:tc>
      </w:tr>
      <w:tr w14:paraId="3BF2BB04"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21B9A9F0" w14:textId="77777777">
            <w:pPr>
              <w:spacing w:after="120"/>
              <w:rPr>
                <w:i/>
                <w:iCs/>
              </w:rPr>
            </w:pPr>
            <w:r w:rsidRPr="00AF6D1E">
              <w:rPr>
                <w:i/>
                <w:iCs/>
              </w:rPr>
              <w:t>1005.33 Error Resolution</w:t>
            </w:r>
          </w:p>
        </w:tc>
        <w:tc>
          <w:tcPr>
            <w:tcW w:w="1440" w:type="dxa"/>
          </w:tcPr>
          <w:p w:rsidR="00AF6D1E" w:rsidRPr="00AF6D1E" w:rsidP="008C4689" w14:paraId="6AB92996" w14:textId="77777777">
            <w:pPr>
              <w:pStyle w:val="Footer"/>
              <w:spacing w:after="120"/>
              <w:jc w:val="right"/>
              <w:rPr>
                <w:snapToGrid w:val="0"/>
              </w:rPr>
            </w:pPr>
          </w:p>
        </w:tc>
        <w:tc>
          <w:tcPr>
            <w:tcW w:w="1530" w:type="dxa"/>
          </w:tcPr>
          <w:p w:rsidR="00AF6D1E" w:rsidRPr="00AF6D1E" w:rsidP="008C4689" w14:paraId="5C7D51AE" w14:textId="77777777">
            <w:pPr>
              <w:pStyle w:val="Footer"/>
              <w:spacing w:after="120"/>
              <w:jc w:val="right"/>
              <w:rPr>
                <w:snapToGrid w:val="0"/>
              </w:rPr>
            </w:pPr>
          </w:p>
        </w:tc>
        <w:tc>
          <w:tcPr>
            <w:tcW w:w="1494" w:type="dxa"/>
          </w:tcPr>
          <w:p w:rsidR="00AF6D1E" w:rsidRPr="00AF6D1E" w:rsidP="008C4689" w14:paraId="4EB37985" w14:textId="77777777">
            <w:pPr>
              <w:spacing w:after="120"/>
              <w:jc w:val="right"/>
            </w:pPr>
          </w:p>
        </w:tc>
        <w:tc>
          <w:tcPr>
            <w:tcW w:w="1620" w:type="dxa"/>
          </w:tcPr>
          <w:p w:rsidR="00AF6D1E" w:rsidRPr="00AF6D1E" w:rsidP="008C4689" w14:paraId="5649C014" w14:textId="77777777">
            <w:pPr>
              <w:spacing w:after="120"/>
              <w:jc w:val="right"/>
            </w:pPr>
          </w:p>
        </w:tc>
        <w:tc>
          <w:tcPr>
            <w:tcW w:w="1350" w:type="dxa"/>
          </w:tcPr>
          <w:p w:rsidR="00AF6D1E" w:rsidRPr="00AF6D1E" w:rsidP="008C4689" w14:paraId="665A9428" w14:textId="77777777">
            <w:pPr>
              <w:spacing w:after="120"/>
              <w:jc w:val="right"/>
              <w:rPr>
                <w:color w:val="000000"/>
              </w:rPr>
            </w:pPr>
          </w:p>
        </w:tc>
      </w:tr>
      <w:tr w14:paraId="75A397BF"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69FD6549" w14:textId="77777777">
            <w:pPr>
              <w:spacing w:after="120"/>
              <w:ind w:left="162"/>
            </w:pPr>
            <w:r w:rsidRPr="00AF6D1E">
              <w:t>1005.33(b) Consumers asserting notices of error</w:t>
            </w:r>
          </w:p>
        </w:tc>
        <w:tc>
          <w:tcPr>
            <w:tcW w:w="1440" w:type="dxa"/>
          </w:tcPr>
          <w:p w:rsidR="00AF6D1E" w:rsidRPr="00AF6D1E" w:rsidP="008C4689" w14:paraId="3923A3BF" w14:textId="77777777">
            <w:pPr>
              <w:pStyle w:val="Footer"/>
              <w:spacing w:after="120"/>
              <w:jc w:val="right"/>
              <w:rPr>
                <w:snapToGrid w:val="0"/>
              </w:rPr>
            </w:pPr>
            <w:r w:rsidRPr="00AF6D1E">
              <w:rPr>
                <w:snapToGrid w:val="0"/>
              </w:rPr>
              <w:t>191,189</w:t>
            </w:r>
          </w:p>
        </w:tc>
        <w:tc>
          <w:tcPr>
            <w:tcW w:w="1530" w:type="dxa"/>
          </w:tcPr>
          <w:p w:rsidR="00AF6D1E" w:rsidRPr="00AF6D1E" w:rsidP="008C4689" w14:paraId="274DA464" w14:textId="77777777">
            <w:pPr>
              <w:pStyle w:val="Footer"/>
              <w:spacing w:after="120"/>
              <w:jc w:val="right"/>
              <w:rPr>
                <w:snapToGrid w:val="0"/>
              </w:rPr>
            </w:pPr>
            <w:r w:rsidRPr="00AF6D1E">
              <w:rPr>
                <w:snapToGrid w:val="0"/>
              </w:rPr>
              <w:t>1</w:t>
            </w:r>
          </w:p>
        </w:tc>
        <w:tc>
          <w:tcPr>
            <w:tcW w:w="1494" w:type="dxa"/>
          </w:tcPr>
          <w:p w:rsidR="00AF6D1E" w:rsidRPr="00AF6D1E" w:rsidP="008C4689" w14:paraId="68A8472C" w14:textId="77777777">
            <w:pPr>
              <w:spacing w:after="120"/>
              <w:jc w:val="right"/>
            </w:pPr>
            <w:r w:rsidRPr="00AF6D1E">
              <w:t>190,189</w:t>
            </w:r>
          </w:p>
        </w:tc>
        <w:tc>
          <w:tcPr>
            <w:tcW w:w="1620" w:type="dxa"/>
          </w:tcPr>
          <w:p w:rsidR="00AF6D1E" w:rsidRPr="00AF6D1E" w:rsidP="008C4689" w14:paraId="1ABF61B1" w14:textId="77777777">
            <w:pPr>
              <w:spacing w:after="120"/>
              <w:jc w:val="right"/>
            </w:pPr>
            <w:r w:rsidRPr="00AF6D1E">
              <w:t>5 minutes</w:t>
            </w:r>
          </w:p>
        </w:tc>
        <w:tc>
          <w:tcPr>
            <w:tcW w:w="1350" w:type="dxa"/>
          </w:tcPr>
          <w:p w:rsidR="00AF6D1E" w:rsidRPr="00AF6D1E" w:rsidP="008C4689" w14:paraId="3B137CB2" w14:textId="77777777">
            <w:pPr>
              <w:spacing w:after="120"/>
              <w:jc w:val="right"/>
              <w:rPr>
                <w:color w:val="000000"/>
              </w:rPr>
            </w:pPr>
            <w:r w:rsidRPr="00AF6D1E">
              <w:rPr>
                <w:color w:val="000000"/>
              </w:rPr>
              <w:t>15,849</w:t>
            </w:r>
          </w:p>
        </w:tc>
      </w:tr>
      <w:tr w14:paraId="70F8A9C0"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2001677C" w14:textId="77777777">
            <w:pPr>
              <w:spacing w:after="120"/>
              <w:ind w:left="162"/>
            </w:pPr>
            <w:r w:rsidRPr="00AF6D1E">
              <w:t>1005.33(c)(1) Responding to notices of error</w:t>
            </w:r>
          </w:p>
        </w:tc>
        <w:tc>
          <w:tcPr>
            <w:tcW w:w="1440" w:type="dxa"/>
          </w:tcPr>
          <w:p w:rsidR="00AF6D1E" w:rsidRPr="00AF6D1E" w:rsidP="008C4689" w14:paraId="70EBC581" w14:textId="77777777">
            <w:pPr>
              <w:pStyle w:val="Footer"/>
              <w:spacing w:after="120"/>
              <w:jc w:val="right"/>
              <w:rPr>
                <w:snapToGrid w:val="0"/>
              </w:rPr>
            </w:pPr>
            <w:r w:rsidRPr="00AF6D1E">
              <w:rPr>
                <w:snapToGrid w:val="0"/>
              </w:rPr>
              <w:t>160</w:t>
            </w:r>
          </w:p>
        </w:tc>
        <w:tc>
          <w:tcPr>
            <w:tcW w:w="1530" w:type="dxa"/>
          </w:tcPr>
          <w:p w:rsidR="00AF6D1E" w:rsidRPr="00AF6D1E" w:rsidP="008C4689" w14:paraId="2004CE51" w14:textId="77777777">
            <w:pPr>
              <w:pStyle w:val="Footer"/>
              <w:spacing w:after="120"/>
              <w:jc w:val="right"/>
              <w:rPr>
                <w:snapToGrid w:val="0"/>
              </w:rPr>
            </w:pPr>
            <w:r w:rsidRPr="00AF6D1E">
              <w:rPr>
                <w:snapToGrid w:val="0"/>
              </w:rPr>
              <w:t>1189</w:t>
            </w:r>
          </w:p>
        </w:tc>
        <w:tc>
          <w:tcPr>
            <w:tcW w:w="1494" w:type="dxa"/>
          </w:tcPr>
          <w:p w:rsidR="00AF6D1E" w:rsidRPr="00AF6D1E" w:rsidP="008C4689" w14:paraId="736BB4FE" w14:textId="77777777">
            <w:pPr>
              <w:spacing w:after="120"/>
              <w:jc w:val="right"/>
            </w:pPr>
            <w:r w:rsidRPr="00AF6D1E">
              <w:t>190,189</w:t>
            </w:r>
          </w:p>
        </w:tc>
        <w:tc>
          <w:tcPr>
            <w:tcW w:w="1620" w:type="dxa"/>
          </w:tcPr>
          <w:p w:rsidR="00AF6D1E" w:rsidRPr="00AF6D1E" w:rsidP="008C4689" w14:paraId="060B5DA0" w14:textId="77777777">
            <w:pPr>
              <w:spacing w:after="120"/>
              <w:jc w:val="right"/>
            </w:pPr>
            <w:r w:rsidRPr="00AF6D1E">
              <w:t>5 minutes</w:t>
            </w:r>
          </w:p>
        </w:tc>
        <w:tc>
          <w:tcPr>
            <w:tcW w:w="1350" w:type="dxa"/>
          </w:tcPr>
          <w:p w:rsidR="00AF6D1E" w:rsidRPr="00AF6D1E" w:rsidP="008C4689" w14:paraId="7D138595" w14:textId="77777777">
            <w:pPr>
              <w:spacing w:after="120"/>
              <w:jc w:val="right"/>
              <w:rPr>
                <w:color w:val="000000"/>
              </w:rPr>
            </w:pPr>
            <w:r w:rsidRPr="00AF6D1E">
              <w:rPr>
                <w:color w:val="000000"/>
              </w:rPr>
              <w:t>15,849</w:t>
            </w:r>
          </w:p>
        </w:tc>
      </w:tr>
      <w:tr w14:paraId="2C07960F"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0E951813" w14:textId="77777777">
            <w:pPr>
              <w:spacing w:after="120"/>
              <w:ind w:left="162"/>
            </w:pPr>
            <w:r w:rsidRPr="00AF6D1E">
              <w:t>1005.33 Maintaining error resolution policies</w:t>
            </w:r>
          </w:p>
        </w:tc>
        <w:tc>
          <w:tcPr>
            <w:tcW w:w="1440" w:type="dxa"/>
          </w:tcPr>
          <w:p w:rsidR="00AF6D1E" w:rsidRPr="00AF6D1E" w:rsidP="008C4689" w14:paraId="08C944FB" w14:textId="77777777">
            <w:pPr>
              <w:pStyle w:val="Footer"/>
              <w:spacing w:after="120"/>
              <w:jc w:val="right"/>
              <w:rPr>
                <w:snapToGrid w:val="0"/>
              </w:rPr>
            </w:pPr>
            <w:r w:rsidRPr="00AF6D1E">
              <w:rPr>
                <w:snapToGrid w:val="0"/>
              </w:rPr>
              <w:t>160</w:t>
            </w:r>
          </w:p>
        </w:tc>
        <w:tc>
          <w:tcPr>
            <w:tcW w:w="1530" w:type="dxa"/>
          </w:tcPr>
          <w:p w:rsidR="00AF6D1E" w:rsidRPr="00AF6D1E" w:rsidP="008C4689" w14:paraId="2C680DE1" w14:textId="77777777">
            <w:pPr>
              <w:pStyle w:val="Footer"/>
              <w:spacing w:after="120"/>
              <w:jc w:val="right"/>
              <w:rPr>
                <w:snapToGrid w:val="0"/>
              </w:rPr>
            </w:pPr>
            <w:r w:rsidRPr="00AF6D1E">
              <w:rPr>
                <w:snapToGrid w:val="0"/>
              </w:rPr>
              <w:t>1</w:t>
            </w:r>
          </w:p>
        </w:tc>
        <w:tc>
          <w:tcPr>
            <w:tcW w:w="1494" w:type="dxa"/>
          </w:tcPr>
          <w:p w:rsidR="00AF6D1E" w:rsidRPr="00AF6D1E" w:rsidP="008C4689" w14:paraId="2EE92929" w14:textId="77777777">
            <w:pPr>
              <w:spacing w:after="120"/>
              <w:jc w:val="right"/>
            </w:pPr>
            <w:r w:rsidRPr="00AF6D1E">
              <w:t>160</w:t>
            </w:r>
          </w:p>
        </w:tc>
        <w:tc>
          <w:tcPr>
            <w:tcW w:w="1620" w:type="dxa"/>
          </w:tcPr>
          <w:p w:rsidR="00AF6D1E" w:rsidRPr="00AF6D1E" w:rsidP="008C4689" w14:paraId="41DCDB1E" w14:textId="77777777">
            <w:pPr>
              <w:spacing w:after="120"/>
              <w:jc w:val="right"/>
            </w:pPr>
            <w:r w:rsidRPr="00AF6D1E">
              <w:t>8 hours</w:t>
            </w:r>
          </w:p>
        </w:tc>
        <w:tc>
          <w:tcPr>
            <w:tcW w:w="1350" w:type="dxa"/>
          </w:tcPr>
          <w:p w:rsidR="00AF6D1E" w:rsidRPr="00AF6D1E" w:rsidP="008C4689" w14:paraId="50CEE3D7" w14:textId="77777777">
            <w:pPr>
              <w:spacing w:after="120"/>
              <w:jc w:val="right"/>
              <w:rPr>
                <w:color w:val="000000"/>
              </w:rPr>
            </w:pPr>
            <w:r w:rsidRPr="00AF6D1E">
              <w:rPr>
                <w:color w:val="000000"/>
              </w:rPr>
              <w:t>1,280</w:t>
            </w:r>
          </w:p>
        </w:tc>
      </w:tr>
      <w:tr w14:paraId="54884CCD"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3A1486F4" w14:textId="77777777">
            <w:pPr>
              <w:spacing w:after="120"/>
              <w:rPr>
                <w:i/>
                <w:iCs/>
              </w:rPr>
            </w:pPr>
            <w:r w:rsidRPr="00AF6D1E">
              <w:rPr>
                <w:i/>
                <w:iCs/>
              </w:rPr>
              <w:t>1005.35 Acts of Agent</w:t>
            </w:r>
          </w:p>
        </w:tc>
        <w:tc>
          <w:tcPr>
            <w:tcW w:w="1440" w:type="dxa"/>
          </w:tcPr>
          <w:p w:rsidR="00AF6D1E" w:rsidRPr="00AF6D1E" w:rsidP="008C4689" w14:paraId="408A1FBF" w14:textId="77777777">
            <w:pPr>
              <w:pStyle w:val="Footer"/>
              <w:spacing w:after="120"/>
              <w:jc w:val="right"/>
              <w:rPr>
                <w:snapToGrid w:val="0"/>
              </w:rPr>
            </w:pPr>
          </w:p>
        </w:tc>
        <w:tc>
          <w:tcPr>
            <w:tcW w:w="1530" w:type="dxa"/>
          </w:tcPr>
          <w:p w:rsidR="00AF6D1E" w:rsidRPr="00AF6D1E" w:rsidP="008C4689" w14:paraId="0DF0CBD0" w14:textId="77777777">
            <w:pPr>
              <w:pStyle w:val="Footer"/>
              <w:spacing w:after="120"/>
              <w:jc w:val="right"/>
              <w:rPr>
                <w:snapToGrid w:val="0"/>
              </w:rPr>
            </w:pPr>
          </w:p>
        </w:tc>
        <w:tc>
          <w:tcPr>
            <w:tcW w:w="1494" w:type="dxa"/>
          </w:tcPr>
          <w:p w:rsidR="00AF6D1E" w:rsidRPr="00AF6D1E" w:rsidP="008C4689" w14:paraId="69C7B3D7" w14:textId="77777777">
            <w:pPr>
              <w:spacing w:after="120"/>
              <w:jc w:val="right"/>
            </w:pPr>
          </w:p>
        </w:tc>
        <w:tc>
          <w:tcPr>
            <w:tcW w:w="1620" w:type="dxa"/>
          </w:tcPr>
          <w:p w:rsidR="00AF6D1E" w:rsidRPr="00AF6D1E" w:rsidP="008C4689" w14:paraId="2D4B31AC" w14:textId="77777777">
            <w:pPr>
              <w:spacing w:after="120"/>
              <w:jc w:val="right"/>
            </w:pPr>
          </w:p>
        </w:tc>
        <w:tc>
          <w:tcPr>
            <w:tcW w:w="1350" w:type="dxa"/>
          </w:tcPr>
          <w:p w:rsidR="00AF6D1E" w:rsidRPr="00AF6D1E" w:rsidP="008C4689" w14:paraId="38BD62E9" w14:textId="77777777">
            <w:pPr>
              <w:spacing w:after="120"/>
              <w:jc w:val="right"/>
              <w:rPr>
                <w:color w:val="000000"/>
              </w:rPr>
            </w:pPr>
          </w:p>
        </w:tc>
      </w:tr>
      <w:tr w14:paraId="45D4C7BA"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0BF72B3E" w14:textId="77777777">
            <w:pPr>
              <w:spacing w:after="120"/>
              <w:ind w:left="162"/>
            </w:pPr>
            <w:r w:rsidRPr="00AF6D1E">
              <w:t>Maintain requirements for agent compliance</w:t>
            </w:r>
          </w:p>
        </w:tc>
        <w:tc>
          <w:tcPr>
            <w:tcW w:w="1440" w:type="dxa"/>
          </w:tcPr>
          <w:p w:rsidR="00AF6D1E" w:rsidRPr="00AF6D1E" w:rsidP="008C4689" w14:paraId="2442AA0A" w14:textId="77777777">
            <w:pPr>
              <w:pStyle w:val="Footer"/>
              <w:spacing w:after="120"/>
              <w:jc w:val="right"/>
              <w:rPr>
                <w:snapToGrid w:val="0"/>
              </w:rPr>
            </w:pPr>
            <w:r w:rsidRPr="00AF6D1E">
              <w:rPr>
                <w:snapToGrid w:val="0"/>
              </w:rPr>
              <w:t>160</w:t>
            </w:r>
          </w:p>
        </w:tc>
        <w:tc>
          <w:tcPr>
            <w:tcW w:w="1530" w:type="dxa"/>
          </w:tcPr>
          <w:p w:rsidR="00AF6D1E" w:rsidRPr="00AF6D1E" w:rsidP="008C4689" w14:paraId="2C82042C" w14:textId="77777777">
            <w:pPr>
              <w:pStyle w:val="Footer"/>
              <w:spacing w:after="120"/>
              <w:jc w:val="right"/>
              <w:rPr>
                <w:snapToGrid w:val="0"/>
              </w:rPr>
            </w:pPr>
            <w:r w:rsidRPr="00AF6D1E">
              <w:rPr>
                <w:snapToGrid w:val="0"/>
              </w:rPr>
              <w:t>1</w:t>
            </w:r>
          </w:p>
        </w:tc>
        <w:tc>
          <w:tcPr>
            <w:tcW w:w="1494" w:type="dxa"/>
          </w:tcPr>
          <w:p w:rsidR="00AF6D1E" w:rsidRPr="00AF6D1E" w:rsidP="008C4689" w14:paraId="12E6CADA" w14:textId="77777777">
            <w:pPr>
              <w:spacing w:after="120"/>
              <w:jc w:val="right"/>
            </w:pPr>
            <w:r w:rsidRPr="00AF6D1E">
              <w:t>160</w:t>
            </w:r>
          </w:p>
        </w:tc>
        <w:tc>
          <w:tcPr>
            <w:tcW w:w="1620" w:type="dxa"/>
          </w:tcPr>
          <w:p w:rsidR="00AF6D1E" w:rsidRPr="00AF6D1E" w:rsidP="008C4689" w14:paraId="3B00CFE2" w14:textId="77777777">
            <w:pPr>
              <w:spacing w:after="120"/>
              <w:jc w:val="right"/>
            </w:pPr>
            <w:r w:rsidRPr="00AF6D1E">
              <w:t>8 hours</w:t>
            </w:r>
          </w:p>
        </w:tc>
        <w:tc>
          <w:tcPr>
            <w:tcW w:w="1350" w:type="dxa"/>
          </w:tcPr>
          <w:p w:rsidR="00AF6D1E" w:rsidRPr="00AF6D1E" w:rsidP="008C4689" w14:paraId="2933DDE8" w14:textId="77777777">
            <w:pPr>
              <w:spacing w:after="120"/>
              <w:jc w:val="right"/>
              <w:rPr>
                <w:color w:val="000000"/>
              </w:rPr>
            </w:pPr>
            <w:r w:rsidRPr="00AF6D1E">
              <w:rPr>
                <w:color w:val="000000"/>
              </w:rPr>
              <w:t>1,280</w:t>
            </w:r>
          </w:p>
        </w:tc>
      </w:tr>
      <w:tr w14:paraId="7391AD2A" w14:textId="77777777" w:rsidTr="00F47932">
        <w:tblPrEx>
          <w:tblW w:w="9630" w:type="dxa"/>
          <w:tblInd w:w="139" w:type="dxa"/>
          <w:tblLayout w:type="fixed"/>
          <w:tblCellMar>
            <w:left w:w="139" w:type="dxa"/>
            <w:right w:w="139" w:type="dxa"/>
          </w:tblCellMar>
          <w:tblLook w:val="0000"/>
        </w:tblPrEx>
        <w:trPr>
          <w:cantSplit/>
        </w:trPr>
        <w:tc>
          <w:tcPr>
            <w:tcW w:w="2196" w:type="dxa"/>
            <w:vAlign w:val="bottom"/>
          </w:tcPr>
          <w:p w:rsidR="00AF6D1E" w:rsidRPr="00AF6D1E" w:rsidP="008C4689" w14:paraId="0EFEF820" w14:textId="77777777">
            <w:pPr>
              <w:spacing w:after="120"/>
              <w:ind w:left="162"/>
            </w:pPr>
            <w:r w:rsidRPr="00AF6D1E">
              <w:t>Agent compliance</w:t>
            </w:r>
          </w:p>
        </w:tc>
        <w:tc>
          <w:tcPr>
            <w:tcW w:w="1440" w:type="dxa"/>
          </w:tcPr>
          <w:p w:rsidR="00AF6D1E" w:rsidRPr="00AF6D1E" w:rsidP="008C4689" w14:paraId="66819706" w14:textId="77777777">
            <w:pPr>
              <w:pStyle w:val="Footer"/>
              <w:spacing w:after="120"/>
              <w:jc w:val="right"/>
              <w:rPr>
                <w:snapToGrid w:val="0"/>
              </w:rPr>
            </w:pPr>
            <w:r w:rsidRPr="00AF6D1E">
              <w:rPr>
                <w:snapToGrid w:val="0"/>
              </w:rPr>
              <w:t>33,500</w:t>
            </w:r>
          </w:p>
        </w:tc>
        <w:tc>
          <w:tcPr>
            <w:tcW w:w="1530" w:type="dxa"/>
          </w:tcPr>
          <w:p w:rsidR="00AF6D1E" w:rsidRPr="00AF6D1E" w:rsidP="008C4689" w14:paraId="148BB240" w14:textId="77777777">
            <w:pPr>
              <w:pStyle w:val="Footer"/>
              <w:spacing w:after="120"/>
              <w:jc w:val="right"/>
              <w:rPr>
                <w:snapToGrid w:val="0"/>
              </w:rPr>
            </w:pPr>
            <w:r w:rsidRPr="00AF6D1E">
              <w:rPr>
                <w:snapToGrid w:val="0"/>
              </w:rPr>
              <w:t>1</w:t>
            </w:r>
          </w:p>
        </w:tc>
        <w:tc>
          <w:tcPr>
            <w:tcW w:w="1494" w:type="dxa"/>
          </w:tcPr>
          <w:p w:rsidR="00AF6D1E" w:rsidRPr="00AF6D1E" w:rsidP="008C4689" w14:paraId="4E41F866" w14:textId="77777777">
            <w:pPr>
              <w:spacing w:after="120"/>
              <w:jc w:val="right"/>
            </w:pPr>
            <w:r w:rsidRPr="00AF6D1E">
              <w:t>33,500</w:t>
            </w:r>
          </w:p>
        </w:tc>
        <w:tc>
          <w:tcPr>
            <w:tcW w:w="1620" w:type="dxa"/>
          </w:tcPr>
          <w:p w:rsidR="00AF6D1E" w:rsidRPr="00AF6D1E" w:rsidP="008C4689" w14:paraId="53E32EE7" w14:textId="77777777">
            <w:pPr>
              <w:spacing w:after="120"/>
              <w:jc w:val="right"/>
            </w:pPr>
            <w:r w:rsidRPr="00AF6D1E">
              <w:t>42 hours</w:t>
            </w:r>
          </w:p>
        </w:tc>
        <w:tc>
          <w:tcPr>
            <w:tcW w:w="1350" w:type="dxa"/>
          </w:tcPr>
          <w:p w:rsidR="00AF6D1E" w:rsidRPr="00AF6D1E" w:rsidP="008C4689" w14:paraId="4D8B498E" w14:textId="77777777">
            <w:pPr>
              <w:spacing w:after="120"/>
              <w:jc w:val="right"/>
              <w:rPr>
                <w:color w:val="000000"/>
              </w:rPr>
            </w:pPr>
            <w:r w:rsidRPr="00AF6D1E">
              <w:rPr>
                <w:color w:val="000000"/>
              </w:rPr>
              <w:t>1,407,000</w:t>
            </w:r>
          </w:p>
        </w:tc>
      </w:tr>
      <w:tr w14:paraId="5641426D" w14:textId="77777777" w:rsidTr="00176B57">
        <w:tblPrEx>
          <w:tblW w:w="9630" w:type="dxa"/>
          <w:tblInd w:w="139" w:type="dxa"/>
          <w:tblLayout w:type="fixed"/>
          <w:tblCellMar>
            <w:left w:w="139" w:type="dxa"/>
            <w:right w:w="139" w:type="dxa"/>
          </w:tblCellMar>
          <w:tblLook w:val="0000"/>
        </w:tblPrEx>
        <w:trPr>
          <w:cantSplit/>
          <w:trHeight w:val="242"/>
        </w:trPr>
        <w:tc>
          <w:tcPr>
            <w:tcW w:w="2196" w:type="dxa"/>
            <w:shd w:val="clear" w:color="auto" w:fill="D9D9D9" w:themeFill="background1" w:themeFillShade="D9"/>
            <w:vAlign w:val="bottom"/>
          </w:tcPr>
          <w:p w:rsidR="00AF6D1E" w:rsidRPr="00AF6D1E" w:rsidP="008C4689" w14:paraId="36AD29A2" w14:textId="771DACDA">
            <w:pPr>
              <w:spacing w:after="120"/>
              <w:rPr>
                <w:b/>
              </w:rPr>
            </w:pPr>
            <w:r>
              <w:rPr>
                <w:b/>
              </w:rPr>
              <w:t>TOTAL</w:t>
            </w:r>
          </w:p>
        </w:tc>
        <w:tc>
          <w:tcPr>
            <w:tcW w:w="1440" w:type="dxa"/>
          </w:tcPr>
          <w:p w:rsidR="00AF6D1E" w:rsidRPr="00AF6D1E" w:rsidP="008C4689" w14:paraId="2C22EB9E" w14:textId="77777777">
            <w:pPr>
              <w:pStyle w:val="Footer"/>
              <w:spacing w:after="120"/>
              <w:jc w:val="right"/>
              <w:rPr>
                <w:b/>
                <w:bCs/>
                <w:snapToGrid w:val="0"/>
              </w:rPr>
            </w:pPr>
            <w:r w:rsidRPr="00AF6D1E">
              <w:rPr>
                <w:b/>
                <w:bCs/>
                <w:snapToGrid w:val="0"/>
              </w:rPr>
              <w:t>600,000</w:t>
            </w:r>
            <w:r>
              <w:rPr>
                <w:rStyle w:val="FootnoteReference"/>
                <w:b/>
                <w:bCs/>
                <w:snapToGrid w:val="0"/>
              </w:rPr>
              <w:footnoteReference w:id="4"/>
            </w:r>
          </w:p>
        </w:tc>
        <w:tc>
          <w:tcPr>
            <w:tcW w:w="1530" w:type="dxa"/>
          </w:tcPr>
          <w:p w:rsidR="00AF6D1E" w:rsidRPr="00AF6D1E" w:rsidP="008C4689" w14:paraId="52B5D5FA" w14:textId="77777777">
            <w:pPr>
              <w:pStyle w:val="Footer"/>
              <w:spacing w:after="120"/>
              <w:jc w:val="right"/>
              <w:rPr>
                <w:snapToGrid w:val="0"/>
              </w:rPr>
            </w:pPr>
          </w:p>
        </w:tc>
        <w:tc>
          <w:tcPr>
            <w:tcW w:w="1494" w:type="dxa"/>
          </w:tcPr>
          <w:p w:rsidR="00AF6D1E" w:rsidRPr="00AF6D1E" w:rsidP="008C4689" w14:paraId="24DEBFE6" w14:textId="77777777">
            <w:pPr>
              <w:spacing w:after="120"/>
              <w:jc w:val="right"/>
              <w:rPr>
                <w:b/>
              </w:rPr>
            </w:pPr>
            <w:r w:rsidRPr="00AF6D1E">
              <w:rPr>
                <w:b/>
              </w:rPr>
              <w:t>7,627,504</w:t>
            </w:r>
          </w:p>
        </w:tc>
        <w:tc>
          <w:tcPr>
            <w:tcW w:w="1620" w:type="dxa"/>
          </w:tcPr>
          <w:p w:rsidR="00AF6D1E" w:rsidRPr="00AF6D1E" w:rsidP="008C4689" w14:paraId="1074997F" w14:textId="77777777">
            <w:pPr>
              <w:spacing w:after="120"/>
              <w:rPr>
                <w:b/>
              </w:rPr>
            </w:pPr>
          </w:p>
        </w:tc>
        <w:tc>
          <w:tcPr>
            <w:tcW w:w="1350" w:type="dxa"/>
          </w:tcPr>
          <w:p w:rsidR="00AF6D1E" w:rsidRPr="00AF6D1E" w:rsidP="008C4689" w14:paraId="643166CA" w14:textId="77777777">
            <w:pPr>
              <w:spacing w:after="120"/>
              <w:jc w:val="right"/>
              <w:rPr>
                <w:b/>
                <w:color w:val="000000"/>
              </w:rPr>
            </w:pPr>
            <w:r w:rsidRPr="00AF6D1E">
              <w:rPr>
                <w:b/>
              </w:rPr>
              <w:t>3,361,056</w:t>
            </w:r>
            <w:r>
              <w:rPr>
                <w:rStyle w:val="FootnoteReference"/>
                <w:b/>
              </w:rPr>
              <w:footnoteReference w:id="5"/>
            </w:r>
          </w:p>
        </w:tc>
      </w:tr>
    </w:tbl>
    <w:p w:rsidR="004742E6" w:rsidP="005F1FFC" w14:paraId="690A5614" w14:textId="4C952C29">
      <w:pPr>
        <w:rPr>
          <w:b/>
          <w:sz w:val="24"/>
          <w:szCs w:val="24"/>
        </w:rPr>
      </w:pPr>
    </w:p>
    <w:p w:rsidR="004742E6" w:rsidRPr="00BF6D43" w:rsidP="005F1FFC" w14:paraId="11CC0B25" w14:textId="77777777">
      <w:pPr>
        <w:rPr>
          <w:b/>
          <w:sz w:val="24"/>
          <w:szCs w:val="24"/>
        </w:rPr>
      </w:pPr>
    </w:p>
    <w:p w:rsidR="00F660E8" w:rsidRPr="00BF6D43" w:rsidP="00F660E8" w14:paraId="446A24E3" w14:textId="77777777">
      <w:pPr>
        <w:rPr>
          <w:b/>
          <w:sz w:val="24"/>
          <w:szCs w:val="24"/>
        </w:rPr>
      </w:pPr>
      <w:r w:rsidRPr="00BF6D43">
        <w:rPr>
          <w:b/>
          <w:sz w:val="24"/>
          <w:szCs w:val="24"/>
        </w:rPr>
        <w:t>13.  Provide an estimate of the total annual cost burden to respondents or record</w:t>
      </w:r>
      <w:r w:rsidRPr="00BF6D43" w:rsidR="007E7E37">
        <w:rPr>
          <w:b/>
          <w:sz w:val="24"/>
          <w:szCs w:val="24"/>
        </w:rPr>
        <w:t xml:space="preserve"> </w:t>
      </w:r>
      <w:r w:rsidRPr="00BF6D43">
        <w:rPr>
          <w:b/>
          <w:sz w:val="24"/>
          <w:szCs w:val="24"/>
        </w:rPr>
        <w:t>keepers resulting from the collection of information.  (Do not include the cost of any hour burden shown in Items 12 and 14).</w:t>
      </w:r>
    </w:p>
    <w:p w:rsidR="005F1FFC" w:rsidRPr="00BF6D43" w:rsidP="005F1FFC" w14:paraId="3715E245" w14:textId="77777777">
      <w:pPr>
        <w:rPr>
          <w:b/>
          <w:sz w:val="24"/>
        </w:rPr>
      </w:pPr>
    </w:p>
    <w:p w:rsidR="005F1FFC" w:rsidRPr="00BF6D43" w:rsidP="00BD789B" w14:paraId="2408796A" w14:textId="03DB7D77">
      <w:pPr>
        <w:rPr>
          <w:sz w:val="24"/>
        </w:rPr>
      </w:pPr>
      <w:r w:rsidRPr="00BF6D43">
        <w:rPr>
          <w:sz w:val="24"/>
        </w:rPr>
        <w:t>Th</w:t>
      </w:r>
      <w:r w:rsidR="00CF5E4C">
        <w:rPr>
          <w:sz w:val="24"/>
        </w:rPr>
        <w:t>ere are no non-wage costs to respondents or recordkeepers resulting from this information collection.</w:t>
      </w:r>
    </w:p>
    <w:p w:rsidR="00A93967" w:rsidRPr="00BF6D43" w:rsidP="005F1FFC" w14:paraId="7426A13C" w14:textId="77777777">
      <w:pPr>
        <w:ind w:left="720"/>
        <w:rPr>
          <w:sz w:val="24"/>
        </w:rPr>
      </w:pPr>
    </w:p>
    <w:p w:rsidR="00F660E8" w:rsidRPr="00BF6D43" w:rsidP="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BF6D43">
        <w:rPr>
          <w:b/>
          <w:sz w:val="24"/>
          <w:szCs w:val="24"/>
        </w:rPr>
        <w:t xml:space="preserve">14.  </w:t>
      </w:r>
      <w:r w:rsidRPr="00BF6D43">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BF6D43">
        <w:rPr>
          <w:sz w:val="24"/>
          <w:szCs w:val="24"/>
        </w:rPr>
        <w:t xml:space="preserve"> </w:t>
      </w:r>
      <w:r w:rsidRPr="00BF6D43">
        <w:rPr>
          <w:b/>
          <w:bCs/>
          <w:sz w:val="24"/>
          <w:szCs w:val="24"/>
        </w:rPr>
        <w:t>without this collection of information.  Agencies also may aggregate cost estimates from Items 12, 13, and 14 into a single table.</w:t>
      </w:r>
    </w:p>
    <w:p w:rsidR="005F1FFC" w:rsidRPr="00BF6D43" w:rsidP="005F1FFC" w14:paraId="0A689257" w14:textId="77777777">
      <w:pPr>
        <w:ind w:left="720"/>
        <w:rPr>
          <w:sz w:val="24"/>
        </w:rPr>
      </w:pPr>
    </w:p>
    <w:p w:rsidR="005F1FFC" w:rsidRPr="00BF6D43" w:rsidP="00BD789B" w14:paraId="121770EB" w14:textId="4A537930">
      <w:pPr>
        <w:rPr>
          <w:sz w:val="24"/>
          <w:szCs w:val="24"/>
        </w:rPr>
      </w:pPr>
      <w:r w:rsidRPr="00BF6D43">
        <w:rPr>
          <w:sz w:val="24"/>
          <w:szCs w:val="24"/>
        </w:rPr>
        <w:t>The Bureau does not incur any additional Federal annualized cost</w:t>
      </w:r>
      <w:r w:rsidR="009C653E">
        <w:rPr>
          <w:sz w:val="24"/>
          <w:szCs w:val="24"/>
        </w:rPr>
        <w:t xml:space="preserve"> due to</w:t>
      </w:r>
      <w:r w:rsidRPr="00BF6D43">
        <w:rPr>
          <w:sz w:val="24"/>
          <w:szCs w:val="24"/>
        </w:rPr>
        <w:t xml:space="preserve"> this information collection</w:t>
      </w:r>
      <w:r w:rsidRPr="00BF6D43" w:rsidR="0079339F">
        <w:rPr>
          <w:sz w:val="24"/>
          <w:szCs w:val="24"/>
        </w:rPr>
        <w:t>.</w:t>
      </w:r>
    </w:p>
    <w:p w:rsidR="00A93967" w:rsidRPr="00BF6D43" w:rsidP="005F1FFC" w14:paraId="28539FB8" w14:textId="77777777">
      <w:pPr>
        <w:ind w:left="720"/>
        <w:rPr>
          <w:sz w:val="24"/>
        </w:rPr>
      </w:pPr>
    </w:p>
    <w:p w:rsidR="00F660E8" w:rsidRPr="00BF6D43" w:rsidP="00F660E8" w14:paraId="2B232019" w14:textId="77777777">
      <w:pPr>
        <w:rPr>
          <w:b/>
          <w:sz w:val="24"/>
          <w:szCs w:val="24"/>
        </w:rPr>
      </w:pPr>
      <w:r w:rsidRPr="00BF6D43">
        <w:rPr>
          <w:b/>
          <w:sz w:val="24"/>
          <w:szCs w:val="24"/>
        </w:rPr>
        <w:t xml:space="preserve">15.  </w:t>
      </w:r>
      <w:r w:rsidRPr="00BF6D43">
        <w:rPr>
          <w:b/>
          <w:bCs/>
          <w:sz w:val="24"/>
          <w:szCs w:val="24"/>
        </w:rPr>
        <w:t>Explain the reasons for any program changes or adjustments.</w:t>
      </w:r>
    </w:p>
    <w:p w:rsidR="005F1FFC" w:rsidRPr="00BF6D43" w:rsidP="005F1FFC" w14:paraId="7D933924" w14:textId="77777777">
      <w:pPr>
        <w:numPr>
          <w:ilvl w:val="12"/>
          <w:numId w:val="0"/>
        </w:numPr>
        <w:rPr>
          <w:sz w:val="24"/>
        </w:rPr>
      </w:pPr>
    </w:p>
    <w:p w:rsidR="00947980" w:rsidRPr="00947980" w:rsidP="00CF5E4C" w14:paraId="7B76B5E2" w14:textId="23048425">
      <w:pPr>
        <w:rPr>
          <w:color w:val="000000" w:themeColor="text1"/>
          <w:sz w:val="24"/>
        </w:rPr>
      </w:pPr>
      <w:r>
        <w:rPr>
          <w:color w:val="000000" w:themeColor="text1"/>
          <w:sz w:val="24"/>
        </w:rPr>
        <w:t>T</w:t>
      </w:r>
      <w:r w:rsidR="005E2F92">
        <w:rPr>
          <w:color w:val="000000" w:themeColor="text1"/>
          <w:sz w:val="24"/>
        </w:rPr>
        <w:t>he Bureau is not making</w:t>
      </w:r>
      <w:r>
        <w:rPr>
          <w:color w:val="000000" w:themeColor="text1"/>
          <w:sz w:val="24"/>
        </w:rPr>
        <w:t xml:space="preserve"> program </w:t>
      </w:r>
      <w:r w:rsidR="002C1194">
        <w:rPr>
          <w:color w:val="000000" w:themeColor="text1"/>
          <w:sz w:val="24"/>
        </w:rPr>
        <w:t>changes or adjustment</w:t>
      </w:r>
      <w:r w:rsidR="005E2F92">
        <w:rPr>
          <w:color w:val="000000" w:themeColor="text1"/>
          <w:sz w:val="24"/>
        </w:rPr>
        <w:t>s to this information collection.</w:t>
      </w:r>
      <w:r w:rsidR="00C1729B">
        <w:rPr>
          <w:color w:val="000000" w:themeColor="text1"/>
          <w:sz w:val="24"/>
        </w:rPr>
        <w:t xml:space="preserve">  However, the Bureau is adjusting the burden estimate due to </w:t>
      </w:r>
      <w:r w:rsidR="00E54010">
        <w:rPr>
          <w:color w:val="000000" w:themeColor="text1"/>
          <w:sz w:val="24"/>
        </w:rPr>
        <w:t xml:space="preserve">updated/revised estimates pertaining to each of the subordinate information </w:t>
      </w:r>
      <w:r w:rsidR="00B96A1D">
        <w:rPr>
          <w:color w:val="000000" w:themeColor="text1"/>
          <w:sz w:val="24"/>
        </w:rPr>
        <w:t>collection categories.  The revi</w:t>
      </w:r>
      <w:r w:rsidR="007F5D36">
        <w:rPr>
          <w:color w:val="000000" w:themeColor="text1"/>
          <w:sz w:val="24"/>
        </w:rPr>
        <w:t>sed estimates</w:t>
      </w:r>
      <w:r w:rsidR="00B96A1D">
        <w:rPr>
          <w:color w:val="000000" w:themeColor="text1"/>
          <w:sz w:val="24"/>
        </w:rPr>
        <w:t xml:space="preserve"> are due to internal research and better burden accounting measures, not programmatic changes to these information collections.</w:t>
      </w:r>
    </w:p>
    <w:p w:rsidR="00FA13A4" w:rsidRPr="00BF6D43" w:rsidP="00253FF0" w14:paraId="77D3850F" w14:textId="77777777">
      <w:pPr>
        <w:rPr>
          <w:sz w:val="24"/>
        </w:rPr>
      </w:pPr>
    </w:p>
    <w:p w:rsidR="00F660E8" w:rsidRPr="00BF6D43" w:rsidP="00F660E8" w14:paraId="1715AB5F" w14:textId="77777777">
      <w:pPr>
        <w:rPr>
          <w:b/>
          <w:sz w:val="24"/>
          <w:szCs w:val="24"/>
        </w:rPr>
      </w:pPr>
      <w:r w:rsidRPr="00BF6D43">
        <w:rPr>
          <w:b/>
          <w:sz w:val="24"/>
          <w:szCs w:val="24"/>
        </w:rPr>
        <w:t>16.  F</w:t>
      </w:r>
      <w:r w:rsidRPr="00BF6D43">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BF6D43">
        <w:rPr>
          <w:sz w:val="24"/>
          <w:szCs w:val="24"/>
        </w:rPr>
        <w:t>.</w:t>
      </w:r>
    </w:p>
    <w:p w:rsidR="00253FF0" w:rsidRPr="00BF6D43" w:rsidP="005F1FFC" w14:paraId="0747BC43" w14:textId="77777777">
      <w:pPr>
        <w:rPr>
          <w:sz w:val="24"/>
        </w:rPr>
      </w:pPr>
    </w:p>
    <w:p w:rsidR="005F1FFC" w:rsidRPr="00BF6D43" w:rsidP="005F1FFC" w14:paraId="3C07C2B3" w14:textId="3F2C4031">
      <w:pPr>
        <w:rPr>
          <w:sz w:val="24"/>
        </w:rPr>
      </w:pPr>
      <w:r>
        <w:rPr>
          <w:sz w:val="24"/>
        </w:rPr>
        <w:t xml:space="preserve">Not applicable.  </w:t>
      </w:r>
      <w:r w:rsidRPr="00BF6D43" w:rsidR="00253FF0">
        <w:rPr>
          <w:sz w:val="24"/>
        </w:rPr>
        <w:t xml:space="preserve">The Bureau </w:t>
      </w:r>
      <w:r w:rsidR="00085AF1">
        <w:rPr>
          <w:sz w:val="24"/>
        </w:rPr>
        <w:t>will not</w:t>
      </w:r>
      <w:r w:rsidRPr="00BF6D43" w:rsidR="00253FF0">
        <w:rPr>
          <w:sz w:val="24"/>
        </w:rPr>
        <w:t xml:space="preserve"> publish</w:t>
      </w:r>
      <w:r w:rsidRPr="00BF6D43" w:rsidR="003E083F">
        <w:rPr>
          <w:sz w:val="24"/>
        </w:rPr>
        <w:t xml:space="preserve"> the collected information</w:t>
      </w:r>
      <w:r w:rsidRPr="00BF6D43">
        <w:rPr>
          <w:sz w:val="24"/>
        </w:rPr>
        <w:t xml:space="preserve">.  </w:t>
      </w:r>
    </w:p>
    <w:p w:rsidR="005F1FFC" w:rsidRPr="00BF6D43" w:rsidP="005F1FFC" w14:paraId="77B89593" w14:textId="77777777">
      <w:pPr>
        <w:rPr>
          <w:sz w:val="24"/>
        </w:rPr>
      </w:pPr>
    </w:p>
    <w:p w:rsidR="007C4842" w:rsidP="005F1FFC" w14:paraId="4D5CE305" w14:textId="77777777">
      <w:pPr>
        <w:rPr>
          <w:b/>
          <w:sz w:val="24"/>
          <w:szCs w:val="24"/>
        </w:rPr>
      </w:pPr>
      <w:r w:rsidRPr="00BF6D43">
        <w:rPr>
          <w:b/>
          <w:sz w:val="24"/>
        </w:rPr>
        <w:t xml:space="preserve">17.  </w:t>
      </w:r>
      <w:r w:rsidRPr="00BF6D43">
        <w:rPr>
          <w:b/>
          <w:sz w:val="24"/>
          <w:szCs w:val="24"/>
        </w:rPr>
        <w:t>I</w:t>
      </w:r>
      <w:r w:rsidRPr="00BF6D43">
        <w:rPr>
          <w:b/>
          <w:bCs/>
          <w:sz w:val="24"/>
          <w:szCs w:val="24"/>
        </w:rPr>
        <w:t>f seeking approval to not display the expiration date for OMB approval of the information collection, explain the reasons that display would be inappropriate</w:t>
      </w:r>
      <w:r w:rsidRPr="00BF6D43">
        <w:rPr>
          <w:b/>
          <w:sz w:val="24"/>
          <w:szCs w:val="24"/>
        </w:rPr>
        <w:t>.</w:t>
      </w:r>
    </w:p>
    <w:p w:rsidR="007C4842" w:rsidP="005F1FFC" w14:paraId="25964912" w14:textId="77777777">
      <w:pPr>
        <w:rPr>
          <w:b/>
          <w:sz w:val="24"/>
          <w:szCs w:val="24"/>
        </w:rPr>
      </w:pPr>
    </w:p>
    <w:p w:rsidR="002D5451" w:rsidP="005F1FFC" w14:paraId="3569A1FC" w14:textId="446314D8">
      <w:pPr>
        <w:rPr>
          <w:bCs/>
          <w:sz w:val="24"/>
          <w:szCs w:val="24"/>
        </w:rPr>
      </w:pPr>
      <w:r>
        <w:rPr>
          <w:bCs/>
          <w:sz w:val="24"/>
          <w:szCs w:val="24"/>
        </w:rPr>
        <w:t xml:space="preserve">Not applicable.  The Bureau is not seeking approval to not display the expiration date for OMB Control Number 3170-0014.  Rather, the expiration date will be displayed </w:t>
      </w:r>
      <w:r w:rsidR="0081523E">
        <w:rPr>
          <w:bCs/>
          <w:sz w:val="24"/>
          <w:szCs w:val="24"/>
        </w:rPr>
        <w:t xml:space="preserve">on the </w:t>
      </w:r>
      <w:r w:rsidR="0081523E">
        <w:rPr>
          <w:bCs/>
          <w:sz w:val="24"/>
          <w:szCs w:val="24"/>
        </w:rPr>
        <w:t>Bureau’s relevant ICR which can publicly viewed at</w:t>
      </w:r>
      <w:r>
        <w:rPr>
          <w:bCs/>
          <w:sz w:val="24"/>
          <w:szCs w:val="24"/>
        </w:rPr>
        <w:t xml:space="preserve"> </w:t>
      </w:r>
      <w:hyperlink r:id="rId9" w:history="1">
        <w:r w:rsidRPr="00770785">
          <w:rPr>
            <w:rStyle w:val="Hyperlink"/>
            <w:bCs/>
            <w:sz w:val="24"/>
            <w:szCs w:val="24"/>
          </w:rPr>
          <w:t>https://www.reginfo.gov/public/do/PRAMain</w:t>
        </w:r>
      </w:hyperlink>
      <w:r>
        <w:rPr>
          <w:bCs/>
          <w:sz w:val="24"/>
          <w:szCs w:val="24"/>
        </w:rPr>
        <w:t>.</w:t>
      </w:r>
    </w:p>
    <w:p w:rsidR="00791AC9" w:rsidRPr="007C4842" w:rsidP="005F1FFC" w14:paraId="2449748D" w14:textId="6DE64172">
      <w:pPr>
        <w:rPr>
          <w:b/>
          <w:sz w:val="24"/>
          <w:szCs w:val="24"/>
        </w:rPr>
      </w:pPr>
      <w:r>
        <w:rPr>
          <w:sz w:val="24"/>
        </w:rPr>
        <w:t>.</w:t>
      </w:r>
    </w:p>
    <w:p w:rsidR="00A93967" w:rsidRPr="00BF6D43" w:rsidP="003E083F" w14:paraId="58CE7FA0" w14:textId="77777777">
      <w:pPr>
        <w:rPr>
          <w:sz w:val="24"/>
        </w:rPr>
      </w:pPr>
    </w:p>
    <w:p w:rsidR="00F660E8" w:rsidRPr="00BF6D43" w:rsidP="00F660E8" w14:paraId="0503086D" w14:textId="77777777">
      <w:pPr>
        <w:rPr>
          <w:b/>
          <w:sz w:val="24"/>
        </w:rPr>
      </w:pPr>
      <w:r w:rsidRPr="00BF6D43">
        <w:rPr>
          <w:b/>
          <w:sz w:val="24"/>
        </w:rPr>
        <w:t>18.  Explain each exception to the certification statement.</w:t>
      </w:r>
    </w:p>
    <w:p w:rsidR="005F1FFC" w:rsidRPr="00BF6D43" w:rsidP="005F1FFC" w14:paraId="6066F545" w14:textId="77777777">
      <w:pPr>
        <w:pStyle w:val="BodyText"/>
      </w:pPr>
    </w:p>
    <w:p w:rsidR="00CA6DAB" w:rsidRPr="00A637BE" w:rsidP="00A0364C" w14:paraId="235F0EA3" w14:textId="420D3C42">
      <w:pPr>
        <w:rPr>
          <w:sz w:val="24"/>
        </w:rPr>
      </w:pPr>
      <w:r w:rsidRPr="00BF6D43">
        <w:rPr>
          <w:sz w:val="24"/>
        </w:rPr>
        <w:t xml:space="preserve">The Bureau certifies that this collection of information is consistent with the requirements </w:t>
      </w:r>
      <w:r>
        <w:rPr>
          <w:sz w:val="24"/>
        </w:rPr>
        <w:t xml:space="preserve">contained within </w:t>
      </w:r>
      <w:r w:rsidRPr="00BF6D43">
        <w:rPr>
          <w:sz w:val="24"/>
        </w:rPr>
        <w:t xml:space="preserve">5 CFR </w:t>
      </w:r>
      <w:r>
        <w:rPr>
          <w:sz w:val="24"/>
        </w:rPr>
        <w:t xml:space="preserve">Sections </w:t>
      </w:r>
      <w:r w:rsidRPr="00BF6D43">
        <w:rPr>
          <w:sz w:val="24"/>
        </w:rPr>
        <w:t>1320.9</w:t>
      </w:r>
      <w:r>
        <w:rPr>
          <w:sz w:val="24"/>
        </w:rPr>
        <w:t xml:space="preserve"> and</w:t>
      </w:r>
      <w:r w:rsidRPr="00BF6D43">
        <w:rPr>
          <w:sz w:val="24"/>
        </w:rPr>
        <w:t xml:space="preserve"> 1320.8(b)(3) and is not seeking an exemption to these certification requirements.</w:t>
      </w:r>
    </w:p>
    <w:sectPr w:rsidSect="0079547E">
      <w:headerReference w:type="default" r:id="rId10"/>
      <w:footerReference w:type="default" r:id="rId11"/>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1CD8F4C2" w14:textId="77777777">
    <w:pPr>
      <w:pStyle w:val="Footer"/>
      <w:jc w:val="center"/>
    </w:pPr>
    <w:r>
      <w:fldChar w:fldCharType="begin"/>
    </w:r>
    <w:r>
      <w:instrText xml:space="preserve"> PAGE   \* MERGEFORMAT </w:instrText>
    </w:r>
    <w:r>
      <w:fldChar w:fldCharType="separate"/>
    </w:r>
    <w:r w:rsidR="001E418A">
      <w:rPr>
        <w:noProof/>
      </w:rPr>
      <w:t>8</w:t>
    </w:r>
    <w:r>
      <w:fldChar w:fldCharType="end"/>
    </w:r>
  </w:p>
  <w:p w:rsidR="00B35205" w14:paraId="4A3288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5F3C" w:rsidP="0079547E" w14:paraId="5AF2086A" w14:textId="77777777">
      <w:r>
        <w:separator/>
      </w:r>
    </w:p>
  </w:footnote>
  <w:footnote w:type="continuationSeparator" w:id="1">
    <w:p w:rsidR="001C5F3C" w:rsidP="0079547E" w14:paraId="49CCEBB5" w14:textId="77777777">
      <w:r>
        <w:continuationSeparator/>
      </w:r>
    </w:p>
  </w:footnote>
  <w:footnote w:id="2">
    <w:p w:rsidR="00506324" w14:paraId="6C716372" w14:textId="2A423327">
      <w:pPr>
        <w:pStyle w:val="FootnoteText"/>
      </w:pPr>
      <w:r>
        <w:rPr>
          <w:rStyle w:val="FootnoteReference"/>
        </w:rPr>
        <w:footnoteRef/>
      </w:r>
      <w:r>
        <w:t xml:space="preserve"> </w:t>
      </w:r>
      <w:r w:rsidR="00D66991">
        <w:t>90</w:t>
      </w:r>
      <w:r>
        <w:t xml:space="preserve"> FR </w:t>
      </w:r>
      <w:r w:rsidR="00950D21">
        <w:t>11600</w:t>
      </w:r>
      <w:r>
        <w:t xml:space="preserve"> (</w:t>
      </w:r>
      <w:r w:rsidR="00950D21">
        <w:t>3</w:t>
      </w:r>
      <w:r>
        <w:t>/</w:t>
      </w:r>
      <w:r w:rsidR="00950D21">
        <w:t>10</w:t>
      </w:r>
      <w:r>
        <w:t>/202</w:t>
      </w:r>
      <w:r w:rsidR="00950D21">
        <w:t>5</w:t>
      </w:r>
      <w:r>
        <w:t>).</w:t>
      </w:r>
    </w:p>
  </w:footnote>
  <w:footnote w:id="3">
    <w:p w:rsidR="00506324" w14:paraId="51BB2783" w14:textId="3DEDC53F">
      <w:pPr>
        <w:pStyle w:val="FootnoteText"/>
      </w:pPr>
      <w:r>
        <w:rPr>
          <w:rStyle w:val="FootnoteReference"/>
        </w:rPr>
        <w:footnoteRef/>
      </w:r>
      <w:r>
        <w:t xml:space="preserve"> </w:t>
      </w:r>
      <w:r w:rsidR="00D66991">
        <w:t>90</w:t>
      </w:r>
      <w:r w:rsidR="00D07460">
        <w:t xml:space="preserve"> FR </w:t>
      </w:r>
      <w:r w:rsidR="00D66991">
        <w:t>23323</w:t>
      </w:r>
      <w:r w:rsidR="0042730F">
        <w:t xml:space="preserve"> (</w:t>
      </w:r>
      <w:r w:rsidR="00D66991">
        <w:t>6</w:t>
      </w:r>
      <w:r w:rsidR="0042730F">
        <w:t>/</w:t>
      </w:r>
      <w:r w:rsidR="00D66991">
        <w:t>2</w:t>
      </w:r>
      <w:r w:rsidR="0042730F">
        <w:t>/202</w:t>
      </w:r>
      <w:r w:rsidR="00D66991">
        <w:t>5</w:t>
      </w:r>
      <w:r w:rsidR="0042730F">
        <w:t>).</w:t>
      </w:r>
    </w:p>
  </w:footnote>
  <w:footnote w:id="4">
    <w:p w:rsidR="00AF6D1E" w:rsidRPr="00E3632C" w:rsidP="00AF6D1E" w14:paraId="342A3EBC" w14:textId="77777777">
      <w:pPr>
        <w:pStyle w:val="FootnoteText"/>
      </w:pPr>
      <w:r>
        <w:rPr>
          <w:rStyle w:val="FootnoteReference"/>
        </w:rPr>
        <w:footnoteRef/>
      </w:r>
      <w:r>
        <w:t xml:space="preserve"> The 600,000 figure is the unduplicated total number of respondents.  The duplicated number of respondents (i.e. the mathematical sum of respondents in this table) is 1,725,573.</w:t>
      </w:r>
    </w:p>
  </w:footnote>
  <w:footnote w:id="5">
    <w:p w:rsidR="00AF6D1E" w:rsidRPr="006D05C4" w:rsidP="00AF6D1E" w14:paraId="53B5852B" w14:textId="77777777">
      <w:pPr>
        <w:pStyle w:val="FootnoteText"/>
        <w:spacing w:after="120"/>
      </w:pPr>
      <w:r>
        <w:rPr>
          <w:rStyle w:val="FootnoteReference"/>
        </w:rPr>
        <w:footnoteRef/>
      </w:r>
      <w:r>
        <w:t xml:space="preserve"> </w:t>
      </w:r>
      <w:r w:rsidRPr="006D05C4">
        <w:t>Individual entries may not sum to total due to rounding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3131924E" w14:textId="5A38C376">
    <w:pPr>
      <w:pStyle w:val="Header"/>
    </w:pPr>
    <w:r>
      <w:t>Electronic Fund Transfer Act (Regulation E)</w:t>
    </w:r>
  </w:p>
  <w:p w:rsidR="00B35205" w14:paraId="55C694D9" w14:textId="38B451F0">
    <w:pPr>
      <w:pStyle w:val="Header"/>
    </w:pPr>
    <w:r>
      <w:t>OMB Control Number</w:t>
    </w:r>
    <w:r w:rsidR="00181B86">
      <w:t xml:space="preserve">: </w:t>
    </w:r>
    <w:r w:rsidR="00915C4F">
      <w:t>3170-00</w:t>
    </w:r>
    <w:r w:rsidR="00BA6AFF">
      <w:t>14</w:t>
    </w:r>
  </w:p>
  <w:p w:rsidR="00B35205" w14:paraId="3E4932DB" w14:textId="0088D19F">
    <w:pPr>
      <w:pStyle w:val="Header"/>
    </w:pPr>
    <w:r>
      <w:t xml:space="preserve">OMB Expiration Date: </w:t>
    </w:r>
    <w:r w:rsidR="007A3A7C">
      <w:t>7</w:t>
    </w:r>
    <w:r w:rsidR="00915C4F">
      <w:t>/3</w:t>
    </w:r>
    <w:r w:rsidR="007A3A7C">
      <w:t>0</w:t>
    </w:r>
    <w:r w:rsidR="00915C4F">
      <w:t>/202</w:t>
    </w:r>
    <w:r w:rsidR="007A3A7C">
      <w:t>5</w:t>
    </w:r>
  </w:p>
  <w:p w:rsidR="00B35205" w:rsidP="00F52D42" w14:paraId="1930D639" w14:textId="77777777">
    <w:pPr>
      <w:pStyle w:val="Header"/>
      <w:tabs>
        <w:tab w:val="clear" w:pos="4680"/>
        <w:tab w:val="left" w:pos="6526"/>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20B63"/>
    <w:multiLevelType w:val="hybridMultilevel"/>
    <w:tmpl w:val="018A6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350A21"/>
    <w:multiLevelType w:val="hybridMultilevel"/>
    <w:tmpl w:val="C8E2F8C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EB1FF0"/>
    <w:multiLevelType w:val="hybridMultilevel"/>
    <w:tmpl w:val="C7828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16564B"/>
    <w:multiLevelType w:val="hybridMultilevel"/>
    <w:tmpl w:val="86AA9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695B5C"/>
    <w:multiLevelType w:val="hybridMultilevel"/>
    <w:tmpl w:val="1FD8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D16241"/>
    <w:multiLevelType w:val="hybridMultilevel"/>
    <w:tmpl w:val="630EAE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075698"/>
    <w:multiLevelType w:val="hybridMultilevel"/>
    <w:tmpl w:val="816A664C"/>
    <w:lvl w:ilvl="0">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start w:val="0"/>
      <w:numFmt w:val="bullet"/>
      <w:lvlText w:val=""/>
      <w:lvlJc w:val="left"/>
      <w:pPr>
        <w:ind w:left="940" w:hanging="360"/>
      </w:pPr>
      <w:rPr>
        <w:rFonts w:ascii="Symbol" w:eastAsia="Symbol" w:hAnsi="Symbol" w:cs="Symbol" w:hint="default"/>
        <w:w w:val="100"/>
        <w:sz w:val="24"/>
        <w:szCs w:val="24"/>
      </w:rPr>
    </w:lvl>
    <w:lvl w:ilvl="2">
      <w:start w:val="0"/>
      <w:numFmt w:val="bullet"/>
      <w:lvlText w:val="•"/>
      <w:lvlJc w:val="left"/>
      <w:pPr>
        <w:ind w:left="1924" w:hanging="360"/>
      </w:pPr>
      <w:rPr>
        <w:rFonts w:hint="default"/>
      </w:rPr>
    </w:lvl>
    <w:lvl w:ilvl="3">
      <w:start w:val="0"/>
      <w:numFmt w:val="bullet"/>
      <w:lvlText w:val="•"/>
      <w:lvlJc w:val="left"/>
      <w:pPr>
        <w:ind w:left="2908" w:hanging="360"/>
      </w:pPr>
      <w:rPr>
        <w:rFonts w:hint="default"/>
      </w:rPr>
    </w:lvl>
    <w:lvl w:ilvl="4">
      <w:start w:val="0"/>
      <w:numFmt w:val="bullet"/>
      <w:lvlText w:val="•"/>
      <w:lvlJc w:val="left"/>
      <w:pPr>
        <w:ind w:left="3893" w:hanging="360"/>
      </w:pPr>
      <w:rPr>
        <w:rFonts w:hint="default"/>
      </w:rPr>
    </w:lvl>
    <w:lvl w:ilvl="5">
      <w:start w:val="0"/>
      <w:numFmt w:val="bullet"/>
      <w:lvlText w:val="•"/>
      <w:lvlJc w:val="left"/>
      <w:pPr>
        <w:ind w:left="4877" w:hanging="360"/>
      </w:pPr>
      <w:rPr>
        <w:rFonts w:hint="default"/>
      </w:rPr>
    </w:lvl>
    <w:lvl w:ilvl="6">
      <w:start w:val="0"/>
      <w:numFmt w:val="bullet"/>
      <w:lvlText w:val="•"/>
      <w:lvlJc w:val="left"/>
      <w:pPr>
        <w:ind w:left="5862"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831" w:hanging="360"/>
      </w:pPr>
      <w:rPr>
        <w:rFonts w:hint="default"/>
      </w:rPr>
    </w:lvl>
  </w:abstractNum>
  <w:abstractNum w:abstractNumId="8">
    <w:nsid w:val="3BE619C0"/>
    <w:multiLevelType w:val="hybridMultilevel"/>
    <w:tmpl w:val="0C3A6014"/>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0">
    <w:nsid w:val="42EF0202"/>
    <w:multiLevelType w:val="hybridMultilevel"/>
    <w:tmpl w:val="6FD0D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12">
    <w:nsid w:val="51771B42"/>
    <w:multiLevelType w:val="hybridMultilevel"/>
    <w:tmpl w:val="D9DC5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4">
    <w:nsid w:val="532E4C40"/>
    <w:multiLevelType w:val="hybridMultilevel"/>
    <w:tmpl w:val="F7C4A6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6">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7">
    <w:nsid w:val="5EFA5B7C"/>
    <w:multiLevelType w:val="hybridMultilevel"/>
    <w:tmpl w:val="CD8C32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19E336C"/>
    <w:multiLevelType w:val="hybridMultilevel"/>
    <w:tmpl w:val="560EE4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8C522AE"/>
    <w:multiLevelType w:val="hybridMultilevel"/>
    <w:tmpl w:val="285E2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21">
    <w:nsid w:val="78E118BC"/>
    <w:multiLevelType w:val="hybridMultilevel"/>
    <w:tmpl w:val="0DF27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7423318">
    <w:abstractNumId w:val="13"/>
  </w:num>
  <w:num w:numId="2" w16cid:durableId="758411002">
    <w:abstractNumId w:val="11"/>
  </w:num>
  <w:num w:numId="3" w16cid:durableId="1815949860">
    <w:abstractNumId w:val="20"/>
  </w:num>
  <w:num w:numId="4" w16cid:durableId="727336915">
    <w:abstractNumId w:val="9"/>
  </w:num>
  <w:num w:numId="5" w16cid:durableId="994606154">
    <w:abstractNumId w:val="16"/>
  </w:num>
  <w:num w:numId="6" w16cid:durableId="1418941043">
    <w:abstractNumId w:val="15"/>
  </w:num>
  <w:num w:numId="7" w16cid:durableId="101746845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892547">
    <w:abstractNumId w:val="18"/>
  </w:num>
  <w:num w:numId="9" w16cid:durableId="623389507">
    <w:abstractNumId w:val="17"/>
  </w:num>
  <w:num w:numId="10" w16cid:durableId="1267270015">
    <w:abstractNumId w:val="5"/>
  </w:num>
  <w:num w:numId="11" w16cid:durableId="1684237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5195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969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8230509">
    <w:abstractNumId w:val="6"/>
  </w:num>
  <w:num w:numId="15" w16cid:durableId="1677878366">
    <w:abstractNumId w:val="1"/>
  </w:num>
  <w:num w:numId="16" w16cid:durableId="1870752419">
    <w:abstractNumId w:val="21"/>
  </w:num>
  <w:num w:numId="17" w16cid:durableId="2108887651">
    <w:abstractNumId w:val="3"/>
  </w:num>
  <w:num w:numId="18" w16cid:durableId="205024889">
    <w:abstractNumId w:val="7"/>
  </w:num>
  <w:num w:numId="19" w16cid:durableId="1129588038">
    <w:abstractNumId w:val="4"/>
  </w:num>
  <w:num w:numId="20" w16cid:durableId="1103383147">
    <w:abstractNumId w:val="12"/>
  </w:num>
  <w:num w:numId="21" w16cid:durableId="1000424961">
    <w:abstractNumId w:val="0"/>
  </w:num>
  <w:num w:numId="22" w16cid:durableId="1251234681">
    <w:abstractNumId w:val="8"/>
  </w:num>
  <w:num w:numId="23" w16cid:durableId="1352026436">
    <w:abstractNumId w:val="10"/>
  </w:num>
  <w:num w:numId="24" w16cid:durableId="1549411727">
    <w:abstractNumId w:val="19"/>
  </w:num>
  <w:num w:numId="25" w16cid:durableId="49388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00E96"/>
    <w:rsid w:val="0000633F"/>
    <w:rsid w:val="0001380B"/>
    <w:rsid w:val="00014936"/>
    <w:rsid w:val="000267DB"/>
    <w:rsid w:val="000279BB"/>
    <w:rsid w:val="00032848"/>
    <w:rsid w:val="00032C14"/>
    <w:rsid w:val="00034C49"/>
    <w:rsid w:val="00035E5E"/>
    <w:rsid w:val="0004229D"/>
    <w:rsid w:val="0005070D"/>
    <w:rsid w:val="00052A9A"/>
    <w:rsid w:val="000533A4"/>
    <w:rsid w:val="0005687E"/>
    <w:rsid w:val="00057B87"/>
    <w:rsid w:val="0007006A"/>
    <w:rsid w:val="00071C66"/>
    <w:rsid w:val="000763B3"/>
    <w:rsid w:val="00080781"/>
    <w:rsid w:val="00081109"/>
    <w:rsid w:val="00085AF1"/>
    <w:rsid w:val="00091AE1"/>
    <w:rsid w:val="00092D91"/>
    <w:rsid w:val="0009401F"/>
    <w:rsid w:val="000A44E3"/>
    <w:rsid w:val="000B45AA"/>
    <w:rsid w:val="000C1729"/>
    <w:rsid w:val="000C39BD"/>
    <w:rsid w:val="000D0B4D"/>
    <w:rsid w:val="000D3E1A"/>
    <w:rsid w:val="000D74D0"/>
    <w:rsid w:val="000F0DD6"/>
    <w:rsid w:val="000F5117"/>
    <w:rsid w:val="00100120"/>
    <w:rsid w:val="00110F8E"/>
    <w:rsid w:val="001345AE"/>
    <w:rsid w:val="001346E6"/>
    <w:rsid w:val="00135A84"/>
    <w:rsid w:val="00141E34"/>
    <w:rsid w:val="00143C38"/>
    <w:rsid w:val="00143D87"/>
    <w:rsid w:val="00150910"/>
    <w:rsid w:val="00162371"/>
    <w:rsid w:val="001639C2"/>
    <w:rsid w:val="00166D3B"/>
    <w:rsid w:val="00166FBE"/>
    <w:rsid w:val="00176B57"/>
    <w:rsid w:val="00177293"/>
    <w:rsid w:val="00180A6C"/>
    <w:rsid w:val="00181B86"/>
    <w:rsid w:val="00187617"/>
    <w:rsid w:val="001912C5"/>
    <w:rsid w:val="00194264"/>
    <w:rsid w:val="001B12AF"/>
    <w:rsid w:val="001B50EB"/>
    <w:rsid w:val="001C1DAC"/>
    <w:rsid w:val="001C4457"/>
    <w:rsid w:val="001C59A8"/>
    <w:rsid w:val="001C5F3C"/>
    <w:rsid w:val="001D5558"/>
    <w:rsid w:val="001E418A"/>
    <w:rsid w:val="001F0989"/>
    <w:rsid w:val="001F19FB"/>
    <w:rsid w:val="002029FA"/>
    <w:rsid w:val="002063CD"/>
    <w:rsid w:val="00211F72"/>
    <w:rsid w:val="002126EF"/>
    <w:rsid w:val="002153B7"/>
    <w:rsid w:val="002215EA"/>
    <w:rsid w:val="00226237"/>
    <w:rsid w:val="002341FB"/>
    <w:rsid w:val="00235BD3"/>
    <w:rsid w:val="00240C6E"/>
    <w:rsid w:val="00253FF0"/>
    <w:rsid w:val="00255107"/>
    <w:rsid w:val="00256325"/>
    <w:rsid w:val="002678C2"/>
    <w:rsid w:val="00274CC0"/>
    <w:rsid w:val="0027737D"/>
    <w:rsid w:val="00291A9D"/>
    <w:rsid w:val="00294DF4"/>
    <w:rsid w:val="0029506E"/>
    <w:rsid w:val="002A0531"/>
    <w:rsid w:val="002B0AB2"/>
    <w:rsid w:val="002B341A"/>
    <w:rsid w:val="002B7700"/>
    <w:rsid w:val="002C1194"/>
    <w:rsid w:val="002C126F"/>
    <w:rsid w:val="002C34F7"/>
    <w:rsid w:val="002C46AC"/>
    <w:rsid w:val="002C5F25"/>
    <w:rsid w:val="002C6BC6"/>
    <w:rsid w:val="002D1431"/>
    <w:rsid w:val="002D19AD"/>
    <w:rsid w:val="002D2C81"/>
    <w:rsid w:val="002D5173"/>
    <w:rsid w:val="002D5451"/>
    <w:rsid w:val="002D789D"/>
    <w:rsid w:val="002E0E6B"/>
    <w:rsid w:val="002E65EF"/>
    <w:rsid w:val="002E7B73"/>
    <w:rsid w:val="002F17DC"/>
    <w:rsid w:val="002F4F70"/>
    <w:rsid w:val="00302B1C"/>
    <w:rsid w:val="003105AC"/>
    <w:rsid w:val="00312C7C"/>
    <w:rsid w:val="003161D3"/>
    <w:rsid w:val="00316F7F"/>
    <w:rsid w:val="00316FE0"/>
    <w:rsid w:val="003177CE"/>
    <w:rsid w:val="003225D2"/>
    <w:rsid w:val="003252C5"/>
    <w:rsid w:val="00327A0B"/>
    <w:rsid w:val="0033632B"/>
    <w:rsid w:val="003372E9"/>
    <w:rsid w:val="00340510"/>
    <w:rsid w:val="003427C8"/>
    <w:rsid w:val="00345720"/>
    <w:rsid w:val="00346753"/>
    <w:rsid w:val="003560DF"/>
    <w:rsid w:val="0036198E"/>
    <w:rsid w:val="00366EAF"/>
    <w:rsid w:val="0038607F"/>
    <w:rsid w:val="0038749E"/>
    <w:rsid w:val="003A1CBC"/>
    <w:rsid w:val="003A66A4"/>
    <w:rsid w:val="003B4917"/>
    <w:rsid w:val="003C30A7"/>
    <w:rsid w:val="003C4F2E"/>
    <w:rsid w:val="003D1A46"/>
    <w:rsid w:val="003D3ED3"/>
    <w:rsid w:val="003D6C6B"/>
    <w:rsid w:val="003D6EA7"/>
    <w:rsid w:val="003E083F"/>
    <w:rsid w:val="003E34FA"/>
    <w:rsid w:val="003F5802"/>
    <w:rsid w:val="00426D4F"/>
    <w:rsid w:val="00427149"/>
    <w:rsid w:val="0042730F"/>
    <w:rsid w:val="004318BF"/>
    <w:rsid w:val="00433D35"/>
    <w:rsid w:val="004342CA"/>
    <w:rsid w:val="00441BED"/>
    <w:rsid w:val="004460F3"/>
    <w:rsid w:val="00473ADB"/>
    <w:rsid w:val="004742E6"/>
    <w:rsid w:val="0047444F"/>
    <w:rsid w:val="00475305"/>
    <w:rsid w:val="00477376"/>
    <w:rsid w:val="00481A62"/>
    <w:rsid w:val="00486C34"/>
    <w:rsid w:val="00487A05"/>
    <w:rsid w:val="0049767C"/>
    <w:rsid w:val="004A0C5F"/>
    <w:rsid w:val="004A5D8F"/>
    <w:rsid w:val="004A7DC4"/>
    <w:rsid w:val="004B45A2"/>
    <w:rsid w:val="004B7532"/>
    <w:rsid w:val="004C0E57"/>
    <w:rsid w:val="004C407A"/>
    <w:rsid w:val="004C77CB"/>
    <w:rsid w:val="004D665B"/>
    <w:rsid w:val="004E1F5B"/>
    <w:rsid w:val="004E3A68"/>
    <w:rsid w:val="00506324"/>
    <w:rsid w:val="00511C92"/>
    <w:rsid w:val="00513ACA"/>
    <w:rsid w:val="005148FE"/>
    <w:rsid w:val="0051614E"/>
    <w:rsid w:val="005168DD"/>
    <w:rsid w:val="00516CC6"/>
    <w:rsid w:val="00521E6C"/>
    <w:rsid w:val="005270DF"/>
    <w:rsid w:val="00532872"/>
    <w:rsid w:val="00533076"/>
    <w:rsid w:val="005339D5"/>
    <w:rsid w:val="00536912"/>
    <w:rsid w:val="0054251A"/>
    <w:rsid w:val="00546B53"/>
    <w:rsid w:val="00553771"/>
    <w:rsid w:val="0057278C"/>
    <w:rsid w:val="00573509"/>
    <w:rsid w:val="0057551F"/>
    <w:rsid w:val="00590D21"/>
    <w:rsid w:val="00592623"/>
    <w:rsid w:val="00594C60"/>
    <w:rsid w:val="00595988"/>
    <w:rsid w:val="005A1AE0"/>
    <w:rsid w:val="005B3933"/>
    <w:rsid w:val="005B6341"/>
    <w:rsid w:val="005B7808"/>
    <w:rsid w:val="005D2B19"/>
    <w:rsid w:val="005D6DBE"/>
    <w:rsid w:val="005E2F92"/>
    <w:rsid w:val="005E5175"/>
    <w:rsid w:val="005E5972"/>
    <w:rsid w:val="005F1FFC"/>
    <w:rsid w:val="005F249F"/>
    <w:rsid w:val="005F4EFA"/>
    <w:rsid w:val="00600A9A"/>
    <w:rsid w:val="006213DD"/>
    <w:rsid w:val="00625395"/>
    <w:rsid w:val="00626F36"/>
    <w:rsid w:val="00634112"/>
    <w:rsid w:val="00635204"/>
    <w:rsid w:val="00637913"/>
    <w:rsid w:val="00641707"/>
    <w:rsid w:val="00643848"/>
    <w:rsid w:val="00650767"/>
    <w:rsid w:val="00664D05"/>
    <w:rsid w:val="00665C34"/>
    <w:rsid w:val="00671941"/>
    <w:rsid w:val="0068349A"/>
    <w:rsid w:val="00690B79"/>
    <w:rsid w:val="00696485"/>
    <w:rsid w:val="00697B55"/>
    <w:rsid w:val="006A5577"/>
    <w:rsid w:val="006B7AD2"/>
    <w:rsid w:val="006C122C"/>
    <w:rsid w:val="006C4B23"/>
    <w:rsid w:val="006C511F"/>
    <w:rsid w:val="006C7C21"/>
    <w:rsid w:val="006D05C4"/>
    <w:rsid w:val="006D1E8C"/>
    <w:rsid w:val="006D37FD"/>
    <w:rsid w:val="006D4E10"/>
    <w:rsid w:val="006E2197"/>
    <w:rsid w:val="006E6951"/>
    <w:rsid w:val="006F0A01"/>
    <w:rsid w:val="006F13DD"/>
    <w:rsid w:val="006F2252"/>
    <w:rsid w:val="007011FA"/>
    <w:rsid w:val="007059EE"/>
    <w:rsid w:val="00706218"/>
    <w:rsid w:val="00710CC5"/>
    <w:rsid w:val="00715C7F"/>
    <w:rsid w:val="007319B7"/>
    <w:rsid w:val="00732F4F"/>
    <w:rsid w:val="00733C46"/>
    <w:rsid w:val="007355AA"/>
    <w:rsid w:val="0074015B"/>
    <w:rsid w:val="00744ECB"/>
    <w:rsid w:val="0074629B"/>
    <w:rsid w:val="00751358"/>
    <w:rsid w:val="00760948"/>
    <w:rsid w:val="007612A9"/>
    <w:rsid w:val="00763D5B"/>
    <w:rsid w:val="00765C7B"/>
    <w:rsid w:val="00766167"/>
    <w:rsid w:val="00770785"/>
    <w:rsid w:val="00791AC9"/>
    <w:rsid w:val="0079339F"/>
    <w:rsid w:val="00793479"/>
    <w:rsid w:val="0079547E"/>
    <w:rsid w:val="007A30EB"/>
    <w:rsid w:val="007A3A7C"/>
    <w:rsid w:val="007A6EE8"/>
    <w:rsid w:val="007C0923"/>
    <w:rsid w:val="007C3C35"/>
    <w:rsid w:val="007C4842"/>
    <w:rsid w:val="007C6F84"/>
    <w:rsid w:val="007C7E60"/>
    <w:rsid w:val="007D3D93"/>
    <w:rsid w:val="007D6D43"/>
    <w:rsid w:val="007E7E37"/>
    <w:rsid w:val="007F244B"/>
    <w:rsid w:val="007F3057"/>
    <w:rsid w:val="007F35B6"/>
    <w:rsid w:val="007F4556"/>
    <w:rsid w:val="007F5A07"/>
    <w:rsid w:val="007F5D36"/>
    <w:rsid w:val="007F62A9"/>
    <w:rsid w:val="00806B03"/>
    <w:rsid w:val="00810FF4"/>
    <w:rsid w:val="0081330B"/>
    <w:rsid w:val="00814193"/>
    <w:rsid w:val="0081523E"/>
    <w:rsid w:val="00816792"/>
    <w:rsid w:val="00816AA8"/>
    <w:rsid w:val="00823FDC"/>
    <w:rsid w:val="008377C6"/>
    <w:rsid w:val="008429DD"/>
    <w:rsid w:val="00855E15"/>
    <w:rsid w:val="008573A2"/>
    <w:rsid w:val="008576C7"/>
    <w:rsid w:val="00865B4D"/>
    <w:rsid w:val="008671F9"/>
    <w:rsid w:val="00875B65"/>
    <w:rsid w:val="0088222A"/>
    <w:rsid w:val="00882935"/>
    <w:rsid w:val="0088430C"/>
    <w:rsid w:val="008926E1"/>
    <w:rsid w:val="008964E9"/>
    <w:rsid w:val="008970DC"/>
    <w:rsid w:val="008A6525"/>
    <w:rsid w:val="008B001F"/>
    <w:rsid w:val="008B2CB9"/>
    <w:rsid w:val="008B40CD"/>
    <w:rsid w:val="008B54DF"/>
    <w:rsid w:val="008C44A7"/>
    <w:rsid w:val="008C4689"/>
    <w:rsid w:val="008C7818"/>
    <w:rsid w:val="008D3161"/>
    <w:rsid w:val="008D38AE"/>
    <w:rsid w:val="008D3940"/>
    <w:rsid w:val="008E164F"/>
    <w:rsid w:val="008E3E92"/>
    <w:rsid w:val="008E5D30"/>
    <w:rsid w:val="008E777F"/>
    <w:rsid w:val="0090025B"/>
    <w:rsid w:val="00904477"/>
    <w:rsid w:val="00915C4F"/>
    <w:rsid w:val="0092092B"/>
    <w:rsid w:val="00923029"/>
    <w:rsid w:val="009253D1"/>
    <w:rsid w:val="009336CF"/>
    <w:rsid w:val="00947980"/>
    <w:rsid w:val="00950D21"/>
    <w:rsid w:val="00954684"/>
    <w:rsid w:val="00955CDF"/>
    <w:rsid w:val="009615E5"/>
    <w:rsid w:val="0096415E"/>
    <w:rsid w:val="009664D0"/>
    <w:rsid w:val="00967432"/>
    <w:rsid w:val="0097154F"/>
    <w:rsid w:val="00973293"/>
    <w:rsid w:val="00977470"/>
    <w:rsid w:val="00990CFC"/>
    <w:rsid w:val="009936CA"/>
    <w:rsid w:val="00994943"/>
    <w:rsid w:val="00996A0D"/>
    <w:rsid w:val="009A13BD"/>
    <w:rsid w:val="009A641F"/>
    <w:rsid w:val="009B30FA"/>
    <w:rsid w:val="009B3CA2"/>
    <w:rsid w:val="009C10E1"/>
    <w:rsid w:val="009C5ABF"/>
    <w:rsid w:val="009C653E"/>
    <w:rsid w:val="009C7539"/>
    <w:rsid w:val="009D195A"/>
    <w:rsid w:val="009D33D2"/>
    <w:rsid w:val="009D412E"/>
    <w:rsid w:val="009D7886"/>
    <w:rsid w:val="009E1042"/>
    <w:rsid w:val="009E47CC"/>
    <w:rsid w:val="009E76E0"/>
    <w:rsid w:val="009F0BC4"/>
    <w:rsid w:val="009F3A08"/>
    <w:rsid w:val="009F4469"/>
    <w:rsid w:val="009F6E69"/>
    <w:rsid w:val="009F7E64"/>
    <w:rsid w:val="00A0364C"/>
    <w:rsid w:val="00A0474C"/>
    <w:rsid w:val="00A06C9A"/>
    <w:rsid w:val="00A13C84"/>
    <w:rsid w:val="00A20B1A"/>
    <w:rsid w:val="00A30AA0"/>
    <w:rsid w:val="00A358CE"/>
    <w:rsid w:val="00A36144"/>
    <w:rsid w:val="00A4452C"/>
    <w:rsid w:val="00A55878"/>
    <w:rsid w:val="00A622E9"/>
    <w:rsid w:val="00A6319D"/>
    <w:rsid w:val="00A637BE"/>
    <w:rsid w:val="00A65643"/>
    <w:rsid w:val="00A71151"/>
    <w:rsid w:val="00A818AE"/>
    <w:rsid w:val="00A83ED2"/>
    <w:rsid w:val="00A84128"/>
    <w:rsid w:val="00A84E79"/>
    <w:rsid w:val="00A878B0"/>
    <w:rsid w:val="00A90DA3"/>
    <w:rsid w:val="00A92A19"/>
    <w:rsid w:val="00A93967"/>
    <w:rsid w:val="00AA633C"/>
    <w:rsid w:val="00AA66A0"/>
    <w:rsid w:val="00AA6EC1"/>
    <w:rsid w:val="00AB5BBC"/>
    <w:rsid w:val="00AC2DFF"/>
    <w:rsid w:val="00AD0BCB"/>
    <w:rsid w:val="00AD2890"/>
    <w:rsid w:val="00AD7C75"/>
    <w:rsid w:val="00AE1865"/>
    <w:rsid w:val="00AF1678"/>
    <w:rsid w:val="00AF51D0"/>
    <w:rsid w:val="00AF6D1E"/>
    <w:rsid w:val="00B0041E"/>
    <w:rsid w:val="00B02F1E"/>
    <w:rsid w:val="00B03988"/>
    <w:rsid w:val="00B07D28"/>
    <w:rsid w:val="00B10271"/>
    <w:rsid w:val="00B16815"/>
    <w:rsid w:val="00B258FB"/>
    <w:rsid w:val="00B30BA4"/>
    <w:rsid w:val="00B35205"/>
    <w:rsid w:val="00B43E7B"/>
    <w:rsid w:val="00B7194A"/>
    <w:rsid w:val="00B76BED"/>
    <w:rsid w:val="00B804F3"/>
    <w:rsid w:val="00B85F31"/>
    <w:rsid w:val="00B860C7"/>
    <w:rsid w:val="00B92BDE"/>
    <w:rsid w:val="00B96A1D"/>
    <w:rsid w:val="00B96DD6"/>
    <w:rsid w:val="00B974E3"/>
    <w:rsid w:val="00BA1433"/>
    <w:rsid w:val="00BA4383"/>
    <w:rsid w:val="00BA6AFF"/>
    <w:rsid w:val="00BC10FD"/>
    <w:rsid w:val="00BC16BB"/>
    <w:rsid w:val="00BC56A2"/>
    <w:rsid w:val="00BC5B56"/>
    <w:rsid w:val="00BD42E6"/>
    <w:rsid w:val="00BD440C"/>
    <w:rsid w:val="00BD596F"/>
    <w:rsid w:val="00BD634B"/>
    <w:rsid w:val="00BD789B"/>
    <w:rsid w:val="00BD7D0B"/>
    <w:rsid w:val="00BE4034"/>
    <w:rsid w:val="00BE414D"/>
    <w:rsid w:val="00BE61FE"/>
    <w:rsid w:val="00BF04B4"/>
    <w:rsid w:val="00BF35C2"/>
    <w:rsid w:val="00BF3B8E"/>
    <w:rsid w:val="00BF6D43"/>
    <w:rsid w:val="00C01BBE"/>
    <w:rsid w:val="00C05B3E"/>
    <w:rsid w:val="00C1729B"/>
    <w:rsid w:val="00C26D14"/>
    <w:rsid w:val="00C3225C"/>
    <w:rsid w:val="00C34282"/>
    <w:rsid w:val="00C34CD3"/>
    <w:rsid w:val="00C36D8C"/>
    <w:rsid w:val="00C37D4E"/>
    <w:rsid w:val="00C40CD8"/>
    <w:rsid w:val="00C41186"/>
    <w:rsid w:val="00C4132E"/>
    <w:rsid w:val="00C41820"/>
    <w:rsid w:val="00C44DA9"/>
    <w:rsid w:val="00C51760"/>
    <w:rsid w:val="00C602F5"/>
    <w:rsid w:val="00C62364"/>
    <w:rsid w:val="00C6633F"/>
    <w:rsid w:val="00C701D2"/>
    <w:rsid w:val="00C70859"/>
    <w:rsid w:val="00C7631A"/>
    <w:rsid w:val="00C801D4"/>
    <w:rsid w:val="00C812E5"/>
    <w:rsid w:val="00C86DD8"/>
    <w:rsid w:val="00C8745F"/>
    <w:rsid w:val="00CA6DAB"/>
    <w:rsid w:val="00CB2EC4"/>
    <w:rsid w:val="00CB33D0"/>
    <w:rsid w:val="00CB5026"/>
    <w:rsid w:val="00CB6B31"/>
    <w:rsid w:val="00CB6D80"/>
    <w:rsid w:val="00CC2D48"/>
    <w:rsid w:val="00CC384D"/>
    <w:rsid w:val="00CC45DE"/>
    <w:rsid w:val="00CC5231"/>
    <w:rsid w:val="00CC53BB"/>
    <w:rsid w:val="00CC7299"/>
    <w:rsid w:val="00CC7831"/>
    <w:rsid w:val="00CD5F33"/>
    <w:rsid w:val="00CE13C5"/>
    <w:rsid w:val="00CE2CA6"/>
    <w:rsid w:val="00CE2F35"/>
    <w:rsid w:val="00CE36FF"/>
    <w:rsid w:val="00CE65D6"/>
    <w:rsid w:val="00CE6EF6"/>
    <w:rsid w:val="00CE781E"/>
    <w:rsid w:val="00CF1807"/>
    <w:rsid w:val="00CF54AB"/>
    <w:rsid w:val="00CF5E4C"/>
    <w:rsid w:val="00CF6E73"/>
    <w:rsid w:val="00D07460"/>
    <w:rsid w:val="00D13CC0"/>
    <w:rsid w:val="00D152D6"/>
    <w:rsid w:val="00D1640B"/>
    <w:rsid w:val="00D1702D"/>
    <w:rsid w:val="00D21CAF"/>
    <w:rsid w:val="00D27EE7"/>
    <w:rsid w:val="00D35E81"/>
    <w:rsid w:val="00D41323"/>
    <w:rsid w:val="00D51A8E"/>
    <w:rsid w:val="00D5266A"/>
    <w:rsid w:val="00D54E06"/>
    <w:rsid w:val="00D561AD"/>
    <w:rsid w:val="00D6548D"/>
    <w:rsid w:val="00D66991"/>
    <w:rsid w:val="00D84541"/>
    <w:rsid w:val="00D86091"/>
    <w:rsid w:val="00D95AA8"/>
    <w:rsid w:val="00D95F27"/>
    <w:rsid w:val="00DA0CF0"/>
    <w:rsid w:val="00DA62F9"/>
    <w:rsid w:val="00DB2D75"/>
    <w:rsid w:val="00DB4D54"/>
    <w:rsid w:val="00DD1FDE"/>
    <w:rsid w:val="00DD20FC"/>
    <w:rsid w:val="00DD3EB0"/>
    <w:rsid w:val="00DD40BE"/>
    <w:rsid w:val="00DD6F06"/>
    <w:rsid w:val="00DE066C"/>
    <w:rsid w:val="00DE2E05"/>
    <w:rsid w:val="00DE3025"/>
    <w:rsid w:val="00DE6849"/>
    <w:rsid w:val="00DE70D6"/>
    <w:rsid w:val="00DF2DAA"/>
    <w:rsid w:val="00E0047E"/>
    <w:rsid w:val="00E0306E"/>
    <w:rsid w:val="00E0710C"/>
    <w:rsid w:val="00E22A8C"/>
    <w:rsid w:val="00E2598F"/>
    <w:rsid w:val="00E30F77"/>
    <w:rsid w:val="00E31770"/>
    <w:rsid w:val="00E33FB2"/>
    <w:rsid w:val="00E34C47"/>
    <w:rsid w:val="00E35C99"/>
    <w:rsid w:val="00E3632C"/>
    <w:rsid w:val="00E365FF"/>
    <w:rsid w:val="00E41E79"/>
    <w:rsid w:val="00E44531"/>
    <w:rsid w:val="00E46165"/>
    <w:rsid w:val="00E509E8"/>
    <w:rsid w:val="00E54010"/>
    <w:rsid w:val="00E577E0"/>
    <w:rsid w:val="00E6073A"/>
    <w:rsid w:val="00E621CC"/>
    <w:rsid w:val="00E63DE1"/>
    <w:rsid w:val="00E66CDA"/>
    <w:rsid w:val="00E739B7"/>
    <w:rsid w:val="00E81562"/>
    <w:rsid w:val="00E81DA1"/>
    <w:rsid w:val="00E85B4C"/>
    <w:rsid w:val="00E868A7"/>
    <w:rsid w:val="00E9294D"/>
    <w:rsid w:val="00E939D3"/>
    <w:rsid w:val="00EA1984"/>
    <w:rsid w:val="00EA669E"/>
    <w:rsid w:val="00EB0A8A"/>
    <w:rsid w:val="00EB4DF0"/>
    <w:rsid w:val="00EB554A"/>
    <w:rsid w:val="00EC2804"/>
    <w:rsid w:val="00ED26B5"/>
    <w:rsid w:val="00EE31E1"/>
    <w:rsid w:val="00EE6C88"/>
    <w:rsid w:val="00EF2024"/>
    <w:rsid w:val="00F04735"/>
    <w:rsid w:val="00F07733"/>
    <w:rsid w:val="00F07C26"/>
    <w:rsid w:val="00F10718"/>
    <w:rsid w:val="00F10F75"/>
    <w:rsid w:val="00F13A08"/>
    <w:rsid w:val="00F1588B"/>
    <w:rsid w:val="00F17B54"/>
    <w:rsid w:val="00F213B5"/>
    <w:rsid w:val="00F2419A"/>
    <w:rsid w:val="00F26141"/>
    <w:rsid w:val="00F307E5"/>
    <w:rsid w:val="00F32331"/>
    <w:rsid w:val="00F32901"/>
    <w:rsid w:val="00F348C5"/>
    <w:rsid w:val="00F43FAC"/>
    <w:rsid w:val="00F449B5"/>
    <w:rsid w:val="00F47932"/>
    <w:rsid w:val="00F50D5F"/>
    <w:rsid w:val="00F52081"/>
    <w:rsid w:val="00F52D42"/>
    <w:rsid w:val="00F5360B"/>
    <w:rsid w:val="00F561CC"/>
    <w:rsid w:val="00F60B0E"/>
    <w:rsid w:val="00F62EE2"/>
    <w:rsid w:val="00F660E8"/>
    <w:rsid w:val="00F70BBC"/>
    <w:rsid w:val="00F7353F"/>
    <w:rsid w:val="00F804DD"/>
    <w:rsid w:val="00F81CBF"/>
    <w:rsid w:val="00F85F5D"/>
    <w:rsid w:val="00F9485D"/>
    <w:rsid w:val="00F97A0C"/>
    <w:rsid w:val="00FA13A4"/>
    <w:rsid w:val="00FB1F58"/>
    <w:rsid w:val="00FB4384"/>
    <w:rsid w:val="00FB4977"/>
    <w:rsid w:val="00FB4B0E"/>
    <w:rsid w:val="00FB531D"/>
    <w:rsid w:val="00FD2564"/>
    <w:rsid w:val="00FD39F0"/>
    <w:rsid w:val="00FD4285"/>
    <w:rsid w:val="00FD45EB"/>
    <w:rsid w:val="00FD666D"/>
    <w:rsid w:val="00FF6C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35986"/>
  <w15:docId w15:val="{D4ED4F2A-9073-42C9-AC64-5E5CC0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uiPriority w:val="99"/>
    <w:rsid w:val="005F1FFC"/>
    <w:rPr>
      <w:sz w:val="16"/>
      <w:szCs w:val="16"/>
    </w:rPr>
  </w:style>
  <w:style w:type="paragraph" w:styleId="CommentText">
    <w:name w:val="annotation text"/>
    <w:basedOn w:val="Normal"/>
    <w:link w:val="CommentTextChar"/>
    <w:uiPriority w:val="99"/>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rsid w:val="0079547E"/>
    <w:pPr>
      <w:tabs>
        <w:tab w:val="center" w:pos="4680"/>
        <w:tab w:val="right" w:pos="9360"/>
      </w:tabs>
    </w:pPr>
  </w:style>
  <w:style w:type="character" w:customStyle="1" w:styleId="FooterChar">
    <w:name w:val="Footer Char"/>
    <w:basedOn w:val="DefaultParagraphFont"/>
    <w:link w:val="Footer"/>
    <w:rsid w:val="0079547E"/>
  </w:style>
  <w:style w:type="paragraph" w:styleId="Revision">
    <w:name w:val="Revision"/>
    <w:hidden/>
    <w:uiPriority w:val="99"/>
    <w:semiHidden/>
    <w:rsid w:val="00F26141"/>
  </w:style>
  <w:style w:type="paragraph" w:styleId="FootnoteText">
    <w:name w:val="footnote text"/>
    <w:aliases w:val="Footnote Text Char Char,Footnote Text Char1"/>
    <w:basedOn w:val="Normal"/>
    <w:link w:val="FootnoteTextChar"/>
    <w:uiPriority w:val="99"/>
    <w:rsid w:val="00F26141"/>
  </w:style>
  <w:style w:type="character" w:customStyle="1" w:styleId="FootnoteTextChar">
    <w:name w:val="Footnote Text Char"/>
    <w:aliases w:val="Footnote Text Char Char Char,Footnote Text Char1 Char"/>
    <w:basedOn w:val="DefaultParagraphFont"/>
    <w:link w:val="FootnoteText"/>
    <w:uiPriority w:val="99"/>
    <w:rsid w:val="00F26141"/>
  </w:style>
  <w:style w:type="character" w:styleId="FootnoteReference">
    <w:name w:val="footnote reference"/>
    <w:aliases w:val="(Footnote Reference),BVI fnr,EN Footnote Reference,Exposant 3 Point,Footnote,Footnote Reference Superscript,Footnote reference number,Footnote symbol,SUPERS,Style 16,Style 19,Times 10 Point,Voetnootverwijzing,fr,note TESI"/>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uiPriority w:val="99"/>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hAnsi="Calibri Light" w:eastAsiaTheme="minorHAnsi"/>
      <w:b/>
      <w:bCs/>
      <w:color w:val="2C6EAB"/>
      <w:sz w:val="36"/>
      <w:szCs w:val="36"/>
    </w:rPr>
  </w:style>
  <w:style w:type="character" w:customStyle="1" w:styleId="TitleChar">
    <w:name w:val="Title Char"/>
    <w:basedOn w:val="DefaultParagraphFont"/>
    <w:link w:val="Title"/>
    <w:uiPriority w:val="99"/>
    <w:rsid w:val="0079339F"/>
    <w:rPr>
      <w:rFonts w:ascii="Calibri Light" w:hAnsi="Calibri Light" w:eastAsiaTheme="minorHAnsi"/>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hAnsi="Franklin Gothic Medium" w:eastAsiaTheme="minorHAnsi"/>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 w:type="paragraph" w:customStyle="1" w:styleId="CM10">
    <w:name w:val="CM10"/>
    <w:basedOn w:val="Normal"/>
    <w:next w:val="Normal"/>
    <w:uiPriority w:val="99"/>
    <w:rsid w:val="00052A9A"/>
    <w:pPr>
      <w:widowControl w:val="0"/>
      <w:autoSpaceDE w:val="0"/>
      <w:autoSpaceDN w:val="0"/>
      <w:adjustRightInd w:val="0"/>
    </w:pPr>
    <w:rPr>
      <w:sz w:val="24"/>
      <w:szCs w:val="24"/>
    </w:rPr>
  </w:style>
  <w:style w:type="paragraph" w:customStyle="1" w:styleId="CM4">
    <w:name w:val="CM4"/>
    <w:basedOn w:val="Normal"/>
    <w:next w:val="Normal"/>
    <w:uiPriority w:val="99"/>
    <w:rsid w:val="00052A9A"/>
    <w:pPr>
      <w:widowControl w:val="0"/>
      <w:autoSpaceDE w:val="0"/>
      <w:autoSpaceDN w:val="0"/>
      <w:adjustRightInd w:val="0"/>
      <w:spacing w:line="276" w:lineRule="atLeast"/>
    </w:pPr>
    <w:rPr>
      <w:sz w:val="24"/>
      <w:szCs w:val="24"/>
    </w:rPr>
  </w:style>
  <w:style w:type="paragraph" w:customStyle="1" w:styleId="CM6">
    <w:name w:val="CM6"/>
    <w:basedOn w:val="Default"/>
    <w:next w:val="Default"/>
    <w:uiPriority w:val="99"/>
    <w:rsid w:val="0074015B"/>
    <w:pPr>
      <w:widowControl w:val="0"/>
      <w:spacing w:line="276"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eginfo.gov/public/do/PRAM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EDCF45950C8846A0732ED7B2C5BDB1" ma:contentTypeVersion="10" ma:contentTypeDescription="Create a new document." ma:contentTypeScope="" ma:versionID="a97ed25cbde03d746544a3e63b2f48d5">
  <xsd:schema xmlns:xsd="http://www.w3.org/2001/XMLSchema" xmlns:xs="http://www.w3.org/2001/XMLSchema" xmlns:p="http://schemas.microsoft.com/office/2006/metadata/properties" xmlns:ns3="69bf2cd7-be0a-4242-9980-83bc49f9c40c" xmlns:ns4="4916f2c7-5f35-410b-94dc-1aa83960061b" targetNamespace="http://schemas.microsoft.com/office/2006/metadata/properties" ma:root="true" ma:fieldsID="36f22dc75b8e2c1365da55d15c072f05" ns3:_="" ns4:_="">
    <xsd:import namespace="69bf2cd7-be0a-4242-9980-83bc49f9c40c"/>
    <xsd:import namespace="4916f2c7-5f35-410b-94dc-1aa8396006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2cd7-be0a-4242-9980-83bc49f9c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6f2c7-5f35-410b-94dc-1aa8396006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2.xml><?xml version="1.0" encoding="utf-8"?>
<ds:datastoreItem xmlns:ds="http://schemas.openxmlformats.org/officeDocument/2006/customXml" ds:itemID="{B870F890-D813-4C7F-8AA7-618CA00059CB}">
  <ds:schemaRefs>
    <ds:schemaRef ds:uri="http://schemas.openxmlformats.org/officeDocument/2006/bibliography"/>
  </ds:schemaRefs>
</ds:datastoreItem>
</file>

<file path=customXml/itemProps3.xml><?xml version="1.0" encoding="utf-8"?>
<ds:datastoreItem xmlns:ds="http://schemas.openxmlformats.org/officeDocument/2006/customXml" ds:itemID="{2844E015-7B64-4D05-986C-09DE8CBA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2cd7-be0a-4242-9980-83bc49f9c40c"/>
    <ds:schemaRef ds:uri="4916f2c7-5f35-410b-94dc-1aa839600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Anthony (CFPB)</dc:creator>
  <cp:lastModifiedBy>May, Anthony (CFPB)</cp:lastModifiedBy>
  <cp:revision>15</cp:revision>
  <cp:lastPrinted>2017-07-25T10:39:00Z</cp:lastPrinted>
  <dcterms:created xsi:type="dcterms:W3CDTF">2025-06-02T13:01:00Z</dcterms:created>
  <dcterms:modified xsi:type="dcterms:W3CDTF">2025-06-02T13:12:00Z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0x010100C2EDCF45950C8846A0732ED7B2C5BDB1</vt:lpwstr>
  </property>
  <property fmtid="{D5CDD505-2E9C-101B-9397-08002B2CF9AE}" pid="3" name="TaxKeyword">
    <vt:lpwstr/>
  </property>
  <property fmtid="{D5CDD505-2E9C-101B-9397-08002B2CF9AE}" pid="4" name="_dlc_DocIdItemGuid">
    <vt:lpwstr>7a559e38-4cc5-40e8-beef-d0e4fd3c4b63</vt:lpwstr>
  </property>
  <property fmtid="{D5CDD505-2E9C-101B-9397-08002B2CF9AE}" pid="5" name="_NewReviewCycle">
    <vt:lpwstr/>
  </property>
</Properties>
</file>