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42C6" w:rsidRPr="00410874" w:rsidP="00E342C6" w14:paraId="7C762793" w14:textId="77777777">
      <w:pPr>
        <w:pStyle w:val="Default"/>
        <w:jc w:val="center"/>
      </w:pPr>
      <w:r w:rsidRPr="00410874">
        <w:rPr>
          <w:b/>
          <w:bCs/>
        </w:rPr>
        <w:t>Non-</w:t>
      </w:r>
      <w:r>
        <w:rPr>
          <w:b/>
          <w:bCs/>
        </w:rPr>
        <w:t>S</w:t>
      </w:r>
      <w:r w:rsidRPr="00410874">
        <w:rPr>
          <w:b/>
          <w:bCs/>
        </w:rPr>
        <w:t>ubstantive Change Request</w:t>
      </w:r>
    </w:p>
    <w:p w:rsidR="00E342C6" w:rsidRPr="00410874" w:rsidP="00E342C6" w14:paraId="5BD92172" w14:textId="29357ABA">
      <w:pPr>
        <w:pStyle w:val="Default"/>
        <w:jc w:val="center"/>
      </w:pPr>
      <w:r w:rsidRPr="00410874">
        <w:rPr>
          <w:b/>
          <w:bCs/>
        </w:rPr>
        <w:t xml:space="preserve">OMB Control Number </w:t>
      </w:r>
      <w:r>
        <w:rPr>
          <w:b/>
          <w:bCs/>
        </w:rPr>
        <w:t>3245</w:t>
      </w:r>
      <w:r w:rsidRPr="00410874">
        <w:rPr>
          <w:b/>
          <w:bCs/>
        </w:rPr>
        <w:t>-</w:t>
      </w:r>
      <w:r w:rsidR="00EB63B2">
        <w:rPr>
          <w:b/>
          <w:bCs/>
        </w:rPr>
        <w:t>0071</w:t>
      </w:r>
    </w:p>
    <w:p w:rsidR="00E342C6" w:rsidRPr="00410874" w:rsidP="00E342C6" w14:paraId="33E4F3BF" w14:textId="50CD0186">
      <w:pPr>
        <w:pStyle w:val="Default"/>
        <w:jc w:val="center"/>
      </w:pPr>
      <w:r>
        <w:rPr>
          <w:b/>
          <w:bCs/>
        </w:rPr>
        <w:t>Form 1244 - SBA 504 Borrower Information</w:t>
      </w:r>
    </w:p>
    <w:p w:rsidR="00E342C6" w:rsidRPr="00410874" w:rsidP="00E342C6" w14:paraId="7167BE5A" w14:textId="18344B0E">
      <w:pPr>
        <w:pStyle w:val="Default"/>
        <w:jc w:val="center"/>
      </w:pPr>
      <w:r w:rsidRPr="00410874">
        <w:rPr>
          <w:b/>
          <w:bCs/>
        </w:rPr>
        <w:t xml:space="preserve">Date Submitted: </w:t>
      </w:r>
      <w:r w:rsidR="00EB63B2">
        <w:rPr>
          <w:b/>
          <w:bCs/>
        </w:rPr>
        <w:t xml:space="preserve">February </w:t>
      </w:r>
      <w:r w:rsidR="00EA04A4">
        <w:rPr>
          <w:b/>
          <w:bCs/>
        </w:rPr>
        <w:t>28</w:t>
      </w:r>
      <w:r w:rsidR="00EB63B2">
        <w:rPr>
          <w:b/>
          <w:bCs/>
        </w:rPr>
        <w:t>, 2025</w:t>
      </w:r>
    </w:p>
    <w:p w:rsidR="00E342C6" w:rsidRPr="00410874" w:rsidP="00E342C6" w14:paraId="33FE65FA" w14:textId="77777777">
      <w:pPr>
        <w:pStyle w:val="Default"/>
        <w:rPr>
          <w:b/>
          <w:bCs/>
        </w:rPr>
      </w:pPr>
    </w:p>
    <w:p w:rsidR="00E342C6" w:rsidRPr="00330EB5" w:rsidP="00E342C6" w14:paraId="419AF539" w14:textId="0408C637">
      <w:pPr>
        <w:pStyle w:val="Default"/>
      </w:pPr>
      <w:r w:rsidRPr="00410874">
        <w:rPr>
          <w:b/>
          <w:bCs/>
        </w:rPr>
        <w:t xml:space="preserve">Summary of </w:t>
      </w:r>
      <w:r>
        <w:rPr>
          <w:b/>
          <w:bCs/>
        </w:rPr>
        <w:t>R</w:t>
      </w:r>
      <w:r w:rsidRPr="00410874">
        <w:rPr>
          <w:b/>
          <w:bCs/>
        </w:rPr>
        <w:t xml:space="preserve">equest: </w:t>
      </w:r>
      <w:r w:rsidRPr="00410874">
        <w:t xml:space="preserve">SBA is requesting a change request to revise questions to align with E.O. 14168 </w:t>
      </w:r>
      <w:r w:rsidRPr="00410874">
        <w:rPr>
          <w:i/>
          <w:iCs/>
        </w:rPr>
        <w:t xml:space="preserve">Defending Women </w:t>
      </w:r>
      <w:r w:rsidRPr="00410874">
        <w:rPr>
          <w:i/>
          <w:iCs/>
        </w:rPr>
        <w:t>From</w:t>
      </w:r>
      <w:r w:rsidRPr="00410874">
        <w:rPr>
          <w:i/>
          <w:iCs/>
        </w:rPr>
        <w:t xml:space="preserve"> Gender Ideology Extremism and Restoring Biological Truth to the Federal Government. </w:t>
      </w:r>
      <w:r w:rsidR="00CE43B0">
        <w:t xml:space="preserve">In addition, SBA is adding </w:t>
      </w:r>
      <w:r w:rsidR="00BD269A">
        <w:t xml:space="preserve">a </w:t>
      </w:r>
      <w:r w:rsidR="00330EB5">
        <w:t>selection for</w:t>
      </w:r>
      <w:r w:rsidR="00BD269A">
        <w:t xml:space="preserve"> the</w:t>
      </w:r>
      <w:r w:rsidR="00330EB5">
        <w:t xml:space="preserve"> “Purpose of the loan” to include “Other” which CDC will provide the</w:t>
      </w:r>
      <w:r w:rsidR="00BF56B6">
        <w:t xml:space="preserve"> project</w:t>
      </w:r>
      <w:r w:rsidR="00330EB5">
        <w:t xml:space="preserve"> information in their credit memo. </w:t>
      </w:r>
      <w:r w:rsidR="00CE43B0">
        <w:t>SBA is also r</w:t>
      </w:r>
      <w:r w:rsidR="00330EB5">
        <w:t xml:space="preserve">emoving the </w:t>
      </w:r>
      <w:r w:rsidR="00D13C6D">
        <w:t xml:space="preserve">Associate of the Applicant signature requirements </w:t>
      </w:r>
      <w:r w:rsidR="00BD269A">
        <w:t>which should have been removed in the last form update. Form 1244 must be signed by a</w:t>
      </w:r>
      <w:r w:rsidR="00D13C6D">
        <w:t>n authorized signer</w:t>
      </w:r>
      <w:r w:rsidR="00BD269A">
        <w:t xml:space="preserve"> of the Applicant</w:t>
      </w:r>
      <w:r w:rsidR="00D13C6D">
        <w:t xml:space="preserve"> on behalf of </w:t>
      </w:r>
      <w:r w:rsidR="00BD269A">
        <w:t>all the owners and its associates.</w:t>
      </w:r>
    </w:p>
    <w:p w:rsidR="00E342C6" w:rsidRPr="00410874" w:rsidP="00E342C6" w14:paraId="70BE5788" w14:textId="77777777">
      <w:pPr>
        <w:pStyle w:val="Default"/>
      </w:pPr>
    </w:p>
    <w:p w:rsidR="00E342C6" w:rsidRPr="00410874" w:rsidP="00E342C6" w14:paraId="5130F5B7" w14:textId="7706BF47">
      <w:pPr>
        <w:pStyle w:val="Default"/>
      </w:pPr>
      <w:r w:rsidRPr="00410874">
        <w:rPr>
          <w:b/>
          <w:bCs/>
        </w:rPr>
        <w:t xml:space="preserve">Description of Changes Requested: </w:t>
      </w:r>
      <w:r w:rsidRPr="00410874">
        <w:t>This request updates sex questions used in F</w:t>
      </w:r>
      <w:r w:rsidR="00752B61">
        <w:t>orm</w:t>
      </w:r>
      <w:r w:rsidRPr="00410874">
        <w:t xml:space="preserve"> 1</w:t>
      </w:r>
      <w:r w:rsidR="002776FD">
        <w:t xml:space="preserve">244 </w:t>
      </w:r>
      <w:r w:rsidRPr="00410874">
        <w:t xml:space="preserve">to be in accordance with EO 14168. Please check the boxes below if your request includes: </w:t>
      </w:r>
    </w:p>
    <w:p w:rsidR="00E342C6" w:rsidRPr="00410874" w:rsidP="00E342C6" w14:paraId="5E4F4A51" w14:textId="78E9DE79">
      <w:pPr>
        <w:pStyle w:val="Default"/>
      </w:pPr>
      <w:r>
        <w:t>[X]</w:t>
      </w:r>
      <w:r w:rsidRPr="00410874">
        <w:t xml:space="preserve"> Revision of an existing question(s) </w:t>
      </w:r>
    </w:p>
    <w:p w:rsidR="00E342C6" w:rsidP="00E342C6" w14:paraId="22E2E14A" w14:textId="5BBBE846">
      <w:pPr>
        <w:pStyle w:val="Default"/>
      </w:pPr>
      <w:r>
        <w:t>[X]</w:t>
      </w:r>
      <w:r w:rsidRPr="00410874">
        <w:t xml:space="preserve"> Deletion of </w:t>
      </w:r>
      <w:r w:rsidR="0067228F">
        <w:t>an existing question(s)</w:t>
      </w:r>
    </w:p>
    <w:p w:rsidR="00E342C6" w:rsidP="00E342C6" w14:paraId="74E9A1E1" w14:textId="77777777">
      <w:pPr>
        <w:pStyle w:val="Default"/>
        <w:rPr>
          <w:b/>
          <w:bCs/>
        </w:rPr>
      </w:pPr>
    </w:p>
    <w:p w:rsidR="00E342C6" w:rsidP="00E342C6" w14:paraId="41F43850" w14:textId="6CDE751A">
      <w:pPr>
        <w:pStyle w:val="Default"/>
      </w:pPr>
      <w:r w:rsidRPr="00410874">
        <w:rPr>
          <w:b/>
          <w:bCs/>
        </w:rPr>
        <w:t>Description of Changes to Burden:</w:t>
      </w:r>
      <w:r w:rsidR="005D5B43">
        <w:rPr>
          <w:b/>
          <w:bCs/>
        </w:rPr>
        <w:t xml:space="preserve"> N</w:t>
      </w:r>
      <w:r w:rsidR="00FF037B">
        <w:rPr>
          <w:b/>
          <w:bCs/>
        </w:rPr>
        <w:t>o change</w:t>
      </w:r>
    </w:p>
    <w:tbl>
      <w:tblPr>
        <w:tblpPr w:leftFromText="180" w:rightFromText="180" w:vertAnchor="text" w:horzAnchor="margin" w:tblpY="136"/>
        <w:tblW w:w="94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1530"/>
        <w:gridCol w:w="3780"/>
        <w:gridCol w:w="4140"/>
      </w:tblGrid>
      <w:tr w14:paraId="12E65A10" w14:textId="77777777" w:rsidTr="00ED0D63">
        <w:tblPrEx>
          <w:tblW w:w="9450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15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B93616" w:rsidP="000F1196" w14:paraId="51212D67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Form </w:t>
            </w:r>
          </w:p>
        </w:tc>
        <w:tc>
          <w:tcPr>
            <w:tcW w:w="37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B93616" w:rsidP="000F1196" w14:paraId="00D7A82E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Approved Burden </w:t>
            </w:r>
          </w:p>
        </w:tc>
        <w:tc>
          <w:tcPr>
            <w:tcW w:w="41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B93616" w:rsidP="00ED0D63" w14:paraId="6C5BA56E" w14:textId="77777777">
            <w:pPr>
              <w:pStyle w:val="Default"/>
              <w:ind w:right="-1290"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Requested Burden </w:t>
            </w:r>
          </w:p>
        </w:tc>
      </w:tr>
      <w:tr w14:paraId="293467F8" w14:textId="77777777" w:rsidTr="00ED0D63">
        <w:tblPrEx>
          <w:tblW w:w="9450" w:type="dxa"/>
          <w:tblLayout w:type="fixed"/>
          <w:tblLook w:val="0000"/>
        </w:tblPrEx>
        <w:trPr>
          <w:trHeight w:val="109"/>
        </w:trPr>
        <w:tc>
          <w:tcPr>
            <w:tcW w:w="15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FF037B" w:rsidRPr="00B93616" w:rsidP="000F1196" w14:paraId="5A751F82" w14:textId="77777777">
            <w:pPr>
              <w:pStyle w:val="Default"/>
              <w:ind w:hanging="80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F037B" w:rsidRPr="00B93616" w:rsidP="000F1196" w14:paraId="5A469212" w14:textId="77777777">
            <w:pPr>
              <w:pStyle w:val="Default"/>
              <w:ind w:hanging="80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FF037B" w:rsidRPr="00B93616" w:rsidP="00ED0D63" w14:paraId="605EA031" w14:textId="77777777">
            <w:pPr>
              <w:pStyle w:val="Default"/>
              <w:ind w:right="-1290" w:hanging="80"/>
              <w:rPr>
                <w:b/>
                <w:bCs/>
              </w:rPr>
            </w:pPr>
          </w:p>
        </w:tc>
      </w:tr>
      <w:tr w14:paraId="5FB0A98D" w14:textId="77777777" w:rsidTr="00ED0D63">
        <w:tblPrEx>
          <w:tblW w:w="9450" w:type="dxa"/>
          <w:tblLayout w:type="fixed"/>
          <w:tblLook w:val="0000"/>
        </w:tblPrEx>
        <w:trPr>
          <w:trHeight w:val="523"/>
        </w:trPr>
        <w:tc>
          <w:tcPr>
            <w:tcW w:w="15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2A19C273" w14:textId="0034AC0B">
            <w:pPr>
              <w:pStyle w:val="Default"/>
              <w:ind w:hanging="80"/>
            </w:pPr>
            <w:r>
              <w:t>Form 1244</w:t>
            </w:r>
          </w:p>
        </w:tc>
        <w:tc>
          <w:tcPr>
            <w:tcW w:w="37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P="000F1196" w14:paraId="0065041C" w14:textId="77777777">
            <w:pPr>
              <w:pStyle w:val="Default"/>
              <w:ind w:hanging="80"/>
            </w:pPr>
            <w:r>
              <w:t>Total Time: 19,204 hours</w:t>
            </w:r>
          </w:p>
          <w:p w:rsidR="00ED0D63" w:rsidP="000F1196" w14:paraId="0F30AE76" w14:textId="77777777">
            <w:pPr>
              <w:pStyle w:val="Default"/>
              <w:ind w:hanging="80"/>
            </w:pPr>
            <w:r>
              <w:t>7,119 respondents</w:t>
            </w:r>
          </w:p>
          <w:p w:rsidR="00ED0D63" w:rsidP="000F1196" w14:paraId="4256FF50" w14:textId="77777777">
            <w:pPr>
              <w:pStyle w:val="Default"/>
              <w:ind w:hanging="80"/>
            </w:pPr>
            <w:r>
              <w:t>2.25 hrs./response for PCLP and ALP</w:t>
            </w:r>
          </w:p>
          <w:p w:rsidR="00ED0D63" w:rsidP="000F1196" w14:paraId="3408317C" w14:textId="77777777">
            <w:pPr>
              <w:pStyle w:val="Default"/>
              <w:ind w:hanging="80"/>
            </w:pPr>
            <w:r>
              <w:t>2.5</w:t>
            </w:r>
            <w:r w:rsidR="00FF037B">
              <w:t xml:space="preserve"> hrs./response for ASM</w:t>
            </w:r>
          </w:p>
          <w:p w:rsidR="00FF037B" w:rsidRPr="00410874" w:rsidP="000F1196" w14:paraId="38EBFCE1" w14:textId="137E42EC">
            <w:pPr>
              <w:pStyle w:val="Default"/>
              <w:ind w:hanging="80"/>
            </w:pPr>
            <w:r>
              <w:t>3.5 hrs./response for non-ASM</w:t>
            </w:r>
          </w:p>
        </w:tc>
        <w:tc>
          <w:tcPr>
            <w:tcW w:w="41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P="000F1196" w14:paraId="01948319" w14:textId="77777777">
            <w:pPr>
              <w:pStyle w:val="Default"/>
              <w:ind w:hanging="80"/>
            </w:pPr>
            <w:r>
              <w:t>Total Time: 19,204 hours</w:t>
            </w:r>
          </w:p>
          <w:p w:rsidR="00ED0D63" w:rsidP="000F1196" w14:paraId="165C8236" w14:textId="77777777">
            <w:pPr>
              <w:pStyle w:val="Default"/>
              <w:ind w:hanging="80"/>
            </w:pPr>
            <w:r>
              <w:t>7,119 respondents</w:t>
            </w:r>
          </w:p>
          <w:p w:rsidR="00ED0D63" w:rsidP="00FF037B" w14:paraId="41642837" w14:textId="77777777">
            <w:pPr>
              <w:pStyle w:val="Default"/>
              <w:ind w:right="345" w:hanging="80"/>
            </w:pPr>
            <w:r>
              <w:t>2.25 hrs./response for PCLP and ALP</w:t>
            </w:r>
          </w:p>
          <w:p w:rsidR="00FF037B" w:rsidP="00FF037B" w14:paraId="0EC9C5F1" w14:textId="77777777">
            <w:pPr>
              <w:pStyle w:val="Default"/>
              <w:ind w:right="345" w:hanging="80"/>
            </w:pPr>
            <w:r>
              <w:t>2.5 hrs./response for ASM</w:t>
            </w:r>
          </w:p>
          <w:p w:rsidR="00FF037B" w:rsidRPr="00410874" w:rsidP="00FF037B" w14:paraId="504AC692" w14:textId="4E7E3121">
            <w:pPr>
              <w:pStyle w:val="Default"/>
              <w:ind w:right="345" w:hanging="80"/>
            </w:pPr>
            <w:r>
              <w:t>3.5 hrs./response for non-ASM</w:t>
            </w:r>
          </w:p>
        </w:tc>
      </w:tr>
      <w:tr w14:paraId="69EA179B" w14:textId="77777777" w:rsidTr="00ED0D63">
        <w:tblPrEx>
          <w:tblW w:w="9450" w:type="dxa"/>
          <w:tblLayout w:type="fixed"/>
          <w:tblLook w:val="0000"/>
        </w:tblPrEx>
        <w:trPr>
          <w:trHeight w:val="523"/>
        </w:trPr>
        <w:tc>
          <w:tcPr>
            <w:tcW w:w="15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ED0D63" w14:paraId="17657040" w14:textId="2093A893">
            <w:pPr>
              <w:pStyle w:val="Default"/>
            </w:pPr>
          </w:p>
        </w:tc>
        <w:tc>
          <w:tcPr>
            <w:tcW w:w="37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13B221D3" w14:textId="2D8CD732">
            <w:pPr>
              <w:pStyle w:val="Default"/>
              <w:ind w:hanging="80"/>
            </w:pPr>
            <w:r w:rsidRPr="00410874">
              <w:t xml:space="preserve"> </w:t>
            </w:r>
          </w:p>
        </w:tc>
        <w:tc>
          <w:tcPr>
            <w:tcW w:w="41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410874" w:rsidP="000F1196" w14:paraId="2573E377" w14:textId="0F2877A7">
            <w:pPr>
              <w:pStyle w:val="Default"/>
              <w:ind w:hanging="80"/>
            </w:pPr>
            <w:r w:rsidRPr="00410874">
              <w:t xml:space="preserve"> </w:t>
            </w:r>
          </w:p>
        </w:tc>
      </w:tr>
    </w:tbl>
    <w:p w:rsidR="00E342C6" w:rsidRPr="00FF037B" w:rsidP="00E342C6" w14:paraId="51B348FC" w14:textId="2D187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 xml:space="preserve">Other Considerations: </w:t>
      </w:r>
      <w:r w:rsidR="00FF037B">
        <w:rPr>
          <w:rFonts w:ascii="Times New Roman" w:hAnsi="Times New Roman" w:cs="Times New Roman"/>
          <w:sz w:val="24"/>
          <w:szCs w:val="24"/>
        </w:rPr>
        <w:t>To expeditiously implement EO 14168 to Form 1244.</w:t>
      </w:r>
    </w:p>
    <w:p w:rsidR="00E342C6" w:rsidP="00E342C6" w14:paraId="6603C4A2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342C6" w:rsidP="00E342C6" w14:paraId="399B79EE" w14:textId="434727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Table A: Description of Changes:</w:t>
      </w:r>
    </w:p>
    <w:p w:rsidR="0067228F" w:rsidRPr="00410874" w:rsidP="00E342C6" w14:paraId="4D227703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45" w:type="dxa"/>
        <w:tblLook w:val="04A0"/>
      </w:tblPr>
      <w:tblGrid>
        <w:gridCol w:w="2065"/>
        <w:gridCol w:w="1807"/>
        <w:gridCol w:w="2136"/>
        <w:gridCol w:w="3437"/>
      </w:tblGrid>
      <w:tr w14:paraId="54341D3D" w14:textId="77777777" w:rsidTr="00710291">
        <w:tblPrEx>
          <w:tblW w:w="9445" w:type="dxa"/>
          <w:tblLook w:val="04A0"/>
        </w:tblPrEx>
        <w:tc>
          <w:tcPr>
            <w:tcW w:w="2065" w:type="dxa"/>
          </w:tcPr>
          <w:p w:rsidR="00E342C6" w:rsidRPr="00B93616" w:rsidP="000F1196" w14:paraId="1CA17BB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1807" w:type="dxa"/>
          </w:tcPr>
          <w:p w:rsidR="00E342C6" w:rsidRPr="00B93616" w:rsidP="000F1196" w14:paraId="7A134C8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136" w:type="dxa"/>
          </w:tcPr>
          <w:p w:rsidR="00E342C6" w:rsidRPr="00B93616" w:rsidP="000F1196" w14:paraId="516ADF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Question/Item</w:t>
            </w:r>
          </w:p>
        </w:tc>
        <w:tc>
          <w:tcPr>
            <w:tcW w:w="3437" w:type="dxa"/>
          </w:tcPr>
          <w:p w:rsidR="00E342C6" w:rsidRPr="00B93616" w:rsidP="000F1196" w14:paraId="0C19C8A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</w:p>
        </w:tc>
      </w:tr>
      <w:tr w14:paraId="31294A5F" w14:textId="77777777" w:rsidTr="00710291">
        <w:tblPrEx>
          <w:tblW w:w="9445" w:type="dxa"/>
          <w:tblLook w:val="04A0"/>
        </w:tblPrEx>
        <w:tc>
          <w:tcPr>
            <w:tcW w:w="2065" w:type="dxa"/>
          </w:tcPr>
          <w:p w:rsidR="00E342C6" w:rsidP="000F1196" w14:paraId="6E52942F" w14:textId="1CB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</w:t>
            </w:r>
            <w:r w:rsidR="00EB63B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5C1C32">
              <w:rPr>
                <w:rFonts w:ascii="Times New Roman" w:hAnsi="Times New Roman" w:cs="Times New Roman"/>
                <w:sz w:val="24"/>
                <w:szCs w:val="24"/>
              </w:rPr>
              <w:t>, page 1</w:t>
            </w:r>
          </w:p>
        </w:tc>
        <w:tc>
          <w:tcPr>
            <w:tcW w:w="1807" w:type="dxa"/>
          </w:tcPr>
          <w:p w:rsidR="00E342C6" w:rsidP="000F1196" w14:paraId="710BC5E8" w14:textId="47F6F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selection</w:t>
            </w:r>
          </w:p>
        </w:tc>
        <w:tc>
          <w:tcPr>
            <w:tcW w:w="2136" w:type="dxa"/>
          </w:tcPr>
          <w:p w:rsidR="00E342C6" w:rsidP="000F1196" w14:paraId="6BB458C7" w14:textId="38C4B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 of the loan selection options</w:t>
            </w:r>
          </w:p>
        </w:tc>
        <w:tc>
          <w:tcPr>
            <w:tcW w:w="3437" w:type="dxa"/>
          </w:tcPr>
          <w:p w:rsidR="00E342C6" w:rsidP="000F1196" w14:paraId="00BEC21C" w14:textId="6600A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="0067228F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5C1C3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7228F">
              <w:rPr>
                <w:rFonts w:ascii="Times New Roman" w:hAnsi="Times New Roman" w:cs="Times New Roman"/>
                <w:sz w:val="24"/>
                <w:szCs w:val="24"/>
              </w:rPr>
              <w:t xml:space="preserve"> to the selection options.</w:t>
            </w:r>
          </w:p>
        </w:tc>
      </w:tr>
      <w:tr w14:paraId="21E31056" w14:textId="77777777" w:rsidTr="00710291">
        <w:tblPrEx>
          <w:tblW w:w="9445" w:type="dxa"/>
          <w:tblLook w:val="04A0"/>
        </w:tblPrEx>
        <w:tc>
          <w:tcPr>
            <w:tcW w:w="2065" w:type="dxa"/>
          </w:tcPr>
          <w:p w:rsidR="00AA7E5F" w:rsidP="000F1196" w14:paraId="23F46D6F" w14:textId="0F4A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1244, page 2</w:t>
            </w:r>
          </w:p>
        </w:tc>
        <w:tc>
          <w:tcPr>
            <w:tcW w:w="1807" w:type="dxa"/>
          </w:tcPr>
          <w:p w:rsidR="00AA7E5F" w:rsidP="000F1196" w14:paraId="7316F5C4" w14:textId="2AD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 Revision</w:t>
            </w:r>
          </w:p>
        </w:tc>
        <w:tc>
          <w:tcPr>
            <w:tcW w:w="2136" w:type="dxa"/>
          </w:tcPr>
          <w:p w:rsidR="00AA7E5F" w:rsidP="000F1196" w14:paraId="52DF541E" w14:textId="5844B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 to complete Applicant Owner’s Demographic Information</w:t>
            </w:r>
          </w:p>
        </w:tc>
        <w:tc>
          <w:tcPr>
            <w:tcW w:w="3437" w:type="dxa"/>
          </w:tcPr>
          <w:p w:rsidR="00AA7E5F" w:rsidP="000F1196" w14:paraId="7F1307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instruction</w:t>
            </w:r>
            <w:r w:rsidR="00710291">
              <w:rPr>
                <w:rFonts w:ascii="Times New Roman" w:hAnsi="Times New Roman" w:cs="Times New Roman"/>
                <w:sz w:val="24"/>
                <w:szCs w:val="24"/>
              </w:rPr>
              <w:t>: Veteran/gender/race/</w:t>
            </w:r>
          </w:p>
          <w:p w:rsidR="00710291" w:rsidP="000F1196" w14:paraId="5CAADCBC" w14:textId="7712D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Ethnicity…, change “gender” to “sex”.</w:t>
            </w:r>
          </w:p>
        </w:tc>
      </w:tr>
      <w:tr w14:paraId="5489D772" w14:textId="77777777" w:rsidTr="00710291">
        <w:tblPrEx>
          <w:tblW w:w="9445" w:type="dxa"/>
          <w:tblLook w:val="04A0"/>
        </w:tblPrEx>
        <w:tc>
          <w:tcPr>
            <w:tcW w:w="2065" w:type="dxa"/>
          </w:tcPr>
          <w:p w:rsidR="00E342C6" w:rsidP="000F1196" w14:paraId="1816D9B6" w14:textId="1174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1244, page 2</w:t>
            </w:r>
          </w:p>
        </w:tc>
        <w:tc>
          <w:tcPr>
            <w:tcW w:w="1807" w:type="dxa"/>
          </w:tcPr>
          <w:p w:rsidR="00E342C6" w:rsidP="000F1196" w14:paraId="3FAAC6C3" w14:textId="26F98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136" w:type="dxa"/>
          </w:tcPr>
          <w:p w:rsidR="00E342C6" w:rsidP="000F1196" w14:paraId="15980C68" w14:textId="68FB8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Owner’s Demographic Information – </w:t>
            </w:r>
            <w:r w:rsidR="005C1C32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3437" w:type="dxa"/>
          </w:tcPr>
          <w:p w:rsidR="00642A41" w:rsidP="000F1196" w14:paraId="0520C09C" w14:textId="3CD19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the term “Gender” to “</w:t>
            </w:r>
            <w:r w:rsidR="005C1C32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A3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E54D9D9" w14:textId="77777777" w:rsidTr="00710291">
        <w:tblPrEx>
          <w:tblW w:w="9445" w:type="dxa"/>
          <w:tblLook w:val="04A0"/>
        </w:tblPrEx>
        <w:tc>
          <w:tcPr>
            <w:tcW w:w="2065" w:type="dxa"/>
          </w:tcPr>
          <w:p w:rsidR="00642A41" w:rsidP="000F1196" w14:paraId="693A845C" w14:textId="3AC4E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1244, page 2</w:t>
            </w:r>
          </w:p>
        </w:tc>
        <w:tc>
          <w:tcPr>
            <w:tcW w:w="1807" w:type="dxa"/>
          </w:tcPr>
          <w:p w:rsidR="00642A41" w:rsidP="000F1196" w14:paraId="04F4BB75" w14:textId="4363A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Response Deletion</w:t>
            </w:r>
          </w:p>
        </w:tc>
        <w:tc>
          <w:tcPr>
            <w:tcW w:w="2136" w:type="dxa"/>
          </w:tcPr>
          <w:p w:rsidR="00642A41" w:rsidP="000F1196" w14:paraId="3BC8188C" w14:textId="2A49D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 Owner’s Demographic Information - Gender</w:t>
            </w:r>
          </w:p>
        </w:tc>
        <w:tc>
          <w:tcPr>
            <w:tcW w:w="3437" w:type="dxa"/>
          </w:tcPr>
          <w:p w:rsidR="00642A41" w:rsidP="000F1196" w14:paraId="066290AC" w14:textId="7AA59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  <w:r w:rsidR="00DC34ED">
              <w:rPr>
                <w:rFonts w:ascii="Times New Roman" w:hAnsi="Times New Roman" w:cs="Times New Roman"/>
                <w:sz w:val="24"/>
                <w:szCs w:val="24"/>
              </w:rPr>
              <w:t xml:space="preserve"> the selection option for “Not Disclosed”</w:t>
            </w:r>
            <w:r w:rsidR="00CA3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228C412" w14:textId="77777777" w:rsidTr="00710291">
        <w:tblPrEx>
          <w:tblW w:w="9445" w:type="dxa"/>
          <w:tblLook w:val="04A0"/>
        </w:tblPrEx>
        <w:tc>
          <w:tcPr>
            <w:tcW w:w="2065" w:type="dxa"/>
          </w:tcPr>
          <w:p w:rsidR="00E342C6" w:rsidP="000F1196" w14:paraId="471B01C9" w14:textId="00AEE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1244, page 4</w:t>
            </w:r>
          </w:p>
        </w:tc>
        <w:tc>
          <w:tcPr>
            <w:tcW w:w="1807" w:type="dxa"/>
          </w:tcPr>
          <w:p w:rsidR="00E342C6" w:rsidP="000F1196" w14:paraId="72205FE5" w14:textId="0224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</w:t>
            </w:r>
            <w:r w:rsidR="00642A41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signature </w:t>
            </w:r>
            <w:r w:rsidR="000033D2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</w:tc>
        <w:tc>
          <w:tcPr>
            <w:tcW w:w="2136" w:type="dxa"/>
          </w:tcPr>
          <w:p w:rsidR="00E342C6" w:rsidP="000F1196" w14:paraId="5F0BD943" w14:textId="04B29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signature </w:t>
            </w:r>
            <w:r w:rsidR="000033D2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</w:tc>
        <w:tc>
          <w:tcPr>
            <w:tcW w:w="3437" w:type="dxa"/>
          </w:tcPr>
          <w:p w:rsidR="00E342C6" w:rsidP="000F1196" w14:paraId="649ACFF5" w14:textId="1BF3F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  <w:r w:rsidR="00551513">
              <w:rPr>
                <w:rFonts w:ascii="Times New Roman" w:hAnsi="Times New Roman" w:cs="Times New Roman"/>
                <w:sz w:val="24"/>
                <w:szCs w:val="24"/>
              </w:rPr>
              <w:t xml:space="preserve"> the Associ</w:t>
            </w:r>
            <w:r w:rsidR="000033D2">
              <w:rPr>
                <w:rFonts w:ascii="Times New Roman" w:hAnsi="Times New Roman" w:cs="Times New Roman"/>
                <w:sz w:val="24"/>
                <w:szCs w:val="24"/>
              </w:rPr>
              <w:t xml:space="preserve">ate signature lines since </w:t>
            </w:r>
            <w:r w:rsidR="00CA3761">
              <w:rPr>
                <w:rFonts w:ascii="Times New Roman" w:hAnsi="Times New Roman" w:cs="Times New Roman"/>
                <w:sz w:val="24"/>
                <w:szCs w:val="24"/>
              </w:rPr>
              <w:t>the Authorized signer of EPC/OC is signing on behalf of owner(s) and it should have been removed in the last form update.</w:t>
            </w:r>
          </w:p>
        </w:tc>
      </w:tr>
      <w:tr w14:paraId="01DD7E44" w14:textId="77777777" w:rsidTr="00710291">
        <w:tblPrEx>
          <w:tblW w:w="9445" w:type="dxa"/>
          <w:tblLook w:val="04A0"/>
        </w:tblPrEx>
        <w:tc>
          <w:tcPr>
            <w:tcW w:w="2065" w:type="dxa"/>
          </w:tcPr>
          <w:p w:rsidR="00AA7E5F" w:rsidP="000F1196" w14:paraId="56100692" w14:textId="3C80C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1244, page 5</w:t>
            </w:r>
          </w:p>
        </w:tc>
        <w:tc>
          <w:tcPr>
            <w:tcW w:w="1807" w:type="dxa"/>
          </w:tcPr>
          <w:p w:rsidR="00AA7E5F" w:rsidP="000F1196" w14:paraId="3FD905CD" w14:textId="05BB9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 Revision</w:t>
            </w:r>
          </w:p>
        </w:tc>
        <w:tc>
          <w:tcPr>
            <w:tcW w:w="2136" w:type="dxa"/>
          </w:tcPr>
          <w:p w:rsidR="00AA7E5F" w:rsidP="000F1196" w14:paraId="03C05F7F" w14:textId="3FD5F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purposes of reporting (optional) demographic Information: Purpose</w:t>
            </w:r>
          </w:p>
        </w:tc>
        <w:tc>
          <w:tcPr>
            <w:tcW w:w="3437" w:type="dxa"/>
          </w:tcPr>
          <w:p w:rsidR="00AA7E5F" w:rsidP="0067228F" w14:paraId="061C2C55" w14:textId="1E3385DE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Purpose: Veteran/gender/race/ethnicity</w:t>
            </w:r>
            <w:r w:rsidR="0067228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change “gender” to “sex”.</w:t>
            </w:r>
          </w:p>
        </w:tc>
      </w:tr>
      <w:tr w14:paraId="3AEEACD8" w14:textId="77777777" w:rsidTr="00710291">
        <w:tblPrEx>
          <w:tblW w:w="9445" w:type="dxa"/>
          <w:tblLook w:val="04A0"/>
        </w:tblPrEx>
        <w:tc>
          <w:tcPr>
            <w:tcW w:w="2065" w:type="dxa"/>
          </w:tcPr>
          <w:p w:rsidR="00E342C6" w:rsidP="000F1196" w14:paraId="10F6A6C1" w14:textId="436EB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1244, page 6</w:t>
            </w:r>
          </w:p>
        </w:tc>
        <w:tc>
          <w:tcPr>
            <w:tcW w:w="1807" w:type="dxa"/>
          </w:tcPr>
          <w:p w:rsidR="00E342C6" w:rsidP="000F1196" w14:paraId="61680723" w14:textId="2E64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Deletion of Executive Order Reference</w:t>
            </w:r>
            <w:r w:rsidR="002E78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36" w:type="dxa"/>
          </w:tcPr>
          <w:p w:rsidR="00E342C6" w:rsidP="000F1196" w14:paraId="6EE6BF6D" w14:textId="00F3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A3761">
              <w:rPr>
                <w:rFonts w:ascii="Times New Roman" w:hAnsi="Times New Roman" w:cs="Times New Roman"/>
                <w:sz w:val="24"/>
                <w:szCs w:val="24"/>
              </w:rPr>
              <w:t xml:space="preserve">xecutive Orders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11988 and 11990</w:t>
            </w:r>
          </w:p>
        </w:tc>
        <w:tc>
          <w:tcPr>
            <w:tcW w:w="3437" w:type="dxa"/>
          </w:tcPr>
          <w:p w:rsidR="00E342C6" w:rsidP="000F1196" w14:paraId="254AA027" w14:textId="72CC1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Delete the reference to Executive Order 11988. Only </w:t>
            </w:r>
            <w:r w:rsidR="00616D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xecutive Order</w:t>
            </w:r>
            <w:r w:rsidR="00616DD4">
              <w:rPr>
                <w:rFonts w:ascii="Times New Roman" w:hAnsi="Times New Roman" w:cs="Times New Roman"/>
                <w:sz w:val="24"/>
                <w:szCs w:val="24"/>
              </w:rPr>
              <w:t xml:space="preserve"> 11990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reference the Floodplain Management and Wetland Protection.</w:t>
            </w:r>
          </w:p>
        </w:tc>
      </w:tr>
    </w:tbl>
    <w:p w:rsidR="00E342C6" w:rsidP="00E342C6" w14:paraId="7169A8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2C6" w:rsidRPr="00410874" w:rsidP="00E342C6" w14:paraId="7D73C0AC" w14:textId="6C437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Attachments:</w:t>
      </w:r>
      <w:r w:rsidR="002776FD">
        <w:rPr>
          <w:rFonts w:ascii="Times New Roman" w:hAnsi="Times New Roman" w:cs="Times New Roman"/>
          <w:b/>
          <w:bCs/>
          <w:sz w:val="24"/>
          <w:szCs w:val="24"/>
        </w:rPr>
        <w:t xml:space="preserve"> Form 1244</w:t>
      </w:r>
      <w:r w:rsidR="0067228F">
        <w:rPr>
          <w:rFonts w:ascii="Times New Roman" w:hAnsi="Times New Roman" w:cs="Times New Roman"/>
          <w:b/>
          <w:bCs/>
          <w:sz w:val="24"/>
          <w:szCs w:val="24"/>
        </w:rPr>
        <w:t xml:space="preserve"> – SBA 504 Borrower Information Form</w:t>
      </w:r>
    </w:p>
    <w:p w:rsidR="002E6BEC" w14:paraId="49B99F7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CA"/>
    <w:rsid w:val="000033D2"/>
    <w:rsid w:val="00087BB6"/>
    <w:rsid w:val="000F1196"/>
    <w:rsid w:val="002776FD"/>
    <w:rsid w:val="002E6BEC"/>
    <w:rsid w:val="002E78FF"/>
    <w:rsid w:val="00314B8E"/>
    <w:rsid w:val="00330EB5"/>
    <w:rsid w:val="003706C3"/>
    <w:rsid w:val="003E7947"/>
    <w:rsid w:val="00410874"/>
    <w:rsid w:val="004262E5"/>
    <w:rsid w:val="00514A95"/>
    <w:rsid w:val="005157F8"/>
    <w:rsid w:val="00550CD1"/>
    <w:rsid w:val="00551513"/>
    <w:rsid w:val="005C1C32"/>
    <w:rsid w:val="005D5B43"/>
    <w:rsid w:val="00605AAA"/>
    <w:rsid w:val="00616DD4"/>
    <w:rsid w:val="00642A41"/>
    <w:rsid w:val="0067228F"/>
    <w:rsid w:val="006A56CA"/>
    <w:rsid w:val="00710291"/>
    <w:rsid w:val="00717936"/>
    <w:rsid w:val="00752B61"/>
    <w:rsid w:val="008D1C7E"/>
    <w:rsid w:val="0097176B"/>
    <w:rsid w:val="00A333FE"/>
    <w:rsid w:val="00AA7E5F"/>
    <w:rsid w:val="00B0516E"/>
    <w:rsid w:val="00B93616"/>
    <w:rsid w:val="00BD269A"/>
    <w:rsid w:val="00BF56B6"/>
    <w:rsid w:val="00CA3761"/>
    <w:rsid w:val="00CE43B0"/>
    <w:rsid w:val="00D13C6D"/>
    <w:rsid w:val="00D9386A"/>
    <w:rsid w:val="00DB6BD4"/>
    <w:rsid w:val="00DC34ED"/>
    <w:rsid w:val="00E342C6"/>
    <w:rsid w:val="00E3664C"/>
    <w:rsid w:val="00E94D50"/>
    <w:rsid w:val="00EA04A4"/>
    <w:rsid w:val="00EB63B2"/>
    <w:rsid w:val="00ED0D63"/>
    <w:rsid w:val="00ED202F"/>
    <w:rsid w:val="00FF03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26CF3"/>
  <w15:chartTrackingRefBased/>
  <w15:docId w15:val="{B58594CE-2E2B-4CC9-BE2E-3F0359A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2C6"/>
  </w:style>
  <w:style w:type="paragraph" w:styleId="Heading1">
    <w:name w:val="heading 1"/>
    <w:basedOn w:val="Normal"/>
    <w:next w:val="Normal"/>
    <w:link w:val="Heading1Char"/>
    <w:uiPriority w:val="9"/>
    <w:qFormat/>
    <w:rsid w:val="006A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6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4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3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Rich, Curtis B.</cp:lastModifiedBy>
  <cp:revision>2</cp:revision>
  <dcterms:created xsi:type="dcterms:W3CDTF">2025-03-03T21:20:00Z</dcterms:created>
  <dcterms:modified xsi:type="dcterms:W3CDTF">2025-03-03T21:20:00Z</dcterms:modified>
</cp:coreProperties>
</file>