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30A9" w:rsidRPr="008B6BDF" w:rsidP="00FE30A9" w14:paraId="5A4A58EF" w14:textId="77777777">
      <w:pPr>
        <w:keepNext/>
        <w:keepLines/>
        <w:spacing w:before="160" w:after="80"/>
        <w:outlineLvl w:val="1"/>
        <w:rPr>
          <w:rFonts w:eastAsiaTheme="majorEastAsia"/>
          <w:b/>
          <w:color w:val="2E74B5" w:themeColor="accent1" w:themeShade="BF"/>
          <w:sz w:val="28"/>
          <w:szCs w:val="28"/>
        </w:rPr>
      </w:pPr>
      <w:bookmarkStart w:id="0" w:name="OLE_LINK2"/>
      <w:r w:rsidRPr="008B6BDF">
        <w:rPr>
          <w:rFonts w:eastAsiaTheme="majorEastAsia"/>
          <w:b/>
          <w:color w:val="2E74B5" w:themeColor="accent1" w:themeShade="BF"/>
          <w:sz w:val="28"/>
          <w:szCs w:val="28"/>
        </w:rPr>
        <w:t>Preface</w:t>
      </w:r>
    </w:p>
    <w:p w:rsidR="00FE30A9" w:rsidP="00FE30A9" w14:paraId="7142AFFF" w14:textId="77777777">
      <w:r w:rsidRPr="00F821BC">
        <w:t>The Board of Governors of the Federal Reserve System, under delegated authority from the Office of Management and Budget (OMB), is conducting a Senior Financial Officer Survey (FR 2023; OMB No. 7100-0223) in collaboration with the Federal Reserve Bank of New York. Surveys conducted under FR 2023 have been used intermittently to obtain information about deposit pricing and behavior, bank liability management, the provision of financial services, and reserve management strategies and practices</w:t>
      </w:r>
      <w:r w:rsidRPr="007F5403">
        <w:t>.  Approval for this survey expires August 31, 2027.</w:t>
      </w:r>
    </w:p>
    <w:p w:rsidR="00FE30A9" w:rsidRPr="00F821BC" w:rsidP="00FE30A9" w14:paraId="5F4A03C5" w14:textId="77777777"/>
    <w:p w:rsidR="00FE30A9" w:rsidRPr="00F821BC" w:rsidP="00FE30A9" w14:paraId="2666CE69" w14:textId="77777777">
      <w:r w:rsidRPr="00F821BC">
        <w:t xml:space="preserve">The purpose of this survey is to systematically gather views from </w:t>
      </w:r>
      <w:r w:rsidRPr="00F821BC">
        <w:t>a number of</w:t>
      </w:r>
      <w:r w:rsidRPr="00F821BC">
        <w:t xml:space="preserve"> </w:t>
      </w:r>
      <w:r>
        <w:t>depository institutions</w:t>
      </w:r>
      <w:r w:rsidRPr="00F821BC">
        <w:t xml:space="preserve"> </w:t>
      </w:r>
      <w:r>
        <w:t xml:space="preserve">(DIs) </w:t>
      </w:r>
      <w:r w:rsidRPr="00F821BC">
        <w:t xml:space="preserve">concerning their individual </w:t>
      </w:r>
      <w:r w:rsidRPr="00C87787">
        <w:t>DI’s</w:t>
      </w:r>
      <w:r w:rsidRPr="00F821BC">
        <w:t xml:space="preserve"> balance sheet and reserve management behavior. This information, along with other data, will provide useful information for the Federal Reserve in monitoring and interpreting developments in financial markets and the banking system as the level of reserve balances in the banking system changes.</w:t>
      </w:r>
      <w:r w:rsidRPr="006E5FDE">
        <w:t xml:space="preserve"> </w:t>
      </w:r>
      <w:r w:rsidRPr="00F821BC">
        <w:t>The Federal Reserve System regards the information provided by each respondent as confidential. A summary of aggregated survey results will be published.</w:t>
      </w:r>
    </w:p>
    <w:p w:rsidR="00FE30A9" w:rsidP="00FE30A9" w14:paraId="7949BEC8" w14:textId="77777777">
      <w:pPr>
        <w:rPr>
          <w:b/>
          <w:bCs/>
        </w:rPr>
      </w:pPr>
    </w:p>
    <w:p w:rsidR="00FE30A9" w:rsidRPr="00F821BC" w:rsidP="00FE30A9" w14:paraId="510966E3" w14:textId="357F8CCF">
      <w:r w:rsidRPr="00E22B59">
        <w:rPr>
          <w:b/>
          <w:bCs/>
        </w:rPr>
        <w:t xml:space="preserve">Please respond by </w:t>
      </w:r>
      <w:r w:rsidRPr="00FE30A9">
        <w:rPr>
          <w:b/>
          <w:bCs/>
        </w:rPr>
        <w:t>March 31, 2025</w:t>
      </w:r>
      <w:r w:rsidRPr="00F821BC">
        <w:t>, to the questions below. Your voluntary cooperation in submitting this report is needed to make the results comprehensive, accurate, and timely. All answers will be used solely for analytical, not supervisory, purposes. Your time and input are greatly appreciated.</w:t>
      </w:r>
    </w:p>
    <w:p w:rsidR="00FE30A9" w:rsidRPr="00F821BC" w:rsidP="00FE30A9" w14:paraId="70BCFD03" w14:textId="77777777"/>
    <w:p w:rsidR="00FE30A9" w:rsidRPr="00F821BC" w:rsidP="00FE30A9" w14:paraId="1D43412C" w14:textId="77777777"/>
    <w:p w:rsidR="00FE30A9" w:rsidRPr="008B6BDF" w:rsidP="00FE30A9" w14:paraId="3827E9CF" w14:textId="77777777">
      <w:pPr>
        <w:keepNext/>
        <w:keepLines/>
        <w:spacing w:before="160" w:after="80"/>
        <w:outlineLvl w:val="1"/>
        <w:rPr>
          <w:rFonts w:asciiTheme="majorHAnsi" w:eastAsiaTheme="majorEastAsia" w:hAnsiTheme="majorHAnsi" w:cstheme="majorBidi"/>
          <w:color w:val="2E74B5" w:themeColor="accent1" w:themeShade="BF"/>
          <w:sz w:val="40"/>
          <w:szCs w:val="40"/>
        </w:rPr>
      </w:pPr>
      <w:r w:rsidRPr="008B6BDF">
        <w:rPr>
          <w:rFonts w:eastAsiaTheme="majorEastAsia"/>
          <w:b/>
          <w:color w:val="2E74B5" w:themeColor="accent1" w:themeShade="BF"/>
          <w:sz w:val="28"/>
          <w:szCs w:val="28"/>
        </w:rPr>
        <w:t>Disclaimer</w:t>
      </w:r>
    </w:p>
    <w:p w:rsidR="00FE30A9" w:rsidRPr="00F821BC" w:rsidP="00FE30A9" w14:paraId="6E418635" w14:textId="77777777">
      <w:pPr>
        <w:rPr>
          <w:rFonts w:asciiTheme="majorHAnsi" w:eastAsiaTheme="majorEastAsia" w:hAnsiTheme="majorHAnsi" w:cstheme="majorBidi"/>
          <w:color w:val="2E74B5" w:themeColor="accent1" w:themeShade="BF"/>
          <w:sz w:val="32"/>
          <w:szCs w:val="32"/>
        </w:rPr>
      </w:pPr>
      <w:r w:rsidRPr="007313EF">
        <w:t>This survey is authorized under sections 2A, 12A, and 11 of the Federal Reserve Act (12 U.S.C. 225(a), 263, and 248(a)).  The Federal Reserve may not conduct or sponsor, and an organization (or a person) is not required to respond to, a collection of information unless it displays a currently valid OMB control number.</w:t>
      </w:r>
    </w:p>
    <w:p w:rsidR="00FE30A9" w:rsidRPr="00F821BC" w:rsidP="00FE30A9" w14:paraId="62C6A18D" w14:textId="77777777">
      <w:pPr>
        <w:rPr>
          <w:rFonts w:cstheme="minorHAnsi"/>
        </w:rPr>
      </w:pPr>
    </w:p>
    <w:p w:rsidR="00FE30A9" w:rsidP="00FE30A9" w14:paraId="793099A0" w14:textId="77777777">
      <w:r w:rsidRPr="007313EF">
        <w:t xml:space="preserve">The public reporting burden for this information collection is estimated to </w:t>
      </w:r>
      <w:r w:rsidRPr="00FE30A9">
        <w:t>average two hours and fifteen minutes per response, including time to gather and maintain data in the required</w:t>
      </w:r>
      <w:r w:rsidRPr="007313EF">
        <w:t xml:space="preserve"> form and to review instructions and complete the information collection. Comments regarding this burden estimate or any other aspect of this information collection, including suggestions for reducing the burden, may be sent to Secretary, Board of Governors of the Federal Reserve System, 20th and C Streets, NW, Washington, DC 20551, and to the Office of Management and Budget, Paperwork Reduction Project (7100-0223), Washington, DC 20503.</w:t>
      </w:r>
    </w:p>
    <w:p w:rsidR="00FE30A9" w:rsidRPr="007617CD" w:rsidP="00FE30A9" w14:paraId="5882958C" w14:textId="77777777">
      <w:pPr>
        <w:rPr>
          <w:rFonts w:asciiTheme="majorHAnsi" w:eastAsiaTheme="majorEastAsia" w:hAnsiTheme="majorHAnsi" w:cstheme="majorBidi"/>
          <w:color w:val="2E74B5" w:themeColor="accent1" w:themeShade="BF"/>
          <w:sz w:val="32"/>
          <w:szCs w:val="32"/>
        </w:rPr>
      </w:pPr>
    </w:p>
    <w:p w:rsidR="00FE30A9" w:rsidP="00FE30A9" w14:paraId="24AFF09B" w14:textId="77777777">
      <w:pPr>
        <w:rPr>
          <w:rFonts w:asciiTheme="majorHAnsi" w:eastAsiaTheme="majorEastAsia" w:hAnsiTheme="majorHAnsi" w:cstheme="majorBidi"/>
          <w:b/>
          <w:bCs/>
          <w:color w:val="2E74B5" w:themeColor="accent1" w:themeShade="BF"/>
          <w:sz w:val="32"/>
          <w:szCs w:val="32"/>
        </w:rPr>
      </w:pPr>
      <w:r>
        <w:rPr>
          <w:rFonts w:asciiTheme="majorHAnsi" w:eastAsiaTheme="majorEastAsia" w:hAnsiTheme="majorHAnsi" w:cstheme="majorBidi"/>
          <w:b/>
          <w:bCs/>
          <w:color w:val="2E74B5" w:themeColor="accent1" w:themeShade="BF"/>
          <w:sz w:val="32"/>
          <w:szCs w:val="32"/>
        </w:rPr>
        <w:br w:type="page"/>
      </w:r>
    </w:p>
    <w:p w:rsidR="00FE30A9" w:rsidRPr="00A04F56" w:rsidP="00FE30A9" w14:paraId="0CAE2E7F" w14:textId="77777777">
      <w:pPr>
        <w:keepNext/>
        <w:keepLines/>
        <w:spacing w:after="80"/>
        <w:outlineLvl w:val="1"/>
        <w:rPr>
          <w:rFonts w:asciiTheme="majorHAnsi" w:eastAsiaTheme="majorEastAsia" w:hAnsiTheme="majorHAnsi" w:cstheme="majorBidi"/>
          <w:b/>
          <w:color w:val="2E74B5" w:themeColor="accent1" w:themeShade="BF"/>
          <w:sz w:val="32"/>
          <w:szCs w:val="32"/>
        </w:rPr>
      </w:pPr>
      <w:r w:rsidRPr="00F821BC">
        <w:rPr>
          <w:rFonts w:asciiTheme="majorHAnsi" w:eastAsiaTheme="majorEastAsia" w:hAnsiTheme="majorHAnsi" w:cstheme="majorBidi"/>
          <w:b/>
          <w:bCs/>
          <w:color w:val="2E74B5" w:themeColor="accent1" w:themeShade="BF"/>
          <w:sz w:val="32"/>
          <w:szCs w:val="32"/>
        </w:rPr>
        <w:t>Part 1:  Balance Sheet Management</w:t>
      </w:r>
      <w:bookmarkEnd w:id="0"/>
    </w:p>
    <w:p w:rsidR="00FE30A9" w:rsidRPr="00F821BC" w:rsidP="00FE30A9" w14:paraId="113A7CDB" w14:textId="25952277">
      <w:bookmarkStart w:id="1" w:name="OLE_LINK33"/>
      <w:r w:rsidRPr="00F821BC">
        <w:t>Questions in Part 1 ask about your</w:t>
      </w:r>
      <w:r>
        <w:t xml:space="preserve"> </w:t>
      </w:r>
      <w:r w:rsidRPr="00FE30A9">
        <w:t>institution’s  expectations for balance sheet management over the next six months.</w:t>
      </w:r>
      <w:r>
        <w:rPr>
          <w:vertAlign w:val="superscript"/>
        </w:rPr>
        <w:footnoteReference w:id="3"/>
      </w:r>
      <w:r w:rsidRPr="00FE30A9">
        <w:t xml:space="preserve">  </w:t>
      </w:r>
      <w:bookmarkStart w:id="2" w:name="OLE_LINK20"/>
      <w:r w:rsidRPr="00FE30A9">
        <w:t>For context, the results of the January 2025</w:t>
      </w:r>
      <w:r w:rsidRPr="00F821BC">
        <w:t xml:space="preserve"> Survey of </w:t>
      </w:r>
      <w:r>
        <w:t>Market Participants</w:t>
      </w:r>
      <w:r w:rsidRPr="00F821BC">
        <w:t xml:space="preserve"> showed cumulative median dealer expectations for the size of the Federal Reserve’s holdings of U.S. Treasury securities and agency mortgage-backed securities (MBS) to decrease by </w:t>
      </w:r>
      <w:r w:rsidRPr="00D500A2">
        <w:t>approximately $</w:t>
      </w:r>
      <w:r w:rsidRPr="00D500A2" w:rsidR="00D500A2">
        <w:t>120</w:t>
      </w:r>
      <w:r w:rsidRPr="00D500A2">
        <w:t xml:space="preserve"> billion</w:t>
      </w:r>
      <w:r w:rsidRPr="00F821BC">
        <w:t xml:space="preserve"> from the end of </w:t>
      </w:r>
      <w:r>
        <w:t>March 2025</w:t>
      </w:r>
      <w:r w:rsidRPr="00F821BC">
        <w:t xml:space="preserve"> through the end of </w:t>
      </w:r>
      <w:r w:rsidRPr="007F5403">
        <w:t>September 2025</w:t>
      </w:r>
      <w:r w:rsidRPr="00F821BC">
        <w:t>.</w:t>
      </w:r>
      <w:r>
        <w:rPr>
          <w:vertAlign w:val="superscript"/>
        </w:rPr>
        <w:footnoteReference w:id="4"/>
      </w:r>
      <w:r w:rsidRPr="00F821BC">
        <w:t xml:space="preserve">  </w:t>
      </w:r>
      <w:bookmarkEnd w:id="1"/>
      <w:bookmarkEnd w:id="2"/>
      <w:r w:rsidRPr="00F821BC">
        <w:t>These projections would be consistent with a similar decline in the amount of Federal Reserve liabilities, including, but not limited to, reserve balances in the banking system and overnight reverse repurchase agreement (repo) balances.</w:t>
      </w:r>
    </w:p>
    <w:p w:rsidR="00FE30A9" w:rsidP="00FE30A9" w14:paraId="0BD49250" w14:textId="77777777"/>
    <w:p w:rsidR="00FE30A9" w:rsidP="00FE30A9" w14:paraId="74FDB5BD" w14:textId="77777777">
      <w:pPr>
        <w:pStyle w:val="ListParagraph"/>
        <w:numPr>
          <w:ilvl w:val="0"/>
          <w:numId w:val="21"/>
        </w:numPr>
        <w:spacing w:after="20" w:line="259" w:lineRule="auto"/>
        <w:contextualSpacing w:val="0"/>
      </w:pPr>
      <w:r>
        <w:t>Looking ahead over the next six months, which statement best characterizes your institution’s expectations for the size of its balance sheet?  My institution expects the size of its balance sheet to: (select one)</w:t>
      </w:r>
    </w:p>
    <w:p w:rsidR="00FE30A9" w:rsidP="00FE30A9" w14:paraId="44321A15" w14:textId="77777777">
      <w:pPr>
        <w:pStyle w:val="ListParagraph"/>
        <w:numPr>
          <w:ilvl w:val="1"/>
          <w:numId w:val="25"/>
        </w:numPr>
        <w:spacing w:after="20" w:line="259" w:lineRule="auto"/>
        <w:contextualSpacing w:val="0"/>
      </w:pPr>
      <w:r>
        <w:t>increase</w:t>
      </w:r>
    </w:p>
    <w:p w:rsidR="00FE30A9" w:rsidP="00FE30A9" w14:paraId="511F6C5F" w14:textId="77777777">
      <w:pPr>
        <w:pStyle w:val="ListParagraph"/>
        <w:numPr>
          <w:ilvl w:val="1"/>
          <w:numId w:val="25"/>
        </w:numPr>
        <w:spacing w:after="20" w:line="259" w:lineRule="auto"/>
        <w:contextualSpacing w:val="0"/>
      </w:pPr>
      <w:r>
        <w:t>remain roughly unchanged (plus or minus 2 percent)</w:t>
      </w:r>
    </w:p>
    <w:p w:rsidR="00FE30A9" w:rsidP="00FE30A9" w14:paraId="3D8D630F" w14:textId="77777777">
      <w:pPr>
        <w:pStyle w:val="ListParagraph"/>
        <w:numPr>
          <w:ilvl w:val="1"/>
          <w:numId w:val="25"/>
        </w:numPr>
        <w:spacing w:after="160" w:line="259" w:lineRule="auto"/>
      </w:pPr>
      <w:r>
        <w:t>decrease</w:t>
      </w:r>
    </w:p>
    <w:p w:rsidR="00FE30A9" w:rsidP="00FE30A9" w14:paraId="741E1B86" w14:textId="77777777">
      <w:pPr>
        <w:pStyle w:val="ListParagraph"/>
      </w:pPr>
    </w:p>
    <w:p w:rsidR="00FE30A9" w:rsidP="00FE30A9" w14:paraId="4212E528" w14:textId="77777777">
      <w:pPr>
        <w:pStyle w:val="ListParagraph"/>
        <w:numPr>
          <w:ilvl w:val="0"/>
          <w:numId w:val="21"/>
        </w:numPr>
        <w:spacing w:after="20" w:line="259" w:lineRule="auto"/>
        <w:ind w:right="-180"/>
        <w:contextualSpacing w:val="0"/>
      </w:pPr>
      <w:r>
        <w:t>Looking ahead over the next six months, which statement best characterizes your institution’s most likely strategy regarding its balance sheet?  My institution expects: (select one)</w:t>
      </w:r>
    </w:p>
    <w:p w:rsidR="00FE30A9" w:rsidP="00FE30A9" w14:paraId="69EE0493" w14:textId="77777777">
      <w:pPr>
        <w:pStyle w:val="ListParagraph"/>
        <w:numPr>
          <w:ilvl w:val="1"/>
          <w:numId w:val="26"/>
        </w:numPr>
        <w:spacing w:after="20" w:line="259" w:lineRule="auto"/>
        <w:ind w:left="1350" w:right="-180" w:hanging="270"/>
        <w:contextualSpacing w:val="0"/>
      </w:pPr>
      <w:r>
        <w:t>to take actions intended to decrease, or limit the growth in, the size of its balance sheet</w:t>
      </w:r>
    </w:p>
    <w:p w:rsidR="00FE30A9" w:rsidP="00FE30A9" w14:paraId="6B325B75" w14:textId="77777777">
      <w:pPr>
        <w:pStyle w:val="ListParagraph"/>
        <w:numPr>
          <w:ilvl w:val="1"/>
          <w:numId w:val="26"/>
        </w:numPr>
        <w:spacing w:after="20" w:line="259" w:lineRule="auto"/>
        <w:ind w:left="1350" w:right="-180" w:hanging="270"/>
        <w:contextualSpacing w:val="0"/>
      </w:pPr>
      <w:r>
        <w:t>to take actions intended to maintain the current size of its balance sheet</w:t>
      </w:r>
    </w:p>
    <w:p w:rsidR="00FE30A9" w:rsidP="00FE30A9" w14:paraId="05EB9277" w14:textId="77777777">
      <w:pPr>
        <w:pStyle w:val="ListParagraph"/>
        <w:numPr>
          <w:ilvl w:val="1"/>
          <w:numId w:val="26"/>
        </w:numPr>
        <w:spacing w:after="20" w:line="259" w:lineRule="auto"/>
        <w:ind w:left="1350" w:right="-180" w:hanging="270"/>
        <w:contextualSpacing w:val="0"/>
      </w:pPr>
      <w:r>
        <w:t>to take actions intended to increase, or limit the decline in, the size of its balance sheet</w:t>
      </w:r>
    </w:p>
    <w:p w:rsidR="00FE30A9" w:rsidP="00FE30A9" w14:paraId="395E958E" w14:textId="77777777">
      <w:pPr>
        <w:pStyle w:val="ListParagraph"/>
        <w:numPr>
          <w:ilvl w:val="1"/>
          <w:numId w:val="26"/>
        </w:numPr>
        <w:spacing w:line="259" w:lineRule="auto"/>
        <w:ind w:left="1354" w:right="-187" w:hanging="274"/>
        <w:contextualSpacing w:val="0"/>
      </w:pPr>
      <w:r>
        <w:t>not to take actions to affect the size of its balance sheet</w:t>
      </w:r>
    </w:p>
    <w:p w:rsidR="00FE30A9" w:rsidP="00FE30A9" w14:paraId="7C9C3682" w14:textId="77777777">
      <w:pPr>
        <w:pStyle w:val="ListParagraph"/>
        <w:ind w:left="1440"/>
      </w:pPr>
    </w:p>
    <w:p w:rsidR="00FE30A9" w:rsidRPr="003C0878" w:rsidP="00FE30A9" w14:paraId="0FE415D6" w14:textId="77777777">
      <w:pPr>
        <w:pStyle w:val="ListParagraph"/>
        <w:numPr>
          <w:ilvl w:val="0"/>
          <w:numId w:val="21"/>
        </w:numPr>
        <w:spacing w:after="120" w:line="259" w:lineRule="auto"/>
        <w:contextualSpacing w:val="0"/>
      </w:pPr>
      <w:r w:rsidRPr="003C0878">
        <w:t xml:space="preserve">This question asks about changes to the projected </w:t>
      </w:r>
      <w:r w:rsidRPr="003C0878">
        <w:rPr>
          <w:b/>
          <w:bCs/>
        </w:rPr>
        <w:t>level</w:t>
      </w:r>
      <w:r w:rsidRPr="003C0878">
        <w:t xml:space="preserve"> of different liabilities on your institution’s balance sheet. For each of the liability categories listed, please indicate your institution’s expectation about the potential change in the average level in March 2025 compared with the average level in September 2025 in the context of your previous responses.  My institution expects the level will: (select one; if your institution does not have the liability type, and does not intend to over the next six months, please select </w:t>
      </w:r>
      <w:r>
        <w:t>“</w:t>
      </w:r>
      <w:r w:rsidRPr="003C0878">
        <w:t>remain roughly unchanged</w:t>
      </w:r>
      <w:r>
        <w:t>”</w:t>
      </w:r>
      <w:r w:rsidRPr="003C0878">
        <w:t xml:space="preserve">)  </w:t>
      </w:r>
    </w:p>
    <w:p w:rsidR="00FE30A9" w:rsidP="00FE30A9" w14:paraId="3C2668EA" w14:textId="77777777">
      <w:pPr>
        <w:pStyle w:val="ListParagraph"/>
        <w:numPr>
          <w:ilvl w:val="1"/>
          <w:numId w:val="21"/>
        </w:numPr>
        <w:spacing w:after="20" w:line="259" w:lineRule="auto"/>
        <w:contextualSpacing w:val="0"/>
      </w:pPr>
      <w:r>
        <w:t>decrease more than 5 percent</w:t>
      </w:r>
    </w:p>
    <w:p w:rsidR="00FE30A9" w:rsidP="00FE30A9" w14:paraId="2893BF5D" w14:textId="77777777">
      <w:pPr>
        <w:pStyle w:val="ListParagraph"/>
        <w:numPr>
          <w:ilvl w:val="1"/>
          <w:numId w:val="21"/>
        </w:numPr>
        <w:spacing w:after="20" w:line="259" w:lineRule="auto"/>
        <w:contextualSpacing w:val="0"/>
      </w:pPr>
      <w:r>
        <w:t>decrease more than 2 percent and less than or equal to 5 percent</w:t>
      </w:r>
    </w:p>
    <w:p w:rsidR="00FE30A9" w:rsidP="00FE30A9" w14:paraId="47210AE8" w14:textId="77777777">
      <w:pPr>
        <w:pStyle w:val="ListParagraph"/>
        <w:numPr>
          <w:ilvl w:val="1"/>
          <w:numId w:val="21"/>
        </w:numPr>
        <w:spacing w:after="20" w:line="259" w:lineRule="auto"/>
        <w:contextualSpacing w:val="0"/>
      </w:pPr>
      <w:r>
        <w:t>remain roughly unchanged (plus or minus 2 percent)</w:t>
      </w:r>
    </w:p>
    <w:p w:rsidR="00FE30A9" w:rsidP="00FE30A9" w14:paraId="59AC41FE" w14:textId="77777777">
      <w:pPr>
        <w:pStyle w:val="ListParagraph"/>
        <w:numPr>
          <w:ilvl w:val="1"/>
          <w:numId w:val="21"/>
        </w:numPr>
        <w:spacing w:after="20" w:line="259" w:lineRule="auto"/>
        <w:contextualSpacing w:val="0"/>
      </w:pPr>
      <w:r>
        <w:t>increase more than 2 percent and less than or equal to 5 percent</w:t>
      </w:r>
    </w:p>
    <w:p w:rsidR="00FE30A9" w:rsidP="00FE30A9" w14:paraId="406C93B3" w14:textId="77777777">
      <w:pPr>
        <w:pStyle w:val="ListParagraph"/>
        <w:numPr>
          <w:ilvl w:val="1"/>
          <w:numId w:val="21"/>
        </w:numPr>
        <w:spacing w:after="160" w:line="259" w:lineRule="auto"/>
      </w:pPr>
      <w:r>
        <w:t>increase more than 5 percent</w:t>
      </w:r>
    </w:p>
    <w:tbl>
      <w:tblPr>
        <w:tblW w:w="10080" w:type="dxa"/>
        <w:tblInd w:w="-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BFBFBF" w:themeColor="background1" w:themeShade="BF"/>
          <w:insideV w:val="dotted" w:sz="4" w:space="0" w:color="000000" w:themeColor="text1"/>
        </w:tblBorders>
        <w:tblLayout w:type="fixed"/>
        <w:tblLook w:val="04A0"/>
      </w:tblPr>
      <w:tblGrid>
        <w:gridCol w:w="8550"/>
        <w:gridCol w:w="1530"/>
      </w:tblGrid>
      <w:tr w14:paraId="44D6293B" w14:textId="77777777" w:rsidTr="00C16292">
        <w:tblPrEx>
          <w:tblW w:w="10080" w:type="dxa"/>
          <w:tblInd w:w="-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BFBFBF" w:themeColor="background1" w:themeShade="BF"/>
            <w:insideV w:val="dotted" w:sz="4" w:space="0" w:color="000000" w:themeColor="text1"/>
          </w:tblBorders>
          <w:tblLayout w:type="fixed"/>
          <w:tblLook w:val="04A0"/>
        </w:tblPrEx>
        <w:trPr>
          <w:trHeight w:val="593"/>
          <w:tblHeader/>
        </w:trPr>
        <w:tc>
          <w:tcPr>
            <w:tcW w:w="8550" w:type="dxa"/>
            <w:shd w:val="clear" w:color="auto" w:fill="DDEBF7"/>
            <w:vAlign w:val="center"/>
            <w:hideMark/>
          </w:tcPr>
          <w:p w:rsidR="00FE30A9" w:rsidRPr="00F821BC" w:rsidP="00C16292" w14:paraId="206B1F7C" w14:textId="77777777">
            <w:pPr>
              <w:keepNext/>
              <w:keepLines/>
              <w:rPr>
                <w:rFonts w:ascii="Calibri" w:eastAsia="Times New Roman" w:hAnsi="Calibri" w:cs="Times New Roman"/>
                <w:b/>
                <w:bCs/>
                <w:color w:val="000000" w:themeColor="text1"/>
              </w:rPr>
            </w:pPr>
            <w:bookmarkStart w:id="6" w:name="OLE_LINK53"/>
            <w:r w:rsidRPr="00F821BC">
              <w:rPr>
                <w:rFonts w:ascii="Calibri" w:eastAsia="Times New Roman" w:hAnsi="Calibri" w:cs="Times New Roman"/>
                <w:b/>
                <w:bCs/>
                <w:color w:val="000000" w:themeColor="text1"/>
              </w:rPr>
              <w:t>Liability</w:t>
            </w:r>
            <w:r w:rsidRPr="00F821BC">
              <w:t xml:space="preserve"> </w:t>
            </w:r>
            <w:r w:rsidRPr="00F821BC">
              <w:rPr>
                <w:rFonts w:ascii="Calibri" w:eastAsia="Times New Roman" w:hAnsi="Calibri" w:cs="Times New Roman"/>
                <w:b/>
                <w:bCs/>
                <w:color w:val="000000" w:themeColor="text1"/>
              </w:rPr>
              <w:t xml:space="preserve"> </w:t>
            </w:r>
          </w:p>
        </w:tc>
        <w:tc>
          <w:tcPr>
            <w:tcW w:w="1530" w:type="dxa"/>
            <w:shd w:val="clear" w:color="auto" w:fill="DDEBF7"/>
          </w:tcPr>
          <w:p w:rsidR="00FE30A9" w:rsidRPr="00F821BC" w:rsidP="00C16292" w14:paraId="48A38946" w14:textId="77777777">
            <w:pPr>
              <w:jc w:val="center"/>
              <w:rPr>
                <w:rFonts w:ascii="Calibri" w:eastAsia="Times New Roman" w:hAnsi="Calibri" w:cs="Times New Roman"/>
                <w:b/>
                <w:bCs/>
                <w:color w:val="000000" w:themeColor="text1"/>
                <w:sz w:val="20"/>
                <w:szCs w:val="20"/>
              </w:rPr>
            </w:pPr>
            <w:r w:rsidRPr="00F821BC">
              <w:rPr>
                <w:rFonts w:ascii="Calibri" w:eastAsia="Times New Roman" w:hAnsi="Calibri" w:cs="Times New Roman"/>
                <w:b/>
                <w:bCs/>
                <w:color w:val="000000" w:themeColor="text1"/>
                <w:sz w:val="20"/>
                <w:szCs w:val="20"/>
              </w:rPr>
              <w:t>Expected change in level</w:t>
            </w:r>
          </w:p>
        </w:tc>
      </w:tr>
      <w:tr w14:paraId="37E2E407" w14:textId="77777777" w:rsidTr="00C16292">
        <w:tblPrEx>
          <w:tblW w:w="10080" w:type="dxa"/>
          <w:tblInd w:w="-185" w:type="dxa"/>
          <w:tblLayout w:type="fixed"/>
          <w:tblLook w:val="04A0"/>
        </w:tblPrEx>
        <w:trPr>
          <w:trHeight w:val="288"/>
        </w:trPr>
        <w:tc>
          <w:tcPr>
            <w:tcW w:w="8550" w:type="dxa"/>
            <w:shd w:val="clear" w:color="auto" w:fill="FFFFFF" w:themeFill="background1"/>
            <w:noWrap/>
            <w:hideMark/>
          </w:tcPr>
          <w:p w:rsidR="00FE30A9" w:rsidRPr="00F821BC" w:rsidP="00FE30A9" w14:paraId="66F89E5D" w14:textId="77777777">
            <w:pPr>
              <w:keepNext/>
              <w:keepLines/>
              <w:numPr>
                <w:ilvl w:val="0"/>
                <w:numId w:val="22"/>
              </w:numPr>
              <w:spacing w:after="60"/>
              <w:ind w:left="620" w:hanging="274"/>
              <w:rPr>
                <w:rFonts w:ascii="Calibri" w:eastAsia="Times New Roman" w:hAnsi="Calibri" w:cs="Times New Roman"/>
                <w:color w:val="000000" w:themeColor="text1"/>
              </w:rPr>
            </w:pPr>
            <w:r w:rsidRPr="00F821BC">
              <w:t xml:space="preserve">Retail deposits </w:t>
            </w:r>
          </w:p>
        </w:tc>
        <w:tc>
          <w:tcPr>
            <w:tcW w:w="1530" w:type="dxa"/>
            <w:shd w:val="clear" w:color="auto" w:fill="FFFFFF" w:themeFill="background1"/>
          </w:tcPr>
          <w:p w:rsidR="00FE30A9" w:rsidRPr="00F821BC" w:rsidP="00C16292" w14:paraId="6AE03F22" w14:textId="77777777">
            <w:pPr>
              <w:rPr>
                <w:rFonts w:ascii="Calibri" w:eastAsia="Times New Roman" w:hAnsi="Calibri" w:cs="Times New Roman"/>
                <w:color w:val="000000"/>
              </w:rPr>
            </w:pPr>
          </w:p>
        </w:tc>
      </w:tr>
      <w:tr w14:paraId="22D91F99" w14:textId="77777777" w:rsidTr="00C16292">
        <w:tblPrEx>
          <w:tblW w:w="10080" w:type="dxa"/>
          <w:tblInd w:w="-185" w:type="dxa"/>
          <w:tblLayout w:type="fixed"/>
          <w:tblLook w:val="04A0"/>
        </w:tblPrEx>
        <w:trPr>
          <w:trHeight w:val="288"/>
        </w:trPr>
        <w:tc>
          <w:tcPr>
            <w:tcW w:w="8550" w:type="dxa"/>
            <w:noWrap/>
            <w:hideMark/>
          </w:tcPr>
          <w:p w:rsidR="00FE30A9" w:rsidRPr="00F821BC" w:rsidP="00FE30A9" w14:paraId="1652B0F2" w14:textId="77777777">
            <w:pPr>
              <w:keepNext/>
              <w:keepLines/>
              <w:numPr>
                <w:ilvl w:val="0"/>
                <w:numId w:val="22"/>
              </w:numPr>
              <w:spacing w:after="60"/>
              <w:ind w:left="620" w:hanging="274"/>
              <w:rPr>
                <w:rFonts w:ascii="Calibri" w:eastAsia="Times New Roman" w:hAnsi="Calibri" w:cs="Times New Roman"/>
                <w:color w:val="000000" w:themeColor="text1"/>
              </w:rPr>
            </w:pPr>
            <w:r w:rsidRPr="00F821BC">
              <w:t>Wholesale operational deposits</w:t>
            </w:r>
          </w:p>
        </w:tc>
        <w:tc>
          <w:tcPr>
            <w:tcW w:w="1530" w:type="dxa"/>
          </w:tcPr>
          <w:p w:rsidR="00FE30A9" w:rsidRPr="00F821BC" w:rsidP="00C16292" w14:paraId="7D5AE391" w14:textId="77777777">
            <w:pPr>
              <w:rPr>
                <w:rFonts w:ascii="Calibri" w:eastAsia="Times New Roman" w:hAnsi="Calibri" w:cs="Times New Roman"/>
                <w:color w:val="000000"/>
              </w:rPr>
            </w:pPr>
          </w:p>
        </w:tc>
      </w:tr>
      <w:tr w14:paraId="255FF590" w14:textId="77777777" w:rsidTr="00C16292">
        <w:tblPrEx>
          <w:tblW w:w="10080" w:type="dxa"/>
          <w:tblInd w:w="-185" w:type="dxa"/>
          <w:tblLayout w:type="fixed"/>
          <w:tblLook w:val="04A0"/>
        </w:tblPrEx>
        <w:trPr>
          <w:trHeight w:val="288"/>
        </w:trPr>
        <w:tc>
          <w:tcPr>
            <w:tcW w:w="8550" w:type="dxa"/>
            <w:shd w:val="clear" w:color="auto" w:fill="FFFFFF" w:themeFill="background1"/>
            <w:noWrap/>
            <w:hideMark/>
          </w:tcPr>
          <w:p w:rsidR="00FE30A9" w:rsidRPr="00F821BC" w:rsidP="00FE30A9" w14:paraId="7E9DF609" w14:textId="77777777">
            <w:pPr>
              <w:keepNext/>
              <w:keepLines/>
              <w:numPr>
                <w:ilvl w:val="0"/>
                <w:numId w:val="22"/>
              </w:numPr>
              <w:spacing w:after="60"/>
              <w:ind w:left="620" w:hanging="274"/>
              <w:rPr>
                <w:rFonts w:ascii="Calibri" w:eastAsia="Times New Roman" w:hAnsi="Calibri"/>
                <w:color w:val="000000" w:themeColor="text1"/>
              </w:rPr>
            </w:pPr>
            <w:r w:rsidRPr="00F821BC">
              <w:t>Wholesale nonoperational deposits</w:t>
            </w:r>
          </w:p>
        </w:tc>
        <w:tc>
          <w:tcPr>
            <w:tcW w:w="1530" w:type="dxa"/>
            <w:shd w:val="clear" w:color="auto" w:fill="FFFFFF" w:themeFill="background1"/>
          </w:tcPr>
          <w:p w:rsidR="00FE30A9" w:rsidRPr="00F821BC" w:rsidP="00C16292" w14:paraId="0CF4C616" w14:textId="77777777">
            <w:pPr>
              <w:rPr>
                <w:rFonts w:ascii="Calibri" w:eastAsia="Times New Roman" w:hAnsi="Calibri" w:cs="Times New Roman"/>
                <w:color w:val="000000"/>
              </w:rPr>
            </w:pPr>
          </w:p>
        </w:tc>
      </w:tr>
      <w:tr w14:paraId="40AC74EB" w14:textId="77777777" w:rsidTr="00C16292">
        <w:tblPrEx>
          <w:tblW w:w="10080" w:type="dxa"/>
          <w:tblInd w:w="-185" w:type="dxa"/>
          <w:tblLayout w:type="fixed"/>
          <w:tblLook w:val="04A0"/>
        </w:tblPrEx>
        <w:trPr>
          <w:trHeight w:val="288"/>
        </w:trPr>
        <w:tc>
          <w:tcPr>
            <w:tcW w:w="8550" w:type="dxa"/>
            <w:shd w:val="clear" w:color="auto" w:fill="FFFFFF" w:themeFill="background1"/>
            <w:noWrap/>
          </w:tcPr>
          <w:p w:rsidR="00FE30A9" w:rsidRPr="0055303B" w:rsidP="00FE30A9" w14:paraId="6D5C584C" w14:textId="77777777">
            <w:pPr>
              <w:keepNext/>
              <w:keepLines/>
              <w:numPr>
                <w:ilvl w:val="0"/>
                <w:numId w:val="22"/>
              </w:numPr>
              <w:spacing w:after="60"/>
              <w:ind w:left="620" w:hanging="274"/>
            </w:pPr>
            <w:r w:rsidRPr="0055303B">
              <w:t>Deposits in reciprocal deposit placement networks</w:t>
            </w:r>
          </w:p>
        </w:tc>
        <w:tc>
          <w:tcPr>
            <w:tcW w:w="1530" w:type="dxa"/>
            <w:shd w:val="clear" w:color="auto" w:fill="FFFFFF" w:themeFill="background1"/>
          </w:tcPr>
          <w:p w:rsidR="00FE30A9" w:rsidRPr="00F821BC" w:rsidP="00C16292" w14:paraId="0AB4444A" w14:textId="77777777">
            <w:pPr>
              <w:rPr>
                <w:rFonts w:ascii="Calibri" w:eastAsia="Times New Roman" w:hAnsi="Calibri" w:cs="Times New Roman"/>
                <w:color w:val="000000"/>
              </w:rPr>
            </w:pPr>
          </w:p>
        </w:tc>
      </w:tr>
      <w:tr w14:paraId="328819D9" w14:textId="77777777" w:rsidTr="00C16292">
        <w:tblPrEx>
          <w:tblW w:w="10080" w:type="dxa"/>
          <w:tblInd w:w="-185" w:type="dxa"/>
          <w:tblLayout w:type="fixed"/>
          <w:tblLook w:val="04A0"/>
        </w:tblPrEx>
        <w:trPr>
          <w:trHeight w:val="288"/>
        </w:trPr>
        <w:tc>
          <w:tcPr>
            <w:tcW w:w="8550" w:type="dxa"/>
            <w:shd w:val="clear" w:color="auto" w:fill="FFFFFF" w:themeFill="background1"/>
            <w:noWrap/>
          </w:tcPr>
          <w:p w:rsidR="00FE30A9" w:rsidRPr="00F821BC" w:rsidP="00FE30A9" w14:paraId="330E3164" w14:textId="77777777">
            <w:pPr>
              <w:keepNext/>
              <w:keepLines/>
              <w:numPr>
                <w:ilvl w:val="0"/>
                <w:numId w:val="22"/>
              </w:numPr>
              <w:spacing w:after="60"/>
              <w:ind w:left="620" w:hanging="274"/>
            </w:pPr>
            <w:r w:rsidRPr="00F821BC">
              <w:t xml:space="preserve">Federal Home Loan Bank advances </w:t>
            </w:r>
          </w:p>
        </w:tc>
        <w:tc>
          <w:tcPr>
            <w:tcW w:w="1530" w:type="dxa"/>
            <w:shd w:val="clear" w:color="auto" w:fill="FFFFFF" w:themeFill="background1"/>
          </w:tcPr>
          <w:p w:rsidR="00FE30A9" w:rsidRPr="00F821BC" w:rsidP="00C16292" w14:paraId="428990E3" w14:textId="77777777">
            <w:pPr>
              <w:rPr>
                <w:rFonts w:ascii="Calibri" w:eastAsia="Times New Roman" w:hAnsi="Calibri" w:cs="Times New Roman"/>
                <w:color w:val="000000"/>
              </w:rPr>
            </w:pPr>
          </w:p>
        </w:tc>
      </w:tr>
      <w:tr w14:paraId="04EB8BC6" w14:textId="77777777" w:rsidTr="00C16292">
        <w:tblPrEx>
          <w:tblW w:w="10080" w:type="dxa"/>
          <w:tblInd w:w="-185" w:type="dxa"/>
          <w:tblLayout w:type="fixed"/>
          <w:tblLook w:val="04A0"/>
        </w:tblPrEx>
        <w:trPr>
          <w:trHeight w:val="288"/>
        </w:trPr>
        <w:tc>
          <w:tcPr>
            <w:tcW w:w="8550" w:type="dxa"/>
            <w:shd w:val="clear" w:color="auto" w:fill="FFFFFF" w:themeFill="background1"/>
            <w:noWrap/>
            <w:hideMark/>
          </w:tcPr>
          <w:p w:rsidR="00FE30A9" w:rsidRPr="00F821BC" w:rsidP="00FE30A9" w14:paraId="2A547B51" w14:textId="77777777">
            <w:pPr>
              <w:keepNext/>
              <w:keepLines/>
              <w:numPr>
                <w:ilvl w:val="0"/>
                <w:numId w:val="22"/>
              </w:numPr>
              <w:spacing w:after="60"/>
              <w:ind w:left="620" w:hanging="274"/>
            </w:pPr>
            <w:r w:rsidRPr="00F821BC">
              <w:t>Overnight unsecured borrowings (for example, federal funds, Eurodollars, etc.)</w:t>
            </w:r>
          </w:p>
        </w:tc>
        <w:tc>
          <w:tcPr>
            <w:tcW w:w="1530" w:type="dxa"/>
            <w:shd w:val="clear" w:color="auto" w:fill="FFFFFF" w:themeFill="background1"/>
          </w:tcPr>
          <w:p w:rsidR="00FE30A9" w:rsidRPr="00F821BC" w:rsidP="00C16292" w14:paraId="060B91F8" w14:textId="77777777">
            <w:pPr>
              <w:rPr>
                <w:rFonts w:ascii="Calibri" w:eastAsia="Times New Roman" w:hAnsi="Calibri" w:cs="Times New Roman"/>
                <w:color w:val="000000"/>
              </w:rPr>
            </w:pPr>
          </w:p>
        </w:tc>
      </w:tr>
      <w:tr w14:paraId="362403B2" w14:textId="77777777" w:rsidTr="00C16292">
        <w:tblPrEx>
          <w:tblW w:w="10080" w:type="dxa"/>
          <w:tblInd w:w="-185" w:type="dxa"/>
          <w:tblLayout w:type="fixed"/>
          <w:tblLook w:val="04A0"/>
        </w:tblPrEx>
        <w:trPr>
          <w:trHeight w:val="288"/>
        </w:trPr>
        <w:tc>
          <w:tcPr>
            <w:tcW w:w="8550" w:type="dxa"/>
            <w:shd w:val="clear" w:color="auto" w:fill="FFFFFF" w:themeFill="background1"/>
            <w:noWrap/>
            <w:hideMark/>
          </w:tcPr>
          <w:p w:rsidR="00FE30A9" w:rsidRPr="00F821BC" w:rsidP="00FE30A9" w14:paraId="5B5DD2A4" w14:textId="77777777">
            <w:pPr>
              <w:keepNext/>
              <w:keepLines/>
              <w:numPr>
                <w:ilvl w:val="0"/>
                <w:numId w:val="22"/>
              </w:numPr>
              <w:spacing w:after="60"/>
              <w:ind w:left="620" w:hanging="274"/>
            </w:pPr>
            <w:r w:rsidRPr="00F821BC">
              <w:t>Commercial paper or institutional/negotiable certificates of deposit (CDs)</w:t>
            </w:r>
          </w:p>
        </w:tc>
        <w:tc>
          <w:tcPr>
            <w:tcW w:w="1530" w:type="dxa"/>
            <w:shd w:val="clear" w:color="auto" w:fill="FFFFFF" w:themeFill="background1"/>
          </w:tcPr>
          <w:p w:rsidR="00FE30A9" w:rsidRPr="00F821BC" w:rsidP="00C16292" w14:paraId="3966C1C2" w14:textId="77777777">
            <w:pPr>
              <w:rPr>
                <w:rFonts w:ascii="Calibri" w:eastAsia="Times New Roman" w:hAnsi="Calibri" w:cs="Times New Roman"/>
                <w:color w:val="000000"/>
              </w:rPr>
            </w:pPr>
          </w:p>
        </w:tc>
      </w:tr>
      <w:tr w14:paraId="0E9032FA" w14:textId="77777777" w:rsidTr="00C16292">
        <w:tblPrEx>
          <w:tblW w:w="10080" w:type="dxa"/>
          <w:tblInd w:w="-185" w:type="dxa"/>
          <w:tblLayout w:type="fixed"/>
          <w:tblLook w:val="04A0"/>
        </w:tblPrEx>
        <w:trPr>
          <w:trHeight w:val="288"/>
        </w:trPr>
        <w:tc>
          <w:tcPr>
            <w:tcW w:w="8550" w:type="dxa"/>
            <w:shd w:val="clear" w:color="auto" w:fill="FFFFFF" w:themeFill="background1"/>
            <w:noWrap/>
          </w:tcPr>
          <w:p w:rsidR="00FE30A9" w:rsidRPr="00F821BC" w:rsidP="00FE30A9" w14:paraId="1EAEA3CD" w14:textId="77777777">
            <w:pPr>
              <w:keepNext/>
              <w:keepLines/>
              <w:numPr>
                <w:ilvl w:val="0"/>
                <w:numId w:val="22"/>
              </w:numPr>
              <w:spacing w:after="60"/>
              <w:ind w:left="620" w:hanging="274"/>
            </w:pPr>
            <w:r w:rsidRPr="00F821BC">
              <w:t>Brokered retail deposits/brokered retail CDs</w:t>
            </w:r>
          </w:p>
        </w:tc>
        <w:tc>
          <w:tcPr>
            <w:tcW w:w="1530" w:type="dxa"/>
            <w:shd w:val="clear" w:color="auto" w:fill="FFFFFF" w:themeFill="background1"/>
          </w:tcPr>
          <w:p w:rsidR="00FE30A9" w:rsidRPr="00F821BC" w:rsidP="00C16292" w14:paraId="2CCEA4AC" w14:textId="77777777">
            <w:pPr>
              <w:rPr>
                <w:rFonts w:ascii="Calibri" w:eastAsia="Times New Roman" w:hAnsi="Calibri" w:cs="Times New Roman"/>
                <w:color w:val="000000"/>
              </w:rPr>
            </w:pPr>
          </w:p>
        </w:tc>
      </w:tr>
      <w:tr w14:paraId="10EA7593" w14:textId="77777777" w:rsidTr="00C16292">
        <w:tblPrEx>
          <w:tblW w:w="10080" w:type="dxa"/>
          <w:tblInd w:w="-185" w:type="dxa"/>
          <w:tblLayout w:type="fixed"/>
          <w:tblLook w:val="04A0"/>
        </w:tblPrEx>
        <w:trPr>
          <w:trHeight w:val="288"/>
        </w:trPr>
        <w:tc>
          <w:tcPr>
            <w:tcW w:w="8550" w:type="dxa"/>
            <w:shd w:val="clear" w:color="auto" w:fill="FFFFFF" w:themeFill="background1"/>
            <w:noWrap/>
            <w:hideMark/>
          </w:tcPr>
          <w:p w:rsidR="00FE30A9" w:rsidRPr="00F821BC" w:rsidP="00FE30A9" w14:paraId="4D006827" w14:textId="77777777">
            <w:pPr>
              <w:keepNext/>
              <w:keepLines/>
              <w:numPr>
                <w:ilvl w:val="0"/>
                <w:numId w:val="22"/>
              </w:numPr>
              <w:spacing w:after="60"/>
              <w:ind w:left="620" w:hanging="274"/>
            </w:pPr>
            <w:r w:rsidRPr="00F821BC">
              <w:t xml:space="preserve">Short-term repos </w:t>
            </w:r>
          </w:p>
        </w:tc>
        <w:tc>
          <w:tcPr>
            <w:tcW w:w="1530" w:type="dxa"/>
            <w:shd w:val="clear" w:color="auto" w:fill="FFFFFF" w:themeFill="background1"/>
          </w:tcPr>
          <w:p w:rsidR="00FE30A9" w:rsidRPr="00F821BC" w:rsidP="00C16292" w14:paraId="23A87703" w14:textId="77777777">
            <w:pPr>
              <w:rPr>
                <w:rFonts w:ascii="Calibri" w:eastAsia="Times New Roman" w:hAnsi="Calibri" w:cs="Times New Roman"/>
                <w:color w:val="000000"/>
              </w:rPr>
            </w:pPr>
          </w:p>
        </w:tc>
      </w:tr>
      <w:tr w14:paraId="6E151191" w14:textId="77777777" w:rsidTr="00C16292">
        <w:tblPrEx>
          <w:tblW w:w="10080" w:type="dxa"/>
          <w:tblInd w:w="-185" w:type="dxa"/>
          <w:tblLayout w:type="fixed"/>
          <w:tblLook w:val="04A0"/>
        </w:tblPrEx>
        <w:trPr>
          <w:trHeight w:val="288"/>
        </w:trPr>
        <w:tc>
          <w:tcPr>
            <w:tcW w:w="8550" w:type="dxa"/>
            <w:shd w:val="clear" w:color="auto" w:fill="FFFFFF" w:themeFill="background1"/>
            <w:noWrap/>
          </w:tcPr>
          <w:p w:rsidR="00FE30A9" w:rsidRPr="00F821BC" w:rsidP="00FE30A9" w14:paraId="0DAD46D2" w14:textId="77777777">
            <w:pPr>
              <w:keepNext/>
              <w:keepLines/>
              <w:numPr>
                <w:ilvl w:val="0"/>
                <w:numId w:val="22"/>
              </w:numPr>
              <w:spacing w:after="60"/>
              <w:ind w:left="620" w:hanging="274"/>
            </w:pPr>
            <w:r w:rsidRPr="00F821BC">
              <w:t xml:space="preserve">Fed facilities (discount window, </w:t>
            </w:r>
            <w:r>
              <w:t>standing repo facility (</w:t>
            </w:r>
            <w:r w:rsidRPr="00F821BC">
              <w:t>SRF)</w:t>
            </w:r>
            <w:r>
              <w:t>)</w:t>
            </w:r>
          </w:p>
        </w:tc>
        <w:tc>
          <w:tcPr>
            <w:tcW w:w="1530" w:type="dxa"/>
            <w:shd w:val="clear" w:color="auto" w:fill="FFFFFF" w:themeFill="background1"/>
          </w:tcPr>
          <w:p w:rsidR="00FE30A9" w:rsidRPr="00F821BC" w:rsidP="00C16292" w14:paraId="4B82A587" w14:textId="77777777">
            <w:pPr>
              <w:rPr>
                <w:rFonts w:ascii="Calibri" w:eastAsia="Times New Roman" w:hAnsi="Calibri" w:cs="Times New Roman"/>
                <w:color w:val="000000"/>
              </w:rPr>
            </w:pPr>
          </w:p>
        </w:tc>
      </w:tr>
      <w:bookmarkEnd w:id="6"/>
    </w:tbl>
    <w:p w:rsidR="00FE30A9" w:rsidP="00FE30A9" w14:paraId="394FEC99" w14:textId="77777777"/>
    <w:p w:rsidR="00FE30A9" w:rsidP="00FE30A9" w14:paraId="4A348C6A" w14:textId="77777777">
      <w:pPr>
        <w:pStyle w:val="ListParagraph"/>
        <w:numPr>
          <w:ilvl w:val="0"/>
          <w:numId w:val="21"/>
        </w:numPr>
        <w:spacing w:after="160" w:line="259" w:lineRule="auto"/>
      </w:pPr>
      <w:r w:rsidRPr="00DD4C43">
        <w:t>This question asks about changes to the projected level of different assets on your institution’s balance sheet</w:t>
      </w:r>
      <w:r>
        <w:rPr>
          <w:rStyle w:val="FootnoteReference"/>
        </w:rPr>
        <w:footnoteReference w:id="5"/>
      </w:r>
      <w:r w:rsidRPr="00DD4C43">
        <w:t>.  For each of the asset categories listed, please indicate your institution’s expectation about the potential change in the average level in March 2025 compared with the average level in September 2025 in the context of your previous responses.  My institution expects the level will</w:t>
      </w:r>
      <w:r>
        <w:t>:</w:t>
      </w:r>
      <w:r w:rsidRPr="00DD4C43">
        <w:t xml:space="preserve"> (select one; please select “N/A” only if your institution does not or cannot have the asset type) </w:t>
      </w:r>
    </w:p>
    <w:p w:rsidR="00FE30A9" w:rsidP="00FE30A9" w14:paraId="5CFB8863" w14:textId="77777777">
      <w:pPr>
        <w:pStyle w:val="ListParagraph"/>
        <w:numPr>
          <w:ilvl w:val="1"/>
          <w:numId w:val="21"/>
        </w:numPr>
        <w:spacing w:after="160" w:line="259" w:lineRule="auto"/>
      </w:pPr>
      <w:r>
        <w:t>decrease more than 5 percent</w:t>
      </w:r>
    </w:p>
    <w:p w:rsidR="00FE30A9" w:rsidP="00FE30A9" w14:paraId="38AC1B8D" w14:textId="77777777">
      <w:pPr>
        <w:pStyle w:val="ListParagraph"/>
        <w:numPr>
          <w:ilvl w:val="1"/>
          <w:numId w:val="21"/>
        </w:numPr>
        <w:spacing w:after="160" w:line="259" w:lineRule="auto"/>
      </w:pPr>
      <w:r>
        <w:t>decrease more than 2 percent and less than or equal to 5 percent</w:t>
      </w:r>
    </w:p>
    <w:p w:rsidR="00FE30A9" w:rsidP="00FE30A9" w14:paraId="3DA9C50B" w14:textId="77777777">
      <w:pPr>
        <w:pStyle w:val="ListParagraph"/>
        <w:numPr>
          <w:ilvl w:val="1"/>
          <w:numId w:val="21"/>
        </w:numPr>
        <w:spacing w:after="160" w:line="259" w:lineRule="auto"/>
      </w:pPr>
      <w:r>
        <w:t>remain roughly unchanged (plus or minus 2 percent)</w:t>
      </w:r>
    </w:p>
    <w:p w:rsidR="00FE30A9" w:rsidP="00FE30A9" w14:paraId="34F90226" w14:textId="77777777">
      <w:pPr>
        <w:pStyle w:val="ListParagraph"/>
        <w:numPr>
          <w:ilvl w:val="1"/>
          <w:numId w:val="21"/>
        </w:numPr>
        <w:spacing w:after="160" w:line="259" w:lineRule="auto"/>
      </w:pPr>
      <w:r>
        <w:t>increase more than 2 percent and less than or equal to 5 percent</w:t>
      </w:r>
    </w:p>
    <w:p w:rsidR="00FE30A9" w:rsidP="00FE30A9" w14:paraId="4FD44CC3" w14:textId="77777777">
      <w:pPr>
        <w:pStyle w:val="ListParagraph"/>
        <w:numPr>
          <w:ilvl w:val="1"/>
          <w:numId w:val="21"/>
        </w:numPr>
        <w:spacing w:after="160" w:line="259" w:lineRule="auto"/>
      </w:pPr>
      <w:r>
        <w:t>increase more than 5 percent</w:t>
      </w:r>
    </w:p>
    <w:p w:rsidR="00FE30A9" w:rsidP="00FE30A9" w14:paraId="1E91B054" w14:textId="77777777">
      <w:pPr>
        <w:pStyle w:val="ListParagraph"/>
        <w:numPr>
          <w:ilvl w:val="1"/>
          <w:numId w:val="21"/>
        </w:numPr>
        <w:spacing w:after="160" w:line="259" w:lineRule="auto"/>
      </w:pPr>
      <w:r>
        <w:t xml:space="preserve">N/A (please select if your institution does not or cannot have that type of asset) </w:t>
      </w:r>
    </w:p>
    <w:tbl>
      <w:tblPr>
        <w:tblW w:w="7920" w:type="dxa"/>
        <w:tblInd w:w="715" w:type="dxa"/>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000000" w:themeColor="text1"/>
          <w:insideV w:val="dotted" w:sz="4" w:space="0" w:color="000000" w:themeColor="text1"/>
        </w:tblBorders>
        <w:tblLayout w:type="fixed"/>
        <w:tblLook w:val="04A0"/>
      </w:tblPr>
      <w:tblGrid>
        <w:gridCol w:w="5850"/>
        <w:gridCol w:w="2070"/>
      </w:tblGrid>
      <w:tr w14:paraId="411E6EDF" w14:textId="77777777" w:rsidTr="00C16292">
        <w:tblPrEx>
          <w:tblW w:w="7920" w:type="dxa"/>
          <w:tblInd w:w="715" w:type="dxa"/>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000000" w:themeColor="text1"/>
            <w:insideV w:val="dotted" w:sz="4" w:space="0" w:color="000000" w:themeColor="text1"/>
          </w:tblBorders>
          <w:tblLayout w:type="fixed"/>
          <w:tblLook w:val="04A0"/>
        </w:tblPrEx>
        <w:trPr>
          <w:trHeight w:val="440"/>
          <w:tblHeader/>
        </w:trPr>
        <w:tc>
          <w:tcPr>
            <w:tcW w:w="5850" w:type="dxa"/>
            <w:shd w:val="clear" w:color="auto" w:fill="DDEBF7"/>
            <w:vAlign w:val="center"/>
            <w:hideMark/>
          </w:tcPr>
          <w:p w:rsidR="00FE30A9" w:rsidRPr="00F821BC" w:rsidP="00C16292" w14:paraId="56265809" w14:textId="77777777">
            <w:pPr>
              <w:rPr>
                <w:rFonts w:ascii="Calibri" w:eastAsia="Times New Roman" w:hAnsi="Calibri" w:cs="Times New Roman"/>
                <w:b/>
                <w:bCs/>
                <w:color w:val="000000" w:themeColor="text1"/>
              </w:rPr>
            </w:pPr>
            <w:bookmarkStart w:id="7" w:name="_Hlk113612660"/>
            <w:r w:rsidRPr="00F821BC">
              <w:rPr>
                <w:rFonts w:ascii="Calibri" w:eastAsia="Times New Roman" w:hAnsi="Calibri" w:cs="Times New Roman"/>
                <w:b/>
                <w:bCs/>
                <w:color w:val="000000" w:themeColor="text1"/>
              </w:rPr>
              <w:t>Asset</w:t>
            </w:r>
          </w:p>
        </w:tc>
        <w:tc>
          <w:tcPr>
            <w:tcW w:w="2070" w:type="dxa"/>
            <w:shd w:val="clear" w:color="auto" w:fill="DDEBF7"/>
            <w:hideMark/>
          </w:tcPr>
          <w:p w:rsidR="00FE30A9" w:rsidRPr="00F821BC" w:rsidP="00C16292" w14:paraId="180C4317" w14:textId="77777777">
            <w:pPr>
              <w:jc w:val="center"/>
              <w:rPr>
                <w:rFonts w:ascii="Calibri" w:eastAsia="Times New Roman" w:hAnsi="Calibri" w:cs="Times New Roman"/>
                <w:b/>
                <w:bCs/>
                <w:color w:val="000000" w:themeColor="text1"/>
              </w:rPr>
            </w:pPr>
            <w:r w:rsidRPr="00F821BC">
              <w:rPr>
                <w:rFonts w:ascii="Calibri" w:eastAsia="Times New Roman" w:hAnsi="Calibri" w:cs="Times New Roman"/>
                <w:b/>
                <w:bCs/>
                <w:color w:val="000000" w:themeColor="text1"/>
              </w:rPr>
              <w:t xml:space="preserve">Expected change </w:t>
            </w:r>
          </w:p>
          <w:p w:rsidR="00FE30A9" w:rsidRPr="00F821BC" w:rsidP="00C16292" w14:paraId="29767976" w14:textId="77777777">
            <w:pPr>
              <w:jc w:val="center"/>
              <w:rPr>
                <w:rFonts w:ascii="Calibri" w:eastAsia="Times New Roman" w:hAnsi="Calibri" w:cs="Times New Roman"/>
                <w:b/>
                <w:bCs/>
                <w:color w:val="000000" w:themeColor="text1"/>
              </w:rPr>
            </w:pPr>
            <w:r w:rsidRPr="00F821BC">
              <w:rPr>
                <w:rFonts w:ascii="Calibri" w:eastAsia="Times New Roman" w:hAnsi="Calibri" w:cs="Times New Roman"/>
                <w:b/>
                <w:bCs/>
                <w:color w:val="000000" w:themeColor="text1"/>
              </w:rPr>
              <w:t>in level</w:t>
            </w:r>
          </w:p>
        </w:tc>
      </w:tr>
      <w:tr w14:paraId="79240FFC" w14:textId="77777777" w:rsidTr="00C16292">
        <w:tblPrEx>
          <w:tblW w:w="7920" w:type="dxa"/>
          <w:tblInd w:w="715" w:type="dxa"/>
          <w:tblLayout w:type="fixed"/>
          <w:tblLook w:val="04A0"/>
        </w:tblPrEx>
        <w:trPr>
          <w:trHeight w:val="305"/>
        </w:trPr>
        <w:tc>
          <w:tcPr>
            <w:tcW w:w="5850" w:type="dxa"/>
            <w:shd w:val="clear" w:color="auto" w:fill="FFFFFF" w:themeFill="background1"/>
            <w:noWrap/>
            <w:hideMark/>
          </w:tcPr>
          <w:p w:rsidR="00FE30A9" w:rsidRPr="00F821BC" w:rsidP="00FE30A9" w14:paraId="47903408" w14:textId="77777777">
            <w:pPr>
              <w:numPr>
                <w:ilvl w:val="0"/>
                <w:numId w:val="23"/>
              </w:numPr>
              <w:ind w:left="432" w:hanging="446"/>
              <w:rPr>
                <w:rFonts w:ascii="Calibri" w:eastAsia="Times New Roman" w:hAnsi="Calibri" w:cs="Times New Roman"/>
                <w:color w:val="000000" w:themeColor="text1"/>
              </w:rPr>
            </w:pPr>
            <w:r w:rsidRPr="00F821BC">
              <w:t>Reserve balances</w:t>
            </w:r>
          </w:p>
        </w:tc>
        <w:tc>
          <w:tcPr>
            <w:tcW w:w="2070" w:type="dxa"/>
            <w:shd w:val="clear" w:color="auto" w:fill="FFFFFF" w:themeFill="background1"/>
          </w:tcPr>
          <w:p w:rsidR="00FE30A9" w:rsidRPr="00F821BC" w:rsidP="00C16292" w14:paraId="0228FAA4" w14:textId="77777777">
            <w:pPr>
              <w:rPr>
                <w:rFonts w:ascii="Calibri" w:eastAsia="Times New Roman" w:hAnsi="Calibri" w:cs="Times New Roman"/>
                <w:color w:val="000000"/>
              </w:rPr>
            </w:pPr>
          </w:p>
        </w:tc>
      </w:tr>
      <w:tr w14:paraId="2A5F38B6" w14:textId="77777777" w:rsidTr="00C16292">
        <w:tblPrEx>
          <w:tblW w:w="7920" w:type="dxa"/>
          <w:tblInd w:w="715" w:type="dxa"/>
          <w:tblLayout w:type="fixed"/>
          <w:tblLook w:val="04A0"/>
        </w:tblPrEx>
        <w:trPr>
          <w:trHeight w:val="288"/>
        </w:trPr>
        <w:tc>
          <w:tcPr>
            <w:tcW w:w="5850" w:type="dxa"/>
            <w:noWrap/>
          </w:tcPr>
          <w:p w:rsidR="00FE30A9" w:rsidRPr="00F821BC" w:rsidP="00FE30A9" w14:paraId="77862F68" w14:textId="77777777">
            <w:pPr>
              <w:numPr>
                <w:ilvl w:val="0"/>
                <w:numId w:val="23"/>
              </w:numPr>
              <w:ind w:left="435" w:hanging="450"/>
            </w:pPr>
            <w:r w:rsidRPr="00F821BC">
              <w:t>Federal funds sold</w:t>
            </w:r>
          </w:p>
        </w:tc>
        <w:tc>
          <w:tcPr>
            <w:tcW w:w="2070" w:type="dxa"/>
          </w:tcPr>
          <w:p w:rsidR="00FE30A9" w:rsidRPr="00F821BC" w:rsidP="00C16292" w14:paraId="71D59919" w14:textId="77777777">
            <w:pPr>
              <w:rPr>
                <w:rFonts w:ascii="Calibri" w:eastAsia="Times New Roman" w:hAnsi="Calibri" w:cs="Times New Roman"/>
                <w:color w:val="000000"/>
              </w:rPr>
            </w:pPr>
          </w:p>
        </w:tc>
      </w:tr>
      <w:tr w14:paraId="38A1084D" w14:textId="77777777" w:rsidTr="00C16292">
        <w:tblPrEx>
          <w:tblW w:w="7920" w:type="dxa"/>
          <w:tblInd w:w="715" w:type="dxa"/>
          <w:tblLayout w:type="fixed"/>
          <w:tblLook w:val="04A0"/>
        </w:tblPrEx>
        <w:trPr>
          <w:trHeight w:val="288"/>
        </w:trPr>
        <w:tc>
          <w:tcPr>
            <w:tcW w:w="5850" w:type="dxa"/>
            <w:noWrap/>
          </w:tcPr>
          <w:p w:rsidR="00FE30A9" w:rsidRPr="00F821BC" w:rsidP="00FE30A9" w14:paraId="220F75DC" w14:textId="77777777">
            <w:pPr>
              <w:numPr>
                <w:ilvl w:val="0"/>
                <w:numId w:val="23"/>
              </w:numPr>
              <w:ind w:left="435" w:hanging="450"/>
            </w:pPr>
            <w:r w:rsidRPr="00F821BC">
              <w:t xml:space="preserve">Reverse repo </w:t>
            </w:r>
          </w:p>
        </w:tc>
        <w:tc>
          <w:tcPr>
            <w:tcW w:w="2070" w:type="dxa"/>
          </w:tcPr>
          <w:p w:rsidR="00FE30A9" w:rsidRPr="00F821BC" w:rsidP="00C16292" w14:paraId="4629474C" w14:textId="77777777">
            <w:pPr>
              <w:rPr>
                <w:rFonts w:ascii="Calibri" w:eastAsia="Times New Roman" w:hAnsi="Calibri" w:cs="Times New Roman"/>
                <w:color w:val="000000"/>
              </w:rPr>
            </w:pPr>
          </w:p>
        </w:tc>
      </w:tr>
      <w:tr w14:paraId="141C9D72" w14:textId="77777777" w:rsidTr="00C16292">
        <w:tblPrEx>
          <w:tblW w:w="7920" w:type="dxa"/>
          <w:tblInd w:w="715" w:type="dxa"/>
          <w:tblLayout w:type="fixed"/>
          <w:tblLook w:val="04A0"/>
        </w:tblPrEx>
        <w:trPr>
          <w:trHeight w:val="288"/>
        </w:trPr>
        <w:tc>
          <w:tcPr>
            <w:tcW w:w="5850" w:type="dxa"/>
            <w:noWrap/>
            <w:hideMark/>
          </w:tcPr>
          <w:p w:rsidR="00FE30A9" w:rsidRPr="00F821BC" w:rsidP="00FE30A9" w14:paraId="14C835B6" w14:textId="77777777">
            <w:pPr>
              <w:numPr>
                <w:ilvl w:val="0"/>
                <w:numId w:val="23"/>
              </w:numPr>
              <w:ind w:left="435" w:hanging="450"/>
              <w:rPr>
                <w:rFonts w:ascii="Calibri" w:eastAsia="Times New Roman" w:hAnsi="Calibri" w:cs="Times New Roman"/>
                <w:color w:val="000000" w:themeColor="text1"/>
              </w:rPr>
            </w:pPr>
            <w:r w:rsidRPr="00F821BC">
              <w:t xml:space="preserve">Loans </w:t>
            </w:r>
          </w:p>
        </w:tc>
        <w:tc>
          <w:tcPr>
            <w:tcW w:w="2070" w:type="dxa"/>
          </w:tcPr>
          <w:p w:rsidR="00FE30A9" w:rsidRPr="00F821BC" w:rsidP="00C16292" w14:paraId="5FC14262" w14:textId="77777777">
            <w:pPr>
              <w:rPr>
                <w:rFonts w:ascii="Calibri" w:eastAsia="Times New Roman" w:hAnsi="Calibri" w:cs="Times New Roman"/>
                <w:color w:val="000000"/>
              </w:rPr>
            </w:pPr>
          </w:p>
        </w:tc>
      </w:tr>
      <w:tr w14:paraId="1BFFCB2B" w14:textId="77777777" w:rsidTr="00C16292">
        <w:tblPrEx>
          <w:tblW w:w="7920" w:type="dxa"/>
          <w:tblInd w:w="715" w:type="dxa"/>
          <w:tblLayout w:type="fixed"/>
          <w:tblLook w:val="04A0"/>
        </w:tblPrEx>
        <w:trPr>
          <w:trHeight w:val="288"/>
        </w:trPr>
        <w:tc>
          <w:tcPr>
            <w:tcW w:w="5850" w:type="dxa"/>
            <w:shd w:val="clear" w:color="auto" w:fill="FFFFFF" w:themeFill="background1"/>
            <w:noWrap/>
            <w:hideMark/>
          </w:tcPr>
          <w:p w:rsidR="00FE30A9" w:rsidRPr="00F821BC" w:rsidP="00FE30A9" w14:paraId="28D0CAD9" w14:textId="77777777">
            <w:pPr>
              <w:numPr>
                <w:ilvl w:val="0"/>
                <w:numId w:val="23"/>
              </w:numPr>
              <w:ind w:left="435" w:hanging="450"/>
              <w:rPr>
                <w:rFonts w:ascii="Calibri" w:eastAsia="Times New Roman" w:hAnsi="Calibri"/>
                <w:color w:val="000000" w:themeColor="text1"/>
              </w:rPr>
            </w:pPr>
            <w:r w:rsidRPr="00F821BC">
              <w:t xml:space="preserve">Level 1 high-quality liquid assets (HQLA) securities  </w:t>
            </w:r>
          </w:p>
        </w:tc>
        <w:tc>
          <w:tcPr>
            <w:tcW w:w="2070" w:type="dxa"/>
            <w:shd w:val="clear" w:color="auto" w:fill="FFFFFF" w:themeFill="background1"/>
          </w:tcPr>
          <w:p w:rsidR="00FE30A9" w:rsidRPr="00F821BC" w:rsidP="00C16292" w14:paraId="6D02B5A7" w14:textId="77777777">
            <w:pPr>
              <w:rPr>
                <w:rFonts w:ascii="Calibri" w:eastAsia="Times New Roman" w:hAnsi="Calibri" w:cs="Times New Roman"/>
                <w:color w:val="000000"/>
              </w:rPr>
            </w:pPr>
          </w:p>
        </w:tc>
      </w:tr>
      <w:tr w14:paraId="66838DC4" w14:textId="77777777" w:rsidTr="00C16292">
        <w:tblPrEx>
          <w:tblW w:w="7920" w:type="dxa"/>
          <w:tblInd w:w="715" w:type="dxa"/>
          <w:tblLayout w:type="fixed"/>
          <w:tblLook w:val="04A0"/>
        </w:tblPrEx>
        <w:trPr>
          <w:trHeight w:val="288"/>
        </w:trPr>
        <w:tc>
          <w:tcPr>
            <w:tcW w:w="5850" w:type="dxa"/>
            <w:shd w:val="clear" w:color="auto" w:fill="FFFFFF" w:themeFill="background1"/>
            <w:noWrap/>
            <w:hideMark/>
          </w:tcPr>
          <w:p w:rsidR="00FE30A9" w:rsidRPr="00F821BC" w:rsidP="00FE30A9" w14:paraId="3F220212" w14:textId="77777777">
            <w:pPr>
              <w:numPr>
                <w:ilvl w:val="0"/>
                <w:numId w:val="23"/>
              </w:numPr>
              <w:ind w:left="435" w:hanging="450"/>
            </w:pPr>
            <w:r w:rsidRPr="00F821BC">
              <w:t>Level 2 HQLA securities</w:t>
            </w:r>
          </w:p>
        </w:tc>
        <w:tc>
          <w:tcPr>
            <w:tcW w:w="2070" w:type="dxa"/>
            <w:shd w:val="clear" w:color="auto" w:fill="FFFFFF" w:themeFill="background1"/>
          </w:tcPr>
          <w:p w:rsidR="00FE30A9" w:rsidRPr="00F821BC" w:rsidP="00C16292" w14:paraId="16B63107" w14:textId="77777777">
            <w:pPr>
              <w:rPr>
                <w:rFonts w:ascii="Calibri" w:eastAsia="Times New Roman" w:hAnsi="Calibri" w:cs="Times New Roman"/>
                <w:color w:val="000000"/>
              </w:rPr>
            </w:pPr>
          </w:p>
        </w:tc>
      </w:tr>
      <w:bookmarkEnd w:id="7"/>
    </w:tbl>
    <w:p w:rsidR="00FE30A9" w:rsidRPr="00F821BC" w:rsidP="00FE30A9" w14:paraId="5FE28932" w14:textId="77777777">
      <w:pPr>
        <w:spacing w:after="120"/>
        <w:textAlignment w:val="baseline"/>
      </w:pPr>
    </w:p>
    <w:p w:rsidR="00FE30A9" w:rsidP="00FE30A9" w14:paraId="10B619B6" w14:textId="77777777">
      <w:pPr>
        <w:pStyle w:val="ListParagraph"/>
        <w:numPr>
          <w:ilvl w:val="0"/>
          <w:numId w:val="21"/>
        </w:numPr>
        <w:spacing w:after="120"/>
      </w:pPr>
      <w:r>
        <w:t xml:space="preserve">Looking ahead to September 2025, please select the rationale that most closely aligns with your institution’s deposit rate-setting strategy for each of the deposit types listed. </w:t>
      </w:r>
      <w:r w:rsidRPr="20DAE413">
        <w:t>(select one)</w:t>
      </w:r>
    </w:p>
    <w:p w:rsidR="00FE30A9" w:rsidP="00FE30A9" w14:paraId="350506BA" w14:textId="77777777">
      <w:pPr>
        <w:pStyle w:val="ListParagraph"/>
        <w:numPr>
          <w:ilvl w:val="1"/>
          <w:numId w:val="28"/>
        </w:numPr>
        <w:ind w:left="1800"/>
        <w:contextualSpacing w:val="0"/>
      </w:pPr>
      <w:r>
        <w:t>Rate</w:t>
      </w:r>
      <w:r w:rsidRPr="000D5BCA">
        <w:t xml:space="preserve"> will be set to increase deposit balances.</w:t>
      </w:r>
    </w:p>
    <w:p w:rsidR="00FE30A9" w:rsidP="00FE30A9" w14:paraId="1CDFDC79" w14:textId="77777777">
      <w:pPr>
        <w:pStyle w:val="ListParagraph"/>
        <w:numPr>
          <w:ilvl w:val="1"/>
          <w:numId w:val="28"/>
        </w:numPr>
        <w:ind w:left="1800"/>
        <w:contextualSpacing w:val="0"/>
      </w:pPr>
      <w:r>
        <w:t>Rate</w:t>
      </w:r>
      <w:r w:rsidRPr="000D5BCA">
        <w:t xml:space="preserve"> will be set to maintain deposit balance</w:t>
      </w:r>
      <w:r>
        <w:t>s.</w:t>
      </w:r>
    </w:p>
    <w:p w:rsidR="00FE30A9" w:rsidP="00FE30A9" w14:paraId="5319CBB2" w14:textId="77777777">
      <w:pPr>
        <w:pStyle w:val="ListParagraph"/>
        <w:numPr>
          <w:ilvl w:val="1"/>
          <w:numId w:val="28"/>
        </w:numPr>
        <w:ind w:left="1800"/>
        <w:contextualSpacing w:val="0"/>
      </w:pPr>
      <w:r>
        <w:t>Rate</w:t>
      </w:r>
      <w:r w:rsidRPr="000D5BCA">
        <w:t xml:space="preserve"> will be set to decrease deposit balances.</w:t>
      </w:r>
    </w:p>
    <w:p w:rsidR="00FE30A9" w:rsidP="00FE30A9" w14:paraId="1FA85F48" w14:textId="77777777"/>
    <w:tbl>
      <w:tblPr>
        <w:tblStyle w:val="GridTable4Accent3"/>
        <w:tblW w:w="7770" w:type="dxa"/>
        <w:tblInd w:w="805" w:type="dxa"/>
        <w:tblLook w:val="04A0"/>
      </w:tblPr>
      <w:tblGrid>
        <w:gridCol w:w="5760"/>
        <w:gridCol w:w="2010"/>
      </w:tblGrid>
      <w:tr w14:paraId="2EA224DF" w14:textId="77777777" w:rsidTr="00C16292">
        <w:tblPrEx>
          <w:tblW w:w="7770" w:type="dxa"/>
          <w:tblInd w:w="805" w:type="dxa"/>
          <w:tblLook w:val="04A0"/>
        </w:tblPrEx>
        <w:trPr>
          <w:trHeight w:val="20"/>
        </w:trPr>
        <w:tc>
          <w:tcPr>
            <w:tcW w:w="5760" w:type="dxa"/>
            <w:tcBorders>
              <w:bottom w:val="single" w:sz="4" w:space="0" w:color="auto"/>
            </w:tcBorders>
            <w:shd w:val="clear" w:color="auto" w:fill="DAE9F7"/>
          </w:tcPr>
          <w:p w:rsidR="00FE30A9" w:rsidRPr="00884BD5" w:rsidP="00C16292" w14:paraId="195C0B0D" w14:textId="77777777">
            <w:pPr>
              <w:rPr>
                <w:color w:val="auto"/>
              </w:rPr>
            </w:pPr>
            <w:r w:rsidRPr="00884BD5">
              <w:rPr>
                <w:color w:val="auto"/>
              </w:rPr>
              <w:t>Deposit type</w:t>
            </w:r>
          </w:p>
        </w:tc>
        <w:tc>
          <w:tcPr>
            <w:tcW w:w="2010" w:type="dxa"/>
            <w:tcBorders>
              <w:bottom w:val="single" w:sz="4" w:space="0" w:color="auto"/>
            </w:tcBorders>
            <w:shd w:val="clear" w:color="auto" w:fill="DAE9F7"/>
          </w:tcPr>
          <w:p w:rsidR="00FE30A9" w:rsidRPr="00884BD5" w:rsidP="00C16292" w14:paraId="7B20A68B" w14:textId="77777777">
            <w:pPr>
              <w:rPr>
                <w:color w:val="auto"/>
              </w:rPr>
            </w:pPr>
            <w:r>
              <w:rPr>
                <w:color w:val="auto"/>
              </w:rPr>
              <w:t>Strategy</w:t>
            </w:r>
          </w:p>
        </w:tc>
      </w:tr>
      <w:tr w14:paraId="47A1D6FA" w14:textId="77777777" w:rsidTr="00C16292">
        <w:tblPrEx>
          <w:tblW w:w="7770" w:type="dxa"/>
          <w:tblInd w:w="805" w:type="dxa"/>
          <w:tblLook w:val="04A0"/>
        </w:tblPrEx>
        <w:trPr>
          <w:trHeight w:val="20"/>
        </w:trPr>
        <w:tc>
          <w:tcPr>
            <w:tcW w:w="5760" w:type="dxa"/>
            <w:tcBorders>
              <w:top w:val="single" w:sz="4" w:space="0" w:color="auto"/>
              <w:left w:val="single" w:sz="4" w:space="0" w:color="auto"/>
              <w:bottom w:val="single" w:sz="4" w:space="0" w:color="auto"/>
              <w:right w:val="single" w:sz="4" w:space="0" w:color="FFFFFF" w:themeColor="background1" w:themeShade="7F" w:themeTint="00"/>
            </w:tcBorders>
            <w:shd w:val="clear" w:color="auto" w:fill="auto"/>
          </w:tcPr>
          <w:p w:rsidR="00FE30A9" w:rsidRPr="00F16419" w:rsidP="00FE30A9" w14:paraId="1D6D5AF3" w14:textId="77777777">
            <w:pPr>
              <w:pStyle w:val="ListParagraph"/>
              <w:numPr>
                <w:ilvl w:val="0"/>
                <w:numId w:val="29"/>
              </w:numPr>
              <w:ind w:left="606" w:hanging="180"/>
              <w:rPr>
                <w:b w:val="0"/>
                <w:bCs w:val="0"/>
              </w:rPr>
            </w:pPr>
            <w:r w:rsidRPr="00F16419">
              <w:rPr>
                <w:b w:val="0"/>
                <w:bCs w:val="0"/>
              </w:rPr>
              <w:t xml:space="preserve">Retail deposits (excluding </w:t>
            </w:r>
            <w:r>
              <w:rPr>
                <w:b w:val="0"/>
                <w:bCs w:val="0"/>
              </w:rPr>
              <w:t>b</w:t>
            </w:r>
            <w:r w:rsidRPr="00F16419">
              <w:rPr>
                <w:b w:val="0"/>
                <w:bCs w:val="0"/>
              </w:rPr>
              <w:t>rokered retail deposits/brokered retail CDs)</w:t>
            </w:r>
          </w:p>
        </w:tc>
        <w:tc>
          <w:tcPr>
            <w:tcW w:w="2010" w:type="dxa"/>
            <w:tcBorders>
              <w:top w:val="single" w:sz="4" w:space="0" w:color="auto"/>
              <w:left w:val="single" w:sz="4" w:space="0" w:color="FFFFFF" w:themeColor="background1" w:themeShade="7F" w:themeTint="00"/>
              <w:bottom w:val="single" w:sz="4" w:space="0" w:color="auto"/>
              <w:right w:val="single" w:sz="4" w:space="0" w:color="auto"/>
            </w:tcBorders>
            <w:shd w:val="clear" w:color="auto" w:fill="auto"/>
          </w:tcPr>
          <w:p w:rsidR="00FE30A9" w:rsidP="00C16292" w14:paraId="0746F140" w14:textId="77777777"/>
        </w:tc>
      </w:tr>
      <w:tr w14:paraId="1232A035" w14:textId="77777777" w:rsidTr="00C16292">
        <w:tblPrEx>
          <w:tblW w:w="7770" w:type="dxa"/>
          <w:tblInd w:w="805" w:type="dxa"/>
          <w:tblLook w:val="04A0"/>
        </w:tblPrEx>
        <w:trPr>
          <w:trHeight w:val="20"/>
        </w:trPr>
        <w:tc>
          <w:tcPr>
            <w:tcW w:w="5760" w:type="dxa"/>
            <w:tcBorders>
              <w:top w:val="single" w:sz="4" w:space="0" w:color="auto"/>
              <w:left w:val="single" w:sz="4" w:space="0" w:color="auto"/>
              <w:bottom w:val="single" w:sz="4" w:space="0" w:color="auto"/>
              <w:right w:val="single" w:sz="4" w:space="0" w:color="FFFFFF" w:themeColor="background1" w:themeShade="7F" w:themeTint="00"/>
            </w:tcBorders>
            <w:shd w:val="clear" w:color="auto" w:fill="auto"/>
          </w:tcPr>
          <w:p w:rsidR="00FE30A9" w:rsidRPr="00F16419" w:rsidP="00FE30A9" w14:paraId="26C10D8A" w14:textId="77777777">
            <w:pPr>
              <w:pStyle w:val="ListParagraph"/>
              <w:numPr>
                <w:ilvl w:val="0"/>
                <w:numId w:val="29"/>
              </w:numPr>
              <w:spacing w:after="120"/>
              <w:ind w:left="606" w:hanging="180"/>
              <w:rPr>
                <w:b w:val="0"/>
                <w:bCs w:val="0"/>
              </w:rPr>
            </w:pPr>
            <w:r w:rsidRPr="00F16419">
              <w:rPr>
                <w:b w:val="0"/>
                <w:bCs w:val="0"/>
              </w:rPr>
              <w:t>Brokered retail deposits/brokered retail CDs</w:t>
            </w:r>
          </w:p>
        </w:tc>
        <w:tc>
          <w:tcPr>
            <w:tcW w:w="2010" w:type="dxa"/>
            <w:tcBorders>
              <w:top w:val="single" w:sz="4" w:space="0" w:color="auto"/>
              <w:left w:val="single" w:sz="4" w:space="0" w:color="FFFFFF" w:themeColor="background1" w:themeShade="7F" w:themeTint="00"/>
              <w:bottom w:val="single" w:sz="4" w:space="0" w:color="auto"/>
              <w:right w:val="single" w:sz="4" w:space="0" w:color="auto"/>
            </w:tcBorders>
            <w:shd w:val="clear" w:color="auto" w:fill="auto"/>
          </w:tcPr>
          <w:p w:rsidR="00FE30A9" w:rsidP="00C16292" w14:paraId="57311D01" w14:textId="77777777">
            <w:pPr>
              <w:spacing w:after="120"/>
            </w:pPr>
          </w:p>
        </w:tc>
      </w:tr>
      <w:tr w14:paraId="26BAB7DE" w14:textId="77777777" w:rsidTr="00C16292">
        <w:tblPrEx>
          <w:tblW w:w="7770" w:type="dxa"/>
          <w:tblInd w:w="805" w:type="dxa"/>
          <w:tblLook w:val="04A0"/>
        </w:tblPrEx>
        <w:trPr>
          <w:trHeight w:val="20"/>
        </w:trPr>
        <w:tc>
          <w:tcPr>
            <w:tcW w:w="5760" w:type="dxa"/>
            <w:tcBorders>
              <w:top w:val="single" w:sz="4" w:space="0" w:color="auto"/>
              <w:left w:val="single" w:sz="4" w:space="0" w:color="auto"/>
              <w:bottom w:val="single" w:sz="4" w:space="0" w:color="auto"/>
              <w:right w:val="single" w:sz="4" w:space="0" w:color="FFFFFF" w:themeColor="background1" w:themeShade="7F" w:themeTint="00"/>
            </w:tcBorders>
            <w:shd w:val="clear" w:color="auto" w:fill="auto"/>
          </w:tcPr>
          <w:p w:rsidR="00FE30A9" w:rsidRPr="00884BD5" w:rsidP="00FE30A9" w14:paraId="3B38D9DC" w14:textId="77777777">
            <w:pPr>
              <w:pStyle w:val="ListParagraph"/>
              <w:numPr>
                <w:ilvl w:val="0"/>
                <w:numId w:val="29"/>
              </w:numPr>
              <w:spacing w:after="120"/>
              <w:ind w:left="606" w:hanging="180"/>
              <w:rPr>
                <w:b w:val="0"/>
                <w:bCs w:val="0"/>
              </w:rPr>
            </w:pPr>
            <w:r w:rsidRPr="00884BD5">
              <w:rPr>
                <w:b w:val="0"/>
                <w:bCs w:val="0"/>
              </w:rPr>
              <w:t>Wholesale operational deposits</w:t>
            </w:r>
          </w:p>
        </w:tc>
        <w:tc>
          <w:tcPr>
            <w:tcW w:w="2010" w:type="dxa"/>
            <w:tcBorders>
              <w:top w:val="single" w:sz="4" w:space="0" w:color="auto"/>
              <w:left w:val="single" w:sz="4" w:space="0" w:color="FFFFFF" w:themeColor="background1" w:themeShade="7F" w:themeTint="00"/>
              <w:bottom w:val="single" w:sz="4" w:space="0" w:color="auto"/>
              <w:right w:val="single" w:sz="4" w:space="0" w:color="auto"/>
            </w:tcBorders>
            <w:shd w:val="clear" w:color="auto" w:fill="auto"/>
          </w:tcPr>
          <w:p w:rsidR="00FE30A9" w:rsidP="00C16292" w14:paraId="0F0AA724" w14:textId="77777777">
            <w:pPr>
              <w:spacing w:after="120"/>
            </w:pPr>
          </w:p>
        </w:tc>
      </w:tr>
      <w:tr w14:paraId="54231DBE" w14:textId="77777777" w:rsidTr="00C16292">
        <w:tblPrEx>
          <w:tblW w:w="7770" w:type="dxa"/>
          <w:tblInd w:w="805" w:type="dxa"/>
          <w:tblLook w:val="04A0"/>
        </w:tblPrEx>
        <w:trPr>
          <w:trHeight w:val="20"/>
        </w:trPr>
        <w:tc>
          <w:tcPr>
            <w:tcW w:w="5760" w:type="dxa"/>
            <w:tcBorders>
              <w:top w:val="single" w:sz="4" w:space="0" w:color="auto"/>
              <w:left w:val="single" w:sz="4" w:space="0" w:color="auto"/>
              <w:bottom w:val="single" w:sz="4" w:space="0" w:color="auto"/>
              <w:right w:val="single" w:sz="4" w:space="0" w:color="FFFFFF" w:themeColor="background1" w:themeShade="7F" w:themeTint="00"/>
            </w:tcBorders>
            <w:shd w:val="clear" w:color="auto" w:fill="auto"/>
          </w:tcPr>
          <w:p w:rsidR="00FE30A9" w:rsidRPr="00884BD5" w:rsidP="00FE30A9" w14:paraId="642C846E" w14:textId="77777777">
            <w:pPr>
              <w:numPr>
                <w:ilvl w:val="0"/>
                <w:numId w:val="29"/>
              </w:numPr>
              <w:spacing w:after="120"/>
              <w:ind w:left="606" w:hanging="180"/>
              <w:rPr>
                <w:b w:val="0"/>
                <w:bCs w:val="0"/>
              </w:rPr>
            </w:pPr>
            <w:r w:rsidRPr="00884BD5">
              <w:rPr>
                <w:b w:val="0"/>
                <w:bCs w:val="0"/>
              </w:rPr>
              <w:t>Wholesale nonoperational deposits</w:t>
            </w:r>
          </w:p>
        </w:tc>
        <w:tc>
          <w:tcPr>
            <w:tcW w:w="2010" w:type="dxa"/>
            <w:tcBorders>
              <w:top w:val="single" w:sz="4" w:space="0" w:color="auto"/>
              <w:left w:val="single" w:sz="4" w:space="0" w:color="FFFFFF" w:themeColor="background1" w:themeShade="7F" w:themeTint="00"/>
              <w:bottom w:val="single" w:sz="4" w:space="0" w:color="auto"/>
              <w:right w:val="single" w:sz="4" w:space="0" w:color="auto"/>
            </w:tcBorders>
            <w:shd w:val="clear" w:color="auto" w:fill="auto"/>
          </w:tcPr>
          <w:p w:rsidR="00FE30A9" w:rsidP="00C16292" w14:paraId="1AE1666D" w14:textId="77777777">
            <w:pPr>
              <w:spacing w:after="120"/>
            </w:pPr>
          </w:p>
        </w:tc>
      </w:tr>
    </w:tbl>
    <w:p w:rsidR="00FE30A9" w:rsidP="00FE30A9" w14:paraId="6238DA10" w14:textId="77777777"/>
    <w:p w:rsidR="00FE30A9" w:rsidRPr="0021772B" w:rsidP="00FE30A9" w14:paraId="3A128210" w14:textId="77777777">
      <w:pPr>
        <w:keepNext/>
        <w:keepLines/>
        <w:spacing w:after="80"/>
        <w:outlineLvl w:val="1"/>
        <w:rPr>
          <w:rFonts w:asciiTheme="majorHAnsi" w:eastAsiaTheme="majorEastAsia" w:hAnsiTheme="majorHAnsi" w:cstheme="majorBidi"/>
          <w:b/>
          <w:color w:val="2E74B5" w:themeColor="accent1" w:themeShade="BF"/>
          <w:sz w:val="32"/>
          <w:szCs w:val="32"/>
        </w:rPr>
      </w:pPr>
      <w:r w:rsidRPr="00F821BC">
        <w:rPr>
          <w:rFonts w:asciiTheme="majorHAnsi" w:eastAsiaTheme="majorEastAsia" w:hAnsiTheme="majorHAnsi" w:cstheme="majorBidi"/>
          <w:b/>
          <w:bCs/>
          <w:color w:val="2E74B5" w:themeColor="accent1" w:themeShade="BF"/>
          <w:sz w:val="32"/>
          <w:szCs w:val="32"/>
        </w:rPr>
        <w:t xml:space="preserve">Part 2:  Preferred Reserve Levels </w:t>
      </w:r>
    </w:p>
    <w:p w:rsidR="00FE30A9" w:rsidRPr="00F821BC" w:rsidP="00FE30A9" w14:paraId="73146904" w14:textId="77777777">
      <w:r w:rsidRPr="00F821BC">
        <w:t>Questions in Part 2 ask about your</w:t>
      </w:r>
      <w:r>
        <w:t xml:space="preserve"> institution’s</w:t>
      </w:r>
      <w:r w:rsidRPr="00F821BC">
        <w:t xml:space="preserve"> lowest comfortable level of reserves (LCLOR)—the lowest dollar level of reserve balances your </w:t>
      </w:r>
      <w:r>
        <w:t>institution</w:t>
      </w:r>
      <w:r w:rsidRPr="00F821BC">
        <w:t xml:space="preserve"> would feel comfortable holding before it began taking active steps to maintain or increase its reserve balances.  “Active steps” could include, but are not limited to, borrowing in the federal funds or other wholesale funding markets or bidding more aggressively in those markets, reducing holdings of other liquid assets, or raising deposit </w:t>
      </w:r>
      <w:r w:rsidRPr="004B59E8">
        <w:t xml:space="preserve">rates. </w:t>
      </w:r>
    </w:p>
    <w:p w:rsidR="00FE30A9" w:rsidP="00FE30A9" w14:paraId="710DAA0C" w14:textId="77777777"/>
    <w:p w:rsidR="00FE30A9" w:rsidP="00FE30A9" w14:paraId="34418845" w14:textId="77777777">
      <w:pPr>
        <w:pStyle w:val="ListParagraph"/>
        <w:numPr>
          <w:ilvl w:val="0"/>
          <w:numId w:val="21"/>
        </w:numPr>
        <w:spacing w:after="160" w:line="259" w:lineRule="auto"/>
      </w:pPr>
      <w:r w:rsidRPr="00F3149F">
        <w:t>Given the constellation of short-term interest rates relative to the interest on reserve balances (IORB) rate over the past month, what is the estimated LCLOR (in $ millions) your institution would feel comfortable holding before it “takes active steps” to maintain or increase its reserve balance position?</w:t>
      </w:r>
    </w:p>
    <w:tbl>
      <w:tblPr>
        <w:tblStyle w:val="TableGrid"/>
        <w:tblW w:w="0" w:type="auto"/>
        <w:jc w:val="center"/>
        <w:tblLook w:val="04A0"/>
      </w:tblPr>
      <w:tblGrid>
        <w:gridCol w:w="3643"/>
      </w:tblGrid>
      <w:tr w14:paraId="41E5ECFE" w14:textId="77777777" w:rsidTr="00C16292">
        <w:tblPrEx>
          <w:tblW w:w="0" w:type="auto"/>
          <w:jc w:val="center"/>
          <w:tblLook w:val="04A0"/>
        </w:tblPrEx>
        <w:trPr>
          <w:trHeight w:val="280"/>
          <w:jc w:val="center"/>
        </w:trPr>
        <w:tc>
          <w:tcPr>
            <w:tcW w:w="3643" w:type="dxa"/>
            <w:shd w:val="clear" w:color="auto" w:fill="DAE9F7"/>
          </w:tcPr>
          <w:p w:rsidR="00FE30A9" w:rsidP="00C16292" w14:paraId="511586EC" w14:textId="77777777">
            <w:pPr>
              <w:jc w:val="center"/>
            </w:pPr>
            <w:r>
              <w:rPr>
                <w:b/>
                <w:bCs/>
              </w:rPr>
              <w:t xml:space="preserve">Estimated LCLOR </w:t>
            </w:r>
            <w:r>
              <w:t xml:space="preserve">($ millions) </w:t>
            </w:r>
          </w:p>
        </w:tc>
      </w:tr>
      <w:tr w14:paraId="1ABB4778" w14:textId="77777777" w:rsidTr="00C16292">
        <w:tblPrEx>
          <w:tblW w:w="0" w:type="auto"/>
          <w:jc w:val="center"/>
          <w:tblLook w:val="04A0"/>
        </w:tblPrEx>
        <w:trPr>
          <w:trHeight w:val="280"/>
          <w:jc w:val="center"/>
        </w:trPr>
        <w:tc>
          <w:tcPr>
            <w:tcW w:w="3643" w:type="dxa"/>
          </w:tcPr>
          <w:p w:rsidR="00FE30A9" w:rsidP="00C16292" w14:paraId="2CC19D46" w14:textId="77777777"/>
        </w:tc>
      </w:tr>
    </w:tbl>
    <w:p w:rsidR="00FE30A9" w:rsidP="00FE30A9" w14:paraId="1DB1938C" w14:textId="77777777"/>
    <w:p w:rsidR="00FE30A9" w:rsidRPr="00D50132" w:rsidP="00FE30A9" w14:paraId="40762A3E" w14:textId="77777777">
      <w:pPr>
        <w:pStyle w:val="ListParagraph"/>
        <w:numPr>
          <w:ilvl w:val="0"/>
          <w:numId w:val="21"/>
        </w:numPr>
        <w:spacing w:after="160" w:line="259" w:lineRule="auto"/>
      </w:pPr>
      <w:bookmarkStart w:id="8" w:name="_Hlk137554158"/>
      <w:bookmarkStart w:id="9" w:name="OLE_LINK5"/>
      <w:bookmarkStart w:id="10" w:name="OLE_LINK30"/>
      <w:r w:rsidRPr="00D50132">
        <w:t>Given the constellation of short-term interest rates relative to IORB over the past month, if your institution</w:t>
      </w:r>
      <w:r w:rsidRPr="00D50132">
        <w:t xml:space="preserve"> </w:t>
      </w:r>
      <w:r w:rsidRPr="00D50132">
        <w:t xml:space="preserve">prefers to hold additional reserves above its LCLOR, please provide an estimated amount of preferred additional reserves (in $ millions).  If your institution does not prefer to hold additional reserves above its LCLOR, </w:t>
      </w:r>
      <w:r w:rsidRPr="00D50132">
        <w:rPr>
          <w:b/>
          <w:bCs/>
        </w:rPr>
        <w:t>please enter “0.”</w:t>
      </w:r>
      <w:r w:rsidRPr="00D50132">
        <w:t xml:space="preserve">  </w:t>
      </w:r>
      <w:bookmarkEnd w:id="8"/>
      <w:bookmarkEnd w:id="9"/>
      <w:bookmarkEnd w:id="10"/>
    </w:p>
    <w:tbl>
      <w:tblPr>
        <w:tblStyle w:val="TableGrid"/>
        <w:tblW w:w="0" w:type="auto"/>
        <w:jc w:val="center"/>
        <w:tblLook w:val="04A0"/>
      </w:tblPr>
      <w:tblGrid>
        <w:gridCol w:w="3643"/>
      </w:tblGrid>
      <w:tr w14:paraId="683332E4" w14:textId="77777777" w:rsidTr="00C16292">
        <w:tblPrEx>
          <w:tblW w:w="0" w:type="auto"/>
          <w:jc w:val="center"/>
          <w:tblLook w:val="04A0"/>
        </w:tblPrEx>
        <w:trPr>
          <w:trHeight w:val="280"/>
          <w:jc w:val="center"/>
        </w:trPr>
        <w:tc>
          <w:tcPr>
            <w:tcW w:w="3643" w:type="dxa"/>
            <w:shd w:val="clear" w:color="auto" w:fill="DAE9F7"/>
          </w:tcPr>
          <w:p w:rsidR="00FE30A9" w:rsidP="00C16292" w14:paraId="103F51D6" w14:textId="77777777">
            <w:pPr>
              <w:jc w:val="center"/>
            </w:pPr>
            <w:r>
              <w:rPr>
                <w:b/>
                <w:bCs/>
              </w:rPr>
              <w:t xml:space="preserve">Estimated preferred additional reserves </w:t>
            </w:r>
            <w:r>
              <w:t xml:space="preserve">($ millions) </w:t>
            </w:r>
          </w:p>
        </w:tc>
      </w:tr>
      <w:tr w14:paraId="625C0BDB" w14:textId="77777777" w:rsidTr="00C16292">
        <w:tblPrEx>
          <w:tblW w:w="0" w:type="auto"/>
          <w:jc w:val="center"/>
          <w:tblLook w:val="04A0"/>
        </w:tblPrEx>
        <w:trPr>
          <w:trHeight w:val="280"/>
          <w:jc w:val="center"/>
        </w:trPr>
        <w:tc>
          <w:tcPr>
            <w:tcW w:w="3643" w:type="dxa"/>
          </w:tcPr>
          <w:p w:rsidR="00FE30A9" w:rsidP="00C16292" w14:paraId="0F343EDB" w14:textId="77777777"/>
        </w:tc>
      </w:tr>
    </w:tbl>
    <w:p w:rsidR="00FE30A9" w:rsidP="00FE30A9" w14:paraId="003FC886" w14:textId="77777777">
      <w:pPr>
        <w:pStyle w:val="ListParagraph"/>
      </w:pPr>
    </w:p>
    <w:p w:rsidR="00FE30A9" w:rsidP="00FE30A9" w14:paraId="29FC68BD" w14:textId="77777777">
      <w:pPr>
        <w:pStyle w:val="ListParagraph"/>
        <w:numPr>
          <w:ilvl w:val="0"/>
          <w:numId w:val="21"/>
        </w:numPr>
        <w:spacing w:after="160" w:line="259" w:lineRule="auto"/>
      </w:pPr>
      <w:r w:rsidRPr="00246047">
        <w:t>Which statement best characterizes your institution’s recent reserve management strategy over the past few months? (select one)</w:t>
      </w:r>
    </w:p>
    <w:p w:rsidR="00FE30A9" w:rsidP="00FE30A9" w14:paraId="534AED02" w14:textId="77777777">
      <w:pPr>
        <w:pStyle w:val="ListParagraph"/>
        <w:numPr>
          <w:ilvl w:val="1"/>
          <w:numId w:val="24"/>
        </w:numPr>
        <w:spacing w:after="160" w:line="259" w:lineRule="auto"/>
        <w:ind w:left="1260" w:right="-270" w:hanging="180"/>
      </w:pPr>
      <w:r>
        <w:t>My institution has taken actions intended to decrease, or limit the growth in, the amount of its reserves.</w:t>
      </w:r>
    </w:p>
    <w:p w:rsidR="00FE30A9" w:rsidP="00FE30A9" w14:paraId="7C733F7D" w14:textId="77777777">
      <w:pPr>
        <w:pStyle w:val="ListParagraph"/>
        <w:numPr>
          <w:ilvl w:val="1"/>
          <w:numId w:val="24"/>
        </w:numPr>
        <w:spacing w:after="160" w:line="259" w:lineRule="auto"/>
        <w:ind w:left="1260" w:right="-270" w:hanging="180"/>
      </w:pPr>
      <w:r>
        <w:t>My institution has taken actions intended to maintain the current amount of its reserves.</w:t>
      </w:r>
    </w:p>
    <w:p w:rsidR="00FE30A9" w:rsidP="00FE30A9" w14:paraId="6C578F79" w14:textId="77777777">
      <w:pPr>
        <w:pStyle w:val="ListParagraph"/>
        <w:numPr>
          <w:ilvl w:val="1"/>
          <w:numId w:val="24"/>
        </w:numPr>
        <w:spacing w:after="160" w:line="259" w:lineRule="auto"/>
        <w:ind w:left="1260" w:right="-270" w:hanging="180"/>
      </w:pPr>
      <w:r>
        <w:t>My institution has taken actions intended to increase, or limit the decline in, the amount of its reserves.</w:t>
      </w:r>
    </w:p>
    <w:p w:rsidR="00FE30A9" w:rsidP="00FE30A9" w14:paraId="762818E7" w14:textId="77777777">
      <w:pPr>
        <w:pStyle w:val="ListParagraph"/>
        <w:numPr>
          <w:ilvl w:val="1"/>
          <w:numId w:val="24"/>
        </w:numPr>
        <w:spacing w:after="160" w:line="259" w:lineRule="auto"/>
        <w:ind w:left="1260" w:right="-270" w:hanging="180"/>
      </w:pPr>
      <w:r>
        <w:t xml:space="preserve">My institution has taken </w:t>
      </w:r>
      <w:r>
        <w:t>limited</w:t>
      </w:r>
      <w:r>
        <w:t xml:space="preserve"> or no actions intended to affect the amount of its reserves.</w:t>
      </w:r>
    </w:p>
    <w:p w:rsidR="00FE30A9" w:rsidP="00FE30A9" w14:paraId="7B50512C" w14:textId="77777777">
      <w:pPr>
        <w:pStyle w:val="ListParagraph"/>
      </w:pPr>
    </w:p>
    <w:p w:rsidR="00FE30A9" w:rsidRPr="00891D88" w:rsidP="00FE30A9" w14:paraId="5346FD8B" w14:textId="77777777">
      <w:pPr>
        <w:pStyle w:val="ListParagraph"/>
        <w:ind w:left="1080"/>
      </w:pPr>
      <w:r>
        <w:t>8A.  [</w:t>
      </w:r>
      <w:r w:rsidRPr="00E92F51">
        <w:rPr>
          <w:color w:val="538135" w:themeColor="accent6" w:themeShade="BF"/>
        </w:rPr>
        <w:t>Gated</w:t>
      </w:r>
      <w:r>
        <w:rPr>
          <w:color w:val="538135" w:themeColor="accent6" w:themeShade="BF"/>
        </w:rPr>
        <w:t>: question only appears to banks with surplus reserves (as defined as holding, on average, 10% more reserves than reported LCLOR + preferred additional reserves)</w:t>
      </w:r>
      <w:r>
        <w:t xml:space="preserve">] </w:t>
      </w:r>
      <w:r w:rsidRPr="00891D88">
        <w:t xml:space="preserve">Your institution’s average daily reserve balances over the past few months have been higher than the sum of the LCLOR plus preferred additional reserves as reported in </w:t>
      </w:r>
      <w:r>
        <w:t>q</w:t>
      </w:r>
      <w:r w:rsidRPr="00891D88">
        <w:t xml:space="preserve">uestions </w:t>
      </w:r>
      <w:r>
        <w:t>6</w:t>
      </w:r>
      <w:r w:rsidRPr="00891D88">
        <w:t xml:space="preserve"> and </w:t>
      </w:r>
      <w:r>
        <w:t>7</w:t>
      </w:r>
      <w:r w:rsidRPr="00891D88">
        <w:t xml:space="preserve">. </w:t>
      </w:r>
      <w:r w:rsidRPr="00891D88">
        <w:t>Please rate on a scale of 1 (not important or not applicable) to 5 (very important) the factors that have resulted in your institution holding reserves above its LCLOR plus preferred additional reserves.</w:t>
      </w:r>
    </w:p>
    <w:tbl>
      <w:tblPr>
        <w:tblStyle w:val="GridTable4Accent1"/>
        <w:tblW w:w="8280" w:type="dxa"/>
        <w:jc w:val="center"/>
        <w:tblLook w:val="04A0"/>
      </w:tblPr>
      <w:tblGrid>
        <w:gridCol w:w="6457"/>
        <w:gridCol w:w="1823"/>
      </w:tblGrid>
      <w:tr w14:paraId="170C4AC0" w14:textId="77777777" w:rsidTr="00C16292">
        <w:tblPrEx>
          <w:tblW w:w="8280" w:type="dxa"/>
          <w:jc w:val="center"/>
          <w:tblLook w:val="04A0"/>
        </w:tblPrEx>
        <w:trPr>
          <w:jc w:val="center"/>
        </w:trPr>
        <w:tc>
          <w:tcPr>
            <w:tcW w:w="0" w:type="dxa"/>
            <w:shd w:val="clear" w:color="auto" w:fill="DAE9F7"/>
          </w:tcPr>
          <w:p w:rsidR="00FE30A9" w:rsidRPr="008B507E" w:rsidP="00C16292" w14:paraId="6579A160" w14:textId="77777777">
            <w:pPr>
              <w:keepNext/>
              <w:keepLines/>
              <w:rPr>
                <w:color w:val="auto"/>
              </w:rPr>
            </w:pPr>
            <w:r w:rsidRPr="008B507E">
              <w:rPr>
                <w:color w:val="auto"/>
              </w:rPr>
              <w:t>Factors</w:t>
            </w:r>
          </w:p>
        </w:tc>
        <w:tc>
          <w:tcPr>
            <w:tcW w:w="0" w:type="dxa"/>
            <w:shd w:val="clear" w:color="auto" w:fill="DAE9F7"/>
          </w:tcPr>
          <w:p w:rsidR="00FE30A9" w:rsidRPr="008B507E" w:rsidP="00C16292" w14:paraId="0630BE97" w14:textId="77777777">
            <w:pPr>
              <w:keepNext/>
              <w:keepLines/>
              <w:ind w:left="-105"/>
              <w:rPr>
                <w:color w:val="auto"/>
              </w:rPr>
            </w:pPr>
            <w:r w:rsidRPr="008B507E">
              <w:rPr>
                <w:color w:val="auto"/>
              </w:rPr>
              <w:t>Rating</w:t>
            </w:r>
          </w:p>
        </w:tc>
      </w:tr>
      <w:tr w14:paraId="320B3D16" w14:textId="77777777" w:rsidTr="00C16292">
        <w:tblPrEx>
          <w:tblW w:w="8280" w:type="dxa"/>
          <w:jc w:val="center"/>
          <w:tblLook w:val="04A0"/>
        </w:tblPrEx>
        <w:trPr>
          <w:jc w:val="center"/>
        </w:trPr>
        <w:tc>
          <w:tcPr>
            <w:tcW w:w="0" w:type="dxa"/>
            <w:shd w:val="clear" w:color="auto" w:fill="FFFFFF" w:themeFill="background1"/>
            <w:hideMark/>
          </w:tcPr>
          <w:p w:rsidR="00FE30A9" w:rsidRPr="00891D88" w:rsidP="00FE30A9" w14:paraId="4D9C5B73" w14:textId="77777777">
            <w:pPr>
              <w:keepNext/>
              <w:keepLines/>
              <w:numPr>
                <w:ilvl w:val="0"/>
                <w:numId w:val="30"/>
              </w:numPr>
              <w:spacing w:after="40"/>
              <w:ind w:left="701" w:hanging="270"/>
              <w:rPr>
                <w:b w:val="0"/>
                <w:bCs w:val="0"/>
              </w:rPr>
            </w:pPr>
            <w:bookmarkStart w:id="11" w:name="_Hlk191631878"/>
            <w:r w:rsidRPr="00891D88">
              <w:rPr>
                <w:b w:val="0"/>
                <w:bCs w:val="0"/>
              </w:rPr>
              <w:t xml:space="preserve">Relative or risk-adjusted rate of return between interest on reserves </w:t>
            </w:r>
            <w:r w:rsidRPr="00891D88">
              <w:rPr>
                <w:b w:val="0"/>
                <w:bCs w:val="0"/>
                <w:i/>
                <w:iCs/>
              </w:rPr>
              <w:t>and o</w:t>
            </w:r>
            <w:r w:rsidRPr="00EB474C">
              <w:rPr>
                <w:b w:val="0"/>
                <w:bCs w:val="0"/>
                <w:i/>
                <w:iCs/>
              </w:rPr>
              <w:t>ther HQLA</w:t>
            </w:r>
            <w:r w:rsidRPr="00891D88">
              <w:rPr>
                <w:b w:val="0"/>
                <w:bCs w:val="0"/>
              </w:rPr>
              <w:t xml:space="preserve"> </w:t>
            </w:r>
            <w:bookmarkEnd w:id="11"/>
          </w:p>
        </w:tc>
        <w:tc>
          <w:tcPr>
            <w:tcW w:w="0" w:type="dxa"/>
            <w:shd w:val="clear" w:color="auto" w:fill="FFFFFF" w:themeFill="background1"/>
          </w:tcPr>
          <w:p w:rsidR="00FE30A9" w:rsidRPr="00891D88" w:rsidP="00C16292" w14:paraId="026D315C" w14:textId="77777777">
            <w:pPr>
              <w:keepNext/>
              <w:keepLines/>
            </w:pPr>
          </w:p>
        </w:tc>
      </w:tr>
      <w:tr w14:paraId="222C42CB" w14:textId="77777777" w:rsidTr="00C16292">
        <w:tblPrEx>
          <w:tblW w:w="8280" w:type="dxa"/>
          <w:jc w:val="center"/>
          <w:tblLook w:val="04A0"/>
        </w:tblPrEx>
        <w:trPr>
          <w:jc w:val="center"/>
        </w:trPr>
        <w:tc>
          <w:tcPr>
            <w:tcW w:w="0" w:type="dxa"/>
            <w:shd w:val="clear" w:color="auto" w:fill="EFF9FF"/>
          </w:tcPr>
          <w:p w:rsidR="00FE30A9" w:rsidRPr="00891D88" w:rsidP="00FE30A9" w14:paraId="74334457" w14:textId="77777777">
            <w:pPr>
              <w:keepNext/>
              <w:keepLines/>
              <w:numPr>
                <w:ilvl w:val="0"/>
                <w:numId w:val="30"/>
              </w:numPr>
              <w:spacing w:after="40"/>
              <w:ind w:left="701" w:hanging="270"/>
              <w:rPr>
                <w:b w:val="0"/>
                <w:bCs w:val="0"/>
              </w:rPr>
            </w:pPr>
            <w:r w:rsidRPr="00891D88">
              <w:rPr>
                <w:b w:val="0"/>
                <w:bCs w:val="0"/>
              </w:rPr>
              <w:t xml:space="preserve">Spread between interest on reserves </w:t>
            </w:r>
            <w:r w:rsidRPr="00891D88">
              <w:rPr>
                <w:b w:val="0"/>
                <w:bCs w:val="0"/>
                <w:i/>
                <w:iCs/>
              </w:rPr>
              <w:t>and overnight borrowings</w:t>
            </w:r>
          </w:p>
        </w:tc>
        <w:tc>
          <w:tcPr>
            <w:tcW w:w="0" w:type="dxa"/>
            <w:shd w:val="clear" w:color="auto" w:fill="EFF9FF"/>
          </w:tcPr>
          <w:p w:rsidR="00FE30A9" w:rsidRPr="00891D88" w:rsidP="00C16292" w14:paraId="6DD1BC28" w14:textId="77777777">
            <w:pPr>
              <w:keepNext/>
              <w:keepLines/>
            </w:pPr>
          </w:p>
        </w:tc>
      </w:tr>
      <w:tr w14:paraId="150EC5AC" w14:textId="77777777" w:rsidTr="00C16292">
        <w:tblPrEx>
          <w:tblW w:w="8280" w:type="dxa"/>
          <w:jc w:val="center"/>
          <w:tblLook w:val="04A0"/>
        </w:tblPrEx>
        <w:trPr>
          <w:jc w:val="center"/>
        </w:trPr>
        <w:tc>
          <w:tcPr>
            <w:tcW w:w="0" w:type="dxa"/>
            <w:shd w:val="clear" w:color="auto" w:fill="FFFFFF" w:themeFill="background1"/>
          </w:tcPr>
          <w:p w:rsidR="00FE30A9" w:rsidRPr="00891D88" w:rsidP="00FE30A9" w14:paraId="170B2DC1" w14:textId="77777777">
            <w:pPr>
              <w:keepNext/>
              <w:keepLines/>
              <w:numPr>
                <w:ilvl w:val="0"/>
                <w:numId w:val="30"/>
              </w:numPr>
              <w:spacing w:after="40"/>
              <w:ind w:left="701" w:hanging="270"/>
              <w:rPr>
                <w:b w:val="0"/>
                <w:bCs w:val="0"/>
              </w:rPr>
            </w:pPr>
            <w:r w:rsidRPr="00891D88">
              <w:rPr>
                <w:b w:val="0"/>
                <w:bCs w:val="0"/>
              </w:rPr>
              <w:t xml:space="preserve">Differential in </w:t>
            </w:r>
            <w:r>
              <w:rPr>
                <w:b w:val="0"/>
                <w:bCs w:val="0"/>
              </w:rPr>
              <w:t>foreign exchange</w:t>
            </w:r>
            <w:r w:rsidRPr="00891D88">
              <w:rPr>
                <w:b w:val="0"/>
                <w:bCs w:val="0"/>
              </w:rPr>
              <w:t>/cross-currency basis resulting in a preference for holding dollar reserves</w:t>
            </w:r>
          </w:p>
        </w:tc>
        <w:tc>
          <w:tcPr>
            <w:tcW w:w="0" w:type="dxa"/>
            <w:shd w:val="clear" w:color="auto" w:fill="FFFFFF" w:themeFill="background1"/>
          </w:tcPr>
          <w:p w:rsidR="00FE30A9" w:rsidRPr="00891D88" w:rsidP="00C16292" w14:paraId="22E70DF2" w14:textId="77777777">
            <w:pPr>
              <w:keepNext/>
              <w:keepLines/>
            </w:pPr>
          </w:p>
        </w:tc>
      </w:tr>
      <w:tr w14:paraId="7459C736" w14:textId="77777777" w:rsidTr="00C16292">
        <w:tblPrEx>
          <w:tblW w:w="8280" w:type="dxa"/>
          <w:jc w:val="center"/>
          <w:tblLook w:val="04A0"/>
        </w:tblPrEx>
        <w:trPr>
          <w:jc w:val="center"/>
        </w:trPr>
        <w:tc>
          <w:tcPr>
            <w:tcW w:w="0" w:type="dxa"/>
            <w:shd w:val="clear" w:color="auto" w:fill="EFF9FF"/>
            <w:hideMark/>
          </w:tcPr>
          <w:p w:rsidR="00FE30A9" w:rsidRPr="00891D88" w:rsidP="00FE30A9" w14:paraId="72C21945" w14:textId="77777777">
            <w:pPr>
              <w:keepNext/>
              <w:keepLines/>
              <w:numPr>
                <w:ilvl w:val="0"/>
                <w:numId w:val="30"/>
              </w:numPr>
              <w:spacing w:after="40"/>
              <w:ind w:left="701" w:hanging="270"/>
              <w:rPr>
                <w:b w:val="0"/>
                <w:bCs w:val="0"/>
              </w:rPr>
            </w:pPr>
            <w:r w:rsidRPr="00891D88">
              <w:rPr>
                <w:b w:val="0"/>
                <w:bCs w:val="0"/>
              </w:rPr>
              <w:t xml:space="preserve">Higher-than-expected uncertainty in your </w:t>
            </w:r>
            <w:r>
              <w:rPr>
                <w:b w:val="0"/>
                <w:bCs w:val="0"/>
              </w:rPr>
              <w:t>institution’s</w:t>
            </w:r>
            <w:r w:rsidRPr="00891D88">
              <w:rPr>
                <w:b w:val="0"/>
                <w:bCs w:val="0"/>
              </w:rPr>
              <w:t xml:space="preserve"> depositor behavior/deposit outflows</w:t>
            </w:r>
          </w:p>
        </w:tc>
        <w:tc>
          <w:tcPr>
            <w:tcW w:w="0" w:type="dxa"/>
            <w:shd w:val="clear" w:color="auto" w:fill="EFF9FF"/>
          </w:tcPr>
          <w:p w:rsidR="00FE30A9" w:rsidRPr="00891D88" w:rsidP="00C16292" w14:paraId="1B505857" w14:textId="77777777">
            <w:pPr>
              <w:keepNext/>
              <w:keepLines/>
            </w:pPr>
          </w:p>
        </w:tc>
      </w:tr>
      <w:tr w14:paraId="0BD8FE15" w14:textId="77777777" w:rsidTr="00C16292">
        <w:tblPrEx>
          <w:tblW w:w="8280" w:type="dxa"/>
          <w:jc w:val="center"/>
          <w:tblLook w:val="04A0"/>
        </w:tblPrEx>
        <w:trPr>
          <w:jc w:val="center"/>
        </w:trPr>
        <w:tc>
          <w:tcPr>
            <w:tcW w:w="0" w:type="dxa"/>
            <w:shd w:val="clear" w:color="auto" w:fill="FFFFFF" w:themeFill="background1"/>
          </w:tcPr>
          <w:p w:rsidR="00FE30A9" w:rsidRPr="00891D88" w:rsidP="00FE30A9" w14:paraId="333C5901" w14:textId="77777777">
            <w:pPr>
              <w:keepNext/>
              <w:keepLines/>
              <w:numPr>
                <w:ilvl w:val="0"/>
                <w:numId w:val="30"/>
              </w:numPr>
              <w:spacing w:after="40"/>
              <w:ind w:left="701" w:hanging="270"/>
              <w:rPr>
                <w:b w:val="0"/>
                <w:bCs w:val="0"/>
              </w:rPr>
            </w:pPr>
            <w:r w:rsidRPr="00891D88">
              <w:rPr>
                <w:b w:val="0"/>
                <w:bCs w:val="0"/>
              </w:rPr>
              <w:t xml:space="preserve">Perceptions of banking-sector health  </w:t>
            </w:r>
          </w:p>
        </w:tc>
        <w:tc>
          <w:tcPr>
            <w:tcW w:w="0" w:type="dxa"/>
            <w:shd w:val="clear" w:color="auto" w:fill="FFFFFF" w:themeFill="background1"/>
          </w:tcPr>
          <w:p w:rsidR="00FE30A9" w:rsidRPr="00891D88" w:rsidP="00C16292" w14:paraId="2D2F54E7" w14:textId="77777777">
            <w:pPr>
              <w:keepNext/>
              <w:keepLines/>
            </w:pPr>
          </w:p>
        </w:tc>
      </w:tr>
      <w:tr w14:paraId="153D6CAE" w14:textId="77777777" w:rsidTr="00C16292">
        <w:tblPrEx>
          <w:tblW w:w="8280" w:type="dxa"/>
          <w:jc w:val="center"/>
          <w:tblLook w:val="04A0"/>
        </w:tblPrEx>
        <w:trPr>
          <w:jc w:val="center"/>
        </w:trPr>
        <w:tc>
          <w:tcPr>
            <w:tcW w:w="0" w:type="dxa"/>
            <w:shd w:val="clear" w:color="auto" w:fill="EFF9FF"/>
            <w:hideMark/>
          </w:tcPr>
          <w:p w:rsidR="00FE30A9" w:rsidRPr="00891D88" w:rsidP="00FE30A9" w14:paraId="1E982F24" w14:textId="77777777">
            <w:pPr>
              <w:keepNext/>
              <w:keepLines/>
              <w:numPr>
                <w:ilvl w:val="0"/>
                <w:numId w:val="30"/>
              </w:numPr>
              <w:spacing w:after="40"/>
              <w:ind w:left="701" w:hanging="270"/>
              <w:rPr>
                <w:b w:val="0"/>
                <w:bCs w:val="0"/>
              </w:rPr>
            </w:pPr>
            <w:r w:rsidRPr="00891D88">
              <w:rPr>
                <w:b w:val="0"/>
                <w:bCs w:val="0"/>
              </w:rPr>
              <w:t>Low duration of reserves</w:t>
            </w:r>
          </w:p>
        </w:tc>
        <w:tc>
          <w:tcPr>
            <w:tcW w:w="0" w:type="dxa"/>
            <w:shd w:val="clear" w:color="auto" w:fill="EFF9FF"/>
          </w:tcPr>
          <w:p w:rsidR="00FE30A9" w:rsidRPr="00891D88" w:rsidP="00C16292" w14:paraId="4F5544CE" w14:textId="77777777">
            <w:pPr>
              <w:keepNext/>
              <w:keepLines/>
              <w:rPr>
                <w:b/>
                <w:bCs/>
              </w:rPr>
            </w:pPr>
          </w:p>
        </w:tc>
      </w:tr>
      <w:tr w14:paraId="6BDE830D" w14:textId="77777777" w:rsidTr="00C16292">
        <w:tblPrEx>
          <w:tblW w:w="8280" w:type="dxa"/>
          <w:jc w:val="center"/>
          <w:tblLook w:val="04A0"/>
        </w:tblPrEx>
        <w:trPr>
          <w:jc w:val="center"/>
        </w:trPr>
        <w:tc>
          <w:tcPr>
            <w:tcW w:w="0" w:type="dxa"/>
            <w:shd w:val="clear" w:color="auto" w:fill="FFFFFF" w:themeFill="background1"/>
          </w:tcPr>
          <w:p w:rsidR="00FE30A9" w:rsidRPr="003E0ED8" w:rsidP="00FE30A9" w14:paraId="707EFA84" w14:textId="77777777">
            <w:pPr>
              <w:keepNext/>
              <w:keepLines/>
              <w:numPr>
                <w:ilvl w:val="0"/>
                <w:numId w:val="30"/>
              </w:numPr>
              <w:spacing w:after="40"/>
              <w:ind w:left="701" w:hanging="270"/>
              <w:rPr>
                <w:b w:val="0"/>
                <w:bCs w:val="0"/>
              </w:rPr>
            </w:pPr>
            <w:r w:rsidRPr="00891D88">
              <w:rPr>
                <w:b w:val="0"/>
                <w:bCs w:val="0"/>
              </w:rPr>
              <w:t xml:space="preserve">Anticipation of an acceleration in future loan growth </w:t>
            </w:r>
          </w:p>
        </w:tc>
        <w:tc>
          <w:tcPr>
            <w:tcW w:w="0" w:type="dxa"/>
            <w:shd w:val="clear" w:color="auto" w:fill="FFFFFF" w:themeFill="background1"/>
          </w:tcPr>
          <w:p w:rsidR="00FE30A9" w:rsidRPr="00891D88" w:rsidP="00C16292" w14:paraId="525D99B4" w14:textId="77777777">
            <w:pPr>
              <w:keepNext/>
              <w:keepLines/>
              <w:rPr>
                <w:b/>
                <w:bCs/>
              </w:rPr>
            </w:pPr>
          </w:p>
        </w:tc>
      </w:tr>
      <w:tr w14:paraId="7C4C8557" w14:textId="77777777" w:rsidTr="00C16292">
        <w:tblPrEx>
          <w:tblW w:w="8280" w:type="dxa"/>
          <w:jc w:val="center"/>
          <w:tblLook w:val="04A0"/>
        </w:tblPrEx>
        <w:trPr>
          <w:jc w:val="center"/>
        </w:trPr>
        <w:tc>
          <w:tcPr>
            <w:tcW w:w="0" w:type="dxa"/>
            <w:shd w:val="clear" w:color="auto" w:fill="EFF9FF"/>
          </w:tcPr>
          <w:p w:rsidR="00FE30A9" w:rsidRPr="00891D88" w:rsidP="00FE30A9" w14:paraId="525682CE" w14:textId="77777777">
            <w:pPr>
              <w:keepNext/>
              <w:keepLines/>
              <w:numPr>
                <w:ilvl w:val="0"/>
                <w:numId w:val="30"/>
              </w:numPr>
              <w:spacing w:after="40"/>
              <w:ind w:left="701" w:hanging="270"/>
              <w:rPr>
                <w:b w:val="0"/>
                <w:bCs w:val="0"/>
              </w:rPr>
            </w:pPr>
            <w:r w:rsidRPr="00891D88">
              <w:rPr>
                <w:b w:val="0"/>
                <w:bCs w:val="0"/>
              </w:rPr>
              <w:t xml:space="preserve">Other (please use the comment box) </w:t>
            </w:r>
          </w:p>
        </w:tc>
        <w:tc>
          <w:tcPr>
            <w:tcW w:w="0" w:type="dxa"/>
            <w:shd w:val="clear" w:color="auto" w:fill="EFF9FF"/>
          </w:tcPr>
          <w:p w:rsidR="00FE30A9" w:rsidRPr="00891D88" w:rsidP="00C16292" w14:paraId="5BE5070E" w14:textId="77777777">
            <w:pPr>
              <w:keepNext/>
              <w:keepLines/>
            </w:pPr>
          </w:p>
        </w:tc>
      </w:tr>
    </w:tbl>
    <w:p w:rsidR="00FE30A9" w:rsidRPr="002845F0" w:rsidP="00FE30A9" w14:paraId="1EA451F8" w14:textId="77777777">
      <w:pPr>
        <w:rPr>
          <w:sz w:val="10"/>
          <w:szCs w:val="10"/>
        </w:rPr>
      </w:pPr>
    </w:p>
    <w:p w:rsidR="00FE30A9" w:rsidP="00FE30A9" w14:paraId="20E95835" w14:textId="77777777">
      <w:r w:rsidRPr="00891D88">
        <w:tab/>
        <w:t>[comment box]</w:t>
      </w:r>
    </w:p>
    <w:p w:rsidR="00FE30A9" w:rsidP="00FE30A9" w14:paraId="32E9BD2D" w14:textId="77777777"/>
    <w:p w:rsidR="00FE30A9" w:rsidRPr="00927A94" w:rsidP="00FE30A9" w14:paraId="4C0B2B9B" w14:textId="77777777">
      <w:pPr>
        <w:pStyle w:val="ListParagraph"/>
        <w:keepNext/>
        <w:keepLines/>
        <w:numPr>
          <w:ilvl w:val="0"/>
          <w:numId w:val="21"/>
        </w:numPr>
        <w:spacing w:after="120"/>
        <w:rPr>
          <w:rFonts w:ascii="Calibri" w:eastAsia="Calibri" w:hAnsi="Calibri" w:cs="Times New Roman"/>
        </w:rPr>
      </w:pPr>
      <w:r w:rsidRPr="00927A94">
        <w:rPr>
          <w:rFonts w:ascii="Calibri" w:eastAsia="Calibri" w:hAnsi="Calibri" w:cs="Times New Roman"/>
        </w:rPr>
        <w:t>For each hypothetical change in the level of overnight interest rates relative to the interest rate on reserve balances (IORB) shown in the first column of the following table in basis points</w:t>
      </w:r>
      <w:r>
        <w:rPr>
          <w:rFonts w:ascii="Calibri" w:eastAsia="Calibri" w:hAnsi="Calibri" w:cs="Times New Roman"/>
        </w:rPr>
        <w:t>, please pro</w:t>
      </w:r>
      <w:r w:rsidRPr="00927A94">
        <w:rPr>
          <w:rFonts w:eastAsia="Calibri" w:cs="Times New Roman"/>
        </w:rPr>
        <w:t>vide an approximate forecast of your institution’s reserve balance in $ millions.</w:t>
      </w:r>
      <w:r>
        <w:rPr>
          <w:rFonts w:eastAsia="Calibri" w:cs="Times New Roman"/>
        </w:rPr>
        <w:t xml:space="preserve"> </w:t>
      </w:r>
    </w:p>
    <w:tbl>
      <w:tblPr>
        <w:tblStyle w:val="TableGrid1"/>
        <w:tblW w:w="4765" w:type="pct"/>
        <w:tblInd w:w="535" w:type="dxa"/>
        <w:tblLook w:val="04A0"/>
      </w:tblPr>
      <w:tblGrid>
        <w:gridCol w:w="5937"/>
        <w:gridCol w:w="2974"/>
      </w:tblGrid>
      <w:tr w14:paraId="6208C724" w14:textId="77777777" w:rsidTr="00C16292">
        <w:tblPrEx>
          <w:tblW w:w="4765" w:type="pct"/>
          <w:tblInd w:w="535" w:type="dxa"/>
          <w:tblLook w:val="04A0"/>
        </w:tblPrEx>
        <w:trPr>
          <w:trHeight w:val="350"/>
        </w:trPr>
        <w:tc>
          <w:tcPr>
            <w:tcW w:w="3331" w:type="pct"/>
            <w:shd w:val="clear" w:color="auto" w:fill="DAE9F7"/>
          </w:tcPr>
          <w:p w:rsidR="00FE30A9" w:rsidRPr="00891D88" w:rsidP="00C16292" w14:paraId="6394C55A" w14:textId="77777777">
            <w:pPr>
              <w:keepNext/>
              <w:keepLines/>
              <w:rPr>
                <w:rFonts w:eastAsia="Calibri" w:cs="Times New Roman"/>
                <w:b/>
                <w:bCs/>
              </w:rPr>
            </w:pPr>
            <w:r w:rsidRPr="00891D88">
              <w:rPr>
                <w:rFonts w:eastAsia="Calibri" w:cs="Times New Roman"/>
                <w:b/>
                <w:bCs/>
              </w:rPr>
              <w:t xml:space="preserve">Relative to IORB, the constellation of overnight interest rates is: </w:t>
            </w:r>
          </w:p>
        </w:tc>
        <w:tc>
          <w:tcPr>
            <w:tcW w:w="1669" w:type="pct"/>
            <w:shd w:val="clear" w:color="auto" w:fill="DAE9F7"/>
          </w:tcPr>
          <w:p w:rsidR="00FE30A9" w:rsidRPr="00891D88" w:rsidP="00C16292" w14:paraId="5D640B0D" w14:textId="77777777">
            <w:pPr>
              <w:keepNext/>
              <w:keepLines/>
              <w:rPr>
                <w:rFonts w:eastAsia="Calibri" w:cs="Times New Roman"/>
              </w:rPr>
            </w:pPr>
            <w:r w:rsidRPr="00891D88">
              <w:rPr>
                <w:rFonts w:eastAsia="Calibri" w:cs="Times New Roman"/>
              </w:rPr>
              <w:t xml:space="preserve"> Approximate level of reserve balance ($ millions):</w:t>
            </w:r>
          </w:p>
        </w:tc>
      </w:tr>
      <w:tr w14:paraId="647B3973" w14:textId="77777777" w:rsidTr="00C16292">
        <w:tblPrEx>
          <w:tblW w:w="4765" w:type="pct"/>
          <w:tblInd w:w="535" w:type="dxa"/>
          <w:tblLook w:val="04A0"/>
        </w:tblPrEx>
        <w:trPr>
          <w:trHeight w:val="341"/>
        </w:trPr>
        <w:tc>
          <w:tcPr>
            <w:tcW w:w="3331" w:type="pct"/>
            <w:shd w:val="clear" w:color="auto" w:fill="F2F2F2" w:themeFill="background1" w:themeFillShade="F2"/>
          </w:tcPr>
          <w:p w:rsidR="00FE30A9" w:rsidRPr="00891D88" w:rsidP="00C16292" w14:paraId="05CC8C9E" w14:textId="77777777">
            <w:pPr>
              <w:keepNext/>
              <w:keepLines/>
              <w:spacing w:after="60"/>
              <w:rPr>
                <w:rFonts w:eastAsia="Calibri" w:cs="Times New Roman"/>
              </w:rPr>
            </w:pPr>
            <w:r w:rsidRPr="00891D88">
              <w:rPr>
                <w:rFonts w:eastAsia="Calibri" w:cs="Times New Roman"/>
              </w:rPr>
              <w:t>At the same level as it was over the past month</w:t>
            </w:r>
            <w:r>
              <w:rPr>
                <w:rFonts w:eastAsia="Calibri" w:cs="Times New Roman"/>
              </w:rPr>
              <w:t xml:space="preserve"> </w:t>
            </w:r>
          </w:p>
        </w:tc>
        <w:tc>
          <w:tcPr>
            <w:tcW w:w="1669" w:type="pct"/>
            <w:shd w:val="clear" w:color="auto" w:fill="F2F2F2" w:themeFill="background1" w:themeFillShade="F2"/>
          </w:tcPr>
          <w:p w:rsidR="00FE30A9" w:rsidRPr="00891D88" w:rsidP="00C16292" w14:paraId="133B4964" w14:textId="77777777">
            <w:pPr>
              <w:keepNext/>
              <w:keepLines/>
              <w:spacing w:after="60"/>
              <w:rPr>
                <w:rFonts w:eastAsia="Calibri" w:cs="Times New Roman"/>
              </w:rPr>
            </w:pPr>
            <w:r w:rsidRPr="00891D88">
              <w:rPr>
                <w:rFonts w:eastAsia="Calibri" w:cs="Times New Roman"/>
              </w:rPr>
              <w:t xml:space="preserve">[import </w:t>
            </w:r>
            <w:r>
              <w:rPr>
                <w:rFonts w:eastAsia="Calibri" w:cs="Times New Roman"/>
              </w:rPr>
              <w:t>institution</w:t>
            </w:r>
            <w:r w:rsidRPr="00891D88">
              <w:rPr>
                <w:rFonts w:eastAsia="Calibri" w:cs="Times New Roman"/>
              </w:rPr>
              <w:t>’s recent reserve level]</w:t>
            </w:r>
          </w:p>
        </w:tc>
      </w:tr>
      <w:tr w14:paraId="081BA033" w14:textId="77777777" w:rsidTr="00C16292">
        <w:tblPrEx>
          <w:tblW w:w="4765" w:type="pct"/>
          <w:tblInd w:w="535" w:type="dxa"/>
          <w:tblLook w:val="04A0"/>
        </w:tblPrEx>
        <w:trPr>
          <w:trHeight w:val="269"/>
        </w:trPr>
        <w:tc>
          <w:tcPr>
            <w:tcW w:w="3331" w:type="pct"/>
          </w:tcPr>
          <w:p w:rsidR="00FE30A9" w:rsidRPr="00312B8A" w:rsidP="00FE30A9" w14:paraId="6657CC7D" w14:textId="77777777">
            <w:pPr>
              <w:pStyle w:val="ListParagraph"/>
              <w:keepNext/>
              <w:keepLines/>
              <w:numPr>
                <w:ilvl w:val="0"/>
                <w:numId w:val="31"/>
              </w:numPr>
              <w:spacing w:after="80"/>
              <w:ind w:left="341" w:hanging="90"/>
              <w:contextualSpacing w:val="0"/>
              <w:rPr>
                <w:rFonts w:eastAsia="Calibri" w:cs="Times New Roman"/>
              </w:rPr>
            </w:pPr>
            <w:r>
              <w:rPr>
                <w:rFonts w:eastAsia="Calibri" w:cs="Times New Roman"/>
              </w:rPr>
              <w:t>4</w:t>
            </w:r>
            <w:r w:rsidRPr="00312B8A">
              <w:rPr>
                <w:rFonts w:eastAsia="Calibri" w:cs="Times New Roman"/>
              </w:rPr>
              <w:t xml:space="preserve"> basis points higher than it was over the past month </w:t>
            </w:r>
          </w:p>
        </w:tc>
        <w:tc>
          <w:tcPr>
            <w:tcW w:w="1669" w:type="pct"/>
          </w:tcPr>
          <w:p w:rsidR="00FE30A9" w:rsidRPr="00312B8A" w:rsidP="00C16292" w14:paraId="514CBDD6" w14:textId="77777777">
            <w:pPr>
              <w:keepNext/>
              <w:keepLines/>
              <w:spacing w:after="80"/>
              <w:rPr>
                <w:rFonts w:eastAsia="Calibri" w:cs="Times New Roman"/>
              </w:rPr>
            </w:pPr>
          </w:p>
        </w:tc>
      </w:tr>
      <w:tr w14:paraId="7CCF19F0" w14:textId="77777777" w:rsidTr="00C16292">
        <w:tblPrEx>
          <w:tblW w:w="4765" w:type="pct"/>
          <w:tblInd w:w="535" w:type="dxa"/>
          <w:tblLook w:val="04A0"/>
        </w:tblPrEx>
        <w:tc>
          <w:tcPr>
            <w:tcW w:w="3331" w:type="pct"/>
          </w:tcPr>
          <w:p w:rsidR="00FE30A9" w:rsidRPr="00312B8A" w:rsidP="00FE30A9" w14:paraId="26DD75C2" w14:textId="77777777">
            <w:pPr>
              <w:pStyle w:val="ListParagraph"/>
              <w:keepNext/>
              <w:keepLines/>
              <w:numPr>
                <w:ilvl w:val="0"/>
                <w:numId w:val="31"/>
              </w:numPr>
              <w:spacing w:after="80"/>
              <w:ind w:left="341" w:hanging="90"/>
              <w:contextualSpacing w:val="0"/>
              <w:rPr>
                <w:rFonts w:eastAsia="Calibri" w:cs="Times New Roman"/>
              </w:rPr>
            </w:pPr>
            <w:r w:rsidRPr="00312B8A">
              <w:rPr>
                <w:rFonts w:eastAsia="Calibri" w:cs="Times New Roman"/>
              </w:rPr>
              <w:t>8 basis points higher than it was over the past month</w:t>
            </w:r>
          </w:p>
        </w:tc>
        <w:tc>
          <w:tcPr>
            <w:tcW w:w="1669" w:type="pct"/>
          </w:tcPr>
          <w:p w:rsidR="00FE30A9" w:rsidRPr="00312B8A" w:rsidP="00C16292" w14:paraId="18FB53EB" w14:textId="77777777">
            <w:pPr>
              <w:keepNext/>
              <w:keepLines/>
              <w:spacing w:after="80"/>
              <w:rPr>
                <w:rFonts w:eastAsia="Calibri" w:cs="Times New Roman"/>
              </w:rPr>
            </w:pPr>
          </w:p>
        </w:tc>
      </w:tr>
      <w:tr w14:paraId="523CB27A" w14:textId="77777777" w:rsidTr="00C16292">
        <w:tblPrEx>
          <w:tblW w:w="4765" w:type="pct"/>
          <w:tblInd w:w="535" w:type="dxa"/>
          <w:tblLook w:val="04A0"/>
        </w:tblPrEx>
        <w:tc>
          <w:tcPr>
            <w:tcW w:w="3331" w:type="pct"/>
          </w:tcPr>
          <w:p w:rsidR="00FE30A9" w:rsidRPr="00312B8A" w:rsidP="00FE30A9" w14:paraId="3022F58A" w14:textId="77777777">
            <w:pPr>
              <w:pStyle w:val="ListParagraph"/>
              <w:keepNext/>
              <w:keepLines/>
              <w:numPr>
                <w:ilvl w:val="0"/>
                <w:numId w:val="31"/>
              </w:numPr>
              <w:spacing w:after="80"/>
              <w:ind w:left="341" w:hanging="90"/>
              <w:contextualSpacing w:val="0"/>
              <w:rPr>
                <w:rFonts w:eastAsia="Calibri" w:cs="Times New Roman"/>
              </w:rPr>
            </w:pPr>
            <w:r w:rsidRPr="00D31B69">
              <w:rPr>
                <w:rFonts w:eastAsia="Calibri" w:cs="Times New Roman"/>
              </w:rPr>
              <w:t>12</w:t>
            </w:r>
            <w:r w:rsidRPr="00312B8A">
              <w:rPr>
                <w:rFonts w:eastAsia="Calibri" w:cs="Times New Roman"/>
              </w:rPr>
              <w:t xml:space="preserve"> basis points higher than it was over the past month</w:t>
            </w:r>
          </w:p>
        </w:tc>
        <w:tc>
          <w:tcPr>
            <w:tcW w:w="1669" w:type="pct"/>
          </w:tcPr>
          <w:p w:rsidR="00FE30A9" w:rsidRPr="00312B8A" w:rsidP="00C16292" w14:paraId="48327198" w14:textId="77777777">
            <w:pPr>
              <w:keepNext/>
              <w:keepLines/>
              <w:spacing w:after="80"/>
              <w:rPr>
                <w:rFonts w:eastAsia="Calibri" w:cs="Times New Roman"/>
              </w:rPr>
            </w:pPr>
          </w:p>
        </w:tc>
      </w:tr>
      <w:tr w14:paraId="464BD5DB" w14:textId="77777777" w:rsidTr="00C16292">
        <w:tblPrEx>
          <w:tblW w:w="4765" w:type="pct"/>
          <w:tblInd w:w="535" w:type="dxa"/>
          <w:tblLook w:val="04A0"/>
        </w:tblPrEx>
        <w:tc>
          <w:tcPr>
            <w:tcW w:w="3331" w:type="pct"/>
          </w:tcPr>
          <w:p w:rsidR="00FE30A9" w:rsidRPr="00312B8A" w:rsidP="00FE30A9" w14:paraId="7D97DF7D" w14:textId="77777777">
            <w:pPr>
              <w:pStyle w:val="ListParagraph"/>
              <w:keepNext/>
              <w:keepLines/>
              <w:numPr>
                <w:ilvl w:val="0"/>
                <w:numId w:val="31"/>
              </w:numPr>
              <w:spacing w:after="80"/>
              <w:ind w:left="341" w:hanging="90"/>
              <w:contextualSpacing w:val="0"/>
              <w:rPr>
                <w:rFonts w:eastAsia="Calibri" w:cs="Times New Roman"/>
              </w:rPr>
            </w:pPr>
            <w:r w:rsidRPr="00312B8A">
              <w:rPr>
                <w:rFonts w:eastAsia="Calibri" w:cs="Times New Roman"/>
              </w:rPr>
              <w:t xml:space="preserve"> </w:t>
            </w:r>
            <w:r w:rsidRPr="00D31B69">
              <w:rPr>
                <w:rFonts w:eastAsia="Calibri" w:cs="Times New Roman"/>
              </w:rPr>
              <w:t>16</w:t>
            </w:r>
            <w:r w:rsidRPr="00312B8A">
              <w:rPr>
                <w:rFonts w:eastAsia="Calibri" w:cs="Times New Roman"/>
              </w:rPr>
              <w:t xml:space="preserve"> basis points higher than it was over the past month </w:t>
            </w:r>
          </w:p>
        </w:tc>
        <w:tc>
          <w:tcPr>
            <w:tcW w:w="1669" w:type="pct"/>
          </w:tcPr>
          <w:p w:rsidR="00FE30A9" w:rsidRPr="00312B8A" w:rsidP="00C16292" w14:paraId="4665B133" w14:textId="77777777">
            <w:pPr>
              <w:keepNext/>
              <w:keepLines/>
              <w:spacing w:after="80"/>
              <w:rPr>
                <w:rFonts w:eastAsia="Calibri" w:cs="Times New Roman"/>
              </w:rPr>
            </w:pPr>
          </w:p>
        </w:tc>
      </w:tr>
    </w:tbl>
    <w:p w:rsidR="00FE30A9" w:rsidRPr="00891D88" w:rsidP="00FE30A9" w14:paraId="665814B6" w14:textId="77777777"/>
    <w:p w:rsidR="00FE30A9" w:rsidP="00FE30A9" w14:paraId="5C1F885F" w14:textId="77777777">
      <w:pPr>
        <w:pStyle w:val="ListParagraph"/>
        <w:keepNext/>
        <w:keepLines/>
        <w:numPr>
          <w:ilvl w:val="0"/>
          <w:numId w:val="21"/>
        </w:numPr>
        <w:spacing w:after="120"/>
        <w:contextualSpacing w:val="0"/>
      </w:pPr>
      <w:r>
        <w:t>Please rate the importance of potential factors that affect your institution’s redeployment of reserves into Treasury securities</w:t>
      </w:r>
      <w:r w:rsidRPr="00192BF0">
        <w:t xml:space="preserve"> </w:t>
      </w:r>
      <w:r>
        <w:t xml:space="preserve">in a scenario where your institution’s reserves level is </w:t>
      </w:r>
      <w:r w:rsidRPr="00891D88">
        <w:t>higher than the sum of the LCLOR plus preferred additional</w:t>
      </w:r>
      <w:r>
        <w:t xml:space="preserve"> reserves</w:t>
      </w:r>
      <w:r w:rsidRPr="00891D88">
        <w:t xml:space="preserve"> </w:t>
      </w:r>
      <w:r>
        <w:t xml:space="preserve">on a scale of 1 (not important) to 5 (very important). </w:t>
      </w:r>
    </w:p>
    <w:tbl>
      <w:tblPr>
        <w:tblStyle w:val="GridTable4Accent1"/>
        <w:tblW w:w="8455" w:type="dxa"/>
        <w:jc w:val="center"/>
        <w:tblLook w:val="04A0"/>
      </w:tblPr>
      <w:tblGrid>
        <w:gridCol w:w="6925"/>
        <w:gridCol w:w="1530"/>
      </w:tblGrid>
      <w:tr w14:paraId="4AB0D9EE" w14:textId="77777777" w:rsidTr="00C16292">
        <w:tblPrEx>
          <w:tblW w:w="8455" w:type="dxa"/>
          <w:jc w:val="center"/>
          <w:tblLook w:val="04A0"/>
        </w:tblPrEx>
        <w:trPr>
          <w:trHeight w:val="377"/>
          <w:jc w:val="center"/>
        </w:trPr>
        <w:tc>
          <w:tcPr>
            <w:tcW w:w="6925" w:type="dxa"/>
            <w:shd w:val="clear" w:color="auto" w:fill="DAE9F7"/>
          </w:tcPr>
          <w:p w:rsidR="00FE30A9" w:rsidRPr="008B507E" w:rsidP="00C16292" w14:paraId="40BF80D3" w14:textId="77777777">
            <w:pPr>
              <w:keepNext/>
              <w:keepLines/>
              <w:rPr>
                <w:color w:val="auto"/>
              </w:rPr>
            </w:pPr>
            <w:r w:rsidRPr="008B507E">
              <w:rPr>
                <w:color w:val="auto"/>
              </w:rPr>
              <w:t>Factors</w:t>
            </w:r>
          </w:p>
        </w:tc>
        <w:tc>
          <w:tcPr>
            <w:tcW w:w="1530" w:type="dxa"/>
            <w:shd w:val="clear" w:color="auto" w:fill="DAE9F7"/>
          </w:tcPr>
          <w:p w:rsidR="00FE30A9" w:rsidRPr="008B507E" w:rsidP="00C16292" w14:paraId="0DBDF01A" w14:textId="77777777">
            <w:pPr>
              <w:keepNext/>
              <w:keepLines/>
              <w:ind w:left="-105"/>
              <w:rPr>
                <w:color w:val="auto"/>
              </w:rPr>
            </w:pPr>
            <w:r w:rsidRPr="008B507E">
              <w:rPr>
                <w:color w:val="auto"/>
              </w:rPr>
              <w:t>Rating</w:t>
            </w:r>
          </w:p>
        </w:tc>
      </w:tr>
      <w:tr w14:paraId="7FC8A63C" w14:textId="77777777" w:rsidTr="00C16292">
        <w:tblPrEx>
          <w:tblW w:w="8455" w:type="dxa"/>
          <w:jc w:val="center"/>
          <w:tblLook w:val="04A0"/>
        </w:tblPrEx>
        <w:trPr>
          <w:jc w:val="center"/>
        </w:trPr>
        <w:tc>
          <w:tcPr>
            <w:tcW w:w="6925" w:type="dxa"/>
            <w:shd w:val="clear" w:color="auto" w:fill="FFFFFF" w:themeFill="background1"/>
          </w:tcPr>
          <w:p w:rsidR="00FE30A9" w:rsidRPr="00466465" w:rsidP="00FE30A9" w14:paraId="7DA55A0C" w14:textId="77777777">
            <w:pPr>
              <w:pStyle w:val="ListParagraph"/>
              <w:numPr>
                <w:ilvl w:val="0"/>
                <w:numId w:val="36"/>
              </w:numPr>
              <w:spacing w:after="40"/>
              <w:ind w:left="521" w:hanging="180"/>
            </w:pPr>
            <w:r>
              <w:rPr>
                <w:b w:val="0"/>
                <w:bCs w:val="0"/>
              </w:rPr>
              <w:t>Duration of liabilities / duration matching</w:t>
            </w:r>
          </w:p>
        </w:tc>
        <w:tc>
          <w:tcPr>
            <w:tcW w:w="1530" w:type="dxa"/>
            <w:shd w:val="clear" w:color="auto" w:fill="FFFFFF" w:themeFill="background1"/>
          </w:tcPr>
          <w:p w:rsidR="00FE30A9" w:rsidRPr="00891D88" w:rsidP="00C16292" w14:paraId="4B7C6F5A" w14:textId="77777777">
            <w:pPr>
              <w:keepNext/>
              <w:keepLines/>
            </w:pPr>
          </w:p>
        </w:tc>
      </w:tr>
      <w:tr w14:paraId="305E8A19" w14:textId="77777777" w:rsidTr="00D500A2">
        <w:tblPrEx>
          <w:tblW w:w="8455" w:type="dxa"/>
          <w:jc w:val="center"/>
          <w:tblLook w:val="04A0"/>
        </w:tblPrEx>
        <w:trPr>
          <w:jc w:val="center"/>
        </w:trPr>
        <w:tc>
          <w:tcPr>
            <w:tcW w:w="6925" w:type="dxa"/>
            <w:shd w:val="clear" w:color="auto" w:fill="EFF5FB"/>
            <w:hideMark/>
          </w:tcPr>
          <w:p w:rsidR="00FE30A9" w:rsidRPr="00466465" w:rsidP="00FE30A9" w14:paraId="4F9E4422" w14:textId="77777777">
            <w:pPr>
              <w:pStyle w:val="ListParagraph"/>
              <w:numPr>
                <w:ilvl w:val="0"/>
                <w:numId w:val="36"/>
              </w:numPr>
              <w:spacing w:after="40"/>
              <w:ind w:left="521" w:hanging="180"/>
              <w:rPr>
                <w:b w:val="0"/>
                <w:bCs w:val="0"/>
              </w:rPr>
            </w:pPr>
            <w:r>
              <w:rPr>
                <w:b w:val="0"/>
                <w:bCs w:val="0"/>
              </w:rPr>
              <w:t>Relative liquidity profiles of reserves versus Treasury securities</w:t>
            </w:r>
          </w:p>
        </w:tc>
        <w:tc>
          <w:tcPr>
            <w:tcW w:w="1530" w:type="dxa"/>
            <w:shd w:val="clear" w:color="auto" w:fill="EFF5FB"/>
          </w:tcPr>
          <w:p w:rsidR="00FE30A9" w:rsidRPr="00891D88" w:rsidP="00C16292" w14:paraId="05A89B68" w14:textId="77777777">
            <w:pPr>
              <w:keepNext/>
              <w:keepLines/>
            </w:pPr>
          </w:p>
        </w:tc>
      </w:tr>
      <w:tr w14:paraId="56088E91" w14:textId="77777777" w:rsidTr="00D500A2">
        <w:tblPrEx>
          <w:tblW w:w="8455" w:type="dxa"/>
          <w:jc w:val="center"/>
          <w:tblLook w:val="04A0"/>
        </w:tblPrEx>
        <w:trPr>
          <w:jc w:val="center"/>
        </w:trPr>
        <w:tc>
          <w:tcPr>
            <w:tcW w:w="6925" w:type="dxa"/>
            <w:shd w:val="clear" w:color="auto" w:fill="FFFFFF" w:themeFill="background1"/>
          </w:tcPr>
          <w:p w:rsidR="00FE30A9" w:rsidRPr="00466465" w:rsidP="00FE30A9" w14:paraId="35E4A618" w14:textId="77777777">
            <w:pPr>
              <w:pStyle w:val="ListParagraph"/>
              <w:numPr>
                <w:ilvl w:val="0"/>
                <w:numId w:val="36"/>
              </w:numPr>
              <w:spacing w:after="40"/>
              <w:ind w:left="521" w:hanging="180"/>
            </w:pPr>
            <w:r>
              <w:rPr>
                <w:b w:val="0"/>
                <w:bCs w:val="0"/>
              </w:rPr>
              <w:t>Supervisory and regulatory treatment</w:t>
            </w:r>
          </w:p>
        </w:tc>
        <w:tc>
          <w:tcPr>
            <w:tcW w:w="1530" w:type="dxa"/>
            <w:shd w:val="clear" w:color="auto" w:fill="FFFFFF" w:themeFill="background1"/>
          </w:tcPr>
          <w:p w:rsidR="00FE30A9" w:rsidRPr="00891D88" w:rsidP="00C16292" w14:paraId="1FC4A55C" w14:textId="77777777">
            <w:pPr>
              <w:keepNext/>
              <w:keepLines/>
            </w:pPr>
          </w:p>
        </w:tc>
      </w:tr>
      <w:tr w14:paraId="14BDA980" w14:textId="77777777" w:rsidTr="00D500A2">
        <w:tblPrEx>
          <w:tblW w:w="8455" w:type="dxa"/>
          <w:jc w:val="center"/>
          <w:tblLook w:val="04A0"/>
        </w:tblPrEx>
        <w:trPr>
          <w:jc w:val="center"/>
        </w:trPr>
        <w:tc>
          <w:tcPr>
            <w:tcW w:w="6925" w:type="dxa"/>
            <w:shd w:val="clear" w:color="auto" w:fill="EFF5FB"/>
          </w:tcPr>
          <w:p w:rsidR="00FE30A9" w:rsidRPr="00466465" w:rsidP="00FE30A9" w14:paraId="215229D8" w14:textId="77777777">
            <w:pPr>
              <w:pStyle w:val="ListParagraph"/>
              <w:numPr>
                <w:ilvl w:val="0"/>
                <w:numId w:val="36"/>
              </w:numPr>
              <w:spacing w:after="40"/>
              <w:ind w:left="521" w:hanging="180"/>
              <w:rPr>
                <w:b w:val="0"/>
                <w:bCs w:val="0"/>
              </w:rPr>
            </w:pPr>
            <w:r w:rsidRPr="00466465">
              <w:rPr>
                <w:b w:val="0"/>
                <w:bCs w:val="0"/>
              </w:rPr>
              <w:t>Your institution’s expectations for the Treasury yield curve</w:t>
            </w:r>
          </w:p>
        </w:tc>
        <w:tc>
          <w:tcPr>
            <w:tcW w:w="1530" w:type="dxa"/>
            <w:shd w:val="clear" w:color="auto" w:fill="EFF5FB"/>
          </w:tcPr>
          <w:p w:rsidR="00FE30A9" w:rsidRPr="00891D88" w:rsidP="00C16292" w14:paraId="681BFCC9" w14:textId="77777777">
            <w:pPr>
              <w:keepNext/>
              <w:keepLines/>
            </w:pPr>
          </w:p>
        </w:tc>
      </w:tr>
      <w:tr w14:paraId="6BC5E70C" w14:textId="77777777" w:rsidTr="00C16292">
        <w:tblPrEx>
          <w:tblW w:w="8455" w:type="dxa"/>
          <w:jc w:val="center"/>
          <w:tblLook w:val="04A0"/>
        </w:tblPrEx>
        <w:trPr>
          <w:jc w:val="center"/>
        </w:trPr>
        <w:tc>
          <w:tcPr>
            <w:tcW w:w="6925" w:type="dxa"/>
            <w:shd w:val="clear" w:color="auto" w:fill="FFFFFF" w:themeFill="background1"/>
          </w:tcPr>
          <w:p w:rsidR="00FE30A9" w:rsidRPr="00466465" w:rsidP="00FE30A9" w14:paraId="4B1C5E5A" w14:textId="77777777">
            <w:pPr>
              <w:pStyle w:val="ListParagraph"/>
              <w:numPr>
                <w:ilvl w:val="0"/>
                <w:numId w:val="36"/>
              </w:numPr>
              <w:spacing w:after="40"/>
              <w:ind w:left="521" w:hanging="180"/>
              <w:rPr>
                <w:b w:val="0"/>
                <w:bCs w:val="0"/>
              </w:rPr>
            </w:pPr>
            <w:r w:rsidRPr="00466465">
              <w:rPr>
                <w:b w:val="0"/>
                <w:bCs w:val="0"/>
              </w:rPr>
              <w:t xml:space="preserve">Your institution’s expectations for the path of policy rates </w:t>
            </w:r>
          </w:p>
        </w:tc>
        <w:tc>
          <w:tcPr>
            <w:tcW w:w="1530" w:type="dxa"/>
            <w:shd w:val="clear" w:color="auto" w:fill="FFFFFF" w:themeFill="background1"/>
          </w:tcPr>
          <w:p w:rsidR="00FE30A9" w:rsidRPr="00891D88" w:rsidP="00C16292" w14:paraId="1A5C8E25" w14:textId="77777777">
            <w:pPr>
              <w:keepNext/>
              <w:keepLines/>
            </w:pPr>
          </w:p>
        </w:tc>
      </w:tr>
      <w:tr w14:paraId="1F36CD43" w14:textId="77777777" w:rsidTr="00D500A2">
        <w:tblPrEx>
          <w:tblW w:w="8455" w:type="dxa"/>
          <w:jc w:val="center"/>
          <w:tblLook w:val="04A0"/>
        </w:tblPrEx>
        <w:trPr>
          <w:jc w:val="center"/>
        </w:trPr>
        <w:tc>
          <w:tcPr>
            <w:tcW w:w="6925" w:type="dxa"/>
            <w:shd w:val="clear" w:color="auto" w:fill="EFF5FB"/>
          </w:tcPr>
          <w:p w:rsidR="00FE30A9" w:rsidRPr="00466465" w:rsidP="00FE30A9" w14:paraId="223DADC0" w14:textId="77777777">
            <w:pPr>
              <w:pStyle w:val="ListParagraph"/>
              <w:numPr>
                <w:ilvl w:val="0"/>
                <w:numId w:val="36"/>
              </w:numPr>
              <w:spacing w:after="40"/>
              <w:ind w:left="521" w:hanging="180"/>
            </w:pPr>
            <w:r>
              <w:rPr>
                <w:b w:val="0"/>
                <w:bCs w:val="0"/>
              </w:rPr>
              <w:t>Repo spreads relative to IORB</w:t>
            </w:r>
          </w:p>
        </w:tc>
        <w:tc>
          <w:tcPr>
            <w:tcW w:w="1530" w:type="dxa"/>
            <w:shd w:val="clear" w:color="auto" w:fill="EFF5FB"/>
          </w:tcPr>
          <w:p w:rsidR="00FE30A9" w:rsidRPr="00891D88" w:rsidP="00C16292" w14:paraId="333F51ED" w14:textId="77777777">
            <w:pPr>
              <w:keepNext/>
              <w:keepLines/>
            </w:pPr>
          </w:p>
        </w:tc>
      </w:tr>
      <w:tr w14:paraId="2AD86893" w14:textId="77777777" w:rsidTr="00D500A2">
        <w:tblPrEx>
          <w:tblW w:w="8455" w:type="dxa"/>
          <w:jc w:val="center"/>
          <w:tblLook w:val="04A0"/>
        </w:tblPrEx>
        <w:trPr>
          <w:jc w:val="center"/>
        </w:trPr>
        <w:tc>
          <w:tcPr>
            <w:tcW w:w="6925" w:type="dxa"/>
            <w:shd w:val="clear" w:color="auto" w:fill="FFFFFF" w:themeFill="background1"/>
            <w:hideMark/>
          </w:tcPr>
          <w:p w:rsidR="00FE30A9" w:rsidRPr="00466465" w:rsidP="00FE30A9" w14:paraId="146D46DA" w14:textId="77777777">
            <w:pPr>
              <w:pStyle w:val="ListParagraph"/>
              <w:numPr>
                <w:ilvl w:val="0"/>
                <w:numId w:val="36"/>
              </w:numPr>
              <w:spacing w:after="40"/>
              <w:ind w:left="521" w:hanging="180"/>
              <w:rPr>
                <w:b w:val="0"/>
                <w:bCs w:val="0"/>
              </w:rPr>
            </w:pPr>
            <w:r w:rsidRPr="00466465">
              <w:rPr>
                <w:b w:val="0"/>
                <w:bCs w:val="0"/>
              </w:rPr>
              <w:t>Cost of hedging (if not applicable, select 1)</w:t>
            </w:r>
          </w:p>
        </w:tc>
        <w:tc>
          <w:tcPr>
            <w:tcW w:w="1530" w:type="dxa"/>
            <w:shd w:val="clear" w:color="auto" w:fill="FFFFFF" w:themeFill="background1"/>
          </w:tcPr>
          <w:p w:rsidR="00FE30A9" w:rsidRPr="00891D88" w:rsidP="00C16292" w14:paraId="3F43E5EC" w14:textId="77777777">
            <w:pPr>
              <w:keepNext/>
              <w:keepLines/>
            </w:pPr>
          </w:p>
        </w:tc>
      </w:tr>
      <w:tr w14:paraId="53431E78" w14:textId="77777777" w:rsidTr="00D500A2">
        <w:tblPrEx>
          <w:tblW w:w="8455" w:type="dxa"/>
          <w:jc w:val="center"/>
          <w:tblLook w:val="04A0"/>
        </w:tblPrEx>
        <w:trPr>
          <w:jc w:val="center"/>
        </w:trPr>
        <w:tc>
          <w:tcPr>
            <w:tcW w:w="6925" w:type="dxa"/>
            <w:shd w:val="clear" w:color="auto" w:fill="EFF5FB"/>
          </w:tcPr>
          <w:p w:rsidR="00FE30A9" w:rsidRPr="00466465" w:rsidP="00FE30A9" w14:paraId="4B30A113" w14:textId="77777777">
            <w:pPr>
              <w:pStyle w:val="ListParagraph"/>
              <w:numPr>
                <w:ilvl w:val="0"/>
                <w:numId w:val="36"/>
              </w:numPr>
              <w:spacing w:after="40"/>
              <w:ind w:left="521" w:hanging="180"/>
              <w:rPr>
                <w:b w:val="0"/>
                <w:bCs w:val="0"/>
              </w:rPr>
            </w:pPr>
            <w:r w:rsidRPr="00466465">
              <w:rPr>
                <w:b w:val="0"/>
                <w:bCs w:val="0"/>
              </w:rPr>
              <w:t xml:space="preserve">Other (please use </w:t>
            </w:r>
            <w:r>
              <w:rPr>
                <w:b w:val="0"/>
                <w:bCs w:val="0"/>
              </w:rPr>
              <w:t xml:space="preserve">the </w:t>
            </w:r>
            <w:r w:rsidRPr="00466465">
              <w:rPr>
                <w:b w:val="0"/>
                <w:bCs w:val="0"/>
              </w:rPr>
              <w:t>comment box; if not applicable, select 1)</w:t>
            </w:r>
          </w:p>
        </w:tc>
        <w:tc>
          <w:tcPr>
            <w:tcW w:w="1530" w:type="dxa"/>
            <w:shd w:val="clear" w:color="auto" w:fill="EFF5FB"/>
          </w:tcPr>
          <w:p w:rsidR="00FE30A9" w:rsidRPr="00891D88" w:rsidP="00C16292" w14:paraId="23A02F4B" w14:textId="77777777">
            <w:pPr>
              <w:keepNext/>
              <w:keepLines/>
            </w:pPr>
          </w:p>
        </w:tc>
      </w:tr>
    </w:tbl>
    <w:p w:rsidR="00FE30A9" w:rsidRPr="001243AC" w:rsidP="00FE30A9" w14:paraId="50F4D3B5" w14:textId="77777777">
      <w:pPr>
        <w:ind w:left="1080"/>
        <w:rPr>
          <w:sz w:val="8"/>
          <w:szCs w:val="8"/>
        </w:rPr>
      </w:pPr>
    </w:p>
    <w:p w:rsidR="00FE30A9" w:rsidP="00FE30A9" w14:paraId="5B6AB918" w14:textId="77777777">
      <w:pPr>
        <w:ind w:left="1080"/>
      </w:pPr>
      <w:r>
        <w:t xml:space="preserve">[comment box] </w:t>
      </w:r>
    </w:p>
    <w:p w:rsidR="00FE30A9" w:rsidP="00FE30A9" w14:paraId="284BAE9A" w14:textId="77777777"/>
    <w:p w:rsidR="00FE30A9" w:rsidP="00FE30A9" w14:paraId="7A761E76" w14:textId="77777777">
      <w:pPr>
        <w:pStyle w:val="ListParagraph"/>
        <w:numPr>
          <w:ilvl w:val="0"/>
          <w:numId w:val="21"/>
        </w:numPr>
        <w:spacing w:line="259" w:lineRule="auto"/>
      </w:pPr>
      <w:r w:rsidRPr="00EB474C">
        <w:rPr>
          <w:rFonts w:eastAsia="Calibri" w:cs="Times New Roman"/>
        </w:rPr>
        <w:t>[</w:t>
      </w:r>
      <w:r w:rsidRPr="00EB474C">
        <w:rPr>
          <w:rFonts w:eastAsia="Calibri" w:cs="Times New Roman"/>
          <w:color w:val="538135" w:themeColor="accent6" w:themeShade="BF"/>
        </w:rPr>
        <w:t xml:space="preserve">Gated based on question </w:t>
      </w:r>
      <w:r>
        <w:rPr>
          <w:rFonts w:eastAsia="Calibri" w:cs="Times New Roman"/>
          <w:color w:val="538135" w:themeColor="accent6" w:themeShade="BF"/>
        </w:rPr>
        <w:t>8a</w:t>
      </w:r>
      <w:r w:rsidRPr="00EB474C">
        <w:rPr>
          <w:rFonts w:eastAsia="Calibri" w:cs="Times New Roman"/>
        </w:rPr>
        <w:t xml:space="preserve">] On question </w:t>
      </w:r>
      <w:r>
        <w:rPr>
          <w:rFonts w:eastAsia="Calibri" w:cs="Times New Roman"/>
        </w:rPr>
        <w:t>8a</w:t>
      </w:r>
      <w:r w:rsidRPr="00EB474C">
        <w:rPr>
          <w:rFonts w:eastAsia="Calibri" w:cs="Times New Roman"/>
        </w:rPr>
        <w:t>, your institution rated</w:t>
      </w:r>
      <w:r w:rsidRPr="007264C8">
        <w:t xml:space="preserve"> </w:t>
      </w:r>
      <w:r w:rsidRPr="00EB474C">
        <w:rPr>
          <w:rFonts w:eastAsia="Calibri" w:cs="Times New Roman"/>
        </w:rPr>
        <w:t xml:space="preserve">“Relative or risk-adjusted rate of return between interest on reserves and other HQLA” as an important factor for holding reserves greater than the sum of the LCLOR plus preferred additional reserves.  </w:t>
      </w:r>
      <w:r>
        <w:t xml:space="preserve">Assume you are considering re-allocating a portion of your institution’s surplus reserves into a </w:t>
      </w:r>
      <w:r w:rsidRPr="00DE7881">
        <w:t>fully hedged</w:t>
      </w:r>
      <w:r>
        <w:t xml:space="preserve"> Treasury position and relative or risk-adjusted rate of return is your only consideration for making this re-allocation.</w:t>
      </w:r>
    </w:p>
    <w:p w:rsidR="00FE30A9" w:rsidRPr="001243AC" w:rsidP="00FE30A9" w14:paraId="207B90E0" w14:textId="77777777">
      <w:pPr>
        <w:pStyle w:val="ListParagraph"/>
        <w:rPr>
          <w:rFonts w:eastAsia="Calibri" w:cs="Times New Roman"/>
          <w:sz w:val="14"/>
          <w:szCs w:val="14"/>
        </w:rPr>
      </w:pPr>
    </w:p>
    <w:p w:rsidR="00FE30A9" w:rsidP="00FE30A9" w14:paraId="3F71AC87" w14:textId="77777777">
      <w:pPr>
        <w:pStyle w:val="ListParagraph"/>
        <w:spacing w:after="60"/>
        <w:rPr>
          <w:rFonts w:eastAsia="Calibri" w:cs="Calibri"/>
        </w:rPr>
      </w:pPr>
      <w:r w:rsidRPr="00EB474C">
        <w:rPr>
          <w:rFonts w:eastAsia="Calibri" w:cs="Times New Roman"/>
        </w:rPr>
        <w:t>11A) For each of the following hypothetical Secured Overnight Financing Rate (SOFR) swap spreads</w:t>
      </w:r>
      <w:r w:rsidRPr="00EB474C">
        <w:rPr>
          <w:rFonts w:eastAsia="Calibri" w:cs="Calibri"/>
        </w:rPr>
        <w:t xml:space="preserve">, please estimate the </w:t>
      </w:r>
      <w:r w:rsidRPr="00EB474C">
        <w:rPr>
          <w:rFonts w:eastAsia="Calibri" w:cs="Calibri"/>
        </w:rPr>
        <w:t>amount</w:t>
      </w:r>
      <w:r w:rsidRPr="00EB474C">
        <w:rPr>
          <w:rFonts w:eastAsia="Calibri" w:cs="Calibri"/>
        </w:rPr>
        <w:t xml:space="preserve"> of reserves you would be willing to re</w:t>
      </w:r>
      <w:r>
        <w:rPr>
          <w:rFonts w:eastAsia="Calibri" w:cs="Calibri"/>
        </w:rPr>
        <w:t>-</w:t>
      </w:r>
      <w:r w:rsidRPr="00EB474C">
        <w:rPr>
          <w:rFonts w:eastAsia="Calibri" w:cs="Calibri"/>
        </w:rPr>
        <w:t xml:space="preserve">allocate and invest in Treasury securities.  </w:t>
      </w:r>
    </w:p>
    <w:tbl>
      <w:tblPr>
        <w:tblStyle w:val="GridTable4Accent1"/>
        <w:tblW w:w="8550" w:type="dxa"/>
        <w:tblInd w:w="175" w:type="dxa"/>
        <w:tblLook w:val="04A0"/>
      </w:tblPr>
      <w:tblGrid>
        <w:gridCol w:w="5130"/>
        <w:gridCol w:w="3420"/>
      </w:tblGrid>
      <w:tr w14:paraId="499073EF" w14:textId="77777777" w:rsidTr="00C16292">
        <w:tblPrEx>
          <w:tblW w:w="8550" w:type="dxa"/>
          <w:tblInd w:w="175" w:type="dxa"/>
          <w:tblLook w:val="04A0"/>
        </w:tblPrEx>
        <w:trPr>
          <w:trHeight w:val="440"/>
        </w:trPr>
        <w:tc>
          <w:tcPr>
            <w:tcW w:w="5130" w:type="dxa"/>
            <w:shd w:val="clear" w:color="auto" w:fill="DAE9F7"/>
          </w:tcPr>
          <w:p w:rsidR="00FE30A9" w:rsidRPr="00312B8A" w:rsidP="00C16292" w14:paraId="06F49801" w14:textId="77777777">
            <w:pPr>
              <w:keepNext/>
              <w:keepLines/>
              <w:rPr>
                <w:rFonts w:eastAsia="Calibri" w:cs="Calibri"/>
                <w:b w:val="0"/>
                <w:color w:val="auto"/>
              </w:rPr>
            </w:pPr>
            <w:r>
              <w:rPr>
                <w:rFonts w:eastAsia="Calibri" w:cs="Calibri"/>
                <w:color w:val="auto"/>
              </w:rPr>
              <w:t>T</w:t>
            </w:r>
            <w:r w:rsidRPr="00312B8A">
              <w:rPr>
                <w:rFonts w:eastAsia="Calibri" w:cs="Calibri"/>
                <w:color w:val="auto"/>
              </w:rPr>
              <w:t xml:space="preserve">he </w:t>
            </w:r>
            <w:r>
              <w:rPr>
                <w:rFonts w:eastAsia="Calibri" w:cs="Calibri"/>
                <w:color w:val="auto"/>
              </w:rPr>
              <w:t>2-year</w:t>
            </w:r>
            <w:r w:rsidRPr="00312B8A">
              <w:rPr>
                <w:rFonts w:eastAsia="Calibri" w:cs="Calibri"/>
                <w:color w:val="auto"/>
              </w:rPr>
              <w:t xml:space="preserve"> </w:t>
            </w:r>
            <w:r w:rsidRPr="002766C0">
              <w:rPr>
                <w:rFonts w:eastAsia="Calibri" w:cs="Calibri"/>
                <w:color w:val="auto"/>
              </w:rPr>
              <w:t>S</w:t>
            </w:r>
            <w:r w:rsidRPr="002766C0">
              <w:rPr>
                <w:rFonts w:eastAsia="Calibri"/>
                <w:color w:val="auto"/>
              </w:rPr>
              <w:t xml:space="preserve">OFR </w:t>
            </w:r>
            <w:r>
              <w:rPr>
                <w:rFonts w:eastAsia="Calibri" w:cs="Calibri"/>
                <w:color w:val="auto"/>
              </w:rPr>
              <w:t xml:space="preserve">swap </w:t>
            </w:r>
            <w:r w:rsidRPr="00312B8A">
              <w:rPr>
                <w:rFonts w:eastAsia="Calibri" w:cs="Calibri"/>
                <w:color w:val="auto"/>
              </w:rPr>
              <w:t>spread</w:t>
            </w:r>
            <w:r>
              <w:rPr>
                <w:rFonts w:eastAsia="Calibri" w:cs="Calibri"/>
                <w:color w:val="auto"/>
              </w:rPr>
              <w:t xml:space="preserve"> (UST yield – SOFR swap) is</w:t>
            </w:r>
            <w:r w:rsidRPr="00312B8A">
              <w:rPr>
                <w:rFonts w:eastAsia="Calibri" w:cs="Calibri"/>
                <w:color w:val="auto"/>
              </w:rPr>
              <w:t xml:space="preserve">: </w:t>
            </w:r>
            <w:r>
              <w:rPr>
                <w:rFonts w:eastAsia="Calibri" w:cs="Calibri"/>
                <w:color w:val="auto"/>
              </w:rPr>
              <w:t xml:space="preserve"> </w:t>
            </w:r>
          </w:p>
        </w:tc>
        <w:tc>
          <w:tcPr>
            <w:tcW w:w="3420" w:type="dxa"/>
            <w:shd w:val="clear" w:color="auto" w:fill="DAE9F7"/>
          </w:tcPr>
          <w:p w:rsidR="00FE30A9" w:rsidRPr="00312B8A" w:rsidP="00C16292" w14:paraId="7078137C" w14:textId="77777777">
            <w:pPr>
              <w:keepNext/>
              <w:keepLines/>
              <w:rPr>
                <w:rFonts w:eastAsia="Calibri" w:cs="Calibri"/>
                <w:color w:val="auto"/>
              </w:rPr>
            </w:pPr>
            <w:r w:rsidRPr="00312B8A">
              <w:rPr>
                <w:rFonts w:eastAsia="Calibri" w:cs="Calibri"/>
                <w:color w:val="auto"/>
              </w:rPr>
              <w:t xml:space="preserve">Approximate level of reserve balance </w:t>
            </w:r>
            <w:r>
              <w:rPr>
                <w:rFonts w:eastAsia="Calibri" w:cs="Calibri"/>
                <w:color w:val="auto"/>
              </w:rPr>
              <w:t>re-allocated to Treasury securities</w:t>
            </w:r>
            <w:r w:rsidRPr="00312B8A">
              <w:rPr>
                <w:rFonts w:eastAsia="Calibri" w:cs="Calibri"/>
                <w:color w:val="auto"/>
              </w:rPr>
              <w:t xml:space="preserve"> ($ millions):</w:t>
            </w:r>
          </w:p>
        </w:tc>
      </w:tr>
      <w:tr w14:paraId="21BAE258" w14:textId="77777777" w:rsidTr="00C16292">
        <w:tblPrEx>
          <w:tblW w:w="8550" w:type="dxa"/>
          <w:tblInd w:w="175" w:type="dxa"/>
          <w:tblLook w:val="04A0"/>
        </w:tblPrEx>
        <w:tc>
          <w:tcPr>
            <w:tcW w:w="5130" w:type="dxa"/>
            <w:shd w:val="clear" w:color="auto" w:fill="EFF9FF"/>
          </w:tcPr>
          <w:p w:rsidR="00FE30A9" w:rsidRPr="001F61B0" w:rsidP="00FE30A9" w14:paraId="45BC6347" w14:textId="7EB7F06E">
            <w:pPr>
              <w:pStyle w:val="ListParagraph"/>
              <w:keepNext/>
              <w:keepLines/>
              <w:numPr>
                <w:ilvl w:val="0"/>
                <w:numId w:val="35"/>
              </w:numPr>
              <w:spacing w:after="40"/>
              <w:ind w:left="433" w:hanging="180"/>
              <w:rPr>
                <w:rFonts w:eastAsia="Calibri" w:cs="Calibri"/>
                <w:b w:val="0"/>
                <w:bCs w:val="0"/>
              </w:rPr>
            </w:pPr>
            <w:r>
              <w:rPr>
                <w:rFonts w:eastAsia="Calibri" w:cs="Calibri"/>
                <w:b w:val="0"/>
                <w:bCs w:val="0"/>
              </w:rPr>
              <w:t>Near current levels (</w:t>
            </w:r>
            <w:r w:rsidR="00D500A2">
              <w:rPr>
                <w:rFonts w:eastAsia="Calibri" w:cs="Calibri"/>
                <w:b w:val="0"/>
                <w:bCs w:val="0"/>
              </w:rPr>
              <w:t>[</w:t>
            </w:r>
            <w:r>
              <w:rPr>
                <w:rFonts w:eastAsia="Calibri" w:cs="Calibri"/>
                <w:b w:val="0"/>
                <w:bCs w:val="0"/>
              </w:rPr>
              <w:t>-16</w:t>
            </w:r>
            <w:r w:rsidR="00D500A2">
              <w:rPr>
                <w:rFonts w:eastAsia="Calibri" w:cs="Calibri"/>
                <w:b w:val="0"/>
                <w:bCs w:val="0"/>
              </w:rPr>
              <w:t>]</w:t>
            </w:r>
            <w:r>
              <w:rPr>
                <w:rFonts w:eastAsia="Calibri" w:cs="Calibri"/>
                <w:b w:val="0"/>
                <w:bCs w:val="0"/>
              </w:rPr>
              <w:t xml:space="preserve"> bps)</w:t>
            </w:r>
          </w:p>
        </w:tc>
        <w:tc>
          <w:tcPr>
            <w:tcW w:w="3420" w:type="dxa"/>
            <w:shd w:val="clear" w:color="auto" w:fill="EFF9FF"/>
          </w:tcPr>
          <w:p w:rsidR="00FE30A9" w:rsidRPr="00312B8A" w:rsidP="00C16292" w14:paraId="67397142" w14:textId="77777777">
            <w:pPr>
              <w:keepNext/>
              <w:keepLines/>
              <w:spacing w:after="40"/>
              <w:rPr>
                <w:rFonts w:eastAsia="Calibri" w:cs="Calibri"/>
              </w:rPr>
            </w:pPr>
            <w:r>
              <w:rPr>
                <w:rFonts w:eastAsia="Calibri" w:cs="Calibri"/>
              </w:rPr>
              <w:t>[greyed out]</w:t>
            </w:r>
          </w:p>
        </w:tc>
      </w:tr>
      <w:tr w14:paraId="6F23D959" w14:textId="77777777" w:rsidTr="00C16292">
        <w:tblPrEx>
          <w:tblW w:w="8550" w:type="dxa"/>
          <w:tblInd w:w="175" w:type="dxa"/>
          <w:tblLook w:val="04A0"/>
        </w:tblPrEx>
        <w:tc>
          <w:tcPr>
            <w:tcW w:w="5130" w:type="dxa"/>
            <w:shd w:val="clear" w:color="auto" w:fill="FFFFFF" w:themeFill="background1"/>
          </w:tcPr>
          <w:p w:rsidR="00FE30A9" w:rsidRPr="00312B8A" w:rsidP="00FE30A9" w14:paraId="198A1CFE" w14:textId="28E7CC12">
            <w:pPr>
              <w:pStyle w:val="ListParagraph"/>
              <w:keepNext/>
              <w:keepLines/>
              <w:numPr>
                <w:ilvl w:val="0"/>
                <w:numId w:val="35"/>
              </w:numPr>
              <w:spacing w:after="40"/>
              <w:ind w:left="433" w:hanging="180"/>
              <w:rPr>
                <w:rFonts w:eastAsia="Calibri" w:cs="Calibri"/>
                <w:b w:val="0"/>
                <w:bCs w:val="0"/>
              </w:rPr>
            </w:pPr>
            <w:r>
              <w:rPr>
                <w:rFonts w:eastAsia="Calibri" w:cs="Calibri"/>
                <w:b w:val="0"/>
                <w:bCs w:val="0"/>
              </w:rPr>
              <w:t>8 bps lower than current levels (</w:t>
            </w:r>
            <w:r w:rsidR="00D500A2">
              <w:rPr>
                <w:rFonts w:eastAsia="Calibri" w:cs="Calibri"/>
                <w:b w:val="0"/>
                <w:bCs w:val="0"/>
              </w:rPr>
              <w:t>[</w:t>
            </w:r>
            <w:r>
              <w:rPr>
                <w:rFonts w:eastAsia="Calibri" w:cs="Calibri"/>
                <w:b w:val="0"/>
                <w:bCs w:val="0"/>
              </w:rPr>
              <w:t>-24</w:t>
            </w:r>
            <w:r w:rsidR="00D500A2">
              <w:rPr>
                <w:rFonts w:eastAsia="Calibri" w:cs="Calibri"/>
                <w:b w:val="0"/>
                <w:bCs w:val="0"/>
              </w:rPr>
              <w:t>]</w:t>
            </w:r>
            <w:r>
              <w:rPr>
                <w:rFonts w:eastAsia="Calibri" w:cs="Calibri"/>
                <w:b w:val="0"/>
                <w:bCs w:val="0"/>
              </w:rPr>
              <w:t xml:space="preserve"> bps)</w:t>
            </w:r>
          </w:p>
        </w:tc>
        <w:tc>
          <w:tcPr>
            <w:tcW w:w="3420" w:type="dxa"/>
            <w:shd w:val="clear" w:color="auto" w:fill="FFFFFF" w:themeFill="background1"/>
          </w:tcPr>
          <w:p w:rsidR="00FE30A9" w:rsidRPr="00312B8A" w:rsidP="00C16292" w14:paraId="6286F9A3" w14:textId="77777777">
            <w:pPr>
              <w:keepNext/>
              <w:keepLines/>
              <w:spacing w:after="40"/>
              <w:rPr>
                <w:rFonts w:eastAsia="Calibri" w:cs="Calibri"/>
              </w:rPr>
            </w:pPr>
          </w:p>
        </w:tc>
      </w:tr>
      <w:tr w14:paraId="1DE63707" w14:textId="77777777" w:rsidTr="002658D8">
        <w:tblPrEx>
          <w:tblW w:w="8550" w:type="dxa"/>
          <w:tblInd w:w="175" w:type="dxa"/>
          <w:tblLook w:val="04A0"/>
        </w:tblPrEx>
        <w:tc>
          <w:tcPr>
            <w:tcW w:w="5130" w:type="dxa"/>
            <w:shd w:val="clear" w:color="auto" w:fill="EFF5FB"/>
          </w:tcPr>
          <w:p w:rsidR="00FE30A9" w:rsidP="00FE30A9" w14:paraId="4D562431" w14:textId="5F8C9E90">
            <w:pPr>
              <w:pStyle w:val="ListParagraph"/>
              <w:keepNext/>
              <w:keepLines/>
              <w:numPr>
                <w:ilvl w:val="0"/>
                <w:numId w:val="35"/>
              </w:numPr>
              <w:spacing w:after="40"/>
              <w:ind w:left="433" w:hanging="180"/>
              <w:rPr>
                <w:rFonts w:eastAsia="Calibri" w:cs="Calibri"/>
              </w:rPr>
            </w:pPr>
            <w:r>
              <w:rPr>
                <w:rFonts w:eastAsia="Calibri" w:cs="Calibri"/>
                <w:b w:val="0"/>
                <w:bCs w:val="0"/>
              </w:rPr>
              <w:t>16 bps lower than current levels (</w:t>
            </w:r>
            <w:r w:rsidR="00D500A2">
              <w:rPr>
                <w:rFonts w:eastAsia="Calibri" w:cs="Calibri"/>
                <w:b w:val="0"/>
                <w:bCs w:val="0"/>
              </w:rPr>
              <w:t>[</w:t>
            </w:r>
            <w:r>
              <w:rPr>
                <w:rFonts w:eastAsia="Calibri" w:cs="Calibri"/>
                <w:b w:val="0"/>
                <w:bCs w:val="0"/>
              </w:rPr>
              <w:t>-32</w:t>
            </w:r>
            <w:r w:rsidR="00D500A2">
              <w:rPr>
                <w:rFonts w:eastAsia="Calibri" w:cs="Calibri"/>
                <w:b w:val="0"/>
                <w:bCs w:val="0"/>
              </w:rPr>
              <w:t>]</w:t>
            </w:r>
            <w:r>
              <w:rPr>
                <w:rFonts w:eastAsia="Calibri" w:cs="Calibri"/>
                <w:b w:val="0"/>
                <w:bCs w:val="0"/>
              </w:rPr>
              <w:t xml:space="preserve"> bps)</w:t>
            </w:r>
          </w:p>
        </w:tc>
        <w:tc>
          <w:tcPr>
            <w:tcW w:w="3420" w:type="dxa"/>
            <w:shd w:val="clear" w:color="auto" w:fill="EFF5FB"/>
          </w:tcPr>
          <w:p w:rsidR="00FE30A9" w:rsidRPr="00312B8A" w:rsidP="00C16292" w14:paraId="7CB74530" w14:textId="77777777">
            <w:pPr>
              <w:keepNext/>
              <w:keepLines/>
              <w:spacing w:after="40"/>
              <w:rPr>
                <w:rFonts w:eastAsia="Calibri" w:cs="Calibri"/>
              </w:rPr>
            </w:pPr>
          </w:p>
        </w:tc>
      </w:tr>
    </w:tbl>
    <w:p w:rsidR="00FE30A9" w:rsidP="00FE30A9" w14:paraId="23D9D34C" w14:textId="77777777">
      <w:pPr>
        <w:pStyle w:val="ListParagraph"/>
        <w:keepNext/>
        <w:keepLines/>
        <w:ind w:left="990"/>
      </w:pPr>
    </w:p>
    <w:tbl>
      <w:tblPr>
        <w:tblStyle w:val="GridTable4Accent1"/>
        <w:tblW w:w="8550" w:type="dxa"/>
        <w:tblInd w:w="175" w:type="dxa"/>
        <w:tblLook w:val="04A0"/>
      </w:tblPr>
      <w:tblGrid>
        <w:gridCol w:w="5040"/>
        <w:gridCol w:w="3510"/>
      </w:tblGrid>
      <w:tr w14:paraId="313E4C78" w14:textId="77777777" w:rsidTr="00D500A2">
        <w:tblPrEx>
          <w:tblW w:w="8550" w:type="dxa"/>
          <w:tblInd w:w="175" w:type="dxa"/>
          <w:tblLook w:val="04A0"/>
        </w:tblPrEx>
        <w:trPr>
          <w:trHeight w:val="440"/>
        </w:trPr>
        <w:tc>
          <w:tcPr>
            <w:tcW w:w="5040" w:type="dxa"/>
            <w:shd w:val="clear" w:color="auto" w:fill="DAE9F7"/>
          </w:tcPr>
          <w:p w:rsidR="00FE30A9" w:rsidRPr="00312B8A" w:rsidP="00C16292" w14:paraId="768BD695" w14:textId="77777777">
            <w:pPr>
              <w:keepNext/>
              <w:keepLines/>
              <w:rPr>
                <w:rFonts w:eastAsia="Calibri" w:cs="Calibri"/>
                <w:b w:val="0"/>
                <w:color w:val="auto"/>
              </w:rPr>
            </w:pPr>
            <w:r>
              <w:rPr>
                <w:rFonts w:eastAsia="Calibri" w:cs="Calibri"/>
                <w:color w:val="auto"/>
              </w:rPr>
              <w:t>T</w:t>
            </w:r>
            <w:r w:rsidRPr="00312B8A">
              <w:rPr>
                <w:rFonts w:eastAsia="Calibri" w:cs="Calibri"/>
                <w:color w:val="auto"/>
              </w:rPr>
              <w:t xml:space="preserve">he </w:t>
            </w:r>
            <w:r>
              <w:rPr>
                <w:rFonts w:eastAsia="Calibri" w:cs="Calibri"/>
                <w:color w:val="auto"/>
              </w:rPr>
              <w:t>5-year</w:t>
            </w:r>
            <w:r w:rsidRPr="00312B8A">
              <w:rPr>
                <w:rFonts w:eastAsia="Calibri" w:cs="Calibri"/>
                <w:color w:val="auto"/>
              </w:rPr>
              <w:t xml:space="preserve"> </w:t>
            </w:r>
            <w:r w:rsidRPr="002766C0">
              <w:rPr>
                <w:rFonts w:eastAsia="Calibri" w:cs="Calibri"/>
                <w:color w:val="auto"/>
              </w:rPr>
              <w:t>S</w:t>
            </w:r>
            <w:r w:rsidRPr="002766C0">
              <w:rPr>
                <w:rFonts w:eastAsia="Calibri"/>
                <w:color w:val="auto"/>
              </w:rPr>
              <w:t xml:space="preserve">OFR </w:t>
            </w:r>
            <w:r>
              <w:rPr>
                <w:rFonts w:eastAsia="Calibri" w:cs="Calibri"/>
                <w:color w:val="auto"/>
              </w:rPr>
              <w:t xml:space="preserve">swap </w:t>
            </w:r>
            <w:r w:rsidRPr="00312B8A">
              <w:rPr>
                <w:rFonts w:eastAsia="Calibri" w:cs="Calibri"/>
                <w:color w:val="auto"/>
              </w:rPr>
              <w:t>spread</w:t>
            </w:r>
            <w:r>
              <w:rPr>
                <w:rFonts w:eastAsia="Calibri" w:cs="Calibri"/>
                <w:color w:val="auto"/>
              </w:rPr>
              <w:t xml:space="preserve"> (UST yield – SOFR swap) is</w:t>
            </w:r>
            <w:r w:rsidRPr="00312B8A">
              <w:rPr>
                <w:rFonts w:eastAsia="Calibri" w:cs="Calibri"/>
                <w:color w:val="auto"/>
              </w:rPr>
              <w:t xml:space="preserve">: </w:t>
            </w:r>
            <w:r>
              <w:rPr>
                <w:rFonts w:eastAsia="Calibri" w:cs="Calibri"/>
                <w:color w:val="auto"/>
              </w:rPr>
              <w:t xml:space="preserve"> </w:t>
            </w:r>
          </w:p>
        </w:tc>
        <w:tc>
          <w:tcPr>
            <w:tcW w:w="3510" w:type="dxa"/>
            <w:shd w:val="clear" w:color="auto" w:fill="DAE9F7"/>
          </w:tcPr>
          <w:p w:rsidR="00FE30A9" w:rsidRPr="00312B8A" w:rsidP="00C16292" w14:paraId="6DB4195F" w14:textId="77777777">
            <w:pPr>
              <w:keepNext/>
              <w:keepLines/>
              <w:rPr>
                <w:rFonts w:eastAsia="Calibri" w:cs="Calibri"/>
                <w:color w:val="auto"/>
              </w:rPr>
            </w:pPr>
            <w:r w:rsidRPr="00312B8A">
              <w:rPr>
                <w:rFonts w:eastAsia="Calibri" w:cs="Calibri"/>
                <w:color w:val="auto"/>
              </w:rPr>
              <w:t xml:space="preserve">Approximate level of reserve balance </w:t>
            </w:r>
            <w:r>
              <w:rPr>
                <w:rFonts w:eastAsia="Calibri" w:cs="Calibri"/>
                <w:color w:val="auto"/>
              </w:rPr>
              <w:t>re-allocated to Treasury securities</w:t>
            </w:r>
            <w:r w:rsidRPr="00312B8A">
              <w:rPr>
                <w:rFonts w:eastAsia="Calibri" w:cs="Calibri"/>
                <w:color w:val="auto"/>
              </w:rPr>
              <w:t xml:space="preserve"> ($ millions):</w:t>
            </w:r>
          </w:p>
        </w:tc>
      </w:tr>
      <w:tr w14:paraId="717947DE" w14:textId="77777777" w:rsidTr="00D500A2">
        <w:tblPrEx>
          <w:tblW w:w="8550" w:type="dxa"/>
          <w:tblInd w:w="175" w:type="dxa"/>
          <w:tblLook w:val="04A0"/>
        </w:tblPrEx>
        <w:tc>
          <w:tcPr>
            <w:tcW w:w="5040" w:type="dxa"/>
            <w:shd w:val="clear" w:color="auto" w:fill="EFF9FF"/>
          </w:tcPr>
          <w:p w:rsidR="00FE30A9" w:rsidRPr="001F61B0" w:rsidP="00FE30A9" w14:paraId="3E087448" w14:textId="3B5E42EF">
            <w:pPr>
              <w:pStyle w:val="ListParagraph"/>
              <w:keepNext/>
              <w:keepLines/>
              <w:numPr>
                <w:ilvl w:val="0"/>
                <w:numId w:val="38"/>
              </w:numPr>
              <w:spacing w:after="40"/>
              <w:ind w:left="343" w:hanging="180"/>
              <w:rPr>
                <w:rFonts w:eastAsia="Calibri" w:cs="Calibri"/>
                <w:b w:val="0"/>
                <w:bCs w:val="0"/>
              </w:rPr>
            </w:pPr>
            <w:r>
              <w:rPr>
                <w:rFonts w:eastAsia="Calibri" w:cs="Calibri"/>
                <w:b w:val="0"/>
                <w:bCs w:val="0"/>
              </w:rPr>
              <w:t>Near current levels (</w:t>
            </w:r>
            <w:r w:rsidR="00D500A2">
              <w:rPr>
                <w:rFonts w:eastAsia="Calibri" w:cs="Calibri"/>
                <w:b w:val="0"/>
                <w:bCs w:val="0"/>
              </w:rPr>
              <w:t>[</w:t>
            </w:r>
            <w:r>
              <w:rPr>
                <w:rFonts w:eastAsia="Calibri" w:cs="Calibri"/>
                <w:b w:val="0"/>
                <w:bCs w:val="0"/>
              </w:rPr>
              <w:t>-29</w:t>
            </w:r>
            <w:r w:rsidR="00D500A2">
              <w:rPr>
                <w:rFonts w:eastAsia="Calibri" w:cs="Calibri"/>
                <w:b w:val="0"/>
                <w:bCs w:val="0"/>
              </w:rPr>
              <w:t>]</w:t>
            </w:r>
            <w:r>
              <w:rPr>
                <w:rFonts w:eastAsia="Calibri" w:cs="Calibri"/>
                <w:b w:val="0"/>
                <w:bCs w:val="0"/>
              </w:rPr>
              <w:t xml:space="preserve"> bps)</w:t>
            </w:r>
          </w:p>
        </w:tc>
        <w:tc>
          <w:tcPr>
            <w:tcW w:w="3510" w:type="dxa"/>
            <w:shd w:val="clear" w:color="auto" w:fill="EFF9FF"/>
          </w:tcPr>
          <w:p w:rsidR="00FE30A9" w:rsidRPr="00312B8A" w:rsidP="00C16292" w14:paraId="6561BC14" w14:textId="77777777">
            <w:pPr>
              <w:keepNext/>
              <w:keepLines/>
              <w:spacing w:after="40"/>
              <w:rPr>
                <w:rFonts w:eastAsia="Calibri" w:cs="Calibri"/>
              </w:rPr>
            </w:pPr>
            <w:r>
              <w:rPr>
                <w:rFonts w:eastAsia="Calibri" w:cs="Calibri"/>
              </w:rPr>
              <w:t>[greyed out]</w:t>
            </w:r>
          </w:p>
        </w:tc>
      </w:tr>
      <w:tr w14:paraId="06202AF5" w14:textId="77777777" w:rsidTr="00D500A2">
        <w:tblPrEx>
          <w:tblW w:w="8550" w:type="dxa"/>
          <w:tblInd w:w="175" w:type="dxa"/>
          <w:tblLook w:val="04A0"/>
        </w:tblPrEx>
        <w:tc>
          <w:tcPr>
            <w:tcW w:w="5040" w:type="dxa"/>
            <w:shd w:val="clear" w:color="auto" w:fill="FFFFFF" w:themeFill="background1"/>
          </w:tcPr>
          <w:p w:rsidR="00FE30A9" w:rsidRPr="00312B8A" w:rsidP="00FE30A9" w14:paraId="54C71279" w14:textId="30ABD3DA">
            <w:pPr>
              <w:pStyle w:val="ListParagraph"/>
              <w:keepNext/>
              <w:keepLines/>
              <w:numPr>
                <w:ilvl w:val="0"/>
                <w:numId w:val="38"/>
              </w:numPr>
              <w:spacing w:after="40"/>
              <w:ind w:left="343" w:hanging="180"/>
              <w:rPr>
                <w:rFonts w:eastAsia="Calibri" w:cs="Calibri"/>
                <w:b w:val="0"/>
                <w:bCs w:val="0"/>
              </w:rPr>
            </w:pPr>
            <w:r>
              <w:rPr>
                <w:rFonts w:eastAsia="Calibri" w:cs="Calibri"/>
                <w:b w:val="0"/>
                <w:bCs w:val="0"/>
              </w:rPr>
              <w:t>5 bps lower than current levels (</w:t>
            </w:r>
            <w:r w:rsidR="00D500A2">
              <w:rPr>
                <w:rFonts w:eastAsia="Calibri" w:cs="Calibri"/>
                <w:b w:val="0"/>
                <w:bCs w:val="0"/>
              </w:rPr>
              <w:t>[</w:t>
            </w:r>
            <w:r>
              <w:rPr>
                <w:rFonts w:eastAsia="Calibri" w:cs="Calibri"/>
                <w:b w:val="0"/>
                <w:bCs w:val="0"/>
              </w:rPr>
              <w:t>-34</w:t>
            </w:r>
            <w:r w:rsidR="00D500A2">
              <w:rPr>
                <w:rFonts w:eastAsia="Calibri" w:cs="Calibri"/>
                <w:b w:val="0"/>
                <w:bCs w:val="0"/>
              </w:rPr>
              <w:t>]</w:t>
            </w:r>
            <w:r>
              <w:rPr>
                <w:rFonts w:eastAsia="Calibri" w:cs="Calibri"/>
                <w:b w:val="0"/>
                <w:bCs w:val="0"/>
              </w:rPr>
              <w:t xml:space="preserve"> bps)</w:t>
            </w:r>
          </w:p>
        </w:tc>
        <w:tc>
          <w:tcPr>
            <w:tcW w:w="3510" w:type="dxa"/>
            <w:shd w:val="clear" w:color="auto" w:fill="FFFFFF" w:themeFill="background1"/>
          </w:tcPr>
          <w:p w:rsidR="00FE30A9" w:rsidRPr="00312B8A" w:rsidP="00C16292" w14:paraId="741C8B7D" w14:textId="77777777">
            <w:pPr>
              <w:keepNext/>
              <w:keepLines/>
              <w:spacing w:after="40"/>
              <w:rPr>
                <w:rFonts w:eastAsia="Calibri" w:cs="Calibri"/>
              </w:rPr>
            </w:pPr>
          </w:p>
        </w:tc>
      </w:tr>
      <w:tr w14:paraId="793F6211" w14:textId="77777777" w:rsidTr="002658D8">
        <w:tblPrEx>
          <w:tblW w:w="8550" w:type="dxa"/>
          <w:tblInd w:w="175" w:type="dxa"/>
          <w:tblLook w:val="04A0"/>
        </w:tblPrEx>
        <w:tc>
          <w:tcPr>
            <w:tcW w:w="5040" w:type="dxa"/>
            <w:shd w:val="clear" w:color="auto" w:fill="EFF5FB"/>
          </w:tcPr>
          <w:p w:rsidR="00FE30A9" w:rsidRPr="00E10B8C" w:rsidP="00FE30A9" w14:paraId="1B1CA5E3" w14:textId="4AEB2E5B">
            <w:pPr>
              <w:pStyle w:val="ListParagraph"/>
              <w:keepNext/>
              <w:keepLines/>
              <w:numPr>
                <w:ilvl w:val="0"/>
                <w:numId w:val="38"/>
              </w:numPr>
              <w:spacing w:after="40"/>
              <w:ind w:left="343" w:hanging="180"/>
              <w:rPr>
                <w:rFonts w:eastAsia="Calibri" w:cs="Calibri"/>
                <w:b w:val="0"/>
                <w:bCs w:val="0"/>
              </w:rPr>
            </w:pPr>
            <w:r>
              <w:rPr>
                <w:rFonts w:eastAsia="Calibri" w:cs="Calibri"/>
                <w:b w:val="0"/>
                <w:bCs w:val="0"/>
              </w:rPr>
              <w:t>10 bps lower than current levels (</w:t>
            </w:r>
            <w:r w:rsidR="00D500A2">
              <w:rPr>
                <w:rFonts w:eastAsia="Calibri" w:cs="Calibri"/>
                <w:b w:val="0"/>
                <w:bCs w:val="0"/>
              </w:rPr>
              <w:t>[</w:t>
            </w:r>
            <w:r>
              <w:rPr>
                <w:rFonts w:eastAsia="Calibri" w:cs="Calibri"/>
                <w:b w:val="0"/>
                <w:bCs w:val="0"/>
              </w:rPr>
              <w:t>-39</w:t>
            </w:r>
            <w:r w:rsidR="00D500A2">
              <w:rPr>
                <w:rFonts w:eastAsia="Calibri" w:cs="Calibri"/>
                <w:b w:val="0"/>
                <w:bCs w:val="0"/>
              </w:rPr>
              <w:t>]</w:t>
            </w:r>
            <w:r>
              <w:rPr>
                <w:rFonts w:eastAsia="Calibri" w:cs="Calibri"/>
                <w:b w:val="0"/>
                <w:bCs w:val="0"/>
              </w:rPr>
              <w:t xml:space="preserve"> bps) </w:t>
            </w:r>
          </w:p>
        </w:tc>
        <w:tc>
          <w:tcPr>
            <w:tcW w:w="3510" w:type="dxa"/>
            <w:shd w:val="clear" w:color="auto" w:fill="EFF5FB"/>
          </w:tcPr>
          <w:p w:rsidR="00FE30A9" w:rsidRPr="00312B8A" w:rsidP="00C16292" w14:paraId="3514C7BD" w14:textId="77777777">
            <w:pPr>
              <w:keepNext/>
              <w:keepLines/>
              <w:spacing w:after="40"/>
              <w:rPr>
                <w:rFonts w:eastAsia="Calibri" w:cs="Calibri"/>
              </w:rPr>
            </w:pPr>
          </w:p>
        </w:tc>
      </w:tr>
    </w:tbl>
    <w:p w:rsidR="00FE30A9" w:rsidRPr="00EB474C" w:rsidP="00FE30A9" w14:paraId="0FA2202A" w14:textId="77777777">
      <w:pPr>
        <w:rPr>
          <w:rFonts w:eastAsia="Calibri" w:cs="Calibri"/>
        </w:rPr>
      </w:pPr>
    </w:p>
    <w:p w:rsidR="00FE30A9" w:rsidP="00D500A2" w14:paraId="59B893A5" w14:textId="77777777">
      <w:pPr>
        <w:pStyle w:val="ListParagraph"/>
        <w:spacing w:after="60"/>
      </w:pPr>
      <w:r>
        <w:t xml:space="preserve">11B) Please use the comment box to describe any assumptions behind your responses to part A. </w:t>
      </w:r>
    </w:p>
    <w:p w:rsidR="00FE30A9" w:rsidP="00D500A2" w14:paraId="1904F71D" w14:textId="77777777">
      <w:pPr>
        <w:keepNext/>
        <w:keepLines/>
        <w:ind w:firstLine="720"/>
      </w:pPr>
      <w:r>
        <w:t>[comment box]</w:t>
      </w:r>
    </w:p>
    <w:p w:rsidR="00FE30A9" w:rsidP="00FE30A9" w14:paraId="6E88C2AA" w14:textId="77777777">
      <w:pPr>
        <w:pStyle w:val="ListParagraph"/>
        <w:keepNext/>
        <w:keepLines/>
        <w:ind w:left="990"/>
      </w:pPr>
    </w:p>
    <w:p w:rsidR="00FE30A9" w:rsidRPr="0021772B" w:rsidP="00FE30A9" w14:paraId="0FA0D744" w14:textId="77777777">
      <w:pPr>
        <w:keepNext/>
        <w:keepLines/>
        <w:spacing w:before="160"/>
        <w:outlineLvl w:val="1"/>
        <w:rPr>
          <w:rFonts w:asciiTheme="majorHAnsi" w:eastAsiaTheme="majorEastAsia" w:hAnsiTheme="majorHAnsi" w:cstheme="majorBidi"/>
          <w:b/>
          <w:color w:val="2E74B5" w:themeColor="accent1" w:themeShade="BF"/>
          <w:sz w:val="32"/>
          <w:szCs w:val="32"/>
        </w:rPr>
      </w:pPr>
      <w:r w:rsidRPr="000D1CC6">
        <w:rPr>
          <w:rFonts w:asciiTheme="majorHAnsi" w:eastAsiaTheme="majorEastAsia" w:hAnsiTheme="majorHAnsi" w:cstheme="majorBidi"/>
          <w:b/>
          <w:bCs/>
          <w:color w:val="2E74B5" w:themeColor="accent1" w:themeShade="BF"/>
          <w:sz w:val="32"/>
          <w:szCs w:val="32"/>
        </w:rPr>
        <w:t xml:space="preserve">Part </w:t>
      </w:r>
      <w:r>
        <w:rPr>
          <w:rFonts w:asciiTheme="majorHAnsi" w:eastAsiaTheme="majorEastAsia" w:hAnsiTheme="majorHAnsi" w:cstheme="majorBidi"/>
          <w:b/>
          <w:bCs/>
          <w:color w:val="2E74B5" w:themeColor="accent1" w:themeShade="BF"/>
          <w:sz w:val="32"/>
          <w:szCs w:val="32"/>
        </w:rPr>
        <w:t>3</w:t>
      </w:r>
      <w:r w:rsidRPr="000D1CC6">
        <w:rPr>
          <w:rFonts w:asciiTheme="majorHAnsi" w:eastAsiaTheme="majorEastAsia" w:hAnsiTheme="majorHAnsi" w:cstheme="majorBidi"/>
          <w:b/>
          <w:bCs/>
          <w:color w:val="2E74B5" w:themeColor="accent1" w:themeShade="BF"/>
          <w:sz w:val="32"/>
          <w:szCs w:val="32"/>
        </w:rPr>
        <w:t xml:space="preserve">:  </w:t>
      </w:r>
      <w:r>
        <w:rPr>
          <w:rFonts w:asciiTheme="majorHAnsi" w:eastAsiaTheme="majorEastAsia" w:hAnsiTheme="majorHAnsi" w:cstheme="majorBidi"/>
          <w:b/>
          <w:bCs/>
          <w:color w:val="2E74B5" w:themeColor="accent1" w:themeShade="BF"/>
          <w:sz w:val="32"/>
          <w:szCs w:val="32"/>
        </w:rPr>
        <w:t xml:space="preserve">Standing Repo Facility </w:t>
      </w:r>
    </w:p>
    <w:p w:rsidR="00FE30A9" w:rsidRPr="009976DF" w:rsidP="00FE30A9" w14:paraId="286F0793" w14:textId="77777777">
      <w:r w:rsidRPr="38F0C31B">
        <w:t xml:space="preserve">Questions in Part </w:t>
      </w:r>
      <w:r>
        <w:t>3</w:t>
      </w:r>
      <w:r w:rsidRPr="38F0C31B">
        <w:t xml:space="preserve"> seek to gather information about the Federal Reserve’s SRF</w:t>
      </w:r>
      <w:r>
        <w:t xml:space="preserve"> to </w:t>
      </w:r>
      <w:r w:rsidRPr="00731584">
        <w:t xml:space="preserve">help assess factors that could affect </w:t>
      </w:r>
      <w:r>
        <w:t>its</w:t>
      </w:r>
      <w:r w:rsidRPr="00731584">
        <w:t xml:space="preserve"> monetary policy effectiveness.  </w:t>
      </w:r>
      <w:r>
        <w:t xml:space="preserve">These questions apply only to the depository institution counterparty to the SRF and not an affiliated dealer counterparty.  </w:t>
      </w:r>
    </w:p>
    <w:p w:rsidR="00FE30A9" w:rsidP="00FE30A9" w14:paraId="46824AE6" w14:textId="77777777"/>
    <w:p w:rsidR="00FE30A9" w:rsidP="00FE30A9" w14:paraId="0F8031C0" w14:textId="77777777">
      <w:pPr>
        <w:pStyle w:val="ListParagraph"/>
        <w:keepNext/>
        <w:keepLines/>
        <w:numPr>
          <w:ilvl w:val="0"/>
          <w:numId w:val="21"/>
        </w:numPr>
        <w:spacing w:after="120"/>
      </w:pPr>
      <w:r>
        <w:t xml:space="preserve"> How would you characterize your institution’s status relative to the eligibility criteria for and interest in becoming a counterparty to the SRF</w:t>
      </w:r>
      <w:r w:rsidRPr="43434FA9">
        <w:t>?  (</w:t>
      </w:r>
      <w:r>
        <w:t>select one)</w:t>
      </w:r>
    </w:p>
    <w:tbl>
      <w:tblPr>
        <w:tblStyle w:val="TableGrid"/>
        <w:tblW w:w="8910" w:type="dxa"/>
        <w:tblInd w:w="265" w:type="dxa"/>
        <w:tblLook w:val="04A0"/>
      </w:tblPr>
      <w:tblGrid>
        <w:gridCol w:w="8910"/>
      </w:tblGrid>
      <w:tr w14:paraId="7EBC5E94" w14:textId="77777777" w:rsidTr="00C16292">
        <w:tblPrEx>
          <w:tblW w:w="8910" w:type="dxa"/>
          <w:tblInd w:w="265" w:type="dxa"/>
          <w:tblLook w:val="04A0"/>
        </w:tblPrEx>
        <w:trPr>
          <w:trHeight w:val="359"/>
        </w:trPr>
        <w:tc>
          <w:tcPr>
            <w:tcW w:w="8910" w:type="dxa"/>
            <w:tcBorders>
              <w:top w:val="single" w:sz="4" w:space="0" w:color="auto"/>
              <w:left w:val="single" w:sz="4" w:space="0" w:color="auto"/>
              <w:bottom w:val="single" w:sz="4" w:space="0" w:color="auto"/>
              <w:right w:val="single" w:sz="4" w:space="0" w:color="auto"/>
            </w:tcBorders>
            <w:shd w:val="clear" w:color="auto" w:fill="DAE9F7"/>
            <w:vAlign w:val="center"/>
            <w:hideMark/>
          </w:tcPr>
          <w:p w:rsidR="00FE30A9" w:rsidRPr="00CA526E" w:rsidP="00C16292" w14:paraId="44013E35" w14:textId="77777777">
            <w:pPr>
              <w:spacing w:after="160" w:line="259" w:lineRule="auto"/>
              <w:rPr>
                <w:b/>
                <w:bCs/>
              </w:rPr>
            </w:pPr>
            <w:r w:rsidRPr="38F0C31B">
              <w:rPr>
                <w:b/>
                <w:bCs/>
              </w:rPr>
              <w:t>Characterization</w:t>
            </w:r>
          </w:p>
        </w:tc>
      </w:tr>
      <w:tr w14:paraId="61F9652F" w14:textId="77777777" w:rsidTr="00C16292">
        <w:tblPrEx>
          <w:tblW w:w="8910" w:type="dxa"/>
          <w:tblInd w:w="265" w:type="dxa"/>
          <w:tblLook w:val="04A0"/>
        </w:tblPrEx>
        <w:trPr>
          <w:trHeight w:val="467"/>
        </w:trPr>
        <w:tc>
          <w:tcPr>
            <w:tcW w:w="8910" w:type="dxa"/>
            <w:tcBorders>
              <w:top w:val="single" w:sz="4" w:space="0" w:color="auto"/>
              <w:left w:val="single" w:sz="4" w:space="0" w:color="auto"/>
              <w:bottom w:val="dashSmallGap" w:sz="4" w:space="0" w:color="A6A6A6" w:themeColor="background1" w:themeShade="A6"/>
              <w:right w:val="single" w:sz="4" w:space="0" w:color="auto"/>
            </w:tcBorders>
            <w:vAlign w:val="center"/>
            <w:hideMark/>
          </w:tcPr>
          <w:p w:rsidR="00FE30A9" w:rsidRPr="00CA526E" w:rsidP="00FE30A9" w14:paraId="1B85401D" w14:textId="77777777">
            <w:pPr>
              <w:numPr>
                <w:ilvl w:val="0"/>
                <w:numId w:val="33"/>
              </w:numPr>
              <w:spacing w:after="80"/>
              <w:ind w:left="620" w:hanging="274"/>
            </w:pPr>
            <w:r>
              <w:t>My institution is a primary dealer or a depository institution that has access to the SRF.</w:t>
            </w:r>
          </w:p>
        </w:tc>
      </w:tr>
      <w:tr w14:paraId="51576D7E" w14:textId="77777777" w:rsidTr="002658D8">
        <w:tblPrEx>
          <w:tblW w:w="8910" w:type="dxa"/>
          <w:tblInd w:w="265" w:type="dxa"/>
          <w:tblLook w:val="04A0"/>
        </w:tblPrEx>
        <w:trPr>
          <w:trHeight w:val="305"/>
        </w:trPr>
        <w:tc>
          <w:tcPr>
            <w:tcW w:w="8910" w:type="dxa"/>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shd w:val="clear" w:color="auto" w:fill="EFF5FB"/>
            <w:vAlign w:val="center"/>
            <w:hideMark/>
          </w:tcPr>
          <w:p w:rsidR="00FE30A9" w:rsidRPr="00CA526E" w:rsidP="00FE30A9" w14:paraId="37ABB54F" w14:textId="77777777">
            <w:pPr>
              <w:numPr>
                <w:ilvl w:val="0"/>
                <w:numId w:val="33"/>
              </w:numPr>
              <w:spacing w:after="80"/>
              <w:ind w:left="620" w:hanging="274"/>
            </w:pPr>
            <w:r>
              <w:t>My institution meets either the securities holdings or total assets eligibility criteria, and it intends to become a counterparty or has expressed interest in doing so.</w:t>
            </w:r>
          </w:p>
        </w:tc>
      </w:tr>
      <w:tr w14:paraId="676B3E21" w14:textId="77777777" w:rsidTr="00C16292">
        <w:tblPrEx>
          <w:tblW w:w="8910" w:type="dxa"/>
          <w:tblInd w:w="265" w:type="dxa"/>
          <w:tblLook w:val="04A0"/>
        </w:tblPrEx>
        <w:trPr>
          <w:trHeight w:val="305"/>
        </w:trPr>
        <w:tc>
          <w:tcPr>
            <w:tcW w:w="8910" w:type="dxa"/>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vAlign w:val="center"/>
            <w:hideMark/>
          </w:tcPr>
          <w:p w:rsidR="00FE30A9" w:rsidRPr="00CA526E" w:rsidP="00FE30A9" w14:paraId="221053CA" w14:textId="77777777">
            <w:pPr>
              <w:numPr>
                <w:ilvl w:val="0"/>
                <w:numId w:val="33"/>
              </w:numPr>
              <w:spacing w:after="80"/>
              <w:ind w:left="620" w:hanging="274"/>
            </w:pPr>
            <w:r>
              <w:t xml:space="preserve">My institution meets the eligibility criteria, and it does </w:t>
            </w:r>
            <w:r w:rsidRPr="00716EDF">
              <w:t>not</w:t>
            </w:r>
            <w:r w:rsidRPr="38F0C31B">
              <w:rPr>
                <w:i/>
                <w:iCs/>
              </w:rPr>
              <w:t xml:space="preserve"> </w:t>
            </w:r>
            <w:r>
              <w:t xml:space="preserve">intend to express interest in becoming a counterparty </w:t>
            </w:r>
            <w:r>
              <w:t>at this time</w:t>
            </w:r>
            <w:r>
              <w:t>.</w:t>
            </w:r>
          </w:p>
        </w:tc>
      </w:tr>
      <w:tr w14:paraId="37B91870" w14:textId="77777777" w:rsidTr="002658D8">
        <w:tblPrEx>
          <w:tblW w:w="8910" w:type="dxa"/>
          <w:tblInd w:w="265" w:type="dxa"/>
          <w:tblLook w:val="04A0"/>
        </w:tblPrEx>
        <w:trPr>
          <w:trHeight w:val="305"/>
        </w:trPr>
        <w:tc>
          <w:tcPr>
            <w:tcW w:w="8910" w:type="dxa"/>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shd w:val="clear" w:color="auto" w:fill="EFF5FB"/>
            <w:vAlign w:val="center"/>
            <w:hideMark/>
          </w:tcPr>
          <w:p w:rsidR="00FE30A9" w:rsidRPr="00CA526E" w:rsidP="00FE30A9" w14:paraId="183B5859" w14:textId="77777777">
            <w:pPr>
              <w:numPr>
                <w:ilvl w:val="0"/>
                <w:numId w:val="33"/>
              </w:numPr>
              <w:spacing w:after="80"/>
              <w:ind w:left="620" w:hanging="274"/>
            </w:pPr>
            <w:r>
              <w:t>My institution does not meet the eligibility criteria, but it would express interest in becoming a counterparty if criteria are adjusted.</w:t>
            </w:r>
          </w:p>
        </w:tc>
      </w:tr>
      <w:tr w14:paraId="27EEB662" w14:textId="77777777" w:rsidTr="00C16292">
        <w:tblPrEx>
          <w:tblW w:w="8910" w:type="dxa"/>
          <w:tblInd w:w="265" w:type="dxa"/>
          <w:tblLook w:val="04A0"/>
        </w:tblPrEx>
        <w:trPr>
          <w:trHeight w:val="305"/>
        </w:trPr>
        <w:tc>
          <w:tcPr>
            <w:tcW w:w="8910" w:type="dxa"/>
            <w:tcBorders>
              <w:top w:val="dashSmallGap" w:sz="4" w:space="0" w:color="A6A6A6" w:themeColor="background1" w:themeShade="A6"/>
              <w:left w:val="single" w:sz="4" w:space="0" w:color="auto"/>
              <w:bottom w:val="single" w:sz="4" w:space="0" w:color="auto"/>
              <w:right w:val="single" w:sz="4" w:space="0" w:color="auto"/>
            </w:tcBorders>
            <w:vAlign w:val="center"/>
            <w:hideMark/>
          </w:tcPr>
          <w:p w:rsidR="00FE30A9" w:rsidRPr="00CA526E" w:rsidP="00FE30A9" w14:paraId="52EB4CD0" w14:textId="77777777">
            <w:pPr>
              <w:numPr>
                <w:ilvl w:val="0"/>
                <w:numId w:val="33"/>
              </w:numPr>
              <w:spacing w:after="80"/>
              <w:ind w:left="620" w:hanging="274"/>
            </w:pPr>
            <w:r>
              <w:t xml:space="preserve">My institution does not meet the eligibility criteria, and it would </w:t>
            </w:r>
            <w:r w:rsidRPr="00716EDF">
              <w:t>not</w:t>
            </w:r>
            <w:r>
              <w:t xml:space="preserve"> express interest in becoming a counterparty even if the criteria are adjusted.</w:t>
            </w:r>
          </w:p>
        </w:tc>
      </w:tr>
    </w:tbl>
    <w:p w:rsidR="00FE30A9" w:rsidP="00FE30A9" w14:paraId="0BD799E2" w14:textId="77777777"/>
    <w:p w:rsidR="00FE30A9" w:rsidP="00FE30A9" w14:paraId="69372321" w14:textId="77777777">
      <w:pPr>
        <w:pStyle w:val="ListParagraph"/>
        <w:keepNext/>
        <w:keepLines/>
        <w:numPr>
          <w:ilvl w:val="0"/>
          <w:numId w:val="21"/>
        </w:numPr>
        <w:spacing w:after="120"/>
      </w:pPr>
      <w:r>
        <w:t>[</w:t>
      </w:r>
      <w:r w:rsidRPr="005B2C4F">
        <w:rPr>
          <w:color w:val="538135" w:themeColor="accent6" w:themeShade="BF"/>
        </w:rPr>
        <w:t>Gate</w:t>
      </w:r>
      <w:r>
        <w:rPr>
          <w:color w:val="538135" w:themeColor="accent6" w:themeShade="BF"/>
        </w:rPr>
        <w:t>: group I + group II from question 12]</w:t>
      </w:r>
      <w:r>
        <w:t>] On a scale from -4 (strongly discourages) to + 4 (strongly encourages), please rate how each factor may affect your institution’s decision-making for participating in SRF operations.</w:t>
      </w:r>
    </w:p>
    <w:tbl>
      <w:tblPr>
        <w:tblStyle w:val="GridTable2Accent4"/>
        <w:tblW w:w="7920" w:type="dxa"/>
        <w:tblInd w:w="810" w:type="dxa"/>
        <w:tblLook w:val="0420"/>
      </w:tblPr>
      <w:tblGrid>
        <w:gridCol w:w="5885"/>
        <w:gridCol w:w="2035"/>
      </w:tblGrid>
      <w:tr w14:paraId="1EAA332B" w14:textId="77777777" w:rsidTr="002658D8">
        <w:tblPrEx>
          <w:tblW w:w="7920" w:type="dxa"/>
          <w:tblInd w:w="810" w:type="dxa"/>
          <w:tblLook w:val="0420"/>
        </w:tblPrEx>
        <w:trPr>
          <w:trHeight w:val="20"/>
        </w:trPr>
        <w:tc>
          <w:tcPr>
            <w:tcW w:w="0" w:type="dxa"/>
            <w:tcBorders>
              <w:bottom w:val="single" w:sz="8" w:space="0" w:color="7F7F7F" w:themeColor="text1" w:themeTint="80"/>
            </w:tcBorders>
            <w:hideMark/>
          </w:tcPr>
          <w:p w:rsidR="00FE30A9" w:rsidP="00C16292" w14:paraId="034B9364" w14:textId="77777777">
            <w:pPr>
              <w:spacing w:after="40"/>
            </w:pPr>
            <w:r>
              <w:t>Factors</w:t>
            </w:r>
          </w:p>
        </w:tc>
        <w:tc>
          <w:tcPr>
            <w:tcW w:w="0" w:type="dxa"/>
            <w:tcBorders>
              <w:bottom w:val="single" w:sz="8" w:space="0" w:color="7F7F7F" w:themeColor="text1" w:themeTint="80"/>
            </w:tcBorders>
          </w:tcPr>
          <w:p w:rsidR="00FE30A9" w:rsidRPr="38F0C31B" w:rsidP="00C16292" w14:paraId="0562141C" w14:textId="77777777">
            <w:pPr>
              <w:spacing w:after="40"/>
            </w:pPr>
            <w:r>
              <w:t>Rating</w:t>
            </w:r>
          </w:p>
        </w:tc>
      </w:tr>
      <w:tr w14:paraId="4F6010C7" w14:textId="77777777" w:rsidTr="002658D8">
        <w:tblPrEx>
          <w:tblW w:w="7920" w:type="dxa"/>
          <w:tblInd w:w="810" w:type="dxa"/>
          <w:tblLook w:val="0420"/>
        </w:tblPrEx>
        <w:trPr>
          <w:trHeight w:val="331"/>
        </w:trPr>
        <w:tc>
          <w:tcPr>
            <w:tcW w:w="0" w:type="dxa"/>
            <w:tcBorders>
              <w:top w:val="single" w:sz="8" w:space="0" w:color="7F7F7F" w:themeColor="text1" w:themeTint="80"/>
              <w:bottom w:val="single" w:sz="6" w:space="0" w:color="7F7F7F" w:themeColor="text1" w:themeTint="80"/>
              <w:right w:val="single" w:sz="6" w:space="0" w:color="7F7F7F" w:themeColor="text1" w:themeTint="80"/>
            </w:tcBorders>
            <w:shd w:val="clear" w:color="auto" w:fill="D1D1D1"/>
            <w:vAlign w:val="center"/>
          </w:tcPr>
          <w:p w:rsidR="00FE30A9" w:rsidRPr="00E358C4" w:rsidP="00C16292" w14:paraId="0279BD8D" w14:textId="77777777">
            <w:pPr>
              <w:spacing w:after="20"/>
              <w:rPr>
                <w:b/>
                <w:bCs/>
              </w:rPr>
            </w:pPr>
            <w:r w:rsidRPr="00E358C4">
              <w:rPr>
                <w:b/>
                <w:bCs/>
              </w:rPr>
              <w:t>Operation</w:t>
            </w:r>
            <w:r>
              <w:rPr>
                <w:b/>
                <w:bCs/>
              </w:rPr>
              <w:t>al</w:t>
            </w:r>
            <w:r w:rsidRPr="00E358C4">
              <w:rPr>
                <w:b/>
                <w:bCs/>
              </w:rPr>
              <w:t xml:space="preserve"> parameters</w:t>
            </w:r>
          </w:p>
        </w:tc>
        <w:tc>
          <w:tcPr>
            <w:tcW w:w="0" w:type="dxa"/>
            <w:tcBorders>
              <w:top w:val="single" w:sz="8" w:space="0" w:color="7F7F7F" w:themeColor="text1" w:themeTint="80"/>
              <w:left w:val="single" w:sz="6" w:space="0" w:color="7F7F7F" w:themeColor="text1" w:themeTint="80"/>
              <w:bottom w:val="single" w:sz="6" w:space="0" w:color="7F7F7F" w:themeColor="text1" w:themeTint="80"/>
            </w:tcBorders>
            <w:shd w:val="clear" w:color="auto" w:fill="D1D1D1"/>
            <w:vAlign w:val="center"/>
          </w:tcPr>
          <w:p w:rsidR="00FE30A9" w:rsidP="00C16292" w14:paraId="136972A6" w14:textId="77777777">
            <w:pPr>
              <w:spacing w:after="20"/>
            </w:pPr>
          </w:p>
        </w:tc>
      </w:tr>
      <w:tr w14:paraId="2FAD4847" w14:textId="77777777" w:rsidTr="002658D8">
        <w:tblPrEx>
          <w:tblW w:w="7920" w:type="dxa"/>
          <w:tblInd w:w="810" w:type="dxa"/>
          <w:tblLook w:val="0420"/>
        </w:tblPrEx>
        <w:trPr>
          <w:trHeight w:val="331"/>
        </w:trPr>
        <w:tc>
          <w:tcPr>
            <w:tcW w:w="0" w:type="dxa"/>
            <w:tcBorders>
              <w:top w:val="single" w:sz="6" w:space="0" w:color="7F7F7F" w:themeColor="text1" w:themeTint="80"/>
              <w:bottom w:val="single" w:sz="6" w:space="0" w:color="7F7F7F" w:themeColor="text1" w:themeTint="80"/>
              <w:right w:val="single" w:sz="6" w:space="0" w:color="7F7F7F" w:themeColor="text1" w:themeTint="80"/>
            </w:tcBorders>
            <w:vAlign w:val="center"/>
          </w:tcPr>
          <w:p w:rsidR="00FE30A9" w:rsidRPr="00E358C4" w:rsidP="00FE30A9" w14:paraId="3370798C" w14:textId="77777777">
            <w:pPr>
              <w:pStyle w:val="ListParagraph"/>
              <w:numPr>
                <w:ilvl w:val="0"/>
                <w:numId w:val="27"/>
              </w:numPr>
              <w:spacing w:after="60"/>
              <w:ind w:left="616"/>
              <w:contextualSpacing w:val="0"/>
              <w:rPr>
                <w:bCs/>
              </w:rPr>
            </w:pPr>
            <w:r>
              <w:rPr>
                <w:bCs/>
              </w:rPr>
              <w:t>No opportunity to obtain balance sheet netting with reverse repo activity</w:t>
            </w:r>
          </w:p>
        </w:tc>
        <w:tc>
          <w:tcPr>
            <w:tcW w:w="0" w:type="dxa"/>
            <w:tcBorders>
              <w:top w:val="single" w:sz="6" w:space="0" w:color="7F7F7F" w:themeColor="text1" w:themeTint="80"/>
              <w:left w:val="single" w:sz="6" w:space="0" w:color="7F7F7F" w:themeColor="text1" w:themeTint="80"/>
              <w:bottom w:val="single" w:sz="6" w:space="0" w:color="7F7F7F" w:themeColor="text1" w:themeTint="80"/>
            </w:tcBorders>
            <w:vAlign w:val="center"/>
          </w:tcPr>
          <w:p w:rsidR="00FE30A9" w:rsidP="00C16292" w14:paraId="7CF3CA85" w14:textId="77777777">
            <w:pPr>
              <w:pStyle w:val="ListParagraph"/>
              <w:spacing w:after="20"/>
              <w:ind w:left="900"/>
              <w:contextualSpacing w:val="0"/>
            </w:pPr>
          </w:p>
        </w:tc>
      </w:tr>
      <w:tr w14:paraId="4892A9C9" w14:textId="77777777" w:rsidTr="002658D8">
        <w:tblPrEx>
          <w:tblW w:w="7920" w:type="dxa"/>
          <w:tblInd w:w="810" w:type="dxa"/>
          <w:tblLook w:val="0420"/>
        </w:tblPrEx>
        <w:trPr>
          <w:trHeight w:val="331"/>
        </w:trPr>
        <w:tc>
          <w:tcPr>
            <w:tcW w:w="0" w:type="dxa"/>
            <w:tcBorders>
              <w:top w:val="single" w:sz="6" w:space="0" w:color="7F7F7F" w:themeColor="text1" w:themeTint="80"/>
              <w:bottom w:val="single" w:sz="6" w:space="0" w:color="7F7F7F" w:themeColor="text1" w:themeTint="80"/>
              <w:right w:val="single" w:sz="6" w:space="0" w:color="7F7F7F" w:themeColor="text1" w:themeTint="80"/>
            </w:tcBorders>
            <w:shd w:val="clear" w:color="auto" w:fill="EFF5FB"/>
            <w:vAlign w:val="center"/>
          </w:tcPr>
          <w:p w:rsidR="00FE30A9" w:rsidRPr="00E358C4" w:rsidP="00FE30A9" w14:paraId="25BA9E4A" w14:textId="77777777">
            <w:pPr>
              <w:pStyle w:val="ListParagraph"/>
              <w:numPr>
                <w:ilvl w:val="0"/>
                <w:numId w:val="27"/>
              </w:numPr>
              <w:spacing w:after="60"/>
              <w:ind w:left="616"/>
              <w:contextualSpacing w:val="0"/>
              <w:rPr>
                <w:bCs/>
              </w:rPr>
            </w:pPr>
            <w:r w:rsidRPr="00283483">
              <w:rPr>
                <w:bCs/>
              </w:rPr>
              <w:t>Auction tim</w:t>
            </w:r>
            <w:r>
              <w:rPr>
                <w:bCs/>
              </w:rPr>
              <w:t>e</w:t>
            </w:r>
            <w:r w:rsidRPr="00283483">
              <w:rPr>
                <w:bCs/>
              </w:rPr>
              <w:t xml:space="preserve"> in the afternoon </w:t>
            </w:r>
          </w:p>
        </w:tc>
        <w:tc>
          <w:tcPr>
            <w:tcW w:w="0" w:type="dxa"/>
            <w:tcBorders>
              <w:top w:val="single" w:sz="6" w:space="0" w:color="7F7F7F" w:themeColor="text1" w:themeTint="80"/>
              <w:left w:val="single" w:sz="6" w:space="0" w:color="7F7F7F" w:themeColor="text1" w:themeTint="80"/>
              <w:bottom w:val="single" w:sz="6" w:space="0" w:color="7F7F7F" w:themeColor="text1" w:themeTint="80"/>
            </w:tcBorders>
            <w:shd w:val="clear" w:color="auto" w:fill="EFF5FB"/>
            <w:vAlign w:val="center"/>
          </w:tcPr>
          <w:p w:rsidR="00FE30A9" w:rsidP="00C16292" w14:paraId="03575634" w14:textId="77777777">
            <w:pPr>
              <w:pStyle w:val="ListParagraph"/>
              <w:spacing w:after="20"/>
              <w:ind w:left="900"/>
              <w:contextualSpacing w:val="0"/>
            </w:pPr>
          </w:p>
        </w:tc>
      </w:tr>
      <w:tr w14:paraId="5BC0A726" w14:textId="77777777" w:rsidTr="002658D8">
        <w:tblPrEx>
          <w:tblW w:w="7920" w:type="dxa"/>
          <w:tblInd w:w="810" w:type="dxa"/>
          <w:tblLook w:val="0420"/>
        </w:tblPrEx>
        <w:trPr>
          <w:trHeight w:val="331"/>
        </w:trPr>
        <w:tc>
          <w:tcPr>
            <w:tcW w:w="0" w:type="dxa"/>
            <w:tcBorders>
              <w:top w:val="single" w:sz="6" w:space="0" w:color="7F7F7F" w:themeColor="text1" w:themeTint="80"/>
              <w:bottom w:val="single" w:sz="6" w:space="0" w:color="7F7F7F" w:themeColor="text1" w:themeTint="80"/>
              <w:right w:val="single" w:sz="6" w:space="0" w:color="7F7F7F" w:themeColor="text1" w:themeTint="80"/>
            </w:tcBorders>
            <w:vAlign w:val="center"/>
          </w:tcPr>
          <w:p w:rsidR="00FE30A9" w:rsidRPr="00E358C4" w:rsidP="00FE30A9" w14:paraId="3D8853E5" w14:textId="77777777">
            <w:pPr>
              <w:pStyle w:val="ListParagraph"/>
              <w:numPr>
                <w:ilvl w:val="0"/>
                <w:numId w:val="27"/>
              </w:numPr>
              <w:spacing w:after="60"/>
              <w:ind w:left="616"/>
              <w:contextualSpacing w:val="0"/>
              <w:rPr>
                <w:bCs/>
              </w:rPr>
            </w:pPr>
            <w:r w:rsidRPr="00283483">
              <w:rPr>
                <w:bCs/>
              </w:rPr>
              <w:t xml:space="preserve">Settlement </w:t>
            </w:r>
            <w:r>
              <w:rPr>
                <w:bCs/>
              </w:rPr>
              <w:t xml:space="preserve">time </w:t>
            </w:r>
            <w:r w:rsidRPr="00283483">
              <w:rPr>
                <w:bCs/>
              </w:rPr>
              <w:t>in the afternoon</w:t>
            </w:r>
          </w:p>
        </w:tc>
        <w:tc>
          <w:tcPr>
            <w:tcW w:w="0" w:type="dxa"/>
            <w:tcBorders>
              <w:top w:val="single" w:sz="6" w:space="0" w:color="7F7F7F" w:themeColor="text1" w:themeTint="80"/>
              <w:left w:val="single" w:sz="6" w:space="0" w:color="7F7F7F" w:themeColor="text1" w:themeTint="80"/>
              <w:bottom w:val="single" w:sz="6" w:space="0" w:color="7F7F7F" w:themeColor="text1" w:themeTint="80"/>
            </w:tcBorders>
            <w:vAlign w:val="center"/>
          </w:tcPr>
          <w:p w:rsidR="00FE30A9" w:rsidP="00C16292" w14:paraId="320743CC" w14:textId="77777777">
            <w:pPr>
              <w:pStyle w:val="ListParagraph"/>
              <w:spacing w:after="20"/>
              <w:ind w:left="900"/>
              <w:contextualSpacing w:val="0"/>
            </w:pPr>
          </w:p>
        </w:tc>
      </w:tr>
      <w:tr w14:paraId="03EFA720" w14:textId="77777777" w:rsidTr="002658D8">
        <w:tblPrEx>
          <w:tblW w:w="7920" w:type="dxa"/>
          <w:tblInd w:w="810" w:type="dxa"/>
          <w:tblLook w:val="0420"/>
        </w:tblPrEx>
        <w:trPr>
          <w:trHeight w:val="331"/>
        </w:trPr>
        <w:tc>
          <w:tcPr>
            <w:tcW w:w="0" w:type="dxa"/>
            <w:tcBorders>
              <w:top w:val="single" w:sz="6" w:space="0" w:color="7F7F7F" w:themeColor="text1" w:themeTint="80"/>
              <w:bottom w:val="single" w:sz="6" w:space="0" w:color="7F7F7F" w:themeColor="text1" w:themeTint="80"/>
              <w:right w:val="single" w:sz="6" w:space="0" w:color="7F7F7F" w:themeColor="text1" w:themeTint="80"/>
            </w:tcBorders>
            <w:shd w:val="clear" w:color="auto" w:fill="EFF5FB"/>
            <w:vAlign w:val="center"/>
          </w:tcPr>
          <w:p w:rsidR="00FE30A9" w:rsidRPr="00283483" w:rsidP="00FE30A9" w14:paraId="08D945EF" w14:textId="77777777">
            <w:pPr>
              <w:pStyle w:val="ListParagraph"/>
              <w:numPr>
                <w:ilvl w:val="0"/>
                <w:numId w:val="27"/>
              </w:numPr>
              <w:spacing w:after="60"/>
              <w:ind w:left="616"/>
              <w:contextualSpacing w:val="0"/>
              <w:rPr>
                <w:bCs/>
              </w:rPr>
            </w:pPr>
            <w:r>
              <w:rPr>
                <w:bCs/>
              </w:rPr>
              <w:t xml:space="preserve">SRF bid rate relative to other market rates </w:t>
            </w:r>
          </w:p>
        </w:tc>
        <w:tc>
          <w:tcPr>
            <w:tcW w:w="0" w:type="dxa"/>
            <w:tcBorders>
              <w:top w:val="single" w:sz="6" w:space="0" w:color="7F7F7F" w:themeColor="text1" w:themeTint="80"/>
              <w:left w:val="single" w:sz="6" w:space="0" w:color="7F7F7F" w:themeColor="text1" w:themeTint="80"/>
              <w:bottom w:val="single" w:sz="6" w:space="0" w:color="7F7F7F" w:themeColor="text1" w:themeTint="80"/>
            </w:tcBorders>
            <w:shd w:val="clear" w:color="auto" w:fill="EFF5FB"/>
            <w:vAlign w:val="center"/>
          </w:tcPr>
          <w:p w:rsidR="00FE30A9" w:rsidP="00C16292" w14:paraId="125C8F3C" w14:textId="77777777">
            <w:pPr>
              <w:pStyle w:val="ListParagraph"/>
              <w:spacing w:after="20"/>
              <w:ind w:left="900"/>
              <w:contextualSpacing w:val="0"/>
            </w:pPr>
          </w:p>
        </w:tc>
      </w:tr>
      <w:tr w14:paraId="4D3808AC" w14:textId="77777777" w:rsidTr="002658D8">
        <w:tblPrEx>
          <w:tblW w:w="7920" w:type="dxa"/>
          <w:tblInd w:w="810" w:type="dxa"/>
          <w:tblLook w:val="0420"/>
        </w:tblPrEx>
        <w:trPr>
          <w:trHeight w:val="331"/>
        </w:trPr>
        <w:tc>
          <w:tcPr>
            <w:tcW w:w="0" w:type="dxa"/>
            <w:tcBorders>
              <w:top w:val="single" w:sz="6" w:space="0" w:color="7F7F7F" w:themeColor="text1" w:themeTint="80"/>
              <w:bottom w:val="single" w:sz="6" w:space="0" w:color="7F7F7F" w:themeColor="text1" w:themeTint="80"/>
              <w:right w:val="single" w:sz="6" w:space="0" w:color="7F7F7F" w:themeColor="text1" w:themeTint="80"/>
            </w:tcBorders>
            <w:shd w:val="clear" w:color="auto" w:fill="D1D1D1"/>
            <w:vAlign w:val="center"/>
          </w:tcPr>
          <w:p w:rsidR="00FE30A9" w:rsidRPr="00E358C4" w:rsidP="00C16292" w14:paraId="1BEB1E31" w14:textId="77777777">
            <w:pPr>
              <w:pStyle w:val="ListParagraph"/>
              <w:spacing w:after="60"/>
              <w:ind w:left="0"/>
              <w:contextualSpacing w:val="0"/>
              <w:rPr>
                <w:b/>
              </w:rPr>
            </w:pPr>
            <w:r>
              <w:rPr>
                <w:b/>
              </w:rPr>
              <w:t>Other considerations</w:t>
            </w:r>
          </w:p>
        </w:tc>
        <w:tc>
          <w:tcPr>
            <w:tcW w:w="0" w:type="dxa"/>
            <w:tcBorders>
              <w:top w:val="single" w:sz="6" w:space="0" w:color="7F7F7F" w:themeColor="text1" w:themeTint="80"/>
              <w:left w:val="single" w:sz="6" w:space="0" w:color="7F7F7F" w:themeColor="text1" w:themeTint="80"/>
              <w:bottom w:val="single" w:sz="6" w:space="0" w:color="7F7F7F" w:themeColor="text1" w:themeTint="80"/>
            </w:tcBorders>
            <w:shd w:val="clear" w:color="auto" w:fill="D1D1D1"/>
            <w:vAlign w:val="center"/>
          </w:tcPr>
          <w:p w:rsidR="00FE30A9" w:rsidP="00C16292" w14:paraId="25F1EDAF" w14:textId="77777777">
            <w:pPr>
              <w:pStyle w:val="ListParagraph"/>
              <w:spacing w:after="20"/>
              <w:ind w:left="900"/>
              <w:contextualSpacing w:val="0"/>
            </w:pPr>
          </w:p>
        </w:tc>
      </w:tr>
      <w:tr w14:paraId="292578F4" w14:textId="77777777" w:rsidTr="002658D8">
        <w:tblPrEx>
          <w:tblW w:w="7920" w:type="dxa"/>
          <w:tblInd w:w="810" w:type="dxa"/>
          <w:tblLook w:val="0420"/>
        </w:tblPrEx>
        <w:trPr>
          <w:trHeight w:val="331"/>
        </w:trPr>
        <w:tc>
          <w:tcPr>
            <w:tcW w:w="0" w:type="dxa"/>
            <w:tcBorders>
              <w:top w:val="single" w:sz="6" w:space="0" w:color="7F7F7F" w:themeColor="text1" w:themeTint="80"/>
              <w:bottom w:val="single" w:sz="6" w:space="0" w:color="7F7F7F" w:themeColor="text1" w:themeTint="80"/>
              <w:right w:val="single" w:sz="6" w:space="0" w:color="7F7F7F" w:themeColor="text1" w:themeTint="80"/>
            </w:tcBorders>
            <w:shd w:val="clear" w:color="auto" w:fill="EFF5FB"/>
            <w:vAlign w:val="center"/>
          </w:tcPr>
          <w:p w:rsidR="00FE30A9" w:rsidRPr="00E358C4" w:rsidP="00FE30A9" w14:paraId="79B18DDD" w14:textId="77777777">
            <w:pPr>
              <w:pStyle w:val="ListParagraph"/>
              <w:numPr>
                <w:ilvl w:val="0"/>
                <w:numId w:val="27"/>
              </w:numPr>
              <w:spacing w:after="60"/>
              <w:ind w:left="616"/>
              <w:contextualSpacing w:val="0"/>
              <w:rPr>
                <w:bCs/>
              </w:rPr>
            </w:pPr>
            <w:r w:rsidRPr="00E358C4">
              <w:rPr>
                <w:bCs/>
              </w:rPr>
              <w:t xml:space="preserve">Uncertainty of award allocation </w:t>
            </w:r>
          </w:p>
        </w:tc>
        <w:tc>
          <w:tcPr>
            <w:tcW w:w="0" w:type="dxa"/>
            <w:tcBorders>
              <w:top w:val="single" w:sz="6" w:space="0" w:color="7F7F7F" w:themeColor="text1" w:themeTint="80"/>
              <w:left w:val="single" w:sz="6" w:space="0" w:color="7F7F7F" w:themeColor="text1" w:themeTint="80"/>
              <w:bottom w:val="single" w:sz="6" w:space="0" w:color="7F7F7F" w:themeColor="text1" w:themeTint="80"/>
            </w:tcBorders>
            <w:shd w:val="clear" w:color="auto" w:fill="EFF5FB"/>
            <w:vAlign w:val="center"/>
          </w:tcPr>
          <w:p w:rsidR="00FE30A9" w:rsidP="00C16292" w14:paraId="2B9C6041" w14:textId="77777777">
            <w:pPr>
              <w:pStyle w:val="ListParagraph"/>
              <w:spacing w:after="20"/>
              <w:ind w:left="900"/>
              <w:contextualSpacing w:val="0"/>
            </w:pPr>
          </w:p>
        </w:tc>
      </w:tr>
      <w:tr w14:paraId="0FCD74ED" w14:textId="77777777" w:rsidTr="002658D8">
        <w:tblPrEx>
          <w:tblW w:w="7920" w:type="dxa"/>
          <w:tblInd w:w="810" w:type="dxa"/>
          <w:tblLook w:val="0420"/>
        </w:tblPrEx>
        <w:trPr>
          <w:trHeight w:val="331"/>
        </w:trPr>
        <w:tc>
          <w:tcPr>
            <w:tcW w:w="0" w:type="dxa"/>
            <w:tcBorders>
              <w:top w:val="single" w:sz="6" w:space="0" w:color="7F7F7F" w:themeColor="text1" w:themeTint="80"/>
              <w:bottom w:val="single" w:sz="6" w:space="0" w:color="7F7F7F" w:themeColor="text1" w:themeTint="80"/>
              <w:right w:val="single" w:sz="6" w:space="0" w:color="7F7F7F" w:themeColor="text1" w:themeTint="80"/>
            </w:tcBorders>
            <w:vAlign w:val="center"/>
          </w:tcPr>
          <w:p w:rsidR="00FE30A9" w:rsidP="00FE30A9" w14:paraId="1D9DEC3A" w14:textId="77777777">
            <w:pPr>
              <w:pStyle w:val="ListParagraph"/>
              <w:numPr>
                <w:ilvl w:val="0"/>
                <w:numId w:val="27"/>
              </w:numPr>
              <w:spacing w:after="60"/>
              <w:ind w:left="616"/>
              <w:contextualSpacing w:val="0"/>
              <w:rPr>
                <w:bCs/>
              </w:rPr>
            </w:pPr>
            <w:r>
              <w:rPr>
                <w:bCs/>
              </w:rPr>
              <w:t>S</w:t>
            </w:r>
            <w:r w:rsidRPr="00E358C4">
              <w:rPr>
                <w:bCs/>
              </w:rPr>
              <w:t xml:space="preserve">upervisory or regulatory treatment </w:t>
            </w:r>
            <w:r>
              <w:rPr>
                <w:bCs/>
              </w:rPr>
              <w:t xml:space="preserve"> </w:t>
            </w:r>
          </w:p>
        </w:tc>
        <w:tc>
          <w:tcPr>
            <w:tcW w:w="0" w:type="dxa"/>
            <w:tcBorders>
              <w:top w:val="single" w:sz="6" w:space="0" w:color="7F7F7F" w:themeColor="text1" w:themeTint="80"/>
              <w:left w:val="single" w:sz="6" w:space="0" w:color="7F7F7F" w:themeColor="text1" w:themeTint="80"/>
              <w:bottom w:val="single" w:sz="6" w:space="0" w:color="7F7F7F" w:themeColor="text1" w:themeTint="80"/>
            </w:tcBorders>
            <w:vAlign w:val="center"/>
          </w:tcPr>
          <w:p w:rsidR="00FE30A9" w:rsidP="00C16292" w14:paraId="4E7C40C4" w14:textId="77777777">
            <w:pPr>
              <w:pStyle w:val="ListParagraph"/>
              <w:spacing w:after="20"/>
              <w:ind w:left="900"/>
              <w:contextualSpacing w:val="0"/>
            </w:pPr>
          </w:p>
        </w:tc>
      </w:tr>
      <w:tr w14:paraId="3E6CF5AA" w14:textId="77777777" w:rsidTr="002658D8">
        <w:tblPrEx>
          <w:tblW w:w="7920" w:type="dxa"/>
          <w:tblInd w:w="810" w:type="dxa"/>
          <w:tblLook w:val="0420"/>
        </w:tblPrEx>
        <w:trPr>
          <w:trHeight w:val="331"/>
        </w:trPr>
        <w:tc>
          <w:tcPr>
            <w:tcW w:w="0" w:type="dxa"/>
            <w:tcBorders>
              <w:top w:val="single" w:sz="6" w:space="0" w:color="7F7F7F" w:themeColor="text1" w:themeTint="80"/>
              <w:bottom w:val="single" w:sz="6" w:space="0" w:color="7F7F7F" w:themeColor="text1" w:themeTint="80"/>
              <w:right w:val="single" w:sz="6" w:space="0" w:color="7F7F7F" w:themeColor="text1" w:themeTint="80"/>
            </w:tcBorders>
            <w:shd w:val="clear" w:color="auto" w:fill="EFF5FB"/>
            <w:vAlign w:val="center"/>
          </w:tcPr>
          <w:p w:rsidR="00FE30A9" w:rsidRPr="00E358C4" w:rsidP="00FE30A9" w14:paraId="580B53C8" w14:textId="77777777">
            <w:pPr>
              <w:pStyle w:val="ListParagraph"/>
              <w:numPr>
                <w:ilvl w:val="0"/>
                <w:numId w:val="27"/>
              </w:numPr>
              <w:spacing w:after="60"/>
              <w:ind w:left="616"/>
              <w:contextualSpacing w:val="0"/>
              <w:rPr>
                <w:bCs/>
              </w:rPr>
            </w:pPr>
            <w:r w:rsidRPr="00E358C4">
              <w:rPr>
                <w:bCs/>
              </w:rPr>
              <w:t xml:space="preserve">Federal Reserve </w:t>
            </w:r>
            <w:r>
              <w:rPr>
                <w:bCs/>
              </w:rPr>
              <w:t>public communications</w:t>
            </w:r>
          </w:p>
        </w:tc>
        <w:tc>
          <w:tcPr>
            <w:tcW w:w="0" w:type="dxa"/>
            <w:tcBorders>
              <w:top w:val="single" w:sz="6" w:space="0" w:color="7F7F7F" w:themeColor="text1" w:themeTint="80"/>
              <w:left w:val="single" w:sz="6" w:space="0" w:color="7F7F7F" w:themeColor="text1" w:themeTint="80"/>
              <w:bottom w:val="single" w:sz="6" w:space="0" w:color="7F7F7F" w:themeColor="text1" w:themeTint="80"/>
            </w:tcBorders>
            <w:shd w:val="clear" w:color="auto" w:fill="EFF5FB"/>
            <w:vAlign w:val="center"/>
          </w:tcPr>
          <w:p w:rsidR="00FE30A9" w:rsidP="00C16292" w14:paraId="4599F586" w14:textId="77777777">
            <w:pPr>
              <w:pStyle w:val="ListParagraph"/>
              <w:spacing w:after="20"/>
              <w:ind w:left="900"/>
              <w:contextualSpacing w:val="0"/>
            </w:pPr>
          </w:p>
        </w:tc>
      </w:tr>
      <w:tr w14:paraId="5E7E81E6" w14:textId="77777777" w:rsidTr="002658D8">
        <w:tblPrEx>
          <w:tblW w:w="7920" w:type="dxa"/>
          <w:tblInd w:w="810" w:type="dxa"/>
          <w:tblLook w:val="0420"/>
        </w:tblPrEx>
        <w:trPr>
          <w:trHeight w:val="331"/>
        </w:trPr>
        <w:tc>
          <w:tcPr>
            <w:tcW w:w="0" w:type="dxa"/>
            <w:tcBorders>
              <w:top w:val="single" w:sz="6" w:space="0" w:color="7F7F7F" w:themeColor="text1" w:themeTint="80"/>
              <w:bottom w:val="single" w:sz="6" w:space="0" w:color="7F7F7F" w:themeColor="text1" w:themeTint="80"/>
              <w:right w:val="single" w:sz="6" w:space="0" w:color="7F7F7F" w:themeColor="text1" w:themeTint="80"/>
            </w:tcBorders>
            <w:vAlign w:val="center"/>
          </w:tcPr>
          <w:p w:rsidR="00FE30A9" w:rsidRPr="00E358C4" w:rsidP="00FE30A9" w14:paraId="75194861" w14:textId="77777777">
            <w:pPr>
              <w:pStyle w:val="ListParagraph"/>
              <w:numPr>
                <w:ilvl w:val="0"/>
                <w:numId w:val="27"/>
              </w:numPr>
              <w:spacing w:after="60"/>
              <w:ind w:left="616"/>
              <w:contextualSpacing w:val="0"/>
              <w:rPr>
                <w:bCs/>
              </w:rPr>
            </w:pPr>
            <w:r w:rsidRPr="00E358C4">
              <w:rPr>
                <w:bCs/>
              </w:rPr>
              <w:t>Public disclosure</w:t>
            </w:r>
            <w:r>
              <w:rPr>
                <w:bCs/>
              </w:rPr>
              <w:t>s</w:t>
            </w:r>
            <w:r w:rsidRPr="00E358C4">
              <w:rPr>
                <w:bCs/>
              </w:rPr>
              <w:t xml:space="preserve"> </w:t>
            </w:r>
            <w:r>
              <w:rPr>
                <w:bCs/>
              </w:rPr>
              <w:t>of counterparty information</w:t>
            </w:r>
            <w:r>
              <w:rPr>
                <w:rStyle w:val="FootnoteReference"/>
                <w:bCs/>
              </w:rPr>
              <w:footnoteReference w:id="6"/>
            </w:r>
          </w:p>
        </w:tc>
        <w:tc>
          <w:tcPr>
            <w:tcW w:w="0" w:type="dxa"/>
            <w:tcBorders>
              <w:top w:val="single" w:sz="6" w:space="0" w:color="7F7F7F" w:themeColor="text1" w:themeTint="80"/>
              <w:left w:val="single" w:sz="6" w:space="0" w:color="7F7F7F" w:themeColor="text1" w:themeTint="80"/>
              <w:bottom w:val="single" w:sz="6" w:space="0" w:color="7F7F7F" w:themeColor="text1" w:themeTint="80"/>
            </w:tcBorders>
            <w:vAlign w:val="center"/>
          </w:tcPr>
          <w:p w:rsidR="00FE30A9" w:rsidP="00C16292" w14:paraId="65FAB855" w14:textId="77777777">
            <w:pPr>
              <w:pStyle w:val="ListParagraph"/>
              <w:spacing w:after="20"/>
              <w:ind w:left="900"/>
              <w:contextualSpacing w:val="0"/>
            </w:pPr>
          </w:p>
        </w:tc>
      </w:tr>
      <w:tr w14:paraId="231D591B" w14:textId="77777777" w:rsidTr="002658D8">
        <w:tblPrEx>
          <w:tblW w:w="7920" w:type="dxa"/>
          <w:tblInd w:w="810" w:type="dxa"/>
          <w:tblLook w:val="0420"/>
        </w:tblPrEx>
        <w:trPr>
          <w:trHeight w:val="553"/>
        </w:trPr>
        <w:tc>
          <w:tcPr>
            <w:tcW w:w="0" w:type="dxa"/>
            <w:tcBorders>
              <w:top w:val="single" w:sz="6" w:space="0" w:color="7F7F7F" w:themeColor="text1" w:themeTint="80"/>
              <w:bottom w:val="single" w:sz="6" w:space="0" w:color="7F7F7F" w:themeColor="text1" w:themeTint="80"/>
              <w:right w:val="single" w:sz="6" w:space="0" w:color="7F7F7F" w:themeColor="text1" w:themeTint="80"/>
            </w:tcBorders>
            <w:shd w:val="clear" w:color="auto" w:fill="EFF5FB"/>
            <w:vAlign w:val="center"/>
          </w:tcPr>
          <w:p w:rsidR="00FE30A9" w:rsidRPr="00E358C4" w:rsidP="00FE30A9" w14:paraId="364A3969" w14:textId="77777777">
            <w:pPr>
              <w:pStyle w:val="ListParagraph"/>
              <w:numPr>
                <w:ilvl w:val="0"/>
                <w:numId w:val="27"/>
              </w:numPr>
              <w:spacing w:after="60"/>
              <w:ind w:left="616"/>
              <w:contextualSpacing w:val="0"/>
              <w:rPr>
                <w:bCs/>
              </w:rPr>
            </w:pPr>
            <w:r>
              <w:rPr>
                <w:bCs/>
              </w:rPr>
              <w:t>Low aggregate take-up in recent SRF operations, as published on the Federal Reserve Bank of New York’s website</w:t>
            </w:r>
            <w:r>
              <w:rPr>
                <w:rStyle w:val="FootnoteReference"/>
                <w:bCs/>
              </w:rPr>
              <w:footnoteReference w:id="7"/>
            </w:r>
            <w:r>
              <w:rPr>
                <w:bCs/>
              </w:rPr>
              <w:t xml:space="preserve"> </w:t>
            </w:r>
          </w:p>
        </w:tc>
        <w:tc>
          <w:tcPr>
            <w:tcW w:w="0" w:type="dxa"/>
            <w:tcBorders>
              <w:top w:val="single" w:sz="6" w:space="0" w:color="7F7F7F" w:themeColor="text1" w:themeTint="80"/>
              <w:left w:val="single" w:sz="6" w:space="0" w:color="7F7F7F" w:themeColor="text1" w:themeTint="80"/>
              <w:bottom w:val="single" w:sz="6" w:space="0" w:color="7F7F7F" w:themeColor="text1" w:themeTint="80"/>
            </w:tcBorders>
            <w:shd w:val="clear" w:color="auto" w:fill="EFF5FB"/>
            <w:vAlign w:val="center"/>
          </w:tcPr>
          <w:p w:rsidR="00FE30A9" w:rsidRPr="008A7744" w:rsidP="00C16292" w14:paraId="5889375A" w14:textId="77777777">
            <w:pPr>
              <w:spacing w:after="20"/>
              <w:ind w:left="540"/>
            </w:pPr>
          </w:p>
        </w:tc>
      </w:tr>
      <w:tr w14:paraId="5A797FC1" w14:textId="77777777" w:rsidTr="002658D8">
        <w:tblPrEx>
          <w:tblW w:w="7920" w:type="dxa"/>
          <w:tblInd w:w="810" w:type="dxa"/>
          <w:tblLook w:val="0420"/>
        </w:tblPrEx>
        <w:trPr>
          <w:trHeight w:val="418"/>
        </w:trPr>
        <w:tc>
          <w:tcPr>
            <w:tcW w:w="0" w:type="dxa"/>
            <w:tcBorders>
              <w:top w:val="single" w:sz="6" w:space="0" w:color="7F7F7F" w:themeColor="text1" w:themeTint="80"/>
              <w:bottom w:val="single" w:sz="8" w:space="0" w:color="7F7F7F" w:themeColor="text1" w:themeTint="80"/>
              <w:right w:val="single" w:sz="6" w:space="0" w:color="7F7F7F" w:themeColor="text1" w:themeTint="80"/>
            </w:tcBorders>
            <w:vAlign w:val="center"/>
          </w:tcPr>
          <w:p w:rsidR="00FE30A9" w:rsidRPr="00E358C4" w:rsidP="00FE30A9" w14:paraId="37F01961" w14:textId="77777777">
            <w:pPr>
              <w:pStyle w:val="ListParagraph"/>
              <w:numPr>
                <w:ilvl w:val="0"/>
                <w:numId w:val="27"/>
              </w:numPr>
              <w:ind w:left="616"/>
              <w:contextualSpacing w:val="0"/>
              <w:rPr>
                <w:bCs/>
              </w:rPr>
            </w:pPr>
            <w:r w:rsidRPr="00E358C4">
              <w:rPr>
                <w:bCs/>
              </w:rPr>
              <w:t>Other (please describe</w:t>
            </w:r>
            <w:r w:rsidRPr="006E4868">
              <w:t xml:space="preserve"> in the comment box</w:t>
            </w:r>
            <w:r w:rsidRPr="00E358C4">
              <w:rPr>
                <w:bCs/>
              </w:rPr>
              <w:t>; rate as 0 if N/A)</w:t>
            </w:r>
          </w:p>
        </w:tc>
        <w:tc>
          <w:tcPr>
            <w:tcW w:w="0" w:type="dxa"/>
            <w:tcBorders>
              <w:top w:val="single" w:sz="6" w:space="0" w:color="7F7F7F" w:themeColor="text1" w:themeTint="80"/>
              <w:left w:val="single" w:sz="6" w:space="0" w:color="7F7F7F" w:themeColor="text1" w:themeTint="80"/>
              <w:bottom w:val="single" w:sz="8" w:space="0" w:color="7F7F7F" w:themeColor="text1" w:themeTint="80"/>
            </w:tcBorders>
            <w:vAlign w:val="center"/>
          </w:tcPr>
          <w:p w:rsidR="00FE30A9" w:rsidP="00C16292" w14:paraId="110A7D67" w14:textId="77777777">
            <w:pPr>
              <w:pStyle w:val="ListParagraph"/>
              <w:spacing w:after="100" w:afterAutospacing="1"/>
              <w:ind w:left="900"/>
              <w:contextualSpacing w:val="0"/>
            </w:pPr>
          </w:p>
        </w:tc>
      </w:tr>
    </w:tbl>
    <w:p w:rsidR="00FE30A9" w:rsidRPr="00B9678A" w:rsidP="00FE30A9" w14:paraId="0226F6D1" w14:textId="77777777">
      <w:pPr>
        <w:spacing w:after="100" w:afterAutospacing="1"/>
        <w:rPr>
          <w:sz w:val="10"/>
          <w:szCs w:val="10"/>
        </w:rPr>
      </w:pPr>
      <w:r>
        <w:tab/>
        <w:t>[comment box]</w:t>
      </w:r>
    </w:p>
    <w:p w:rsidR="00FE30A9" w:rsidP="00FE30A9" w14:paraId="2BD77264" w14:textId="77777777"/>
    <w:p w:rsidR="00FE30A9" w:rsidRPr="008E1FF8" w:rsidP="00FE30A9" w14:paraId="034C1E3B" w14:textId="77777777">
      <w:pPr>
        <w:pStyle w:val="ListParagraph"/>
        <w:keepNext/>
        <w:keepLines/>
        <w:numPr>
          <w:ilvl w:val="0"/>
          <w:numId w:val="21"/>
        </w:numPr>
        <w:spacing w:after="120"/>
        <w:ind w:left="270"/>
        <w:contextualSpacing w:val="0"/>
      </w:pPr>
      <w:r>
        <w:t>[</w:t>
      </w:r>
      <w:r w:rsidRPr="005B2C4F">
        <w:rPr>
          <w:color w:val="538135" w:themeColor="accent6" w:themeShade="BF"/>
        </w:rPr>
        <w:t>Gate</w:t>
      </w:r>
      <w:r>
        <w:rPr>
          <w:color w:val="538135" w:themeColor="accent6" w:themeShade="BF"/>
        </w:rPr>
        <w:t>d: question only appears for</w:t>
      </w:r>
      <w:r w:rsidRPr="005B2C4F">
        <w:rPr>
          <w:color w:val="538135" w:themeColor="accent6" w:themeShade="BF"/>
        </w:rPr>
        <w:t xml:space="preserve"> SRF counterparties</w:t>
      </w:r>
      <w:r>
        <w:rPr>
          <w:color w:val="538135" w:themeColor="accent6" w:themeShade="BF"/>
        </w:rPr>
        <w:t xml:space="preserve"> only]</w:t>
      </w:r>
      <w:r w:rsidRPr="005B2C4F">
        <w:rPr>
          <w:color w:val="538135" w:themeColor="accent6" w:themeShade="BF"/>
        </w:rPr>
        <w:t xml:space="preserve"> </w:t>
      </w:r>
      <w:r>
        <w:t xml:space="preserve">Under each of the conditions outlined in the table below, at what triparty/interdealer (if applicable) repo spread above the SRF rate would your institution actively consider placing a bid at the SRF rather than borrowing in the repo market? </w:t>
      </w:r>
      <w:r w:rsidRPr="00456A59">
        <w:rPr>
          <w:i/>
          <w:iCs/>
        </w:rPr>
        <w:t>If you are unable to borrow in the repo market segment, please enter “NA”.</w:t>
      </w:r>
      <w:r>
        <w:rPr>
          <w:i/>
          <w:iCs/>
        </w:rPr>
        <w:t xml:space="preserve"> Please round to the nearest basis point.</w:t>
      </w:r>
    </w:p>
    <w:tbl>
      <w:tblPr>
        <w:tblStyle w:val="TableGrid"/>
        <w:tblW w:w="0" w:type="auto"/>
        <w:jc w:val="center"/>
        <w:tblLook w:val="04A0"/>
      </w:tblPr>
      <w:tblGrid>
        <w:gridCol w:w="5395"/>
        <w:gridCol w:w="1620"/>
        <w:gridCol w:w="1620"/>
      </w:tblGrid>
      <w:tr w14:paraId="5F9F8B31" w14:textId="77777777" w:rsidTr="00C16292">
        <w:tblPrEx>
          <w:tblW w:w="0" w:type="auto"/>
          <w:jc w:val="center"/>
          <w:tblLook w:val="04A0"/>
        </w:tblPrEx>
        <w:trPr>
          <w:jc w:val="center"/>
        </w:trPr>
        <w:tc>
          <w:tcPr>
            <w:tcW w:w="5395" w:type="dxa"/>
            <w:shd w:val="clear" w:color="auto" w:fill="DAE9F7"/>
          </w:tcPr>
          <w:p w:rsidR="00FE30A9" w:rsidRPr="008E3A5A" w:rsidP="00C16292" w14:paraId="1A3074E2" w14:textId="77777777">
            <w:pPr>
              <w:rPr>
                <w:b/>
                <w:bCs/>
              </w:rPr>
            </w:pPr>
            <w:r>
              <w:rPr>
                <w:b/>
                <w:bCs/>
              </w:rPr>
              <w:t>Condition</w:t>
            </w:r>
          </w:p>
        </w:tc>
        <w:tc>
          <w:tcPr>
            <w:tcW w:w="1620" w:type="dxa"/>
            <w:shd w:val="clear" w:color="auto" w:fill="DAE9F7"/>
          </w:tcPr>
          <w:p w:rsidR="00FE30A9" w:rsidRPr="008E3A5A" w:rsidP="00C16292" w14:paraId="5000C577" w14:textId="77777777">
            <w:pPr>
              <w:rPr>
                <w:b/>
                <w:bCs/>
              </w:rPr>
            </w:pPr>
            <w:r>
              <w:rPr>
                <w:b/>
                <w:bCs/>
              </w:rPr>
              <w:t>Triparty repo s</w:t>
            </w:r>
            <w:r w:rsidRPr="008E3A5A">
              <w:rPr>
                <w:b/>
                <w:bCs/>
              </w:rPr>
              <w:t xml:space="preserve">pread </w:t>
            </w:r>
            <w:r w:rsidRPr="00B8221D">
              <w:t>(b</w:t>
            </w:r>
            <w:r>
              <w:t xml:space="preserve">asis </w:t>
            </w:r>
            <w:r w:rsidRPr="00B8221D">
              <w:t>p</w:t>
            </w:r>
            <w:r>
              <w:t>oint</w:t>
            </w:r>
            <w:r w:rsidRPr="00B8221D">
              <w:t>s)</w:t>
            </w:r>
          </w:p>
        </w:tc>
        <w:tc>
          <w:tcPr>
            <w:tcW w:w="1620" w:type="dxa"/>
            <w:shd w:val="clear" w:color="auto" w:fill="DAE9F7"/>
          </w:tcPr>
          <w:p w:rsidR="00FE30A9" w:rsidP="00C16292" w14:paraId="48A43C06" w14:textId="77777777">
            <w:pPr>
              <w:rPr>
                <w:b/>
                <w:bCs/>
              </w:rPr>
            </w:pPr>
            <w:r>
              <w:rPr>
                <w:b/>
                <w:bCs/>
              </w:rPr>
              <w:t xml:space="preserve">Interdealer spread </w:t>
            </w:r>
            <w:r w:rsidRPr="00B8221D">
              <w:t>(b</w:t>
            </w:r>
            <w:r>
              <w:t xml:space="preserve">asis </w:t>
            </w:r>
            <w:r w:rsidRPr="00B8221D">
              <w:t>p</w:t>
            </w:r>
            <w:r>
              <w:t>oint</w:t>
            </w:r>
            <w:r w:rsidRPr="00B8221D">
              <w:t>s)</w:t>
            </w:r>
          </w:p>
        </w:tc>
      </w:tr>
      <w:tr w14:paraId="152260B9" w14:textId="77777777" w:rsidTr="00C16292">
        <w:tblPrEx>
          <w:tblW w:w="0" w:type="auto"/>
          <w:jc w:val="center"/>
          <w:tblLook w:val="04A0"/>
        </w:tblPrEx>
        <w:trPr>
          <w:trHeight w:val="314"/>
          <w:jc w:val="center"/>
        </w:trPr>
        <w:tc>
          <w:tcPr>
            <w:tcW w:w="5395" w:type="dxa"/>
          </w:tcPr>
          <w:p w:rsidR="00FE30A9" w:rsidP="00FE30A9" w14:paraId="06ABCEEA" w14:textId="77777777">
            <w:pPr>
              <w:pStyle w:val="ListParagraph"/>
              <w:numPr>
                <w:ilvl w:val="0"/>
                <w:numId w:val="32"/>
              </w:numPr>
              <w:ind w:left="420" w:hanging="180"/>
            </w:pPr>
            <w:r w:rsidRPr="000C3F5F">
              <w:t>You expect repo</w:t>
            </w:r>
            <w:r>
              <w:t xml:space="preserve"> rates </w:t>
            </w:r>
            <w:r w:rsidRPr="000C3F5F">
              <w:t>to be</w:t>
            </w:r>
            <w:r>
              <w:t xml:space="preserve"> higher for one day</w:t>
            </w:r>
            <w:r w:rsidRPr="000C3F5F">
              <w:t xml:space="preserve"> </w:t>
            </w:r>
          </w:p>
        </w:tc>
        <w:tc>
          <w:tcPr>
            <w:tcW w:w="1620" w:type="dxa"/>
          </w:tcPr>
          <w:p w:rsidR="00FE30A9" w:rsidP="00C16292" w14:paraId="082DA102" w14:textId="77777777">
            <w:pPr>
              <w:jc w:val="center"/>
            </w:pPr>
          </w:p>
        </w:tc>
        <w:tc>
          <w:tcPr>
            <w:tcW w:w="1620" w:type="dxa"/>
          </w:tcPr>
          <w:p w:rsidR="00FE30A9" w:rsidP="00C16292" w14:paraId="59866D77" w14:textId="77777777">
            <w:pPr>
              <w:jc w:val="center"/>
            </w:pPr>
          </w:p>
        </w:tc>
      </w:tr>
      <w:tr w14:paraId="6C452BCA" w14:textId="77777777" w:rsidTr="00C16292">
        <w:tblPrEx>
          <w:tblW w:w="0" w:type="auto"/>
          <w:jc w:val="center"/>
          <w:tblLook w:val="04A0"/>
        </w:tblPrEx>
        <w:trPr>
          <w:trHeight w:val="539"/>
          <w:jc w:val="center"/>
        </w:trPr>
        <w:tc>
          <w:tcPr>
            <w:tcW w:w="5395" w:type="dxa"/>
          </w:tcPr>
          <w:p w:rsidR="00FE30A9" w:rsidP="00FE30A9" w14:paraId="62E561A9" w14:textId="77777777">
            <w:pPr>
              <w:pStyle w:val="ListParagraph"/>
              <w:numPr>
                <w:ilvl w:val="0"/>
                <w:numId w:val="32"/>
              </w:numPr>
              <w:ind w:left="420" w:hanging="180"/>
            </w:pPr>
            <w:r w:rsidRPr="000C3F5F">
              <w:t>You expect repo rates to remain higher for at least several days</w:t>
            </w:r>
          </w:p>
        </w:tc>
        <w:tc>
          <w:tcPr>
            <w:tcW w:w="1620" w:type="dxa"/>
          </w:tcPr>
          <w:p w:rsidR="00FE30A9" w:rsidP="00C16292" w14:paraId="14E0830A" w14:textId="77777777">
            <w:pPr>
              <w:jc w:val="center"/>
            </w:pPr>
          </w:p>
        </w:tc>
        <w:tc>
          <w:tcPr>
            <w:tcW w:w="1620" w:type="dxa"/>
          </w:tcPr>
          <w:p w:rsidR="00FE30A9" w:rsidP="00C16292" w14:paraId="040FC6AA" w14:textId="77777777">
            <w:pPr>
              <w:jc w:val="center"/>
            </w:pPr>
          </w:p>
        </w:tc>
      </w:tr>
      <w:tr w14:paraId="1F550520" w14:textId="77777777" w:rsidTr="00C16292">
        <w:tblPrEx>
          <w:tblW w:w="0" w:type="auto"/>
          <w:jc w:val="center"/>
          <w:tblLook w:val="04A0"/>
        </w:tblPrEx>
        <w:trPr>
          <w:trHeight w:val="881"/>
          <w:jc w:val="center"/>
        </w:trPr>
        <w:tc>
          <w:tcPr>
            <w:tcW w:w="5395" w:type="dxa"/>
          </w:tcPr>
          <w:p w:rsidR="00FE30A9" w:rsidRPr="000C3F5F" w:rsidP="00FE30A9" w14:paraId="34ADE1E4" w14:textId="77777777">
            <w:pPr>
              <w:pStyle w:val="ListParagraph"/>
              <w:numPr>
                <w:ilvl w:val="0"/>
                <w:numId w:val="32"/>
              </w:numPr>
              <w:ind w:left="420" w:hanging="180"/>
            </w:pPr>
            <w:r w:rsidRPr="000C3F5F">
              <w:t>You expect repo rates to remain higher for at least several days and there was material participation in the SRF operation on the prior day</w:t>
            </w:r>
          </w:p>
        </w:tc>
        <w:tc>
          <w:tcPr>
            <w:tcW w:w="1620" w:type="dxa"/>
          </w:tcPr>
          <w:p w:rsidR="00FE30A9" w:rsidP="00C16292" w14:paraId="0DBFA4E6" w14:textId="77777777">
            <w:pPr>
              <w:jc w:val="center"/>
            </w:pPr>
          </w:p>
        </w:tc>
        <w:tc>
          <w:tcPr>
            <w:tcW w:w="1620" w:type="dxa"/>
          </w:tcPr>
          <w:p w:rsidR="00FE30A9" w:rsidP="00C16292" w14:paraId="0C25C075" w14:textId="77777777">
            <w:pPr>
              <w:jc w:val="center"/>
            </w:pPr>
          </w:p>
        </w:tc>
      </w:tr>
    </w:tbl>
    <w:p w:rsidR="00FE30A9" w:rsidP="00FE30A9" w14:paraId="1BB24E15" w14:textId="77777777">
      <w:pPr>
        <w:pStyle w:val="ListParagraph"/>
        <w:ind w:firstLine="360"/>
      </w:pPr>
    </w:p>
    <w:p w:rsidR="00FE30A9" w:rsidP="00FE30A9" w14:paraId="226A2A9C" w14:textId="77777777">
      <w:pPr>
        <w:pStyle w:val="ListParagraph"/>
        <w:keepNext/>
        <w:keepLines/>
        <w:numPr>
          <w:ilvl w:val="0"/>
          <w:numId w:val="21"/>
        </w:numPr>
        <w:spacing w:after="120"/>
        <w:ind w:left="270"/>
        <w:contextualSpacing w:val="0"/>
      </w:pPr>
      <w:r>
        <w:t>[</w:t>
      </w:r>
      <w:r w:rsidRPr="005B2C4F">
        <w:rPr>
          <w:color w:val="538135" w:themeColor="accent6" w:themeShade="BF"/>
        </w:rPr>
        <w:t>Gate</w:t>
      </w:r>
      <w:r>
        <w:rPr>
          <w:color w:val="538135" w:themeColor="accent6" w:themeShade="BF"/>
        </w:rPr>
        <w:t>d: question only appears for</w:t>
      </w:r>
      <w:r w:rsidRPr="005B2C4F">
        <w:rPr>
          <w:color w:val="538135" w:themeColor="accent6" w:themeShade="BF"/>
        </w:rPr>
        <w:t xml:space="preserve"> SRF counterparties</w:t>
      </w:r>
      <w:r>
        <w:rPr>
          <w:color w:val="538135" w:themeColor="accent6" w:themeShade="BF"/>
        </w:rPr>
        <w:t xml:space="preserve"> only]</w:t>
      </w:r>
      <w:r w:rsidRPr="005B2C4F">
        <w:rPr>
          <w:color w:val="538135" w:themeColor="accent6" w:themeShade="BF"/>
        </w:rPr>
        <w:t xml:space="preserve"> </w:t>
      </w:r>
      <w:r>
        <w:t>Under each of the conditions listed in the table below, select the level</w:t>
      </w:r>
      <w:r w:rsidRPr="00BA3DE6">
        <w:t xml:space="preserve"> of management approval, if any, </w:t>
      </w:r>
      <w:r>
        <w:t xml:space="preserve">that </w:t>
      </w:r>
      <w:r w:rsidRPr="00BA3DE6">
        <w:t xml:space="preserve">would be required </w:t>
      </w:r>
      <w:r>
        <w:t xml:space="preserve">at your institution </w:t>
      </w:r>
      <w:r w:rsidRPr="00BA3DE6">
        <w:t>before participating in an SRF operation</w:t>
      </w:r>
      <w:r>
        <w:t xml:space="preserve">. </w:t>
      </w:r>
    </w:p>
    <w:tbl>
      <w:tblPr>
        <w:tblStyle w:val="GridTable4Accent1"/>
        <w:tblW w:w="9085" w:type="dxa"/>
        <w:jc w:val="center"/>
        <w:tblLook w:val="04A0"/>
      </w:tblPr>
      <w:tblGrid>
        <w:gridCol w:w="4045"/>
        <w:gridCol w:w="5040"/>
      </w:tblGrid>
      <w:tr w14:paraId="5D262699" w14:textId="77777777" w:rsidTr="00C16292">
        <w:tblPrEx>
          <w:tblW w:w="9085" w:type="dxa"/>
          <w:jc w:val="center"/>
          <w:tblLook w:val="04A0"/>
        </w:tblPrEx>
        <w:trPr>
          <w:jc w:val="center"/>
        </w:trPr>
        <w:tc>
          <w:tcPr>
            <w:tcW w:w="4045" w:type="dxa"/>
            <w:shd w:val="clear" w:color="auto" w:fill="DAE9F7"/>
          </w:tcPr>
          <w:p w:rsidR="00FE30A9" w:rsidRPr="00312B8A" w:rsidP="00C16292" w14:paraId="5DF1783D" w14:textId="77777777">
            <w:pPr>
              <w:keepNext/>
              <w:keepLines/>
              <w:rPr>
                <w:color w:val="auto"/>
              </w:rPr>
            </w:pPr>
            <w:r>
              <w:rPr>
                <w:color w:val="auto"/>
              </w:rPr>
              <w:t>Condition</w:t>
            </w:r>
          </w:p>
        </w:tc>
        <w:tc>
          <w:tcPr>
            <w:tcW w:w="5040" w:type="dxa"/>
            <w:shd w:val="clear" w:color="auto" w:fill="DAE9F7"/>
          </w:tcPr>
          <w:p w:rsidR="00FE30A9" w:rsidRPr="00FC7C94" w:rsidP="00C16292" w14:paraId="139EA6A3" w14:textId="77777777">
            <w:pPr>
              <w:keepNext/>
              <w:keepLines/>
              <w:ind w:left="-105"/>
              <w:rPr>
                <w:b w:val="0"/>
                <w:color w:val="auto"/>
              </w:rPr>
            </w:pPr>
            <w:r>
              <w:rPr>
                <w:color w:val="auto"/>
              </w:rPr>
              <w:t xml:space="preserve">What level of management approval, if any, would be required before participating in an SRF operation? </w:t>
            </w:r>
          </w:p>
          <w:p w:rsidR="00FE30A9" w:rsidRPr="00302413" w:rsidP="00C16292" w14:paraId="486B72F6" w14:textId="77777777">
            <w:pPr>
              <w:keepNext/>
              <w:keepLines/>
              <w:ind w:left="-105"/>
              <w:rPr>
                <w:b w:val="0"/>
                <w:bCs w:val="0"/>
                <w:color w:val="auto"/>
              </w:rPr>
            </w:pPr>
            <w:r w:rsidRPr="00302413">
              <w:rPr>
                <w:b w:val="0"/>
                <w:bCs w:val="0"/>
                <w:color w:val="auto"/>
                <w:sz w:val="21"/>
                <w:szCs w:val="21"/>
              </w:rPr>
              <w:t>(</w:t>
            </w:r>
            <w:r w:rsidRPr="00012177">
              <w:rPr>
                <w:b w:val="0"/>
                <w:bCs w:val="0"/>
                <w:color w:val="auto"/>
                <w:sz w:val="20"/>
                <w:szCs w:val="20"/>
              </w:rPr>
              <w:t xml:space="preserve">select all that </w:t>
            </w:r>
            <w:r w:rsidRPr="00012177">
              <w:rPr>
                <w:b w:val="0"/>
                <w:bCs w:val="0"/>
                <w:color w:val="auto"/>
                <w:sz w:val="20"/>
                <w:szCs w:val="20"/>
              </w:rPr>
              <w:t>apply:</w:t>
            </w:r>
            <w:r w:rsidRPr="00012177">
              <w:rPr>
                <w:b w:val="0"/>
                <w:bCs w:val="0"/>
                <w:color w:val="auto"/>
                <w:sz w:val="20"/>
                <w:szCs w:val="20"/>
              </w:rPr>
              <w:t xml:space="preserve">  a) No approval needed, b) funding desk management, c) risk management, d) executive management)</w:t>
            </w:r>
          </w:p>
        </w:tc>
      </w:tr>
      <w:tr w14:paraId="3A02D83C" w14:textId="77777777" w:rsidTr="00C16292">
        <w:tblPrEx>
          <w:tblW w:w="9085" w:type="dxa"/>
          <w:jc w:val="center"/>
          <w:tblLook w:val="04A0"/>
        </w:tblPrEx>
        <w:trPr>
          <w:trHeight w:val="1403"/>
          <w:jc w:val="center"/>
        </w:trPr>
        <w:tc>
          <w:tcPr>
            <w:tcW w:w="4045" w:type="dxa"/>
            <w:shd w:val="clear" w:color="auto" w:fill="auto"/>
          </w:tcPr>
          <w:p w:rsidR="00FE30A9" w:rsidRPr="00312B8A" w:rsidP="00FE30A9" w14:paraId="1BA3B69E" w14:textId="77777777">
            <w:pPr>
              <w:pStyle w:val="ListParagraph"/>
              <w:numPr>
                <w:ilvl w:val="0"/>
                <w:numId w:val="34"/>
              </w:numPr>
              <w:spacing w:after="60"/>
              <w:ind w:left="420" w:hanging="180"/>
            </w:pPr>
            <w:r>
              <w:rPr>
                <w:b w:val="0"/>
                <w:bCs w:val="0"/>
              </w:rPr>
              <w:t>Around days with anticipated outflows and elevated repo rates (for example, h</w:t>
            </w:r>
            <w:r w:rsidRPr="006E0C14">
              <w:rPr>
                <w:b w:val="0"/>
                <w:bCs w:val="0"/>
              </w:rPr>
              <w:t>igh payment flow days</w:t>
            </w:r>
            <w:r>
              <w:rPr>
                <w:b w:val="0"/>
                <w:bCs w:val="0"/>
              </w:rPr>
              <w:t xml:space="preserve">, reporting dates, </w:t>
            </w:r>
            <w:r w:rsidRPr="006E0C14">
              <w:rPr>
                <w:b w:val="0"/>
                <w:bCs w:val="0"/>
              </w:rPr>
              <w:t>Treasury settlements, tax dates</w:t>
            </w:r>
            <w:r>
              <w:rPr>
                <w:b w:val="0"/>
                <w:bCs w:val="0"/>
              </w:rPr>
              <w:t>)</w:t>
            </w:r>
          </w:p>
        </w:tc>
        <w:tc>
          <w:tcPr>
            <w:tcW w:w="5040" w:type="dxa"/>
            <w:shd w:val="clear" w:color="auto" w:fill="auto"/>
          </w:tcPr>
          <w:p w:rsidR="00FE30A9" w:rsidRPr="00312B8A" w:rsidP="00C16292" w14:paraId="72A1889D" w14:textId="77777777">
            <w:pPr>
              <w:keepNext/>
              <w:keepLines/>
              <w:spacing w:after="60"/>
              <w:ind w:left="360"/>
            </w:pPr>
          </w:p>
        </w:tc>
      </w:tr>
      <w:tr w14:paraId="59E6618A" w14:textId="77777777" w:rsidTr="002658D8">
        <w:tblPrEx>
          <w:tblW w:w="9085" w:type="dxa"/>
          <w:jc w:val="center"/>
          <w:tblLook w:val="04A0"/>
        </w:tblPrEx>
        <w:trPr>
          <w:trHeight w:val="413"/>
          <w:jc w:val="center"/>
        </w:trPr>
        <w:tc>
          <w:tcPr>
            <w:tcW w:w="4045" w:type="dxa"/>
            <w:shd w:val="clear" w:color="auto" w:fill="EFF5FB"/>
          </w:tcPr>
          <w:p w:rsidR="00FE30A9" w:rsidRPr="00312B8A" w:rsidP="00FE30A9" w14:paraId="1A2E508A" w14:textId="77777777">
            <w:pPr>
              <w:pStyle w:val="ListParagraph"/>
              <w:numPr>
                <w:ilvl w:val="0"/>
                <w:numId w:val="34"/>
              </w:numPr>
              <w:spacing w:after="60"/>
              <w:ind w:left="420" w:hanging="180"/>
              <w:rPr>
                <w:b w:val="0"/>
                <w:bCs w:val="0"/>
              </w:rPr>
            </w:pPr>
            <w:r>
              <w:rPr>
                <w:b w:val="0"/>
                <w:bCs w:val="0"/>
              </w:rPr>
              <w:t xml:space="preserve">Around days with unanticipated outflows and elevated repo rates </w:t>
            </w:r>
          </w:p>
        </w:tc>
        <w:tc>
          <w:tcPr>
            <w:tcW w:w="5040" w:type="dxa"/>
            <w:shd w:val="clear" w:color="auto" w:fill="EFF5FB"/>
          </w:tcPr>
          <w:p w:rsidR="00FE30A9" w:rsidRPr="00312B8A" w:rsidP="00C16292" w14:paraId="7DD47055" w14:textId="77777777">
            <w:pPr>
              <w:keepNext/>
              <w:keepLines/>
              <w:spacing w:after="60"/>
              <w:ind w:left="360"/>
            </w:pPr>
          </w:p>
        </w:tc>
      </w:tr>
    </w:tbl>
    <w:p w:rsidR="00FE30A9" w:rsidP="00FE30A9" w14:paraId="7638E44A" w14:textId="77777777">
      <w:pPr>
        <w:pStyle w:val="ListParagraph"/>
        <w:ind w:left="360"/>
      </w:pPr>
    </w:p>
    <w:p w:rsidR="00FE30A9" w:rsidP="00FE30A9" w14:paraId="7F9AE011" w14:textId="77777777">
      <w:pPr>
        <w:pStyle w:val="ListParagraph"/>
        <w:ind w:left="360"/>
      </w:pPr>
      <w:r>
        <w:t>15B.  Please use the comment box to elaborate on your institution’s approval process.</w:t>
      </w:r>
    </w:p>
    <w:p w:rsidR="00FE30A9" w:rsidP="00FE30A9" w14:paraId="7392EFAC" w14:textId="77777777">
      <w:pPr>
        <w:pStyle w:val="ListParagraph"/>
      </w:pPr>
      <w:r>
        <w:t xml:space="preserve">   [comment box]</w:t>
      </w:r>
    </w:p>
    <w:p w:rsidR="00FE30A9" w:rsidP="00FE30A9" w14:paraId="6701914B" w14:textId="77777777">
      <w:pPr>
        <w:pStyle w:val="ListParagraph"/>
        <w:ind w:left="1440"/>
      </w:pPr>
    </w:p>
    <w:p w:rsidR="00FE30A9" w:rsidP="00FE30A9" w14:paraId="422FD52B" w14:textId="77777777">
      <w:pPr>
        <w:pStyle w:val="ListParagraph"/>
        <w:keepNext/>
        <w:keepLines/>
        <w:numPr>
          <w:ilvl w:val="0"/>
          <w:numId w:val="21"/>
        </w:numPr>
        <w:spacing w:after="60"/>
        <w:ind w:left="270"/>
        <w:contextualSpacing w:val="0"/>
      </w:pPr>
      <w:r>
        <w:t>[</w:t>
      </w:r>
      <w:r w:rsidRPr="005B2C4F">
        <w:rPr>
          <w:color w:val="538135" w:themeColor="accent6" w:themeShade="BF"/>
        </w:rPr>
        <w:t>Gate</w:t>
      </w:r>
      <w:r>
        <w:rPr>
          <w:color w:val="538135" w:themeColor="accent6" w:themeShade="BF"/>
        </w:rPr>
        <w:t>d: question only appears for</w:t>
      </w:r>
      <w:r w:rsidRPr="005B2C4F">
        <w:rPr>
          <w:color w:val="538135" w:themeColor="accent6" w:themeShade="BF"/>
        </w:rPr>
        <w:t xml:space="preserve"> SRF counterparties</w:t>
      </w:r>
      <w:r>
        <w:rPr>
          <w:color w:val="538135" w:themeColor="accent6" w:themeShade="BF"/>
        </w:rPr>
        <w:t xml:space="preserve"> only]</w:t>
      </w:r>
      <w:r w:rsidRPr="005B2C4F">
        <w:rPr>
          <w:color w:val="538135" w:themeColor="accent6" w:themeShade="BF"/>
        </w:rPr>
        <w:t xml:space="preserve"> </w:t>
      </w:r>
      <w:r>
        <w:t>Is your institution’s internal notification and/or approval process for the SRF is different from the process for approving discount window loans?  (select yes or no)</w:t>
      </w:r>
    </w:p>
    <w:p w:rsidR="00FE30A9" w:rsidP="00FE30A9" w14:paraId="4011B42E" w14:textId="77777777">
      <w:pPr>
        <w:pStyle w:val="ListParagraph"/>
        <w:keepNext/>
        <w:keepLines/>
        <w:spacing w:after="60"/>
        <w:ind w:left="270"/>
        <w:contextualSpacing w:val="0"/>
      </w:pPr>
      <w:r>
        <w:t xml:space="preserve">16B) If you answered yes, please use the comment box to elaborate about the differences.  </w:t>
      </w:r>
    </w:p>
    <w:p w:rsidR="00FE30A9" w:rsidP="00FE30A9" w14:paraId="023A0F39" w14:textId="2853AD7F">
      <w:pPr>
        <w:pStyle w:val="ListParagraph"/>
        <w:ind w:hanging="450"/>
      </w:pPr>
      <w:r>
        <w:t>[comment box]</w:t>
      </w:r>
    </w:p>
    <w:p w:rsidR="00FE30A9" w:rsidP="00FE30A9" w14:paraId="0866AE44" w14:textId="77777777">
      <w:pPr>
        <w:pStyle w:val="ListParagraph"/>
        <w:ind w:firstLine="360"/>
      </w:pPr>
    </w:p>
    <w:p w:rsidR="00FE30A9" w:rsidRPr="00334F6A" w:rsidP="00FE30A9" w14:paraId="66380ECA" w14:textId="77777777">
      <w:pPr>
        <w:pStyle w:val="ListParagraph"/>
        <w:keepNext/>
        <w:keepLines/>
        <w:numPr>
          <w:ilvl w:val="0"/>
          <w:numId w:val="21"/>
        </w:numPr>
        <w:spacing w:after="120"/>
        <w:ind w:left="270"/>
        <w:contextualSpacing w:val="0"/>
      </w:pPr>
      <w:r>
        <w:t>[</w:t>
      </w:r>
      <w:r w:rsidRPr="005B2C4F">
        <w:rPr>
          <w:color w:val="538135" w:themeColor="accent6" w:themeShade="BF"/>
        </w:rPr>
        <w:t>Gate</w:t>
      </w:r>
      <w:r>
        <w:rPr>
          <w:color w:val="538135" w:themeColor="accent6" w:themeShade="BF"/>
        </w:rPr>
        <w:t>d: question only appears for</w:t>
      </w:r>
      <w:r w:rsidRPr="005B2C4F">
        <w:rPr>
          <w:color w:val="538135" w:themeColor="accent6" w:themeShade="BF"/>
        </w:rPr>
        <w:t xml:space="preserve"> SRF counterparties</w:t>
      </w:r>
      <w:r>
        <w:rPr>
          <w:color w:val="538135" w:themeColor="accent6" w:themeShade="BF"/>
        </w:rPr>
        <w:t xml:space="preserve"> only]</w:t>
      </w:r>
      <w:r w:rsidRPr="005B2C4F">
        <w:rPr>
          <w:color w:val="538135" w:themeColor="accent6" w:themeShade="BF"/>
        </w:rPr>
        <w:t xml:space="preserve"> </w:t>
      </w:r>
      <w:r w:rsidRPr="00334F6A">
        <w:t xml:space="preserve">Please select the statement that best characterizes </w:t>
      </w:r>
      <w:r>
        <w:t xml:space="preserve">your </w:t>
      </w:r>
      <w:r>
        <w:t>institution’s  preferences</w:t>
      </w:r>
      <w:r>
        <w:t xml:space="preserve">. In a scenario with elevated money market rates, my institution would be: </w:t>
      </w:r>
    </w:p>
    <w:p w:rsidR="00FE30A9" w:rsidRPr="00334F6A" w:rsidP="00FE30A9" w14:paraId="0F9C530A" w14:textId="77777777">
      <w:pPr>
        <w:pStyle w:val="ListParagraph"/>
        <w:numPr>
          <w:ilvl w:val="0"/>
          <w:numId w:val="37"/>
        </w:numPr>
        <w:tabs>
          <w:tab w:val="left" w:pos="990"/>
        </w:tabs>
        <w:spacing w:after="60"/>
        <w:ind w:left="900" w:right="-360" w:hanging="180"/>
        <w:contextualSpacing w:val="0"/>
      </w:pPr>
      <w:r>
        <w:t>m</w:t>
      </w:r>
      <w:r w:rsidRPr="00334F6A">
        <w:t>ore likely to participate in an SRF operation than to borrow from the discount window.</w:t>
      </w:r>
    </w:p>
    <w:p w:rsidR="00FE30A9" w:rsidRPr="00334F6A" w:rsidP="00FE30A9" w14:paraId="7B2A4DE4" w14:textId="77777777">
      <w:pPr>
        <w:pStyle w:val="ListParagraph"/>
        <w:numPr>
          <w:ilvl w:val="0"/>
          <w:numId w:val="37"/>
        </w:numPr>
        <w:tabs>
          <w:tab w:val="left" w:pos="990"/>
        </w:tabs>
        <w:spacing w:after="60"/>
        <w:ind w:left="900" w:right="-360" w:hanging="180"/>
        <w:contextualSpacing w:val="0"/>
      </w:pPr>
      <w:r>
        <w:t>e</w:t>
      </w:r>
      <w:r w:rsidRPr="00334F6A">
        <w:t>qually likely to participate in an SRF operation and to borrow from the discount window.</w:t>
      </w:r>
    </w:p>
    <w:p w:rsidR="00FE30A9" w:rsidP="00FE30A9" w14:paraId="20FB2AED" w14:textId="77777777">
      <w:pPr>
        <w:pStyle w:val="ListParagraph"/>
        <w:numPr>
          <w:ilvl w:val="0"/>
          <w:numId w:val="37"/>
        </w:numPr>
        <w:tabs>
          <w:tab w:val="left" w:pos="990"/>
        </w:tabs>
        <w:spacing w:after="240"/>
        <w:ind w:left="900" w:right="-360" w:hanging="180"/>
        <w:contextualSpacing w:val="0"/>
      </w:pPr>
      <w:r>
        <w:t>l</w:t>
      </w:r>
      <w:r w:rsidRPr="00334F6A">
        <w:t>ess likely to participate in an SRF operation than to borrow from the discount window.</w:t>
      </w:r>
    </w:p>
    <w:p w:rsidR="00FE30A9" w:rsidRPr="00334F6A" w:rsidP="00FE30A9" w14:paraId="5EAA8CC1" w14:textId="77777777">
      <w:pPr>
        <w:spacing w:after="80"/>
        <w:ind w:left="450"/>
      </w:pPr>
      <w:r>
        <w:t xml:space="preserve">17B. </w:t>
      </w:r>
      <w:r w:rsidRPr="004A3CD5">
        <w:t>Please elaborate in the comment box on the factors that affect your institution's decision-making in choosing between the SRF and the discount window.</w:t>
      </w:r>
    </w:p>
    <w:p w:rsidR="00FE30A9" w:rsidRPr="00334F6A" w:rsidP="00FE30A9" w14:paraId="4FE6ACF7" w14:textId="77777777">
      <w:pPr>
        <w:ind w:left="450" w:firstLine="720"/>
        <w:rPr>
          <w:b/>
          <w:bCs/>
        </w:rPr>
      </w:pPr>
      <w:r>
        <w:t>[comment box]</w:t>
      </w:r>
    </w:p>
    <w:p w:rsidR="00FE30A9" w:rsidRPr="00FE30A9" w:rsidP="00F6649E" w14:paraId="6CEB924A" w14:textId="77777777">
      <w:pPr>
        <w:spacing w:line="276" w:lineRule="auto"/>
        <w:rPr>
          <w:rFonts w:ascii="Times New Roman" w:hAnsi="Times New Roman" w:cs="Times New Roman"/>
          <w:sz w:val="24"/>
          <w:szCs w:val="24"/>
        </w:rPr>
      </w:pPr>
    </w:p>
    <w:sectPr w:rsidSect="00A05220">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48765826"/>
      <w:docPartObj>
        <w:docPartGallery w:val="Page Numbers (Bottom of Page)"/>
        <w:docPartUnique/>
      </w:docPartObj>
    </w:sdtPr>
    <w:sdtContent>
      <w:sdt>
        <w:sdtPr>
          <w:id w:val="-1769616900"/>
          <w:docPartObj>
            <w:docPartGallery w:val="Page Numbers (Top of Page)"/>
            <w:docPartUnique/>
          </w:docPartObj>
        </w:sdtPr>
        <w:sdtContent>
          <w:p w:rsidR="00642BBF" w14:paraId="50B06591" w14:textId="4AFD3D97">
            <w:pPr>
              <w:pStyle w:val="Footer"/>
              <w:jc w:val="right"/>
            </w:pPr>
            <w:r w:rsidRPr="001D3D12">
              <w:rPr>
                <w:rFonts w:ascii="Times New Roman" w:hAnsi="Times New Roman" w:cs="Times New Roman"/>
                <w:bCs/>
                <w:sz w:val="24"/>
                <w:szCs w:val="24"/>
              </w:rPr>
              <w:fldChar w:fldCharType="begin"/>
            </w:r>
            <w:r w:rsidRPr="001D3D12">
              <w:rPr>
                <w:rFonts w:ascii="Times New Roman" w:hAnsi="Times New Roman" w:cs="Times New Roman"/>
                <w:bCs/>
              </w:rPr>
              <w:instrText xml:space="preserve"> PAGE </w:instrText>
            </w:r>
            <w:r w:rsidRPr="001D3D12">
              <w:rPr>
                <w:rFonts w:ascii="Times New Roman" w:hAnsi="Times New Roman" w:cs="Times New Roman"/>
                <w:bCs/>
                <w:sz w:val="24"/>
                <w:szCs w:val="24"/>
              </w:rPr>
              <w:fldChar w:fldCharType="separate"/>
            </w:r>
            <w:r w:rsidR="00B12612">
              <w:rPr>
                <w:rFonts w:ascii="Times New Roman" w:hAnsi="Times New Roman" w:cs="Times New Roman"/>
                <w:bCs/>
                <w:noProof/>
              </w:rPr>
              <w:t>1</w:t>
            </w:r>
            <w:r w:rsidRPr="001D3D12">
              <w:rPr>
                <w:rFonts w:ascii="Times New Roman" w:hAnsi="Times New Roman" w:cs="Times New Roman"/>
                <w:bCs/>
                <w:sz w:val="24"/>
                <w:szCs w:val="24"/>
              </w:rPr>
              <w:fldChar w:fldCharType="end"/>
            </w:r>
            <w:r w:rsidRPr="001D3D12">
              <w:rPr>
                <w:rFonts w:ascii="Times New Roman" w:hAnsi="Times New Roman" w:cs="Times New Roman"/>
              </w:rPr>
              <w:t xml:space="preserve"> of </w:t>
            </w:r>
            <w:r w:rsidRPr="001D3D12">
              <w:rPr>
                <w:rFonts w:ascii="Times New Roman" w:hAnsi="Times New Roman" w:cs="Times New Roman"/>
                <w:bCs/>
                <w:sz w:val="24"/>
                <w:szCs w:val="24"/>
              </w:rPr>
              <w:fldChar w:fldCharType="begin"/>
            </w:r>
            <w:r w:rsidRPr="001D3D12">
              <w:rPr>
                <w:rFonts w:ascii="Times New Roman" w:hAnsi="Times New Roman" w:cs="Times New Roman"/>
                <w:bCs/>
              </w:rPr>
              <w:instrText xml:space="preserve"> NUMPAGES  </w:instrText>
            </w:r>
            <w:r w:rsidRPr="001D3D12">
              <w:rPr>
                <w:rFonts w:ascii="Times New Roman" w:hAnsi="Times New Roman" w:cs="Times New Roman"/>
                <w:bCs/>
                <w:sz w:val="24"/>
                <w:szCs w:val="24"/>
              </w:rPr>
              <w:fldChar w:fldCharType="separate"/>
            </w:r>
            <w:r w:rsidR="00B12612">
              <w:rPr>
                <w:rFonts w:ascii="Times New Roman" w:hAnsi="Times New Roman" w:cs="Times New Roman"/>
                <w:bCs/>
                <w:noProof/>
              </w:rPr>
              <w:t>1</w:t>
            </w:r>
            <w:r w:rsidRPr="001D3D12">
              <w:rPr>
                <w:rFonts w:ascii="Times New Roman" w:hAnsi="Times New Roman" w:cs="Times New Roman"/>
                <w:bCs/>
                <w:sz w:val="24"/>
                <w:szCs w:val="24"/>
              </w:rPr>
              <w:fldChar w:fldCharType="end"/>
            </w:r>
          </w:p>
        </w:sdtContent>
      </w:sdt>
    </w:sdtContent>
  </w:sdt>
  <w:p w:rsidR="00642BBF" w14:paraId="50B0659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87D7F" w:rsidP="00B71B3C" w14:paraId="5543ADD6" w14:textId="77777777">
      <w:r>
        <w:separator/>
      </w:r>
    </w:p>
  </w:footnote>
  <w:footnote w:type="continuationSeparator" w:id="1">
    <w:p w:rsidR="00C87D7F" w:rsidP="00B71B3C" w14:paraId="2063631D" w14:textId="77777777">
      <w:r>
        <w:continuationSeparator/>
      </w:r>
    </w:p>
  </w:footnote>
  <w:footnote w:type="continuationNotice" w:id="2">
    <w:p w:rsidR="00C87D7F" w14:paraId="274DEBEA" w14:textId="77777777"/>
  </w:footnote>
  <w:footnote w:id="3">
    <w:p w:rsidR="00FE30A9" w:rsidRPr="00E358C4" w:rsidP="00FE30A9" w14:paraId="216B5440" w14:textId="77777777">
      <w:pPr>
        <w:pStyle w:val="FootnoteText"/>
        <w:spacing w:after="60"/>
      </w:pPr>
      <w:r w:rsidRPr="00E358C4">
        <w:rPr>
          <w:rStyle w:val="FootnoteReference"/>
        </w:rPr>
        <w:footnoteRef/>
      </w:r>
      <w:r w:rsidRPr="00E358C4">
        <w:t xml:space="preserve"> For question 1, consider the potential differences between your </w:t>
      </w:r>
      <w:r>
        <w:t>institution</w:t>
      </w:r>
      <w:r w:rsidRPr="00E358C4">
        <w:t xml:space="preserve">’s balance sheet, on average, in March 2025 and your expectation about your </w:t>
      </w:r>
      <w:r>
        <w:t>institution</w:t>
      </w:r>
      <w:r w:rsidRPr="00E358C4">
        <w:t xml:space="preserve">’s balance sheet, on average, in September 2025. </w:t>
      </w:r>
    </w:p>
  </w:footnote>
  <w:footnote w:id="4">
    <w:p w:rsidR="00FE30A9" w:rsidRPr="00E358C4" w:rsidP="00FE30A9" w14:paraId="2D8BF025" w14:textId="77777777">
      <w:pPr>
        <w:pStyle w:val="FootnoteText"/>
        <w:spacing w:after="60"/>
      </w:pPr>
      <w:r w:rsidRPr="00E358C4">
        <w:rPr>
          <w:rStyle w:val="FootnoteReference"/>
        </w:rPr>
        <w:footnoteRef/>
      </w:r>
      <w:r w:rsidRPr="00E358C4">
        <w:t xml:space="preserve"> </w:t>
      </w:r>
      <w:bookmarkStart w:id="3" w:name="OLE_LINK34"/>
      <w:bookmarkStart w:id="4" w:name="OLE_LINK35"/>
      <w:bookmarkStart w:id="5" w:name="_Hlk117504974"/>
      <w:r w:rsidRPr="00E358C4">
        <w:t xml:space="preserve">The expected decrease is based on the sum of the medians of dealers’ modal expectations for the monthly </w:t>
      </w:r>
      <w:r w:rsidRPr="00E358C4">
        <w:t xml:space="preserve">amount of net purchases of U.S. Treasury securities and agency MBS from the end of March 2025 to the end of September 2025. </w:t>
      </w:r>
      <w:bookmarkEnd w:id="3"/>
      <w:bookmarkEnd w:id="4"/>
      <w:bookmarkEnd w:id="5"/>
    </w:p>
  </w:footnote>
  <w:footnote w:id="5">
    <w:p w:rsidR="00FE30A9" w:rsidRPr="00E358C4" w:rsidP="00FE30A9" w14:paraId="6C888D8F" w14:textId="77777777">
      <w:pPr>
        <w:pStyle w:val="FootnoteText"/>
        <w:spacing w:after="60"/>
      </w:pPr>
      <w:r w:rsidRPr="00E358C4">
        <w:rPr>
          <w:rStyle w:val="FootnoteReference"/>
        </w:rPr>
        <w:footnoteRef/>
      </w:r>
      <w:r w:rsidRPr="00E358C4">
        <w:t xml:space="preserve"> Please refer to Regulation WW for HQLA definitions, which is available at </w:t>
      </w:r>
      <w:hyperlink r:id="rId1" w:history="1">
        <w:r w:rsidRPr="00E358C4">
          <w:rPr>
            <w:rStyle w:val="Hyperlink"/>
          </w:rPr>
          <w:t>https://www.ecfr.gov/current/title-12/chapter-II/subchapter-A/part-249/subpart-C</w:t>
        </w:r>
      </w:hyperlink>
      <w:r w:rsidRPr="00E358C4">
        <w:t>.</w:t>
      </w:r>
    </w:p>
  </w:footnote>
  <w:footnote w:id="6">
    <w:p w:rsidR="00FE30A9" w:rsidP="00FE30A9" w14:paraId="4DABAA26" w14:textId="77777777">
      <w:pPr>
        <w:pStyle w:val="FootnoteText"/>
      </w:pPr>
      <w:r>
        <w:rPr>
          <w:rStyle w:val="FootnoteReference"/>
        </w:rPr>
        <w:footnoteRef/>
      </w:r>
      <w:r>
        <w:t xml:space="preserve"> </w:t>
      </w:r>
      <w:r w:rsidRPr="00503034">
        <w:t xml:space="preserve">Section 11 of the Federal Reserve Act, as amended by section 1103 of the Dodd-Frank Wall Street Reform and Consumer Protection Act of 2010, requires that detailed operational results, including counterparty names, be released two years after each quarterly transaction period; see “Historical Transaction Data” on the Federal Reserve Bank of New York’s website at </w:t>
      </w:r>
      <w:hyperlink r:id="rId2" w:history="1">
        <w:r w:rsidRPr="00554183">
          <w:rPr>
            <w:rStyle w:val="Hyperlink"/>
          </w:rPr>
          <w:t>https://www.newyorkfed.org/markets/omo_transaction_data</w:t>
        </w:r>
      </w:hyperlink>
      <w:r w:rsidRPr="00503034">
        <w:t>.</w:t>
      </w:r>
      <w:r>
        <w:t xml:space="preserve"> </w:t>
      </w:r>
      <w:r w:rsidRPr="00503034">
        <w:t xml:space="preserve"> For further details, please see “FAQs:  Standing Repo Facility” on the Federal Reserve Bank of New York’s website at </w:t>
      </w:r>
      <w:hyperlink r:id="rId2" w:history="1">
        <w:r w:rsidRPr="00554183">
          <w:rPr>
            <w:rStyle w:val="Hyperlink"/>
          </w:rPr>
          <w:t>https://www.newyorkfed.org/markets/omo_transaction_data</w:t>
        </w:r>
      </w:hyperlink>
      <w:r w:rsidRPr="00503034">
        <w:t>.</w:t>
      </w:r>
      <w:r>
        <w:t xml:space="preserve"> </w:t>
      </w:r>
    </w:p>
  </w:footnote>
  <w:footnote w:id="7">
    <w:p w:rsidR="00FE30A9" w:rsidP="00FE30A9" w14:paraId="4DAB4FBE" w14:textId="77777777">
      <w:pPr>
        <w:pStyle w:val="FootnoteText"/>
      </w:pPr>
      <w:r>
        <w:rPr>
          <w:rStyle w:val="FootnoteReference"/>
        </w:rPr>
        <w:footnoteRef/>
      </w:r>
      <w:r>
        <w:t xml:space="preserve"> See </w:t>
      </w:r>
      <w:hyperlink r:id="rId3" w:history="1">
        <w:r w:rsidRPr="00554183">
          <w:rPr>
            <w:rStyle w:val="Hyperlink"/>
          </w:rPr>
          <w:t>https://www.newyorkfed.org/markets/desk-operations/repo</w:t>
        </w:r>
      </w:hyperlink>
      <w:r>
        <w:rPr>
          <w:rStyle w:val="Hyperlink"/>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2BBF" w:rsidRPr="00605D05" w:rsidP="00605D05" w14:paraId="50B06590" w14:textId="2EBF07C6">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D6CE5"/>
    <w:multiLevelType w:val="hybridMultilevel"/>
    <w:tmpl w:val="2A66E0B6"/>
    <w:lvl w:ilvl="0">
      <w:start w:val="1"/>
      <w:numFmt w:val="upperRoman"/>
      <w:lvlText w:val="%1."/>
      <w:lvlJc w:val="righ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2053A9"/>
    <w:multiLevelType w:val="hybridMultilevel"/>
    <w:tmpl w:val="682CD416"/>
    <w:lvl w:ilvl="0">
      <w:start w:val="1"/>
      <w:numFmt w:val="decimal"/>
      <w:lvlText w:val="%1."/>
      <w:lvlJc w:val="left"/>
      <w:pPr>
        <w:ind w:left="360" w:hanging="360"/>
      </w:pPr>
      <w:rPr>
        <w:rFonts w:hint="default"/>
        <w:b/>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7C5531A"/>
    <w:multiLevelType w:val="hybridMultilevel"/>
    <w:tmpl w:val="C2105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4E3B62"/>
    <w:multiLevelType w:val="hybridMultilevel"/>
    <w:tmpl w:val="A4AA7A94"/>
    <w:lvl w:ilvl="0">
      <w:start w:val="1"/>
      <w:numFmt w:val="decimal"/>
      <w:lvlText w:val="%1."/>
      <w:lvlJc w:val="left"/>
      <w:pPr>
        <w:ind w:left="360" w:hanging="360"/>
      </w:pPr>
      <w:rPr>
        <w:rFonts w:ascii="Times New Roman" w:hAnsi="Times New Roman" w:cs="Times New Roman"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95B15E2"/>
    <w:multiLevelType w:val="hybridMultilevel"/>
    <w:tmpl w:val="80585718"/>
    <w:lvl w:ilvl="0">
      <w:start w:val="1"/>
      <w:numFmt w:val="decimal"/>
      <w:lvlText w:val="%1)"/>
      <w:lvlJc w:val="left"/>
      <w:pPr>
        <w:ind w:left="720" w:hanging="360"/>
      </w:pPr>
      <w:rPr>
        <w:rFonts w:hint="default"/>
      </w:rPr>
    </w:lvl>
    <w:lvl w:ilvl="1">
      <w:start w:val="1"/>
      <w:numFmt w:val="upp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DD78BD"/>
    <w:multiLevelType w:val="hybridMultilevel"/>
    <w:tmpl w:val="455C6BE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2D2944"/>
    <w:multiLevelType w:val="hybridMultilevel"/>
    <w:tmpl w:val="982435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BC51FB"/>
    <w:multiLevelType w:val="hybridMultilevel"/>
    <w:tmpl w:val="076E61D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4B33885"/>
    <w:multiLevelType w:val="hybridMultilevel"/>
    <w:tmpl w:val="FFDE83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929625E"/>
    <w:multiLevelType w:val="multilevel"/>
    <w:tmpl w:val="80663FB8"/>
    <w:lvl w:ilvl="0">
      <w:start w:val="1"/>
      <w:numFmt w:val="decimal"/>
      <w:lvlText w:val="%1)"/>
      <w:lvlJc w:val="left"/>
      <w:pPr>
        <w:ind w:left="1080" w:hanging="360"/>
      </w:pPr>
      <w:rPr>
        <w:b w:val="0"/>
        <w:bCs w:val="0"/>
        <w:i w:val="0"/>
        <w:iCs w:val="0"/>
        <w:sz w:val="22"/>
        <w:szCs w:val="22"/>
      </w:rPr>
    </w:lvl>
    <w:lvl w:ilvl="1">
      <w:start w:val="1"/>
      <w:numFmt w:val="lowerLetter"/>
      <w:lvlText w:val="%2)"/>
      <w:lvlJc w:val="left"/>
      <w:pPr>
        <w:ind w:left="1440" w:hanging="360"/>
      </w:pPr>
    </w:lvl>
    <w:lvl w:ilvl="2">
      <w:start w:val="1"/>
      <w:numFmt w:val="lowerRoman"/>
      <w:lvlText w:val="%3)"/>
      <w:lvlJc w:val="left"/>
      <w:pPr>
        <w:ind w:left="1800" w:hanging="360"/>
      </w:pPr>
      <w:rPr>
        <w:rFonts w:ascii="Calibri" w:hAnsi="Calibri" w:cs="Calibri" w:hint="default"/>
        <w:sz w:val="22"/>
        <w:szCs w:val="22"/>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nsid w:val="199E6E39"/>
    <w:multiLevelType w:val="hybridMultilevel"/>
    <w:tmpl w:val="871225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D173EE6"/>
    <w:multiLevelType w:val="hybridMultilevel"/>
    <w:tmpl w:val="C1CAFF34"/>
    <w:lvl w:ilvl="0">
      <w:start w:val="1"/>
      <w:numFmt w:val="upperRoman"/>
      <w:lvlText w:val="%1."/>
      <w:lvlJc w:val="right"/>
      <w:pPr>
        <w:ind w:left="144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9659A6"/>
    <w:multiLevelType w:val="hybridMultilevel"/>
    <w:tmpl w:val="C1CAFF34"/>
    <w:lvl w:ilvl="0">
      <w:start w:val="1"/>
      <w:numFmt w:val="upperRoman"/>
      <w:lvlText w:val="%1."/>
      <w:lvlJc w:val="right"/>
      <w:pPr>
        <w:ind w:left="1800" w:hanging="360"/>
      </w:pPr>
      <w:rPr>
        <w:b w:val="0"/>
        <w:bCs w:val="0"/>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23A94ED8"/>
    <w:multiLevelType w:val="hybridMultilevel"/>
    <w:tmpl w:val="0158F5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2EA064B6"/>
    <w:multiLevelType w:val="hybridMultilevel"/>
    <w:tmpl w:val="31D2D5C4"/>
    <w:lvl w:ilvl="0">
      <w:start w:val="1"/>
      <w:numFmt w:val="upperRoman"/>
      <w:lvlText w:val="%1."/>
      <w:lvlJc w:val="left"/>
      <w:pPr>
        <w:ind w:left="720" w:hanging="720"/>
      </w:pPr>
      <w:rPr>
        <w:rFonts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3312C92"/>
    <w:multiLevelType w:val="hybridMultilevel"/>
    <w:tmpl w:val="B03809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6981F94"/>
    <w:multiLevelType w:val="hybridMultilevel"/>
    <w:tmpl w:val="EB9A3A5E"/>
    <w:lvl w:ilvl="0">
      <w:start w:val="1"/>
      <w:numFmt w:val="decimal"/>
      <w:lvlText w:val="%1)"/>
      <w:lvlJc w:val="left"/>
      <w:pPr>
        <w:ind w:left="720" w:hanging="360"/>
      </w:pPr>
      <w:rPr>
        <w:rFonts w:hint="default"/>
      </w:rPr>
    </w:lvl>
    <w:lvl w:ilvl="1">
      <w:start w:val="1"/>
      <w:numFmt w:val="upperRoman"/>
      <w:lvlText w:val="%2."/>
      <w:lvlJc w:val="right"/>
      <w:pPr>
        <w:ind w:left="1440" w:hanging="360"/>
      </w:pPr>
    </w:lvl>
    <w:lvl w:ilvl="2">
      <w:start w:val="1"/>
      <w:numFmt w:val="lowerRoman"/>
      <w:lvlText w:val="%3."/>
      <w:lvlJc w:val="right"/>
      <w:pPr>
        <w:ind w:left="2160" w:hanging="180"/>
      </w:pPr>
    </w:lvl>
    <w:lvl w:ilvl="3">
      <w:start w:val="2"/>
      <w:numFmt w:val="upp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8D5793E"/>
    <w:multiLevelType w:val="hybridMultilevel"/>
    <w:tmpl w:val="2FB81B76"/>
    <w:lvl w:ilvl="0">
      <w:start w:val="1"/>
      <w:numFmt w:val="upperRoman"/>
      <w:lvlText w:val="%1."/>
      <w:lvlJc w:val="right"/>
      <w:pPr>
        <w:ind w:left="360" w:hanging="360"/>
      </w:pPr>
      <w:rPr>
        <w:b w:val="0"/>
        <w:bCs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9A93C3F"/>
    <w:multiLevelType w:val="hybridMultilevel"/>
    <w:tmpl w:val="D758F4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2464137"/>
    <w:multiLevelType w:val="hybridMultilevel"/>
    <w:tmpl w:val="B5F409B2"/>
    <w:lvl w:ilvl="0">
      <w:start w:val="1"/>
      <w:numFmt w:val="upperRoman"/>
      <w:lvlText w:val="%1."/>
      <w:lvlJc w:val="right"/>
      <w:pPr>
        <w:ind w:left="36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41402C2"/>
    <w:multiLevelType w:val="hybridMultilevel"/>
    <w:tmpl w:val="5F42F68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4EB2D8C"/>
    <w:multiLevelType w:val="hybridMultilevel"/>
    <w:tmpl w:val="C534D3D6"/>
    <w:lvl w:ilvl="0">
      <w:start w:val="1"/>
      <w:numFmt w:val="upperRoman"/>
      <w:lvlText w:val="%1."/>
      <w:lvlJc w:val="right"/>
      <w:pPr>
        <w:ind w:left="720" w:hanging="72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62B2ADE"/>
    <w:multiLevelType w:val="hybridMultilevel"/>
    <w:tmpl w:val="4976A1F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00B0392"/>
    <w:multiLevelType w:val="hybridMultilevel"/>
    <w:tmpl w:val="6F1CF0E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07978F0"/>
    <w:multiLevelType w:val="hybridMultilevel"/>
    <w:tmpl w:val="B58E82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66226CA"/>
    <w:multiLevelType w:val="hybridMultilevel"/>
    <w:tmpl w:val="47FE28E0"/>
    <w:lvl w:ilvl="0">
      <w:start w:val="1"/>
      <w:numFmt w:val="decimal"/>
      <w:lvlText w:val="%1)"/>
      <w:lvlJc w:val="left"/>
      <w:pPr>
        <w:ind w:left="720" w:hanging="360"/>
      </w:pPr>
      <w:rPr>
        <w:rFonts w:hint="default"/>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upperLetter"/>
      <w:lvlText w:val="%6)"/>
      <w:lvlJc w:val="left"/>
      <w:pPr>
        <w:ind w:left="4500" w:hanging="360"/>
      </w:pPr>
      <w:rPr>
        <w:rFonts w:cs="Times New Roman"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69E3914"/>
    <w:multiLevelType w:val="hybridMultilevel"/>
    <w:tmpl w:val="C1CAFF34"/>
    <w:lvl w:ilvl="0">
      <w:start w:val="1"/>
      <w:numFmt w:val="upperRoman"/>
      <w:lvlText w:val="%1."/>
      <w:lvlJc w:val="right"/>
      <w:pPr>
        <w:ind w:left="72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6A128C8"/>
    <w:multiLevelType w:val="hybridMultilevel"/>
    <w:tmpl w:val="0F9063EE"/>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B3416CD"/>
    <w:multiLevelType w:val="hybridMultilevel"/>
    <w:tmpl w:val="81EA524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BF353FE"/>
    <w:multiLevelType w:val="hybridMultilevel"/>
    <w:tmpl w:val="077459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E7B4F7B"/>
    <w:multiLevelType w:val="hybridMultilevel"/>
    <w:tmpl w:val="2FB81B76"/>
    <w:lvl w:ilvl="0">
      <w:start w:val="1"/>
      <w:numFmt w:val="upperRoman"/>
      <w:lvlText w:val="%1."/>
      <w:lvlJc w:val="righ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607D59B3"/>
    <w:multiLevelType w:val="hybridMultilevel"/>
    <w:tmpl w:val="DB9EC7C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60944C8"/>
    <w:multiLevelType w:val="hybridMultilevel"/>
    <w:tmpl w:val="C526FA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8BB21B4"/>
    <w:multiLevelType w:val="hybridMultilevel"/>
    <w:tmpl w:val="4BA0C5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B37781D"/>
    <w:multiLevelType w:val="hybridMultilevel"/>
    <w:tmpl w:val="856E3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B8C6C5F"/>
    <w:multiLevelType w:val="hybridMultilevel"/>
    <w:tmpl w:val="E5384B14"/>
    <w:lvl w:ilvl="0">
      <w:start w:val="1"/>
      <w:numFmt w:val="upperLetter"/>
      <w:lvlText w:val="%1."/>
      <w:lvlJc w:val="left"/>
      <w:pPr>
        <w:ind w:left="90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CFA5744"/>
    <w:multiLevelType w:val="hybridMultilevel"/>
    <w:tmpl w:val="4C4A1F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FE84B1D"/>
    <w:multiLevelType w:val="hybridMultilevel"/>
    <w:tmpl w:val="C36ED6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96457192">
    <w:abstractNumId w:val="13"/>
  </w:num>
  <w:num w:numId="2" w16cid:durableId="1236236953">
    <w:abstractNumId w:val="7"/>
  </w:num>
  <w:num w:numId="3" w16cid:durableId="880093492">
    <w:abstractNumId w:val="28"/>
  </w:num>
  <w:num w:numId="4" w16cid:durableId="1651858397">
    <w:abstractNumId w:val="20"/>
  </w:num>
  <w:num w:numId="5" w16cid:durableId="820124956">
    <w:abstractNumId w:val="5"/>
  </w:num>
  <w:num w:numId="6" w16cid:durableId="2038701591">
    <w:abstractNumId w:val="18"/>
  </w:num>
  <w:num w:numId="7" w16cid:durableId="2002850153">
    <w:abstractNumId w:val="27"/>
  </w:num>
  <w:num w:numId="8" w16cid:durableId="1643582672">
    <w:abstractNumId w:val="36"/>
  </w:num>
  <w:num w:numId="9" w16cid:durableId="888954620">
    <w:abstractNumId w:val="29"/>
  </w:num>
  <w:num w:numId="10" w16cid:durableId="822812609">
    <w:abstractNumId w:val="24"/>
  </w:num>
  <w:num w:numId="11" w16cid:durableId="2006009325">
    <w:abstractNumId w:val="8"/>
  </w:num>
  <w:num w:numId="12" w16cid:durableId="1958028612">
    <w:abstractNumId w:val="3"/>
  </w:num>
  <w:num w:numId="13" w16cid:durableId="295109418">
    <w:abstractNumId w:val="2"/>
  </w:num>
  <w:num w:numId="14" w16cid:durableId="305163978">
    <w:abstractNumId w:val="6"/>
  </w:num>
  <w:num w:numId="15" w16cid:durableId="1877740081">
    <w:abstractNumId w:val="33"/>
  </w:num>
  <w:num w:numId="16" w16cid:durableId="842014529">
    <w:abstractNumId w:val="10"/>
  </w:num>
  <w:num w:numId="17" w16cid:durableId="457728333">
    <w:abstractNumId w:val="15"/>
  </w:num>
  <w:num w:numId="18" w16cid:durableId="1507475998">
    <w:abstractNumId w:val="34"/>
  </w:num>
  <w:num w:numId="19" w16cid:durableId="1794858364">
    <w:abstractNumId w:val="23"/>
  </w:num>
  <w:num w:numId="20" w16cid:durableId="1937982880">
    <w:abstractNumId w:val="1"/>
  </w:num>
  <w:num w:numId="21" w16cid:durableId="2036810547">
    <w:abstractNumId w:val="37"/>
  </w:num>
  <w:num w:numId="22" w16cid:durableId="1298991719">
    <w:abstractNumId w:val="21"/>
  </w:num>
  <w:num w:numId="23" w16cid:durableId="13074688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7923181">
    <w:abstractNumId w:val="25"/>
  </w:num>
  <w:num w:numId="25" w16cid:durableId="862092190">
    <w:abstractNumId w:val="4"/>
  </w:num>
  <w:num w:numId="26" w16cid:durableId="700785621">
    <w:abstractNumId w:val="16"/>
  </w:num>
  <w:num w:numId="27" w16cid:durableId="1084110523">
    <w:abstractNumId w:val="35"/>
  </w:num>
  <w:num w:numId="28" w16cid:durableId="51537824">
    <w:abstractNumId w:val="9"/>
  </w:num>
  <w:num w:numId="29" w16cid:durableId="1045254456">
    <w:abstractNumId w:val="22"/>
  </w:num>
  <w:num w:numId="30" w16cid:durableId="2025355939">
    <w:abstractNumId w:val="30"/>
  </w:num>
  <w:num w:numId="31" w16cid:durableId="759057581">
    <w:abstractNumId w:val="31"/>
  </w:num>
  <w:num w:numId="32" w16cid:durableId="1216696232">
    <w:abstractNumId w:val="11"/>
  </w:num>
  <w:num w:numId="33" w16cid:durableId="17296433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673065">
    <w:abstractNumId w:val="26"/>
  </w:num>
  <w:num w:numId="35" w16cid:durableId="340818807">
    <w:abstractNumId w:val="19"/>
  </w:num>
  <w:num w:numId="36" w16cid:durableId="138035370">
    <w:abstractNumId w:val="17"/>
  </w:num>
  <w:num w:numId="37" w16cid:durableId="103814748">
    <w:abstractNumId w:val="12"/>
  </w:num>
  <w:num w:numId="38" w16cid:durableId="1235123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8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866"/>
    <w:rsid w:val="000066AE"/>
    <w:rsid w:val="00010102"/>
    <w:rsid w:val="00012177"/>
    <w:rsid w:val="000145D3"/>
    <w:rsid w:val="00015B49"/>
    <w:rsid w:val="000261B7"/>
    <w:rsid w:val="00027CB9"/>
    <w:rsid w:val="00042523"/>
    <w:rsid w:val="00043E02"/>
    <w:rsid w:val="0005039F"/>
    <w:rsid w:val="00052F9A"/>
    <w:rsid w:val="00060BBC"/>
    <w:rsid w:val="00062D66"/>
    <w:rsid w:val="00065BD1"/>
    <w:rsid w:val="00067934"/>
    <w:rsid w:val="00067A65"/>
    <w:rsid w:val="000708FA"/>
    <w:rsid w:val="00082722"/>
    <w:rsid w:val="00082C08"/>
    <w:rsid w:val="00096F36"/>
    <w:rsid w:val="00097A04"/>
    <w:rsid w:val="00097D99"/>
    <w:rsid w:val="000A1489"/>
    <w:rsid w:val="000A3E56"/>
    <w:rsid w:val="000A4283"/>
    <w:rsid w:val="000A544D"/>
    <w:rsid w:val="000B5876"/>
    <w:rsid w:val="000B6172"/>
    <w:rsid w:val="000B7334"/>
    <w:rsid w:val="000C08ED"/>
    <w:rsid w:val="000C3F5F"/>
    <w:rsid w:val="000C5727"/>
    <w:rsid w:val="000D1CC6"/>
    <w:rsid w:val="000D5BCA"/>
    <w:rsid w:val="000D66DD"/>
    <w:rsid w:val="000F0690"/>
    <w:rsid w:val="000F3B29"/>
    <w:rsid w:val="00101C54"/>
    <w:rsid w:val="001045AB"/>
    <w:rsid w:val="0010613B"/>
    <w:rsid w:val="00112485"/>
    <w:rsid w:val="00115C79"/>
    <w:rsid w:val="00120D2F"/>
    <w:rsid w:val="001243AC"/>
    <w:rsid w:val="00130F9F"/>
    <w:rsid w:val="001315C8"/>
    <w:rsid w:val="00132658"/>
    <w:rsid w:val="001345A3"/>
    <w:rsid w:val="00137163"/>
    <w:rsid w:val="001436BD"/>
    <w:rsid w:val="00143E65"/>
    <w:rsid w:val="00147A84"/>
    <w:rsid w:val="00147F0D"/>
    <w:rsid w:val="00150705"/>
    <w:rsid w:val="0015175F"/>
    <w:rsid w:val="00152924"/>
    <w:rsid w:val="0015505C"/>
    <w:rsid w:val="001627B5"/>
    <w:rsid w:val="001657C4"/>
    <w:rsid w:val="00166DC1"/>
    <w:rsid w:val="001703BF"/>
    <w:rsid w:val="00170446"/>
    <w:rsid w:val="0017085A"/>
    <w:rsid w:val="00175197"/>
    <w:rsid w:val="001752D3"/>
    <w:rsid w:val="001770EA"/>
    <w:rsid w:val="0017774F"/>
    <w:rsid w:val="00192BF0"/>
    <w:rsid w:val="001A373D"/>
    <w:rsid w:val="001A5F0C"/>
    <w:rsid w:val="001B5BFE"/>
    <w:rsid w:val="001B6C6C"/>
    <w:rsid w:val="001C4EC5"/>
    <w:rsid w:val="001C4F9B"/>
    <w:rsid w:val="001C78F8"/>
    <w:rsid w:val="001C7C9F"/>
    <w:rsid w:val="001D07FB"/>
    <w:rsid w:val="001D1D69"/>
    <w:rsid w:val="001D2D9B"/>
    <w:rsid w:val="001D3D12"/>
    <w:rsid w:val="001E0224"/>
    <w:rsid w:val="001E4554"/>
    <w:rsid w:val="001E6D12"/>
    <w:rsid w:val="001F4C60"/>
    <w:rsid w:val="001F53EF"/>
    <w:rsid w:val="001F610D"/>
    <w:rsid w:val="001F61B0"/>
    <w:rsid w:val="00201346"/>
    <w:rsid w:val="002014E0"/>
    <w:rsid w:val="00206A28"/>
    <w:rsid w:val="002107CA"/>
    <w:rsid w:val="00210F32"/>
    <w:rsid w:val="002116EF"/>
    <w:rsid w:val="002117F5"/>
    <w:rsid w:val="00216295"/>
    <w:rsid w:val="0021772B"/>
    <w:rsid w:val="00222956"/>
    <w:rsid w:val="00223CE5"/>
    <w:rsid w:val="00225A99"/>
    <w:rsid w:val="00226B5F"/>
    <w:rsid w:val="00227CA4"/>
    <w:rsid w:val="002417AD"/>
    <w:rsid w:val="00241951"/>
    <w:rsid w:val="00242DAC"/>
    <w:rsid w:val="00246047"/>
    <w:rsid w:val="00246EAE"/>
    <w:rsid w:val="00262851"/>
    <w:rsid w:val="002658D8"/>
    <w:rsid w:val="00270011"/>
    <w:rsid w:val="00270871"/>
    <w:rsid w:val="002714A5"/>
    <w:rsid w:val="002718BC"/>
    <w:rsid w:val="00275A7C"/>
    <w:rsid w:val="002766C0"/>
    <w:rsid w:val="00276FA7"/>
    <w:rsid w:val="00277630"/>
    <w:rsid w:val="00282887"/>
    <w:rsid w:val="00282D3C"/>
    <w:rsid w:val="00283483"/>
    <w:rsid w:val="002845F0"/>
    <w:rsid w:val="002855C4"/>
    <w:rsid w:val="00285650"/>
    <w:rsid w:val="00285C9A"/>
    <w:rsid w:val="0029129B"/>
    <w:rsid w:val="002A3800"/>
    <w:rsid w:val="002A557E"/>
    <w:rsid w:val="002A5978"/>
    <w:rsid w:val="002A6864"/>
    <w:rsid w:val="002A7E80"/>
    <w:rsid w:val="002B192A"/>
    <w:rsid w:val="002B1DF9"/>
    <w:rsid w:val="002C06D8"/>
    <w:rsid w:val="002C357B"/>
    <w:rsid w:val="002D1929"/>
    <w:rsid w:val="002D5A48"/>
    <w:rsid w:val="002E54C7"/>
    <w:rsid w:val="002E5BAC"/>
    <w:rsid w:val="002F1E6F"/>
    <w:rsid w:val="002F7A37"/>
    <w:rsid w:val="0030122B"/>
    <w:rsid w:val="00302413"/>
    <w:rsid w:val="00304A19"/>
    <w:rsid w:val="00304C76"/>
    <w:rsid w:val="00307CF5"/>
    <w:rsid w:val="00310F68"/>
    <w:rsid w:val="00312B8A"/>
    <w:rsid w:val="003132ED"/>
    <w:rsid w:val="00317E21"/>
    <w:rsid w:val="00322A96"/>
    <w:rsid w:val="003248B8"/>
    <w:rsid w:val="003260A3"/>
    <w:rsid w:val="00334F6A"/>
    <w:rsid w:val="00335648"/>
    <w:rsid w:val="00337D9A"/>
    <w:rsid w:val="0034100E"/>
    <w:rsid w:val="00344A19"/>
    <w:rsid w:val="00350E0E"/>
    <w:rsid w:val="00356EB6"/>
    <w:rsid w:val="00360139"/>
    <w:rsid w:val="00362C27"/>
    <w:rsid w:val="003672CD"/>
    <w:rsid w:val="00374980"/>
    <w:rsid w:val="00374EEF"/>
    <w:rsid w:val="003828F2"/>
    <w:rsid w:val="00392509"/>
    <w:rsid w:val="00392EAC"/>
    <w:rsid w:val="00392EE5"/>
    <w:rsid w:val="00393322"/>
    <w:rsid w:val="00393800"/>
    <w:rsid w:val="00395EC8"/>
    <w:rsid w:val="003A1C73"/>
    <w:rsid w:val="003A7176"/>
    <w:rsid w:val="003B3986"/>
    <w:rsid w:val="003B41E8"/>
    <w:rsid w:val="003B4FA6"/>
    <w:rsid w:val="003B4FD9"/>
    <w:rsid w:val="003B60C4"/>
    <w:rsid w:val="003B65E5"/>
    <w:rsid w:val="003C0878"/>
    <w:rsid w:val="003C3816"/>
    <w:rsid w:val="003C5704"/>
    <w:rsid w:val="003C59EB"/>
    <w:rsid w:val="003C71DE"/>
    <w:rsid w:val="003C779B"/>
    <w:rsid w:val="003D6B75"/>
    <w:rsid w:val="003E0ED8"/>
    <w:rsid w:val="003E2169"/>
    <w:rsid w:val="003E23C7"/>
    <w:rsid w:val="003E3D90"/>
    <w:rsid w:val="003E7331"/>
    <w:rsid w:val="003F6606"/>
    <w:rsid w:val="004019E6"/>
    <w:rsid w:val="00401F53"/>
    <w:rsid w:val="00405098"/>
    <w:rsid w:val="00410314"/>
    <w:rsid w:val="00411907"/>
    <w:rsid w:val="004136B9"/>
    <w:rsid w:val="00425D84"/>
    <w:rsid w:val="00430BAF"/>
    <w:rsid w:val="00430F37"/>
    <w:rsid w:val="00442387"/>
    <w:rsid w:val="004457D7"/>
    <w:rsid w:val="00445A35"/>
    <w:rsid w:val="00446C0A"/>
    <w:rsid w:val="00446D8B"/>
    <w:rsid w:val="00446DD9"/>
    <w:rsid w:val="004479AB"/>
    <w:rsid w:val="00450094"/>
    <w:rsid w:val="004556B6"/>
    <w:rsid w:val="004565E4"/>
    <w:rsid w:val="00456A59"/>
    <w:rsid w:val="00461EA7"/>
    <w:rsid w:val="00462044"/>
    <w:rsid w:val="00466465"/>
    <w:rsid w:val="00474F34"/>
    <w:rsid w:val="004764AF"/>
    <w:rsid w:val="00480ABE"/>
    <w:rsid w:val="0048316B"/>
    <w:rsid w:val="00485CBB"/>
    <w:rsid w:val="00493E48"/>
    <w:rsid w:val="004A0510"/>
    <w:rsid w:val="004A0F87"/>
    <w:rsid w:val="004A3CD5"/>
    <w:rsid w:val="004B1FA1"/>
    <w:rsid w:val="004B582A"/>
    <w:rsid w:val="004B59E8"/>
    <w:rsid w:val="004C0D38"/>
    <w:rsid w:val="004C1420"/>
    <w:rsid w:val="004C233C"/>
    <w:rsid w:val="004C5774"/>
    <w:rsid w:val="004D0077"/>
    <w:rsid w:val="004D2188"/>
    <w:rsid w:val="004D2887"/>
    <w:rsid w:val="004D3C28"/>
    <w:rsid w:val="004D61EB"/>
    <w:rsid w:val="004D7D16"/>
    <w:rsid w:val="004F0875"/>
    <w:rsid w:val="004F0D39"/>
    <w:rsid w:val="004F0EDA"/>
    <w:rsid w:val="004F3025"/>
    <w:rsid w:val="004F4AB2"/>
    <w:rsid w:val="004F4E90"/>
    <w:rsid w:val="004F7C33"/>
    <w:rsid w:val="00500149"/>
    <w:rsid w:val="0050122D"/>
    <w:rsid w:val="00503034"/>
    <w:rsid w:val="005064C7"/>
    <w:rsid w:val="00507A7F"/>
    <w:rsid w:val="005105C7"/>
    <w:rsid w:val="00513E43"/>
    <w:rsid w:val="0051406C"/>
    <w:rsid w:val="00515F1E"/>
    <w:rsid w:val="00522C34"/>
    <w:rsid w:val="00526F29"/>
    <w:rsid w:val="00530849"/>
    <w:rsid w:val="00541780"/>
    <w:rsid w:val="00550C3B"/>
    <w:rsid w:val="00550E6F"/>
    <w:rsid w:val="00552C80"/>
    <w:rsid w:val="0055303B"/>
    <w:rsid w:val="00554183"/>
    <w:rsid w:val="00555D3C"/>
    <w:rsid w:val="00556891"/>
    <w:rsid w:val="00556A67"/>
    <w:rsid w:val="00557958"/>
    <w:rsid w:val="00560314"/>
    <w:rsid w:val="00561E23"/>
    <w:rsid w:val="00591C3C"/>
    <w:rsid w:val="005930A8"/>
    <w:rsid w:val="0059398B"/>
    <w:rsid w:val="005950ED"/>
    <w:rsid w:val="00595A71"/>
    <w:rsid w:val="00597518"/>
    <w:rsid w:val="005A008B"/>
    <w:rsid w:val="005A7C7E"/>
    <w:rsid w:val="005B2C4F"/>
    <w:rsid w:val="005B633E"/>
    <w:rsid w:val="005B77F0"/>
    <w:rsid w:val="005C18EE"/>
    <w:rsid w:val="005C311F"/>
    <w:rsid w:val="005C5586"/>
    <w:rsid w:val="005C741F"/>
    <w:rsid w:val="005D348A"/>
    <w:rsid w:val="005D6711"/>
    <w:rsid w:val="005E731E"/>
    <w:rsid w:val="005F3C6A"/>
    <w:rsid w:val="005F6008"/>
    <w:rsid w:val="005F76E7"/>
    <w:rsid w:val="006005D2"/>
    <w:rsid w:val="00605D05"/>
    <w:rsid w:val="006069C9"/>
    <w:rsid w:val="0062111E"/>
    <w:rsid w:val="0062262C"/>
    <w:rsid w:val="0062552B"/>
    <w:rsid w:val="00625B71"/>
    <w:rsid w:val="006336ED"/>
    <w:rsid w:val="00636AEF"/>
    <w:rsid w:val="00637B6C"/>
    <w:rsid w:val="00637FBF"/>
    <w:rsid w:val="0064211C"/>
    <w:rsid w:val="00642179"/>
    <w:rsid w:val="00642860"/>
    <w:rsid w:val="00642BBF"/>
    <w:rsid w:val="006457EF"/>
    <w:rsid w:val="006463E7"/>
    <w:rsid w:val="00646B36"/>
    <w:rsid w:val="00646B9B"/>
    <w:rsid w:val="00651D8A"/>
    <w:rsid w:val="00652F22"/>
    <w:rsid w:val="00655505"/>
    <w:rsid w:val="0066198D"/>
    <w:rsid w:val="00661AA1"/>
    <w:rsid w:val="00662D2A"/>
    <w:rsid w:val="00662D2F"/>
    <w:rsid w:val="00666A6E"/>
    <w:rsid w:val="00667E19"/>
    <w:rsid w:val="00671FB9"/>
    <w:rsid w:val="006725C7"/>
    <w:rsid w:val="00672B7C"/>
    <w:rsid w:val="006737BD"/>
    <w:rsid w:val="006745EA"/>
    <w:rsid w:val="00676FB9"/>
    <w:rsid w:val="006801BF"/>
    <w:rsid w:val="00680840"/>
    <w:rsid w:val="006812A9"/>
    <w:rsid w:val="00687687"/>
    <w:rsid w:val="006941BB"/>
    <w:rsid w:val="00695C75"/>
    <w:rsid w:val="006A0221"/>
    <w:rsid w:val="006A6686"/>
    <w:rsid w:val="006A67DF"/>
    <w:rsid w:val="006A727B"/>
    <w:rsid w:val="006B024C"/>
    <w:rsid w:val="006B2769"/>
    <w:rsid w:val="006C5296"/>
    <w:rsid w:val="006C682C"/>
    <w:rsid w:val="006C706F"/>
    <w:rsid w:val="006D1F87"/>
    <w:rsid w:val="006D6F89"/>
    <w:rsid w:val="006D7EE3"/>
    <w:rsid w:val="006E0C14"/>
    <w:rsid w:val="006E237B"/>
    <w:rsid w:val="006E4868"/>
    <w:rsid w:val="006E5FDE"/>
    <w:rsid w:val="006E6C1C"/>
    <w:rsid w:val="006F018A"/>
    <w:rsid w:val="006F10C4"/>
    <w:rsid w:val="006F5CAE"/>
    <w:rsid w:val="006F64F0"/>
    <w:rsid w:val="00702A57"/>
    <w:rsid w:val="00703CCD"/>
    <w:rsid w:val="00704281"/>
    <w:rsid w:val="007055CA"/>
    <w:rsid w:val="00705A0C"/>
    <w:rsid w:val="007070E8"/>
    <w:rsid w:val="00710089"/>
    <w:rsid w:val="007131EB"/>
    <w:rsid w:val="007150CE"/>
    <w:rsid w:val="00716EDF"/>
    <w:rsid w:val="00716F15"/>
    <w:rsid w:val="007216BD"/>
    <w:rsid w:val="007235F3"/>
    <w:rsid w:val="00724DB6"/>
    <w:rsid w:val="007264C8"/>
    <w:rsid w:val="00730BC7"/>
    <w:rsid w:val="007313EF"/>
    <w:rsid w:val="00731584"/>
    <w:rsid w:val="00731B45"/>
    <w:rsid w:val="007343A9"/>
    <w:rsid w:val="007439B7"/>
    <w:rsid w:val="00744DF7"/>
    <w:rsid w:val="0074553F"/>
    <w:rsid w:val="007478CC"/>
    <w:rsid w:val="007506DA"/>
    <w:rsid w:val="007517BF"/>
    <w:rsid w:val="00752209"/>
    <w:rsid w:val="00754539"/>
    <w:rsid w:val="007617CD"/>
    <w:rsid w:val="00771084"/>
    <w:rsid w:val="00771769"/>
    <w:rsid w:val="00773476"/>
    <w:rsid w:val="00773AE3"/>
    <w:rsid w:val="007833A2"/>
    <w:rsid w:val="0078453B"/>
    <w:rsid w:val="00786BC1"/>
    <w:rsid w:val="0079001B"/>
    <w:rsid w:val="00791E1B"/>
    <w:rsid w:val="00795CE2"/>
    <w:rsid w:val="007A119C"/>
    <w:rsid w:val="007A17DF"/>
    <w:rsid w:val="007B18AF"/>
    <w:rsid w:val="007B36AC"/>
    <w:rsid w:val="007B40C4"/>
    <w:rsid w:val="007C4C74"/>
    <w:rsid w:val="007D21B9"/>
    <w:rsid w:val="007E0D48"/>
    <w:rsid w:val="007E2ED5"/>
    <w:rsid w:val="007E30D5"/>
    <w:rsid w:val="007E3228"/>
    <w:rsid w:val="007F17A2"/>
    <w:rsid w:val="007F2E4F"/>
    <w:rsid w:val="007F32C3"/>
    <w:rsid w:val="007F5403"/>
    <w:rsid w:val="00804E11"/>
    <w:rsid w:val="00807087"/>
    <w:rsid w:val="00811D88"/>
    <w:rsid w:val="008308E8"/>
    <w:rsid w:val="0083686F"/>
    <w:rsid w:val="00844FA7"/>
    <w:rsid w:val="0085567E"/>
    <w:rsid w:val="0085696B"/>
    <w:rsid w:val="008611A8"/>
    <w:rsid w:val="00865FAE"/>
    <w:rsid w:val="00867F03"/>
    <w:rsid w:val="008768A2"/>
    <w:rsid w:val="008842B1"/>
    <w:rsid w:val="00884BD5"/>
    <w:rsid w:val="00887ADE"/>
    <w:rsid w:val="00891D88"/>
    <w:rsid w:val="00893C22"/>
    <w:rsid w:val="008941C1"/>
    <w:rsid w:val="008A379D"/>
    <w:rsid w:val="008A7744"/>
    <w:rsid w:val="008B040A"/>
    <w:rsid w:val="008B507E"/>
    <w:rsid w:val="008B6BDF"/>
    <w:rsid w:val="008C1536"/>
    <w:rsid w:val="008C1567"/>
    <w:rsid w:val="008D51B2"/>
    <w:rsid w:val="008D6E78"/>
    <w:rsid w:val="008E1FF8"/>
    <w:rsid w:val="008E3A5A"/>
    <w:rsid w:val="008E3F0E"/>
    <w:rsid w:val="008F16A8"/>
    <w:rsid w:val="008F2B9F"/>
    <w:rsid w:val="00904459"/>
    <w:rsid w:val="009056A8"/>
    <w:rsid w:val="00913D39"/>
    <w:rsid w:val="00924C63"/>
    <w:rsid w:val="00926B51"/>
    <w:rsid w:val="00926C39"/>
    <w:rsid w:val="00927A94"/>
    <w:rsid w:val="00930088"/>
    <w:rsid w:val="00931F9F"/>
    <w:rsid w:val="00935BFB"/>
    <w:rsid w:val="009429B4"/>
    <w:rsid w:val="00943CAC"/>
    <w:rsid w:val="00946C4D"/>
    <w:rsid w:val="009502A5"/>
    <w:rsid w:val="00953937"/>
    <w:rsid w:val="00955D66"/>
    <w:rsid w:val="0096052E"/>
    <w:rsid w:val="00960A46"/>
    <w:rsid w:val="00962756"/>
    <w:rsid w:val="00970D1F"/>
    <w:rsid w:val="0097104F"/>
    <w:rsid w:val="00990306"/>
    <w:rsid w:val="00995279"/>
    <w:rsid w:val="0099586D"/>
    <w:rsid w:val="009976DF"/>
    <w:rsid w:val="009A43D4"/>
    <w:rsid w:val="009C3C79"/>
    <w:rsid w:val="009C6C2C"/>
    <w:rsid w:val="009D17FD"/>
    <w:rsid w:val="009E1A68"/>
    <w:rsid w:val="009E399B"/>
    <w:rsid w:val="009E48EE"/>
    <w:rsid w:val="009E6413"/>
    <w:rsid w:val="009E6DE1"/>
    <w:rsid w:val="009E7334"/>
    <w:rsid w:val="009F03D8"/>
    <w:rsid w:val="009F164A"/>
    <w:rsid w:val="009F17A1"/>
    <w:rsid w:val="009F215C"/>
    <w:rsid w:val="00A037BB"/>
    <w:rsid w:val="00A0392E"/>
    <w:rsid w:val="00A04F56"/>
    <w:rsid w:val="00A05220"/>
    <w:rsid w:val="00A05499"/>
    <w:rsid w:val="00A16242"/>
    <w:rsid w:val="00A20875"/>
    <w:rsid w:val="00A20D81"/>
    <w:rsid w:val="00A246B6"/>
    <w:rsid w:val="00A25EE8"/>
    <w:rsid w:val="00A351A6"/>
    <w:rsid w:val="00A36A1A"/>
    <w:rsid w:val="00A43724"/>
    <w:rsid w:val="00A43BF8"/>
    <w:rsid w:val="00A47B60"/>
    <w:rsid w:val="00A50801"/>
    <w:rsid w:val="00A56F24"/>
    <w:rsid w:val="00A60BC7"/>
    <w:rsid w:val="00A6361B"/>
    <w:rsid w:val="00A63F09"/>
    <w:rsid w:val="00A666BB"/>
    <w:rsid w:val="00A7356E"/>
    <w:rsid w:val="00A75DEA"/>
    <w:rsid w:val="00A809B3"/>
    <w:rsid w:val="00A845A2"/>
    <w:rsid w:val="00A92237"/>
    <w:rsid w:val="00A9477D"/>
    <w:rsid w:val="00A97B45"/>
    <w:rsid w:val="00AA232A"/>
    <w:rsid w:val="00AA3AB5"/>
    <w:rsid w:val="00AB130B"/>
    <w:rsid w:val="00AB2303"/>
    <w:rsid w:val="00AB3664"/>
    <w:rsid w:val="00AB71B8"/>
    <w:rsid w:val="00AC7212"/>
    <w:rsid w:val="00AC7535"/>
    <w:rsid w:val="00AD0600"/>
    <w:rsid w:val="00AD6F09"/>
    <w:rsid w:val="00AD7F10"/>
    <w:rsid w:val="00AE0303"/>
    <w:rsid w:val="00AF1D95"/>
    <w:rsid w:val="00AF3347"/>
    <w:rsid w:val="00B0066B"/>
    <w:rsid w:val="00B066DF"/>
    <w:rsid w:val="00B07EF1"/>
    <w:rsid w:val="00B12612"/>
    <w:rsid w:val="00B13DEB"/>
    <w:rsid w:val="00B17B61"/>
    <w:rsid w:val="00B233B2"/>
    <w:rsid w:val="00B2470B"/>
    <w:rsid w:val="00B25146"/>
    <w:rsid w:val="00B268A0"/>
    <w:rsid w:val="00B26D4C"/>
    <w:rsid w:val="00B307C9"/>
    <w:rsid w:val="00B30BA7"/>
    <w:rsid w:val="00B43ED3"/>
    <w:rsid w:val="00B516B8"/>
    <w:rsid w:val="00B712DF"/>
    <w:rsid w:val="00B71B3C"/>
    <w:rsid w:val="00B7356B"/>
    <w:rsid w:val="00B745D6"/>
    <w:rsid w:val="00B7637F"/>
    <w:rsid w:val="00B76858"/>
    <w:rsid w:val="00B80BD1"/>
    <w:rsid w:val="00B8221D"/>
    <w:rsid w:val="00B91A1A"/>
    <w:rsid w:val="00B953E2"/>
    <w:rsid w:val="00B9678A"/>
    <w:rsid w:val="00B96AA6"/>
    <w:rsid w:val="00BA1184"/>
    <w:rsid w:val="00BA15E6"/>
    <w:rsid w:val="00BA16E7"/>
    <w:rsid w:val="00BA3DE6"/>
    <w:rsid w:val="00BC1579"/>
    <w:rsid w:val="00BC61B5"/>
    <w:rsid w:val="00BC6AA4"/>
    <w:rsid w:val="00BC7343"/>
    <w:rsid w:val="00BD0BC6"/>
    <w:rsid w:val="00BD2122"/>
    <w:rsid w:val="00BD2EB6"/>
    <w:rsid w:val="00BD3893"/>
    <w:rsid w:val="00BD637A"/>
    <w:rsid w:val="00BD6819"/>
    <w:rsid w:val="00BE172D"/>
    <w:rsid w:val="00BE1D15"/>
    <w:rsid w:val="00BF538A"/>
    <w:rsid w:val="00BF577B"/>
    <w:rsid w:val="00BF5A0A"/>
    <w:rsid w:val="00BF62FC"/>
    <w:rsid w:val="00C01B53"/>
    <w:rsid w:val="00C0439E"/>
    <w:rsid w:val="00C05DE2"/>
    <w:rsid w:val="00C0760C"/>
    <w:rsid w:val="00C10ADA"/>
    <w:rsid w:val="00C121B6"/>
    <w:rsid w:val="00C129B0"/>
    <w:rsid w:val="00C12E76"/>
    <w:rsid w:val="00C12EAF"/>
    <w:rsid w:val="00C16292"/>
    <w:rsid w:val="00C22F7E"/>
    <w:rsid w:val="00C30F23"/>
    <w:rsid w:val="00C45329"/>
    <w:rsid w:val="00C5050B"/>
    <w:rsid w:val="00C51089"/>
    <w:rsid w:val="00C52C22"/>
    <w:rsid w:val="00C532CD"/>
    <w:rsid w:val="00C546C6"/>
    <w:rsid w:val="00C5693B"/>
    <w:rsid w:val="00C574F9"/>
    <w:rsid w:val="00C606E5"/>
    <w:rsid w:val="00C61701"/>
    <w:rsid w:val="00C6299D"/>
    <w:rsid w:val="00C65B09"/>
    <w:rsid w:val="00C6654E"/>
    <w:rsid w:val="00C66CE8"/>
    <w:rsid w:val="00C7035E"/>
    <w:rsid w:val="00C7166A"/>
    <w:rsid w:val="00C74433"/>
    <w:rsid w:val="00C757A8"/>
    <w:rsid w:val="00C77DD6"/>
    <w:rsid w:val="00C815BE"/>
    <w:rsid w:val="00C840C2"/>
    <w:rsid w:val="00C87787"/>
    <w:rsid w:val="00C87D7F"/>
    <w:rsid w:val="00C928C4"/>
    <w:rsid w:val="00C971F0"/>
    <w:rsid w:val="00CA05DD"/>
    <w:rsid w:val="00CA2C32"/>
    <w:rsid w:val="00CA2FE1"/>
    <w:rsid w:val="00CA3539"/>
    <w:rsid w:val="00CA429B"/>
    <w:rsid w:val="00CA4993"/>
    <w:rsid w:val="00CA526E"/>
    <w:rsid w:val="00CA749C"/>
    <w:rsid w:val="00CB3978"/>
    <w:rsid w:val="00CB712F"/>
    <w:rsid w:val="00CC5FDD"/>
    <w:rsid w:val="00CE3A21"/>
    <w:rsid w:val="00CE423B"/>
    <w:rsid w:val="00CE4A46"/>
    <w:rsid w:val="00CE4E3C"/>
    <w:rsid w:val="00CE73E5"/>
    <w:rsid w:val="00CF7843"/>
    <w:rsid w:val="00D0016C"/>
    <w:rsid w:val="00D01125"/>
    <w:rsid w:val="00D06393"/>
    <w:rsid w:val="00D126CF"/>
    <w:rsid w:val="00D1571A"/>
    <w:rsid w:val="00D23ACC"/>
    <w:rsid w:val="00D31B69"/>
    <w:rsid w:val="00D3556E"/>
    <w:rsid w:val="00D452F3"/>
    <w:rsid w:val="00D462F2"/>
    <w:rsid w:val="00D47713"/>
    <w:rsid w:val="00D500A2"/>
    <w:rsid w:val="00D50132"/>
    <w:rsid w:val="00D55B6C"/>
    <w:rsid w:val="00D55E27"/>
    <w:rsid w:val="00D575F2"/>
    <w:rsid w:val="00D620E2"/>
    <w:rsid w:val="00D62ACE"/>
    <w:rsid w:val="00D64A54"/>
    <w:rsid w:val="00D6687A"/>
    <w:rsid w:val="00D71F26"/>
    <w:rsid w:val="00D730EB"/>
    <w:rsid w:val="00D74562"/>
    <w:rsid w:val="00D74E85"/>
    <w:rsid w:val="00D763CB"/>
    <w:rsid w:val="00D76782"/>
    <w:rsid w:val="00D770D4"/>
    <w:rsid w:val="00D77FAA"/>
    <w:rsid w:val="00D82DF0"/>
    <w:rsid w:val="00D83601"/>
    <w:rsid w:val="00D85E13"/>
    <w:rsid w:val="00DA003A"/>
    <w:rsid w:val="00DB5B39"/>
    <w:rsid w:val="00DB6C11"/>
    <w:rsid w:val="00DC2CB5"/>
    <w:rsid w:val="00DC35B0"/>
    <w:rsid w:val="00DC42F3"/>
    <w:rsid w:val="00DC4754"/>
    <w:rsid w:val="00DD4C43"/>
    <w:rsid w:val="00DD6754"/>
    <w:rsid w:val="00DD6964"/>
    <w:rsid w:val="00DE1AB0"/>
    <w:rsid w:val="00DE1DD5"/>
    <w:rsid w:val="00DE2429"/>
    <w:rsid w:val="00DE67C2"/>
    <w:rsid w:val="00DE7881"/>
    <w:rsid w:val="00DF0A98"/>
    <w:rsid w:val="00DF0FDD"/>
    <w:rsid w:val="00DF1A3C"/>
    <w:rsid w:val="00DF332E"/>
    <w:rsid w:val="00DF69D8"/>
    <w:rsid w:val="00E000FB"/>
    <w:rsid w:val="00E00272"/>
    <w:rsid w:val="00E0122D"/>
    <w:rsid w:val="00E02866"/>
    <w:rsid w:val="00E06BEE"/>
    <w:rsid w:val="00E10B8C"/>
    <w:rsid w:val="00E14317"/>
    <w:rsid w:val="00E22B59"/>
    <w:rsid w:val="00E23FFC"/>
    <w:rsid w:val="00E26D88"/>
    <w:rsid w:val="00E358C4"/>
    <w:rsid w:val="00E40FF0"/>
    <w:rsid w:val="00E42FDC"/>
    <w:rsid w:val="00E46311"/>
    <w:rsid w:val="00E47B07"/>
    <w:rsid w:val="00E53D71"/>
    <w:rsid w:val="00E61A8E"/>
    <w:rsid w:val="00E65694"/>
    <w:rsid w:val="00E72668"/>
    <w:rsid w:val="00E72A74"/>
    <w:rsid w:val="00E77A8D"/>
    <w:rsid w:val="00E84018"/>
    <w:rsid w:val="00E90D62"/>
    <w:rsid w:val="00E913CB"/>
    <w:rsid w:val="00E92F51"/>
    <w:rsid w:val="00E95840"/>
    <w:rsid w:val="00EA2FBC"/>
    <w:rsid w:val="00EA35E2"/>
    <w:rsid w:val="00EA64A5"/>
    <w:rsid w:val="00EB2417"/>
    <w:rsid w:val="00EB41CE"/>
    <w:rsid w:val="00EB474C"/>
    <w:rsid w:val="00EC0AC1"/>
    <w:rsid w:val="00EC7541"/>
    <w:rsid w:val="00ED3780"/>
    <w:rsid w:val="00ED7DAF"/>
    <w:rsid w:val="00EE5089"/>
    <w:rsid w:val="00EE516C"/>
    <w:rsid w:val="00EF104F"/>
    <w:rsid w:val="00EF1E3A"/>
    <w:rsid w:val="00EF2045"/>
    <w:rsid w:val="00EF22B1"/>
    <w:rsid w:val="00EF3B47"/>
    <w:rsid w:val="00EF3BEE"/>
    <w:rsid w:val="00EF5832"/>
    <w:rsid w:val="00F004CE"/>
    <w:rsid w:val="00F03608"/>
    <w:rsid w:val="00F07BFC"/>
    <w:rsid w:val="00F11EDE"/>
    <w:rsid w:val="00F12EAE"/>
    <w:rsid w:val="00F14703"/>
    <w:rsid w:val="00F16419"/>
    <w:rsid w:val="00F17069"/>
    <w:rsid w:val="00F26358"/>
    <w:rsid w:val="00F30B22"/>
    <w:rsid w:val="00F3149F"/>
    <w:rsid w:val="00F353A9"/>
    <w:rsid w:val="00F41DFD"/>
    <w:rsid w:val="00F51E63"/>
    <w:rsid w:val="00F51FCC"/>
    <w:rsid w:val="00F525E3"/>
    <w:rsid w:val="00F5608A"/>
    <w:rsid w:val="00F568CE"/>
    <w:rsid w:val="00F61C6B"/>
    <w:rsid w:val="00F65072"/>
    <w:rsid w:val="00F6629D"/>
    <w:rsid w:val="00F6649E"/>
    <w:rsid w:val="00F72093"/>
    <w:rsid w:val="00F74E23"/>
    <w:rsid w:val="00F7720C"/>
    <w:rsid w:val="00F77B51"/>
    <w:rsid w:val="00F821BC"/>
    <w:rsid w:val="00F83A23"/>
    <w:rsid w:val="00F858B1"/>
    <w:rsid w:val="00F9057F"/>
    <w:rsid w:val="00F920C3"/>
    <w:rsid w:val="00F96071"/>
    <w:rsid w:val="00FA3696"/>
    <w:rsid w:val="00FA53CA"/>
    <w:rsid w:val="00FA5F3F"/>
    <w:rsid w:val="00FB0B66"/>
    <w:rsid w:val="00FB77A8"/>
    <w:rsid w:val="00FC66F2"/>
    <w:rsid w:val="00FC7166"/>
    <w:rsid w:val="00FC7726"/>
    <w:rsid w:val="00FC7C94"/>
    <w:rsid w:val="00FD0C70"/>
    <w:rsid w:val="00FD0E47"/>
    <w:rsid w:val="00FD5E4F"/>
    <w:rsid w:val="00FE07D8"/>
    <w:rsid w:val="00FE1AED"/>
    <w:rsid w:val="00FE30A9"/>
    <w:rsid w:val="00FE4E54"/>
    <w:rsid w:val="00FE5032"/>
    <w:rsid w:val="00FE63CD"/>
    <w:rsid w:val="00FE6A0A"/>
    <w:rsid w:val="00FF4A93"/>
    <w:rsid w:val="00FF50D6"/>
    <w:rsid w:val="00FF7A6F"/>
    <w:rsid w:val="01598AFD"/>
    <w:rsid w:val="20DAE413"/>
    <w:rsid w:val="38F0C31B"/>
    <w:rsid w:val="43434FA9"/>
    <w:rsid w:val="4658BE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B06562"/>
  <w15:docId w15:val="{581C8247-8029-4008-9CDA-7842F197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1B3C"/>
    <w:rPr>
      <w:sz w:val="20"/>
      <w:szCs w:val="20"/>
    </w:rPr>
  </w:style>
  <w:style w:type="character" w:customStyle="1" w:styleId="FootnoteTextChar">
    <w:name w:val="Footnote Text Char"/>
    <w:basedOn w:val="DefaultParagraphFont"/>
    <w:link w:val="FootnoteText"/>
    <w:uiPriority w:val="99"/>
    <w:semiHidden/>
    <w:rsid w:val="00B71B3C"/>
    <w:rPr>
      <w:sz w:val="20"/>
      <w:szCs w:val="20"/>
    </w:rPr>
  </w:style>
  <w:style w:type="character" w:styleId="FootnoteReference">
    <w:name w:val="footnote reference"/>
    <w:basedOn w:val="DefaultParagraphFont"/>
    <w:uiPriority w:val="99"/>
    <w:semiHidden/>
    <w:unhideWhenUsed/>
    <w:rsid w:val="00B71B3C"/>
    <w:rPr>
      <w:vertAlign w:val="superscript"/>
    </w:rPr>
  </w:style>
  <w:style w:type="paragraph" w:styleId="ListParagraph">
    <w:name w:val="List Paragraph"/>
    <w:basedOn w:val="Normal"/>
    <w:uiPriority w:val="34"/>
    <w:qFormat/>
    <w:rsid w:val="001752D3"/>
    <w:pPr>
      <w:ind w:left="720"/>
      <w:contextualSpacing/>
    </w:pPr>
  </w:style>
  <w:style w:type="character" w:styleId="CommentReference">
    <w:name w:val="annotation reference"/>
    <w:basedOn w:val="DefaultParagraphFont"/>
    <w:uiPriority w:val="99"/>
    <w:semiHidden/>
    <w:unhideWhenUsed/>
    <w:rsid w:val="00716F15"/>
    <w:rPr>
      <w:sz w:val="16"/>
      <w:szCs w:val="16"/>
    </w:rPr>
  </w:style>
  <w:style w:type="paragraph" w:styleId="CommentText">
    <w:name w:val="annotation text"/>
    <w:basedOn w:val="Normal"/>
    <w:link w:val="CommentTextChar"/>
    <w:uiPriority w:val="99"/>
    <w:unhideWhenUsed/>
    <w:rsid w:val="00716F15"/>
    <w:rPr>
      <w:sz w:val="20"/>
      <w:szCs w:val="20"/>
    </w:rPr>
  </w:style>
  <w:style w:type="character" w:customStyle="1" w:styleId="CommentTextChar">
    <w:name w:val="Comment Text Char"/>
    <w:basedOn w:val="DefaultParagraphFont"/>
    <w:link w:val="CommentText"/>
    <w:uiPriority w:val="99"/>
    <w:rsid w:val="00716F15"/>
    <w:rPr>
      <w:sz w:val="20"/>
      <w:szCs w:val="20"/>
    </w:rPr>
  </w:style>
  <w:style w:type="paragraph" w:styleId="CommentSubject">
    <w:name w:val="annotation subject"/>
    <w:basedOn w:val="CommentText"/>
    <w:next w:val="CommentText"/>
    <w:link w:val="CommentSubjectChar"/>
    <w:uiPriority w:val="99"/>
    <w:semiHidden/>
    <w:unhideWhenUsed/>
    <w:rsid w:val="00716F15"/>
    <w:rPr>
      <w:b/>
      <w:bCs/>
    </w:rPr>
  </w:style>
  <w:style w:type="character" w:customStyle="1" w:styleId="CommentSubjectChar">
    <w:name w:val="Comment Subject Char"/>
    <w:basedOn w:val="CommentTextChar"/>
    <w:link w:val="CommentSubject"/>
    <w:uiPriority w:val="99"/>
    <w:semiHidden/>
    <w:rsid w:val="00716F15"/>
    <w:rPr>
      <w:b/>
      <w:bCs/>
      <w:sz w:val="20"/>
      <w:szCs w:val="20"/>
    </w:rPr>
  </w:style>
  <w:style w:type="paragraph" w:styleId="BalloonText">
    <w:name w:val="Balloon Text"/>
    <w:basedOn w:val="Normal"/>
    <w:link w:val="BalloonTextChar"/>
    <w:uiPriority w:val="99"/>
    <w:semiHidden/>
    <w:unhideWhenUsed/>
    <w:rsid w:val="00716F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F15"/>
    <w:rPr>
      <w:rFonts w:ascii="Segoe UI" w:hAnsi="Segoe UI" w:cs="Segoe UI"/>
      <w:sz w:val="18"/>
      <w:szCs w:val="18"/>
    </w:rPr>
  </w:style>
  <w:style w:type="paragraph" w:styleId="Header">
    <w:name w:val="header"/>
    <w:basedOn w:val="Normal"/>
    <w:link w:val="HeaderChar"/>
    <w:uiPriority w:val="99"/>
    <w:unhideWhenUsed/>
    <w:rsid w:val="00F14703"/>
    <w:pPr>
      <w:tabs>
        <w:tab w:val="center" w:pos="4680"/>
        <w:tab w:val="right" w:pos="9360"/>
      </w:tabs>
    </w:pPr>
  </w:style>
  <w:style w:type="character" w:customStyle="1" w:styleId="HeaderChar">
    <w:name w:val="Header Char"/>
    <w:basedOn w:val="DefaultParagraphFont"/>
    <w:link w:val="Header"/>
    <w:uiPriority w:val="99"/>
    <w:rsid w:val="00F14703"/>
  </w:style>
  <w:style w:type="paragraph" w:styleId="Footer">
    <w:name w:val="footer"/>
    <w:basedOn w:val="Normal"/>
    <w:link w:val="FooterChar"/>
    <w:uiPriority w:val="99"/>
    <w:unhideWhenUsed/>
    <w:rsid w:val="00F14703"/>
    <w:pPr>
      <w:tabs>
        <w:tab w:val="center" w:pos="4680"/>
        <w:tab w:val="right" w:pos="9360"/>
      </w:tabs>
    </w:pPr>
  </w:style>
  <w:style w:type="character" w:customStyle="1" w:styleId="FooterChar">
    <w:name w:val="Footer Char"/>
    <w:basedOn w:val="DefaultParagraphFont"/>
    <w:link w:val="Footer"/>
    <w:uiPriority w:val="99"/>
    <w:rsid w:val="00F14703"/>
  </w:style>
  <w:style w:type="character" w:styleId="Hyperlink">
    <w:name w:val="Hyperlink"/>
    <w:basedOn w:val="DefaultParagraphFont"/>
    <w:uiPriority w:val="99"/>
    <w:unhideWhenUsed/>
    <w:rsid w:val="004457D7"/>
    <w:rPr>
      <w:color w:val="0563C1" w:themeColor="hyperlink"/>
      <w:u w:val="single"/>
    </w:rPr>
  </w:style>
  <w:style w:type="character" w:styleId="FollowedHyperlink">
    <w:name w:val="FollowedHyperlink"/>
    <w:basedOn w:val="DefaultParagraphFont"/>
    <w:uiPriority w:val="99"/>
    <w:semiHidden/>
    <w:unhideWhenUsed/>
    <w:rsid w:val="005F3C6A"/>
    <w:rPr>
      <w:color w:val="954F72" w:themeColor="followedHyperlink"/>
      <w:u w:val="single"/>
    </w:rPr>
  </w:style>
  <w:style w:type="paragraph" w:customStyle="1" w:styleId="Default">
    <w:name w:val="Default"/>
    <w:rsid w:val="00130F9F"/>
    <w:pPr>
      <w:autoSpaceDE w:val="0"/>
      <w:autoSpaceDN w:val="0"/>
      <w:adjustRightInd w:val="0"/>
    </w:pPr>
    <w:rPr>
      <w:rFonts w:ascii="Helvetica" w:hAnsi="Helvetica" w:cs="Helvetica"/>
      <w:color w:val="000000"/>
      <w:sz w:val="24"/>
      <w:szCs w:val="24"/>
    </w:rPr>
  </w:style>
  <w:style w:type="paragraph" w:styleId="Revision">
    <w:name w:val="Revision"/>
    <w:hidden/>
    <w:uiPriority w:val="99"/>
    <w:semiHidden/>
    <w:rsid w:val="004F0875"/>
  </w:style>
  <w:style w:type="character" w:customStyle="1" w:styleId="normaltextrun">
    <w:name w:val="normaltextrun"/>
    <w:basedOn w:val="DefaultParagraphFont"/>
    <w:rsid w:val="00226B5F"/>
  </w:style>
  <w:style w:type="character" w:customStyle="1" w:styleId="eop">
    <w:name w:val="eop"/>
    <w:basedOn w:val="DefaultParagraphFont"/>
    <w:rsid w:val="00226B5F"/>
  </w:style>
  <w:style w:type="table" w:styleId="TableGrid">
    <w:name w:val="Table Grid"/>
    <w:basedOn w:val="TableNormal"/>
    <w:uiPriority w:val="39"/>
    <w:rsid w:val="00FE30A9"/>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FE30A9"/>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1">
    <w:name w:val="Grid Table 4 Accent 1"/>
    <w:basedOn w:val="TableNormal"/>
    <w:uiPriority w:val="49"/>
    <w:rsid w:val="00FE30A9"/>
    <w:rPr>
      <w:kern w:val="2"/>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
    <w:name w:val="Table Grid1"/>
    <w:basedOn w:val="TableNormal"/>
    <w:next w:val="TableGrid"/>
    <w:uiPriority w:val="39"/>
    <w:rsid w:val="00FE3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4">
    <w:name w:val="Grid Table 2 Accent 4"/>
    <w:basedOn w:val="TableNormal"/>
    <w:uiPriority w:val="47"/>
    <w:rsid w:val="00FE30A9"/>
    <w:rPr>
      <w:kern w:val="2"/>
      <w14:ligatures w14:val="standardContextual"/>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E9F7F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ecfr.gov/current/title-12/chapter-II/subchapter-A/part-249/subpart-C" TargetMode="External" /><Relationship Id="rId2" Type="http://schemas.openxmlformats.org/officeDocument/2006/relationships/hyperlink" Target="https://www.newyorkfed.org/markets/omo_transaction_data" TargetMode="External" /><Relationship Id="rId3" Type="http://schemas.openxmlformats.org/officeDocument/2006/relationships/hyperlink" Target="https://www.newyorkfed.org/markets/desk-operations/rep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ceb290c-0c0f-4d75-9d55-bf954c0fe360">COLLAB-632341292-160826</_dlc_DocId>
    <_dlc_DocIdUrl xmlns="1ceb290c-0c0f-4d75-9d55-bf954c0fe360">
      <Url>https://spweb.frb.gov/sites/collab/_layouts/15/DocIdRedir.aspx?ID=COLLAB-632341292-160826</Url>
      <Description>COLLAB-632341292-160826</Description>
    </_dlc_DocIdUrl>
    <Security xmlns="1ceb290c-0c0f-4d75-9d55-bf954c0fe360">Internal FR / Official Use</Security>
    <Readers xmlns="1ceb290c-0c0f-4d75-9d55-bf954c0fe360">
      <UserInfo>
        <DisplayName/>
        <AccountId xsi:nil="true"/>
        <AccountType/>
      </UserInfo>
    </Readers>
    <IconOverlay xmlns="http://schemas.microsoft.com/sharepoint/v4" xsi:nil="true"/>
    <Section xmlns="1ceb290c-0c0f-4d75-9d55-bf954c0fe360">Monetary Policy Opr.＆Analysis</Section>
    <Authors xmlns="1ceb290c-0c0f-4d75-9d55-bf954c0fe360">
      <UserInfo>
        <DisplayName>i:0#.w|arc\m1ced00</DisplayName>
        <AccountId>62</AccountId>
        <AccountType/>
      </UserInfo>
    </Authors>
    <PublishingExpirationDate xmlns="http://schemas.microsoft.com/sharepoint/v3" xsi:nil="true"/>
    <Division xmlns="1ceb290c-0c0f-4d75-9d55-bf954c0fe360">Monetary Affairs</Division>
    <PublishingStartDate xmlns="http://schemas.microsoft.com/sharepoint/v3" xsi:nil="true"/>
    <project_id xmlns="afd080f9-41a9-43ae-acb8-37ec2f6ce25d" xsi:nil="true"/>
    <Project_x0020_Owner xmlns="1ceb290c-0c0f-4d75-9d55-bf954c0fe360">
      <UserInfo>
        <DisplayName>Courtney Demartini</DisplayName>
        <AccountId>62</AccountId>
        <AccountType/>
      </UserInfo>
    </Project_x0020_Owne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BE17A8BB07CA6459B68986233AF7C0B" ma:contentTypeVersion="114" ma:contentTypeDescription="Create a new document." ma:contentTypeScope="" ma:versionID="d18081f57469bb474e1f134abd7fed1d">
  <xsd:schema xmlns:xsd="http://www.w3.org/2001/XMLSchema" xmlns:xs="http://www.w3.org/2001/XMLSchema" xmlns:p="http://schemas.microsoft.com/office/2006/metadata/properties" xmlns:ns1="http://schemas.microsoft.com/sharepoint/v3" xmlns:ns2="1ceb290c-0c0f-4d75-9d55-bf954c0fe360" xmlns:ns3="http://schemas.microsoft.com/sharepoint/v4" xmlns:ns4="afd080f9-41a9-43ae-acb8-37ec2f6ce25d" targetNamespace="http://schemas.microsoft.com/office/2006/metadata/properties" ma:root="true" ma:fieldsID="5d0fcd0ff62d168fd6874299b289f055" ns1:_="" ns2:_="" ns3:_="" ns4:_="">
    <xsd:import namespace="http://schemas.microsoft.com/sharepoint/v3"/>
    <xsd:import namespace="1ceb290c-0c0f-4d75-9d55-bf954c0fe360"/>
    <xsd:import namespace="http://schemas.microsoft.com/sharepoint/v4"/>
    <xsd:import namespace="afd080f9-41a9-43ae-acb8-37ec2f6ce25d"/>
    <xsd:element name="properties">
      <xsd:complexType>
        <xsd:sequence>
          <xsd:element name="documentManagement">
            <xsd:complexType>
              <xsd:all>
                <xsd:element ref="ns2:Project_x0020_Owner"/>
                <xsd:element ref="ns2:Authors"/>
                <xsd:element ref="ns2:Readers" minOccurs="0"/>
                <xsd:element ref="ns2:Security" minOccurs="0"/>
                <xsd:element ref="ns1:PublishingStartDate" minOccurs="0"/>
                <xsd:element ref="ns1:PublishingExpirationDate" minOccurs="0"/>
                <xsd:element ref="ns2:_dlc_DocId" minOccurs="0"/>
                <xsd:element ref="ns2:_dlc_DocIdUrl" minOccurs="0"/>
                <xsd:element ref="ns2:_dlc_DocIdPersistId" minOccurs="0"/>
                <xsd:element ref="ns2:Section" minOccurs="0"/>
                <xsd:element ref="ns2:Division" minOccurs="0"/>
                <xsd:element ref="ns3:IconOverlay" minOccurs="0"/>
                <xsd:element ref="ns1:_vti_ItemDeclaredRecord" minOccurs="0"/>
                <xsd:element ref="ns1:_vti_ItemHoldRecordStatus" minOccurs="0"/>
                <xsd:element ref="ns2:SharedWithUsers" minOccurs="0"/>
                <xsd:element ref="ns4:project_id"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eb290c-0c0f-4d75-9d55-bf954c0fe360" elementFormDefault="qualified">
    <xsd:import namespace="http://schemas.microsoft.com/office/2006/documentManagement/types"/>
    <xsd:import namespace="http://schemas.microsoft.com/office/infopath/2007/PartnerControls"/>
    <xsd:element name="Project_x0020_Owner" ma:index="2" ma:displayName="Project Owner" ma:description="" ma:list="UserInfo" ma:SharePointGroup="0" ma:internalName="Projec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thors" ma:index="3" ma:displayName="Authors/Admins" ma:description=""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aders" ma:index="4" nillable="true" ma:displayName="Readers" ma:description="" ma:hidden="true" ma:list="UserInfo" ma:SearchPeopleOnly="false" ma:SharePointGroup="0" ma:internalName="Rea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 ma:index="5" nillable="true" ma:displayName="Classification" ma:default="Internal FR / Official Use" ma:description="" ma:format="Dropdown" ma:hidden="true" ma:internalName="Security" ma:readOnly="false">
      <xsd:simpleType>
        <xsd:restriction base="dms:Choice">
          <xsd:enumeration value="Class I FOMC - Restricted Controlled FR"/>
          <xsd:enumeration value="Class II FOMC - Restricted FR"/>
          <xsd:enumeration value="Class III FOMC - Internal FR"/>
          <xsd:enumeration value="Personal / Nonwork"/>
          <xsd:enumeration value="Public / Official Release"/>
          <xsd:enumeration value="Nonconfidential"/>
          <xsd:enumeration value="Treasury Unclassified"/>
          <xsd:enumeration value="Treasury SBU"/>
          <xsd:enumeration value="SPII FR"/>
          <xsd:enumeration value="Internal FR / Official Use"/>
          <xsd:enumeration value="Restricted FR"/>
          <xsd:enumeration value="Restricted Controlled FR"/>
        </xsd:restriction>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ection" ma:index="13" nillable="true" ma:displayName="Section" ma:internalName="Section">
      <xsd:simpleType>
        <xsd:restriction base="dms:Text">
          <xsd:maxLength value="255"/>
        </xsd:restriction>
      </xsd:simpleType>
    </xsd:element>
    <xsd:element name="Division" ma:index="14" nillable="true" ma:displayName="Division" ma:internalName="Division">
      <xsd:simpleType>
        <xsd:restriction base="dms:Text">
          <xsd:maxLength value="255"/>
        </xsd:restriction>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080f9-41a9-43ae-acb8-37ec2f6ce25d" elementFormDefault="qualified">
    <xsd:import namespace="http://schemas.microsoft.com/office/2006/documentManagement/types"/>
    <xsd:import namespace="http://schemas.microsoft.com/office/infopath/2007/PartnerControls"/>
    <xsd:element name="project_id" ma:index="27" nillable="true" ma:displayName="project_id" ma:decimals="0" ma:hidden="true" ma:indexed="true" ma:internalName="project_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6103B-ED24-4A58-8643-D45E75D5EF81}">
  <ds:schemaRefs>
    <ds:schemaRef ds:uri="http://schemas.microsoft.com/sharepoint/v3/contenttype/forms"/>
  </ds:schemaRefs>
</ds:datastoreItem>
</file>

<file path=customXml/itemProps2.xml><?xml version="1.0" encoding="utf-8"?>
<ds:datastoreItem xmlns:ds="http://schemas.openxmlformats.org/officeDocument/2006/customXml" ds:itemID="{1C19CFE8-9512-41D8-A2C3-0E16E5A08C11}">
  <ds:schemaRefs>
    <ds:schemaRef ds:uri="http://schemas.openxmlformats.org/officeDocument/2006/bibliography"/>
  </ds:schemaRefs>
</ds:datastoreItem>
</file>

<file path=customXml/itemProps3.xml><?xml version="1.0" encoding="utf-8"?>
<ds:datastoreItem xmlns:ds="http://schemas.openxmlformats.org/officeDocument/2006/customXml" ds:itemID="{3AF111B9-4F91-46FA-9AE8-4694A3A27870}">
  <ds:schemaRefs>
    <ds:schemaRef ds:uri="http://schemas.microsoft.com/sharepoint/events"/>
  </ds:schemaRefs>
</ds:datastoreItem>
</file>

<file path=customXml/itemProps4.xml><?xml version="1.0" encoding="utf-8"?>
<ds:datastoreItem xmlns:ds="http://schemas.openxmlformats.org/officeDocument/2006/customXml" ds:itemID="{2B0CDC43-8E7B-44CC-84D7-07E54A8F9C4E}">
  <ds:schemaRefs>
    <ds:schemaRef ds:uri="http://schemas.microsoft.com/office/2006/metadata/properties"/>
    <ds:schemaRef ds:uri="http://schemas.microsoft.com/office/infopath/2007/PartnerControls"/>
    <ds:schemaRef ds:uri="1ceb290c-0c0f-4d75-9d55-bf954c0fe360"/>
    <ds:schemaRef ds:uri="http://schemas.microsoft.com/sharepoint/v4"/>
    <ds:schemaRef ds:uri="http://schemas.microsoft.com/sharepoint/v3"/>
    <ds:schemaRef ds:uri="afd080f9-41a9-43ae-acb8-37ec2f6ce25d"/>
  </ds:schemaRefs>
</ds:datastoreItem>
</file>

<file path=customXml/itemProps5.xml><?xml version="1.0" encoding="utf-8"?>
<ds:datastoreItem xmlns:ds="http://schemas.openxmlformats.org/officeDocument/2006/customXml" ds:itemID="{EA30859B-C10D-442F-A160-0326EE667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eb290c-0c0f-4d75-9d55-bf954c0fe360"/>
    <ds:schemaRef ds:uri="http://schemas.microsoft.com/sharepoint/v4"/>
    <ds:schemaRef ds:uri="afd080f9-41a9-43ae-acb8-37ec2f6ce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2568</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Federal Reserve Board</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SoRelle Peat</dc:creator>
  <cp:lastModifiedBy>Keaton Zielinski</cp:lastModifiedBy>
  <cp:revision>2</cp:revision>
  <cp:lastPrinted>2016-06-17T19:22:00Z</cp:lastPrinted>
  <dcterms:created xsi:type="dcterms:W3CDTF">2025-03-13T15:01:00Z</dcterms:created>
  <dcterms:modified xsi:type="dcterms:W3CDTF">2025-03-13T15:01:00Z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0x0101002BE17A8BB07CA6459B68986233AF7C0B</vt:lpwstr>
  </property>
  <property fmtid="{D5CDD505-2E9C-101B-9397-08002B2CF9AE}" pid="3" name="MSIP_Label_68bd301d-c681-4bd2-b9e4-03440f3370c0_ActionId">
    <vt:lpwstr>8e6c4267-6098-4a93-8751-4c588e0c1a06</vt:lpwstr>
  </property>
  <property fmtid="{D5CDD505-2E9C-101B-9397-08002B2CF9AE}" pid="4" name="MSIP_Label_68bd301d-c681-4bd2-b9e4-03440f3370c0_ContentBits">
    <vt:lpwstr>1</vt:lpwstr>
  </property>
  <property fmtid="{D5CDD505-2E9C-101B-9397-08002B2CF9AE}" pid="5" name="MSIP_Label_68bd301d-c681-4bd2-b9e4-03440f3370c0_Enabled">
    <vt:lpwstr>true</vt:lpwstr>
  </property>
  <property fmtid="{D5CDD505-2E9C-101B-9397-08002B2CF9AE}" pid="6" name="MSIP_Label_68bd301d-c681-4bd2-b9e4-03440f3370c0_Method">
    <vt:lpwstr>Privileged</vt:lpwstr>
  </property>
  <property fmtid="{D5CDD505-2E9C-101B-9397-08002B2CF9AE}" pid="7" name="MSIP_Label_68bd301d-c681-4bd2-b9e4-03440f3370c0_Name">
    <vt:lpwstr>INTERNAL FR-OFFICIAL USE - FRSONLY</vt:lpwstr>
  </property>
  <property fmtid="{D5CDD505-2E9C-101B-9397-08002B2CF9AE}" pid="8" name="MSIP_Label_68bd301d-c681-4bd2-b9e4-03440f3370c0_SetDate">
    <vt:lpwstr>2024-04-24T14:49:00Z</vt:lpwstr>
  </property>
  <property fmtid="{D5CDD505-2E9C-101B-9397-08002B2CF9AE}" pid="9" name="MSIP_Label_68bd301d-c681-4bd2-b9e4-03440f3370c0_SiteId">
    <vt:lpwstr>87bb2570-5c1e-4973-9c37-09257a95aeb1</vt:lpwstr>
  </property>
  <property fmtid="{D5CDD505-2E9C-101B-9397-08002B2CF9AE}" pid="10" name="TitusGUID">
    <vt:lpwstr>856a74a9-769f-41ea-9bba-3b970f057607</vt:lpwstr>
  </property>
  <property fmtid="{D5CDD505-2E9C-101B-9397-08002B2CF9AE}" pid="11" name="WorkflowChangePath">
    <vt:lpwstr>2d31a358-ccf3-4796-a77e-db57a0ae3b57,4;2d31a358-ccf3-4796-a77e-db57a0ae3b57,6;</vt:lpwstr>
  </property>
  <property fmtid="{D5CDD505-2E9C-101B-9397-08002B2CF9AE}" pid="12" name="Workflow_Initiator">
    <vt:lpwstr>62</vt:lpwstr>
  </property>
  <property fmtid="{D5CDD505-2E9C-101B-9397-08002B2CF9AE}" pid="13" name="_dlc_DocIdItemGuid">
    <vt:lpwstr>5b58fafa-23b6-48d3-b8d3-6fd9e647e6c4</vt:lpwstr>
  </property>
</Properties>
</file>