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52A" w:rsidRPr="007F4266" w:rsidP="0087052A" w14:paraId="5FEEB373"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RPr="007F4266" w:rsidP="00901959" w14:paraId="63671A38" w14:textId="77777777">
      <w:pPr>
        <w:tabs>
          <w:tab w:val="center" w:pos="4680"/>
          <w:tab w:val="left" w:pos="5040"/>
          <w:tab w:val="left" w:pos="5400"/>
          <w:tab w:val="left" w:pos="6480"/>
          <w:tab w:val="left" w:pos="7200"/>
          <w:tab w:val="left" w:pos="7920"/>
          <w:tab w:val="left" w:pos="8640"/>
          <w:tab w:val="left" w:pos="9360"/>
        </w:tabs>
        <w:jc w:val="center"/>
      </w:pPr>
      <w:r>
        <w:t>BE-</w:t>
      </w:r>
      <w:r w:rsidR="00901959">
        <w:t>1</w:t>
      </w:r>
      <w:r>
        <w:t xml:space="preserve">5, </w:t>
      </w:r>
      <w:r w:rsidR="00901959">
        <w:t>Annual</w:t>
      </w:r>
      <w:r w:rsidRPr="007F4266">
        <w:t xml:space="preserve"> Survey </w:t>
      </w:r>
      <w:r>
        <w:t>of Foreign Direct Investment in the United States</w:t>
      </w:r>
    </w:p>
    <w:p w:rsidR="0087052A" w:rsidRPr="003B3860" w:rsidP="0087052A" w14:paraId="0565AF36"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rsidR="00901959">
        <w:t>34</w:t>
      </w:r>
    </w:p>
    <w:p w:rsidR="00A51FB3" w:rsidRPr="00863E63" w:rsidP="00A51FB3" w14:paraId="28FF6E6E"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6A3C3432"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22AB51E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RPr="00863E63" w:rsidP="00954169" w14:paraId="21711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01959" w:rsidP="00D4056A" w14:paraId="0BA32EBC" w14:textId="5CD738F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The potential respondent universe for the BE-15 annual survey </w:t>
      </w:r>
      <w:r w:rsidR="00681A71">
        <w:t>is derived</w:t>
      </w:r>
      <w:r w:rsidR="00632906">
        <w:t xml:space="preserve"> </w:t>
      </w:r>
      <w:r w:rsidR="00681A71">
        <w:t>from the</w:t>
      </w:r>
      <w:r w:rsidR="00037005">
        <w:t xml:space="preserve"> 20</w:t>
      </w:r>
      <w:r w:rsidR="00DC0A26">
        <w:t>22</w:t>
      </w:r>
      <w:r w:rsidR="00AE785A">
        <w:t xml:space="preserve"> </w:t>
      </w:r>
      <w:r w:rsidR="00037005">
        <w:t>B</w:t>
      </w:r>
      <w:r w:rsidR="00681A71">
        <w:t xml:space="preserve">enchmark </w:t>
      </w:r>
      <w:r w:rsidR="00037005">
        <w:t>S</w:t>
      </w:r>
      <w:r w:rsidR="00681A71">
        <w:t xml:space="preserve">urvey of </w:t>
      </w:r>
      <w:r w:rsidR="00037005">
        <w:t>F</w:t>
      </w:r>
      <w:r w:rsidR="00681A71">
        <w:t xml:space="preserve">oreign </w:t>
      </w:r>
      <w:r w:rsidR="00037005">
        <w:t>D</w:t>
      </w:r>
      <w:r w:rsidR="00681A71">
        <w:t xml:space="preserve">irect </w:t>
      </w:r>
      <w:r w:rsidR="00037005">
        <w:t>I</w:t>
      </w:r>
      <w:r w:rsidR="00681A71">
        <w:t xml:space="preserve">nvestment in the United States, BE-12, </w:t>
      </w:r>
      <w:r w:rsidR="007527D4">
        <w:t>and from transactions reported on</w:t>
      </w:r>
      <w:r w:rsidR="00632906">
        <w:t xml:space="preserve"> the Survey of New Foreign Direct Investment in the United States, BE-13. The potential universe</w:t>
      </w:r>
      <w:r w:rsidR="00681A71">
        <w:t xml:space="preserve"> </w:t>
      </w:r>
      <w:r>
        <w:t xml:space="preserve">consists of all U.S. business enterprises in which a foreign person owns or controls, directly or indirectly, </w:t>
      </w:r>
      <w:r w:rsidR="00D21717">
        <w:t>1</w:t>
      </w:r>
      <w:r>
        <w:t xml:space="preserve">0 percent or more of the voting securities of an incorporated U.S. business enterprise, or an equivalent interest of an unincorporated U.S. business enterprise.  </w:t>
      </w:r>
    </w:p>
    <w:p w:rsidR="00901959" w:rsidP="00D4056A" w14:paraId="0E44AAD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2E5F37" w:rsidP="002E5F37" w14:paraId="7B5A5A42" w14:textId="1DB2B31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Sample selection for the BE-15 annual survey is based on the size </w:t>
      </w:r>
      <w:r w:rsidR="00632906">
        <w:t xml:space="preserve">and degree of foreign ownership </w:t>
      </w:r>
      <w:r>
        <w:t xml:space="preserve">of the U.S. affiliate.  </w:t>
      </w:r>
      <w:r w:rsidR="0033379B">
        <w:t xml:space="preserve">The foreign ownership threshold </w:t>
      </w:r>
      <w:r w:rsidR="00BE3FA7">
        <w:t>applies to</w:t>
      </w:r>
      <w:r w:rsidR="0033379B">
        <w:t xml:space="preserve"> majority-owned U.S. affiliates (</w:t>
      </w:r>
      <w:r w:rsidR="00CB6776">
        <w:t xml:space="preserve">where </w:t>
      </w:r>
      <w:r w:rsidR="0033379B">
        <w:t xml:space="preserve">the combined direct and indirect voting interest of all foreign parents of the U.S. affiliate exceeds 50 percent). </w:t>
      </w:r>
      <w:r>
        <w:t>The</w:t>
      </w:r>
      <w:r>
        <w:rPr>
          <w:spacing w:val="-1"/>
        </w:rPr>
        <w:t xml:space="preserve"> </w:t>
      </w:r>
      <w:r>
        <w:t>size thresh</w:t>
      </w:r>
      <w:r>
        <w:rPr>
          <w:spacing w:val="-1"/>
        </w:rPr>
        <w:t>o</w:t>
      </w:r>
      <w:r>
        <w:rPr>
          <w:spacing w:val="1"/>
        </w:rPr>
        <w:t>l</w:t>
      </w:r>
      <w:r>
        <w:t>ds are st</w:t>
      </w:r>
      <w:r>
        <w:rPr>
          <w:spacing w:val="-1"/>
        </w:rPr>
        <w:t>a</w:t>
      </w:r>
      <w:r>
        <w:rPr>
          <w:spacing w:val="1"/>
        </w:rPr>
        <w:t>t</w:t>
      </w:r>
      <w:r>
        <w:rPr>
          <w:spacing w:val="-1"/>
        </w:rPr>
        <w:t>e</w:t>
      </w:r>
      <w:r>
        <w:t>d in t</w:t>
      </w:r>
      <w:r>
        <w:rPr>
          <w:spacing w:val="-1"/>
        </w:rPr>
        <w:t>e</w:t>
      </w:r>
      <w:r>
        <w:t>r</w:t>
      </w:r>
      <w:r>
        <w:rPr>
          <w:spacing w:val="-2"/>
        </w:rPr>
        <w:t>m</w:t>
      </w:r>
      <w:r>
        <w:t>s of tot</w:t>
      </w:r>
      <w:r>
        <w:rPr>
          <w:spacing w:val="-1"/>
        </w:rPr>
        <w:t>a</w:t>
      </w:r>
      <w:r>
        <w:t>l assets, sal</w:t>
      </w:r>
      <w:r>
        <w:rPr>
          <w:spacing w:val="-1"/>
        </w:rPr>
        <w:t>e</w:t>
      </w:r>
      <w:r>
        <w:t>s or gross op</w:t>
      </w:r>
      <w:r>
        <w:rPr>
          <w:spacing w:val="-1"/>
        </w:rPr>
        <w:t>e</w:t>
      </w:r>
      <w:r>
        <w:t>rating reve</w:t>
      </w:r>
      <w:r>
        <w:rPr>
          <w:spacing w:val="-1"/>
        </w:rPr>
        <w:t>n</w:t>
      </w:r>
      <w:r>
        <w:t>ues, and net</w:t>
      </w:r>
      <w:r>
        <w:rPr>
          <w:spacing w:val="-1"/>
        </w:rPr>
        <w:t xml:space="preserve"> </w:t>
      </w:r>
      <w:r>
        <w:t>inco</w:t>
      </w:r>
      <w:r>
        <w:rPr>
          <w:spacing w:val="-2"/>
        </w:rPr>
        <w:t>m</w:t>
      </w:r>
      <w:r>
        <w:t>e a</w:t>
      </w:r>
      <w:r>
        <w:rPr>
          <w:spacing w:val="-1"/>
        </w:rPr>
        <w:t>f</w:t>
      </w:r>
      <w:r>
        <w:t>ter inco</w:t>
      </w:r>
      <w:r>
        <w:rPr>
          <w:spacing w:val="-2"/>
        </w:rPr>
        <w:t>m</w:t>
      </w:r>
      <w:r>
        <w:t xml:space="preserve">e taxes, whether </w:t>
      </w:r>
      <w:r>
        <w:rPr>
          <w:spacing w:val="-1"/>
        </w:rPr>
        <w:t>p</w:t>
      </w:r>
      <w:r>
        <w:t>ositi</w:t>
      </w:r>
      <w:r>
        <w:rPr>
          <w:spacing w:val="-1"/>
        </w:rPr>
        <w:t>v</w:t>
      </w:r>
      <w:r>
        <w:t>e or negati</w:t>
      </w:r>
      <w:r>
        <w:rPr>
          <w:spacing w:val="-1"/>
        </w:rPr>
        <w:t>v</w:t>
      </w:r>
      <w:r>
        <w:t>e. If any of the three ite</w:t>
      </w:r>
      <w:r>
        <w:rPr>
          <w:spacing w:val="-2"/>
        </w:rPr>
        <w:t>m</w:t>
      </w:r>
      <w:r>
        <w:t>s exceeds the size thre</w:t>
      </w:r>
      <w:r>
        <w:rPr>
          <w:spacing w:val="-1"/>
        </w:rPr>
        <w:t>s</w:t>
      </w:r>
      <w:r>
        <w:t>hold,</w:t>
      </w:r>
      <w:r w:rsidR="0033379B">
        <w:t xml:space="preserve"> and the U.S. affiliate is majority-owned,</w:t>
      </w:r>
      <w:r>
        <w:t xml:space="preserve"> then a</w:t>
      </w:r>
      <w:r>
        <w:rPr>
          <w:spacing w:val="-2"/>
        </w:rPr>
        <w:t xml:space="preserve"> </w:t>
      </w:r>
      <w:r>
        <w:t xml:space="preserve">report </w:t>
      </w:r>
      <w:r>
        <w:rPr>
          <w:spacing w:val="-2"/>
        </w:rPr>
        <w:t>m</w:t>
      </w:r>
      <w:r>
        <w:t xml:space="preserve">ust be filed. </w:t>
      </w:r>
      <w:r>
        <w:rPr>
          <w:spacing w:val="-2"/>
        </w:rPr>
        <w:t>Estimates of the sample size and response rate below are based on recent BE-15 and BE-12 surveys.</w:t>
      </w:r>
      <w:r w:rsidR="007C098D">
        <w:rPr>
          <w:spacing w:val="-2"/>
        </w:rPr>
        <w:t xml:space="preserve"> </w:t>
      </w:r>
      <w:bookmarkStart w:id="0" w:name="_Hlk70430635"/>
      <w:r w:rsidR="007C098D">
        <w:rPr>
          <w:color w:val="000000"/>
        </w:rPr>
        <w:t>These are presented in terms of assets, representing the proportion of total assets for each of the populations that are accounted for by reporting entities.</w:t>
      </w:r>
      <w:bookmarkEnd w:id="0"/>
    </w:p>
    <w:p w:rsidR="006275D0" w:rsidP="00D4056A" w14:paraId="54458E9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786B57" w:rsidP="00D4056A" w14:paraId="0B7CE19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w:t>
      </w:r>
      <w:r w:rsidR="002E5F37">
        <w:rPr>
          <w:b/>
        </w:rPr>
        <w:t>1</w:t>
      </w:r>
      <w:r w:rsidRPr="00D4056A">
        <w:rPr>
          <w:b/>
        </w:rPr>
        <w:t>5 Universe, Sample, and Response Rate</w:t>
      </w:r>
    </w:p>
    <w:tbl>
      <w:tblPr>
        <w:tblW w:w="10038" w:type="dxa"/>
        <w:tblInd w:w="-5" w:type="dxa"/>
        <w:tblLook w:val="04A0"/>
      </w:tblPr>
      <w:tblGrid>
        <w:gridCol w:w="3690"/>
        <w:gridCol w:w="2116"/>
        <w:gridCol w:w="2116"/>
        <w:gridCol w:w="2116"/>
      </w:tblGrid>
      <w:tr w14:paraId="2026C8F4" w14:textId="77777777" w:rsidTr="00C4586A">
        <w:tblPrEx>
          <w:tblW w:w="10038" w:type="dxa"/>
          <w:tblInd w:w="-5" w:type="dxa"/>
          <w:tblLook w:val="04A0"/>
        </w:tblPrEx>
        <w:trPr>
          <w:trHeight w:val="784"/>
        </w:trPr>
        <w:tc>
          <w:tcPr>
            <w:tcW w:w="3690" w:type="dxa"/>
            <w:tcBorders>
              <w:top w:val="single" w:sz="4" w:space="0" w:color="auto"/>
              <w:left w:val="single" w:sz="4" w:space="0" w:color="auto"/>
              <w:bottom w:val="single" w:sz="4" w:space="0" w:color="auto"/>
              <w:right w:val="nil"/>
            </w:tcBorders>
            <w:shd w:val="clear" w:color="000000" w:fill="FFFFFF"/>
            <w:noWrap/>
            <w:vAlign w:val="bottom"/>
            <w:hideMark/>
          </w:tcPr>
          <w:p w:rsidR="00F1293A" w:rsidRPr="00F1293A" w14:paraId="50E765C6" w14:textId="77777777">
            <w:pPr>
              <w:rPr>
                <w:sz w:val="22"/>
                <w:szCs w:val="22"/>
              </w:rPr>
            </w:pPr>
            <w:r w:rsidRPr="00F1293A">
              <w:rPr>
                <w:sz w:val="22"/>
                <w:szCs w:val="22"/>
              </w:rPr>
              <w:t> </w:t>
            </w:r>
          </w:p>
        </w:tc>
        <w:tc>
          <w:tcPr>
            <w:tcW w:w="2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1293A" w:rsidRPr="00F1293A" w14:paraId="583849CD" w14:textId="0A12B896">
            <w:pPr>
              <w:jc w:val="center"/>
              <w:rPr>
                <w:sz w:val="22"/>
                <w:szCs w:val="22"/>
              </w:rPr>
            </w:pPr>
            <w:r w:rsidRPr="00F1293A">
              <w:rPr>
                <w:sz w:val="22"/>
                <w:szCs w:val="22"/>
              </w:rPr>
              <w:t xml:space="preserve">Number of </w:t>
            </w:r>
            <w:r w:rsidR="00C4586A">
              <w:rPr>
                <w:sz w:val="22"/>
                <w:szCs w:val="22"/>
              </w:rPr>
              <w:t>entities</w:t>
            </w:r>
          </w:p>
        </w:tc>
        <w:tc>
          <w:tcPr>
            <w:tcW w:w="2116" w:type="dxa"/>
            <w:tcBorders>
              <w:top w:val="single" w:sz="4" w:space="0" w:color="auto"/>
              <w:left w:val="nil"/>
              <w:bottom w:val="single" w:sz="4" w:space="0" w:color="auto"/>
              <w:right w:val="single" w:sz="4" w:space="0" w:color="auto"/>
            </w:tcBorders>
            <w:shd w:val="clear" w:color="000000" w:fill="FFFFFF"/>
            <w:vAlign w:val="bottom"/>
            <w:hideMark/>
          </w:tcPr>
          <w:p w:rsidR="00F1293A" w:rsidRPr="00F1293A" w14:paraId="02741465" w14:textId="4E24E370">
            <w:pPr>
              <w:jc w:val="center"/>
              <w:rPr>
                <w:sz w:val="22"/>
                <w:szCs w:val="22"/>
              </w:rPr>
            </w:pPr>
            <w:r w:rsidRPr="00F1293A">
              <w:rPr>
                <w:sz w:val="22"/>
                <w:szCs w:val="22"/>
              </w:rPr>
              <w:t xml:space="preserve">Percent of </w:t>
            </w:r>
            <w:r w:rsidR="00C4586A">
              <w:rPr>
                <w:sz w:val="22"/>
                <w:szCs w:val="22"/>
              </w:rPr>
              <w:t>entities</w:t>
            </w:r>
          </w:p>
        </w:tc>
        <w:tc>
          <w:tcPr>
            <w:tcW w:w="2116" w:type="dxa"/>
            <w:tcBorders>
              <w:top w:val="single" w:sz="4" w:space="0" w:color="auto"/>
              <w:left w:val="nil"/>
              <w:bottom w:val="single" w:sz="4" w:space="0" w:color="auto"/>
              <w:right w:val="single" w:sz="4" w:space="0" w:color="auto"/>
            </w:tcBorders>
            <w:shd w:val="clear" w:color="000000" w:fill="FFFFFF"/>
            <w:vAlign w:val="bottom"/>
            <w:hideMark/>
          </w:tcPr>
          <w:p w:rsidR="00F1293A" w:rsidRPr="00F1293A" w14:paraId="3A3F0EC7" w14:textId="77777777">
            <w:pPr>
              <w:jc w:val="center"/>
              <w:rPr>
                <w:sz w:val="22"/>
                <w:szCs w:val="22"/>
              </w:rPr>
            </w:pPr>
            <w:r w:rsidRPr="00F1293A">
              <w:rPr>
                <w:sz w:val="22"/>
                <w:szCs w:val="22"/>
              </w:rPr>
              <w:t>Percent of assets</w:t>
            </w:r>
          </w:p>
        </w:tc>
      </w:tr>
      <w:tr w14:paraId="5C26B53F"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0AF80F43"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696E2FEA" w14:textId="77777777">
            <w:pPr>
              <w:jc w:val="cente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43311526" w14:textId="77777777">
            <w:pPr>
              <w:jc w:val="cente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4D053748" w14:textId="77777777">
            <w:pPr>
              <w:jc w:val="center"/>
              <w:rPr>
                <w:sz w:val="22"/>
                <w:szCs w:val="22"/>
              </w:rPr>
            </w:pPr>
            <w:r w:rsidRPr="00F1293A">
              <w:rPr>
                <w:sz w:val="22"/>
                <w:szCs w:val="22"/>
              </w:rPr>
              <w:t> </w:t>
            </w:r>
          </w:p>
        </w:tc>
      </w:tr>
      <w:tr w14:paraId="58D60A4A"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540427E6" w14:textId="77777777">
            <w:pPr>
              <w:rPr>
                <w:sz w:val="22"/>
                <w:szCs w:val="22"/>
              </w:rPr>
            </w:pPr>
            <w:r w:rsidRPr="00F1293A">
              <w:rPr>
                <w:sz w:val="22"/>
                <w:szCs w:val="22"/>
              </w:rPr>
              <w:t>Universe</w:t>
            </w:r>
          </w:p>
        </w:tc>
        <w:tc>
          <w:tcPr>
            <w:tcW w:w="2116" w:type="dxa"/>
            <w:tcBorders>
              <w:top w:val="nil"/>
              <w:left w:val="nil"/>
              <w:bottom w:val="nil"/>
              <w:right w:val="single" w:sz="4" w:space="0" w:color="auto"/>
            </w:tcBorders>
            <w:shd w:val="clear" w:color="000000" w:fill="FFFFFF"/>
            <w:noWrap/>
            <w:vAlign w:val="bottom"/>
            <w:hideMark/>
          </w:tcPr>
          <w:p w:rsidR="00F1293A" w:rsidRPr="00F1293A" w14:paraId="3E7B7F9E" w14:textId="45ABF33D">
            <w:pPr>
              <w:jc w:val="right"/>
              <w:rPr>
                <w:sz w:val="22"/>
                <w:szCs w:val="22"/>
              </w:rPr>
            </w:pPr>
            <w:r>
              <w:rPr>
                <w:sz w:val="22"/>
                <w:szCs w:val="22"/>
              </w:rPr>
              <w:t>94</w:t>
            </w:r>
            <w:r w:rsidRPr="00F1293A">
              <w:rPr>
                <w:sz w:val="22"/>
                <w:szCs w:val="22"/>
              </w:rPr>
              <w:t>,</w:t>
            </w:r>
            <w:r w:rsidR="00251945">
              <w:rPr>
                <w:sz w:val="22"/>
                <w:szCs w:val="22"/>
              </w:rPr>
              <w:t>0</w:t>
            </w:r>
            <w:r w:rsidRPr="00F1293A">
              <w:rPr>
                <w:sz w:val="22"/>
                <w:szCs w:val="22"/>
              </w:rPr>
              <w:t>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22DB9ACE" w14:textId="77777777">
            <w:pPr>
              <w:jc w:val="right"/>
              <w:rPr>
                <w:sz w:val="22"/>
                <w:szCs w:val="22"/>
              </w:rPr>
            </w:pPr>
            <w:r w:rsidRPr="00F1293A">
              <w:rPr>
                <w:sz w:val="22"/>
                <w:szCs w:val="22"/>
              </w:rPr>
              <w:t>100%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5DCE9279" w14:textId="77777777">
            <w:pPr>
              <w:jc w:val="right"/>
              <w:rPr>
                <w:sz w:val="22"/>
                <w:szCs w:val="22"/>
              </w:rPr>
            </w:pPr>
            <w:r w:rsidRPr="00F1293A">
              <w:rPr>
                <w:sz w:val="22"/>
                <w:szCs w:val="22"/>
              </w:rPr>
              <w:t>100%</w:t>
            </w:r>
          </w:p>
        </w:tc>
      </w:tr>
      <w:tr w14:paraId="7C60D13F"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2655AD06"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3FDB877C"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63E984C0"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10969863" w14:textId="77777777">
            <w:pPr>
              <w:rPr>
                <w:sz w:val="22"/>
                <w:szCs w:val="22"/>
              </w:rPr>
            </w:pPr>
            <w:r w:rsidRPr="00F1293A">
              <w:rPr>
                <w:sz w:val="22"/>
                <w:szCs w:val="22"/>
              </w:rPr>
              <w:t> </w:t>
            </w:r>
          </w:p>
        </w:tc>
      </w:tr>
      <w:tr w14:paraId="6C617C14"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29486270" w14:textId="77777777">
            <w:pPr>
              <w:rPr>
                <w:sz w:val="22"/>
                <w:szCs w:val="22"/>
              </w:rPr>
            </w:pPr>
            <w:r w:rsidRPr="00F1293A">
              <w:rPr>
                <w:sz w:val="22"/>
                <w:szCs w:val="22"/>
              </w:rPr>
              <w:t xml:space="preserve">Sample: </w:t>
            </w:r>
          </w:p>
        </w:tc>
        <w:tc>
          <w:tcPr>
            <w:tcW w:w="2116" w:type="dxa"/>
            <w:tcBorders>
              <w:top w:val="nil"/>
              <w:left w:val="nil"/>
              <w:bottom w:val="nil"/>
              <w:right w:val="single" w:sz="4" w:space="0" w:color="auto"/>
            </w:tcBorders>
            <w:shd w:val="clear" w:color="000000" w:fill="FFFFFF"/>
            <w:noWrap/>
            <w:vAlign w:val="bottom"/>
            <w:hideMark/>
          </w:tcPr>
          <w:p w:rsidR="00F1293A" w:rsidRPr="00F1293A" w14:paraId="58F5229A"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4F3D4576"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7C9E9FB2" w14:textId="77777777">
            <w:pPr>
              <w:rPr>
                <w:sz w:val="22"/>
                <w:szCs w:val="22"/>
              </w:rPr>
            </w:pPr>
            <w:r w:rsidRPr="00F1293A">
              <w:rPr>
                <w:sz w:val="22"/>
                <w:szCs w:val="22"/>
              </w:rPr>
              <w:t> </w:t>
            </w:r>
          </w:p>
        </w:tc>
      </w:tr>
      <w:tr w14:paraId="408C901C"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72E1F463" w14:textId="77777777">
            <w:pPr>
              <w:ind w:firstLine="220" w:firstLineChars="100"/>
              <w:rPr>
                <w:sz w:val="22"/>
                <w:szCs w:val="22"/>
              </w:rPr>
            </w:pPr>
            <w:r w:rsidRPr="00F1293A">
              <w:rPr>
                <w:sz w:val="22"/>
                <w:szCs w:val="22"/>
              </w:rPr>
              <w:t>BE-15A filers</w:t>
            </w:r>
          </w:p>
        </w:tc>
        <w:tc>
          <w:tcPr>
            <w:tcW w:w="2116" w:type="dxa"/>
            <w:tcBorders>
              <w:top w:val="nil"/>
              <w:left w:val="nil"/>
              <w:bottom w:val="nil"/>
              <w:right w:val="single" w:sz="4" w:space="0" w:color="auto"/>
            </w:tcBorders>
            <w:shd w:val="clear" w:color="000000" w:fill="FFFFFF"/>
            <w:noWrap/>
            <w:vAlign w:val="bottom"/>
            <w:hideMark/>
          </w:tcPr>
          <w:p w:rsidR="00F1293A" w:rsidRPr="00F1293A" w14:paraId="6169742C" w14:textId="039B4C2C">
            <w:pPr>
              <w:jc w:val="right"/>
              <w:rPr>
                <w:sz w:val="22"/>
                <w:szCs w:val="22"/>
              </w:rPr>
            </w:pPr>
            <w:r>
              <w:rPr>
                <w:sz w:val="22"/>
                <w:szCs w:val="22"/>
              </w:rPr>
              <w:t>3</w:t>
            </w:r>
            <w:r w:rsidRPr="00F1293A">
              <w:rPr>
                <w:sz w:val="22"/>
                <w:szCs w:val="22"/>
              </w:rPr>
              <w:t>,</w:t>
            </w:r>
            <w:r w:rsidR="003C1CF0">
              <w:rPr>
                <w:sz w:val="22"/>
                <w:szCs w:val="22"/>
              </w:rPr>
              <w:t>20</w:t>
            </w:r>
            <w:r w:rsidRPr="00F1293A">
              <w:rPr>
                <w:sz w:val="22"/>
                <w:szCs w:val="22"/>
              </w:rPr>
              <w:t>0</w:t>
            </w:r>
          </w:p>
        </w:tc>
        <w:tc>
          <w:tcPr>
            <w:tcW w:w="2116" w:type="dxa"/>
            <w:tcBorders>
              <w:top w:val="nil"/>
              <w:left w:val="nil"/>
              <w:bottom w:val="nil"/>
              <w:right w:val="single" w:sz="4" w:space="0" w:color="auto"/>
            </w:tcBorders>
            <w:shd w:val="clear" w:color="000000" w:fill="FFFFFF"/>
            <w:noWrap/>
            <w:vAlign w:val="bottom"/>
            <w:hideMark/>
          </w:tcPr>
          <w:p w:rsidR="00F1293A" w:rsidRPr="00F1293A" w14:paraId="259A9FB7" w14:textId="1146564C">
            <w:pPr>
              <w:jc w:val="right"/>
              <w:rPr>
                <w:sz w:val="22"/>
                <w:szCs w:val="22"/>
              </w:rPr>
            </w:pPr>
            <w:r>
              <w:rPr>
                <w:sz w:val="22"/>
                <w:szCs w:val="22"/>
              </w:rPr>
              <w:t>3</w:t>
            </w:r>
            <w:r w:rsidRPr="00F1293A">
              <w:rPr>
                <w:sz w:val="22"/>
                <w:szCs w:val="22"/>
              </w:rPr>
              <w:t>%</w:t>
            </w:r>
          </w:p>
        </w:tc>
        <w:tc>
          <w:tcPr>
            <w:tcW w:w="2116" w:type="dxa"/>
            <w:tcBorders>
              <w:top w:val="nil"/>
              <w:left w:val="nil"/>
              <w:bottom w:val="nil"/>
              <w:right w:val="single" w:sz="4" w:space="0" w:color="auto"/>
            </w:tcBorders>
            <w:shd w:val="clear" w:color="000000" w:fill="FFFFFF"/>
            <w:noWrap/>
            <w:vAlign w:val="bottom"/>
            <w:hideMark/>
          </w:tcPr>
          <w:p w:rsidR="00F1293A" w:rsidRPr="00F1293A" w14:paraId="37EE0041" w14:textId="2F33F02E">
            <w:pPr>
              <w:jc w:val="right"/>
              <w:rPr>
                <w:sz w:val="22"/>
                <w:szCs w:val="22"/>
              </w:rPr>
            </w:pPr>
            <w:r w:rsidRPr="00F1293A">
              <w:rPr>
                <w:sz w:val="22"/>
                <w:szCs w:val="22"/>
              </w:rPr>
              <w:t>8</w:t>
            </w:r>
            <w:r w:rsidR="003C1CF0">
              <w:rPr>
                <w:sz w:val="22"/>
                <w:szCs w:val="22"/>
              </w:rPr>
              <w:t>7</w:t>
            </w:r>
            <w:r w:rsidRPr="00F1293A">
              <w:rPr>
                <w:sz w:val="22"/>
                <w:szCs w:val="22"/>
              </w:rPr>
              <w:t>%</w:t>
            </w:r>
          </w:p>
        </w:tc>
      </w:tr>
      <w:tr w14:paraId="7AB6289A"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6B815B7C" w14:textId="77777777">
            <w:pPr>
              <w:ind w:firstLine="220" w:firstLineChars="100"/>
              <w:rPr>
                <w:sz w:val="22"/>
                <w:szCs w:val="22"/>
              </w:rPr>
            </w:pPr>
            <w:r w:rsidRPr="00F1293A">
              <w:rPr>
                <w:sz w:val="22"/>
                <w:szCs w:val="22"/>
              </w:rPr>
              <w:t>BE-15B filers</w:t>
            </w:r>
          </w:p>
        </w:tc>
        <w:tc>
          <w:tcPr>
            <w:tcW w:w="2116" w:type="dxa"/>
            <w:tcBorders>
              <w:top w:val="nil"/>
              <w:left w:val="nil"/>
              <w:bottom w:val="nil"/>
              <w:right w:val="single" w:sz="4" w:space="0" w:color="auto"/>
            </w:tcBorders>
            <w:shd w:val="clear" w:color="000000" w:fill="FFFFFF"/>
            <w:noWrap/>
            <w:vAlign w:val="bottom"/>
            <w:hideMark/>
          </w:tcPr>
          <w:p w:rsidR="00F1293A" w:rsidRPr="00F1293A" w14:paraId="5C9F91AA" w14:textId="573A2BBD">
            <w:pPr>
              <w:jc w:val="right"/>
              <w:rPr>
                <w:sz w:val="22"/>
                <w:szCs w:val="22"/>
              </w:rPr>
            </w:pPr>
            <w:r w:rsidRPr="00F1293A">
              <w:rPr>
                <w:sz w:val="22"/>
                <w:szCs w:val="22"/>
              </w:rPr>
              <w:t>1,</w:t>
            </w:r>
            <w:r w:rsidR="003C1CF0">
              <w:rPr>
                <w:sz w:val="22"/>
                <w:szCs w:val="22"/>
              </w:rPr>
              <w:t>6</w:t>
            </w:r>
            <w:r w:rsidRPr="00F1293A">
              <w:rPr>
                <w:sz w:val="22"/>
                <w:szCs w:val="22"/>
              </w:rPr>
              <w:t>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70A41D11" w14:textId="1B0D27E5">
            <w:pPr>
              <w:jc w:val="right"/>
              <w:rPr>
                <w:sz w:val="22"/>
                <w:szCs w:val="22"/>
              </w:rPr>
            </w:pPr>
            <w:r>
              <w:rPr>
                <w:sz w:val="22"/>
                <w:szCs w:val="22"/>
              </w:rPr>
              <w:t>2</w:t>
            </w:r>
            <w:r w:rsidRPr="00F1293A">
              <w:rPr>
                <w:sz w:val="22"/>
                <w:szCs w:val="22"/>
              </w:rPr>
              <w:t>%</w:t>
            </w:r>
          </w:p>
        </w:tc>
        <w:tc>
          <w:tcPr>
            <w:tcW w:w="2116" w:type="dxa"/>
            <w:tcBorders>
              <w:top w:val="nil"/>
              <w:left w:val="nil"/>
              <w:bottom w:val="nil"/>
              <w:right w:val="single" w:sz="4" w:space="0" w:color="auto"/>
            </w:tcBorders>
            <w:shd w:val="clear" w:color="000000" w:fill="FFFFFF"/>
            <w:noWrap/>
            <w:vAlign w:val="bottom"/>
            <w:hideMark/>
          </w:tcPr>
          <w:p w:rsidR="00F1293A" w:rsidRPr="00F1293A" w14:paraId="62FC0E1C" w14:textId="65EB3465">
            <w:pPr>
              <w:jc w:val="right"/>
              <w:rPr>
                <w:sz w:val="22"/>
                <w:szCs w:val="22"/>
              </w:rPr>
            </w:pPr>
            <w:r>
              <w:rPr>
                <w:sz w:val="22"/>
                <w:szCs w:val="22"/>
              </w:rPr>
              <w:t>3</w:t>
            </w:r>
            <w:r w:rsidRPr="00F1293A">
              <w:rPr>
                <w:sz w:val="22"/>
                <w:szCs w:val="22"/>
              </w:rPr>
              <w:t>%</w:t>
            </w:r>
          </w:p>
        </w:tc>
      </w:tr>
      <w:tr w14:paraId="03C305B3"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39409362" w14:textId="77777777">
            <w:pPr>
              <w:ind w:firstLine="220" w:firstLineChars="100"/>
              <w:rPr>
                <w:sz w:val="22"/>
                <w:szCs w:val="22"/>
              </w:rPr>
            </w:pPr>
            <w:r w:rsidRPr="00F1293A">
              <w:rPr>
                <w:sz w:val="22"/>
                <w:szCs w:val="22"/>
              </w:rPr>
              <w:t>BE-15C filers</w:t>
            </w:r>
          </w:p>
        </w:tc>
        <w:tc>
          <w:tcPr>
            <w:tcW w:w="2116" w:type="dxa"/>
            <w:tcBorders>
              <w:top w:val="nil"/>
              <w:left w:val="nil"/>
              <w:bottom w:val="nil"/>
              <w:right w:val="single" w:sz="4" w:space="0" w:color="auto"/>
            </w:tcBorders>
            <w:shd w:val="clear" w:color="000000" w:fill="FFFFFF"/>
            <w:noWrap/>
            <w:vAlign w:val="bottom"/>
            <w:hideMark/>
          </w:tcPr>
          <w:p w:rsidR="00F1293A" w:rsidRPr="00F1293A" w14:paraId="7D62DEC1" w14:textId="7193A8CE">
            <w:pPr>
              <w:jc w:val="right"/>
              <w:rPr>
                <w:sz w:val="22"/>
                <w:szCs w:val="22"/>
              </w:rPr>
            </w:pPr>
            <w:r w:rsidRPr="00F1293A">
              <w:rPr>
                <w:sz w:val="22"/>
                <w:szCs w:val="22"/>
              </w:rPr>
              <w:t>1,</w:t>
            </w:r>
            <w:r w:rsidR="00C44F27">
              <w:rPr>
                <w:sz w:val="22"/>
                <w:szCs w:val="22"/>
              </w:rPr>
              <w:t>0</w:t>
            </w:r>
            <w:r w:rsidRPr="00F1293A">
              <w:rPr>
                <w:sz w:val="22"/>
                <w:szCs w:val="22"/>
              </w:rPr>
              <w:t>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55088F3E" w14:textId="1863B24A">
            <w:pPr>
              <w:jc w:val="right"/>
              <w:rPr>
                <w:sz w:val="22"/>
                <w:szCs w:val="22"/>
              </w:rPr>
            </w:pPr>
            <w:r>
              <w:rPr>
                <w:sz w:val="22"/>
                <w:szCs w:val="22"/>
              </w:rPr>
              <w:t>1</w:t>
            </w:r>
            <w:r w:rsidRPr="00F1293A">
              <w:rPr>
                <w:sz w:val="22"/>
                <w:szCs w:val="22"/>
              </w:rPr>
              <w:t>%</w:t>
            </w:r>
          </w:p>
        </w:tc>
        <w:tc>
          <w:tcPr>
            <w:tcW w:w="2116" w:type="dxa"/>
            <w:tcBorders>
              <w:top w:val="nil"/>
              <w:left w:val="nil"/>
              <w:bottom w:val="nil"/>
              <w:right w:val="single" w:sz="4" w:space="0" w:color="auto"/>
            </w:tcBorders>
            <w:shd w:val="clear" w:color="000000" w:fill="FFFFFF"/>
            <w:noWrap/>
            <w:vAlign w:val="bottom"/>
            <w:hideMark/>
          </w:tcPr>
          <w:p w:rsidR="00F1293A" w:rsidRPr="00F1293A" w14:paraId="446C248D" w14:textId="135023FE">
            <w:pPr>
              <w:jc w:val="right"/>
              <w:rPr>
                <w:sz w:val="22"/>
                <w:szCs w:val="22"/>
              </w:rPr>
            </w:pPr>
            <w:r>
              <w:rPr>
                <w:sz w:val="22"/>
                <w:szCs w:val="22"/>
              </w:rPr>
              <w:t>~0</w:t>
            </w:r>
            <w:r w:rsidRPr="00F1293A">
              <w:rPr>
                <w:sz w:val="22"/>
                <w:szCs w:val="22"/>
              </w:rPr>
              <w:t>%</w:t>
            </w:r>
          </w:p>
        </w:tc>
      </w:tr>
      <w:tr w14:paraId="0AF206FB"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6BBE5AA6" w14:textId="77777777">
            <w:pPr>
              <w:rPr>
                <w:sz w:val="22"/>
                <w:szCs w:val="22"/>
              </w:rPr>
            </w:pPr>
            <w:r w:rsidRPr="00F1293A">
              <w:rPr>
                <w:sz w:val="22"/>
                <w:szCs w:val="22"/>
              </w:rPr>
              <w:t>Total sample</w:t>
            </w:r>
          </w:p>
        </w:tc>
        <w:tc>
          <w:tcPr>
            <w:tcW w:w="2116" w:type="dxa"/>
            <w:tcBorders>
              <w:top w:val="nil"/>
              <w:left w:val="nil"/>
              <w:bottom w:val="nil"/>
              <w:right w:val="single" w:sz="4" w:space="0" w:color="auto"/>
            </w:tcBorders>
            <w:shd w:val="clear" w:color="000000" w:fill="FFFFFF"/>
            <w:noWrap/>
            <w:vAlign w:val="bottom"/>
            <w:hideMark/>
          </w:tcPr>
          <w:p w:rsidR="00F1293A" w:rsidRPr="00F1293A" w14:paraId="00A87C1C" w14:textId="50B6AD70">
            <w:pPr>
              <w:jc w:val="right"/>
              <w:rPr>
                <w:sz w:val="22"/>
                <w:szCs w:val="22"/>
              </w:rPr>
            </w:pPr>
            <w:r>
              <w:rPr>
                <w:sz w:val="22"/>
                <w:szCs w:val="22"/>
              </w:rPr>
              <w:t>5,800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5AADDD91" w14:textId="178791FE">
            <w:pPr>
              <w:jc w:val="right"/>
              <w:rPr>
                <w:sz w:val="22"/>
                <w:szCs w:val="22"/>
              </w:rPr>
            </w:pPr>
            <w:r>
              <w:rPr>
                <w:sz w:val="22"/>
                <w:szCs w:val="22"/>
              </w:rPr>
              <w:t>6</w:t>
            </w:r>
            <w:r w:rsidRPr="00F1293A">
              <w:rPr>
                <w:sz w:val="22"/>
                <w:szCs w:val="22"/>
              </w:rPr>
              <w:t>%</w:t>
            </w:r>
          </w:p>
        </w:tc>
        <w:tc>
          <w:tcPr>
            <w:tcW w:w="2116" w:type="dxa"/>
            <w:tcBorders>
              <w:top w:val="nil"/>
              <w:left w:val="nil"/>
              <w:bottom w:val="nil"/>
              <w:right w:val="single" w:sz="4" w:space="0" w:color="auto"/>
            </w:tcBorders>
            <w:shd w:val="clear" w:color="000000" w:fill="FFFFFF"/>
            <w:noWrap/>
            <w:vAlign w:val="bottom"/>
            <w:hideMark/>
          </w:tcPr>
          <w:p w:rsidR="00F1293A" w:rsidRPr="00F1293A" w14:paraId="5B19E1A3" w14:textId="470F84A2">
            <w:pPr>
              <w:jc w:val="right"/>
              <w:rPr>
                <w:sz w:val="22"/>
                <w:szCs w:val="22"/>
              </w:rPr>
            </w:pPr>
            <w:r>
              <w:rPr>
                <w:sz w:val="22"/>
                <w:szCs w:val="22"/>
              </w:rPr>
              <w:t>9</w:t>
            </w:r>
            <w:r w:rsidR="003C1CF0">
              <w:rPr>
                <w:sz w:val="22"/>
                <w:szCs w:val="22"/>
              </w:rPr>
              <w:t>0</w:t>
            </w:r>
            <w:r w:rsidRPr="00F1293A">
              <w:rPr>
                <w:sz w:val="22"/>
                <w:szCs w:val="22"/>
              </w:rPr>
              <w:t>%</w:t>
            </w:r>
          </w:p>
        </w:tc>
      </w:tr>
      <w:tr w14:paraId="14EEA79E"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020279B8"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3404339A"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203C77C9"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4ACC2685" w14:textId="77777777">
            <w:pPr>
              <w:rPr>
                <w:sz w:val="22"/>
                <w:szCs w:val="22"/>
              </w:rPr>
            </w:pPr>
            <w:r w:rsidRPr="00F1293A">
              <w:rPr>
                <w:sz w:val="22"/>
                <w:szCs w:val="22"/>
              </w:rPr>
              <w:t> </w:t>
            </w:r>
          </w:p>
        </w:tc>
      </w:tr>
      <w:tr w14:paraId="10C53D3D"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22A11013" w14:textId="77777777">
            <w:pPr>
              <w:rPr>
                <w:sz w:val="22"/>
                <w:szCs w:val="22"/>
              </w:rPr>
            </w:pPr>
            <w:r w:rsidRPr="00F1293A">
              <w:rPr>
                <w:sz w:val="22"/>
                <w:szCs w:val="22"/>
              </w:rPr>
              <w:t xml:space="preserve">Total </w:t>
            </w:r>
            <w:r w:rsidRPr="00F1293A">
              <w:rPr>
                <w:sz w:val="22"/>
                <w:szCs w:val="22"/>
              </w:rPr>
              <w:t>nonsample</w:t>
            </w:r>
          </w:p>
        </w:tc>
        <w:tc>
          <w:tcPr>
            <w:tcW w:w="2116" w:type="dxa"/>
            <w:tcBorders>
              <w:top w:val="nil"/>
              <w:left w:val="nil"/>
              <w:bottom w:val="nil"/>
              <w:right w:val="single" w:sz="4" w:space="0" w:color="auto"/>
            </w:tcBorders>
            <w:shd w:val="clear" w:color="000000" w:fill="FFFFFF"/>
            <w:noWrap/>
            <w:vAlign w:val="bottom"/>
            <w:hideMark/>
          </w:tcPr>
          <w:p w:rsidR="00F1293A" w:rsidRPr="00F1293A" w14:paraId="17F25ACF" w14:textId="267FFF13">
            <w:pPr>
              <w:jc w:val="right"/>
              <w:rPr>
                <w:sz w:val="22"/>
                <w:szCs w:val="22"/>
              </w:rPr>
            </w:pPr>
            <w:r>
              <w:rPr>
                <w:sz w:val="22"/>
                <w:szCs w:val="22"/>
              </w:rPr>
              <w:t>88,200</w:t>
            </w:r>
          </w:p>
        </w:tc>
        <w:tc>
          <w:tcPr>
            <w:tcW w:w="2116" w:type="dxa"/>
            <w:tcBorders>
              <w:top w:val="nil"/>
              <w:left w:val="nil"/>
              <w:bottom w:val="nil"/>
              <w:right w:val="single" w:sz="4" w:space="0" w:color="auto"/>
            </w:tcBorders>
            <w:shd w:val="clear" w:color="000000" w:fill="FFFFFF"/>
            <w:noWrap/>
            <w:vAlign w:val="bottom"/>
            <w:hideMark/>
          </w:tcPr>
          <w:p w:rsidR="00F1293A" w:rsidRPr="00F1293A" w14:paraId="479269A0" w14:textId="79F08669">
            <w:pPr>
              <w:jc w:val="right"/>
              <w:rPr>
                <w:sz w:val="22"/>
                <w:szCs w:val="22"/>
              </w:rPr>
            </w:pPr>
            <w:r>
              <w:rPr>
                <w:sz w:val="22"/>
                <w:szCs w:val="22"/>
              </w:rPr>
              <w:t>94</w:t>
            </w:r>
            <w:r w:rsidRPr="00F1293A">
              <w:rPr>
                <w:sz w:val="22"/>
                <w:szCs w:val="22"/>
              </w:rPr>
              <w:t>%</w:t>
            </w:r>
          </w:p>
        </w:tc>
        <w:tc>
          <w:tcPr>
            <w:tcW w:w="2116" w:type="dxa"/>
            <w:tcBorders>
              <w:top w:val="nil"/>
              <w:left w:val="nil"/>
              <w:bottom w:val="nil"/>
              <w:right w:val="single" w:sz="4" w:space="0" w:color="auto"/>
            </w:tcBorders>
            <w:shd w:val="clear" w:color="000000" w:fill="FFFFFF"/>
            <w:noWrap/>
            <w:vAlign w:val="bottom"/>
            <w:hideMark/>
          </w:tcPr>
          <w:p w:rsidR="00F1293A" w:rsidRPr="00F1293A" w14:paraId="56EB0254" w14:textId="3D2A9558">
            <w:pPr>
              <w:jc w:val="right"/>
              <w:rPr>
                <w:sz w:val="22"/>
                <w:szCs w:val="22"/>
              </w:rPr>
            </w:pPr>
            <w:r>
              <w:rPr>
                <w:sz w:val="22"/>
                <w:szCs w:val="22"/>
              </w:rPr>
              <w:t>10</w:t>
            </w:r>
            <w:r w:rsidRPr="00F1293A">
              <w:rPr>
                <w:sz w:val="22"/>
                <w:szCs w:val="22"/>
              </w:rPr>
              <w:t>%</w:t>
            </w:r>
          </w:p>
        </w:tc>
      </w:tr>
      <w:tr w14:paraId="46CC256F" w14:textId="77777777" w:rsidTr="00C4586A">
        <w:tblPrEx>
          <w:tblW w:w="10038" w:type="dxa"/>
          <w:tblInd w:w="-5" w:type="dxa"/>
          <w:tblLook w:val="04A0"/>
        </w:tblPrEx>
        <w:trPr>
          <w:trHeight w:val="261"/>
        </w:trPr>
        <w:tc>
          <w:tcPr>
            <w:tcW w:w="3690" w:type="dxa"/>
            <w:tcBorders>
              <w:top w:val="nil"/>
              <w:left w:val="single" w:sz="4" w:space="0" w:color="auto"/>
              <w:bottom w:val="nil"/>
              <w:right w:val="single" w:sz="4" w:space="0" w:color="auto"/>
            </w:tcBorders>
            <w:shd w:val="clear" w:color="000000" w:fill="FFFFFF"/>
            <w:noWrap/>
            <w:vAlign w:val="bottom"/>
            <w:hideMark/>
          </w:tcPr>
          <w:p w:rsidR="00F1293A" w:rsidRPr="00F1293A" w14:paraId="79CB1623"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7F1D39C4"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1F3E1A8D" w14:textId="77777777">
            <w:pPr>
              <w:rPr>
                <w:sz w:val="22"/>
                <w:szCs w:val="22"/>
              </w:rPr>
            </w:pPr>
            <w:r w:rsidRPr="00F1293A">
              <w:rPr>
                <w:sz w:val="22"/>
                <w:szCs w:val="22"/>
              </w:rPr>
              <w:t> </w:t>
            </w:r>
          </w:p>
        </w:tc>
        <w:tc>
          <w:tcPr>
            <w:tcW w:w="2116" w:type="dxa"/>
            <w:tcBorders>
              <w:top w:val="nil"/>
              <w:left w:val="nil"/>
              <w:bottom w:val="nil"/>
              <w:right w:val="single" w:sz="4" w:space="0" w:color="auto"/>
            </w:tcBorders>
            <w:shd w:val="clear" w:color="000000" w:fill="FFFFFF"/>
            <w:noWrap/>
            <w:vAlign w:val="bottom"/>
            <w:hideMark/>
          </w:tcPr>
          <w:p w:rsidR="00F1293A" w:rsidRPr="00F1293A" w14:paraId="2C8D60ED" w14:textId="77777777">
            <w:pPr>
              <w:rPr>
                <w:sz w:val="22"/>
                <w:szCs w:val="22"/>
              </w:rPr>
            </w:pPr>
            <w:r w:rsidRPr="00F1293A">
              <w:rPr>
                <w:sz w:val="22"/>
                <w:szCs w:val="22"/>
              </w:rPr>
              <w:t> </w:t>
            </w:r>
          </w:p>
        </w:tc>
      </w:tr>
      <w:tr w14:paraId="746E15C8" w14:textId="77777777" w:rsidTr="00C4586A">
        <w:tblPrEx>
          <w:tblW w:w="10038" w:type="dxa"/>
          <w:tblInd w:w="-5" w:type="dxa"/>
          <w:tblLook w:val="04A0"/>
        </w:tblPrEx>
        <w:trPr>
          <w:trHeight w:val="261"/>
        </w:trPr>
        <w:tc>
          <w:tcPr>
            <w:tcW w:w="3690" w:type="dxa"/>
            <w:tcBorders>
              <w:top w:val="nil"/>
              <w:left w:val="single" w:sz="4" w:space="0" w:color="auto"/>
              <w:bottom w:val="single" w:sz="4" w:space="0" w:color="auto"/>
              <w:right w:val="single" w:sz="4" w:space="0" w:color="auto"/>
            </w:tcBorders>
            <w:shd w:val="clear" w:color="000000" w:fill="FFFFFF"/>
            <w:noWrap/>
            <w:vAlign w:val="bottom"/>
            <w:hideMark/>
          </w:tcPr>
          <w:p w:rsidR="00F1293A" w:rsidRPr="00F1293A" w14:paraId="20C4FC27" w14:textId="77777777">
            <w:pPr>
              <w:rPr>
                <w:sz w:val="22"/>
                <w:szCs w:val="22"/>
              </w:rPr>
            </w:pPr>
            <w:r w:rsidRPr="00F1293A">
              <w:rPr>
                <w:sz w:val="22"/>
                <w:szCs w:val="22"/>
              </w:rPr>
              <w:t>Expected response rate</w:t>
            </w:r>
          </w:p>
        </w:tc>
        <w:tc>
          <w:tcPr>
            <w:tcW w:w="2116" w:type="dxa"/>
            <w:tcBorders>
              <w:top w:val="nil"/>
              <w:left w:val="nil"/>
              <w:bottom w:val="single" w:sz="4" w:space="0" w:color="auto"/>
              <w:right w:val="single" w:sz="4" w:space="0" w:color="auto"/>
            </w:tcBorders>
            <w:shd w:val="clear" w:color="000000" w:fill="FFFFFF"/>
            <w:noWrap/>
            <w:vAlign w:val="bottom"/>
            <w:hideMark/>
          </w:tcPr>
          <w:p w:rsidR="00F1293A" w:rsidRPr="00F1293A" w14:paraId="400A1C11" w14:textId="77777777">
            <w:pPr>
              <w:rPr>
                <w:sz w:val="22"/>
                <w:szCs w:val="22"/>
              </w:rPr>
            </w:pPr>
            <w:r w:rsidRPr="00F1293A">
              <w:rPr>
                <w:sz w:val="22"/>
                <w:szCs w:val="22"/>
              </w:rPr>
              <w:t> </w:t>
            </w:r>
          </w:p>
        </w:tc>
        <w:tc>
          <w:tcPr>
            <w:tcW w:w="2116" w:type="dxa"/>
            <w:tcBorders>
              <w:top w:val="nil"/>
              <w:left w:val="nil"/>
              <w:bottom w:val="single" w:sz="4" w:space="0" w:color="auto"/>
              <w:right w:val="single" w:sz="4" w:space="0" w:color="auto"/>
            </w:tcBorders>
            <w:shd w:val="clear" w:color="000000" w:fill="FFFFFF"/>
            <w:noWrap/>
            <w:vAlign w:val="bottom"/>
            <w:hideMark/>
          </w:tcPr>
          <w:p w:rsidR="00F1293A" w:rsidRPr="00F1293A" w14:paraId="5EE37EFB" w14:textId="77777777">
            <w:pPr>
              <w:rPr>
                <w:sz w:val="22"/>
                <w:szCs w:val="22"/>
              </w:rPr>
            </w:pPr>
            <w:r w:rsidRPr="00F1293A">
              <w:rPr>
                <w:sz w:val="22"/>
                <w:szCs w:val="22"/>
              </w:rPr>
              <w:t> </w:t>
            </w:r>
          </w:p>
        </w:tc>
        <w:tc>
          <w:tcPr>
            <w:tcW w:w="2116" w:type="dxa"/>
            <w:tcBorders>
              <w:top w:val="nil"/>
              <w:left w:val="nil"/>
              <w:bottom w:val="single" w:sz="4" w:space="0" w:color="auto"/>
              <w:right w:val="single" w:sz="4" w:space="0" w:color="auto"/>
            </w:tcBorders>
            <w:shd w:val="clear" w:color="000000" w:fill="FFFFFF"/>
            <w:noWrap/>
            <w:vAlign w:val="bottom"/>
            <w:hideMark/>
          </w:tcPr>
          <w:p w:rsidR="00F1293A" w:rsidRPr="00F1293A" w14:paraId="588B55F9" w14:textId="288E8987">
            <w:pPr>
              <w:jc w:val="right"/>
              <w:rPr>
                <w:sz w:val="22"/>
                <w:szCs w:val="22"/>
              </w:rPr>
            </w:pPr>
            <w:r w:rsidRPr="00F1293A">
              <w:rPr>
                <w:sz w:val="22"/>
                <w:szCs w:val="22"/>
              </w:rPr>
              <w:t>9</w:t>
            </w:r>
            <w:r w:rsidR="003C1CF0">
              <w:rPr>
                <w:sz w:val="22"/>
                <w:szCs w:val="22"/>
              </w:rPr>
              <w:t>1</w:t>
            </w:r>
            <w:r w:rsidRPr="00F1293A">
              <w:rPr>
                <w:sz w:val="22"/>
                <w:szCs w:val="22"/>
              </w:rPr>
              <w:t>%</w:t>
            </w:r>
          </w:p>
        </w:tc>
      </w:tr>
    </w:tbl>
    <w:p w:rsidR="00954169" w:rsidRPr="00863E63" w:rsidP="00954169" w14:paraId="36C87064" w14:textId="2F3E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F66A6" w:rsidP="002E5F37" w14:paraId="2476C354" w14:textId="77777777">
      <w:pPr>
        <w:ind w:right="44"/>
      </w:pPr>
    </w:p>
    <w:p w:rsidR="002E5F37" w:rsidP="002E5F37" w14:paraId="0FB571AD" w14:textId="027BAB31">
      <w:pPr>
        <w:ind w:right="44"/>
      </w:pPr>
      <w:r>
        <w:t>In this infor</w:t>
      </w:r>
      <w:r>
        <w:rPr>
          <w:spacing w:val="-2"/>
        </w:rPr>
        <w:t>m</w:t>
      </w:r>
      <w:r>
        <w:t xml:space="preserve">ation collection, </w:t>
      </w:r>
      <w:r>
        <w:rPr>
          <w:spacing w:val="-2"/>
        </w:rPr>
        <w:t>m</w:t>
      </w:r>
      <w:r>
        <w:t>ore detailed data</w:t>
      </w:r>
      <w:r>
        <w:rPr>
          <w:spacing w:val="2"/>
        </w:rPr>
        <w:t xml:space="preserve"> </w:t>
      </w:r>
      <w:r>
        <w:t>are collected for larger</w:t>
      </w:r>
      <w:r>
        <w:rPr>
          <w:spacing w:val="-1"/>
        </w:rPr>
        <w:t xml:space="preserve"> </w:t>
      </w:r>
      <w:r>
        <w:t>U.S. a</w:t>
      </w:r>
      <w:r>
        <w:rPr>
          <w:spacing w:val="-1"/>
        </w:rPr>
        <w:t>ff</w:t>
      </w:r>
      <w:r>
        <w:t>iliates th</w:t>
      </w:r>
      <w:r>
        <w:rPr>
          <w:spacing w:val="-1"/>
        </w:rPr>
        <w:t>a</w:t>
      </w:r>
      <w:r>
        <w:t xml:space="preserve">n </w:t>
      </w:r>
      <w:r>
        <w:rPr>
          <w:spacing w:val="-1"/>
        </w:rPr>
        <w:t>f</w:t>
      </w:r>
      <w:r>
        <w:t>or s</w:t>
      </w:r>
      <w:r>
        <w:rPr>
          <w:spacing w:val="-2"/>
        </w:rPr>
        <w:t>m</w:t>
      </w:r>
      <w:r>
        <w:t>aller</w:t>
      </w:r>
      <w:r>
        <w:rPr>
          <w:spacing w:val="-1"/>
        </w:rPr>
        <w:t xml:space="preserve"> </w:t>
      </w:r>
      <w:r>
        <w:t>ones. BEA esti</w:t>
      </w:r>
      <w:r>
        <w:rPr>
          <w:spacing w:val="-2"/>
        </w:rPr>
        <w:t>m</w:t>
      </w:r>
      <w:r>
        <w:t>ates d</w:t>
      </w:r>
      <w:r>
        <w:rPr>
          <w:spacing w:val="-1"/>
        </w:rPr>
        <w:t>a</w:t>
      </w:r>
      <w:r>
        <w:t xml:space="preserve">ta </w:t>
      </w:r>
      <w:r>
        <w:rPr>
          <w:spacing w:val="-1"/>
        </w:rPr>
        <w:t>f</w:t>
      </w:r>
      <w:r>
        <w:t>or the s</w:t>
      </w:r>
      <w:r>
        <w:rPr>
          <w:spacing w:val="-2"/>
        </w:rPr>
        <w:t>m</w:t>
      </w:r>
      <w:r>
        <w:t>all</w:t>
      </w:r>
      <w:r>
        <w:rPr>
          <w:spacing w:val="-1"/>
        </w:rPr>
        <w:t>e</w:t>
      </w:r>
      <w:r>
        <w:t xml:space="preserve">r U.S. affiliates </w:t>
      </w:r>
      <w:r>
        <w:rPr>
          <w:spacing w:val="-1"/>
        </w:rPr>
        <w:t>u</w:t>
      </w:r>
      <w:r>
        <w:t xml:space="preserve">sing statistical </w:t>
      </w:r>
      <w:r>
        <w:rPr>
          <w:spacing w:val="-2"/>
        </w:rPr>
        <w:t>m</w:t>
      </w:r>
      <w:r>
        <w:t>ethods so</w:t>
      </w:r>
      <w:r>
        <w:rPr>
          <w:spacing w:val="-1"/>
        </w:rPr>
        <w:t xml:space="preserve"> </w:t>
      </w:r>
      <w:r>
        <w:t>that the le</w:t>
      </w:r>
      <w:r>
        <w:rPr>
          <w:spacing w:val="-1"/>
        </w:rPr>
        <w:t>ve</w:t>
      </w:r>
      <w:r>
        <w:t xml:space="preserve">l of detail </w:t>
      </w:r>
      <w:r w:rsidR="00E134C2">
        <w:t xml:space="preserve">in </w:t>
      </w:r>
      <w:r w:rsidR="00063617">
        <w:t xml:space="preserve">BEA records is </w:t>
      </w:r>
      <w:r>
        <w:t>the sa</w:t>
      </w:r>
      <w:r>
        <w:rPr>
          <w:spacing w:val="-2"/>
        </w:rPr>
        <w:t>m</w:t>
      </w:r>
      <w:r>
        <w:t>e regardle</w:t>
      </w:r>
      <w:r>
        <w:rPr>
          <w:spacing w:val="-1"/>
        </w:rPr>
        <w:t>s</w:t>
      </w:r>
      <w:r>
        <w:t>s of firm size. In general, the esti</w:t>
      </w:r>
      <w:r>
        <w:rPr>
          <w:spacing w:val="-2"/>
        </w:rPr>
        <w:t>m</w:t>
      </w:r>
      <w:r>
        <w:t xml:space="preserve">ation </w:t>
      </w:r>
      <w:r w:rsidR="00681A71">
        <w:t>will be accomplished by prorating data reported on all forms, such as total assets, among subcomponents that are not reported by smaller filers, using the distribution observed in the next higher size class of U.S. affiliates</w:t>
      </w:r>
      <w:r>
        <w:t>.</w:t>
      </w:r>
    </w:p>
    <w:p w:rsidR="00681A71" w:rsidP="002E5F37" w14:paraId="3ED6A708" w14:textId="77777777">
      <w:pPr>
        <w:ind w:right="44"/>
      </w:pPr>
    </w:p>
    <w:p w:rsidR="00681A71" w:rsidP="002E5F37" w14:paraId="4BD2A5B0" w14:textId="22E55B93">
      <w:pPr>
        <w:ind w:right="44"/>
      </w:pPr>
      <w:r>
        <w:t xml:space="preserve">Estimates for the </w:t>
      </w:r>
      <w:r>
        <w:t>nonsample</w:t>
      </w:r>
      <w:r>
        <w:t xml:space="preserve"> portion of the universe and for missing reports will be derived by extrapolating forward their reported data from earlier years </w:t>
      </w:r>
      <w:r w:rsidR="00063617">
        <w:t>based on the</w:t>
      </w:r>
      <w:r>
        <w:t xml:space="preserve"> year-to-year movement in the data reported by other companies. Thus, the estimates will cover the universe of U.S. affiliates. For additional information on BEA’s estimation methods please see the </w:t>
      </w:r>
      <w:hyperlink r:id="rId5" w:history="1">
        <w:r w:rsidR="00C44F27">
          <w:rPr>
            <w:rStyle w:val="Hyperlink"/>
          </w:rPr>
          <w:t xml:space="preserve">U.S. International Economic Accounts: Concepts and Methods </w:t>
        </w:r>
      </w:hyperlink>
      <w:r w:rsidR="004F66A6">
        <w:t xml:space="preserve"> a</w:t>
      </w:r>
      <w:r>
        <w:t xml:space="preserve">vailable on BEA’s web site. </w:t>
      </w:r>
    </w:p>
    <w:p w:rsidR="00A51FB3" w:rsidRPr="00863E63" w:rsidP="00A51FB3" w14:paraId="6B2B2B3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722625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A33A4" w:rsidP="00685277" w14:paraId="09DAFCD7" w14:textId="77777777"/>
    <w:p w:rsidR="002E5F37" w:rsidRPr="00863E63" w:rsidP="00685277" w14:paraId="3C6D8977" w14:textId="7CE92DEE">
      <w:r w:rsidRPr="009A23D8">
        <w:t>Several steps will be tak</w:t>
      </w:r>
      <w:r>
        <w:t>en to maximize response rates.</w:t>
      </w:r>
      <w:r w:rsidR="00820567">
        <w:t xml:space="preserve"> </w:t>
      </w:r>
      <w:r>
        <w:t xml:space="preserve"> In March of each year, all companies will receive notification by mail of their obligation to file the BE-15 survey.</w:t>
      </w:r>
      <w:r w:rsidRPr="00A050DE">
        <w:t xml:space="preserve"> </w:t>
      </w:r>
      <w:r w:rsidR="007428B8">
        <w:t xml:space="preserve">BEA offers an email subscription service for the BE-15 survey to alert subscribers that </w:t>
      </w:r>
      <w:r w:rsidR="007428B8">
        <w:t>eFile</w:t>
      </w:r>
      <w:r w:rsidR="007428B8">
        <w:t xml:space="preserve"> is open for the reference period. In addition, subscribers also receive a reminder email one week prior to the survey due date. </w:t>
      </w:r>
      <w:r w:rsidR="00A54420">
        <w:t xml:space="preserve">BEA requires respondents to file electronically through its </w:t>
      </w:r>
      <w:r w:rsidR="00A54420">
        <w:t>eFile</w:t>
      </w:r>
      <w:r w:rsidR="00A54420">
        <w:t xml:space="preserve"> system but will also post links to the survey forms and reporting instructions on its website (</w:t>
      </w:r>
      <w:hyperlink r:id="rId6" w:history="1">
        <w:r w:rsidRPr="00DD7170" w:rsidR="00A54420">
          <w:rPr>
            <w:rStyle w:val="Hyperlink"/>
          </w:rPr>
          <w:t>www.bea.gov/fdi</w:t>
        </w:r>
      </w:hyperlink>
      <w:r w:rsidR="00A54420">
        <w:t>) for download and review.</w:t>
      </w:r>
      <w:r w:rsidR="00A54420">
        <w:t xml:space="preserve"> </w:t>
      </w:r>
      <w:r w:rsidRPr="00863E63">
        <w:t xml:space="preserve">Any person specifically contacted by BEA must respond by filing either a completed </w:t>
      </w:r>
      <w:r>
        <w:t>survey</w:t>
      </w:r>
      <w:r w:rsidRPr="00863E63">
        <w:t xml:space="preserve"> or a Claim for Exemption.</w:t>
      </w:r>
      <w:r w:rsidR="00FC7155">
        <w:t xml:space="preserve"> BEA has dedicated staff available to answer respondent questions via email or phone.</w:t>
      </w:r>
      <w:r w:rsidRPr="00863E63">
        <w:t xml:space="preserve"> Non</w:t>
      </w:r>
      <w:r w:rsidR="00C44F27">
        <w:t>-</w:t>
      </w:r>
      <w:r w:rsidRPr="00863E63">
        <w:t>respondents will be sent follow-up notices and</w:t>
      </w:r>
      <w:r w:rsidRPr="00FC7155" w:rsidR="00FC7155">
        <w:t xml:space="preserve"> </w:t>
      </w:r>
      <w:r w:rsidR="00FC7155">
        <w:t>contacted by survey staff to solicit a response; and</w:t>
      </w:r>
      <w:r w:rsidRPr="00863E63">
        <w:t xml:space="preserve"> in the event of continued nonresponse, will be referred to the Office of the </w:t>
      </w:r>
      <w:r>
        <w:t xml:space="preserve">General </w:t>
      </w:r>
      <w:r w:rsidRPr="00863E63">
        <w:t>Counsel for further action</w:t>
      </w:r>
      <w:r w:rsidRPr="00FB7D34">
        <w:rPr>
          <w:color w:val="000000"/>
        </w:rPr>
        <w:t>, including possible referral to the Justice Department.</w:t>
      </w:r>
    </w:p>
    <w:p w:rsidR="009D076F" w:rsidP="009D076F" w14:paraId="513F6AC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BB717E" w:rsidRPr="00FB7D34" w:rsidP="00BB717E" w14:paraId="08F03840"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D076F" w:rsidP="00A51FB3" w14:paraId="02AAAE9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68F7B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008A33A4" w:rsidP="00A51FB3" w14:paraId="451DFCA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p>
    <w:p w:rsidR="00EF23B8" w:rsidP="00A51FB3" w14:paraId="66CF91DA" w14:textId="4EE8695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r w:rsidRPr="00FB7D34">
        <w:rPr>
          <w:color w:val="000000"/>
        </w:rPr>
        <w:t>No tests were conducted (aside from giving respondents the opportunity to comment on proposed changes, as described in A.8., above).</w:t>
      </w:r>
    </w:p>
    <w:p w:rsidR="000B669E" w:rsidP="00A51FB3" w14:paraId="1FAC400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color w:val="000000"/>
        </w:rPr>
      </w:pPr>
    </w:p>
    <w:p w:rsidR="00502BFA" w:rsidRPr="00863E63" w:rsidP="00502BFA" w14:paraId="6626E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8A33A4" w:rsidP="009A42DC" w14:paraId="2C84678D"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42DC" w:rsidRPr="00863E63" w:rsidP="009A42DC" w14:paraId="12DB8D2C" w14:textId="2A738364">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5BB">
        <w:t xml:space="preserve">The survey is designed and conducted within BEA by the </w:t>
      </w:r>
      <w:r>
        <w:t xml:space="preserve">Multinational Operations Branch (MOB) of the </w:t>
      </w:r>
      <w:r w:rsidRPr="00E605BB">
        <w:t xml:space="preserve">Direct Investment Division (DID).  For further information, contact </w:t>
      </w:r>
      <w:r>
        <w:t>Kirsten Brew,</w:t>
      </w:r>
      <w:r w:rsidRPr="00E605BB">
        <w:t xml:space="preserve"> Chief, </w:t>
      </w:r>
      <w:r>
        <w:t>MOB,</w:t>
      </w:r>
      <w:r w:rsidRPr="00E605BB">
        <w:t xml:space="preserve"> via email at </w:t>
      </w:r>
      <w:hyperlink r:id="rId7" w:history="1">
        <w:r w:rsidRPr="00284F1C">
          <w:rPr>
            <w:rStyle w:val="Hyperlink"/>
          </w:rPr>
          <w:t>Kirsten.Brew@bea.gov</w:t>
        </w:r>
      </w:hyperlink>
      <w:r>
        <w:t xml:space="preserve">. </w:t>
      </w:r>
      <w:r>
        <w:t xml:space="preserve">The survey proposal was reviewed and approved by BEA’s Source Data Improvement and Evaluation Program (SDIEP). The SDIEP coordinator is Tiffany Burrell, </w:t>
      </w:r>
      <w:r>
        <w:t>Tiffany.Burrell@bea.gov</w:t>
      </w:r>
      <w:r w:rsidRPr="004926F8">
        <w:t>.</w:t>
      </w:r>
    </w:p>
    <w:p w:rsidR="00A51FB3" w:rsidRPr="00863E63" w:rsidP="00A51FB3" w14:paraId="7DCE49FB" w14:textId="0BC39685">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Sect="005617B4">
      <w:footerReference w:type="even"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A4B71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14:paraId="7B3E6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B33A1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543">
      <w:rPr>
        <w:rStyle w:val="PageNumber"/>
        <w:noProof/>
      </w:rPr>
      <w:t>2</w:t>
    </w:r>
    <w:r>
      <w:rPr>
        <w:rStyle w:val="PageNumber"/>
      </w:rPr>
      <w:fldChar w:fldCharType="end"/>
    </w:r>
  </w:p>
  <w:p w:rsidR="00C03D6C" w14:paraId="46DA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3328735">
    <w:abstractNumId w:val="3"/>
  </w:num>
  <w:num w:numId="2" w16cid:durableId="899948708">
    <w:abstractNumId w:val="5"/>
  </w:num>
  <w:num w:numId="3" w16cid:durableId="1900701362">
    <w:abstractNumId w:val="8"/>
  </w:num>
  <w:num w:numId="4" w16cid:durableId="1077047627">
    <w:abstractNumId w:val="1"/>
  </w:num>
  <w:num w:numId="5" w16cid:durableId="1853446662">
    <w:abstractNumId w:val="2"/>
  </w:num>
  <w:num w:numId="6" w16cid:durableId="2039087387">
    <w:abstractNumId w:val="9"/>
  </w:num>
  <w:num w:numId="7" w16cid:durableId="2011368101">
    <w:abstractNumId w:val="10"/>
  </w:num>
  <w:num w:numId="8" w16cid:durableId="1817448180">
    <w:abstractNumId w:val="11"/>
  </w:num>
  <w:num w:numId="9" w16cid:durableId="2103066668">
    <w:abstractNumId w:val="6"/>
  </w:num>
  <w:num w:numId="10" w16cid:durableId="709644007">
    <w:abstractNumId w:val="7"/>
  </w:num>
  <w:num w:numId="11" w16cid:durableId="1456874727">
    <w:abstractNumId w:val="4"/>
  </w:num>
  <w:num w:numId="12" w16cid:durableId="149075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15B75"/>
    <w:rsid w:val="00025332"/>
    <w:rsid w:val="00032493"/>
    <w:rsid w:val="00037005"/>
    <w:rsid w:val="00040F0A"/>
    <w:rsid w:val="00047196"/>
    <w:rsid w:val="000577A3"/>
    <w:rsid w:val="00061831"/>
    <w:rsid w:val="00063617"/>
    <w:rsid w:val="0006613D"/>
    <w:rsid w:val="000708E2"/>
    <w:rsid w:val="00077262"/>
    <w:rsid w:val="000851A7"/>
    <w:rsid w:val="000915A5"/>
    <w:rsid w:val="00096728"/>
    <w:rsid w:val="000A766D"/>
    <w:rsid w:val="000B097B"/>
    <w:rsid w:val="000B1594"/>
    <w:rsid w:val="000B501E"/>
    <w:rsid w:val="000B669E"/>
    <w:rsid w:val="000C6ADA"/>
    <w:rsid w:val="000E2E2D"/>
    <w:rsid w:val="000F3226"/>
    <w:rsid w:val="000F6E40"/>
    <w:rsid w:val="001020F5"/>
    <w:rsid w:val="00103C84"/>
    <w:rsid w:val="00112146"/>
    <w:rsid w:val="0012597B"/>
    <w:rsid w:val="00126E53"/>
    <w:rsid w:val="00141312"/>
    <w:rsid w:val="00141AC6"/>
    <w:rsid w:val="00142DC3"/>
    <w:rsid w:val="00150581"/>
    <w:rsid w:val="00160B47"/>
    <w:rsid w:val="001620D5"/>
    <w:rsid w:val="001758B1"/>
    <w:rsid w:val="0018083D"/>
    <w:rsid w:val="00183281"/>
    <w:rsid w:val="001909D7"/>
    <w:rsid w:val="00191803"/>
    <w:rsid w:val="00191C39"/>
    <w:rsid w:val="0019200D"/>
    <w:rsid w:val="00193383"/>
    <w:rsid w:val="00194C1D"/>
    <w:rsid w:val="001A48A6"/>
    <w:rsid w:val="001B6354"/>
    <w:rsid w:val="001C283D"/>
    <w:rsid w:val="001C6BCB"/>
    <w:rsid w:val="001C7C33"/>
    <w:rsid w:val="001E2756"/>
    <w:rsid w:val="001F5D5E"/>
    <w:rsid w:val="00200BC8"/>
    <w:rsid w:val="002016CD"/>
    <w:rsid w:val="00202A5C"/>
    <w:rsid w:val="00203210"/>
    <w:rsid w:val="002060A5"/>
    <w:rsid w:val="00206D58"/>
    <w:rsid w:val="002169A9"/>
    <w:rsid w:val="002211A0"/>
    <w:rsid w:val="00236B63"/>
    <w:rsid w:val="0024079A"/>
    <w:rsid w:val="002407E2"/>
    <w:rsid w:val="00242396"/>
    <w:rsid w:val="0024502F"/>
    <w:rsid w:val="00251945"/>
    <w:rsid w:val="00252818"/>
    <w:rsid w:val="00252FE3"/>
    <w:rsid w:val="00261FE8"/>
    <w:rsid w:val="00263318"/>
    <w:rsid w:val="002633D9"/>
    <w:rsid w:val="002669F6"/>
    <w:rsid w:val="0026777B"/>
    <w:rsid w:val="0028422E"/>
    <w:rsid w:val="00284F1C"/>
    <w:rsid w:val="00286404"/>
    <w:rsid w:val="0028711B"/>
    <w:rsid w:val="0029570E"/>
    <w:rsid w:val="00296717"/>
    <w:rsid w:val="00297D25"/>
    <w:rsid w:val="002A3768"/>
    <w:rsid w:val="002A7B06"/>
    <w:rsid w:val="002B086C"/>
    <w:rsid w:val="002B43E8"/>
    <w:rsid w:val="002B443B"/>
    <w:rsid w:val="002D09F7"/>
    <w:rsid w:val="002D3E62"/>
    <w:rsid w:val="002D3ED2"/>
    <w:rsid w:val="002D652B"/>
    <w:rsid w:val="002D71D9"/>
    <w:rsid w:val="002E5F37"/>
    <w:rsid w:val="002F11C3"/>
    <w:rsid w:val="00300173"/>
    <w:rsid w:val="00301493"/>
    <w:rsid w:val="0030172D"/>
    <w:rsid w:val="00320040"/>
    <w:rsid w:val="00320DC4"/>
    <w:rsid w:val="0033379B"/>
    <w:rsid w:val="0034013D"/>
    <w:rsid w:val="0034193E"/>
    <w:rsid w:val="003479CD"/>
    <w:rsid w:val="003513C7"/>
    <w:rsid w:val="0036647D"/>
    <w:rsid w:val="0036752F"/>
    <w:rsid w:val="00377E63"/>
    <w:rsid w:val="003A2802"/>
    <w:rsid w:val="003A60E6"/>
    <w:rsid w:val="003B3860"/>
    <w:rsid w:val="003C1CF0"/>
    <w:rsid w:val="003C3E36"/>
    <w:rsid w:val="003D1B89"/>
    <w:rsid w:val="003D5B42"/>
    <w:rsid w:val="003E10DF"/>
    <w:rsid w:val="003E2D9E"/>
    <w:rsid w:val="003E58C3"/>
    <w:rsid w:val="003E65E5"/>
    <w:rsid w:val="003E73F5"/>
    <w:rsid w:val="003F0298"/>
    <w:rsid w:val="00402512"/>
    <w:rsid w:val="00402DDA"/>
    <w:rsid w:val="0041244D"/>
    <w:rsid w:val="00414C30"/>
    <w:rsid w:val="00415DF6"/>
    <w:rsid w:val="00420820"/>
    <w:rsid w:val="00422E62"/>
    <w:rsid w:val="00423463"/>
    <w:rsid w:val="00430789"/>
    <w:rsid w:val="00430D0B"/>
    <w:rsid w:val="004316C6"/>
    <w:rsid w:val="00433A91"/>
    <w:rsid w:val="00440501"/>
    <w:rsid w:val="00441BAD"/>
    <w:rsid w:val="0045694A"/>
    <w:rsid w:val="0046549B"/>
    <w:rsid w:val="00475ED6"/>
    <w:rsid w:val="00476F53"/>
    <w:rsid w:val="00483A80"/>
    <w:rsid w:val="00484E08"/>
    <w:rsid w:val="00487B8F"/>
    <w:rsid w:val="004926F8"/>
    <w:rsid w:val="00495208"/>
    <w:rsid w:val="004970BD"/>
    <w:rsid w:val="004C4729"/>
    <w:rsid w:val="004D0C7A"/>
    <w:rsid w:val="004D1303"/>
    <w:rsid w:val="004D2999"/>
    <w:rsid w:val="004E0858"/>
    <w:rsid w:val="004E6918"/>
    <w:rsid w:val="004F66A6"/>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A27F9"/>
    <w:rsid w:val="005C476A"/>
    <w:rsid w:val="005C54D4"/>
    <w:rsid w:val="005C799F"/>
    <w:rsid w:val="005D2555"/>
    <w:rsid w:val="005D2663"/>
    <w:rsid w:val="005D6402"/>
    <w:rsid w:val="005E05EB"/>
    <w:rsid w:val="005E4427"/>
    <w:rsid w:val="00606FE3"/>
    <w:rsid w:val="00610F82"/>
    <w:rsid w:val="00620D2E"/>
    <w:rsid w:val="006267A8"/>
    <w:rsid w:val="006270B5"/>
    <w:rsid w:val="006275D0"/>
    <w:rsid w:val="00632878"/>
    <w:rsid w:val="00632906"/>
    <w:rsid w:val="00634236"/>
    <w:rsid w:val="00634246"/>
    <w:rsid w:val="00637838"/>
    <w:rsid w:val="00637C4F"/>
    <w:rsid w:val="0064451D"/>
    <w:rsid w:val="00644DCA"/>
    <w:rsid w:val="006513A8"/>
    <w:rsid w:val="006540AD"/>
    <w:rsid w:val="006543FA"/>
    <w:rsid w:val="006552D9"/>
    <w:rsid w:val="006574DD"/>
    <w:rsid w:val="00660E35"/>
    <w:rsid w:val="00663857"/>
    <w:rsid w:val="00672395"/>
    <w:rsid w:val="00677D6D"/>
    <w:rsid w:val="00677D9D"/>
    <w:rsid w:val="00681A71"/>
    <w:rsid w:val="00682C34"/>
    <w:rsid w:val="00685277"/>
    <w:rsid w:val="00693218"/>
    <w:rsid w:val="006A0903"/>
    <w:rsid w:val="006B266F"/>
    <w:rsid w:val="006B5B21"/>
    <w:rsid w:val="006C64F7"/>
    <w:rsid w:val="006C78AF"/>
    <w:rsid w:val="006E0BD1"/>
    <w:rsid w:val="006F136D"/>
    <w:rsid w:val="006F3C79"/>
    <w:rsid w:val="006F6679"/>
    <w:rsid w:val="006F700D"/>
    <w:rsid w:val="00711E0F"/>
    <w:rsid w:val="00712EF2"/>
    <w:rsid w:val="00720ACF"/>
    <w:rsid w:val="00732A2C"/>
    <w:rsid w:val="0073356A"/>
    <w:rsid w:val="0073423A"/>
    <w:rsid w:val="00737B9D"/>
    <w:rsid w:val="007428B8"/>
    <w:rsid w:val="00745B48"/>
    <w:rsid w:val="00745C58"/>
    <w:rsid w:val="0075137C"/>
    <w:rsid w:val="007527D4"/>
    <w:rsid w:val="00754858"/>
    <w:rsid w:val="00774298"/>
    <w:rsid w:val="0078151A"/>
    <w:rsid w:val="00786A3D"/>
    <w:rsid w:val="00786B57"/>
    <w:rsid w:val="00791284"/>
    <w:rsid w:val="00791578"/>
    <w:rsid w:val="007916D0"/>
    <w:rsid w:val="007A4CA7"/>
    <w:rsid w:val="007B0737"/>
    <w:rsid w:val="007B3689"/>
    <w:rsid w:val="007B482F"/>
    <w:rsid w:val="007C098D"/>
    <w:rsid w:val="007D2DC6"/>
    <w:rsid w:val="007D707E"/>
    <w:rsid w:val="007E02DF"/>
    <w:rsid w:val="007F3C2C"/>
    <w:rsid w:val="007F3EA2"/>
    <w:rsid w:val="007F4266"/>
    <w:rsid w:val="00810017"/>
    <w:rsid w:val="00817BFE"/>
    <w:rsid w:val="00820567"/>
    <w:rsid w:val="008317B7"/>
    <w:rsid w:val="00842245"/>
    <w:rsid w:val="0084477B"/>
    <w:rsid w:val="008559B1"/>
    <w:rsid w:val="00863E63"/>
    <w:rsid w:val="0087052A"/>
    <w:rsid w:val="00881C01"/>
    <w:rsid w:val="0088213C"/>
    <w:rsid w:val="0088769A"/>
    <w:rsid w:val="00893D29"/>
    <w:rsid w:val="008948AC"/>
    <w:rsid w:val="008A33A4"/>
    <w:rsid w:val="008A4AF5"/>
    <w:rsid w:val="008B37BE"/>
    <w:rsid w:val="008B5A94"/>
    <w:rsid w:val="008D236A"/>
    <w:rsid w:val="008D51CE"/>
    <w:rsid w:val="008F2AD6"/>
    <w:rsid w:val="008F2E57"/>
    <w:rsid w:val="008F4462"/>
    <w:rsid w:val="008F63E0"/>
    <w:rsid w:val="00900405"/>
    <w:rsid w:val="00901959"/>
    <w:rsid w:val="009045B3"/>
    <w:rsid w:val="00905CA8"/>
    <w:rsid w:val="0091079E"/>
    <w:rsid w:val="009246AF"/>
    <w:rsid w:val="00927B9E"/>
    <w:rsid w:val="00930573"/>
    <w:rsid w:val="009346AE"/>
    <w:rsid w:val="00935484"/>
    <w:rsid w:val="00947C93"/>
    <w:rsid w:val="0095154D"/>
    <w:rsid w:val="00954169"/>
    <w:rsid w:val="009622C8"/>
    <w:rsid w:val="00963162"/>
    <w:rsid w:val="0097016D"/>
    <w:rsid w:val="009703EE"/>
    <w:rsid w:val="00982799"/>
    <w:rsid w:val="00985ED2"/>
    <w:rsid w:val="00987E07"/>
    <w:rsid w:val="009912B1"/>
    <w:rsid w:val="009913C8"/>
    <w:rsid w:val="00994A81"/>
    <w:rsid w:val="009A0589"/>
    <w:rsid w:val="009A1AAC"/>
    <w:rsid w:val="009A23D8"/>
    <w:rsid w:val="009A42DC"/>
    <w:rsid w:val="009A6284"/>
    <w:rsid w:val="009C5FE3"/>
    <w:rsid w:val="009D076F"/>
    <w:rsid w:val="009D2533"/>
    <w:rsid w:val="009D6E48"/>
    <w:rsid w:val="009D7D42"/>
    <w:rsid w:val="009E4A53"/>
    <w:rsid w:val="00A046BB"/>
    <w:rsid w:val="00A050DE"/>
    <w:rsid w:val="00A05E17"/>
    <w:rsid w:val="00A07543"/>
    <w:rsid w:val="00A10372"/>
    <w:rsid w:val="00A12E67"/>
    <w:rsid w:val="00A13021"/>
    <w:rsid w:val="00A2043D"/>
    <w:rsid w:val="00A21EE5"/>
    <w:rsid w:val="00A24468"/>
    <w:rsid w:val="00A264B9"/>
    <w:rsid w:val="00A277FE"/>
    <w:rsid w:val="00A301C3"/>
    <w:rsid w:val="00A34AC5"/>
    <w:rsid w:val="00A40C6E"/>
    <w:rsid w:val="00A47466"/>
    <w:rsid w:val="00A50B12"/>
    <w:rsid w:val="00A51FB3"/>
    <w:rsid w:val="00A54420"/>
    <w:rsid w:val="00A847B6"/>
    <w:rsid w:val="00A84992"/>
    <w:rsid w:val="00A871B2"/>
    <w:rsid w:val="00A87F6D"/>
    <w:rsid w:val="00AA2681"/>
    <w:rsid w:val="00AA2B9A"/>
    <w:rsid w:val="00AA6D1B"/>
    <w:rsid w:val="00AB1C24"/>
    <w:rsid w:val="00AB7C65"/>
    <w:rsid w:val="00AC1A10"/>
    <w:rsid w:val="00AD1A8E"/>
    <w:rsid w:val="00AE2147"/>
    <w:rsid w:val="00AE785A"/>
    <w:rsid w:val="00AF27B9"/>
    <w:rsid w:val="00AF7E36"/>
    <w:rsid w:val="00B02213"/>
    <w:rsid w:val="00B26953"/>
    <w:rsid w:val="00B30B45"/>
    <w:rsid w:val="00B34746"/>
    <w:rsid w:val="00B44C7B"/>
    <w:rsid w:val="00B5078D"/>
    <w:rsid w:val="00B50C0F"/>
    <w:rsid w:val="00B546BC"/>
    <w:rsid w:val="00B62B76"/>
    <w:rsid w:val="00B647C4"/>
    <w:rsid w:val="00B66FB8"/>
    <w:rsid w:val="00B67E7C"/>
    <w:rsid w:val="00B7402E"/>
    <w:rsid w:val="00B77F46"/>
    <w:rsid w:val="00B831A9"/>
    <w:rsid w:val="00B84B81"/>
    <w:rsid w:val="00B87BAF"/>
    <w:rsid w:val="00BA008E"/>
    <w:rsid w:val="00BA1189"/>
    <w:rsid w:val="00BA722B"/>
    <w:rsid w:val="00BB717E"/>
    <w:rsid w:val="00BC46D5"/>
    <w:rsid w:val="00BD06B1"/>
    <w:rsid w:val="00BD46C2"/>
    <w:rsid w:val="00BD7B82"/>
    <w:rsid w:val="00BE1393"/>
    <w:rsid w:val="00BE3FA7"/>
    <w:rsid w:val="00BE5751"/>
    <w:rsid w:val="00BF3FBC"/>
    <w:rsid w:val="00C00BB6"/>
    <w:rsid w:val="00C01257"/>
    <w:rsid w:val="00C03D6C"/>
    <w:rsid w:val="00C12D32"/>
    <w:rsid w:val="00C16B9C"/>
    <w:rsid w:val="00C22FD9"/>
    <w:rsid w:val="00C2399F"/>
    <w:rsid w:val="00C410BD"/>
    <w:rsid w:val="00C43C1B"/>
    <w:rsid w:val="00C44F27"/>
    <w:rsid w:val="00C4586A"/>
    <w:rsid w:val="00C57470"/>
    <w:rsid w:val="00C66A67"/>
    <w:rsid w:val="00C90206"/>
    <w:rsid w:val="00C95E1A"/>
    <w:rsid w:val="00CA56E9"/>
    <w:rsid w:val="00CB45ED"/>
    <w:rsid w:val="00CB6776"/>
    <w:rsid w:val="00CC0E17"/>
    <w:rsid w:val="00CC1A51"/>
    <w:rsid w:val="00CC2246"/>
    <w:rsid w:val="00CC2FCA"/>
    <w:rsid w:val="00CC4F43"/>
    <w:rsid w:val="00CC580D"/>
    <w:rsid w:val="00CD56B6"/>
    <w:rsid w:val="00CD64D2"/>
    <w:rsid w:val="00CE1D0A"/>
    <w:rsid w:val="00CF0759"/>
    <w:rsid w:val="00CF1B31"/>
    <w:rsid w:val="00CF4163"/>
    <w:rsid w:val="00CF7206"/>
    <w:rsid w:val="00D21717"/>
    <w:rsid w:val="00D358FE"/>
    <w:rsid w:val="00D4056A"/>
    <w:rsid w:val="00D44EB4"/>
    <w:rsid w:val="00D50583"/>
    <w:rsid w:val="00D53C91"/>
    <w:rsid w:val="00D60317"/>
    <w:rsid w:val="00D6469A"/>
    <w:rsid w:val="00D65B0B"/>
    <w:rsid w:val="00D67E9E"/>
    <w:rsid w:val="00D81026"/>
    <w:rsid w:val="00D81AEE"/>
    <w:rsid w:val="00D85591"/>
    <w:rsid w:val="00D86976"/>
    <w:rsid w:val="00D9237F"/>
    <w:rsid w:val="00D93F89"/>
    <w:rsid w:val="00D96C22"/>
    <w:rsid w:val="00DA2D88"/>
    <w:rsid w:val="00DA3462"/>
    <w:rsid w:val="00DB23ED"/>
    <w:rsid w:val="00DC0A26"/>
    <w:rsid w:val="00DC3A1A"/>
    <w:rsid w:val="00DC5B8E"/>
    <w:rsid w:val="00DD4A12"/>
    <w:rsid w:val="00DD7170"/>
    <w:rsid w:val="00DE4C64"/>
    <w:rsid w:val="00DF4AE8"/>
    <w:rsid w:val="00DF7194"/>
    <w:rsid w:val="00E04317"/>
    <w:rsid w:val="00E058FB"/>
    <w:rsid w:val="00E1020C"/>
    <w:rsid w:val="00E10617"/>
    <w:rsid w:val="00E134C2"/>
    <w:rsid w:val="00E22F7A"/>
    <w:rsid w:val="00E27F78"/>
    <w:rsid w:val="00E32298"/>
    <w:rsid w:val="00E406FB"/>
    <w:rsid w:val="00E605BB"/>
    <w:rsid w:val="00E74698"/>
    <w:rsid w:val="00E74EB4"/>
    <w:rsid w:val="00E77126"/>
    <w:rsid w:val="00E80CC0"/>
    <w:rsid w:val="00E94425"/>
    <w:rsid w:val="00E95E82"/>
    <w:rsid w:val="00EA0AF4"/>
    <w:rsid w:val="00EA1BA0"/>
    <w:rsid w:val="00EA24D8"/>
    <w:rsid w:val="00EB3D97"/>
    <w:rsid w:val="00EB7483"/>
    <w:rsid w:val="00EC77B9"/>
    <w:rsid w:val="00ED3F91"/>
    <w:rsid w:val="00ED530B"/>
    <w:rsid w:val="00EE15E9"/>
    <w:rsid w:val="00EE64CD"/>
    <w:rsid w:val="00EF23B8"/>
    <w:rsid w:val="00EF43E4"/>
    <w:rsid w:val="00EF5850"/>
    <w:rsid w:val="00F002D6"/>
    <w:rsid w:val="00F0060A"/>
    <w:rsid w:val="00F03C96"/>
    <w:rsid w:val="00F1293A"/>
    <w:rsid w:val="00F1531C"/>
    <w:rsid w:val="00F16C4A"/>
    <w:rsid w:val="00F25955"/>
    <w:rsid w:val="00F26307"/>
    <w:rsid w:val="00F27996"/>
    <w:rsid w:val="00F327C9"/>
    <w:rsid w:val="00F35ADE"/>
    <w:rsid w:val="00F36975"/>
    <w:rsid w:val="00F42AAB"/>
    <w:rsid w:val="00F555DD"/>
    <w:rsid w:val="00F568AF"/>
    <w:rsid w:val="00F569F4"/>
    <w:rsid w:val="00F579BF"/>
    <w:rsid w:val="00F658B2"/>
    <w:rsid w:val="00F7200D"/>
    <w:rsid w:val="00F735FA"/>
    <w:rsid w:val="00F73900"/>
    <w:rsid w:val="00F8161B"/>
    <w:rsid w:val="00F81D94"/>
    <w:rsid w:val="00F86A6B"/>
    <w:rsid w:val="00F87246"/>
    <w:rsid w:val="00F96276"/>
    <w:rsid w:val="00FB1AE4"/>
    <w:rsid w:val="00FB7D34"/>
    <w:rsid w:val="00FC3DAD"/>
    <w:rsid w:val="00FC7087"/>
    <w:rsid w:val="00FC7155"/>
    <w:rsid w:val="00FD4717"/>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A948D2"/>
  <w15:chartTrackingRefBased/>
  <w15:docId w15:val="{9E45D4E0-6E1F-437B-84F6-AE799764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 w:type="paragraph" w:styleId="Revision">
    <w:name w:val="Revision"/>
    <w:hidden/>
    <w:uiPriority w:val="99"/>
    <w:semiHidden/>
    <w:rsid w:val="00742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resources/methodologies/international/pdf/iea-concepts-methods.pdf" TargetMode="External" /><Relationship Id="rId6" Type="http://schemas.openxmlformats.org/officeDocument/2006/relationships/hyperlink" Target="http://www.bea.gov/fdi" TargetMode="External" /><Relationship Id="rId7" Type="http://schemas.openxmlformats.org/officeDocument/2006/relationships/hyperlink" Target="mailto:Kirsten.Brew@bea.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2991-184D-4571-8918-1040924E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~WRL0003.tmp</Template>
  <TotalTime>1</TotalTime>
  <Pages>3</Pages>
  <Words>982</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 - Federal</cp:lastModifiedBy>
  <cp:revision>2</cp:revision>
  <cp:lastPrinted>2017-05-16T19:10:00Z</cp:lastPrinted>
  <dcterms:created xsi:type="dcterms:W3CDTF">2025-04-10T17:04:00Z</dcterms:created>
  <dcterms:modified xsi:type="dcterms:W3CDTF">2025-04-10T17:04:00Z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-1109916418</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Supporting Statements A and B for BE-11 and BE-15 surveys</vt:lpwstr>
  </property>
  <property fmtid="{D5CDD505-2E9C-101B-9397-08002B2CF9AE}" pid="6" name="_NewReviewCycle">
    <vt:lpwstr/>
  </property>
  <property fmtid="{D5CDD505-2E9C-101B-9397-08002B2CF9AE}" pid="7" name="_ReviewingToolsShownOnce">
    <vt:lpwstr/>
  </property>
</Properties>
</file>