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65A5" w:rsidP="00B765A5" w14:paraId="453C64E0" w14:textId="77777777">
      <w:pPr>
        <w:pStyle w:val="Title"/>
      </w:pPr>
      <w:r>
        <w:t>SUPPORTING STATEMENT</w:t>
      </w:r>
    </w:p>
    <w:p w:rsidR="00B765A5" w:rsidP="00B765A5" w14:paraId="38F6B327" w14:textId="77777777">
      <w:pPr>
        <w:pStyle w:val="Title"/>
      </w:pPr>
      <w:r>
        <w:t>United States Patent and Trademark Office</w:t>
      </w:r>
    </w:p>
    <w:p w:rsidR="00B765A5" w:rsidP="00B765A5" w14:paraId="6B43A779" w14:textId="670E2158">
      <w:pPr>
        <w:pStyle w:val="Title"/>
      </w:pPr>
      <w:r>
        <w:t>Patent and PTAB Pro Bono Programs</w:t>
      </w:r>
    </w:p>
    <w:p w:rsidR="00B765A5" w:rsidP="00B765A5" w14:paraId="1D7CB1AA" w14:textId="59907D35">
      <w:pPr>
        <w:pStyle w:val="Title"/>
      </w:pPr>
      <w:r>
        <w:t xml:space="preserve">OMB </w:t>
      </w:r>
      <w:r w:rsidR="004B1551">
        <w:t>CONTROL NUMBER</w:t>
      </w:r>
      <w:r>
        <w:t xml:space="preserve"> 0651-</w:t>
      </w:r>
      <w:r w:rsidR="00F56BB3">
        <w:t>00</w:t>
      </w:r>
      <w:r w:rsidR="00E834C5">
        <w:t>82</w:t>
      </w:r>
    </w:p>
    <w:p w:rsidR="00B765A5" w:rsidP="00B765A5" w14:paraId="53B87F07" w14:textId="42D9CFD3">
      <w:pPr>
        <w:pStyle w:val="Title"/>
      </w:pPr>
      <w:r>
        <w:t>202</w:t>
      </w:r>
      <w:r w:rsidR="00CF262C">
        <w:t>5</w:t>
      </w:r>
    </w:p>
    <w:p w:rsidR="00B765A5" w:rsidP="00B765A5" w14:paraId="67EE1931" w14:textId="77777777">
      <w:pPr>
        <w:jc w:val="center"/>
        <w:rPr>
          <w:rFonts w:ascii="Arial" w:hAnsi="Arial"/>
          <w:b/>
          <w:sz w:val="24"/>
        </w:rPr>
      </w:pPr>
    </w:p>
    <w:p w:rsidR="00B765A5" w:rsidP="00B765A5" w14:paraId="34494AFD" w14:textId="77777777">
      <w:pPr>
        <w:pStyle w:val="Heading1"/>
      </w:pPr>
      <w:r>
        <w:t>A.</w:t>
      </w:r>
      <w:r>
        <w:tab/>
        <w:t>JUSTIFICATION</w:t>
      </w:r>
    </w:p>
    <w:p w:rsidR="00B765A5" w:rsidP="00B765A5" w14:paraId="7ACE8BBF" w14:textId="77777777">
      <w:pPr>
        <w:rPr>
          <w:rFonts w:ascii="Arial" w:hAnsi="Arial"/>
          <w:b/>
          <w:sz w:val="24"/>
        </w:rPr>
      </w:pPr>
    </w:p>
    <w:p w:rsidR="0056363B" w:rsidRPr="0056363B" w:rsidP="00F56BB3" w14:paraId="129BFFDA" w14:textId="5CEAA3D2">
      <w:pPr>
        <w:numPr>
          <w:ilvl w:val="0"/>
          <w:numId w:val="10"/>
        </w:numPr>
        <w:jc w:val="both"/>
        <w:rPr>
          <w:rFonts w:ascii="Arial" w:hAnsi="Arial"/>
          <w:b/>
          <w:sz w:val="24"/>
        </w:rPr>
      </w:pPr>
      <w:r w:rsidRPr="0056363B">
        <w:rPr>
          <w:rFonts w:ascii="Arial" w:hAnsi="Arial"/>
          <w:b/>
          <w:sz w:val="24"/>
        </w:rPr>
        <w:t xml:space="preserve">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 </w:t>
      </w:r>
    </w:p>
    <w:p w:rsidR="00B765A5" w:rsidP="00B765A5" w14:paraId="4341E8A4" w14:textId="4A71A48B">
      <w:pPr>
        <w:jc w:val="both"/>
        <w:rPr>
          <w:rFonts w:ascii="Arial" w:hAnsi="Arial"/>
          <w:sz w:val="24"/>
        </w:rPr>
      </w:pPr>
    </w:p>
    <w:p w:rsidR="00F24612" w:rsidRPr="00F24612" w:rsidP="4C607349" w14:paraId="18E95AAF" w14:textId="2293CC54">
      <w:pPr>
        <w:jc w:val="both"/>
        <w:rPr>
          <w:rFonts w:ascii="Arial" w:hAnsi="Arial" w:cs="Arial"/>
          <w:sz w:val="24"/>
          <w:szCs w:val="24"/>
        </w:rPr>
      </w:pPr>
      <w:r w:rsidRPr="4C607349">
        <w:rPr>
          <w:rFonts w:ascii="Arial" w:hAnsi="Arial" w:cs="Arial"/>
          <w:sz w:val="24"/>
          <w:szCs w:val="24"/>
        </w:rPr>
        <w:t xml:space="preserve">The Leahy-Smith America Invents Act (AIA), Public Law 112–29 § 32 (2011) directs the USPTO to work with and support intellectual property law associations across the country in the establishment of </w:t>
      </w:r>
      <w:r w:rsidRPr="00D858ED">
        <w:rPr>
          <w:rFonts w:ascii="Arial" w:hAnsi="Arial" w:cs="Arial"/>
          <w:i/>
          <w:iCs/>
          <w:sz w:val="24"/>
          <w:szCs w:val="24"/>
        </w:rPr>
        <w:t>pro bono</w:t>
      </w:r>
      <w:r w:rsidRPr="4C607349">
        <w:rPr>
          <w:rFonts w:ascii="Arial" w:hAnsi="Arial" w:cs="Arial"/>
          <w:sz w:val="24"/>
          <w:szCs w:val="24"/>
        </w:rPr>
        <w:t xml:space="preserve"> programs</w:t>
      </w:r>
      <w:r w:rsidRPr="4C607349" w:rsidR="1F14DD3F">
        <w:rPr>
          <w:rFonts w:ascii="Arial" w:hAnsi="Arial" w:cs="Arial"/>
          <w:sz w:val="24"/>
          <w:szCs w:val="24"/>
        </w:rPr>
        <w:t xml:space="preserve"> </w:t>
      </w:r>
      <w:r w:rsidRPr="4C607349">
        <w:rPr>
          <w:rFonts w:ascii="Arial" w:hAnsi="Arial" w:cs="Arial"/>
          <w:sz w:val="24"/>
          <w:szCs w:val="24"/>
        </w:rPr>
        <w:t>designed to assist financially under</w:t>
      </w:r>
      <w:r w:rsidRPr="4C607349" w:rsidR="1492EF0B">
        <w:rPr>
          <w:rFonts w:ascii="Arial" w:hAnsi="Arial" w:cs="Arial"/>
          <w:sz w:val="24"/>
          <w:szCs w:val="24"/>
        </w:rPr>
        <w:t>-</w:t>
      </w:r>
      <w:r w:rsidRPr="4C607349">
        <w:rPr>
          <w:rFonts w:ascii="Arial" w:hAnsi="Arial" w:cs="Arial"/>
          <w:sz w:val="24"/>
          <w:szCs w:val="24"/>
        </w:rPr>
        <w:t>resourced independent inventors and small businesses</w:t>
      </w:r>
      <w:r w:rsidRPr="4C607349" w:rsidR="1F14DD3F">
        <w:rPr>
          <w:rFonts w:ascii="Arial" w:hAnsi="Arial" w:cs="Arial"/>
          <w:sz w:val="24"/>
          <w:szCs w:val="24"/>
        </w:rPr>
        <w:t xml:space="preserve"> (also referred to as “</w:t>
      </w:r>
      <w:r w:rsidRPr="4C607349" w:rsidR="11872BF5">
        <w:rPr>
          <w:rFonts w:ascii="Arial" w:hAnsi="Arial" w:cs="Arial"/>
          <w:sz w:val="24"/>
          <w:szCs w:val="24"/>
        </w:rPr>
        <w:t xml:space="preserve">regional </w:t>
      </w:r>
      <w:r w:rsidRPr="4C607349" w:rsidR="1F14DD3F">
        <w:rPr>
          <w:rFonts w:ascii="Arial" w:hAnsi="Arial" w:cs="Arial"/>
          <w:sz w:val="24"/>
          <w:szCs w:val="24"/>
        </w:rPr>
        <w:t>hubs”)</w:t>
      </w:r>
      <w:r w:rsidRPr="4C607349">
        <w:rPr>
          <w:rFonts w:ascii="Arial" w:hAnsi="Arial" w:cs="Arial"/>
          <w:sz w:val="24"/>
          <w:szCs w:val="24"/>
        </w:rPr>
        <w:t>.</w:t>
      </w:r>
      <w:r w:rsidRPr="4C607349" w:rsidR="29C0F016">
        <w:rPr>
          <w:rFonts w:ascii="Arial" w:hAnsi="Arial" w:cs="Arial"/>
          <w:sz w:val="24"/>
          <w:szCs w:val="24"/>
        </w:rPr>
        <w:t xml:space="preserve"> </w:t>
      </w:r>
      <w:r w:rsidRPr="4C607349">
        <w:rPr>
          <w:rFonts w:ascii="Arial" w:hAnsi="Arial" w:cs="Arial"/>
          <w:sz w:val="24"/>
          <w:szCs w:val="24"/>
        </w:rPr>
        <w:t>To support this, the USPTO</w:t>
      </w:r>
      <w:r w:rsidRPr="4C607349" w:rsidR="58D1C36B">
        <w:rPr>
          <w:rFonts w:ascii="Arial" w:hAnsi="Arial" w:cs="Arial"/>
          <w:sz w:val="24"/>
          <w:szCs w:val="24"/>
        </w:rPr>
        <w:t xml:space="preserve"> </w:t>
      </w:r>
      <w:r w:rsidRPr="4C607349" w:rsidR="76872241">
        <w:rPr>
          <w:rFonts w:ascii="Arial" w:hAnsi="Arial" w:cs="Arial"/>
          <w:sz w:val="24"/>
          <w:szCs w:val="24"/>
        </w:rPr>
        <w:t>work</w:t>
      </w:r>
      <w:r w:rsidR="004B1548">
        <w:rPr>
          <w:rFonts w:ascii="Arial" w:hAnsi="Arial" w:cs="Arial"/>
          <w:sz w:val="24"/>
          <w:szCs w:val="24"/>
        </w:rPr>
        <w:t xml:space="preserve">s </w:t>
      </w:r>
      <w:r w:rsidRPr="4C607349" w:rsidR="76872241">
        <w:rPr>
          <w:rFonts w:ascii="Arial" w:hAnsi="Arial" w:cs="Arial"/>
          <w:sz w:val="24"/>
          <w:szCs w:val="24"/>
        </w:rPr>
        <w:t>with and support</w:t>
      </w:r>
      <w:r w:rsidR="00252117">
        <w:rPr>
          <w:rFonts w:ascii="Arial" w:hAnsi="Arial" w:cs="Arial"/>
          <w:sz w:val="24"/>
          <w:szCs w:val="24"/>
        </w:rPr>
        <w:t>s</w:t>
      </w:r>
      <w:r w:rsidRPr="4C607349">
        <w:rPr>
          <w:rFonts w:ascii="Arial" w:hAnsi="Arial" w:cs="Arial"/>
          <w:sz w:val="24"/>
          <w:szCs w:val="24"/>
        </w:rPr>
        <w:t xml:space="preserve"> various non-profit organizations</w:t>
      </w:r>
      <w:r w:rsidRPr="4C607349" w:rsidR="76872241">
        <w:rPr>
          <w:rFonts w:ascii="Arial" w:hAnsi="Arial" w:cs="Arial"/>
          <w:sz w:val="24"/>
          <w:szCs w:val="24"/>
        </w:rPr>
        <w:t xml:space="preserve"> to</w:t>
      </w:r>
      <w:r w:rsidRPr="4C607349">
        <w:rPr>
          <w:rFonts w:ascii="Arial" w:hAnsi="Arial" w:cs="Arial"/>
          <w:sz w:val="24"/>
          <w:szCs w:val="24"/>
        </w:rPr>
        <w:t xml:space="preserve"> </w:t>
      </w:r>
      <w:r w:rsidR="00E926F9">
        <w:rPr>
          <w:rFonts w:ascii="Arial" w:hAnsi="Arial" w:cs="Arial"/>
          <w:sz w:val="24"/>
          <w:szCs w:val="24"/>
        </w:rPr>
        <w:t>operate</w:t>
      </w:r>
      <w:r w:rsidRPr="4C607349" w:rsidR="00E926F9">
        <w:rPr>
          <w:rFonts w:ascii="Arial" w:hAnsi="Arial" w:cs="Arial"/>
          <w:sz w:val="24"/>
          <w:szCs w:val="24"/>
        </w:rPr>
        <w:t xml:space="preserve"> </w:t>
      </w:r>
      <w:r w:rsidRPr="4C607349">
        <w:rPr>
          <w:rFonts w:ascii="Arial" w:hAnsi="Arial" w:cs="Arial"/>
          <w:sz w:val="24"/>
          <w:szCs w:val="24"/>
        </w:rPr>
        <w:t xml:space="preserve">a series of autonomous regional hubs that </w:t>
      </w:r>
      <w:r w:rsidRPr="4C607349" w:rsidR="76872241">
        <w:rPr>
          <w:rFonts w:ascii="Arial" w:hAnsi="Arial" w:cs="Arial"/>
          <w:sz w:val="24"/>
          <w:szCs w:val="24"/>
        </w:rPr>
        <w:t xml:space="preserve">endeavor to </w:t>
      </w:r>
      <w:r w:rsidRPr="4C607349" w:rsidR="303D79D4">
        <w:rPr>
          <w:rFonts w:ascii="Arial" w:hAnsi="Arial" w:cs="Arial"/>
          <w:sz w:val="24"/>
          <w:szCs w:val="24"/>
        </w:rPr>
        <w:t xml:space="preserve">match </w:t>
      </w:r>
      <w:r w:rsidRPr="4C607349">
        <w:rPr>
          <w:rFonts w:ascii="Arial" w:hAnsi="Arial" w:cs="Arial"/>
          <w:sz w:val="24"/>
          <w:szCs w:val="24"/>
        </w:rPr>
        <w:t xml:space="preserve">low-income inventors with volunteer patent </w:t>
      </w:r>
      <w:r w:rsidRPr="4C607349" w:rsidR="68ABD1BA">
        <w:rPr>
          <w:rFonts w:ascii="Arial" w:hAnsi="Arial" w:cs="Arial"/>
          <w:sz w:val="24"/>
          <w:szCs w:val="24"/>
        </w:rPr>
        <w:t xml:space="preserve">practitioners </w:t>
      </w:r>
      <w:r w:rsidRPr="4C607349">
        <w:rPr>
          <w:rFonts w:ascii="Arial" w:hAnsi="Arial" w:cs="Arial"/>
          <w:sz w:val="24"/>
          <w:szCs w:val="24"/>
        </w:rPr>
        <w:t>across the United States.</w:t>
      </w:r>
      <w:r w:rsidRPr="4C607349" w:rsidR="11872BF5">
        <w:rPr>
          <w:rFonts w:ascii="Arial" w:hAnsi="Arial" w:cs="Arial"/>
          <w:sz w:val="24"/>
          <w:szCs w:val="24"/>
        </w:rPr>
        <w:t xml:space="preserve"> </w:t>
      </w:r>
      <w:r w:rsidRPr="4C607349">
        <w:rPr>
          <w:rFonts w:ascii="Arial" w:hAnsi="Arial" w:cs="Arial"/>
          <w:sz w:val="24"/>
          <w:szCs w:val="24"/>
        </w:rPr>
        <w:t>The regional hubs comprise law school</w:t>
      </w:r>
      <w:r w:rsidRPr="4C607349" w:rsidR="58D1C36B">
        <w:rPr>
          <w:rFonts w:ascii="Arial" w:hAnsi="Arial" w:cs="Arial"/>
          <w:sz w:val="24"/>
          <w:szCs w:val="24"/>
        </w:rPr>
        <w:t>s</w:t>
      </w:r>
      <w:r w:rsidRPr="4C607349">
        <w:rPr>
          <w:rFonts w:ascii="Arial" w:hAnsi="Arial" w:cs="Arial"/>
          <w:sz w:val="24"/>
          <w:szCs w:val="24"/>
        </w:rPr>
        <w:t xml:space="preserve">, bar associations, innovation/entrepreneurial organizations, and arts-focused lawyer referral services that are strategically located to provide access to patent </w:t>
      </w:r>
      <w:r w:rsidRPr="00D858ED">
        <w:rPr>
          <w:rFonts w:ascii="Arial" w:hAnsi="Arial" w:cs="Arial"/>
          <w:i/>
          <w:iCs/>
          <w:sz w:val="24"/>
          <w:szCs w:val="24"/>
        </w:rPr>
        <w:t>pro bono</w:t>
      </w:r>
      <w:r w:rsidRPr="4C607349">
        <w:rPr>
          <w:rFonts w:ascii="Arial" w:hAnsi="Arial" w:cs="Arial"/>
          <w:sz w:val="24"/>
          <w:szCs w:val="24"/>
        </w:rPr>
        <w:t xml:space="preserve"> services across all fifty states</w:t>
      </w:r>
      <w:r w:rsidRPr="4C607349" w:rsidR="3B36DC8E">
        <w:rPr>
          <w:rFonts w:ascii="Arial" w:hAnsi="Arial" w:cs="Arial"/>
          <w:sz w:val="24"/>
          <w:szCs w:val="24"/>
        </w:rPr>
        <w:t xml:space="preserve">, </w:t>
      </w:r>
      <w:r w:rsidRPr="4C607349">
        <w:rPr>
          <w:rFonts w:ascii="Arial" w:hAnsi="Arial" w:cs="Arial"/>
          <w:sz w:val="24"/>
          <w:szCs w:val="24"/>
        </w:rPr>
        <w:t>the District of Columbia</w:t>
      </w:r>
      <w:r w:rsidRPr="4C607349" w:rsidR="29C0F016">
        <w:rPr>
          <w:rFonts w:ascii="Arial" w:hAnsi="Arial" w:cs="Arial"/>
          <w:sz w:val="24"/>
          <w:szCs w:val="24"/>
        </w:rPr>
        <w:t>,</w:t>
      </w:r>
      <w:r w:rsidRPr="4C607349" w:rsidR="3B36DC8E">
        <w:rPr>
          <w:rFonts w:ascii="Arial" w:hAnsi="Arial" w:cs="Arial"/>
          <w:sz w:val="24"/>
          <w:szCs w:val="24"/>
        </w:rPr>
        <w:t xml:space="preserve"> and Puerto Rico</w:t>
      </w:r>
      <w:r w:rsidRPr="4C607349">
        <w:rPr>
          <w:rFonts w:ascii="Arial" w:hAnsi="Arial" w:cs="Arial"/>
          <w:sz w:val="24"/>
          <w:szCs w:val="24"/>
        </w:rPr>
        <w:t>.</w:t>
      </w:r>
      <w:r w:rsidRPr="4C607349" w:rsidR="29C0F016">
        <w:rPr>
          <w:rFonts w:ascii="Arial" w:hAnsi="Arial" w:cs="Arial"/>
          <w:sz w:val="24"/>
          <w:szCs w:val="24"/>
        </w:rPr>
        <w:t xml:space="preserve"> </w:t>
      </w:r>
      <w:r w:rsidRPr="4C607349">
        <w:rPr>
          <w:rFonts w:ascii="Arial" w:hAnsi="Arial" w:cs="Arial"/>
          <w:sz w:val="24"/>
          <w:szCs w:val="24"/>
        </w:rPr>
        <w:t xml:space="preserve"> </w:t>
      </w:r>
    </w:p>
    <w:p w:rsidR="00F24612" w:rsidP="00F24612" w14:paraId="552B370F" w14:textId="371C200B">
      <w:pPr>
        <w:jc w:val="both"/>
        <w:rPr>
          <w:rFonts w:ascii="Arial" w:hAnsi="Arial" w:cs="Arial"/>
          <w:sz w:val="24"/>
        </w:rPr>
      </w:pPr>
    </w:p>
    <w:p w:rsidR="003D39F3" w14:paraId="782C6A16" w14:textId="7F9358DA">
      <w:pPr>
        <w:jc w:val="both"/>
        <w:rPr>
          <w:rFonts w:ascii="Arial" w:hAnsi="Arial" w:cs="Arial"/>
          <w:sz w:val="24"/>
        </w:rPr>
      </w:pPr>
      <w:r w:rsidRPr="00F24612">
        <w:rPr>
          <w:rFonts w:ascii="Arial" w:hAnsi="Arial" w:cs="Arial"/>
          <w:sz w:val="24"/>
        </w:rPr>
        <w:t>To</w:t>
      </w:r>
      <w:r>
        <w:rPr>
          <w:rFonts w:ascii="Arial" w:hAnsi="Arial" w:cs="Arial"/>
          <w:sz w:val="24"/>
        </w:rPr>
        <w:t xml:space="preserve"> support the purposes described </w:t>
      </w:r>
      <w:r w:rsidRPr="00F24612">
        <w:rPr>
          <w:rFonts w:ascii="Arial" w:hAnsi="Arial" w:cs="Arial"/>
          <w:sz w:val="24"/>
        </w:rPr>
        <w:t xml:space="preserve">above, the </w:t>
      </w:r>
      <w:r w:rsidR="002D3C88">
        <w:rPr>
          <w:rFonts w:ascii="Arial" w:hAnsi="Arial" w:cs="Arial"/>
          <w:sz w:val="24"/>
        </w:rPr>
        <w:t xml:space="preserve">Patent </w:t>
      </w:r>
      <w:r>
        <w:rPr>
          <w:rFonts w:ascii="Arial" w:hAnsi="Arial" w:cs="Arial"/>
          <w:sz w:val="24"/>
        </w:rPr>
        <w:t>P</w:t>
      </w:r>
      <w:r w:rsidRPr="00F24612">
        <w:rPr>
          <w:rFonts w:ascii="Arial" w:hAnsi="Arial" w:cs="Arial"/>
          <w:sz w:val="24"/>
        </w:rPr>
        <w:t xml:space="preserve">ro </w:t>
      </w:r>
      <w:r>
        <w:rPr>
          <w:rFonts w:ascii="Arial" w:hAnsi="Arial" w:cs="Arial"/>
          <w:sz w:val="24"/>
        </w:rPr>
        <w:t>B</w:t>
      </w:r>
      <w:r w:rsidRPr="00F24612">
        <w:rPr>
          <w:rFonts w:ascii="Arial" w:hAnsi="Arial" w:cs="Arial"/>
          <w:sz w:val="24"/>
        </w:rPr>
        <w:t xml:space="preserve">ono </w:t>
      </w:r>
      <w:r>
        <w:rPr>
          <w:rFonts w:ascii="Arial" w:hAnsi="Arial" w:cs="Arial"/>
          <w:sz w:val="24"/>
        </w:rPr>
        <w:t>S</w:t>
      </w:r>
      <w:r w:rsidRPr="00F24612">
        <w:rPr>
          <w:rFonts w:ascii="Arial" w:hAnsi="Arial" w:cs="Arial"/>
          <w:sz w:val="24"/>
        </w:rPr>
        <w:t>urv</w:t>
      </w:r>
      <w:r>
        <w:rPr>
          <w:rFonts w:ascii="Arial" w:hAnsi="Arial" w:cs="Arial"/>
          <w:sz w:val="24"/>
        </w:rPr>
        <w:t>ey collect</w:t>
      </w:r>
      <w:r w:rsidR="00E926F9">
        <w:rPr>
          <w:rFonts w:ascii="Arial" w:hAnsi="Arial" w:cs="Arial"/>
          <w:sz w:val="24"/>
        </w:rPr>
        <w:t>s</w:t>
      </w:r>
      <w:r>
        <w:rPr>
          <w:rFonts w:ascii="Arial" w:hAnsi="Arial" w:cs="Arial"/>
          <w:sz w:val="24"/>
        </w:rPr>
        <w:t xml:space="preserve"> information </w:t>
      </w:r>
      <w:r w:rsidRPr="00F24612">
        <w:rPr>
          <w:rFonts w:ascii="Arial" w:hAnsi="Arial" w:cs="Arial"/>
          <w:sz w:val="24"/>
        </w:rPr>
        <w:t>regardi</w:t>
      </w:r>
      <w:r>
        <w:rPr>
          <w:rFonts w:ascii="Arial" w:hAnsi="Arial" w:cs="Arial"/>
          <w:sz w:val="24"/>
        </w:rPr>
        <w:t xml:space="preserve">ng the activity of the regional </w:t>
      </w:r>
      <w:r w:rsidRPr="00F24612">
        <w:rPr>
          <w:rFonts w:ascii="Arial" w:hAnsi="Arial" w:cs="Arial"/>
          <w:sz w:val="24"/>
        </w:rPr>
        <w:t>hubs</w:t>
      </w:r>
      <w:r>
        <w:rPr>
          <w:rFonts w:ascii="Arial" w:hAnsi="Arial" w:cs="Arial"/>
          <w:sz w:val="24"/>
        </w:rPr>
        <w:t>.</w:t>
      </w:r>
      <w:r w:rsidR="00F14A68">
        <w:rPr>
          <w:rFonts w:ascii="Arial" w:hAnsi="Arial" w:cs="Arial"/>
          <w:sz w:val="24"/>
        </w:rPr>
        <w:t xml:space="preserve"> </w:t>
      </w:r>
      <w:r>
        <w:rPr>
          <w:rFonts w:ascii="Arial" w:hAnsi="Arial" w:cs="Arial"/>
          <w:sz w:val="24"/>
        </w:rPr>
        <w:t xml:space="preserve">The USPTO </w:t>
      </w:r>
      <w:r w:rsidR="00A5118D">
        <w:rPr>
          <w:rFonts w:ascii="Arial" w:hAnsi="Arial" w:cs="Arial"/>
          <w:sz w:val="24"/>
        </w:rPr>
        <w:t>works</w:t>
      </w:r>
      <w:r>
        <w:rPr>
          <w:rFonts w:ascii="Arial" w:hAnsi="Arial" w:cs="Arial"/>
          <w:sz w:val="24"/>
        </w:rPr>
        <w:t xml:space="preserve"> with the </w:t>
      </w:r>
      <w:r w:rsidRPr="00F24612">
        <w:rPr>
          <w:rFonts w:ascii="Arial" w:hAnsi="Arial" w:cs="Arial"/>
          <w:sz w:val="24"/>
        </w:rPr>
        <w:t xml:space="preserve">Pro </w:t>
      </w:r>
      <w:r>
        <w:rPr>
          <w:rFonts w:ascii="Arial" w:hAnsi="Arial" w:cs="Arial"/>
          <w:sz w:val="24"/>
        </w:rPr>
        <w:t xml:space="preserve">Bono Advisory Council (PBAC) to determine what information is </w:t>
      </w:r>
      <w:r w:rsidRPr="00F24612">
        <w:rPr>
          <w:rFonts w:ascii="Arial" w:hAnsi="Arial" w:cs="Arial"/>
          <w:sz w:val="24"/>
        </w:rPr>
        <w:t>necessary</w:t>
      </w:r>
      <w:r>
        <w:rPr>
          <w:rFonts w:ascii="Arial" w:hAnsi="Arial" w:cs="Arial"/>
          <w:sz w:val="24"/>
        </w:rPr>
        <w:t xml:space="preserve"> to evaluate the effectiveness of each regional hub’s operations.</w:t>
      </w:r>
      <w:r w:rsidR="00D06736">
        <w:rPr>
          <w:rFonts w:ascii="Arial" w:hAnsi="Arial" w:cs="Arial"/>
          <w:sz w:val="24"/>
        </w:rPr>
        <w:t xml:space="preserve"> </w:t>
      </w:r>
      <w:r>
        <w:rPr>
          <w:rFonts w:ascii="Arial" w:hAnsi="Arial" w:cs="Arial"/>
          <w:sz w:val="24"/>
        </w:rPr>
        <w:t xml:space="preserve">The PBAC is a </w:t>
      </w:r>
      <w:r w:rsidRPr="00F24612">
        <w:rPr>
          <w:rFonts w:ascii="Arial" w:hAnsi="Arial" w:cs="Arial"/>
          <w:sz w:val="24"/>
        </w:rPr>
        <w:t>w</w:t>
      </w:r>
      <w:r>
        <w:rPr>
          <w:rFonts w:ascii="Arial" w:hAnsi="Arial" w:cs="Arial"/>
          <w:sz w:val="24"/>
        </w:rPr>
        <w:t xml:space="preserve">ell-established group of patent </w:t>
      </w:r>
      <w:r w:rsidRPr="00F24612">
        <w:rPr>
          <w:rFonts w:ascii="Arial" w:hAnsi="Arial" w:cs="Arial"/>
          <w:sz w:val="24"/>
        </w:rPr>
        <w:t>pr</w:t>
      </w:r>
      <w:r>
        <w:rPr>
          <w:rFonts w:ascii="Arial" w:hAnsi="Arial" w:cs="Arial"/>
          <w:sz w:val="24"/>
        </w:rPr>
        <w:t xml:space="preserve">actitioners and thought leaders in intellectual property who provide support and </w:t>
      </w:r>
      <w:r w:rsidRPr="00F24612">
        <w:rPr>
          <w:rFonts w:ascii="Arial" w:hAnsi="Arial" w:cs="Arial"/>
          <w:sz w:val="24"/>
        </w:rPr>
        <w:t>guida</w:t>
      </w:r>
      <w:r>
        <w:rPr>
          <w:rFonts w:ascii="Arial" w:hAnsi="Arial" w:cs="Arial"/>
          <w:sz w:val="24"/>
        </w:rPr>
        <w:t xml:space="preserve">nce to the </w:t>
      </w:r>
      <w:r w:rsidR="00D06736">
        <w:rPr>
          <w:rFonts w:ascii="Arial" w:hAnsi="Arial" w:cs="Arial"/>
          <w:sz w:val="24"/>
        </w:rPr>
        <w:t>regional</w:t>
      </w:r>
      <w:r>
        <w:rPr>
          <w:rFonts w:ascii="Arial" w:hAnsi="Arial" w:cs="Arial"/>
          <w:sz w:val="24"/>
        </w:rPr>
        <w:t xml:space="preserve"> hubs </w:t>
      </w:r>
      <w:r w:rsidRPr="00F24612">
        <w:rPr>
          <w:rFonts w:ascii="Arial" w:hAnsi="Arial" w:cs="Arial"/>
          <w:sz w:val="24"/>
        </w:rPr>
        <w:t xml:space="preserve">across </w:t>
      </w:r>
      <w:r>
        <w:rPr>
          <w:rFonts w:ascii="Arial" w:hAnsi="Arial" w:cs="Arial"/>
          <w:sz w:val="24"/>
        </w:rPr>
        <w:t xml:space="preserve">the country. The data </w:t>
      </w:r>
      <w:r w:rsidR="00A8384D">
        <w:rPr>
          <w:rFonts w:ascii="Arial" w:hAnsi="Arial" w:cs="Arial"/>
          <w:sz w:val="24"/>
        </w:rPr>
        <w:t>collected</w:t>
      </w:r>
      <w:r>
        <w:rPr>
          <w:rFonts w:ascii="Arial" w:hAnsi="Arial" w:cs="Arial"/>
          <w:sz w:val="24"/>
        </w:rPr>
        <w:t xml:space="preserve"> provides </w:t>
      </w:r>
      <w:r w:rsidR="00A8384D">
        <w:rPr>
          <w:rFonts w:ascii="Arial" w:hAnsi="Arial" w:cs="Arial"/>
          <w:sz w:val="24"/>
        </w:rPr>
        <w:t xml:space="preserve">the </w:t>
      </w:r>
      <w:r>
        <w:rPr>
          <w:rFonts w:ascii="Arial" w:hAnsi="Arial" w:cs="Arial"/>
          <w:sz w:val="24"/>
        </w:rPr>
        <w:t xml:space="preserve">USPTO with valuable </w:t>
      </w:r>
      <w:r w:rsidRPr="00F24612">
        <w:rPr>
          <w:rFonts w:ascii="Arial" w:hAnsi="Arial" w:cs="Arial"/>
          <w:sz w:val="24"/>
        </w:rPr>
        <w:t>infor</w:t>
      </w:r>
      <w:r>
        <w:rPr>
          <w:rFonts w:ascii="Arial" w:hAnsi="Arial" w:cs="Arial"/>
          <w:sz w:val="24"/>
        </w:rPr>
        <w:t xml:space="preserve">mation, including the number of </w:t>
      </w:r>
      <w:r w:rsidRPr="00F24612">
        <w:rPr>
          <w:rFonts w:ascii="Arial" w:hAnsi="Arial" w:cs="Arial"/>
          <w:sz w:val="24"/>
        </w:rPr>
        <w:t>inven</w:t>
      </w:r>
      <w:r>
        <w:rPr>
          <w:rFonts w:ascii="Arial" w:hAnsi="Arial" w:cs="Arial"/>
          <w:sz w:val="24"/>
        </w:rPr>
        <w:t xml:space="preserve">tor inquiries, referral sources, </w:t>
      </w:r>
      <w:r w:rsidRPr="00F24612">
        <w:rPr>
          <w:rFonts w:ascii="Arial" w:hAnsi="Arial" w:cs="Arial"/>
          <w:sz w:val="24"/>
        </w:rPr>
        <w:t>nu</w:t>
      </w:r>
      <w:r>
        <w:rPr>
          <w:rFonts w:ascii="Arial" w:hAnsi="Arial" w:cs="Arial"/>
          <w:sz w:val="24"/>
        </w:rPr>
        <w:t xml:space="preserve">mber of </w:t>
      </w:r>
      <w:r w:rsidRPr="00D858ED">
        <w:rPr>
          <w:rFonts w:ascii="Arial" w:hAnsi="Arial" w:cs="Arial"/>
          <w:i/>
          <w:iCs/>
          <w:sz w:val="24"/>
        </w:rPr>
        <w:t>pro bono</w:t>
      </w:r>
      <w:r>
        <w:rPr>
          <w:rFonts w:ascii="Arial" w:hAnsi="Arial" w:cs="Arial"/>
          <w:sz w:val="24"/>
        </w:rPr>
        <w:t xml:space="preserve"> applicants successfully </w:t>
      </w:r>
      <w:r w:rsidRPr="00F24612">
        <w:rPr>
          <w:rFonts w:ascii="Arial" w:hAnsi="Arial" w:cs="Arial"/>
          <w:sz w:val="24"/>
        </w:rPr>
        <w:t>match</w:t>
      </w:r>
      <w:r>
        <w:rPr>
          <w:rFonts w:ascii="Arial" w:hAnsi="Arial" w:cs="Arial"/>
          <w:sz w:val="24"/>
        </w:rPr>
        <w:t xml:space="preserve">ed with patent practitioners, and types of </w:t>
      </w:r>
      <w:r w:rsidRPr="00F24612">
        <w:rPr>
          <w:rFonts w:ascii="Arial" w:hAnsi="Arial" w:cs="Arial"/>
          <w:sz w:val="24"/>
        </w:rPr>
        <w:t>p</w:t>
      </w:r>
      <w:r>
        <w:rPr>
          <w:rFonts w:ascii="Arial" w:hAnsi="Arial" w:cs="Arial"/>
          <w:sz w:val="24"/>
        </w:rPr>
        <w:t>atent filings.</w:t>
      </w:r>
      <w:r w:rsidR="00D06736">
        <w:rPr>
          <w:rFonts w:ascii="Arial" w:hAnsi="Arial" w:cs="Arial"/>
          <w:sz w:val="24"/>
        </w:rPr>
        <w:t xml:space="preserve"> </w:t>
      </w:r>
      <w:r>
        <w:rPr>
          <w:rFonts w:ascii="Arial" w:hAnsi="Arial" w:cs="Arial"/>
          <w:sz w:val="24"/>
        </w:rPr>
        <w:t xml:space="preserve">The USPTO, PBAC, and the regional hubs, are </w:t>
      </w:r>
      <w:r w:rsidRPr="00F24612">
        <w:rPr>
          <w:rFonts w:ascii="Arial" w:hAnsi="Arial" w:cs="Arial"/>
          <w:sz w:val="24"/>
        </w:rPr>
        <w:t>respons</w:t>
      </w:r>
      <w:r>
        <w:rPr>
          <w:rFonts w:ascii="Arial" w:hAnsi="Arial" w:cs="Arial"/>
          <w:sz w:val="24"/>
        </w:rPr>
        <w:t xml:space="preserve">ible for the quarterly collection of this data. </w:t>
      </w:r>
    </w:p>
    <w:p w:rsidR="003D39F3" w:rsidP="00F24612" w14:paraId="7AC01206" w14:textId="77777777">
      <w:pPr>
        <w:jc w:val="both"/>
        <w:rPr>
          <w:rFonts w:ascii="Arial" w:hAnsi="Arial" w:cs="Arial"/>
          <w:sz w:val="24"/>
        </w:rPr>
      </w:pPr>
    </w:p>
    <w:p w:rsidR="003D39F3" w:rsidP="4C607349" w14:paraId="152174A8" w14:textId="4F3536E1">
      <w:pPr>
        <w:jc w:val="both"/>
        <w:rPr>
          <w:rFonts w:ascii="Arial" w:hAnsi="Arial" w:cs="Arial"/>
          <w:sz w:val="24"/>
          <w:szCs w:val="24"/>
        </w:rPr>
      </w:pPr>
      <w:r>
        <w:rPr>
          <w:rFonts w:ascii="Arial" w:hAnsi="Arial" w:cs="Arial"/>
          <w:sz w:val="24"/>
          <w:szCs w:val="24"/>
        </w:rPr>
        <w:t>T</w:t>
      </w:r>
      <w:r w:rsidRPr="4C607349" w:rsidR="05369F6C">
        <w:rPr>
          <w:rFonts w:ascii="Arial" w:hAnsi="Arial" w:cs="Arial"/>
          <w:sz w:val="24"/>
          <w:szCs w:val="24"/>
        </w:rPr>
        <w:t>he USPTO</w:t>
      </w:r>
      <w:r w:rsidRPr="4C607349" w:rsidR="20AB8AA9">
        <w:rPr>
          <w:rFonts w:ascii="Arial" w:hAnsi="Arial" w:cs="Arial"/>
          <w:sz w:val="24"/>
          <w:szCs w:val="24"/>
        </w:rPr>
        <w:t xml:space="preserve">’s Patent Trial and Appeal Board (PTAB), </w:t>
      </w:r>
      <w:r w:rsidR="001B6776">
        <w:rPr>
          <w:rFonts w:ascii="Arial" w:hAnsi="Arial" w:cs="Arial"/>
          <w:sz w:val="24"/>
          <w:szCs w:val="24"/>
        </w:rPr>
        <w:t>collaborates</w:t>
      </w:r>
      <w:r w:rsidRPr="4C607349" w:rsidR="20AB8AA9">
        <w:rPr>
          <w:rFonts w:ascii="Arial" w:hAnsi="Arial" w:cs="Arial"/>
          <w:sz w:val="24"/>
          <w:szCs w:val="24"/>
        </w:rPr>
        <w:t xml:space="preserve"> with the PTAB Bar Association (PTAB Bar Assoc.), a non-profit organization</w:t>
      </w:r>
      <w:r w:rsidRPr="4C607349" w:rsidR="05369F6C">
        <w:rPr>
          <w:rFonts w:ascii="Arial" w:hAnsi="Arial" w:cs="Arial"/>
          <w:sz w:val="24"/>
          <w:szCs w:val="24"/>
        </w:rPr>
        <w:t xml:space="preserve"> </w:t>
      </w:r>
      <w:r w:rsidRPr="4C607349" w:rsidR="20AB8AA9">
        <w:rPr>
          <w:rFonts w:ascii="Arial" w:hAnsi="Arial" w:cs="Arial"/>
          <w:sz w:val="24"/>
          <w:szCs w:val="24"/>
        </w:rPr>
        <w:t>focused on helping secure the just, speedy, and inexpensive resolution of every PTAB proceeding and serv</w:t>
      </w:r>
      <w:r w:rsidR="007E145B">
        <w:rPr>
          <w:rFonts w:ascii="Arial" w:hAnsi="Arial" w:cs="Arial"/>
          <w:sz w:val="24"/>
          <w:szCs w:val="24"/>
        </w:rPr>
        <w:t>es</w:t>
      </w:r>
      <w:r w:rsidRPr="4C607349" w:rsidR="20AB8AA9">
        <w:rPr>
          <w:rFonts w:ascii="Arial" w:hAnsi="Arial" w:cs="Arial"/>
          <w:sz w:val="24"/>
          <w:szCs w:val="24"/>
        </w:rPr>
        <w:t xml:space="preserve"> the public by </w:t>
      </w:r>
      <w:bookmarkStart w:id="0" w:name="_Hlk97757881"/>
      <w:r w:rsidRPr="4C607349" w:rsidR="20AB8AA9">
        <w:rPr>
          <w:rFonts w:ascii="Arial" w:hAnsi="Arial" w:cs="Arial"/>
          <w:sz w:val="24"/>
          <w:szCs w:val="24"/>
        </w:rPr>
        <w:t xml:space="preserve">coordinating </w:t>
      </w:r>
      <w:r w:rsidRPr="4C607349" w:rsidR="20AB8AA9">
        <w:rPr>
          <w:rFonts w:ascii="Arial" w:hAnsi="Arial" w:cs="Arial"/>
          <w:i/>
          <w:iCs/>
          <w:sz w:val="24"/>
          <w:szCs w:val="24"/>
        </w:rPr>
        <w:t>pro bono</w:t>
      </w:r>
      <w:r w:rsidRPr="4C607349" w:rsidR="20AB8AA9">
        <w:rPr>
          <w:rFonts w:ascii="Arial" w:hAnsi="Arial" w:cs="Arial"/>
          <w:sz w:val="24"/>
          <w:szCs w:val="24"/>
        </w:rPr>
        <w:t xml:space="preserve"> opportunities</w:t>
      </w:r>
      <w:r w:rsidR="001B6776">
        <w:rPr>
          <w:rFonts w:ascii="Arial" w:hAnsi="Arial" w:cs="Arial"/>
          <w:sz w:val="24"/>
          <w:szCs w:val="24"/>
        </w:rPr>
        <w:t>.</w:t>
      </w:r>
      <w:r w:rsidRPr="4C607349" w:rsidR="20AB8AA9">
        <w:rPr>
          <w:rFonts w:ascii="Arial" w:hAnsi="Arial" w:cs="Arial"/>
          <w:sz w:val="24"/>
          <w:szCs w:val="24"/>
        </w:rPr>
        <w:t xml:space="preserve"> </w:t>
      </w:r>
      <w:r w:rsidR="007E48B7">
        <w:rPr>
          <w:rFonts w:ascii="Arial" w:hAnsi="Arial" w:cs="Arial"/>
          <w:sz w:val="24"/>
          <w:szCs w:val="24"/>
        </w:rPr>
        <w:t xml:space="preserve">The PTAB and the </w:t>
      </w:r>
      <w:r w:rsidRPr="4C607349" w:rsidR="007E48B7">
        <w:rPr>
          <w:rFonts w:ascii="Arial" w:hAnsi="Arial" w:cs="Arial"/>
          <w:sz w:val="24"/>
          <w:szCs w:val="24"/>
        </w:rPr>
        <w:t xml:space="preserve">PTAB Bar Assoc. </w:t>
      </w:r>
      <w:r w:rsidRPr="4C607349" w:rsidR="20AB8AA9">
        <w:rPr>
          <w:rFonts w:ascii="Arial" w:hAnsi="Arial" w:cs="Arial"/>
          <w:sz w:val="24"/>
          <w:szCs w:val="24"/>
        </w:rPr>
        <w:t xml:space="preserve">established a national clearinghouse that acts as a matchmaker to connect </w:t>
      </w:r>
      <w:r w:rsidRPr="4C607349" w:rsidR="40C09213">
        <w:rPr>
          <w:rFonts w:ascii="Arial" w:hAnsi="Arial" w:cs="Arial"/>
          <w:sz w:val="24"/>
          <w:szCs w:val="24"/>
        </w:rPr>
        <w:t>under-resourced</w:t>
      </w:r>
      <w:r w:rsidRPr="4C607349" w:rsidR="20AB8AA9">
        <w:rPr>
          <w:rFonts w:ascii="Arial" w:hAnsi="Arial" w:cs="Arial"/>
          <w:sz w:val="24"/>
          <w:szCs w:val="24"/>
        </w:rPr>
        <w:t xml:space="preserve"> inventors with volunteer patent practitioners across the United States for assistance in preparing and arguing </w:t>
      </w:r>
      <w:r w:rsidRPr="4C607349" w:rsidR="20AB8AA9">
        <w:rPr>
          <w:rFonts w:ascii="Arial" w:hAnsi="Arial" w:cs="Arial"/>
          <w:i/>
          <w:iCs/>
          <w:sz w:val="24"/>
          <w:szCs w:val="24"/>
        </w:rPr>
        <w:t>ex parte</w:t>
      </w:r>
      <w:r w:rsidRPr="4C607349" w:rsidR="20AB8AA9">
        <w:rPr>
          <w:rFonts w:ascii="Arial" w:hAnsi="Arial" w:cs="Arial"/>
          <w:sz w:val="24"/>
          <w:szCs w:val="24"/>
        </w:rPr>
        <w:t xml:space="preserve"> appeals before the PTAB.</w:t>
      </w:r>
      <w:r w:rsidRPr="4C607349" w:rsidR="221EA74C">
        <w:rPr>
          <w:rFonts w:ascii="Arial" w:hAnsi="Arial" w:cs="Arial"/>
          <w:sz w:val="24"/>
          <w:szCs w:val="24"/>
        </w:rPr>
        <w:t xml:space="preserve"> The PTAB Bar Assoc.’s national clearinghouse </w:t>
      </w:r>
      <w:r w:rsidRPr="4C607349" w:rsidR="5CDD1C0D">
        <w:rPr>
          <w:rFonts w:ascii="Arial" w:hAnsi="Arial" w:cs="Arial"/>
          <w:sz w:val="24"/>
          <w:szCs w:val="24"/>
        </w:rPr>
        <w:t>provides</w:t>
      </w:r>
      <w:r w:rsidRPr="4C607349" w:rsidR="181BC72A">
        <w:rPr>
          <w:rFonts w:ascii="Arial" w:hAnsi="Arial" w:cs="Arial"/>
          <w:sz w:val="24"/>
          <w:szCs w:val="24"/>
        </w:rPr>
        <w:t xml:space="preserve"> nationwide</w:t>
      </w:r>
      <w:r w:rsidRPr="4C607349" w:rsidR="221EA74C">
        <w:rPr>
          <w:rFonts w:ascii="Arial" w:hAnsi="Arial" w:cs="Arial"/>
          <w:sz w:val="24"/>
          <w:szCs w:val="24"/>
        </w:rPr>
        <w:t xml:space="preserve"> access to </w:t>
      </w:r>
      <w:r w:rsidRPr="4C607349" w:rsidR="5CDD1C0D">
        <w:rPr>
          <w:rFonts w:ascii="Arial" w:hAnsi="Arial" w:cs="Arial"/>
          <w:sz w:val="24"/>
          <w:szCs w:val="24"/>
        </w:rPr>
        <w:t xml:space="preserve">legal representation for </w:t>
      </w:r>
      <w:r w:rsidRPr="4C607349" w:rsidR="221EA74C">
        <w:rPr>
          <w:rFonts w:ascii="Arial" w:hAnsi="Arial" w:cs="Arial"/>
          <w:i/>
          <w:iCs/>
          <w:sz w:val="24"/>
          <w:szCs w:val="24"/>
        </w:rPr>
        <w:t>pro bono ex parte</w:t>
      </w:r>
      <w:r w:rsidRPr="4C607349" w:rsidR="221EA74C">
        <w:rPr>
          <w:rFonts w:ascii="Arial" w:hAnsi="Arial" w:cs="Arial"/>
          <w:sz w:val="24"/>
          <w:szCs w:val="24"/>
        </w:rPr>
        <w:t xml:space="preserve"> appeal services. </w:t>
      </w:r>
      <w:bookmarkEnd w:id="0"/>
      <w:r w:rsidRPr="4C607349" w:rsidR="221EA74C">
        <w:rPr>
          <w:rFonts w:ascii="Arial" w:hAnsi="Arial" w:cs="Arial"/>
          <w:sz w:val="24"/>
          <w:szCs w:val="24"/>
        </w:rPr>
        <w:t>Th</w:t>
      </w:r>
      <w:r w:rsidRPr="4C607349" w:rsidR="15D3B42E">
        <w:rPr>
          <w:rFonts w:ascii="Arial" w:hAnsi="Arial" w:cs="Arial"/>
          <w:sz w:val="24"/>
          <w:szCs w:val="24"/>
        </w:rPr>
        <w:t>e</w:t>
      </w:r>
      <w:r w:rsidRPr="4C607349" w:rsidR="221EA74C">
        <w:rPr>
          <w:rFonts w:ascii="Arial" w:hAnsi="Arial" w:cs="Arial"/>
          <w:sz w:val="24"/>
          <w:szCs w:val="24"/>
        </w:rPr>
        <w:t xml:space="preserve"> PTAB Pro Bono Program supports the purposes described above b</w:t>
      </w:r>
      <w:r w:rsidRPr="4C607349" w:rsidR="20AB8AA9">
        <w:rPr>
          <w:rFonts w:ascii="Arial" w:hAnsi="Arial" w:cs="Arial"/>
          <w:sz w:val="24"/>
          <w:szCs w:val="24"/>
        </w:rPr>
        <w:t xml:space="preserve">y facilitating the availability of </w:t>
      </w:r>
      <w:r w:rsidRPr="4C607349" w:rsidR="20AB8AA9">
        <w:rPr>
          <w:rFonts w:ascii="Arial" w:hAnsi="Arial" w:cs="Arial"/>
          <w:i/>
          <w:iCs/>
          <w:sz w:val="24"/>
          <w:szCs w:val="24"/>
        </w:rPr>
        <w:t>pro bono</w:t>
      </w:r>
      <w:r w:rsidRPr="4C607349" w:rsidR="20AB8AA9">
        <w:rPr>
          <w:rFonts w:ascii="Arial" w:hAnsi="Arial" w:cs="Arial"/>
          <w:sz w:val="24"/>
          <w:szCs w:val="24"/>
        </w:rPr>
        <w:t xml:space="preserve"> services for proceedings before the PTAB, </w:t>
      </w:r>
      <w:r w:rsidRPr="4C607349" w:rsidR="26E4EE24">
        <w:rPr>
          <w:rFonts w:ascii="Arial" w:hAnsi="Arial" w:cs="Arial"/>
          <w:sz w:val="24"/>
          <w:szCs w:val="24"/>
        </w:rPr>
        <w:t>which</w:t>
      </w:r>
      <w:r w:rsidRPr="4C607349" w:rsidR="20AB8AA9">
        <w:rPr>
          <w:rFonts w:ascii="Arial" w:hAnsi="Arial" w:cs="Arial"/>
          <w:sz w:val="24"/>
          <w:szCs w:val="24"/>
        </w:rPr>
        <w:t xml:space="preserve"> </w:t>
      </w:r>
      <w:r w:rsidRPr="4C607349" w:rsidR="11872BF5">
        <w:rPr>
          <w:rFonts w:ascii="Arial" w:hAnsi="Arial" w:cs="Arial"/>
          <w:sz w:val="24"/>
          <w:szCs w:val="24"/>
        </w:rPr>
        <w:t xml:space="preserve">the </w:t>
      </w:r>
      <w:r w:rsidRPr="4C607349" w:rsidR="20AB8AA9">
        <w:rPr>
          <w:rFonts w:ascii="Arial" w:hAnsi="Arial" w:cs="Arial"/>
          <w:sz w:val="24"/>
          <w:szCs w:val="24"/>
        </w:rPr>
        <w:t xml:space="preserve">USPTO believes can help reduce the financial burden on under-resourced </w:t>
      </w:r>
      <w:r w:rsidRPr="4C607349" w:rsidR="40C09213">
        <w:rPr>
          <w:rFonts w:ascii="Arial" w:hAnsi="Arial" w:cs="Arial"/>
          <w:sz w:val="24"/>
          <w:szCs w:val="24"/>
        </w:rPr>
        <w:t>inventors</w:t>
      </w:r>
      <w:r w:rsidRPr="4C607349" w:rsidR="20AB8AA9">
        <w:rPr>
          <w:rFonts w:ascii="Arial" w:hAnsi="Arial" w:cs="Arial"/>
          <w:sz w:val="24"/>
          <w:szCs w:val="24"/>
        </w:rPr>
        <w:t xml:space="preserve"> seeking </w:t>
      </w:r>
      <w:r w:rsidRPr="4C607349" w:rsidR="11872BF5">
        <w:rPr>
          <w:rFonts w:ascii="Arial" w:hAnsi="Arial" w:cs="Arial"/>
          <w:i/>
          <w:iCs/>
          <w:sz w:val="24"/>
          <w:szCs w:val="24"/>
        </w:rPr>
        <w:t>ex parte</w:t>
      </w:r>
      <w:r w:rsidRPr="4C607349" w:rsidR="11872BF5">
        <w:rPr>
          <w:rFonts w:ascii="Arial" w:hAnsi="Arial" w:cs="Arial"/>
          <w:sz w:val="24"/>
          <w:szCs w:val="24"/>
        </w:rPr>
        <w:t xml:space="preserve"> appeal</w:t>
      </w:r>
      <w:r w:rsidRPr="4C607349" w:rsidR="20AB8AA9">
        <w:rPr>
          <w:rFonts w:ascii="Arial" w:hAnsi="Arial" w:cs="Arial"/>
          <w:sz w:val="24"/>
          <w:szCs w:val="24"/>
        </w:rPr>
        <w:t xml:space="preserve"> assistance</w:t>
      </w:r>
      <w:r w:rsidRPr="4C607349" w:rsidR="221EA74C">
        <w:rPr>
          <w:rFonts w:ascii="Arial" w:hAnsi="Arial" w:cs="Arial"/>
          <w:sz w:val="24"/>
          <w:szCs w:val="24"/>
        </w:rPr>
        <w:t>, especially those</w:t>
      </w:r>
      <w:r w:rsidRPr="4C607349" w:rsidR="20AB8AA9">
        <w:rPr>
          <w:rFonts w:ascii="Arial" w:hAnsi="Arial" w:cs="Arial"/>
          <w:sz w:val="24"/>
          <w:szCs w:val="24"/>
        </w:rPr>
        <w:t xml:space="preserve"> impacted by the pandemic.  </w:t>
      </w:r>
    </w:p>
    <w:p w:rsidR="003D39F3" w:rsidP="00F24612" w14:paraId="06CF1837" w14:textId="7C7F8E6D">
      <w:pPr>
        <w:jc w:val="both"/>
        <w:rPr>
          <w:rFonts w:ascii="Arial" w:hAnsi="Arial" w:cs="Arial"/>
          <w:sz w:val="24"/>
        </w:rPr>
      </w:pPr>
    </w:p>
    <w:p w:rsidR="00EC045A" w:rsidP="00EC045A" w14:paraId="17609334" w14:textId="405F0C43">
      <w:pPr>
        <w:jc w:val="both"/>
        <w:rPr>
          <w:rFonts w:ascii="Arial" w:hAnsi="Arial" w:cs="Arial"/>
          <w:sz w:val="24"/>
        </w:rPr>
      </w:pPr>
      <w:r>
        <w:rPr>
          <w:rFonts w:ascii="Arial" w:hAnsi="Arial" w:cs="Arial"/>
          <w:sz w:val="24"/>
        </w:rPr>
        <w:t xml:space="preserve">The information, at its </w:t>
      </w:r>
      <w:r w:rsidRPr="00F24612">
        <w:rPr>
          <w:rFonts w:ascii="Arial" w:hAnsi="Arial" w:cs="Arial"/>
          <w:sz w:val="24"/>
        </w:rPr>
        <w:t>highest</w:t>
      </w:r>
      <w:r>
        <w:rPr>
          <w:rFonts w:ascii="Arial" w:hAnsi="Arial" w:cs="Arial"/>
          <w:sz w:val="24"/>
        </w:rPr>
        <w:t xml:space="preserve"> level, allow</w:t>
      </w:r>
      <w:r w:rsidR="0083152D">
        <w:rPr>
          <w:rFonts w:ascii="Arial" w:hAnsi="Arial" w:cs="Arial"/>
          <w:sz w:val="24"/>
        </w:rPr>
        <w:t>s</w:t>
      </w:r>
      <w:r>
        <w:rPr>
          <w:rFonts w:ascii="Arial" w:hAnsi="Arial" w:cs="Arial"/>
          <w:sz w:val="24"/>
        </w:rPr>
        <w:t xml:space="preserve"> the USPTO to determine whether the </w:t>
      </w:r>
      <w:r w:rsidRPr="00F24612">
        <w:rPr>
          <w:rFonts w:ascii="Arial" w:hAnsi="Arial" w:cs="Arial"/>
          <w:sz w:val="24"/>
        </w:rPr>
        <w:t xml:space="preserve">regional hubs </w:t>
      </w:r>
      <w:r>
        <w:rPr>
          <w:rFonts w:ascii="Arial" w:hAnsi="Arial" w:cs="Arial"/>
          <w:sz w:val="24"/>
        </w:rPr>
        <w:t xml:space="preserve">and national clearinghouse </w:t>
      </w:r>
      <w:r w:rsidRPr="00F24612">
        <w:rPr>
          <w:rFonts w:ascii="Arial" w:hAnsi="Arial" w:cs="Arial"/>
          <w:sz w:val="24"/>
        </w:rPr>
        <w:t>are matching qua</w:t>
      </w:r>
      <w:r>
        <w:rPr>
          <w:rFonts w:ascii="Arial" w:hAnsi="Arial" w:cs="Arial"/>
          <w:sz w:val="24"/>
        </w:rPr>
        <w:t xml:space="preserve">lified </w:t>
      </w:r>
      <w:r w:rsidR="00510B30">
        <w:rPr>
          <w:rFonts w:ascii="Arial" w:hAnsi="Arial" w:cs="Arial"/>
          <w:sz w:val="24"/>
        </w:rPr>
        <w:t>under-resourced</w:t>
      </w:r>
      <w:r>
        <w:rPr>
          <w:rFonts w:ascii="Arial" w:hAnsi="Arial" w:cs="Arial"/>
          <w:sz w:val="24"/>
        </w:rPr>
        <w:t xml:space="preserve"> inventors with volunteer </w:t>
      </w:r>
      <w:r w:rsidRPr="00F24612">
        <w:rPr>
          <w:rFonts w:ascii="Arial" w:hAnsi="Arial" w:cs="Arial"/>
          <w:sz w:val="24"/>
        </w:rPr>
        <w:t xml:space="preserve">patent </w:t>
      </w:r>
      <w:r>
        <w:rPr>
          <w:rFonts w:ascii="Arial" w:hAnsi="Arial" w:cs="Arial"/>
          <w:sz w:val="24"/>
        </w:rPr>
        <w:t xml:space="preserve">practitioners and help estimate the </w:t>
      </w:r>
      <w:r w:rsidRPr="00F24612">
        <w:rPr>
          <w:rFonts w:ascii="Arial" w:hAnsi="Arial" w:cs="Arial"/>
          <w:sz w:val="24"/>
        </w:rPr>
        <w:t>total economic benefit derived by low</w:t>
      </w:r>
      <w:r>
        <w:rPr>
          <w:rFonts w:ascii="Arial" w:hAnsi="Arial" w:cs="Arial"/>
          <w:sz w:val="24"/>
        </w:rPr>
        <w:t xml:space="preserve">-income </w:t>
      </w:r>
      <w:r w:rsidRPr="00F24612">
        <w:rPr>
          <w:rFonts w:ascii="Arial" w:hAnsi="Arial" w:cs="Arial"/>
          <w:sz w:val="24"/>
        </w:rPr>
        <w:t>i</w:t>
      </w:r>
      <w:r>
        <w:rPr>
          <w:rFonts w:ascii="Arial" w:hAnsi="Arial" w:cs="Arial"/>
          <w:sz w:val="24"/>
        </w:rPr>
        <w:t xml:space="preserve">nventors in the form of donated </w:t>
      </w:r>
      <w:r w:rsidRPr="00F24612">
        <w:rPr>
          <w:rFonts w:ascii="Arial" w:hAnsi="Arial" w:cs="Arial"/>
          <w:sz w:val="24"/>
        </w:rPr>
        <w:t xml:space="preserve">legal </w:t>
      </w:r>
      <w:r>
        <w:rPr>
          <w:rFonts w:ascii="Arial" w:hAnsi="Arial" w:cs="Arial"/>
          <w:sz w:val="24"/>
        </w:rPr>
        <w:t>services.</w:t>
      </w:r>
      <w:r w:rsidR="00F14A68">
        <w:rPr>
          <w:rFonts w:ascii="Arial" w:hAnsi="Arial" w:cs="Arial"/>
          <w:sz w:val="24"/>
        </w:rPr>
        <w:t xml:space="preserve"> </w:t>
      </w:r>
      <w:r>
        <w:rPr>
          <w:rFonts w:ascii="Arial" w:hAnsi="Arial" w:cs="Arial"/>
          <w:sz w:val="24"/>
        </w:rPr>
        <w:t xml:space="preserve">This information also </w:t>
      </w:r>
      <w:r w:rsidRPr="00F24612">
        <w:rPr>
          <w:rFonts w:ascii="Arial" w:hAnsi="Arial" w:cs="Arial"/>
          <w:sz w:val="24"/>
        </w:rPr>
        <w:t xml:space="preserve">helps the USPTO determine </w:t>
      </w:r>
      <w:r>
        <w:rPr>
          <w:rFonts w:ascii="Arial" w:hAnsi="Arial" w:cs="Arial"/>
          <w:sz w:val="24"/>
        </w:rPr>
        <w:t xml:space="preserve">if </w:t>
      </w:r>
      <w:r w:rsidR="00D06736">
        <w:rPr>
          <w:rFonts w:ascii="Arial" w:hAnsi="Arial" w:cs="Arial"/>
          <w:sz w:val="24"/>
        </w:rPr>
        <w:t xml:space="preserve">the </w:t>
      </w:r>
      <w:r w:rsidRPr="00F24612">
        <w:rPr>
          <w:rFonts w:ascii="Arial" w:hAnsi="Arial" w:cs="Arial"/>
          <w:sz w:val="24"/>
        </w:rPr>
        <w:t>regional</w:t>
      </w:r>
      <w:r>
        <w:rPr>
          <w:rFonts w:ascii="Arial" w:hAnsi="Arial" w:cs="Arial"/>
          <w:sz w:val="24"/>
        </w:rPr>
        <w:t xml:space="preserve"> hubs and clearinghouse are effectively serving low-income inventors and </w:t>
      </w:r>
      <w:r w:rsidR="00D06736">
        <w:rPr>
          <w:rFonts w:ascii="Arial" w:hAnsi="Arial" w:cs="Arial"/>
          <w:sz w:val="24"/>
        </w:rPr>
        <w:t>whether they</w:t>
      </w:r>
      <w:r>
        <w:rPr>
          <w:rFonts w:ascii="Arial" w:hAnsi="Arial" w:cs="Arial"/>
          <w:sz w:val="24"/>
        </w:rPr>
        <w:t xml:space="preserve"> may need additional support.</w:t>
      </w:r>
    </w:p>
    <w:p w:rsidR="00DC2C8D" w:rsidP="00F24612" w14:paraId="2CF3A059" w14:textId="77777777">
      <w:pPr>
        <w:jc w:val="both"/>
        <w:rPr>
          <w:rFonts w:ascii="Arial" w:hAnsi="Arial" w:cs="Arial"/>
          <w:sz w:val="24"/>
        </w:rPr>
      </w:pPr>
    </w:p>
    <w:p w:rsidR="00B765A5" w:rsidP="00B765A5" w14:paraId="5AC4467B" w14:textId="29F41DDD">
      <w:pPr>
        <w:jc w:val="both"/>
        <w:rPr>
          <w:rFonts w:ascii="Arial" w:hAnsi="Arial" w:cs="Arial"/>
          <w:sz w:val="24"/>
        </w:rPr>
      </w:pPr>
      <w:r>
        <w:rPr>
          <w:rFonts w:ascii="Arial" w:hAnsi="Arial" w:cs="Arial"/>
          <w:sz w:val="24"/>
        </w:rPr>
        <w:t xml:space="preserve">Table 1 identifies the statutory and </w:t>
      </w:r>
      <w:r w:rsidR="007B5F94">
        <w:rPr>
          <w:rFonts w:ascii="Arial" w:hAnsi="Arial" w:cs="Arial"/>
          <w:sz w:val="24"/>
        </w:rPr>
        <w:t xml:space="preserve">regulatory </w:t>
      </w:r>
      <w:r w:rsidR="00875F28">
        <w:rPr>
          <w:rFonts w:ascii="Arial" w:hAnsi="Arial" w:cs="Arial"/>
          <w:sz w:val="24"/>
        </w:rPr>
        <w:t>authorities that allow for the</w:t>
      </w:r>
      <w:r w:rsidR="001C51D2">
        <w:rPr>
          <w:rFonts w:ascii="Arial" w:hAnsi="Arial" w:cs="Arial"/>
          <w:sz w:val="24"/>
        </w:rPr>
        <w:t xml:space="preserve"> </w:t>
      </w:r>
      <w:r>
        <w:rPr>
          <w:rFonts w:ascii="Arial" w:hAnsi="Arial" w:cs="Arial"/>
          <w:sz w:val="24"/>
        </w:rPr>
        <w:t xml:space="preserve">USPTO to </w:t>
      </w:r>
      <w:r w:rsidR="00E33A4A">
        <w:rPr>
          <w:rFonts w:ascii="Arial" w:hAnsi="Arial" w:cs="Arial"/>
          <w:sz w:val="24"/>
        </w:rPr>
        <w:t xml:space="preserve">support </w:t>
      </w:r>
      <w:r w:rsidR="00875F28">
        <w:rPr>
          <w:rFonts w:ascii="Arial" w:hAnsi="Arial" w:cs="Arial"/>
          <w:sz w:val="24"/>
        </w:rPr>
        <w:t>the Patent Pro Bono Program</w:t>
      </w:r>
      <w:r w:rsidR="000F1FA6">
        <w:rPr>
          <w:rFonts w:ascii="Arial" w:hAnsi="Arial" w:cs="Arial"/>
          <w:sz w:val="24"/>
        </w:rPr>
        <w:t xml:space="preserve"> and the PTAB Pro Bono Program</w:t>
      </w:r>
      <w:r w:rsidR="00B05C0D">
        <w:rPr>
          <w:rFonts w:ascii="Arial" w:hAnsi="Arial" w:cs="Arial"/>
          <w:sz w:val="24"/>
        </w:rPr>
        <w:t>.</w:t>
      </w:r>
      <w:r w:rsidR="001C51D2">
        <w:rPr>
          <w:rFonts w:ascii="Arial" w:hAnsi="Arial" w:cs="Arial"/>
          <w:sz w:val="24"/>
        </w:rPr>
        <w:t xml:space="preserve"> </w:t>
      </w:r>
      <w:r w:rsidR="00353CDA">
        <w:rPr>
          <w:rFonts w:ascii="Arial" w:hAnsi="Arial" w:cs="Arial"/>
          <w:sz w:val="24"/>
        </w:rPr>
        <w:t>T</w:t>
      </w:r>
      <w:r w:rsidR="00B05C0D">
        <w:rPr>
          <w:rFonts w:ascii="Arial" w:hAnsi="Arial" w:cs="Arial"/>
          <w:sz w:val="24"/>
        </w:rPr>
        <w:t xml:space="preserve">his proposed survey </w:t>
      </w:r>
      <w:r w:rsidR="0099229C">
        <w:rPr>
          <w:rFonts w:ascii="Arial" w:hAnsi="Arial" w:cs="Arial"/>
          <w:sz w:val="24"/>
        </w:rPr>
        <w:t>facilitates</w:t>
      </w:r>
      <w:r w:rsidR="00B05C0D">
        <w:rPr>
          <w:rFonts w:ascii="Arial" w:hAnsi="Arial" w:cs="Arial"/>
          <w:sz w:val="24"/>
        </w:rPr>
        <w:t xml:space="preserve"> USPTO</w:t>
      </w:r>
      <w:r w:rsidR="0099229C">
        <w:rPr>
          <w:rFonts w:ascii="Arial" w:hAnsi="Arial" w:cs="Arial"/>
          <w:sz w:val="24"/>
        </w:rPr>
        <w:t>’s</w:t>
      </w:r>
      <w:r w:rsidR="00B05C0D">
        <w:rPr>
          <w:rFonts w:ascii="Arial" w:hAnsi="Arial" w:cs="Arial"/>
          <w:sz w:val="24"/>
        </w:rPr>
        <w:t xml:space="preserve"> </w:t>
      </w:r>
      <w:r w:rsidR="0099229C">
        <w:rPr>
          <w:rFonts w:ascii="Arial" w:hAnsi="Arial" w:cs="Arial"/>
          <w:sz w:val="24"/>
        </w:rPr>
        <w:t>s</w:t>
      </w:r>
      <w:r w:rsidR="00B05C0D">
        <w:rPr>
          <w:rFonts w:ascii="Arial" w:hAnsi="Arial" w:cs="Arial"/>
          <w:sz w:val="24"/>
        </w:rPr>
        <w:t xml:space="preserve">upport and coordination </w:t>
      </w:r>
      <w:r w:rsidR="007B5F94">
        <w:rPr>
          <w:rFonts w:ascii="Arial" w:hAnsi="Arial" w:cs="Arial"/>
          <w:sz w:val="24"/>
        </w:rPr>
        <w:t xml:space="preserve">of </w:t>
      </w:r>
      <w:r w:rsidR="00E33A4A">
        <w:rPr>
          <w:rFonts w:ascii="Arial" w:hAnsi="Arial" w:cs="Arial"/>
          <w:sz w:val="24"/>
        </w:rPr>
        <w:t xml:space="preserve">the </w:t>
      </w:r>
      <w:r w:rsidR="007B5F94">
        <w:rPr>
          <w:rFonts w:ascii="Arial" w:hAnsi="Arial" w:cs="Arial"/>
          <w:sz w:val="24"/>
        </w:rPr>
        <w:t>regional</w:t>
      </w:r>
      <w:r w:rsidR="00B05C0D">
        <w:rPr>
          <w:rFonts w:ascii="Arial" w:hAnsi="Arial" w:cs="Arial"/>
          <w:sz w:val="24"/>
        </w:rPr>
        <w:t xml:space="preserve"> </w:t>
      </w:r>
      <w:r w:rsidR="007B5F94">
        <w:rPr>
          <w:rFonts w:ascii="Arial" w:hAnsi="Arial" w:cs="Arial"/>
          <w:sz w:val="24"/>
        </w:rPr>
        <w:t xml:space="preserve">patent </w:t>
      </w:r>
      <w:r w:rsidRPr="00D858ED" w:rsidR="007B5F94">
        <w:rPr>
          <w:rFonts w:ascii="Arial" w:hAnsi="Arial" w:cs="Arial"/>
          <w:i/>
          <w:iCs/>
          <w:sz w:val="24"/>
        </w:rPr>
        <w:t>pro bono</w:t>
      </w:r>
      <w:r w:rsidR="007B5F94">
        <w:rPr>
          <w:rFonts w:ascii="Arial" w:hAnsi="Arial" w:cs="Arial"/>
          <w:sz w:val="24"/>
        </w:rPr>
        <w:t xml:space="preserve"> </w:t>
      </w:r>
      <w:r w:rsidR="00E33A4A">
        <w:rPr>
          <w:rFonts w:ascii="Arial" w:hAnsi="Arial" w:cs="Arial"/>
          <w:sz w:val="24"/>
        </w:rPr>
        <w:t xml:space="preserve">hubs </w:t>
      </w:r>
      <w:r w:rsidR="000F1FA6">
        <w:rPr>
          <w:rFonts w:ascii="Arial" w:hAnsi="Arial" w:cs="Arial"/>
          <w:sz w:val="24"/>
        </w:rPr>
        <w:t xml:space="preserve">and the PTAB Bar Assoc.’s national clearinghouse </w:t>
      </w:r>
      <w:r w:rsidR="003417F0">
        <w:rPr>
          <w:rFonts w:ascii="Arial" w:hAnsi="Arial" w:cs="Arial"/>
          <w:sz w:val="24"/>
        </w:rPr>
        <w:t xml:space="preserve">and ensures </w:t>
      </w:r>
      <w:r w:rsidR="00B05C0D">
        <w:rPr>
          <w:rFonts w:ascii="Arial" w:hAnsi="Arial" w:cs="Arial"/>
          <w:sz w:val="24"/>
        </w:rPr>
        <w:t xml:space="preserve">that </w:t>
      </w:r>
      <w:r w:rsidR="00353CDA">
        <w:rPr>
          <w:rFonts w:ascii="Arial" w:hAnsi="Arial" w:cs="Arial"/>
          <w:sz w:val="24"/>
        </w:rPr>
        <w:t xml:space="preserve">the </w:t>
      </w:r>
      <w:r w:rsidR="0099229C">
        <w:rPr>
          <w:rFonts w:ascii="Arial" w:hAnsi="Arial" w:cs="Arial"/>
          <w:sz w:val="24"/>
        </w:rPr>
        <w:t>regional</w:t>
      </w:r>
      <w:r w:rsidR="007B5F94">
        <w:rPr>
          <w:rFonts w:ascii="Arial" w:hAnsi="Arial" w:cs="Arial"/>
          <w:sz w:val="24"/>
        </w:rPr>
        <w:t xml:space="preserve"> </w:t>
      </w:r>
      <w:r w:rsidR="00E33A4A">
        <w:rPr>
          <w:rFonts w:ascii="Arial" w:hAnsi="Arial" w:cs="Arial"/>
          <w:sz w:val="24"/>
        </w:rPr>
        <w:t>hub</w:t>
      </w:r>
      <w:r w:rsidR="00353CDA">
        <w:rPr>
          <w:rFonts w:ascii="Arial" w:hAnsi="Arial" w:cs="Arial"/>
          <w:sz w:val="24"/>
        </w:rPr>
        <w:t>s</w:t>
      </w:r>
      <w:r w:rsidR="00E33A4A">
        <w:rPr>
          <w:rFonts w:ascii="Arial" w:hAnsi="Arial" w:cs="Arial"/>
          <w:sz w:val="24"/>
        </w:rPr>
        <w:t xml:space="preserve"> </w:t>
      </w:r>
      <w:r w:rsidR="000F1FA6">
        <w:rPr>
          <w:rFonts w:ascii="Arial" w:hAnsi="Arial" w:cs="Arial"/>
          <w:sz w:val="24"/>
        </w:rPr>
        <w:t xml:space="preserve">and </w:t>
      </w:r>
      <w:r w:rsidR="009A0D4C">
        <w:rPr>
          <w:rFonts w:ascii="Arial" w:hAnsi="Arial" w:cs="Arial"/>
          <w:sz w:val="24"/>
        </w:rPr>
        <w:t xml:space="preserve">the </w:t>
      </w:r>
      <w:r w:rsidR="000F1FA6">
        <w:rPr>
          <w:rFonts w:ascii="Arial" w:hAnsi="Arial" w:cs="Arial"/>
          <w:sz w:val="24"/>
        </w:rPr>
        <w:t xml:space="preserve">national clearinghouse </w:t>
      </w:r>
      <w:r w:rsidR="007B5F94">
        <w:rPr>
          <w:rFonts w:ascii="Arial" w:hAnsi="Arial" w:cs="Arial"/>
          <w:sz w:val="24"/>
        </w:rPr>
        <w:t xml:space="preserve">is </w:t>
      </w:r>
      <w:r w:rsidR="0099229C">
        <w:rPr>
          <w:rFonts w:ascii="Arial" w:hAnsi="Arial" w:cs="Arial"/>
          <w:sz w:val="24"/>
        </w:rPr>
        <w:t>effective</w:t>
      </w:r>
      <w:r w:rsidR="003417F0">
        <w:rPr>
          <w:rFonts w:ascii="Arial" w:hAnsi="Arial" w:cs="Arial"/>
          <w:sz w:val="24"/>
        </w:rPr>
        <w:t>ly</w:t>
      </w:r>
      <w:r w:rsidR="007B5F94">
        <w:rPr>
          <w:rFonts w:ascii="Arial" w:hAnsi="Arial" w:cs="Arial"/>
          <w:sz w:val="24"/>
        </w:rPr>
        <w:t xml:space="preserve"> providing patent </w:t>
      </w:r>
      <w:r w:rsidRPr="00BD140B" w:rsidR="007B5F94">
        <w:rPr>
          <w:rFonts w:ascii="Arial" w:hAnsi="Arial" w:cs="Arial"/>
          <w:i/>
          <w:sz w:val="24"/>
        </w:rPr>
        <w:t>pro bono</w:t>
      </w:r>
      <w:r w:rsidR="007B5F94">
        <w:rPr>
          <w:rFonts w:ascii="Arial" w:hAnsi="Arial" w:cs="Arial"/>
          <w:sz w:val="24"/>
        </w:rPr>
        <w:t xml:space="preserve"> services</w:t>
      </w:r>
      <w:r w:rsidR="0099229C">
        <w:rPr>
          <w:rFonts w:ascii="Arial" w:hAnsi="Arial" w:cs="Arial"/>
          <w:sz w:val="24"/>
        </w:rPr>
        <w:t xml:space="preserve"> </w:t>
      </w:r>
      <w:r w:rsidR="000F1FA6">
        <w:rPr>
          <w:rFonts w:ascii="Arial" w:hAnsi="Arial" w:cs="Arial"/>
          <w:sz w:val="24"/>
        </w:rPr>
        <w:t xml:space="preserve">and </w:t>
      </w:r>
      <w:r w:rsidR="00192478">
        <w:rPr>
          <w:rFonts w:ascii="Arial" w:hAnsi="Arial" w:cs="Arial"/>
          <w:sz w:val="24"/>
        </w:rPr>
        <w:t xml:space="preserve">PTAB </w:t>
      </w:r>
      <w:r w:rsidRPr="00BD140B" w:rsidR="000F1FA6">
        <w:rPr>
          <w:rFonts w:ascii="Arial" w:hAnsi="Arial" w:cs="Arial"/>
          <w:i/>
          <w:sz w:val="24"/>
        </w:rPr>
        <w:t>pro bo</w:t>
      </w:r>
      <w:r w:rsidRPr="00BD140B" w:rsidR="009A0D4C">
        <w:rPr>
          <w:rFonts w:ascii="Arial" w:hAnsi="Arial" w:cs="Arial"/>
          <w:i/>
          <w:sz w:val="24"/>
        </w:rPr>
        <w:t>no</w:t>
      </w:r>
      <w:r w:rsidR="000F1FA6">
        <w:rPr>
          <w:rFonts w:ascii="Arial" w:hAnsi="Arial" w:cs="Arial"/>
          <w:sz w:val="24"/>
        </w:rPr>
        <w:t xml:space="preserve"> appeal services </w:t>
      </w:r>
      <w:r w:rsidR="0099229C">
        <w:rPr>
          <w:rFonts w:ascii="Arial" w:hAnsi="Arial" w:cs="Arial"/>
          <w:sz w:val="24"/>
        </w:rPr>
        <w:t xml:space="preserve">to its </w:t>
      </w:r>
      <w:r w:rsidR="00226401">
        <w:rPr>
          <w:rFonts w:ascii="Arial" w:hAnsi="Arial" w:cs="Arial"/>
          <w:sz w:val="24"/>
        </w:rPr>
        <w:t>constituents</w:t>
      </w:r>
      <w:r w:rsidR="00B05C0D">
        <w:rPr>
          <w:rFonts w:ascii="Arial" w:hAnsi="Arial" w:cs="Arial"/>
          <w:sz w:val="24"/>
        </w:rPr>
        <w:t>.</w:t>
      </w:r>
      <w:r w:rsidR="00BB5BEF">
        <w:rPr>
          <w:rFonts w:ascii="Arial" w:hAnsi="Arial" w:cs="Arial"/>
          <w:sz w:val="24"/>
        </w:rPr>
        <w:t xml:space="preserve"> </w:t>
      </w:r>
      <w:r w:rsidR="00B05C0D">
        <w:rPr>
          <w:rFonts w:ascii="Arial" w:hAnsi="Arial" w:cs="Arial"/>
          <w:sz w:val="24"/>
        </w:rPr>
        <w:t>The survey</w:t>
      </w:r>
      <w:r w:rsidR="000F1FA6">
        <w:rPr>
          <w:rFonts w:ascii="Arial" w:hAnsi="Arial" w:cs="Arial"/>
          <w:sz w:val="24"/>
        </w:rPr>
        <w:t>s</w:t>
      </w:r>
      <w:r w:rsidR="00B05C0D">
        <w:rPr>
          <w:rFonts w:ascii="Arial" w:hAnsi="Arial" w:cs="Arial"/>
          <w:sz w:val="24"/>
        </w:rPr>
        <w:t xml:space="preserve"> </w:t>
      </w:r>
      <w:r w:rsidR="007B5F94">
        <w:rPr>
          <w:rFonts w:ascii="Arial" w:hAnsi="Arial" w:cs="Arial"/>
          <w:sz w:val="24"/>
        </w:rPr>
        <w:t xml:space="preserve">also </w:t>
      </w:r>
      <w:r w:rsidR="00875F28">
        <w:rPr>
          <w:rFonts w:ascii="Arial" w:hAnsi="Arial" w:cs="Arial"/>
          <w:sz w:val="24"/>
        </w:rPr>
        <w:t>help validate USPTO</w:t>
      </w:r>
      <w:r w:rsidR="00B05C0D">
        <w:rPr>
          <w:rFonts w:ascii="Arial" w:hAnsi="Arial" w:cs="Arial"/>
          <w:sz w:val="24"/>
        </w:rPr>
        <w:t xml:space="preserve"> </w:t>
      </w:r>
      <w:r w:rsidR="00875F28">
        <w:rPr>
          <w:rFonts w:ascii="Arial" w:hAnsi="Arial" w:cs="Arial"/>
          <w:sz w:val="24"/>
        </w:rPr>
        <w:t>funding allocations to</w:t>
      </w:r>
      <w:r w:rsidR="00B05C0D">
        <w:rPr>
          <w:rFonts w:ascii="Arial" w:hAnsi="Arial" w:cs="Arial"/>
          <w:sz w:val="24"/>
        </w:rPr>
        <w:t xml:space="preserve"> certain </w:t>
      </w:r>
      <w:r w:rsidR="00993FC6">
        <w:rPr>
          <w:rFonts w:ascii="Arial" w:hAnsi="Arial" w:cs="Arial"/>
          <w:sz w:val="24"/>
        </w:rPr>
        <w:t>regional hubs</w:t>
      </w:r>
      <w:r w:rsidR="00B05C0D">
        <w:rPr>
          <w:rFonts w:ascii="Arial" w:hAnsi="Arial" w:cs="Arial"/>
          <w:sz w:val="24"/>
        </w:rPr>
        <w:t xml:space="preserve"> </w:t>
      </w:r>
      <w:r w:rsidR="00875F28">
        <w:rPr>
          <w:rFonts w:ascii="Arial" w:hAnsi="Arial" w:cs="Arial"/>
          <w:sz w:val="24"/>
        </w:rPr>
        <w:t>via</w:t>
      </w:r>
      <w:r w:rsidR="00B05C0D">
        <w:rPr>
          <w:rFonts w:ascii="Arial" w:hAnsi="Arial" w:cs="Arial"/>
          <w:sz w:val="24"/>
        </w:rPr>
        <w:t xml:space="preserve"> established M</w:t>
      </w:r>
      <w:r w:rsidR="00875F28">
        <w:rPr>
          <w:rFonts w:ascii="Arial" w:hAnsi="Arial" w:cs="Arial"/>
          <w:sz w:val="24"/>
        </w:rPr>
        <w:t>emoranda of Agreement (MOA)</w:t>
      </w:r>
      <w:r w:rsidR="009A0D4C">
        <w:rPr>
          <w:rFonts w:ascii="Arial" w:hAnsi="Arial" w:cs="Arial"/>
          <w:sz w:val="24"/>
        </w:rPr>
        <w:t xml:space="preserve"> and </w:t>
      </w:r>
      <w:r w:rsidR="009E29E1">
        <w:rPr>
          <w:rFonts w:ascii="Arial" w:hAnsi="Arial" w:cs="Arial"/>
          <w:sz w:val="24"/>
        </w:rPr>
        <w:t xml:space="preserve">administration </w:t>
      </w:r>
      <w:r w:rsidR="009A0D4C">
        <w:rPr>
          <w:rFonts w:ascii="Arial" w:hAnsi="Arial" w:cs="Arial"/>
          <w:sz w:val="24"/>
        </w:rPr>
        <w:t xml:space="preserve">performance of the national clearinghouse under their </w:t>
      </w:r>
      <w:r w:rsidR="00192478">
        <w:rPr>
          <w:rFonts w:ascii="Arial" w:hAnsi="Arial" w:cs="Arial"/>
          <w:sz w:val="24"/>
        </w:rPr>
        <w:t>Memorandum of Understanding (</w:t>
      </w:r>
      <w:r w:rsidR="009A0D4C">
        <w:rPr>
          <w:rFonts w:ascii="Arial" w:hAnsi="Arial" w:cs="Arial"/>
          <w:sz w:val="24"/>
        </w:rPr>
        <w:t>MOU</w:t>
      </w:r>
      <w:r w:rsidR="00192478">
        <w:rPr>
          <w:rFonts w:ascii="Arial" w:hAnsi="Arial" w:cs="Arial"/>
          <w:sz w:val="24"/>
        </w:rPr>
        <w:t>)</w:t>
      </w:r>
      <w:r w:rsidR="009A0D4C">
        <w:rPr>
          <w:rFonts w:ascii="Arial" w:hAnsi="Arial" w:cs="Arial"/>
          <w:sz w:val="24"/>
        </w:rPr>
        <w:t xml:space="preserve"> with the USPTO</w:t>
      </w:r>
      <w:r w:rsidR="00B05C0D">
        <w:rPr>
          <w:rFonts w:ascii="Arial" w:hAnsi="Arial" w:cs="Arial"/>
          <w:sz w:val="24"/>
        </w:rPr>
        <w:t>.</w:t>
      </w:r>
      <w:r w:rsidR="001C51D2">
        <w:rPr>
          <w:rFonts w:ascii="Arial" w:hAnsi="Arial" w:cs="Arial"/>
          <w:sz w:val="24"/>
        </w:rPr>
        <w:t xml:space="preserve"> </w:t>
      </w:r>
      <w:r w:rsidR="00B05C0D">
        <w:rPr>
          <w:rFonts w:ascii="Arial" w:hAnsi="Arial" w:cs="Arial"/>
          <w:sz w:val="24"/>
        </w:rPr>
        <w:t xml:space="preserve"> </w:t>
      </w:r>
      <w:r>
        <w:rPr>
          <w:rFonts w:ascii="Arial" w:hAnsi="Arial" w:cs="Arial"/>
          <w:sz w:val="24"/>
        </w:rPr>
        <w:t xml:space="preserve"> </w:t>
      </w:r>
    </w:p>
    <w:p w:rsidR="00B765A5" w:rsidP="00B765A5" w14:paraId="36D0C762" w14:textId="77777777">
      <w:pPr>
        <w:jc w:val="both"/>
        <w:rPr>
          <w:rFonts w:ascii="Arial" w:hAnsi="Arial" w:cs="Arial"/>
          <w:sz w:val="24"/>
        </w:rPr>
      </w:pPr>
    </w:p>
    <w:p w:rsidR="00B765A5" w:rsidRPr="00B84628" w:rsidP="00B765A5" w14:paraId="027DC742" w14:textId="39227640">
      <w:pPr>
        <w:pStyle w:val="BodyText"/>
      </w:pPr>
      <w:r w:rsidRPr="00B84628">
        <w:t>Table 1:</w:t>
      </w:r>
      <w:r w:rsidRPr="00B84628" w:rsidR="001C51D2">
        <w:t xml:space="preserve"> </w:t>
      </w:r>
      <w:r w:rsidRPr="00B84628" w:rsidR="00B84628">
        <w:t>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140"/>
        <w:gridCol w:w="2160"/>
        <w:gridCol w:w="2160"/>
      </w:tblGrid>
      <w:tr w14:paraId="70CD86C6" w14:textId="77777777" w:rsidTr="4C60734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60"/>
        </w:trPr>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4FF1" w:rsidP="0008546F" w14:paraId="2E51DB7C" w14:textId="77777777">
            <w:pPr>
              <w:tabs>
                <w:tab w:val="left" w:pos="720"/>
              </w:tabs>
              <w:jc w:val="center"/>
              <w:rPr>
                <w:rFonts w:ascii="Arial" w:hAnsi="Arial"/>
                <w:b/>
                <w:sz w:val="16"/>
              </w:rPr>
            </w:pPr>
          </w:p>
          <w:p w:rsidR="008D4FF1" w:rsidP="008D4FF1" w14:paraId="155DF9D8" w14:textId="33423603">
            <w:pPr>
              <w:tabs>
                <w:tab w:val="left" w:pos="720"/>
              </w:tabs>
              <w:jc w:val="center"/>
              <w:rPr>
                <w:rFonts w:ascii="Arial" w:hAnsi="Arial"/>
                <w:b/>
                <w:sz w:val="16"/>
              </w:rPr>
            </w:pPr>
            <w:r>
              <w:rPr>
                <w:rFonts w:ascii="Arial" w:hAnsi="Arial"/>
                <w:b/>
                <w:sz w:val="16"/>
              </w:rPr>
              <w:t>Item No.</w:t>
            </w:r>
          </w:p>
          <w:p w:rsidR="008D4FF1" w:rsidP="008D4FF1" w14:paraId="51469D1F" w14:textId="77777777">
            <w:pPr>
              <w:tabs>
                <w:tab w:val="left" w:pos="720"/>
              </w:tabs>
              <w:jc w:val="center"/>
              <w:rPr>
                <w:rFonts w:ascii="Arial" w:hAnsi="Arial"/>
                <w:b/>
                <w:sz w:val="16"/>
              </w:rPr>
            </w:pPr>
          </w:p>
        </w:tc>
        <w:tc>
          <w:tcPr>
            <w:tcW w:w="414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4FF1" w:rsidP="0008546F" w14:paraId="1D069D4F" w14:textId="77777777">
            <w:pPr>
              <w:tabs>
                <w:tab w:val="left" w:pos="720"/>
              </w:tabs>
              <w:jc w:val="center"/>
              <w:rPr>
                <w:rFonts w:ascii="Arial" w:hAnsi="Arial"/>
                <w:b/>
                <w:sz w:val="16"/>
              </w:rPr>
            </w:pPr>
          </w:p>
          <w:p w:rsidR="008D4FF1" w:rsidP="0008546F" w14:paraId="21CD9A85" w14:textId="77777777">
            <w:pPr>
              <w:pStyle w:val="Heading9"/>
              <w:rPr>
                <w:sz w:val="16"/>
              </w:rPr>
            </w:pPr>
            <w:r>
              <w:rPr>
                <w:sz w:val="16"/>
              </w:rPr>
              <w:t>Description</w:t>
            </w:r>
          </w:p>
          <w:p w:rsidR="008D4FF1" w:rsidRPr="009F0F73" w:rsidP="009F0F73" w14:paraId="67ADAA58" w14:textId="77777777"/>
        </w:tc>
        <w:tc>
          <w:tcPr>
            <w:tcW w:w="21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4FF1" w:rsidP="0008546F" w14:paraId="0C6CDD7F" w14:textId="77777777">
            <w:pPr>
              <w:tabs>
                <w:tab w:val="left" w:pos="720"/>
              </w:tabs>
              <w:jc w:val="center"/>
              <w:rPr>
                <w:rFonts w:ascii="Arial" w:hAnsi="Arial"/>
                <w:b/>
                <w:sz w:val="16"/>
              </w:rPr>
            </w:pPr>
          </w:p>
          <w:p w:rsidR="008D4FF1" w:rsidP="0008546F" w14:paraId="4779F75A" w14:textId="77777777">
            <w:pPr>
              <w:jc w:val="center"/>
              <w:rPr>
                <w:rFonts w:ascii="Arial" w:hAnsi="Arial"/>
                <w:b/>
                <w:sz w:val="16"/>
              </w:rPr>
            </w:pPr>
            <w:r>
              <w:rPr>
                <w:rFonts w:ascii="Arial" w:hAnsi="Arial"/>
                <w:b/>
                <w:sz w:val="16"/>
              </w:rPr>
              <w:t>Statute</w:t>
            </w:r>
          </w:p>
        </w:tc>
        <w:tc>
          <w:tcPr>
            <w:tcW w:w="21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4FF1" w:rsidP="0008546F" w14:paraId="2D130399" w14:textId="77777777">
            <w:pPr>
              <w:tabs>
                <w:tab w:val="left" w:pos="720"/>
              </w:tabs>
              <w:jc w:val="center"/>
              <w:rPr>
                <w:rFonts w:ascii="Arial" w:hAnsi="Arial"/>
                <w:b/>
                <w:sz w:val="16"/>
              </w:rPr>
            </w:pPr>
          </w:p>
          <w:p w:rsidR="00526937" w:rsidRPr="00DC24AC" w:rsidP="00DC24AC" w14:paraId="395D30CC" w14:textId="27E1FCFF">
            <w:pPr>
              <w:jc w:val="center"/>
              <w:rPr>
                <w:rFonts w:ascii="Arial" w:hAnsi="Arial"/>
                <w:b/>
                <w:sz w:val="16"/>
              </w:rPr>
            </w:pPr>
            <w:r>
              <w:rPr>
                <w:rFonts w:ascii="Arial" w:hAnsi="Arial"/>
                <w:b/>
                <w:sz w:val="16"/>
              </w:rPr>
              <w:t>Other</w:t>
            </w:r>
            <w:r w:rsidR="00DC24AC">
              <w:rPr>
                <w:rFonts w:ascii="Arial" w:hAnsi="Arial"/>
                <w:b/>
                <w:sz w:val="16"/>
              </w:rPr>
              <w:t xml:space="preserve"> Authority</w:t>
            </w:r>
          </w:p>
          <w:p w:rsidR="008D4FF1" w:rsidRPr="000718D1" w:rsidP="000718D1" w14:paraId="6DDC6E0B" w14:textId="597A06A1">
            <w:pPr>
              <w:rPr>
                <w:rFonts w:ascii="Arial" w:hAnsi="Arial"/>
                <w:sz w:val="16"/>
              </w:rPr>
            </w:pPr>
          </w:p>
        </w:tc>
      </w:tr>
      <w:tr w14:paraId="68F979BE" w14:textId="77777777" w:rsidTr="00D858ED">
        <w:tblPrEx>
          <w:tblW w:w="9360" w:type="dxa"/>
          <w:tblInd w:w="108" w:type="dxa"/>
          <w:tblLayout w:type="fixed"/>
          <w:tblLook w:val="0000"/>
        </w:tblPrEx>
        <w:trPr>
          <w:cantSplit/>
          <w:trHeight w:val="809"/>
        </w:trPr>
        <w:tc>
          <w:tcPr>
            <w:tcW w:w="900" w:type="dxa"/>
          </w:tcPr>
          <w:p w:rsidR="008D4FF1" w:rsidP="0008546F" w14:paraId="17B85590" w14:textId="77777777">
            <w:pPr>
              <w:rPr>
                <w:rFonts w:ascii="Arial" w:hAnsi="Arial"/>
                <w:sz w:val="16"/>
              </w:rPr>
            </w:pPr>
          </w:p>
          <w:p w:rsidR="008D4FF1" w:rsidRPr="008D4FF1" w:rsidP="008D4FF1" w14:paraId="15B74411" w14:textId="152A725E">
            <w:pPr>
              <w:jc w:val="center"/>
              <w:rPr>
                <w:rFonts w:ascii="Arial" w:hAnsi="Arial"/>
                <w:b/>
                <w:sz w:val="16"/>
              </w:rPr>
            </w:pPr>
            <w:r w:rsidRPr="008D4FF1">
              <w:rPr>
                <w:rFonts w:ascii="Arial" w:hAnsi="Arial"/>
                <w:b/>
                <w:sz w:val="16"/>
              </w:rPr>
              <w:t>1</w:t>
            </w:r>
          </w:p>
          <w:p w:rsidR="008D4FF1" w:rsidP="0008546F" w14:paraId="32BAEFFB" w14:textId="77777777">
            <w:pPr>
              <w:rPr>
                <w:rFonts w:ascii="Arial" w:hAnsi="Arial"/>
                <w:sz w:val="16"/>
              </w:rPr>
            </w:pPr>
          </w:p>
        </w:tc>
        <w:tc>
          <w:tcPr>
            <w:tcW w:w="4140" w:type="dxa"/>
          </w:tcPr>
          <w:p w:rsidR="008D4FF1" w:rsidP="0008546F" w14:paraId="489545AD" w14:textId="77777777">
            <w:pPr>
              <w:rPr>
                <w:rFonts w:ascii="Arial" w:hAnsi="Arial"/>
                <w:sz w:val="16"/>
              </w:rPr>
            </w:pPr>
          </w:p>
          <w:p w:rsidR="008D4FF1" w:rsidP="00875F28" w14:paraId="219EE15B" w14:textId="187233C7">
            <w:pPr>
              <w:rPr>
                <w:rFonts w:ascii="Arial" w:hAnsi="Arial"/>
                <w:sz w:val="16"/>
              </w:rPr>
            </w:pPr>
            <w:r>
              <w:rPr>
                <w:rFonts w:ascii="Arial" w:hAnsi="Arial"/>
                <w:sz w:val="16"/>
              </w:rPr>
              <w:t>Patent Pro Bono</w:t>
            </w:r>
            <w:r w:rsidR="00552C30">
              <w:rPr>
                <w:rFonts w:ascii="Arial" w:hAnsi="Arial"/>
                <w:sz w:val="16"/>
              </w:rPr>
              <w:t xml:space="preserve"> Survey</w:t>
            </w:r>
          </w:p>
        </w:tc>
        <w:tc>
          <w:tcPr>
            <w:tcW w:w="2160" w:type="dxa"/>
          </w:tcPr>
          <w:p w:rsidR="008D4FF1" w:rsidRPr="009B43BB" w:rsidP="0008546F" w14:paraId="67381BED" w14:textId="77777777">
            <w:pPr>
              <w:jc w:val="center"/>
              <w:rPr>
                <w:rFonts w:ascii="Arial" w:hAnsi="Arial"/>
                <w:sz w:val="16"/>
              </w:rPr>
            </w:pPr>
          </w:p>
          <w:p w:rsidR="008D4FF1" w:rsidRPr="009B43BB" w:rsidP="4C607349" w14:paraId="6E9431F4" w14:textId="70391289">
            <w:pPr>
              <w:jc w:val="center"/>
              <w:rPr>
                <w:rFonts w:ascii="Arial" w:hAnsi="Arial"/>
                <w:sz w:val="16"/>
                <w:szCs w:val="16"/>
              </w:rPr>
            </w:pPr>
            <w:r w:rsidRPr="4C607349">
              <w:rPr>
                <w:rFonts w:ascii="Arial" w:hAnsi="Arial"/>
                <w:sz w:val="16"/>
                <w:szCs w:val="16"/>
              </w:rPr>
              <w:t xml:space="preserve">Pub. L. No. 112-29 </w:t>
            </w:r>
            <w:r w:rsidRPr="4C607349">
              <w:rPr>
                <w:rFonts w:ascii="Arial" w:hAnsi="Arial" w:cs="Arial"/>
                <w:sz w:val="16"/>
                <w:szCs w:val="16"/>
              </w:rPr>
              <w:t>§</w:t>
            </w:r>
            <w:r w:rsidRPr="4C607349">
              <w:rPr>
                <w:rFonts w:ascii="Arial" w:hAnsi="Arial"/>
                <w:sz w:val="16"/>
                <w:szCs w:val="16"/>
              </w:rPr>
              <w:t xml:space="preserve"> 32</w:t>
            </w:r>
            <w:r w:rsidRPr="4C607349" w:rsidR="556E56DA">
              <w:rPr>
                <w:rFonts w:ascii="Arial" w:hAnsi="Arial"/>
                <w:sz w:val="16"/>
                <w:szCs w:val="16"/>
              </w:rPr>
              <w:t xml:space="preserve">; 35 U.S.C. </w:t>
            </w:r>
            <w:r w:rsidRPr="4C607349" w:rsidR="556E56DA">
              <w:rPr>
                <w:rFonts w:ascii="Arial" w:hAnsi="Arial" w:cs="Arial"/>
                <w:sz w:val="16"/>
                <w:szCs w:val="16"/>
              </w:rPr>
              <w:t>§</w:t>
            </w:r>
            <w:r w:rsidRPr="4C607349" w:rsidR="556E56DA">
              <w:rPr>
                <w:rFonts w:ascii="Arial" w:hAnsi="Arial"/>
                <w:sz w:val="16"/>
                <w:szCs w:val="16"/>
              </w:rPr>
              <w:t xml:space="preserve"> 2(b)(11)</w:t>
            </w:r>
            <w:r w:rsidRPr="4C607349" w:rsidR="00BEBA70">
              <w:rPr>
                <w:rFonts w:ascii="Arial" w:hAnsi="Arial"/>
                <w:sz w:val="16"/>
                <w:szCs w:val="16"/>
              </w:rPr>
              <w:t xml:space="preserve">; </w:t>
            </w:r>
            <w:r w:rsidRPr="4C607349" w:rsidR="768457FC">
              <w:rPr>
                <w:rFonts w:ascii="Arial" w:hAnsi="Arial"/>
                <w:sz w:val="16"/>
                <w:szCs w:val="16"/>
              </w:rPr>
              <w:t xml:space="preserve"> </w:t>
            </w:r>
          </w:p>
        </w:tc>
        <w:tc>
          <w:tcPr>
            <w:tcW w:w="2160" w:type="dxa"/>
          </w:tcPr>
          <w:p w:rsidR="008D4FF1" w:rsidRPr="009B43BB" w:rsidP="0008546F" w14:paraId="464D5C32" w14:textId="77777777">
            <w:pPr>
              <w:jc w:val="center"/>
              <w:rPr>
                <w:rFonts w:ascii="Arial" w:hAnsi="Arial"/>
                <w:sz w:val="16"/>
              </w:rPr>
            </w:pPr>
          </w:p>
          <w:p w:rsidR="00526937" w:rsidRPr="00526937" w:rsidP="00D858ED" w14:paraId="0C9B8C29" w14:textId="3E29115B">
            <w:pPr>
              <w:jc w:val="center"/>
              <w:rPr>
                <w:rFonts w:ascii="Arial" w:hAnsi="Arial"/>
                <w:sz w:val="16"/>
              </w:rPr>
            </w:pPr>
            <w:r>
              <w:rPr>
                <w:rFonts w:ascii="Arial" w:hAnsi="Arial"/>
                <w:sz w:val="16"/>
              </w:rPr>
              <w:t>White House Executive Action dated 20 February 2014</w:t>
            </w:r>
          </w:p>
          <w:p w:rsidR="008D4FF1" w:rsidRPr="00526937" w:rsidP="000718D1" w14:paraId="1EF35E63" w14:textId="71776646">
            <w:pPr>
              <w:rPr>
                <w:rFonts w:ascii="Arial" w:hAnsi="Arial"/>
                <w:sz w:val="16"/>
              </w:rPr>
            </w:pPr>
          </w:p>
        </w:tc>
      </w:tr>
      <w:tr w14:paraId="3B21613B" w14:textId="77777777" w:rsidTr="00D858ED">
        <w:tblPrEx>
          <w:tblW w:w="9360" w:type="dxa"/>
          <w:tblInd w:w="108" w:type="dxa"/>
          <w:tblLayout w:type="fixed"/>
          <w:tblLook w:val="0000"/>
        </w:tblPrEx>
        <w:trPr>
          <w:cantSplit/>
          <w:trHeight w:val="872"/>
        </w:trPr>
        <w:tc>
          <w:tcPr>
            <w:tcW w:w="900" w:type="dxa"/>
          </w:tcPr>
          <w:p w:rsidR="003C5B7E" w14:paraId="6634C0B7" w14:textId="77777777">
            <w:pPr>
              <w:jc w:val="center"/>
              <w:rPr>
                <w:rFonts w:ascii="Arial" w:hAnsi="Arial"/>
                <w:b/>
                <w:sz w:val="16"/>
              </w:rPr>
            </w:pPr>
          </w:p>
          <w:p w:rsidR="000F1FA6" w:rsidRPr="00BD140B" w:rsidP="00BD140B" w14:paraId="3E74E35A" w14:textId="488B966B">
            <w:pPr>
              <w:jc w:val="center"/>
              <w:rPr>
                <w:rFonts w:ascii="Arial" w:hAnsi="Arial"/>
                <w:b/>
                <w:sz w:val="16"/>
              </w:rPr>
            </w:pPr>
            <w:r>
              <w:rPr>
                <w:rFonts w:ascii="Arial" w:hAnsi="Arial"/>
                <w:b/>
                <w:sz w:val="16"/>
              </w:rPr>
              <w:t>2</w:t>
            </w:r>
          </w:p>
        </w:tc>
        <w:tc>
          <w:tcPr>
            <w:tcW w:w="4140" w:type="dxa"/>
          </w:tcPr>
          <w:p w:rsidR="003C5B7E" w:rsidP="0008546F" w14:paraId="68A1B769" w14:textId="77777777">
            <w:pPr>
              <w:rPr>
                <w:rFonts w:ascii="Arial" w:hAnsi="Arial"/>
                <w:sz w:val="16"/>
              </w:rPr>
            </w:pPr>
          </w:p>
          <w:p w:rsidR="000F1FA6" w:rsidP="0008546F" w14:paraId="2542D721" w14:textId="2E164FDA">
            <w:pPr>
              <w:rPr>
                <w:rFonts w:ascii="Arial" w:hAnsi="Arial"/>
                <w:sz w:val="16"/>
              </w:rPr>
            </w:pPr>
            <w:r>
              <w:rPr>
                <w:rFonts w:ascii="Arial" w:hAnsi="Arial"/>
                <w:sz w:val="16"/>
              </w:rPr>
              <w:t>PTAB</w:t>
            </w:r>
            <w:r w:rsidR="009A0D4C">
              <w:rPr>
                <w:rFonts w:ascii="Arial" w:hAnsi="Arial"/>
                <w:sz w:val="16"/>
              </w:rPr>
              <w:t xml:space="preserve"> Pro Bono </w:t>
            </w:r>
            <w:r w:rsidR="00427926">
              <w:rPr>
                <w:rFonts w:ascii="Arial" w:hAnsi="Arial"/>
                <w:sz w:val="16"/>
              </w:rPr>
              <w:t>Survey</w:t>
            </w:r>
          </w:p>
        </w:tc>
        <w:tc>
          <w:tcPr>
            <w:tcW w:w="2160" w:type="dxa"/>
          </w:tcPr>
          <w:p w:rsidR="003C5B7E" w:rsidP="0008546F" w14:paraId="492AA9AC" w14:textId="77777777">
            <w:pPr>
              <w:jc w:val="center"/>
              <w:rPr>
                <w:rFonts w:ascii="Arial" w:hAnsi="Arial"/>
                <w:sz w:val="16"/>
              </w:rPr>
            </w:pPr>
          </w:p>
          <w:p w:rsidR="000F1FA6" w:rsidRPr="009B43BB" w:rsidP="4C607349" w14:paraId="1043C1E4" w14:textId="54B3C85F">
            <w:pPr>
              <w:jc w:val="center"/>
              <w:rPr>
                <w:rFonts w:ascii="Arial" w:hAnsi="Arial"/>
                <w:sz w:val="16"/>
                <w:szCs w:val="16"/>
              </w:rPr>
            </w:pPr>
            <w:r w:rsidRPr="4C607349">
              <w:rPr>
                <w:rFonts w:ascii="Arial" w:hAnsi="Arial"/>
                <w:sz w:val="16"/>
                <w:szCs w:val="16"/>
              </w:rPr>
              <w:t xml:space="preserve">Pub. L. No. 112-29 </w:t>
            </w:r>
            <w:r w:rsidRPr="4C607349">
              <w:rPr>
                <w:rFonts w:ascii="Arial" w:hAnsi="Arial" w:cs="Arial"/>
                <w:sz w:val="16"/>
                <w:szCs w:val="16"/>
              </w:rPr>
              <w:t>§</w:t>
            </w:r>
            <w:r w:rsidRPr="4C607349">
              <w:rPr>
                <w:rFonts w:ascii="Arial" w:hAnsi="Arial"/>
                <w:sz w:val="16"/>
                <w:szCs w:val="16"/>
              </w:rPr>
              <w:t xml:space="preserve"> 32; 35 U.S.C. </w:t>
            </w:r>
            <w:r w:rsidRPr="4C607349">
              <w:rPr>
                <w:rFonts w:ascii="Arial" w:hAnsi="Arial" w:cs="Arial"/>
                <w:sz w:val="16"/>
                <w:szCs w:val="16"/>
              </w:rPr>
              <w:t>§</w:t>
            </w:r>
            <w:r w:rsidRPr="4C607349">
              <w:rPr>
                <w:rFonts w:ascii="Arial" w:hAnsi="Arial"/>
                <w:sz w:val="16"/>
                <w:szCs w:val="16"/>
              </w:rPr>
              <w:t xml:space="preserve"> 2(b)(11); </w:t>
            </w:r>
            <w:r w:rsidRPr="4C607349" w:rsidR="6A5F2E79">
              <w:rPr>
                <w:rFonts w:ascii="Arial" w:hAnsi="Arial"/>
                <w:sz w:val="16"/>
                <w:szCs w:val="16"/>
              </w:rPr>
              <w:t xml:space="preserve"> </w:t>
            </w:r>
          </w:p>
        </w:tc>
        <w:tc>
          <w:tcPr>
            <w:tcW w:w="2160" w:type="dxa"/>
          </w:tcPr>
          <w:p w:rsidR="003C5B7E" w:rsidP="0008546F" w14:paraId="3CC32BB6" w14:textId="77777777">
            <w:pPr>
              <w:jc w:val="center"/>
              <w:rPr>
                <w:rFonts w:ascii="Arial" w:hAnsi="Arial"/>
                <w:sz w:val="16"/>
              </w:rPr>
            </w:pPr>
          </w:p>
          <w:p w:rsidR="000F1FA6" w:rsidRPr="009B43BB" w:rsidP="0008546F" w14:paraId="12720473" w14:textId="101AD189">
            <w:pPr>
              <w:jc w:val="center"/>
              <w:rPr>
                <w:rFonts w:ascii="Arial" w:hAnsi="Arial"/>
                <w:sz w:val="16"/>
              </w:rPr>
            </w:pPr>
            <w:r>
              <w:rPr>
                <w:rFonts w:ascii="Arial" w:hAnsi="Arial"/>
                <w:sz w:val="16"/>
              </w:rPr>
              <w:t>White House Executive Action dated 20 February 2014</w:t>
            </w:r>
          </w:p>
        </w:tc>
      </w:tr>
    </w:tbl>
    <w:p w:rsidR="0056363B" w:rsidP="0056363B" w14:paraId="707BB93B" w14:textId="77777777">
      <w:pPr>
        <w:ind w:left="360"/>
        <w:rPr>
          <w:rFonts w:ascii="Arial" w:hAnsi="Arial"/>
          <w:b/>
          <w:sz w:val="24"/>
        </w:rPr>
      </w:pPr>
    </w:p>
    <w:p w:rsidR="00260663" w:rsidRPr="00260663" w:rsidP="00D858ED" w14:paraId="49D6FF3C" w14:textId="77777777">
      <w:pPr>
        <w:pStyle w:val="ListParagraph"/>
        <w:keepNext/>
        <w:numPr>
          <w:ilvl w:val="0"/>
          <w:numId w:val="10"/>
        </w:numPr>
        <w:jc w:val="both"/>
        <w:rPr>
          <w:rFonts w:ascii="Arial" w:hAnsi="Arial"/>
          <w:b/>
          <w:sz w:val="24"/>
        </w:rPr>
      </w:pPr>
      <w:r w:rsidRPr="00260663">
        <w:rPr>
          <w:rFonts w:ascii="Arial" w:hAnsi="Arial"/>
          <w:b/>
          <w:sz w:val="24"/>
        </w:rPr>
        <w:t>Indicate how, by whom, and for what purpose the information is to be used. Except for a new information collection, indicate the actual use the agency has made of the information received from the current information collection.</w:t>
      </w:r>
    </w:p>
    <w:p w:rsidR="00B765A5" w:rsidP="00B765A5" w14:paraId="328D8D67" w14:textId="77777777">
      <w:pPr>
        <w:jc w:val="both"/>
        <w:rPr>
          <w:rFonts w:ascii="Arial" w:hAnsi="Arial"/>
          <w:sz w:val="24"/>
        </w:rPr>
      </w:pPr>
    </w:p>
    <w:p w:rsidR="00595C5A" w:rsidP="00B765A5" w14:paraId="7B7671EB" w14:textId="5D574A1D">
      <w:pPr>
        <w:jc w:val="both"/>
        <w:rPr>
          <w:rFonts w:ascii="Arial" w:hAnsi="Arial" w:cs="Arial"/>
          <w:sz w:val="24"/>
          <w:szCs w:val="24"/>
        </w:rPr>
      </w:pPr>
      <w:r w:rsidRPr="4C607349">
        <w:rPr>
          <w:rFonts w:ascii="Arial" w:hAnsi="Arial"/>
          <w:sz w:val="24"/>
          <w:szCs w:val="24"/>
        </w:rPr>
        <w:t xml:space="preserve">This information collection </w:t>
      </w:r>
      <w:r w:rsidRPr="4C607349" w:rsidR="6782947C">
        <w:rPr>
          <w:rFonts w:ascii="Arial" w:hAnsi="Arial"/>
          <w:sz w:val="24"/>
          <w:szCs w:val="24"/>
        </w:rPr>
        <w:t>help</w:t>
      </w:r>
      <w:r w:rsidR="0016520E">
        <w:rPr>
          <w:rFonts w:ascii="Arial" w:hAnsi="Arial"/>
          <w:sz w:val="24"/>
          <w:szCs w:val="24"/>
        </w:rPr>
        <w:t>s</w:t>
      </w:r>
      <w:r w:rsidRPr="4C607349" w:rsidR="6782947C">
        <w:rPr>
          <w:rFonts w:ascii="Arial" w:hAnsi="Arial"/>
          <w:sz w:val="24"/>
          <w:szCs w:val="24"/>
        </w:rPr>
        <w:t xml:space="preserve"> determine </w:t>
      </w:r>
      <w:r w:rsidRPr="4C607349">
        <w:rPr>
          <w:rFonts w:ascii="Arial" w:hAnsi="Arial"/>
          <w:sz w:val="24"/>
          <w:szCs w:val="24"/>
        </w:rPr>
        <w:t xml:space="preserve">the effectiveness </w:t>
      </w:r>
      <w:r w:rsidRPr="4C607349" w:rsidR="18B0D082">
        <w:rPr>
          <w:rFonts w:ascii="Arial" w:hAnsi="Arial"/>
          <w:sz w:val="24"/>
          <w:szCs w:val="24"/>
        </w:rPr>
        <w:t xml:space="preserve">the </w:t>
      </w:r>
      <w:r w:rsidRPr="4C607349">
        <w:rPr>
          <w:rFonts w:ascii="Arial" w:hAnsi="Arial"/>
          <w:sz w:val="24"/>
          <w:szCs w:val="24"/>
        </w:rPr>
        <w:t xml:space="preserve">regional </w:t>
      </w:r>
      <w:r w:rsidRPr="4C607349" w:rsidR="5798F4B0">
        <w:rPr>
          <w:rFonts w:ascii="Arial" w:hAnsi="Arial"/>
          <w:sz w:val="24"/>
          <w:szCs w:val="24"/>
        </w:rPr>
        <w:t>hub</w:t>
      </w:r>
      <w:r w:rsidRPr="4C607349" w:rsidR="18B0D082">
        <w:rPr>
          <w:rFonts w:ascii="Arial" w:hAnsi="Arial"/>
          <w:sz w:val="24"/>
          <w:szCs w:val="24"/>
        </w:rPr>
        <w:t xml:space="preserve">s and </w:t>
      </w:r>
      <w:r w:rsidRPr="4C607349" w:rsidR="4F4910B5">
        <w:rPr>
          <w:rFonts w:ascii="Arial" w:hAnsi="Arial" w:cs="Arial"/>
          <w:sz w:val="24"/>
          <w:szCs w:val="24"/>
        </w:rPr>
        <w:t>national clearinghouse</w:t>
      </w:r>
      <w:r w:rsidRPr="4C607349" w:rsidR="5798F4B0">
        <w:rPr>
          <w:rFonts w:ascii="Arial" w:hAnsi="Arial"/>
          <w:sz w:val="24"/>
          <w:szCs w:val="24"/>
        </w:rPr>
        <w:t xml:space="preserve"> </w:t>
      </w:r>
      <w:r w:rsidRPr="4C607349" w:rsidR="6F56C535">
        <w:rPr>
          <w:rFonts w:ascii="Arial" w:hAnsi="Arial"/>
          <w:sz w:val="24"/>
          <w:szCs w:val="24"/>
        </w:rPr>
        <w:t>in</w:t>
      </w:r>
      <w:r w:rsidRPr="4C607349">
        <w:rPr>
          <w:rFonts w:ascii="Arial" w:hAnsi="Arial"/>
          <w:sz w:val="24"/>
          <w:szCs w:val="24"/>
        </w:rPr>
        <w:t xml:space="preserve"> </w:t>
      </w:r>
      <w:r w:rsidRPr="4C607349" w:rsidR="6782947C">
        <w:rPr>
          <w:rFonts w:ascii="Arial" w:hAnsi="Arial"/>
          <w:sz w:val="24"/>
          <w:szCs w:val="24"/>
        </w:rPr>
        <w:t>serving low-income inventors</w:t>
      </w:r>
      <w:r w:rsidR="00163A26">
        <w:rPr>
          <w:rFonts w:ascii="Arial" w:hAnsi="Arial"/>
          <w:sz w:val="24"/>
          <w:szCs w:val="24"/>
        </w:rPr>
        <w:t>.</w:t>
      </w:r>
      <w:r w:rsidRPr="4C607349" w:rsidR="11872BF5">
        <w:rPr>
          <w:rFonts w:ascii="Arial" w:hAnsi="Arial"/>
          <w:sz w:val="24"/>
          <w:szCs w:val="24"/>
        </w:rPr>
        <w:t xml:space="preserve"> </w:t>
      </w:r>
      <w:r w:rsidRPr="4C607349" w:rsidR="6F56C535">
        <w:rPr>
          <w:rFonts w:ascii="Arial" w:hAnsi="Arial"/>
          <w:sz w:val="24"/>
          <w:szCs w:val="24"/>
        </w:rPr>
        <w:t>As discussed, t</w:t>
      </w:r>
      <w:r w:rsidRPr="4C607349">
        <w:rPr>
          <w:rFonts w:ascii="Arial" w:hAnsi="Arial"/>
          <w:sz w:val="24"/>
          <w:szCs w:val="24"/>
        </w:rPr>
        <w:t xml:space="preserve">he </w:t>
      </w:r>
      <w:r w:rsidR="0016520E">
        <w:rPr>
          <w:rFonts w:ascii="Arial" w:hAnsi="Arial"/>
          <w:sz w:val="24"/>
          <w:szCs w:val="24"/>
        </w:rPr>
        <w:t>works</w:t>
      </w:r>
      <w:r w:rsidRPr="4C607349">
        <w:rPr>
          <w:rFonts w:ascii="Arial" w:hAnsi="Arial"/>
          <w:sz w:val="24"/>
          <w:szCs w:val="24"/>
        </w:rPr>
        <w:t xml:space="preserve"> with </w:t>
      </w:r>
      <w:r w:rsidRPr="4C607349" w:rsidR="5798F4B0">
        <w:rPr>
          <w:rFonts w:ascii="Arial" w:hAnsi="Arial"/>
          <w:sz w:val="24"/>
          <w:szCs w:val="24"/>
        </w:rPr>
        <w:t xml:space="preserve">the </w:t>
      </w:r>
      <w:r w:rsidRPr="4C607349">
        <w:rPr>
          <w:rFonts w:ascii="Arial" w:hAnsi="Arial"/>
          <w:sz w:val="24"/>
          <w:szCs w:val="24"/>
        </w:rPr>
        <w:t>PBAC</w:t>
      </w:r>
      <w:r w:rsidRPr="4C607349" w:rsidR="18B0D082">
        <w:rPr>
          <w:rFonts w:ascii="Arial" w:hAnsi="Arial"/>
          <w:sz w:val="24"/>
          <w:szCs w:val="24"/>
        </w:rPr>
        <w:t xml:space="preserve"> and </w:t>
      </w:r>
      <w:r w:rsidRPr="4C607349" w:rsidR="18B0D082">
        <w:rPr>
          <w:rFonts w:ascii="Arial" w:hAnsi="Arial" w:cs="Arial"/>
          <w:sz w:val="24"/>
          <w:szCs w:val="24"/>
        </w:rPr>
        <w:t>PTAB Bar Assoc.</w:t>
      </w:r>
      <w:r w:rsidRPr="4C607349">
        <w:rPr>
          <w:rFonts w:ascii="Arial" w:hAnsi="Arial"/>
          <w:sz w:val="24"/>
          <w:szCs w:val="24"/>
        </w:rPr>
        <w:t xml:space="preserve"> to determine what information is necessary to ascertain the effectiveness of </w:t>
      </w:r>
      <w:r w:rsidRPr="4C607349" w:rsidR="18B0D082">
        <w:rPr>
          <w:rFonts w:ascii="Arial" w:hAnsi="Arial"/>
          <w:sz w:val="24"/>
          <w:szCs w:val="24"/>
        </w:rPr>
        <w:t xml:space="preserve">the </w:t>
      </w:r>
      <w:r w:rsidRPr="4C607349" w:rsidR="514130C4">
        <w:rPr>
          <w:rFonts w:ascii="Arial" w:hAnsi="Arial"/>
          <w:sz w:val="24"/>
          <w:szCs w:val="24"/>
        </w:rPr>
        <w:t xml:space="preserve">respective </w:t>
      </w:r>
      <w:r w:rsidRPr="4C607349">
        <w:rPr>
          <w:rFonts w:ascii="Arial" w:hAnsi="Arial"/>
          <w:sz w:val="24"/>
          <w:szCs w:val="24"/>
        </w:rPr>
        <w:t xml:space="preserve">regional </w:t>
      </w:r>
      <w:r w:rsidRPr="4C607349" w:rsidR="5798F4B0">
        <w:rPr>
          <w:rFonts w:ascii="Arial" w:hAnsi="Arial"/>
          <w:sz w:val="24"/>
          <w:szCs w:val="24"/>
        </w:rPr>
        <w:t>hub</w:t>
      </w:r>
      <w:r w:rsidRPr="4C607349" w:rsidR="18B0D082">
        <w:rPr>
          <w:rFonts w:ascii="Arial" w:hAnsi="Arial"/>
          <w:sz w:val="24"/>
          <w:szCs w:val="24"/>
        </w:rPr>
        <w:t xml:space="preserve">s and </w:t>
      </w:r>
      <w:r w:rsidRPr="4C607349" w:rsidR="514130C4">
        <w:rPr>
          <w:rFonts w:ascii="Arial" w:hAnsi="Arial"/>
          <w:sz w:val="24"/>
          <w:szCs w:val="24"/>
        </w:rPr>
        <w:t xml:space="preserve">national </w:t>
      </w:r>
      <w:r w:rsidRPr="4C607349" w:rsidR="18B0D082">
        <w:rPr>
          <w:rFonts w:ascii="Arial" w:hAnsi="Arial"/>
          <w:sz w:val="24"/>
          <w:szCs w:val="24"/>
        </w:rPr>
        <w:t>clearinghouse</w:t>
      </w:r>
      <w:r w:rsidRPr="4C607349" w:rsidR="11872BF5">
        <w:rPr>
          <w:rFonts w:ascii="Arial" w:hAnsi="Arial"/>
          <w:sz w:val="24"/>
          <w:szCs w:val="24"/>
        </w:rPr>
        <w:t xml:space="preserve"> </w:t>
      </w:r>
      <w:r w:rsidRPr="4C607349" w:rsidR="20985555">
        <w:rPr>
          <w:rFonts w:ascii="Arial" w:hAnsi="Arial" w:cs="Arial"/>
          <w:sz w:val="24"/>
          <w:szCs w:val="24"/>
        </w:rPr>
        <w:t xml:space="preserve">The USPTO, </w:t>
      </w:r>
      <w:r w:rsidRPr="4C607349" w:rsidR="5798F4B0">
        <w:rPr>
          <w:rFonts w:ascii="Arial" w:hAnsi="Arial" w:cs="Arial"/>
          <w:sz w:val="24"/>
          <w:szCs w:val="24"/>
        </w:rPr>
        <w:t xml:space="preserve">the </w:t>
      </w:r>
      <w:r w:rsidRPr="4C607349" w:rsidR="20985555">
        <w:rPr>
          <w:rFonts w:ascii="Arial" w:hAnsi="Arial" w:cs="Arial"/>
          <w:sz w:val="24"/>
          <w:szCs w:val="24"/>
        </w:rPr>
        <w:t>PBAC, regional hubs,</w:t>
      </w:r>
      <w:r w:rsidRPr="4C607349" w:rsidR="18B0D082">
        <w:rPr>
          <w:rFonts w:ascii="Arial" w:hAnsi="Arial" w:cs="Arial"/>
          <w:sz w:val="24"/>
          <w:szCs w:val="24"/>
        </w:rPr>
        <w:t xml:space="preserve"> and </w:t>
      </w:r>
      <w:r w:rsidRPr="4C607349" w:rsidR="4F4910B5">
        <w:rPr>
          <w:rFonts w:ascii="Arial" w:hAnsi="Arial" w:cs="Arial"/>
          <w:sz w:val="24"/>
          <w:szCs w:val="24"/>
        </w:rPr>
        <w:t xml:space="preserve">national </w:t>
      </w:r>
      <w:r w:rsidRPr="4C607349" w:rsidR="18B0D082">
        <w:rPr>
          <w:rFonts w:ascii="Arial" w:hAnsi="Arial" w:cs="Arial"/>
          <w:sz w:val="24"/>
          <w:szCs w:val="24"/>
        </w:rPr>
        <w:t>clearinghouse</w:t>
      </w:r>
      <w:r w:rsidRPr="4C607349" w:rsidR="20985555">
        <w:rPr>
          <w:rFonts w:ascii="Arial" w:hAnsi="Arial" w:cs="Arial"/>
          <w:sz w:val="24"/>
          <w:szCs w:val="24"/>
        </w:rPr>
        <w:t xml:space="preserve"> are</w:t>
      </w:r>
      <w:r w:rsidRPr="4C607349">
        <w:rPr>
          <w:rFonts w:ascii="Arial" w:hAnsi="Arial"/>
          <w:sz w:val="24"/>
          <w:szCs w:val="24"/>
        </w:rPr>
        <w:t xml:space="preserve"> responsible for </w:t>
      </w:r>
      <w:r w:rsidRPr="4C607349" w:rsidR="5C2D8ECE">
        <w:rPr>
          <w:rFonts w:ascii="Arial" w:hAnsi="Arial"/>
          <w:sz w:val="24"/>
          <w:szCs w:val="24"/>
        </w:rPr>
        <w:t>collecting</w:t>
      </w:r>
      <w:r w:rsidRPr="4C607349">
        <w:rPr>
          <w:rFonts w:ascii="Arial" w:hAnsi="Arial"/>
          <w:sz w:val="24"/>
          <w:szCs w:val="24"/>
        </w:rPr>
        <w:t xml:space="preserve"> this information</w:t>
      </w:r>
      <w:r w:rsidRPr="4C607349" w:rsidR="4F085F24">
        <w:rPr>
          <w:rFonts w:ascii="Arial" w:hAnsi="Arial"/>
          <w:sz w:val="24"/>
          <w:szCs w:val="24"/>
        </w:rPr>
        <w:t>.</w:t>
      </w:r>
      <w:r w:rsidR="546B0DF2">
        <w:t xml:space="preserve"> </w:t>
      </w:r>
    </w:p>
    <w:p w:rsidR="008D4FF1" w:rsidP="00B765A5" w14:paraId="55536087" w14:textId="77777777">
      <w:pPr>
        <w:jc w:val="both"/>
        <w:rPr>
          <w:rFonts w:ascii="Arial" w:hAnsi="Arial"/>
          <w:sz w:val="24"/>
        </w:rPr>
      </w:pPr>
    </w:p>
    <w:p w:rsidR="00476089" w:rsidRPr="007E0CC1" w:rsidP="00476089" w14:paraId="7AAB0AAF" w14:textId="717DFB30">
      <w:pPr>
        <w:jc w:val="both"/>
        <w:rPr>
          <w:rFonts w:ascii="Arial" w:hAnsi="Arial"/>
          <w:sz w:val="24"/>
        </w:rPr>
      </w:pPr>
      <w:r w:rsidRPr="007E0CC1">
        <w:rPr>
          <w:rFonts w:ascii="Arial" w:hAnsi="Arial"/>
          <w:sz w:val="24"/>
        </w:rPr>
        <w:t>Specifically, the information allow</w:t>
      </w:r>
      <w:r w:rsidR="003D10BA">
        <w:rPr>
          <w:rFonts w:ascii="Arial" w:hAnsi="Arial"/>
          <w:sz w:val="24"/>
        </w:rPr>
        <w:t>s</w:t>
      </w:r>
      <w:r w:rsidRPr="007E0CC1">
        <w:rPr>
          <w:rFonts w:ascii="Arial" w:hAnsi="Arial"/>
          <w:sz w:val="24"/>
        </w:rPr>
        <w:t xml:space="preserve"> </w:t>
      </w:r>
      <w:r>
        <w:rPr>
          <w:rFonts w:ascii="Arial" w:hAnsi="Arial"/>
          <w:sz w:val="24"/>
        </w:rPr>
        <w:t xml:space="preserve">the </w:t>
      </w:r>
      <w:r w:rsidRPr="007E0CC1">
        <w:rPr>
          <w:rFonts w:ascii="Arial" w:hAnsi="Arial"/>
          <w:sz w:val="24"/>
        </w:rPr>
        <w:t>PBAC</w:t>
      </w:r>
      <w:r w:rsidR="003C5B7E">
        <w:rPr>
          <w:rFonts w:ascii="Arial" w:hAnsi="Arial"/>
          <w:sz w:val="24"/>
        </w:rPr>
        <w:t xml:space="preserve">, </w:t>
      </w:r>
      <w:r w:rsidRPr="00C96B54" w:rsidR="003C5B7E">
        <w:rPr>
          <w:rFonts w:ascii="Arial" w:hAnsi="Arial" w:cs="Arial"/>
          <w:sz w:val="24"/>
        </w:rPr>
        <w:t>PTAB Bar Assoc.</w:t>
      </w:r>
      <w:r w:rsidR="003C5B7E">
        <w:rPr>
          <w:rFonts w:ascii="Arial" w:hAnsi="Arial" w:cs="Arial"/>
          <w:sz w:val="24"/>
        </w:rPr>
        <w:t xml:space="preserve">, and </w:t>
      </w:r>
      <w:r w:rsidRPr="007E0CC1">
        <w:rPr>
          <w:rFonts w:ascii="Arial" w:hAnsi="Arial"/>
          <w:sz w:val="24"/>
        </w:rPr>
        <w:t xml:space="preserve">the USPTO to ascertain the origination state of </w:t>
      </w:r>
      <w:r w:rsidR="00B30FD1">
        <w:rPr>
          <w:rFonts w:ascii="Arial" w:hAnsi="Arial"/>
          <w:sz w:val="24"/>
        </w:rPr>
        <w:t xml:space="preserve">pro bono </w:t>
      </w:r>
      <w:r w:rsidRPr="007E0CC1">
        <w:rPr>
          <w:rFonts w:ascii="Arial" w:hAnsi="Arial"/>
          <w:sz w:val="24"/>
        </w:rPr>
        <w:t xml:space="preserve">applicants, where applicants are being referred from, </w:t>
      </w:r>
      <w:r w:rsidR="00A70A8C">
        <w:rPr>
          <w:rFonts w:ascii="Arial" w:hAnsi="Arial"/>
          <w:sz w:val="24"/>
        </w:rPr>
        <w:t>the number of applicants who are matched with volunteer practitioners</w:t>
      </w:r>
      <w:r w:rsidR="00B30FD1">
        <w:rPr>
          <w:rFonts w:ascii="Arial" w:hAnsi="Arial"/>
          <w:sz w:val="24"/>
        </w:rPr>
        <w:t>, and the demographics of the applicants</w:t>
      </w:r>
      <w:r w:rsidRPr="007E0CC1">
        <w:rPr>
          <w:rFonts w:ascii="Arial" w:hAnsi="Arial"/>
          <w:sz w:val="24"/>
        </w:rPr>
        <w:t>.</w:t>
      </w:r>
      <w:r w:rsidR="00D06736">
        <w:rPr>
          <w:rFonts w:ascii="Arial" w:hAnsi="Arial"/>
          <w:sz w:val="24"/>
        </w:rPr>
        <w:t xml:space="preserve"> </w:t>
      </w:r>
      <w:r w:rsidRPr="007E0CC1">
        <w:rPr>
          <w:rFonts w:ascii="Arial" w:hAnsi="Arial"/>
          <w:sz w:val="24"/>
        </w:rPr>
        <w:t>Additionally</w:t>
      </w:r>
      <w:r>
        <w:rPr>
          <w:rFonts w:ascii="Arial" w:hAnsi="Arial"/>
          <w:sz w:val="24"/>
        </w:rPr>
        <w:t>,</w:t>
      </w:r>
      <w:r w:rsidRPr="007E0CC1">
        <w:rPr>
          <w:rFonts w:ascii="Arial" w:hAnsi="Arial"/>
          <w:sz w:val="24"/>
        </w:rPr>
        <w:t xml:space="preserve"> the information help</w:t>
      </w:r>
      <w:r w:rsidR="003D10BA">
        <w:rPr>
          <w:rFonts w:ascii="Arial" w:hAnsi="Arial"/>
          <w:sz w:val="24"/>
        </w:rPr>
        <w:t>s</w:t>
      </w:r>
      <w:r w:rsidRPr="007E0CC1">
        <w:rPr>
          <w:rFonts w:ascii="Arial" w:hAnsi="Arial"/>
          <w:sz w:val="24"/>
        </w:rPr>
        <w:t xml:space="preserve"> track corporations/law firms agreeing to accept cases, backlog of unmatched applicants, </w:t>
      </w:r>
      <w:r w:rsidR="00D06736">
        <w:rPr>
          <w:rFonts w:ascii="Arial" w:hAnsi="Arial"/>
          <w:sz w:val="24"/>
        </w:rPr>
        <w:t xml:space="preserve">and </w:t>
      </w:r>
      <w:r w:rsidRPr="007E0CC1">
        <w:rPr>
          <w:rFonts w:ascii="Arial" w:hAnsi="Arial"/>
          <w:sz w:val="24"/>
        </w:rPr>
        <w:t xml:space="preserve">hours donated by </w:t>
      </w:r>
      <w:r w:rsidR="008256A3">
        <w:rPr>
          <w:rFonts w:ascii="Arial" w:hAnsi="Arial"/>
          <w:sz w:val="24"/>
        </w:rPr>
        <w:t>volunteer</w:t>
      </w:r>
      <w:r w:rsidRPr="007E0CC1" w:rsidR="008256A3">
        <w:rPr>
          <w:rFonts w:ascii="Arial" w:hAnsi="Arial"/>
          <w:sz w:val="24"/>
        </w:rPr>
        <w:t xml:space="preserve"> </w:t>
      </w:r>
      <w:r w:rsidR="00A70A8C">
        <w:rPr>
          <w:rFonts w:ascii="Arial" w:hAnsi="Arial"/>
          <w:sz w:val="24"/>
        </w:rPr>
        <w:t>practitioners</w:t>
      </w:r>
      <w:r w:rsidR="00D06736">
        <w:rPr>
          <w:rFonts w:ascii="Arial" w:hAnsi="Arial"/>
          <w:sz w:val="24"/>
        </w:rPr>
        <w:t>.</w:t>
      </w:r>
      <w:r w:rsidRPr="007E0CC1" w:rsidR="00D06736">
        <w:rPr>
          <w:rFonts w:ascii="Arial" w:hAnsi="Arial"/>
          <w:sz w:val="24"/>
        </w:rPr>
        <w:t xml:space="preserve"> </w:t>
      </w:r>
      <w:r w:rsidR="00D06736">
        <w:rPr>
          <w:rFonts w:ascii="Arial" w:hAnsi="Arial"/>
          <w:sz w:val="24"/>
        </w:rPr>
        <w:t xml:space="preserve">For the Patent Pro Bono Program this information </w:t>
      </w:r>
      <w:r w:rsidR="00BD140B">
        <w:rPr>
          <w:rFonts w:ascii="Arial" w:hAnsi="Arial"/>
          <w:sz w:val="24"/>
        </w:rPr>
        <w:t xml:space="preserve">also </w:t>
      </w:r>
      <w:r w:rsidR="00D06736">
        <w:rPr>
          <w:rFonts w:ascii="Arial" w:hAnsi="Arial"/>
          <w:sz w:val="24"/>
        </w:rPr>
        <w:t>helps track the number of</w:t>
      </w:r>
      <w:r w:rsidRPr="007E0CC1" w:rsidR="00D06736">
        <w:rPr>
          <w:rFonts w:ascii="Arial" w:hAnsi="Arial"/>
          <w:sz w:val="24"/>
        </w:rPr>
        <w:t xml:space="preserve"> </w:t>
      </w:r>
      <w:r w:rsidRPr="007E0CC1">
        <w:rPr>
          <w:rFonts w:ascii="Arial" w:hAnsi="Arial"/>
          <w:sz w:val="24"/>
        </w:rPr>
        <w:t>provisional</w:t>
      </w:r>
      <w:r w:rsidR="00D06736">
        <w:rPr>
          <w:rFonts w:ascii="Arial" w:hAnsi="Arial"/>
          <w:sz w:val="24"/>
        </w:rPr>
        <w:t xml:space="preserve">, </w:t>
      </w:r>
      <w:r w:rsidRPr="007E0CC1">
        <w:rPr>
          <w:rFonts w:ascii="Arial" w:hAnsi="Arial"/>
          <w:sz w:val="24"/>
        </w:rPr>
        <w:t>non-provisional</w:t>
      </w:r>
      <w:r w:rsidR="00D06736">
        <w:rPr>
          <w:rFonts w:ascii="Arial" w:hAnsi="Arial"/>
          <w:sz w:val="24"/>
        </w:rPr>
        <w:t>, and design</w:t>
      </w:r>
      <w:r w:rsidRPr="007E0CC1">
        <w:rPr>
          <w:rFonts w:ascii="Arial" w:hAnsi="Arial"/>
          <w:sz w:val="24"/>
        </w:rPr>
        <w:t xml:space="preserve"> applications filed</w:t>
      </w:r>
      <w:r w:rsidR="00D06736">
        <w:rPr>
          <w:rFonts w:ascii="Arial" w:hAnsi="Arial"/>
          <w:sz w:val="24"/>
        </w:rPr>
        <w:t xml:space="preserve">.  For the PTAB Pro Bono Program this information helps track the number of appeals filed and the </w:t>
      </w:r>
      <w:r w:rsidR="00510B30">
        <w:rPr>
          <w:rFonts w:ascii="Arial" w:hAnsi="Arial"/>
          <w:sz w:val="24"/>
        </w:rPr>
        <w:t xml:space="preserve">results of </w:t>
      </w:r>
      <w:r w:rsidR="00D06736">
        <w:rPr>
          <w:rFonts w:ascii="Arial" w:hAnsi="Arial"/>
          <w:sz w:val="24"/>
        </w:rPr>
        <w:t xml:space="preserve">Board </w:t>
      </w:r>
      <w:r w:rsidR="00510B30">
        <w:rPr>
          <w:rFonts w:ascii="Arial" w:hAnsi="Arial"/>
          <w:sz w:val="24"/>
        </w:rPr>
        <w:t>decisions</w:t>
      </w:r>
      <w:r w:rsidRPr="007E0CC1">
        <w:rPr>
          <w:rFonts w:ascii="Arial" w:hAnsi="Arial"/>
          <w:sz w:val="24"/>
        </w:rPr>
        <w:t>.</w:t>
      </w:r>
      <w:r w:rsidR="001C51D2">
        <w:rPr>
          <w:rFonts w:ascii="Arial" w:hAnsi="Arial"/>
          <w:sz w:val="24"/>
        </w:rPr>
        <w:t xml:space="preserve"> </w:t>
      </w:r>
      <w:r w:rsidR="008256A3">
        <w:rPr>
          <w:rFonts w:ascii="Arial" w:hAnsi="Arial"/>
          <w:sz w:val="24"/>
        </w:rPr>
        <w:t xml:space="preserve"> </w:t>
      </w:r>
    </w:p>
    <w:p w:rsidR="00476089" w:rsidP="00476089" w14:paraId="0EC5CE25" w14:textId="77777777">
      <w:pPr>
        <w:jc w:val="both"/>
        <w:rPr>
          <w:rFonts w:ascii="Arial" w:hAnsi="Arial"/>
          <w:sz w:val="24"/>
        </w:rPr>
      </w:pPr>
    </w:p>
    <w:p w:rsidR="00476089" w:rsidP="4C607349" w14:paraId="55820A93" w14:textId="4A6C5FBC">
      <w:pPr>
        <w:jc w:val="both"/>
        <w:rPr>
          <w:rFonts w:ascii="Arial" w:hAnsi="Arial"/>
          <w:sz w:val="24"/>
          <w:szCs w:val="24"/>
        </w:rPr>
      </w:pPr>
      <w:r w:rsidRPr="4C607349">
        <w:rPr>
          <w:rFonts w:ascii="Arial" w:hAnsi="Arial"/>
          <w:sz w:val="24"/>
          <w:szCs w:val="24"/>
        </w:rPr>
        <w:t>The information</w:t>
      </w:r>
      <w:r w:rsidRPr="4C607349" w:rsidR="18B0D082">
        <w:rPr>
          <w:rFonts w:ascii="Arial" w:hAnsi="Arial"/>
          <w:sz w:val="24"/>
          <w:szCs w:val="24"/>
        </w:rPr>
        <w:t xml:space="preserve"> </w:t>
      </w:r>
      <w:r w:rsidRPr="4C607349">
        <w:rPr>
          <w:rFonts w:ascii="Arial" w:hAnsi="Arial"/>
          <w:sz w:val="24"/>
          <w:szCs w:val="24"/>
        </w:rPr>
        <w:t>allow</w:t>
      </w:r>
      <w:r w:rsidRPr="4C607349" w:rsidR="2B163205">
        <w:rPr>
          <w:rFonts w:ascii="Arial" w:hAnsi="Arial"/>
          <w:sz w:val="24"/>
          <w:szCs w:val="24"/>
        </w:rPr>
        <w:t>s</w:t>
      </w:r>
      <w:r w:rsidRPr="4C607349">
        <w:rPr>
          <w:rFonts w:ascii="Arial" w:hAnsi="Arial"/>
          <w:sz w:val="24"/>
          <w:szCs w:val="24"/>
        </w:rPr>
        <w:t xml:space="preserve"> the USPTO to </w:t>
      </w:r>
      <w:r w:rsidRPr="4C607349" w:rsidR="12674F45">
        <w:rPr>
          <w:rFonts w:ascii="Arial" w:hAnsi="Arial"/>
          <w:sz w:val="24"/>
          <w:szCs w:val="24"/>
        </w:rPr>
        <w:t xml:space="preserve">determine how effectively </w:t>
      </w:r>
      <w:r w:rsidRPr="4C607349">
        <w:rPr>
          <w:rFonts w:ascii="Arial" w:hAnsi="Arial"/>
          <w:sz w:val="24"/>
          <w:szCs w:val="24"/>
        </w:rPr>
        <w:t xml:space="preserve">the </w:t>
      </w:r>
      <w:r w:rsidRPr="4C607349" w:rsidR="408B0E0D">
        <w:rPr>
          <w:rFonts w:ascii="Arial" w:hAnsi="Arial"/>
          <w:sz w:val="24"/>
          <w:szCs w:val="24"/>
        </w:rPr>
        <w:t>regional hubs</w:t>
      </w:r>
      <w:r w:rsidRPr="4C607349" w:rsidR="7D8DC3ED">
        <w:rPr>
          <w:rFonts w:ascii="Arial" w:hAnsi="Arial"/>
          <w:sz w:val="24"/>
          <w:szCs w:val="24"/>
        </w:rPr>
        <w:t xml:space="preserve"> and </w:t>
      </w:r>
      <w:r w:rsidRPr="4C607349" w:rsidR="4F4910B5">
        <w:rPr>
          <w:rFonts w:ascii="Arial" w:hAnsi="Arial"/>
          <w:sz w:val="24"/>
          <w:szCs w:val="24"/>
        </w:rPr>
        <w:t xml:space="preserve">national </w:t>
      </w:r>
      <w:r w:rsidRPr="4C607349" w:rsidR="7D8DC3ED">
        <w:rPr>
          <w:rFonts w:ascii="Arial" w:hAnsi="Arial"/>
          <w:sz w:val="24"/>
          <w:szCs w:val="24"/>
        </w:rPr>
        <w:t>clearinghouse</w:t>
      </w:r>
      <w:r w:rsidRPr="4C607349" w:rsidR="08E710D0">
        <w:rPr>
          <w:rFonts w:ascii="Arial" w:hAnsi="Arial"/>
          <w:sz w:val="24"/>
          <w:szCs w:val="24"/>
        </w:rPr>
        <w:t xml:space="preserve"> </w:t>
      </w:r>
      <w:r w:rsidRPr="4C607349">
        <w:rPr>
          <w:rFonts w:ascii="Arial" w:hAnsi="Arial"/>
          <w:sz w:val="24"/>
          <w:szCs w:val="24"/>
        </w:rPr>
        <w:t>are matching qualified low</w:t>
      </w:r>
      <w:r w:rsidRPr="4C607349" w:rsidR="6782947C">
        <w:rPr>
          <w:rFonts w:ascii="Arial" w:hAnsi="Arial"/>
          <w:sz w:val="24"/>
          <w:szCs w:val="24"/>
        </w:rPr>
        <w:t>-</w:t>
      </w:r>
      <w:r w:rsidRPr="4C607349">
        <w:rPr>
          <w:rFonts w:ascii="Arial" w:hAnsi="Arial"/>
          <w:sz w:val="24"/>
          <w:szCs w:val="24"/>
        </w:rPr>
        <w:t xml:space="preserve">income inventors with volunteer patent </w:t>
      </w:r>
      <w:r w:rsidRPr="4C607349" w:rsidR="12674F45">
        <w:rPr>
          <w:rFonts w:ascii="Arial" w:hAnsi="Arial"/>
          <w:sz w:val="24"/>
          <w:szCs w:val="24"/>
        </w:rPr>
        <w:t>practitioners</w:t>
      </w:r>
      <w:r w:rsidRPr="4C607349">
        <w:rPr>
          <w:rFonts w:ascii="Arial" w:hAnsi="Arial"/>
          <w:sz w:val="24"/>
          <w:szCs w:val="24"/>
        </w:rPr>
        <w:t>.</w:t>
      </w:r>
      <w:r w:rsidRPr="4C607349" w:rsidR="11872BF5">
        <w:rPr>
          <w:rFonts w:ascii="Arial" w:hAnsi="Arial"/>
          <w:sz w:val="24"/>
          <w:szCs w:val="24"/>
        </w:rPr>
        <w:t xml:space="preserve"> </w:t>
      </w:r>
      <w:r w:rsidRPr="4C607349">
        <w:rPr>
          <w:rFonts w:ascii="Arial" w:hAnsi="Arial"/>
          <w:sz w:val="24"/>
          <w:szCs w:val="24"/>
        </w:rPr>
        <w:t>It also help</w:t>
      </w:r>
      <w:r w:rsidRPr="4C607349" w:rsidR="2B163205">
        <w:rPr>
          <w:rFonts w:ascii="Arial" w:hAnsi="Arial"/>
          <w:sz w:val="24"/>
          <w:szCs w:val="24"/>
        </w:rPr>
        <w:t>s</w:t>
      </w:r>
      <w:r w:rsidRPr="4C607349">
        <w:rPr>
          <w:rFonts w:ascii="Arial" w:hAnsi="Arial"/>
          <w:sz w:val="24"/>
          <w:szCs w:val="24"/>
        </w:rPr>
        <w:t xml:space="preserve"> successfully establish the total economic benefit derived by low-income inventors in the form of donated legal services</w:t>
      </w:r>
      <w:r w:rsidR="00AB1F7A">
        <w:rPr>
          <w:rFonts w:ascii="Arial" w:hAnsi="Arial"/>
          <w:sz w:val="24"/>
          <w:szCs w:val="24"/>
        </w:rPr>
        <w:t>.</w:t>
      </w:r>
      <w:r w:rsidRPr="4C607349" w:rsidR="11872BF5">
        <w:rPr>
          <w:rFonts w:ascii="Arial" w:hAnsi="Arial"/>
          <w:sz w:val="24"/>
          <w:szCs w:val="24"/>
        </w:rPr>
        <w:t xml:space="preserve"> </w:t>
      </w:r>
      <w:r w:rsidRPr="4C607349">
        <w:rPr>
          <w:rFonts w:ascii="Arial" w:hAnsi="Arial"/>
          <w:sz w:val="24"/>
          <w:szCs w:val="24"/>
        </w:rPr>
        <w:t xml:space="preserve">This information </w:t>
      </w:r>
      <w:r w:rsidRPr="4C607349" w:rsidR="2B163205">
        <w:rPr>
          <w:rFonts w:ascii="Arial" w:hAnsi="Arial"/>
          <w:sz w:val="24"/>
          <w:szCs w:val="24"/>
        </w:rPr>
        <w:t>is</w:t>
      </w:r>
      <w:r w:rsidRPr="4C607349">
        <w:rPr>
          <w:rFonts w:ascii="Arial" w:hAnsi="Arial"/>
          <w:sz w:val="24"/>
          <w:szCs w:val="24"/>
        </w:rPr>
        <w:t xml:space="preserve"> used to promote the </w:t>
      </w:r>
      <w:r w:rsidRPr="4C607349" w:rsidR="408B0E0D">
        <w:rPr>
          <w:rFonts w:ascii="Arial" w:hAnsi="Arial"/>
          <w:sz w:val="24"/>
          <w:szCs w:val="24"/>
        </w:rPr>
        <w:t>regional hubs</w:t>
      </w:r>
      <w:r w:rsidRPr="4C607349" w:rsidR="11872BF5">
        <w:rPr>
          <w:rFonts w:ascii="Arial" w:hAnsi="Arial"/>
          <w:sz w:val="24"/>
          <w:szCs w:val="24"/>
        </w:rPr>
        <w:t xml:space="preserve"> and national clearinghouse</w:t>
      </w:r>
      <w:r w:rsidRPr="4C607349">
        <w:rPr>
          <w:rFonts w:ascii="Arial" w:hAnsi="Arial"/>
          <w:sz w:val="24"/>
          <w:szCs w:val="24"/>
        </w:rPr>
        <w:t xml:space="preserve"> to </w:t>
      </w:r>
      <w:r w:rsidRPr="4C607349" w:rsidR="5798F4B0">
        <w:rPr>
          <w:rFonts w:ascii="Arial" w:hAnsi="Arial"/>
          <w:sz w:val="24"/>
          <w:szCs w:val="24"/>
        </w:rPr>
        <w:t xml:space="preserve">financially </w:t>
      </w:r>
      <w:r w:rsidRPr="4C607349">
        <w:rPr>
          <w:rFonts w:ascii="Arial" w:hAnsi="Arial"/>
          <w:sz w:val="24"/>
          <w:szCs w:val="24"/>
        </w:rPr>
        <w:t xml:space="preserve">under-resourced inventors and patent </w:t>
      </w:r>
      <w:r w:rsidRPr="4C607349" w:rsidR="35AE466D">
        <w:rPr>
          <w:rFonts w:ascii="Arial" w:hAnsi="Arial"/>
          <w:sz w:val="24"/>
          <w:szCs w:val="24"/>
        </w:rPr>
        <w:t>practitioners</w:t>
      </w:r>
      <w:r w:rsidRPr="4C607349">
        <w:rPr>
          <w:rFonts w:ascii="Arial" w:hAnsi="Arial"/>
          <w:sz w:val="24"/>
          <w:szCs w:val="24"/>
        </w:rPr>
        <w:t>.</w:t>
      </w:r>
    </w:p>
    <w:p w:rsidR="00B765A5" w:rsidP="00B765A5" w14:paraId="78DC9EE3" w14:textId="77777777">
      <w:pPr>
        <w:pStyle w:val="BodyText2"/>
        <w:tabs>
          <w:tab w:val="left" w:pos="720"/>
        </w:tabs>
      </w:pPr>
    </w:p>
    <w:p w:rsidR="0010150A" w:rsidP="000718D1" w14:paraId="4BB218AE" w14:textId="13A3048D">
      <w:pPr>
        <w:tabs>
          <w:tab w:val="left" w:pos="720"/>
        </w:tabs>
        <w:jc w:val="both"/>
        <w:rPr>
          <w:sz w:val="22"/>
          <w:szCs w:val="22"/>
        </w:rPr>
      </w:pPr>
      <w:r>
        <w:rPr>
          <w:rFonts w:ascii="Arial" w:hAnsi="Arial"/>
          <w:sz w:val="24"/>
        </w:rPr>
        <w:t xml:space="preserve">Table 2 outlines how the items in this </w:t>
      </w:r>
      <w:r w:rsidR="0038126F">
        <w:rPr>
          <w:rFonts w:ascii="Arial" w:hAnsi="Arial"/>
          <w:sz w:val="24"/>
        </w:rPr>
        <w:t xml:space="preserve">information </w:t>
      </w:r>
      <w:r>
        <w:rPr>
          <w:rFonts w:ascii="Arial" w:hAnsi="Arial"/>
          <w:sz w:val="24"/>
        </w:rPr>
        <w:t xml:space="preserve">collection are used by the </w:t>
      </w:r>
      <w:r w:rsidR="00993FC6">
        <w:rPr>
          <w:rFonts w:ascii="Arial" w:hAnsi="Arial"/>
          <w:sz w:val="24"/>
        </w:rPr>
        <w:t>regional hubs</w:t>
      </w:r>
      <w:r>
        <w:rPr>
          <w:rFonts w:ascii="Arial" w:hAnsi="Arial"/>
          <w:sz w:val="24"/>
        </w:rPr>
        <w:t xml:space="preserve">, </w:t>
      </w:r>
      <w:r w:rsidR="00A6307C">
        <w:rPr>
          <w:rFonts w:ascii="Arial" w:hAnsi="Arial"/>
          <w:sz w:val="24"/>
        </w:rPr>
        <w:t xml:space="preserve">national clearinghouse, </w:t>
      </w:r>
      <w:r>
        <w:rPr>
          <w:rFonts w:ascii="Arial" w:hAnsi="Arial"/>
          <w:sz w:val="24"/>
        </w:rPr>
        <w:t xml:space="preserve">and the USPTO: </w:t>
      </w:r>
    </w:p>
    <w:p w:rsidR="0010150A" w:rsidP="000718D1" w14:paraId="67535E0F" w14:textId="77777777">
      <w:pPr>
        <w:tabs>
          <w:tab w:val="left" w:pos="720"/>
        </w:tabs>
        <w:jc w:val="both"/>
        <w:rPr>
          <w:rFonts w:ascii="Arial" w:hAnsi="Arial"/>
          <w:b/>
          <w:sz w:val="22"/>
          <w:szCs w:val="22"/>
        </w:rPr>
      </w:pPr>
    </w:p>
    <w:p w:rsidR="00B765A5" w:rsidRPr="007D3B20" w:rsidP="00D858ED" w14:paraId="4E20B681" w14:textId="22126BAE">
      <w:pPr>
        <w:tabs>
          <w:tab w:val="left" w:pos="720"/>
        </w:tabs>
        <w:jc w:val="both"/>
        <w:rPr>
          <w:rFonts w:cs="Arial"/>
          <w:bCs/>
        </w:rPr>
      </w:pPr>
      <w:r w:rsidRPr="00D858ED">
        <w:rPr>
          <w:rFonts w:ascii="Arial" w:hAnsi="Arial" w:cs="Arial"/>
          <w:b/>
          <w:bCs/>
        </w:rPr>
        <w:t>Table 2:</w:t>
      </w:r>
      <w:r w:rsidRPr="00D858ED" w:rsidR="001C51D2">
        <w:rPr>
          <w:rFonts w:ascii="Arial" w:hAnsi="Arial" w:cs="Arial"/>
          <w:b/>
          <w:bCs/>
        </w:rPr>
        <w:t xml:space="preserve"> </w:t>
      </w:r>
      <w:r w:rsidRPr="00D858ED">
        <w:rPr>
          <w:rFonts w:ascii="Arial" w:hAnsi="Arial" w:cs="Arial"/>
          <w:b/>
          <w:bCs/>
        </w:rPr>
        <w:t xml:space="preserve">Needs and Uses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1980"/>
        <w:gridCol w:w="1350"/>
        <w:gridCol w:w="5153"/>
      </w:tblGrid>
      <w:tr w14:paraId="0DD38C28" w14:textId="77777777" w:rsidTr="00D858ED">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78"/>
          <w:tblHeader/>
        </w:trPr>
        <w:tc>
          <w:tcPr>
            <w:tcW w:w="87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D4FF1" w:rsidP="0008546F" w14:paraId="58063F5D" w14:textId="77777777">
            <w:pPr>
              <w:tabs>
                <w:tab w:val="left" w:pos="720"/>
              </w:tabs>
              <w:jc w:val="center"/>
              <w:rPr>
                <w:rFonts w:ascii="Arial" w:hAnsi="Arial"/>
                <w:b/>
                <w:sz w:val="16"/>
              </w:rPr>
            </w:pPr>
          </w:p>
          <w:p w:rsidR="008D4FF1" w:rsidP="0008546F" w14:paraId="02B9BE16" w14:textId="6E5063FC">
            <w:pPr>
              <w:tabs>
                <w:tab w:val="left" w:pos="720"/>
              </w:tabs>
              <w:jc w:val="center"/>
              <w:rPr>
                <w:rFonts w:ascii="Arial" w:hAnsi="Arial"/>
                <w:b/>
                <w:sz w:val="16"/>
              </w:rPr>
            </w:pPr>
            <w:r>
              <w:rPr>
                <w:rFonts w:ascii="Arial" w:hAnsi="Arial"/>
                <w:b/>
                <w:sz w:val="16"/>
              </w:rPr>
              <w:t xml:space="preserve">Item </w:t>
            </w:r>
            <w:r w:rsidR="00C82AA6">
              <w:rPr>
                <w:rFonts w:ascii="Arial" w:hAnsi="Arial"/>
                <w:b/>
                <w:sz w:val="16"/>
              </w:rPr>
              <w:t>No.</w:t>
            </w:r>
          </w:p>
          <w:p w:rsidR="008D4FF1" w:rsidP="0008546F" w14:paraId="2ABE09AA" w14:textId="77777777">
            <w:pPr>
              <w:tabs>
                <w:tab w:val="left" w:pos="720"/>
              </w:tabs>
              <w:jc w:val="center"/>
              <w:rPr>
                <w:rFonts w:ascii="Arial" w:hAnsi="Arial"/>
                <w:b/>
                <w:sz w:val="16"/>
              </w:rPr>
            </w:pPr>
          </w:p>
        </w:tc>
        <w:tc>
          <w:tcPr>
            <w:tcW w:w="198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8D4FF1" w:rsidP="005720EA" w14:paraId="3AFFB0F9" w14:textId="51EB7571">
            <w:pPr>
              <w:tabs>
                <w:tab w:val="left" w:pos="720"/>
              </w:tabs>
              <w:jc w:val="center"/>
              <w:rPr>
                <w:rFonts w:ascii="Arial" w:hAnsi="Arial"/>
                <w:b/>
                <w:sz w:val="16"/>
              </w:rPr>
            </w:pPr>
            <w:r>
              <w:rPr>
                <w:rFonts w:ascii="Arial" w:hAnsi="Arial"/>
                <w:b/>
                <w:sz w:val="16"/>
              </w:rPr>
              <w:t>IC Instrument</w:t>
            </w:r>
          </w:p>
        </w:tc>
        <w:tc>
          <w:tcPr>
            <w:tcW w:w="135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8D4FF1" w:rsidP="005720EA" w14:paraId="564A26C3" w14:textId="1D18AB8B">
            <w:pPr>
              <w:tabs>
                <w:tab w:val="left" w:pos="720"/>
              </w:tabs>
              <w:jc w:val="center"/>
              <w:rPr>
                <w:rFonts w:ascii="Arial" w:hAnsi="Arial"/>
                <w:b/>
                <w:sz w:val="16"/>
              </w:rPr>
            </w:pPr>
            <w:r>
              <w:rPr>
                <w:rFonts w:ascii="Arial" w:hAnsi="Arial"/>
                <w:b/>
                <w:sz w:val="16"/>
              </w:rPr>
              <w:t xml:space="preserve">Form </w:t>
            </w:r>
            <w:r w:rsidR="00C82AA6">
              <w:rPr>
                <w:rFonts w:ascii="Arial" w:hAnsi="Arial"/>
                <w:b/>
                <w:sz w:val="16"/>
              </w:rPr>
              <w:t>Number</w:t>
            </w:r>
          </w:p>
        </w:tc>
        <w:tc>
          <w:tcPr>
            <w:tcW w:w="515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8D4FF1" w:rsidP="005720EA" w14:paraId="139D1FA4" w14:textId="529D2540">
            <w:pPr>
              <w:tabs>
                <w:tab w:val="left" w:pos="720"/>
              </w:tabs>
              <w:jc w:val="center"/>
              <w:rPr>
                <w:rFonts w:ascii="Arial" w:hAnsi="Arial"/>
                <w:b/>
                <w:sz w:val="16"/>
              </w:rPr>
            </w:pPr>
            <w:r>
              <w:rPr>
                <w:rFonts w:ascii="Arial" w:hAnsi="Arial"/>
                <w:b/>
                <w:sz w:val="16"/>
              </w:rPr>
              <w:t>Needs and Uses</w:t>
            </w:r>
          </w:p>
        </w:tc>
      </w:tr>
      <w:tr w14:paraId="33A99600" w14:textId="77777777" w:rsidTr="00D858ED">
        <w:tblPrEx>
          <w:tblW w:w="9360" w:type="dxa"/>
          <w:tblInd w:w="108" w:type="dxa"/>
          <w:tblLayout w:type="fixed"/>
          <w:tblLook w:val="0000"/>
        </w:tblPrEx>
        <w:tc>
          <w:tcPr>
            <w:tcW w:w="877" w:type="dxa"/>
          </w:tcPr>
          <w:p w:rsidR="00476089" w:rsidRPr="000718D1" w:rsidP="0008546F" w14:paraId="07B48924" w14:textId="77777777">
            <w:pPr>
              <w:tabs>
                <w:tab w:val="left" w:pos="720"/>
              </w:tabs>
              <w:rPr>
                <w:rFonts w:ascii="Arial" w:hAnsi="Arial"/>
                <w:b/>
                <w:sz w:val="16"/>
              </w:rPr>
            </w:pPr>
          </w:p>
          <w:p w:rsidR="00476089" w:rsidRPr="00C82AA6" w:rsidP="008D4FF1" w14:paraId="33FDDCCE" w14:textId="77777777">
            <w:pPr>
              <w:tabs>
                <w:tab w:val="left" w:pos="720"/>
              </w:tabs>
              <w:jc w:val="center"/>
              <w:rPr>
                <w:rFonts w:ascii="Arial" w:hAnsi="Arial"/>
                <w:b/>
                <w:sz w:val="16"/>
              </w:rPr>
            </w:pPr>
            <w:r w:rsidRPr="00C82AA6">
              <w:rPr>
                <w:rFonts w:ascii="Arial" w:hAnsi="Arial"/>
                <w:b/>
                <w:sz w:val="16"/>
              </w:rPr>
              <w:t>1</w:t>
            </w:r>
          </w:p>
        </w:tc>
        <w:tc>
          <w:tcPr>
            <w:tcW w:w="1980" w:type="dxa"/>
          </w:tcPr>
          <w:p w:rsidR="00476089" w:rsidP="008D4FF1" w14:paraId="2D0CA38D" w14:textId="77777777">
            <w:pPr>
              <w:tabs>
                <w:tab w:val="left" w:pos="720"/>
              </w:tabs>
              <w:rPr>
                <w:rFonts w:ascii="Arial" w:hAnsi="Arial"/>
                <w:sz w:val="16"/>
              </w:rPr>
            </w:pPr>
          </w:p>
          <w:p w:rsidR="00476089" w:rsidP="00EC042E" w14:paraId="58EB3475" w14:textId="061F8AC3">
            <w:pPr>
              <w:tabs>
                <w:tab w:val="left" w:pos="720"/>
              </w:tabs>
              <w:rPr>
                <w:rFonts w:ascii="Arial" w:hAnsi="Arial"/>
                <w:sz w:val="16"/>
              </w:rPr>
            </w:pPr>
            <w:r>
              <w:rPr>
                <w:rFonts w:ascii="Arial" w:hAnsi="Arial"/>
                <w:sz w:val="16"/>
              </w:rPr>
              <w:t xml:space="preserve">Patent </w:t>
            </w:r>
            <w:r w:rsidR="000662FD">
              <w:rPr>
                <w:rFonts w:ascii="Arial" w:hAnsi="Arial"/>
                <w:sz w:val="16"/>
              </w:rPr>
              <w:t>Pro Bono</w:t>
            </w:r>
            <w:r>
              <w:rPr>
                <w:rFonts w:ascii="Arial" w:hAnsi="Arial"/>
                <w:sz w:val="16"/>
              </w:rPr>
              <w:t xml:space="preserve"> Survey</w:t>
            </w:r>
            <w:r w:rsidR="008C5F8F">
              <w:rPr>
                <w:rFonts w:ascii="Arial" w:hAnsi="Arial"/>
                <w:sz w:val="16"/>
              </w:rPr>
              <w:t xml:space="preserve"> </w:t>
            </w:r>
          </w:p>
        </w:tc>
        <w:tc>
          <w:tcPr>
            <w:tcW w:w="1350" w:type="dxa"/>
          </w:tcPr>
          <w:p w:rsidR="00476089" w:rsidP="00D858ED" w14:paraId="52485D58" w14:textId="77777777">
            <w:pPr>
              <w:tabs>
                <w:tab w:val="left" w:pos="720"/>
              </w:tabs>
              <w:jc w:val="center"/>
              <w:rPr>
                <w:rFonts w:ascii="Arial" w:hAnsi="Arial"/>
                <w:sz w:val="16"/>
              </w:rPr>
            </w:pPr>
          </w:p>
          <w:p w:rsidR="00476089" w:rsidP="00D858ED" w14:paraId="3D31E7F0" w14:textId="5679A3AD">
            <w:pPr>
              <w:tabs>
                <w:tab w:val="left" w:pos="720"/>
              </w:tabs>
              <w:jc w:val="center"/>
              <w:rPr>
                <w:rFonts w:ascii="Arial" w:hAnsi="Arial"/>
                <w:sz w:val="16"/>
              </w:rPr>
            </w:pPr>
            <w:r>
              <w:rPr>
                <w:rFonts w:ascii="Arial" w:hAnsi="Arial"/>
                <w:sz w:val="16"/>
              </w:rPr>
              <w:t>US</w:t>
            </w:r>
            <w:r w:rsidR="00EC042E">
              <w:rPr>
                <w:rFonts w:ascii="Arial" w:hAnsi="Arial"/>
                <w:sz w:val="16"/>
              </w:rPr>
              <w:t>PTO</w:t>
            </w:r>
            <w:r>
              <w:rPr>
                <w:rFonts w:ascii="Arial" w:hAnsi="Arial"/>
                <w:sz w:val="16"/>
              </w:rPr>
              <w:t>/</w:t>
            </w:r>
            <w:r w:rsidR="00A16696">
              <w:rPr>
                <w:rFonts w:ascii="Arial" w:hAnsi="Arial"/>
                <w:sz w:val="16"/>
              </w:rPr>
              <w:t>550</w:t>
            </w:r>
          </w:p>
        </w:tc>
        <w:tc>
          <w:tcPr>
            <w:tcW w:w="5153" w:type="dxa"/>
          </w:tcPr>
          <w:p w:rsidR="00476089" w:rsidRPr="002C4BFA" w:rsidP="00D858ED" w14:paraId="3E9BBC67" w14:textId="21168A60">
            <w:pPr>
              <w:pStyle w:val="ListParagraph"/>
              <w:numPr>
                <w:ilvl w:val="0"/>
                <w:numId w:val="9"/>
              </w:numPr>
              <w:spacing w:before="60"/>
              <w:ind w:left="230" w:hanging="187"/>
              <w:jc w:val="both"/>
              <w:rPr>
                <w:rFonts w:ascii="Arial" w:hAnsi="Arial"/>
                <w:sz w:val="16"/>
              </w:rPr>
            </w:pPr>
            <w:r>
              <w:rPr>
                <w:rFonts w:ascii="Arial" w:hAnsi="Arial"/>
                <w:sz w:val="16"/>
              </w:rPr>
              <w:t xml:space="preserve">Used by regional </w:t>
            </w:r>
            <w:r w:rsidR="00993FC6">
              <w:rPr>
                <w:rFonts w:ascii="Arial" w:hAnsi="Arial"/>
                <w:sz w:val="16"/>
              </w:rPr>
              <w:t xml:space="preserve">hub </w:t>
            </w:r>
            <w:r>
              <w:rPr>
                <w:rFonts w:ascii="Arial" w:hAnsi="Arial"/>
                <w:sz w:val="16"/>
              </w:rPr>
              <w:t xml:space="preserve">administrators to provide information to the USPTO regarding the current status and effectiveness of their region’s </w:t>
            </w:r>
            <w:r w:rsidRPr="00D858ED">
              <w:rPr>
                <w:rFonts w:ascii="Arial" w:hAnsi="Arial"/>
                <w:i/>
                <w:iCs/>
                <w:sz w:val="16"/>
              </w:rPr>
              <w:t>pro bono</w:t>
            </w:r>
            <w:r>
              <w:rPr>
                <w:rFonts w:ascii="Arial" w:hAnsi="Arial"/>
                <w:sz w:val="16"/>
              </w:rPr>
              <w:t xml:space="preserve"> </w:t>
            </w:r>
            <w:r w:rsidR="00A70A8C">
              <w:rPr>
                <w:rFonts w:ascii="Arial" w:hAnsi="Arial"/>
                <w:sz w:val="16"/>
              </w:rPr>
              <w:t>hub</w:t>
            </w:r>
            <w:r>
              <w:rPr>
                <w:rFonts w:ascii="Arial" w:hAnsi="Arial"/>
                <w:sz w:val="16"/>
              </w:rPr>
              <w:t>.</w:t>
            </w:r>
          </w:p>
          <w:p w:rsidR="00476089" w:rsidRPr="002C4BFA" w:rsidP="00D858ED" w14:paraId="77978991" w14:textId="02E9BD4A">
            <w:pPr>
              <w:pStyle w:val="ListParagraph"/>
              <w:numPr>
                <w:ilvl w:val="0"/>
                <w:numId w:val="9"/>
              </w:numPr>
              <w:ind w:left="229" w:hanging="180"/>
              <w:jc w:val="both"/>
              <w:rPr>
                <w:rFonts w:ascii="Arial" w:hAnsi="Arial"/>
                <w:sz w:val="16"/>
              </w:rPr>
            </w:pPr>
            <w:r>
              <w:rPr>
                <w:rFonts w:ascii="Arial" w:hAnsi="Arial"/>
                <w:sz w:val="16"/>
              </w:rPr>
              <w:t xml:space="preserve">Used by the USPTO and the PBAC to evaluate the effectiveness of each regional </w:t>
            </w:r>
            <w:r w:rsidRPr="00D858ED">
              <w:rPr>
                <w:rFonts w:ascii="Arial" w:hAnsi="Arial"/>
                <w:i/>
                <w:iCs/>
                <w:sz w:val="16"/>
              </w:rPr>
              <w:t>pro bono</w:t>
            </w:r>
            <w:r>
              <w:rPr>
                <w:rFonts w:ascii="Arial" w:hAnsi="Arial"/>
                <w:sz w:val="16"/>
              </w:rPr>
              <w:t xml:space="preserve"> </w:t>
            </w:r>
            <w:r w:rsidR="00A70A8C">
              <w:rPr>
                <w:rFonts w:ascii="Arial" w:hAnsi="Arial"/>
                <w:sz w:val="16"/>
              </w:rPr>
              <w:t xml:space="preserve">hub </w:t>
            </w:r>
            <w:r>
              <w:rPr>
                <w:rFonts w:ascii="Arial" w:hAnsi="Arial"/>
                <w:sz w:val="16"/>
              </w:rPr>
              <w:t xml:space="preserve">to help inform determinations regarding future support for or actions involving those </w:t>
            </w:r>
            <w:r w:rsidR="00A70A8C">
              <w:rPr>
                <w:rFonts w:ascii="Arial" w:hAnsi="Arial"/>
                <w:sz w:val="16"/>
              </w:rPr>
              <w:t>hubs</w:t>
            </w:r>
            <w:r>
              <w:rPr>
                <w:rFonts w:ascii="Arial" w:hAnsi="Arial"/>
                <w:sz w:val="16"/>
              </w:rPr>
              <w:t xml:space="preserve">. </w:t>
            </w:r>
          </w:p>
          <w:p w:rsidR="00476089" w:rsidRPr="00F0632D" w:rsidP="00D858ED" w14:paraId="0B856AD4" w14:textId="08A4C138">
            <w:pPr>
              <w:pStyle w:val="ListParagraph"/>
              <w:numPr>
                <w:ilvl w:val="0"/>
                <w:numId w:val="9"/>
              </w:numPr>
              <w:ind w:left="229" w:hanging="180"/>
              <w:jc w:val="both"/>
              <w:rPr>
                <w:rFonts w:ascii="Arial" w:hAnsi="Arial"/>
                <w:sz w:val="16"/>
              </w:rPr>
            </w:pPr>
            <w:r w:rsidRPr="00F0632D">
              <w:rPr>
                <w:rFonts w:ascii="Arial" w:hAnsi="Arial"/>
                <w:sz w:val="16"/>
              </w:rPr>
              <w:t xml:space="preserve">Used by the USPTO to publish summary metrics about </w:t>
            </w:r>
            <w:r>
              <w:rPr>
                <w:rFonts w:ascii="Arial" w:hAnsi="Arial"/>
                <w:sz w:val="16"/>
              </w:rPr>
              <w:t xml:space="preserve">all of </w:t>
            </w:r>
            <w:r w:rsidRPr="00F0632D">
              <w:rPr>
                <w:rFonts w:ascii="Arial" w:hAnsi="Arial"/>
                <w:sz w:val="16"/>
              </w:rPr>
              <w:t xml:space="preserve">the pro bono </w:t>
            </w:r>
            <w:r w:rsidR="00993FC6">
              <w:rPr>
                <w:rFonts w:ascii="Arial" w:hAnsi="Arial"/>
                <w:sz w:val="16"/>
              </w:rPr>
              <w:t>regional hubs</w:t>
            </w:r>
            <w:r w:rsidRPr="00F0632D">
              <w:rPr>
                <w:rFonts w:ascii="Arial" w:hAnsi="Arial"/>
                <w:sz w:val="16"/>
              </w:rPr>
              <w:t xml:space="preserve"> and to publish metrics regarding the performance of</w:t>
            </w:r>
            <w:r w:rsidR="001C51D2">
              <w:rPr>
                <w:rFonts w:ascii="Arial" w:hAnsi="Arial"/>
                <w:sz w:val="16"/>
              </w:rPr>
              <w:t xml:space="preserve"> </w:t>
            </w:r>
            <w:r w:rsidRPr="00F0632D">
              <w:rPr>
                <w:rFonts w:ascii="Arial" w:hAnsi="Arial"/>
                <w:sz w:val="16"/>
              </w:rPr>
              <w:t xml:space="preserve">individual </w:t>
            </w:r>
            <w:r w:rsidR="00993FC6">
              <w:rPr>
                <w:rFonts w:ascii="Arial" w:hAnsi="Arial"/>
                <w:sz w:val="16"/>
              </w:rPr>
              <w:t>regional hubs</w:t>
            </w:r>
            <w:r w:rsidRPr="00F0632D">
              <w:rPr>
                <w:rFonts w:ascii="Arial" w:hAnsi="Arial"/>
                <w:sz w:val="16"/>
              </w:rPr>
              <w:t xml:space="preserve"> in order to promote the </w:t>
            </w:r>
            <w:r w:rsidR="00993FC6">
              <w:rPr>
                <w:rFonts w:ascii="Arial" w:hAnsi="Arial"/>
                <w:sz w:val="16"/>
              </w:rPr>
              <w:t>regional hubs</w:t>
            </w:r>
            <w:r w:rsidRPr="00F0632D">
              <w:rPr>
                <w:rFonts w:ascii="Arial" w:hAnsi="Arial"/>
                <w:sz w:val="16"/>
              </w:rPr>
              <w:t xml:space="preserve"> individually and collectively. </w:t>
            </w:r>
          </w:p>
          <w:p w:rsidR="00476089" w:rsidP="009F0F73" w14:paraId="185FF0E7" w14:textId="77777777">
            <w:pPr>
              <w:ind w:left="252"/>
              <w:rPr>
                <w:rFonts w:ascii="Arial" w:hAnsi="Arial"/>
                <w:sz w:val="16"/>
              </w:rPr>
            </w:pPr>
            <w:r>
              <w:rPr>
                <w:rFonts w:ascii="Arial" w:hAnsi="Arial"/>
                <w:sz w:val="16"/>
              </w:rPr>
              <w:t xml:space="preserve"> </w:t>
            </w:r>
          </w:p>
        </w:tc>
      </w:tr>
      <w:tr w14:paraId="1807A704" w14:textId="77777777" w:rsidTr="00D858ED">
        <w:tblPrEx>
          <w:tblW w:w="9360" w:type="dxa"/>
          <w:tblInd w:w="108" w:type="dxa"/>
          <w:tblLayout w:type="fixed"/>
          <w:tblLook w:val="0000"/>
        </w:tblPrEx>
        <w:tc>
          <w:tcPr>
            <w:tcW w:w="877" w:type="dxa"/>
          </w:tcPr>
          <w:p w:rsidR="00925A38" w:rsidRPr="000718D1" w:rsidP="005F5C74" w14:paraId="4FC989C8" w14:textId="45580B00">
            <w:pPr>
              <w:tabs>
                <w:tab w:val="left" w:pos="720"/>
              </w:tabs>
              <w:jc w:val="center"/>
              <w:rPr>
                <w:rFonts w:ascii="Arial" w:hAnsi="Arial"/>
                <w:b/>
                <w:sz w:val="16"/>
              </w:rPr>
            </w:pPr>
            <w:r>
              <w:rPr>
                <w:rFonts w:ascii="Arial" w:hAnsi="Arial"/>
                <w:b/>
                <w:sz w:val="16"/>
              </w:rPr>
              <w:t>2</w:t>
            </w:r>
          </w:p>
        </w:tc>
        <w:tc>
          <w:tcPr>
            <w:tcW w:w="1980" w:type="dxa"/>
          </w:tcPr>
          <w:p w:rsidR="00925A38" w:rsidRPr="00655E24" w:rsidP="00EC042E" w14:paraId="01B7A5E3" w14:textId="4D62C1CE">
            <w:pPr>
              <w:tabs>
                <w:tab w:val="left" w:pos="720"/>
              </w:tabs>
              <w:rPr>
                <w:rFonts w:ascii="Arial" w:hAnsi="Arial"/>
                <w:bCs/>
                <w:sz w:val="16"/>
              </w:rPr>
            </w:pPr>
            <w:r w:rsidRPr="00BD140B">
              <w:rPr>
                <w:rFonts w:ascii="Arial" w:hAnsi="Arial"/>
                <w:bCs/>
                <w:sz w:val="16"/>
              </w:rPr>
              <w:t>PTAB Pro Bono Survey</w:t>
            </w:r>
          </w:p>
        </w:tc>
        <w:tc>
          <w:tcPr>
            <w:tcW w:w="1350" w:type="dxa"/>
          </w:tcPr>
          <w:p w:rsidR="00925A38" w:rsidRPr="00655E24" w:rsidP="00D858ED" w14:paraId="7D639BF9" w14:textId="4B1D3D8B">
            <w:pPr>
              <w:tabs>
                <w:tab w:val="left" w:pos="720"/>
              </w:tabs>
              <w:jc w:val="center"/>
              <w:rPr>
                <w:rFonts w:ascii="Arial" w:hAnsi="Arial"/>
                <w:sz w:val="16"/>
              </w:rPr>
            </w:pPr>
            <w:r>
              <w:rPr>
                <w:rFonts w:ascii="Arial" w:hAnsi="Arial"/>
                <w:sz w:val="16"/>
              </w:rPr>
              <w:t>USPTO/552</w:t>
            </w:r>
          </w:p>
        </w:tc>
        <w:tc>
          <w:tcPr>
            <w:tcW w:w="5153" w:type="dxa"/>
          </w:tcPr>
          <w:p w:rsidR="0008546F" w:rsidRPr="002C4BFA" w:rsidP="00D858ED" w14:paraId="4A7DC8F5" w14:textId="47DB6A7A">
            <w:pPr>
              <w:pStyle w:val="ListParagraph"/>
              <w:numPr>
                <w:ilvl w:val="0"/>
                <w:numId w:val="9"/>
              </w:numPr>
              <w:spacing w:before="60"/>
              <w:ind w:left="230" w:hanging="187"/>
              <w:jc w:val="both"/>
              <w:rPr>
                <w:rFonts w:ascii="Arial" w:hAnsi="Arial"/>
                <w:sz w:val="16"/>
              </w:rPr>
            </w:pPr>
            <w:r>
              <w:rPr>
                <w:rFonts w:ascii="Arial" w:hAnsi="Arial"/>
                <w:sz w:val="16"/>
              </w:rPr>
              <w:t>Used by administrators at national clearinghouse to provide information to the USPTO regarding the current status and effectiveness of their national clearinghouse.</w:t>
            </w:r>
          </w:p>
          <w:p w:rsidR="0008546F" w:rsidRPr="002C4BFA" w:rsidP="00D858ED" w14:paraId="6B348E67" w14:textId="0633DB8E">
            <w:pPr>
              <w:pStyle w:val="ListParagraph"/>
              <w:numPr>
                <w:ilvl w:val="0"/>
                <w:numId w:val="9"/>
              </w:numPr>
              <w:ind w:left="229" w:hanging="180"/>
              <w:jc w:val="both"/>
              <w:rPr>
                <w:rFonts w:ascii="Arial" w:hAnsi="Arial"/>
                <w:sz w:val="16"/>
              </w:rPr>
            </w:pPr>
            <w:r>
              <w:rPr>
                <w:rFonts w:ascii="Arial" w:hAnsi="Arial"/>
                <w:sz w:val="16"/>
              </w:rPr>
              <w:t xml:space="preserve">Used by the USPTO and the stakeholders to evaluate the effectiveness of the national clearinghouse to help inform determinations regarding future support for or actions involving the national clearinghouse. </w:t>
            </w:r>
          </w:p>
          <w:p w:rsidR="00925A38" w:rsidRPr="00655E24" w:rsidP="00D858ED" w14:paraId="7163AD98" w14:textId="65E7E4F6">
            <w:pPr>
              <w:pStyle w:val="ListParagraph"/>
              <w:numPr>
                <w:ilvl w:val="0"/>
                <w:numId w:val="9"/>
              </w:numPr>
              <w:ind w:left="229" w:hanging="180"/>
              <w:jc w:val="both"/>
              <w:rPr>
                <w:rFonts w:ascii="Arial" w:hAnsi="Arial"/>
                <w:sz w:val="16"/>
              </w:rPr>
            </w:pPr>
            <w:r w:rsidRPr="00F0632D">
              <w:rPr>
                <w:rFonts w:ascii="Arial" w:hAnsi="Arial"/>
                <w:sz w:val="16"/>
              </w:rPr>
              <w:t xml:space="preserve">Used by the USPTO to publish summary metrics about </w:t>
            </w:r>
            <w:r>
              <w:rPr>
                <w:rFonts w:ascii="Arial" w:hAnsi="Arial"/>
                <w:sz w:val="16"/>
              </w:rPr>
              <w:t xml:space="preserve">all of </w:t>
            </w:r>
            <w:r w:rsidRPr="00F0632D">
              <w:rPr>
                <w:rFonts w:ascii="Arial" w:hAnsi="Arial"/>
                <w:sz w:val="16"/>
              </w:rPr>
              <w:t xml:space="preserve">the </w:t>
            </w:r>
            <w:r>
              <w:rPr>
                <w:rFonts w:ascii="Arial" w:hAnsi="Arial"/>
                <w:sz w:val="16"/>
              </w:rPr>
              <w:t>national clearinghouse</w:t>
            </w:r>
            <w:r w:rsidRPr="00F0632D">
              <w:rPr>
                <w:rFonts w:ascii="Arial" w:hAnsi="Arial"/>
                <w:sz w:val="16"/>
              </w:rPr>
              <w:t xml:space="preserve"> and to publish metrics regarding the performance of</w:t>
            </w:r>
            <w:r>
              <w:rPr>
                <w:rFonts w:ascii="Arial" w:hAnsi="Arial"/>
                <w:sz w:val="16"/>
              </w:rPr>
              <w:t xml:space="preserve"> national clearinghouse</w:t>
            </w:r>
            <w:r w:rsidRPr="00F0632D">
              <w:rPr>
                <w:rFonts w:ascii="Arial" w:hAnsi="Arial"/>
                <w:sz w:val="16"/>
              </w:rPr>
              <w:t xml:space="preserve"> in order to promote the </w:t>
            </w:r>
            <w:r>
              <w:rPr>
                <w:rFonts w:ascii="Arial" w:hAnsi="Arial"/>
                <w:sz w:val="16"/>
              </w:rPr>
              <w:t>PTAB Pro Bono Program</w:t>
            </w:r>
            <w:r w:rsidRPr="00F0632D">
              <w:rPr>
                <w:rFonts w:ascii="Arial" w:hAnsi="Arial"/>
                <w:sz w:val="16"/>
              </w:rPr>
              <w:t xml:space="preserve">. </w:t>
            </w:r>
          </w:p>
        </w:tc>
      </w:tr>
    </w:tbl>
    <w:p w:rsidR="00B765A5" w:rsidP="00B765A5" w14:paraId="0BEC4DCD" w14:textId="77777777">
      <w:pPr>
        <w:tabs>
          <w:tab w:val="left" w:pos="720"/>
        </w:tabs>
        <w:jc w:val="both"/>
        <w:rPr>
          <w:rFonts w:ascii="Arial" w:hAnsi="Arial"/>
          <w:b/>
          <w:sz w:val="24"/>
        </w:rPr>
      </w:pPr>
    </w:p>
    <w:p w:rsidR="0056363B" w:rsidRPr="0056363B" w:rsidP="00F56BB3" w14:paraId="2813DDA3" w14:textId="34190EE6">
      <w:pPr>
        <w:numPr>
          <w:ilvl w:val="0"/>
          <w:numId w:val="10"/>
        </w:numPr>
        <w:tabs>
          <w:tab w:val="left" w:pos="720"/>
        </w:tabs>
        <w:jc w:val="both"/>
        <w:rPr>
          <w:rFonts w:ascii="Arial" w:hAnsi="Arial"/>
          <w:b/>
          <w:sz w:val="24"/>
        </w:rPr>
      </w:pPr>
      <w:r w:rsidRPr="0056363B">
        <w:rPr>
          <w:rFonts w:ascii="Arial" w:hAnsi="Arial"/>
          <w:b/>
          <w:sz w:val="24"/>
        </w:rPr>
        <w:t xml:space="preserve">Describe whether, and to what extent, the collection of information involves the use of automated, electronic, mechanical, or other technological </w:t>
      </w:r>
      <w:r w:rsidR="00724099">
        <w:rPr>
          <w:rFonts w:ascii="Arial" w:hAnsi="Arial"/>
          <w:b/>
          <w:sz w:val="24"/>
        </w:rPr>
        <w:t xml:space="preserve">information </w:t>
      </w:r>
      <w:r w:rsidRPr="0056363B">
        <w:rPr>
          <w:rFonts w:ascii="Arial" w:hAnsi="Arial"/>
          <w:b/>
          <w:sz w:val="24"/>
        </w:rPr>
        <w:t>collection techniques or other forms of informati</w:t>
      </w:r>
      <w:r w:rsidR="00F56BB3">
        <w:rPr>
          <w:rFonts w:ascii="Arial" w:hAnsi="Arial"/>
          <w:b/>
          <w:sz w:val="24"/>
        </w:rPr>
        <w:t xml:space="preserve">on technology, e.g., permitting </w:t>
      </w:r>
      <w:r w:rsidRPr="0056363B">
        <w:rPr>
          <w:rFonts w:ascii="Arial" w:hAnsi="Arial"/>
          <w:b/>
          <w:sz w:val="24"/>
        </w:rPr>
        <w:t>electronic submission of responses, and the basis for the decision for adopting this means of information collection. Also describe any consideration of using information technology to reduce burden.</w:t>
      </w:r>
    </w:p>
    <w:p w:rsidR="00B765A5" w:rsidP="00B765A5" w14:paraId="32CCD256" w14:textId="6DF5D552">
      <w:pPr>
        <w:tabs>
          <w:tab w:val="left" w:pos="720"/>
        </w:tabs>
        <w:jc w:val="both"/>
        <w:rPr>
          <w:rFonts w:ascii="Arial" w:hAnsi="Arial"/>
          <w:sz w:val="24"/>
        </w:rPr>
      </w:pPr>
    </w:p>
    <w:p w:rsidR="00925A38" w:rsidP="00476089" w14:paraId="01AC790C" w14:textId="0498E047">
      <w:pPr>
        <w:tabs>
          <w:tab w:val="left" w:pos="720"/>
        </w:tabs>
        <w:jc w:val="both"/>
        <w:rPr>
          <w:rFonts w:ascii="Arial" w:hAnsi="Arial"/>
          <w:sz w:val="24"/>
        </w:rPr>
      </w:pPr>
      <w:r>
        <w:rPr>
          <w:rFonts w:ascii="Arial" w:hAnsi="Arial"/>
          <w:sz w:val="24"/>
        </w:rPr>
        <w:t xml:space="preserve">The information collected through the </w:t>
      </w:r>
      <w:r w:rsidRPr="00BD140B" w:rsidR="00353CDA">
        <w:rPr>
          <w:rFonts w:ascii="Arial" w:hAnsi="Arial" w:cs="Arial"/>
          <w:i/>
          <w:sz w:val="24"/>
        </w:rPr>
        <w:t>p</w:t>
      </w:r>
      <w:r w:rsidRPr="00BD140B" w:rsidR="004A401A">
        <w:rPr>
          <w:rFonts w:ascii="Arial" w:hAnsi="Arial" w:cs="Arial"/>
          <w:i/>
          <w:sz w:val="24"/>
        </w:rPr>
        <w:t xml:space="preserve">ro </w:t>
      </w:r>
      <w:r w:rsidRPr="00BD140B" w:rsidR="00353CDA">
        <w:rPr>
          <w:rFonts w:ascii="Arial" w:hAnsi="Arial" w:cs="Arial"/>
          <w:i/>
          <w:sz w:val="24"/>
        </w:rPr>
        <w:t>b</w:t>
      </w:r>
      <w:r w:rsidRPr="00BD140B" w:rsidR="004A401A">
        <w:rPr>
          <w:rFonts w:ascii="Arial" w:hAnsi="Arial" w:cs="Arial"/>
          <w:i/>
          <w:sz w:val="24"/>
        </w:rPr>
        <w:t>ono</w:t>
      </w:r>
      <w:r w:rsidRPr="00F24612" w:rsidR="004A401A">
        <w:rPr>
          <w:rFonts w:ascii="Arial" w:hAnsi="Arial" w:cs="Arial"/>
          <w:sz w:val="24"/>
        </w:rPr>
        <w:t xml:space="preserve"> </w:t>
      </w:r>
      <w:r w:rsidR="005720EA">
        <w:rPr>
          <w:rFonts w:ascii="Arial" w:hAnsi="Arial" w:cs="Arial"/>
          <w:sz w:val="24"/>
        </w:rPr>
        <w:t>programs</w:t>
      </w:r>
      <w:r w:rsidR="004A401A">
        <w:rPr>
          <w:rFonts w:ascii="Arial" w:hAnsi="Arial" w:cs="Arial"/>
          <w:sz w:val="24"/>
        </w:rPr>
        <w:t xml:space="preserve"> </w:t>
      </w:r>
      <w:r>
        <w:rPr>
          <w:rFonts w:ascii="Arial" w:hAnsi="Arial"/>
          <w:sz w:val="24"/>
        </w:rPr>
        <w:t xml:space="preserve">will only be collected </w:t>
      </w:r>
      <w:r w:rsidR="00AB5DF7">
        <w:rPr>
          <w:rFonts w:ascii="Arial" w:hAnsi="Arial"/>
          <w:sz w:val="24"/>
        </w:rPr>
        <w:t xml:space="preserve">through online survey tools and electronically submitted by </w:t>
      </w:r>
      <w:r w:rsidR="005720EA">
        <w:rPr>
          <w:rFonts w:ascii="Arial" w:hAnsi="Arial"/>
          <w:sz w:val="24"/>
        </w:rPr>
        <w:t>program</w:t>
      </w:r>
      <w:r w:rsidR="00993FC6">
        <w:rPr>
          <w:rFonts w:ascii="Arial" w:hAnsi="Arial"/>
          <w:sz w:val="24"/>
        </w:rPr>
        <w:t xml:space="preserve"> </w:t>
      </w:r>
      <w:r w:rsidR="00AB5DF7">
        <w:rPr>
          <w:rFonts w:ascii="Arial" w:hAnsi="Arial"/>
          <w:sz w:val="24"/>
        </w:rPr>
        <w:t>administrators.</w:t>
      </w:r>
      <w:r w:rsidR="00D06736">
        <w:rPr>
          <w:rFonts w:ascii="Arial" w:hAnsi="Arial"/>
          <w:sz w:val="24"/>
        </w:rPr>
        <w:t xml:space="preserve"> </w:t>
      </w:r>
      <w:r w:rsidR="00DD4A97">
        <w:rPr>
          <w:rFonts w:ascii="Arial" w:hAnsi="Arial"/>
          <w:sz w:val="24"/>
        </w:rPr>
        <w:t>No paper or other non-electronic methods of submission are envisioned for the survey</w:t>
      </w:r>
      <w:r w:rsidR="00D06736">
        <w:rPr>
          <w:rFonts w:ascii="Arial" w:hAnsi="Arial"/>
          <w:sz w:val="24"/>
        </w:rPr>
        <w:t>s</w:t>
      </w:r>
      <w:r w:rsidR="00DD4A97">
        <w:rPr>
          <w:rFonts w:ascii="Arial" w:hAnsi="Arial"/>
          <w:sz w:val="24"/>
        </w:rPr>
        <w:t>.</w:t>
      </w:r>
      <w:r w:rsidR="00932309">
        <w:rPr>
          <w:rFonts w:ascii="Arial" w:hAnsi="Arial"/>
          <w:sz w:val="24"/>
        </w:rPr>
        <w:t xml:space="preserve"> </w:t>
      </w:r>
      <w:r w:rsidR="004D2159">
        <w:rPr>
          <w:rFonts w:ascii="Arial" w:hAnsi="Arial"/>
          <w:sz w:val="24"/>
        </w:rPr>
        <w:t>R</w:t>
      </w:r>
      <w:r w:rsidR="00DD4A97">
        <w:rPr>
          <w:rFonts w:ascii="Arial" w:hAnsi="Arial"/>
          <w:sz w:val="24"/>
        </w:rPr>
        <w:t>egional program</w:t>
      </w:r>
      <w:r w:rsidR="004D2159">
        <w:rPr>
          <w:rFonts w:ascii="Arial" w:hAnsi="Arial"/>
          <w:sz w:val="24"/>
        </w:rPr>
        <w:t>s and the national clearinghouse</w:t>
      </w:r>
      <w:r w:rsidR="00DD4A97">
        <w:rPr>
          <w:rFonts w:ascii="Arial" w:hAnsi="Arial"/>
          <w:sz w:val="24"/>
        </w:rPr>
        <w:t xml:space="preserve"> </w:t>
      </w:r>
      <w:r w:rsidR="004D2159">
        <w:rPr>
          <w:rFonts w:ascii="Arial" w:hAnsi="Arial"/>
          <w:sz w:val="24"/>
        </w:rPr>
        <w:t>may</w:t>
      </w:r>
      <w:r w:rsidR="00DD4A97">
        <w:rPr>
          <w:rFonts w:ascii="Arial" w:hAnsi="Arial"/>
          <w:sz w:val="24"/>
        </w:rPr>
        <w:t xml:space="preserve"> provide other formats to reach their participants</w:t>
      </w:r>
      <w:r w:rsidR="00152127">
        <w:rPr>
          <w:rFonts w:ascii="Arial" w:hAnsi="Arial"/>
          <w:sz w:val="24"/>
        </w:rPr>
        <w:t xml:space="preserve">. </w:t>
      </w:r>
    </w:p>
    <w:p w:rsidR="00B765A5" w:rsidP="00B765A5" w14:paraId="09CECAC9" w14:textId="77777777">
      <w:pPr>
        <w:tabs>
          <w:tab w:val="left" w:pos="720"/>
        </w:tabs>
        <w:jc w:val="both"/>
        <w:rPr>
          <w:rFonts w:ascii="Arial" w:hAnsi="Arial"/>
          <w:sz w:val="24"/>
        </w:rPr>
      </w:pPr>
    </w:p>
    <w:p w:rsidR="0056363B" w:rsidRPr="0056363B" w:rsidP="00F56BB3" w14:paraId="1EBE46CC" w14:textId="561A38FC">
      <w:pPr>
        <w:numPr>
          <w:ilvl w:val="0"/>
          <w:numId w:val="10"/>
        </w:numPr>
        <w:tabs>
          <w:tab w:val="left" w:pos="720"/>
        </w:tabs>
        <w:jc w:val="both"/>
        <w:rPr>
          <w:rFonts w:ascii="Arial" w:hAnsi="Arial"/>
          <w:b/>
          <w:sz w:val="24"/>
        </w:rPr>
      </w:pPr>
      <w:r w:rsidRPr="0056363B">
        <w:rPr>
          <w:rFonts w:ascii="Arial" w:hAnsi="Arial"/>
          <w:b/>
          <w:sz w:val="24"/>
        </w:rPr>
        <w:t xml:space="preserve">Describe efforts to identify duplication. Show specifically why any similar information already available cannot be used or modified for use for the purposes described in Item 2 above. </w:t>
      </w:r>
    </w:p>
    <w:p w:rsidR="00B765A5" w:rsidP="00B765A5" w14:paraId="671F976A" w14:textId="4FC6F553">
      <w:pPr>
        <w:tabs>
          <w:tab w:val="left" w:pos="720"/>
        </w:tabs>
        <w:jc w:val="both"/>
        <w:rPr>
          <w:rFonts w:ascii="Arial" w:hAnsi="Arial"/>
          <w:sz w:val="24"/>
        </w:rPr>
      </w:pPr>
    </w:p>
    <w:p w:rsidR="00EF0AD6" w:rsidP="00B765A5" w14:paraId="5FDA8BC1" w14:textId="77E0AA14">
      <w:pPr>
        <w:tabs>
          <w:tab w:val="left" w:pos="720"/>
        </w:tabs>
        <w:jc w:val="both"/>
        <w:rPr>
          <w:rFonts w:ascii="Arial" w:hAnsi="Arial"/>
          <w:sz w:val="24"/>
        </w:rPr>
      </w:pPr>
      <w:r>
        <w:rPr>
          <w:rFonts w:ascii="Arial" w:hAnsi="Arial"/>
          <w:sz w:val="24"/>
        </w:rPr>
        <w:t>USPTO collects this information from</w:t>
      </w:r>
      <w:r w:rsidR="001B4C9E">
        <w:rPr>
          <w:rFonts w:ascii="Arial" w:hAnsi="Arial"/>
          <w:sz w:val="24"/>
        </w:rPr>
        <w:t xml:space="preserve"> </w:t>
      </w:r>
      <w:r w:rsidR="005720EA">
        <w:rPr>
          <w:rFonts w:ascii="Arial" w:hAnsi="Arial"/>
          <w:sz w:val="24"/>
        </w:rPr>
        <w:t>program</w:t>
      </w:r>
      <w:r w:rsidR="00993FC6">
        <w:rPr>
          <w:rFonts w:ascii="Arial" w:hAnsi="Arial"/>
          <w:sz w:val="24"/>
        </w:rPr>
        <w:t xml:space="preserve"> </w:t>
      </w:r>
      <w:r w:rsidR="001B4C9E">
        <w:rPr>
          <w:rFonts w:ascii="Arial" w:hAnsi="Arial"/>
          <w:sz w:val="24"/>
        </w:rPr>
        <w:t>administrators on a quarterly basis.</w:t>
      </w:r>
      <w:r w:rsidR="00BD140B">
        <w:rPr>
          <w:rFonts w:ascii="Arial" w:hAnsi="Arial"/>
          <w:sz w:val="24"/>
        </w:rPr>
        <w:t xml:space="preserve"> </w:t>
      </w:r>
      <w:r w:rsidR="001B4C9E">
        <w:rPr>
          <w:rFonts w:ascii="Arial" w:hAnsi="Arial"/>
          <w:sz w:val="24"/>
        </w:rPr>
        <w:t>It does not duplicate information or collect data that could be found elsewhere</w:t>
      </w:r>
      <w:r w:rsidR="008B77B5">
        <w:rPr>
          <w:rFonts w:ascii="Arial" w:hAnsi="Arial"/>
          <w:sz w:val="24"/>
        </w:rPr>
        <w:t>; it functions as the source dat</w:t>
      </w:r>
      <w:r w:rsidR="00D52784">
        <w:rPr>
          <w:rFonts w:ascii="Arial" w:hAnsi="Arial"/>
          <w:sz w:val="24"/>
        </w:rPr>
        <w:t xml:space="preserve">a for regional </w:t>
      </w:r>
      <w:r w:rsidR="00993FC6">
        <w:rPr>
          <w:rFonts w:ascii="Arial" w:hAnsi="Arial"/>
          <w:sz w:val="24"/>
        </w:rPr>
        <w:t>hub</w:t>
      </w:r>
      <w:r w:rsidR="00D06736">
        <w:rPr>
          <w:rFonts w:ascii="Arial" w:hAnsi="Arial"/>
          <w:sz w:val="24"/>
        </w:rPr>
        <w:t>s</w:t>
      </w:r>
      <w:r w:rsidR="00993FC6">
        <w:rPr>
          <w:rFonts w:ascii="Arial" w:hAnsi="Arial"/>
          <w:sz w:val="24"/>
        </w:rPr>
        <w:t xml:space="preserve"> </w:t>
      </w:r>
      <w:r w:rsidR="00D06736">
        <w:rPr>
          <w:rFonts w:ascii="Arial" w:hAnsi="Arial"/>
          <w:sz w:val="24"/>
        </w:rPr>
        <w:t>and/</w:t>
      </w:r>
      <w:r w:rsidR="00BC3241">
        <w:rPr>
          <w:rFonts w:ascii="Arial" w:hAnsi="Arial"/>
          <w:sz w:val="24"/>
        </w:rPr>
        <w:t xml:space="preserve">or national clearinghouse </w:t>
      </w:r>
      <w:r w:rsidR="00D52784">
        <w:rPr>
          <w:rFonts w:ascii="Arial" w:hAnsi="Arial"/>
          <w:sz w:val="24"/>
        </w:rPr>
        <w:t xml:space="preserve">statistics, and may </w:t>
      </w:r>
      <w:r w:rsidR="00D67D23">
        <w:rPr>
          <w:rFonts w:ascii="Arial" w:hAnsi="Arial"/>
          <w:sz w:val="24"/>
        </w:rPr>
        <w:t>later be</w:t>
      </w:r>
      <w:r w:rsidR="00D52784">
        <w:rPr>
          <w:rFonts w:ascii="Arial" w:hAnsi="Arial"/>
          <w:sz w:val="24"/>
        </w:rPr>
        <w:t xml:space="preserve"> used by the </w:t>
      </w:r>
      <w:r w:rsidR="005720EA">
        <w:rPr>
          <w:rFonts w:ascii="Arial" w:hAnsi="Arial"/>
          <w:sz w:val="24"/>
        </w:rPr>
        <w:t>organization</w:t>
      </w:r>
      <w:r w:rsidR="00BC3241">
        <w:rPr>
          <w:rFonts w:ascii="Arial" w:hAnsi="Arial"/>
          <w:sz w:val="24"/>
        </w:rPr>
        <w:t>s</w:t>
      </w:r>
      <w:r w:rsidR="005720EA">
        <w:rPr>
          <w:rFonts w:ascii="Arial" w:hAnsi="Arial"/>
          <w:sz w:val="24"/>
        </w:rPr>
        <w:t xml:space="preserve"> that </w:t>
      </w:r>
      <w:r w:rsidR="00BC3241">
        <w:rPr>
          <w:rFonts w:ascii="Arial" w:hAnsi="Arial"/>
          <w:sz w:val="24"/>
        </w:rPr>
        <w:t xml:space="preserve">participate in </w:t>
      </w:r>
      <w:r w:rsidR="005720EA">
        <w:rPr>
          <w:rFonts w:ascii="Arial" w:hAnsi="Arial"/>
          <w:sz w:val="24"/>
        </w:rPr>
        <w:t>the</w:t>
      </w:r>
      <w:r w:rsidR="00D06736">
        <w:rPr>
          <w:rFonts w:ascii="Arial" w:hAnsi="Arial"/>
          <w:sz w:val="24"/>
        </w:rPr>
        <w:t>se</w:t>
      </w:r>
      <w:r w:rsidR="005720EA">
        <w:rPr>
          <w:rFonts w:ascii="Arial" w:hAnsi="Arial"/>
          <w:sz w:val="24"/>
        </w:rPr>
        <w:t xml:space="preserve"> program</w:t>
      </w:r>
      <w:r w:rsidR="00D06736">
        <w:rPr>
          <w:rFonts w:ascii="Arial" w:hAnsi="Arial"/>
          <w:sz w:val="24"/>
        </w:rPr>
        <w:t>s</w:t>
      </w:r>
      <w:r w:rsidR="00993FC6">
        <w:rPr>
          <w:rFonts w:ascii="Arial" w:hAnsi="Arial"/>
          <w:sz w:val="24"/>
        </w:rPr>
        <w:t xml:space="preserve"> </w:t>
      </w:r>
      <w:r w:rsidR="00D52784">
        <w:rPr>
          <w:rFonts w:ascii="Arial" w:hAnsi="Arial"/>
          <w:sz w:val="24"/>
        </w:rPr>
        <w:t xml:space="preserve">at their </w:t>
      </w:r>
      <w:r w:rsidR="005720EA">
        <w:rPr>
          <w:rFonts w:ascii="Arial" w:hAnsi="Arial"/>
          <w:sz w:val="24"/>
        </w:rPr>
        <w:t xml:space="preserve">own </w:t>
      </w:r>
      <w:r w:rsidR="00D52784">
        <w:rPr>
          <w:rFonts w:ascii="Arial" w:hAnsi="Arial"/>
          <w:sz w:val="24"/>
        </w:rPr>
        <w:t>discretion.</w:t>
      </w:r>
      <w:r w:rsidR="001C51D2">
        <w:rPr>
          <w:rFonts w:ascii="Arial" w:hAnsi="Arial"/>
          <w:sz w:val="24"/>
        </w:rPr>
        <w:t xml:space="preserve"> </w:t>
      </w:r>
      <w:r w:rsidR="001B4C9E">
        <w:rPr>
          <w:rFonts w:ascii="Arial" w:hAnsi="Arial"/>
          <w:sz w:val="24"/>
        </w:rPr>
        <w:t xml:space="preserve"> </w:t>
      </w:r>
    </w:p>
    <w:p w:rsidR="00B765A5" w:rsidP="00B765A5" w14:paraId="2D3671EF" w14:textId="77777777">
      <w:pPr>
        <w:tabs>
          <w:tab w:val="left" w:pos="720"/>
        </w:tabs>
        <w:jc w:val="both"/>
        <w:rPr>
          <w:rFonts w:ascii="Arial" w:hAnsi="Arial"/>
          <w:sz w:val="24"/>
        </w:rPr>
      </w:pPr>
    </w:p>
    <w:p w:rsidR="00B765A5" w:rsidRPr="0056363B" w:rsidP="00F56BB3" w14:paraId="1CBDB053" w14:textId="5C778EA1">
      <w:pPr>
        <w:pStyle w:val="ListParagraph"/>
        <w:numPr>
          <w:ilvl w:val="0"/>
          <w:numId w:val="10"/>
        </w:numPr>
        <w:jc w:val="both"/>
        <w:rPr>
          <w:rFonts w:ascii="Arial" w:hAnsi="Arial"/>
          <w:b/>
          <w:sz w:val="24"/>
        </w:rPr>
      </w:pPr>
      <w:r w:rsidRPr="0056363B">
        <w:rPr>
          <w:rFonts w:ascii="Arial" w:hAnsi="Arial"/>
          <w:b/>
          <w:sz w:val="24"/>
        </w:rPr>
        <w:t>If the collection of information impacts small businesses or other small entities, describe any methods used to minimize burden.</w:t>
      </w:r>
    </w:p>
    <w:p w:rsidR="00B765A5" w:rsidP="00B765A5" w14:paraId="3422131B" w14:textId="77777777">
      <w:pPr>
        <w:jc w:val="both"/>
        <w:rPr>
          <w:rFonts w:ascii="Arial" w:hAnsi="Arial"/>
          <w:b/>
          <w:sz w:val="24"/>
        </w:rPr>
      </w:pPr>
    </w:p>
    <w:p w:rsidR="00476089" w:rsidP="00476089" w14:paraId="1A43BA11" w14:textId="21A49672">
      <w:pPr>
        <w:jc w:val="both"/>
        <w:rPr>
          <w:rFonts w:ascii="Arial" w:hAnsi="Arial"/>
          <w:sz w:val="24"/>
        </w:rPr>
      </w:pPr>
      <w:r>
        <w:rPr>
          <w:rFonts w:ascii="Arial" w:hAnsi="Arial"/>
          <w:sz w:val="24"/>
        </w:rPr>
        <w:t>Small business entity status is determined by the Small Business Administration.</w:t>
      </w:r>
      <w:r w:rsidR="00D06736">
        <w:rPr>
          <w:rFonts w:ascii="Arial" w:hAnsi="Arial"/>
          <w:sz w:val="24"/>
        </w:rPr>
        <w:t xml:space="preserve"> </w:t>
      </w:r>
      <w:r>
        <w:rPr>
          <w:rFonts w:ascii="Arial" w:hAnsi="Arial"/>
          <w:sz w:val="24"/>
        </w:rPr>
        <w:t xml:space="preserve">As small non-profits, many of the </w:t>
      </w:r>
      <w:r w:rsidR="00993FC6">
        <w:rPr>
          <w:rFonts w:ascii="Arial" w:hAnsi="Arial"/>
          <w:sz w:val="24"/>
        </w:rPr>
        <w:t>regional hubs</w:t>
      </w:r>
      <w:r w:rsidR="003B4E18">
        <w:rPr>
          <w:rFonts w:ascii="Arial" w:hAnsi="Arial"/>
          <w:sz w:val="24"/>
        </w:rPr>
        <w:t xml:space="preserve"> and national clearinghouse</w:t>
      </w:r>
      <w:r>
        <w:rPr>
          <w:rFonts w:ascii="Arial" w:hAnsi="Arial"/>
          <w:sz w:val="24"/>
        </w:rPr>
        <w:t xml:space="preserve"> are small entities. </w:t>
      </w:r>
      <w:r w:rsidR="00F95191">
        <w:rPr>
          <w:rFonts w:ascii="Arial" w:hAnsi="Arial"/>
          <w:sz w:val="24"/>
        </w:rPr>
        <w:t>No</w:t>
      </w:r>
      <w:r>
        <w:rPr>
          <w:rFonts w:ascii="Arial" w:hAnsi="Arial"/>
          <w:sz w:val="24"/>
        </w:rPr>
        <w:t xml:space="preserve"> specific change in rules, processing, fees, or other factors benefit one categorical entity over another in this </w:t>
      </w:r>
      <w:r w:rsidR="00724099">
        <w:rPr>
          <w:rFonts w:ascii="Arial" w:hAnsi="Arial"/>
          <w:sz w:val="24"/>
        </w:rPr>
        <w:t xml:space="preserve">information </w:t>
      </w:r>
      <w:r>
        <w:rPr>
          <w:rFonts w:ascii="Arial" w:hAnsi="Arial"/>
          <w:sz w:val="24"/>
        </w:rPr>
        <w:t>collection.</w:t>
      </w:r>
      <w:r w:rsidR="00D06736">
        <w:rPr>
          <w:rFonts w:ascii="Arial" w:hAnsi="Arial"/>
          <w:sz w:val="24"/>
        </w:rPr>
        <w:t xml:space="preserve"> </w:t>
      </w:r>
      <w:r w:rsidR="00F95191">
        <w:rPr>
          <w:rFonts w:ascii="Arial" w:hAnsi="Arial"/>
          <w:sz w:val="24"/>
        </w:rPr>
        <w:t>Therefore, the</w:t>
      </w:r>
      <w:r w:rsidR="0038418D">
        <w:rPr>
          <w:rFonts w:ascii="Arial" w:hAnsi="Arial"/>
          <w:sz w:val="24"/>
        </w:rPr>
        <w:t xml:space="preserve"> </w:t>
      </w:r>
      <w:r w:rsidR="000662FD">
        <w:rPr>
          <w:rFonts w:ascii="Arial" w:hAnsi="Arial"/>
          <w:sz w:val="24"/>
        </w:rPr>
        <w:t>Pro Bono S</w:t>
      </w:r>
      <w:r>
        <w:rPr>
          <w:rFonts w:ascii="Arial" w:hAnsi="Arial"/>
          <w:sz w:val="24"/>
        </w:rPr>
        <w:t>urvey</w:t>
      </w:r>
      <w:r w:rsidR="00F95191">
        <w:rPr>
          <w:rFonts w:ascii="Arial" w:hAnsi="Arial"/>
          <w:sz w:val="24"/>
        </w:rPr>
        <w:t>s</w:t>
      </w:r>
      <w:r>
        <w:rPr>
          <w:rFonts w:ascii="Arial" w:hAnsi="Arial"/>
          <w:sz w:val="24"/>
        </w:rPr>
        <w:t xml:space="preserve">, which </w:t>
      </w:r>
      <w:r w:rsidR="00F95191">
        <w:rPr>
          <w:rFonts w:ascii="Arial" w:hAnsi="Arial"/>
          <w:sz w:val="24"/>
        </w:rPr>
        <w:t>are</w:t>
      </w:r>
      <w:r>
        <w:rPr>
          <w:rFonts w:ascii="Arial" w:hAnsi="Arial"/>
          <w:sz w:val="24"/>
        </w:rPr>
        <w:t xml:space="preserve"> an essential part of the </w:t>
      </w:r>
      <w:r w:rsidR="00F95191">
        <w:rPr>
          <w:rFonts w:ascii="Arial" w:hAnsi="Arial"/>
          <w:sz w:val="24"/>
        </w:rPr>
        <w:t xml:space="preserve">respective </w:t>
      </w:r>
      <w:r w:rsidRPr="008F4141" w:rsidR="00F95191">
        <w:rPr>
          <w:rFonts w:ascii="Arial" w:hAnsi="Arial"/>
          <w:i/>
          <w:sz w:val="24"/>
        </w:rPr>
        <w:t>p</w:t>
      </w:r>
      <w:r w:rsidRPr="008F4141" w:rsidR="007A4508">
        <w:rPr>
          <w:rFonts w:ascii="Arial" w:hAnsi="Arial"/>
          <w:i/>
          <w:sz w:val="24"/>
        </w:rPr>
        <w:t xml:space="preserve">ro </w:t>
      </w:r>
      <w:r w:rsidRPr="008F4141" w:rsidR="00F95191">
        <w:rPr>
          <w:rFonts w:ascii="Arial" w:hAnsi="Arial"/>
          <w:i/>
          <w:sz w:val="24"/>
        </w:rPr>
        <w:t>b</w:t>
      </w:r>
      <w:r w:rsidRPr="008F4141" w:rsidR="007A4508">
        <w:rPr>
          <w:rFonts w:ascii="Arial" w:hAnsi="Arial"/>
          <w:i/>
          <w:sz w:val="24"/>
        </w:rPr>
        <w:t>ono</w:t>
      </w:r>
      <w:r w:rsidR="007A4508">
        <w:rPr>
          <w:rFonts w:ascii="Arial" w:hAnsi="Arial"/>
          <w:sz w:val="24"/>
        </w:rPr>
        <w:t xml:space="preserve"> </w:t>
      </w:r>
      <w:r w:rsidR="00F95191">
        <w:rPr>
          <w:rFonts w:ascii="Arial" w:hAnsi="Arial"/>
          <w:sz w:val="24"/>
        </w:rPr>
        <w:t>p</w:t>
      </w:r>
      <w:r w:rsidR="007A4508">
        <w:rPr>
          <w:rFonts w:ascii="Arial" w:hAnsi="Arial"/>
          <w:sz w:val="24"/>
        </w:rPr>
        <w:t>rogram</w:t>
      </w:r>
      <w:r w:rsidR="00F95191">
        <w:rPr>
          <w:rFonts w:ascii="Arial" w:hAnsi="Arial"/>
          <w:sz w:val="24"/>
        </w:rPr>
        <w:t>s</w:t>
      </w:r>
      <w:r>
        <w:rPr>
          <w:rFonts w:ascii="Arial" w:hAnsi="Arial"/>
          <w:sz w:val="24"/>
        </w:rPr>
        <w:t xml:space="preserve">, place an equally low burden on </w:t>
      </w:r>
      <w:r w:rsidR="00F95191">
        <w:rPr>
          <w:rFonts w:ascii="Arial" w:hAnsi="Arial"/>
          <w:sz w:val="24"/>
        </w:rPr>
        <w:t xml:space="preserve">the </w:t>
      </w:r>
      <w:r>
        <w:rPr>
          <w:rFonts w:ascii="Arial" w:hAnsi="Arial"/>
          <w:sz w:val="24"/>
        </w:rPr>
        <w:t xml:space="preserve">regional </w:t>
      </w:r>
      <w:r w:rsidR="00993FC6">
        <w:rPr>
          <w:rFonts w:ascii="Arial" w:hAnsi="Arial"/>
          <w:sz w:val="24"/>
        </w:rPr>
        <w:t>hub</w:t>
      </w:r>
      <w:r w:rsidR="00F95191">
        <w:rPr>
          <w:rFonts w:ascii="Arial" w:hAnsi="Arial"/>
          <w:sz w:val="24"/>
        </w:rPr>
        <w:t xml:space="preserve"> and </w:t>
      </w:r>
      <w:r w:rsidR="008F4141">
        <w:rPr>
          <w:rFonts w:ascii="Arial" w:hAnsi="Arial"/>
          <w:sz w:val="24"/>
        </w:rPr>
        <w:t xml:space="preserve">national </w:t>
      </w:r>
      <w:r w:rsidR="00F95191">
        <w:rPr>
          <w:rFonts w:ascii="Arial" w:hAnsi="Arial"/>
          <w:sz w:val="24"/>
        </w:rPr>
        <w:t>clearinghouse</w:t>
      </w:r>
      <w:r w:rsidR="00993FC6">
        <w:rPr>
          <w:rFonts w:ascii="Arial" w:hAnsi="Arial"/>
          <w:sz w:val="24"/>
        </w:rPr>
        <w:t xml:space="preserve"> </w:t>
      </w:r>
      <w:r>
        <w:rPr>
          <w:rFonts w:ascii="Arial" w:hAnsi="Arial"/>
          <w:sz w:val="24"/>
        </w:rPr>
        <w:t>administrator</w:t>
      </w:r>
      <w:r w:rsidR="00F95191">
        <w:rPr>
          <w:rFonts w:ascii="Arial" w:hAnsi="Arial"/>
          <w:sz w:val="24"/>
        </w:rPr>
        <w:t>s</w:t>
      </w:r>
      <w:r>
        <w:rPr>
          <w:rFonts w:ascii="Arial" w:hAnsi="Arial"/>
          <w:sz w:val="24"/>
        </w:rPr>
        <w:t>.</w:t>
      </w:r>
      <w:r w:rsidR="001C51D2">
        <w:rPr>
          <w:rFonts w:ascii="Arial" w:hAnsi="Arial"/>
          <w:sz w:val="24"/>
        </w:rPr>
        <w:t xml:space="preserve"> </w:t>
      </w:r>
    </w:p>
    <w:p w:rsidR="00341AB9" w:rsidP="00476089" w14:paraId="49D729D6" w14:textId="25A3F2A4">
      <w:pPr>
        <w:jc w:val="both"/>
        <w:rPr>
          <w:rFonts w:ascii="Arial" w:hAnsi="Arial"/>
          <w:sz w:val="24"/>
        </w:rPr>
      </w:pPr>
    </w:p>
    <w:p w:rsidR="00DE7B37" w:rsidP="0038418D" w14:paraId="72E6CD85" w14:textId="77777777">
      <w:pPr>
        <w:jc w:val="both"/>
        <w:rPr>
          <w:rFonts w:ascii="Arial" w:hAnsi="Arial"/>
          <w:sz w:val="24"/>
        </w:rPr>
      </w:pPr>
    </w:p>
    <w:p w:rsidR="0038418D" w:rsidP="4C607349" w14:paraId="59800FD8" w14:textId="7BDA2135">
      <w:pPr>
        <w:jc w:val="both"/>
        <w:rPr>
          <w:rFonts w:ascii="Arial" w:hAnsi="Arial" w:cs="Arial"/>
          <w:sz w:val="24"/>
          <w:szCs w:val="24"/>
        </w:rPr>
      </w:pPr>
      <w:r w:rsidRPr="4C607349">
        <w:rPr>
          <w:rFonts w:ascii="Arial" w:hAnsi="Arial"/>
          <w:sz w:val="24"/>
          <w:szCs w:val="24"/>
        </w:rPr>
        <w:t xml:space="preserve">For the PTAB Pro Bono Program, the USPTO collaborated with </w:t>
      </w:r>
      <w:r w:rsidRPr="4C607349" w:rsidR="69CA0ADB">
        <w:rPr>
          <w:rFonts w:ascii="Arial" w:hAnsi="Arial"/>
          <w:sz w:val="24"/>
          <w:szCs w:val="24"/>
        </w:rPr>
        <w:t>the PTAB Bar Assoc.</w:t>
      </w:r>
      <w:r w:rsidRPr="4C607349" w:rsidR="15D3B42E">
        <w:rPr>
          <w:rFonts w:ascii="Arial" w:hAnsi="Arial"/>
          <w:sz w:val="24"/>
          <w:szCs w:val="24"/>
        </w:rPr>
        <w:t xml:space="preserve"> regarding </w:t>
      </w:r>
      <w:r w:rsidRPr="4C607349" w:rsidR="03BCD74F">
        <w:rPr>
          <w:rFonts w:ascii="Arial" w:hAnsi="Arial"/>
          <w:sz w:val="24"/>
          <w:szCs w:val="24"/>
        </w:rPr>
        <w:t>data collection</w:t>
      </w:r>
      <w:r w:rsidRPr="4C607349" w:rsidR="15D3B42E">
        <w:rPr>
          <w:rFonts w:ascii="Arial" w:hAnsi="Arial"/>
          <w:sz w:val="24"/>
          <w:szCs w:val="24"/>
        </w:rPr>
        <w:t>.</w:t>
      </w:r>
      <w:r w:rsidRPr="4C607349" w:rsidR="69CA0ADB">
        <w:rPr>
          <w:rFonts w:ascii="Arial" w:hAnsi="Arial"/>
          <w:sz w:val="24"/>
          <w:szCs w:val="24"/>
        </w:rPr>
        <w:t xml:space="preserve"> The USPTO and the PTAB Bar Assoc. </w:t>
      </w:r>
      <w:r w:rsidRPr="4C607349" w:rsidR="1EBCE66C">
        <w:rPr>
          <w:rFonts w:ascii="Arial" w:hAnsi="Arial"/>
          <w:sz w:val="24"/>
          <w:szCs w:val="24"/>
        </w:rPr>
        <w:t xml:space="preserve">worked with IP stakeholders to </w:t>
      </w:r>
      <w:r w:rsidRPr="4C607349" w:rsidR="5CBE5213">
        <w:rPr>
          <w:rFonts w:ascii="Arial" w:hAnsi="Arial"/>
          <w:sz w:val="24"/>
          <w:szCs w:val="24"/>
        </w:rPr>
        <w:t xml:space="preserve">minimize any potential impact of the data collection on the PTAB Bar Assoc. Specifically, the USPTO and PTAB Bar Assoc. </w:t>
      </w:r>
      <w:r w:rsidRPr="4C607349" w:rsidR="340A6D95">
        <w:rPr>
          <w:rFonts w:ascii="Arial" w:hAnsi="Arial"/>
          <w:sz w:val="24"/>
          <w:szCs w:val="24"/>
        </w:rPr>
        <w:t xml:space="preserve">kept the reported fields to a minimum </w:t>
      </w:r>
      <w:r w:rsidRPr="4C607349" w:rsidR="0961A633">
        <w:rPr>
          <w:rFonts w:ascii="Arial" w:hAnsi="Arial"/>
          <w:sz w:val="24"/>
          <w:szCs w:val="24"/>
        </w:rPr>
        <w:t xml:space="preserve">requiring only those field necessary for determining </w:t>
      </w:r>
      <w:r w:rsidRPr="4C607349" w:rsidR="15D3B42E">
        <w:rPr>
          <w:rFonts w:ascii="Arial" w:hAnsi="Arial"/>
          <w:sz w:val="24"/>
          <w:szCs w:val="24"/>
        </w:rPr>
        <w:t xml:space="preserve">critical </w:t>
      </w:r>
      <w:r w:rsidRPr="4C607349" w:rsidR="0961A633">
        <w:rPr>
          <w:rFonts w:ascii="Arial" w:hAnsi="Arial"/>
          <w:sz w:val="24"/>
          <w:szCs w:val="24"/>
        </w:rPr>
        <w:t>referral operations.  This</w:t>
      </w:r>
      <w:r w:rsidRPr="4C607349" w:rsidR="5CBE5213">
        <w:rPr>
          <w:rFonts w:ascii="Arial" w:hAnsi="Arial"/>
          <w:sz w:val="24"/>
          <w:szCs w:val="24"/>
        </w:rPr>
        <w:t xml:space="preserve"> reduce</w:t>
      </w:r>
      <w:r w:rsidRPr="4C607349" w:rsidR="0961A633">
        <w:rPr>
          <w:rFonts w:ascii="Arial" w:hAnsi="Arial"/>
          <w:sz w:val="24"/>
          <w:szCs w:val="24"/>
        </w:rPr>
        <w:t>s</w:t>
      </w:r>
      <w:r w:rsidRPr="4C607349" w:rsidR="5CBE5213">
        <w:rPr>
          <w:rFonts w:ascii="Arial" w:hAnsi="Arial"/>
          <w:sz w:val="24"/>
          <w:szCs w:val="24"/>
        </w:rPr>
        <w:t xml:space="preserve"> the </w:t>
      </w:r>
      <w:r w:rsidRPr="4C607349" w:rsidR="03BCD74F">
        <w:rPr>
          <w:rFonts w:ascii="Arial" w:hAnsi="Arial"/>
          <w:sz w:val="24"/>
          <w:szCs w:val="24"/>
        </w:rPr>
        <w:t xml:space="preserve">overall </w:t>
      </w:r>
      <w:r w:rsidRPr="4C607349" w:rsidR="5CBE5213">
        <w:rPr>
          <w:rFonts w:ascii="Arial" w:hAnsi="Arial"/>
          <w:sz w:val="24"/>
          <w:szCs w:val="24"/>
        </w:rPr>
        <w:t xml:space="preserve">amount of data </w:t>
      </w:r>
      <w:r w:rsidRPr="4C607349" w:rsidR="03BCD74F">
        <w:rPr>
          <w:rFonts w:ascii="Arial" w:hAnsi="Arial"/>
          <w:sz w:val="24"/>
          <w:szCs w:val="24"/>
        </w:rPr>
        <w:t>being collected</w:t>
      </w:r>
      <w:r w:rsidRPr="4C607349" w:rsidR="5CBE5213">
        <w:rPr>
          <w:rFonts w:ascii="Arial" w:hAnsi="Arial"/>
          <w:sz w:val="24"/>
          <w:szCs w:val="24"/>
        </w:rPr>
        <w:t>.</w:t>
      </w:r>
      <w:r w:rsidRPr="4C607349" w:rsidR="03BCD74F">
        <w:rPr>
          <w:rFonts w:ascii="Arial" w:hAnsi="Arial"/>
          <w:sz w:val="24"/>
          <w:szCs w:val="24"/>
        </w:rPr>
        <w:t xml:space="preserve"> There will be an initial impact on the PTAB Bar Assoc. to set up the tool to capture </w:t>
      </w:r>
      <w:r w:rsidRPr="4C607349" w:rsidR="0961A633">
        <w:rPr>
          <w:rFonts w:ascii="Arial" w:hAnsi="Arial"/>
          <w:sz w:val="24"/>
          <w:szCs w:val="24"/>
        </w:rPr>
        <w:t>applicant</w:t>
      </w:r>
      <w:r w:rsidRPr="4C607349">
        <w:rPr>
          <w:rFonts w:ascii="Arial" w:hAnsi="Arial"/>
          <w:sz w:val="24"/>
          <w:szCs w:val="24"/>
        </w:rPr>
        <w:t xml:space="preserve"> </w:t>
      </w:r>
      <w:r w:rsidRPr="4C607349" w:rsidR="03BCD74F">
        <w:rPr>
          <w:rFonts w:ascii="Arial" w:hAnsi="Arial"/>
          <w:sz w:val="24"/>
          <w:szCs w:val="24"/>
        </w:rPr>
        <w:t>information and to organize this information for reporting to the USPTO via the PTAB Pro Bono Survey Form</w:t>
      </w:r>
      <w:r w:rsidRPr="4C607349" w:rsidR="0961A633">
        <w:rPr>
          <w:rFonts w:ascii="Arial" w:hAnsi="Arial"/>
          <w:sz w:val="24"/>
          <w:szCs w:val="24"/>
        </w:rPr>
        <w:t>, b</w:t>
      </w:r>
      <w:r w:rsidRPr="4C607349" w:rsidR="03BCD74F">
        <w:rPr>
          <w:rFonts w:ascii="Arial" w:hAnsi="Arial"/>
          <w:sz w:val="24"/>
          <w:szCs w:val="24"/>
        </w:rPr>
        <w:t xml:space="preserve">ut </w:t>
      </w:r>
      <w:r w:rsidRPr="4C607349" w:rsidR="33B5CB86">
        <w:rPr>
          <w:rFonts w:ascii="Arial" w:hAnsi="Arial"/>
          <w:sz w:val="24"/>
          <w:szCs w:val="24"/>
        </w:rPr>
        <w:t>the</w:t>
      </w:r>
      <w:r w:rsidRPr="4C607349" w:rsidR="03BCD74F">
        <w:rPr>
          <w:rFonts w:ascii="Arial" w:hAnsi="Arial"/>
          <w:sz w:val="24"/>
          <w:szCs w:val="24"/>
        </w:rPr>
        <w:t xml:space="preserve"> initial set up </w:t>
      </w:r>
      <w:r w:rsidRPr="4C607349" w:rsidR="646E4729">
        <w:rPr>
          <w:rFonts w:ascii="Arial" w:hAnsi="Arial"/>
          <w:sz w:val="24"/>
          <w:szCs w:val="24"/>
        </w:rPr>
        <w:t xml:space="preserve">impact is small and will </w:t>
      </w:r>
      <w:r w:rsidRPr="4C607349" w:rsidR="0961A633">
        <w:rPr>
          <w:rFonts w:ascii="Arial" w:hAnsi="Arial"/>
          <w:sz w:val="24"/>
          <w:szCs w:val="24"/>
        </w:rPr>
        <w:t xml:space="preserve">reduce any </w:t>
      </w:r>
      <w:r w:rsidRPr="4C607349" w:rsidR="193E6C15">
        <w:rPr>
          <w:rFonts w:ascii="Arial" w:hAnsi="Arial"/>
          <w:sz w:val="24"/>
          <w:szCs w:val="24"/>
        </w:rPr>
        <w:t>long-term</w:t>
      </w:r>
      <w:r w:rsidRPr="4C607349" w:rsidR="0961A633">
        <w:rPr>
          <w:rFonts w:ascii="Arial" w:hAnsi="Arial"/>
          <w:sz w:val="24"/>
          <w:szCs w:val="24"/>
        </w:rPr>
        <w:t xml:space="preserve"> impacts </w:t>
      </w:r>
      <w:r w:rsidRPr="4C607349" w:rsidR="22AEFCE9">
        <w:rPr>
          <w:rFonts w:ascii="Arial" w:hAnsi="Arial"/>
          <w:sz w:val="24"/>
          <w:szCs w:val="24"/>
        </w:rPr>
        <w:t>associated with</w:t>
      </w:r>
      <w:r w:rsidRPr="4C607349" w:rsidR="0961A633">
        <w:rPr>
          <w:rFonts w:ascii="Arial" w:hAnsi="Arial"/>
          <w:sz w:val="24"/>
          <w:szCs w:val="24"/>
        </w:rPr>
        <w:t xml:space="preserve"> </w:t>
      </w:r>
      <w:r w:rsidRPr="4C607349" w:rsidR="33B5CB86">
        <w:rPr>
          <w:rFonts w:ascii="Arial" w:hAnsi="Arial"/>
          <w:sz w:val="24"/>
          <w:szCs w:val="24"/>
        </w:rPr>
        <w:t xml:space="preserve">the </w:t>
      </w:r>
      <w:r w:rsidRPr="4C607349" w:rsidR="0961A633">
        <w:rPr>
          <w:rFonts w:ascii="Arial" w:hAnsi="Arial"/>
          <w:sz w:val="24"/>
          <w:szCs w:val="24"/>
        </w:rPr>
        <w:t xml:space="preserve">repeated reporting of data.  </w:t>
      </w:r>
      <w:r w:rsidRPr="4C607349" w:rsidR="03BCD74F">
        <w:rPr>
          <w:rFonts w:ascii="Arial" w:hAnsi="Arial"/>
          <w:sz w:val="24"/>
          <w:szCs w:val="24"/>
        </w:rPr>
        <w:t xml:space="preserve"> </w:t>
      </w:r>
    </w:p>
    <w:p w:rsidR="00B765A5" w:rsidP="00B765A5" w14:paraId="3345EE0D" w14:textId="77777777">
      <w:pPr>
        <w:jc w:val="both"/>
        <w:rPr>
          <w:rFonts w:ascii="Arial" w:hAnsi="Arial"/>
          <w:sz w:val="24"/>
        </w:rPr>
      </w:pPr>
    </w:p>
    <w:p w:rsidR="00B765A5" w:rsidRPr="0056363B" w:rsidP="0056363B" w14:paraId="1CCA3454" w14:textId="7A38DA13">
      <w:pPr>
        <w:pStyle w:val="ListParagraph"/>
        <w:numPr>
          <w:ilvl w:val="0"/>
          <w:numId w:val="10"/>
        </w:numPr>
        <w:jc w:val="both"/>
        <w:rPr>
          <w:rFonts w:ascii="Arial" w:hAnsi="Arial"/>
          <w:b/>
          <w:sz w:val="24"/>
        </w:rPr>
      </w:pPr>
      <w:r w:rsidRPr="0056363B">
        <w:rPr>
          <w:rFonts w:ascii="Arial" w:hAnsi="Arial"/>
          <w:b/>
          <w:sz w:val="24"/>
        </w:rPr>
        <w:t xml:space="preserve">Describe the consequence to </w:t>
      </w:r>
      <w:r w:rsidR="00185D73">
        <w:rPr>
          <w:rFonts w:ascii="Arial" w:hAnsi="Arial"/>
          <w:b/>
          <w:sz w:val="24"/>
        </w:rPr>
        <w:t>f</w:t>
      </w:r>
      <w:r w:rsidRPr="0056363B">
        <w:rPr>
          <w:rFonts w:ascii="Arial" w:hAnsi="Arial"/>
          <w:b/>
          <w:sz w:val="24"/>
        </w:rPr>
        <w:t>ederal program or policy activities if the information collection is not conducted or is conducted less frequently, as well as any technical or legal obstacles to reducing burden.</w:t>
      </w:r>
    </w:p>
    <w:p w:rsidR="00B765A5" w:rsidP="00B765A5" w14:paraId="1446388F" w14:textId="77777777">
      <w:pPr>
        <w:jc w:val="both"/>
        <w:rPr>
          <w:rFonts w:ascii="Arial" w:hAnsi="Arial"/>
          <w:sz w:val="24"/>
        </w:rPr>
      </w:pPr>
    </w:p>
    <w:p w:rsidR="002F6182" w:rsidP="00476089" w14:paraId="56033706" w14:textId="604B24E2">
      <w:pPr>
        <w:jc w:val="both"/>
        <w:rPr>
          <w:rFonts w:ascii="Arial" w:hAnsi="Arial"/>
          <w:sz w:val="24"/>
          <w:szCs w:val="24"/>
        </w:rPr>
      </w:pPr>
      <w:r w:rsidRPr="78FF18BB">
        <w:rPr>
          <w:rFonts w:ascii="Arial" w:hAnsi="Arial"/>
          <w:sz w:val="24"/>
          <w:szCs w:val="24"/>
        </w:rPr>
        <w:t xml:space="preserve">The USPTO </w:t>
      </w:r>
      <w:r w:rsidR="00185D73">
        <w:rPr>
          <w:rFonts w:ascii="Arial" w:hAnsi="Arial"/>
          <w:sz w:val="24"/>
          <w:szCs w:val="24"/>
        </w:rPr>
        <w:t>collects</w:t>
      </w:r>
      <w:r w:rsidRPr="78FF18BB">
        <w:rPr>
          <w:rFonts w:ascii="Arial" w:hAnsi="Arial"/>
          <w:sz w:val="24"/>
          <w:szCs w:val="24"/>
        </w:rPr>
        <w:t xml:space="preserve"> th</w:t>
      </w:r>
      <w:r w:rsidR="001F5CD9">
        <w:rPr>
          <w:rFonts w:ascii="Arial" w:hAnsi="Arial"/>
          <w:sz w:val="24"/>
          <w:szCs w:val="24"/>
        </w:rPr>
        <w:t>e</w:t>
      </w:r>
      <w:r w:rsidRPr="78FF18BB">
        <w:rPr>
          <w:rFonts w:ascii="Arial" w:hAnsi="Arial"/>
          <w:sz w:val="24"/>
          <w:szCs w:val="24"/>
        </w:rPr>
        <w:t xml:space="preserve"> information</w:t>
      </w:r>
      <w:r w:rsidR="001F5CD9">
        <w:rPr>
          <w:rFonts w:ascii="Arial" w:hAnsi="Arial"/>
          <w:sz w:val="24"/>
          <w:szCs w:val="24"/>
        </w:rPr>
        <w:t xml:space="preserve"> under the Patents Pro Bono Program</w:t>
      </w:r>
      <w:r w:rsidRPr="78FF18BB">
        <w:rPr>
          <w:rFonts w:ascii="Arial" w:hAnsi="Arial"/>
          <w:sz w:val="24"/>
          <w:szCs w:val="24"/>
        </w:rPr>
        <w:t xml:space="preserve"> on a quarterly basis in order to </w:t>
      </w:r>
      <w:r w:rsidRPr="78FF18BB" w:rsidR="00D43F76">
        <w:rPr>
          <w:rFonts w:ascii="Arial" w:hAnsi="Arial"/>
          <w:sz w:val="24"/>
          <w:szCs w:val="24"/>
        </w:rPr>
        <w:t>determine</w:t>
      </w:r>
      <w:r w:rsidRPr="78FF18BB">
        <w:rPr>
          <w:rFonts w:ascii="Arial" w:hAnsi="Arial"/>
          <w:sz w:val="24"/>
          <w:szCs w:val="24"/>
        </w:rPr>
        <w:t xml:space="preserve"> the effectiveness of the regional </w:t>
      </w:r>
      <w:r w:rsidRPr="78FF18BB" w:rsidR="00993FC6">
        <w:rPr>
          <w:rFonts w:ascii="Arial" w:hAnsi="Arial"/>
          <w:sz w:val="24"/>
          <w:szCs w:val="24"/>
        </w:rPr>
        <w:t>hub</w:t>
      </w:r>
      <w:r w:rsidRPr="78FF18BB">
        <w:rPr>
          <w:rFonts w:ascii="Arial" w:hAnsi="Arial"/>
          <w:sz w:val="24"/>
          <w:szCs w:val="24"/>
        </w:rPr>
        <w:t>s</w:t>
      </w:r>
      <w:r w:rsidR="00054CE0">
        <w:rPr>
          <w:rFonts w:ascii="Arial" w:hAnsi="Arial"/>
          <w:sz w:val="24"/>
          <w:szCs w:val="24"/>
        </w:rPr>
        <w:t xml:space="preserve"> </w:t>
      </w:r>
      <w:r w:rsidRPr="78FF18BB" w:rsidR="00054CE0">
        <w:rPr>
          <w:rFonts w:ascii="Arial" w:hAnsi="Arial"/>
          <w:sz w:val="24"/>
          <w:szCs w:val="24"/>
        </w:rPr>
        <w:t>and how best to provide additional support to those centers</w:t>
      </w:r>
      <w:r w:rsidR="00054CE0">
        <w:rPr>
          <w:rFonts w:ascii="Arial" w:hAnsi="Arial"/>
          <w:sz w:val="24"/>
          <w:szCs w:val="24"/>
        </w:rPr>
        <w:t>.</w:t>
      </w:r>
      <w:r w:rsidRPr="78FF18BB">
        <w:rPr>
          <w:rFonts w:ascii="Arial" w:hAnsi="Arial"/>
          <w:sz w:val="24"/>
          <w:szCs w:val="24"/>
        </w:rPr>
        <w:t xml:space="preserve"> </w:t>
      </w:r>
      <w:r w:rsidRPr="78FF18BB" w:rsidR="00054CE0">
        <w:rPr>
          <w:rFonts w:ascii="Arial" w:hAnsi="Arial"/>
          <w:sz w:val="24"/>
          <w:szCs w:val="24"/>
        </w:rPr>
        <w:t xml:space="preserve">The USPTO </w:t>
      </w:r>
      <w:r w:rsidR="00054CE0">
        <w:rPr>
          <w:rFonts w:ascii="Arial" w:hAnsi="Arial"/>
          <w:sz w:val="24"/>
          <w:szCs w:val="24"/>
        </w:rPr>
        <w:t>collects</w:t>
      </w:r>
      <w:r w:rsidRPr="78FF18BB" w:rsidR="00054CE0">
        <w:rPr>
          <w:rFonts w:ascii="Arial" w:hAnsi="Arial"/>
          <w:sz w:val="24"/>
          <w:szCs w:val="24"/>
        </w:rPr>
        <w:t xml:space="preserve"> th</w:t>
      </w:r>
      <w:r w:rsidR="00054CE0">
        <w:rPr>
          <w:rFonts w:ascii="Arial" w:hAnsi="Arial"/>
          <w:sz w:val="24"/>
          <w:szCs w:val="24"/>
        </w:rPr>
        <w:t>e</w:t>
      </w:r>
      <w:r w:rsidRPr="78FF18BB" w:rsidR="00054CE0">
        <w:rPr>
          <w:rFonts w:ascii="Arial" w:hAnsi="Arial"/>
          <w:sz w:val="24"/>
          <w:szCs w:val="24"/>
        </w:rPr>
        <w:t xml:space="preserve"> information</w:t>
      </w:r>
      <w:r w:rsidR="00054CE0">
        <w:rPr>
          <w:rFonts w:ascii="Arial" w:hAnsi="Arial"/>
          <w:sz w:val="24"/>
          <w:szCs w:val="24"/>
        </w:rPr>
        <w:t xml:space="preserve"> under the PTAB Pro Bono Program</w:t>
      </w:r>
      <w:r w:rsidRPr="78FF18BB" w:rsidR="00054CE0">
        <w:rPr>
          <w:rFonts w:ascii="Arial" w:hAnsi="Arial"/>
          <w:sz w:val="24"/>
          <w:szCs w:val="24"/>
        </w:rPr>
        <w:t xml:space="preserve"> on a</w:t>
      </w:r>
      <w:r w:rsidR="00054CE0">
        <w:rPr>
          <w:rFonts w:ascii="Arial" w:hAnsi="Arial"/>
          <w:sz w:val="24"/>
          <w:szCs w:val="24"/>
        </w:rPr>
        <w:t xml:space="preserve">n annual basis from the </w:t>
      </w:r>
      <w:r w:rsidRPr="78FF18BB">
        <w:rPr>
          <w:rFonts w:ascii="Arial" w:hAnsi="Arial"/>
          <w:sz w:val="24"/>
          <w:szCs w:val="24"/>
        </w:rPr>
        <w:t>national clearinghouse.</w:t>
      </w:r>
      <w:r w:rsidRPr="78FF18BB" w:rsidR="00D06736">
        <w:rPr>
          <w:rFonts w:ascii="Arial" w:hAnsi="Arial"/>
          <w:sz w:val="24"/>
          <w:szCs w:val="24"/>
        </w:rPr>
        <w:t xml:space="preserve"> </w:t>
      </w:r>
      <w:r w:rsidRPr="78FF18BB" w:rsidR="00537969">
        <w:rPr>
          <w:rFonts w:ascii="Arial" w:hAnsi="Arial"/>
          <w:sz w:val="24"/>
          <w:szCs w:val="24"/>
        </w:rPr>
        <w:t>In general, t</w:t>
      </w:r>
      <w:r w:rsidRPr="78FF18BB">
        <w:rPr>
          <w:rFonts w:ascii="Arial" w:hAnsi="Arial"/>
          <w:sz w:val="24"/>
          <w:szCs w:val="24"/>
        </w:rPr>
        <w:t xml:space="preserve">he USPTO and </w:t>
      </w:r>
      <w:r w:rsidRPr="78FF18BB" w:rsidR="00D06736">
        <w:rPr>
          <w:rFonts w:ascii="Arial" w:hAnsi="Arial"/>
          <w:sz w:val="24"/>
          <w:szCs w:val="24"/>
        </w:rPr>
        <w:t>the regional hubs</w:t>
      </w:r>
      <w:r w:rsidRPr="78FF18BB">
        <w:rPr>
          <w:rFonts w:ascii="Arial" w:hAnsi="Arial"/>
          <w:sz w:val="24"/>
          <w:szCs w:val="24"/>
        </w:rPr>
        <w:t xml:space="preserve"> operate collectively under a MOA, which outlines the roles and responsibilities of the parties. </w:t>
      </w:r>
      <w:r w:rsidRPr="78FF18BB" w:rsidR="00734303">
        <w:rPr>
          <w:rFonts w:ascii="Arial" w:hAnsi="Arial"/>
          <w:sz w:val="24"/>
          <w:szCs w:val="24"/>
        </w:rPr>
        <w:t>Typically</w:t>
      </w:r>
      <w:r w:rsidRPr="78FF18BB" w:rsidR="005F5C74">
        <w:rPr>
          <w:rFonts w:ascii="Arial" w:hAnsi="Arial"/>
          <w:sz w:val="24"/>
          <w:szCs w:val="24"/>
        </w:rPr>
        <w:t xml:space="preserve">, </w:t>
      </w:r>
      <w:r w:rsidRPr="78FF18BB" w:rsidR="00734303">
        <w:rPr>
          <w:rFonts w:ascii="Arial" w:hAnsi="Arial"/>
          <w:sz w:val="24"/>
          <w:szCs w:val="24"/>
        </w:rPr>
        <w:t xml:space="preserve">regional </w:t>
      </w:r>
      <w:r w:rsidRPr="78FF18BB" w:rsidR="005F5C74">
        <w:rPr>
          <w:rFonts w:ascii="Arial" w:hAnsi="Arial"/>
          <w:sz w:val="24"/>
          <w:szCs w:val="24"/>
        </w:rPr>
        <w:t>hubs</w:t>
      </w:r>
      <w:r w:rsidRPr="78FF18BB" w:rsidR="00734303">
        <w:rPr>
          <w:rFonts w:ascii="Arial" w:hAnsi="Arial"/>
          <w:sz w:val="24"/>
          <w:szCs w:val="24"/>
        </w:rPr>
        <w:t xml:space="preserve"> </w:t>
      </w:r>
      <w:r w:rsidRPr="78FF18BB" w:rsidR="008C4076">
        <w:rPr>
          <w:rFonts w:ascii="Arial" w:hAnsi="Arial"/>
          <w:sz w:val="24"/>
          <w:szCs w:val="24"/>
        </w:rPr>
        <w:t>report</w:t>
      </w:r>
      <w:r w:rsidRPr="78FF18BB" w:rsidR="00734303">
        <w:rPr>
          <w:rFonts w:ascii="Arial" w:hAnsi="Arial"/>
          <w:sz w:val="24"/>
          <w:szCs w:val="24"/>
        </w:rPr>
        <w:t xml:space="preserve"> </w:t>
      </w:r>
      <w:r w:rsidRPr="78FF18BB" w:rsidR="007834B0">
        <w:rPr>
          <w:rFonts w:ascii="Arial" w:hAnsi="Arial"/>
          <w:sz w:val="24"/>
          <w:szCs w:val="24"/>
        </w:rPr>
        <w:t>a</w:t>
      </w:r>
      <w:r w:rsidRPr="78FF18BB">
        <w:rPr>
          <w:rFonts w:ascii="Arial" w:hAnsi="Arial"/>
          <w:sz w:val="24"/>
          <w:szCs w:val="24"/>
        </w:rPr>
        <w:t xml:space="preserve"> </w:t>
      </w:r>
      <w:r w:rsidRPr="78FF18BB" w:rsidR="00734303">
        <w:rPr>
          <w:rFonts w:ascii="Arial" w:hAnsi="Arial"/>
          <w:sz w:val="24"/>
          <w:szCs w:val="24"/>
        </w:rPr>
        <w:t>MOA</w:t>
      </w:r>
      <w:r w:rsidRPr="78FF18BB" w:rsidR="005F5C74">
        <w:rPr>
          <w:rFonts w:ascii="Arial" w:hAnsi="Arial"/>
          <w:sz w:val="24"/>
          <w:szCs w:val="24"/>
        </w:rPr>
        <w:t xml:space="preserve"> invoice </w:t>
      </w:r>
      <w:r w:rsidRPr="78FF18BB" w:rsidR="00734303">
        <w:rPr>
          <w:rFonts w:ascii="Arial" w:hAnsi="Arial"/>
          <w:sz w:val="24"/>
          <w:szCs w:val="24"/>
        </w:rPr>
        <w:t xml:space="preserve">on either a </w:t>
      </w:r>
      <w:r w:rsidRPr="78FF18BB" w:rsidR="005F5C74">
        <w:rPr>
          <w:rFonts w:ascii="Arial" w:hAnsi="Arial"/>
          <w:sz w:val="24"/>
          <w:szCs w:val="24"/>
        </w:rPr>
        <w:t xml:space="preserve">monthly </w:t>
      </w:r>
      <w:r w:rsidRPr="78FF18BB" w:rsidR="00734303">
        <w:rPr>
          <w:rFonts w:ascii="Arial" w:hAnsi="Arial"/>
          <w:sz w:val="24"/>
          <w:szCs w:val="24"/>
        </w:rPr>
        <w:t>or</w:t>
      </w:r>
      <w:r w:rsidRPr="78FF18BB" w:rsidR="005F5C74">
        <w:rPr>
          <w:rFonts w:ascii="Arial" w:hAnsi="Arial"/>
          <w:sz w:val="24"/>
          <w:szCs w:val="24"/>
        </w:rPr>
        <w:t xml:space="preserve"> quarterly</w:t>
      </w:r>
      <w:r w:rsidRPr="78FF18BB" w:rsidR="00734303">
        <w:rPr>
          <w:rFonts w:ascii="Arial" w:hAnsi="Arial"/>
          <w:sz w:val="24"/>
          <w:szCs w:val="24"/>
        </w:rPr>
        <w:t xml:space="preserve"> basis</w:t>
      </w:r>
      <w:r w:rsidRPr="78FF18BB" w:rsidR="005F5C74">
        <w:rPr>
          <w:rFonts w:ascii="Arial" w:hAnsi="Arial"/>
          <w:sz w:val="24"/>
          <w:szCs w:val="24"/>
        </w:rPr>
        <w:t xml:space="preserve">, </w:t>
      </w:r>
      <w:r w:rsidRPr="78FF18BB" w:rsidR="008C4076">
        <w:rPr>
          <w:rFonts w:ascii="Arial" w:hAnsi="Arial"/>
          <w:sz w:val="24"/>
          <w:szCs w:val="24"/>
        </w:rPr>
        <w:t xml:space="preserve">which </w:t>
      </w:r>
      <w:r w:rsidRPr="78FF18BB" w:rsidR="005F5C74">
        <w:rPr>
          <w:rFonts w:ascii="Arial" w:hAnsi="Arial"/>
          <w:sz w:val="24"/>
          <w:szCs w:val="24"/>
        </w:rPr>
        <w:t>ensur</w:t>
      </w:r>
      <w:r w:rsidRPr="78FF18BB" w:rsidR="008C4076">
        <w:rPr>
          <w:rFonts w:ascii="Arial" w:hAnsi="Arial"/>
          <w:sz w:val="24"/>
          <w:szCs w:val="24"/>
        </w:rPr>
        <w:t>es</w:t>
      </w:r>
      <w:r w:rsidRPr="78FF18BB" w:rsidR="005F5C74">
        <w:rPr>
          <w:rFonts w:ascii="Arial" w:hAnsi="Arial"/>
          <w:sz w:val="24"/>
          <w:szCs w:val="24"/>
        </w:rPr>
        <w:t xml:space="preserve"> effective oversight of USPTO funds</w:t>
      </w:r>
      <w:r w:rsidRPr="78FF18BB" w:rsidR="008C4076">
        <w:rPr>
          <w:rFonts w:ascii="Arial" w:hAnsi="Arial"/>
          <w:sz w:val="24"/>
          <w:szCs w:val="24"/>
        </w:rPr>
        <w:t xml:space="preserve"> by aligning with the invoicing schedules</w:t>
      </w:r>
      <w:r w:rsidRPr="78FF18BB" w:rsidR="005F5C74">
        <w:rPr>
          <w:rFonts w:ascii="Arial" w:hAnsi="Arial"/>
          <w:sz w:val="24"/>
          <w:szCs w:val="24"/>
        </w:rPr>
        <w:t>.</w:t>
      </w:r>
      <w:r w:rsidRPr="78FF18BB">
        <w:rPr>
          <w:rFonts w:ascii="Arial" w:hAnsi="Arial"/>
          <w:sz w:val="24"/>
          <w:szCs w:val="24"/>
        </w:rPr>
        <w:t xml:space="preserve"> Likewise, the USPTO and national clearinghouse collectively support the PTAB Pro Bono Program under a MOU, which outlines the roles and responsibilities of the parties. This collection of data will provide regular information </w:t>
      </w:r>
      <w:r w:rsidRPr="78FF18BB">
        <w:rPr>
          <w:rFonts w:ascii="Arial" w:hAnsi="Arial"/>
          <w:sz w:val="24"/>
          <w:szCs w:val="24"/>
        </w:rPr>
        <w:t xml:space="preserve">on the administration of the PTAB Pro Bono Program, and allows the USPTO to provide additional support and assistance based on the data as required in the MOU.  </w:t>
      </w:r>
    </w:p>
    <w:p w:rsidR="002F6182" w:rsidP="00476089" w14:paraId="69FB4881" w14:textId="77777777">
      <w:pPr>
        <w:jc w:val="both"/>
        <w:rPr>
          <w:rFonts w:ascii="Arial" w:hAnsi="Arial"/>
          <w:sz w:val="24"/>
        </w:rPr>
      </w:pPr>
    </w:p>
    <w:p w:rsidR="00476089" w:rsidP="00476089" w14:paraId="64F488B5" w14:textId="5B9EA5F2">
      <w:pPr>
        <w:jc w:val="both"/>
        <w:rPr>
          <w:rFonts w:ascii="Arial" w:hAnsi="Arial"/>
          <w:sz w:val="24"/>
          <w:szCs w:val="24"/>
        </w:rPr>
      </w:pPr>
      <w:r w:rsidRPr="78FF18BB">
        <w:rPr>
          <w:rFonts w:ascii="Arial" w:hAnsi="Arial"/>
          <w:sz w:val="24"/>
          <w:szCs w:val="24"/>
        </w:rPr>
        <w:t xml:space="preserve">Less frequent </w:t>
      </w:r>
      <w:r w:rsidRPr="78FF18BB" w:rsidR="0038126F">
        <w:rPr>
          <w:rFonts w:ascii="Arial" w:hAnsi="Arial"/>
          <w:sz w:val="24"/>
          <w:szCs w:val="24"/>
        </w:rPr>
        <w:t xml:space="preserve">data </w:t>
      </w:r>
      <w:r w:rsidRPr="78FF18BB">
        <w:rPr>
          <w:rFonts w:ascii="Arial" w:hAnsi="Arial"/>
          <w:sz w:val="24"/>
          <w:szCs w:val="24"/>
        </w:rPr>
        <w:t xml:space="preserve">collection would reduce the USPTO’s ability to support the </w:t>
      </w:r>
      <w:r w:rsidRPr="78FF18BB" w:rsidR="00993FC6">
        <w:rPr>
          <w:rFonts w:ascii="Arial" w:hAnsi="Arial"/>
          <w:sz w:val="24"/>
          <w:szCs w:val="24"/>
        </w:rPr>
        <w:t>regional hubs</w:t>
      </w:r>
      <w:r w:rsidRPr="78FF18BB" w:rsidR="00E01FF0">
        <w:rPr>
          <w:rFonts w:ascii="Arial" w:hAnsi="Arial"/>
          <w:sz w:val="24"/>
          <w:szCs w:val="24"/>
        </w:rPr>
        <w:t xml:space="preserve"> </w:t>
      </w:r>
      <w:r w:rsidRPr="78FF18BB" w:rsidR="00D06736">
        <w:rPr>
          <w:rFonts w:ascii="Arial" w:hAnsi="Arial"/>
          <w:sz w:val="24"/>
          <w:szCs w:val="24"/>
        </w:rPr>
        <w:t xml:space="preserve">and national clearinghouse </w:t>
      </w:r>
      <w:r w:rsidRPr="78FF18BB">
        <w:rPr>
          <w:rFonts w:ascii="Arial" w:hAnsi="Arial"/>
          <w:sz w:val="24"/>
          <w:szCs w:val="24"/>
        </w:rPr>
        <w:t>in a timely manner</w:t>
      </w:r>
      <w:r w:rsidRPr="78FF18BB" w:rsidR="00E0699E">
        <w:rPr>
          <w:rFonts w:ascii="Arial" w:hAnsi="Arial"/>
          <w:sz w:val="24"/>
          <w:szCs w:val="24"/>
        </w:rPr>
        <w:t xml:space="preserve"> because</w:t>
      </w:r>
      <w:r w:rsidRPr="78FF18BB" w:rsidR="00E01FF0">
        <w:rPr>
          <w:rFonts w:ascii="Arial" w:hAnsi="Arial"/>
          <w:sz w:val="24"/>
          <w:szCs w:val="24"/>
        </w:rPr>
        <w:t xml:space="preserve"> these </w:t>
      </w:r>
      <w:r w:rsidRPr="78FF18BB" w:rsidR="00D06736">
        <w:rPr>
          <w:rFonts w:ascii="Arial" w:hAnsi="Arial"/>
          <w:sz w:val="24"/>
          <w:szCs w:val="24"/>
        </w:rPr>
        <w:t xml:space="preserve">organizations </w:t>
      </w:r>
      <w:r w:rsidRPr="78FF18BB" w:rsidR="00E01FF0">
        <w:rPr>
          <w:rFonts w:ascii="Arial" w:hAnsi="Arial"/>
          <w:sz w:val="24"/>
          <w:szCs w:val="24"/>
        </w:rPr>
        <w:t xml:space="preserve">have </w:t>
      </w:r>
      <w:r w:rsidRPr="78FF18BB" w:rsidR="008A63EA">
        <w:rPr>
          <w:rFonts w:ascii="Arial" w:hAnsi="Arial"/>
          <w:sz w:val="24"/>
          <w:szCs w:val="24"/>
        </w:rPr>
        <w:t>rapidly</w:t>
      </w:r>
      <w:r w:rsidRPr="78FF18BB" w:rsidR="00E01FF0">
        <w:rPr>
          <w:rFonts w:ascii="Arial" w:hAnsi="Arial"/>
          <w:sz w:val="24"/>
          <w:szCs w:val="24"/>
        </w:rPr>
        <w:t xml:space="preserve"> chang</w:t>
      </w:r>
      <w:r w:rsidRPr="78FF18BB" w:rsidR="00E0699E">
        <w:rPr>
          <w:rFonts w:ascii="Arial" w:hAnsi="Arial"/>
          <w:sz w:val="24"/>
          <w:szCs w:val="24"/>
        </w:rPr>
        <w:t>ing</w:t>
      </w:r>
      <w:r w:rsidRPr="78FF18BB" w:rsidR="00E01FF0">
        <w:rPr>
          <w:rFonts w:ascii="Arial" w:hAnsi="Arial"/>
          <w:sz w:val="24"/>
          <w:szCs w:val="24"/>
        </w:rPr>
        <w:t xml:space="preserve"> data</w:t>
      </w:r>
      <w:r w:rsidRPr="78FF18BB">
        <w:rPr>
          <w:rFonts w:ascii="Arial" w:hAnsi="Arial"/>
          <w:sz w:val="24"/>
          <w:szCs w:val="24"/>
        </w:rPr>
        <w:t>.</w:t>
      </w:r>
      <w:r w:rsidRPr="78FF18BB" w:rsidR="00537969">
        <w:rPr>
          <w:rFonts w:ascii="Arial" w:hAnsi="Arial"/>
          <w:sz w:val="24"/>
          <w:szCs w:val="24"/>
        </w:rPr>
        <w:t xml:space="preserve"> </w:t>
      </w:r>
      <w:r w:rsidRPr="78FF18BB" w:rsidR="00D43F76">
        <w:rPr>
          <w:rFonts w:ascii="Arial" w:hAnsi="Arial"/>
          <w:sz w:val="24"/>
          <w:szCs w:val="24"/>
        </w:rPr>
        <w:t xml:space="preserve">Less frequent </w:t>
      </w:r>
      <w:r w:rsidRPr="78FF18BB" w:rsidR="0038126F">
        <w:rPr>
          <w:rFonts w:ascii="Arial" w:hAnsi="Arial"/>
          <w:sz w:val="24"/>
          <w:szCs w:val="24"/>
        </w:rPr>
        <w:t xml:space="preserve">sharing </w:t>
      </w:r>
      <w:r w:rsidRPr="78FF18BB" w:rsidR="00D43F76">
        <w:rPr>
          <w:rFonts w:ascii="Arial" w:hAnsi="Arial"/>
          <w:sz w:val="24"/>
          <w:szCs w:val="24"/>
        </w:rPr>
        <w:t>of information would also reduce the relevancy of the information for publication to stakeholders, such as inventors and patent practitioners, and for outreach in presentations, online discussion, and conferences.</w:t>
      </w:r>
      <w:r w:rsidRPr="78FF18BB" w:rsidR="00537969">
        <w:rPr>
          <w:rFonts w:ascii="Arial" w:hAnsi="Arial"/>
          <w:sz w:val="24"/>
          <w:szCs w:val="24"/>
        </w:rPr>
        <w:t xml:space="preserve"> </w:t>
      </w:r>
      <w:r w:rsidRPr="78FF18BB" w:rsidR="00E0699E">
        <w:rPr>
          <w:rFonts w:ascii="Arial" w:hAnsi="Arial"/>
          <w:sz w:val="24"/>
          <w:szCs w:val="24"/>
        </w:rPr>
        <w:t>In addition, t</w:t>
      </w:r>
      <w:r w:rsidRPr="78FF18BB">
        <w:rPr>
          <w:rFonts w:ascii="Arial" w:hAnsi="Arial"/>
          <w:sz w:val="24"/>
          <w:szCs w:val="24"/>
        </w:rPr>
        <w:t>his information is not collected elsewhere.</w:t>
      </w:r>
      <w:r w:rsidRPr="78FF18BB" w:rsidR="00275566">
        <w:rPr>
          <w:rFonts w:ascii="Arial" w:hAnsi="Arial"/>
          <w:sz w:val="24"/>
          <w:szCs w:val="24"/>
        </w:rPr>
        <w:t xml:space="preserve"> </w:t>
      </w:r>
    </w:p>
    <w:p w:rsidR="00B765A5" w:rsidP="00B765A5" w14:paraId="142D81E4" w14:textId="77777777">
      <w:pPr>
        <w:jc w:val="both"/>
        <w:rPr>
          <w:rFonts w:ascii="Arial" w:hAnsi="Arial"/>
          <w:sz w:val="24"/>
        </w:rPr>
      </w:pPr>
    </w:p>
    <w:p w:rsidR="0056363B" w:rsidRPr="0056363B" w:rsidP="00F56BB3" w14:paraId="5BF87501" w14:textId="18CA6B8C">
      <w:pPr>
        <w:pStyle w:val="ListParagraph"/>
        <w:numPr>
          <w:ilvl w:val="0"/>
          <w:numId w:val="10"/>
        </w:numPr>
        <w:jc w:val="both"/>
        <w:rPr>
          <w:rFonts w:ascii="Arial" w:hAnsi="Arial"/>
          <w:b/>
          <w:bCs/>
          <w:sz w:val="24"/>
        </w:rPr>
      </w:pPr>
      <w:r w:rsidRPr="0056363B">
        <w:rPr>
          <w:rFonts w:ascii="Arial" w:hAnsi="Arial"/>
          <w:b/>
          <w:bCs/>
          <w:sz w:val="24"/>
        </w:rPr>
        <w:t xml:space="preserve">Explain any special circumstances that would cause an information collection to be conducted in a manner: </w:t>
      </w:r>
    </w:p>
    <w:p w:rsidR="0056363B" w:rsidRPr="0056363B" w:rsidP="0056363B" w14:paraId="65AD8792" w14:textId="77777777">
      <w:pPr>
        <w:numPr>
          <w:ilvl w:val="0"/>
          <w:numId w:val="14"/>
        </w:numPr>
        <w:jc w:val="both"/>
        <w:rPr>
          <w:rFonts w:ascii="Arial" w:hAnsi="Arial"/>
          <w:b/>
          <w:bCs/>
          <w:sz w:val="24"/>
        </w:rPr>
      </w:pPr>
      <w:r w:rsidRPr="0056363B">
        <w:rPr>
          <w:rFonts w:ascii="Arial" w:hAnsi="Arial"/>
          <w:b/>
          <w:bCs/>
          <w:sz w:val="24"/>
        </w:rPr>
        <w:t xml:space="preserve">requiring respondents to report information to the agency more often than quarterly; </w:t>
      </w:r>
    </w:p>
    <w:p w:rsidR="0056363B" w:rsidRPr="0056363B" w:rsidP="0056363B" w14:paraId="4D36CE92" w14:textId="77777777">
      <w:pPr>
        <w:numPr>
          <w:ilvl w:val="0"/>
          <w:numId w:val="14"/>
        </w:numPr>
        <w:jc w:val="both"/>
        <w:rPr>
          <w:rFonts w:ascii="Arial" w:hAnsi="Arial"/>
          <w:b/>
          <w:bCs/>
          <w:sz w:val="24"/>
        </w:rPr>
      </w:pPr>
      <w:r w:rsidRPr="0056363B">
        <w:rPr>
          <w:rFonts w:ascii="Arial" w:hAnsi="Arial"/>
          <w:b/>
          <w:bCs/>
          <w:sz w:val="24"/>
        </w:rPr>
        <w:t xml:space="preserve">requiring respondents to prepare a written response to a collection of information in fewer than 30 days after receipt of it; </w:t>
      </w:r>
    </w:p>
    <w:p w:rsidR="0056363B" w:rsidRPr="0056363B" w:rsidP="0056363B" w14:paraId="4A9F8B68" w14:textId="77777777">
      <w:pPr>
        <w:numPr>
          <w:ilvl w:val="0"/>
          <w:numId w:val="14"/>
        </w:numPr>
        <w:jc w:val="both"/>
        <w:rPr>
          <w:rFonts w:ascii="Arial" w:hAnsi="Arial"/>
          <w:b/>
          <w:bCs/>
          <w:sz w:val="24"/>
        </w:rPr>
      </w:pPr>
      <w:r w:rsidRPr="0056363B">
        <w:rPr>
          <w:rFonts w:ascii="Arial" w:hAnsi="Arial"/>
          <w:b/>
          <w:bCs/>
          <w:sz w:val="24"/>
        </w:rPr>
        <w:t xml:space="preserve">requiring respondents to submit more than an original and two copies of any document; </w:t>
      </w:r>
    </w:p>
    <w:p w:rsidR="0056363B" w:rsidRPr="0056363B" w:rsidP="0056363B" w14:paraId="65B402D9" w14:textId="77777777">
      <w:pPr>
        <w:numPr>
          <w:ilvl w:val="0"/>
          <w:numId w:val="14"/>
        </w:numPr>
        <w:jc w:val="both"/>
        <w:rPr>
          <w:rFonts w:ascii="Arial" w:hAnsi="Arial"/>
          <w:b/>
          <w:bCs/>
          <w:sz w:val="24"/>
        </w:rPr>
      </w:pPr>
      <w:r w:rsidRPr="0056363B">
        <w:rPr>
          <w:rFonts w:ascii="Arial" w:hAnsi="Arial"/>
          <w:b/>
          <w:bCs/>
          <w:sz w:val="24"/>
        </w:rPr>
        <w:t xml:space="preserve">requiring respondents to retain records, other than health, medical, government contract, grant-in-aid, or tax records, for more than three years; </w:t>
      </w:r>
    </w:p>
    <w:p w:rsidR="0056363B" w:rsidRPr="0056363B" w:rsidP="0056363B" w14:paraId="45DE3884" w14:textId="77777777">
      <w:pPr>
        <w:numPr>
          <w:ilvl w:val="0"/>
          <w:numId w:val="14"/>
        </w:numPr>
        <w:jc w:val="both"/>
        <w:rPr>
          <w:rFonts w:ascii="Arial" w:hAnsi="Arial"/>
          <w:b/>
          <w:bCs/>
          <w:sz w:val="24"/>
        </w:rPr>
      </w:pPr>
      <w:r w:rsidRPr="0056363B">
        <w:rPr>
          <w:rFonts w:ascii="Arial" w:hAnsi="Arial"/>
          <w:b/>
          <w:bCs/>
          <w:sz w:val="24"/>
        </w:rPr>
        <w:t xml:space="preserve">in connection with a statistical survey, that is not designed to produce valid and reliable results that can be generalized to the universe of study; </w:t>
      </w:r>
    </w:p>
    <w:p w:rsidR="00C978E2" w:rsidP="0056363B" w14:paraId="01B1D12A" w14:textId="77777777">
      <w:pPr>
        <w:numPr>
          <w:ilvl w:val="0"/>
          <w:numId w:val="14"/>
        </w:numPr>
        <w:jc w:val="both"/>
        <w:rPr>
          <w:rFonts w:ascii="Arial" w:hAnsi="Arial"/>
          <w:b/>
          <w:bCs/>
          <w:sz w:val="24"/>
        </w:rPr>
      </w:pPr>
      <w:r w:rsidRPr="0056363B">
        <w:rPr>
          <w:rFonts w:ascii="Arial" w:hAnsi="Arial"/>
          <w:b/>
          <w:bCs/>
          <w:sz w:val="24"/>
        </w:rPr>
        <w:t xml:space="preserve">requiring the use of a statistical data classification that has not been reviewed and approved by OMB; </w:t>
      </w:r>
    </w:p>
    <w:p w:rsidR="0056363B" w:rsidRPr="0056363B" w:rsidP="0056363B" w14:paraId="792AF931" w14:textId="0EAC6114">
      <w:pPr>
        <w:numPr>
          <w:ilvl w:val="0"/>
          <w:numId w:val="14"/>
        </w:numPr>
        <w:jc w:val="both"/>
        <w:rPr>
          <w:rFonts w:ascii="Arial" w:hAnsi="Arial"/>
          <w:b/>
          <w:bCs/>
          <w:sz w:val="24"/>
        </w:rPr>
      </w:pPr>
      <w:r w:rsidRPr="0056363B">
        <w:rPr>
          <w:rFonts w:ascii="Arial" w:hAnsi="Arial"/>
          <w:b/>
          <w:bCs/>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363B" w:rsidRPr="0056363B" w:rsidP="0056363B" w14:paraId="00A6B375" w14:textId="77777777">
      <w:pPr>
        <w:numPr>
          <w:ilvl w:val="0"/>
          <w:numId w:val="14"/>
        </w:numPr>
        <w:jc w:val="both"/>
        <w:rPr>
          <w:rFonts w:ascii="Arial" w:hAnsi="Arial"/>
          <w:b/>
          <w:bCs/>
          <w:sz w:val="24"/>
        </w:rPr>
      </w:pPr>
      <w:r w:rsidRPr="0056363B">
        <w:rPr>
          <w:rFonts w:ascii="Arial" w:hAnsi="Arial"/>
          <w:b/>
          <w:bCs/>
          <w:sz w:val="24"/>
        </w:rPr>
        <w:t>requiring respondents to submit proprietary trade secrets, or other confidential information unless the agency can demonstrate that it has instituted procedures to protect the information's confidentiality to the extent permitted by law.</w:t>
      </w:r>
    </w:p>
    <w:p w:rsidR="00B765A5" w:rsidP="00B765A5" w14:paraId="1F77AC19" w14:textId="6F0F6EA7">
      <w:pPr>
        <w:jc w:val="both"/>
        <w:rPr>
          <w:rFonts w:ascii="Arial" w:hAnsi="Arial"/>
          <w:b/>
          <w:sz w:val="24"/>
        </w:rPr>
      </w:pPr>
    </w:p>
    <w:p w:rsidR="00B765A5" w:rsidP="00B765A5" w14:paraId="4D11EAF6" w14:textId="4625D114">
      <w:pPr>
        <w:pStyle w:val="BodyText2"/>
      </w:pPr>
      <w:r>
        <w:t>There are no special circumstances associated with this collection of information.</w:t>
      </w:r>
    </w:p>
    <w:p w:rsidR="00B765A5" w:rsidP="00B765A5" w14:paraId="436FBBD4" w14:textId="77777777">
      <w:pPr>
        <w:pStyle w:val="BodyText2"/>
      </w:pPr>
    </w:p>
    <w:p w:rsidR="00B765A5" w:rsidRPr="0056363B" w:rsidP="0056363B" w14:paraId="0F7492AA" w14:textId="02E12D46">
      <w:pPr>
        <w:pStyle w:val="ListParagraph"/>
        <w:numPr>
          <w:ilvl w:val="0"/>
          <w:numId w:val="10"/>
        </w:numPr>
        <w:jc w:val="both"/>
        <w:rPr>
          <w:rFonts w:ascii="Arial" w:hAnsi="Arial"/>
          <w:sz w:val="24"/>
        </w:rPr>
      </w:pPr>
      <w:r w:rsidRPr="0056363B">
        <w:rPr>
          <w:rFonts w:ascii="Arial" w:hAnsi="Arial"/>
          <w:b/>
          <w:bCs/>
          <w:sz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 Consultation with </w:t>
      </w:r>
      <w:r w:rsidRPr="0056363B">
        <w:rPr>
          <w:rFonts w:ascii="Arial" w:hAnsi="Arial"/>
          <w:b/>
          <w:bCs/>
          <w:sz w:val="24"/>
        </w:rPr>
        <w:t>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6363B" w:rsidRPr="0056363B" w:rsidP="0056363B" w14:paraId="13928CE8" w14:textId="77777777">
      <w:pPr>
        <w:pStyle w:val="ListParagraph"/>
        <w:ind w:left="360"/>
        <w:jc w:val="both"/>
        <w:rPr>
          <w:rFonts w:ascii="Arial" w:hAnsi="Arial"/>
          <w:sz w:val="24"/>
        </w:rPr>
      </w:pPr>
    </w:p>
    <w:p w:rsidR="00B765A5" w:rsidP="00B765A5" w14:paraId="062B38BC" w14:textId="70511319">
      <w:pPr>
        <w:jc w:val="both"/>
        <w:rPr>
          <w:rFonts w:ascii="Arial" w:hAnsi="Arial"/>
          <w:sz w:val="24"/>
          <w:szCs w:val="24"/>
        </w:rPr>
      </w:pPr>
      <w:r w:rsidRPr="78FF18BB">
        <w:rPr>
          <w:rFonts w:ascii="Arial" w:hAnsi="Arial"/>
          <w:sz w:val="24"/>
          <w:szCs w:val="24"/>
        </w:rPr>
        <w:t xml:space="preserve">The 60-Day </w:t>
      </w:r>
      <w:r w:rsidRPr="78FF18BB">
        <w:rPr>
          <w:rFonts w:ascii="Arial" w:hAnsi="Arial"/>
          <w:i/>
          <w:sz w:val="24"/>
          <w:szCs w:val="24"/>
        </w:rPr>
        <w:t>Federal Register</w:t>
      </w:r>
      <w:r w:rsidRPr="78FF18BB">
        <w:rPr>
          <w:rFonts w:ascii="Arial" w:hAnsi="Arial"/>
          <w:sz w:val="24"/>
          <w:szCs w:val="24"/>
        </w:rPr>
        <w:t xml:space="preserve"> Notice published on </w:t>
      </w:r>
      <w:r w:rsidRPr="78FF18BB" w:rsidR="00530D40">
        <w:rPr>
          <w:rFonts w:ascii="Arial" w:hAnsi="Arial"/>
          <w:sz w:val="24"/>
          <w:szCs w:val="24"/>
        </w:rPr>
        <w:t xml:space="preserve">August 30, 2022 </w:t>
      </w:r>
      <w:r w:rsidRPr="78FF18BB">
        <w:rPr>
          <w:rFonts w:ascii="Arial" w:hAnsi="Arial"/>
          <w:sz w:val="24"/>
          <w:szCs w:val="24"/>
        </w:rPr>
        <w:t>(</w:t>
      </w:r>
      <w:r w:rsidRPr="78FF18BB" w:rsidR="00530D40">
        <w:rPr>
          <w:rFonts w:ascii="Arial" w:hAnsi="Arial"/>
          <w:sz w:val="24"/>
          <w:szCs w:val="24"/>
        </w:rPr>
        <w:t>87</w:t>
      </w:r>
      <w:r w:rsidRPr="78FF18BB" w:rsidR="00DC24AC">
        <w:rPr>
          <w:rFonts w:ascii="Arial" w:hAnsi="Arial"/>
          <w:sz w:val="24"/>
          <w:szCs w:val="24"/>
        </w:rPr>
        <w:t xml:space="preserve"> </w:t>
      </w:r>
      <w:r w:rsidRPr="78FF18BB" w:rsidR="003F42E4">
        <w:rPr>
          <w:rFonts w:ascii="Arial" w:hAnsi="Arial"/>
          <w:sz w:val="24"/>
          <w:szCs w:val="24"/>
        </w:rPr>
        <w:t>FR</w:t>
      </w:r>
      <w:r w:rsidRPr="78FF18BB">
        <w:rPr>
          <w:rFonts w:ascii="Arial" w:hAnsi="Arial"/>
          <w:sz w:val="24"/>
          <w:szCs w:val="24"/>
        </w:rPr>
        <w:t xml:space="preserve"> </w:t>
      </w:r>
      <w:r w:rsidRPr="78FF18BB" w:rsidR="00530D40">
        <w:rPr>
          <w:rFonts w:ascii="Arial" w:hAnsi="Arial"/>
          <w:sz w:val="24"/>
          <w:szCs w:val="24"/>
        </w:rPr>
        <w:t>52938</w:t>
      </w:r>
      <w:r w:rsidRPr="78FF18BB">
        <w:rPr>
          <w:rFonts w:ascii="Arial" w:hAnsi="Arial"/>
          <w:sz w:val="24"/>
          <w:szCs w:val="24"/>
        </w:rPr>
        <w:t>).</w:t>
      </w:r>
      <w:r>
        <w:rPr>
          <w:rStyle w:val="FootnoteReference"/>
          <w:rFonts w:ascii="Arial" w:hAnsi="Arial"/>
          <w:sz w:val="24"/>
          <w:szCs w:val="24"/>
        </w:rPr>
        <w:footnoteReference w:id="3"/>
      </w:r>
      <w:r w:rsidRPr="78FF18BB" w:rsidR="001C51D2">
        <w:rPr>
          <w:rFonts w:ascii="Arial" w:hAnsi="Arial"/>
          <w:sz w:val="24"/>
          <w:szCs w:val="24"/>
        </w:rPr>
        <w:t xml:space="preserve"> </w:t>
      </w:r>
      <w:r w:rsidRPr="78FF18BB">
        <w:rPr>
          <w:rFonts w:ascii="Arial" w:hAnsi="Arial"/>
          <w:sz w:val="24"/>
          <w:szCs w:val="24"/>
        </w:rPr>
        <w:t xml:space="preserve">The public comment period ended on </w:t>
      </w:r>
      <w:r w:rsidRPr="78FF18BB" w:rsidR="00530D40">
        <w:rPr>
          <w:rFonts w:ascii="Arial" w:hAnsi="Arial"/>
          <w:sz w:val="24"/>
          <w:szCs w:val="24"/>
        </w:rPr>
        <w:t>October 31, 2022</w:t>
      </w:r>
      <w:r w:rsidRPr="78FF18BB">
        <w:rPr>
          <w:rFonts w:ascii="Arial" w:hAnsi="Arial"/>
          <w:sz w:val="24"/>
          <w:szCs w:val="24"/>
        </w:rPr>
        <w:t>.</w:t>
      </w:r>
      <w:r w:rsidRPr="78FF18BB" w:rsidR="00C42E7A">
        <w:rPr>
          <w:rFonts w:ascii="Arial" w:hAnsi="Arial"/>
          <w:sz w:val="24"/>
          <w:szCs w:val="24"/>
        </w:rPr>
        <w:t xml:space="preserve"> </w:t>
      </w:r>
      <w:r w:rsidRPr="78FF18BB" w:rsidR="00D132E4">
        <w:rPr>
          <w:rFonts w:ascii="Arial" w:hAnsi="Arial"/>
          <w:sz w:val="24"/>
          <w:szCs w:val="24"/>
        </w:rPr>
        <w:t xml:space="preserve">No </w:t>
      </w:r>
      <w:r w:rsidRPr="78FF18BB">
        <w:rPr>
          <w:rFonts w:ascii="Arial" w:hAnsi="Arial"/>
          <w:sz w:val="24"/>
          <w:szCs w:val="24"/>
        </w:rPr>
        <w:t>public comment</w:t>
      </w:r>
      <w:r w:rsidRPr="78FF18BB" w:rsidR="00D132E4">
        <w:rPr>
          <w:rFonts w:ascii="Arial" w:hAnsi="Arial"/>
          <w:sz w:val="24"/>
          <w:szCs w:val="24"/>
        </w:rPr>
        <w:t>s</w:t>
      </w:r>
      <w:r w:rsidRPr="78FF18BB">
        <w:rPr>
          <w:rFonts w:ascii="Arial" w:hAnsi="Arial"/>
          <w:sz w:val="24"/>
          <w:szCs w:val="24"/>
        </w:rPr>
        <w:t xml:space="preserve"> </w:t>
      </w:r>
      <w:r w:rsidRPr="78FF18BB" w:rsidR="00D132E4">
        <w:rPr>
          <w:rFonts w:ascii="Arial" w:hAnsi="Arial"/>
          <w:sz w:val="24"/>
          <w:szCs w:val="24"/>
        </w:rPr>
        <w:t xml:space="preserve">were </w:t>
      </w:r>
      <w:r w:rsidRPr="78FF18BB">
        <w:rPr>
          <w:rFonts w:ascii="Arial" w:hAnsi="Arial"/>
          <w:sz w:val="24"/>
          <w:szCs w:val="24"/>
        </w:rPr>
        <w:t>received.</w:t>
      </w:r>
    </w:p>
    <w:p w:rsidR="00B765A5" w:rsidP="00B765A5" w14:paraId="432C47E2" w14:textId="77777777">
      <w:pPr>
        <w:jc w:val="both"/>
        <w:rPr>
          <w:rFonts w:ascii="Arial" w:hAnsi="Arial"/>
          <w:sz w:val="24"/>
        </w:rPr>
      </w:pPr>
    </w:p>
    <w:p w:rsidR="008A513C" w:rsidP="4C607349" w14:paraId="7FE393A5" w14:textId="6D6134A4">
      <w:pPr>
        <w:jc w:val="both"/>
        <w:rPr>
          <w:rFonts w:ascii="Arial" w:hAnsi="Arial"/>
          <w:sz w:val="24"/>
          <w:szCs w:val="24"/>
        </w:rPr>
      </w:pPr>
      <w:r w:rsidRPr="4C607349">
        <w:rPr>
          <w:rFonts w:ascii="Arial" w:hAnsi="Arial"/>
          <w:sz w:val="24"/>
          <w:szCs w:val="24"/>
        </w:rPr>
        <w:t xml:space="preserve">The USPTO has long-standing relationships with </w:t>
      </w:r>
      <w:r w:rsidRPr="4C607349" w:rsidR="73A54924">
        <w:rPr>
          <w:rFonts w:ascii="Arial" w:hAnsi="Arial"/>
          <w:sz w:val="24"/>
          <w:szCs w:val="24"/>
        </w:rPr>
        <w:t xml:space="preserve">the regional hubs </w:t>
      </w:r>
      <w:r w:rsidRPr="4C607349">
        <w:rPr>
          <w:rFonts w:ascii="Arial" w:hAnsi="Arial"/>
          <w:sz w:val="24"/>
          <w:szCs w:val="24"/>
        </w:rPr>
        <w:t xml:space="preserve">from </w:t>
      </w:r>
      <w:r w:rsidRPr="4C607349" w:rsidR="752A7654">
        <w:rPr>
          <w:rFonts w:ascii="Arial" w:hAnsi="Arial"/>
          <w:sz w:val="24"/>
          <w:szCs w:val="24"/>
        </w:rPr>
        <w:t xml:space="preserve">which </w:t>
      </w:r>
      <w:r w:rsidRPr="4C607349" w:rsidR="73A54924">
        <w:rPr>
          <w:rFonts w:ascii="Arial" w:hAnsi="Arial"/>
          <w:sz w:val="24"/>
          <w:szCs w:val="24"/>
        </w:rPr>
        <w:t>the Pro Bono Survey</w:t>
      </w:r>
      <w:r w:rsidRPr="4C607349">
        <w:rPr>
          <w:rFonts w:ascii="Arial" w:hAnsi="Arial"/>
          <w:sz w:val="24"/>
          <w:szCs w:val="24"/>
        </w:rPr>
        <w:t xml:space="preserve"> data is collected</w:t>
      </w:r>
      <w:r w:rsidRPr="4C607349" w:rsidR="0CE2E673">
        <w:rPr>
          <w:rFonts w:ascii="Arial" w:hAnsi="Arial"/>
          <w:sz w:val="24"/>
          <w:szCs w:val="24"/>
        </w:rPr>
        <w:t>.</w:t>
      </w:r>
      <w:r w:rsidRPr="4C607349" w:rsidR="11872BF5">
        <w:rPr>
          <w:rFonts w:ascii="Arial" w:hAnsi="Arial"/>
          <w:sz w:val="24"/>
          <w:szCs w:val="24"/>
        </w:rPr>
        <w:t xml:space="preserve"> </w:t>
      </w:r>
      <w:r w:rsidRPr="4C607349" w:rsidR="36DFE7EA">
        <w:rPr>
          <w:rFonts w:ascii="Arial" w:hAnsi="Arial" w:cs="Arial"/>
          <w:sz w:val="24"/>
          <w:szCs w:val="24"/>
        </w:rPr>
        <w:t xml:space="preserve">Additionally, USPTO has worked with the </w:t>
      </w:r>
      <w:r w:rsidRPr="4C607349" w:rsidR="41C61DA8">
        <w:rPr>
          <w:rFonts w:ascii="Arial" w:hAnsi="Arial" w:cs="Arial"/>
          <w:sz w:val="24"/>
          <w:szCs w:val="24"/>
        </w:rPr>
        <w:t>PBAC</w:t>
      </w:r>
      <w:r w:rsidRPr="4C607349" w:rsidR="36DFE7EA">
        <w:rPr>
          <w:rFonts w:ascii="Arial" w:hAnsi="Arial" w:cs="Arial"/>
          <w:sz w:val="24"/>
          <w:szCs w:val="24"/>
        </w:rPr>
        <w:t xml:space="preserve"> to measure the effectiveness of each regional hub’s operations.</w:t>
      </w:r>
      <w:r w:rsidRPr="4C607349" w:rsidR="11872BF5">
        <w:rPr>
          <w:rFonts w:ascii="Arial" w:hAnsi="Arial" w:cs="Arial"/>
          <w:sz w:val="24"/>
          <w:szCs w:val="24"/>
        </w:rPr>
        <w:t xml:space="preserve"> </w:t>
      </w:r>
      <w:r w:rsidRPr="4C607349" w:rsidR="36DFE7EA">
        <w:rPr>
          <w:rFonts w:ascii="Arial" w:hAnsi="Arial" w:cs="Arial"/>
          <w:sz w:val="24"/>
          <w:szCs w:val="24"/>
        </w:rPr>
        <w:t xml:space="preserve">The PBAC is a well-established group of patent practitioners and thought leaders in intellectual property who have committed to provide support and guidance to patent </w:t>
      </w:r>
      <w:r w:rsidRPr="00D858ED" w:rsidR="36DFE7EA">
        <w:rPr>
          <w:rFonts w:ascii="Arial" w:hAnsi="Arial" w:cs="Arial"/>
          <w:i/>
          <w:iCs/>
          <w:sz w:val="24"/>
          <w:szCs w:val="24"/>
        </w:rPr>
        <w:t>pro bono</w:t>
      </w:r>
      <w:r w:rsidRPr="4C607349" w:rsidR="36DFE7EA">
        <w:rPr>
          <w:rFonts w:ascii="Arial" w:hAnsi="Arial" w:cs="Arial"/>
          <w:sz w:val="24"/>
          <w:szCs w:val="24"/>
        </w:rPr>
        <w:t xml:space="preserve"> hubs across the </w:t>
      </w:r>
      <w:r w:rsidRPr="4C607349" w:rsidR="792D3E93">
        <w:rPr>
          <w:rFonts w:ascii="Arial" w:hAnsi="Arial" w:cs="Arial"/>
          <w:sz w:val="24"/>
          <w:szCs w:val="24"/>
        </w:rPr>
        <w:t>country.</w:t>
      </w:r>
      <w:r w:rsidRPr="4C607349" w:rsidR="11872BF5">
        <w:rPr>
          <w:rFonts w:ascii="Arial" w:hAnsi="Arial" w:cs="Arial"/>
          <w:sz w:val="24"/>
          <w:szCs w:val="24"/>
        </w:rPr>
        <w:t xml:space="preserve"> </w:t>
      </w:r>
      <w:r w:rsidRPr="4C607349">
        <w:rPr>
          <w:rFonts w:ascii="Arial" w:hAnsi="Arial"/>
          <w:sz w:val="24"/>
          <w:szCs w:val="24"/>
        </w:rPr>
        <w:t xml:space="preserve">Views expressed by </w:t>
      </w:r>
      <w:r w:rsidRPr="4C607349" w:rsidR="73A54924">
        <w:rPr>
          <w:rFonts w:ascii="Arial" w:hAnsi="Arial"/>
          <w:sz w:val="24"/>
          <w:szCs w:val="24"/>
        </w:rPr>
        <w:t>the regional hubs</w:t>
      </w:r>
      <w:r w:rsidRPr="4C607349" w:rsidR="424D78C9">
        <w:rPr>
          <w:rFonts w:ascii="Arial" w:hAnsi="Arial"/>
          <w:sz w:val="24"/>
          <w:szCs w:val="24"/>
        </w:rPr>
        <w:t xml:space="preserve"> and PBAC</w:t>
      </w:r>
      <w:r w:rsidRPr="4C607349">
        <w:rPr>
          <w:rFonts w:ascii="Arial" w:hAnsi="Arial"/>
          <w:sz w:val="24"/>
          <w:szCs w:val="24"/>
        </w:rPr>
        <w:t xml:space="preserve"> </w:t>
      </w:r>
      <w:r w:rsidRPr="4C607349" w:rsidR="6BBCE64B">
        <w:rPr>
          <w:rFonts w:ascii="Arial" w:hAnsi="Arial"/>
          <w:sz w:val="24"/>
          <w:szCs w:val="24"/>
        </w:rPr>
        <w:t xml:space="preserve">were </w:t>
      </w:r>
      <w:r w:rsidRPr="4C607349">
        <w:rPr>
          <w:rFonts w:ascii="Arial" w:hAnsi="Arial"/>
          <w:sz w:val="24"/>
          <w:szCs w:val="24"/>
        </w:rPr>
        <w:t xml:space="preserve">considered in developing proposals for information collection requirements and during the renewal of </w:t>
      </w:r>
      <w:r w:rsidRPr="4C607349" w:rsidR="3069A297">
        <w:rPr>
          <w:rFonts w:ascii="Arial" w:hAnsi="Arial"/>
          <w:sz w:val="24"/>
          <w:szCs w:val="24"/>
        </w:rPr>
        <w:t xml:space="preserve">this </w:t>
      </w:r>
      <w:r w:rsidRPr="4C607349">
        <w:rPr>
          <w:rFonts w:ascii="Arial" w:hAnsi="Arial"/>
          <w:sz w:val="24"/>
          <w:szCs w:val="24"/>
        </w:rPr>
        <w:t>information collection.</w:t>
      </w:r>
      <w:r w:rsidRPr="4C607349" w:rsidR="391A2B35">
        <w:rPr>
          <w:rFonts w:ascii="Arial" w:hAnsi="Arial"/>
          <w:sz w:val="24"/>
          <w:szCs w:val="24"/>
        </w:rPr>
        <w:t xml:space="preserve"> </w:t>
      </w:r>
      <w:r w:rsidRPr="4C607349" w:rsidR="5C37E329">
        <w:rPr>
          <w:rFonts w:ascii="Arial" w:hAnsi="Arial"/>
          <w:sz w:val="24"/>
          <w:szCs w:val="24"/>
        </w:rPr>
        <w:t xml:space="preserve">Similarly, </w:t>
      </w:r>
      <w:r w:rsidRPr="4C607349" w:rsidR="3069A297">
        <w:rPr>
          <w:rFonts w:ascii="Arial" w:hAnsi="Arial"/>
          <w:sz w:val="24"/>
          <w:szCs w:val="24"/>
        </w:rPr>
        <w:t xml:space="preserve">the </w:t>
      </w:r>
      <w:r w:rsidRPr="4C607349" w:rsidR="563E4A7E">
        <w:rPr>
          <w:rFonts w:ascii="Arial" w:hAnsi="Arial"/>
          <w:sz w:val="24"/>
          <w:szCs w:val="24"/>
        </w:rPr>
        <w:t>USPTO established the PTAB Pro Bono effort with extens</w:t>
      </w:r>
      <w:r w:rsidRPr="4C607349" w:rsidR="71D39DB1">
        <w:rPr>
          <w:rFonts w:ascii="Arial" w:hAnsi="Arial"/>
          <w:sz w:val="24"/>
          <w:szCs w:val="24"/>
        </w:rPr>
        <w:t xml:space="preserve">ive discussion with </w:t>
      </w:r>
      <w:r w:rsidRPr="4C607349" w:rsidR="5C37E329">
        <w:rPr>
          <w:rFonts w:ascii="Arial" w:hAnsi="Arial"/>
          <w:sz w:val="24"/>
          <w:szCs w:val="24"/>
        </w:rPr>
        <w:t>IP stakeholders, many of whom are members of PBAC and the PTAB Bar Assoc. Views expressed by the IP stakeholders</w:t>
      </w:r>
      <w:r w:rsidRPr="4C607349" w:rsidR="752A7654">
        <w:rPr>
          <w:rFonts w:ascii="Arial" w:hAnsi="Arial"/>
          <w:sz w:val="24"/>
          <w:szCs w:val="24"/>
        </w:rPr>
        <w:t xml:space="preserve">, PBAC members, and </w:t>
      </w:r>
      <w:r w:rsidRPr="4C607349" w:rsidR="5C37E329">
        <w:rPr>
          <w:rFonts w:ascii="Arial" w:hAnsi="Arial"/>
          <w:sz w:val="24"/>
          <w:szCs w:val="24"/>
        </w:rPr>
        <w:t>the PTAB Bar Assoc. were considered in developing proposals for information collection requirements</w:t>
      </w:r>
      <w:r w:rsidRPr="4C607349" w:rsidR="563E4A7E">
        <w:rPr>
          <w:rFonts w:ascii="Arial" w:hAnsi="Arial"/>
          <w:sz w:val="24"/>
          <w:szCs w:val="24"/>
        </w:rPr>
        <w:t>.</w:t>
      </w:r>
    </w:p>
    <w:p w:rsidR="008A513C" w:rsidP="00476089" w14:paraId="0C1143E8" w14:textId="77777777">
      <w:pPr>
        <w:jc w:val="both"/>
        <w:rPr>
          <w:rFonts w:ascii="Arial" w:hAnsi="Arial"/>
          <w:sz w:val="24"/>
        </w:rPr>
      </w:pPr>
    </w:p>
    <w:p w:rsidR="00476089" w:rsidRPr="00D067B0" w:rsidP="00476089" w14:paraId="36E65E10" w14:textId="5EB56806">
      <w:pPr>
        <w:jc w:val="both"/>
        <w:rPr>
          <w:rFonts w:ascii="Arial" w:hAnsi="Arial"/>
          <w:sz w:val="24"/>
        </w:rPr>
      </w:pPr>
      <w:r>
        <w:rPr>
          <w:rFonts w:ascii="Arial" w:hAnsi="Arial"/>
          <w:sz w:val="24"/>
        </w:rPr>
        <w:t xml:space="preserve">Consultation with the regional hubs </w:t>
      </w:r>
      <w:r w:rsidR="00683C62">
        <w:rPr>
          <w:rFonts w:ascii="Arial" w:hAnsi="Arial"/>
          <w:sz w:val="24"/>
        </w:rPr>
        <w:t xml:space="preserve">and the PTAB Bar Assoc. </w:t>
      </w:r>
      <w:r>
        <w:rPr>
          <w:rFonts w:ascii="Arial" w:hAnsi="Arial"/>
          <w:sz w:val="24"/>
        </w:rPr>
        <w:t>regarding the information collection occur</w:t>
      </w:r>
      <w:r w:rsidR="006A162B">
        <w:rPr>
          <w:rFonts w:ascii="Arial" w:hAnsi="Arial"/>
          <w:sz w:val="24"/>
        </w:rPr>
        <w:t>s</w:t>
      </w:r>
      <w:r>
        <w:rPr>
          <w:rFonts w:ascii="Arial" w:hAnsi="Arial"/>
          <w:sz w:val="24"/>
        </w:rPr>
        <w:t xml:space="preserve"> as needed through quarterly meetings with regional hub </w:t>
      </w:r>
      <w:r w:rsidR="00683C62">
        <w:rPr>
          <w:rFonts w:ascii="Arial" w:hAnsi="Arial"/>
          <w:sz w:val="24"/>
        </w:rPr>
        <w:t xml:space="preserve">and national clearinghouse </w:t>
      </w:r>
      <w:r>
        <w:rPr>
          <w:rFonts w:ascii="Arial" w:hAnsi="Arial"/>
          <w:sz w:val="24"/>
        </w:rPr>
        <w:t>administrators.</w:t>
      </w:r>
      <w:r w:rsidR="00152127">
        <w:rPr>
          <w:rFonts w:ascii="Arial" w:hAnsi="Arial"/>
          <w:sz w:val="24"/>
        </w:rPr>
        <w:t xml:space="preserve"> </w:t>
      </w:r>
    </w:p>
    <w:p w:rsidR="00D067B0" w:rsidP="00D067B0" w14:paraId="3EB361AE" w14:textId="77777777">
      <w:pPr>
        <w:jc w:val="both"/>
        <w:rPr>
          <w:rFonts w:ascii="Arial" w:hAnsi="Arial"/>
          <w:sz w:val="24"/>
        </w:rPr>
      </w:pPr>
    </w:p>
    <w:p w:rsidR="0056363B" w:rsidRPr="0056363B" w:rsidP="00F56BB3" w14:paraId="0722D8A1" w14:textId="179B2698">
      <w:pPr>
        <w:pStyle w:val="ListParagraph"/>
        <w:numPr>
          <w:ilvl w:val="0"/>
          <w:numId w:val="10"/>
        </w:numPr>
        <w:jc w:val="both"/>
        <w:rPr>
          <w:rFonts w:ascii="Arial" w:hAnsi="Arial"/>
          <w:b/>
          <w:bCs/>
          <w:sz w:val="24"/>
        </w:rPr>
      </w:pPr>
      <w:r w:rsidRPr="0056363B">
        <w:rPr>
          <w:rFonts w:ascii="Arial" w:hAnsi="Arial"/>
          <w:b/>
          <w:bCs/>
          <w:sz w:val="24"/>
        </w:rPr>
        <w:t>Explain any decision to provide any payment or gift to respondents, other than remuneration of contractors or grantees.</w:t>
      </w:r>
    </w:p>
    <w:p w:rsidR="00B765A5" w:rsidP="00B765A5" w14:paraId="48C0BBCA" w14:textId="4BC2E910">
      <w:pPr>
        <w:jc w:val="both"/>
        <w:rPr>
          <w:rFonts w:ascii="Arial" w:hAnsi="Arial"/>
          <w:sz w:val="24"/>
        </w:rPr>
      </w:pPr>
    </w:p>
    <w:p w:rsidR="00B765A5" w:rsidP="00B765A5" w14:paraId="24F1151F" w14:textId="621A5167">
      <w:pPr>
        <w:jc w:val="both"/>
        <w:rPr>
          <w:rFonts w:ascii="Arial" w:hAnsi="Arial"/>
          <w:sz w:val="24"/>
        </w:rPr>
      </w:pPr>
      <w:r>
        <w:rPr>
          <w:rFonts w:ascii="Arial" w:hAnsi="Arial"/>
          <w:sz w:val="24"/>
        </w:rPr>
        <w:t>This information collection does not involve a payment or gift to any respondent.</w:t>
      </w:r>
      <w:r w:rsidR="001C51D2">
        <w:rPr>
          <w:rFonts w:ascii="Arial" w:hAnsi="Arial"/>
          <w:sz w:val="24"/>
        </w:rPr>
        <w:t xml:space="preserve">  </w:t>
      </w:r>
      <w:r>
        <w:rPr>
          <w:rFonts w:ascii="Arial" w:hAnsi="Arial"/>
          <w:sz w:val="24"/>
        </w:rPr>
        <w:t xml:space="preserve"> </w:t>
      </w:r>
    </w:p>
    <w:p w:rsidR="00B765A5" w:rsidP="00B765A5" w14:paraId="4FC3FD7C" w14:textId="77777777">
      <w:pPr>
        <w:jc w:val="both"/>
        <w:rPr>
          <w:rFonts w:ascii="Arial" w:hAnsi="Arial"/>
          <w:sz w:val="24"/>
        </w:rPr>
      </w:pPr>
    </w:p>
    <w:p w:rsidR="0056363B" w:rsidRPr="0056363B" w:rsidP="00E625E6" w14:paraId="2010D106" w14:textId="452D6247">
      <w:pPr>
        <w:pStyle w:val="ListParagraph"/>
        <w:keepNext/>
        <w:numPr>
          <w:ilvl w:val="0"/>
          <w:numId w:val="10"/>
        </w:numPr>
        <w:jc w:val="both"/>
        <w:rPr>
          <w:rFonts w:ascii="Arial" w:hAnsi="Arial"/>
          <w:b/>
          <w:bCs/>
          <w:sz w:val="24"/>
        </w:rPr>
      </w:pPr>
      <w:r>
        <w:rPr>
          <w:rFonts w:ascii="Arial" w:hAnsi="Arial"/>
          <w:b/>
          <w:bCs/>
          <w:sz w:val="24"/>
        </w:rPr>
        <w:t xml:space="preserve"> </w:t>
      </w:r>
      <w:r w:rsidRPr="0056363B">
        <w:rPr>
          <w:rFonts w:ascii="Arial" w:hAnsi="Arial"/>
          <w:b/>
          <w:bCs/>
          <w:sz w:val="24"/>
        </w:rPr>
        <w:t>Describe any assurance of confidentiality provided to respondents and the basis for the assurance in statute, regulation, or agency policy. If the information collection requires a system of records notice (SORN) or privacy impact assessment (PIA), those should be cited and described here.</w:t>
      </w:r>
    </w:p>
    <w:p w:rsidR="00B765A5" w:rsidP="00E625E6" w14:paraId="34D7D9CD" w14:textId="2172A7A1">
      <w:pPr>
        <w:keepNext/>
        <w:jc w:val="both"/>
        <w:rPr>
          <w:rFonts w:ascii="Arial" w:hAnsi="Arial"/>
          <w:sz w:val="24"/>
        </w:rPr>
      </w:pPr>
    </w:p>
    <w:p w:rsidR="00B765A5" w:rsidP="00E625E6" w14:paraId="57CB6E6E" w14:textId="79200A71">
      <w:pPr>
        <w:keepNext/>
        <w:jc w:val="both"/>
        <w:rPr>
          <w:rFonts w:ascii="Arial" w:hAnsi="Arial" w:cs="Arial"/>
          <w:sz w:val="24"/>
          <w:szCs w:val="24"/>
        </w:rPr>
      </w:pPr>
      <w:r w:rsidRPr="00BD63FE">
        <w:rPr>
          <w:rFonts w:ascii="Arial" w:hAnsi="Arial" w:cs="Arial"/>
          <w:sz w:val="24"/>
          <w:szCs w:val="24"/>
        </w:rPr>
        <w:t xml:space="preserve">The </w:t>
      </w:r>
      <w:r w:rsidR="00CB60FB">
        <w:rPr>
          <w:rFonts w:ascii="Arial" w:hAnsi="Arial" w:cs="Arial"/>
          <w:sz w:val="24"/>
          <w:szCs w:val="24"/>
        </w:rPr>
        <w:t>MOA</w:t>
      </w:r>
      <w:r w:rsidRPr="00BD63FE" w:rsidR="00CB60FB">
        <w:rPr>
          <w:rFonts w:ascii="Arial" w:hAnsi="Arial" w:cs="Arial"/>
          <w:sz w:val="24"/>
          <w:szCs w:val="24"/>
        </w:rPr>
        <w:t>s</w:t>
      </w:r>
      <w:r w:rsidR="00EC6DD1">
        <w:rPr>
          <w:rFonts w:ascii="Arial" w:hAnsi="Arial" w:cs="Arial"/>
          <w:sz w:val="24"/>
          <w:szCs w:val="24"/>
        </w:rPr>
        <w:t>/MOUs</w:t>
      </w:r>
      <w:r w:rsidRPr="00BD63FE" w:rsidR="00CB60FB">
        <w:rPr>
          <w:rFonts w:ascii="Arial" w:hAnsi="Arial" w:cs="Arial"/>
          <w:sz w:val="24"/>
          <w:szCs w:val="24"/>
        </w:rPr>
        <w:t xml:space="preserve"> </w:t>
      </w:r>
      <w:r w:rsidRPr="00BD63FE" w:rsidR="00426A83">
        <w:rPr>
          <w:rFonts w:ascii="Arial" w:hAnsi="Arial" w:cs="Arial"/>
          <w:sz w:val="24"/>
          <w:szCs w:val="24"/>
        </w:rPr>
        <w:t xml:space="preserve">that are in place with each of </w:t>
      </w:r>
      <w:r w:rsidR="00CB60FB">
        <w:rPr>
          <w:rFonts w:ascii="Arial" w:hAnsi="Arial" w:cs="Arial"/>
          <w:sz w:val="24"/>
          <w:szCs w:val="24"/>
        </w:rPr>
        <w:t xml:space="preserve">the </w:t>
      </w:r>
      <w:r w:rsidR="00E87CEF">
        <w:rPr>
          <w:rFonts w:ascii="Arial" w:hAnsi="Arial" w:cs="Arial"/>
          <w:sz w:val="24"/>
          <w:szCs w:val="24"/>
        </w:rPr>
        <w:t>participants</w:t>
      </w:r>
      <w:r w:rsidRPr="00BD63FE" w:rsidR="00E87CEF">
        <w:rPr>
          <w:rFonts w:ascii="Arial" w:hAnsi="Arial" w:cs="Arial"/>
          <w:sz w:val="24"/>
          <w:szCs w:val="24"/>
        </w:rPr>
        <w:t xml:space="preserve"> </w:t>
      </w:r>
      <w:r w:rsidRPr="00BD63FE" w:rsidR="00426A83">
        <w:rPr>
          <w:rFonts w:ascii="Arial" w:hAnsi="Arial" w:cs="Arial"/>
          <w:sz w:val="24"/>
          <w:szCs w:val="24"/>
        </w:rPr>
        <w:t xml:space="preserve">indicate that only non-confidential information is to be shared, and thus no proprietary information is included in </w:t>
      </w:r>
      <w:r w:rsidR="00E625E6">
        <w:rPr>
          <w:rFonts w:ascii="Arial" w:hAnsi="Arial" w:cs="Arial"/>
          <w:sz w:val="24"/>
          <w:szCs w:val="24"/>
        </w:rPr>
        <w:t>either</w:t>
      </w:r>
      <w:r w:rsidRPr="00BD63FE" w:rsidR="00426A83">
        <w:rPr>
          <w:rFonts w:ascii="Arial" w:hAnsi="Arial" w:cs="Arial"/>
          <w:sz w:val="24"/>
          <w:szCs w:val="24"/>
        </w:rPr>
        <w:t xml:space="preserve"> survey.</w:t>
      </w:r>
      <w:r w:rsidR="00096C7F">
        <w:t xml:space="preserve"> </w:t>
      </w:r>
      <w:r w:rsidR="00D06736">
        <w:t xml:space="preserve"> </w:t>
      </w:r>
      <w:r w:rsidRPr="006A162B" w:rsidR="008A513C">
        <w:rPr>
          <w:rFonts w:ascii="Arial" w:hAnsi="Arial" w:cs="Arial"/>
          <w:sz w:val="24"/>
          <w:szCs w:val="24"/>
        </w:rPr>
        <w:t>Aggre</w:t>
      </w:r>
      <w:r w:rsidR="008A513C">
        <w:rPr>
          <w:rFonts w:ascii="Arial" w:hAnsi="Arial" w:cs="Arial"/>
          <w:sz w:val="24"/>
          <w:szCs w:val="24"/>
        </w:rPr>
        <w:t>gate i</w:t>
      </w:r>
      <w:r w:rsidRPr="00BD63FE" w:rsidR="006F22A2">
        <w:rPr>
          <w:rFonts w:ascii="Arial" w:hAnsi="Arial" w:cs="Arial"/>
          <w:sz w:val="24"/>
          <w:szCs w:val="24"/>
        </w:rPr>
        <w:t xml:space="preserve">nformation obtained in this </w:t>
      </w:r>
      <w:r w:rsidR="00724099">
        <w:rPr>
          <w:rFonts w:ascii="Arial" w:hAnsi="Arial" w:cs="Arial"/>
          <w:sz w:val="24"/>
          <w:szCs w:val="24"/>
        </w:rPr>
        <w:t xml:space="preserve">information </w:t>
      </w:r>
      <w:r w:rsidRPr="00BD63FE" w:rsidR="006F22A2">
        <w:rPr>
          <w:rFonts w:ascii="Arial" w:hAnsi="Arial" w:cs="Arial"/>
          <w:sz w:val="24"/>
          <w:szCs w:val="24"/>
        </w:rPr>
        <w:t xml:space="preserve">collection </w:t>
      </w:r>
      <w:r w:rsidRPr="00BD63FE" w:rsidR="003D5796">
        <w:rPr>
          <w:rFonts w:ascii="Arial" w:hAnsi="Arial" w:cs="Arial"/>
          <w:sz w:val="24"/>
          <w:szCs w:val="24"/>
        </w:rPr>
        <w:t>is often</w:t>
      </w:r>
      <w:r w:rsidRPr="00BD63FE" w:rsidR="006F22A2">
        <w:rPr>
          <w:rFonts w:ascii="Arial" w:hAnsi="Arial" w:cs="Arial"/>
          <w:sz w:val="24"/>
          <w:szCs w:val="24"/>
        </w:rPr>
        <w:t xml:space="preserve"> made available to the public.</w:t>
      </w:r>
      <w:r w:rsidR="00D06736">
        <w:rPr>
          <w:rFonts w:ascii="Arial" w:hAnsi="Arial" w:cs="Arial"/>
          <w:sz w:val="24"/>
          <w:szCs w:val="24"/>
        </w:rPr>
        <w:t xml:space="preserve"> </w:t>
      </w:r>
      <w:r w:rsidRPr="00BD63FE" w:rsidR="003D5796">
        <w:rPr>
          <w:rFonts w:ascii="Arial" w:hAnsi="Arial" w:cs="Arial"/>
          <w:sz w:val="24"/>
          <w:szCs w:val="24"/>
        </w:rPr>
        <w:t>A</w:t>
      </w:r>
      <w:r w:rsidRPr="00BD63FE" w:rsidR="006F22A2">
        <w:rPr>
          <w:rFonts w:ascii="Arial" w:hAnsi="Arial" w:cs="Arial"/>
          <w:sz w:val="24"/>
          <w:szCs w:val="24"/>
        </w:rPr>
        <w:t xml:space="preserve">ny information </w:t>
      </w:r>
      <w:r w:rsidRPr="00BD63FE" w:rsidR="00426A83">
        <w:rPr>
          <w:rFonts w:ascii="Arial" w:hAnsi="Arial" w:cs="Arial"/>
          <w:sz w:val="24"/>
          <w:szCs w:val="24"/>
        </w:rPr>
        <w:t>retained</w:t>
      </w:r>
      <w:r w:rsidRPr="00BD63FE" w:rsidR="006F22A2">
        <w:rPr>
          <w:rFonts w:ascii="Arial" w:hAnsi="Arial" w:cs="Arial"/>
          <w:sz w:val="24"/>
          <w:szCs w:val="24"/>
        </w:rPr>
        <w:t xml:space="preserve"> by the </w:t>
      </w:r>
      <w:r w:rsidR="008A513C">
        <w:rPr>
          <w:rFonts w:ascii="Arial" w:hAnsi="Arial" w:cs="Arial"/>
          <w:sz w:val="24"/>
          <w:szCs w:val="24"/>
        </w:rPr>
        <w:t>USPTO</w:t>
      </w:r>
      <w:r w:rsidRPr="00BD63FE" w:rsidR="008A513C">
        <w:rPr>
          <w:rFonts w:ascii="Arial" w:hAnsi="Arial" w:cs="Arial"/>
          <w:sz w:val="24"/>
          <w:szCs w:val="24"/>
        </w:rPr>
        <w:t xml:space="preserve"> </w:t>
      </w:r>
      <w:r w:rsidR="008A513C">
        <w:rPr>
          <w:rFonts w:ascii="Arial" w:hAnsi="Arial" w:cs="Arial"/>
          <w:sz w:val="24"/>
          <w:szCs w:val="24"/>
        </w:rPr>
        <w:t xml:space="preserve">or the </w:t>
      </w:r>
      <w:r w:rsidR="00E625E6">
        <w:rPr>
          <w:rFonts w:ascii="Arial" w:hAnsi="Arial" w:cs="Arial"/>
          <w:sz w:val="24"/>
          <w:szCs w:val="24"/>
        </w:rPr>
        <w:t>participants</w:t>
      </w:r>
      <w:r w:rsidR="008A513C">
        <w:rPr>
          <w:rFonts w:ascii="Arial" w:hAnsi="Arial" w:cs="Arial"/>
          <w:sz w:val="24"/>
          <w:szCs w:val="24"/>
        </w:rPr>
        <w:t xml:space="preserve"> </w:t>
      </w:r>
      <w:r w:rsidRPr="00BD63FE" w:rsidR="006F22A2">
        <w:rPr>
          <w:rFonts w:ascii="Arial" w:hAnsi="Arial" w:cs="Arial"/>
          <w:sz w:val="24"/>
          <w:szCs w:val="24"/>
        </w:rPr>
        <w:t xml:space="preserve">will be kept private to the extent permitted by law. </w:t>
      </w:r>
      <w:r w:rsidR="00AA5CFF">
        <w:rPr>
          <w:rFonts w:ascii="Arial" w:hAnsi="Arial" w:cs="Arial"/>
          <w:sz w:val="24"/>
          <w:szCs w:val="24"/>
        </w:rPr>
        <w:t xml:space="preserve">  </w:t>
      </w:r>
    </w:p>
    <w:p w:rsidR="00AA5CFF" w:rsidP="00B765A5" w14:paraId="3B297780" w14:textId="117D29D1">
      <w:pPr>
        <w:jc w:val="both"/>
        <w:rPr>
          <w:rFonts w:ascii="Arial" w:hAnsi="Arial" w:cs="Arial"/>
          <w:sz w:val="24"/>
          <w:szCs w:val="24"/>
        </w:rPr>
      </w:pPr>
    </w:p>
    <w:p w:rsidR="000C2EE5" w:rsidP="00B765A5" w14:paraId="0092CC61" w14:textId="5D3D8A49">
      <w:pPr>
        <w:jc w:val="both"/>
        <w:rPr>
          <w:rFonts w:ascii="Arial" w:hAnsi="Arial"/>
          <w:sz w:val="24"/>
        </w:rPr>
      </w:pPr>
      <w:r>
        <w:rPr>
          <w:rFonts w:ascii="Arial" w:hAnsi="Arial"/>
          <w:sz w:val="24"/>
        </w:rPr>
        <w:t xml:space="preserve">As only aggregate information is provided to USPTO there is no </w:t>
      </w:r>
      <w:r w:rsidR="008D7AA5">
        <w:rPr>
          <w:rFonts w:ascii="Arial" w:hAnsi="Arial"/>
          <w:sz w:val="24"/>
        </w:rPr>
        <w:t>personally identifiable information (</w:t>
      </w:r>
      <w:r>
        <w:rPr>
          <w:rFonts w:ascii="Arial" w:hAnsi="Arial"/>
          <w:sz w:val="24"/>
        </w:rPr>
        <w:t>PII</w:t>
      </w:r>
      <w:r w:rsidR="008D7AA5">
        <w:rPr>
          <w:rFonts w:ascii="Arial" w:hAnsi="Arial"/>
          <w:sz w:val="24"/>
        </w:rPr>
        <w:t>)</w:t>
      </w:r>
      <w:r>
        <w:rPr>
          <w:rFonts w:ascii="Arial" w:hAnsi="Arial"/>
          <w:sz w:val="24"/>
        </w:rPr>
        <w:t xml:space="preserve"> or individualized information </w:t>
      </w:r>
      <w:r w:rsidR="000D2446">
        <w:rPr>
          <w:rFonts w:ascii="Arial" w:hAnsi="Arial"/>
          <w:sz w:val="24"/>
        </w:rPr>
        <w:t xml:space="preserve">collected or </w:t>
      </w:r>
      <w:r w:rsidR="007D1953">
        <w:rPr>
          <w:rFonts w:ascii="Arial" w:hAnsi="Arial"/>
          <w:sz w:val="24"/>
        </w:rPr>
        <w:t>maintained by USPTO.</w:t>
      </w:r>
      <w:r w:rsidR="00D06736">
        <w:rPr>
          <w:rFonts w:ascii="Arial" w:hAnsi="Arial"/>
          <w:sz w:val="24"/>
        </w:rPr>
        <w:t xml:space="preserve"> </w:t>
      </w:r>
      <w:r w:rsidR="00052D60">
        <w:rPr>
          <w:rFonts w:ascii="Arial" w:hAnsi="Arial"/>
          <w:sz w:val="24"/>
        </w:rPr>
        <w:t xml:space="preserve">The regional hubs </w:t>
      </w:r>
      <w:r w:rsidR="00D06736">
        <w:rPr>
          <w:rFonts w:ascii="Arial" w:hAnsi="Arial"/>
          <w:sz w:val="24"/>
        </w:rPr>
        <w:t xml:space="preserve">and national clearinghouse </w:t>
      </w:r>
      <w:r w:rsidR="00052D60">
        <w:rPr>
          <w:rFonts w:ascii="Arial" w:hAnsi="Arial"/>
          <w:sz w:val="24"/>
        </w:rPr>
        <w:t xml:space="preserve">do collect some PII for their own internal </w:t>
      </w:r>
      <w:r w:rsidR="00052D60">
        <w:rPr>
          <w:rFonts w:ascii="Arial" w:hAnsi="Arial"/>
          <w:sz w:val="24"/>
        </w:rPr>
        <w:t>purposes</w:t>
      </w:r>
      <w:r w:rsidR="002675CE">
        <w:rPr>
          <w:rFonts w:ascii="Arial" w:hAnsi="Arial"/>
          <w:sz w:val="24"/>
        </w:rPr>
        <w:t>, but t</w:t>
      </w:r>
      <w:r w:rsidR="00052D60">
        <w:rPr>
          <w:rFonts w:ascii="Arial" w:hAnsi="Arial"/>
          <w:sz w:val="24"/>
        </w:rPr>
        <w:t xml:space="preserve">he </w:t>
      </w:r>
      <w:r w:rsidR="002675CE">
        <w:rPr>
          <w:rFonts w:ascii="Arial" w:hAnsi="Arial"/>
          <w:sz w:val="24"/>
        </w:rPr>
        <w:t xml:space="preserve">PII is not accessible to the USPTO and is </w:t>
      </w:r>
      <w:r w:rsidR="00CB60FB">
        <w:rPr>
          <w:rFonts w:ascii="Arial" w:hAnsi="Arial"/>
          <w:sz w:val="24"/>
        </w:rPr>
        <w:t>not</w:t>
      </w:r>
      <w:r w:rsidR="002675CE">
        <w:rPr>
          <w:rFonts w:ascii="Arial" w:hAnsi="Arial"/>
          <w:sz w:val="24"/>
        </w:rPr>
        <w:t xml:space="preserve"> </w:t>
      </w:r>
      <w:r w:rsidR="00E51069">
        <w:rPr>
          <w:rFonts w:ascii="Arial" w:hAnsi="Arial"/>
          <w:sz w:val="24"/>
        </w:rPr>
        <w:t xml:space="preserve">requested or </w:t>
      </w:r>
      <w:r w:rsidR="002675CE">
        <w:rPr>
          <w:rFonts w:ascii="Arial" w:hAnsi="Arial"/>
          <w:sz w:val="24"/>
        </w:rPr>
        <w:t>reported in the Pro Bono Survey</w:t>
      </w:r>
      <w:r w:rsidR="00E625E6">
        <w:rPr>
          <w:rFonts w:ascii="Arial" w:hAnsi="Arial"/>
          <w:sz w:val="24"/>
        </w:rPr>
        <w:t>s</w:t>
      </w:r>
      <w:r w:rsidR="002675CE">
        <w:rPr>
          <w:rFonts w:ascii="Arial" w:hAnsi="Arial"/>
          <w:sz w:val="24"/>
        </w:rPr>
        <w:t xml:space="preserve">. </w:t>
      </w:r>
    </w:p>
    <w:p w:rsidR="00B765A5" w:rsidP="00B765A5" w14:paraId="32584D73" w14:textId="77777777">
      <w:pPr>
        <w:jc w:val="both"/>
        <w:rPr>
          <w:rFonts w:ascii="Arial" w:hAnsi="Arial"/>
          <w:sz w:val="24"/>
        </w:rPr>
      </w:pPr>
    </w:p>
    <w:p w:rsidR="00B765A5" w:rsidP="00F56BB3" w14:paraId="00A0064E" w14:textId="5CEE7E1F">
      <w:pPr>
        <w:pStyle w:val="ListParagraph"/>
        <w:numPr>
          <w:ilvl w:val="0"/>
          <w:numId w:val="10"/>
        </w:numPr>
        <w:jc w:val="both"/>
        <w:rPr>
          <w:rFonts w:ascii="Arial" w:hAnsi="Arial"/>
          <w:b/>
          <w:bCs/>
          <w:sz w:val="24"/>
        </w:rPr>
      </w:pPr>
      <w:r>
        <w:rPr>
          <w:rFonts w:ascii="Arial" w:hAnsi="Arial"/>
          <w:b/>
          <w:bCs/>
          <w:sz w:val="24"/>
        </w:rPr>
        <w:t xml:space="preserve"> </w:t>
      </w:r>
      <w:r w:rsidRPr="0056363B">
        <w:rPr>
          <w:rFonts w:ascii="Arial" w:hAnsi="Arial"/>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06736" w:rsidRPr="0056363B" w:rsidP="00E87CEF" w14:paraId="446947B9" w14:textId="77777777">
      <w:pPr>
        <w:pStyle w:val="ListParagraph"/>
        <w:ind w:left="360"/>
        <w:jc w:val="both"/>
        <w:rPr>
          <w:rFonts w:ascii="Arial" w:hAnsi="Arial"/>
          <w:b/>
          <w:bCs/>
          <w:sz w:val="24"/>
        </w:rPr>
      </w:pPr>
    </w:p>
    <w:p w:rsidR="00B765A5" w:rsidP="00763869" w14:paraId="2BA4C311" w14:textId="1458DDD2">
      <w:pPr>
        <w:pStyle w:val="BodyText2"/>
      </w:pPr>
      <w:r>
        <w:t>None of the required information is considered to be of a sensitive nature</w:t>
      </w:r>
      <w:r w:rsidR="75B20827">
        <w:t xml:space="preserve">.  Information is strictly collected on a voluntary basis. This information used by USPTO to understand the effectiveness of the </w:t>
      </w:r>
      <w:r w:rsidRPr="4C607349" w:rsidR="75E6EDCD">
        <w:rPr>
          <w:i/>
          <w:iCs/>
        </w:rPr>
        <w:t>pro bono</w:t>
      </w:r>
      <w:r w:rsidR="75E6EDCD">
        <w:t xml:space="preserve"> programs </w:t>
      </w:r>
      <w:r w:rsidR="75B20827">
        <w:t>in reaching diverse populations</w:t>
      </w:r>
      <w:r>
        <w:t>.</w:t>
      </w:r>
      <w:r w:rsidR="4AB42EA0">
        <w:t xml:space="preserve"> </w:t>
      </w:r>
    </w:p>
    <w:p w:rsidR="00B765A5" w:rsidP="00763869" w14:paraId="6ADC39AE" w14:textId="77777777">
      <w:pPr>
        <w:pStyle w:val="BodyText2"/>
      </w:pPr>
    </w:p>
    <w:p w:rsidR="0056363B" w:rsidRPr="0056363B" w:rsidP="00763869" w14:paraId="555CC67D" w14:textId="30428ACC">
      <w:pPr>
        <w:pStyle w:val="ListParagraph"/>
        <w:numPr>
          <w:ilvl w:val="0"/>
          <w:numId w:val="10"/>
        </w:numPr>
        <w:jc w:val="both"/>
        <w:rPr>
          <w:rFonts w:ascii="Arial" w:hAnsi="Arial"/>
          <w:b/>
          <w:sz w:val="24"/>
        </w:rPr>
      </w:pPr>
      <w:r w:rsidRPr="0056363B">
        <w:rPr>
          <w:rFonts w:ascii="Arial" w:hAnsi="Arial"/>
          <w:b/>
          <w:sz w:val="24"/>
        </w:rPr>
        <w:t xml:space="preserve">Provide estimates of the hour burden of the collection of information. The statement should: </w:t>
      </w:r>
      <w:r w:rsidRPr="0056363B">
        <w:rPr>
          <w:rFonts w:ascii="Arial" w:hAnsi="Arial"/>
          <w:b/>
          <w:bCs/>
          <w:sz w:val="24"/>
        </w:rPr>
        <w:tab/>
        <w:t xml:space="preserve"> </w:t>
      </w:r>
    </w:p>
    <w:p w:rsidR="0056363B" w:rsidRPr="0056363B" w:rsidP="00D858ED" w14:paraId="6337868B" w14:textId="744A3D75">
      <w:pPr>
        <w:numPr>
          <w:ilvl w:val="0"/>
          <w:numId w:val="15"/>
        </w:numPr>
        <w:ind w:hanging="425"/>
        <w:jc w:val="both"/>
        <w:rPr>
          <w:rFonts w:ascii="Arial" w:hAnsi="Arial"/>
          <w:b/>
          <w:bCs/>
          <w:sz w:val="24"/>
        </w:rPr>
      </w:pPr>
      <w:r w:rsidRPr="0056363B">
        <w:rPr>
          <w:rFonts w:ascii="Arial" w:hAnsi="Arial"/>
          <w:b/>
          <w:bCs/>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363B" w:rsidRPr="0056363B" w:rsidP="00D858ED" w14:paraId="64317A3B" w14:textId="77777777">
      <w:pPr>
        <w:numPr>
          <w:ilvl w:val="0"/>
          <w:numId w:val="15"/>
        </w:numPr>
        <w:ind w:hanging="425"/>
        <w:jc w:val="both"/>
        <w:rPr>
          <w:rFonts w:ascii="Arial" w:hAnsi="Arial"/>
          <w:b/>
          <w:bCs/>
          <w:sz w:val="24"/>
        </w:rPr>
      </w:pPr>
      <w:r w:rsidRPr="0056363B">
        <w:rPr>
          <w:rFonts w:ascii="Arial" w:hAnsi="Arial"/>
          <w:b/>
          <w:bCs/>
          <w:sz w:val="24"/>
        </w:rPr>
        <w:t xml:space="preserve">If this request for approval covers more than one form, provide separate hour burden estimates for each form and aggregate the hour burdens. </w:t>
      </w:r>
    </w:p>
    <w:p w:rsidR="0056363B" w:rsidRPr="0056363B" w:rsidP="00D858ED" w14:paraId="592B0D50" w14:textId="77777777">
      <w:pPr>
        <w:numPr>
          <w:ilvl w:val="0"/>
          <w:numId w:val="15"/>
        </w:numPr>
        <w:ind w:hanging="425"/>
        <w:jc w:val="both"/>
        <w:rPr>
          <w:rFonts w:ascii="Arial" w:hAnsi="Arial"/>
          <w:b/>
          <w:bCs/>
          <w:sz w:val="24"/>
        </w:rPr>
      </w:pPr>
      <w:r w:rsidRPr="0056363B">
        <w:rPr>
          <w:rFonts w:ascii="Arial" w:hAnsi="Arial"/>
          <w:b/>
          <w:bCs/>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B765A5" w:rsidP="00B765A5" w14:paraId="448B00EB" w14:textId="77777777">
      <w:pPr>
        <w:jc w:val="both"/>
        <w:rPr>
          <w:rFonts w:ascii="Arial" w:hAnsi="Arial"/>
          <w:sz w:val="24"/>
        </w:rPr>
      </w:pPr>
    </w:p>
    <w:p w:rsidR="00B765A5" w:rsidRPr="00C305FE" w:rsidP="00B765A5" w14:paraId="23AF0B98" w14:textId="40105F35">
      <w:pPr>
        <w:pStyle w:val="BodyText2"/>
        <w:rPr>
          <w:szCs w:val="24"/>
        </w:rPr>
      </w:pPr>
      <w:r w:rsidRPr="00C305FE">
        <w:rPr>
          <w:szCs w:val="24"/>
        </w:rPr>
        <w:t>Table 3 calculates the anticipated burden hours and costs of this information collection to the public, bas</w:t>
      </w:r>
      <w:r w:rsidRPr="00C305FE" w:rsidR="00435444">
        <w:rPr>
          <w:szCs w:val="24"/>
        </w:rPr>
        <w:t>ed on the following factors:</w:t>
      </w:r>
      <w:r w:rsidRPr="00C305FE" w:rsidR="001C51D2">
        <w:rPr>
          <w:szCs w:val="24"/>
        </w:rPr>
        <w:t xml:space="preserve"> </w:t>
      </w:r>
    </w:p>
    <w:p w:rsidR="00B765A5" w:rsidRPr="00C305FE" w:rsidP="00B765A5" w14:paraId="0D5C7FFE" w14:textId="77777777">
      <w:pPr>
        <w:jc w:val="both"/>
        <w:rPr>
          <w:rFonts w:ascii="Arial" w:hAnsi="Arial"/>
          <w:sz w:val="24"/>
          <w:szCs w:val="24"/>
        </w:rPr>
      </w:pPr>
    </w:p>
    <w:p w:rsidR="00807D63" w:rsidRPr="00932309" w:rsidP="00D858ED" w14:paraId="36E461A9" w14:textId="69E2BF0A">
      <w:pPr>
        <w:numPr>
          <w:ilvl w:val="0"/>
          <w:numId w:val="1"/>
        </w:numPr>
        <w:tabs>
          <w:tab w:val="clear" w:pos="720"/>
        </w:tabs>
        <w:jc w:val="both"/>
        <w:rPr>
          <w:rFonts w:ascii="Arial" w:hAnsi="Arial"/>
          <w:b/>
          <w:sz w:val="24"/>
          <w:szCs w:val="24"/>
        </w:rPr>
      </w:pPr>
      <w:r w:rsidRPr="00C305FE">
        <w:rPr>
          <w:rFonts w:ascii="Arial" w:hAnsi="Arial"/>
          <w:b/>
          <w:sz w:val="24"/>
          <w:szCs w:val="24"/>
        </w:rPr>
        <w:t>Respondent Calculation Factors</w:t>
      </w:r>
    </w:p>
    <w:p w:rsidR="007834B0" w:rsidRPr="00C305FE" w:rsidP="00D858ED" w14:paraId="5FB3570A" w14:textId="666A72AD">
      <w:pPr>
        <w:pStyle w:val="BodyTextIndent"/>
      </w:pPr>
      <w:r>
        <w:t xml:space="preserve">The USPTO projects that </w:t>
      </w:r>
      <w:r w:rsidR="00C94543">
        <w:t>2</w:t>
      </w:r>
      <w:r w:rsidR="008359CF">
        <w:t>3</w:t>
      </w:r>
      <w:r>
        <w:t xml:space="preserve"> respondents to this information collection will submit </w:t>
      </w:r>
      <w:r w:rsidR="00C94543">
        <w:t>8</w:t>
      </w:r>
      <w:r w:rsidR="008359CF">
        <w:t>9</w:t>
      </w:r>
      <w:r w:rsidR="49D4D837">
        <w:t xml:space="preserve"> </w:t>
      </w:r>
      <w:r>
        <w:t xml:space="preserve">responses per year. </w:t>
      </w:r>
      <w:r w:rsidR="00CF44F2">
        <w:t>P</w:t>
      </w:r>
      <w:r>
        <w:t>rogram administrators</w:t>
      </w:r>
      <w:r w:rsidR="00CF44F2">
        <w:t xml:space="preserve"> for the </w:t>
      </w:r>
      <w:r w:rsidR="00C77D34">
        <w:t>Patents Pro Bono Program</w:t>
      </w:r>
      <w:r>
        <w:t xml:space="preserve"> responding on behalf of private sector non-profits will report their metrics </w:t>
      </w:r>
      <w:r w:rsidR="00C77D34">
        <w:t xml:space="preserve">quarterly, </w:t>
      </w:r>
      <w:r w:rsidR="009613C3">
        <w:t>while</w:t>
      </w:r>
      <w:r w:rsidR="00C77D34">
        <w:t xml:space="preserve"> the </w:t>
      </w:r>
      <w:r w:rsidR="00C94543">
        <w:rPr>
          <w:szCs w:val="24"/>
        </w:rPr>
        <w:t>clearinghouse administrators</w:t>
      </w:r>
      <w:r w:rsidRPr="4C607349" w:rsidR="009613C3">
        <w:rPr>
          <w:szCs w:val="24"/>
        </w:rPr>
        <w:t xml:space="preserve"> </w:t>
      </w:r>
      <w:r w:rsidR="009613C3">
        <w:rPr>
          <w:szCs w:val="24"/>
        </w:rPr>
        <w:t xml:space="preserve">provide </w:t>
      </w:r>
      <w:r w:rsidR="00C94543">
        <w:rPr>
          <w:szCs w:val="24"/>
        </w:rPr>
        <w:t>the</w:t>
      </w:r>
      <w:r w:rsidR="009613C3">
        <w:rPr>
          <w:szCs w:val="24"/>
        </w:rPr>
        <w:t xml:space="preserve"> information to</w:t>
      </w:r>
      <w:r w:rsidR="00C94543">
        <w:rPr>
          <w:szCs w:val="24"/>
        </w:rPr>
        <w:t xml:space="preserve"> the PTAB </w:t>
      </w:r>
      <w:r w:rsidR="007419CB">
        <w:rPr>
          <w:szCs w:val="24"/>
        </w:rPr>
        <w:t xml:space="preserve">Pro Bono Program </w:t>
      </w:r>
      <w:r w:rsidR="009613C3">
        <w:rPr>
          <w:szCs w:val="24"/>
        </w:rPr>
        <w:t xml:space="preserve">once </w:t>
      </w:r>
      <w:r w:rsidR="00C94543">
        <w:rPr>
          <w:szCs w:val="24"/>
        </w:rPr>
        <w:t>annually</w:t>
      </w:r>
      <w:r>
        <w:t xml:space="preserve">. The USPTO estimates that approximately 25% of these responses will be from small entities. The USPTO estimates that the responses will be filed electronically. These estimates are based on the Agency’s long-standing institutional knowledge of and experience with the type of information collected by these items.    </w:t>
      </w:r>
    </w:p>
    <w:p w:rsidR="00B765A5" w:rsidRPr="00C305FE" w:rsidP="00B765A5" w14:paraId="12CEFD1D" w14:textId="77777777">
      <w:pPr>
        <w:pStyle w:val="BodyTextIndent"/>
        <w:rPr>
          <w:szCs w:val="24"/>
        </w:rPr>
      </w:pPr>
    </w:p>
    <w:p w:rsidR="00B765A5" w:rsidRPr="00C305FE" w:rsidP="00D858ED" w14:paraId="29D0F204" w14:textId="77777777">
      <w:pPr>
        <w:numPr>
          <w:ilvl w:val="0"/>
          <w:numId w:val="2"/>
        </w:numPr>
        <w:tabs>
          <w:tab w:val="clear" w:pos="360"/>
          <w:tab w:val="num" w:pos="720"/>
        </w:tabs>
        <w:ind w:left="720"/>
        <w:jc w:val="both"/>
        <w:rPr>
          <w:rFonts w:ascii="Arial" w:hAnsi="Arial"/>
          <w:b/>
          <w:sz w:val="24"/>
          <w:szCs w:val="24"/>
        </w:rPr>
      </w:pPr>
      <w:r w:rsidRPr="00C305FE">
        <w:rPr>
          <w:rFonts w:ascii="Arial" w:hAnsi="Arial"/>
          <w:b/>
          <w:sz w:val="24"/>
          <w:szCs w:val="24"/>
        </w:rPr>
        <w:t>Burden Hour Calculation Factors</w:t>
      </w:r>
    </w:p>
    <w:p w:rsidR="00B765A5" w14:paraId="4FE14AEF" w14:textId="0664A048">
      <w:pPr>
        <w:ind w:left="720"/>
        <w:jc w:val="both"/>
        <w:rPr>
          <w:rFonts w:ascii="Arial" w:hAnsi="Arial"/>
          <w:sz w:val="24"/>
          <w:szCs w:val="24"/>
        </w:rPr>
      </w:pPr>
      <w:r w:rsidRPr="4C607349">
        <w:rPr>
          <w:rFonts w:ascii="Arial" w:hAnsi="Arial"/>
          <w:sz w:val="24"/>
          <w:szCs w:val="24"/>
        </w:rPr>
        <w:t xml:space="preserve">The USPTO estimates that it takes the </w:t>
      </w:r>
      <w:r w:rsidRPr="4C607349" w:rsidR="5FCEA309">
        <w:rPr>
          <w:rFonts w:ascii="Arial" w:hAnsi="Arial"/>
          <w:sz w:val="24"/>
          <w:szCs w:val="24"/>
        </w:rPr>
        <w:t>regional hu</w:t>
      </w:r>
      <w:r w:rsidRPr="4C607349" w:rsidR="01AC066F">
        <w:rPr>
          <w:rFonts w:ascii="Arial" w:hAnsi="Arial"/>
          <w:sz w:val="24"/>
          <w:szCs w:val="24"/>
        </w:rPr>
        <w:t xml:space="preserve">b </w:t>
      </w:r>
      <w:r w:rsidR="002C1780">
        <w:rPr>
          <w:rFonts w:ascii="Arial" w:hAnsi="Arial"/>
          <w:sz w:val="24"/>
          <w:szCs w:val="24"/>
        </w:rPr>
        <w:t>and</w:t>
      </w:r>
      <w:r w:rsidRPr="4C607349" w:rsidR="01AC066F">
        <w:rPr>
          <w:rFonts w:ascii="Arial" w:hAnsi="Arial"/>
          <w:sz w:val="24"/>
          <w:szCs w:val="24"/>
        </w:rPr>
        <w:t xml:space="preserve"> clearinghouse </w:t>
      </w:r>
      <w:r w:rsidRPr="4C607349" w:rsidR="5FCEA309">
        <w:rPr>
          <w:rFonts w:ascii="Arial" w:hAnsi="Arial"/>
          <w:sz w:val="24"/>
          <w:szCs w:val="24"/>
        </w:rPr>
        <w:t xml:space="preserve">administrators </w:t>
      </w:r>
      <w:r w:rsidRPr="4C607349">
        <w:rPr>
          <w:rFonts w:ascii="Arial" w:hAnsi="Arial"/>
          <w:sz w:val="24"/>
          <w:szCs w:val="24"/>
        </w:rPr>
        <w:t xml:space="preserve">approximately </w:t>
      </w:r>
      <w:r w:rsidR="008113E1">
        <w:rPr>
          <w:rFonts w:ascii="Arial" w:hAnsi="Arial"/>
          <w:sz w:val="24"/>
          <w:szCs w:val="24"/>
        </w:rPr>
        <w:t>1.75</w:t>
      </w:r>
      <w:r w:rsidRPr="4C607349" w:rsidR="008113E1">
        <w:rPr>
          <w:rFonts w:ascii="Arial" w:hAnsi="Arial"/>
          <w:sz w:val="24"/>
          <w:szCs w:val="24"/>
        </w:rPr>
        <w:t xml:space="preserve"> </w:t>
      </w:r>
      <w:r w:rsidRPr="4C607349" w:rsidR="6FBB9BDC">
        <w:rPr>
          <w:rFonts w:ascii="Arial" w:hAnsi="Arial"/>
          <w:sz w:val="24"/>
          <w:szCs w:val="24"/>
        </w:rPr>
        <w:t>hours</w:t>
      </w:r>
      <w:r w:rsidR="008113E1">
        <w:rPr>
          <w:rFonts w:ascii="Arial" w:hAnsi="Arial"/>
          <w:sz w:val="24"/>
          <w:szCs w:val="24"/>
        </w:rPr>
        <w:t xml:space="preserve"> (105 minutes)</w:t>
      </w:r>
      <w:r w:rsidRPr="4C607349" w:rsidR="6FBB9BDC">
        <w:rPr>
          <w:rFonts w:ascii="Arial" w:hAnsi="Arial"/>
          <w:sz w:val="24"/>
          <w:szCs w:val="24"/>
        </w:rPr>
        <w:t xml:space="preserve"> </w:t>
      </w:r>
      <w:r w:rsidRPr="006E568A" w:rsidR="006E568A">
        <w:rPr>
          <w:rFonts w:ascii="Arial" w:hAnsi="Arial"/>
          <w:sz w:val="24"/>
          <w:szCs w:val="24"/>
        </w:rPr>
        <w:t xml:space="preserve">to gather the necessary information, prepare the appropriate document(s), and submit the item to the USPTO. </w:t>
      </w:r>
      <w:r w:rsidRPr="4C607349" w:rsidR="2B6361D8">
        <w:rPr>
          <w:rFonts w:ascii="Arial" w:hAnsi="Arial"/>
          <w:sz w:val="24"/>
          <w:szCs w:val="24"/>
        </w:rPr>
        <w:t xml:space="preserve">Using these burden factors, USPTO estimates that the total respondent hourly burden for this information collection is </w:t>
      </w:r>
      <w:r w:rsidR="008113E1">
        <w:rPr>
          <w:rFonts w:ascii="Arial" w:hAnsi="Arial"/>
          <w:sz w:val="24"/>
          <w:szCs w:val="24"/>
        </w:rPr>
        <w:t>1</w:t>
      </w:r>
      <w:r w:rsidR="008359CF">
        <w:rPr>
          <w:rFonts w:ascii="Arial" w:hAnsi="Arial"/>
          <w:sz w:val="24"/>
          <w:szCs w:val="24"/>
        </w:rPr>
        <w:t>56</w:t>
      </w:r>
      <w:r w:rsidRPr="4C607349" w:rsidR="49D4D837">
        <w:rPr>
          <w:rFonts w:ascii="Arial" w:hAnsi="Arial"/>
          <w:sz w:val="24"/>
          <w:szCs w:val="24"/>
        </w:rPr>
        <w:t xml:space="preserve"> </w:t>
      </w:r>
      <w:r w:rsidRPr="4C607349" w:rsidR="2B6361D8">
        <w:rPr>
          <w:rFonts w:ascii="Arial" w:hAnsi="Arial"/>
          <w:sz w:val="24"/>
          <w:szCs w:val="24"/>
        </w:rPr>
        <w:t>hours per year.</w:t>
      </w:r>
    </w:p>
    <w:p w:rsidR="00B765A5" w:rsidRPr="00C305FE" w:rsidP="00B765A5" w14:paraId="1104979B" w14:textId="77777777">
      <w:pPr>
        <w:ind w:left="720"/>
        <w:jc w:val="both"/>
        <w:rPr>
          <w:rFonts w:ascii="Arial" w:hAnsi="Arial"/>
          <w:sz w:val="24"/>
          <w:szCs w:val="24"/>
        </w:rPr>
      </w:pPr>
    </w:p>
    <w:p w:rsidR="00B765A5" w:rsidRPr="00C305FE" w:rsidP="00D858ED" w14:paraId="7838D48C" w14:textId="77777777">
      <w:pPr>
        <w:numPr>
          <w:ilvl w:val="0"/>
          <w:numId w:val="3"/>
        </w:numPr>
        <w:jc w:val="both"/>
        <w:rPr>
          <w:rFonts w:ascii="Arial" w:hAnsi="Arial"/>
          <w:sz w:val="24"/>
          <w:szCs w:val="24"/>
        </w:rPr>
      </w:pPr>
      <w:r w:rsidRPr="00C305FE">
        <w:rPr>
          <w:rFonts w:ascii="Arial" w:hAnsi="Arial"/>
          <w:b/>
          <w:sz w:val="24"/>
          <w:szCs w:val="24"/>
        </w:rPr>
        <w:t>Cost Burden Calculation Factors</w:t>
      </w:r>
    </w:p>
    <w:p w:rsidR="00A24A9C" w:rsidRPr="00931F6F" w:rsidP="00507E31" w14:paraId="02CC889A" w14:textId="40F9CCCF">
      <w:pPr>
        <w:pStyle w:val="BodyTextIndent2"/>
        <w:rPr>
          <w:rFonts w:cs="Arial"/>
          <w:sz w:val="24"/>
          <w:szCs w:val="24"/>
        </w:rPr>
      </w:pPr>
      <w:r w:rsidRPr="00C305FE">
        <w:rPr>
          <w:sz w:val="24"/>
          <w:szCs w:val="24"/>
        </w:rPr>
        <w:t>T</w:t>
      </w:r>
      <w:r w:rsidRPr="00C305FE" w:rsidR="6C56399A">
        <w:rPr>
          <w:sz w:val="24"/>
          <w:szCs w:val="24"/>
        </w:rPr>
        <w:t xml:space="preserve">he USPTO expects that administrators will supply the information </w:t>
      </w:r>
      <w:r w:rsidR="2B6361D8">
        <w:rPr>
          <w:sz w:val="24"/>
          <w:szCs w:val="24"/>
        </w:rPr>
        <w:t xml:space="preserve">for the surveys </w:t>
      </w:r>
      <w:r w:rsidRPr="00C305FE" w:rsidR="6C56399A">
        <w:rPr>
          <w:sz w:val="24"/>
          <w:szCs w:val="24"/>
        </w:rPr>
        <w:t>in th</w:t>
      </w:r>
      <w:r w:rsidRPr="00931F6F" w:rsidR="6C56399A">
        <w:rPr>
          <w:sz w:val="24"/>
          <w:szCs w:val="24"/>
        </w:rPr>
        <w:t xml:space="preserve">is </w:t>
      </w:r>
      <w:r w:rsidRPr="00931F6F" w:rsidR="242FEA2B">
        <w:rPr>
          <w:sz w:val="24"/>
          <w:szCs w:val="24"/>
        </w:rPr>
        <w:t xml:space="preserve">information </w:t>
      </w:r>
      <w:r w:rsidRPr="00931F6F" w:rsidR="6C56399A">
        <w:rPr>
          <w:sz w:val="24"/>
          <w:szCs w:val="24"/>
        </w:rPr>
        <w:t>collection</w:t>
      </w:r>
      <w:r w:rsidR="293F5B2E">
        <w:rPr>
          <w:sz w:val="24"/>
          <w:szCs w:val="24"/>
        </w:rPr>
        <w:t>.</w:t>
      </w:r>
      <w:r w:rsidR="193E6C15">
        <w:rPr>
          <w:sz w:val="24"/>
          <w:szCs w:val="24"/>
        </w:rPr>
        <w:t xml:space="preserve"> </w:t>
      </w:r>
      <w:r w:rsidRPr="00931F6F" w:rsidR="2E2E127E">
        <w:rPr>
          <w:sz w:val="24"/>
          <w:szCs w:val="24"/>
        </w:rPr>
        <w:t>The rate</w:t>
      </w:r>
      <w:r w:rsidR="293F5B2E">
        <w:rPr>
          <w:sz w:val="24"/>
          <w:szCs w:val="24"/>
        </w:rPr>
        <w:t xml:space="preserve"> </w:t>
      </w:r>
      <w:r w:rsidRPr="00E822CD" w:rsidR="293F5B2E">
        <w:rPr>
          <w:sz w:val="24"/>
          <w:szCs w:val="24"/>
        </w:rPr>
        <w:t>($</w:t>
      </w:r>
      <w:r w:rsidRPr="00E822CD" w:rsidR="298FBB12">
        <w:rPr>
          <w:sz w:val="24"/>
          <w:szCs w:val="24"/>
        </w:rPr>
        <w:t>55.41</w:t>
      </w:r>
      <w:r w:rsidRPr="00E822CD" w:rsidR="293F5B2E">
        <w:rPr>
          <w:sz w:val="24"/>
          <w:szCs w:val="24"/>
        </w:rPr>
        <w:t>)</w:t>
      </w:r>
      <w:r w:rsidRPr="00931F6F" w:rsidR="2E2E127E">
        <w:rPr>
          <w:sz w:val="24"/>
          <w:szCs w:val="24"/>
        </w:rPr>
        <w:t xml:space="preserve"> for </w:t>
      </w:r>
      <w:r w:rsidRPr="00E04C09" w:rsidR="2E2E127E">
        <w:rPr>
          <w:sz w:val="24"/>
          <w:szCs w:val="24"/>
        </w:rPr>
        <w:t>administrators (</w:t>
      </w:r>
      <w:r w:rsidRPr="00D858ED" w:rsidR="3A7FB720">
        <w:rPr>
          <w:sz w:val="24"/>
          <w:szCs w:val="24"/>
        </w:rPr>
        <w:t>BLS 11–1021</w:t>
      </w:r>
      <w:r w:rsidRPr="00E04C09" w:rsidR="2E2E127E">
        <w:rPr>
          <w:sz w:val="24"/>
          <w:szCs w:val="24"/>
        </w:rPr>
        <w:t>)</w:t>
      </w:r>
      <w:r w:rsidR="00B8287E">
        <w:rPr>
          <w:sz w:val="24"/>
          <w:szCs w:val="24"/>
        </w:rPr>
        <w:t xml:space="preserve"> </w:t>
      </w:r>
      <w:r w:rsidRPr="00931F6F" w:rsidR="2E2E127E">
        <w:rPr>
          <w:sz w:val="24"/>
          <w:szCs w:val="24"/>
        </w:rPr>
        <w:t>is based the BLS 20</w:t>
      </w:r>
      <w:r w:rsidR="3A7FB720">
        <w:rPr>
          <w:sz w:val="24"/>
          <w:szCs w:val="24"/>
        </w:rPr>
        <w:t>2</w:t>
      </w:r>
      <w:r w:rsidRPr="00931F6F" w:rsidR="2E2E127E">
        <w:rPr>
          <w:sz w:val="24"/>
          <w:szCs w:val="24"/>
        </w:rPr>
        <w:t>1 National Occupation and Employment and Wage Estimates.</w:t>
      </w:r>
      <w:r w:rsidR="293F5B2E">
        <w:rPr>
          <w:sz w:val="24"/>
          <w:szCs w:val="24"/>
        </w:rPr>
        <w:t xml:space="preserve"> </w:t>
      </w:r>
      <w:r w:rsidRPr="00931F6F" w:rsidR="19127E8C">
        <w:rPr>
          <w:sz w:val="24"/>
          <w:szCs w:val="24"/>
        </w:rPr>
        <w:t xml:space="preserve">Using this hourly rate, the USPTO estimates that the total respondent cost burden for this collection is </w:t>
      </w:r>
      <w:r w:rsidRPr="00E822CD" w:rsidR="19127E8C">
        <w:rPr>
          <w:sz w:val="24"/>
          <w:szCs w:val="24"/>
        </w:rPr>
        <w:t>$</w:t>
      </w:r>
      <w:r w:rsidRPr="008667EE" w:rsidR="008667EE">
        <w:rPr>
          <w:sz w:val="24"/>
          <w:szCs w:val="24"/>
        </w:rPr>
        <w:t>8,</w:t>
      </w:r>
      <w:r w:rsidR="008359CF">
        <w:rPr>
          <w:sz w:val="24"/>
          <w:szCs w:val="24"/>
        </w:rPr>
        <w:t>644</w:t>
      </w:r>
      <w:r w:rsidR="008667EE">
        <w:rPr>
          <w:sz w:val="24"/>
          <w:szCs w:val="24"/>
        </w:rPr>
        <w:t xml:space="preserve"> </w:t>
      </w:r>
      <w:r w:rsidRPr="00931F6F" w:rsidR="19127E8C">
        <w:rPr>
          <w:rFonts w:cs="Arial"/>
          <w:sz w:val="24"/>
          <w:szCs w:val="24"/>
        </w:rPr>
        <w:t>per year.</w:t>
      </w:r>
    </w:p>
    <w:p w:rsidR="005F13B0" w:rsidP="005F13B0" w14:paraId="3A2E1956" w14:textId="77777777">
      <w:pPr>
        <w:pStyle w:val="NoSpacing"/>
        <w:jc w:val="both"/>
        <w:rPr>
          <w:rFonts w:ascii="Arial" w:hAnsi="Arial"/>
          <w:sz w:val="22"/>
        </w:rPr>
      </w:pPr>
    </w:p>
    <w:p w:rsidR="005F13B0" w:rsidRPr="009C1766" w:rsidP="4C607349" w14:paraId="36F88585" w14:textId="34D55546">
      <w:pPr>
        <w:pStyle w:val="NoSpacing"/>
        <w:ind w:left="-990"/>
        <w:jc w:val="both"/>
        <w:rPr>
          <w:rFonts w:ascii="Arial" w:hAnsi="Arial" w:cs="Arial"/>
        </w:rPr>
      </w:pPr>
      <w:r w:rsidRPr="6F620DDE">
        <w:rPr>
          <w:rFonts w:ascii="Arial" w:hAnsi="Arial" w:cs="Arial"/>
          <w:b/>
          <w:bCs/>
        </w:rPr>
        <w:t>Table 3: Total Burden Hours and Hourly Costs to Pr</w:t>
      </w:r>
      <w:r w:rsidR="00DB2D59">
        <w:rPr>
          <w:rFonts w:ascii="Arial" w:hAnsi="Arial" w:cs="Arial"/>
          <w:b/>
          <w:bCs/>
        </w:rPr>
        <w:t xml:space="preserve">ivate Sector </w:t>
      </w:r>
      <w:r w:rsidRPr="6F620DDE">
        <w:rPr>
          <w:rFonts w:ascii="Arial" w:hAnsi="Arial" w:cs="Arial"/>
          <w:b/>
          <w:bCs/>
        </w:rPr>
        <w:t>Respondents</w:t>
      </w:r>
    </w:p>
    <w:tbl>
      <w:tblPr>
        <w:tblW w:w="0" w:type="auto"/>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595"/>
        <w:gridCol w:w="1364"/>
        <w:gridCol w:w="1376"/>
        <w:gridCol w:w="1270"/>
        <w:gridCol w:w="1217"/>
        <w:gridCol w:w="1188"/>
        <w:gridCol w:w="1123"/>
        <w:gridCol w:w="836"/>
        <w:gridCol w:w="1376"/>
      </w:tblGrid>
      <w:tr w14:paraId="14EB6D9F" w14:textId="77777777" w:rsidTr="00D858ED">
        <w:tblPrEx>
          <w:tblW w:w="0" w:type="auto"/>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Ex>
        <w:trPr>
          <w:tblHead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B0D6D" w:rsidRPr="007F5B0B" w:rsidP="00683C62" w14:paraId="772715DB" w14:textId="77777777">
            <w:pPr>
              <w:widowControl w:val="0"/>
              <w:autoSpaceDE w:val="0"/>
              <w:autoSpaceDN w:val="0"/>
              <w:adjustRightInd w:val="0"/>
              <w:jc w:val="center"/>
              <w:rPr>
                <w:rFonts w:ascii="Arial" w:hAnsi="Arial" w:cs="Arial"/>
                <w:b/>
                <w:sz w:val="16"/>
                <w:szCs w:val="16"/>
              </w:rPr>
            </w:pPr>
            <w:bookmarkStart w:id="1" w:name="_Hlk97760191"/>
            <w:r w:rsidRPr="007F5B0B">
              <w:rPr>
                <w:rFonts w:ascii="Arial" w:hAnsi="Arial" w:cs="Arial"/>
                <w:b/>
                <w:sz w:val="16"/>
                <w:szCs w:val="16"/>
              </w:rPr>
              <w:t>Item 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B0D6D" w:rsidRPr="007F5B0B" w:rsidP="00683C62" w14:paraId="317E6AE5" w14:textId="77777777">
            <w:pPr>
              <w:widowControl w:val="0"/>
              <w:tabs>
                <w:tab w:val="left" w:pos="-1176"/>
              </w:tabs>
              <w:autoSpaceDE w:val="0"/>
              <w:autoSpaceDN w:val="0"/>
              <w:adjustRightInd w:val="0"/>
              <w:jc w:val="center"/>
              <w:rPr>
                <w:rFonts w:ascii="Arial" w:hAnsi="Arial" w:cs="Arial"/>
                <w:b/>
                <w:bCs/>
                <w:sz w:val="16"/>
                <w:szCs w:val="16"/>
              </w:rPr>
            </w:pPr>
            <w:r w:rsidRPr="007F5B0B">
              <w:rPr>
                <w:rFonts w:ascii="Arial" w:hAnsi="Arial" w:cs="Arial"/>
                <w:b/>
                <w:sz w:val="16"/>
                <w:szCs w:val="16"/>
              </w:rPr>
              <w:t>Item</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B0D6D" w:rsidRPr="007F5B0B" w:rsidP="00683C62" w14:paraId="4077F034" w14:textId="77777777">
            <w:pPr>
              <w:widowControl w:val="0"/>
              <w:autoSpaceDE w:val="0"/>
              <w:autoSpaceDN w:val="0"/>
              <w:adjustRightInd w:val="0"/>
              <w:jc w:val="center"/>
              <w:rPr>
                <w:rFonts w:ascii="Arial" w:hAnsi="Arial" w:cs="Arial"/>
                <w:b/>
                <w:bCs/>
                <w:sz w:val="16"/>
                <w:szCs w:val="16"/>
              </w:rPr>
            </w:pPr>
            <w:r w:rsidRPr="007F5B0B">
              <w:rPr>
                <w:rFonts w:ascii="Arial" w:hAnsi="Arial" w:cs="Arial"/>
                <w:b/>
                <w:sz w:val="16"/>
                <w:szCs w:val="16"/>
              </w:rPr>
              <w:t>Estimated Annual Respondents</w:t>
            </w:r>
          </w:p>
          <w:p w:rsidR="00EB0D6D" w:rsidRPr="007F5B0B" w:rsidP="00683C62" w14:paraId="5446BFE6" w14:textId="77777777">
            <w:pPr>
              <w:widowControl w:val="0"/>
              <w:autoSpaceDE w:val="0"/>
              <w:autoSpaceDN w:val="0"/>
              <w:adjustRightInd w:val="0"/>
              <w:jc w:val="center"/>
              <w:rPr>
                <w:rFonts w:ascii="Arial" w:hAnsi="Arial" w:cs="Arial"/>
                <w:b/>
                <w:bCs/>
                <w:sz w:val="16"/>
                <w:szCs w:val="16"/>
              </w:rPr>
            </w:pPr>
          </w:p>
          <w:p w:rsidR="00EB0D6D" w:rsidRPr="007F5B0B" w:rsidP="00683C62" w14:paraId="393CBF8F" w14:textId="77777777">
            <w:pPr>
              <w:widowControl w:val="0"/>
              <w:autoSpaceDE w:val="0"/>
              <w:autoSpaceDN w:val="0"/>
              <w:adjustRightInd w:val="0"/>
              <w:jc w:val="center"/>
              <w:rPr>
                <w:rFonts w:ascii="Arial" w:hAnsi="Arial" w:cs="Arial"/>
                <w:b/>
                <w:bCs/>
                <w:sz w:val="16"/>
                <w:szCs w:val="16"/>
              </w:rPr>
            </w:pPr>
          </w:p>
          <w:p w:rsidR="00EB0D6D" w:rsidRPr="007F5B0B" w:rsidP="00683C62" w14:paraId="6A8DA517" w14:textId="77777777">
            <w:pPr>
              <w:widowControl w:val="0"/>
              <w:autoSpaceDE w:val="0"/>
              <w:autoSpaceDN w:val="0"/>
              <w:adjustRightInd w:val="0"/>
              <w:jc w:val="center"/>
              <w:rPr>
                <w:rFonts w:ascii="Arial" w:hAnsi="Arial" w:cs="Arial"/>
                <w:b/>
                <w:bCs/>
                <w:sz w:val="16"/>
                <w:szCs w:val="16"/>
              </w:rPr>
            </w:pPr>
            <w:r w:rsidRPr="007F5B0B">
              <w:rPr>
                <w:rFonts w:ascii="Arial" w:hAnsi="Arial" w:cs="Arial"/>
                <w:b/>
                <w:sz w:val="16"/>
                <w:szCs w:val="16"/>
              </w:rPr>
              <w:t>(a)</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B0D6D" w:rsidRPr="007F5B0B" w:rsidP="00683C62" w14:paraId="570362E2" w14:textId="77777777">
            <w:pPr>
              <w:widowControl w:val="0"/>
              <w:autoSpaceDE w:val="0"/>
              <w:autoSpaceDN w:val="0"/>
              <w:adjustRightInd w:val="0"/>
              <w:jc w:val="center"/>
              <w:rPr>
                <w:rFonts w:ascii="Arial" w:hAnsi="Arial" w:cs="Arial"/>
                <w:b/>
                <w:bCs/>
                <w:sz w:val="16"/>
                <w:szCs w:val="16"/>
              </w:rPr>
            </w:pPr>
            <w:r w:rsidRPr="007F5B0B">
              <w:rPr>
                <w:rFonts w:ascii="Arial" w:hAnsi="Arial" w:cs="Arial"/>
                <w:b/>
                <w:sz w:val="16"/>
                <w:szCs w:val="16"/>
              </w:rPr>
              <w:t>Responses per Respondent</w:t>
            </w:r>
          </w:p>
          <w:p w:rsidR="00EB0D6D" w:rsidRPr="007F5B0B" w:rsidP="00683C62" w14:paraId="37F557C9" w14:textId="77777777">
            <w:pPr>
              <w:widowControl w:val="0"/>
              <w:autoSpaceDE w:val="0"/>
              <w:autoSpaceDN w:val="0"/>
              <w:adjustRightInd w:val="0"/>
              <w:jc w:val="center"/>
              <w:rPr>
                <w:rFonts w:ascii="Arial" w:hAnsi="Arial" w:cs="Arial"/>
                <w:b/>
                <w:bCs/>
                <w:sz w:val="16"/>
                <w:szCs w:val="16"/>
              </w:rPr>
            </w:pPr>
          </w:p>
          <w:p w:rsidR="00EB0D6D" w:rsidRPr="007F5B0B" w:rsidP="00683C62" w14:paraId="5A359222" w14:textId="77777777">
            <w:pPr>
              <w:widowControl w:val="0"/>
              <w:autoSpaceDE w:val="0"/>
              <w:autoSpaceDN w:val="0"/>
              <w:adjustRightInd w:val="0"/>
              <w:jc w:val="center"/>
              <w:rPr>
                <w:rFonts w:ascii="Arial" w:hAnsi="Arial" w:cs="Arial"/>
                <w:b/>
                <w:bCs/>
                <w:sz w:val="16"/>
                <w:szCs w:val="16"/>
              </w:rPr>
            </w:pPr>
          </w:p>
          <w:p w:rsidR="00EB0D6D" w:rsidRPr="007F5B0B" w:rsidP="00683C62" w14:paraId="54341391" w14:textId="77777777">
            <w:pPr>
              <w:widowControl w:val="0"/>
              <w:autoSpaceDE w:val="0"/>
              <w:autoSpaceDN w:val="0"/>
              <w:adjustRightInd w:val="0"/>
              <w:jc w:val="center"/>
              <w:rPr>
                <w:rFonts w:ascii="Arial" w:hAnsi="Arial" w:cs="Arial"/>
                <w:b/>
                <w:bCs/>
                <w:sz w:val="16"/>
                <w:szCs w:val="16"/>
              </w:rPr>
            </w:pPr>
            <w:r w:rsidRPr="007F5B0B">
              <w:rPr>
                <w:rFonts w:ascii="Arial" w:hAnsi="Arial" w:cs="Arial"/>
                <w:b/>
                <w:sz w:val="16"/>
                <w:szCs w:val="16"/>
              </w:rPr>
              <w:t>(b)</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B0D6D" w:rsidRPr="007F5B0B" w:rsidP="00683C62" w14:paraId="6CDF8D1F" w14:textId="77777777">
            <w:pPr>
              <w:widowControl w:val="0"/>
              <w:autoSpaceDE w:val="0"/>
              <w:autoSpaceDN w:val="0"/>
              <w:adjustRightInd w:val="0"/>
              <w:jc w:val="center"/>
              <w:rPr>
                <w:rFonts w:ascii="Arial" w:hAnsi="Arial" w:cs="Arial"/>
                <w:b/>
                <w:bCs/>
                <w:sz w:val="16"/>
                <w:szCs w:val="16"/>
              </w:rPr>
            </w:pPr>
            <w:r w:rsidRPr="007F5B0B">
              <w:rPr>
                <w:rFonts w:ascii="Arial" w:hAnsi="Arial" w:cs="Arial"/>
                <w:b/>
                <w:sz w:val="16"/>
                <w:szCs w:val="16"/>
              </w:rPr>
              <w:t>Estimated Annual Responses</w:t>
            </w:r>
          </w:p>
          <w:p w:rsidR="00EB0D6D" w:rsidRPr="007F5B0B" w:rsidP="00683C62" w14:paraId="5735CA3B" w14:textId="77777777">
            <w:pPr>
              <w:widowControl w:val="0"/>
              <w:autoSpaceDE w:val="0"/>
              <w:autoSpaceDN w:val="0"/>
              <w:adjustRightInd w:val="0"/>
              <w:jc w:val="center"/>
              <w:rPr>
                <w:rFonts w:ascii="Arial" w:hAnsi="Arial" w:cs="Arial"/>
                <w:b/>
                <w:bCs/>
                <w:sz w:val="16"/>
                <w:szCs w:val="16"/>
              </w:rPr>
            </w:pPr>
          </w:p>
          <w:p w:rsidR="00EB0D6D" w:rsidRPr="007F5B0B" w:rsidP="00683C62" w14:paraId="459C2FE5" w14:textId="77777777">
            <w:pPr>
              <w:widowControl w:val="0"/>
              <w:autoSpaceDE w:val="0"/>
              <w:autoSpaceDN w:val="0"/>
              <w:adjustRightInd w:val="0"/>
              <w:jc w:val="center"/>
              <w:rPr>
                <w:rFonts w:ascii="Arial" w:hAnsi="Arial" w:cs="Arial"/>
                <w:b/>
                <w:bCs/>
                <w:sz w:val="16"/>
                <w:szCs w:val="16"/>
              </w:rPr>
            </w:pPr>
          </w:p>
          <w:p w:rsidR="00EB0D6D" w:rsidRPr="007F5B0B" w:rsidP="00683C62" w14:paraId="13E644B4" w14:textId="77353D70">
            <w:pPr>
              <w:widowControl w:val="0"/>
              <w:autoSpaceDE w:val="0"/>
              <w:autoSpaceDN w:val="0"/>
              <w:adjustRightInd w:val="0"/>
              <w:jc w:val="center"/>
              <w:rPr>
                <w:rFonts w:ascii="Arial" w:hAnsi="Arial" w:cs="Arial"/>
                <w:b/>
                <w:bCs/>
                <w:sz w:val="16"/>
                <w:szCs w:val="16"/>
              </w:rPr>
            </w:pPr>
            <w:r w:rsidRPr="007F5B0B">
              <w:rPr>
                <w:rFonts w:ascii="Arial" w:hAnsi="Arial" w:cs="Arial"/>
                <w:b/>
                <w:sz w:val="16"/>
                <w:szCs w:val="16"/>
              </w:rPr>
              <w:t xml:space="preserve">(a) </w:t>
            </w:r>
            <w:r>
              <w:rPr>
                <w:rFonts w:ascii="Arial" w:hAnsi="Arial" w:cs="Arial"/>
                <w:b/>
                <w:sz w:val="16"/>
                <w:szCs w:val="16"/>
              </w:rPr>
              <w:t>x</w:t>
            </w:r>
            <w:r w:rsidRPr="007F5B0B">
              <w:rPr>
                <w:rFonts w:ascii="Arial" w:hAnsi="Arial" w:cs="Arial"/>
                <w:b/>
                <w:sz w:val="16"/>
                <w:szCs w:val="16"/>
              </w:rPr>
              <w:t xml:space="preserve"> (b) = (c)</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B0D6D" w:rsidRPr="007F5B0B" w:rsidP="00683C62" w14:paraId="03E65F12" w14:textId="5082D7D0">
            <w:pPr>
              <w:widowControl w:val="0"/>
              <w:tabs>
                <w:tab w:val="left" w:pos="-1176"/>
              </w:tabs>
              <w:autoSpaceDE w:val="0"/>
              <w:autoSpaceDN w:val="0"/>
              <w:adjustRightInd w:val="0"/>
              <w:jc w:val="center"/>
              <w:rPr>
                <w:rFonts w:ascii="Arial" w:hAnsi="Arial" w:cs="Arial"/>
                <w:b/>
                <w:bCs/>
                <w:sz w:val="16"/>
                <w:szCs w:val="16"/>
              </w:rPr>
            </w:pPr>
            <w:r w:rsidRPr="007F5B0B">
              <w:rPr>
                <w:rFonts w:ascii="Arial" w:hAnsi="Arial" w:cs="Arial"/>
                <w:b/>
                <w:sz w:val="16"/>
                <w:szCs w:val="16"/>
              </w:rPr>
              <w:t xml:space="preserve">Estimated Time </w:t>
            </w:r>
            <w:r>
              <w:rPr>
                <w:rFonts w:ascii="Arial" w:hAnsi="Arial" w:cs="Arial"/>
                <w:b/>
                <w:sz w:val="16"/>
                <w:szCs w:val="16"/>
              </w:rPr>
              <w:t>f</w:t>
            </w:r>
            <w:r w:rsidRPr="007F5B0B">
              <w:rPr>
                <w:rFonts w:ascii="Arial" w:hAnsi="Arial" w:cs="Arial"/>
                <w:b/>
                <w:sz w:val="16"/>
                <w:szCs w:val="16"/>
              </w:rPr>
              <w:t>or Response (hours)</w:t>
            </w:r>
          </w:p>
          <w:p w:rsidR="00EB0D6D" w:rsidRPr="007F5B0B" w:rsidP="00683C62" w14:paraId="37D9F96D" w14:textId="77777777">
            <w:pPr>
              <w:widowControl w:val="0"/>
              <w:tabs>
                <w:tab w:val="left" w:pos="-1176"/>
              </w:tabs>
              <w:autoSpaceDE w:val="0"/>
              <w:autoSpaceDN w:val="0"/>
              <w:adjustRightInd w:val="0"/>
              <w:jc w:val="center"/>
              <w:rPr>
                <w:rFonts w:ascii="Arial" w:hAnsi="Arial" w:cs="Arial"/>
                <w:b/>
                <w:bCs/>
                <w:sz w:val="16"/>
                <w:szCs w:val="16"/>
              </w:rPr>
            </w:pPr>
          </w:p>
          <w:p w:rsidR="00EB0D6D" w:rsidRPr="007F5B0B" w:rsidP="00683C62" w14:paraId="404293CE" w14:textId="77777777">
            <w:pPr>
              <w:widowControl w:val="0"/>
              <w:tabs>
                <w:tab w:val="left" w:pos="-1176"/>
              </w:tabs>
              <w:autoSpaceDE w:val="0"/>
              <w:autoSpaceDN w:val="0"/>
              <w:adjustRightInd w:val="0"/>
              <w:jc w:val="center"/>
              <w:rPr>
                <w:rFonts w:ascii="Arial" w:hAnsi="Arial" w:cs="Arial"/>
                <w:b/>
                <w:bCs/>
                <w:sz w:val="16"/>
                <w:szCs w:val="16"/>
              </w:rPr>
            </w:pPr>
            <w:r w:rsidRPr="007F5B0B">
              <w:rPr>
                <w:rFonts w:ascii="Arial" w:hAnsi="Arial" w:cs="Arial"/>
                <w:b/>
                <w:sz w:val="16"/>
                <w:szCs w:val="16"/>
              </w:rPr>
              <w:t>(d)</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B0D6D" w:rsidRPr="007F5B0B" w:rsidP="00683C62" w14:paraId="552D0B12" w14:textId="77777777">
            <w:pPr>
              <w:widowControl w:val="0"/>
              <w:tabs>
                <w:tab w:val="left" w:pos="-1176"/>
              </w:tabs>
              <w:autoSpaceDE w:val="0"/>
              <w:autoSpaceDN w:val="0"/>
              <w:adjustRightInd w:val="0"/>
              <w:jc w:val="center"/>
              <w:rPr>
                <w:rFonts w:ascii="Arial" w:hAnsi="Arial" w:cs="Arial"/>
                <w:b/>
                <w:bCs/>
                <w:sz w:val="16"/>
                <w:szCs w:val="16"/>
              </w:rPr>
            </w:pPr>
            <w:r w:rsidRPr="007F5B0B">
              <w:rPr>
                <w:rFonts w:ascii="Arial" w:hAnsi="Arial" w:cs="Arial"/>
                <w:b/>
                <w:sz w:val="16"/>
                <w:szCs w:val="16"/>
              </w:rPr>
              <w:t>Estimated Burden</w:t>
            </w:r>
          </w:p>
          <w:p w:rsidR="00EB0D6D" w:rsidRPr="007F5B0B" w:rsidP="00683C62" w14:paraId="3C0E8516" w14:textId="77777777">
            <w:pPr>
              <w:widowControl w:val="0"/>
              <w:tabs>
                <w:tab w:val="left" w:pos="-1176"/>
              </w:tabs>
              <w:autoSpaceDE w:val="0"/>
              <w:autoSpaceDN w:val="0"/>
              <w:adjustRightInd w:val="0"/>
              <w:jc w:val="center"/>
              <w:rPr>
                <w:rFonts w:ascii="Arial" w:hAnsi="Arial" w:cs="Arial"/>
                <w:b/>
                <w:bCs/>
                <w:sz w:val="16"/>
                <w:szCs w:val="16"/>
              </w:rPr>
            </w:pPr>
            <w:r w:rsidRPr="007F5B0B">
              <w:rPr>
                <w:rFonts w:ascii="Arial" w:hAnsi="Arial" w:cs="Arial"/>
                <w:b/>
                <w:sz w:val="16"/>
                <w:szCs w:val="16"/>
              </w:rPr>
              <w:t>(hour/year)</w:t>
            </w:r>
          </w:p>
          <w:p w:rsidR="00EB0D6D" w:rsidRPr="007F5B0B" w:rsidP="00683C62" w14:paraId="141464C7" w14:textId="77777777">
            <w:pPr>
              <w:widowControl w:val="0"/>
              <w:tabs>
                <w:tab w:val="left" w:pos="-1176"/>
              </w:tabs>
              <w:autoSpaceDE w:val="0"/>
              <w:autoSpaceDN w:val="0"/>
              <w:adjustRightInd w:val="0"/>
              <w:jc w:val="center"/>
              <w:rPr>
                <w:rFonts w:ascii="Arial" w:hAnsi="Arial" w:cs="Arial"/>
                <w:b/>
                <w:bCs/>
                <w:sz w:val="16"/>
                <w:szCs w:val="16"/>
              </w:rPr>
            </w:pPr>
          </w:p>
          <w:p w:rsidR="00EB0D6D" w:rsidRPr="007F5B0B" w:rsidP="00683C62" w14:paraId="6D6ADA37" w14:textId="77777777">
            <w:pPr>
              <w:widowControl w:val="0"/>
              <w:tabs>
                <w:tab w:val="left" w:pos="-1176"/>
              </w:tabs>
              <w:autoSpaceDE w:val="0"/>
              <w:autoSpaceDN w:val="0"/>
              <w:adjustRightInd w:val="0"/>
              <w:rPr>
                <w:rFonts w:ascii="Arial" w:hAnsi="Arial" w:cs="Arial"/>
                <w:b/>
                <w:bCs/>
                <w:sz w:val="16"/>
                <w:szCs w:val="16"/>
              </w:rPr>
            </w:pPr>
          </w:p>
          <w:p w:rsidR="00EB0D6D" w:rsidRPr="007F5B0B" w:rsidP="00683C62" w14:paraId="37426B77" w14:textId="77777777">
            <w:pPr>
              <w:widowControl w:val="0"/>
              <w:tabs>
                <w:tab w:val="left" w:pos="-1176"/>
              </w:tabs>
              <w:autoSpaceDE w:val="0"/>
              <w:autoSpaceDN w:val="0"/>
              <w:adjustRightInd w:val="0"/>
              <w:jc w:val="center"/>
              <w:rPr>
                <w:rFonts w:ascii="Arial" w:hAnsi="Arial" w:cs="Arial"/>
                <w:b/>
                <w:bCs/>
                <w:sz w:val="16"/>
                <w:szCs w:val="16"/>
              </w:rPr>
            </w:pPr>
            <w:r w:rsidRPr="007F5B0B">
              <w:rPr>
                <w:rFonts w:ascii="Arial" w:hAnsi="Arial" w:cs="Arial"/>
                <w:b/>
                <w:sz w:val="16"/>
                <w:szCs w:val="16"/>
              </w:rPr>
              <w:t xml:space="preserve">(c) x (d) = (e) </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B0D6D" w:rsidRPr="007F5B0B" w:rsidP="00683C62" w14:paraId="0A2174E6" w14:textId="5EF9D06B">
            <w:pPr>
              <w:widowControl w:val="0"/>
              <w:tabs>
                <w:tab w:val="left" w:pos="-1176"/>
              </w:tabs>
              <w:autoSpaceDE w:val="0"/>
              <w:autoSpaceDN w:val="0"/>
              <w:adjustRightInd w:val="0"/>
              <w:jc w:val="center"/>
              <w:rPr>
                <w:rFonts w:ascii="Arial" w:hAnsi="Arial" w:cs="Arial"/>
                <w:b/>
                <w:bCs/>
                <w:sz w:val="16"/>
                <w:szCs w:val="16"/>
              </w:rPr>
            </w:pPr>
            <w:r w:rsidRPr="007F5B0B">
              <w:rPr>
                <w:rFonts w:ascii="Arial" w:hAnsi="Arial" w:cs="Arial"/>
                <w:b/>
                <w:sz w:val="16"/>
                <w:szCs w:val="16"/>
              </w:rPr>
              <w:t>Rate</w:t>
            </w:r>
            <w:r>
              <w:rPr>
                <w:rStyle w:val="FootnoteReference"/>
                <w:sz w:val="24"/>
                <w:szCs w:val="24"/>
              </w:rPr>
              <w:footnoteReference w:id="4"/>
            </w:r>
          </w:p>
          <w:p w:rsidR="00EB0D6D" w:rsidRPr="007F5B0B" w:rsidP="00683C62" w14:paraId="408E45AA" w14:textId="77777777">
            <w:pPr>
              <w:widowControl w:val="0"/>
              <w:tabs>
                <w:tab w:val="left" w:pos="-1176"/>
              </w:tabs>
              <w:autoSpaceDE w:val="0"/>
              <w:autoSpaceDN w:val="0"/>
              <w:adjustRightInd w:val="0"/>
              <w:jc w:val="center"/>
              <w:rPr>
                <w:rFonts w:ascii="Arial" w:hAnsi="Arial" w:cs="Arial"/>
                <w:b/>
                <w:bCs/>
                <w:sz w:val="16"/>
                <w:szCs w:val="16"/>
              </w:rPr>
            </w:pPr>
            <w:r w:rsidRPr="007F5B0B">
              <w:rPr>
                <w:rFonts w:ascii="Arial" w:hAnsi="Arial" w:cs="Arial"/>
                <w:b/>
                <w:sz w:val="16"/>
                <w:szCs w:val="16"/>
              </w:rPr>
              <w:t>($/hour)</w:t>
            </w:r>
          </w:p>
          <w:p w:rsidR="00EB0D6D" w:rsidRPr="007F5B0B" w:rsidP="00683C62" w14:paraId="2D1367BF" w14:textId="77777777">
            <w:pPr>
              <w:widowControl w:val="0"/>
              <w:tabs>
                <w:tab w:val="left" w:pos="-1176"/>
              </w:tabs>
              <w:autoSpaceDE w:val="0"/>
              <w:autoSpaceDN w:val="0"/>
              <w:adjustRightInd w:val="0"/>
              <w:jc w:val="center"/>
              <w:rPr>
                <w:rFonts w:ascii="Arial" w:hAnsi="Arial" w:cs="Arial"/>
                <w:b/>
                <w:bCs/>
                <w:sz w:val="16"/>
                <w:szCs w:val="16"/>
              </w:rPr>
            </w:pPr>
          </w:p>
          <w:p w:rsidR="00EB0D6D" w:rsidRPr="007F5B0B" w:rsidP="00683C62" w14:paraId="5C7FCDD2" w14:textId="77777777">
            <w:pPr>
              <w:widowControl w:val="0"/>
              <w:tabs>
                <w:tab w:val="left" w:pos="-1176"/>
              </w:tabs>
              <w:autoSpaceDE w:val="0"/>
              <w:autoSpaceDN w:val="0"/>
              <w:adjustRightInd w:val="0"/>
              <w:jc w:val="center"/>
              <w:rPr>
                <w:rFonts w:ascii="Arial" w:hAnsi="Arial" w:cs="Arial"/>
                <w:b/>
                <w:bCs/>
                <w:sz w:val="16"/>
                <w:szCs w:val="16"/>
              </w:rPr>
            </w:pPr>
          </w:p>
          <w:p w:rsidR="00EB0D6D" w:rsidRPr="007F5B0B" w:rsidP="00683C62" w14:paraId="2E07DD69" w14:textId="77777777">
            <w:pPr>
              <w:widowControl w:val="0"/>
              <w:tabs>
                <w:tab w:val="left" w:pos="-1176"/>
              </w:tabs>
              <w:autoSpaceDE w:val="0"/>
              <w:autoSpaceDN w:val="0"/>
              <w:adjustRightInd w:val="0"/>
              <w:jc w:val="center"/>
              <w:rPr>
                <w:rFonts w:ascii="Arial" w:hAnsi="Arial" w:cs="Arial"/>
                <w:b/>
                <w:bCs/>
                <w:sz w:val="16"/>
                <w:szCs w:val="16"/>
              </w:rPr>
            </w:pPr>
          </w:p>
          <w:p w:rsidR="00EB0D6D" w:rsidRPr="007F5B0B" w:rsidP="00683C62" w14:paraId="7EC5E31A" w14:textId="77777777">
            <w:pPr>
              <w:widowControl w:val="0"/>
              <w:tabs>
                <w:tab w:val="left" w:pos="-1176"/>
              </w:tabs>
              <w:autoSpaceDE w:val="0"/>
              <w:autoSpaceDN w:val="0"/>
              <w:adjustRightInd w:val="0"/>
              <w:jc w:val="center"/>
              <w:rPr>
                <w:rFonts w:ascii="Arial" w:hAnsi="Arial" w:cs="Arial"/>
                <w:b/>
                <w:bCs/>
                <w:sz w:val="16"/>
                <w:szCs w:val="16"/>
              </w:rPr>
            </w:pPr>
            <w:r w:rsidRPr="007F5B0B">
              <w:rPr>
                <w:rFonts w:ascii="Arial" w:hAnsi="Arial" w:cs="Arial"/>
                <w:b/>
                <w:sz w:val="16"/>
                <w:szCs w:val="16"/>
              </w:rPr>
              <w:t>(f)</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EB0D6D" w:rsidRPr="007F5B0B" w:rsidP="00683C62" w14:paraId="08A6541C" w14:textId="77777777">
            <w:pPr>
              <w:widowControl w:val="0"/>
              <w:tabs>
                <w:tab w:val="left" w:pos="-1176"/>
              </w:tabs>
              <w:autoSpaceDE w:val="0"/>
              <w:autoSpaceDN w:val="0"/>
              <w:adjustRightInd w:val="0"/>
              <w:jc w:val="center"/>
              <w:rPr>
                <w:rFonts w:ascii="Arial" w:hAnsi="Arial" w:cs="Arial"/>
                <w:b/>
                <w:bCs/>
                <w:sz w:val="16"/>
                <w:szCs w:val="16"/>
              </w:rPr>
            </w:pPr>
            <w:r w:rsidRPr="007F5B0B">
              <w:rPr>
                <w:rFonts w:ascii="Arial" w:hAnsi="Arial" w:cs="Arial"/>
                <w:b/>
                <w:sz w:val="16"/>
                <w:szCs w:val="16"/>
              </w:rPr>
              <w:t>Estimated Annual Respondent Cost Burden</w:t>
            </w:r>
          </w:p>
          <w:p w:rsidR="00EB0D6D" w:rsidRPr="007F5B0B" w:rsidP="00683C62" w14:paraId="6FF56CCB" w14:textId="77777777">
            <w:pPr>
              <w:widowControl w:val="0"/>
              <w:tabs>
                <w:tab w:val="left" w:pos="-1176"/>
              </w:tabs>
              <w:autoSpaceDE w:val="0"/>
              <w:autoSpaceDN w:val="0"/>
              <w:adjustRightInd w:val="0"/>
              <w:jc w:val="center"/>
              <w:rPr>
                <w:rFonts w:ascii="Arial" w:hAnsi="Arial" w:cs="Arial"/>
                <w:b/>
                <w:bCs/>
                <w:sz w:val="16"/>
                <w:szCs w:val="16"/>
              </w:rPr>
            </w:pPr>
          </w:p>
          <w:p w:rsidR="00EB0D6D" w:rsidRPr="007F5B0B" w:rsidP="00683C62" w14:paraId="355B918C" w14:textId="77777777">
            <w:pPr>
              <w:widowControl w:val="0"/>
              <w:tabs>
                <w:tab w:val="left" w:pos="-1176"/>
              </w:tabs>
              <w:autoSpaceDE w:val="0"/>
              <w:autoSpaceDN w:val="0"/>
              <w:adjustRightInd w:val="0"/>
              <w:jc w:val="center"/>
              <w:rPr>
                <w:rFonts w:ascii="Arial" w:hAnsi="Arial" w:cs="Arial"/>
                <w:b/>
                <w:bCs/>
                <w:sz w:val="16"/>
                <w:szCs w:val="16"/>
              </w:rPr>
            </w:pPr>
            <w:r w:rsidRPr="007F5B0B">
              <w:rPr>
                <w:rFonts w:ascii="Arial" w:hAnsi="Arial" w:cs="Arial"/>
                <w:b/>
                <w:sz w:val="16"/>
                <w:szCs w:val="16"/>
              </w:rPr>
              <w:t>(e) x (f) = (g)</w:t>
            </w:r>
          </w:p>
        </w:tc>
      </w:tr>
      <w:tr w14:paraId="1207CC97" w14:textId="77777777" w:rsidTr="00D858ED">
        <w:tblPrEx>
          <w:tblW w:w="0" w:type="auto"/>
          <w:tblInd w:w="-995" w:type="dxa"/>
          <w:tblCellMar>
            <w:left w:w="120" w:type="dxa"/>
            <w:right w:w="120" w:type="dxa"/>
          </w:tblCellMar>
          <w:tblLook w:val="0000"/>
        </w:tblPrEx>
        <w:tc>
          <w:tcPr>
            <w:tcW w:w="0" w:type="auto"/>
            <w:vAlign w:val="center"/>
          </w:tcPr>
          <w:p w:rsidR="00EB0D6D" w:rsidRPr="007F5B0B" w:rsidP="00683C62" w14:paraId="26D9245C" w14:textId="77777777">
            <w:pPr>
              <w:widowControl w:val="0"/>
              <w:autoSpaceDE w:val="0"/>
              <w:autoSpaceDN w:val="0"/>
              <w:adjustRightInd w:val="0"/>
              <w:jc w:val="center"/>
              <w:rPr>
                <w:rFonts w:ascii="Arial" w:hAnsi="Arial" w:cs="Arial"/>
                <w:b/>
                <w:bCs/>
                <w:color w:val="000000"/>
                <w:sz w:val="16"/>
                <w:szCs w:val="16"/>
              </w:rPr>
            </w:pPr>
          </w:p>
          <w:p w:rsidR="00EB0D6D" w:rsidRPr="007F5B0B" w:rsidP="00683C62" w14:paraId="7354AEB7" w14:textId="77777777">
            <w:pPr>
              <w:widowControl w:val="0"/>
              <w:autoSpaceDE w:val="0"/>
              <w:autoSpaceDN w:val="0"/>
              <w:adjustRightInd w:val="0"/>
              <w:jc w:val="center"/>
              <w:rPr>
                <w:rFonts w:ascii="Arial" w:hAnsi="Arial" w:cs="Arial"/>
                <w:b/>
                <w:bCs/>
                <w:color w:val="000000"/>
                <w:sz w:val="16"/>
                <w:szCs w:val="16"/>
              </w:rPr>
            </w:pPr>
            <w:r w:rsidRPr="007F5B0B">
              <w:rPr>
                <w:rFonts w:ascii="Arial" w:hAnsi="Arial" w:cs="Arial"/>
                <w:b/>
                <w:color w:val="000000"/>
                <w:sz w:val="16"/>
                <w:szCs w:val="16"/>
              </w:rPr>
              <w:t>1</w:t>
            </w:r>
          </w:p>
          <w:p w:rsidR="00EB0D6D" w:rsidRPr="007F5B0B" w:rsidP="00683C62" w14:paraId="12BFA5C2" w14:textId="77777777">
            <w:pPr>
              <w:widowControl w:val="0"/>
              <w:autoSpaceDE w:val="0"/>
              <w:autoSpaceDN w:val="0"/>
              <w:adjustRightInd w:val="0"/>
              <w:jc w:val="center"/>
              <w:rPr>
                <w:rFonts w:ascii="Arial" w:hAnsi="Arial" w:cs="Arial"/>
                <w:b/>
                <w:bCs/>
                <w:color w:val="000000"/>
                <w:sz w:val="16"/>
                <w:szCs w:val="16"/>
              </w:rPr>
            </w:pPr>
          </w:p>
        </w:tc>
        <w:tc>
          <w:tcPr>
            <w:tcW w:w="0" w:type="auto"/>
            <w:vAlign w:val="center"/>
          </w:tcPr>
          <w:p w:rsidR="00EB0D6D" w:rsidRPr="007F5B0B" w:rsidP="00D858ED" w14:paraId="7E3E70CA" w14:textId="6A3F8CB0">
            <w:pPr>
              <w:widowControl w:val="0"/>
              <w:autoSpaceDE w:val="0"/>
              <w:autoSpaceDN w:val="0"/>
              <w:adjustRightInd w:val="0"/>
              <w:rPr>
                <w:rFonts w:ascii="Arial" w:hAnsi="Arial" w:cs="Arial"/>
                <w:color w:val="000000"/>
                <w:sz w:val="16"/>
                <w:szCs w:val="16"/>
              </w:rPr>
            </w:pPr>
            <w:r w:rsidRPr="00D06736">
              <w:rPr>
                <w:rFonts w:ascii="Arial" w:hAnsi="Arial" w:cs="Arial"/>
                <w:sz w:val="16"/>
              </w:rPr>
              <w:t>Patent Pro Bono Survey (</w:t>
            </w:r>
            <w:r>
              <w:rPr>
                <w:rFonts w:ascii="Arial" w:hAnsi="Arial" w:cs="Arial"/>
                <w:sz w:val="16"/>
              </w:rPr>
              <w:t>US</w:t>
            </w:r>
            <w:r w:rsidRPr="00D06736">
              <w:rPr>
                <w:rFonts w:ascii="Arial" w:hAnsi="Arial" w:cs="Arial"/>
                <w:sz w:val="16"/>
              </w:rPr>
              <w:t>PTO</w:t>
            </w:r>
            <w:r>
              <w:rPr>
                <w:rFonts w:ascii="Arial" w:hAnsi="Arial" w:cs="Arial"/>
                <w:sz w:val="16"/>
              </w:rPr>
              <w:t>/</w:t>
            </w:r>
            <w:r w:rsidRPr="007F5B0B">
              <w:rPr>
                <w:rFonts w:ascii="Arial" w:hAnsi="Arial" w:cs="Arial"/>
                <w:sz w:val="16"/>
              </w:rPr>
              <w:t>5</w:t>
            </w:r>
            <w:r w:rsidRPr="00556F7C">
              <w:rPr>
                <w:rFonts w:ascii="Arial" w:hAnsi="Arial" w:cs="Arial"/>
                <w:sz w:val="16"/>
              </w:rPr>
              <w:t>50)</w:t>
            </w:r>
          </w:p>
        </w:tc>
        <w:tc>
          <w:tcPr>
            <w:tcW w:w="0" w:type="auto"/>
            <w:vAlign w:val="center"/>
          </w:tcPr>
          <w:p w:rsidR="00EB0D6D" w:rsidRPr="007F5B0B" w:rsidP="00683C62" w14:paraId="2E5F06C6" w14:textId="77777777">
            <w:pPr>
              <w:widowControl w:val="0"/>
              <w:tabs>
                <w:tab w:val="left" w:pos="-1176"/>
              </w:tabs>
              <w:autoSpaceDE w:val="0"/>
              <w:autoSpaceDN w:val="0"/>
              <w:adjustRightInd w:val="0"/>
              <w:jc w:val="right"/>
              <w:rPr>
                <w:rFonts w:ascii="Arial" w:hAnsi="Arial" w:cs="Arial"/>
                <w:color w:val="000000"/>
                <w:sz w:val="16"/>
                <w:szCs w:val="16"/>
              </w:rPr>
            </w:pPr>
          </w:p>
          <w:p w:rsidR="00EB0D6D" w:rsidRPr="007F5B0B" w:rsidP="4C607349" w14:paraId="0E93AC0E" w14:textId="19B611A2">
            <w:pPr>
              <w:widowControl w:val="0"/>
              <w:autoSpaceDE w:val="0"/>
              <w:autoSpaceDN w:val="0"/>
              <w:adjustRightInd w:val="0"/>
              <w:jc w:val="right"/>
              <w:rPr>
                <w:rFonts w:ascii="Arial" w:hAnsi="Arial" w:cs="Arial"/>
                <w:color w:val="000000"/>
                <w:sz w:val="16"/>
                <w:szCs w:val="16"/>
              </w:rPr>
            </w:pPr>
            <w:r w:rsidRPr="4C607349">
              <w:rPr>
                <w:rFonts w:ascii="Arial" w:hAnsi="Arial" w:cs="Arial"/>
                <w:color w:val="000000" w:themeColor="text1"/>
                <w:sz w:val="16"/>
                <w:szCs w:val="16"/>
              </w:rPr>
              <w:t>2</w:t>
            </w:r>
            <w:r w:rsidR="006F2186">
              <w:rPr>
                <w:rFonts w:ascii="Arial" w:hAnsi="Arial" w:cs="Arial"/>
                <w:color w:val="000000" w:themeColor="text1"/>
                <w:sz w:val="16"/>
                <w:szCs w:val="16"/>
              </w:rPr>
              <w:t>2</w:t>
            </w:r>
          </w:p>
        </w:tc>
        <w:tc>
          <w:tcPr>
            <w:tcW w:w="0" w:type="auto"/>
            <w:vAlign w:val="center"/>
          </w:tcPr>
          <w:p w:rsidR="00EB0D6D" w:rsidRPr="007F5B0B" w:rsidP="00683C62" w14:paraId="523C4B8F" w14:textId="77777777">
            <w:pPr>
              <w:widowControl w:val="0"/>
              <w:tabs>
                <w:tab w:val="left" w:pos="-1176"/>
              </w:tabs>
              <w:autoSpaceDE w:val="0"/>
              <w:autoSpaceDN w:val="0"/>
              <w:adjustRightInd w:val="0"/>
              <w:jc w:val="right"/>
              <w:rPr>
                <w:rFonts w:ascii="Arial" w:hAnsi="Arial" w:cs="Arial"/>
                <w:color w:val="000000"/>
                <w:sz w:val="16"/>
                <w:szCs w:val="16"/>
              </w:rPr>
            </w:pPr>
          </w:p>
          <w:p w:rsidR="00EB0D6D" w:rsidRPr="007F5B0B" w:rsidP="00683C62" w14:paraId="6E2B88CF" w14:textId="77777777">
            <w:pPr>
              <w:widowControl w:val="0"/>
              <w:tabs>
                <w:tab w:val="left" w:pos="-1176"/>
              </w:tabs>
              <w:autoSpaceDE w:val="0"/>
              <w:autoSpaceDN w:val="0"/>
              <w:adjustRightInd w:val="0"/>
              <w:jc w:val="right"/>
              <w:rPr>
                <w:rFonts w:ascii="Arial" w:hAnsi="Arial" w:cs="Arial"/>
                <w:color w:val="000000"/>
                <w:sz w:val="16"/>
                <w:szCs w:val="16"/>
              </w:rPr>
            </w:pPr>
            <w:r w:rsidRPr="007F5B0B">
              <w:rPr>
                <w:rFonts w:ascii="Arial" w:hAnsi="Arial" w:cs="Arial"/>
                <w:bCs/>
                <w:color w:val="000000"/>
                <w:sz w:val="16"/>
                <w:szCs w:val="16"/>
              </w:rPr>
              <w:t>4</w:t>
            </w:r>
          </w:p>
        </w:tc>
        <w:tc>
          <w:tcPr>
            <w:tcW w:w="0" w:type="auto"/>
            <w:vAlign w:val="center"/>
          </w:tcPr>
          <w:p w:rsidR="00EB0D6D" w:rsidRPr="007F5B0B" w:rsidP="00683C62" w14:paraId="172C6191" w14:textId="77777777">
            <w:pPr>
              <w:widowControl w:val="0"/>
              <w:tabs>
                <w:tab w:val="left" w:pos="-1176"/>
              </w:tabs>
              <w:autoSpaceDE w:val="0"/>
              <w:autoSpaceDN w:val="0"/>
              <w:adjustRightInd w:val="0"/>
              <w:jc w:val="right"/>
              <w:rPr>
                <w:rFonts w:ascii="Arial" w:hAnsi="Arial" w:cs="Arial"/>
                <w:color w:val="000000"/>
                <w:sz w:val="16"/>
                <w:szCs w:val="16"/>
              </w:rPr>
            </w:pPr>
          </w:p>
          <w:p w:rsidR="00EB0D6D" w:rsidRPr="007F5B0B" w:rsidP="4C607349" w14:paraId="1CA7AE9A" w14:textId="40CAF4AB">
            <w:pPr>
              <w:widowControl w:val="0"/>
              <w:autoSpaceDE w:val="0"/>
              <w:autoSpaceDN w:val="0"/>
              <w:adjustRightInd w:val="0"/>
              <w:jc w:val="right"/>
              <w:rPr>
                <w:rFonts w:ascii="Arial" w:hAnsi="Arial" w:cs="Arial"/>
                <w:color w:val="000000"/>
                <w:sz w:val="16"/>
                <w:szCs w:val="16"/>
              </w:rPr>
            </w:pPr>
            <w:r w:rsidRPr="4C607349">
              <w:rPr>
                <w:rFonts w:ascii="Arial" w:hAnsi="Arial" w:cs="Arial"/>
                <w:color w:val="000000" w:themeColor="text1"/>
                <w:sz w:val="16"/>
                <w:szCs w:val="16"/>
              </w:rPr>
              <w:t>8</w:t>
            </w:r>
            <w:r w:rsidR="00406FF5">
              <w:rPr>
                <w:rFonts w:ascii="Arial" w:hAnsi="Arial" w:cs="Arial"/>
                <w:color w:val="000000" w:themeColor="text1"/>
                <w:sz w:val="16"/>
                <w:szCs w:val="16"/>
              </w:rPr>
              <w:t>8</w:t>
            </w:r>
          </w:p>
        </w:tc>
        <w:tc>
          <w:tcPr>
            <w:tcW w:w="0" w:type="auto"/>
            <w:vAlign w:val="center"/>
          </w:tcPr>
          <w:p w:rsidR="00EB0D6D" w:rsidRPr="007F5B0B" w:rsidP="00683C62" w14:paraId="67E202E4" w14:textId="77777777">
            <w:pPr>
              <w:widowControl w:val="0"/>
              <w:tabs>
                <w:tab w:val="left" w:pos="-1176"/>
              </w:tabs>
              <w:autoSpaceDE w:val="0"/>
              <w:autoSpaceDN w:val="0"/>
              <w:adjustRightInd w:val="0"/>
              <w:jc w:val="right"/>
              <w:rPr>
                <w:rFonts w:ascii="Arial" w:hAnsi="Arial" w:cs="Arial"/>
                <w:sz w:val="16"/>
                <w:szCs w:val="16"/>
              </w:rPr>
            </w:pPr>
          </w:p>
          <w:p w:rsidR="00EB0D6D" w:rsidP="00683C62" w14:paraId="4BD9B790" w14:textId="4519102C">
            <w:pPr>
              <w:widowControl w:val="0"/>
              <w:tabs>
                <w:tab w:val="left" w:pos="-1176"/>
              </w:tabs>
              <w:autoSpaceDE w:val="0"/>
              <w:autoSpaceDN w:val="0"/>
              <w:adjustRightInd w:val="0"/>
              <w:jc w:val="right"/>
              <w:rPr>
                <w:rFonts w:ascii="Arial" w:hAnsi="Arial" w:cs="Arial"/>
                <w:bCs/>
                <w:sz w:val="16"/>
                <w:szCs w:val="16"/>
              </w:rPr>
            </w:pPr>
            <w:r>
              <w:rPr>
                <w:rFonts w:ascii="Arial" w:hAnsi="Arial" w:cs="Arial"/>
                <w:bCs/>
                <w:sz w:val="16"/>
                <w:szCs w:val="16"/>
              </w:rPr>
              <w:t xml:space="preserve">1.75 </w:t>
            </w:r>
          </w:p>
          <w:p w:rsidR="00EB0D6D" w:rsidRPr="007F5B0B" w:rsidP="00683C62" w14:paraId="6495C077" w14:textId="6E36FB35">
            <w:pPr>
              <w:widowControl w:val="0"/>
              <w:tabs>
                <w:tab w:val="left" w:pos="-1176"/>
              </w:tabs>
              <w:autoSpaceDE w:val="0"/>
              <w:autoSpaceDN w:val="0"/>
              <w:adjustRightInd w:val="0"/>
              <w:jc w:val="right"/>
              <w:rPr>
                <w:rFonts w:ascii="Arial" w:hAnsi="Arial" w:cs="Arial"/>
                <w:sz w:val="16"/>
                <w:szCs w:val="16"/>
              </w:rPr>
            </w:pPr>
            <w:r>
              <w:rPr>
                <w:rFonts w:ascii="Arial" w:hAnsi="Arial" w:cs="Arial"/>
                <w:bCs/>
                <w:sz w:val="16"/>
                <w:szCs w:val="16"/>
              </w:rPr>
              <w:t>(105 minutes)</w:t>
            </w:r>
          </w:p>
        </w:tc>
        <w:tc>
          <w:tcPr>
            <w:tcW w:w="0" w:type="auto"/>
            <w:vAlign w:val="center"/>
          </w:tcPr>
          <w:p w:rsidR="00EB0D6D" w:rsidRPr="007F5B0B" w:rsidP="00683C62" w14:paraId="600574B0" w14:textId="77777777">
            <w:pPr>
              <w:widowControl w:val="0"/>
              <w:tabs>
                <w:tab w:val="left" w:pos="-1176"/>
              </w:tabs>
              <w:autoSpaceDE w:val="0"/>
              <w:autoSpaceDN w:val="0"/>
              <w:adjustRightInd w:val="0"/>
              <w:jc w:val="right"/>
              <w:rPr>
                <w:rFonts w:ascii="Arial" w:hAnsi="Arial" w:cs="Arial"/>
                <w:sz w:val="16"/>
                <w:szCs w:val="16"/>
              </w:rPr>
            </w:pPr>
          </w:p>
          <w:p w:rsidR="00EB0D6D" w:rsidRPr="007F5B0B" w:rsidP="4C607349" w14:paraId="4C5A6D83" w14:textId="07999525">
            <w:pPr>
              <w:widowControl w:val="0"/>
              <w:autoSpaceDE w:val="0"/>
              <w:autoSpaceDN w:val="0"/>
              <w:adjustRightInd w:val="0"/>
              <w:jc w:val="right"/>
              <w:rPr>
                <w:rFonts w:ascii="Arial" w:hAnsi="Arial" w:cs="Arial"/>
                <w:sz w:val="16"/>
                <w:szCs w:val="16"/>
              </w:rPr>
            </w:pPr>
            <w:r w:rsidRPr="4C607349">
              <w:rPr>
                <w:rFonts w:ascii="Arial" w:hAnsi="Arial" w:cs="Arial"/>
                <w:sz w:val="16"/>
                <w:szCs w:val="16"/>
              </w:rPr>
              <w:t>1</w:t>
            </w:r>
            <w:r w:rsidR="00406FF5">
              <w:rPr>
                <w:rFonts w:ascii="Arial" w:hAnsi="Arial" w:cs="Arial"/>
                <w:sz w:val="16"/>
                <w:szCs w:val="16"/>
              </w:rPr>
              <w:t>54</w:t>
            </w:r>
          </w:p>
        </w:tc>
        <w:tc>
          <w:tcPr>
            <w:tcW w:w="0" w:type="auto"/>
            <w:vAlign w:val="center"/>
          </w:tcPr>
          <w:p w:rsidR="00EB0D6D" w:rsidRPr="00556F7C" w:rsidP="00683C62" w14:paraId="442811CE" w14:textId="77777777">
            <w:pPr>
              <w:jc w:val="center"/>
              <w:rPr>
                <w:rFonts w:ascii="Arial" w:hAnsi="Arial" w:cs="Arial"/>
                <w:sz w:val="16"/>
              </w:rPr>
            </w:pPr>
          </w:p>
          <w:p w:rsidR="00EB0D6D" w:rsidRPr="00E822CD" w:rsidP="4C607349" w14:paraId="503FF629" w14:textId="230530E7">
            <w:pPr>
              <w:widowControl w:val="0"/>
              <w:autoSpaceDE w:val="0"/>
              <w:autoSpaceDN w:val="0"/>
              <w:adjustRightInd w:val="0"/>
              <w:jc w:val="right"/>
              <w:rPr>
                <w:rFonts w:ascii="Arial" w:hAnsi="Arial" w:cs="Arial"/>
                <w:sz w:val="16"/>
                <w:szCs w:val="16"/>
              </w:rPr>
            </w:pPr>
            <w:r w:rsidRPr="00E822CD">
              <w:rPr>
                <w:rFonts w:ascii="Arial" w:hAnsi="Arial" w:cs="Arial"/>
                <w:sz w:val="16"/>
                <w:szCs w:val="16"/>
              </w:rPr>
              <w:t>$55.41</w:t>
            </w:r>
          </w:p>
        </w:tc>
        <w:tc>
          <w:tcPr>
            <w:tcW w:w="0" w:type="auto"/>
            <w:vAlign w:val="center"/>
          </w:tcPr>
          <w:p w:rsidR="00EB0D6D" w:rsidRPr="007F5B0B" w:rsidP="00683C62" w14:paraId="40D35311" w14:textId="77777777">
            <w:pPr>
              <w:widowControl w:val="0"/>
              <w:tabs>
                <w:tab w:val="left" w:pos="-1176"/>
              </w:tabs>
              <w:autoSpaceDE w:val="0"/>
              <w:autoSpaceDN w:val="0"/>
              <w:adjustRightInd w:val="0"/>
              <w:jc w:val="right"/>
              <w:rPr>
                <w:rFonts w:ascii="Arial" w:hAnsi="Arial" w:cs="Arial"/>
                <w:sz w:val="16"/>
                <w:szCs w:val="16"/>
              </w:rPr>
            </w:pPr>
          </w:p>
          <w:p w:rsidR="00EB0D6D" w:rsidRPr="007F5B0B" w:rsidP="4C607349" w14:paraId="06269AA8" w14:textId="2B0BD283">
            <w:pPr>
              <w:widowControl w:val="0"/>
              <w:autoSpaceDE w:val="0"/>
              <w:autoSpaceDN w:val="0"/>
              <w:adjustRightInd w:val="0"/>
              <w:jc w:val="right"/>
              <w:rPr>
                <w:rFonts w:ascii="Arial" w:hAnsi="Arial" w:cs="Arial"/>
                <w:sz w:val="16"/>
                <w:szCs w:val="16"/>
              </w:rPr>
            </w:pPr>
            <w:r w:rsidRPr="4C607349">
              <w:rPr>
                <w:rFonts w:ascii="Arial" w:hAnsi="Arial" w:cs="Arial"/>
                <w:sz w:val="16"/>
                <w:szCs w:val="16"/>
              </w:rPr>
              <w:t>$</w:t>
            </w:r>
            <w:r>
              <w:rPr>
                <w:rFonts w:ascii="Arial" w:hAnsi="Arial" w:cs="Arial"/>
                <w:sz w:val="16"/>
                <w:szCs w:val="16"/>
              </w:rPr>
              <w:t>8,</w:t>
            </w:r>
            <w:r w:rsidR="00095C4F">
              <w:rPr>
                <w:rFonts w:ascii="Arial" w:hAnsi="Arial" w:cs="Arial"/>
                <w:sz w:val="16"/>
                <w:szCs w:val="16"/>
              </w:rPr>
              <w:t>533</w:t>
            </w:r>
          </w:p>
        </w:tc>
      </w:tr>
      <w:tr w14:paraId="3855873A" w14:textId="77777777" w:rsidTr="00D858ED">
        <w:tblPrEx>
          <w:tblW w:w="0" w:type="auto"/>
          <w:tblInd w:w="-995" w:type="dxa"/>
          <w:tblCellMar>
            <w:left w:w="120" w:type="dxa"/>
            <w:right w:w="120" w:type="dxa"/>
          </w:tblCellMar>
          <w:tblLook w:val="0000"/>
        </w:tblPrEx>
        <w:trPr>
          <w:trHeight w:val="935"/>
        </w:trPr>
        <w:tc>
          <w:tcPr>
            <w:tcW w:w="0" w:type="auto"/>
            <w:vAlign w:val="center"/>
          </w:tcPr>
          <w:p w:rsidR="00EB0D6D" w:rsidRPr="007F5B0B" w:rsidP="0051571C" w14:paraId="101F1FD0" w14:textId="77777777">
            <w:pPr>
              <w:widowControl w:val="0"/>
              <w:autoSpaceDE w:val="0"/>
              <w:autoSpaceDN w:val="0"/>
              <w:adjustRightInd w:val="0"/>
              <w:jc w:val="center"/>
              <w:rPr>
                <w:rFonts w:ascii="Arial" w:hAnsi="Arial" w:cs="Arial"/>
                <w:b/>
                <w:color w:val="000000"/>
                <w:sz w:val="16"/>
                <w:szCs w:val="16"/>
              </w:rPr>
            </w:pPr>
          </w:p>
          <w:p w:rsidR="00EB0D6D" w:rsidRPr="007F5B0B" w:rsidP="0051571C" w14:paraId="15143140" w14:textId="11EF9757">
            <w:pPr>
              <w:widowControl w:val="0"/>
              <w:autoSpaceDE w:val="0"/>
              <w:autoSpaceDN w:val="0"/>
              <w:adjustRightInd w:val="0"/>
              <w:jc w:val="center"/>
              <w:rPr>
                <w:rFonts w:ascii="Arial" w:hAnsi="Arial" w:cs="Arial"/>
                <w:b/>
                <w:color w:val="000000"/>
                <w:sz w:val="16"/>
                <w:szCs w:val="16"/>
              </w:rPr>
            </w:pPr>
            <w:r>
              <w:rPr>
                <w:rFonts w:ascii="Arial" w:hAnsi="Arial" w:cs="Arial"/>
                <w:b/>
                <w:color w:val="000000"/>
                <w:sz w:val="16"/>
                <w:szCs w:val="16"/>
              </w:rPr>
              <w:t>2</w:t>
            </w:r>
          </w:p>
        </w:tc>
        <w:tc>
          <w:tcPr>
            <w:tcW w:w="0" w:type="auto"/>
            <w:vAlign w:val="center"/>
          </w:tcPr>
          <w:p w:rsidR="00EB0D6D" w:rsidRPr="007F5B0B" w:rsidP="00D858ED" w14:paraId="42B2310D" w14:textId="1BC51A50">
            <w:pPr>
              <w:widowControl w:val="0"/>
              <w:autoSpaceDE w:val="0"/>
              <w:autoSpaceDN w:val="0"/>
              <w:adjustRightInd w:val="0"/>
              <w:rPr>
                <w:rFonts w:ascii="Arial" w:hAnsi="Arial" w:cs="Arial"/>
                <w:color w:val="000000"/>
                <w:sz w:val="16"/>
                <w:szCs w:val="16"/>
              </w:rPr>
            </w:pPr>
            <w:r w:rsidRPr="00556F7C">
              <w:rPr>
                <w:rFonts w:ascii="Arial" w:hAnsi="Arial" w:cs="Arial"/>
                <w:bCs/>
                <w:sz w:val="16"/>
              </w:rPr>
              <w:t>PTAB Pro Bono Survey (</w:t>
            </w:r>
            <w:r>
              <w:rPr>
                <w:rFonts w:ascii="Arial" w:hAnsi="Arial" w:cs="Arial"/>
                <w:bCs/>
                <w:sz w:val="16"/>
              </w:rPr>
              <w:t>USPTO/</w:t>
            </w:r>
            <w:r w:rsidRPr="007F5B0B">
              <w:rPr>
                <w:rFonts w:ascii="Arial" w:hAnsi="Arial" w:cs="Arial"/>
                <w:bCs/>
                <w:sz w:val="16"/>
              </w:rPr>
              <w:t>5</w:t>
            </w:r>
            <w:r w:rsidRPr="00556F7C">
              <w:rPr>
                <w:rFonts w:ascii="Arial" w:hAnsi="Arial" w:cs="Arial"/>
                <w:bCs/>
                <w:sz w:val="16"/>
              </w:rPr>
              <w:t>5</w:t>
            </w:r>
            <w:r w:rsidRPr="007F5B0B">
              <w:rPr>
                <w:rFonts w:ascii="Arial" w:hAnsi="Arial" w:cs="Arial"/>
                <w:bCs/>
                <w:sz w:val="16"/>
              </w:rPr>
              <w:t>2</w:t>
            </w:r>
            <w:r w:rsidRPr="00556F7C">
              <w:rPr>
                <w:rFonts w:ascii="Arial" w:hAnsi="Arial" w:cs="Arial"/>
                <w:bCs/>
                <w:sz w:val="16"/>
              </w:rPr>
              <w:t>)</w:t>
            </w:r>
          </w:p>
        </w:tc>
        <w:tc>
          <w:tcPr>
            <w:tcW w:w="0" w:type="auto"/>
            <w:vAlign w:val="center"/>
          </w:tcPr>
          <w:p w:rsidR="00EB0D6D" w:rsidRPr="007F5B0B" w:rsidP="0051571C" w14:paraId="1DEB4EF6" w14:textId="77777777">
            <w:pPr>
              <w:widowControl w:val="0"/>
              <w:tabs>
                <w:tab w:val="left" w:pos="-1176"/>
              </w:tabs>
              <w:autoSpaceDE w:val="0"/>
              <w:autoSpaceDN w:val="0"/>
              <w:adjustRightInd w:val="0"/>
              <w:jc w:val="right"/>
              <w:rPr>
                <w:rFonts w:ascii="Arial" w:hAnsi="Arial" w:cs="Arial"/>
                <w:sz w:val="16"/>
                <w:szCs w:val="16"/>
              </w:rPr>
            </w:pPr>
          </w:p>
          <w:p w:rsidR="00EB0D6D" w:rsidRPr="007F5B0B" w:rsidP="0051571C" w14:paraId="6740E6C4" w14:textId="77777777">
            <w:pPr>
              <w:widowControl w:val="0"/>
              <w:tabs>
                <w:tab w:val="left" w:pos="-1176"/>
              </w:tabs>
              <w:autoSpaceDE w:val="0"/>
              <w:autoSpaceDN w:val="0"/>
              <w:adjustRightInd w:val="0"/>
              <w:jc w:val="right"/>
              <w:rPr>
                <w:rFonts w:ascii="Arial" w:hAnsi="Arial" w:cs="Arial"/>
                <w:sz w:val="16"/>
                <w:szCs w:val="16"/>
              </w:rPr>
            </w:pPr>
            <w:r w:rsidRPr="007F5B0B">
              <w:rPr>
                <w:rFonts w:ascii="Arial" w:hAnsi="Arial" w:cs="Arial"/>
                <w:sz w:val="16"/>
                <w:szCs w:val="16"/>
              </w:rPr>
              <w:t>1</w:t>
            </w:r>
          </w:p>
        </w:tc>
        <w:tc>
          <w:tcPr>
            <w:tcW w:w="0" w:type="auto"/>
            <w:vAlign w:val="center"/>
          </w:tcPr>
          <w:p w:rsidR="00EB0D6D" w:rsidRPr="007F5B0B" w:rsidP="0051571C" w14:paraId="3FE1DE45" w14:textId="77777777">
            <w:pPr>
              <w:widowControl w:val="0"/>
              <w:tabs>
                <w:tab w:val="left" w:pos="-1176"/>
              </w:tabs>
              <w:autoSpaceDE w:val="0"/>
              <w:autoSpaceDN w:val="0"/>
              <w:adjustRightInd w:val="0"/>
              <w:jc w:val="right"/>
              <w:rPr>
                <w:rFonts w:ascii="Arial" w:hAnsi="Arial" w:cs="Arial"/>
                <w:sz w:val="16"/>
                <w:szCs w:val="16"/>
              </w:rPr>
            </w:pPr>
          </w:p>
          <w:p w:rsidR="00EB0D6D" w:rsidRPr="007F5B0B" w14:paraId="5718DA93" w14:textId="2F8DB18F">
            <w:pPr>
              <w:widowControl w:val="0"/>
              <w:jc w:val="right"/>
              <w:rPr>
                <w:rFonts w:ascii="Arial" w:eastAsia="Arial" w:hAnsi="Arial" w:cs="Arial"/>
                <w:sz w:val="16"/>
                <w:szCs w:val="16"/>
              </w:rPr>
            </w:pPr>
            <w:r w:rsidRPr="6F620DDE">
              <w:rPr>
                <w:rFonts w:ascii="Arial" w:hAnsi="Arial" w:cs="Arial"/>
                <w:sz w:val="16"/>
                <w:szCs w:val="16"/>
              </w:rPr>
              <w:t>1</w:t>
            </w:r>
          </w:p>
        </w:tc>
        <w:tc>
          <w:tcPr>
            <w:tcW w:w="0" w:type="auto"/>
            <w:vAlign w:val="center"/>
          </w:tcPr>
          <w:p w:rsidR="00EB0D6D" w:rsidRPr="007F5B0B" w:rsidP="0051571C" w14:paraId="6F862D9D" w14:textId="77777777">
            <w:pPr>
              <w:widowControl w:val="0"/>
              <w:tabs>
                <w:tab w:val="left" w:pos="-1176"/>
              </w:tabs>
              <w:autoSpaceDE w:val="0"/>
              <w:autoSpaceDN w:val="0"/>
              <w:adjustRightInd w:val="0"/>
              <w:jc w:val="right"/>
              <w:rPr>
                <w:rFonts w:ascii="Arial" w:hAnsi="Arial" w:cs="Arial"/>
                <w:sz w:val="16"/>
                <w:szCs w:val="16"/>
              </w:rPr>
            </w:pPr>
          </w:p>
          <w:p w:rsidR="00EB0D6D" w:rsidRPr="007F5B0B" w:rsidP="6F620DDE" w14:paraId="0990D5AD" w14:textId="69E18354">
            <w:pPr>
              <w:widowControl w:val="0"/>
              <w:autoSpaceDE w:val="0"/>
              <w:autoSpaceDN w:val="0"/>
              <w:adjustRightInd w:val="0"/>
              <w:jc w:val="right"/>
              <w:rPr>
                <w:rFonts w:ascii="Arial" w:hAnsi="Arial" w:cs="Arial"/>
                <w:sz w:val="16"/>
                <w:szCs w:val="16"/>
              </w:rPr>
            </w:pPr>
            <w:r w:rsidRPr="6F620DDE">
              <w:rPr>
                <w:rFonts w:ascii="Arial" w:hAnsi="Arial" w:cs="Arial"/>
                <w:sz w:val="16"/>
                <w:szCs w:val="16"/>
              </w:rPr>
              <w:t>1</w:t>
            </w:r>
          </w:p>
        </w:tc>
        <w:tc>
          <w:tcPr>
            <w:tcW w:w="0" w:type="auto"/>
            <w:vAlign w:val="center"/>
          </w:tcPr>
          <w:p w:rsidR="00EB0D6D" w:rsidRPr="005410E5" w:rsidP="0051571C" w14:paraId="664798D6" w14:textId="77777777">
            <w:pPr>
              <w:widowControl w:val="0"/>
              <w:tabs>
                <w:tab w:val="left" w:pos="-1176"/>
              </w:tabs>
              <w:autoSpaceDE w:val="0"/>
              <w:autoSpaceDN w:val="0"/>
              <w:adjustRightInd w:val="0"/>
              <w:jc w:val="right"/>
              <w:rPr>
                <w:rFonts w:ascii="Arial" w:hAnsi="Arial" w:cs="Arial"/>
                <w:sz w:val="16"/>
                <w:szCs w:val="16"/>
              </w:rPr>
            </w:pPr>
          </w:p>
          <w:p w:rsidR="00EB0D6D" w:rsidP="0051571C" w14:paraId="141A742E" w14:textId="0B781931">
            <w:pPr>
              <w:widowControl w:val="0"/>
              <w:tabs>
                <w:tab w:val="left" w:pos="-1176"/>
              </w:tabs>
              <w:autoSpaceDE w:val="0"/>
              <w:autoSpaceDN w:val="0"/>
              <w:adjustRightInd w:val="0"/>
              <w:jc w:val="right"/>
              <w:rPr>
                <w:rFonts w:ascii="Arial" w:hAnsi="Arial" w:cs="Arial"/>
                <w:sz w:val="16"/>
                <w:szCs w:val="16"/>
              </w:rPr>
            </w:pPr>
            <w:r>
              <w:rPr>
                <w:rFonts w:ascii="Arial" w:hAnsi="Arial" w:cs="Arial"/>
                <w:sz w:val="16"/>
                <w:szCs w:val="16"/>
              </w:rPr>
              <w:t>1.75</w:t>
            </w:r>
          </w:p>
          <w:p w:rsidR="00EB0D6D" w:rsidRPr="007F5B0B" w:rsidP="0051571C" w14:paraId="0FE212EE" w14:textId="6C992C58">
            <w:pPr>
              <w:widowControl w:val="0"/>
              <w:tabs>
                <w:tab w:val="left" w:pos="-1176"/>
              </w:tabs>
              <w:autoSpaceDE w:val="0"/>
              <w:autoSpaceDN w:val="0"/>
              <w:adjustRightInd w:val="0"/>
              <w:jc w:val="right"/>
              <w:rPr>
                <w:rFonts w:ascii="Arial" w:hAnsi="Arial" w:cs="Arial"/>
                <w:sz w:val="16"/>
                <w:szCs w:val="16"/>
              </w:rPr>
            </w:pPr>
            <w:r>
              <w:rPr>
                <w:rFonts w:ascii="Arial" w:hAnsi="Arial" w:cs="Arial"/>
                <w:sz w:val="16"/>
                <w:szCs w:val="16"/>
              </w:rPr>
              <w:t>(105 minutes)</w:t>
            </w:r>
          </w:p>
        </w:tc>
        <w:tc>
          <w:tcPr>
            <w:tcW w:w="0" w:type="auto"/>
            <w:vAlign w:val="center"/>
          </w:tcPr>
          <w:p w:rsidR="00EB0D6D" w:rsidRPr="007F5B0B" w:rsidP="0051571C" w14:paraId="6EFCEBFB" w14:textId="77777777">
            <w:pPr>
              <w:widowControl w:val="0"/>
              <w:tabs>
                <w:tab w:val="left" w:pos="-1176"/>
              </w:tabs>
              <w:autoSpaceDE w:val="0"/>
              <w:autoSpaceDN w:val="0"/>
              <w:adjustRightInd w:val="0"/>
              <w:jc w:val="right"/>
              <w:rPr>
                <w:rFonts w:ascii="Arial" w:hAnsi="Arial" w:cs="Arial"/>
                <w:sz w:val="16"/>
                <w:szCs w:val="16"/>
              </w:rPr>
            </w:pPr>
          </w:p>
          <w:p w:rsidR="00EB0D6D" w:rsidRPr="007F5B0B" w:rsidP="6F620DDE" w14:paraId="77F5ECDF" w14:textId="196B20F4">
            <w:pPr>
              <w:widowControl w:val="0"/>
              <w:autoSpaceDE w:val="0"/>
              <w:autoSpaceDN w:val="0"/>
              <w:adjustRightInd w:val="0"/>
              <w:jc w:val="right"/>
              <w:rPr>
                <w:rFonts w:ascii="Arial" w:hAnsi="Arial" w:cs="Arial"/>
                <w:sz w:val="16"/>
                <w:szCs w:val="16"/>
              </w:rPr>
            </w:pPr>
            <w:r w:rsidRPr="6F620DDE">
              <w:rPr>
                <w:rFonts w:ascii="Arial" w:hAnsi="Arial" w:cs="Arial"/>
                <w:sz w:val="16"/>
                <w:szCs w:val="16"/>
              </w:rPr>
              <w:t>2</w:t>
            </w:r>
          </w:p>
        </w:tc>
        <w:tc>
          <w:tcPr>
            <w:tcW w:w="0" w:type="auto"/>
            <w:vAlign w:val="center"/>
          </w:tcPr>
          <w:p w:rsidR="00EB0D6D" w:rsidRPr="00556F7C" w:rsidP="0051571C" w14:paraId="0212E887" w14:textId="77777777">
            <w:pPr>
              <w:jc w:val="center"/>
              <w:rPr>
                <w:rFonts w:ascii="Arial" w:hAnsi="Arial" w:cs="Arial"/>
                <w:sz w:val="16"/>
              </w:rPr>
            </w:pPr>
          </w:p>
          <w:p w:rsidR="00EB0D6D" w:rsidRPr="00AD5B83" w:rsidP="4C607349" w14:paraId="333A2E50" w14:textId="738F3D96">
            <w:pPr>
              <w:widowControl w:val="0"/>
              <w:autoSpaceDE w:val="0"/>
              <w:autoSpaceDN w:val="0"/>
              <w:adjustRightInd w:val="0"/>
              <w:jc w:val="right"/>
              <w:rPr>
                <w:rFonts w:ascii="Arial" w:hAnsi="Arial" w:cs="Arial"/>
                <w:sz w:val="16"/>
                <w:szCs w:val="16"/>
              </w:rPr>
            </w:pPr>
            <w:r w:rsidRPr="00AD5B83">
              <w:rPr>
                <w:rFonts w:ascii="Arial" w:hAnsi="Arial" w:cs="Arial"/>
                <w:sz w:val="16"/>
                <w:szCs w:val="16"/>
              </w:rPr>
              <w:t>$55.41</w:t>
            </w:r>
          </w:p>
        </w:tc>
        <w:tc>
          <w:tcPr>
            <w:tcW w:w="0" w:type="auto"/>
            <w:vAlign w:val="center"/>
          </w:tcPr>
          <w:p w:rsidR="00EB0D6D" w:rsidRPr="007F5B0B" w:rsidP="0051571C" w14:paraId="5A0F876E" w14:textId="77777777">
            <w:pPr>
              <w:widowControl w:val="0"/>
              <w:tabs>
                <w:tab w:val="left" w:pos="-1176"/>
              </w:tabs>
              <w:autoSpaceDE w:val="0"/>
              <w:autoSpaceDN w:val="0"/>
              <w:adjustRightInd w:val="0"/>
              <w:jc w:val="right"/>
              <w:rPr>
                <w:rFonts w:ascii="Arial" w:hAnsi="Arial" w:cs="Arial"/>
                <w:sz w:val="16"/>
                <w:szCs w:val="16"/>
              </w:rPr>
            </w:pPr>
          </w:p>
          <w:p w:rsidR="00EB0D6D" w:rsidRPr="007F5B0B" w:rsidP="6F620DDE" w14:paraId="20CB7508" w14:textId="3A3808A3">
            <w:pPr>
              <w:widowControl w:val="0"/>
              <w:autoSpaceDE w:val="0"/>
              <w:autoSpaceDN w:val="0"/>
              <w:adjustRightInd w:val="0"/>
              <w:jc w:val="right"/>
              <w:rPr>
                <w:rFonts w:ascii="Arial" w:hAnsi="Arial" w:cs="Arial"/>
                <w:sz w:val="16"/>
                <w:szCs w:val="16"/>
              </w:rPr>
            </w:pPr>
            <w:r w:rsidRPr="6F620DDE">
              <w:rPr>
                <w:rFonts w:ascii="Arial" w:hAnsi="Arial" w:cs="Arial"/>
                <w:sz w:val="16"/>
                <w:szCs w:val="16"/>
              </w:rPr>
              <w:t>$111</w:t>
            </w:r>
          </w:p>
        </w:tc>
      </w:tr>
      <w:tr w14:paraId="5CA4C4D3" w14:textId="77777777" w:rsidTr="00D858ED">
        <w:tblPrEx>
          <w:tblW w:w="0" w:type="auto"/>
          <w:tblInd w:w="-995" w:type="dxa"/>
          <w:tblCellMar>
            <w:left w:w="120" w:type="dxa"/>
            <w:right w:w="120" w:type="dxa"/>
          </w:tblCellMar>
          <w:tblLook w:val="0000"/>
        </w:tblPrEx>
        <w:trPr>
          <w:trHeight w:val="350"/>
        </w:trPr>
        <w:tc>
          <w:tcPr>
            <w:tcW w:w="0" w:type="auto"/>
          </w:tcPr>
          <w:p w:rsidR="00EB0D6D" w:rsidRPr="007F5B0B" w:rsidP="00683C62" w14:paraId="1A7CAE7E" w14:textId="77777777">
            <w:pPr>
              <w:widowControl w:val="0"/>
              <w:autoSpaceDE w:val="0"/>
              <w:autoSpaceDN w:val="0"/>
              <w:adjustRightInd w:val="0"/>
              <w:spacing w:line="120" w:lineRule="exact"/>
              <w:jc w:val="center"/>
              <w:rPr>
                <w:rFonts w:ascii="Arial" w:hAnsi="Arial" w:cs="Arial"/>
                <w:b/>
                <w:color w:val="000000"/>
                <w:sz w:val="16"/>
                <w:szCs w:val="16"/>
              </w:rPr>
            </w:pPr>
          </w:p>
        </w:tc>
        <w:tc>
          <w:tcPr>
            <w:tcW w:w="0" w:type="auto"/>
            <w:vAlign w:val="center"/>
          </w:tcPr>
          <w:p w:rsidR="00EB0D6D" w:rsidRPr="007F5B0B" w:rsidP="00683C62" w14:paraId="3C3ECB8D" w14:textId="77777777">
            <w:pPr>
              <w:widowControl w:val="0"/>
              <w:tabs>
                <w:tab w:val="left" w:pos="-1176"/>
              </w:tabs>
              <w:autoSpaceDE w:val="0"/>
              <w:autoSpaceDN w:val="0"/>
              <w:adjustRightInd w:val="0"/>
              <w:rPr>
                <w:rFonts w:ascii="Arial" w:hAnsi="Arial" w:cs="Arial"/>
                <w:b/>
                <w:bCs/>
                <w:color w:val="000000"/>
                <w:sz w:val="16"/>
                <w:szCs w:val="16"/>
              </w:rPr>
            </w:pPr>
            <w:r w:rsidRPr="007F5B0B">
              <w:rPr>
                <w:rFonts w:ascii="Arial" w:hAnsi="Arial" w:cs="Arial"/>
                <w:b/>
                <w:color w:val="000000"/>
                <w:sz w:val="16"/>
                <w:szCs w:val="16"/>
              </w:rPr>
              <w:t>Totals</w:t>
            </w:r>
          </w:p>
        </w:tc>
        <w:tc>
          <w:tcPr>
            <w:tcW w:w="0" w:type="auto"/>
            <w:vAlign w:val="center"/>
          </w:tcPr>
          <w:p w:rsidR="00EB0D6D" w:rsidRPr="007F5B0B" w:rsidP="00683C62" w14:paraId="1D0A09B0" w14:textId="4B3F3695">
            <w:pPr>
              <w:widowControl w:val="0"/>
              <w:autoSpaceDE w:val="0"/>
              <w:autoSpaceDN w:val="0"/>
              <w:adjustRightInd w:val="0"/>
              <w:jc w:val="right"/>
              <w:rPr>
                <w:rFonts w:ascii="Arial" w:hAnsi="Arial" w:cs="Arial"/>
                <w:b/>
                <w:bCs/>
                <w:sz w:val="16"/>
                <w:szCs w:val="16"/>
              </w:rPr>
            </w:pPr>
            <w:r>
              <w:rPr>
                <w:rFonts w:ascii="Arial" w:hAnsi="Arial" w:cs="Arial"/>
                <w:b/>
                <w:bCs/>
                <w:sz w:val="16"/>
                <w:szCs w:val="16"/>
              </w:rPr>
              <w:t>2</w:t>
            </w:r>
            <w:r w:rsidR="006F2186">
              <w:rPr>
                <w:rFonts w:ascii="Arial" w:hAnsi="Arial" w:cs="Arial"/>
                <w:b/>
                <w:bCs/>
                <w:sz w:val="16"/>
                <w:szCs w:val="16"/>
              </w:rPr>
              <w:t>3</w:t>
            </w:r>
          </w:p>
        </w:tc>
        <w:tc>
          <w:tcPr>
            <w:tcW w:w="0" w:type="auto"/>
            <w:vAlign w:val="center"/>
          </w:tcPr>
          <w:p w:rsidR="00EB0D6D" w:rsidRPr="007F5B0B" w:rsidP="00683C62" w14:paraId="252274AA" w14:textId="77777777">
            <w:pPr>
              <w:widowControl w:val="0"/>
              <w:autoSpaceDE w:val="0"/>
              <w:autoSpaceDN w:val="0"/>
              <w:adjustRightInd w:val="0"/>
              <w:jc w:val="right"/>
              <w:rPr>
                <w:rFonts w:ascii="Arial" w:hAnsi="Arial" w:cs="Arial"/>
                <w:b/>
                <w:bCs/>
                <w:sz w:val="16"/>
                <w:szCs w:val="16"/>
              </w:rPr>
            </w:pPr>
            <w:r w:rsidRPr="007F5B0B">
              <w:rPr>
                <w:rFonts w:ascii="Arial" w:hAnsi="Arial" w:cs="Arial"/>
                <w:b/>
                <w:sz w:val="16"/>
                <w:szCs w:val="16"/>
              </w:rPr>
              <w:t>- - -</w:t>
            </w:r>
          </w:p>
        </w:tc>
        <w:tc>
          <w:tcPr>
            <w:tcW w:w="0" w:type="auto"/>
            <w:vAlign w:val="center"/>
          </w:tcPr>
          <w:p w:rsidR="00EB0D6D" w:rsidRPr="007F5B0B" w14:paraId="35E25B6D" w14:textId="3C4F02D6">
            <w:pPr>
              <w:widowControl w:val="0"/>
              <w:jc w:val="right"/>
              <w:rPr>
                <w:rFonts w:ascii="Arial" w:eastAsia="Arial" w:hAnsi="Arial" w:cs="Arial"/>
                <w:sz w:val="16"/>
                <w:szCs w:val="16"/>
              </w:rPr>
            </w:pPr>
            <w:r>
              <w:rPr>
                <w:rFonts w:ascii="Arial" w:hAnsi="Arial" w:cs="Arial"/>
                <w:b/>
                <w:bCs/>
                <w:sz w:val="16"/>
                <w:szCs w:val="16"/>
              </w:rPr>
              <w:t>8</w:t>
            </w:r>
            <w:r w:rsidR="00BF3F7F">
              <w:rPr>
                <w:rFonts w:ascii="Arial" w:hAnsi="Arial" w:cs="Arial"/>
                <w:b/>
                <w:bCs/>
                <w:sz w:val="16"/>
                <w:szCs w:val="16"/>
              </w:rPr>
              <w:t>9</w:t>
            </w:r>
          </w:p>
        </w:tc>
        <w:tc>
          <w:tcPr>
            <w:tcW w:w="0" w:type="auto"/>
            <w:vAlign w:val="center"/>
          </w:tcPr>
          <w:p w:rsidR="00EB0D6D" w:rsidRPr="007F5B0B" w:rsidP="00683C62" w14:paraId="47DA2AE1" w14:textId="77777777">
            <w:pPr>
              <w:widowControl w:val="0"/>
              <w:tabs>
                <w:tab w:val="left" w:pos="-1176"/>
              </w:tabs>
              <w:autoSpaceDE w:val="0"/>
              <w:autoSpaceDN w:val="0"/>
              <w:adjustRightInd w:val="0"/>
              <w:jc w:val="right"/>
              <w:rPr>
                <w:rFonts w:ascii="Arial" w:hAnsi="Arial" w:cs="Arial"/>
                <w:b/>
                <w:bCs/>
                <w:sz w:val="16"/>
                <w:szCs w:val="16"/>
              </w:rPr>
            </w:pPr>
            <w:r w:rsidRPr="007F5B0B">
              <w:rPr>
                <w:rFonts w:ascii="Arial" w:hAnsi="Arial" w:cs="Arial"/>
                <w:b/>
                <w:sz w:val="16"/>
                <w:szCs w:val="16"/>
              </w:rPr>
              <w:t>- - -</w:t>
            </w:r>
          </w:p>
        </w:tc>
        <w:tc>
          <w:tcPr>
            <w:tcW w:w="0" w:type="auto"/>
            <w:vAlign w:val="center"/>
          </w:tcPr>
          <w:p w:rsidR="00EB0D6D" w:rsidRPr="007F5B0B" w:rsidP="4C607349" w14:paraId="17ABE21E" w14:textId="51C7D793">
            <w:pPr>
              <w:widowControl w:val="0"/>
              <w:autoSpaceDE w:val="0"/>
              <w:autoSpaceDN w:val="0"/>
              <w:adjustRightInd w:val="0"/>
              <w:jc w:val="right"/>
              <w:rPr>
                <w:rFonts w:ascii="Arial" w:hAnsi="Arial" w:cs="Arial"/>
                <w:b/>
                <w:bCs/>
                <w:sz w:val="16"/>
                <w:szCs w:val="16"/>
              </w:rPr>
            </w:pPr>
            <w:r>
              <w:rPr>
                <w:rFonts w:ascii="Arial" w:hAnsi="Arial" w:cs="Arial"/>
                <w:b/>
                <w:bCs/>
                <w:sz w:val="16"/>
                <w:szCs w:val="16"/>
              </w:rPr>
              <w:t>1</w:t>
            </w:r>
            <w:r w:rsidR="00BF3F7F">
              <w:rPr>
                <w:rFonts w:ascii="Arial" w:hAnsi="Arial" w:cs="Arial"/>
                <w:b/>
                <w:bCs/>
                <w:sz w:val="16"/>
                <w:szCs w:val="16"/>
              </w:rPr>
              <w:t>56</w:t>
            </w:r>
          </w:p>
        </w:tc>
        <w:tc>
          <w:tcPr>
            <w:tcW w:w="0" w:type="auto"/>
            <w:vAlign w:val="center"/>
          </w:tcPr>
          <w:p w:rsidR="00EB0D6D" w:rsidRPr="007F5B0B" w:rsidP="00683C62" w14:paraId="380E4D59" w14:textId="77777777">
            <w:pPr>
              <w:widowControl w:val="0"/>
              <w:tabs>
                <w:tab w:val="left" w:pos="-1176"/>
              </w:tabs>
              <w:autoSpaceDE w:val="0"/>
              <w:autoSpaceDN w:val="0"/>
              <w:adjustRightInd w:val="0"/>
              <w:jc w:val="right"/>
              <w:rPr>
                <w:rFonts w:ascii="Arial" w:hAnsi="Arial" w:cs="Arial"/>
                <w:b/>
                <w:bCs/>
                <w:sz w:val="16"/>
                <w:szCs w:val="16"/>
              </w:rPr>
            </w:pPr>
            <w:r w:rsidRPr="007F5B0B">
              <w:rPr>
                <w:rFonts w:ascii="Arial" w:hAnsi="Arial" w:cs="Arial"/>
                <w:b/>
                <w:sz w:val="16"/>
                <w:szCs w:val="16"/>
              </w:rPr>
              <w:t>- - -</w:t>
            </w:r>
          </w:p>
        </w:tc>
        <w:tc>
          <w:tcPr>
            <w:tcW w:w="0" w:type="auto"/>
            <w:vAlign w:val="center"/>
          </w:tcPr>
          <w:p w:rsidR="00EB0D6D" w:rsidRPr="00AD5B83" w:rsidP="4C607349" w14:paraId="17BA2EDE" w14:textId="7AA61484">
            <w:pPr>
              <w:widowControl w:val="0"/>
              <w:autoSpaceDE w:val="0"/>
              <w:autoSpaceDN w:val="0"/>
              <w:adjustRightInd w:val="0"/>
              <w:jc w:val="right"/>
              <w:rPr>
                <w:rFonts w:ascii="Arial" w:hAnsi="Arial" w:cs="Arial"/>
                <w:b/>
                <w:bCs/>
                <w:sz w:val="16"/>
                <w:szCs w:val="16"/>
              </w:rPr>
            </w:pPr>
            <w:r w:rsidRPr="00AD5B83">
              <w:rPr>
                <w:rFonts w:ascii="Arial" w:hAnsi="Arial" w:cs="Arial"/>
                <w:b/>
                <w:bCs/>
                <w:sz w:val="16"/>
                <w:szCs w:val="16"/>
              </w:rPr>
              <w:t>$</w:t>
            </w:r>
            <w:r w:rsidRPr="00E45E22">
              <w:rPr>
                <w:rFonts w:ascii="Arial" w:hAnsi="Arial" w:cs="Arial"/>
                <w:b/>
                <w:bCs/>
                <w:sz w:val="16"/>
                <w:szCs w:val="16"/>
              </w:rPr>
              <w:t>8,</w:t>
            </w:r>
            <w:r w:rsidR="008359CF">
              <w:rPr>
                <w:rFonts w:ascii="Arial" w:hAnsi="Arial" w:cs="Arial"/>
                <w:b/>
                <w:bCs/>
                <w:sz w:val="16"/>
                <w:szCs w:val="16"/>
              </w:rPr>
              <w:t>644</w:t>
            </w:r>
          </w:p>
        </w:tc>
      </w:tr>
    </w:tbl>
    <w:bookmarkEnd w:id="1"/>
    <w:p w:rsidR="00B765A5" w:rsidP="00BD63FE" w14:paraId="6D318C3C" w14:textId="4CE6F5DE">
      <w:pPr>
        <w:tabs>
          <w:tab w:val="left" w:pos="8385"/>
        </w:tabs>
        <w:rPr>
          <w:rFonts w:ascii="Arial" w:hAnsi="Arial"/>
          <w:b/>
          <w:sz w:val="24"/>
        </w:rPr>
      </w:pPr>
      <w:r>
        <w:rPr>
          <w:rFonts w:ascii="Arial" w:hAnsi="Arial"/>
          <w:b/>
          <w:sz w:val="24"/>
        </w:rPr>
        <w:tab/>
      </w:r>
    </w:p>
    <w:p w:rsidR="0056363B" w:rsidRPr="0056363B" w:rsidP="00F56BB3" w14:paraId="23D46242" w14:textId="50CE5EEC">
      <w:pPr>
        <w:pStyle w:val="ListParagraph"/>
        <w:numPr>
          <w:ilvl w:val="0"/>
          <w:numId w:val="10"/>
        </w:numPr>
        <w:jc w:val="both"/>
        <w:rPr>
          <w:rFonts w:ascii="Arial" w:hAnsi="Arial"/>
          <w:b/>
          <w:bCs/>
          <w:sz w:val="24"/>
        </w:rPr>
      </w:pPr>
      <w:r>
        <w:rPr>
          <w:rFonts w:ascii="Arial" w:hAnsi="Arial"/>
          <w:b/>
          <w:bCs/>
          <w:sz w:val="24"/>
        </w:rPr>
        <w:t xml:space="preserve"> </w:t>
      </w:r>
      <w:r w:rsidRPr="0056363B">
        <w:rPr>
          <w:rFonts w:ascii="Arial" w:hAnsi="Arial"/>
          <w:b/>
          <w:bCs/>
          <w:sz w:val="24"/>
        </w:rPr>
        <w:t xml:space="preserve">Provide an estimate for the total annual cost burden to respondents or record keepers resulting from the collection of information. (Do not include the cost of any hour burden already reflected on the burden worksheet). </w:t>
      </w:r>
    </w:p>
    <w:p w:rsidR="0056363B" w:rsidRPr="0056363B" w:rsidP="00F56BB3" w14:paraId="25CA3B6B" w14:textId="77777777">
      <w:pPr>
        <w:numPr>
          <w:ilvl w:val="0"/>
          <w:numId w:val="16"/>
        </w:numPr>
        <w:jc w:val="both"/>
        <w:rPr>
          <w:rFonts w:ascii="Arial" w:hAnsi="Arial"/>
          <w:b/>
          <w:bCs/>
          <w:sz w:val="24"/>
        </w:rPr>
      </w:pPr>
      <w:r w:rsidRPr="0056363B">
        <w:rPr>
          <w:rFonts w:ascii="Arial" w:hAnsi="Arial"/>
          <w:b/>
          <w:bCs/>
          <w:sz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363B" w:rsidRPr="0056363B" w:rsidP="00F56BB3" w14:paraId="5A564F9C" w14:textId="77777777">
      <w:pPr>
        <w:numPr>
          <w:ilvl w:val="0"/>
          <w:numId w:val="16"/>
        </w:numPr>
        <w:jc w:val="both"/>
        <w:rPr>
          <w:rFonts w:ascii="Arial" w:hAnsi="Arial"/>
          <w:b/>
          <w:bCs/>
          <w:sz w:val="24"/>
        </w:rPr>
      </w:pPr>
      <w:r w:rsidRPr="0056363B">
        <w:rPr>
          <w:rFonts w:ascii="Arial" w:hAnsi="Arial"/>
          <w:b/>
          <w:bCs/>
          <w:sz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56363B" w:rsidRPr="0056363B" w:rsidP="00F56BB3" w14:paraId="3C390869" w14:textId="77777777">
      <w:pPr>
        <w:numPr>
          <w:ilvl w:val="0"/>
          <w:numId w:val="16"/>
        </w:numPr>
        <w:jc w:val="both"/>
        <w:rPr>
          <w:rFonts w:ascii="Arial" w:hAnsi="Arial"/>
          <w:b/>
          <w:bCs/>
          <w:sz w:val="24"/>
        </w:rPr>
      </w:pPr>
      <w:r w:rsidRPr="0056363B">
        <w:rPr>
          <w:rFonts w:ascii="Arial" w:hAnsi="Arial"/>
          <w:b/>
          <w:bCs/>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B765A5" w:rsidP="00B765A5" w14:paraId="794ECBC3" w14:textId="77777777">
      <w:pPr>
        <w:rPr>
          <w:rFonts w:ascii="Arial" w:hAnsi="Arial"/>
          <w:sz w:val="24"/>
        </w:rPr>
      </w:pPr>
    </w:p>
    <w:p w:rsidR="00B765A5" w:rsidP="00B765A5" w14:paraId="5EEBF186" w14:textId="2F1B510C">
      <w:pPr>
        <w:jc w:val="both"/>
        <w:rPr>
          <w:rFonts w:ascii="Arial" w:hAnsi="Arial"/>
          <w:sz w:val="24"/>
        </w:rPr>
      </w:pPr>
      <w:r>
        <w:rPr>
          <w:rFonts w:ascii="Arial" w:hAnsi="Arial"/>
          <w:sz w:val="24"/>
        </w:rPr>
        <w:t>Patent</w:t>
      </w:r>
      <w:r w:rsidR="005122C9">
        <w:rPr>
          <w:rFonts w:ascii="Arial" w:hAnsi="Arial"/>
          <w:sz w:val="24"/>
        </w:rPr>
        <w:t>s</w:t>
      </w:r>
      <w:r>
        <w:rPr>
          <w:rFonts w:ascii="Arial" w:hAnsi="Arial"/>
          <w:sz w:val="24"/>
        </w:rPr>
        <w:t>:</w:t>
      </w:r>
      <w:r w:rsidR="008667EE">
        <w:rPr>
          <w:rFonts w:ascii="Arial" w:hAnsi="Arial"/>
          <w:sz w:val="24"/>
        </w:rPr>
        <w:t xml:space="preserve"> </w:t>
      </w:r>
      <w:r>
        <w:rPr>
          <w:rFonts w:ascii="Arial" w:hAnsi="Arial"/>
          <w:sz w:val="24"/>
        </w:rPr>
        <w:t>There are no annualized non-hour costs associated with this information collection.</w:t>
      </w:r>
      <w:r w:rsidR="00D06736">
        <w:rPr>
          <w:rFonts w:ascii="Arial" w:hAnsi="Arial"/>
          <w:sz w:val="24"/>
        </w:rPr>
        <w:t xml:space="preserve"> </w:t>
      </w:r>
      <w:r w:rsidR="00600612">
        <w:rPr>
          <w:rFonts w:ascii="Arial" w:hAnsi="Arial"/>
          <w:sz w:val="24"/>
        </w:rPr>
        <w:t>All</w:t>
      </w:r>
      <w:r w:rsidR="00CD3DF2">
        <w:rPr>
          <w:rFonts w:ascii="Arial" w:hAnsi="Arial"/>
          <w:sz w:val="24"/>
        </w:rPr>
        <w:t xml:space="preserve"> of the items in this </w:t>
      </w:r>
      <w:r w:rsidR="00724099">
        <w:rPr>
          <w:rFonts w:ascii="Arial" w:hAnsi="Arial"/>
          <w:sz w:val="24"/>
        </w:rPr>
        <w:t xml:space="preserve">information </w:t>
      </w:r>
      <w:r w:rsidR="00CD3DF2">
        <w:rPr>
          <w:rFonts w:ascii="Arial" w:hAnsi="Arial"/>
          <w:sz w:val="24"/>
        </w:rPr>
        <w:t xml:space="preserve">collection are </w:t>
      </w:r>
      <w:r w:rsidR="0088776B">
        <w:rPr>
          <w:rFonts w:ascii="Arial" w:hAnsi="Arial"/>
          <w:sz w:val="24"/>
        </w:rPr>
        <w:t>submitted electronically</w:t>
      </w:r>
      <w:r w:rsidR="001E6B9B">
        <w:rPr>
          <w:rFonts w:ascii="Arial" w:hAnsi="Arial"/>
          <w:sz w:val="24"/>
        </w:rPr>
        <w:t xml:space="preserve"> or in person</w:t>
      </w:r>
      <w:r w:rsidR="0088776B">
        <w:rPr>
          <w:rFonts w:ascii="Arial" w:hAnsi="Arial"/>
          <w:sz w:val="24"/>
        </w:rPr>
        <w:t xml:space="preserve">, eliminating the need for </w:t>
      </w:r>
      <w:r>
        <w:rPr>
          <w:rFonts w:ascii="Arial" w:hAnsi="Arial"/>
          <w:sz w:val="24"/>
        </w:rPr>
        <w:t>postage</w:t>
      </w:r>
      <w:r w:rsidR="0088776B">
        <w:rPr>
          <w:rFonts w:ascii="Arial" w:hAnsi="Arial"/>
          <w:sz w:val="24"/>
        </w:rPr>
        <w:t>,</w:t>
      </w:r>
      <w:r>
        <w:rPr>
          <w:rFonts w:ascii="Arial" w:hAnsi="Arial"/>
          <w:sz w:val="24"/>
        </w:rPr>
        <w:t xml:space="preserve"> </w:t>
      </w:r>
      <w:r w:rsidR="0088776B">
        <w:rPr>
          <w:rFonts w:ascii="Arial" w:hAnsi="Arial"/>
          <w:sz w:val="24"/>
        </w:rPr>
        <w:t xml:space="preserve">and there are no </w:t>
      </w:r>
      <w:r>
        <w:rPr>
          <w:rFonts w:ascii="Arial" w:hAnsi="Arial"/>
          <w:sz w:val="24"/>
        </w:rPr>
        <w:t xml:space="preserve">other transaction costs </w:t>
      </w:r>
      <w:r w:rsidR="0088776B">
        <w:rPr>
          <w:rFonts w:ascii="Arial" w:hAnsi="Arial"/>
          <w:sz w:val="24"/>
        </w:rPr>
        <w:t xml:space="preserve">(e.g. filing fees) </w:t>
      </w:r>
      <w:r>
        <w:rPr>
          <w:rFonts w:ascii="Arial" w:hAnsi="Arial"/>
          <w:sz w:val="24"/>
        </w:rPr>
        <w:t xml:space="preserve">associated with </w:t>
      </w:r>
      <w:r w:rsidR="00AF6F5B">
        <w:rPr>
          <w:rFonts w:ascii="Arial" w:hAnsi="Arial"/>
          <w:sz w:val="24"/>
        </w:rPr>
        <w:t>Patents Pro Bono Program</w:t>
      </w:r>
      <w:r>
        <w:rPr>
          <w:rFonts w:ascii="Arial" w:hAnsi="Arial"/>
          <w:sz w:val="24"/>
        </w:rPr>
        <w:t>.</w:t>
      </w:r>
      <w:r w:rsidR="001C51D2">
        <w:rPr>
          <w:rFonts w:ascii="Arial" w:hAnsi="Arial"/>
          <w:sz w:val="24"/>
        </w:rPr>
        <w:t xml:space="preserve"> </w:t>
      </w:r>
    </w:p>
    <w:p w:rsidR="00707C2E" w:rsidP="00B765A5" w14:paraId="216F1B7E" w14:textId="77777777">
      <w:pPr>
        <w:jc w:val="both"/>
        <w:rPr>
          <w:rFonts w:ascii="Arial" w:hAnsi="Arial"/>
          <w:sz w:val="24"/>
        </w:rPr>
      </w:pPr>
    </w:p>
    <w:p w:rsidR="00A31382" w:rsidP="4C607349" w14:paraId="301D07A8" w14:textId="3DEAACC0">
      <w:pPr>
        <w:jc w:val="both"/>
        <w:rPr>
          <w:rFonts w:ascii="Arial" w:hAnsi="Arial"/>
          <w:sz w:val="24"/>
          <w:szCs w:val="24"/>
        </w:rPr>
      </w:pPr>
      <w:r w:rsidRPr="4C607349">
        <w:rPr>
          <w:rFonts w:ascii="Arial" w:hAnsi="Arial"/>
          <w:sz w:val="24"/>
          <w:szCs w:val="24"/>
        </w:rPr>
        <w:t xml:space="preserve">PTAB:  $1,333. There is </w:t>
      </w:r>
      <w:r w:rsidR="00707C2E">
        <w:rPr>
          <w:rFonts w:ascii="Arial" w:hAnsi="Arial"/>
          <w:sz w:val="24"/>
          <w:szCs w:val="24"/>
        </w:rPr>
        <w:t>an annualized</w:t>
      </w:r>
      <w:r w:rsidRPr="4C607349">
        <w:rPr>
          <w:rFonts w:ascii="Arial" w:hAnsi="Arial"/>
          <w:sz w:val="24"/>
          <w:szCs w:val="24"/>
        </w:rPr>
        <w:t xml:space="preserve"> cost for the national clearinghouse to create a data collection form to capture appeals information and demographic data. The USPTO estimates that national clearinghouse will an annual cost of $1,333. </w:t>
      </w:r>
      <w:r w:rsidRPr="4C607349" w:rsidR="4C607349">
        <w:rPr>
          <w:rFonts w:ascii="Arial" w:hAnsi="Arial"/>
          <w:sz w:val="24"/>
          <w:szCs w:val="24"/>
        </w:rPr>
        <w:t xml:space="preserve">There </w:t>
      </w:r>
      <w:r w:rsidR="00707C2E">
        <w:rPr>
          <w:rFonts w:ascii="Arial" w:hAnsi="Arial"/>
          <w:sz w:val="24"/>
          <w:szCs w:val="24"/>
        </w:rPr>
        <w:t>are</w:t>
      </w:r>
      <w:r w:rsidRPr="4C607349" w:rsidR="00707C2E">
        <w:rPr>
          <w:rFonts w:ascii="Arial" w:hAnsi="Arial"/>
          <w:sz w:val="24"/>
          <w:szCs w:val="24"/>
        </w:rPr>
        <w:t xml:space="preserve"> </w:t>
      </w:r>
      <w:r w:rsidRPr="4C607349" w:rsidR="4C607349">
        <w:rPr>
          <w:rFonts w:ascii="Arial" w:hAnsi="Arial"/>
          <w:sz w:val="24"/>
          <w:szCs w:val="24"/>
        </w:rPr>
        <w:t>no maintenance</w:t>
      </w:r>
      <w:r w:rsidR="00707C2E">
        <w:rPr>
          <w:rFonts w:ascii="Arial" w:hAnsi="Arial"/>
          <w:sz w:val="24"/>
          <w:szCs w:val="24"/>
        </w:rPr>
        <w:t xml:space="preserve"> costs</w:t>
      </w:r>
      <w:r w:rsidRPr="4C607349" w:rsidR="4C607349">
        <w:rPr>
          <w:rFonts w:ascii="Arial" w:hAnsi="Arial"/>
          <w:sz w:val="24"/>
          <w:szCs w:val="24"/>
        </w:rPr>
        <w:t xml:space="preserve">, </w:t>
      </w:r>
      <w:r w:rsidR="00707C2E">
        <w:rPr>
          <w:rFonts w:ascii="Arial" w:hAnsi="Arial"/>
          <w:sz w:val="24"/>
          <w:szCs w:val="24"/>
        </w:rPr>
        <w:t xml:space="preserve">filing fees, or postage costs </w:t>
      </w:r>
      <w:r w:rsidRPr="4C607349" w:rsidR="4C607349">
        <w:rPr>
          <w:rFonts w:ascii="Arial" w:hAnsi="Arial"/>
          <w:sz w:val="24"/>
          <w:szCs w:val="24"/>
        </w:rPr>
        <w:t xml:space="preserve">associated with </w:t>
      </w:r>
      <w:r w:rsidR="00ED1273">
        <w:rPr>
          <w:rFonts w:ascii="Arial" w:hAnsi="Arial"/>
          <w:sz w:val="24"/>
          <w:szCs w:val="24"/>
        </w:rPr>
        <w:t>the PTAB Pro Bono Program</w:t>
      </w:r>
      <w:r w:rsidRPr="4C607349" w:rsidR="4C607349">
        <w:rPr>
          <w:rFonts w:ascii="Arial" w:hAnsi="Arial"/>
          <w:sz w:val="24"/>
          <w:szCs w:val="24"/>
        </w:rPr>
        <w:t>.</w:t>
      </w:r>
    </w:p>
    <w:p w:rsidR="00B765A5" w:rsidP="00B765A5" w14:paraId="1C9D7AEC" w14:textId="77777777">
      <w:pPr>
        <w:jc w:val="both"/>
        <w:rPr>
          <w:rFonts w:ascii="Arial" w:hAnsi="Arial"/>
          <w:sz w:val="24"/>
        </w:rPr>
      </w:pPr>
    </w:p>
    <w:p w:rsidR="00B765A5" w:rsidRPr="0056363B" w:rsidP="0056363B" w14:paraId="60B36A2C" w14:textId="200A1528">
      <w:pPr>
        <w:pStyle w:val="ListParagraph"/>
        <w:numPr>
          <w:ilvl w:val="0"/>
          <w:numId w:val="10"/>
        </w:numPr>
        <w:jc w:val="both"/>
        <w:rPr>
          <w:rFonts w:ascii="Arial" w:hAnsi="Arial"/>
          <w:sz w:val="24"/>
        </w:rPr>
      </w:pPr>
      <w:r>
        <w:rPr>
          <w:rFonts w:ascii="Arial" w:hAnsi="Arial"/>
          <w:b/>
          <w:bCs/>
          <w:sz w:val="24"/>
        </w:rPr>
        <w:t xml:space="preserve"> </w:t>
      </w:r>
      <w:r w:rsidRPr="0056363B">
        <w:rPr>
          <w:rFonts w:ascii="Arial" w:hAnsi="Arial"/>
          <w:b/>
          <w:bCs/>
          <w:sz w:val="24"/>
        </w:rPr>
        <w:t xml:space="preserve">Provide estimates of annualized costs to the </w:t>
      </w:r>
      <w:r w:rsidR="00C36169">
        <w:rPr>
          <w:rFonts w:ascii="Arial" w:hAnsi="Arial"/>
          <w:b/>
          <w:bCs/>
          <w:sz w:val="24"/>
        </w:rPr>
        <w:t>f</w:t>
      </w:r>
      <w:r w:rsidRPr="0056363B">
        <w:rPr>
          <w:rFonts w:ascii="Arial" w:hAnsi="Arial"/>
          <w:b/>
          <w:bCs/>
          <w:sz w:val="24"/>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134B1" w:rsidRPr="0056363B" w:rsidP="0056363B" w14:paraId="1376DEE2" w14:textId="77777777">
      <w:pPr>
        <w:pStyle w:val="ListParagraph"/>
        <w:ind w:left="360"/>
        <w:jc w:val="both"/>
        <w:rPr>
          <w:rFonts w:ascii="Arial" w:hAnsi="Arial"/>
          <w:sz w:val="24"/>
        </w:rPr>
      </w:pPr>
    </w:p>
    <w:p w:rsidR="00D21190" w:rsidP="4C607349" w14:paraId="21EA2776" w14:textId="3B276EAC">
      <w:pPr>
        <w:jc w:val="both"/>
        <w:rPr>
          <w:rFonts w:ascii="Arial" w:hAnsi="Arial"/>
          <w:sz w:val="24"/>
          <w:szCs w:val="24"/>
        </w:rPr>
      </w:pPr>
      <w:r w:rsidRPr="4C607349">
        <w:rPr>
          <w:rFonts w:ascii="Arial" w:hAnsi="Arial"/>
          <w:sz w:val="24"/>
          <w:szCs w:val="24"/>
        </w:rPr>
        <w:t xml:space="preserve">The USPTO estimates </w:t>
      </w:r>
      <w:r w:rsidRPr="009778ED">
        <w:rPr>
          <w:rFonts w:ascii="Arial" w:hAnsi="Arial" w:cs="Arial"/>
          <w:sz w:val="24"/>
          <w:szCs w:val="24"/>
        </w:rPr>
        <w:t xml:space="preserve">that it takes a </w:t>
      </w:r>
      <w:r w:rsidRPr="0003279B" w:rsidR="093944A4">
        <w:rPr>
          <w:rFonts w:ascii="Arial" w:hAnsi="Arial" w:cs="Arial"/>
          <w:sz w:val="24"/>
          <w:szCs w:val="24"/>
        </w:rPr>
        <w:t>GS-14, step 10</w:t>
      </w:r>
      <w:r w:rsidRPr="009778ED">
        <w:rPr>
          <w:rFonts w:ascii="Arial" w:hAnsi="Arial" w:cs="Arial"/>
          <w:sz w:val="24"/>
          <w:szCs w:val="24"/>
        </w:rPr>
        <w:t xml:space="preserve">, </w:t>
      </w:r>
      <w:r w:rsidRPr="4C607349">
        <w:rPr>
          <w:rFonts w:ascii="Arial" w:hAnsi="Arial"/>
          <w:sz w:val="24"/>
          <w:szCs w:val="24"/>
        </w:rPr>
        <w:t xml:space="preserve">1 hour to process a single submission from this information collection. The 2022 hourly rate for a GS-14, step 10, is </w:t>
      </w:r>
      <w:r w:rsidRPr="00CC1A1E">
        <w:rPr>
          <w:rFonts w:ascii="Arial" w:hAnsi="Arial"/>
          <w:sz w:val="24"/>
          <w:szCs w:val="24"/>
        </w:rPr>
        <w:t>$78.63.</w:t>
      </w:r>
      <w:r w:rsidRPr="4C607349">
        <w:rPr>
          <w:rFonts w:ascii="Arial" w:hAnsi="Arial"/>
          <w:sz w:val="24"/>
          <w:szCs w:val="24"/>
        </w:rPr>
        <w:t xml:space="preserve"> When 30% is added to account for a fully loaded hourly rate (benefits and overhead), the rate per hour for a GS-14, step 10, is </w:t>
      </w:r>
      <w:r w:rsidRPr="00CC1A1E">
        <w:rPr>
          <w:rFonts w:ascii="Arial" w:hAnsi="Arial"/>
          <w:sz w:val="24"/>
          <w:szCs w:val="24"/>
        </w:rPr>
        <w:t>$102.22 ($78.63 + $23.59)</w:t>
      </w:r>
      <w:r w:rsidRPr="4C607349">
        <w:rPr>
          <w:rFonts w:ascii="Arial" w:hAnsi="Arial"/>
          <w:sz w:val="24"/>
          <w:szCs w:val="24"/>
        </w:rPr>
        <w:t xml:space="preserve">.   </w:t>
      </w:r>
    </w:p>
    <w:p w:rsidR="00B765A5" w:rsidRPr="00D56658" w:rsidP="00B765A5" w14:paraId="4FB1EE54" w14:textId="77777777">
      <w:pPr>
        <w:jc w:val="both"/>
        <w:rPr>
          <w:rFonts w:ascii="Arial" w:hAnsi="Arial"/>
          <w:sz w:val="24"/>
        </w:rPr>
      </w:pPr>
    </w:p>
    <w:p w:rsidR="00B765A5" w:rsidP="00B765A5" w14:paraId="7810E3E1" w14:textId="77777777">
      <w:pPr>
        <w:jc w:val="both"/>
        <w:rPr>
          <w:rFonts w:ascii="Arial" w:hAnsi="Arial"/>
          <w:sz w:val="24"/>
        </w:rPr>
      </w:pPr>
      <w:r w:rsidRPr="00D56658">
        <w:rPr>
          <w:rFonts w:ascii="Arial" w:hAnsi="Arial"/>
          <w:sz w:val="24"/>
        </w:rPr>
        <w:t xml:space="preserve">Table </w:t>
      </w:r>
      <w:r w:rsidR="00B10E87">
        <w:rPr>
          <w:rFonts w:ascii="Arial" w:hAnsi="Arial"/>
          <w:sz w:val="24"/>
        </w:rPr>
        <w:t>4</w:t>
      </w:r>
      <w:r w:rsidRPr="00D56658">
        <w:rPr>
          <w:rFonts w:ascii="Arial" w:hAnsi="Arial"/>
          <w:sz w:val="24"/>
        </w:rPr>
        <w:t xml:space="preserve"> calculates the processing hours and costs of this information collection to the Federal Government:</w:t>
      </w:r>
    </w:p>
    <w:p w:rsidR="00B765A5" w:rsidP="00B765A5" w14:paraId="3B032700" w14:textId="77777777">
      <w:pPr>
        <w:jc w:val="both"/>
        <w:rPr>
          <w:rFonts w:ascii="Arial" w:hAnsi="Arial"/>
          <w:sz w:val="24"/>
        </w:rPr>
      </w:pPr>
      <w:r>
        <w:rPr>
          <w:rFonts w:ascii="Arial" w:hAnsi="Arial"/>
          <w:sz w:val="24"/>
        </w:rPr>
        <w:t xml:space="preserve"> </w:t>
      </w:r>
    </w:p>
    <w:p w:rsidR="00B765A5" w:rsidRPr="00B10E87" w:rsidP="00B765A5" w14:paraId="02FBF303" w14:textId="6B3A1C93">
      <w:pPr>
        <w:pStyle w:val="Heading5"/>
        <w:rPr>
          <w:sz w:val="22"/>
          <w:szCs w:val="22"/>
        </w:rPr>
      </w:pPr>
      <w:r w:rsidRPr="00B10E87">
        <w:rPr>
          <w:sz w:val="22"/>
          <w:szCs w:val="22"/>
        </w:rPr>
        <w:t>Table 4:</w:t>
      </w:r>
      <w:r w:rsidR="001C51D2">
        <w:rPr>
          <w:sz w:val="22"/>
          <w:szCs w:val="22"/>
        </w:rPr>
        <w:t xml:space="preserve"> </w:t>
      </w:r>
      <w:r w:rsidRPr="00B10E87">
        <w:rPr>
          <w:sz w:val="22"/>
          <w:szCs w:val="22"/>
        </w:rPr>
        <w:t>Burden Hour/Cost to the Federal Government</w:t>
      </w:r>
    </w:p>
    <w:tbl>
      <w:tblPr>
        <w:tblpPr w:leftFromText="180" w:rightFromText="180" w:vertAnchor="text" w:horzAnchor="margin" w:tblpX="108" w:tblpY="7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710"/>
        <w:gridCol w:w="1260"/>
        <w:gridCol w:w="1260"/>
        <w:gridCol w:w="1530"/>
        <w:gridCol w:w="1134"/>
        <w:gridCol w:w="1476"/>
      </w:tblGrid>
      <w:tr w14:paraId="4E8CEE22" w14:textId="77777777" w:rsidTr="00D858ED">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82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1E6B9B" w:rsidP="001E6B9B" w14:paraId="16A65C8F" w14:textId="5046F3E1">
            <w:pPr>
              <w:jc w:val="center"/>
              <w:rPr>
                <w:rFonts w:ascii="Arial" w:hAnsi="Arial"/>
                <w:b/>
                <w:sz w:val="16"/>
              </w:rPr>
            </w:pPr>
            <w:r>
              <w:rPr>
                <w:rFonts w:ascii="Arial" w:hAnsi="Arial"/>
                <w:b/>
                <w:sz w:val="16"/>
              </w:rPr>
              <w:t>Item No.</w:t>
            </w:r>
          </w:p>
        </w:tc>
        <w:tc>
          <w:tcPr>
            <w:tcW w:w="171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1E6B9B" w:rsidP="001E6B9B" w14:paraId="0739A2B6" w14:textId="77777777">
            <w:pPr>
              <w:pStyle w:val="Heading9"/>
              <w:rPr>
                <w:sz w:val="16"/>
              </w:rPr>
            </w:pPr>
            <w:r>
              <w:rPr>
                <w:sz w:val="16"/>
              </w:rPr>
              <w:t>Item</w:t>
            </w:r>
          </w:p>
        </w:tc>
        <w:tc>
          <w:tcPr>
            <w:tcW w:w="12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1E6B9B" w:rsidP="001E6B9B" w14:paraId="1F1238CC" w14:textId="77777777">
            <w:pPr>
              <w:jc w:val="center"/>
              <w:rPr>
                <w:rFonts w:ascii="Arial" w:hAnsi="Arial"/>
                <w:b/>
                <w:sz w:val="16"/>
              </w:rPr>
            </w:pPr>
            <w:r>
              <w:rPr>
                <w:rFonts w:ascii="Arial" w:hAnsi="Arial"/>
                <w:b/>
                <w:sz w:val="16"/>
              </w:rPr>
              <w:t>Estimated Annual Responses</w:t>
            </w:r>
          </w:p>
          <w:p w:rsidR="001E6B9B" w:rsidP="001E6B9B" w14:paraId="37161656" w14:textId="7C9519EF">
            <w:pPr>
              <w:jc w:val="center"/>
              <w:rPr>
                <w:rFonts w:ascii="Arial" w:hAnsi="Arial"/>
                <w:b/>
                <w:sz w:val="16"/>
              </w:rPr>
            </w:pPr>
            <w:r>
              <w:rPr>
                <w:rFonts w:ascii="Arial" w:hAnsi="Arial"/>
                <w:b/>
                <w:sz w:val="16"/>
              </w:rPr>
              <w:t>(a)</w:t>
            </w:r>
          </w:p>
        </w:tc>
        <w:tc>
          <w:tcPr>
            <w:tcW w:w="12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1E6B9B" w:rsidP="001E6B9B" w14:paraId="4923D28B" w14:textId="765690A9">
            <w:pPr>
              <w:jc w:val="center"/>
              <w:rPr>
                <w:rFonts w:ascii="Arial" w:hAnsi="Arial"/>
                <w:b/>
                <w:sz w:val="16"/>
              </w:rPr>
            </w:pPr>
            <w:r>
              <w:rPr>
                <w:rFonts w:ascii="Arial" w:hAnsi="Arial"/>
                <w:b/>
                <w:sz w:val="16"/>
              </w:rPr>
              <w:t xml:space="preserve">Estimated </w:t>
            </w:r>
            <w:r w:rsidR="002559A9">
              <w:rPr>
                <w:rFonts w:ascii="Arial" w:hAnsi="Arial"/>
                <w:b/>
                <w:sz w:val="16"/>
              </w:rPr>
              <w:t>Burden H</w:t>
            </w:r>
            <w:r>
              <w:rPr>
                <w:rFonts w:ascii="Arial" w:hAnsi="Arial"/>
                <w:b/>
                <w:sz w:val="16"/>
              </w:rPr>
              <w:t>our</w:t>
            </w:r>
            <w:r w:rsidR="002559A9">
              <w:rPr>
                <w:rFonts w:ascii="Arial" w:hAnsi="Arial"/>
                <w:b/>
                <w:sz w:val="16"/>
              </w:rPr>
              <w:t>s</w:t>
            </w:r>
          </w:p>
          <w:p w:rsidR="001E6B9B" w:rsidP="001E6B9B" w14:paraId="7E5101B3" w14:textId="59288328">
            <w:pPr>
              <w:jc w:val="center"/>
              <w:rPr>
                <w:rFonts w:ascii="Arial" w:hAnsi="Arial"/>
                <w:b/>
                <w:sz w:val="16"/>
              </w:rPr>
            </w:pPr>
            <w:r>
              <w:rPr>
                <w:rFonts w:ascii="Arial" w:hAnsi="Arial"/>
                <w:b/>
                <w:sz w:val="16"/>
              </w:rPr>
              <w:t>(b)</w:t>
            </w:r>
          </w:p>
        </w:tc>
        <w:tc>
          <w:tcPr>
            <w:tcW w:w="15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1E6B9B" w:rsidP="001E6B9B" w14:paraId="62ED4E7F" w14:textId="6B66ADCA">
            <w:pPr>
              <w:jc w:val="center"/>
              <w:rPr>
                <w:rFonts w:ascii="Arial" w:hAnsi="Arial"/>
                <w:b/>
                <w:sz w:val="16"/>
              </w:rPr>
            </w:pPr>
            <w:r>
              <w:rPr>
                <w:rFonts w:ascii="Arial" w:hAnsi="Arial"/>
                <w:b/>
                <w:sz w:val="16"/>
              </w:rPr>
              <w:t>Estimated Hour</w:t>
            </w:r>
            <w:r w:rsidR="00177861">
              <w:rPr>
                <w:rFonts w:ascii="Arial" w:hAnsi="Arial"/>
                <w:b/>
                <w:sz w:val="16"/>
              </w:rPr>
              <w:t>ly Burden</w:t>
            </w:r>
          </w:p>
          <w:p w:rsidR="001E6B9B" w:rsidP="001E6B9B" w14:paraId="44E939ED" w14:textId="5D2621BB">
            <w:pPr>
              <w:jc w:val="center"/>
              <w:rPr>
                <w:rFonts w:ascii="Arial" w:hAnsi="Arial"/>
                <w:b/>
                <w:sz w:val="16"/>
              </w:rPr>
            </w:pPr>
            <w:r>
              <w:rPr>
                <w:rFonts w:ascii="Arial" w:hAnsi="Arial"/>
                <w:b/>
                <w:sz w:val="16"/>
              </w:rPr>
              <w:t>(a) x (b) = (c)</w:t>
            </w:r>
          </w:p>
        </w:tc>
        <w:tc>
          <w:tcPr>
            <w:tcW w:w="113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1E6B9B" w:rsidP="001E6B9B" w14:paraId="42600021" w14:textId="224E766C">
            <w:pPr>
              <w:jc w:val="center"/>
              <w:rPr>
                <w:rFonts w:ascii="Arial" w:hAnsi="Arial"/>
                <w:b/>
                <w:sz w:val="16"/>
              </w:rPr>
            </w:pPr>
            <w:r>
              <w:rPr>
                <w:rFonts w:ascii="Arial" w:hAnsi="Arial"/>
                <w:b/>
                <w:sz w:val="16"/>
              </w:rPr>
              <w:t>Rate</w:t>
            </w:r>
            <w:r>
              <w:rPr>
                <w:rFonts w:ascii="Arial" w:hAnsi="Arial"/>
                <w:b/>
                <w:sz w:val="16"/>
                <w:vertAlign w:val="superscript"/>
              </w:rPr>
              <w:footnoteReference w:id="5"/>
            </w:r>
          </w:p>
          <w:p w:rsidR="001E6B9B" w:rsidP="001E6B9B" w14:paraId="77F1D351" w14:textId="77777777">
            <w:pPr>
              <w:jc w:val="center"/>
              <w:rPr>
                <w:rFonts w:ascii="Arial" w:hAnsi="Arial"/>
                <w:b/>
                <w:sz w:val="16"/>
              </w:rPr>
            </w:pPr>
            <w:r>
              <w:rPr>
                <w:rFonts w:ascii="Arial" w:hAnsi="Arial"/>
                <w:b/>
                <w:sz w:val="16"/>
              </w:rPr>
              <w:t>($/hr)</w:t>
            </w:r>
          </w:p>
          <w:p w:rsidR="001E6B9B" w:rsidP="001E6B9B" w14:paraId="1344C8C2" w14:textId="77777777">
            <w:pPr>
              <w:jc w:val="center"/>
              <w:rPr>
                <w:rFonts w:ascii="Arial" w:hAnsi="Arial"/>
                <w:b/>
                <w:sz w:val="16"/>
              </w:rPr>
            </w:pPr>
          </w:p>
          <w:p w:rsidR="001E6B9B" w:rsidP="001E6B9B" w14:paraId="50D6778B" w14:textId="77777777">
            <w:pPr>
              <w:jc w:val="center"/>
              <w:rPr>
                <w:rFonts w:ascii="Arial" w:hAnsi="Arial"/>
                <w:b/>
                <w:sz w:val="16"/>
              </w:rPr>
            </w:pPr>
            <w:r>
              <w:rPr>
                <w:rFonts w:ascii="Arial" w:hAnsi="Arial"/>
                <w:b/>
                <w:sz w:val="16"/>
              </w:rPr>
              <w:t>(d)</w:t>
            </w:r>
          </w:p>
        </w:tc>
        <w:tc>
          <w:tcPr>
            <w:tcW w:w="147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1E6B9B" w:rsidP="001E6B9B" w14:paraId="4EB4EAC2" w14:textId="6B554F2B">
            <w:pPr>
              <w:jc w:val="center"/>
              <w:rPr>
                <w:rFonts w:ascii="Arial" w:hAnsi="Arial"/>
                <w:b/>
                <w:sz w:val="16"/>
              </w:rPr>
            </w:pPr>
            <w:r>
              <w:rPr>
                <w:rFonts w:ascii="Arial" w:hAnsi="Arial"/>
                <w:b/>
                <w:sz w:val="16"/>
              </w:rPr>
              <w:t xml:space="preserve">Total </w:t>
            </w:r>
            <w:r w:rsidR="00177861">
              <w:rPr>
                <w:rFonts w:ascii="Arial" w:hAnsi="Arial"/>
                <w:b/>
                <w:sz w:val="16"/>
              </w:rPr>
              <w:t xml:space="preserve">Federal </w:t>
            </w:r>
            <w:r>
              <w:rPr>
                <w:rFonts w:ascii="Arial" w:hAnsi="Arial"/>
                <w:b/>
                <w:sz w:val="16"/>
              </w:rPr>
              <w:t>Government</w:t>
            </w:r>
          </w:p>
          <w:p w:rsidR="001E6B9B" w:rsidP="001E6B9B" w14:paraId="0D9EF776" w14:textId="1AE8ECCF">
            <w:pPr>
              <w:jc w:val="center"/>
              <w:rPr>
                <w:rFonts w:ascii="Arial" w:hAnsi="Arial"/>
                <w:b/>
                <w:sz w:val="16"/>
              </w:rPr>
            </w:pPr>
            <w:r>
              <w:rPr>
                <w:rFonts w:ascii="Arial" w:hAnsi="Arial"/>
                <w:b/>
                <w:sz w:val="16"/>
              </w:rPr>
              <w:t>Cost</w:t>
            </w:r>
          </w:p>
          <w:p w:rsidR="001E6B9B" w:rsidP="001E6B9B" w14:paraId="26881B52" w14:textId="77777777">
            <w:pPr>
              <w:jc w:val="center"/>
              <w:rPr>
                <w:rFonts w:ascii="Arial" w:hAnsi="Arial"/>
                <w:b/>
                <w:sz w:val="16"/>
              </w:rPr>
            </w:pPr>
            <w:r>
              <w:rPr>
                <w:rFonts w:ascii="Arial" w:hAnsi="Arial"/>
                <w:b/>
                <w:sz w:val="16"/>
              </w:rPr>
              <w:t>(c) x (d) = (e)</w:t>
            </w:r>
          </w:p>
        </w:tc>
      </w:tr>
      <w:tr w14:paraId="05A750AD" w14:textId="77777777" w:rsidTr="00D858ED">
        <w:tblPrEx>
          <w:tblW w:w="9198" w:type="dxa"/>
          <w:tblLayout w:type="fixed"/>
          <w:tblLook w:val="0000"/>
        </w:tblPrEx>
        <w:trPr>
          <w:cantSplit/>
          <w:tblHeader/>
        </w:trPr>
        <w:tc>
          <w:tcPr>
            <w:tcW w:w="828" w:type="dxa"/>
            <w:vAlign w:val="center"/>
          </w:tcPr>
          <w:p w:rsidR="008C5F8F" w:rsidRPr="00B10E87" w:rsidP="0034688D" w14:paraId="643E18D8" w14:textId="77777777">
            <w:pPr>
              <w:jc w:val="center"/>
              <w:rPr>
                <w:rFonts w:ascii="Arial" w:hAnsi="Arial"/>
                <w:b/>
                <w:bCs/>
                <w:sz w:val="16"/>
              </w:rPr>
            </w:pPr>
            <w:r w:rsidRPr="00B10E87">
              <w:rPr>
                <w:rFonts w:ascii="Arial" w:hAnsi="Arial"/>
                <w:b/>
                <w:bCs/>
                <w:sz w:val="16"/>
              </w:rPr>
              <w:t>1</w:t>
            </w:r>
          </w:p>
        </w:tc>
        <w:tc>
          <w:tcPr>
            <w:tcW w:w="1710" w:type="dxa"/>
            <w:vAlign w:val="center"/>
          </w:tcPr>
          <w:p w:rsidR="008C5F8F" w:rsidP="00D858ED" w14:paraId="3D4BF494" w14:textId="5BF57147">
            <w:pPr>
              <w:rPr>
                <w:rFonts w:ascii="Arial" w:hAnsi="Arial"/>
                <w:bCs/>
                <w:sz w:val="16"/>
              </w:rPr>
            </w:pPr>
            <w:r>
              <w:rPr>
                <w:rFonts w:ascii="Arial" w:hAnsi="Arial"/>
                <w:sz w:val="16"/>
              </w:rPr>
              <w:t>Patent Pro Bono Survey (</w:t>
            </w:r>
            <w:r w:rsidR="004B739D">
              <w:rPr>
                <w:rFonts w:ascii="Arial" w:hAnsi="Arial" w:cs="Arial"/>
                <w:sz w:val="16"/>
              </w:rPr>
              <w:t>US</w:t>
            </w:r>
            <w:r w:rsidRPr="00D06736" w:rsidR="004B739D">
              <w:rPr>
                <w:rFonts w:ascii="Arial" w:hAnsi="Arial" w:cs="Arial"/>
                <w:sz w:val="16"/>
              </w:rPr>
              <w:t>PTO</w:t>
            </w:r>
            <w:r w:rsidR="004B739D">
              <w:rPr>
                <w:rFonts w:ascii="Arial" w:hAnsi="Arial" w:cs="Arial"/>
                <w:sz w:val="16"/>
              </w:rPr>
              <w:t>/</w:t>
            </w:r>
            <w:r w:rsidRPr="007F5B0B" w:rsidR="004B739D">
              <w:rPr>
                <w:rFonts w:ascii="Arial" w:hAnsi="Arial" w:cs="Arial"/>
                <w:sz w:val="16"/>
              </w:rPr>
              <w:t>5</w:t>
            </w:r>
            <w:r w:rsidRPr="00556F7C" w:rsidR="004B739D">
              <w:rPr>
                <w:rFonts w:ascii="Arial" w:hAnsi="Arial" w:cs="Arial"/>
                <w:sz w:val="16"/>
              </w:rPr>
              <w:t>50</w:t>
            </w:r>
            <w:r>
              <w:rPr>
                <w:rFonts w:ascii="Arial" w:hAnsi="Arial"/>
                <w:sz w:val="16"/>
              </w:rPr>
              <w:t>)</w:t>
            </w:r>
          </w:p>
        </w:tc>
        <w:tc>
          <w:tcPr>
            <w:tcW w:w="1260" w:type="dxa"/>
            <w:vAlign w:val="center"/>
          </w:tcPr>
          <w:p w:rsidR="008C5F8F" w:rsidP="4C607349" w14:paraId="3BBCC0F1" w14:textId="617468D6">
            <w:pPr>
              <w:jc w:val="right"/>
              <w:rPr>
                <w:rFonts w:ascii="Arial" w:hAnsi="Arial"/>
                <w:sz w:val="16"/>
                <w:szCs w:val="16"/>
              </w:rPr>
            </w:pPr>
            <w:r w:rsidRPr="4C607349">
              <w:rPr>
                <w:rFonts w:ascii="Arial" w:hAnsi="Arial"/>
                <w:sz w:val="16"/>
                <w:szCs w:val="16"/>
              </w:rPr>
              <w:t>8</w:t>
            </w:r>
            <w:r w:rsidR="006E062C">
              <w:rPr>
                <w:rFonts w:ascii="Arial" w:hAnsi="Arial"/>
                <w:sz w:val="16"/>
                <w:szCs w:val="16"/>
              </w:rPr>
              <w:t>8</w:t>
            </w:r>
          </w:p>
        </w:tc>
        <w:tc>
          <w:tcPr>
            <w:tcW w:w="1260" w:type="dxa"/>
            <w:vAlign w:val="center"/>
          </w:tcPr>
          <w:p w:rsidR="008C5F8F" w:rsidP="0003279B" w14:paraId="6A7D21AB" w14:textId="3F8A9FF0">
            <w:pPr>
              <w:jc w:val="right"/>
              <w:rPr>
                <w:rFonts w:ascii="Arial" w:hAnsi="Arial"/>
                <w:sz w:val="16"/>
              </w:rPr>
            </w:pPr>
            <w:r>
              <w:rPr>
                <w:rFonts w:ascii="Arial" w:hAnsi="Arial"/>
                <w:sz w:val="16"/>
              </w:rPr>
              <w:t>1</w:t>
            </w:r>
          </w:p>
        </w:tc>
        <w:tc>
          <w:tcPr>
            <w:tcW w:w="1530" w:type="dxa"/>
            <w:vAlign w:val="center"/>
          </w:tcPr>
          <w:p w:rsidR="008C5F8F" w:rsidP="4C607349" w14:paraId="102778C5" w14:textId="35A90897">
            <w:pPr>
              <w:jc w:val="right"/>
              <w:rPr>
                <w:rFonts w:ascii="Arial" w:hAnsi="Arial"/>
                <w:sz w:val="16"/>
                <w:szCs w:val="16"/>
              </w:rPr>
            </w:pPr>
            <w:r w:rsidRPr="4C607349">
              <w:rPr>
                <w:rFonts w:ascii="Arial" w:hAnsi="Arial"/>
                <w:sz w:val="16"/>
                <w:szCs w:val="16"/>
              </w:rPr>
              <w:t>8</w:t>
            </w:r>
            <w:r w:rsidR="006E062C">
              <w:rPr>
                <w:rFonts w:ascii="Arial" w:hAnsi="Arial"/>
                <w:sz w:val="16"/>
                <w:szCs w:val="16"/>
              </w:rPr>
              <w:t>8</w:t>
            </w:r>
          </w:p>
        </w:tc>
        <w:tc>
          <w:tcPr>
            <w:tcW w:w="1134" w:type="dxa"/>
            <w:vAlign w:val="center"/>
          </w:tcPr>
          <w:p w:rsidR="008C5F8F" w:rsidP="0003279B" w14:paraId="5550C581" w14:textId="77777777">
            <w:pPr>
              <w:jc w:val="right"/>
              <w:rPr>
                <w:rFonts w:ascii="Arial" w:hAnsi="Arial"/>
                <w:sz w:val="16"/>
              </w:rPr>
            </w:pPr>
          </w:p>
          <w:p w:rsidR="008C5F8F" w:rsidRPr="00CC1A1E" w:rsidP="4C607349" w14:paraId="16B5B896" w14:textId="74B0CC5D">
            <w:pPr>
              <w:jc w:val="right"/>
              <w:rPr>
                <w:rFonts w:ascii="Arial" w:hAnsi="Arial"/>
                <w:sz w:val="16"/>
                <w:szCs w:val="16"/>
              </w:rPr>
            </w:pPr>
            <w:r w:rsidRPr="00CC1A1E">
              <w:rPr>
                <w:rFonts w:ascii="Arial" w:hAnsi="Arial"/>
                <w:sz w:val="16"/>
                <w:szCs w:val="16"/>
              </w:rPr>
              <w:t>$</w:t>
            </w:r>
            <w:r w:rsidRPr="00CC1A1E" w:rsidR="1061CF29">
              <w:rPr>
                <w:rFonts w:ascii="Arial" w:hAnsi="Arial"/>
                <w:sz w:val="16"/>
                <w:szCs w:val="16"/>
              </w:rPr>
              <w:t>102.22</w:t>
            </w:r>
          </w:p>
          <w:p w:rsidR="008C5F8F" w:rsidP="0003279B" w14:paraId="54771A59" w14:textId="77777777">
            <w:pPr>
              <w:jc w:val="right"/>
              <w:rPr>
                <w:rFonts w:ascii="Arial" w:hAnsi="Arial"/>
                <w:sz w:val="16"/>
              </w:rPr>
            </w:pPr>
          </w:p>
        </w:tc>
        <w:tc>
          <w:tcPr>
            <w:tcW w:w="1476" w:type="dxa"/>
            <w:vAlign w:val="center"/>
          </w:tcPr>
          <w:p w:rsidR="008C5F8F" w:rsidP="4C607349" w14:paraId="7D88D6D9" w14:textId="1F41DE4A">
            <w:pPr>
              <w:jc w:val="right"/>
              <w:rPr>
                <w:rFonts w:ascii="Arial" w:hAnsi="Arial"/>
                <w:sz w:val="16"/>
                <w:szCs w:val="16"/>
              </w:rPr>
            </w:pPr>
            <w:r w:rsidRPr="4C607349">
              <w:rPr>
                <w:rFonts w:ascii="Arial" w:hAnsi="Arial"/>
                <w:sz w:val="16"/>
                <w:szCs w:val="16"/>
              </w:rPr>
              <w:t>$</w:t>
            </w:r>
            <w:r w:rsidRPr="4C607349" w:rsidR="10886F37">
              <w:rPr>
                <w:rFonts w:ascii="Arial" w:hAnsi="Arial"/>
                <w:sz w:val="16"/>
                <w:szCs w:val="16"/>
              </w:rPr>
              <w:t>8,</w:t>
            </w:r>
            <w:r w:rsidR="00C62B22">
              <w:rPr>
                <w:rFonts w:ascii="Arial" w:hAnsi="Arial"/>
                <w:sz w:val="16"/>
                <w:szCs w:val="16"/>
              </w:rPr>
              <w:t>995</w:t>
            </w:r>
          </w:p>
        </w:tc>
      </w:tr>
      <w:tr w14:paraId="3CE42103" w14:textId="77777777" w:rsidTr="00D858ED">
        <w:tblPrEx>
          <w:tblW w:w="9198" w:type="dxa"/>
          <w:tblLayout w:type="fixed"/>
          <w:tblLook w:val="0000"/>
        </w:tblPrEx>
        <w:trPr>
          <w:cantSplit/>
          <w:tblHeader/>
        </w:trPr>
        <w:tc>
          <w:tcPr>
            <w:tcW w:w="828" w:type="dxa"/>
            <w:vAlign w:val="center"/>
          </w:tcPr>
          <w:p w:rsidR="00A31382" w:rsidRPr="000718D1" w:rsidP="0034688D" w14:paraId="23D37E3C" w14:textId="388C4EA7">
            <w:pPr>
              <w:jc w:val="center"/>
              <w:rPr>
                <w:rFonts w:ascii="Arial" w:hAnsi="Arial"/>
                <w:b/>
                <w:bCs/>
                <w:sz w:val="16"/>
              </w:rPr>
            </w:pPr>
            <w:r>
              <w:rPr>
                <w:rFonts w:ascii="Arial" w:hAnsi="Arial"/>
                <w:b/>
                <w:bCs/>
                <w:sz w:val="16"/>
              </w:rPr>
              <w:t>2</w:t>
            </w:r>
          </w:p>
        </w:tc>
        <w:tc>
          <w:tcPr>
            <w:tcW w:w="1710" w:type="dxa"/>
            <w:vAlign w:val="center"/>
          </w:tcPr>
          <w:p w:rsidR="00A31382" w:rsidP="00D858ED" w14:paraId="039E97A5" w14:textId="29C81336">
            <w:pPr>
              <w:rPr>
                <w:rFonts w:ascii="Arial" w:hAnsi="Arial"/>
                <w:bCs/>
                <w:sz w:val="16"/>
              </w:rPr>
            </w:pPr>
            <w:r>
              <w:rPr>
                <w:rFonts w:ascii="Arial" w:hAnsi="Arial"/>
                <w:bCs/>
                <w:sz w:val="16"/>
              </w:rPr>
              <w:t>PTAB Pro Bono Survey (</w:t>
            </w:r>
            <w:r w:rsidR="004B739D">
              <w:rPr>
                <w:rFonts w:ascii="Arial" w:hAnsi="Arial" w:cs="Arial"/>
                <w:sz w:val="16"/>
              </w:rPr>
              <w:t>US</w:t>
            </w:r>
            <w:r w:rsidRPr="00D06736" w:rsidR="004B739D">
              <w:rPr>
                <w:rFonts w:ascii="Arial" w:hAnsi="Arial" w:cs="Arial"/>
                <w:sz w:val="16"/>
              </w:rPr>
              <w:t>PTO</w:t>
            </w:r>
            <w:r w:rsidR="004B739D">
              <w:rPr>
                <w:rFonts w:ascii="Arial" w:hAnsi="Arial" w:cs="Arial"/>
                <w:sz w:val="16"/>
              </w:rPr>
              <w:t>/</w:t>
            </w:r>
            <w:r w:rsidRPr="007F5B0B" w:rsidR="004B739D">
              <w:rPr>
                <w:rFonts w:ascii="Arial" w:hAnsi="Arial" w:cs="Arial"/>
                <w:sz w:val="16"/>
              </w:rPr>
              <w:t>5</w:t>
            </w:r>
            <w:r w:rsidRPr="00556F7C" w:rsidR="004B739D">
              <w:rPr>
                <w:rFonts w:ascii="Arial" w:hAnsi="Arial" w:cs="Arial"/>
                <w:sz w:val="16"/>
              </w:rPr>
              <w:t>5</w:t>
            </w:r>
            <w:r w:rsidR="004B739D">
              <w:rPr>
                <w:rFonts w:ascii="Arial" w:hAnsi="Arial" w:cs="Arial"/>
                <w:sz w:val="16"/>
              </w:rPr>
              <w:t>2</w:t>
            </w:r>
            <w:r>
              <w:rPr>
                <w:rFonts w:ascii="Arial" w:hAnsi="Arial"/>
                <w:bCs/>
                <w:sz w:val="16"/>
              </w:rPr>
              <w:t>)</w:t>
            </w:r>
          </w:p>
        </w:tc>
        <w:tc>
          <w:tcPr>
            <w:tcW w:w="1260" w:type="dxa"/>
            <w:vAlign w:val="center"/>
          </w:tcPr>
          <w:p w:rsidR="00A31382" w14:paraId="762C523B" w14:textId="79B22F50">
            <w:pPr>
              <w:jc w:val="right"/>
              <w:rPr>
                <w:rFonts w:ascii="Arial" w:eastAsia="Arial" w:hAnsi="Arial" w:cs="Arial"/>
                <w:sz w:val="16"/>
                <w:szCs w:val="16"/>
              </w:rPr>
            </w:pPr>
            <w:r w:rsidRPr="6F620DDE">
              <w:rPr>
                <w:rFonts w:ascii="Arial" w:hAnsi="Arial"/>
                <w:sz w:val="16"/>
                <w:szCs w:val="16"/>
              </w:rPr>
              <w:t>1</w:t>
            </w:r>
          </w:p>
        </w:tc>
        <w:tc>
          <w:tcPr>
            <w:tcW w:w="1260" w:type="dxa"/>
            <w:vAlign w:val="center"/>
          </w:tcPr>
          <w:p w:rsidR="00A31382" w:rsidP="0003279B" w14:paraId="1D5B919B" w14:textId="5D541E2D">
            <w:pPr>
              <w:jc w:val="right"/>
              <w:rPr>
                <w:rFonts w:ascii="Arial" w:hAnsi="Arial"/>
                <w:sz w:val="16"/>
              </w:rPr>
            </w:pPr>
            <w:r>
              <w:rPr>
                <w:rFonts w:ascii="Arial" w:hAnsi="Arial"/>
                <w:sz w:val="16"/>
              </w:rPr>
              <w:t>1</w:t>
            </w:r>
          </w:p>
        </w:tc>
        <w:tc>
          <w:tcPr>
            <w:tcW w:w="1530" w:type="dxa"/>
            <w:vAlign w:val="center"/>
          </w:tcPr>
          <w:p w:rsidR="00A31382" w:rsidP="6F620DDE" w14:paraId="5CED97A3" w14:textId="43CDF750">
            <w:pPr>
              <w:jc w:val="right"/>
              <w:rPr>
                <w:rFonts w:ascii="Arial" w:hAnsi="Arial"/>
                <w:sz w:val="16"/>
                <w:szCs w:val="16"/>
              </w:rPr>
            </w:pPr>
            <w:r w:rsidRPr="6F620DDE">
              <w:rPr>
                <w:rFonts w:ascii="Arial" w:hAnsi="Arial"/>
                <w:sz w:val="16"/>
                <w:szCs w:val="16"/>
              </w:rPr>
              <w:t>1</w:t>
            </w:r>
          </w:p>
        </w:tc>
        <w:tc>
          <w:tcPr>
            <w:tcW w:w="1134" w:type="dxa"/>
            <w:vAlign w:val="center"/>
          </w:tcPr>
          <w:p w:rsidR="00A31382" w:rsidP="0003279B" w14:paraId="21DF2820" w14:textId="10FF7D60">
            <w:pPr>
              <w:jc w:val="right"/>
              <w:rPr>
                <w:rFonts w:ascii="Arial" w:hAnsi="Arial"/>
                <w:sz w:val="16"/>
              </w:rPr>
            </w:pPr>
            <w:r>
              <w:rPr>
                <w:rFonts w:ascii="Arial" w:hAnsi="Arial"/>
                <w:sz w:val="16"/>
              </w:rPr>
              <w:t>$</w:t>
            </w:r>
            <w:r w:rsidR="009134B1">
              <w:rPr>
                <w:rFonts w:ascii="Arial" w:hAnsi="Arial"/>
                <w:sz w:val="16"/>
              </w:rPr>
              <w:t>102.22</w:t>
            </w:r>
          </w:p>
        </w:tc>
        <w:tc>
          <w:tcPr>
            <w:tcW w:w="1476" w:type="dxa"/>
            <w:vAlign w:val="center"/>
          </w:tcPr>
          <w:p w:rsidR="00A31382" w:rsidP="6F620DDE" w14:paraId="09131A49" w14:textId="4F959D97">
            <w:pPr>
              <w:jc w:val="right"/>
              <w:rPr>
                <w:rFonts w:ascii="Arial" w:hAnsi="Arial"/>
                <w:sz w:val="16"/>
                <w:szCs w:val="16"/>
              </w:rPr>
            </w:pPr>
            <w:r w:rsidRPr="6F620DDE">
              <w:rPr>
                <w:rFonts w:ascii="Arial" w:hAnsi="Arial"/>
                <w:sz w:val="16"/>
                <w:szCs w:val="16"/>
              </w:rPr>
              <w:t>$</w:t>
            </w:r>
            <w:r w:rsidRPr="6F620DDE" w:rsidR="5CFA2ABA">
              <w:rPr>
                <w:rFonts w:ascii="Arial" w:hAnsi="Arial"/>
                <w:sz w:val="16"/>
                <w:szCs w:val="16"/>
              </w:rPr>
              <w:t>102</w:t>
            </w:r>
          </w:p>
        </w:tc>
      </w:tr>
      <w:tr w14:paraId="20BF5D6E" w14:textId="77777777" w:rsidTr="00D858ED">
        <w:tblPrEx>
          <w:tblW w:w="9198" w:type="dxa"/>
          <w:tblLayout w:type="fixed"/>
          <w:tblLook w:val="0000"/>
        </w:tblPrEx>
        <w:trPr>
          <w:cantSplit/>
          <w:tblHeader/>
        </w:trPr>
        <w:tc>
          <w:tcPr>
            <w:tcW w:w="828" w:type="dxa"/>
            <w:vAlign w:val="center"/>
          </w:tcPr>
          <w:p w:rsidR="001E6B9B" w:rsidP="0034688D" w14:paraId="7ECEAA7A" w14:textId="77777777">
            <w:pPr>
              <w:rPr>
                <w:rFonts w:ascii="Arial" w:hAnsi="Arial"/>
                <w:b/>
                <w:sz w:val="16"/>
              </w:rPr>
            </w:pPr>
          </w:p>
        </w:tc>
        <w:tc>
          <w:tcPr>
            <w:tcW w:w="1710" w:type="dxa"/>
            <w:vAlign w:val="center"/>
          </w:tcPr>
          <w:p w:rsidR="001E6B9B" w:rsidP="0034688D" w14:paraId="596EFBE9" w14:textId="1BF713A4">
            <w:pPr>
              <w:spacing w:before="120" w:after="120"/>
              <w:rPr>
                <w:rFonts w:ascii="Arial" w:hAnsi="Arial"/>
                <w:b/>
                <w:sz w:val="16"/>
              </w:rPr>
            </w:pPr>
            <w:r>
              <w:rPr>
                <w:rFonts w:ascii="Arial" w:hAnsi="Arial"/>
                <w:b/>
                <w:sz w:val="16"/>
              </w:rPr>
              <w:t>Total</w:t>
            </w:r>
            <w:r w:rsidR="00CC1A1E">
              <w:rPr>
                <w:rFonts w:ascii="Arial" w:hAnsi="Arial"/>
                <w:b/>
                <w:sz w:val="16"/>
              </w:rPr>
              <w:t>s</w:t>
            </w:r>
          </w:p>
        </w:tc>
        <w:tc>
          <w:tcPr>
            <w:tcW w:w="1260" w:type="dxa"/>
            <w:vAlign w:val="center"/>
          </w:tcPr>
          <w:p w:rsidR="001E6B9B" w:rsidRPr="0077253D" w14:paraId="72BCDAF7" w14:textId="2CA2E426">
            <w:pPr>
              <w:spacing w:before="120" w:after="120"/>
              <w:jc w:val="right"/>
              <w:rPr>
                <w:rFonts w:ascii="Arial" w:hAnsi="Arial"/>
                <w:b/>
                <w:bCs/>
                <w:sz w:val="16"/>
                <w:szCs w:val="16"/>
              </w:rPr>
            </w:pPr>
            <w:r w:rsidRPr="6F620DDE">
              <w:rPr>
                <w:rFonts w:ascii="Arial" w:hAnsi="Arial"/>
                <w:b/>
                <w:bCs/>
                <w:sz w:val="16"/>
                <w:szCs w:val="16"/>
              </w:rPr>
              <w:t>8</w:t>
            </w:r>
            <w:r w:rsidR="006E062C">
              <w:rPr>
                <w:rFonts w:ascii="Arial" w:hAnsi="Arial"/>
                <w:b/>
                <w:bCs/>
                <w:sz w:val="16"/>
                <w:szCs w:val="16"/>
              </w:rPr>
              <w:t>9</w:t>
            </w:r>
          </w:p>
        </w:tc>
        <w:tc>
          <w:tcPr>
            <w:tcW w:w="1260" w:type="dxa"/>
            <w:vAlign w:val="center"/>
          </w:tcPr>
          <w:p w:rsidR="001E6B9B" w:rsidRPr="0077253D" w:rsidP="0003279B" w14:paraId="11C30193" w14:textId="2F1B6FF0">
            <w:pPr>
              <w:spacing w:before="120" w:after="120"/>
              <w:jc w:val="right"/>
              <w:rPr>
                <w:rFonts w:ascii="Arial" w:hAnsi="Arial"/>
                <w:b/>
                <w:sz w:val="16"/>
              </w:rPr>
            </w:pPr>
            <w:r w:rsidRPr="0077253D">
              <w:rPr>
                <w:rFonts w:ascii="Arial" w:hAnsi="Arial"/>
                <w:b/>
                <w:sz w:val="16"/>
              </w:rPr>
              <w:t xml:space="preserve"> - - -</w:t>
            </w:r>
          </w:p>
        </w:tc>
        <w:tc>
          <w:tcPr>
            <w:tcW w:w="1530" w:type="dxa"/>
            <w:vAlign w:val="center"/>
          </w:tcPr>
          <w:p w:rsidR="001E6B9B" w:rsidRPr="0077253D" w14:paraId="46E208AE" w14:textId="16B8286D">
            <w:pPr>
              <w:spacing w:before="120" w:after="120"/>
              <w:jc w:val="right"/>
              <w:rPr>
                <w:rFonts w:ascii="Arial" w:hAnsi="Arial"/>
                <w:b/>
                <w:bCs/>
                <w:sz w:val="16"/>
                <w:szCs w:val="16"/>
              </w:rPr>
            </w:pPr>
            <w:r w:rsidRPr="6F620DDE">
              <w:rPr>
                <w:rFonts w:ascii="Arial" w:hAnsi="Arial"/>
                <w:b/>
                <w:bCs/>
                <w:sz w:val="16"/>
                <w:szCs w:val="16"/>
              </w:rPr>
              <w:t>8</w:t>
            </w:r>
            <w:r w:rsidR="006E062C">
              <w:rPr>
                <w:rFonts w:ascii="Arial" w:hAnsi="Arial"/>
                <w:b/>
                <w:bCs/>
                <w:sz w:val="16"/>
                <w:szCs w:val="16"/>
              </w:rPr>
              <w:t>9</w:t>
            </w:r>
          </w:p>
        </w:tc>
        <w:tc>
          <w:tcPr>
            <w:tcW w:w="1134" w:type="dxa"/>
            <w:vAlign w:val="center"/>
          </w:tcPr>
          <w:p w:rsidR="001E6B9B" w:rsidRPr="0077253D" w:rsidP="0003279B" w14:paraId="6873C324" w14:textId="4AA20395">
            <w:pPr>
              <w:spacing w:before="120" w:after="120"/>
              <w:jc w:val="right"/>
              <w:rPr>
                <w:rFonts w:ascii="Arial" w:hAnsi="Arial"/>
                <w:b/>
                <w:sz w:val="16"/>
              </w:rPr>
            </w:pPr>
            <w:r w:rsidRPr="0077253D">
              <w:rPr>
                <w:rFonts w:ascii="Arial" w:hAnsi="Arial"/>
                <w:b/>
                <w:sz w:val="16"/>
              </w:rPr>
              <w:t>- - -</w:t>
            </w:r>
          </w:p>
        </w:tc>
        <w:tc>
          <w:tcPr>
            <w:tcW w:w="1476" w:type="dxa"/>
            <w:vAlign w:val="center"/>
          </w:tcPr>
          <w:p w:rsidR="001E6B9B" w:rsidRPr="0077253D" w:rsidP="4C607349" w14:paraId="3C122FC5" w14:textId="493899E0">
            <w:pPr>
              <w:spacing w:before="120" w:after="120"/>
              <w:jc w:val="right"/>
              <w:rPr>
                <w:rFonts w:ascii="Arial" w:hAnsi="Arial"/>
                <w:b/>
                <w:bCs/>
                <w:sz w:val="16"/>
                <w:szCs w:val="16"/>
              </w:rPr>
            </w:pPr>
            <w:r w:rsidRPr="6F620DDE">
              <w:rPr>
                <w:rFonts w:ascii="Arial" w:hAnsi="Arial"/>
                <w:b/>
                <w:bCs/>
                <w:sz w:val="16"/>
                <w:szCs w:val="16"/>
              </w:rPr>
              <w:t>$</w:t>
            </w:r>
            <w:r w:rsidR="00E86B92">
              <w:rPr>
                <w:rFonts w:ascii="Arial" w:hAnsi="Arial"/>
                <w:b/>
                <w:bCs/>
                <w:sz w:val="16"/>
                <w:szCs w:val="16"/>
              </w:rPr>
              <w:t>9,097</w:t>
            </w:r>
          </w:p>
        </w:tc>
      </w:tr>
    </w:tbl>
    <w:p w:rsidR="00B765A5" w:rsidP="00B765A5" w14:paraId="1B8BFEDC" w14:textId="77777777">
      <w:pPr>
        <w:jc w:val="both"/>
        <w:rPr>
          <w:rFonts w:ascii="Arial" w:hAnsi="Arial"/>
          <w:sz w:val="24"/>
        </w:rPr>
      </w:pPr>
    </w:p>
    <w:p w:rsidR="00EB0D6D" w:rsidRPr="00E13F60" w:rsidP="00E13F60" w14:paraId="6812DF1D" w14:textId="18AE3F44">
      <w:pPr>
        <w:pStyle w:val="ListParagraph"/>
        <w:numPr>
          <w:ilvl w:val="0"/>
          <w:numId w:val="10"/>
        </w:numPr>
        <w:jc w:val="both"/>
        <w:rPr>
          <w:rFonts w:ascii="Arial" w:hAnsi="Arial"/>
          <w:b/>
          <w:sz w:val="24"/>
        </w:rPr>
      </w:pPr>
      <w:r>
        <w:rPr>
          <w:rFonts w:ascii="Arial" w:hAnsi="Arial"/>
          <w:b/>
          <w:sz w:val="24"/>
        </w:rPr>
        <w:t xml:space="preserve"> </w:t>
      </w:r>
      <w:r w:rsidRPr="00CC0062">
        <w:rPr>
          <w:rFonts w:ascii="Arial" w:hAnsi="Arial"/>
          <w:b/>
          <w:sz w:val="24"/>
        </w:rPr>
        <w:t>Explain the reasons for any program changes or adjustments reported on the burden worksheet</w:t>
      </w:r>
    </w:p>
    <w:p w:rsidR="00C63FBA" w:rsidRPr="00D858ED" w:rsidP="00D858ED" w14:paraId="07178E15" w14:textId="77777777">
      <w:pPr>
        <w:pStyle w:val="ListParagraph"/>
        <w:ind w:left="360"/>
        <w:jc w:val="both"/>
        <w:rPr>
          <w:rFonts w:ascii="Arial" w:hAnsi="Arial"/>
          <w:sz w:val="24"/>
          <w:u w:val="single"/>
        </w:rPr>
      </w:pPr>
    </w:p>
    <w:p w:rsidR="00656CD4" w:rsidRPr="00D858ED" w:rsidP="00D858ED" w14:paraId="1769FCA7" w14:textId="2B30ADE8">
      <w:pPr>
        <w:pStyle w:val="NoSpacing"/>
        <w:jc w:val="both"/>
        <w:rPr>
          <w:rFonts w:ascii="Arial" w:hAnsi="Arial" w:cs="Arial"/>
          <w:b/>
        </w:rPr>
      </w:pPr>
      <w:bookmarkStart w:id="2" w:name="_Hlk166673648"/>
      <w:r w:rsidRPr="000179EF">
        <w:rPr>
          <w:rFonts w:ascii="Arial" w:hAnsi="Arial" w:cs="Arial"/>
          <w:b/>
        </w:rPr>
        <w:t xml:space="preserve">Table </w:t>
      </w:r>
      <w:r>
        <w:rPr>
          <w:rFonts w:ascii="Arial" w:hAnsi="Arial" w:cs="Arial"/>
          <w:b/>
        </w:rPr>
        <w:t>5</w:t>
      </w:r>
      <w:r w:rsidRPr="000179EF">
        <w:rPr>
          <w:rFonts w:ascii="Arial" w:hAnsi="Arial" w:cs="Arial"/>
          <w:b/>
        </w:rPr>
        <w:t xml:space="preserve">: ICR Summary of Burden  </w:t>
      </w:r>
      <w:bookmarkEnd w:id="2"/>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0B4E40E0" w14:textId="77777777" w:rsidTr="009B176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656CD4" w:rsidRPr="008E27CC" w:rsidP="003D178E" w14:paraId="580E44A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656CD4" w:rsidRPr="008E27CC" w:rsidP="003D178E" w14:paraId="366C4DB3"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656CD4" w:rsidRPr="008E27CC" w:rsidP="003D178E" w14:paraId="73EDAB1C"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656CD4" w:rsidRPr="008E27CC" w:rsidP="003D178E" w14:paraId="7FCA3E4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656CD4" w:rsidRPr="008E27CC" w:rsidP="003D178E" w14:paraId="0CC3A28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656CD4" w:rsidRPr="008E27CC" w:rsidP="003D178E" w14:paraId="483ED73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656CD4" w:rsidRPr="008E27CC" w:rsidP="003D178E" w14:paraId="2DD2CE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3C01ED97" w14:textId="77777777" w:rsidTr="009B176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8E27CC" w:rsidP="009B1767" w14:paraId="541B75F0"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3C886A9B" w14:textId="0C7E4B1D">
            <w:pPr>
              <w:spacing w:line="225" w:lineRule="atLeast"/>
              <w:rPr>
                <w:rFonts w:ascii="Arial" w:hAnsi="Arial" w:cs="Arial"/>
                <w:sz w:val="17"/>
                <w:szCs w:val="17"/>
              </w:rPr>
            </w:pPr>
            <w:r w:rsidRPr="00216B80">
              <w:rPr>
                <w:rFonts w:ascii="Arial" w:hAnsi="Arial" w:cs="Arial"/>
                <w:sz w:val="17"/>
                <w:szCs w:val="17"/>
              </w:rPr>
              <w:t> </w:t>
            </w:r>
            <w:r w:rsidR="002C1260">
              <w:rPr>
                <w:rFonts w:ascii="Arial" w:hAnsi="Arial" w:cs="Arial"/>
                <w:sz w:val="17"/>
                <w:szCs w:val="17"/>
              </w:rPr>
              <w:t>89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586E7DCB"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21DCCB82" w14:textId="7A073E54">
            <w:pPr>
              <w:spacing w:line="225" w:lineRule="atLeast"/>
              <w:rPr>
                <w:rFonts w:ascii="Arial" w:hAnsi="Arial" w:cs="Arial"/>
                <w:sz w:val="17"/>
                <w:szCs w:val="17"/>
              </w:rPr>
            </w:pPr>
            <w:r>
              <w:rPr>
                <w:rFonts w:ascii="Arial" w:hAnsi="Arial" w:cs="Arial"/>
                <w:sz w:val="17"/>
                <w:szCs w:val="17"/>
              </w:rPr>
              <w:t>-1,74</w:t>
            </w:r>
            <w:r w:rsidR="000F237A">
              <w:rPr>
                <w:rFonts w:ascii="Arial" w:hAnsi="Arial" w:cs="Arial"/>
                <w:sz w:val="17"/>
                <w:szCs w:val="17"/>
              </w:rPr>
              <w:t>3</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2E78103F" w14:textId="02EF08A4">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4F14087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4E94C2CC" w14:textId="272B3340">
            <w:pPr>
              <w:spacing w:line="225" w:lineRule="atLeast"/>
              <w:rPr>
                <w:rFonts w:ascii="Arial" w:hAnsi="Arial" w:cs="Arial"/>
                <w:sz w:val="17"/>
                <w:szCs w:val="17"/>
              </w:rPr>
            </w:pPr>
            <w:r>
              <w:rPr>
                <w:rFonts w:ascii="Arial" w:hAnsi="Arial" w:cs="Arial"/>
                <w:sz w:val="17"/>
                <w:szCs w:val="17"/>
              </w:rPr>
              <w:t>1,832</w:t>
            </w:r>
          </w:p>
        </w:tc>
      </w:tr>
      <w:tr w14:paraId="58BFF9A0" w14:textId="77777777" w:rsidTr="009B176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8E27CC" w:rsidP="009B1767" w14:paraId="31049FC2"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1971B084" w14:textId="3F59F685">
            <w:pPr>
              <w:spacing w:line="225" w:lineRule="atLeast"/>
              <w:rPr>
                <w:rFonts w:ascii="Arial" w:hAnsi="Arial" w:cs="Arial"/>
                <w:sz w:val="17"/>
                <w:szCs w:val="17"/>
              </w:rPr>
            </w:pPr>
            <w:r>
              <w:rPr>
                <w:rFonts w:ascii="Arial" w:hAnsi="Arial" w:cs="Arial"/>
                <w:sz w:val="17"/>
                <w:szCs w:val="17"/>
              </w:rPr>
              <w:t>1</w:t>
            </w:r>
            <w:r w:rsidR="002C1260">
              <w:rPr>
                <w:rFonts w:ascii="Arial" w:hAnsi="Arial" w:cs="Arial"/>
                <w:sz w:val="17"/>
                <w:szCs w:val="17"/>
              </w:rPr>
              <w:t>56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398D8607"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055B9EBA" w14:textId="03761A88">
            <w:pPr>
              <w:spacing w:line="225" w:lineRule="atLeast"/>
              <w:rPr>
                <w:rFonts w:ascii="Arial" w:hAnsi="Arial" w:cs="Arial"/>
                <w:sz w:val="17"/>
                <w:szCs w:val="17"/>
              </w:rPr>
            </w:pPr>
            <w:r>
              <w:rPr>
                <w:rFonts w:ascii="Arial" w:hAnsi="Arial" w:cs="Arial"/>
                <w:sz w:val="17"/>
                <w:szCs w:val="17"/>
              </w:rPr>
              <w:t>-1</w:t>
            </w:r>
            <w:r w:rsidR="000F237A">
              <w:rPr>
                <w:rFonts w:ascii="Arial" w:hAnsi="Arial" w:cs="Arial"/>
                <w:sz w:val="17"/>
                <w:szCs w:val="17"/>
              </w:rPr>
              <w:t>71</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26E4F36E" w14:textId="64E4744C">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385B7CB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28CCED7F" w14:textId="2B4E7DD9">
            <w:pPr>
              <w:spacing w:line="225" w:lineRule="atLeast"/>
              <w:rPr>
                <w:rFonts w:ascii="Arial" w:hAnsi="Arial" w:cs="Arial"/>
                <w:sz w:val="17"/>
                <w:szCs w:val="17"/>
              </w:rPr>
            </w:pPr>
            <w:r>
              <w:rPr>
                <w:rFonts w:ascii="Arial" w:hAnsi="Arial" w:cs="Arial"/>
                <w:sz w:val="17"/>
                <w:szCs w:val="17"/>
              </w:rPr>
              <w:t>327</w:t>
            </w:r>
          </w:p>
        </w:tc>
      </w:tr>
      <w:tr w14:paraId="0AEF432A" w14:textId="77777777" w:rsidTr="009B176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8E1811" w:rsidP="009B1767" w14:paraId="57D85CD2" w14:textId="77777777">
            <w:pPr>
              <w:spacing w:line="225" w:lineRule="atLeast"/>
              <w:rPr>
                <w:rFonts w:ascii="Arial" w:hAnsi="Arial" w:cs="Arial"/>
                <w:sz w:val="17"/>
                <w:szCs w:val="17"/>
              </w:rPr>
            </w:pPr>
            <w:r w:rsidRPr="008E1811">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8E1811" w:rsidP="009B1767" w14:paraId="226DBB22" w14:textId="7D3EB96E">
            <w:pPr>
              <w:spacing w:line="225" w:lineRule="atLeast"/>
              <w:rPr>
                <w:rFonts w:ascii="Arial" w:hAnsi="Arial" w:cs="Arial"/>
                <w:sz w:val="17"/>
                <w:szCs w:val="17"/>
              </w:rPr>
            </w:pPr>
            <w:r>
              <w:rPr>
                <w:rFonts w:ascii="Arial" w:hAnsi="Arial" w:cs="Arial"/>
                <w:sz w:val="17"/>
                <w:szCs w:val="17"/>
              </w:rPr>
              <w:t>1,333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8E1811" w:rsidP="009B1767" w14:paraId="66B0CED5" w14:textId="6A5CBBBA">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8E1811" w:rsidP="009B1767" w14:paraId="27FBA629" w14:textId="0485FB70">
            <w:pPr>
              <w:spacing w:line="225" w:lineRule="atLeast"/>
              <w:rPr>
                <w:rFonts w:ascii="Arial" w:hAnsi="Arial" w:cs="Arial"/>
                <w:sz w:val="17"/>
                <w:szCs w:val="17"/>
              </w:rPr>
            </w:pPr>
            <w:r>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8E1811" w:rsidP="009B1767" w14:paraId="7C223221" w14:textId="4AD584E9">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46EA27E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B1767" w:rsidRPr="00216B80" w:rsidP="009B1767" w14:paraId="2008C160" w14:textId="230BAE04">
            <w:pPr>
              <w:spacing w:line="225" w:lineRule="atLeast"/>
              <w:rPr>
                <w:rFonts w:ascii="Arial" w:hAnsi="Arial" w:cs="Arial"/>
                <w:sz w:val="17"/>
                <w:szCs w:val="17"/>
              </w:rPr>
            </w:pPr>
            <w:r>
              <w:rPr>
                <w:rFonts w:ascii="Arial" w:hAnsi="Arial" w:cs="Arial"/>
                <w:sz w:val="17"/>
                <w:szCs w:val="17"/>
              </w:rPr>
              <w:t>1,333</w:t>
            </w:r>
          </w:p>
        </w:tc>
      </w:tr>
    </w:tbl>
    <w:p w:rsidR="00656CD4" w:rsidP="00656CD4" w14:paraId="17F05A15"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656CD4" w:rsidRPr="000718D1" w:rsidP="00656CD4" w14:paraId="7ABC9777" w14:textId="121F8E03">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r w:rsidRPr="000718D1">
        <w:rPr>
          <w:rFonts w:ascii="Arial" w:hAnsi="Arial" w:cs="Arial"/>
          <w:sz w:val="24"/>
          <w:u w:val="single"/>
        </w:rPr>
        <w:t xml:space="preserve">Change due to Adjustment in Agency </w:t>
      </w:r>
      <w:r w:rsidR="00932309">
        <w:rPr>
          <w:rFonts w:ascii="Arial" w:hAnsi="Arial" w:cs="Arial"/>
          <w:sz w:val="24"/>
          <w:u w:val="single"/>
        </w:rPr>
        <w:t>Discretion</w:t>
      </w:r>
    </w:p>
    <w:p w:rsidR="00656CD4" w:rsidRPr="000718D1" w:rsidP="00656CD4" w14:paraId="300BA725"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00656CD4" w:rsidP="4C607349" w14:paraId="4A17F41B" w14:textId="07701B25">
      <w:pPr>
        <w:tabs>
          <w:tab w:val="left" w:pos="150"/>
          <w:tab w:val="left" w:pos="720"/>
          <w:tab w:val="left" w:pos="1440"/>
          <w:tab w:val="left" w:pos="1800"/>
          <w:tab w:val="left" w:pos="3930"/>
          <w:tab w:val="left" w:pos="4290"/>
          <w:tab w:val="left" w:pos="5760"/>
        </w:tabs>
        <w:jc w:val="both"/>
        <w:rPr>
          <w:rFonts w:ascii="Arial" w:hAnsi="Arial" w:cs="Arial"/>
          <w:sz w:val="24"/>
          <w:szCs w:val="24"/>
        </w:rPr>
      </w:pPr>
      <w:r w:rsidRPr="6F620DDE">
        <w:rPr>
          <w:rFonts w:ascii="Arial" w:hAnsi="Arial" w:cs="Arial"/>
          <w:sz w:val="24"/>
          <w:szCs w:val="24"/>
        </w:rPr>
        <w:t xml:space="preserve">The total number of respondents and time burden have </w:t>
      </w:r>
      <w:r w:rsidR="00932309">
        <w:rPr>
          <w:rFonts w:ascii="Arial" w:hAnsi="Arial" w:cs="Arial"/>
          <w:sz w:val="24"/>
          <w:szCs w:val="24"/>
        </w:rPr>
        <w:t>decreased</w:t>
      </w:r>
      <w:r w:rsidRPr="6F620DDE">
        <w:rPr>
          <w:rFonts w:ascii="Arial" w:hAnsi="Arial" w:cs="Arial"/>
          <w:sz w:val="24"/>
          <w:szCs w:val="24"/>
        </w:rPr>
        <w:t xml:space="preserve">; </w:t>
      </w:r>
      <w:r w:rsidR="00932309">
        <w:rPr>
          <w:rFonts w:ascii="Arial" w:hAnsi="Arial" w:cs="Arial"/>
          <w:sz w:val="24"/>
          <w:szCs w:val="24"/>
        </w:rPr>
        <w:t>decreases</w:t>
      </w:r>
      <w:r w:rsidRPr="6F620DDE" w:rsidR="00932309">
        <w:rPr>
          <w:rFonts w:ascii="Arial" w:hAnsi="Arial" w:cs="Arial"/>
          <w:sz w:val="24"/>
          <w:szCs w:val="24"/>
        </w:rPr>
        <w:t xml:space="preserve"> </w:t>
      </w:r>
      <w:r w:rsidRPr="6F620DDE">
        <w:rPr>
          <w:rFonts w:ascii="Arial" w:hAnsi="Arial" w:cs="Arial"/>
          <w:sz w:val="24"/>
          <w:szCs w:val="24"/>
        </w:rPr>
        <w:t>in the number of responses (</w:t>
      </w:r>
      <w:r w:rsidR="00932309">
        <w:rPr>
          <w:rFonts w:ascii="Arial" w:hAnsi="Arial" w:cs="Arial"/>
          <w:sz w:val="24"/>
          <w:szCs w:val="24"/>
        </w:rPr>
        <w:t>-</w:t>
      </w:r>
      <w:r w:rsidR="00E825B0">
        <w:rPr>
          <w:rFonts w:ascii="Arial" w:hAnsi="Arial" w:cs="Arial"/>
          <w:sz w:val="24"/>
          <w:szCs w:val="24"/>
        </w:rPr>
        <w:t>1,74</w:t>
      </w:r>
      <w:r w:rsidR="0094579E">
        <w:rPr>
          <w:rFonts w:ascii="Arial" w:hAnsi="Arial" w:cs="Arial"/>
          <w:sz w:val="24"/>
          <w:szCs w:val="24"/>
        </w:rPr>
        <w:t>3</w:t>
      </w:r>
      <w:r w:rsidRPr="6F620DDE" w:rsidR="170A7C84">
        <w:rPr>
          <w:rFonts w:ascii="Arial" w:hAnsi="Arial" w:cs="Arial"/>
          <w:sz w:val="24"/>
          <w:szCs w:val="24"/>
        </w:rPr>
        <w:t>)</w:t>
      </w:r>
      <w:r w:rsidRPr="6F620DDE">
        <w:rPr>
          <w:rFonts w:ascii="Arial" w:hAnsi="Arial" w:cs="Arial"/>
          <w:sz w:val="24"/>
          <w:szCs w:val="24"/>
        </w:rPr>
        <w:t xml:space="preserve"> and burden hours (</w:t>
      </w:r>
      <w:r w:rsidR="00932309">
        <w:rPr>
          <w:rFonts w:ascii="Arial" w:hAnsi="Arial" w:cs="Arial"/>
          <w:sz w:val="24"/>
          <w:szCs w:val="24"/>
        </w:rPr>
        <w:t>-</w:t>
      </w:r>
      <w:r w:rsidR="00E825B0">
        <w:rPr>
          <w:rFonts w:ascii="Arial" w:hAnsi="Arial" w:cs="Arial"/>
          <w:sz w:val="24"/>
          <w:szCs w:val="24"/>
        </w:rPr>
        <w:t>1</w:t>
      </w:r>
      <w:r w:rsidR="0094579E">
        <w:rPr>
          <w:rFonts w:ascii="Arial" w:hAnsi="Arial" w:cs="Arial"/>
          <w:sz w:val="24"/>
          <w:szCs w:val="24"/>
        </w:rPr>
        <w:t>71</w:t>
      </w:r>
      <w:r w:rsidRPr="6F620DDE">
        <w:rPr>
          <w:rFonts w:ascii="Arial" w:hAnsi="Arial" w:cs="Arial"/>
          <w:sz w:val="24"/>
          <w:szCs w:val="24"/>
        </w:rPr>
        <w:t xml:space="preserve">) </w:t>
      </w:r>
      <w:r w:rsidRPr="6F620DDE" w:rsidR="09C00BA8">
        <w:rPr>
          <w:rFonts w:ascii="Arial" w:hAnsi="Arial" w:cs="Arial"/>
          <w:sz w:val="24"/>
          <w:szCs w:val="24"/>
        </w:rPr>
        <w:t>are</w:t>
      </w:r>
      <w:r w:rsidRPr="6F620DDE">
        <w:rPr>
          <w:rFonts w:ascii="Arial" w:hAnsi="Arial" w:cs="Arial"/>
          <w:sz w:val="24"/>
          <w:szCs w:val="24"/>
        </w:rPr>
        <w:t xml:space="preserve"> due to the </w:t>
      </w:r>
      <w:r w:rsidR="00932309">
        <w:rPr>
          <w:rFonts w:ascii="Arial" w:hAnsi="Arial" w:cs="Arial"/>
          <w:sz w:val="24"/>
          <w:szCs w:val="24"/>
        </w:rPr>
        <w:t xml:space="preserve">removal of the </w:t>
      </w:r>
      <w:r w:rsidRPr="6F620DDE" w:rsidR="09C00BA8">
        <w:rPr>
          <w:rFonts w:ascii="Arial" w:hAnsi="Arial" w:cs="Arial"/>
          <w:sz w:val="24"/>
          <w:szCs w:val="24"/>
        </w:rPr>
        <w:t xml:space="preserve"> </w:t>
      </w:r>
      <w:r w:rsidR="00E825B0">
        <w:rPr>
          <w:rFonts w:ascii="Arial" w:hAnsi="Arial" w:cs="Arial"/>
          <w:sz w:val="24"/>
          <w:szCs w:val="24"/>
        </w:rPr>
        <w:t>a</w:t>
      </w:r>
      <w:r w:rsidRPr="6F620DDE" w:rsidR="09C00BA8">
        <w:rPr>
          <w:rFonts w:ascii="Arial" w:hAnsi="Arial" w:cs="Arial"/>
          <w:sz w:val="24"/>
          <w:szCs w:val="24"/>
        </w:rPr>
        <w:t xml:space="preserve">pplicant </w:t>
      </w:r>
      <w:r w:rsidR="00E825B0">
        <w:rPr>
          <w:rFonts w:ascii="Arial" w:hAnsi="Arial" w:cs="Arial"/>
          <w:sz w:val="24"/>
          <w:szCs w:val="24"/>
        </w:rPr>
        <w:t>i</w:t>
      </w:r>
      <w:r w:rsidRPr="6F620DDE" w:rsidR="09C00BA8">
        <w:rPr>
          <w:rFonts w:ascii="Arial" w:hAnsi="Arial" w:cs="Arial"/>
          <w:sz w:val="24"/>
          <w:szCs w:val="24"/>
        </w:rPr>
        <w:t xml:space="preserve">ntake </w:t>
      </w:r>
      <w:r w:rsidR="00E825B0">
        <w:rPr>
          <w:rFonts w:ascii="Arial" w:hAnsi="Arial" w:cs="Arial"/>
          <w:sz w:val="24"/>
          <w:szCs w:val="24"/>
        </w:rPr>
        <w:t>f</w:t>
      </w:r>
      <w:r w:rsidRPr="6F620DDE" w:rsidR="09C00BA8">
        <w:rPr>
          <w:rFonts w:ascii="Arial" w:hAnsi="Arial" w:cs="Arial"/>
          <w:sz w:val="24"/>
          <w:szCs w:val="24"/>
        </w:rPr>
        <w:t>orm</w:t>
      </w:r>
      <w:r w:rsidR="00932309">
        <w:rPr>
          <w:rFonts w:ascii="Arial" w:hAnsi="Arial" w:cs="Arial"/>
          <w:sz w:val="24"/>
          <w:szCs w:val="24"/>
        </w:rPr>
        <w:t>s</w:t>
      </w:r>
      <w:r w:rsidR="00E825B0">
        <w:rPr>
          <w:rFonts w:ascii="Arial" w:hAnsi="Arial" w:cs="Arial"/>
          <w:sz w:val="24"/>
          <w:szCs w:val="24"/>
        </w:rPr>
        <w:t xml:space="preserve"> (</w:t>
      </w:r>
      <w:r w:rsidR="00DF38C4">
        <w:rPr>
          <w:rFonts w:ascii="Arial" w:hAnsi="Arial" w:cs="Arial"/>
          <w:sz w:val="24"/>
          <w:szCs w:val="24"/>
        </w:rPr>
        <w:t>USPTO/551 and USPTO/553)</w:t>
      </w:r>
      <w:r w:rsidR="0094579E">
        <w:rPr>
          <w:rFonts w:ascii="Arial" w:hAnsi="Arial" w:cs="Arial"/>
          <w:sz w:val="24"/>
          <w:szCs w:val="24"/>
        </w:rPr>
        <w:t>, as well as the re</w:t>
      </w:r>
      <w:r w:rsidR="0057311B">
        <w:rPr>
          <w:rFonts w:ascii="Arial" w:hAnsi="Arial" w:cs="Arial"/>
          <w:sz w:val="24"/>
          <w:szCs w:val="24"/>
        </w:rPr>
        <w:t>duction in</w:t>
      </w:r>
      <w:r w:rsidR="0094579E">
        <w:rPr>
          <w:rFonts w:ascii="Arial" w:hAnsi="Arial" w:cs="Arial"/>
          <w:sz w:val="24"/>
          <w:szCs w:val="24"/>
        </w:rPr>
        <w:t xml:space="preserve"> the responses per respondent of the PTAB Pro Bono Survey (Item 2) from 4 to 1</w:t>
      </w:r>
      <w:r w:rsidRPr="6F620DDE">
        <w:rPr>
          <w:rFonts w:ascii="Arial" w:hAnsi="Arial" w:cs="Arial"/>
          <w:sz w:val="24"/>
          <w:szCs w:val="24"/>
        </w:rPr>
        <w:t>.</w:t>
      </w:r>
    </w:p>
    <w:p w:rsidR="00B10E87" w:rsidP="00B765A5" w14:paraId="6376A39F" w14:textId="77777777">
      <w:pPr>
        <w:pStyle w:val="BodyText2"/>
      </w:pPr>
    </w:p>
    <w:p w:rsidR="00B765A5" w:rsidRPr="00F56BB3" w:rsidP="00B765A5" w14:paraId="596FEAAB" w14:textId="2DB1461E">
      <w:pPr>
        <w:pStyle w:val="ListParagraph"/>
        <w:numPr>
          <w:ilvl w:val="0"/>
          <w:numId w:val="10"/>
        </w:numPr>
        <w:jc w:val="both"/>
        <w:rPr>
          <w:rFonts w:ascii="Arial" w:hAnsi="Arial"/>
          <w:b/>
          <w:bCs/>
          <w:sz w:val="24"/>
        </w:rPr>
      </w:pPr>
      <w:r>
        <w:rPr>
          <w:rFonts w:ascii="Arial" w:hAnsi="Arial"/>
          <w:b/>
          <w:bCs/>
          <w:sz w:val="24"/>
        </w:rPr>
        <w:t xml:space="preserve"> </w:t>
      </w:r>
      <w:r w:rsidRPr="00CC0062">
        <w:rPr>
          <w:rFonts w:ascii="Arial" w:hAnsi="Arial"/>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765A5" w:rsidP="00B765A5" w14:paraId="358A8F25" w14:textId="77777777">
      <w:pPr>
        <w:jc w:val="both"/>
        <w:rPr>
          <w:rFonts w:ascii="Arial" w:hAnsi="Arial"/>
          <w:sz w:val="24"/>
        </w:rPr>
      </w:pPr>
    </w:p>
    <w:p w:rsidR="00877A4C" w:rsidP="00B765A5" w14:paraId="6C5180F8" w14:textId="6120293D">
      <w:pPr>
        <w:jc w:val="both"/>
        <w:rPr>
          <w:rFonts w:ascii="Arial" w:hAnsi="Arial"/>
          <w:sz w:val="24"/>
        </w:rPr>
      </w:pPr>
      <w:r w:rsidRPr="004C4DAB">
        <w:rPr>
          <w:rFonts w:ascii="Arial" w:hAnsi="Arial"/>
          <w:sz w:val="24"/>
        </w:rPr>
        <w:t xml:space="preserve">The USPTO plans to </w:t>
      </w:r>
      <w:r w:rsidR="00141F63">
        <w:rPr>
          <w:rFonts w:ascii="Arial" w:hAnsi="Arial"/>
          <w:sz w:val="24"/>
        </w:rPr>
        <w:t>present</w:t>
      </w:r>
      <w:r w:rsidRPr="004C4DAB" w:rsidR="00141F63">
        <w:rPr>
          <w:rFonts w:ascii="Arial" w:hAnsi="Arial"/>
          <w:sz w:val="24"/>
        </w:rPr>
        <w:t xml:space="preserve"> </w:t>
      </w:r>
      <w:r w:rsidRPr="004C4DAB">
        <w:rPr>
          <w:rFonts w:ascii="Arial" w:hAnsi="Arial"/>
          <w:sz w:val="24"/>
        </w:rPr>
        <w:t xml:space="preserve">summary metrics for the </w:t>
      </w:r>
      <w:r w:rsidR="00993FC6">
        <w:rPr>
          <w:rFonts w:ascii="Arial" w:hAnsi="Arial"/>
          <w:sz w:val="24"/>
        </w:rPr>
        <w:t>regional hubs</w:t>
      </w:r>
      <w:r w:rsidR="00A0071C">
        <w:rPr>
          <w:rFonts w:ascii="Arial" w:hAnsi="Arial"/>
          <w:sz w:val="24"/>
        </w:rPr>
        <w:t xml:space="preserve"> and national clearinghouse</w:t>
      </w:r>
      <w:r w:rsidRPr="004C4DAB" w:rsidR="00340DB7">
        <w:rPr>
          <w:rFonts w:ascii="Arial" w:hAnsi="Arial"/>
          <w:sz w:val="24"/>
        </w:rPr>
        <w:t xml:space="preserve"> </w:t>
      </w:r>
      <w:r w:rsidRPr="004C4DAB">
        <w:rPr>
          <w:rFonts w:ascii="Arial" w:hAnsi="Arial"/>
          <w:sz w:val="24"/>
        </w:rPr>
        <w:t>using the Pro Bono Survey</w:t>
      </w:r>
      <w:r w:rsidR="00A0071C">
        <w:rPr>
          <w:rFonts w:ascii="Arial" w:hAnsi="Arial"/>
          <w:sz w:val="24"/>
        </w:rPr>
        <w:t>s</w:t>
      </w:r>
      <w:r w:rsidRPr="004C4DAB">
        <w:rPr>
          <w:rFonts w:ascii="Arial" w:hAnsi="Arial"/>
          <w:sz w:val="24"/>
        </w:rPr>
        <w:t xml:space="preserve"> in order to promote the </w:t>
      </w:r>
      <w:r w:rsidR="00A0071C">
        <w:rPr>
          <w:rFonts w:ascii="Arial" w:hAnsi="Arial"/>
          <w:sz w:val="24"/>
        </w:rPr>
        <w:t>respective centers</w:t>
      </w:r>
      <w:r w:rsidR="00753DF0">
        <w:rPr>
          <w:rFonts w:ascii="Arial" w:hAnsi="Arial"/>
          <w:sz w:val="24"/>
        </w:rPr>
        <w:t xml:space="preserve"> at conferences</w:t>
      </w:r>
      <w:r w:rsidR="007A7498">
        <w:rPr>
          <w:rFonts w:ascii="Arial" w:hAnsi="Arial"/>
          <w:sz w:val="24"/>
        </w:rPr>
        <w:t xml:space="preserve"> and forums. </w:t>
      </w:r>
      <w:r>
        <w:rPr>
          <w:rFonts w:ascii="Arial" w:hAnsi="Arial"/>
          <w:sz w:val="24"/>
        </w:rPr>
        <w:t>Metrics for the regional hubs may be aggregated.</w:t>
      </w:r>
    </w:p>
    <w:p w:rsidR="00877A4C" w:rsidP="00B765A5" w14:paraId="21AFA989" w14:textId="77777777">
      <w:pPr>
        <w:jc w:val="both"/>
        <w:rPr>
          <w:rFonts w:ascii="Arial" w:hAnsi="Arial"/>
          <w:sz w:val="24"/>
        </w:rPr>
      </w:pPr>
    </w:p>
    <w:p w:rsidR="009262BB" w:rsidP="00B765A5" w14:paraId="12CC0B51" w14:textId="7E059D95">
      <w:pPr>
        <w:jc w:val="both"/>
        <w:rPr>
          <w:rFonts w:ascii="Arial" w:hAnsi="Arial" w:cs="Arial"/>
          <w:sz w:val="24"/>
          <w:szCs w:val="24"/>
        </w:rPr>
      </w:pPr>
      <w:r>
        <w:rPr>
          <w:rFonts w:ascii="Arial" w:hAnsi="Arial"/>
          <w:sz w:val="24"/>
        </w:rPr>
        <w:t>For the Patent Pro Bono Survey, t</w:t>
      </w:r>
      <w:r w:rsidRPr="004C4DAB" w:rsidR="004C4DAB">
        <w:rPr>
          <w:rFonts w:ascii="Arial" w:hAnsi="Arial"/>
          <w:sz w:val="24"/>
        </w:rPr>
        <w:t xml:space="preserve">he USPTO may also publish metrics for individual </w:t>
      </w:r>
      <w:r w:rsidR="00993FC6">
        <w:rPr>
          <w:rFonts w:ascii="Arial" w:hAnsi="Arial"/>
          <w:sz w:val="24"/>
        </w:rPr>
        <w:t>regional hubs</w:t>
      </w:r>
      <w:r w:rsidRPr="004C4DAB" w:rsidR="00340DB7">
        <w:rPr>
          <w:rFonts w:ascii="Arial" w:hAnsi="Arial"/>
          <w:sz w:val="24"/>
        </w:rPr>
        <w:t xml:space="preserve"> </w:t>
      </w:r>
      <w:r w:rsidRPr="004C4DAB" w:rsidR="004C4DAB">
        <w:rPr>
          <w:rFonts w:ascii="Arial" w:hAnsi="Arial"/>
          <w:sz w:val="24"/>
        </w:rPr>
        <w:t xml:space="preserve">to promote the </w:t>
      </w:r>
      <w:r w:rsidR="008E3631">
        <w:rPr>
          <w:rFonts w:ascii="Arial" w:hAnsi="Arial"/>
          <w:sz w:val="24"/>
        </w:rPr>
        <w:t>hubs</w:t>
      </w:r>
      <w:r w:rsidRPr="004C4DAB" w:rsidR="008E3631">
        <w:rPr>
          <w:rFonts w:ascii="Arial" w:hAnsi="Arial"/>
          <w:sz w:val="24"/>
        </w:rPr>
        <w:t xml:space="preserve"> </w:t>
      </w:r>
      <w:r w:rsidRPr="004C4DAB" w:rsidR="004C4DAB">
        <w:rPr>
          <w:rFonts w:ascii="Arial" w:hAnsi="Arial"/>
          <w:sz w:val="24"/>
        </w:rPr>
        <w:t xml:space="preserve">individually. The Office of Enrollment and Discipline of the USPTO is responsible for conducting and summarizing the </w:t>
      </w:r>
      <w:r w:rsidR="000B79E5">
        <w:rPr>
          <w:rFonts w:ascii="Arial" w:hAnsi="Arial"/>
          <w:sz w:val="24"/>
        </w:rPr>
        <w:t xml:space="preserve">Patent </w:t>
      </w:r>
      <w:r w:rsidRPr="004C4DAB" w:rsidR="004C4DAB">
        <w:rPr>
          <w:rFonts w:ascii="Arial" w:hAnsi="Arial"/>
          <w:sz w:val="24"/>
        </w:rPr>
        <w:t>Pro Bono Survey.</w:t>
      </w:r>
      <w:r w:rsidR="001C51D2">
        <w:rPr>
          <w:rFonts w:ascii="Arial" w:hAnsi="Arial"/>
          <w:sz w:val="24"/>
        </w:rPr>
        <w:t xml:space="preserve"> </w:t>
      </w:r>
      <w:r w:rsidR="00141F63">
        <w:rPr>
          <w:rFonts w:ascii="Arial" w:hAnsi="Arial"/>
          <w:sz w:val="24"/>
        </w:rPr>
        <w:t xml:space="preserve"> </w:t>
      </w:r>
      <w:r>
        <w:rPr>
          <w:rFonts w:ascii="Arial" w:hAnsi="Arial"/>
          <w:sz w:val="24"/>
        </w:rPr>
        <w:t xml:space="preserve">These </w:t>
      </w:r>
      <w:r w:rsidR="00141F63">
        <w:rPr>
          <w:rFonts w:ascii="Arial" w:hAnsi="Arial"/>
          <w:sz w:val="24"/>
        </w:rPr>
        <w:t xml:space="preserve">quarterly </w:t>
      </w:r>
      <w:r w:rsidR="00DD4A97">
        <w:rPr>
          <w:rFonts w:ascii="Arial" w:hAnsi="Arial"/>
          <w:sz w:val="24"/>
        </w:rPr>
        <w:t xml:space="preserve">surveys </w:t>
      </w:r>
      <w:r w:rsidR="006929E1">
        <w:rPr>
          <w:rFonts w:ascii="Arial" w:hAnsi="Arial"/>
          <w:sz w:val="24"/>
        </w:rPr>
        <w:t xml:space="preserve">are used as a basis for </w:t>
      </w:r>
      <w:r w:rsidR="00263411">
        <w:rPr>
          <w:rFonts w:ascii="Arial" w:hAnsi="Arial"/>
          <w:sz w:val="24"/>
        </w:rPr>
        <w:t xml:space="preserve">regional hub </w:t>
      </w:r>
      <w:r w:rsidR="006929E1">
        <w:rPr>
          <w:rFonts w:ascii="Arial" w:hAnsi="Arial"/>
          <w:sz w:val="24"/>
        </w:rPr>
        <w:t>performance discussion.</w:t>
      </w:r>
      <w:r>
        <w:rPr>
          <w:rFonts w:ascii="Arial" w:hAnsi="Arial"/>
          <w:sz w:val="24"/>
        </w:rPr>
        <w:t xml:space="preserve"> </w:t>
      </w:r>
      <w:r w:rsidR="006929E1">
        <w:rPr>
          <w:rFonts w:ascii="Arial" w:hAnsi="Arial"/>
          <w:sz w:val="24"/>
        </w:rPr>
        <w:t xml:space="preserve">This performance discussion will be used to establish criteria to evaluate each </w:t>
      </w:r>
      <w:r w:rsidR="008E3631">
        <w:rPr>
          <w:rFonts w:ascii="Arial" w:hAnsi="Arial"/>
          <w:sz w:val="24"/>
        </w:rPr>
        <w:t xml:space="preserve">hub </w:t>
      </w:r>
      <w:r w:rsidR="006929E1">
        <w:rPr>
          <w:rFonts w:ascii="Arial" w:hAnsi="Arial"/>
          <w:sz w:val="24"/>
        </w:rPr>
        <w:t>on its own merits.</w:t>
      </w:r>
      <w:r w:rsidR="006F7A02">
        <w:rPr>
          <w:rFonts w:ascii="Arial" w:hAnsi="Arial"/>
          <w:sz w:val="24"/>
        </w:rPr>
        <w:t xml:space="preserve"> </w:t>
      </w:r>
      <w:r w:rsidRPr="00BD63FE" w:rsidR="006F22A2">
        <w:rPr>
          <w:rFonts w:ascii="Arial" w:hAnsi="Arial" w:cs="Arial"/>
          <w:sz w:val="24"/>
          <w:szCs w:val="24"/>
        </w:rPr>
        <w:t xml:space="preserve">This data will help </w:t>
      </w:r>
      <w:r w:rsidR="00263411">
        <w:rPr>
          <w:rFonts w:ascii="Arial" w:hAnsi="Arial" w:cs="Arial"/>
          <w:sz w:val="24"/>
          <w:szCs w:val="24"/>
        </w:rPr>
        <w:t xml:space="preserve">the USPTO </w:t>
      </w:r>
      <w:r w:rsidRPr="00BD63FE" w:rsidR="006F22A2">
        <w:rPr>
          <w:rFonts w:ascii="Arial" w:hAnsi="Arial" w:cs="Arial"/>
          <w:sz w:val="24"/>
          <w:szCs w:val="24"/>
        </w:rPr>
        <w:t xml:space="preserve">evaluate </w:t>
      </w:r>
      <w:r w:rsidR="00263411">
        <w:rPr>
          <w:rFonts w:ascii="Arial" w:hAnsi="Arial" w:cs="Arial"/>
          <w:sz w:val="24"/>
          <w:szCs w:val="24"/>
        </w:rPr>
        <w:t xml:space="preserve">the </w:t>
      </w:r>
      <w:r w:rsidRPr="00BD63FE" w:rsidR="006F22A2">
        <w:rPr>
          <w:rFonts w:ascii="Arial" w:hAnsi="Arial" w:cs="Arial"/>
          <w:sz w:val="24"/>
          <w:szCs w:val="24"/>
        </w:rPr>
        <w:t xml:space="preserve">performance of each regional </w:t>
      </w:r>
      <w:r w:rsidR="00263411">
        <w:rPr>
          <w:rFonts w:ascii="Arial" w:hAnsi="Arial" w:cs="Arial"/>
          <w:sz w:val="24"/>
          <w:szCs w:val="24"/>
        </w:rPr>
        <w:t>hub</w:t>
      </w:r>
      <w:r w:rsidRPr="00BD63FE" w:rsidR="00263411">
        <w:rPr>
          <w:rFonts w:ascii="Arial" w:hAnsi="Arial" w:cs="Arial"/>
          <w:sz w:val="24"/>
          <w:szCs w:val="24"/>
        </w:rPr>
        <w:t xml:space="preserve"> </w:t>
      </w:r>
      <w:r w:rsidRPr="00BD63FE" w:rsidR="006F22A2">
        <w:rPr>
          <w:rFonts w:ascii="Arial" w:hAnsi="Arial" w:cs="Arial"/>
          <w:sz w:val="24"/>
          <w:szCs w:val="24"/>
        </w:rPr>
        <w:t xml:space="preserve">as well as the overall performance and health of the </w:t>
      </w:r>
      <w:r w:rsidR="00263411">
        <w:rPr>
          <w:rFonts w:ascii="Arial" w:hAnsi="Arial" w:cs="Arial"/>
          <w:sz w:val="24"/>
          <w:szCs w:val="24"/>
        </w:rPr>
        <w:t>P</w:t>
      </w:r>
      <w:r w:rsidRPr="00BD63FE" w:rsidR="006F22A2">
        <w:rPr>
          <w:rFonts w:ascii="Arial" w:hAnsi="Arial" w:cs="Arial"/>
          <w:sz w:val="24"/>
          <w:szCs w:val="24"/>
        </w:rPr>
        <w:t xml:space="preserve">atent </w:t>
      </w:r>
      <w:r w:rsidR="00263411">
        <w:rPr>
          <w:rFonts w:ascii="Arial" w:hAnsi="Arial" w:cs="Arial"/>
          <w:sz w:val="24"/>
          <w:szCs w:val="24"/>
        </w:rPr>
        <w:t>P</w:t>
      </w:r>
      <w:r w:rsidRPr="00BD63FE" w:rsidR="006F22A2">
        <w:rPr>
          <w:rFonts w:ascii="Arial" w:hAnsi="Arial" w:cs="Arial"/>
          <w:sz w:val="24"/>
          <w:szCs w:val="24"/>
        </w:rPr>
        <w:t xml:space="preserve">ro </w:t>
      </w:r>
      <w:r w:rsidR="00263411">
        <w:rPr>
          <w:rFonts w:ascii="Arial" w:hAnsi="Arial" w:cs="Arial"/>
          <w:sz w:val="24"/>
          <w:szCs w:val="24"/>
        </w:rPr>
        <w:t>B</w:t>
      </w:r>
      <w:r w:rsidRPr="00BD63FE" w:rsidR="006F22A2">
        <w:rPr>
          <w:rFonts w:ascii="Arial" w:hAnsi="Arial" w:cs="Arial"/>
          <w:sz w:val="24"/>
          <w:szCs w:val="24"/>
        </w:rPr>
        <w:t xml:space="preserve">ono </w:t>
      </w:r>
      <w:r w:rsidR="00263411">
        <w:rPr>
          <w:rFonts w:ascii="Arial" w:hAnsi="Arial" w:cs="Arial"/>
          <w:sz w:val="24"/>
          <w:szCs w:val="24"/>
        </w:rPr>
        <w:t>P</w:t>
      </w:r>
      <w:r w:rsidRPr="00BD63FE" w:rsidR="006F22A2">
        <w:rPr>
          <w:rFonts w:ascii="Arial" w:hAnsi="Arial" w:cs="Arial"/>
          <w:sz w:val="24"/>
          <w:szCs w:val="24"/>
        </w:rPr>
        <w:t>rogram.</w:t>
      </w:r>
    </w:p>
    <w:p w:rsidR="000B79E5" w:rsidP="00B765A5" w14:paraId="629F459B" w14:textId="133E3FE6">
      <w:pPr>
        <w:jc w:val="both"/>
      </w:pPr>
    </w:p>
    <w:p w:rsidR="000B79E5" w:rsidRPr="00A109B7" w:rsidP="00B765A5" w14:paraId="5626264E" w14:textId="27C0EBE3">
      <w:pPr>
        <w:jc w:val="both"/>
        <w:rPr>
          <w:rFonts w:ascii="Arial" w:hAnsi="Arial"/>
          <w:sz w:val="24"/>
        </w:rPr>
      </w:pPr>
      <w:r>
        <w:rPr>
          <w:rFonts w:ascii="Arial" w:hAnsi="Arial"/>
          <w:sz w:val="24"/>
        </w:rPr>
        <w:t xml:space="preserve">For the PTAB </w:t>
      </w:r>
      <w:r w:rsidRPr="004C4DAB">
        <w:rPr>
          <w:rFonts w:ascii="Arial" w:hAnsi="Arial"/>
          <w:sz w:val="24"/>
        </w:rPr>
        <w:t>Pro Bono Survey</w:t>
      </w:r>
      <w:r>
        <w:rPr>
          <w:rFonts w:ascii="Arial" w:hAnsi="Arial"/>
          <w:sz w:val="24"/>
        </w:rPr>
        <w:t>, s</w:t>
      </w:r>
      <w:r w:rsidRPr="004C4DAB">
        <w:rPr>
          <w:rFonts w:ascii="Arial" w:hAnsi="Arial"/>
          <w:sz w:val="24"/>
        </w:rPr>
        <w:t xml:space="preserve">ummary metrics for </w:t>
      </w:r>
      <w:r>
        <w:rPr>
          <w:rFonts w:ascii="Arial" w:hAnsi="Arial"/>
          <w:sz w:val="24"/>
        </w:rPr>
        <w:t>the national clearinghouse</w:t>
      </w:r>
      <w:r w:rsidRPr="004C4DAB">
        <w:rPr>
          <w:rFonts w:ascii="Arial" w:hAnsi="Arial"/>
          <w:sz w:val="24"/>
        </w:rPr>
        <w:t xml:space="preserve"> in order to promote the </w:t>
      </w:r>
      <w:r>
        <w:rPr>
          <w:rFonts w:ascii="Arial" w:hAnsi="Arial"/>
          <w:sz w:val="24"/>
        </w:rPr>
        <w:t xml:space="preserve">PTAB Bar Assoc.’s national clearinghouse at conferences and forums.  </w:t>
      </w:r>
      <w:r w:rsidRPr="004C4DAB">
        <w:rPr>
          <w:rFonts w:ascii="Arial" w:hAnsi="Arial"/>
          <w:sz w:val="24"/>
        </w:rPr>
        <w:t xml:space="preserve">The </w:t>
      </w:r>
      <w:r>
        <w:rPr>
          <w:rFonts w:ascii="Arial" w:hAnsi="Arial"/>
          <w:sz w:val="24"/>
        </w:rPr>
        <w:t>PTAB</w:t>
      </w:r>
      <w:r w:rsidRPr="004C4DAB">
        <w:rPr>
          <w:rFonts w:ascii="Arial" w:hAnsi="Arial"/>
          <w:sz w:val="24"/>
        </w:rPr>
        <w:t xml:space="preserve"> of the USPTO is responsible for conducting and summarizing </w:t>
      </w:r>
      <w:r>
        <w:rPr>
          <w:rFonts w:ascii="Arial" w:hAnsi="Arial"/>
          <w:sz w:val="24"/>
        </w:rPr>
        <w:t xml:space="preserve">information </w:t>
      </w:r>
      <w:r w:rsidR="00C93A80">
        <w:rPr>
          <w:rFonts w:ascii="Arial" w:hAnsi="Arial"/>
          <w:sz w:val="24"/>
        </w:rPr>
        <w:t xml:space="preserve">from </w:t>
      </w:r>
      <w:r>
        <w:rPr>
          <w:rFonts w:ascii="Arial" w:hAnsi="Arial"/>
          <w:sz w:val="24"/>
        </w:rPr>
        <w:t>its survey</w:t>
      </w:r>
      <w:r w:rsidRPr="004C4DAB">
        <w:rPr>
          <w:rFonts w:ascii="Arial" w:hAnsi="Arial"/>
          <w:sz w:val="24"/>
        </w:rPr>
        <w:t>.</w:t>
      </w:r>
      <w:r>
        <w:rPr>
          <w:rFonts w:ascii="Arial" w:hAnsi="Arial"/>
          <w:sz w:val="24"/>
        </w:rPr>
        <w:t xml:space="preserve"> These quarterly surveys are used as a basis for</w:t>
      </w:r>
      <w:r w:rsidR="00756F1C">
        <w:rPr>
          <w:rFonts w:ascii="Arial" w:hAnsi="Arial"/>
          <w:sz w:val="24"/>
        </w:rPr>
        <w:t xml:space="preserve"> a </w:t>
      </w:r>
      <w:r>
        <w:rPr>
          <w:rFonts w:ascii="Arial" w:hAnsi="Arial"/>
          <w:sz w:val="24"/>
        </w:rPr>
        <w:t xml:space="preserve">national clearinghouse performance discussion. </w:t>
      </w:r>
    </w:p>
    <w:p w:rsidR="004C4DAB" w:rsidP="00B765A5" w14:paraId="38DADAFF" w14:textId="77777777">
      <w:pPr>
        <w:jc w:val="both"/>
        <w:rPr>
          <w:rFonts w:ascii="Arial" w:hAnsi="Arial"/>
          <w:b/>
          <w:sz w:val="24"/>
        </w:rPr>
      </w:pPr>
    </w:p>
    <w:p w:rsidR="00CC0062" w:rsidRPr="00CC0062" w:rsidP="00F56BB3" w14:paraId="4372BFF1" w14:textId="398AD8EE">
      <w:pPr>
        <w:pStyle w:val="ListParagraph"/>
        <w:numPr>
          <w:ilvl w:val="0"/>
          <w:numId w:val="10"/>
        </w:numPr>
        <w:jc w:val="both"/>
        <w:rPr>
          <w:rFonts w:ascii="Arial" w:hAnsi="Arial"/>
          <w:b/>
          <w:bCs/>
          <w:sz w:val="24"/>
        </w:rPr>
      </w:pPr>
      <w:r>
        <w:rPr>
          <w:rFonts w:ascii="Arial" w:hAnsi="Arial"/>
          <w:b/>
          <w:bCs/>
          <w:sz w:val="24"/>
        </w:rPr>
        <w:t xml:space="preserve"> </w:t>
      </w:r>
      <w:r w:rsidRPr="00CC0062">
        <w:rPr>
          <w:rFonts w:ascii="Arial" w:hAnsi="Arial"/>
          <w:b/>
          <w:bCs/>
          <w:sz w:val="24"/>
        </w:rPr>
        <w:t>If seeking approval to not display the expiration date for OMB approval of the information collection, explain the reasons that display would be inappropriate.</w:t>
      </w:r>
    </w:p>
    <w:p w:rsidR="00B765A5" w:rsidP="00B765A5" w14:paraId="6E9F2ACF" w14:textId="42088B91">
      <w:pPr>
        <w:jc w:val="both"/>
        <w:rPr>
          <w:rFonts w:ascii="Arial" w:hAnsi="Arial"/>
          <w:sz w:val="24"/>
        </w:rPr>
      </w:pPr>
    </w:p>
    <w:p w:rsidR="00B765A5" w:rsidP="00B765A5" w14:paraId="6B3A2EE6" w14:textId="6686C7FA">
      <w:pPr>
        <w:jc w:val="both"/>
        <w:rPr>
          <w:rFonts w:ascii="Arial" w:hAnsi="Arial"/>
          <w:sz w:val="24"/>
        </w:rPr>
      </w:pPr>
      <w:r>
        <w:rPr>
          <w:rFonts w:ascii="Arial" w:hAnsi="Arial"/>
          <w:sz w:val="24"/>
        </w:rPr>
        <w:t xml:space="preserve">The </w:t>
      </w:r>
      <w:r w:rsidR="001053B9">
        <w:rPr>
          <w:rFonts w:ascii="Arial" w:hAnsi="Arial"/>
          <w:sz w:val="24"/>
        </w:rPr>
        <w:t>forms</w:t>
      </w:r>
      <w:r w:rsidRPr="00251308" w:rsidR="001053B9">
        <w:rPr>
          <w:rFonts w:ascii="Arial" w:hAnsi="Arial"/>
          <w:sz w:val="24"/>
        </w:rPr>
        <w:t xml:space="preserve"> </w:t>
      </w:r>
      <w:r>
        <w:rPr>
          <w:rFonts w:ascii="Arial" w:hAnsi="Arial"/>
          <w:sz w:val="24"/>
        </w:rPr>
        <w:t>in this information collection will display the OMB Control Number and the OMB expiration date</w:t>
      </w:r>
      <w:r w:rsidR="00ED5D59">
        <w:rPr>
          <w:rFonts w:ascii="Arial" w:hAnsi="Arial"/>
          <w:sz w:val="24"/>
        </w:rPr>
        <w:t xml:space="preserve"> of OMB approval</w:t>
      </w:r>
      <w:r>
        <w:rPr>
          <w:rFonts w:ascii="Arial" w:hAnsi="Arial"/>
          <w:sz w:val="24"/>
        </w:rPr>
        <w:t>.</w:t>
      </w:r>
    </w:p>
    <w:p w:rsidR="00B765A5" w:rsidP="00B765A5" w14:paraId="32261661" w14:textId="77777777">
      <w:pPr>
        <w:jc w:val="both"/>
        <w:rPr>
          <w:rFonts w:ascii="Arial" w:hAnsi="Arial"/>
          <w:sz w:val="24"/>
        </w:rPr>
      </w:pPr>
    </w:p>
    <w:p w:rsidR="00B765A5" w:rsidRPr="00CC0062" w:rsidP="00CC0062" w14:paraId="7A356592" w14:textId="70449736">
      <w:pPr>
        <w:pStyle w:val="ListParagraph"/>
        <w:numPr>
          <w:ilvl w:val="0"/>
          <w:numId w:val="10"/>
        </w:numPr>
        <w:jc w:val="both"/>
        <w:rPr>
          <w:rFonts w:ascii="Arial" w:hAnsi="Arial"/>
          <w:b/>
          <w:sz w:val="24"/>
        </w:rPr>
      </w:pPr>
      <w:r>
        <w:rPr>
          <w:rFonts w:ascii="Arial" w:hAnsi="Arial"/>
          <w:b/>
          <w:bCs/>
          <w:sz w:val="24"/>
        </w:rPr>
        <w:t xml:space="preserve"> </w:t>
      </w:r>
      <w:r w:rsidRPr="00CC0062" w:rsidR="00CC0062">
        <w:rPr>
          <w:rFonts w:ascii="Arial" w:hAnsi="Arial"/>
          <w:b/>
          <w:bCs/>
          <w:sz w:val="24"/>
        </w:rPr>
        <w:t>Explain each exception to the topics of the certification statement identified in “Certification for Paperwork Reduction Act Submissions.”</w:t>
      </w:r>
    </w:p>
    <w:p w:rsidR="003F1991" w:rsidP="00B765A5" w14:paraId="59B1756E" w14:textId="77777777">
      <w:pPr>
        <w:jc w:val="both"/>
        <w:rPr>
          <w:rFonts w:ascii="Arial" w:hAnsi="Arial"/>
          <w:sz w:val="24"/>
        </w:rPr>
      </w:pPr>
    </w:p>
    <w:p w:rsidR="00694106" w:rsidP="00694106" w14:paraId="0CBF6441" w14:textId="4AFA340A">
      <w:pPr>
        <w:jc w:val="both"/>
      </w:pPr>
      <w:r>
        <w:rPr>
          <w:rFonts w:ascii="Arial" w:hAnsi="Arial"/>
          <w:sz w:val="24"/>
        </w:rPr>
        <w:t>This collection of information does not include any exceptions to the certificate statement.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937" w:rsidRPr="000718D1" w14:paraId="456B4888" w14:textId="77777777">
    <w:pPr>
      <w:pStyle w:val="Footer"/>
      <w:tabs>
        <w:tab w:val="clear" w:pos="4680"/>
        <w:tab w:val="clear" w:pos="9360"/>
      </w:tabs>
      <w:jc w:val="center"/>
      <w:rPr>
        <w:rFonts w:ascii="Arial" w:hAnsi="Arial" w:cs="Arial"/>
        <w:caps/>
        <w:noProof/>
      </w:rPr>
    </w:pPr>
    <w:r w:rsidRPr="000718D1">
      <w:rPr>
        <w:rFonts w:ascii="Arial" w:hAnsi="Arial" w:cs="Arial"/>
        <w:caps/>
      </w:rPr>
      <w:fldChar w:fldCharType="begin"/>
    </w:r>
    <w:r w:rsidRPr="000718D1">
      <w:rPr>
        <w:rFonts w:ascii="Arial" w:hAnsi="Arial" w:cs="Arial"/>
        <w:caps/>
      </w:rPr>
      <w:instrText xml:space="preserve"> PAGE   \* MERGEFORMAT </w:instrText>
    </w:r>
    <w:r w:rsidRPr="000718D1">
      <w:rPr>
        <w:rFonts w:ascii="Arial" w:hAnsi="Arial" w:cs="Arial"/>
        <w:caps/>
      </w:rPr>
      <w:fldChar w:fldCharType="separate"/>
    </w:r>
    <w:r w:rsidRPr="000718D1">
      <w:rPr>
        <w:rFonts w:ascii="Arial" w:hAnsi="Arial" w:cs="Arial"/>
        <w:caps/>
        <w:noProof/>
      </w:rPr>
      <w:t>2</w:t>
    </w:r>
    <w:r w:rsidRPr="000718D1">
      <w:rPr>
        <w:rFonts w:ascii="Arial" w:hAnsi="Arial" w:cs="Arial"/>
        <w:caps/>
        <w:noProof/>
      </w:rPr>
      <w:fldChar w:fldCharType="end"/>
    </w:r>
  </w:p>
  <w:p w:rsidR="00F650E0" w14:paraId="73BC33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7A38" w:rsidP="00E03587" w14:paraId="041C816F" w14:textId="77777777">
      <w:r>
        <w:separator/>
      </w:r>
    </w:p>
  </w:footnote>
  <w:footnote w:type="continuationSeparator" w:id="1">
    <w:p w:rsidR="00B47A38" w:rsidP="00E03587" w14:paraId="56C1951B" w14:textId="77777777">
      <w:r>
        <w:continuationSeparator/>
      </w:r>
    </w:p>
  </w:footnote>
  <w:footnote w:type="continuationNotice" w:id="2">
    <w:p w:rsidR="00B47A38" w14:paraId="27769245" w14:textId="77777777"/>
  </w:footnote>
  <w:footnote w:id="3">
    <w:p w:rsidR="00644C90" w:rsidRPr="000718D1" w14:paraId="7B59433C" w14:textId="24466DBF">
      <w:pPr>
        <w:pStyle w:val="FootnoteText"/>
        <w:rPr>
          <w:rFonts w:ascii="Arial" w:hAnsi="Arial" w:cs="Arial"/>
        </w:rPr>
      </w:pPr>
      <w:r w:rsidRPr="000718D1">
        <w:rPr>
          <w:rStyle w:val="FootnoteReference"/>
          <w:rFonts w:ascii="Arial" w:hAnsi="Arial" w:cs="Arial"/>
          <w:sz w:val="16"/>
        </w:rPr>
        <w:footnoteRef/>
      </w:r>
      <w:r w:rsidRPr="000718D1">
        <w:rPr>
          <w:rFonts w:ascii="Arial" w:hAnsi="Arial" w:cs="Arial"/>
          <w:sz w:val="16"/>
        </w:rPr>
        <w:t xml:space="preserve"> </w:t>
      </w:r>
      <w:hyperlink r:id="rId1" w:history="1">
        <w:r>
          <w:rPr>
            <w:rStyle w:val="Hyperlink"/>
            <w:rFonts w:ascii="Arial" w:hAnsi="Arial" w:cs="Arial"/>
            <w:sz w:val="16"/>
          </w:rPr>
          <w:t>https://www.govinfo.gov/content/pkg/FR-2022-10-18/pdf/2022-22566.pdf</w:t>
        </w:r>
      </w:hyperlink>
      <w:r w:rsidRPr="000718D1">
        <w:rPr>
          <w:rFonts w:ascii="Arial" w:hAnsi="Arial" w:cs="Arial"/>
          <w:sz w:val="16"/>
        </w:rPr>
        <w:t xml:space="preserve">. </w:t>
      </w:r>
    </w:p>
  </w:footnote>
  <w:footnote w:id="4">
    <w:p w:rsidR="00EB0D6D" w:rsidRPr="007F5B0B" w:rsidP="00B8287E" w14:paraId="30BD8CF0" w14:textId="77777777">
      <w:pPr>
        <w:pStyle w:val="FootnoteText"/>
        <w:rPr>
          <w:rFonts w:ascii="Arial" w:hAnsi="Arial" w:cs="Arial"/>
        </w:rPr>
      </w:pPr>
      <w:r w:rsidRPr="000718D1">
        <w:rPr>
          <w:rStyle w:val="FootnoteReference"/>
          <w:rFonts w:ascii="Arial" w:hAnsi="Arial" w:cs="Arial"/>
          <w:sz w:val="16"/>
        </w:rPr>
        <w:footnoteRef/>
      </w:r>
      <w:r w:rsidRPr="000718D1">
        <w:rPr>
          <w:rFonts w:ascii="Arial" w:hAnsi="Arial" w:cs="Arial"/>
          <w:sz w:val="16"/>
        </w:rPr>
        <w:t xml:space="preserve"> </w:t>
      </w:r>
      <w:hyperlink r:id="rId2" w:history="1">
        <w:r w:rsidRPr="000718D1">
          <w:rPr>
            <w:rStyle w:val="Hyperlink"/>
            <w:rFonts w:ascii="Arial" w:hAnsi="Arial" w:cs="Arial"/>
            <w:sz w:val="16"/>
          </w:rPr>
          <w:t>https://www.bls.gov/oes/CURRENT/oes111021.htm</w:t>
        </w:r>
      </w:hyperlink>
      <w:r w:rsidRPr="000718D1">
        <w:rPr>
          <w:rFonts w:ascii="Arial" w:hAnsi="Arial" w:cs="Arial"/>
          <w:sz w:val="16"/>
        </w:rPr>
        <w:t xml:space="preserve">. </w:t>
      </w:r>
    </w:p>
  </w:footnote>
  <w:footnote w:id="5">
    <w:p w:rsidR="00EF746A" w:rsidP="00EF746A" w14:paraId="3721D88A" w14:textId="77777777">
      <w:pPr>
        <w:pStyle w:val="FootnoteText"/>
      </w:pPr>
      <w:r w:rsidRPr="005410E5">
        <w:rPr>
          <w:rStyle w:val="FootnoteReference"/>
          <w:rFonts w:ascii="Arial" w:hAnsi="Arial" w:cs="Arial"/>
          <w:sz w:val="16"/>
          <w:szCs w:val="16"/>
        </w:rPr>
        <w:footnoteRef/>
      </w:r>
      <w:r w:rsidRPr="005410E5">
        <w:rPr>
          <w:rFonts w:ascii="Arial" w:hAnsi="Arial" w:cs="Arial"/>
          <w:sz w:val="16"/>
          <w:szCs w:val="16"/>
        </w:rPr>
        <w:t xml:space="preserve"> </w:t>
      </w:r>
      <w:hyperlink r:id="rId3" w:history="1">
        <w:r w:rsidRPr="005410E5">
          <w:rPr>
            <w:rStyle w:val="Hyperlink"/>
            <w:rFonts w:ascii="Arial" w:hAnsi="Arial" w:cs="Arial"/>
            <w:sz w:val="16"/>
            <w:szCs w:val="16"/>
          </w:rPr>
          <w:t>https://www.opm.gov/policy-data-oversight/pay-leave/salaries-wages/salary-tables/pdf/2022/DCB_h.pdf</w:t>
        </w:r>
      </w:hyperlink>
      <w:r w:rsidRPr="000718D1">
        <w:rPr>
          <w:rStyle w:val="Hyperlink"/>
          <w:rFonts w:ascii="Arial" w:hAnsi="Arial" w:cs="Arial"/>
          <w:color w:val="auto"/>
          <w:sz w:val="16"/>
          <w:szCs w:val="16"/>
          <w:u w: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14C05"/>
    <w:multiLevelType w:val="hybridMultilevel"/>
    <w:tmpl w:val="48E84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AF146F"/>
    <w:multiLevelType w:val="hybridMultilevel"/>
    <w:tmpl w:val="44167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79B63A5"/>
    <w:multiLevelType w:val="hybridMultilevel"/>
    <w:tmpl w:val="91749A06"/>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93F76FF"/>
    <w:multiLevelType w:val="hybridMultilevel"/>
    <w:tmpl w:val="4B4E8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C110AFF"/>
    <w:multiLevelType w:val="hybridMultilevel"/>
    <w:tmpl w:val="11EAB5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F80824"/>
    <w:multiLevelType w:val="hybridMultilevel"/>
    <w:tmpl w:val="723CD24A"/>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518A56E7"/>
    <w:multiLevelType w:val="hybridMultilevel"/>
    <w:tmpl w:val="921812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3B5084F"/>
    <w:multiLevelType w:val="hybridMultilevel"/>
    <w:tmpl w:val="1178A4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932923"/>
    <w:multiLevelType w:val="hybridMultilevel"/>
    <w:tmpl w:val="9F3A0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DCB0FF8"/>
    <w:multiLevelType w:val="hybridMultilevel"/>
    <w:tmpl w:val="9D78833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69B51767"/>
    <w:multiLevelType w:val="hybridMultilevel"/>
    <w:tmpl w:val="72FCCB06"/>
    <w:lvl w:ilvl="0">
      <w:start w:val="1"/>
      <w:numFmt w:val="decimal"/>
      <w:lvlText w:val="%1."/>
      <w:lvlJc w:val="left"/>
      <w:pPr>
        <w:ind w:left="360" w:hanging="360"/>
      </w:pPr>
      <w:rPr>
        <w:rFonts w:ascii="Arial" w:hAnsi="Arial" w:cs="Arial" w:hint="default"/>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AFA4370"/>
    <w:multiLevelType w:val="hybridMultilevel"/>
    <w:tmpl w:val="E5B03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7BA37426"/>
    <w:multiLevelType w:val="hybridMultilevel"/>
    <w:tmpl w:val="653ADE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E51407A"/>
    <w:multiLevelType w:val="hybridMultilevel"/>
    <w:tmpl w:val="A1888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7">
    <w:nsid w:val="7F0705CA"/>
    <w:multiLevelType w:val="hybridMultilevel"/>
    <w:tmpl w:val="86FACEB8"/>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num w:numId="1" w16cid:durableId="2121337837">
    <w:abstractNumId w:val="13"/>
  </w:num>
  <w:num w:numId="2" w16cid:durableId="279268922">
    <w:abstractNumId w:val="2"/>
  </w:num>
  <w:num w:numId="3" w16cid:durableId="783571205">
    <w:abstractNumId w:val="16"/>
  </w:num>
  <w:num w:numId="4" w16cid:durableId="750541116">
    <w:abstractNumId w:val="6"/>
  </w:num>
  <w:num w:numId="5" w16cid:durableId="993678496">
    <w:abstractNumId w:val="3"/>
  </w:num>
  <w:num w:numId="6" w16cid:durableId="449713669">
    <w:abstractNumId w:val="14"/>
  </w:num>
  <w:num w:numId="7" w16cid:durableId="380829861">
    <w:abstractNumId w:val="10"/>
  </w:num>
  <w:num w:numId="8" w16cid:durableId="1343824777">
    <w:abstractNumId w:val="15"/>
  </w:num>
  <w:num w:numId="9" w16cid:durableId="1877960594">
    <w:abstractNumId w:val="9"/>
  </w:num>
  <w:num w:numId="10" w16cid:durableId="399863927">
    <w:abstractNumId w:val="11"/>
  </w:num>
  <w:num w:numId="11" w16cid:durableId="2072194476">
    <w:abstractNumId w:val="11"/>
  </w:num>
  <w:num w:numId="12" w16cid:durableId="1462337080">
    <w:abstractNumId w:val="5"/>
  </w:num>
  <w:num w:numId="13" w16cid:durableId="8403196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8593194">
    <w:abstractNumId w:val="12"/>
  </w:num>
  <w:num w:numId="15" w16cid:durableId="983434652">
    <w:abstractNumId w:val="17"/>
  </w:num>
  <w:num w:numId="16" w16cid:durableId="1787390389">
    <w:abstractNumId w:val="4"/>
  </w:num>
  <w:num w:numId="17" w16cid:durableId="842863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9587363">
    <w:abstractNumId w:val="7"/>
  </w:num>
  <w:num w:numId="19" w16cid:durableId="1233079893">
    <w:abstractNumId w:val="1"/>
  </w:num>
  <w:num w:numId="20" w16cid:durableId="237859850">
    <w:abstractNumId w:val="8"/>
  </w:num>
  <w:num w:numId="21" w16cid:durableId="105762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A5"/>
    <w:rsid w:val="000179EF"/>
    <w:rsid w:val="00017D50"/>
    <w:rsid w:val="00021953"/>
    <w:rsid w:val="00031669"/>
    <w:rsid w:val="0003279B"/>
    <w:rsid w:val="00040CAC"/>
    <w:rsid w:val="000436AF"/>
    <w:rsid w:val="00043DA8"/>
    <w:rsid w:val="00050E07"/>
    <w:rsid w:val="00052821"/>
    <w:rsid w:val="00052D60"/>
    <w:rsid w:val="00054CE0"/>
    <w:rsid w:val="00054E33"/>
    <w:rsid w:val="0006176A"/>
    <w:rsid w:val="00061CA0"/>
    <w:rsid w:val="000662FD"/>
    <w:rsid w:val="00070EF9"/>
    <w:rsid w:val="000718D1"/>
    <w:rsid w:val="00076AED"/>
    <w:rsid w:val="00082BC3"/>
    <w:rsid w:val="00083D89"/>
    <w:rsid w:val="0008546F"/>
    <w:rsid w:val="00086ED4"/>
    <w:rsid w:val="00087240"/>
    <w:rsid w:val="00094EF9"/>
    <w:rsid w:val="00095C4F"/>
    <w:rsid w:val="00096C7F"/>
    <w:rsid w:val="00097689"/>
    <w:rsid w:val="000A0A9D"/>
    <w:rsid w:val="000A298C"/>
    <w:rsid w:val="000A2E7D"/>
    <w:rsid w:val="000A5105"/>
    <w:rsid w:val="000A6D54"/>
    <w:rsid w:val="000B5673"/>
    <w:rsid w:val="000B5B6D"/>
    <w:rsid w:val="000B79E5"/>
    <w:rsid w:val="000C2EE5"/>
    <w:rsid w:val="000D2446"/>
    <w:rsid w:val="000D3C1D"/>
    <w:rsid w:val="000E7674"/>
    <w:rsid w:val="000F160A"/>
    <w:rsid w:val="000F1FA6"/>
    <w:rsid w:val="000F237A"/>
    <w:rsid w:val="000F31DD"/>
    <w:rsid w:val="0010150A"/>
    <w:rsid w:val="00101E3C"/>
    <w:rsid w:val="001053B9"/>
    <w:rsid w:val="001139ED"/>
    <w:rsid w:val="00114190"/>
    <w:rsid w:val="00117222"/>
    <w:rsid w:val="00125E17"/>
    <w:rsid w:val="001277DC"/>
    <w:rsid w:val="0013253E"/>
    <w:rsid w:val="00135FA5"/>
    <w:rsid w:val="00136CC6"/>
    <w:rsid w:val="00141F63"/>
    <w:rsid w:val="00152127"/>
    <w:rsid w:val="0015323E"/>
    <w:rsid w:val="001538F8"/>
    <w:rsid w:val="00163A26"/>
    <w:rsid w:val="0016520E"/>
    <w:rsid w:val="00167C3C"/>
    <w:rsid w:val="00171657"/>
    <w:rsid w:val="00174B57"/>
    <w:rsid w:val="00177861"/>
    <w:rsid w:val="00180370"/>
    <w:rsid w:val="00184C1C"/>
    <w:rsid w:val="00185D73"/>
    <w:rsid w:val="00192478"/>
    <w:rsid w:val="001946A1"/>
    <w:rsid w:val="00194A24"/>
    <w:rsid w:val="001A11B9"/>
    <w:rsid w:val="001A2037"/>
    <w:rsid w:val="001A38F3"/>
    <w:rsid w:val="001A48BA"/>
    <w:rsid w:val="001A7E0C"/>
    <w:rsid w:val="001B4C9E"/>
    <w:rsid w:val="001B61B8"/>
    <w:rsid w:val="001B65B7"/>
    <w:rsid w:val="001B6776"/>
    <w:rsid w:val="001B6B2A"/>
    <w:rsid w:val="001C11BB"/>
    <w:rsid w:val="001C21C7"/>
    <w:rsid w:val="001C51D2"/>
    <w:rsid w:val="001C5DC8"/>
    <w:rsid w:val="001D6355"/>
    <w:rsid w:val="001E0546"/>
    <w:rsid w:val="001E15E6"/>
    <w:rsid w:val="001E2D8C"/>
    <w:rsid w:val="001E6B9B"/>
    <w:rsid w:val="001F25E4"/>
    <w:rsid w:val="001F3C8E"/>
    <w:rsid w:val="001F5CD9"/>
    <w:rsid w:val="001F67E8"/>
    <w:rsid w:val="0020134B"/>
    <w:rsid w:val="00204142"/>
    <w:rsid w:val="0020661A"/>
    <w:rsid w:val="00214B33"/>
    <w:rsid w:val="00216B80"/>
    <w:rsid w:val="002202DB"/>
    <w:rsid w:val="00226401"/>
    <w:rsid w:val="00231C66"/>
    <w:rsid w:val="00234717"/>
    <w:rsid w:val="00235F21"/>
    <w:rsid w:val="00236A50"/>
    <w:rsid w:val="00237D78"/>
    <w:rsid w:val="00241A15"/>
    <w:rsid w:val="00251308"/>
    <w:rsid w:val="00252117"/>
    <w:rsid w:val="002530F1"/>
    <w:rsid w:val="002559A9"/>
    <w:rsid w:val="002600D3"/>
    <w:rsid w:val="00260663"/>
    <w:rsid w:val="00262397"/>
    <w:rsid w:val="00263411"/>
    <w:rsid w:val="00263737"/>
    <w:rsid w:val="00263868"/>
    <w:rsid w:val="002675CE"/>
    <w:rsid w:val="002709AE"/>
    <w:rsid w:val="00275566"/>
    <w:rsid w:val="00281DB8"/>
    <w:rsid w:val="00292959"/>
    <w:rsid w:val="002A7577"/>
    <w:rsid w:val="002B0727"/>
    <w:rsid w:val="002B1BA1"/>
    <w:rsid w:val="002B62DD"/>
    <w:rsid w:val="002C1260"/>
    <w:rsid w:val="002C1780"/>
    <w:rsid w:val="002C4BFA"/>
    <w:rsid w:val="002D3C88"/>
    <w:rsid w:val="002E45AA"/>
    <w:rsid w:val="002E6299"/>
    <w:rsid w:val="002F6182"/>
    <w:rsid w:val="003054FF"/>
    <w:rsid w:val="00306D15"/>
    <w:rsid w:val="003104A2"/>
    <w:rsid w:val="00313311"/>
    <w:rsid w:val="003212D3"/>
    <w:rsid w:val="00322F9C"/>
    <w:rsid w:val="00324C5D"/>
    <w:rsid w:val="00333704"/>
    <w:rsid w:val="00334609"/>
    <w:rsid w:val="00340DB7"/>
    <w:rsid w:val="003417F0"/>
    <w:rsid w:val="00341AB9"/>
    <w:rsid w:val="00343ED0"/>
    <w:rsid w:val="0034688D"/>
    <w:rsid w:val="00346D30"/>
    <w:rsid w:val="00353CDA"/>
    <w:rsid w:val="003611D2"/>
    <w:rsid w:val="0036585B"/>
    <w:rsid w:val="00380FB5"/>
    <w:rsid w:val="0038126F"/>
    <w:rsid w:val="0038127B"/>
    <w:rsid w:val="0038418D"/>
    <w:rsid w:val="0038688E"/>
    <w:rsid w:val="003947F7"/>
    <w:rsid w:val="003B385C"/>
    <w:rsid w:val="003B4533"/>
    <w:rsid w:val="003B4E18"/>
    <w:rsid w:val="003B5D3F"/>
    <w:rsid w:val="003C2332"/>
    <w:rsid w:val="003C2AC8"/>
    <w:rsid w:val="003C5B7E"/>
    <w:rsid w:val="003D10BA"/>
    <w:rsid w:val="003D178E"/>
    <w:rsid w:val="003D39F3"/>
    <w:rsid w:val="003D433D"/>
    <w:rsid w:val="003D4694"/>
    <w:rsid w:val="003D5796"/>
    <w:rsid w:val="003E35B3"/>
    <w:rsid w:val="003E5391"/>
    <w:rsid w:val="003F1457"/>
    <w:rsid w:val="003F1991"/>
    <w:rsid w:val="003F42E4"/>
    <w:rsid w:val="003F7D81"/>
    <w:rsid w:val="00406178"/>
    <w:rsid w:val="00406FF5"/>
    <w:rsid w:val="00412D4C"/>
    <w:rsid w:val="004246DE"/>
    <w:rsid w:val="004262FC"/>
    <w:rsid w:val="00426A83"/>
    <w:rsid w:val="00427308"/>
    <w:rsid w:val="00427926"/>
    <w:rsid w:val="004317CA"/>
    <w:rsid w:val="00435444"/>
    <w:rsid w:val="00446908"/>
    <w:rsid w:val="00447836"/>
    <w:rsid w:val="0046100C"/>
    <w:rsid w:val="0046356B"/>
    <w:rsid w:val="004655E3"/>
    <w:rsid w:val="0046604E"/>
    <w:rsid w:val="0047509B"/>
    <w:rsid w:val="00476089"/>
    <w:rsid w:val="00481976"/>
    <w:rsid w:val="00482628"/>
    <w:rsid w:val="004847AE"/>
    <w:rsid w:val="00494182"/>
    <w:rsid w:val="00494CCF"/>
    <w:rsid w:val="004958FA"/>
    <w:rsid w:val="00496589"/>
    <w:rsid w:val="00497011"/>
    <w:rsid w:val="004A401A"/>
    <w:rsid w:val="004A7269"/>
    <w:rsid w:val="004B1548"/>
    <w:rsid w:val="004B1551"/>
    <w:rsid w:val="004B41D6"/>
    <w:rsid w:val="004B56EC"/>
    <w:rsid w:val="004B5AD6"/>
    <w:rsid w:val="004B739D"/>
    <w:rsid w:val="004C4DAB"/>
    <w:rsid w:val="004C67A6"/>
    <w:rsid w:val="004C71BC"/>
    <w:rsid w:val="004D0111"/>
    <w:rsid w:val="004D2159"/>
    <w:rsid w:val="004E7B48"/>
    <w:rsid w:val="004F733C"/>
    <w:rsid w:val="00500727"/>
    <w:rsid w:val="00507E31"/>
    <w:rsid w:val="00510B30"/>
    <w:rsid w:val="00511FB3"/>
    <w:rsid w:val="005122C9"/>
    <w:rsid w:val="0051571C"/>
    <w:rsid w:val="00526937"/>
    <w:rsid w:val="00530AD3"/>
    <w:rsid w:val="00530D40"/>
    <w:rsid w:val="00531DF3"/>
    <w:rsid w:val="00537969"/>
    <w:rsid w:val="005410E5"/>
    <w:rsid w:val="00551ADE"/>
    <w:rsid w:val="00552352"/>
    <w:rsid w:val="00552C30"/>
    <w:rsid w:val="00555C67"/>
    <w:rsid w:val="00556F7C"/>
    <w:rsid w:val="005574D1"/>
    <w:rsid w:val="0056363B"/>
    <w:rsid w:val="005720EA"/>
    <w:rsid w:val="0057266D"/>
    <w:rsid w:val="005726C7"/>
    <w:rsid w:val="0057311B"/>
    <w:rsid w:val="00573A30"/>
    <w:rsid w:val="00581667"/>
    <w:rsid w:val="00586C21"/>
    <w:rsid w:val="00593FAF"/>
    <w:rsid w:val="00595C5A"/>
    <w:rsid w:val="005A0E68"/>
    <w:rsid w:val="005A72B2"/>
    <w:rsid w:val="005B2440"/>
    <w:rsid w:val="005B6A47"/>
    <w:rsid w:val="005C656C"/>
    <w:rsid w:val="005D7D01"/>
    <w:rsid w:val="005E06D6"/>
    <w:rsid w:val="005F13B0"/>
    <w:rsid w:val="005F1819"/>
    <w:rsid w:val="005F1CA7"/>
    <w:rsid w:val="005F5C74"/>
    <w:rsid w:val="005F635E"/>
    <w:rsid w:val="005F7332"/>
    <w:rsid w:val="00600612"/>
    <w:rsid w:val="00617A67"/>
    <w:rsid w:val="00626D3B"/>
    <w:rsid w:val="006355D9"/>
    <w:rsid w:val="00644C90"/>
    <w:rsid w:val="006513B7"/>
    <w:rsid w:val="0065283F"/>
    <w:rsid w:val="006559D9"/>
    <w:rsid w:val="00655E24"/>
    <w:rsid w:val="00656CD4"/>
    <w:rsid w:val="00657D20"/>
    <w:rsid w:val="00672395"/>
    <w:rsid w:val="00674A02"/>
    <w:rsid w:val="00683C62"/>
    <w:rsid w:val="00683DF7"/>
    <w:rsid w:val="00687C56"/>
    <w:rsid w:val="006929E1"/>
    <w:rsid w:val="00693439"/>
    <w:rsid w:val="00694106"/>
    <w:rsid w:val="006A162B"/>
    <w:rsid w:val="006A358D"/>
    <w:rsid w:val="006A4B76"/>
    <w:rsid w:val="006B6F71"/>
    <w:rsid w:val="006B75A0"/>
    <w:rsid w:val="006C2226"/>
    <w:rsid w:val="006D75C1"/>
    <w:rsid w:val="006E062C"/>
    <w:rsid w:val="006E28A6"/>
    <w:rsid w:val="006E37DB"/>
    <w:rsid w:val="006E568A"/>
    <w:rsid w:val="006F0FB2"/>
    <w:rsid w:val="006F108D"/>
    <w:rsid w:val="006F2186"/>
    <w:rsid w:val="006F22A2"/>
    <w:rsid w:val="006F7A02"/>
    <w:rsid w:val="007022D2"/>
    <w:rsid w:val="00707C2E"/>
    <w:rsid w:val="00714A96"/>
    <w:rsid w:val="00715EBB"/>
    <w:rsid w:val="00716001"/>
    <w:rsid w:val="00724099"/>
    <w:rsid w:val="007276CF"/>
    <w:rsid w:val="00734303"/>
    <w:rsid w:val="007419CB"/>
    <w:rsid w:val="00741DAC"/>
    <w:rsid w:val="00753DF0"/>
    <w:rsid w:val="00756F1C"/>
    <w:rsid w:val="007622BE"/>
    <w:rsid w:val="0076250A"/>
    <w:rsid w:val="00763869"/>
    <w:rsid w:val="00764A58"/>
    <w:rsid w:val="007659D7"/>
    <w:rsid w:val="0077253D"/>
    <w:rsid w:val="007735E0"/>
    <w:rsid w:val="00773AA7"/>
    <w:rsid w:val="00775821"/>
    <w:rsid w:val="00776D29"/>
    <w:rsid w:val="007811B3"/>
    <w:rsid w:val="00781B30"/>
    <w:rsid w:val="007834B0"/>
    <w:rsid w:val="00784634"/>
    <w:rsid w:val="00791B29"/>
    <w:rsid w:val="007A4508"/>
    <w:rsid w:val="007A6727"/>
    <w:rsid w:val="007A7498"/>
    <w:rsid w:val="007A756E"/>
    <w:rsid w:val="007ABFFB"/>
    <w:rsid w:val="007B1ADD"/>
    <w:rsid w:val="007B5F94"/>
    <w:rsid w:val="007D16F1"/>
    <w:rsid w:val="007D1953"/>
    <w:rsid w:val="007D3B20"/>
    <w:rsid w:val="007D4209"/>
    <w:rsid w:val="007D5635"/>
    <w:rsid w:val="007E0CC1"/>
    <w:rsid w:val="007E145B"/>
    <w:rsid w:val="007E2E97"/>
    <w:rsid w:val="007E306C"/>
    <w:rsid w:val="007E48B7"/>
    <w:rsid w:val="007E64DC"/>
    <w:rsid w:val="007F5B0B"/>
    <w:rsid w:val="007F7E1F"/>
    <w:rsid w:val="00801A15"/>
    <w:rsid w:val="00802731"/>
    <w:rsid w:val="00803053"/>
    <w:rsid w:val="00807D63"/>
    <w:rsid w:val="008113E1"/>
    <w:rsid w:val="00812D64"/>
    <w:rsid w:val="00815176"/>
    <w:rsid w:val="008256A3"/>
    <w:rsid w:val="008260B2"/>
    <w:rsid w:val="008265E3"/>
    <w:rsid w:val="0083152D"/>
    <w:rsid w:val="0083198E"/>
    <w:rsid w:val="008359CF"/>
    <w:rsid w:val="008437F9"/>
    <w:rsid w:val="00847940"/>
    <w:rsid w:val="00847A35"/>
    <w:rsid w:val="008530FB"/>
    <w:rsid w:val="00860F33"/>
    <w:rsid w:val="008664A0"/>
    <w:rsid w:val="008667EE"/>
    <w:rsid w:val="00875F28"/>
    <w:rsid w:val="00876E24"/>
    <w:rsid w:val="00877A4C"/>
    <w:rsid w:val="0088759C"/>
    <w:rsid w:val="0088776B"/>
    <w:rsid w:val="00897ACC"/>
    <w:rsid w:val="008A1A90"/>
    <w:rsid w:val="008A513C"/>
    <w:rsid w:val="008A63EA"/>
    <w:rsid w:val="008B189E"/>
    <w:rsid w:val="008B4D89"/>
    <w:rsid w:val="008B4DD0"/>
    <w:rsid w:val="008B77B5"/>
    <w:rsid w:val="008C11D5"/>
    <w:rsid w:val="008C4076"/>
    <w:rsid w:val="008C5F8F"/>
    <w:rsid w:val="008D4FF1"/>
    <w:rsid w:val="008D706C"/>
    <w:rsid w:val="008D7AA5"/>
    <w:rsid w:val="008E1811"/>
    <w:rsid w:val="008E27CC"/>
    <w:rsid w:val="008E3631"/>
    <w:rsid w:val="008F4141"/>
    <w:rsid w:val="00904C53"/>
    <w:rsid w:val="00906908"/>
    <w:rsid w:val="009134B1"/>
    <w:rsid w:val="0091360A"/>
    <w:rsid w:val="00915601"/>
    <w:rsid w:val="009216BD"/>
    <w:rsid w:val="00925A38"/>
    <w:rsid w:val="009262BB"/>
    <w:rsid w:val="00927F00"/>
    <w:rsid w:val="00931F6F"/>
    <w:rsid w:val="00932309"/>
    <w:rsid w:val="009365DC"/>
    <w:rsid w:val="0093746D"/>
    <w:rsid w:val="0094579E"/>
    <w:rsid w:val="00951609"/>
    <w:rsid w:val="00951F01"/>
    <w:rsid w:val="00955277"/>
    <w:rsid w:val="00955B5D"/>
    <w:rsid w:val="009613C3"/>
    <w:rsid w:val="00961ACD"/>
    <w:rsid w:val="00966726"/>
    <w:rsid w:val="009711AE"/>
    <w:rsid w:val="009778ED"/>
    <w:rsid w:val="0098141C"/>
    <w:rsid w:val="00983232"/>
    <w:rsid w:val="009872F6"/>
    <w:rsid w:val="0099229C"/>
    <w:rsid w:val="00993FC6"/>
    <w:rsid w:val="00996F77"/>
    <w:rsid w:val="009A0D4C"/>
    <w:rsid w:val="009A3A45"/>
    <w:rsid w:val="009B1767"/>
    <w:rsid w:val="009B43BB"/>
    <w:rsid w:val="009B531E"/>
    <w:rsid w:val="009B72AB"/>
    <w:rsid w:val="009B7A59"/>
    <w:rsid w:val="009C088A"/>
    <w:rsid w:val="009C1766"/>
    <w:rsid w:val="009C2282"/>
    <w:rsid w:val="009C7A11"/>
    <w:rsid w:val="009D7BD9"/>
    <w:rsid w:val="009E29E1"/>
    <w:rsid w:val="009E5BE4"/>
    <w:rsid w:val="009F0E55"/>
    <w:rsid w:val="009F0F73"/>
    <w:rsid w:val="009F147B"/>
    <w:rsid w:val="00A0071C"/>
    <w:rsid w:val="00A00762"/>
    <w:rsid w:val="00A00E69"/>
    <w:rsid w:val="00A04341"/>
    <w:rsid w:val="00A04B10"/>
    <w:rsid w:val="00A109B7"/>
    <w:rsid w:val="00A16696"/>
    <w:rsid w:val="00A2024D"/>
    <w:rsid w:val="00A202A1"/>
    <w:rsid w:val="00A24A9C"/>
    <w:rsid w:val="00A25DC0"/>
    <w:rsid w:val="00A31382"/>
    <w:rsid w:val="00A319AD"/>
    <w:rsid w:val="00A33E7A"/>
    <w:rsid w:val="00A359B5"/>
    <w:rsid w:val="00A408AB"/>
    <w:rsid w:val="00A44788"/>
    <w:rsid w:val="00A462D4"/>
    <w:rsid w:val="00A46460"/>
    <w:rsid w:val="00A46A85"/>
    <w:rsid w:val="00A47F26"/>
    <w:rsid w:val="00A5118D"/>
    <w:rsid w:val="00A55003"/>
    <w:rsid w:val="00A6307C"/>
    <w:rsid w:val="00A70A8C"/>
    <w:rsid w:val="00A7372A"/>
    <w:rsid w:val="00A805BF"/>
    <w:rsid w:val="00A8384D"/>
    <w:rsid w:val="00A84E67"/>
    <w:rsid w:val="00A861C6"/>
    <w:rsid w:val="00A86FA1"/>
    <w:rsid w:val="00AA36F9"/>
    <w:rsid w:val="00AA5CFF"/>
    <w:rsid w:val="00AB17B0"/>
    <w:rsid w:val="00AB1F7A"/>
    <w:rsid w:val="00AB5DF7"/>
    <w:rsid w:val="00AB7200"/>
    <w:rsid w:val="00AB77D7"/>
    <w:rsid w:val="00AD5B83"/>
    <w:rsid w:val="00AD6B64"/>
    <w:rsid w:val="00AE6981"/>
    <w:rsid w:val="00AF6F5B"/>
    <w:rsid w:val="00B001AB"/>
    <w:rsid w:val="00B03500"/>
    <w:rsid w:val="00B05C0D"/>
    <w:rsid w:val="00B10E87"/>
    <w:rsid w:val="00B171FE"/>
    <w:rsid w:val="00B258D9"/>
    <w:rsid w:val="00B3005C"/>
    <w:rsid w:val="00B30FD1"/>
    <w:rsid w:val="00B34EB4"/>
    <w:rsid w:val="00B34FAD"/>
    <w:rsid w:val="00B43B9E"/>
    <w:rsid w:val="00B45631"/>
    <w:rsid w:val="00B47A38"/>
    <w:rsid w:val="00B57A0F"/>
    <w:rsid w:val="00B64A38"/>
    <w:rsid w:val="00B7487D"/>
    <w:rsid w:val="00B74A38"/>
    <w:rsid w:val="00B765A5"/>
    <w:rsid w:val="00B8287E"/>
    <w:rsid w:val="00B82C23"/>
    <w:rsid w:val="00B84628"/>
    <w:rsid w:val="00B8712F"/>
    <w:rsid w:val="00B87BE5"/>
    <w:rsid w:val="00B920E8"/>
    <w:rsid w:val="00B93A12"/>
    <w:rsid w:val="00BB0F2A"/>
    <w:rsid w:val="00BB5BEF"/>
    <w:rsid w:val="00BC1AEE"/>
    <w:rsid w:val="00BC3241"/>
    <w:rsid w:val="00BC6085"/>
    <w:rsid w:val="00BC716D"/>
    <w:rsid w:val="00BD1193"/>
    <w:rsid w:val="00BD140B"/>
    <w:rsid w:val="00BD63FE"/>
    <w:rsid w:val="00BE2E2E"/>
    <w:rsid w:val="00BE7486"/>
    <w:rsid w:val="00BEBA70"/>
    <w:rsid w:val="00BF3F7F"/>
    <w:rsid w:val="00C03786"/>
    <w:rsid w:val="00C17AA6"/>
    <w:rsid w:val="00C305FE"/>
    <w:rsid w:val="00C3359C"/>
    <w:rsid w:val="00C33961"/>
    <w:rsid w:val="00C36169"/>
    <w:rsid w:val="00C41AFB"/>
    <w:rsid w:val="00C41E9D"/>
    <w:rsid w:val="00C42E7A"/>
    <w:rsid w:val="00C50C07"/>
    <w:rsid w:val="00C54895"/>
    <w:rsid w:val="00C62B22"/>
    <w:rsid w:val="00C63FBA"/>
    <w:rsid w:val="00C6661E"/>
    <w:rsid w:val="00C673A0"/>
    <w:rsid w:val="00C77D34"/>
    <w:rsid w:val="00C82AA6"/>
    <w:rsid w:val="00C87CE5"/>
    <w:rsid w:val="00C93A80"/>
    <w:rsid w:val="00C94543"/>
    <w:rsid w:val="00C96B54"/>
    <w:rsid w:val="00C978E2"/>
    <w:rsid w:val="00CA6E15"/>
    <w:rsid w:val="00CA7A39"/>
    <w:rsid w:val="00CB2CD9"/>
    <w:rsid w:val="00CB5A5A"/>
    <w:rsid w:val="00CB60FB"/>
    <w:rsid w:val="00CC0062"/>
    <w:rsid w:val="00CC1888"/>
    <w:rsid w:val="00CC1A1E"/>
    <w:rsid w:val="00CC4C55"/>
    <w:rsid w:val="00CC6503"/>
    <w:rsid w:val="00CD3DF2"/>
    <w:rsid w:val="00CF16DD"/>
    <w:rsid w:val="00CF262C"/>
    <w:rsid w:val="00CF39BE"/>
    <w:rsid w:val="00CF44F2"/>
    <w:rsid w:val="00CF658D"/>
    <w:rsid w:val="00D06736"/>
    <w:rsid w:val="00D067B0"/>
    <w:rsid w:val="00D132E4"/>
    <w:rsid w:val="00D21190"/>
    <w:rsid w:val="00D21792"/>
    <w:rsid w:val="00D22DF2"/>
    <w:rsid w:val="00D34F22"/>
    <w:rsid w:val="00D43F76"/>
    <w:rsid w:val="00D51420"/>
    <w:rsid w:val="00D52784"/>
    <w:rsid w:val="00D52827"/>
    <w:rsid w:val="00D56658"/>
    <w:rsid w:val="00D67D23"/>
    <w:rsid w:val="00D711AF"/>
    <w:rsid w:val="00D72F81"/>
    <w:rsid w:val="00D73B7E"/>
    <w:rsid w:val="00D77D10"/>
    <w:rsid w:val="00D82167"/>
    <w:rsid w:val="00D82989"/>
    <w:rsid w:val="00D83728"/>
    <w:rsid w:val="00D83DB8"/>
    <w:rsid w:val="00D83EE0"/>
    <w:rsid w:val="00D84286"/>
    <w:rsid w:val="00D856F2"/>
    <w:rsid w:val="00D858ED"/>
    <w:rsid w:val="00D9241F"/>
    <w:rsid w:val="00D96A99"/>
    <w:rsid w:val="00DA4A39"/>
    <w:rsid w:val="00DA74A4"/>
    <w:rsid w:val="00DB2D59"/>
    <w:rsid w:val="00DB587A"/>
    <w:rsid w:val="00DC24AC"/>
    <w:rsid w:val="00DC2BF4"/>
    <w:rsid w:val="00DC2C8D"/>
    <w:rsid w:val="00DC5B8E"/>
    <w:rsid w:val="00DD1906"/>
    <w:rsid w:val="00DD4A97"/>
    <w:rsid w:val="00DD630D"/>
    <w:rsid w:val="00DE0477"/>
    <w:rsid w:val="00DE7B37"/>
    <w:rsid w:val="00DF38C4"/>
    <w:rsid w:val="00DF3DB7"/>
    <w:rsid w:val="00E0179F"/>
    <w:rsid w:val="00E01FF0"/>
    <w:rsid w:val="00E03587"/>
    <w:rsid w:val="00E03842"/>
    <w:rsid w:val="00E04939"/>
    <w:rsid w:val="00E04C09"/>
    <w:rsid w:val="00E0699E"/>
    <w:rsid w:val="00E13F60"/>
    <w:rsid w:val="00E1631F"/>
    <w:rsid w:val="00E1790D"/>
    <w:rsid w:val="00E24E1E"/>
    <w:rsid w:val="00E27C59"/>
    <w:rsid w:val="00E332B9"/>
    <w:rsid w:val="00E33A4A"/>
    <w:rsid w:val="00E357DD"/>
    <w:rsid w:val="00E43815"/>
    <w:rsid w:val="00E44B37"/>
    <w:rsid w:val="00E45E22"/>
    <w:rsid w:val="00E51069"/>
    <w:rsid w:val="00E625E6"/>
    <w:rsid w:val="00E65433"/>
    <w:rsid w:val="00E662C3"/>
    <w:rsid w:val="00E822CD"/>
    <w:rsid w:val="00E825B0"/>
    <w:rsid w:val="00E8300B"/>
    <w:rsid w:val="00E834C5"/>
    <w:rsid w:val="00E852EB"/>
    <w:rsid w:val="00E86B92"/>
    <w:rsid w:val="00E87CEF"/>
    <w:rsid w:val="00E91792"/>
    <w:rsid w:val="00E92062"/>
    <w:rsid w:val="00E926F9"/>
    <w:rsid w:val="00E97B15"/>
    <w:rsid w:val="00EA0BF0"/>
    <w:rsid w:val="00EA1580"/>
    <w:rsid w:val="00EA242A"/>
    <w:rsid w:val="00EA436B"/>
    <w:rsid w:val="00EA550A"/>
    <w:rsid w:val="00EB0D6D"/>
    <w:rsid w:val="00EB3EE0"/>
    <w:rsid w:val="00EC042E"/>
    <w:rsid w:val="00EC045A"/>
    <w:rsid w:val="00EC1089"/>
    <w:rsid w:val="00EC467C"/>
    <w:rsid w:val="00EC5223"/>
    <w:rsid w:val="00EC6DD1"/>
    <w:rsid w:val="00ED115D"/>
    <w:rsid w:val="00ED1273"/>
    <w:rsid w:val="00ED139F"/>
    <w:rsid w:val="00ED5D59"/>
    <w:rsid w:val="00EE062B"/>
    <w:rsid w:val="00EE6BE8"/>
    <w:rsid w:val="00EF0103"/>
    <w:rsid w:val="00EF0AD6"/>
    <w:rsid w:val="00EF1F57"/>
    <w:rsid w:val="00EF746A"/>
    <w:rsid w:val="00F005E6"/>
    <w:rsid w:val="00F02FB0"/>
    <w:rsid w:val="00F0632D"/>
    <w:rsid w:val="00F14A68"/>
    <w:rsid w:val="00F167F7"/>
    <w:rsid w:val="00F225A9"/>
    <w:rsid w:val="00F240A5"/>
    <w:rsid w:val="00F24612"/>
    <w:rsid w:val="00F329CD"/>
    <w:rsid w:val="00F35366"/>
    <w:rsid w:val="00F421D9"/>
    <w:rsid w:val="00F42314"/>
    <w:rsid w:val="00F443C2"/>
    <w:rsid w:val="00F461F3"/>
    <w:rsid w:val="00F52229"/>
    <w:rsid w:val="00F56BB3"/>
    <w:rsid w:val="00F650E0"/>
    <w:rsid w:val="00F753B7"/>
    <w:rsid w:val="00F803C3"/>
    <w:rsid w:val="00F85F5E"/>
    <w:rsid w:val="00F86A64"/>
    <w:rsid w:val="00F90744"/>
    <w:rsid w:val="00F93DB7"/>
    <w:rsid w:val="00F95191"/>
    <w:rsid w:val="00FA60D8"/>
    <w:rsid w:val="00FB7C37"/>
    <w:rsid w:val="00FB7DD5"/>
    <w:rsid w:val="00FC3395"/>
    <w:rsid w:val="00FC6DC9"/>
    <w:rsid w:val="00FC781C"/>
    <w:rsid w:val="00FE322F"/>
    <w:rsid w:val="00FE405D"/>
    <w:rsid w:val="00FF4C4A"/>
    <w:rsid w:val="00FF6710"/>
    <w:rsid w:val="01AC066F"/>
    <w:rsid w:val="02CDF9A9"/>
    <w:rsid w:val="03AE07F7"/>
    <w:rsid w:val="03BCD74F"/>
    <w:rsid w:val="040A1DF7"/>
    <w:rsid w:val="05369F6C"/>
    <w:rsid w:val="08E63773"/>
    <w:rsid w:val="08E710D0"/>
    <w:rsid w:val="093944A4"/>
    <w:rsid w:val="0961A633"/>
    <w:rsid w:val="09C00BA8"/>
    <w:rsid w:val="0A40E337"/>
    <w:rsid w:val="0C76C1A9"/>
    <w:rsid w:val="0CE2E673"/>
    <w:rsid w:val="0EE6648E"/>
    <w:rsid w:val="0EF6C666"/>
    <w:rsid w:val="1061CF29"/>
    <w:rsid w:val="10886F37"/>
    <w:rsid w:val="10FAD632"/>
    <w:rsid w:val="11311202"/>
    <w:rsid w:val="11872BF5"/>
    <w:rsid w:val="12674F45"/>
    <w:rsid w:val="12C7359B"/>
    <w:rsid w:val="12E5DBDA"/>
    <w:rsid w:val="1351D40C"/>
    <w:rsid w:val="1401724A"/>
    <w:rsid w:val="1492EF0B"/>
    <w:rsid w:val="14C85154"/>
    <w:rsid w:val="15973492"/>
    <w:rsid w:val="15D3B42E"/>
    <w:rsid w:val="16E1B054"/>
    <w:rsid w:val="170A7C84"/>
    <w:rsid w:val="171D19DC"/>
    <w:rsid w:val="181BC72A"/>
    <w:rsid w:val="18B0D082"/>
    <w:rsid w:val="19127E8C"/>
    <w:rsid w:val="192BA0C5"/>
    <w:rsid w:val="193E6C15"/>
    <w:rsid w:val="1B6E8406"/>
    <w:rsid w:val="1BC9558B"/>
    <w:rsid w:val="1CB29317"/>
    <w:rsid w:val="1CE0C701"/>
    <w:rsid w:val="1D05F41B"/>
    <w:rsid w:val="1D902709"/>
    <w:rsid w:val="1E6EE116"/>
    <w:rsid w:val="1EBCE66C"/>
    <w:rsid w:val="1F14DD3F"/>
    <w:rsid w:val="1F3F8328"/>
    <w:rsid w:val="20985555"/>
    <w:rsid w:val="20A946AD"/>
    <w:rsid w:val="20AB8AA9"/>
    <w:rsid w:val="210FAECE"/>
    <w:rsid w:val="21A37E03"/>
    <w:rsid w:val="221EA74C"/>
    <w:rsid w:val="2226A083"/>
    <w:rsid w:val="2259FAA9"/>
    <w:rsid w:val="22AEFCE9"/>
    <w:rsid w:val="242FEA2B"/>
    <w:rsid w:val="244C7D11"/>
    <w:rsid w:val="24E3C97C"/>
    <w:rsid w:val="2518E5B1"/>
    <w:rsid w:val="26E4EE24"/>
    <w:rsid w:val="2851DBF8"/>
    <w:rsid w:val="293F5B2E"/>
    <w:rsid w:val="298FBB12"/>
    <w:rsid w:val="29C0F016"/>
    <w:rsid w:val="2A8E04BB"/>
    <w:rsid w:val="2A9FBE28"/>
    <w:rsid w:val="2AD982C9"/>
    <w:rsid w:val="2B163205"/>
    <w:rsid w:val="2B6361D8"/>
    <w:rsid w:val="2B68AC9C"/>
    <w:rsid w:val="2CFEEB68"/>
    <w:rsid w:val="2D7C1FE8"/>
    <w:rsid w:val="2DFA6626"/>
    <w:rsid w:val="2E2E127E"/>
    <w:rsid w:val="2E405D38"/>
    <w:rsid w:val="2F4B7225"/>
    <w:rsid w:val="303D79D4"/>
    <w:rsid w:val="3069A297"/>
    <w:rsid w:val="3114F408"/>
    <w:rsid w:val="31E460D0"/>
    <w:rsid w:val="32391807"/>
    <w:rsid w:val="330753FB"/>
    <w:rsid w:val="33B5CB86"/>
    <w:rsid w:val="340A6D95"/>
    <w:rsid w:val="34E5109D"/>
    <w:rsid w:val="35AE466D"/>
    <w:rsid w:val="36DFE7EA"/>
    <w:rsid w:val="375A743E"/>
    <w:rsid w:val="391A2B35"/>
    <w:rsid w:val="398DA9E7"/>
    <w:rsid w:val="3A7FB720"/>
    <w:rsid w:val="3B36DC8E"/>
    <w:rsid w:val="3B5446C0"/>
    <w:rsid w:val="3C5A940A"/>
    <w:rsid w:val="3C6FB8AE"/>
    <w:rsid w:val="4066106D"/>
    <w:rsid w:val="408B0E0D"/>
    <w:rsid w:val="40C09213"/>
    <w:rsid w:val="40FC47F5"/>
    <w:rsid w:val="41C61DA8"/>
    <w:rsid w:val="424D78C9"/>
    <w:rsid w:val="4377E318"/>
    <w:rsid w:val="4482E0D6"/>
    <w:rsid w:val="44FBB2B8"/>
    <w:rsid w:val="452E02AD"/>
    <w:rsid w:val="4547FAD2"/>
    <w:rsid w:val="461860A7"/>
    <w:rsid w:val="4682AE17"/>
    <w:rsid w:val="48BB67BD"/>
    <w:rsid w:val="48DEBAFA"/>
    <w:rsid w:val="49D4D837"/>
    <w:rsid w:val="4A3084C6"/>
    <w:rsid w:val="4AB42EA0"/>
    <w:rsid w:val="4C607349"/>
    <w:rsid w:val="4D2BC43E"/>
    <w:rsid w:val="4D796806"/>
    <w:rsid w:val="4DE39FC6"/>
    <w:rsid w:val="4EDC4D95"/>
    <w:rsid w:val="4F054240"/>
    <w:rsid w:val="4F085F24"/>
    <w:rsid w:val="4F4910B5"/>
    <w:rsid w:val="514130C4"/>
    <w:rsid w:val="525C508C"/>
    <w:rsid w:val="527A2476"/>
    <w:rsid w:val="52F5A734"/>
    <w:rsid w:val="534CB056"/>
    <w:rsid w:val="53B4A476"/>
    <w:rsid w:val="5465129C"/>
    <w:rsid w:val="546B0DF2"/>
    <w:rsid w:val="556E56DA"/>
    <w:rsid w:val="5571081D"/>
    <w:rsid w:val="563E4A7E"/>
    <w:rsid w:val="5798F4B0"/>
    <w:rsid w:val="586DB9E9"/>
    <w:rsid w:val="587B2D12"/>
    <w:rsid w:val="58D1C36B"/>
    <w:rsid w:val="5A9313A8"/>
    <w:rsid w:val="5C2D8ECE"/>
    <w:rsid w:val="5C37E329"/>
    <w:rsid w:val="5CBE5213"/>
    <w:rsid w:val="5CDD1C0D"/>
    <w:rsid w:val="5CFA2ABA"/>
    <w:rsid w:val="5D7FA87E"/>
    <w:rsid w:val="5FCEA309"/>
    <w:rsid w:val="60CCE042"/>
    <w:rsid w:val="610E0ED0"/>
    <w:rsid w:val="616D0699"/>
    <w:rsid w:val="61A36B89"/>
    <w:rsid w:val="632E1E09"/>
    <w:rsid w:val="63F7E295"/>
    <w:rsid w:val="646E4729"/>
    <w:rsid w:val="667B717D"/>
    <w:rsid w:val="6782947C"/>
    <w:rsid w:val="679FA904"/>
    <w:rsid w:val="67B553EF"/>
    <w:rsid w:val="67C09F65"/>
    <w:rsid w:val="686F1047"/>
    <w:rsid w:val="68ABD1BA"/>
    <w:rsid w:val="68B37907"/>
    <w:rsid w:val="69CA0ADB"/>
    <w:rsid w:val="6A5F2E79"/>
    <w:rsid w:val="6B451FF4"/>
    <w:rsid w:val="6BBCE64B"/>
    <w:rsid w:val="6C56399A"/>
    <w:rsid w:val="6CF5A7D3"/>
    <w:rsid w:val="6F56C535"/>
    <w:rsid w:val="6F620DDE"/>
    <w:rsid w:val="6FBB9BDC"/>
    <w:rsid w:val="7064A3F5"/>
    <w:rsid w:val="71D39DB1"/>
    <w:rsid w:val="73375D72"/>
    <w:rsid w:val="73A54924"/>
    <w:rsid w:val="74F1B260"/>
    <w:rsid w:val="752A7654"/>
    <w:rsid w:val="75B20827"/>
    <w:rsid w:val="75E6EDCD"/>
    <w:rsid w:val="768457FC"/>
    <w:rsid w:val="76872241"/>
    <w:rsid w:val="76F701FB"/>
    <w:rsid w:val="77DB01D2"/>
    <w:rsid w:val="7800498C"/>
    <w:rsid w:val="785FCC9F"/>
    <w:rsid w:val="78FF18BB"/>
    <w:rsid w:val="792D3E93"/>
    <w:rsid w:val="792FA42C"/>
    <w:rsid w:val="79727DB4"/>
    <w:rsid w:val="799329E9"/>
    <w:rsid w:val="79C05D20"/>
    <w:rsid w:val="7D8DC3ED"/>
    <w:rsid w:val="7DB89F3E"/>
    <w:rsid w:val="7E1CB7B3"/>
    <w:rsid w:val="7FBCCA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4F712C"/>
  <w15:docId w15:val="{E2405D35-78A5-4BA5-ACD6-51834CCE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E8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65A5"/>
    <w:pPr>
      <w:keepNext/>
      <w:tabs>
        <w:tab w:val="left" w:pos="720"/>
      </w:tabs>
      <w:jc w:val="both"/>
      <w:outlineLvl w:val="0"/>
    </w:pPr>
    <w:rPr>
      <w:rFonts w:ascii="Arial" w:hAnsi="Arial"/>
      <w:b/>
      <w:sz w:val="24"/>
    </w:rPr>
  </w:style>
  <w:style w:type="paragraph" w:styleId="Heading3">
    <w:name w:val="heading 3"/>
    <w:basedOn w:val="Normal"/>
    <w:next w:val="Normal"/>
    <w:link w:val="Heading3Char"/>
    <w:qFormat/>
    <w:rsid w:val="00B765A5"/>
    <w:pPr>
      <w:keepNext/>
      <w:tabs>
        <w:tab w:val="left" w:pos="720"/>
      </w:tabs>
      <w:jc w:val="both"/>
      <w:outlineLvl w:val="2"/>
    </w:pPr>
    <w:rPr>
      <w:rFonts w:ascii="Arial" w:hAnsi="Arial"/>
      <w:b/>
    </w:rPr>
  </w:style>
  <w:style w:type="paragraph" w:styleId="Heading5">
    <w:name w:val="heading 5"/>
    <w:basedOn w:val="Normal"/>
    <w:next w:val="Normal"/>
    <w:link w:val="Heading5Char"/>
    <w:qFormat/>
    <w:rsid w:val="00B765A5"/>
    <w:pPr>
      <w:keepNext/>
      <w:outlineLvl w:val="4"/>
    </w:pPr>
    <w:rPr>
      <w:rFonts w:ascii="Arial" w:hAnsi="Arial"/>
      <w:b/>
    </w:rPr>
  </w:style>
  <w:style w:type="paragraph" w:styleId="Heading6">
    <w:name w:val="heading 6"/>
    <w:basedOn w:val="Normal"/>
    <w:next w:val="Normal"/>
    <w:link w:val="Heading6Char"/>
    <w:uiPriority w:val="9"/>
    <w:semiHidden/>
    <w:unhideWhenUsed/>
    <w:qFormat/>
    <w:rsid w:val="00FF6710"/>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qFormat/>
    <w:rsid w:val="00B765A5"/>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65A5"/>
    <w:rPr>
      <w:rFonts w:ascii="Arial" w:eastAsia="Times New Roman" w:hAnsi="Arial" w:cs="Times New Roman"/>
      <w:b/>
      <w:sz w:val="24"/>
      <w:szCs w:val="20"/>
    </w:rPr>
  </w:style>
  <w:style w:type="character" w:customStyle="1" w:styleId="Heading3Char">
    <w:name w:val="Heading 3 Char"/>
    <w:basedOn w:val="DefaultParagraphFont"/>
    <w:link w:val="Heading3"/>
    <w:rsid w:val="00B765A5"/>
    <w:rPr>
      <w:rFonts w:ascii="Arial" w:eastAsia="Times New Roman" w:hAnsi="Arial" w:cs="Times New Roman"/>
      <w:b/>
      <w:sz w:val="20"/>
      <w:szCs w:val="20"/>
    </w:rPr>
  </w:style>
  <w:style w:type="character" w:customStyle="1" w:styleId="Heading5Char">
    <w:name w:val="Heading 5 Char"/>
    <w:basedOn w:val="DefaultParagraphFont"/>
    <w:link w:val="Heading5"/>
    <w:rsid w:val="00B765A5"/>
    <w:rPr>
      <w:rFonts w:ascii="Arial" w:eastAsia="Times New Roman" w:hAnsi="Arial" w:cs="Times New Roman"/>
      <w:b/>
      <w:sz w:val="20"/>
      <w:szCs w:val="20"/>
    </w:rPr>
  </w:style>
  <w:style w:type="character" w:customStyle="1" w:styleId="Heading9Char">
    <w:name w:val="Heading 9 Char"/>
    <w:basedOn w:val="DefaultParagraphFont"/>
    <w:link w:val="Heading9"/>
    <w:rsid w:val="00B765A5"/>
    <w:rPr>
      <w:rFonts w:ascii="Arial" w:eastAsia="Times New Roman" w:hAnsi="Arial" w:cs="Times New Roman"/>
      <w:b/>
      <w:sz w:val="18"/>
      <w:szCs w:val="20"/>
    </w:rPr>
  </w:style>
  <w:style w:type="paragraph" w:styleId="Title">
    <w:name w:val="Title"/>
    <w:basedOn w:val="Normal"/>
    <w:link w:val="TitleChar"/>
    <w:qFormat/>
    <w:rsid w:val="00B765A5"/>
    <w:pPr>
      <w:jc w:val="center"/>
    </w:pPr>
    <w:rPr>
      <w:rFonts w:ascii="Arial" w:hAnsi="Arial"/>
      <w:b/>
      <w:sz w:val="24"/>
    </w:rPr>
  </w:style>
  <w:style w:type="character" w:customStyle="1" w:styleId="TitleChar">
    <w:name w:val="Title Char"/>
    <w:basedOn w:val="DefaultParagraphFont"/>
    <w:link w:val="Title"/>
    <w:rsid w:val="00B765A5"/>
    <w:rPr>
      <w:rFonts w:ascii="Arial" w:eastAsia="Times New Roman" w:hAnsi="Arial" w:cs="Times New Roman"/>
      <w:b/>
      <w:sz w:val="24"/>
      <w:szCs w:val="20"/>
    </w:rPr>
  </w:style>
  <w:style w:type="paragraph" w:styleId="BodyText">
    <w:name w:val="Body Text"/>
    <w:basedOn w:val="Normal"/>
    <w:link w:val="BodyTextChar"/>
    <w:rsid w:val="00B765A5"/>
    <w:pPr>
      <w:jc w:val="both"/>
    </w:pPr>
    <w:rPr>
      <w:rFonts w:ascii="Arial" w:hAnsi="Arial"/>
      <w:b/>
    </w:rPr>
  </w:style>
  <w:style w:type="character" w:customStyle="1" w:styleId="BodyTextChar">
    <w:name w:val="Body Text Char"/>
    <w:basedOn w:val="DefaultParagraphFont"/>
    <w:link w:val="BodyText"/>
    <w:rsid w:val="00B765A5"/>
    <w:rPr>
      <w:rFonts w:ascii="Arial" w:eastAsia="Times New Roman" w:hAnsi="Arial" w:cs="Times New Roman"/>
      <w:b/>
      <w:sz w:val="20"/>
      <w:szCs w:val="20"/>
    </w:rPr>
  </w:style>
  <w:style w:type="paragraph" w:styleId="BodyText2">
    <w:name w:val="Body Text 2"/>
    <w:basedOn w:val="Normal"/>
    <w:link w:val="BodyText2Char"/>
    <w:rsid w:val="00B765A5"/>
    <w:pPr>
      <w:jc w:val="both"/>
    </w:pPr>
    <w:rPr>
      <w:rFonts w:ascii="Arial" w:hAnsi="Arial"/>
      <w:sz w:val="24"/>
    </w:rPr>
  </w:style>
  <w:style w:type="character" w:customStyle="1" w:styleId="BodyText2Char">
    <w:name w:val="Body Text 2 Char"/>
    <w:basedOn w:val="DefaultParagraphFont"/>
    <w:link w:val="BodyText2"/>
    <w:rsid w:val="00B765A5"/>
    <w:rPr>
      <w:rFonts w:ascii="Arial" w:eastAsia="Times New Roman" w:hAnsi="Arial" w:cs="Times New Roman"/>
      <w:sz w:val="24"/>
      <w:szCs w:val="20"/>
    </w:rPr>
  </w:style>
  <w:style w:type="paragraph" w:styleId="BodyTextIndent">
    <w:name w:val="Body Text Indent"/>
    <w:basedOn w:val="Normal"/>
    <w:link w:val="BodyTextIndentChar"/>
    <w:rsid w:val="00B765A5"/>
    <w:pPr>
      <w:ind w:left="720"/>
      <w:jc w:val="both"/>
    </w:pPr>
    <w:rPr>
      <w:rFonts w:ascii="Arial" w:hAnsi="Arial"/>
      <w:sz w:val="24"/>
    </w:rPr>
  </w:style>
  <w:style w:type="character" w:customStyle="1" w:styleId="BodyTextIndentChar">
    <w:name w:val="Body Text Indent Char"/>
    <w:basedOn w:val="DefaultParagraphFont"/>
    <w:link w:val="BodyTextIndent"/>
    <w:rsid w:val="00B765A5"/>
    <w:rPr>
      <w:rFonts w:ascii="Arial" w:eastAsia="Times New Roman" w:hAnsi="Arial" w:cs="Times New Roman"/>
      <w:sz w:val="24"/>
      <w:szCs w:val="20"/>
    </w:rPr>
  </w:style>
  <w:style w:type="paragraph" w:styleId="BodyTextIndent2">
    <w:name w:val="Body Text Indent 2"/>
    <w:basedOn w:val="Normal"/>
    <w:link w:val="BodyTextIndent2Char"/>
    <w:rsid w:val="00B765A5"/>
    <w:pPr>
      <w:ind w:left="720"/>
      <w:jc w:val="both"/>
    </w:pPr>
    <w:rPr>
      <w:rFonts w:ascii="Arial" w:hAnsi="Arial"/>
      <w:sz w:val="22"/>
    </w:rPr>
  </w:style>
  <w:style w:type="character" w:customStyle="1" w:styleId="BodyTextIndent2Char">
    <w:name w:val="Body Text Indent 2 Char"/>
    <w:basedOn w:val="DefaultParagraphFont"/>
    <w:link w:val="BodyTextIndent2"/>
    <w:rsid w:val="00B765A5"/>
    <w:rPr>
      <w:rFonts w:ascii="Arial" w:eastAsia="Times New Roman" w:hAnsi="Arial" w:cs="Times New Roman"/>
      <w:szCs w:val="20"/>
    </w:rPr>
  </w:style>
  <w:style w:type="paragraph" w:styleId="ListParagraph">
    <w:name w:val="List Paragraph"/>
    <w:basedOn w:val="Normal"/>
    <w:uiPriority w:val="34"/>
    <w:qFormat/>
    <w:rsid w:val="00B765A5"/>
    <w:pPr>
      <w:ind w:left="720"/>
    </w:pPr>
  </w:style>
  <w:style w:type="character" w:styleId="CommentReference">
    <w:name w:val="annotation reference"/>
    <w:basedOn w:val="DefaultParagraphFont"/>
    <w:uiPriority w:val="99"/>
    <w:semiHidden/>
    <w:unhideWhenUsed/>
    <w:rsid w:val="00F005E6"/>
    <w:rPr>
      <w:sz w:val="16"/>
      <w:szCs w:val="16"/>
    </w:rPr>
  </w:style>
  <w:style w:type="paragraph" w:styleId="CommentText">
    <w:name w:val="annotation text"/>
    <w:basedOn w:val="Normal"/>
    <w:link w:val="CommentTextChar"/>
    <w:uiPriority w:val="99"/>
    <w:unhideWhenUsed/>
    <w:rsid w:val="00F005E6"/>
  </w:style>
  <w:style w:type="character" w:customStyle="1" w:styleId="CommentTextChar">
    <w:name w:val="Comment Text Char"/>
    <w:basedOn w:val="DefaultParagraphFont"/>
    <w:link w:val="CommentText"/>
    <w:uiPriority w:val="99"/>
    <w:rsid w:val="00F00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05E6"/>
    <w:rPr>
      <w:b/>
      <w:bCs/>
    </w:rPr>
  </w:style>
  <w:style w:type="character" w:customStyle="1" w:styleId="CommentSubjectChar">
    <w:name w:val="Comment Subject Char"/>
    <w:basedOn w:val="CommentTextChar"/>
    <w:link w:val="CommentSubject"/>
    <w:uiPriority w:val="99"/>
    <w:semiHidden/>
    <w:rsid w:val="00F005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05E6"/>
    <w:rPr>
      <w:rFonts w:ascii="Tahoma" w:hAnsi="Tahoma" w:cs="Tahoma"/>
      <w:sz w:val="16"/>
      <w:szCs w:val="16"/>
    </w:rPr>
  </w:style>
  <w:style w:type="character" w:customStyle="1" w:styleId="BalloonTextChar">
    <w:name w:val="Balloon Text Char"/>
    <w:basedOn w:val="DefaultParagraphFont"/>
    <w:link w:val="BalloonText"/>
    <w:uiPriority w:val="99"/>
    <w:semiHidden/>
    <w:rsid w:val="00F005E6"/>
    <w:rPr>
      <w:rFonts w:ascii="Tahoma" w:eastAsia="Times New Roman" w:hAnsi="Tahoma" w:cs="Tahoma"/>
      <w:sz w:val="16"/>
      <w:szCs w:val="16"/>
    </w:rPr>
  </w:style>
  <w:style w:type="paragraph" w:styleId="Revision">
    <w:name w:val="Revision"/>
    <w:hidden/>
    <w:uiPriority w:val="99"/>
    <w:semiHidden/>
    <w:rsid w:val="00AB5DF7"/>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03587"/>
    <w:pPr>
      <w:tabs>
        <w:tab w:val="center" w:pos="4680"/>
        <w:tab w:val="right" w:pos="9360"/>
      </w:tabs>
    </w:pPr>
  </w:style>
  <w:style w:type="character" w:customStyle="1" w:styleId="HeaderChar">
    <w:name w:val="Header Char"/>
    <w:basedOn w:val="DefaultParagraphFont"/>
    <w:link w:val="Header"/>
    <w:uiPriority w:val="99"/>
    <w:rsid w:val="00E0358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3587"/>
    <w:pPr>
      <w:tabs>
        <w:tab w:val="center" w:pos="4680"/>
        <w:tab w:val="right" w:pos="9360"/>
      </w:tabs>
    </w:pPr>
  </w:style>
  <w:style w:type="character" w:customStyle="1" w:styleId="FooterChar">
    <w:name w:val="Footer Char"/>
    <w:basedOn w:val="DefaultParagraphFont"/>
    <w:link w:val="Footer"/>
    <w:uiPriority w:val="99"/>
    <w:rsid w:val="00E03587"/>
    <w:rPr>
      <w:rFonts w:ascii="Times New Roman" w:eastAsia="Times New Roman" w:hAnsi="Times New Roman" w:cs="Times New Roman"/>
      <w:sz w:val="20"/>
      <w:szCs w:val="20"/>
    </w:rPr>
  </w:style>
  <w:style w:type="paragraph" w:styleId="NoSpacing">
    <w:name w:val="No Spacing"/>
    <w:uiPriority w:val="1"/>
    <w:qFormat/>
    <w:rsid w:val="0056363B"/>
    <w:pPr>
      <w:spacing w:after="0" w:line="240" w:lineRule="auto"/>
    </w:pPr>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FF6710"/>
    <w:rPr>
      <w:rFonts w:asciiTheme="majorHAnsi" w:eastAsiaTheme="majorEastAsia" w:hAnsiTheme="majorHAnsi" w:cstheme="majorBidi"/>
      <w:color w:val="243F60" w:themeColor="accent1" w:themeShade="7F"/>
      <w:sz w:val="20"/>
      <w:szCs w:val="20"/>
    </w:rPr>
  </w:style>
  <w:style w:type="character" w:styleId="Hyperlink">
    <w:name w:val="Hyperlink"/>
    <w:basedOn w:val="DefaultParagraphFont"/>
    <w:uiPriority w:val="99"/>
    <w:unhideWhenUsed/>
    <w:rsid w:val="00A00E69"/>
    <w:rPr>
      <w:color w:val="0000FF"/>
      <w:u w:val="single"/>
    </w:rPr>
  </w:style>
  <w:style w:type="paragraph" w:styleId="FootnoteText">
    <w:name w:val="footnote text"/>
    <w:basedOn w:val="Normal"/>
    <w:link w:val="FootnoteTextChar"/>
    <w:uiPriority w:val="99"/>
    <w:semiHidden/>
    <w:unhideWhenUsed/>
    <w:rsid w:val="00CC1888"/>
  </w:style>
  <w:style w:type="character" w:customStyle="1" w:styleId="FootnoteTextChar">
    <w:name w:val="Footnote Text Char"/>
    <w:basedOn w:val="DefaultParagraphFont"/>
    <w:link w:val="FootnoteText"/>
    <w:uiPriority w:val="99"/>
    <w:semiHidden/>
    <w:rsid w:val="00CC188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1888"/>
    <w:rPr>
      <w:vertAlign w:val="superscript"/>
    </w:rPr>
  </w:style>
  <w:style w:type="character" w:styleId="FollowedHyperlink">
    <w:name w:val="FollowedHyperlink"/>
    <w:basedOn w:val="DefaultParagraphFont"/>
    <w:uiPriority w:val="99"/>
    <w:semiHidden/>
    <w:unhideWhenUsed/>
    <w:rsid w:val="0088759C"/>
    <w:rPr>
      <w:color w:val="800080" w:themeColor="followedHyperlink"/>
      <w:u w:val="single"/>
    </w:rPr>
  </w:style>
  <w:style w:type="character" w:styleId="UnresolvedMention">
    <w:name w:val="Unresolved Mention"/>
    <w:basedOn w:val="DefaultParagraphFont"/>
    <w:uiPriority w:val="99"/>
    <w:semiHidden/>
    <w:unhideWhenUsed/>
    <w:rsid w:val="00A25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2-10-18/pdf/2022-22566.pdf" TargetMode="External" /><Relationship Id="rId2" Type="http://schemas.openxmlformats.org/officeDocument/2006/relationships/hyperlink" Target="https://www.bls.gov/oes/CURRENT/oes111021.htm" TargetMode="External" /><Relationship Id="rId3" Type="http://schemas.openxmlformats.org/officeDocument/2006/relationships/hyperlink" Target="https://www.opm.gov/policy-data-oversight/pay-leave/salaries-wages/salary-tables/pdf/2022/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bb8c3bc-3ea9-4050-8e17-eb45cd7e46fa">
      <UserInfo>
        <DisplayName>Isaac, Justin (AMBIT)</DisplayName>
        <AccountId>115</AccountId>
        <AccountType/>
      </UserInfo>
    </SharedWithUsers>
    <Notes xmlns="0f5e2127-2ba4-41f5-b528-d0f9d9208b7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F8543-E0EF-44D5-A051-4968E227F5E9}">
  <ds:schemaRefs>
    <ds:schemaRef ds:uri="http://schemas.microsoft.com/sharepoint/v3/contenttype/forms"/>
  </ds:schemaRefs>
</ds:datastoreItem>
</file>

<file path=customXml/itemProps2.xml><?xml version="1.0" encoding="utf-8"?>
<ds:datastoreItem xmlns:ds="http://schemas.openxmlformats.org/officeDocument/2006/customXml" ds:itemID="{34132735-16EA-4F1C-B427-92FE4404C96E}">
  <ds:schemaRefs>
    <ds:schemaRef ds:uri="http://schemas.microsoft.com/office/2006/metadata/properties"/>
    <ds:schemaRef ds:uri="http://schemas.microsoft.com/office/infopath/2007/PartnerControls"/>
    <ds:schemaRef ds:uri="ebb8c3bc-3ea9-4050-8e17-eb45cd7e46fa"/>
    <ds:schemaRef ds:uri="0f5e2127-2ba4-41f5-b528-d0f9d9208b73"/>
  </ds:schemaRefs>
</ds:datastoreItem>
</file>

<file path=customXml/itemProps3.xml><?xml version="1.0" encoding="utf-8"?>
<ds:datastoreItem xmlns:ds="http://schemas.openxmlformats.org/officeDocument/2006/customXml" ds:itemID="{7E458E9F-B367-4A0C-94CE-3EDFA48E131F}">
  <ds:schemaRefs>
    <ds:schemaRef ds:uri="http://schemas.openxmlformats.org/officeDocument/2006/bibliography"/>
  </ds:schemaRefs>
</ds:datastoreItem>
</file>

<file path=customXml/itemProps4.xml><?xml version="1.0" encoding="utf-8"?>
<ds:datastoreItem xmlns:ds="http://schemas.openxmlformats.org/officeDocument/2006/customXml" ds:itemID="{CF3403BB-5359-49CC-BBB3-2F87CBB76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4293</Words>
  <Characters>24476</Characters>
  <Application>Microsoft Office Word</Application>
  <DocSecurity>0</DocSecurity>
  <Lines>203</Lines>
  <Paragraphs>57</Paragraphs>
  <ScaleCrop>false</ScaleCrop>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Styles, Nicholas (AMBIT)</dc:creator>
  <cp:lastModifiedBy>Hall, Drew</cp:lastModifiedBy>
  <cp:revision>29</cp:revision>
  <cp:lastPrinted>2020-02-24T20:44:00Z</cp:lastPrinted>
  <dcterms:created xsi:type="dcterms:W3CDTF">2025-04-08T18:05:00Z</dcterms:created>
  <dcterms:modified xsi:type="dcterms:W3CDTF">2025-04-09T15:10:00Z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PERSIST_DocumentHeight">
    <vt:lpwstr>882</vt:lpwstr>
  </property>
  <property fmtid="{D5CDD505-2E9C-101B-9397-08002B2CF9AE}" pid="4" name="PERSIST_DocumentLeft">
    <vt:lpwstr>-6</vt:lpwstr>
  </property>
  <property fmtid="{D5CDD505-2E9C-101B-9397-08002B2CF9AE}" pid="5" name="PERSIST_DocumentTop">
    <vt:lpwstr>-6</vt:lpwstr>
  </property>
  <property fmtid="{D5CDD505-2E9C-101B-9397-08002B2CF9AE}" pid="6" name="PERSIST_DocumentWidth">
    <vt:lpwstr>1452</vt:lpwstr>
  </property>
  <property fmtid="{D5CDD505-2E9C-101B-9397-08002B2CF9AE}" pid="7" name="PERSIST_DocumentWindowState">
    <vt:lpwstr>1</vt:lpwstr>
  </property>
  <property fmtid="{D5CDD505-2E9C-101B-9397-08002B2CF9AE}" pid="8" name="RETURN_ExecuteReturnOnWindowActivate">
    <vt:bool>false</vt:bool>
  </property>
  <property fmtid="{D5CDD505-2E9C-101B-9397-08002B2CF9AE}" pid="9" name="STATE_HasMarkup">
    <vt:bool>false</vt:bool>
  </property>
</Properties>
</file>