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23F2" w:rsidP="004A43EC" w14:paraId="1904D8E2" w14:textId="2D7C0763">
      <w:pPr>
        <w:pStyle w:val="Title"/>
      </w:pPr>
      <w:r>
        <w:t>SUPPORTING STATEMENT</w:t>
      </w:r>
    </w:p>
    <w:p w:rsidR="008C4052" w14:paraId="6A010335" w14:textId="77777777">
      <w:pPr>
        <w:pStyle w:val="Title"/>
      </w:pPr>
      <w:r>
        <w:t>U</w:t>
      </w:r>
      <w:r w:rsidR="00686544">
        <w:t xml:space="preserve">nited </w:t>
      </w:r>
      <w:r>
        <w:t>S</w:t>
      </w:r>
      <w:r w:rsidR="00686544">
        <w:t>tates</w:t>
      </w:r>
      <w:r>
        <w:t xml:space="preserve"> P</w:t>
      </w:r>
      <w:r w:rsidR="00686544">
        <w:t>atent</w:t>
      </w:r>
      <w:r>
        <w:t xml:space="preserve"> </w:t>
      </w:r>
      <w:r w:rsidR="00686544">
        <w:t xml:space="preserve">and </w:t>
      </w:r>
      <w:r>
        <w:t>T</w:t>
      </w:r>
      <w:r w:rsidR="00686544">
        <w:t>rademark</w:t>
      </w:r>
      <w:r>
        <w:t xml:space="preserve"> O</w:t>
      </w:r>
      <w:r w:rsidR="00686544">
        <w:t>ffice</w:t>
      </w:r>
    </w:p>
    <w:p w:rsidR="008C4052" w14:paraId="43E4EF6E" w14:textId="77777777">
      <w:pPr>
        <w:pStyle w:val="Title"/>
      </w:pPr>
      <w:r>
        <w:t xml:space="preserve">Patents External Quality Survey </w:t>
      </w:r>
    </w:p>
    <w:p w:rsidR="00B52CB2" w14:paraId="40C22D5F" w14:textId="77777777">
      <w:pPr>
        <w:pStyle w:val="Title"/>
      </w:pPr>
      <w:r>
        <w:t>OMB Control Number 0651-00</w:t>
      </w:r>
      <w:r w:rsidR="00BF25AB">
        <w:t>57</w:t>
      </w:r>
    </w:p>
    <w:p w:rsidR="005823F2" w:rsidRPr="00FA128E" w:rsidP="00FA128E" w14:paraId="3F202A29" w14:textId="484CCDE1">
      <w:pPr>
        <w:pStyle w:val="Title"/>
      </w:pPr>
      <w:r>
        <w:t>202</w:t>
      </w:r>
      <w:r w:rsidR="00D84174">
        <w:t>5</w:t>
      </w:r>
    </w:p>
    <w:p w:rsidR="005823F2" w14:paraId="4FFE4C1F" w14:textId="77777777">
      <w:pPr>
        <w:pStyle w:val="Heading1"/>
      </w:pPr>
    </w:p>
    <w:p w:rsidR="005823F2" w:rsidP="00A54DB6" w14:paraId="69BB2A4F" w14:textId="45830662">
      <w:pPr>
        <w:pStyle w:val="Heading1"/>
        <w:ind w:hanging="360"/>
      </w:pPr>
      <w:r>
        <w:t>A.</w:t>
      </w:r>
      <w:r w:rsidR="007A74FC">
        <w:t xml:space="preserve">  </w:t>
      </w:r>
      <w:r>
        <w:t>JUSTIFICATION</w:t>
      </w:r>
    </w:p>
    <w:p w:rsidR="005823F2" w14:paraId="4C530BDD" w14:textId="77777777">
      <w:pPr>
        <w:rPr>
          <w:rFonts w:ascii="Arial" w:hAnsi="Arial"/>
          <w:b/>
          <w:sz w:val="24"/>
        </w:rPr>
      </w:pPr>
    </w:p>
    <w:p w:rsidR="005823F2" w:rsidP="00A54DB6" w14:paraId="28FAFE18" w14:textId="33DC0995">
      <w:pPr>
        <w:ind w:left="360" w:hanging="360"/>
        <w:jc w:val="both"/>
        <w:rPr>
          <w:rFonts w:ascii="Arial" w:hAnsi="Arial"/>
          <w:b/>
          <w:sz w:val="24"/>
        </w:rPr>
      </w:pPr>
      <w:r w:rsidRPr="005A4A11">
        <w:rPr>
          <w:rFonts w:ascii="Arial" w:hAnsi="Arial"/>
          <w:b/>
          <w:sz w:val="24"/>
        </w:rPr>
        <w:t>1.</w:t>
      </w:r>
      <w:r w:rsidRPr="005A4A11">
        <w:rPr>
          <w:rFonts w:ascii="Arial" w:hAnsi="Arial"/>
          <w:b/>
          <w:sz w:val="24"/>
        </w:rPr>
        <w:tab/>
      </w:r>
      <w:r w:rsidRPr="001D603D" w:rsidR="0052480A">
        <w:rPr>
          <w:rFonts w:ascii="Arial" w:hAnsi="Arial" w:cs="Arial"/>
          <w:b/>
          <w:bCs/>
          <w:sz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5823F2" w14:paraId="3FF2AC45" w14:textId="77777777">
      <w:pPr>
        <w:jc w:val="both"/>
        <w:rPr>
          <w:rFonts w:ascii="Arial" w:hAnsi="Arial"/>
          <w:sz w:val="24"/>
        </w:rPr>
      </w:pPr>
    </w:p>
    <w:p w:rsidR="00B079B9" w:rsidRPr="00B079B9" w:rsidP="00B079B9" w14:paraId="3460843C" w14:textId="2DCE45F2">
      <w:pPr>
        <w:jc w:val="both"/>
        <w:rPr>
          <w:rFonts w:ascii="Arial" w:hAnsi="Arial"/>
          <w:bCs/>
          <w:sz w:val="24"/>
        </w:rPr>
      </w:pPr>
      <w:r w:rsidRPr="00B079B9">
        <w:rPr>
          <w:rFonts w:ascii="Arial" w:hAnsi="Arial"/>
          <w:bCs/>
          <w:sz w:val="24"/>
        </w:rPr>
        <w:t>This United States Patent and Trademark Office</w:t>
      </w:r>
      <w:r w:rsidR="000A01A8">
        <w:rPr>
          <w:rFonts w:ascii="Arial" w:hAnsi="Arial"/>
          <w:bCs/>
          <w:sz w:val="24"/>
        </w:rPr>
        <w:t xml:space="preserve"> (USPTO)</w:t>
      </w:r>
      <w:r w:rsidRPr="00B079B9">
        <w:rPr>
          <w:rFonts w:ascii="Arial" w:hAnsi="Arial"/>
          <w:bCs/>
          <w:sz w:val="24"/>
        </w:rPr>
        <w:t xml:space="preserve"> </w:t>
      </w:r>
      <w:r w:rsidR="009D5740">
        <w:rPr>
          <w:rFonts w:ascii="Arial" w:hAnsi="Arial"/>
          <w:bCs/>
          <w:sz w:val="24"/>
        </w:rPr>
        <w:t xml:space="preserve">External </w:t>
      </w:r>
      <w:r w:rsidRPr="00B079B9">
        <w:rPr>
          <w:rFonts w:ascii="Arial" w:hAnsi="Arial"/>
          <w:bCs/>
          <w:sz w:val="24"/>
        </w:rPr>
        <w:t>Quality Survey is an instrument designed to measure opinions about the services that USPTO provides its patent application customers. The results from this voluntary survey will assist the USPTO in guiding improvements and enhancements in the future. This survey narrows the focus of customer satisfaction to examination quality</w:t>
      </w:r>
      <w:r w:rsidR="00B54621">
        <w:rPr>
          <w:rFonts w:ascii="Arial" w:hAnsi="Arial"/>
          <w:bCs/>
          <w:sz w:val="24"/>
        </w:rPr>
        <w:t xml:space="preserve">. It also </w:t>
      </w:r>
      <w:r w:rsidRPr="00B079B9">
        <w:rPr>
          <w:rFonts w:ascii="Arial" w:hAnsi="Arial"/>
          <w:bCs/>
          <w:sz w:val="24"/>
        </w:rPr>
        <w:t xml:space="preserve">uses a longitudinal, rotating panel design to assess changes in customer perceptions and to identify key areas for examiner training and opportunities for improvement. </w:t>
      </w:r>
      <w:r w:rsidRPr="00096282" w:rsidR="00096282">
        <w:rPr>
          <w:rFonts w:ascii="Arial" w:hAnsi="Arial"/>
          <w:sz w:val="24"/>
        </w:rPr>
        <w:t xml:space="preserve"> </w:t>
      </w:r>
      <w:r w:rsidR="00096282">
        <w:rPr>
          <w:rFonts w:ascii="Arial" w:hAnsi="Arial"/>
          <w:sz w:val="24"/>
        </w:rPr>
        <w:t>The USPTO uses this survey to identify problems with examination quality and work</w:t>
      </w:r>
      <w:r w:rsidR="00BC5C3A">
        <w:rPr>
          <w:rFonts w:ascii="Arial" w:hAnsi="Arial"/>
          <w:sz w:val="24"/>
        </w:rPr>
        <w:t>s</w:t>
      </w:r>
      <w:r w:rsidR="00096282">
        <w:rPr>
          <w:rFonts w:ascii="Arial" w:hAnsi="Arial"/>
          <w:sz w:val="24"/>
        </w:rPr>
        <w:t xml:space="preserve"> to resolve these issues in a timely manner. </w:t>
      </w:r>
      <w:r w:rsidRPr="00B079B9">
        <w:rPr>
          <w:rFonts w:ascii="Arial" w:hAnsi="Arial"/>
          <w:bCs/>
          <w:sz w:val="24"/>
        </w:rPr>
        <w:t xml:space="preserve">The USPTO surveys patent agents, attorneys, and other individuals from large domestic corporations (including those with </w:t>
      </w:r>
      <w:r w:rsidR="00B54621">
        <w:rPr>
          <w:rFonts w:ascii="Arial" w:hAnsi="Arial"/>
          <w:bCs/>
          <w:sz w:val="24"/>
        </w:rPr>
        <w:t xml:space="preserve">over </w:t>
      </w:r>
      <w:r w:rsidRPr="00B079B9">
        <w:rPr>
          <w:rFonts w:ascii="Arial" w:hAnsi="Arial"/>
          <w:bCs/>
          <w:sz w:val="24"/>
        </w:rPr>
        <w:t xml:space="preserve">500 employees), small and medium-size businesses, independent inventors, and universities and other non-profit research organizations. This survey does not </w:t>
      </w:r>
      <w:r w:rsidR="00B54621">
        <w:rPr>
          <w:rFonts w:ascii="Arial" w:hAnsi="Arial"/>
          <w:bCs/>
          <w:sz w:val="24"/>
        </w:rPr>
        <w:t>request responses from</w:t>
      </w:r>
      <w:r w:rsidRPr="00B079B9">
        <w:rPr>
          <w:rFonts w:ascii="Arial" w:hAnsi="Arial"/>
          <w:bCs/>
          <w:sz w:val="24"/>
        </w:rPr>
        <w:t xml:space="preserve"> foreign entities.</w:t>
      </w:r>
    </w:p>
    <w:p w:rsidR="00B079B9" w:rsidP="00B079B9" w14:paraId="54F55A17" w14:textId="77777777">
      <w:pPr>
        <w:jc w:val="both"/>
        <w:rPr>
          <w:rFonts w:ascii="Arial" w:hAnsi="Arial"/>
          <w:bCs/>
          <w:sz w:val="24"/>
        </w:rPr>
      </w:pPr>
    </w:p>
    <w:p w:rsidR="00624C74" w:rsidP="4CB60C13" w14:paraId="59009079" w14:textId="0539B95E">
      <w:pPr>
        <w:jc w:val="both"/>
        <w:rPr>
          <w:rFonts w:ascii="Arial" w:hAnsi="Arial"/>
          <w:sz w:val="24"/>
          <w:szCs w:val="24"/>
        </w:rPr>
      </w:pPr>
      <w:r w:rsidRPr="00624C74">
        <w:rPr>
          <w:rFonts w:ascii="Arial" w:hAnsi="Arial"/>
          <w:sz w:val="24"/>
          <w:szCs w:val="24"/>
        </w:rPr>
        <w:t xml:space="preserve">The random sample used in this survey is drawn from One Patent Service Gateway. The sample population </w:t>
      </w:r>
      <w:r w:rsidR="00BC5C3A">
        <w:rPr>
          <w:rFonts w:ascii="Arial" w:hAnsi="Arial"/>
          <w:sz w:val="24"/>
          <w:szCs w:val="24"/>
        </w:rPr>
        <w:t xml:space="preserve">of patent agents and attorneys </w:t>
      </w:r>
      <w:r w:rsidRPr="00624C74">
        <w:rPr>
          <w:rFonts w:ascii="Arial" w:hAnsi="Arial"/>
          <w:sz w:val="24"/>
          <w:szCs w:val="24"/>
        </w:rPr>
        <w:t xml:space="preserve">is drawn from the top filing firms, which are entities that have filed more than five patent applications in a 12-month period. This ongoing survey is generally conducted twice a year. The USPTO uses a rotating panel design where participants take the survey twice in back-to-back survey periods (waves). Half the participants in each survey period are new and complete the survey for the first time and half return to complete the same survey for a second time. This design allows a precise measurement of changes in customer experience over time. </w:t>
      </w:r>
      <w:r w:rsidRPr="00B079B9" w:rsidR="00BC5C3A">
        <w:rPr>
          <w:rFonts w:ascii="Arial" w:hAnsi="Arial"/>
          <w:bCs/>
          <w:sz w:val="24"/>
        </w:rPr>
        <w:t>Th</w:t>
      </w:r>
      <w:r w:rsidR="00BC5C3A">
        <w:rPr>
          <w:rFonts w:ascii="Arial" w:hAnsi="Arial"/>
          <w:bCs/>
          <w:sz w:val="24"/>
        </w:rPr>
        <w:t>e</w:t>
      </w:r>
      <w:r w:rsidRPr="00B079B9" w:rsidR="00BC5C3A">
        <w:rPr>
          <w:rFonts w:ascii="Arial" w:hAnsi="Arial"/>
          <w:bCs/>
          <w:sz w:val="24"/>
        </w:rPr>
        <w:t xml:space="preserve"> survey does not </w:t>
      </w:r>
      <w:r w:rsidR="00BC5C3A">
        <w:rPr>
          <w:rFonts w:ascii="Arial" w:hAnsi="Arial"/>
          <w:bCs/>
          <w:sz w:val="24"/>
        </w:rPr>
        <w:t>request responses from</w:t>
      </w:r>
      <w:r w:rsidRPr="00B079B9" w:rsidR="00BC5C3A">
        <w:rPr>
          <w:rFonts w:ascii="Arial" w:hAnsi="Arial"/>
          <w:bCs/>
          <w:sz w:val="24"/>
        </w:rPr>
        <w:t xml:space="preserve"> foreign entities.</w:t>
      </w:r>
    </w:p>
    <w:p w:rsidR="00624C74" w:rsidP="4CB60C13" w14:paraId="49CEB57D" w14:textId="77777777">
      <w:pPr>
        <w:jc w:val="both"/>
        <w:rPr>
          <w:rFonts w:ascii="Arial" w:hAnsi="Arial"/>
          <w:sz w:val="24"/>
          <w:szCs w:val="24"/>
        </w:rPr>
      </w:pPr>
    </w:p>
    <w:p w:rsidR="00881FB7" w:rsidP="4CB60C13" w14:paraId="1251F9B0" w14:textId="05B3479B">
      <w:pPr>
        <w:jc w:val="both"/>
        <w:rPr>
          <w:rFonts w:ascii="Arial" w:hAnsi="Arial"/>
          <w:sz w:val="24"/>
          <w:szCs w:val="24"/>
        </w:rPr>
      </w:pPr>
      <w:r w:rsidRPr="00624C74">
        <w:rPr>
          <w:rFonts w:ascii="Arial" w:hAnsi="Arial"/>
          <w:sz w:val="24"/>
          <w:szCs w:val="24"/>
        </w:rPr>
        <w:t>The rotating panels and their impact on respondents are described in more detail in the table below.   </w:t>
      </w:r>
    </w:p>
    <w:p w:rsidR="00881FB7" w:rsidP="00B079B9" w14:paraId="52C00ED4" w14:textId="77777777">
      <w:pPr>
        <w:jc w:val="both"/>
        <w:rPr>
          <w:rFonts w:ascii="Arial" w:hAnsi="Arial"/>
          <w:bCs/>
          <w:sz w:val="24"/>
        </w:rPr>
      </w:pPr>
    </w:p>
    <w:p w:rsidR="00B9284E" w:rsidRPr="00B9284E" w:rsidP="00B079B9" w14:paraId="03C7916A" w14:textId="5C822934">
      <w:pPr>
        <w:jc w:val="both"/>
        <w:rPr>
          <w:rFonts w:ascii="Arial" w:hAnsi="Arial"/>
          <w:b/>
          <w:szCs w:val="16"/>
        </w:rPr>
      </w:pPr>
      <w:r w:rsidRPr="00B9284E">
        <w:rPr>
          <w:rFonts w:ascii="Arial" w:hAnsi="Arial"/>
          <w:b/>
          <w:szCs w:val="16"/>
        </w:rPr>
        <w:t>Table 1: The Rotating Panel</w:t>
      </w:r>
    </w:p>
    <w:tbl>
      <w:tblPr>
        <w:tblStyle w:val="TableGrid"/>
        <w:tblW w:w="0" w:type="auto"/>
        <w:tblLook w:val="04A0"/>
      </w:tblPr>
      <w:tblGrid>
        <w:gridCol w:w="1255"/>
        <w:gridCol w:w="8095"/>
      </w:tblGrid>
      <w:tr w14:paraId="043A0027" w14:textId="77777777" w:rsidTr="00095A3C">
        <w:tblPrEx>
          <w:tblW w:w="0" w:type="auto"/>
          <w:tblLook w:val="04A0"/>
        </w:tblPrEx>
        <w:tc>
          <w:tcPr>
            <w:tcW w:w="1255" w:type="dxa"/>
          </w:tcPr>
          <w:p w:rsidR="00095A3C" w:rsidRPr="00B9284E" w:rsidP="00095A3C" w14:paraId="14D37461" w14:textId="08B5FB77">
            <w:pPr>
              <w:jc w:val="center"/>
              <w:rPr>
                <w:rFonts w:ascii="Arial" w:hAnsi="Arial"/>
                <w:b/>
                <w:szCs w:val="16"/>
              </w:rPr>
            </w:pPr>
            <w:r w:rsidRPr="00B9284E">
              <w:rPr>
                <w:rFonts w:ascii="Arial" w:hAnsi="Arial"/>
                <w:b/>
                <w:szCs w:val="16"/>
              </w:rPr>
              <w:t>Panel 1</w:t>
            </w:r>
          </w:p>
        </w:tc>
        <w:tc>
          <w:tcPr>
            <w:tcW w:w="8095" w:type="dxa"/>
          </w:tcPr>
          <w:p w:rsidR="00095A3C" w:rsidRPr="00B9284E" w:rsidP="00095A3C" w14:paraId="0F24721A" w14:textId="5DD5947F">
            <w:pPr>
              <w:jc w:val="both"/>
              <w:rPr>
                <w:rFonts w:ascii="Arial" w:hAnsi="Arial"/>
                <w:bCs/>
                <w:szCs w:val="16"/>
              </w:rPr>
            </w:pPr>
            <w:r w:rsidRPr="00B9284E">
              <w:rPr>
                <w:rFonts w:ascii="Arial" w:hAnsi="Arial"/>
                <w:bCs/>
                <w:szCs w:val="16"/>
              </w:rPr>
              <w:t>Holdover panel from</w:t>
            </w:r>
            <w:r w:rsidR="002E12E6">
              <w:rPr>
                <w:rFonts w:ascii="Arial" w:hAnsi="Arial"/>
                <w:bCs/>
                <w:szCs w:val="16"/>
              </w:rPr>
              <w:t xml:space="preserve"> the</w:t>
            </w:r>
            <w:r w:rsidRPr="00B9284E">
              <w:rPr>
                <w:rFonts w:ascii="Arial" w:hAnsi="Arial"/>
                <w:bCs/>
                <w:szCs w:val="16"/>
              </w:rPr>
              <w:t xml:space="preserve"> previous year, </w:t>
            </w:r>
            <w:r w:rsidRPr="00B9284E" w:rsidR="009B5ACD">
              <w:rPr>
                <w:rFonts w:ascii="Arial" w:hAnsi="Arial"/>
                <w:bCs/>
                <w:szCs w:val="16"/>
              </w:rPr>
              <w:t xml:space="preserve">respondents are </w:t>
            </w:r>
            <w:r w:rsidRPr="00B9284E">
              <w:rPr>
                <w:rFonts w:ascii="Arial" w:hAnsi="Arial"/>
                <w:bCs/>
                <w:szCs w:val="16"/>
              </w:rPr>
              <w:t>surveyed once in Wave 1</w:t>
            </w:r>
            <w:r w:rsidRPr="00B9284E" w:rsidR="00B9284E">
              <w:rPr>
                <w:rFonts w:ascii="Arial" w:hAnsi="Arial"/>
                <w:bCs/>
                <w:szCs w:val="16"/>
              </w:rPr>
              <w:t>.</w:t>
            </w:r>
          </w:p>
        </w:tc>
      </w:tr>
      <w:tr w14:paraId="3C1412B5" w14:textId="77777777" w:rsidTr="00095A3C">
        <w:tblPrEx>
          <w:tblW w:w="0" w:type="auto"/>
          <w:tblLook w:val="04A0"/>
        </w:tblPrEx>
        <w:tc>
          <w:tcPr>
            <w:tcW w:w="1255" w:type="dxa"/>
          </w:tcPr>
          <w:p w:rsidR="00095A3C" w:rsidRPr="00B9284E" w:rsidP="00095A3C" w14:paraId="40248E31" w14:textId="70252F1E">
            <w:pPr>
              <w:jc w:val="center"/>
              <w:rPr>
                <w:rFonts w:ascii="Arial" w:hAnsi="Arial"/>
                <w:b/>
                <w:szCs w:val="16"/>
              </w:rPr>
            </w:pPr>
            <w:r w:rsidRPr="00B9284E">
              <w:rPr>
                <w:rFonts w:ascii="Arial" w:hAnsi="Arial"/>
                <w:b/>
                <w:szCs w:val="16"/>
              </w:rPr>
              <w:t>Panel 2</w:t>
            </w:r>
          </w:p>
        </w:tc>
        <w:tc>
          <w:tcPr>
            <w:tcW w:w="8095" w:type="dxa"/>
          </w:tcPr>
          <w:p w:rsidR="00095A3C" w:rsidRPr="00B9284E" w:rsidP="00095A3C" w14:paraId="556FC637" w14:textId="2648C712">
            <w:pPr>
              <w:jc w:val="both"/>
              <w:rPr>
                <w:rFonts w:ascii="Arial" w:hAnsi="Arial"/>
                <w:bCs/>
                <w:szCs w:val="16"/>
              </w:rPr>
            </w:pPr>
            <w:r w:rsidRPr="00B9284E">
              <w:rPr>
                <w:rFonts w:ascii="Arial" w:hAnsi="Arial"/>
                <w:bCs/>
                <w:szCs w:val="16"/>
              </w:rPr>
              <w:t xml:space="preserve">Wave 1 and Wave 2 in </w:t>
            </w:r>
            <w:r w:rsidR="002E12E6">
              <w:rPr>
                <w:rFonts w:ascii="Arial" w:hAnsi="Arial"/>
                <w:bCs/>
                <w:szCs w:val="16"/>
              </w:rPr>
              <w:t xml:space="preserve">the </w:t>
            </w:r>
            <w:r w:rsidRPr="00B9284E">
              <w:rPr>
                <w:rFonts w:ascii="Arial" w:hAnsi="Arial"/>
                <w:bCs/>
                <w:szCs w:val="16"/>
              </w:rPr>
              <w:t>current year</w:t>
            </w:r>
            <w:r w:rsidR="00B9284E">
              <w:rPr>
                <w:rFonts w:ascii="Arial" w:hAnsi="Arial"/>
                <w:bCs/>
                <w:szCs w:val="16"/>
              </w:rPr>
              <w:t>, r</w:t>
            </w:r>
            <w:r w:rsidRPr="00B9284E" w:rsidR="00B9284E">
              <w:rPr>
                <w:rFonts w:ascii="Arial" w:hAnsi="Arial"/>
                <w:bCs/>
                <w:szCs w:val="16"/>
              </w:rPr>
              <w:t xml:space="preserve">espondents are </w:t>
            </w:r>
            <w:r w:rsidR="00BD596D">
              <w:rPr>
                <w:rFonts w:ascii="Arial" w:hAnsi="Arial"/>
                <w:bCs/>
                <w:szCs w:val="16"/>
              </w:rPr>
              <w:t>surveyed</w:t>
            </w:r>
            <w:r w:rsidRPr="00B9284E" w:rsidR="00B9284E">
              <w:rPr>
                <w:rFonts w:ascii="Arial" w:hAnsi="Arial"/>
                <w:bCs/>
                <w:szCs w:val="16"/>
              </w:rPr>
              <w:t xml:space="preserve"> in</w:t>
            </w:r>
            <w:r w:rsidR="00B9284E">
              <w:rPr>
                <w:rFonts w:ascii="Arial" w:hAnsi="Arial"/>
                <w:bCs/>
                <w:szCs w:val="16"/>
              </w:rPr>
              <w:t xml:space="preserve"> both waves</w:t>
            </w:r>
            <w:r w:rsidRPr="00B9284E" w:rsidR="00B9284E">
              <w:rPr>
                <w:rFonts w:ascii="Arial" w:hAnsi="Arial"/>
                <w:bCs/>
                <w:szCs w:val="16"/>
              </w:rPr>
              <w:t>.</w:t>
            </w:r>
          </w:p>
        </w:tc>
      </w:tr>
      <w:tr w14:paraId="02794B95" w14:textId="77777777" w:rsidTr="00095A3C">
        <w:tblPrEx>
          <w:tblW w:w="0" w:type="auto"/>
          <w:tblLook w:val="04A0"/>
        </w:tblPrEx>
        <w:tc>
          <w:tcPr>
            <w:tcW w:w="1255" w:type="dxa"/>
          </w:tcPr>
          <w:p w:rsidR="00095A3C" w:rsidRPr="00B9284E" w:rsidP="00095A3C" w14:paraId="691E84B7" w14:textId="52D584C0">
            <w:pPr>
              <w:jc w:val="center"/>
              <w:rPr>
                <w:rFonts w:ascii="Arial" w:hAnsi="Arial"/>
                <w:b/>
                <w:szCs w:val="16"/>
              </w:rPr>
            </w:pPr>
            <w:r w:rsidRPr="00B9284E">
              <w:rPr>
                <w:rFonts w:ascii="Arial" w:hAnsi="Arial"/>
                <w:b/>
                <w:szCs w:val="16"/>
              </w:rPr>
              <w:t>Panel 3</w:t>
            </w:r>
          </w:p>
        </w:tc>
        <w:tc>
          <w:tcPr>
            <w:tcW w:w="8095" w:type="dxa"/>
          </w:tcPr>
          <w:p w:rsidR="00095A3C" w:rsidRPr="00B9284E" w:rsidP="00095A3C" w14:paraId="52D64DF3" w14:textId="429632C3">
            <w:pPr>
              <w:jc w:val="both"/>
              <w:rPr>
                <w:rFonts w:ascii="Arial" w:hAnsi="Arial"/>
                <w:bCs/>
                <w:szCs w:val="16"/>
              </w:rPr>
            </w:pPr>
            <w:r w:rsidRPr="00B9284E">
              <w:rPr>
                <w:rFonts w:ascii="Arial" w:hAnsi="Arial"/>
                <w:bCs/>
                <w:szCs w:val="16"/>
              </w:rPr>
              <w:t xml:space="preserve">New panel in </w:t>
            </w:r>
            <w:r w:rsidR="002E12E6">
              <w:rPr>
                <w:rFonts w:ascii="Arial" w:hAnsi="Arial"/>
                <w:bCs/>
                <w:szCs w:val="16"/>
              </w:rPr>
              <w:t xml:space="preserve">the </w:t>
            </w:r>
            <w:r w:rsidRPr="00B9284E">
              <w:rPr>
                <w:rFonts w:ascii="Arial" w:hAnsi="Arial"/>
                <w:bCs/>
                <w:szCs w:val="16"/>
              </w:rPr>
              <w:t xml:space="preserve">current year, </w:t>
            </w:r>
            <w:r w:rsidRPr="00B9284E" w:rsidR="00B9284E">
              <w:rPr>
                <w:rFonts w:ascii="Arial" w:hAnsi="Arial"/>
                <w:bCs/>
                <w:szCs w:val="16"/>
              </w:rPr>
              <w:t xml:space="preserve">respondents are </w:t>
            </w:r>
            <w:r w:rsidRPr="00B9284E">
              <w:rPr>
                <w:rFonts w:ascii="Arial" w:hAnsi="Arial"/>
                <w:bCs/>
                <w:szCs w:val="16"/>
              </w:rPr>
              <w:t>surveyed once in Wave 2</w:t>
            </w:r>
            <w:r w:rsidRPr="00B9284E" w:rsidR="00B9284E">
              <w:rPr>
                <w:rFonts w:ascii="Arial" w:hAnsi="Arial"/>
                <w:bCs/>
                <w:szCs w:val="16"/>
              </w:rPr>
              <w:t>.</w:t>
            </w:r>
          </w:p>
        </w:tc>
      </w:tr>
    </w:tbl>
    <w:p w:rsidR="00B079B9" w:rsidP="00B079B9" w14:paraId="5A4F0AF9" w14:textId="77777777">
      <w:pPr>
        <w:jc w:val="both"/>
        <w:rPr>
          <w:rFonts w:ascii="Arial" w:hAnsi="Arial"/>
          <w:bCs/>
          <w:sz w:val="24"/>
        </w:rPr>
      </w:pPr>
    </w:p>
    <w:p w:rsidR="00271292" w14:paraId="16A3F24D" w14:textId="08C5B1A2">
      <w:pPr>
        <w:jc w:val="both"/>
        <w:rPr>
          <w:rFonts w:ascii="Arial" w:hAnsi="Arial"/>
          <w:bCs/>
          <w:sz w:val="24"/>
        </w:rPr>
      </w:pPr>
      <w:r>
        <w:rPr>
          <w:rFonts w:ascii="Arial" w:hAnsi="Arial"/>
          <w:bCs/>
          <w:sz w:val="24"/>
        </w:rPr>
        <w:t>T</w:t>
      </w:r>
      <w:r w:rsidRPr="00ED5B81" w:rsidR="00ED5B81">
        <w:rPr>
          <w:rFonts w:ascii="Arial" w:hAnsi="Arial"/>
          <w:bCs/>
          <w:sz w:val="24"/>
        </w:rPr>
        <w:t xml:space="preserve">he Patents External Quality Survey is a web-based survey. The USPTO sends potential respondents either an email or mailed pre-survey letter, depending on the respondent’s preferred method of contact. At the beginning of each survey period, the USPTO provides </w:t>
      </w:r>
      <w:r w:rsidRPr="00ED5B81" w:rsidR="00ED5B81">
        <w:rPr>
          <w:rFonts w:ascii="Arial" w:hAnsi="Arial"/>
          <w:bCs/>
          <w:sz w:val="24"/>
        </w:rPr>
        <w:t>respondents with instructions for accessing and completing the survey electronically. After a specified response period, the USPTO sends a reminder to all sample members who have not yet submitted a response.   The USPTO also uses reminder/thank-you postcards and telephone calls to encourage a response from sample members. </w:t>
      </w:r>
    </w:p>
    <w:p w:rsidR="00ED5B81" w14:paraId="5B6273A3" w14:textId="77777777">
      <w:pPr>
        <w:jc w:val="both"/>
        <w:rPr>
          <w:rFonts w:ascii="Arial" w:hAnsi="Arial"/>
          <w:sz w:val="24"/>
        </w:rPr>
      </w:pPr>
    </w:p>
    <w:p w:rsidR="00083F86" w:rsidP="00A54DB6" w14:paraId="0920330C" w14:textId="149EE0AD">
      <w:pPr>
        <w:numPr>
          <w:ilvl w:val="0"/>
          <w:numId w:val="12"/>
        </w:numPr>
        <w:tabs>
          <w:tab w:val="clear" w:pos="720"/>
        </w:tabs>
        <w:ind w:left="360" w:hanging="360"/>
        <w:jc w:val="both"/>
        <w:rPr>
          <w:rFonts w:ascii="Arial" w:hAnsi="Arial"/>
          <w:b/>
          <w:sz w:val="24"/>
        </w:rPr>
      </w:pPr>
      <w:r w:rsidRPr="001D603D">
        <w:rPr>
          <w:rFonts w:ascii="Arial" w:hAnsi="Arial" w:cs="Arial"/>
          <w:b/>
          <w:bCs/>
          <w:sz w:val="24"/>
        </w:rPr>
        <w:t>Indicate how, by whom, and for what purpose the information is to be used. Except for a new information collection, indicate the actual use the agency has made of the information received from the current information collection.</w:t>
      </w:r>
    </w:p>
    <w:p w:rsidR="00083F86" w14:paraId="161150B3" w14:textId="31518F3C">
      <w:pPr>
        <w:tabs>
          <w:tab w:val="left" w:pos="720"/>
        </w:tabs>
        <w:jc w:val="both"/>
        <w:rPr>
          <w:rFonts w:ascii="Arial" w:hAnsi="Arial"/>
          <w:b/>
          <w:sz w:val="24"/>
        </w:rPr>
      </w:pPr>
    </w:p>
    <w:p w:rsidR="005354EE" w:rsidRPr="00EA3928" w14:paraId="22BAC6B9" w14:textId="7910003C">
      <w:pPr>
        <w:tabs>
          <w:tab w:val="left" w:pos="720"/>
        </w:tabs>
        <w:jc w:val="both"/>
        <w:rPr>
          <w:rFonts w:ascii="Arial" w:hAnsi="Arial"/>
          <w:bCs/>
          <w:sz w:val="24"/>
        </w:rPr>
      </w:pPr>
      <w:r>
        <w:rPr>
          <w:rFonts w:ascii="Arial" w:hAnsi="Arial"/>
          <w:bCs/>
          <w:sz w:val="24"/>
        </w:rPr>
        <w:t>The</w:t>
      </w:r>
      <w:r w:rsidRPr="00EA3928" w:rsidR="00864A99">
        <w:rPr>
          <w:rFonts w:ascii="Arial" w:hAnsi="Arial" w:cs="Arial"/>
          <w:bCs/>
          <w:sz w:val="24"/>
          <w:szCs w:val="24"/>
        </w:rPr>
        <w:t xml:space="preserve"> </w:t>
      </w:r>
      <w:r w:rsidRPr="00EA3928" w:rsidR="00E13209">
        <w:rPr>
          <w:rFonts w:ascii="Arial" w:hAnsi="Arial" w:cs="Arial"/>
          <w:bCs/>
          <w:sz w:val="24"/>
          <w:szCs w:val="24"/>
        </w:rPr>
        <w:t>USPTO sends</w:t>
      </w:r>
      <w:r w:rsidRPr="00EA3928" w:rsidR="00864A99">
        <w:rPr>
          <w:rFonts w:ascii="Arial" w:hAnsi="Arial" w:cs="Arial"/>
          <w:bCs/>
          <w:sz w:val="24"/>
          <w:szCs w:val="24"/>
        </w:rPr>
        <w:t xml:space="preserve"> </w:t>
      </w:r>
      <w:r w:rsidRPr="00EA3928" w:rsidR="00E13209">
        <w:rPr>
          <w:rFonts w:ascii="Arial" w:hAnsi="Arial" w:cs="Arial"/>
          <w:bCs/>
          <w:sz w:val="24"/>
          <w:szCs w:val="24"/>
        </w:rPr>
        <w:t>p</w:t>
      </w:r>
      <w:r w:rsidRPr="00EA3928" w:rsidR="00864A99">
        <w:rPr>
          <w:rFonts w:ascii="Arial" w:hAnsi="Arial" w:cs="Arial"/>
          <w:bCs/>
          <w:sz w:val="24"/>
          <w:szCs w:val="24"/>
        </w:rPr>
        <w:t xml:space="preserve">otential respondents </w:t>
      </w:r>
      <w:r w:rsidR="00BC5C3A">
        <w:rPr>
          <w:rFonts w:ascii="Arial" w:hAnsi="Arial" w:cs="Arial"/>
          <w:bCs/>
          <w:sz w:val="24"/>
          <w:szCs w:val="24"/>
        </w:rPr>
        <w:t xml:space="preserve">a </w:t>
      </w:r>
      <w:r w:rsidRPr="00EA3928" w:rsidR="00864A99">
        <w:rPr>
          <w:rFonts w:ascii="Arial" w:hAnsi="Arial" w:cs="Arial"/>
          <w:bCs/>
          <w:sz w:val="24"/>
          <w:szCs w:val="24"/>
        </w:rPr>
        <w:t>pre-survey letter</w:t>
      </w:r>
      <w:r w:rsidR="00EA3928">
        <w:rPr>
          <w:rFonts w:ascii="Arial" w:hAnsi="Arial" w:cs="Arial"/>
          <w:bCs/>
          <w:sz w:val="24"/>
          <w:szCs w:val="24"/>
        </w:rPr>
        <w:t xml:space="preserve"> a</w:t>
      </w:r>
      <w:r w:rsidRPr="00EA3928" w:rsidR="00EA3928">
        <w:rPr>
          <w:rFonts w:ascii="Arial" w:hAnsi="Arial" w:cs="Arial"/>
          <w:bCs/>
          <w:sz w:val="24"/>
          <w:szCs w:val="24"/>
        </w:rPr>
        <w:t>t the beginning of each survey period</w:t>
      </w:r>
      <w:r w:rsidR="00EA3928">
        <w:rPr>
          <w:rFonts w:ascii="Arial" w:hAnsi="Arial" w:cs="Arial"/>
          <w:bCs/>
          <w:sz w:val="24"/>
          <w:szCs w:val="24"/>
        </w:rPr>
        <w:t>. Respondents receive</w:t>
      </w:r>
      <w:r w:rsidR="000613F0">
        <w:rPr>
          <w:rFonts w:ascii="Arial" w:hAnsi="Arial" w:cs="Arial"/>
          <w:bCs/>
          <w:sz w:val="24"/>
          <w:szCs w:val="24"/>
        </w:rPr>
        <w:t xml:space="preserve"> either</w:t>
      </w:r>
      <w:r w:rsidR="00EA3928">
        <w:rPr>
          <w:rFonts w:ascii="Arial" w:hAnsi="Arial" w:cs="Arial"/>
          <w:bCs/>
          <w:sz w:val="24"/>
          <w:szCs w:val="24"/>
        </w:rPr>
        <w:t xml:space="preserve"> the </w:t>
      </w:r>
      <w:r w:rsidR="00FD68B5">
        <w:rPr>
          <w:rFonts w:ascii="Arial" w:hAnsi="Arial" w:cs="Arial"/>
          <w:bCs/>
          <w:sz w:val="24"/>
          <w:szCs w:val="24"/>
        </w:rPr>
        <w:t xml:space="preserve">pre-survey letter in </w:t>
      </w:r>
      <w:r w:rsidR="00EA3928">
        <w:rPr>
          <w:rFonts w:ascii="Arial" w:hAnsi="Arial" w:cs="Arial"/>
          <w:bCs/>
          <w:sz w:val="24"/>
          <w:szCs w:val="24"/>
        </w:rPr>
        <w:t>electronic or paper version</w:t>
      </w:r>
      <w:r w:rsidRPr="00EA3928" w:rsidR="00864A99">
        <w:rPr>
          <w:rFonts w:ascii="Arial" w:hAnsi="Arial" w:cs="Arial"/>
          <w:bCs/>
          <w:sz w:val="24"/>
          <w:szCs w:val="24"/>
        </w:rPr>
        <w:t xml:space="preserve"> depending on </w:t>
      </w:r>
      <w:r w:rsidR="00EA3928">
        <w:rPr>
          <w:rFonts w:ascii="Arial" w:hAnsi="Arial" w:cs="Arial"/>
          <w:bCs/>
          <w:sz w:val="24"/>
          <w:szCs w:val="24"/>
        </w:rPr>
        <w:t xml:space="preserve">their </w:t>
      </w:r>
      <w:r w:rsidRPr="00EA3928" w:rsidR="00864A99">
        <w:rPr>
          <w:rFonts w:ascii="Arial" w:hAnsi="Arial" w:cs="Arial"/>
          <w:bCs/>
          <w:sz w:val="24"/>
          <w:szCs w:val="24"/>
        </w:rPr>
        <w:t>noted preferences for contact</w:t>
      </w:r>
      <w:r w:rsidRPr="00EA3928" w:rsidR="00E13209">
        <w:rPr>
          <w:rFonts w:ascii="Arial" w:hAnsi="Arial" w:cs="Arial"/>
          <w:bCs/>
          <w:sz w:val="24"/>
          <w:szCs w:val="24"/>
        </w:rPr>
        <w:t xml:space="preserve">. The survey contains </w:t>
      </w:r>
      <w:r w:rsidRPr="00EA3928" w:rsidR="00864A99">
        <w:rPr>
          <w:rFonts w:ascii="Arial" w:hAnsi="Arial" w:cs="Arial"/>
          <w:bCs/>
          <w:sz w:val="24"/>
          <w:szCs w:val="24"/>
        </w:rPr>
        <w:t>instructions for accessing and completing the survey electronically</w:t>
      </w:r>
      <w:r w:rsidRPr="00EA3928" w:rsidR="005D0E7B">
        <w:rPr>
          <w:rFonts w:ascii="Arial" w:hAnsi="Arial" w:cs="Arial"/>
          <w:bCs/>
          <w:sz w:val="24"/>
          <w:szCs w:val="24"/>
        </w:rPr>
        <w:t>.</w:t>
      </w:r>
      <w:r w:rsidRPr="00EA3928" w:rsidR="00061B97">
        <w:rPr>
          <w:rFonts w:ascii="Arial" w:hAnsi="Arial" w:cs="Arial"/>
          <w:bCs/>
          <w:sz w:val="24"/>
          <w:szCs w:val="24"/>
        </w:rPr>
        <w:t xml:space="preserve"> </w:t>
      </w:r>
      <w:r w:rsidR="005951E0">
        <w:rPr>
          <w:rFonts w:ascii="Arial" w:hAnsi="Arial" w:cs="Arial"/>
          <w:bCs/>
          <w:sz w:val="24"/>
          <w:szCs w:val="24"/>
        </w:rPr>
        <w:t xml:space="preserve"> </w:t>
      </w:r>
    </w:p>
    <w:p w:rsidR="00E72FE2" w14:paraId="72666EC3" w14:textId="77777777">
      <w:pPr>
        <w:tabs>
          <w:tab w:val="left" w:pos="720"/>
        </w:tabs>
        <w:jc w:val="both"/>
        <w:rPr>
          <w:rFonts w:ascii="Arial" w:hAnsi="Arial"/>
          <w:sz w:val="24"/>
        </w:rPr>
      </w:pPr>
    </w:p>
    <w:p w:rsidR="004C4EBC" w14:paraId="5EB41A96" w14:textId="2488F177">
      <w:pPr>
        <w:tabs>
          <w:tab w:val="left" w:pos="720"/>
        </w:tabs>
        <w:jc w:val="both"/>
        <w:rPr>
          <w:rFonts w:ascii="Arial" w:hAnsi="Arial"/>
          <w:sz w:val="24"/>
        </w:rPr>
      </w:pPr>
      <w:r>
        <w:rPr>
          <w:rFonts w:ascii="Arial" w:hAnsi="Arial"/>
          <w:sz w:val="24"/>
        </w:rPr>
        <w:t xml:space="preserve">The USPTO sends </w:t>
      </w:r>
      <w:r w:rsidR="00A67763">
        <w:rPr>
          <w:rFonts w:ascii="Arial" w:hAnsi="Arial"/>
          <w:sz w:val="24"/>
        </w:rPr>
        <w:t>all sample members</w:t>
      </w:r>
      <w:r w:rsidR="00EA3928">
        <w:rPr>
          <w:rFonts w:ascii="Arial" w:hAnsi="Arial"/>
          <w:sz w:val="24"/>
        </w:rPr>
        <w:t xml:space="preserve"> a pre-notification letter</w:t>
      </w:r>
      <w:r w:rsidR="00F82265">
        <w:rPr>
          <w:rFonts w:ascii="Arial" w:hAnsi="Arial"/>
          <w:sz w:val="24"/>
        </w:rPr>
        <w:t xml:space="preserve"> or email </w:t>
      </w:r>
      <w:r w:rsidR="00EA3928">
        <w:rPr>
          <w:rFonts w:ascii="Arial" w:hAnsi="Arial"/>
          <w:sz w:val="24"/>
        </w:rPr>
        <w:t>that</w:t>
      </w:r>
      <w:r w:rsidR="00CF680C">
        <w:rPr>
          <w:rFonts w:ascii="Arial" w:hAnsi="Arial"/>
          <w:sz w:val="24"/>
        </w:rPr>
        <w:t xml:space="preserve"> describes</w:t>
      </w:r>
      <w:r>
        <w:rPr>
          <w:rFonts w:ascii="Arial" w:hAnsi="Arial"/>
          <w:sz w:val="24"/>
        </w:rPr>
        <w:t xml:space="preserve"> the study and </w:t>
      </w:r>
      <w:r w:rsidR="00EA3928">
        <w:rPr>
          <w:rFonts w:ascii="Arial" w:hAnsi="Arial"/>
          <w:sz w:val="24"/>
        </w:rPr>
        <w:t>requests their</w:t>
      </w:r>
      <w:r>
        <w:rPr>
          <w:rFonts w:ascii="Arial" w:hAnsi="Arial"/>
          <w:sz w:val="24"/>
        </w:rPr>
        <w:t xml:space="preserve"> participation</w:t>
      </w:r>
      <w:r w:rsidR="00A67763">
        <w:rPr>
          <w:rFonts w:ascii="Arial" w:hAnsi="Arial"/>
          <w:sz w:val="24"/>
        </w:rPr>
        <w:t xml:space="preserve">. </w:t>
      </w:r>
      <w:r w:rsidR="00000744">
        <w:rPr>
          <w:rFonts w:ascii="Arial" w:hAnsi="Arial"/>
          <w:sz w:val="24"/>
        </w:rPr>
        <w:t>The sample member</w:t>
      </w:r>
      <w:r w:rsidR="00D24DA5">
        <w:rPr>
          <w:rFonts w:ascii="Arial" w:hAnsi="Arial"/>
          <w:sz w:val="24"/>
        </w:rPr>
        <w:t>s</w:t>
      </w:r>
      <w:r w:rsidR="00000744">
        <w:rPr>
          <w:rFonts w:ascii="Arial" w:hAnsi="Arial"/>
          <w:sz w:val="24"/>
        </w:rPr>
        <w:t xml:space="preserve"> receive</w:t>
      </w:r>
      <w:r w:rsidR="00E72FE2">
        <w:rPr>
          <w:rFonts w:ascii="Arial" w:hAnsi="Arial"/>
          <w:sz w:val="24"/>
        </w:rPr>
        <w:t xml:space="preserve"> instructions</w:t>
      </w:r>
      <w:r w:rsidR="002C26FC">
        <w:rPr>
          <w:rFonts w:ascii="Arial" w:hAnsi="Arial"/>
          <w:sz w:val="24"/>
        </w:rPr>
        <w:t xml:space="preserve"> </w:t>
      </w:r>
      <w:r w:rsidR="00E72FE2">
        <w:rPr>
          <w:rFonts w:ascii="Arial" w:hAnsi="Arial"/>
          <w:sz w:val="24"/>
        </w:rPr>
        <w:t>includ</w:t>
      </w:r>
      <w:r w:rsidR="00A7326B">
        <w:rPr>
          <w:rFonts w:ascii="Arial" w:hAnsi="Arial"/>
          <w:sz w:val="24"/>
        </w:rPr>
        <w:t>ing</w:t>
      </w:r>
      <w:r w:rsidR="002C26FC">
        <w:rPr>
          <w:rFonts w:ascii="Arial" w:hAnsi="Arial"/>
          <w:sz w:val="24"/>
        </w:rPr>
        <w:t xml:space="preserve"> </w:t>
      </w:r>
      <w:r w:rsidR="00E72FE2">
        <w:rPr>
          <w:rFonts w:ascii="Arial" w:hAnsi="Arial"/>
          <w:sz w:val="24"/>
        </w:rPr>
        <w:t xml:space="preserve">details for accessing the survey online through </w:t>
      </w:r>
      <w:r w:rsidR="00E72FE2">
        <w:rPr>
          <w:rFonts w:ascii="Arial" w:hAnsi="Arial"/>
          <w:sz w:val="24"/>
        </w:rPr>
        <w:t>Westat’s</w:t>
      </w:r>
      <w:r w:rsidR="00E72FE2">
        <w:rPr>
          <w:rFonts w:ascii="Arial" w:hAnsi="Arial"/>
          <w:sz w:val="24"/>
        </w:rPr>
        <w:t xml:space="preserve"> website and </w:t>
      </w:r>
      <w:r w:rsidR="00D24DA5">
        <w:rPr>
          <w:rFonts w:ascii="Arial" w:hAnsi="Arial"/>
          <w:sz w:val="24"/>
        </w:rPr>
        <w:t xml:space="preserve">are </w:t>
      </w:r>
      <w:r w:rsidR="00E72FE2">
        <w:rPr>
          <w:rFonts w:ascii="Arial" w:hAnsi="Arial"/>
          <w:sz w:val="24"/>
        </w:rPr>
        <w:t>provide</w:t>
      </w:r>
      <w:r w:rsidR="00D24DA5">
        <w:rPr>
          <w:rFonts w:ascii="Arial" w:hAnsi="Arial"/>
          <w:sz w:val="24"/>
        </w:rPr>
        <w:t>d</w:t>
      </w:r>
      <w:r w:rsidR="00E72FE2">
        <w:rPr>
          <w:rFonts w:ascii="Arial" w:hAnsi="Arial"/>
          <w:sz w:val="24"/>
        </w:rPr>
        <w:t xml:space="preserve"> a username, password</w:t>
      </w:r>
      <w:r w:rsidR="008D2B85">
        <w:rPr>
          <w:rFonts w:ascii="Arial" w:hAnsi="Arial"/>
          <w:sz w:val="24"/>
        </w:rPr>
        <w:t>,</w:t>
      </w:r>
      <w:r w:rsidR="00E72FE2">
        <w:rPr>
          <w:rFonts w:ascii="Arial" w:hAnsi="Arial"/>
          <w:sz w:val="24"/>
        </w:rPr>
        <w:t xml:space="preserve"> and 5-digit survey </w:t>
      </w:r>
      <w:r w:rsidR="006451CF">
        <w:rPr>
          <w:rFonts w:ascii="Arial" w:hAnsi="Arial"/>
          <w:sz w:val="24"/>
        </w:rPr>
        <w:t>identification</w:t>
      </w:r>
      <w:r w:rsidR="00E72FE2">
        <w:rPr>
          <w:rFonts w:ascii="Arial" w:hAnsi="Arial"/>
          <w:sz w:val="24"/>
        </w:rPr>
        <w:t xml:space="preserve"> number </w:t>
      </w:r>
      <w:r w:rsidR="00A54DB6">
        <w:rPr>
          <w:rFonts w:ascii="Arial" w:hAnsi="Arial"/>
          <w:sz w:val="24"/>
        </w:rPr>
        <w:t>which</w:t>
      </w:r>
      <w:r w:rsidR="00E72FE2">
        <w:rPr>
          <w:rFonts w:ascii="Arial" w:hAnsi="Arial"/>
          <w:sz w:val="24"/>
        </w:rPr>
        <w:t xml:space="preserve"> respondents need to access the </w:t>
      </w:r>
      <w:r w:rsidRPr="006823DF" w:rsidR="00E72FE2">
        <w:rPr>
          <w:rFonts w:ascii="Arial" w:hAnsi="Arial"/>
          <w:sz w:val="24"/>
        </w:rPr>
        <w:t xml:space="preserve">electronic survey. </w:t>
      </w:r>
      <w:r w:rsidR="00000744">
        <w:rPr>
          <w:rFonts w:ascii="Arial" w:hAnsi="Arial"/>
          <w:sz w:val="24"/>
        </w:rPr>
        <w:t>T</w:t>
      </w:r>
      <w:r w:rsidRPr="00A54DB6" w:rsidR="006823DF">
        <w:rPr>
          <w:rFonts w:ascii="Arial" w:hAnsi="Arial"/>
          <w:sz w:val="24"/>
        </w:rPr>
        <w:t>he USPTO sends a</w:t>
      </w:r>
      <w:r w:rsidRPr="006823DF" w:rsidR="006823DF">
        <w:rPr>
          <w:rFonts w:ascii="Arial" w:hAnsi="Arial"/>
          <w:sz w:val="24"/>
        </w:rPr>
        <w:t xml:space="preserve"> </w:t>
      </w:r>
      <w:r w:rsidRPr="006823DF" w:rsidR="00E72FE2">
        <w:rPr>
          <w:rFonts w:ascii="Arial" w:hAnsi="Arial"/>
          <w:sz w:val="24"/>
        </w:rPr>
        <w:t xml:space="preserve">reminder/thank you </w:t>
      </w:r>
      <w:r w:rsidR="00BC5C3A">
        <w:rPr>
          <w:rFonts w:ascii="Arial" w:hAnsi="Arial"/>
          <w:sz w:val="24"/>
        </w:rPr>
        <w:t xml:space="preserve">email or </w:t>
      </w:r>
      <w:r w:rsidRPr="006823DF" w:rsidR="00E72FE2">
        <w:rPr>
          <w:rFonts w:ascii="Arial" w:hAnsi="Arial"/>
          <w:sz w:val="24"/>
        </w:rPr>
        <w:t>postcard to all sample members.</w:t>
      </w:r>
      <w:r w:rsidR="00E72FE2">
        <w:rPr>
          <w:rFonts w:ascii="Arial" w:hAnsi="Arial"/>
          <w:sz w:val="24"/>
        </w:rPr>
        <w:t xml:space="preserve">  </w:t>
      </w:r>
    </w:p>
    <w:p w:rsidR="00A67763" w14:paraId="6F2C6F19" w14:textId="77777777">
      <w:pPr>
        <w:tabs>
          <w:tab w:val="left" w:pos="720"/>
        </w:tabs>
        <w:jc w:val="both"/>
        <w:rPr>
          <w:rFonts w:ascii="Arial" w:hAnsi="Arial"/>
          <w:sz w:val="24"/>
        </w:rPr>
      </w:pPr>
    </w:p>
    <w:p w:rsidR="004C4EBC" w14:paraId="16AF0B3E" w14:textId="0F69589B">
      <w:pPr>
        <w:tabs>
          <w:tab w:val="left" w:pos="720"/>
        </w:tabs>
        <w:jc w:val="both"/>
        <w:rPr>
          <w:rFonts w:ascii="Arial" w:hAnsi="Arial"/>
          <w:sz w:val="24"/>
        </w:rPr>
      </w:pPr>
      <w:r>
        <w:rPr>
          <w:rFonts w:ascii="Arial" w:hAnsi="Arial"/>
          <w:sz w:val="24"/>
        </w:rPr>
        <w:t>Additionally, o</w:t>
      </w:r>
      <w:r>
        <w:rPr>
          <w:rFonts w:ascii="Arial" w:hAnsi="Arial"/>
          <w:sz w:val="24"/>
        </w:rPr>
        <w:t xml:space="preserve">ne week after the reminder/thank you </w:t>
      </w:r>
      <w:r w:rsidR="00BC5C3A">
        <w:rPr>
          <w:rFonts w:ascii="Arial" w:hAnsi="Arial"/>
          <w:sz w:val="24"/>
        </w:rPr>
        <w:t xml:space="preserve">email or </w:t>
      </w:r>
      <w:r>
        <w:rPr>
          <w:rFonts w:ascii="Arial" w:hAnsi="Arial"/>
          <w:sz w:val="24"/>
        </w:rPr>
        <w:t>postcard is sent, all sample members who have not completed the survey receive a follow-up telephone call. The primary purpose of these phone calls is to remind non</w:t>
      </w:r>
      <w:r w:rsidR="00F4663C">
        <w:rPr>
          <w:rFonts w:ascii="Arial" w:hAnsi="Arial"/>
          <w:sz w:val="24"/>
        </w:rPr>
        <w:t>-</w:t>
      </w:r>
      <w:r>
        <w:rPr>
          <w:rFonts w:ascii="Arial" w:hAnsi="Arial"/>
          <w:sz w:val="24"/>
        </w:rPr>
        <w:t xml:space="preserve">respondents of the survey date and to answer any questions that they may have </w:t>
      </w:r>
      <w:r w:rsidR="00CF680C">
        <w:rPr>
          <w:rFonts w:ascii="Arial" w:hAnsi="Arial"/>
          <w:sz w:val="24"/>
        </w:rPr>
        <w:t>about</w:t>
      </w:r>
      <w:r>
        <w:rPr>
          <w:rFonts w:ascii="Arial" w:hAnsi="Arial"/>
          <w:sz w:val="24"/>
        </w:rPr>
        <w:t xml:space="preserve"> the survey. </w:t>
      </w:r>
      <w:r>
        <w:rPr>
          <w:rFonts w:ascii="Arial" w:hAnsi="Arial"/>
          <w:sz w:val="24"/>
        </w:rPr>
        <w:t>T</w:t>
      </w:r>
      <w:r>
        <w:rPr>
          <w:rFonts w:ascii="Arial" w:hAnsi="Arial"/>
          <w:sz w:val="24"/>
        </w:rPr>
        <w:t>hese calls are intended as prompting calls</w:t>
      </w:r>
      <w:r>
        <w:rPr>
          <w:rFonts w:ascii="Arial" w:hAnsi="Arial"/>
          <w:sz w:val="24"/>
        </w:rPr>
        <w:t>, and</w:t>
      </w:r>
      <w:r>
        <w:rPr>
          <w:rFonts w:ascii="Arial" w:hAnsi="Arial"/>
          <w:sz w:val="24"/>
        </w:rPr>
        <w:t xml:space="preserve"> </w:t>
      </w:r>
      <w:r w:rsidR="0055352A">
        <w:rPr>
          <w:rFonts w:ascii="Arial" w:hAnsi="Arial"/>
          <w:sz w:val="24"/>
        </w:rPr>
        <w:t>Westat</w:t>
      </w:r>
      <w:r w:rsidR="0055352A">
        <w:rPr>
          <w:rFonts w:ascii="Arial" w:hAnsi="Arial"/>
          <w:sz w:val="24"/>
        </w:rPr>
        <w:t xml:space="preserve"> leaves </w:t>
      </w:r>
      <w:r>
        <w:rPr>
          <w:rFonts w:ascii="Arial" w:hAnsi="Arial"/>
          <w:sz w:val="24"/>
        </w:rPr>
        <w:t xml:space="preserve">messages if respondents are not available. </w:t>
      </w:r>
      <w:r>
        <w:rPr>
          <w:rFonts w:ascii="Arial" w:hAnsi="Arial"/>
          <w:sz w:val="24"/>
        </w:rPr>
        <w:t>Westat</w:t>
      </w:r>
      <w:r>
        <w:rPr>
          <w:rFonts w:ascii="Arial" w:hAnsi="Arial"/>
          <w:sz w:val="24"/>
        </w:rPr>
        <w:t xml:space="preserve"> </w:t>
      </w:r>
      <w:r w:rsidR="00CF680C">
        <w:rPr>
          <w:rFonts w:ascii="Arial" w:hAnsi="Arial"/>
          <w:sz w:val="24"/>
        </w:rPr>
        <w:t>does</w:t>
      </w:r>
      <w:r>
        <w:rPr>
          <w:rFonts w:ascii="Arial" w:hAnsi="Arial"/>
          <w:sz w:val="24"/>
        </w:rPr>
        <w:t xml:space="preserve"> not make repeated phone calls if a message </w:t>
      </w:r>
      <w:r>
        <w:rPr>
          <w:rFonts w:ascii="Arial" w:hAnsi="Arial"/>
          <w:sz w:val="24"/>
        </w:rPr>
        <w:t>is</w:t>
      </w:r>
      <w:r>
        <w:rPr>
          <w:rFonts w:ascii="Arial" w:hAnsi="Arial"/>
          <w:sz w:val="24"/>
        </w:rPr>
        <w:t xml:space="preserve"> left on an answering machine or with a receptionist/secretary, etc. The </w:t>
      </w:r>
      <w:r>
        <w:rPr>
          <w:rFonts w:ascii="Arial" w:hAnsi="Arial"/>
          <w:sz w:val="24"/>
        </w:rPr>
        <w:t>Westat</w:t>
      </w:r>
      <w:r>
        <w:rPr>
          <w:rFonts w:ascii="Arial" w:hAnsi="Arial"/>
          <w:sz w:val="24"/>
        </w:rPr>
        <w:t xml:space="preserve"> telephone staff encourage non</w:t>
      </w:r>
      <w:r w:rsidR="00F4663C">
        <w:rPr>
          <w:rFonts w:ascii="Arial" w:hAnsi="Arial"/>
          <w:sz w:val="24"/>
        </w:rPr>
        <w:t>-</w:t>
      </w:r>
      <w:r>
        <w:rPr>
          <w:rFonts w:ascii="Arial" w:hAnsi="Arial"/>
          <w:sz w:val="24"/>
        </w:rPr>
        <w:t>respondents to complete the survey using the web option in order to expedite completion of the survey. The non</w:t>
      </w:r>
      <w:r w:rsidR="00F4663C">
        <w:rPr>
          <w:rFonts w:ascii="Arial" w:hAnsi="Arial"/>
          <w:sz w:val="24"/>
        </w:rPr>
        <w:t>-</w:t>
      </w:r>
      <w:r>
        <w:rPr>
          <w:rFonts w:ascii="Arial" w:hAnsi="Arial"/>
          <w:sz w:val="24"/>
        </w:rPr>
        <w:t xml:space="preserve">respondents </w:t>
      </w:r>
      <w:r w:rsidR="00CF680C">
        <w:rPr>
          <w:rFonts w:ascii="Arial" w:hAnsi="Arial"/>
          <w:sz w:val="24"/>
        </w:rPr>
        <w:t>are</w:t>
      </w:r>
      <w:r>
        <w:rPr>
          <w:rFonts w:ascii="Arial" w:hAnsi="Arial"/>
          <w:sz w:val="24"/>
        </w:rPr>
        <w:t xml:space="preserve"> not asked to complete the survey over the telephone with </w:t>
      </w:r>
      <w:r>
        <w:rPr>
          <w:rFonts w:ascii="Arial" w:hAnsi="Arial"/>
          <w:sz w:val="24"/>
        </w:rPr>
        <w:t>Westat</w:t>
      </w:r>
      <w:r>
        <w:rPr>
          <w:rFonts w:ascii="Arial" w:hAnsi="Arial"/>
          <w:sz w:val="24"/>
        </w:rPr>
        <w:t xml:space="preserve"> staff </w:t>
      </w:r>
      <w:r>
        <w:rPr>
          <w:rFonts w:ascii="Arial" w:hAnsi="Arial"/>
          <w:sz w:val="24"/>
        </w:rPr>
        <w:t>because</w:t>
      </w:r>
      <w:r>
        <w:rPr>
          <w:rFonts w:ascii="Arial" w:hAnsi="Arial"/>
          <w:sz w:val="24"/>
        </w:rPr>
        <w:t xml:space="preserve"> this survey is not intended to be administered over the telephone. A suggested script ensure</w:t>
      </w:r>
      <w:r>
        <w:rPr>
          <w:rFonts w:ascii="Arial" w:hAnsi="Arial"/>
          <w:sz w:val="24"/>
        </w:rPr>
        <w:t>s</w:t>
      </w:r>
      <w:r>
        <w:rPr>
          <w:rFonts w:ascii="Arial" w:hAnsi="Arial"/>
          <w:sz w:val="24"/>
        </w:rPr>
        <w:t xml:space="preserve"> that the staff conducting the follow-up phone calls </w:t>
      </w:r>
      <w:r w:rsidR="00934CC9">
        <w:rPr>
          <w:rFonts w:ascii="Arial" w:hAnsi="Arial"/>
          <w:sz w:val="24"/>
        </w:rPr>
        <w:t>covers the same information</w:t>
      </w:r>
      <w:r>
        <w:rPr>
          <w:rFonts w:ascii="Arial" w:hAnsi="Arial"/>
          <w:sz w:val="24"/>
        </w:rPr>
        <w:t xml:space="preserve"> in the same manner.</w:t>
      </w:r>
    </w:p>
    <w:p w:rsidR="004C4EBC" w14:paraId="544F186C" w14:textId="77777777">
      <w:pPr>
        <w:tabs>
          <w:tab w:val="left" w:pos="720"/>
        </w:tabs>
        <w:jc w:val="both"/>
        <w:rPr>
          <w:rFonts w:ascii="Arial" w:hAnsi="Arial"/>
          <w:sz w:val="24"/>
        </w:rPr>
      </w:pPr>
    </w:p>
    <w:p w:rsidR="005576A4" w14:paraId="7968CB56" w14:textId="64A49019">
      <w:pPr>
        <w:tabs>
          <w:tab w:val="left" w:pos="720"/>
        </w:tabs>
        <w:jc w:val="both"/>
        <w:rPr>
          <w:rFonts w:ascii="Arial" w:hAnsi="Arial"/>
          <w:sz w:val="24"/>
        </w:rPr>
      </w:pPr>
      <w:r w:rsidRPr="005B4235">
        <w:rPr>
          <w:rFonts w:ascii="Arial" w:hAnsi="Arial"/>
          <w:sz w:val="24"/>
        </w:rPr>
        <w:t xml:space="preserve">The information collected, maintained, and used in this </w:t>
      </w:r>
      <w:r w:rsidR="005D3BB6">
        <w:rPr>
          <w:rFonts w:ascii="Arial" w:hAnsi="Arial"/>
          <w:sz w:val="24"/>
        </w:rPr>
        <w:t xml:space="preserve">information </w:t>
      </w:r>
      <w:r w:rsidRPr="005B4235">
        <w:rPr>
          <w:rFonts w:ascii="Arial" w:hAnsi="Arial"/>
          <w:sz w:val="24"/>
        </w:rPr>
        <w:t>collection is based on OMB and USPTO guidelines. This includes the basic information quality standards established in the Paperwork Reduction Act (44 U.S.C. Chapter 35), in OMB Circular A-130, and in the OMB information quality guidelines.</w:t>
      </w:r>
    </w:p>
    <w:p w:rsidR="005B4235" w14:paraId="444D95DB" w14:textId="77777777">
      <w:pPr>
        <w:tabs>
          <w:tab w:val="left" w:pos="720"/>
        </w:tabs>
        <w:jc w:val="both"/>
        <w:rPr>
          <w:rFonts w:ascii="Arial" w:hAnsi="Arial"/>
          <w:sz w:val="24"/>
        </w:rPr>
      </w:pPr>
    </w:p>
    <w:p w:rsidR="0021634B" w:rsidP="00482FA4" w14:paraId="4AFF71E3" w14:textId="672ED5FB">
      <w:pPr>
        <w:tabs>
          <w:tab w:val="left" w:pos="720"/>
        </w:tabs>
        <w:jc w:val="both"/>
        <w:rPr>
          <w:rFonts w:ascii="Arial" w:hAnsi="Arial"/>
          <w:b/>
          <w:bCs/>
          <w:sz w:val="24"/>
        </w:rPr>
      </w:pPr>
      <w:r>
        <w:rPr>
          <w:rFonts w:ascii="Arial" w:hAnsi="Arial"/>
          <w:sz w:val="24"/>
        </w:rPr>
        <w:t xml:space="preserve">Table </w:t>
      </w:r>
      <w:r w:rsidR="006672E9">
        <w:rPr>
          <w:rFonts w:ascii="Arial" w:hAnsi="Arial"/>
          <w:sz w:val="24"/>
        </w:rPr>
        <w:t>2</w:t>
      </w:r>
      <w:r w:rsidRPr="005B4235">
        <w:rPr>
          <w:rFonts w:ascii="Arial" w:hAnsi="Arial"/>
          <w:sz w:val="24"/>
        </w:rPr>
        <w:t xml:space="preserve"> outlines how this collection of information is used by the public and the USPTO</w:t>
      </w:r>
      <w:r w:rsidR="006244DA">
        <w:rPr>
          <w:rFonts w:ascii="Arial" w:hAnsi="Arial"/>
          <w:sz w:val="24"/>
        </w:rPr>
        <w:t>.</w:t>
      </w:r>
    </w:p>
    <w:p w:rsidR="0021634B" w:rsidP="00482FA4" w14:paraId="390CD5A1" w14:textId="77777777">
      <w:pPr>
        <w:tabs>
          <w:tab w:val="left" w:pos="720"/>
        </w:tabs>
        <w:jc w:val="both"/>
        <w:rPr>
          <w:rFonts w:ascii="Arial" w:hAnsi="Arial" w:cs="Arial"/>
          <w:b/>
        </w:rPr>
      </w:pPr>
    </w:p>
    <w:p w:rsidR="005823F2" w:rsidRPr="0021634B" w:rsidP="00482FA4" w14:paraId="5692A49F" w14:textId="70758E4D">
      <w:pPr>
        <w:tabs>
          <w:tab w:val="left" w:pos="720"/>
        </w:tabs>
        <w:jc w:val="both"/>
        <w:rPr>
          <w:rFonts w:ascii="Arial" w:hAnsi="Arial"/>
          <w:sz w:val="24"/>
        </w:rPr>
      </w:pPr>
      <w:r w:rsidRPr="00482FA4">
        <w:rPr>
          <w:rFonts w:ascii="Arial" w:hAnsi="Arial" w:cs="Arial"/>
          <w:b/>
        </w:rPr>
        <w:t xml:space="preserve">Table </w:t>
      </w:r>
      <w:r w:rsidR="006672E9">
        <w:rPr>
          <w:rFonts w:ascii="Arial" w:hAnsi="Arial" w:cs="Arial"/>
          <w:b/>
        </w:rPr>
        <w:t>2</w:t>
      </w:r>
      <w:r w:rsidRPr="00482FA4">
        <w:rPr>
          <w:rFonts w:ascii="Arial" w:hAnsi="Arial" w:cs="Arial"/>
          <w:b/>
        </w:rPr>
        <w:t xml:space="preserve">:  </w:t>
      </w:r>
      <w:r w:rsidR="0017598A">
        <w:rPr>
          <w:rFonts w:ascii="Arial" w:hAnsi="Arial" w:cs="Arial"/>
          <w:b/>
        </w:rPr>
        <w:t>Needs and Uses</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160"/>
        <w:gridCol w:w="1170"/>
        <w:gridCol w:w="5310"/>
      </w:tblGrid>
      <w:tr w14:paraId="413DD5D9" w14:textId="77777777" w:rsidTr="00A54DB6">
        <w:tblPrEx>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607" w:type="dxa"/>
            <w:shd w:val="clear" w:color="auto" w:fill="B4C6E7" w:themeFill="accent5" w:themeFillTint="66"/>
          </w:tcPr>
          <w:p w:rsidR="00683F60" w:rsidP="00683F60" w14:paraId="52C23FCD" w14:textId="77777777">
            <w:pPr>
              <w:tabs>
                <w:tab w:val="left" w:pos="720"/>
              </w:tabs>
              <w:jc w:val="center"/>
              <w:rPr>
                <w:rFonts w:ascii="Arial" w:hAnsi="Arial"/>
                <w:b/>
                <w:sz w:val="16"/>
              </w:rPr>
            </w:pPr>
          </w:p>
          <w:p w:rsidR="00683F60" w:rsidP="00683F60" w14:paraId="011685BA" w14:textId="65074110">
            <w:pPr>
              <w:tabs>
                <w:tab w:val="left" w:pos="720"/>
              </w:tabs>
              <w:jc w:val="center"/>
              <w:rPr>
                <w:rFonts w:ascii="Arial" w:hAnsi="Arial"/>
                <w:b/>
                <w:sz w:val="16"/>
              </w:rPr>
            </w:pPr>
            <w:r>
              <w:rPr>
                <w:rFonts w:ascii="Arial" w:hAnsi="Arial"/>
                <w:b/>
                <w:sz w:val="16"/>
              </w:rPr>
              <w:t>Item No.</w:t>
            </w:r>
          </w:p>
        </w:tc>
        <w:tc>
          <w:tcPr>
            <w:tcW w:w="2160" w:type="dxa"/>
            <w:shd w:val="clear" w:color="auto" w:fill="B4C6E7" w:themeFill="accent5" w:themeFillTint="66"/>
          </w:tcPr>
          <w:p w:rsidR="00683F60" w:rsidP="00683F60" w14:paraId="24B4A7C1" w14:textId="77777777">
            <w:pPr>
              <w:tabs>
                <w:tab w:val="left" w:pos="720"/>
              </w:tabs>
              <w:jc w:val="center"/>
              <w:rPr>
                <w:rFonts w:ascii="Arial" w:hAnsi="Arial"/>
                <w:b/>
                <w:sz w:val="16"/>
              </w:rPr>
            </w:pPr>
          </w:p>
          <w:p w:rsidR="00683F60" w:rsidP="00683F60" w14:paraId="5DA9C1B9" w14:textId="41945E85">
            <w:pPr>
              <w:tabs>
                <w:tab w:val="left" w:pos="720"/>
              </w:tabs>
              <w:jc w:val="center"/>
              <w:rPr>
                <w:rFonts w:ascii="Arial" w:hAnsi="Arial"/>
                <w:b/>
                <w:sz w:val="16"/>
              </w:rPr>
            </w:pPr>
            <w:r>
              <w:rPr>
                <w:rFonts w:ascii="Arial" w:hAnsi="Arial"/>
                <w:b/>
                <w:sz w:val="16"/>
              </w:rPr>
              <w:t>Form and Function</w:t>
            </w:r>
          </w:p>
        </w:tc>
        <w:tc>
          <w:tcPr>
            <w:tcW w:w="1170" w:type="dxa"/>
            <w:shd w:val="clear" w:color="auto" w:fill="B4C6E7" w:themeFill="accent5" w:themeFillTint="66"/>
          </w:tcPr>
          <w:p w:rsidR="00683F60" w:rsidP="00683F60" w14:paraId="5814D369" w14:textId="5B22B5EA">
            <w:pPr>
              <w:tabs>
                <w:tab w:val="left" w:pos="720"/>
              </w:tabs>
              <w:jc w:val="center"/>
              <w:rPr>
                <w:rFonts w:ascii="Arial" w:hAnsi="Arial"/>
                <w:b/>
                <w:sz w:val="16"/>
              </w:rPr>
            </w:pPr>
          </w:p>
          <w:p w:rsidR="00683F60" w:rsidP="00683F60" w14:paraId="31FF4EBE" w14:textId="238983D0">
            <w:pPr>
              <w:tabs>
                <w:tab w:val="left" w:pos="720"/>
              </w:tabs>
              <w:jc w:val="center"/>
              <w:rPr>
                <w:rFonts w:ascii="Arial" w:hAnsi="Arial"/>
                <w:b/>
                <w:sz w:val="16"/>
              </w:rPr>
            </w:pPr>
            <w:r>
              <w:rPr>
                <w:rFonts w:ascii="Arial" w:hAnsi="Arial"/>
                <w:b/>
                <w:sz w:val="16"/>
              </w:rPr>
              <w:t xml:space="preserve">Form </w:t>
            </w:r>
            <w:r w:rsidR="006244DA">
              <w:rPr>
                <w:rFonts w:ascii="Arial" w:hAnsi="Arial"/>
                <w:b/>
                <w:sz w:val="16"/>
              </w:rPr>
              <w:t>No.</w:t>
            </w:r>
          </w:p>
        </w:tc>
        <w:tc>
          <w:tcPr>
            <w:tcW w:w="5310" w:type="dxa"/>
            <w:shd w:val="clear" w:color="auto" w:fill="B4C6E7" w:themeFill="accent5" w:themeFillTint="66"/>
          </w:tcPr>
          <w:p w:rsidR="00683F60" w:rsidP="00683F60" w14:paraId="2A7CAE09" w14:textId="77777777">
            <w:pPr>
              <w:tabs>
                <w:tab w:val="left" w:pos="720"/>
              </w:tabs>
              <w:jc w:val="center"/>
              <w:rPr>
                <w:rFonts w:ascii="Arial" w:hAnsi="Arial"/>
                <w:b/>
                <w:sz w:val="16"/>
              </w:rPr>
            </w:pPr>
          </w:p>
          <w:p w:rsidR="00683F60" w:rsidP="00683F60" w14:paraId="0C2D4F09" w14:textId="77777777">
            <w:pPr>
              <w:tabs>
                <w:tab w:val="left" w:pos="720"/>
              </w:tabs>
              <w:jc w:val="center"/>
              <w:rPr>
                <w:rFonts w:ascii="Arial" w:hAnsi="Arial"/>
                <w:b/>
                <w:sz w:val="16"/>
              </w:rPr>
            </w:pPr>
            <w:r>
              <w:rPr>
                <w:rFonts w:ascii="Arial" w:hAnsi="Arial"/>
                <w:b/>
                <w:sz w:val="16"/>
              </w:rPr>
              <w:t>Needs and Uses</w:t>
            </w:r>
          </w:p>
        </w:tc>
      </w:tr>
      <w:tr w14:paraId="628ACF61" w14:textId="77777777" w:rsidTr="00A54DB6">
        <w:tblPrEx>
          <w:tblW w:w="9247" w:type="dxa"/>
          <w:tblInd w:w="108" w:type="dxa"/>
          <w:tblLayout w:type="fixed"/>
          <w:tblLook w:val="0000"/>
        </w:tblPrEx>
        <w:trPr>
          <w:cantSplit/>
        </w:trPr>
        <w:tc>
          <w:tcPr>
            <w:tcW w:w="607" w:type="dxa"/>
            <w:vAlign w:val="center"/>
          </w:tcPr>
          <w:p w:rsidR="00683F60" w:rsidRPr="00683F60" w14:paraId="5CFFD63A" w14:textId="0ADC15D1">
            <w:pPr>
              <w:tabs>
                <w:tab w:val="left" w:pos="720"/>
              </w:tabs>
              <w:jc w:val="center"/>
              <w:rPr>
                <w:rFonts w:ascii="Arial" w:hAnsi="Arial"/>
                <w:b/>
                <w:sz w:val="16"/>
              </w:rPr>
            </w:pPr>
            <w:r w:rsidRPr="00683F60">
              <w:rPr>
                <w:rFonts w:ascii="Arial" w:hAnsi="Arial"/>
                <w:b/>
                <w:sz w:val="16"/>
              </w:rPr>
              <w:t>1</w:t>
            </w:r>
            <w:r w:rsidR="0021634B">
              <w:rPr>
                <w:rFonts w:ascii="Arial" w:hAnsi="Arial"/>
                <w:b/>
                <w:sz w:val="16"/>
              </w:rPr>
              <w:t>-</w:t>
            </w:r>
            <w:r w:rsidR="00E13209">
              <w:rPr>
                <w:rFonts w:ascii="Arial" w:hAnsi="Arial"/>
                <w:b/>
                <w:sz w:val="16"/>
              </w:rPr>
              <w:t>3</w:t>
            </w:r>
          </w:p>
        </w:tc>
        <w:tc>
          <w:tcPr>
            <w:tcW w:w="2160" w:type="dxa"/>
            <w:vAlign w:val="center"/>
          </w:tcPr>
          <w:p w:rsidR="00683F60" w:rsidP="00A54DB6" w14:paraId="60237753" w14:textId="57682A84">
            <w:pPr>
              <w:tabs>
                <w:tab w:val="left" w:pos="720"/>
              </w:tabs>
              <w:rPr>
                <w:rFonts w:ascii="Arial" w:hAnsi="Arial"/>
                <w:sz w:val="16"/>
              </w:rPr>
            </w:pPr>
            <w:r>
              <w:rPr>
                <w:rFonts w:ascii="Arial" w:hAnsi="Arial"/>
                <w:sz w:val="16"/>
              </w:rPr>
              <w:t>Patents External Quality Survey</w:t>
            </w:r>
          </w:p>
        </w:tc>
        <w:tc>
          <w:tcPr>
            <w:tcW w:w="1170" w:type="dxa"/>
            <w:vAlign w:val="center"/>
          </w:tcPr>
          <w:p w:rsidR="00683F60" w:rsidP="00A54DB6" w14:paraId="37BD1D64" w14:textId="5FF4F3AC">
            <w:pPr>
              <w:tabs>
                <w:tab w:val="left" w:pos="720"/>
              </w:tabs>
              <w:jc w:val="center"/>
              <w:rPr>
                <w:rFonts w:ascii="Arial" w:hAnsi="Arial"/>
                <w:sz w:val="16"/>
              </w:rPr>
            </w:pPr>
            <w:r>
              <w:rPr>
                <w:rFonts w:ascii="Arial" w:hAnsi="Arial"/>
                <w:sz w:val="16"/>
              </w:rPr>
              <w:t>PTO/2535</w:t>
            </w:r>
          </w:p>
        </w:tc>
        <w:tc>
          <w:tcPr>
            <w:tcW w:w="5310" w:type="dxa"/>
          </w:tcPr>
          <w:p w:rsidR="00683F60" w:rsidRPr="004A43EC" w:rsidP="00A54DB6" w14:paraId="18DBFD30" w14:textId="5233EC09">
            <w:pPr>
              <w:pStyle w:val="ListParagraph"/>
              <w:numPr>
                <w:ilvl w:val="0"/>
                <w:numId w:val="29"/>
              </w:numPr>
              <w:ind w:left="250" w:hanging="250"/>
              <w:jc w:val="both"/>
              <w:rPr>
                <w:rFonts w:ascii="Arial" w:hAnsi="Arial"/>
                <w:sz w:val="16"/>
              </w:rPr>
            </w:pPr>
            <w:r w:rsidRPr="004A43EC">
              <w:rPr>
                <w:rFonts w:ascii="Arial" w:hAnsi="Arial"/>
                <w:sz w:val="16"/>
              </w:rPr>
              <w:t xml:space="preserve">Used by individuals who work at firms that file more than </w:t>
            </w:r>
            <w:r w:rsidR="00734CC9">
              <w:rPr>
                <w:rFonts w:ascii="Arial" w:hAnsi="Arial"/>
                <w:sz w:val="16"/>
              </w:rPr>
              <w:t>five</w:t>
            </w:r>
            <w:r w:rsidRPr="004A43EC">
              <w:rPr>
                <w:rFonts w:ascii="Arial" w:hAnsi="Arial"/>
                <w:sz w:val="16"/>
              </w:rPr>
              <w:t xml:space="preserve"> patent applications a year to provide the USPTO with their perceptions of examination quality.</w:t>
            </w:r>
          </w:p>
          <w:p w:rsidR="00683F60" w:rsidP="00A54DB6" w14:paraId="4A8CCE10" w14:textId="77777777">
            <w:pPr>
              <w:tabs>
                <w:tab w:val="left" w:pos="252"/>
                <w:tab w:val="left" w:pos="720"/>
              </w:tabs>
              <w:jc w:val="both"/>
              <w:rPr>
                <w:rFonts w:ascii="Arial" w:hAnsi="Arial"/>
                <w:sz w:val="16"/>
              </w:rPr>
            </w:pPr>
          </w:p>
          <w:p w:rsidR="00683F60" w:rsidP="00A54DB6" w14:paraId="16CA1B6D" w14:textId="77777777">
            <w:pPr>
              <w:numPr>
                <w:ilvl w:val="0"/>
                <w:numId w:val="5"/>
              </w:numPr>
              <w:tabs>
                <w:tab w:val="left" w:pos="252"/>
                <w:tab w:val="left" w:pos="720"/>
              </w:tabs>
              <w:ind w:left="252" w:hanging="252"/>
              <w:jc w:val="both"/>
              <w:rPr>
                <w:rFonts w:ascii="Arial" w:hAnsi="Arial"/>
                <w:sz w:val="16"/>
              </w:rPr>
            </w:pPr>
            <w:r>
              <w:rPr>
                <w:rFonts w:ascii="Arial" w:hAnsi="Arial"/>
                <w:sz w:val="16"/>
              </w:rPr>
              <w:t>Used by the USPTO to gather feedback to assist them in targeting key areas for examination quality improvement and identify important areas for examiner training.</w:t>
            </w:r>
          </w:p>
        </w:tc>
      </w:tr>
    </w:tbl>
    <w:p w:rsidR="00947CB1" w14:paraId="0242B194" w14:textId="77777777">
      <w:pPr>
        <w:tabs>
          <w:tab w:val="left" w:pos="720"/>
        </w:tabs>
        <w:jc w:val="both"/>
        <w:rPr>
          <w:rFonts w:ascii="Arial" w:hAnsi="Arial"/>
          <w:sz w:val="24"/>
        </w:rPr>
      </w:pPr>
    </w:p>
    <w:p w:rsidR="005823F2" w:rsidP="00A54DB6" w14:paraId="53A33F79" w14:textId="7A334A79">
      <w:pPr>
        <w:ind w:left="360" w:hanging="360"/>
        <w:jc w:val="both"/>
        <w:rPr>
          <w:rFonts w:ascii="Arial" w:hAnsi="Arial" w:cs="Arial"/>
          <w:b/>
          <w:bCs/>
          <w:sz w:val="24"/>
        </w:rPr>
      </w:pPr>
      <w:r>
        <w:rPr>
          <w:rFonts w:ascii="Arial" w:hAnsi="Arial"/>
          <w:b/>
          <w:sz w:val="24"/>
        </w:rPr>
        <w:t>3.</w:t>
      </w:r>
      <w:r>
        <w:rPr>
          <w:rFonts w:ascii="Arial" w:hAnsi="Arial"/>
          <w:b/>
          <w:sz w:val="24"/>
        </w:rPr>
        <w:tab/>
      </w:r>
      <w:r w:rsidRPr="001D603D" w:rsidR="0052480A">
        <w:rPr>
          <w:rFonts w:ascii="Arial" w:hAnsi="Arial" w:cs="Arial"/>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934CC9" w:rsidP="00A54DB6" w14:paraId="48DE4F3C" w14:textId="77777777">
      <w:pPr>
        <w:ind w:left="360" w:hanging="360"/>
        <w:jc w:val="both"/>
        <w:rPr>
          <w:rFonts w:ascii="Arial" w:hAnsi="Arial"/>
          <w:b/>
          <w:sz w:val="24"/>
        </w:rPr>
      </w:pPr>
    </w:p>
    <w:p w:rsidR="005823F2" w:rsidP="00632FB6" w14:paraId="38C6F474" w14:textId="77777777">
      <w:pPr>
        <w:tabs>
          <w:tab w:val="left" w:pos="720"/>
        </w:tabs>
        <w:ind w:left="720" w:hanging="720"/>
        <w:jc w:val="both"/>
        <w:rPr>
          <w:rFonts w:ascii="Arial" w:hAnsi="Arial"/>
          <w:sz w:val="24"/>
        </w:rPr>
      </w:pPr>
    </w:p>
    <w:p w:rsidR="00934CC9" w:rsidRPr="00934CC9" w:rsidP="00934CC9" w14:paraId="78785AAB" w14:textId="77777777">
      <w:pPr>
        <w:tabs>
          <w:tab w:val="left" w:pos="720"/>
        </w:tabs>
        <w:jc w:val="both"/>
        <w:rPr>
          <w:rFonts w:ascii="Arial" w:hAnsi="Arial" w:cs="Arial"/>
          <w:bCs/>
          <w:sz w:val="24"/>
          <w:szCs w:val="24"/>
        </w:rPr>
      </w:pPr>
      <w:r w:rsidRPr="00934CC9">
        <w:rPr>
          <w:rFonts w:ascii="Arial" w:hAnsi="Arial" w:cs="Arial"/>
          <w:sz w:val="24"/>
          <w:szCs w:val="24"/>
        </w:rPr>
        <w:t xml:space="preserve">The </w:t>
      </w:r>
      <w:r w:rsidRPr="00934CC9" w:rsidR="00B15C1D">
        <w:rPr>
          <w:rFonts w:ascii="Arial" w:hAnsi="Arial" w:cs="Arial"/>
          <w:sz w:val="24"/>
          <w:szCs w:val="24"/>
        </w:rPr>
        <w:t>s</w:t>
      </w:r>
      <w:r w:rsidRPr="00934CC9">
        <w:rPr>
          <w:rFonts w:ascii="Arial" w:hAnsi="Arial" w:cs="Arial"/>
          <w:sz w:val="24"/>
          <w:szCs w:val="24"/>
        </w:rPr>
        <w:t xml:space="preserve">urvey is </w:t>
      </w:r>
      <w:r w:rsidRPr="00934CC9" w:rsidR="00E13209">
        <w:rPr>
          <w:rFonts w:ascii="Arial" w:hAnsi="Arial" w:cs="Arial"/>
          <w:sz w:val="24"/>
          <w:szCs w:val="24"/>
        </w:rPr>
        <w:t>electronic</w:t>
      </w:r>
      <w:r w:rsidRPr="00934CC9" w:rsidR="00000744">
        <w:rPr>
          <w:rFonts w:ascii="Arial" w:hAnsi="Arial" w:cs="Arial"/>
          <w:sz w:val="24"/>
          <w:szCs w:val="24"/>
        </w:rPr>
        <w:t>.</w:t>
      </w:r>
      <w:r w:rsidRPr="00934CC9">
        <w:rPr>
          <w:rFonts w:ascii="Arial" w:hAnsi="Arial" w:cs="Arial"/>
          <w:sz w:val="24"/>
          <w:szCs w:val="24"/>
        </w:rPr>
        <w:t xml:space="preserve"> </w:t>
      </w:r>
      <w:r w:rsidRPr="00934CC9">
        <w:rPr>
          <w:rFonts w:ascii="Arial" w:hAnsi="Arial" w:cs="Arial"/>
          <w:bCs/>
          <w:sz w:val="24"/>
          <w:szCs w:val="24"/>
        </w:rPr>
        <w:t xml:space="preserve">The USPTO has phased out use of a paper version of the survey.  </w:t>
      </w:r>
    </w:p>
    <w:p w:rsidR="00C60D2F" w14:paraId="439CDB69" w14:textId="56794066">
      <w:pPr>
        <w:pStyle w:val="BodyText2"/>
        <w:tabs>
          <w:tab w:val="left" w:pos="720"/>
        </w:tabs>
      </w:pPr>
      <w:r>
        <w:t>Potential respondents are sent either an email or mailed pre-survey letter, depending on</w:t>
      </w:r>
      <w:r w:rsidR="00D34D6C">
        <w:t xml:space="preserve"> their</w:t>
      </w:r>
      <w:r>
        <w:t xml:space="preserve"> noted preferences for contact, at the beginning of each survey period with instructions for accessing and completing the survey electronically</w:t>
      </w:r>
      <w:r w:rsidR="0021634B">
        <w:t>.</w:t>
      </w:r>
      <w:r>
        <w:t xml:space="preserve"> The cover letter that accompanies the survey provides the </w:t>
      </w:r>
      <w:r w:rsidR="005505D5">
        <w:t>link</w:t>
      </w:r>
      <w:r>
        <w:t xml:space="preserve">, instructions for completing the survey online through the </w:t>
      </w:r>
      <w:r>
        <w:t>Westat’s</w:t>
      </w:r>
      <w:r>
        <w:t xml:space="preserve"> secure website, and the</w:t>
      </w:r>
      <w:r w:rsidR="00F17611">
        <w:t xml:space="preserve"> respondent’s</w:t>
      </w:r>
      <w:r>
        <w:t xml:space="preserve"> username</w:t>
      </w:r>
      <w:r>
        <w:t>,</w:t>
      </w:r>
      <w:r>
        <w:t xml:space="preserve"> password</w:t>
      </w:r>
      <w:r w:rsidR="00F17611">
        <w:t>,</w:t>
      </w:r>
      <w:r>
        <w:t xml:space="preserve"> </w:t>
      </w:r>
      <w:r>
        <w:t xml:space="preserve">and survey ID </w:t>
      </w:r>
      <w:r>
        <w:t>for the survey.</w:t>
      </w:r>
    </w:p>
    <w:p w:rsidR="00934CC9" w14:paraId="2D53527E" w14:textId="77777777">
      <w:pPr>
        <w:pStyle w:val="BodyText2"/>
        <w:tabs>
          <w:tab w:val="left" w:pos="720"/>
        </w:tabs>
      </w:pPr>
    </w:p>
    <w:p w:rsidR="00C60D2F" w14:paraId="79DA7C9D" w14:textId="5B440CA8">
      <w:pPr>
        <w:pStyle w:val="BodyText2"/>
        <w:tabs>
          <w:tab w:val="left" w:pos="720"/>
        </w:tabs>
      </w:pPr>
      <w:r>
        <w:t xml:space="preserve">The USPTO disseminates information from the surveys on the following website: </w:t>
      </w:r>
      <w:hyperlink r:id="rId10" w:history="1">
        <w:r w:rsidRPr="00896FE6">
          <w:rPr>
            <w:rStyle w:val="Hyperlink"/>
          </w:rPr>
          <w:t>https://www.uspto.gov/patents/quality-metrics</w:t>
        </w:r>
      </w:hyperlink>
      <w:r w:rsidRPr="00A54DB6">
        <w:rPr>
          <w:rStyle w:val="Hyperlink"/>
          <w:u w:val="none"/>
        </w:rPr>
        <w:t>.</w:t>
      </w:r>
    </w:p>
    <w:p w:rsidR="00C60D2F" w14:paraId="4DEB9722" w14:textId="77777777">
      <w:pPr>
        <w:pStyle w:val="BodyText2"/>
        <w:tabs>
          <w:tab w:val="left" w:pos="720"/>
        </w:tabs>
      </w:pPr>
    </w:p>
    <w:p w:rsidR="005823F2" w:rsidP="4CB60C13" w14:paraId="6211D62E" w14:textId="5CA66305">
      <w:pPr>
        <w:ind w:left="360" w:hanging="360"/>
        <w:jc w:val="both"/>
        <w:rPr>
          <w:rFonts w:ascii="Arial" w:hAnsi="Arial"/>
          <w:sz w:val="24"/>
          <w:szCs w:val="24"/>
        </w:rPr>
      </w:pPr>
      <w:r w:rsidRPr="4CB60C13">
        <w:rPr>
          <w:rFonts w:ascii="Arial" w:hAnsi="Arial"/>
          <w:b/>
          <w:bCs/>
          <w:sz w:val="24"/>
          <w:szCs w:val="24"/>
        </w:rPr>
        <w:t>4.</w:t>
      </w:r>
      <w:r>
        <w:tab/>
      </w:r>
      <w:r w:rsidRPr="4CB60C13" w:rsidR="70BFC524">
        <w:rPr>
          <w:rFonts w:ascii="Arial" w:hAnsi="Arial" w:cs="Arial"/>
          <w:b/>
          <w:bCs/>
          <w:sz w:val="24"/>
          <w:szCs w:val="24"/>
        </w:rPr>
        <w:t>Describe efforts to identify duplication. Show specifically why any similar information already available cannot be used or modified for use for the purposes described in Item 2 above.</w:t>
      </w:r>
    </w:p>
    <w:p w:rsidR="005823F2" w14:paraId="615292F4" w14:textId="77777777">
      <w:pPr>
        <w:tabs>
          <w:tab w:val="left" w:pos="720"/>
        </w:tabs>
        <w:jc w:val="both"/>
        <w:rPr>
          <w:rFonts w:ascii="Arial" w:hAnsi="Arial"/>
          <w:sz w:val="24"/>
        </w:rPr>
      </w:pPr>
    </w:p>
    <w:p w:rsidR="005823F2" w14:paraId="37DC783A" w14:textId="6F52B7D2">
      <w:pPr>
        <w:tabs>
          <w:tab w:val="left" w:pos="720"/>
        </w:tabs>
        <w:jc w:val="both"/>
        <w:rPr>
          <w:rFonts w:ascii="Arial" w:hAnsi="Arial" w:cs="Arial"/>
          <w:sz w:val="24"/>
          <w:szCs w:val="24"/>
        </w:rPr>
      </w:pPr>
      <w:r>
        <w:rPr>
          <w:rFonts w:ascii="Arial" w:hAnsi="Arial" w:cs="Arial"/>
          <w:sz w:val="24"/>
          <w:szCs w:val="24"/>
        </w:rPr>
        <w:t xml:space="preserve">This information is collected only when sampled respondents </w:t>
      </w:r>
      <w:r w:rsidR="0010166B">
        <w:rPr>
          <w:rFonts w:ascii="Arial" w:hAnsi="Arial" w:cs="Arial"/>
          <w:sz w:val="24"/>
          <w:szCs w:val="24"/>
        </w:rPr>
        <w:t xml:space="preserve">from </w:t>
      </w:r>
      <w:r>
        <w:rPr>
          <w:rFonts w:ascii="Arial" w:hAnsi="Arial" w:cs="Arial"/>
          <w:sz w:val="24"/>
          <w:szCs w:val="24"/>
        </w:rPr>
        <w:t xml:space="preserve">organizations </w:t>
      </w:r>
      <w:r w:rsidR="004C57F6">
        <w:rPr>
          <w:rFonts w:ascii="Arial" w:hAnsi="Arial" w:cs="Arial"/>
          <w:sz w:val="24"/>
          <w:szCs w:val="24"/>
        </w:rPr>
        <w:t xml:space="preserve">that </w:t>
      </w:r>
      <w:r>
        <w:rPr>
          <w:rFonts w:ascii="Arial" w:hAnsi="Arial" w:cs="Arial"/>
          <w:sz w:val="24"/>
          <w:szCs w:val="24"/>
        </w:rPr>
        <w:t xml:space="preserve">file more than </w:t>
      </w:r>
      <w:r w:rsidR="004D50AB">
        <w:rPr>
          <w:rFonts w:ascii="Arial" w:hAnsi="Arial" w:cs="Arial"/>
          <w:sz w:val="24"/>
          <w:szCs w:val="24"/>
        </w:rPr>
        <w:t>five</w:t>
      </w:r>
      <w:r>
        <w:rPr>
          <w:rFonts w:ascii="Arial" w:hAnsi="Arial" w:cs="Arial"/>
          <w:sz w:val="24"/>
          <w:szCs w:val="24"/>
        </w:rPr>
        <w:t xml:space="preserve"> patents a year respond to the </w:t>
      </w:r>
      <w:r w:rsidR="00152CCD">
        <w:rPr>
          <w:rFonts w:ascii="Arial" w:hAnsi="Arial" w:cs="Arial"/>
          <w:sz w:val="24"/>
          <w:szCs w:val="24"/>
        </w:rPr>
        <w:t>Patents External</w:t>
      </w:r>
      <w:r>
        <w:rPr>
          <w:rFonts w:ascii="Arial" w:hAnsi="Arial" w:cs="Arial"/>
          <w:sz w:val="24"/>
          <w:szCs w:val="24"/>
        </w:rPr>
        <w:t xml:space="preserve"> Quality Survey. Currently, there are no </w:t>
      </w:r>
      <w:r w:rsidR="004D50AB">
        <w:rPr>
          <w:rFonts w:ascii="Arial" w:hAnsi="Arial" w:cs="Arial"/>
          <w:sz w:val="24"/>
          <w:szCs w:val="24"/>
        </w:rPr>
        <w:t>other</w:t>
      </w:r>
      <w:r>
        <w:rPr>
          <w:rFonts w:ascii="Arial" w:hAnsi="Arial" w:cs="Arial"/>
          <w:sz w:val="24"/>
          <w:szCs w:val="24"/>
        </w:rPr>
        <w:t xml:space="preserve"> methods to gather the type of information proposed by this survey directly from USPTO customers. The survey questions relate directly to customers’ perceptions of examination quality, as well as information about the customers’ frequency of contact with the USPTO. This information is not generally available from other sources and is not collected elsewhere. Therefore, this </w:t>
      </w:r>
      <w:r w:rsidR="004A43EC">
        <w:rPr>
          <w:rFonts w:ascii="Arial" w:hAnsi="Arial" w:cs="Arial"/>
          <w:sz w:val="24"/>
          <w:szCs w:val="24"/>
        </w:rPr>
        <w:t xml:space="preserve">information </w:t>
      </w:r>
      <w:r>
        <w:rPr>
          <w:rFonts w:ascii="Arial" w:hAnsi="Arial" w:cs="Arial"/>
          <w:sz w:val="24"/>
          <w:szCs w:val="24"/>
        </w:rPr>
        <w:t>collection does not create a duplication of effort.</w:t>
      </w:r>
    </w:p>
    <w:p w:rsidR="00FD2E2F" w14:paraId="1FFD1DE4" w14:textId="77777777">
      <w:pPr>
        <w:tabs>
          <w:tab w:val="left" w:pos="720"/>
        </w:tabs>
        <w:jc w:val="both"/>
        <w:rPr>
          <w:rFonts w:ascii="Arial" w:hAnsi="Arial" w:cs="Arial"/>
          <w:sz w:val="24"/>
          <w:szCs w:val="24"/>
        </w:rPr>
      </w:pPr>
    </w:p>
    <w:p w:rsidR="005823F2" w:rsidP="00A54DB6" w14:paraId="4C707EFB" w14:textId="7631966C">
      <w:pPr>
        <w:ind w:left="360" w:hanging="360"/>
        <w:jc w:val="both"/>
        <w:rPr>
          <w:rFonts w:ascii="Arial" w:hAnsi="Arial"/>
          <w:b/>
          <w:sz w:val="24"/>
        </w:rPr>
      </w:pPr>
      <w:r>
        <w:rPr>
          <w:rFonts w:ascii="Arial" w:hAnsi="Arial"/>
          <w:b/>
          <w:sz w:val="24"/>
        </w:rPr>
        <w:t>5.</w:t>
      </w:r>
      <w:r>
        <w:rPr>
          <w:rFonts w:ascii="Arial" w:hAnsi="Arial"/>
          <w:b/>
          <w:sz w:val="24"/>
        </w:rPr>
        <w:tab/>
      </w:r>
      <w:r w:rsidRPr="009823FC" w:rsidR="0052480A">
        <w:rPr>
          <w:rFonts w:ascii="Arial" w:hAnsi="Arial"/>
          <w:b/>
          <w:sz w:val="24"/>
        </w:rPr>
        <w:t>If the collection of information impacts small businesses or other small entities, describe any methods used to minimize burden.</w:t>
      </w:r>
    </w:p>
    <w:p w:rsidR="005823F2" w14:paraId="12C44425" w14:textId="77777777">
      <w:pPr>
        <w:jc w:val="both"/>
        <w:rPr>
          <w:rFonts w:ascii="Arial" w:hAnsi="Arial"/>
          <w:sz w:val="24"/>
        </w:rPr>
      </w:pPr>
    </w:p>
    <w:p w:rsidR="005823F2" w14:paraId="0E76F492" w14:textId="34FDD89A">
      <w:pPr>
        <w:jc w:val="both"/>
        <w:rPr>
          <w:rFonts w:ascii="Arial" w:hAnsi="Arial"/>
          <w:sz w:val="24"/>
        </w:rPr>
      </w:pPr>
      <w:r>
        <w:rPr>
          <w:rFonts w:ascii="Arial" w:hAnsi="Arial"/>
          <w:sz w:val="24"/>
        </w:rPr>
        <w:t xml:space="preserve">In an effort to minimize burden, the number of questions </w:t>
      </w:r>
      <w:r w:rsidR="00930013">
        <w:rPr>
          <w:rFonts w:ascii="Arial" w:hAnsi="Arial"/>
          <w:sz w:val="24"/>
        </w:rPr>
        <w:t>is</w:t>
      </w:r>
      <w:r>
        <w:rPr>
          <w:rFonts w:ascii="Arial" w:hAnsi="Arial"/>
          <w:sz w:val="24"/>
        </w:rPr>
        <w:t xml:space="preserve"> limited to the minimum required to obtain useful information. All sizes of businesses and individual customers will participate in these surveys to accurately portray customer requirements and service quality.</w:t>
      </w:r>
    </w:p>
    <w:p w:rsidR="00C264DB" w14:paraId="04913034" w14:textId="77777777">
      <w:pPr>
        <w:jc w:val="both"/>
        <w:rPr>
          <w:rFonts w:ascii="Arial" w:hAnsi="Arial"/>
          <w:sz w:val="24"/>
        </w:rPr>
      </w:pPr>
    </w:p>
    <w:p w:rsidR="00C264DB" w:rsidP="4CB60C13" w14:paraId="50F2DFFB" w14:textId="76677372">
      <w:pPr>
        <w:jc w:val="both"/>
        <w:rPr>
          <w:rFonts w:ascii="Arial" w:hAnsi="Arial"/>
          <w:sz w:val="24"/>
          <w:szCs w:val="24"/>
        </w:rPr>
      </w:pPr>
      <w:r w:rsidRPr="4CB60C13">
        <w:rPr>
          <w:rFonts w:ascii="Arial" w:hAnsi="Arial"/>
          <w:sz w:val="24"/>
          <w:szCs w:val="24"/>
        </w:rPr>
        <w:t xml:space="preserve">Under this sampling design, the sample will primarily concentrate upon </w:t>
      </w:r>
      <w:r>
        <w:rPr>
          <w:rFonts w:ascii="Arial" w:hAnsi="Arial"/>
          <w:sz w:val="24"/>
          <w:szCs w:val="24"/>
        </w:rPr>
        <w:t>respondents</w:t>
      </w:r>
      <w:r w:rsidRPr="4CB60C13">
        <w:rPr>
          <w:rFonts w:ascii="Arial" w:hAnsi="Arial"/>
          <w:sz w:val="24"/>
          <w:szCs w:val="24"/>
        </w:rPr>
        <w:t xml:space="preserve"> at large, top-filing organizations.</w:t>
      </w:r>
      <w:r>
        <w:rPr>
          <w:rFonts w:ascii="Arial" w:hAnsi="Arial"/>
          <w:sz w:val="24"/>
          <w:szCs w:val="24"/>
        </w:rPr>
        <w:t xml:space="preserve"> </w:t>
      </w:r>
      <w:r w:rsidRPr="4CB60C13" w:rsidR="13358E9A">
        <w:rPr>
          <w:rFonts w:ascii="Arial" w:hAnsi="Arial"/>
          <w:sz w:val="24"/>
          <w:szCs w:val="24"/>
        </w:rPr>
        <w:t xml:space="preserve">However, as the sample selection is designed to include </w:t>
      </w:r>
      <w:r w:rsidR="005550BC">
        <w:rPr>
          <w:rFonts w:ascii="Arial" w:hAnsi="Arial"/>
          <w:sz w:val="24"/>
          <w:szCs w:val="24"/>
        </w:rPr>
        <w:t>respondents</w:t>
      </w:r>
      <w:r w:rsidRPr="4CB60C13" w:rsidR="13358E9A">
        <w:rPr>
          <w:rFonts w:ascii="Arial" w:hAnsi="Arial"/>
          <w:sz w:val="24"/>
          <w:szCs w:val="24"/>
        </w:rPr>
        <w:t xml:space="preserve"> located at top-filing firms, small businesses will only be included in the sample if they submit more than </w:t>
      </w:r>
      <w:r w:rsidRPr="4CB60C13" w:rsidR="61F53D7D">
        <w:rPr>
          <w:rFonts w:ascii="Arial" w:hAnsi="Arial"/>
          <w:sz w:val="24"/>
          <w:szCs w:val="24"/>
        </w:rPr>
        <w:t xml:space="preserve">five </w:t>
      </w:r>
      <w:r w:rsidRPr="4CB60C13" w:rsidR="13358E9A">
        <w:rPr>
          <w:rFonts w:ascii="Arial" w:hAnsi="Arial"/>
          <w:sz w:val="24"/>
          <w:szCs w:val="24"/>
        </w:rPr>
        <w:t>patent applications a year.</w:t>
      </w:r>
    </w:p>
    <w:p w:rsidR="006C345D" w14:paraId="108776A7" w14:textId="77777777">
      <w:pPr>
        <w:jc w:val="both"/>
        <w:rPr>
          <w:rFonts w:ascii="Arial" w:hAnsi="Arial"/>
          <w:sz w:val="24"/>
        </w:rPr>
      </w:pPr>
    </w:p>
    <w:p w:rsidR="005823F2" w:rsidRPr="00152CCD" w:rsidP="4CB60C13" w14:paraId="37DFAFAC" w14:textId="1ABCF4FB">
      <w:pPr>
        <w:numPr>
          <w:ilvl w:val="0"/>
          <w:numId w:val="17"/>
        </w:numPr>
        <w:tabs>
          <w:tab w:val="clear" w:pos="720"/>
        </w:tabs>
        <w:ind w:left="360" w:hanging="360"/>
        <w:jc w:val="both"/>
        <w:rPr>
          <w:rFonts w:ascii="Arial" w:hAnsi="Arial"/>
          <w:b/>
          <w:bCs/>
          <w:sz w:val="24"/>
          <w:szCs w:val="24"/>
        </w:rPr>
      </w:pPr>
      <w:r w:rsidRPr="4CB60C13">
        <w:rPr>
          <w:rFonts w:ascii="Arial" w:hAnsi="Arial"/>
          <w:b/>
          <w:bCs/>
          <w:sz w:val="24"/>
          <w:szCs w:val="24"/>
        </w:rPr>
        <w:t xml:space="preserve">Describe the consequence to </w:t>
      </w:r>
      <w:r w:rsidRPr="4CB60C13" w:rsidR="3948ADD2">
        <w:rPr>
          <w:rFonts w:ascii="Arial" w:hAnsi="Arial"/>
          <w:b/>
          <w:bCs/>
          <w:sz w:val="24"/>
          <w:szCs w:val="24"/>
        </w:rPr>
        <w:t>f</w:t>
      </w:r>
      <w:r w:rsidRPr="4CB60C13">
        <w:rPr>
          <w:rFonts w:ascii="Arial" w:hAnsi="Arial"/>
          <w:b/>
          <w:bCs/>
          <w:sz w:val="24"/>
          <w:szCs w:val="24"/>
        </w:rPr>
        <w:t>ederal program or policy activities if the information collection is not conducted or is conducted less frequently, as well as any technical or legal obstacles to reducing burden.</w:t>
      </w:r>
    </w:p>
    <w:p w:rsidR="00335BFE" w:rsidP="00335BFE" w14:paraId="1B632C82" w14:textId="77777777">
      <w:pPr>
        <w:jc w:val="both"/>
        <w:rPr>
          <w:rFonts w:ascii="Arial" w:hAnsi="Arial"/>
          <w:b/>
          <w:sz w:val="24"/>
        </w:rPr>
      </w:pPr>
    </w:p>
    <w:p w:rsidR="00EF69CD" w:rsidP="00335BFE" w14:paraId="67B80800" w14:textId="325110F1">
      <w:pPr>
        <w:jc w:val="both"/>
        <w:rPr>
          <w:rFonts w:ascii="Arial" w:hAnsi="Arial"/>
          <w:sz w:val="24"/>
        </w:rPr>
      </w:pPr>
      <w:r>
        <w:rPr>
          <w:rFonts w:ascii="Arial" w:hAnsi="Arial"/>
          <w:sz w:val="24"/>
        </w:rPr>
        <w:t xml:space="preserve">The information collected from the </w:t>
      </w:r>
      <w:r w:rsidR="00152CCD">
        <w:rPr>
          <w:rFonts w:ascii="Arial" w:hAnsi="Arial"/>
          <w:sz w:val="24"/>
        </w:rPr>
        <w:t xml:space="preserve">Patents External </w:t>
      </w:r>
      <w:r>
        <w:rPr>
          <w:rFonts w:ascii="Arial" w:hAnsi="Arial"/>
          <w:sz w:val="24"/>
        </w:rPr>
        <w:t>Quality Survey is needed on a</w:t>
      </w:r>
      <w:r w:rsidR="00663B88">
        <w:rPr>
          <w:rFonts w:ascii="Arial" w:hAnsi="Arial"/>
          <w:sz w:val="24"/>
        </w:rPr>
        <w:t xml:space="preserve"> semi-annual </w:t>
      </w:r>
      <w:r>
        <w:rPr>
          <w:rFonts w:ascii="Arial" w:hAnsi="Arial"/>
          <w:sz w:val="24"/>
        </w:rPr>
        <w:t>basis so that the USPTO can identify problems with examination quality and work to resolve these issues in a timely manner. Timely, valid information on customer assessment of the USPTO’s performance is needed in order for the USPTO to accomplish these measures.</w:t>
      </w:r>
      <w:r w:rsidR="00663B88">
        <w:rPr>
          <w:rFonts w:ascii="Arial" w:hAnsi="Arial"/>
          <w:sz w:val="24"/>
        </w:rPr>
        <w:t xml:space="preserve"> While the survey was initially conducted on a quarterly basis,</w:t>
      </w:r>
      <w:r w:rsidR="00152CCD">
        <w:rPr>
          <w:rFonts w:ascii="Arial" w:hAnsi="Arial"/>
          <w:sz w:val="24"/>
        </w:rPr>
        <w:t xml:space="preserve"> the USPTO decided to conduct this survey on a </w:t>
      </w:r>
      <w:r w:rsidR="00663B88">
        <w:rPr>
          <w:rFonts w:ascii="Arial" w:hAnsi="Arial"/>
          <w:sz w:val="24"/>
        </w:rPr>
        <w:t>semi-annual</w:t>
      </w:r>
      <w:r w:rsidR="00152CCD">
        <w:rPr>
          <w:rFonts w:ascii="Arial" w:hAnsi="Arial"/>
          <w:sz w:val="24"/>
        </w:rPr>
        <w:t xml:space="preserve"> basis. </w:t>
      </w:r>
      <w:r w:rsidR="008B662D">
        <w:rPr>
          <w:rFonts w:ascii="Arial" w:hAnsi="Arial"/>
          <w:sz w:val="24"/>
        </w:rPr>
        <w:t>Th</w:t>
      </w:r>
      <w:r w:rsidR="006823DF">
        <w:rPr>
          <w:rFonts w:ascii="Arial" w:hAnsi="Arial"/>
          <w:sz w:val="24"/>
        </w:rPr>
        <w:t>e USPTO based this</w:t>
      </w:r>
      <w:r w:rsidR="008B662D">
        <w:rPr>
          <w:rFonts w:ascii="Arial" w:hAnsi="Arial"/>
          <w:sz w:val="24"/>
        </w:rPr>
        <w:t xml:space="preserve"> decision on the current use of the survey data and ability of the USPTO to implement changes</w:t>
      </w:r>
      <w:r w:rsidR="006823DF">
        <w:rPr>
          <w:rFonts w:ascii="Arial" w:hAnsi="Arial"/>
          <w:sz w:val="24"/>
        </w:rPr>
        <w:t xml:space="preserve">. The USPTO did this in order </w:t>
      </w:r>
      <w:r w:rsidR="008B662D">
        <w:rPr>
          <w:rFonts w:ascii="Arial" w:hAnsi="Arial"/>
          <w:sz w:val="24"/>
        </w:rPr>
        <w:t xml:space="preserve">to reduce costs to the federal government. </w:t>
      </w:r>
    </w:p>
    <w:p w:rsidR="00EF69CD" w:rsidP="00335BFE" w14:paraId="2050FA4B" w14:textId="77777777">
      <w:pPr>
        <w:jc w:val="both"/>
        <w:rPr>
          <w:rFonts w:ascii="Arial" w:hAnsi="Arial"/>
          <w:sz w:val="24"/>
        </w:rPr>
      </w:pPr>
    </w:p>
    <w:p w:rsidR="00335BFE" w:rsidRPr="00335BFE" w:rsidP="00335BFE" w14:paraId="46AF3498" w14:textId="099DC92B">
      <w:pPr>
        <w:jc w:val="both"/>
        <w:rPr>
          <w:rFonts w:ascii="Arial" w:hAnsi="Arial"/>
          <w:sz w:val="24"/>
        </w:rPr>
      </w:pPr>
      <w:r>
        <w:rPr>
          <w:rFonts w:ascii="Arial" w:hAnsi="Arial"/>
          <w:sz w:val="24"/>
        </w:rPr>
        <w:t>The USPTO cannot collect this information less frequently as it</w:t>
      </w:r>
      <w:r w:rsidR="00C264DB">
        <w:rPr>
          <w:rFonts w:ascii="Arial" w:hAnsi="Arial"/>
          <w:sz w:val="24"/>
        </w:rPr>
        <w:t xml:space="preserve"> would not be able to generate a reliable measure of examinatio</w:t>
      </w:r>
      <w:r w:rsidR="00DE7893">
        <w:rPr>
          <w:rFonts w:ascii="Arial" w:hAnsi="Arial"/>
          <w:sz w:val="24"/>
        </w:rPr>
        <w:t>n quality on a continuing basis.</w:t>
      </w:r>
    </w:p>
    <w:p w:rsidR="005823F2" w14:paraId="4A817BFE" w14:textId="77777777">
      <w:pPr>
        <w:jc w:val="both"/>
        <w:rPr>
          <w:rFonts w:ascii="Arial" w:hAnsi="Arial"/>
          <w:sz w:val="24"/>
        </w:rPr>
      </w:pPr>
    </w:p>
    <w:p w:rsidR="00FA7F5C" w:rsidRPr="001D603D" w:rsidP="00A54DB6" w14:paraId="647E91C5" w14:textId="76974E5D">
      <w:pPr>
        <w:keepNext/>
        <w:tabs>
          <w:tab w:val="left" w:pos="-1176"/>
        </w:tabs>
        <w:autoSpaceDE w:val="0"/>
        <w:autoSpaceDN w:val="0"/>
        <w:adjustRightInd w:val="0"/>
        <w:ind w:left="360" w:hanging="360"/>
        <w:contextualSpacing/>
        <w:jc w:val="both"/>
        <w:rPr>
          <w:rFonts w:ascii="Arial" w:hAnsi="Arial" w:cs="Arial"/>
          <w:b/>
          <w:bCs/>
          <w:sz w:val="24"/>
        </w:rPr>
      </w:pPr>
      <w:r>
        <w:rPr>
          <w:rFonts w:ascii="Arial" w:hAnsi="Arial"/>
          <w:b/>
          <w:sz w:val="24"/>
        </w:rPr>
        <w:t>7.</w:t>
      </w:r>
      <w:r>
        <w:rPr>
          <w:rFonts w:ascii="Arial" w:hAnsi="Arial"/>
          <w:b/>
          <w:sz w:val="24"/>
        </w:rPr>
        <w:tab/>
      </w:r>
      <w:bookmarkStart w:id="0" w:name="_Hlk82671862"/>
      <w:r w:rsidRPr="001D603D">
        <w:rPr>
          <w:rFonts w:ascii="Arial" w:hAnsi="Arial" w:cs="Arial"/>
          <w:b/>
          <w:bCs/>
          <w:sz w:val="24"/>
        </w:rPr>
        <w:t>Explain any special circumstances that would cause an information collection to be conducted in a manner:</w:t>
      </w:r>
    </w:p>
    <w:p w:rsidR="00FA7F5C" w:rsidRPr="00C719B2" w:rsidP="00A54DB6" w14:paraId="66AB0BE1"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requiring respondents to report information to the agency more often than quarterly;</w:t>
      </w:r>
    </w:p>
    <w:p w:rsidR="00FA7F5C" w:rsidRPr="00C719B2" w:rsidP="00A54DB6" w14:paraId="4AF3A45C"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requiring respondents to prepare a written response to a collection of information in fewer than 30 days after receipt of it;</w:t>
      </w:r>
    </w:p>
    <w:p w:rsidR="00FA7F5C" w:rsidRPr="00C719B2" w:rsidP="00A54DB6" w14:paraId="7FF52D4B"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requiring respondents to submit more than an original and two copies of any document;</w:t>
      </w:r>
    </w:p>
    <w:p w:rsidR="00FA7F5C" w:rsidRPr="00C719B2" w:rsidP="00A54DB6" w14:paraId="7BD78835"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requiring respondents to retain records, other than health, medical, government contract, grant-in-aid, or tax records, for more than three years;</w:t>
      </w:r>
    </w:p>
    <w:p w:rsidR="00FA7F5C" w:rsidRPr="00C719B2" w:rsidP="00A54DB6" w14:paraId="16916419"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in connection with a statistical survey, that is not designed to produce valid and reliable results that can be generalized to the universe of study;</w:t>
      </w:r>
    </w:p>
    <w:p w:rsidR="00FA7F5C" w:rsidRPr="00C719B2" w:rsidP="00A54DB6" w14:paraId="62B9DCE2"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requiring the use of a statistical data classification that has not been reviewed and approved by OMB;</w:t>
      </w:r>
    </w:p>
    <w:p w:rsidR="00FA7F5C" w:rsidRPr="0031159D" w:rsidP="00A54DB6" w14:paraId="0F5BC716"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Arial" w:hAnsi="Arial" w:cs="Arial"/>
          <w:b/>
          <w:bCs/>
          <w:sz w:val="24"/>
        </w:rPr>
        <w:t xml:space="preserve"> </w:t>
      </w:r>
      <w:r w:rsidRPr="0031159D">
        <w:rPr>
          <w:rFonts w:ascii="Arial" w:hAnsi="Arial" w:cs="Arial"/>
          <w:b/>
          <w:bCs/>
          <w:sz w:val="24"/>
        </w:rPr>
        <w:t>requiring respondents to submit proprietary trade secrets, or other confidential information unless the agency can demonstrate that it has instituted procedures to protect the information's confidentiality to the extent permitted by law.</w:t>
      </w:r>
    </w:p>
    <w:bookmarkEnd w:id="0"/>
    <w:p w:rsidR="005823F2" w14:paraId="19A030D2" w14:textId="77777777">
      <w:pPr>
        <w:jc w:val="both"/>
        <w:rPr>
          <w:rFonts w:ascii="Arial" w:hAnsi="Arial"/>
          <w:sz w:val="24"/>
        </w:rPr>
      </w:pPr>
    </w:p>
    <w:p w:rsidR="005823F2" w14:paraId="317DA668" w14:textId="77777777">
      <w:pPr>
        <w:pStyle w:val="BodyText2"/>
      </w:pPr>
      <w:r>
        <w:t>There are no special circumstances associated with this collection of information.</w:t>
      </w:r>
    </w:p>
    <w:p w:rsidR="00616EC6" w14:paraId="3C65AD83" w14:textId="77777777">
      <w:pPr>
        <w:pStyle w:val="BodyText2"/>
      </w:pPr>
    </w:p>
    <w:p w:rsidR="00C17D32" w:rsidRPr="00C17D32" w:rsidP="00A54DB6" w14:paraId="339AFE1F" w14:textId="3578E14B">
      <w:pPr>
        <w:keepNext/>
        <w:keepLines/>
        <w:widowControl w:val="0"/>
        <w:numPr>
          <w:ilvl w:val="0"/>
          <w:numId w:val="31"/>
        </w:numPr>
        <w:tabs>
          <w:tab w:val="left" w:pos="-984"/>
          <w:tab w:val="left" w:pos="-720"/>
          <w:tab w:val="clear" w:pos="720"/>
        </w:tabs>
        <w:autoSpaceDE w:val="0"/>
        <w:autoSpaceDN w:val="0"/>
        <w:adjustRightInd w:val="0"/>
        <w:ind w:left="360" w:hanging="360"/>
        <w:jc w:val="both"/>
        <w:rPr>
          <w:rFonts w:ascii="Arial" w:hAnsi="Arial" w:cs="Arial"/>
          <w:b/>
          <w:bCs/>
          <w:sz w:val="32"/>
          <w:szCs w:val="24"/>
        </w:rPr>
      </w:pPr>
      <w:bookmarkStart w:id="1" w:name="_Hlk82671994"/>
      <w:r w:rsidRPr="00C17D32">
        <w:rPr>
          <w:rFonts w:ascii="Arial" w:hAnsi="Arial" w:cs="Arial"/>
          <w:b/>
          <w:sz w:val="24"/>
        </w:rPr>
        <w:t xml:space="preserve">If applicable, provide a copy and identify the date and page number of </w:t>
      </w:r>
      <w:r w:rsidRPr="00C17D32" w:rsidR="00EF4275">
        <w:rPr>
          <w:rFonts w:ascii="Arial" w:hAnsi="Arial" w:cs="Arial"/>
          <w:b/>
          <w:sz w:val="24"/>
        </w:rPr>
        <w:t>publications</w:t>
      </w:r>
      <w:r w:rsidRPr="00C17D32">
        <w:rPr>
          <w:rFonts w:ascii="Arial" w:hAnsi="Arial" w:cs="Arial"/>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bookmarkEnd w:id="1"/>
    <w:p w:rsidR="005823F2" w14:paraId="15015B91" w14:textId="77777777">
      <w:pPr>
        <w:jc w:val="both"/>
        <w:rPr>
          <w:rFonts w:ascii="Arial" w:hAnsi="Arial"/>
          <w:b/>
          <w:sz w:val="24"/>
        </w:rPr>
      </w:pPr>
    </w:p>
    <w:p w:rsidR="00DE7893" w:rsidP="006E468E" w14:paraId="70229221" w14:textId="77AA7882">
      <w:pPr>
        <w:jc w:val="both"/>
        <w:rPr>
          <w:rFonts w:ascii="Arial" w:hAnsi="Arial"/>
          <w:sz w:val="24"/>
        </w:rPr>
      </w:pPr>
      <w:r>
        <w:rPr>
          <w:rFonts w:ascii="Arial" w:hAnsi="Arial"/>
          <w:sz w:val="24"/>
        </w:rPr>
        <w:t xml:space="preserve">The 60-Day </w:t>
      </w:r>
      <w:r w:rsidRPr="00F4663C">
        <w:rPr>
          <w:rFonts w:ascii="Arial" w:hAnsi="Arial"/>
          <w:i/>
          <w:sz w:val="24"/>
        </w:rPr>
        <w:t xml:space="preserve">Federal </w:t>
      </w:r>
      <w:r w:rsidRPr="00F4663C" w:rsidR="00EB56BA">
        <w:rPr>
          <w:rFonts w:ascii="Arial" w:hAnsi="Arial"/>
          <w:i/>
          <w:sz w:val="24"/>
        </w:rPr>
        <w:t>Register</w:t>
      </w:r>
      <w:r w:rsidR="00EB56BA">
        <w:rPr>
          <w:rFonts w:ascii="Arial" w:hAnsi="Arial"/>
          <w:sz w:val="24"/>
        </w:rPr>
        <w:t xml:space="preserve"> Notice was published on</w:t>
      </w:r>
      <w:r w:rsidR="00152CCD">
        <w:rPr>
          <w:rFonts w:ascii="Arial" w:hAnsi="Arial"/>
          <w:sz w:val="24"/>
        </w:rPr>
        <w:t xml:space="preserve"> </w:t>
      </w:r>
      <w:r w:rsidR="008F64A5">
        <w:rPr>
          <w:rFonts w:ascii="Arial" w:hAnsi="Arial"/>
          <w:sz w:val="24"/>
        </w:rPr>
        <w:t>May 1, 2025</w:t>
      </w:r>
      <w:r w:rsidR="00152CCD">
        <w:rPr>
          <w:rFonts w:ascii="Arial" w:hAnsi="Arial"/>
          <w:sz w:val="24"/>
        </w:rPr>
        <w:t xml:space="preserve"> </w:t>
      </w:r>
      <w:r w:rsidR="008F64A5">
        <w:rPr>
          <w:rFonts w:ascii="Arial" w:hAnsi="Arial"/>
          <w:sz w:val="24"/>
        </w:rPr>
        <w:t>(90</w:t>
      </w:r>
      <w:r w:rsidR="00400AC3">
        <w:rPr>
          <w:rFonts w:ascii="Arial" w:hAnsi="Arial"/>
          <w:sz w:val="24"/>
        </w:rPr>
        <w:t xml:space="preserve"> </w:t>
      </w:r>
      <w:r w:rsidR="00773778">
        <w:rPr>
          <w:rFonts w:ascii="Arial" w:hAnsi="Arial"/>
          <w:sz w:val="24"/>
        </w:rPr>
        <w:t xml:space="preserve">FR </w:t>
      </w:r>
      <w:r w:rsidR="00F83E87">
        <w:rPr>
          <w:rFonts w:ascii="Arial" w:hAnsi="Arial"/>
          <w:sz w:val="24"/>
        </w:rPr>
        <w:t>18648</w:t>
      </w:r>
      <w:r w:rsidR="00EB56BA">
        <w:rPr>
          <w:rFonts w:ascii="Arial" w:hAnsi="Arial"/>
          <w:sz w:val="24"/>
        </w:rPr>
        <w:t>)</w:t>
      </w:r>
      <w:r>
        <w:rPr>
          <w:rFonts w:ascii="Arial" w:hAnsi="Arial"/>
          <w:sz w:val="24"/>
        </w:rPr>
        <w:t>.</w:t>
      </w:r>
      <w:r>
        <w:rPr>
          <w:rStyle w:val="FootnoteReference"/>
          <w:rFonts w:ascii="Arial" w:hAnsi="Arial"/>
          <w:sz w:val="24"/>
        </w:rPr>
        <w:footnoteReference w:id="2"/>
      </w:r>
      <w:r>
        <w:rPr>
          <w:rFonts w:ascii="Arial" w:hAnsi="Arial"/>
          <w:sz w:val="24"/>
        </w:rPr>
        <w:t xml:space="preserve">  The public comment period ended on</w:t>
      </w:r>
      <w:r w:rsidR="00EB56BA">
        <w:rPr>
          <w:rFonts w:ascii="Arial" w:hAnsi="Arial"/>
          <w:sz w:val="24"/>
        </w:rPr>
        <w:t xml:space="preserve"> </w:t>
      </w:r>
      <w:r w:rsidR="00F83E87">
        <w:rPr>
          <w:rFonts w:ascii="Arial" w:hAnsi="Arial"/>
          <w:sz w:val="24"/>
        </w:rPr>
        <w:t>June 30, 2025</w:t>
      </w:r>
      <w:r>
        <w:rPr>
          <w:rFonts w:ascii="Arial" w:hAnsi="Arial"/>
          <w:sz w:val="24"/>
        </w:rPr>
        <w:t xml:space="preserve">. </w:t>
      </w:r>
      <w:r w:rsidR="006E468E">
        <w:rPr>
          <w:rFonts w:ascii="Arial" w:hAnsi="Arial"/>
          <w:sz w:val="24"/>
        </w:rPr>
        <w:t xml:space="preserve">No </w:t>
      </w:r>
      <w:r w:rsidR="00773778">
        <w:rPr>
          <w:rFonts w:ascii="Arial" w:hAnsi="Arial"/>
          <w:sz w:val="24"/>
        </w:rPr>
        <w:t xml:space="preserve">public comments were received. </w:t>
      </w:r>
      <w:r w:rsidRPr="005E16D9">
        <w:rPr>
          <w:rFonts w:ascii="Arial" w:hAnsi="Arial"/>
          <w:sz w:val="24"/>
        </w:rPr>
        <w:t xml:space="preserve"> </w:t>
      </w:r>
    </w:p>
    <w:p w:rsidR="00FF336A" w:rsidP="006E468E" w14:paraId="1C66C284" w14:textId="77777777">
      <w:pPr>
        <w:jc w:val="both"/>
        <w:rPr>
          <w:rFonts w:ascii="Arial" w:hAnsi="Arial"/>
          <w:sz w:val="24"/>
        </w:rPr>
      </w:pPr>
    </w:p>
    <w:p w:rsidR="00FF336A" w:rsidP="006E468E" w14:paraId="07291A0F" w14:textId="597F18F6">
      <w:pPr>
        <w:jc w:val="both"/>
        <w:rPr>
          <w:rFonts w:ascii="Arial" w:hAnsi="Arial"/>
          <w:sz w:val="24"/>
        </w:rPr>
      </w:pPr>
      <w:r>
        <w:rPr>
          <w:rFonts w:ascii="Arial" w:hAnsi="Arial"/>
          <w:sz w:val="24"/>
        </w:rPr>
        <w:t xml:space="preserve">The 30-day Federal Register Notice was published on July 23, 2025 (91 FR  </w:t>
      </w:r>
      <w:r w:rsidR="00E20866">
        <w:rPr>
          <w:rFonts w:ascii="Arial" w:hAnsi="Arial"/>
          <w:sz w:val="24"/>
        </w:rPr>
        <w:t>34643</w:t>
      </w:r>
      <w:r>
        <w:rPr>
          <w:rFonts w:ascii="Arial" w:hAnsi="Arial"/>
          <w:sz w:val="24"/>
        </w:rPr>
        <w:t xml:space="preserve">) The public comment period will end on August </w:t>
      </w:r>
      <w:r w:rsidR="00E20866">
        <w:rPr>
          <w:rFonts w:ascii="Arial" w:hAnsi="Arial"/>
          <w:sz w:val="24"/>
        </w:rPr>
        <w:t>23</w:t>
      </w:r>
      <w:r>
        <w:rPr>
          <w:rFonts w:ascii="Arial" w:hAnsi="Arial"/>
          <w:sz w:val="24"/>
        </w:rPr>
        <w:t xml:space="preserve">, 2025.  </w:t>
      </w:r>
    </w:p>
    <w:p w:rsidR="006244DA" w:rsidP="006E468E" w14:paraId="70E1D454" w14:textId="229B988C">
      <w:pPr>
        <w:jc w:val="both"/>
        <w:rPr>
          <w:rFonts w:ascii="Arial" w:hAnsi="Arial"/>
          <w:sz w:val="24"/>
        </w:rPr>
      </w:pPr>
    </w:p>
    <w:p w:rsidR="006244DA" w:rsidRPr="006244DA" w:rsidP="006E468E" w14:paraId="463805CE" w14:textId="5EEC9C4F">
      <w:pPr>
        <w:jc w:val="both"/>
        <w:rPr>
          <w:rFonts w:ascii="Arial" w:hAnsi="Arial" w:cs="Arial"/>
          <w:sz w:val="24"/>
          <w:szCs w:val="24"/>
        </w:rPr>
      </w:pPr>
      <w:r w:rsidRPr="006244DA">
        <w:rPr>
          <w:rFonts w:ascii="Arial" w:hAnsi="Arial" w:cs="Arial"/>
          <w:color w:val="242424"/>
          <w:sz w:val="24"/>
          <w:szCs w:val="24"/>
          <w:shd w:val="clear" w:color="auto" w:fill="FFFFFF"/>
        </w:rPr>
        <w:t>In addition to the request for public comments, the USPTO has long-standing relationships with groups from whom patent application information is collected, such as the Patent Public Advisory Council and the American Intellectual Property Law Association, as well as patent bar associations, independent inventor</w:t>
      </w:r>
      <w:r w:rsidRPr="006244DA" w:rsidR="0D95A6AE">
        <w:rPr>
          <w:rFonts w:ascii="Arial" w:hAnsi="Arial" w:cs="Arial"/>
          <w:color w:val="242424"/>
          <w:sz w:val="24"/>
          <w:szCs w:val="24"/>
          <w:shd w:val="clear" w:color="auto" w:fill="FFFFFF"/>
        </w:rPr>
        <w:t>’</w:t>
      </w:r>
      <w:r w:rsidRPr="006244DA">
        <w:rPr>
          <w:rFonts w:ascii="Arial" w:hAnsi="Arial" w:cs="Arial"/>
          <w:color w:val="242424"/>
          <w:sz w:val="24"/>
          <w:szCs w:val="24"/>
          <w:shd w:val="clear" w:color="auto" w:fill="FFFFFF"/>
        </w:rPr>
        <w:t xml:space="preserve">s groups, and users of </w:t>
      </w:r>
      <w:r w:rsidR="44AB9FB3">
        <w:rPr>
          <w:rFonts w:ascii="Arial" w:hAnsi="Arial" w:cs="Arial"/>
          <w:color w:val="242424"/>
          <w:sz w:val="24"/>
          <w:szCs w:val="24"/>
          <w:shd w:val="clear" w:color="auto" w:fill="FFFFFF"/>
        </w:rPr>
        <w:t>USPTO</w:t>
      </w:r>
      <w:r w:rsidRPr="006244DA">
        <w:rPr>
          <w:rFonts w:ascii="Arial" w:hAnsi="Arial" w:cs="Arial"/>
          <w:color w:val="242424"/>
          <w:sz w:val="24"/>
          <w:szCs w:val="24"/>
          <w:shd w:val="clear" w:color="auto" w:fill="FFFFFF"/>
        </w:rPr>
        <w:t xml:space="preserve"> public search facilities. Views expressed by these groups are considered when evaluating information collection burdens and when developing proposals for information collection requirements.</w:t>
      </w:r>
    </w:p>
    <w:p w:rsidR="00DE7893" w14:paraId="794CEEA0" w14:textId="77777777">
      <w:pPr>
        <w:jc w:val="both"/>
        <w:rPr>
          <w:rFonts w:ascii="Arial" w:hAnsi="Arial"/>
          <w:sz w:val="24"/>
        </w:rPr>
      </w:pPr>
    </w:p>
    <w:p w:rsidR="005823F2" w:rsidRPr="00152CCD" w:rsidP="005C065A" w14:paraId="176B6D09" w14:textId="039880FE">
      <w:pPr>
        <w:numPr>
          <w:ilvl w:val="0"/>
          <w:numId w:val="31"/>
        </w:numPr>
        <w:tabs>
          <w:tab w:val="clear" w:pos="720"/>
        </w:tabs>
        <w:ind w:left="360" w:hanging="360"/>
        <w:jc w:val="both"/>
        <w:rPr>
          <w:rFonts w:ascii="Arial" w:hAnsi="Arial"/>
          <w:b/>
          <w:sz w:val="24"/>
        </w:rPr>
      </w:pPr>
      <w:r w:rsidRPr="00C62EAE">
        <w:rPr>
          <w:rFonts w:ascii="Arial" w:hAnsi="Arial"/>
          <w:b/>
          <w:bCs/>
          <w:sz w:val="24"/>
        </w:rPr>
        <w:t>Explain any decision to provide any payment or gift to respondents, other than remuneration of contractors or grantees.</w:t>
      </w:r>
    </w:p>
    <w:p w:rsidR="005823F2" w14:paraId="0F429DF5" w14:textId="77777777">
      <w:pPr>
        <w:jc w:val="both"/>
        <w:rPr>
          <w:rFonts w:ascii="Arial" w:hAnsi="Arial"/>
          <w:b/>
          <w:sz w:val="24"/>
        </w:rPr>
      </w:pPr>
    </w:p>
    <w:p w:rsidR="005823F2" w14:paraId="09B26F83" w14:textId="3A47F5A5">
      <w:pPr>
        <w:jc w:val="both"/>
        <w:rPr>
          <w:rFonts w:ascii="Arial" w:hAnsi="Arial"/>
          <w:sz w:val="24"/>
        </w:rPr>
      </w:pPr>
      <w:r>
        <w:rPr>
          <w:rFonts w:ascii="Arial" w:hAnsi="Arial"/>
          <w:sz w:val="24"/>
        </w:rPr>
        <w:t>This information collection does not involve a payment or gift to any respondent.</w:t>
      </w:r>
      <w:r w:rsidR="00E93546">
        <w:rPr>
          <w:rFonts w:ascii="Arial" w:hAnsi="Arial"/>
          <w:sz w:val="24"/>
        </w:rPr>
        <w:t xml:space="preserve"> This survey is voluntary, so the respondent is not required to answer the questions.  </w:t>
      </w:r>
      <w:r w:rsidR="004F68A4">
        <w:rPr>
          <w:rFonts w:ascii="Arial" w:hAnsi="Arial"/>
          <w:sz w:val="24"/>
        </w:rPr>
        <w:t xml:space="preserve">  </w:t>
      </w:r>
      <w:r>
        <w:rPr>
          <w:rFonts w:ascii="Arial" w:hAnsi="Arial"/>
          <w:sz w:val="24"/>
        </w:rPr>
        <w:t xml:space="preserve">  </w:t>
      </w:r>
    </w:p>
    <w:p w:rsidR="005823F2" w14:paraId="1D6CAE36" w14:textId="77777777">
      <w:pPr>
        <w:jc w:val="both"/>
        <w:rPr>
          <w:rFonts w:ascii="Arial" w:hAnsi="Arial"/>
          <w:b/>
          <w:sz w:val="24"/>
        </w:rPr>
      </w:pPr>
    </w:p>
    <w:p w:rsidR="005823F2" w:rsidP="00A54DB6" w14:paraId="6D641B3E" w14:textId="6C73BDB1">
      <w:pPr>
        <w:ind w:left="360" w:hanging="360"/>
        <w:jc w:val="both"/>
        <w:rPr>
          <w:rFonts w:ascii="Arial" w:hAnsi="Arial"/>
          <w:b/>
          <w:sz w:val="24"/>
        </w:rPr>
      </w:pPr>
      <w:r w:rsidRPr="00663B88">
        <w:rPr>
          <w:rFonts w:ascii="Arial" w:hAnsi="Arial"/>
          <w:b/>
          <w:sz w:val="24"/>
        </w:rPr>
        <w:t>10.</w:t>
      </w:r>
      <w:r w:rsidRPr="00663B88">
        <w:rPr>
          <w:rFonts w:ascii="Arial" w:hAnsi="Arial"/>
          <w:b/>
          <w:sz w:val="24"/>
        </w:rPr>
        <w:tab/>
      </w:r>
      <w:r w:rsidRPr="001D603D" w:rsidR="00C62EAE">
        <w:rPr>
          <w:rFonts w:ascii="Arial" w:hAnsi="Arial" w:cs="Arial"/>
          <w:b/>
          <w:bCs/>
          <w:sz w:val="24"/>
        </w:rPr>
        <w:t>Describe any assurance of confidentiality provided to respondents and the basis for the assurance in statute, regulation, or agency policy. If the information collection requires a system of records notice (SORN) or privacy impact assessment (PIA), those should be cited and described here.</w:t>
      </w:r>
    </w:p>
    <w:p w:rsidR="005823F2" w14:paraId="3475FA42" w14:textId="77777777">
      <w:pPr>
        <w:jc w:val="both"/>
        <w:rPr>
          <w:rFonts w:ascii="Arial" w:hAnsi="Arial"/>
          <w:sz w:val="24"/>
        </w:rPr>
      </w:pPr>
    </w:p>
    <w:p w:rsidR="00954771" w:rsidP="00954771" w14:paraId="39767E30" w14:textId="77777777">
      <w:pPr>
        <w:jc w:val="both"/>
        <w:rPr>
          <w:rFonts w:ascii="Arial" w:hAnsi="Arial"/>
          <w:sz w:val="24"/>
        </w:rPr>
      </w:pPr>
      <w:r>
        <w:rPr>
          <w:rFonts w:ascii="Arial" w:hAnsi="Arial"/>
          <w:sz w:val="24"/>
        </w:rPr>
        <w:t xml:space="preserve">Data collected from the surveys will not be linked to the respondents in any way. All contact information collected from the questionnaire will be maintained in a separate electronic file from the quantitative and qualitative data. At the end of the data collection, </w:t>
      </w:r>
      <w:r>
        <w:rPr>
          <w:rFonts w:ascii="Arial" w:hAnsi="Arial"/>
          <w:sz w:val="24"/>
        </w:rPr>
        <w:t xml:space="preserve">three files will be maintained by the survey contractor </w:t>
      </w:r>
      <w:r>
        <w:rPr>
          <w:rFonts w:ascii="Arial" w:hAnsi="Arial"/>
          <w:sz w:val="24"/>
        </w:rPr>
        <w:t>Westat</w:t>
      </w:r>
      <w:r>
        <w:rPr>
          <w:rFonts w:ascii="Arial" w:hAnsi="Arial"/>
          <w:sz w:val="24"/>
        </w:rPr>
        <w:t>. One file will contain respondent contact information and will establish a current and continuous sample file for use in future survey administrations. The second file will contain the aggregate quantitative data and will be delivered to the USPTO. The third file will contain the qualitative data generated from the one open-ended survey item; this data will consist of verbatim text written by the survey respondent. Once the three files are created, respondent information will not be realigned with the data collected.</w:t>
      </w:r>
    </w:p>
    <w:p w:rsidR="00213E5B" w14:paraId="1FD037B5" w14:textId="77777777">
      <w:pPr>
        <w:jc w:val="both"/>
        <w:rPr>
          <w:rFonts w:ascii="Arial" w:hAnsi="Arial"/>
          <w:sz w:val="24"/>
        </w:rPr>
      </w:pPr>
    </w:p>
    <w:p w:rsidR="00213E5B" w14:paraId="11F5E0F7" w14:textId="03743F46">
      <w:pPr>
        <w:jc w:val="both"/>
        <w:rPr>
          <w:rFonts w:ascii="Arial" w:hAnsi="Arial"/>
          <w:sz w:val="24"/>
        </w:rPr>
      </w:pPr>
      <w:r>
        <w:rPr>
          <w:rFonts w:ascii="Arial" w:hAnsi="Arial"/>
          <w:sz w:val="24"/>
        </w:rPr>
        <w:t xml:space="preserve">When completing the electronic survey, applicants </w:t>
      </w:r>
      <w:r w:rsidR="00BC5C3A">
        <w:rPr>
          <w:rFonts w:ascii="Arial" w:hAnsi="Arial"/>
          <w:sz w:val="24"/>
        </w:rPr>
        <w:t xml:space="preserve">use the provided </w:t>
      </w:r>
      <w:r>
        <w:rPr>
          <w:rFonts w:ascii="Arial" w:hAnsi="Arial"/>
          <w:sz w:val="24"/>
        </w:rPr>
        <w:t xml:space="preserve">username and password to access the survey. Additionally, each respondent is assigned a unique 5-digit identification number. </w:t>
      </w:r>
      <w:r>
        <w:rPr>
          <w:rFonts w:ascii="Arial" w:hAnsi="Arial"/>
          <w:sz w:val="24"/>
        </w:rPr>
        <w:t>Westat</w:t>
      </w:r>
      <w:r>
        <w:rPr>
          <w:rFonts w:ascii="Arial" w:hAnsi="Arial"/>
          <w:sz w:val="24"/>
        </w:rPr>
        <w:t xml:space="preserve"> generates t</w:t>
      </w:r>
      <w:r>
        <w:rPr>
          <w:rFonts w:ascii="Arial" w:hAnsi="Arial"/>
          <w:sz w:val="24"/>
        </w:rPr>
        <w:t>he username, password, and survey ID numbers and</w:t>
      </w:r>
      <w:r w:rsidR="00DE6813">
        <w:rPr>
          <w:rFonts w:ascii="Arial" w:hAnsi="Arial"/>
          <w:sz w:val="24"/>
        </w:rPr>
        <w:t xml:space="preserve"> </w:t>
      </w:r>
      <w:r>
        <w:rPr>
          <w:rFonts w:ascii="Arial" w:hAnsi="Arial"/>
          <w:sz w:val="24"/>
        </w:rPr>
        <w:t>provide</w:t>
      </w:r>
      <w:r>
        <w:rPr>
          <w:rFonts w:ascii="Arial" w:hAnsi="Arial"/>
          <w:sz w:val="24"/>
        </w:rPr>
        <w:t>s</w:t>
      </w:r>
      <w:r>
        <w:rPr>
          <w:rFonts w:ascii="Arial" w:hAnsi="Arial"/>
          <w:sz w:val="24"/>
        </w:rPr>
        <w:t xml:space="preserve"> the respondent </w:t>
      </w:r>
      <w:r>
        <w:rPr>
          <w:rFonts w:ascii="Arial" w:hAnsi="Arial"/>
          <w:sz w:val="24"/>
        </w:rPr>
        <w:t xml:space="preserve">with </w:t>
      </w:r>
      <w:r w:rsidR="00F40FE7">
        <w:rPr>
          <w:rFonts w:ascii="Arial" w:hAnsi="Arial"/>
          <w:sz w:val="24"/>
        </w:rPr>
        <w:t xml:space="preserve">both </w:t>
      </w:r>
      <w:r>
        <w:rPr>
          <w:rFonts w:ascii="Arial" w:hAnsi="Arial"/>
          <w:sz w:val="24"/>
        </w:rPr>
        <w:t>the pre</w:t>
      </w:r>
      <w:r w:rsidR="00F40FE7">
        <w:rPr>
          <w:rFonts w:ascii="Arial" w:hAnsi="Arial"/>
          <w:sz w:val="24"/>
        </w:rPr>
        <w:t>-</w:t>
      </w:r>
      <w:r>
        <w:rPr>
          <w:rFonts w:ascii="Arial" w:hAnsi="Arial"/>
          <w:sz w:val="24"/>
        </w:rPr>
        <w:t>notification letter and the cover letter</w:t>
      </w:r>
      <w:r w:rsidR="00000744">
        <w:rPr>
          <w:rFonts w:ascii="Arial" w:hAnsi="Arial"/>
          <w:sz w:val="24"/>
        </w:rPr>
        <w:t>.</w:t>
      </w:r>
    </w:p>
    <w:p w:rsidR="00CE60CE" w14:paraId="15EDBC1E" w14:textId="77777777">
      <w:pPr>
        <w:jc w:val="both"/>
        <w:rPr>
          <w:rFonts w:ascii="Arial" w:hAnsi="Arial"/>
          <w:sz w:val="24"/>
        </w:rPr>
      </w:pPr>
    </w:p>
    <w:p w:rsidR="00AB4177" w14:paraId="4D5550C4" w14:textId="088F81C5">
      <w:pPr>
        <w:jc w:val="both"/>
        <w:rPr>
          <w:rFonts w:ascii="Arial" w:hAnsi="Arial"/>
          <w:sz w:val="24"/>
        </w:rPr>
      </w:pPr>
      <w:r>
        <w:rPr>
          <w:rFonts w:ascii="Arial" w:hAnsi="Arial"/>
          <w:sz w:val="24"/>
        </w:rPr>
        <w:t xml:space="preserve">Information collected </w:t>
      </w:r>
      <w:r w:rsidR="00C70D1D">
        <w:rPr>
          <w:rFonts w:ascii="Arial" w:hAnsi="Arial"/>
          <w:sz w:val="24"/>
        </w:rPr>
        <w:t>is</w:t>
      </w:r>
      <w:r>
        <w:rPr>
          <w:rFonts w:ascii="Arial" w:hAnsi="Arial"/>
          <w:sz w:val="24"/>
        </w:rPr>
        <w:t xml:space="preserve"> kept private to the extent of the law. Reponses </w:t>
      </w:r>
      <w:r w:rsidR="00C70D1D">
        <w:rPr>
          <w:rFonts w:ascii="Arial" w:hAnsi="Arial"/>
          <w:sz w:val="24"/>
        </w:rPr>
        <w:t>are</w:t>
      </w:r>
      <w:r>
        <w:rPr>
          <w:rFonts w:ascii="Arial" w:hAnsi="Arial"/>
          <w:sz w:val="24"/>
        </w:rPr>
        <w:t xml:space="preserve"> reported in aggregate summary format only and any data collected </w:t>
      </w:r>
      <w:r w:rsidR="00C70D1D">
        <w:rPr>
          <w:rFonts w:ascii="Arial" w:hAnsi="Arial"/>
          <w:sz w:val="24"/>
        </w:rPr>
        <w:t xml:space="preserve">is </w:t>
      </w:r>
      <w:r>
        <w:rPr>
          <w:rFonts w:ascii="Arial" w:hAnsi="Arial"/>
          <w:sz w:val="24"/>
        </w:rPr>
        <w:t>not linked to the actual respondent</w:t>
      </w:r>
      <w:r w:rsidR="006244DA">
        <w:rPr>
          <w:rFonts w:ascii="Arial" w:hAnsi="Arial"/>
          <w:sz w:val="24"/>
        </w:rPr>
        <w:t>.</w:t>
      </w:r>
    </w:p>
    <w:p w:rsidR="005576A4" w14:paraId="7F4EC29E" w14:textId="77777777">
      <w:pPr>
        <w:jc w:val="both"/>
        <w:rPr>
          <w:rFonts w:ascii="Arial" w:hAnsi="Arial"/>
          <w:b/>
          <w:sz w:val="24"/>
        </w:rPr>
      </w:pPr>
    </w:p>
    <w:p w:rsidR="005823F2" w:rsidP="00A54DB6" w14:paraId="0B8D2C06" w14:textId="068BE19A">
      <w:pPr>
        <w:ind w:left="360" w:hanging="360"/>
        <w:jc w:val="both"/>
        <w:rPr>
          <w:rFonts w:ascii="Arial" w:hAnsi="Arial"/>
          <w:b/>
          <w:sz w:val="24"/>
        </w:rPr>
      </w:pPr>
      <w:r>
        <w:rPr>
          <w:rFonts w:ascii="Arial" w:hAnsi="Arial"/>
          <w:b/>
          <w:sz w:val="24"/>
        </w:rPr>
        <w:t>11.</w:t>
      </w:r>
      <w:r>
        <w:rPr>
          <w:rFonts w:ascii="Arial" w:hAnsi="Arial"/>
          <w:b/>
          <w:sz w:val="24"/>
        </w:rPr>
        <w:tab/>
      </w:r>
      <w:r w:rsidRPr="001D603D" w:rsidR="00C62EAE">
        <w:rPr>
          <w:rFonts w:ascii="Arial" w:hAnsi="Arial" w:cs="Arial"/>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23F2" w14:paraId="41DEA923" w14:textId="77777777">
      <w:pPr>
        <w:jc w:val="both"/>
        <w:rPr>
          <w:rFonts w:ascii="Arial" w:hAnsi="Arial"/>
          <w:sz w:val="24"/>
        </w:rPr>
      </w:pPr>
    </w:p>
    <w:p w:rsidR="005823F2" w14:paraId="160B7E15" w14:textId="41D4B7C4">
      <w:pPr>
        <w:pStyle w:val="BodyText2"/>
      </w:pPr>
      <w:r>
        <w:t>None of the required information</w:t>
      </w:r>
      <w:r w:rsidR="00644440">
        <w:t xml:space="preserve"> in this </w:t>
      </w:r>
      <w:r w:rsidR="006244DA">
        <w:t xml:space="preserve">information </w:t>
      </w:r>
      <w:r w:rsidR="00644440">
        <w:t>collection</w:t>
      </w:r>
      <w:r>
        <w:t xml:space="preserve"> is considered to be of a sensitive nature.</w:t>
      </w:r>
    </w:p>
    <w:p w:rsidR="00CE60CE" w14:paraId="51F0A15A" w14:textId="77777777">
      <w:pPr>
        <w:pStyle w:val="BodyText2"/>
      </w:pPr>
    </w:p>
    <w:p w:rsidR="00C62EAE" w:rsidRPr="001D603D" w:rsidP="00A54DB6" w14:paraId="176ADC9A" w14:textId="2F411E32">
      <w:pPr>
        <w:keepNext/>
        <w:keepLines/>
        <w:tabs>
          <w:tab w:val="left" w:pos="-1176"/>
        </w:tabs>
        <w:autoSpaceDE w:val="0"/>
        <w:autoSpaceDN w:val="0"/>
        <w:adjustRightInd w:val="0"/>
        <w:ind w:left="360" w:hanging="360"/>
        <w:contextualSpacing/>
        <w:jc w:val="both"/>
        <w:rPr>
          <w:rFonts w:ascii="Arial" w:hAnsi="Arial" w:cs="Arial"/>
          <w:b/>
          <w:bCs/>
          <w:sz w:val="24"/>
        </w:rPr>
      </w:pPr>
      <w:r w:rsidRPr="003D2A30">
        <w:rPr>
          <w:rFonts w:ascii="Arial" w:hAnsi="Arial"/>
          <w:b/>
          <w:sz w:val="24"/>
        </w:rPr>
        <w:t>12.</w:t>
      </w:r>
      <w:r w:rsidRPr="003D2A30">
        <w:rPr>
          <w:rFonts w:ascii="Arial" w:hAnsi="Arial"/>
          <w:b/>
          <w:sz w:val="24"/>
        </w:rPr>
        <w:tab/>
      </w:r>
      <w:bookmarkStart w:id="2" w:name="_Hlk82672384"/>
      <w:r w:rsidRPr="001D603D">
        <w:rPr>
          <w:rFonts w:ascii="Arial" w:hAnsi="Arial" w:cs="Arial"/>
          <w:b/>
          <w:bCs/>
          <w:sz w:val="24"/>
        </w:rPr>
        <w:t>Provide estimates of the hour burden of the collection of information. The statement should:</w:t>
      </w:r>
    </w:p>
    <w:p w:rsidR="00C62EAE" w:rsidRPr="00C719B2" w:rsidP="00C62EAE" w14:paraId="799DD0CA" w14:textId="77777777">
      <w:pPr>
        <w:pStyle w:val="ListParagraph"/>
        <w:keepNext/>
        <w:keepLines/>
        <w:numPr>
          <w:ilvl w:val="0"/>
          <w:numId w:val="27"/>
        </w:numPr>
        <w:tabs>
          <w:tab w:val="left" w:pos="-1176"/>
          <w:tab w:val="clear" w:pos="360"/>
          <w:tab w:val="num" w:pos="72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62EAE" w:rsidP="00C62EAE" w14:paraId="365FD536" w14:textId="77777777">
      <w:pPr>
        <w:pStyle w:val="ListParagraph"/>
        <w:keepNext/>
        <w:keepLines/>
        <w:numPr>
          <w:ilvl w:val="0"/>
          <w:numId w:val="27"/>
        </w:numPr>
        <w:tabs>
          <w:tab w:val="left" w:pos="-1176"/>
          <w:tab w:val="clear" w:pos="360"/>
          <w:tab w:val="num" w:pos="72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If this request for approval covers more than one form, provide separate hour burden estimates for each form and aggregate the hour burdens.</w:t>
      </w:r>
    </w:p>
    <w:p w:rsidR="00661888" w:rsidRPr="00754F28" w:rsidP="00A54DB6" w14:paraId="0CB519A5" w14:textId="77777777">
      <w:pPr>
        <w:pStyle w:val="ListParagraph"/>
        <w:keepNext/>
        <w:keepLines/>
        <w:numPr>
          <w:ilvl w:val="0"/>
          <w:numId w:val="27"/>
        </w:numPr>
        <w:tabs>
          <w:tab w:val="left" w:pos="-1176"/>
          <w:tab w:val="clear" w:pos="360"/>
          <w:tab w:val="num" w:pos="720"/>
        </w:tabs>
        <w:autoSpaceDE w:val="0"/>
        <w:autoSpaceDN w:val="0"/>
        <w:adjustRightInd w:val="0"/>
        <w:ind w:left="720" w:hanging="270"/>
        <w:contextualSpacing/>
        <w:jc w:val="both"/>
        <w:rPr>
          <w:rFonts w:ascii="Arial" w:hAnsi="Arial" w:cs="Arial"/>
          <w:b/>
          <w:bCs/>
          <w:sz w:val="24"/>
        </w:rPr>
      </w:pPr>
      <w:r w:rsidRPr="00632FB6">
        <w:rPr>
          <w:rFonts w:ascii="Arial" w:hAnsi="Arial" w:cs="Arial"/>
          <w:b/>
          <w:b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bookmarkEnd w:id="2"/>
    </w:p>
    <w:p w:rsidR="005823F2" w:rsidRPr="00A54DB6" w:rsidP="00A54DB6" w14:paraId="15834DF7" w14:textId="0DD3AD89">
      <w:pPr>
        <w:pStyle w:val="ListParagraph"/>
        <w:keepNext/>
        <w:keepLines/>
        <w:numPr>
          <w:ilvl w:val="0"/>
          <w:numId w:val="27"/>
        </w:numPr>
        <w:tabs>
          <w:tab w:val="left" w:pos="-1176"/>
          <w:tab w:val="clear" w:pos="360"/>
          <w:tab w:val="num" w:pos="720"/>
        </w:tabs>
        <w:autoSpaceDE w:val="0"/>
        <w:autoSpaceDN w:val="0"/>
        <w:adjustRightInd w:val="0"/>
        <w:ind w:left="720" w:hanging="270"/>
        <w:contextualSpacing/>
        <w:jc w:val="both"/>
        <w:rPr>
          <w:rFonts w:ascii="Arial" w:hAnsi="Arial" w:cs="Arial"/>
          <w:b/>
          <w:bCs/>
          <w:sz w:val="24"/>
        </w:rPr>
      </w:pPr>
      <w:r w:rsidRPr="00661888">
        <w:rPr>
          <w:rFonts w:ascii="Arial" w:hAnsi="Arial" w:cs="Arial"/>
          <w:b/>
          <w:bCs/>
          <w:sz w:val="24"/>
        </w:rPr>
        <w:t xml:space="preserve">Provide an estimate for the total annual cost burden to respondents or record keepers resulting from the collection of information. </w:t>
      </w:r>
    </w:p>
    <w:p w:rsidR="005823F2" w14:paraId="6952ABEF" w14:textId="77777777">
      <w:pPr>
        <w:jc w:val="both"/>
        <w:rPr>
          <w:rFonts w:ascii="Arial" w:hAnsi="Arial"/>
          <w:sz w:val="24"/>
        </w:rPr>
      </w:pPr>
    </w:p>
    <w:p w:rsidR="005823F2" w14:paraId="239ADA4D" w14:textId="77777777">
      <w:pPr>
        <w:pStyle w:val="BodyText2"/>
      </w:pPr>
      <w:r>
        <w:t xml:space="preserve">Table </w:t>
      </w:r>
      <w:r w:rsidR="003D2A30">
        <w:t>2 displays the burden hours and costs of this information collection to the public for each year of the study, based on the following calculation factors:</w:t>
      </w:r>
    </w:p>
    <w:p w:rsidR="005823F2" w:rsidRPr="002F0312" w14:paraId="06B573B9" w14:textId="77777777">
      <w:pPr>
        <w:jc w:val="both"/>
        <w:rPr>
          <w:rFonts w:ascii="Arial" w:hAnsi="Arial"/>
          <w:sz w:val="22"/>
        </w:rPr>
      </w:pPr>
    </w:p>
    <w:p w:rsidR="005823F2" w:rsidRPr="002F0312" w:rsidP="00A54DB6" w14:paraId="7A253913" w14:textId="5B7461CD">
      <w:pPr>
        <w:numPr>
          <w:ilvl w:val="0"/>
          <w:numId w:val="1"/>
        </w:numPr>
        <w:tabs>
          <w:tab w:val="clear" w:pos="360"/>
          <w:tab w:val="num" w:pos="720"/>
        </w:tabs>
        <w:ind w:left="720" w:hanging="270"/>
        <w:jc w:val="both"/>
        <w:rPr>
          <w:rFonts w:ascii="Arial" w:hAnsi="Arial"/>
          <w:b/>
          <w:sz w:val="24"/>
        </w:rPr>
      </w:pPr>
      <w:r w:rsidRPr="002F0312">
        <w:rPr>
          <w:rFonts w:ascii="Arial" w:hAnsi="Arial"/>
          <w:b/>
          <w:sz w:val="24"/>
        </w:rPr>
        <w:t>Respondent Calculation Factors</w:t>
      </w:r>
    </w:p>
    <w:p w:rsidR="00D67C87" w:rsidRPr="00D67C87" w:rsidP="00D67C87" w14:paraId="4F24FF35" w14:textId="07CE6373">
      <w:pPr>
        <w:pStyle w:val="BodyTextIndent"/>
        <w:rPr>
          <w:szCs w:val="22"/>
        </w:rPr>
      </w:pPr>
      <w:r w:rsidRPr="00D67C87">
        <w:rPr>
          <w:szCs w:val="22"/>
        </w:rPr>
        <w:t xml:space="preserve">The USPTO estimates that it will receive approximately </w:t>
      </w:r>
      <w:r>
        <w:rPr>
          <w:szCs w:val="22"/>
        </w:rPr>
        <w:t>1,000</w:t>
      </w:r>
      <w:r w:rsidRPr="00D67C87">
        <w:rPr>
          <w:szCs w:val="22"/>
        </w:rPr>
        <w:t xml:space="preserve"> responses per year </w:t>
      </w:r>
      <w:r w:rsidRPr="00071583">
        <w:rPr>
          <w:szCs w:val="22"/>
        </w:rPr>
        <w:t>from 750 respondents</w:t>
      </w:r>
      <w:r w:rsidRPr="00D67C87">
        <w:rPr>
          <w:szCs w:val="22"/>
        </w:rPr>
        <w:t xml:space="preserve"> for this information collection, with approximately </w:t>
      </w:r>
      <w:r>
        <w:rPr>
          <w:szCs w:val="22"/>
        </w:rPr>
        <w:t>50</w:t>
      </w:r>
      <w:r w:rsidRPr="00D67C87">
        <w:rPr>
          <w:szCs w:val="22"/>
        </w:rPr>
        <w:t xml:space="preserve"> of these responses submitted by small entities. </w:t>
      </w:r>
    </w:p>
    <w:p w:rsidR="00D67C87" w:rsidRPr="00D67C87" w:rsidP="00D67C87" w14:paraId="595F864B" w14:textId="77777777">
      <w:pPr>
        <w:pStyle w:val="BodyTextIndent"/>
        <w:rPr>
          <w:szCs w:val="22"/>
        </w:rPr>
      </w:pPr>
    </w:p>
    <w:p w:rsidR="00FF336A" w:rsidP="00D67C87" w14:paraId="1D803DD7" w14:textId="2A2B9E25">
      <w:pPr>
        <w:pStyle w:val="BodyTextIndent"/>
        <w:rPr>
          <w:szCs w:val="22"/>
        </w:rPr>
      </w:pPr>
      <w:r>
        <w:rPr>
          <w:szCs w:val="22"/>
        </w:rPr>
        <w:t xml:space="preserve">The USPTO estimates that approximately 100% of the response in the collection will be submitted electronically.  </w:t>
      </w:r>
    </w:p>
    <w:p w:rsidR="009474D6" w:rsidRPr="002F0312" w14:paraId="32911C8E" w14:textId="77777777">
      <w:pPr>
        <w:pStyle w:val="BodyTextIndent"/>
        <w:rPr>
          <w:szCs w:val="22"/>
        </w:rPr>
      </w:pPr>
    </w:p>
    <w:p w:rsidR="009474D6" w:rsidRPr="002F0312" w14:paraId="0401445D" w14:textId="04CA896B">
      <w:pPr>
        <w:pStyle w:val="BodyTextIndent"/>
        <w:rPr>
          <w:szCs w:val="22"/>
        </w:rPr>
      </w:pPr>
      <w:r w:rsidRPr="002F0312">
        <w:rPr>
          <w:szCs w:val="22"/>
        </w:rPr>
        <w:t>These estimates are based on</w:t>
      </w:r>
      <w:r w:rsidR="00B848C8">
        <w:rPr>
          <w:szCs w:val="22"/>
        </w:rPr>
        <w:t xml:space="preserve"> responses of previous survey waves that USPTO has conducted as well as</w:t>
      </w:r>
      <w:r w:rsidRPr="002F0312">
        <w:rPr>
          <w:szCs w:val="22"/>
        </w:rPr>
        <w:t xml:space="preserve"> the </w:t>
      </w:r>
      <w:r w:rsidR="00661888">
        <w:rPr>
          <w:szCs w:val="22"/>
        </w:rPr>
        <w:t>USPTO’s</w:t>
      </w:r>
      <w:r w:rsidRPr="002F0312" w:rsidR="00661888">
        <w:rPr>
          <w:szCs w:val="22"/>
        </w:rPr>
        <w:t xml:space="preserve"> </w:t>
      </w:r>
      <w:r w:rsidRPr="002F0312">
        <w:rPr>
          <w:szCs w:val="22"/>
        </w:rPr>
        <w:t>long-standing institutional knowledge of and experience with the type of information collected by these items.</w:t>
      </w:r>
    </w:p>
    <w:p w:rsidR="005823F2" w:rsidRPr="002F0312" w14:paraId="3FA85B6B" w14:textId="77777777">
      <w:pPr>
        <w:jc w:val="both"/>
        <w:rPr>
          <w:rFonts w:ascii="Arial" w:hAnsi="Arial"/>
          <w:b/>
          <w:sz w:val="24"/>
        </w:rPr>
      </w:pPr>
    </w:p>
    <w:p w:rsidR="005823F2" w:rsidRPr="002F0312" w:rsidP="00A54DB6" w14:paraId="38C7FFD6" w14:textId="77777777">
      <w:pPr>
        <w:numPr>
          <w:ilvl w:val="0"/>
          <w:numId w:val="3"/>
        </w:numPr>
        <w:tabs>
          <w:tab w:val="clear" w:pos="360"/>
          <w:tab w:val="num" w:pos="720"/>
        </w:tabs>
        <w:ind w:left="720" w:hanging="270"/>
        <w:jc w:val="both"/>
        <w:rPr>
          <w:rFonts w:ascii="Arial" w:hAnsi="Arial"/>
          <w:b/>
          <w:sz w:val="24"/>
        </w:rPr>
      </w:pPr>
      <w:r w:rsidRPr="002F0312">
        <w:rPr>
          <w:rFonts w:ascii="Arial" w:hAnsi="Arial"/>
          <w:b/>
          <w:sz w:val="24"/>
        </w:rPr>
        <w:t>Burden Hour Calculation Factors</w:t>
      </w:r>
    </w:p>
    <w:p w:rsidR="00013492" w14:paraId="1FE63B3B" w14:textId="39FF3EEC">
      <w:pPr>
        <w:ind w:left="720"/>
        <w:jc w:val="both"/>
        <w:rPr>
          <w:rFonts w:ascii="Arial" w:hAnsi="Arial"/>
          <w:sz w:val="24"/>
        </w:rPr>
      </w:pPr>
      <w:r w:rsidRPr="005D3BB6">
        <w:rPr>
          <w:rFonts w:ascii="Arial" w:hAnsi="Arial"/>
          <w:sz w:val="24"/>
        </w:rPr>
        <w:t xml:space="preserve">The USPTO estimates that the responses in this information collection will take the public 10 minutes (0.17 hours) to complete. This includes the time to gather the necessary information, answer the survey prompts, and submit the completed </w:t>
      </w:r>
      <w:r w:rsidR="00661888">
        <w:rPr>
          <w:rFonts w:ascii="Arial" w:hAnsi="Arial"/>
          <w:sz w:val="24"/>
        </w:rPr>
        <w:t>item</w:t>
      </w:r>
      <w:r w:rsidRPr="005D3BB6" w:rsidR="00661888">
        <w:rPr>
          <w:rFonts w:ascii="Arial" w:hAnsi="Arial"/>
          <w:sz w:val="24"/>
        </w:rPr>
        <w:t xml:space="preserve"> </w:t>
      </w:r>
      <w:r w:rsidRPr="005D3BB6">
        <w:rPr>
          <w:rFonts w:ascii="Arial" w:hAnsi="Arial"/>
          <w:sz w:val="24"/>
        </w:rPr>
        <w:t>to the USPTO.</w:t>
      </w:r>
      <w:r w:rsidR="00661888">
        <w:rPr>
          <w:rFonts w:ascii="Arial" w:hAnsi="Arial"/>
          <w:sz w:val="24"/>
        </w:rPr>
        <w:t xml:space="preserve"> </w:t>
      </w:r>
      <w:r w:rsidRPr="00661888" w:rsidR="00661888">
        <w:rPr>
          <w:rFonts w:ascii="Arial" w:hAnsi="Arial"/>
          <w:sz w:val="24"/>
        </w:rPr>
        <w:t xml:space="preserve">Using these burden factors, USPTO estimates that the total respondent hourly burden for this information collection is </w:t>
      </w:r>
      <w:r w:rsidR="00C53637">
        <w:rPr>
          <w:rFonts w:ascii="Arial" w:hAnsi="Arial"/>
          <w:sz w:val="24"/>
        </w:rPr>
        <w:t>171</w:t>
      </w:r>
      <w:r w:rsidRPr="00661888" w:rsidR="00661888">
        <w:rPr>
          <w:rFonts w:ascii="Arial" w:hAnsi="Arial"/>
          <w:sz w:val="24"/>
        </w:rPr>
        <w:t xml:space="preserve"> hours per year.</w:t>
      </w:r>
    </w:p>
    <w:p w:rsidR="00661888" w14:paraId="3BCFB889" w14:textId="77777777">
      <w:pPr>
        <w:ind w:left="720"/>
        <w:jc w:val="both"/>
        <w:rPr>
          <w:rFonts w:ascii="Arial" w:hAnsi="Arial"/>
          <w:sz w:val="24"/>
        </w:rPr>
      </w:pPr>
    </w:p>
    <w:p w:rsidR="00681D8C" w:rsidRPr="002F0312" w:rsidP="00A54DB6" w14:paraId="7DEEA490" w14:textId="77777777">
      <w:pPr>
        <w:numPr>
          <w:ilvl w:val="0"/>
          <w:numId w:val="4"/>
        </w:numPr>
        <w:ind w:hanging="270"/>
        <w:jc w:val="both"/>
        <w:rPr>
          <w:rFonts w:ascii="Arial" w:hAnsi="Arial" w:cs="Arial"/>
          <w:b/>
          <w:sz w:val="24"/>
          <w:szCs w:val="22"/>
        </w:rPr>
      </w:pPr>
      <w:r w:rsidRPr="002F0312">
        <w:rPr>
          <w:rFonts w:ascii="Arial" w:hAnsi="Arial" w:cs="Arial"/>
          <w:b/>
          <w:sz w:val="24"/>
          <w:szCs w:val="22"/>
        </w:rPr>
        <w:t>Cost Burden Calculation Factors</w:t>
      </w:r>
    </w:p>
    <w:p w:rsidR="00960583" w:rsidRPr="002F0312" w14:paraId="472C2EE2" w14:textId="74461D26">
      <w:pPr>
        <w:pStyle w:val="BodyTextIndent2"/>
        <w:rPr>
          <w:sz w:val="24"/>
        </w:rPr>
      </w:pPr>
      <w:r w:rsidRPr="002F0312">
        <w:rPr>
          <w:sz w:val="24"/>
        </w:rPr>
        <w:t>The USPTO</w:t>
      </w:r>
      <w:r w:rsidRPr="002F0312" w:rsidR="00013492">
        <w:rPr>
          <w:sz w:val="24"/>
        </w:rPr>
        <w:t xml:space="preserve"> expects that </w:t>
      </w:r>
      <w:r w:rsidRPr="002F0312" w:rsidR="00DB101B">
        <w:rPr>
          <w:sz w:val="24"/>
        </w:rPr>
        <w:t>patent</w:t>
      </w:r>
      <w:r w:rsidRPr="002F0312">
        <w:rPr>
          <w:sz w:val="24"/>
        </w:rPr>
        <w:t xml:space="preserve"> attorneys will</w:t>
      </w:r>
      <w:r w:rsidRPr="002F0312" w:rsidR="00013492">
        <w:rPr>
          <w:sz w:val="24"/>
        </w:rPr>
        <w:t xml:space="preserve"> be completing these surveys.  The USPTO uses a professional rate of $</w:t>
      </w:r>
      <w:r w:rsidRPr="002F0312" w:rsidR="00C032BE">
        <w:rPr>
          <w:sz w:val="24"/>
        </w:rPr>
        <w:t>4</w:t>
      </w:r>
      <w:r w:rsidR="00661888">
        <w:rPr>
          <w:sz w:val="24"/>
        </w:rPr>
        <w:t>47</w:t>
      </w:r>
      <w:r w:rsidRPr="002F0312" w:rsidR="00C032BE">
        <w:rPr>
          <w:sz w:val="24"/>
        </w:rPr>
        <w:t xml:space="preserve"> </w:t>
      </w:r>
      <w:r w:rsidRPr="002F0312" w:rsidR="00013492">
        <w:rPr>
          <w:sz w:val="24"/>
        </w:rPr>
        <w:t xml:space="preserve">per hour for the attorney respondent cost </w:t>
      </w:r>
      <w:r w:rsidRPr="002F0312" w:rsidR="00013492">
        <w:rPr>
          <w:sz w:val="24"/>
        </w:rPr>
        <w:t xml:space="preserve">burden calculations, which is the mean rate for attorneys in private firms as shown in the </w:t>
      </w:r>
      <w:r w:rsidRPr="002F0312" w:rsidR="00C032BE">
        <w:rPr>
          <w:i/>
          <w:sz w:val="24"/>
        </w:rPr>
        <w:t>20</w:t>
      </w:r>
      <w:r w:rsidRPr="002F0312" w:rsidR="001944BE">
        <w:rPr>
          <w:i/>
          <w:sz w:val="24"/>
        </w:rPr>
        <w:t>2</w:t>
      </w:r>
      <w:r w:rsidR="00661888">
        <w:rPr>
          <w:i/>
          <w:sz w:val="24"/>
        </w:rPr>
        <w:t>3</w:t>
      </w:r>
      <w:r w:rsidRPr="002F0312" w:rsidR="00C032BE">
        <w:rPr>
          <w:i/>
          <w:sz w:val="24"/>
        </w:rPr>
        <w:t xml:space="preserve"> </w:t>
      </w:r>
      <w:r w:rsidRPr="002F0312" w:rsidR="00013492">
        <w:rPr>
          <w:i/>
          <w:sz w:val="24"/>
        </w:rPr>
        <w:t>Report of the Economic Survey</w:t>
      </w:r>
      <w:r w:rsidRPr="002F0312" w:rsidR="00013492">
        <w:rPr>
          <w:sz w:val="24"/>
        </w:rPr>
        <w:t xml:space="preserve"> published by the American Intellectual Property Law Association (AIPLA).  </w:t>
      </w:r>
    </w:p>
    <w:p w:rsidR="00013492" w:rsidRPr="002F0312" w14:paraId="050F76A3" w14:textId="77777777">
      <w:pPr>
        <w:pStyle w:val="BodyTextIndent2"/>
        <w:rPr>
          <w:sz w:val="24"/>
        </w:rPr>
      </w:pPr>
    </w:p>
    <w:p w:rsidR="00661888" w:rsidRPr="002F0312" w14:paraId="7C658616" w14:textId="397523BF">
      <w:pPr>
        <w:pStyle w:val="BodyTextIndent2"/>
        <w:rPr>
          <w:sz w:val="24"/>
        </w:rPr>
      </w:pPr>
      <w:r w:rsidRPr="00661888">
        <w:rPr>
          <w:sz w:val="24"/>
        </w:rPr>
        <w:t>Using these hourly rates, the USPTO estimates that the total respondent cost burden for this information collection is $</w:t>
      </w:r>
      <w:r w:rsidRPr="007C1FCC" w:rsidR="007C1FCC">
        <w:rPr>
          <w:sz w:val="24"/>
        </w:rPr>
        <w:t>76,437</w:t>
      </w:r>
      <w:r w:rsidRPr="00661888">
        <w:rPr>
          <w:sz w:val="24"/>
        </w:rPr>
        <w:t xml:space="preserve"> per year.</w:t>
      </w:r>
      <w:r w:rsidR="00063B06">
        <w:rPr>
          <w:sz w:val="24"/>
        </w:rPr>
        <w:t xml:space="preserve"> </w:t>
      </w:r>
    </w:p>
    <w:p w:rsidR="009A0910" w14:paraId="14207E02" w14:textId="77777777">
      <w:pPr>
        <w:pStyle w:val="BodyTextIndent2"/>
      </w:pPr>
    </w:p>
    <w:p w:rsidR="009A0910" w:rsidRPr="00632FB6" w:rsidP="009A0910" w14:paraId="4CCFFEF2" w14:textId="49690378">
      <w:pPr>
        <w:keepNext/>
        <w:jc w:val="both"/>
        <w:outlineLvl w:val="4"/>
        <w:rPr>
          <w:rFonts w:ascii="Arial" w:hAnsi="Arial" w:cs="Arial"/>
          <w:b/>
          <w:bCs/>
        </w:rPr>
      </w:pPr>
      <w:r w:rsidRPr="00632FB6">
        <w:rPr>
          <w:rFonts w:ascii="Arial" w:hAnsi="Arial" w:cs="Arial"/>
          <w:b/>
        </w:rPr>
        <w:t xml:space="preserve">Table </w:t>
      </w:r>
      <w:r w:rsidR="006672E9">
        <w:rPr>
          <w:rFonts w:ascii="Arial" w:hAnsi="Arial" w:cs="Arial"/>
          <w:b/>
        </w:rPr>
        <w:t>3</w:t>
      </w:r>
      <w:r w:rsidRPr="00632FB6">
        <w:rPr>
          <w:rFonts w:ascii="Arial" w:hAnsi="Arial" w:cs="Arial"/>
          <w:b/>
        </w:rPr>
        <w:t xml:space="preserve">: </w:t>
      </w:r>
      <w:r w:rsidR="00661888">
        <w:rPr>
          <w:rFonts w:ascii="Arial" w:hAnsi="Arial" w:cs="Arial"/>
          <w:b/>
        </w:rPr>
        <w:t>Total Burden Hours and Hourly Costs to</w:t>
      </w:r>
      <w:r w:rsidRPr="00632FB6">
        <w:rPr>
          <w:rFonts w:ascii="Arial" w:hAnsi="Arial" w:cs="Arial"/>
          <w:b/>
        </w:rPr>
        <w:t xml:space="preserve"> Private Sector Respondents </w:t>
      </w:r>
    </w:p>
    <w:tbl>
      <w:tblPr>
        <w:tblStyle w:val="TableGrid11"/>
        <w:tblW w:w="5820" w:type="pct"/>
        <w:tblInd w:w="-815" w:type="dxa"/>
        <w:tblLayout w:type="fixed"/>
        <w:tblLook w:val="04A0"/>
      </w:tblPr>
      <w:tblGrid>
        <w:gridCol w:w="545"/>
        <w:gridCol w:w="2514"/>
        <w:gridCol w:w="1260"/>
        <w:gridCol w:w="1170"/>
        <w:gridCol w:w="1173"/>
        <w:gridCol w:w="987"/>
        <w:gridCol w:w="1175"/>
        <w:gridCol w:w="787"/>
        <w:gridCol w:w="1272"/>
      </w:tblGrid>
      <w:tr w14:paraId="14151067" w14:textId="77777777" w:rsidTr="00A54DB6">
        <w:tblPrEx>
          <w:tblW w:w="5820" w:type="pct"/>
          <w:tblInd w:w="-815" w:type="dxa"/>
          <w:tblLayout w:type="fixed"/>
          <w:tblLook w:val="04A0"/>
        </w:tblPrEx>
        <w:trPr>
          <w:cantSplit/>
        </w:trPr>
        <w:tc>
          <w:tcPr>
            <w:tcW w:w="546" w:type="dxa"/>
            <w:shd w:val="clear" w:color="auto" w:fill="B4C6E7" w:themeFill="accent5" w:themeFillTint="66"/>
          </w:tcPr>
          <w:p w:rsidR="00937526" w:rsidRPr="00937526" w:rsidP="00A54DB6" w14:paraId="4C33D21E" w14:textId="77777777">
            <w:pPr>
              <w:jc w:val="center"/>
              <w:rPr>
                <w:rFonts w:ascii="Arial" w:hAnsi="Arial" w:cs="Arial"/>
                <w:b/>
                <w:sz w:val="16"/>
                <w:szCs w:val="16"/>
              </w:rPr>
            </w:pPr>
            <w:r w:rsidRPr="00937526">
              <w:rPr>
                <w:rFonts w:ascii="Arial" w:hAnsi="Arial" w:cs="Arial"/>
                <w:b/>
                <w:sz w:val="16"/>
                <w:szCs w:val="16"/>
              </w:rPr>
              <w:t>Item No.</w:t>
            </w:r>
          </w:p>
          <w:p w:rsidR="00937526" w:rsidRPr="00937526" w:rsidP="00937526" w14:paraId="7B10B804" w14:textId="77777777">
            <w:pPr>
              <w:jc w:val="center"/>
              <w:rPr>
                <w:rFonts w:ascii="Arial" w:hAnsi="Arial" w:cs="Arial"/>
                <w:b/>
                <w:sz w:val="16"/>
                <w:szCs w:val="16"/>
              </w:rPr>
            </w:pPr>
          </w:p>
        </w:tc>
        <w:tc>
          <w:tcPr>
            <w:tcW w:w="2514" w:type="dxa"/>
            <w:shd w:val="clear" w:color="auto" w:fill="B4C6E7" w:themeFill="accent5" w:themeFillTint="66"/>
          </w:tcPr>
          <w:p w:rsidR="00937526" w:rsidRPr="00937526" w:rsidP="00937526" w14:paraId="4B70599A" w14:textId="77777777">
            <w:pPr>
              <w:jc w:val="center"/>
              <w:rPr>
                <w:rFonts w:ascii="Arial" w:hAnsi="Arial" w:cs="Arial"/>
                <w:b/>
                <w:sz w:val="16"/>
                <w:szCs w:val="16"/>
              </w:rPr>
            </w:pPr>
            <w:r w:rsidRPr="00937526">
              <w:rPr>
                <w:rFonts w:ascii="Arial" w:hAnsi="Arial" w:cs="Arial"/>
                <w:b/>
                <w:sz w:val="16"/>
                <w:szCs w:val="16"/>
              </w:rPr>
              <w:t>Item</w:t>
            </w:r>
          </w:p>
        </w:tc>
        <w:tc>
          <w:tcPr>
            <w:tcW w:w="1260" w:type="dxa"/>
            <w:shd w:val="clear" w:color="auto" w:fill="B4C6E7" w:themeFill="accent5" w:themeFillTint="66"/>
          </w:tcPr>
          <w:p w:rsidR="00937526" w:rsidRPr="00937526" w:rsidP="00937526" w14:paraId="302A555E" w14:textId="77777777">
            <w:pPr>
              <w:jc w:val="center"/>
              <w:rPr>
                <w:rFonts w:ascii="Arial" w:hAnsi="Arial" w:cs="Arial"/>
                <w:b/>
                <w:sz w:val="16"/>
                <w:szCs w:val="16"/>
              </w:rPr>
            </w:pPr>
            <w:r w:rsidRPr="00937526">
              <w:rPr>
                <w:rFonts w:ascii="Arial" w:hAnsi="Arial" w:cs="Arial"/>
                <w:b/>
                <w:sz w:val="16"/>
                <w:szCs w:val="16"/>
              </w:rPr>
              <w:t>Estimated Annual Respondents</w:t>
            </w:r>
          </w:p>
          <w:p w:rsidR="00937526" w:rsidRPr="00937526" w:rsidP="00A54DB6" w14:paraId="6F7EF692" w14:textId="77777777">
            <w:pPr>
              <w:rPr>
                <w:rFonts w:ascii="Arial" w:hAnsi="Arial" w:cs="Arial"/>
                <w:b/>
                <w:sz w:val="16"/>
                <w:szCs w:val="16"/>
              </w:rPr>
            </w:pPr>
          </w:p>
          <w:p w:rsidR="00937526" w:rsidRPr="00937526" w:rsidP="00937526" w14:paraId="74C643CF" w14:textId="77777777">
            <w:pPr>
              <w:jc w:val="center"/>
              <w:rPr>
                <w:rFonts w:ascii="Arial" w:hAnsi="Arial" w:cs="Arial"/>
                <w:b/>
                <w:sz w:val="16"/>
                <w:szCs w:val="16"/>
              </w:rPr>
            </w:pPr>
          </w:p>
          <w:p w:rsidR="00937526" w:rsidRPr="00937526" w:rsidP="00937526" w14:paraId="7524574E" w14:textId="77777777">
            <w:pPr>
              <w:jc w:val="center"/>
              <w:rPr>
                <w:rFonts w:ascii="Arial" w:hAnsi="Arial" w:cs="Arial"/>
                <w:b/>
                <w:sz w:val="16"/>
                <w:szCs w:val="16"/>
              </w:rPr>
            </w:pPr>
            <w:r w:rsidRPr="00937526">
              <w:rPr>
                <w:rFonts w:ascii="Arial" w:hAnsi="Arial" w:cs="Arial"/>
                <w:b/>
                <w:sz w:val="16"/>
                <w:szCs w:val="16"/>
              </w:rPr>
              <w:t>(a)</w:t>
            </w:r>
          </w:p>
        </w:tc>
        <w:tc>
          <w:tcPr>
            <w:tcW w:w="1170" w:type="dxa"/>
            <w:shd w:val="clear" w:color="auto" w:fill="B4C6E7" w:themeFill="accent5" w:themeFillTint="66"/>
          </w:tcPr>
          <w:p w:rsidR="00937526" w:rsidRPr="00937526" w:rsidP="00937526" w14:paraId="0E3635F6" w14:textId="77777777">
            <w:pPr>
              <w:jc w:val="center"/>
              <w:rPr>
                <w:rFonts w:ascii="Arial" w:hAnsi="Arial" w:cs="Arial"/>
                <w:b/>
                <w:sz w:val="16"/>
                <w:szCs w:val="16"/>
              </w:rPr>
            </w:pPr>
            <w:r w:rsidRPr="00937526">
              <w:rPr>
                <w:rFonts w:ascii="Arial" w:hAnsi="Arial" w:cs="Arial"/>
                <w:b/>
                <w:sz w:val="16"/>
                <w:szCs w:val="16"/>
              </w:rPr>
              <w:t>Responses per Respondent</w:t>
            </w:r>
          </w:p>
          <w:p w:rsidR="00937526" w:rsidRPr="00937526" w:rsidP="00A54DB6" w14:paraId="12FC7D97" w14:textId="77777777">
            <w:pPr>
              <w:rPr>
                <w:rFonts w:ascii="Arial" w:hAnsi="Arial" w:cs="Arial"/>
                <w:b/>
                <w:sz w:val="16"/>
                <w:szCs w:val="16"/>
              </w:rPr>
            </w:pPr>
          </w:p>
          <w:p w:rsidR="00937526" w:rsidRPr="00937526" w:rsidP="00937526" w14:paraId="7B6AB4C9" w14:textId="77777777">
            <w:pPr>
              <w:jc w:val="center"/>
              <w:rPr>
                <w:rFonts w:ascii="Arial" w:hAnsi="Arial" w:cs="Arial"/>
                <w:b/>
                <w:sz w:val="16"/>
                <w:szCs w:val="16"/>
              </w:rPr>
            </w:pPr>
          </w:p>
          <w:p w:rsidR="00937526" w:rsidRPr="00937526" w:rsidP="00937526" w14:paraId="47A6864B" w14:textId="77777777">
            <w:pPr>
              <w:jc w:val="center"/>
              <w:rPr>
                <w:rFonts w:ascii="Arial" w:hAnsi="Arial" w:cs="Arial"/>
                <w:b/>
                <w:sz w:val="16"/>
                <w:szCs w:val="16"/>
              </w:rPr>
            </w:pPr>
            <w:r w:rsidRPr="00937526">
              <w:rPr>
                <w:rFonts w:ascii="Arial" w:hAnsi="Arial" w:cs="Arial"/>
                <w:b/>
                <w:sz w:val="16"/>
                <w:szCs w:val="16"/>
              </w:rPr>
              <w:t>(b)</w:t>
            </w:r>
          </w:p>
        </w:tc>
        <w:tc>
          <w:tcPr>
            <w:tcW w:w="1173" w:type="dxa"/>
            <w:shd w:val="clear" w:color="auto" w:fill="B4C6E7" w:themeFill="accent5" w:themeFillTint="66"/>
          </w:tcPr>
          <w:p w:rsidR="00937526" w:rsidRPr="00937526" w:rsidP="00937526" w14:paraId="5A7ACE13" w14:textId="77777777">
            <w:pPr>
              <w:jc w:val="center"/>
              <w:rPr>
                <w:rFonts w:ascii="Arial" w:hAnsi="Arial" w:cs="Arial"/>
                <w:b/>
                <w:sz w:val="16"/>
                <w:szCs w:val="16"/>
              </w:rPr>
            </w:pPr>
            <w:r w:rsidRPr="00937526">
              <w:rPr>
                <w:rFonts w:ascii="Arial" w:hAnsi="Arial" w:cs="Arial"/>
                <w:b/>
                <w:sz w:val="16"/>
                <w:szCs w:val="16"/>
              </w:rPr>
              <w:t>Estimated Annual Responses</w:t>
            </w:r>
          </w:p>
          <w:p w:rsidR="00937526" w:rsidRPr="00937526" w:rsidP="00937526" w14:paraId="34409F25" w14:textId="77777777">
            <w:pPr>
              <w:jc w:val="center"/>
              <w:rPr>
                <w:rFonts w:ascii="Arial" w:hAnsi="Arial" w:cs="Arial"/>
                <w:b/>
                <w:sz w:val="16"/>
                <w:szCs w:val="16"/>
              </w:rPr>
            </w:pPr>
          </w:p>
          <w:p w:rsidR="00937526" w:rsidRPr="00937526" w:rsidP="00A54DB6" w14:paraId="0973DD5E" w14:textId="77777777">
            <w:pPr>
              <w:rPr>
                <w:rFonts w:ascii="Arial" w:hAnsi="Arial" w:cs="Arial"/>
                <w:b/>
                <w:sz w:val="16"/>
                <w:szCs w:val="16"/>
              </w:rPr>
            </w:pPr>
          </w:p>
          <w:p w:rsidR="00937526" w:rsidRPr="00937526" w:rsidP="00937526" w14:paraId="3D0003F0" w14:textId="77777777">
            <w:pPr>
              <w:jc w:val="center"/>
              <w:rPr>
                <w:rFonts w:ascii="Arial" w:hAnsi="Arial" w:cs="Arial"/>
                <w:b/>
                <w:sz w:val="16"/>
                <w:szCs w:val="16"/>
              </w:rPr>
            </w:pPr>
            <w:r w:rsidRPr="00937526">
              <w:rPr>
                <w:rFonts w:ascii="Arial" w:hAnsi="Arial" w:cs="Arial"/>
                <w:b/>
                <w:sz w:val="16"/>
                <w:szCs w:val="16"/>
              </w:rPr>
              <w:t>(a) x (b) = (c)</w:t>
            </w:r>
          </w:p>
        </w:tc>
        <w:tc>
          <w:tcPr>
            <w:tcW w:w="987" w:type="dxa"/>
            <w:shd w:val="clear" w:color="auto" w:fill="B4C6E7" w:themeFill="accent5" w:themeFillTint="66"/>
          </w:tcPr>
          <w:p w:rsidR="00937526" w:rsidRPr="00937526" w:rsidP="00937526" w14:paraId="44A3EF25" w14:textId="77777777">
            <w:pPr>
              <w:jc w:val="center"/>
              <w:rPr>
                <w:rFonts w:ascii="Arial" w:hAnsi="Arial" w:cs="Arial"/>
                <w:b/>
                <w:sz w:val="16"/>
                <w:szCs w:val="16"/>
              </w:rPr>
            </w:pPr>
            <w:r w:rsidRPr="00937526">
              <w:rPr>
                <w:rFonts w:ascii="Arial" w:hAnsi="Arial" w:cs="Arial"/>
                <w:b/>
                <w:sz w:val="16"/>
                <w:szCs w:val="16"/>
              </w:rPr>
              <w:t>Estimated Time for Response (hours)</w:t>
            </w:r>
          </w:p>
          <w:p w:rsidR="00937526" w:rsidRPr="00937526" w:rsidP="00A54DB6" w14:paraId="692D30FB" w14:textId="77777777">
            <w:pPr>
              <w:rPr>
                <w:rFonts w:ascii="Arial" w:hAnsi="Arial" w:cs="Arial"/>
                <w:b/>
                <w:sz w:val="16"/>
                <w:szCs w:val="16"/>
              </w:rPr>
            </w:pPr>
          </w:p>
          <w:p w:rsidR="00937526" w:rsidRPr="00937526" w:rsidP="00937526" w14:paraId="05BCFF01" w14:textId="77777777">
            <w:pPr>
              <w:jc w:val="center"/>
              <w:rPr>
                <w:rFonts w:ascii="Arial" w:hAnsi="Arial" w:cs="Arial"/>
                <w:b/>
                <w:sz w:val="16"/>
                <w:szCs w:val="16"/>
              </w:rPr>
            </w:pPr>
            <w:r w:rsidRPr="00937526">
              <w:rPr>
                <w:rFonts w:ascii="Arial" w:hAnsi="Arial" w:cs="Arial"/>
                <w:b/>
                <w:sz w:val="16"/>
                <w:szCs w:val="16"/>
              </w:rPr>
              <w:t>(d)</w:t>
            </w:r>
          </w:p>
        </w:tc>
        <w:tc>
          <w:tcPr>
            <w:tcW w:w="1175" w:type="dxa"/>
            <w:shd w:val="clear" w:color="auto" w:fill="B4C6E7" w:themeFill="accent5" w:themeFillTint="66"/>
          </w:tcPr>
          <w:p w:rsidR="00937526" w:rsidRPr="00937526" w:rsidP="00937526" w14:paraId="3E8F7978" w14:textId="77777777">
            <w:pPr>
              <w:jc w:val="center"/>
              <w:rPr>
                <w:rFonts w:ascii="Arial" w:hAnsi="Arial" w:cs="Arial"/>
                <w:b/>
                <w:sz w:val="16"/>
                <w:szCs w:val="16"/>
              </w:rPr>
            </w:pPr>
            <w:r w:rsidRPr="00937526">
              <w:rPr>
                <w:rFonts w:ascii="Arial" w:hAnsi="Arial" w:cs="Arial"/>
                <w:b/>
                <w:sz w:val="16"/>
                <w:szCs w:val="16"/>
              </w:rPr>
              <w:t>Estimated Burden (hour/year)</w:t>
            </w:r>
          </w:p>
          <w:p w:rsidR="00937526" w:rsidRPr="00937526" w:rsidP="00937526" w14:paraId="2133BB99" w14:textId="77777777">
            <w:pPr>
              <w:jc w:val="center"/>
              <w:rPr>
                <w:rFonts w:ascii="Arial" w:hAnsi="Arial" w:cs="Arial"/>
                <w:b/>
                <w:sz w:val="16"/>
                <w:szCs w:val="16"/>
              </w:rPr>
            </w:pPr>
          </w:p>
          <w:p w:rsidR="00937526" w:rsidRPr="00937526" w:rsidP="00A54DB6" w14:paraId="0D4D8AAE" w14:textId="77777777">
            <w:pPr>
              <w:rPr>
                <w:rFonts w:ascii="Arial" w:hAnsi="Arial" w:cs="Arial"/>
                <w:b/>
                <w:sz w:val="16"/>
                <w:szCs w:val="16"/>
              </w:rPr>
            </w:pPr>
          </w:p>
          <w:p w:rsidR="00937526" w:rsidRPr="00937526" w:rsidP="00937526" w14:paraId="72CDDF9E" w14:textId="77777777">
            <w:pPr>
              <w:jc w:val="center"/>
              <w:rPr>
                <w:rFonts w:ascii="Arial" w:hAnsi="Arial" w:cs="Arial"/>
                <w:b/>
                <w:sz w:val="16"/>
                <w:szCs w:val="16"/>
              </w:rPr>
            </w:pPr>
            <w:r w:rsidRPr="00937526">
              <w:rPr>
                <w:rFonts w:ascii="Arial" w:hAnsi="Arial" w:cs="Arial"/>
                <w:b/>
                <w:sz w:val="16"/>
                <w:szCs w:val="16"/>
              </w:rPr>
              <w:t>(c) x (d) = (e)</w:t>
            </w:r>
          </w:p>
        </w:tc>
        <w:tc>
          <w:tcPr>
            <w:tcW w:w="787" w:type="dxa"/>
            <w:shd w:val="clear" w:color="auto" w:fill="B4C6E7" w:themeFill="accent5" w:themeFillTint="66"/>
          </w:tcPr>
          <w:p w:rsidR="00937526" w:rsidRPr="00937526" w:rsidP="00937526" w14:paraId="5F08A942" w14:textId="77777777">
            <w:pPr>
              <w:jc w:val="center"/>
              <w:rPr>
                <w:rFonts w:ascii="Arial" w:hAnsi="Arial" w:cs="Arial"/>
                <w:b/>
                <w:sz w:val="16"/>
                <w:szCs w:val="16"/>
              </w:rPr>
            </w:pPr>
            <w:r w:rsidRPr="00937526">
              <w:rPr>
                <w:rFonts w:ascii="Arial" w:hAnsi="Arial" w:cs="Arial"/>
                <w:b/>
                <w:sz w:val="16"/>
                <w:szCs w:val="16"/>
              </w:rPr>
              <w:t>Rate</w:t>
            </w:r>
            <w:r>
              <w:rPr>
                <w:rFonts w:ascii="Arial" w:hAnsi="Arial" w:cs="Arial"/>
                <w:b/>
                <w:sz w:val="16"/>
                <w:szCs w:val="16"/>
                <w:vertAlign w:val="superscript"/>
              </w:rPr>
              <w:footnoteReference w:id="3"/>
            </w:r>
          </w:p>
          <w:p w:rsidR="00937526" w:rsidRPr="00937526" w:rsidP="00937526" w14:paraId="6A52225D" w14:textId="77777777">
            <w:pPr>
              <w:jc w:val="center"/>
              <w:rPr>
                <w:rFonts w:ascii="Arial" w:hAnsi="Arial" w:cs="Arial"/>
                <w:b/>
                <w:sz w:val="16"/>
                <w:szCs w:val="16"/>
              </w:rPr>
            </w:pPr>
          </w:p>
          <w:p w:rsidR="00937526" w:rsidRPr="00937526" w:rsidP="00937526" w14:paraId="6BFD3E5F" w14:textId="77777777">
            <w:pPr>
              <w:jc w:val="center"/>
              <w:rPr>
                <w:rFonts w:ascii="Arial" w:hAnsi="Arial" w:cs="Arial"/>
                <w:b/>
                <w:sz w:val="16"/>
                <w:szCs w:val="16"/>
              </w:rPr>
            </w:pPr>
          </w:p>
          <w:p w:rsidR="00937526" w:rsidRPr="00937526" w:rsidP="00937526" w14:paraId="6D4EB4A0" w14:textId="77777777">
            <w:pPr>
              <w:jc w:val="center"/>
              <w:rPr>
                <w:rFonts w:ascii="Arial" w:hAnsi="Arial" w:cs="Arial"/>
                <w:b/>
                <w:sz w:val="16"/>
                <w:szCs w:val="16"/>
              </w:rPr>
            </w:pPr>
          </w:p>
          <w:p w:rsidR="00937526" w:rsidRPr="00937526" w:rsidP="00A54DB6" w14:paraId="2C42A60F" w14:textId="77777777">
            <w:pPr>
              <w:rPr>
                <w:rFonts w:ascii="Arial" w:hAnsi="Arial" w:cs="Arial"/>
                <w:b/>
                <w:sz w:val="16"/>
                <w:szCs w:val="16"/>
              </w:rPr>
            </w:pPr>
          </w:p>
          <w:p w:rsidR="00937526" w:rsidRPr="00937526" w:rsidP="00937526" w14:paraId="13E964E5" w14:textId="77777777">
            <w:pPr>
              <w:jc w:val="center"/>
              <w:rPr>
                <w:rFonts w:ascii="Arial" w:hAnsi="Arial" w:cs="Arial"/>
                <w:b/>
                <w:sz w:val="16"/>
                <w:szCs w:val="16"/>
              </w:rPr>
            </w:pPr>
            <w:r w:rsidRPr="00937526">
              <w:rPr>
                <w:rFonts w:ascii="Arial" w:hAnsi="Arial" w:cs="Arial"/>
                <w:b/>
                <w:sz w:val="16"/>
                <w:szCs w:val="16"/>
              </w:rPr>
              <w:t>(f)</w:t>
            </w:r>
          </w:p>
        </w:tc>
        <w:tc>
          <w:tcPr>
            <w:tcW w:w="1272" w:type="dxa"/>
            <w:shd w:val="clear" w:color="auto" w:fill="B4C6E7" w:themeFill="accent5" w:themeFillTint="66"/>
          </w:tcPr>
          <w:p w:rsidR="00937526" w:rsidRPr="00937526" w:rsidP="00937526" w14:paraId="7BD057B1" w14:textId="77777777">
            <w:pPr>
              <w:jc w:val="center"/>
              <w:rPr>
                <w:rFonts w:ascii="Arial" w:hAnsi="Arial" w:cs="Arial"/>
                <w:b/>
                <w:sz w:val="16"/>
                <w:szCs w:val="16"/>
              </w:rPr>
            </w:pPr>
            <w:r w:rsidRPr="00937526">
              <w:rPr>
                <w:rFonts w:ascii="Arial" w:hAnsi="Arial" w:cs="Arial"/>
                <w:b/>
                <w:sz w:val="16"/>
                <w:szCs w:val="16"/>
              </w:rPr>
              <w:t>Estimated Annual Respondent  Cost Burden</w:t>
            </w:r>
          </w:p>
          <w:p w:rsidR="00937526" w:rsidRPr="00937526" w:rsidP="00A54DB6" w14:paraId="42E209A2" w14:textId="77777777">
            <w:pPr>
              <w:rPr>
                <w:rFonts w:ascii="Arial" w:hAnsi="Arial" w:cs="Arial"/>
                <w:b/>
                <w:sz w:val="16"/>
                <w:szCs w:val="16"/>
              </w:rPr>
            </w:pPr>
          </w:p>
          <w:p w:rsidR="00937526" w:rsidRPr="00937526" w:rsidP="00937526" w14:paraId="74985C2D" w14:textId="77777777">
            <w:pPr>
              <w:jc w:val="center"/>
              <w:rPr>
                <w:rFonts w:ascii="Arial" w:hAnsi="Arial" w:cs="Arial"/>
                <w:b/>
                <w:sz w:val="16"/>
                <w:szCs w:val="16"/>
              </w:rPr>
            </w:pPr>
            <w:r w:rsidRPr="00937526">
              <w:rPr>
                <w:rFonts w:ascii="Arial" w:hAnsi="Arial" w:cs="Arial"/>
                <w:b/>
                <w:sz w:val="16"/>
                <w:szCs w:val="16"/>
              </w:rPr>
              <w:t>(e) x (f) = (g)</w:t>
            </w:r>
          </w:p>
        </w:tc>
      </w:tr>
      <w:tr w14:paraId="123029EA" w14:textId="77777777" w:rsidTr="00B628EB">
        <w:tblPrEx>
          <w:tblW w:w="5820" w:type="pct"/>
          <w:tblInd w:w="-815" w:type="dxa"/>
          <w:tblLayout w:type="fixed"/>
          <w:tblLook w:val="04A0"/>
        </w:tblPrEx>
        <w:trPr>
          <w:cantSplit/>
        </w:trPr>
        <w:tc>
          <w:tcPr>
            <w:tcW w:w="546" w:type="dxa"/>
            <w:vAlign w:val="center"/>
          </w:tcPr>
          <w:p w:rsidR="00937526" w:rsidRPr="00937526" w:rsidP="00937526" w14:paraId="0723022F" w14:textId="77777777">
            <w:pPr>
              <w:jc w:val="center"/>
              <w:rPr>
                <w:rFonts w:ascii="Arial" w:hAnsi="Arial" w:cs="Arial"/>
                <w:b/>
                <w:sz w:val="16"/>
                <w:szCs w:val="16"/>
              </w:rPr>
            </w:pPr>
          </w:p>
          <w:p w:rsidR="00937526" w:rsidRPr="00937526" w:rsidP="00937526" w14:paraId="6517727B" w14:textId="77777777">
            <w:pPr>
              <w:jc w:val="center"/>
              <w:rPr>
                <w:rFonts w:ascii="Arial" w:hAnsi="Arial" w:cs="Arial"/>
                <w:b/>
                <w:sz w:val="16"/>
                <w:szCs w:val="16"/>
              </w:rPr>
            </w:pPr>
            <w:r w:rsidRPr="00937526">
              <w:rPr>
                <w:rFonts w:ascii="Arial" w:hAnsi="Arial" w:cs="Arial"/>
                <w:b/>
                <w:sz w:val="16"/>
                <w:szCs w:val="16"/>
              </w:rPr>
              <w:t>1</w:t>
            </w:r>
          </w:p>
          <w:p w:rsidR="00937526" w:rsidRPr="00937526" w:rsidP="00937526" w14:paraId="4F8FB55F" w14:textId="77777777">
            <w:pPr>
              <w:jc w:val="center"/>
              <w:rPr>
                <w:rFonts w:ascii="Arial" w:hAnsi="Arial" w:cs="Arial"/>
                <w:b/>
                <w:sz w:val="16"/>
                <w:szCs w:val="16"/>
              </w:rPr>
            </w:pPr>
          </w:p>
        </w:tc>
        <w:tc>
          <w:tcPr>
            <w:tcW w:w="2514" w:type="dxa"/>
            <w:vAlign w:val="center"/>
          </w:tcPr>
          <w:p w:rsidR="00EB097C" w:rsidP="00937526" w14:paraId="3AA4AED7" w14:textId="77777777">
            <w:pPr>
              <w:rPr>
                <w:rFonts w:ascii="Arial" w:hAnsi="Arial" w:cs="Arial"/>
                <w:sz w:val="16"/>
                <w:szCs w:val="16"/>
              </w:rPr>
            </w:pPr>
            <w:r w:rsidRPr="00937526">
              <w:rPr>
                <w:rFonts w:ascii="Arial" w:hAnsi="Arial" w:cs="Arial"/>
                <w:sz w:val="16"/>
                <w:szCs w:val="16"/>
              </w:rPr>
              <w:t xml:space="preserve">Patents External Quality Survey </w:t>
            </w:r>
          </w:p>
          <w:p w:rsidR="00EB097C" w:rsidP="00937526" w14:paraId="1D433BCE" w14:textId="77777777">
            <w:pPr>
              <w:rPr>
                <w:rFonts w:ascii="Arial" w:hAnsi="Arial" w:cs="Arial"/>
                <w:sz w:val="16"/>
                <w:szCs w:val="16"/>
              </w:rPr>
            </w:pPr>
          </w:p>
          <w:p w:rsidR="00937526" w:rsidRPr="00937526" w:rsidP="00937526" w14:paraId="572DCB70" w14:textId="5BF40004">
            <w:pPr>
              <w:rPr>
                <w:rFonts w:ascii="Arial" w:hAnsi="Arial" w:cs="Arial"/>
                <w:sz w:val="16"/>
                <w:szCs w:val="16"/>
              </w:rPr>
            </w:pPr>
            <w:r w:rsidRPr="00EB097C">
              <w:rPr>
                <w:rFonts w:ascii="Arial" w:hAnsi="Arial" w:cs="Arial"/>
                <w:sz w:val="16"/>
                <w:szCs w:val="16"/>
              </w:rPr>
              <w:t>(Holdover panel from previous year, surveyed once in Wave 1</w:t>
            </w:r>
            <w:r>
              <w:rPr>
                <w:rFonts w:ascii="Arial" w:hAnsi="Arial" w:cs="Arial"/>
                <w:sz w:val="16"/>
                <w:szCs w:val="16"/>
              </w:rPr>
              <w:t>)</w:t>
            </w:r>
          </w:p>
        </w:tc>
        <w:tc>
          <w:tcPr>
            <w:tcW w:w="1260" w:type="dxa"/>
            <w:vAlign w:val="center"/>
          </w:tcPr>
          <w:p w:rsidR="00937526" w:rsidRPr="00937526" w:rsidP="00937526" w14:paraId="12E25DEF" w14:textId="663E8F39">
            <w:pPr>
              <w:jc w:val="right"/>
              <w:rPr>
                <w:rFonts w:ascii="Arial" w:hAnsi="Arial" w:cs="Arial"/>
                <w:sz w:val="16"/>
                <w:szCs w:val="16"/>
              </w:rPr>
            </w:pPr>
            <w:r>
              <w:rPr>
                <w:rFonts w:ascii="Arial" w:hAnsi="Arial" w:cs="Arial"/>
                <w:sz w:val="16"/>
                <w:szCs w:val="16"/>
              </w:rPr>
              <w:t>250</w:t>
            </w:r>
          </w:p>
        </w:tc>
        <w:tc>
          <w:tcPr>
            <w:tcW w:w="1170" w:type="dxa"/>
            <w:vAlign w:val="center"/>
          </w:tcPr>
          <w:p w:rsidR="00937526" w:rsidRPr="00937526" w:rsidP="00937526" w14:paraId="113A4FED" w14:textId="77777777">
            <w:pPr>
              <w:jc w:val="right"/>
              <w:rPr>
                <w:rFonts w:ascii="Arial" w:hAnsi="Arial" w:cs="Arial"/>
                <w:sz w:val="16"/>
                <w:szCs w:val="16"/>
              </w:rPr>
            </w:pPr>
            <w:r w:rsidRPr="00937526">
              <w:rPr>
                <w:rFonts w:ascii="Arial" w:hAnsi="Arial" w:cs="Arial"/>
                <w:sz w:val="16"/>
                <w:szCs w:val="16"/>
              </w:rPr>
              <w:t>1</w:t>
            </w:r>
          </w:p>
        </w:tc>
        <w:tc>
          <w:tcPr>
            <w:tcW w:w="1173" w:type="dxa"/>
            <w:vAlign w:val="center"/>
          </w:tcPr>
          <w:p w:rsidR="00937526" w:rsidRPr="00937526" w:rsidP="00937526" w14:paraId="0518F01F" w14:textId="1FD0BF57">
            <w:pPr>
              <w:jc w:val="right"/>
              <w:rPr>
                <w:rFonts w:ascii="Arial" w:hAnsi="Arial" w:cs="Arial"/>
                <w:sz w:val="16"/>
                <w:szCs w:val="16"/>
              </w:rPr>
            </w:pPr>
            <w:r>
              <w:rPr>
                <w:rFonts w:ascii="Arial" w:hAnsi="Arial" w:cs="Arial"/>
                <w:sz w:val="16"/>
                <w:szCs w:val="16"/>
              </w:rPr>
              <w:t>250</w:t>
            </w:r>
          </w:p>
        </w:tc>
        <w:tc>
          <w:tcPr>
            <w:tcW w:w="987" w:type="dxa"/>
            <w:vAlign w:val="center"/>
          </w:tcPr>
          <w:p w:rsidR="00937526" w:rsidRPr="00937526" w:rsidP="00937526" w14:paraId="28C09181" w14:textId="77777777">
            <w:pPr>
              <w:jc w:val="right"/>
              <w:rPr>
                <w:rFonts w:ascii="Arial" w:hAnsi="Arial" w:cs="Arial"/>
                <w:sz w:val="16"/>
                <w:szCs w:val="16"/>
              </w:rPr>
            </w:pPr>
            <w:r w:rsidRPr="00937526">
              <w:rPr>
                <w:rFonts w:ascii="Arial" w:hAnsi="Arial" w:cs="Arial"/>
                <w:sz w:val="16"/>
                <w:szCs w:val="16"/>
              </w:rPr>
              <w:t>0.17 (10 minutes)</w:t>
            </w:r>
          </w:p>
        </w:tc>
        <w:tc>
          <w:tcPr>
            <w:tcW w:w="1175" w:type="dxa"/>
            <w:vAlign w:val="center"/>
          </w:tcPr>
          <w:p w:rsidR="00937526" w:rsidRPr="00937526" w:rsidP="00937526" w14:paraId="7E9ADD33" w14:textId="152010FA">
            <w:pPr>
              <w:jc w:val="right"/>
              <w:rPr>
                <w:rFonts w:ascii="Arial" w:hAnsi="Arial" w:cs="Arial"/>
                <w:sz w:val="16"/>
                <w:szCs w:val="16"/>
              </w:rPr>
            </w:pPr>
            <w:r>
              <w:rPr>
                <w:rFonts w:ascii="Arial" w:hAnsi="Arial" w:cs="Arial"/>
                <w:sz w:val="16"/>
                <w:szCs w:val="16"/>
              </w:rPr>
              <w:t>43</w:t>
            </w:r>
          </w:p>
        </w:tc>
        <w:tc>
          <w:tcPr>
            <w:tcW w:w="787" w:type="dxa"/>
            <w:vAlign w:val="center"/>
          </w:tcPr>
          <w:p w:rsidR="00937526" w:rsidRPr="00937526" w:rsidP="00937526" w14:paraId="1624D77B" w14:textId="50CC4A53">
            <w:pPr>
              <w:jc w:val="right"/>
              <w:rPr>
                <w:rFonts w:ascii="Arial" w:hAnsi="Arial" w:cs="Arial"/>
                <w:sz w:val="16"/>
                <w:szCs w:val="16"/>
              </w:rPr>
            </w:pPr>
            <w:r w:rsidRPr="00937526">
              <w:rPr>
                <w:rFonts w:ascii="Arial" w:hAnsi="Arial" w:cs="Arial"/>
                <w:sz w:val="16"/>
                <w:szCs w:val="16"/>
              </w:rPr>
              <w:t>$</w:t>
            </w:r>
            <w:r w:rsidRPr="00937526" w:rsidR="001968F9">
              <w:rPr>
                <w:rFonts w:ascii="Arial" w:hAnsi="Arial" w:cs="Arial"/>
                <w:sz w:val="16"/>
                <w:szCs w:val="16"/>
              </w:rPr>
              <w:t>4</w:t>
            </w:r>
            <w:r w:rsidR="001968F9">
              <w:rPr>
                <w:rFonts w:ascii="Arial" w:hAnsi="Arial" w:cs="Arial"/>
                <w:sz w:val="16"/>
                <w:szCs w:val="16"/>
              </w:rPr>
              <w:t>47</w:t>
            </w:r>
          </w:p>
        </w:tc>
        <w:tc>
          <w:tcPr>
            <w:tcW w:w="1272" w:type="dxa"/>
            <w:vAlign w:val="center"/>
          </w:tcPr>
          <w:p w:rsidR="00937526" w:rsidRPr="00937526" w:rsidP="00937526" w14:paraId="1E6B372B" w14:textId="208A0749">
            <w:pPr>
              <w:jc w:val="right"/>
              <w:rPr>
                <w:rFonts w:ascii="Arial" w:hAnsi="Arial" w:cs="Arial"/>
                <w:sz w:val="16"/>
                <w:szCs w:val="16"/>
              </w:rPr>
            </w:pPr>
            <w:r w:rsidRPr="00937526">
              <w:rPr>
                <w:rFonts w:ascii="Arial" w:hAnsi="Arial" w:cs="Arial"/>
                <w:sz w:val="16"/>
                <w:szCs w:val="16"/>
              </w:rPr>
              <w:t>$</w:t>
            </w:r>
            <w:r w:rsidRPr="007C1FCC" w:rsidR="007C1FCC">
              <w:rPr>
                <w:rFonts w:ascii="Arial" w:hAnsi="Arial" w:cs="Arial"/>
                <w:sz w:val="16"/>
                <w:szCs w:val="16"/>
              </w:rPr>
              <w:t>19,221</w:t>
            </w:r>
          </w:p>
        </w:tc>
      </w:tr>
      <w:tr w14:paraId="13D62E16" w14:textId="77777777" w:rsidTr="00B628EB">
        <w:tblPrEx>
          <w:tblW w:w="5820" w:type="pct"/>
          <w:tblInd w:w="-815" w:type="dxa"/>
          <w:tblLayout w:type="fixed"/>
          <w:tblLook w:val="04A0"/>
        </w:tblPrEx>
        <w:trPr>
          <w:cantSplit/>
        </w:trPr>
        <w:tc>
          <w:tcPr>
            <w:tcW w:w="546" w:type="dxa"/>
            <w:vAlign w:val="center"/>
          </w:tcPr>
          <w:p w:rsidR="00937526" w:rsidRPr="00937526" w:rsidP="00937526" w14:paraId="5CC4BFD0" w14:textId="77777777">
            <w:pPr>
              <w:jc w:val="center"/>
              <w:rPr>
                <w:rFonts w:ascii="Arial" w:hAnsi="Arial" w:cs="Arial"/>
                <w:b/>
                <w:sz w:val="16"/>
                <w:szCs w:val="16"/>
              </w:rPr>
            </w:pPr>
          </w:p>
          <w:p w:rsidR="00937526" w:rsidRPr="00937526" w:rsidP="00937526" w14:paraId="02FF652F" w14:textId="77777777">
            <w:pPr>
              <w:jc w:val="center"/>
              <w:rPr>
                <w:rFonts w:ascii="Arial" w:hAnsi="Arial" w:cs="Arial"/>
                <w:b/>
                <w:sz w:val="16"/>
                <w:szCs w:val="16"/>
              </w:rPr>
            </w:pPr>
            <w:r w:rsidRPr="00937526">
              <w:rPr>
                <w:rFonts w:ascii="Arial" w:hAnsi="Arial" w:cs="Arial"/>
                <w:b/>
                <w:sz w:val="16"/>
                <w:szCs w:val="16"/>
              </w:rPr>
              <w:t>2</w:t>
            </w:r>
          </w:p>
          <w:p w:rsidR="00937526" w:rsidRPr="00937526" w:rsidP="00937526" w14:paraId="1AD96EA7" w14:textId="77777777">
            <w:pPr>
              <w:jc w:val="center"/>
              <w:rPr>
                <w:rFonts w:ascii="Arial" w:hAnsi="Arial" w:cs="Arial"/>
                <w:b/>
                <w:sz w:val="16"/>
                <w:szCs w:val="16"/>
              </w:rPr>
            </w:pPr>
          </w:p>
        </w:tc>
        <w:tc>
          <w:tcPr>
            <w:tcW w:w="2514" w:type="dxa"/>
            <w:vAlign w:val="center"/>
          </w:tcPr>
          <w:p w:rsidR="00EB097C" w:rsidP="00937526" w14:paraId="13054AD5" w14:textId="77777777">
            <w:pPr>
              <w:rPr>
                <w:rFonts w:ascii="Arial" w:hAnsi="Arial" w:cs="Arial"/>
                <w:sz w:val="16"/>
                <w:szCs w:val="16"/>
              </w:rPr>
            </w:pPr>
            <w:r w:rsidRPr="00937526">
              <w:rPr>
                <w:rFonts w:ascii="Arial" w:hAnsi="Arial" w:cs="Arial"/>
                <w:sz w:val="16"/>
                <w:szCs w:val="16"/>
              </w:rPr>
              <w:t xml:space="preserve">Patents External Quality Survey </w:t>
            </w:r>
          </w:p>
          <w:p w:rsidR="00EB097C" w:rsidP="00937526" w14:paraId="27FBF395" w14:textId="77777777">
            <w:pPr>
              <w:rPr>
                <w:rFonts w:ascii="Arial" w:hAnsi="Arial" w:cs="Arial"/>
                <w:sz w:val="16"/>
                <w:szCs w:val="16"/>
              </w:rPr>
            </w:pPr>
          </w:p>
          <w:p w:rsidR="00937526" w:rsidRPr="00937526" w:rsidP="00937526" w14:paraId="2276C773" w14:textId="21747F16">
            <w:pPr>
              <w:rPr>
                <w:rFonts w:ascii="Arial" w:hAnsi="Arial" w:cs="Arial"/>
                <w:sz w:val="16"/>
                <w:szCs w:val="16"/>
              </w:rPr>
            </w:pPr>
            <w:r w:rsidRPr="00937526">
              <w:rPr>
                <w:rFonts w:ascii="Arial" w:hAnsi="Arial" w:cs="Arial"/>
                <w:sz w:val="16"/>
                <w:szCs w:val="16"/>
              </w:rPr>
              <w:t>(</w:t>
            </w:r>
            <w:r w:rsidRPr="00EB097C" w:rsidR="00EB097C">
              <w:rPr>
                <w:rFonts w:ascii="Arial" w:hAnsi="Arial" w:cs="Arial"/>
                <w:sz w:val="16"/>
                <w:szCs w:val="16"/>
              </w:rPr>
              <w:t xml:space="preserve">Present in Wave 1 and Wave </w:t>
            </w:r>
            <w:r w:rsidR="00EB097C">
              <w:rPr>
                <w:rFonts w:ascii="Arial" w:hAnsi="Arial" w:cs="Arial"/>
                <w:sz w:val="16"/>
                <w:szCs w:val="16"/>
              </w:rPr>
              <w:t xml:space="preserve">2 </w:t>
            </w:r>
            <w:r w:rsidRPr="00EB097C" w:rsidR="00EB097C">
              <w:rPr>
                <w:rFonts w:ascii="Arial" w:hAnsi="Arial" w:cs="Arial"/>
                <w:sz w:val="16"/>
                <w:szCs w:val="16"/>
              </w:rPr>
              <w:t xml:space="preserve">in </w:t>
            </w:r>
            <w:r w:rsidR="00EB097C">
              <w:rPr>
                <w:rFonts w:ascii="Arial" w:hAnsi="Arial" w:cs="Arial"/>
                <w:sz w:val="16"/>
                <w:szCs w:val="16"/>
              </w:rPr>
              <w:t>current</w:t>
            </w:r>
            <w:r w:rsidRPr="00EB097C" w:rsidR="00EB097C">
              <w:rPr>
                <w:rFonts w:ascii="Arial" w:hAnsi="Arial" w:cs="Arial"/>
                <w:sz w:val="16"/>
                <w:szCs w:val="16"/>
              </w:rPr>
              <w:t xml:space="preserve"> year)</w:t>
            </w:r>
          </w:p>
        </w:tc>
        <w:tc>
          <w:tcPr>
            <w:tcW w:w="1260" w:type="dxa"/>
            <w:vAlign w:val="center"/>
          </w:tcPr>
          <w:p w:rsidR="00937526" w:rsidRPr="00937526" w:rsidP="00937526" w14:paraId="41CE5BE5" w14:textId="5AA67D5D">
            <w:pPr>
              <w:jc w:val="right"/>
              <w:rPr>
                <w:rFonts w:ascii="Arial" w:hAnsi="Arial" w:cs="Arial"/>
                <w:sz w:val="16"/>
                <w:szCs w:val="16"/>
              </w:rPr>
            </w:pPr>
            <w:r>
              <w:rPr>
                <w:rFonts w:ascii="Arial" w:hAnsi="Arial" w:cs="Arial"/>
                <w:sz w:val="16"/>
                <w:szCs w:val="16"/>
              </w:rPr>
              <w:t>250</w:t>
            </w:r>
          </w:p>
        </w:tc>
        <w:tc>
          <w:tcPr>
            <w:tcW w:w="1170" w:type="dxa"/>
            <w:vAlign w:val="center"/>
          </w:tcPr>
          <w:p w:rsidR="00937526" w:rsidRPr="00937526" w:rsidP="00937526" w14:paraId="24A84738" w14:textId="77777777">
            <w:pPr>
              <w:widowControl w:val="0"/>
              <w:tabs>
                <w:tab w:val="left" w:pos="829"/>
              </w:tabs>
              <w:autoSpaceDE w:val="0"/>
              <w:autoSpaceDN w:val="0"/>
              <w:adjustRightInd w:val="0"/>
              <w:jc w:val="right"/>
              <w:rPr>
                <w:rFonts w:ascii="Arial" w:hAnsi="Arial" w:cs="Arial"/>
                <w:sz w:val="16"/>
                <w:szCs w:val="16"/>
              </w:rPr>
            </w:pPr>
            <w:r w:rsidRPr="00937526">
              <w:rPr>
                <w:rFonts w:ascii="Arial" w:hAnsi="Arial" w:cs="Arial"/>
                <w:sz w:val="16"/>
                <w:szCs w:val="16"/>
              </w:rPr>
              <w:t>2</w:t>
            </w:r>
          </w:p>
        </w:tc>
        <w:tc>
          <w:tcPr>
            <w:tcW w:w="1173" w:type="dxa"/>
            <w:vAlign w:val="center"/>
          </w:tcPr>
          <w:p w:rsidR="00937526" w:rsidRPr="00937526" w:rsidP="00937526" w14:paraId="66C0FFD1" w14:textId="4EDB4E38">
            <w:pPr>
              <w:jc w:val="right"/>
              <w:rPr>
                <w:rFonts w:ascii="Arial" w:hAnsi="Arial" w:cs="Arial"/>
                <w:sz w:val="16"/>
                <w:szCs w:val="16"/>
              </w:rPr>
            </w:pPr>
            <w:r>
              <w:rPr>
                <w:rFonts w:ascii="Arial" w:hAnsi="Arial" w:cs="Arial"/>
                <w:sz w:val="16"/>
                <w:szCs w:val="16"/>
              </w:rPr>
              <w:t>500</w:t>
            </w:r>
          </w:p>
        </w:tc>
        <w:tc>
          <w:tcPr>
            <w:tcW w:w="987" w:type="dxa"/>
            <w:vAlign w:val="center"/>
          </w:tcPr>
          <w:p w:rsidR="00937526" w:rsidRPr="00937526" w:rsidP="00937526" w14:paraId="1522D1EA" w14:textId="77777777">
            <w:pPr>
              <w:jc w:val="right"/>
              <w:rPr>
                <w:rFonts w:ascii="Arial" w:hAnsi="Arial" w:cs="Arial"/>
                <w:sz w:val="16"/>
                <w:szCs w:val="16"/>
              </w:rPr>
            </w:pPr>
            <w:r w:rsidRPr="00937526">
              <w:rPr>
                <w:rFonts w:ascii="Arial" w:hAnsi="Arial" w:cs="Arial"/>
                <w:sz w:val="16"/>
                <w:szCs w:val="16"/>
              </w:rPr>
              <w:t>0.17 (10 minutes)</w:t>
            </w:r>
          </w:p>
        </w:tc>
        <w:tc>
          <w:tcPr>
            <w:tcW w:w="1175" w:type="dxa"/>
            <w:vAlign w:val="center"/>
          </w:tcPr>
          <w:p w:rsidR="00937526" w:rsidRPr="00937526" w:rsidP="00937526" w14:paraId="73DBC171" w14:textId="7258E455">
            <w:pPr>
              <w:jc w:val="right"/>
              <w:rPr>
                <w:rFonts w:ascii="Arial" w:hAnsi="Arial" w:cs="Arial"/>
                <w:sz w:val="16"/>
                <w:szCs w:val="16"/>
              </w:rPr>
            </w:pPr>
            <w:r>
              <w:rPr>
                <w:rFonts w:ascii="Arial" w:hAnsi="Arial" w:cs="Arial"/>
                <w:sz w:val="16"/>
                <w:szCs w:val="16"/>
              </w:rPr>
              <w:t>85</w:t>
            </w:r>
          </w:p>
        </w:tc>
        <w:tc>
          <w:tcPr>
            <w:tcW w:w="787" w:type="dxa"/>
            <w:vAlign w:val="center"/>
          </w:tcPr>
          <w:p w:rsidR="00937526" w:rsidRPr="00937526" w:rsidP="00937526" w14:paraId="5098F82C" w14:textId="30489E07">
            <w:pPr>
              <w:jc w:val="right"/>
              <w:rPr>
                <w:rFonts w:ascii="Arial" w:hAnsi="Arial" w:cs="Arial"/>
                <w:sz w:val="16"/>
                <w:szCs w:val="16"/>
              </w:rPr>
            </w:pPr>
            <w:r w:rsidRPr="00937526">
              <w:rPr>
                <w:rFonts w:ascii="Arial" w:hAnsi="Arial" w:cs="Arial"/>
                <w:sz w:val="16"/>
                <w:szCs w:val="16"/>
              </w:rPr>
              <w:t>$</w:t>
            </w:r>
            <w:r w:rsidRPr="00937526" w:rsidR="001968F9">
              <w:rPr>
                <w:rFonts w:ascii="Arial" w:hAnsi="Arial" w:cs="Arial"/>
                <w:sz w:val="16"/>
                <w:szCs w:val="16"/>
              </w:rPr>
              <w:t>4</w:t>
            </w:r>
            <w:r w:rsidR="001968F9">
              <w:rPr>
                <w:rFonts w:ascii="Arial" w:hAnsi="Arial" w:cs="Arial"/>
                <w:sz w:val="16"/>
                <w:szCs w:val="16"/>
              </w:rPr>
              <w:t>47</w:t>
            </w:r>
          </w:p>
        </w:tc>
        <w:tc>
          <w:tcPr>
            <w:tcW w:w="1272" w:type="dxa"/>
            <w:vAlign w:val="center"/>
          </w:tcPr>
          <w:p w:rsidR="00937526" w:rsidRPr="00937526" w:rsidP="00937526" w14:paraId="17758E06" w14:textId="48493361">
            <w:pPr>
              <w:jc w:val="right"/>
              <w:rPr>
                <w:rFonts w:ascii="Arial" w:hAnsi="Arial" w:cs="Arial"/>
                <w:sz w:val="16"/>
                <w:szCs w:val="16"/>
              </w:rPr>
            </w:pPr>
            <w:r w:rsidRPr="00937526">
              <w:rPr>
                <w:rFonts w:ascii="Arial" w:hAnsi="Arial" w:cs="Arial"/>
                <w:sz w:val="16"/>
                <w:szCs w:val="16"/>
              </w:rPr>
              <w:t>$</w:t>
            </w:r>
            <w:r w:rsidRPr="007C1FCC" w:rsidR="007C1FCC">
              <w:rPr>
                <w:rFonts w:ascii="Arial" w:hAnsi="Arial" w:cs="Arial"/>
                <w:sz w:val="16"/>
                <w:szCs w:val="16"/>
              </w:rPr>
              <w:t>37,995</w:t>
            </w:r>
          </w:p>
        </w:tc>
      </w:tr>
      <w:tr w14:paraId="12B05ECC" w14:textId="77777777" w:rsidTr="00B628EB">
        <w:tblPrEx>
          <w:tblW w:w="5820" w:type="pct"/>
          <w:tblInd w:w="-815" w:type="dxa"/>
          <w:tblLayout w:type="fixed"/>
          <w:tblLook w:val="04A0"/>
        </w:tblPrEx>
        <w:trPr>
          <w:cantSplit/>
        </w:trPr>
        <w:tc>
          <w:tcPr>
            <w:tcW w:w="546" w:type="dxa"/>
            <w:vAlign w:val="center"/>
          </w:tcPr>
          <w:p w:rsidR="00A8585A" w:rsidRPr="00B8229E" w:rsidP="00A8585A" w14:paraId="1AB2B46C" w14:textId="77777777">
            <w:pPr>
              <w:jc w:val="center"/>
              <w:rPr>
                <w:rFonts w:ascii="Arial" w:hAnsi="Arial" w:cs="Arial"/>
                <w:b/>
                <w:sz w:val="16"/>
                <w:szCs w:val="16"/>
              </w:rPr>
            </w:pPr>
            <w:r w:rsidRPr="00B8229E">
              <w:rPr>
                <w:rFonts w:ascii="Arial" w:hAnsi="Arial" w:cs="Arial"/>
                <w:b/>
                <w:sz w:val="16"/>
                <w:szCs w:val="16"/>
              </w:rPr>
              <w:t>3</w:t>
            </w:r>
          </w:p>
        </w:tc>
        <w:tc>
          <w:tcPr>
            <w:tcW w:w="2514" w:type="dxa"/>
            <w:vAlign w:val="center"/>
          </w:tcPr>
          <w:p w:rsidR="00EB097C" w:rsidP="00A8585A" w14:paraId="5103FC64" w14:textId="77777777">
            <w:pPr>
              <w:rPr>
                <w:rFonts w:ascii="Arial" w:hAnsi="Arial" w:cs="Arial"/>
                <w:sz w:val="16"/>
                <w:szCs w:val="16"/>
              </w:rPr>
            </w:pPr>
            <w:r w:rsidRPr="00B8229E">
              <w:rPr>
                <w:rFonts w:ascii="Arial" w:hAnsi="Arial" w:cs="Arial"/>
                <w:sz w:val="16"/>
                <w:szCs w:val="16"/>
              </w:rPr>
              <w:t xml:space="preserve">Patents External Quality Survey </w:t>
            </w:r>
          </w:p>
          <w:p w:rsidR="00EB097C" w:rsidP="00A8585A" w14:paraId="2AAD346D" w14:textId="77777777">
            <w:pPr>
              <w:rPr>
                <w:rFonts w:ascii="Arial" w:hAnsi="Arial" w:cs="Arial"/>
                <w:sz w:val="16"/>
                <w:szCs w:val="16"/>
              </w:rPr>
            </w:pPr>
          </w:p>
          <w:p w:rsidR="00A8585A" w:rsidRPr="00B8229E" w:rsidP="00A8585A" w14:paraId="54C05013" w14:textId="5BB58B61">
            <w:pPr>
              <w:rPr>
                <w:rFonts w:ascii="Arial" w:hAnsi="Arial" w:cs="Arial"/>
                <w:sz w:val="16"/>
                <w:szCs w:val="16"/>
              </w:rPr>
            </w:pPr>
            <w:r w:rsidRPr="00EB097C">
              <w:rPr>
                <w:rFonts w:ascii="Arial" w:hAnsi="Arial" w:cs="Arial"/>
                <w:sz w:val="16"/>
                <w:szCs w:val="16"/>
              </w:rPr>
              <w:t>(New panel in current year, surveyed once in Wave 2</w:t>
            </w:r>
            <w:r>
              <w:rPr>
                <w:rFonts w:ascii="Arial" w:hAnsi="Arial" w:cs="Arial"/>
                <w:sz w:val="16"/>
                <w:szCs w:val="16"/>
              </w:rPr>
              <w:t>)</w:t>
            </w:r>
          </w:p>
        </w:tc>
        <w:tc>
          <w:tcPr>
            <w:tcW w:w="1260" w:type="dxa"/>
            <w:vAlign w:val="center"/>
          </w:tcPr>
          <w:p w:rsidR="00A8585A" w:rsidRPr="00B8229E" w:rsidP="00A8585A" w14:paraId="70CCD59F" w14:textId="5EB0ED3D">
            <w:pPr>
              <w:jc w:val="right"/>
              <w:rPr>
                <w:rFonts w:ascii="Arial" w:hAnsi="Arial" w:cs="Arial"/>
                <w:sz w:val="16"/>
                <w:szCs w:val="16"/>
              </w:rPr>
            </w:pPr>
            <w:r>
              <w:rPr>
                <w:rFonts w:ascii="Arial" w:hAnsi="Arial" w:cs="Arial"/>
                <w:sz w:val="16"/>
                <w:szCs w:val="16"/>
              </w:rPr>
              <w:t>250</w:t>
            </w:r>
          </w:p>
        </w:tc>
        <w:tc>
          <w:tcPr>
            <w:tcW w:w="1170" w:type="dxa"/>
            <w:vAlign w:val="center"/>
          </w:tcPr>
          <w:p w:rsidR="00A8585A" w:rsidRPr="00B8229E" w:rsidP="00A8585A" w14:paraId="7D2C241A" w14:textId="77777777">
            <w:pPr>
              <w:widowControl w:val="0"/>
              <w:tabs>
                <w:tab w:val="left" w:pos="829"/>
              </w:tabs>
              <w:autoSpaceDE w:val="0"/>
              <w:autoSpaceDN w:val="0"/>
              <w:adjustRightInd w:val="0"/>
              <w:jc w:val="right"/>
              <w:rPr>
                <w:rFonts w:ascii="Arial" w:hAnsi="Arial" w:cs="Arial"/>
                <w:sz w:val="16"/>
                <w:szCs w:val="16"/>
              </w:rPr>
            </w:pPr>
            <w:r w:rsidRPr="00B8229E">
              <w:rPr>
                <w:rFonts w:ascii="Arial" w:hAnsi="Arial" w:cs="Arial"/>
                <w:sz w:val="16"/>
                <w:szCs w:val="16"/>
              </w:rPr>
              <w:t>1</w:t>
            </w:r>
          </w:p>
        </w:tc>
        <w:tc>
          <w:tcPr>
            <w:tcW w:w="1173" w:type="dxa"/>
            <w:vAlign w:val="center"/>
          </w:tcPr>
          <w:p w:rsidR="00A8585A" w:rsidRPr="00B8229E" w:rsidP="00A8585A" w14:paraId="2171F6A7" w14:textId="448A37AB">
            <w:pPr>
              <w:jc w:val="right"/>
              <w:rPr>
                <w:rFonts w:ascii="Arial" w:hAnsi="Arial" w:cs="Arial"/>
                <w:sz w:val="16"/>
                <w:szCs w:val="16"/>
              </w:rPr>
            </w:pPr>
            <w:r>
              <w:rPr>
                <w:rFonts w:ascii="Arial" w:hAnsi="Arial" w:cs="Arial"/>
                <w:sz w:val="16"/>
                <w:szCs w:val="16"/>
              </w:rPr>
              <w:t>250</w:t>
            </w:r>
          </w:p>
        </w:tc>
        <w:tc>
          <w:tcPr>
            <w:tcW w:w="987" w:type="dxa"/>
            <w:vAlign w:val="center"/>
          </w:tcPr>
          <w:p w:rsidR="00A8585A" w:rsidRPr="00B8229E" w:rsidP="00A8585A" w14:paraId="2C102C3A" w14:textId="1227F435">
            <w:pPr>
              <w:jc w:val="right"/>
              <w:rPr>
                <w:rFonts w:ascii="Arial" w:hAnsi="Arial" w:cs="Arial"/>
                <w:sz w:val="16"/>
                <w:szCs w:val="16"/>
              </w:rPr>
            </w:pPr>
            <w:r w:rsidRPr="00937526">
              <w:rPr>
                <w:rFonts w:ascii="Arial" w:hAnsi="Arial" w:cs="Arial"/>
                <w:sz w:val="16"/>
                <w:szCs w:val="16"/>
              </w:rPr>
              <w:t>0.17 (10 minutes)</w:t>
            </w:r>
          </w:p>
        </w:tc>
        <w:tc>
          <w:tcPr>
            <w:tcW w:w="1175" w:type="dxa"/>
            <w:vAlign w:val="center"/>
          </w:tcPr>
          <w:p w:rsidR="00A8585A" w:rsidRPr="00B8229E" w:rsidP="00A8585A" w14:paraId="037D7275" w14:textId="21D04702">
            <w:pPr>
              <w:jc w:val="right"/>
              <w:rPr>
                <w:rFonts w:ascii="Arial" w:hAnsi="Arial" w:cs="Arial"/>
                <w:sz w:val="16"/>
                <w:szCs w:val="16"/>
              </w:rPr>
            </w:pPr>
            <w:r>
              <w:rPr>
                <w:rFonts w:ascii="Arial" w:hAnsi="Arial" w:cs="Arial"/>
                <w:sz w:val="16"/>
                <w:szCs w:val="16"/>
              </w:rPr>
              <w:t>43</w:t>
            </w:r>
          </w:p>
        </w:tc>
        <w:tc>
          <w:tcPr>
            <w:tcW w:w="787" w:type="dxa"/>
            <w:vAlign w:val="center"/>
          </w:tcPr>
          <w:p w:rsidR="00A8585A" w:rsidRPr="00B8229E" w:rsidP="00A8585A" w14:paraId="7E9CAD9E" w14:textId="66DF1E4E">
            <w:pPr>
              <w:jc w:val="right"/>
              <w:rPr>
                <w:rFonts w:ascii="Arial" w:hAnsi="Arial" w:cs="Arial"/>
                <w:sz w:val="16"/>
                <w:szCs w:val="16"/>
              </w:rPr>
            </w:pPr>
            <w:r w:rsidRPr="00B8229E">
              <w:rPr>
                <w:rFonts w:ascii="Arial" w:hAnsi="Arial" w:cs="Arial"/>
                <w:sz w:val="16"/>
                <w:szCs w:val="16"/>
              </w:rPr>
              <w:t>$447</w:t>
            </w:r>
          </w:p>
        </w:tc>
        <w:tc>
          <w:tcPr>
            <w:tcW w:w="1272" w:type="dxa"/>
            <w:vAlign w:val="center"/>
          </w:tcPr>
          <w:p w:rsidR="00A8585A" w:rsidRPr="00B8229E" w:rsidP="00A8585A" w14:paraId="5BBD92AA" w14:textId="4E40E294">
            <w:pPr>
              <w:jc w:val="right"/>
              <w:rPr>
                <w:rFonts w:ascii="Arial" w:hAnsi="Arial" w:cs="Arial"/>
                <w:sz w:val="16"/>
                <w:szCs w:val="16"/>
              </w:rPr>
            </w:pPr>
            <w:r w:rsidRPr="00B8229E">
              <w:rPr>
                <w:rFonts w:ascii="Arial" w:hAnsi="Arial" w:cs="Arial"/>
                <w:sz w:val="16"/>
                <w:szCs w:val="16"/>
              </w:rPr>
              <w:t>$</w:t>
            </w:r>
            <w:r w:rsidRPr="007C1FCC" w:rsidR="007C1FCC">
              <w:rPr>
                <w:rFonts w:ascii="Arial" w:hAnsi="Arial" w:cs="Arial"/>
                <w:sz w:val="16"/>
                <w:szCs w:val="16"/>
              </w:rPr>
              <w:t>19,221</w:t>
            </w:r>
          </w:p>
        </w:tc>
      </w:tr>
      <w:tr w14:paraId="4D51208B" w14:textId="77777777" w:rsidTr="00B628EB">
        <w:tblPrEx>
          <w:tblW w:w="5820" w:type="pct"/>
          <w:tblInd w:w="-815" w:type="dxa"/>
          <w:tblLayout w:type="fixed"/>
          <w:tblLook w:val="04A0"/>
        </w:tblPrEx>
        <w:trPr>
          <w:cantSplit/>
        </w:trPr>
        <w:tc>
          <w:tcPr>
            <w:tcW w:w="546" w:type="dxa"/>
            <w:vAlign w:val="center"/>
          </w:tcPr>
          <w:p w:rsidR="00A8585A" w:rsidRPr="00937526" w:rsidP="00A8585A" w14:paraId="13318630" w14:textId="77777777">
            <w:pPr>
              <w:jc w:val="center"/>
              <w:rPr>
                <w:rFonts w:ascii="Arial" w:hAnsi="Arial" w:cs="Arial"/>
                <w:b/>
                <w:sz w:val="16"/>
                <w:szCs w:val="16"/>
              </w:rPr>
            </w:pPr>
          </w:p>
          <w:p w:rsidR="00A8585A" w:rsidRPr="00937526" w:rsidP="00A8585A" w14:paraId="6DF59D40" w14:textId="77777777">
            <w:pPr>
              <w:jc w:val="center"/>
              <w:rPr>
                <w:rFonts w:ascii="Arial" w:hAnsi="Arial" w:cs="Arial"/>
                <w:b/>
                <w:sz w:val="16"/>
                <w:szCs w:val="16"/>
              </w:rPr>
            </w:pPr>
          </w:p>
          <w:p w:rsidR="00A8585A" w:rsidRPr="00937526" w:rsidP="00A8585A" w14:paraId="029E9AD6" w14:textId="77777777">
            <w:pPr>
              <w:jc w:val="center"/>
              <w:rPr>
                <w:rFonts w:ascii="Arial" w:hAnsi="Arial" w:cs="Arial"/>
                <w:b/>
                <w:sz w:val="16"/>
                <w:szCs w:val="16"/>
              </w:rPr>
            </w:pPr>
          </w:p>
        </w:tc>
        <w:tc>
          <w:tcPr>
            <w:tcW w:w="2514" w:type="dxa"/>
            <w:vAlign w:val="center"/>
          </w:tcPr>
          <w:p w:rsidR="00A8585A" w:rsidRPr="00937526" w:rsidP="00A8585A" w14:paraId="19A6BD84" w14:textId="52DCA575">
            <w:pPr>
              <w:rPr>
                <w:rFonts w:ascii="Arial" w:hAnsi="Arial" w:cs="Arial"/>
                <w:b/>
                <w:sz w:val="16"/>
                <w:szCs w:val="16"/>
              </w:rPr>
            </w:pPr>
            <w:r w:rsidRPr="00937526">
              <w:rPr>
                <w:rFonts w:ascii="Arial" w:hAnsi="Arial" w:cs="Arial"/>
                <w:b/>
                <w:sz w:val="16"/>
                <w:szCs w:val="16"/>
              </w:rPr>
              <w:t>Total</w:t>
            </w:r>
            <w:r>
              <w:rPr>
                <w:rFonts w:ascii="Arial" w:hAnsi="Arial" w:cs="Arial"/>
                <w:b/>
                <w:sz w:val="16"/>
                <w:szCs w:val="16"/>
              </w:rPr>
              <w:t>s</w:t>
            </w:r>
          </w:p>
        </w:tc>
        <w:tc>
          <w:tcPr>
            <w:tcW w:w="1260" w:type="dxa"/>
            <w:vAlign w:val="center"/>
          </w:tcPr>
          <w:p w:rsidR="00A8585A" w:rsidRPr="00A8585A" w:rsidP="00A8585A" w14:paraId="2CC12628" w14:textId="6D0F92E0">
            <w:pPr>
              <w:jc w:val="right"/>
              <w:rPr>
                <w:rFonts w:ascii="Arial" w:hAnsi="Arial" w:cs="Arial"/>
                <w:b/>
                <w:sz w:val="16"/>
                <w:szCs w:val="16"/>
              </w:rPr>
            </w:pPr>
            <w:r>
              <w:rPr>
                <w:rFonts w:ascii="Arial" w:hAnsi="Arial" w:cs="Arial"/>
                <w:b/>
                <w:sz w:val="16"/>
                <w:szCs w:val="16"/>
              </w:rPr>
              <w:t>750</w:t>
            </w:r>
          </w:p>
        </w:tc>
        <w:tc>
          <w:tcPr>
            <w:tcW w:w="1170" w:type="dxa"/>
            <w:vAlign w:val="center"/>
          </w:tcPr>
          <w:p w:rsidR="00A8585A" w:rsidRPr="00937526" w:rsidP="00A8585A" w14:paraId="08E195AA" w14:textId="0BB1FB1F">
            <w:pPr>
              <w:jc w:val="right"/>
              <w:rPr>
                <w:rFonts w:ascii="Arial" w:hAnsi="Arial" w:cs="Arial"/>
                <w:b/>
                <w:sz w:val="16"/>
                <w:szCs w:val="16"/>
              </w:rPr>
            </w:pP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p>
        </w:tc>
        <w:tc>
          <w:tcPr>
            <w:tcW w:w="1173" w:type="dxa"/>
            <w:vAlign w:val="center"/>
          </w:tcPr>
          <w:p w:rsidR="00A8585A" w:rsidRPr="00937526" w:rsidP="00A8585A" w14:paraId="51375906" w14:textId="78923062">
            <w:pPr>
              <w:jc w:val="right"/>
              <w:rPr>
                <w:rFonts w:ascii="Arial" w:hAnsi="Arial" w:cs="Arial"/>
                <w:b/>
                <w:sz w:val="16"/>
                <w:szCs w:val="16"/>
              </w:rPr>
            </w:pPr>
            <w:r>
              <w:rPr>
                <w:rFonts w:ascii="Arial" w:hAnsi="Arial" w:cs="Arial"/>
                <w:b/>
                <w:sz w:val="16"/>
                <w:szCs w:val="16"/>
              </w:rPr>
              <w:t>1</w:t>
            </w:r>
            <w:r w:rsidRPr="00937526">
              <w:rPr>
                <w:rFonts w:ascii="Arial" w:hAnsi="Arial" w:cs="Arial"/>
                <w:b/>
                <w:sz w:val="16"/>
                <w:szCs w:val="16"/>
              </w:rPr>
              <w:t>,</w:t>
            </w:r>
            <w:r w:rsidR="009E5F81">
              <w:rPr>
                <w:rFonts w:ascii="Arial" w:hAnsi="Arial" w:cs="Arial"/>
                <w:b/>
                <w:sz w:val="16"/>
                <w:szCs w:val="16"/>
              </w:rPr>
              <w:t>000</w:t>
            </w:r>
          </w:p>
        </w:tc>
        <w:tc>
          <w:tcPr>
            <w:tcW w:w="987" w:type="dxa"/>
            <w:vAlign w:val="center"/>
          </w:tcPr>
          <w:p w:rsidR="00A8585A" w:rsidRPr="00937526" w:rsidP="00A8585A" w14:paraId="535F12D8" w14:textId="5E9BA36F">
            <w:pPr>
              <w:jc w:val="right"/>
              <w:rPr>
                <w:rFonts w:ascii="Arial" w:hAnsi="Arial" w:cs="Arial"/>
                <w:b/>
                <w:sz w:val="16"/>
                <w:szCs w:val="16"/>
              </w:rPr>
            </w:pP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p>
        </w:tc>
        <w:tc>
          <w:tcPr>
            <w:tcW w:w="1175" w:type="dxa"/>
            <w:vAlign w:val="center"/>
          </w:tcPr>
          <w:p w:rsidR="00A8585A" w:rsidRPr="00937526" w:rsidP="00A8585A" w14:paraId="0162D63E" w14:textId="29B62C6B">
            <w:pPr>
              <w:jc w:val="right"/>
              <w:rPr>
                <w:rFonts w:ascii="Arial" w:hAnsi="Arial" w:cs="Arial"/>
                <w:b/>
                <w:sz w:val="16"/>
                <w:szCs w:val="16"/>
              </w:rPr>
            </w:pPr>
            <w:r w:rsidRPr="007C1FCC">
              <w:rPr>
                <w:rFonts w:ascii="Arial" w:hAnsi="Arial" w:cs="Arial"/>
                <w:b/>
                <w:sz w:val="16"/>
                <w:szCs w:val="16"/>
              </w:rPr>
              <w:t>171</w:t>
            </w:r>
          </w:p>
        </w:tc>
        <w:tc>
          <w:tcPr>
            <w:tcW w:w="787" w:type="dxa"/>
            <w:vAlign w:val="center"/>
          </w:tcPr>
          <w:p w:rsidR="00A8585A" w:rsidRPr="00937526" w:rsidP="00A8585A" w14:paraId="47C1BFF8" w14:textId="22565CF3">
            <w:pPr>
              <w:jc w:val="right"/>
              <w:rPr>
                <w:rFonts w:ascii="Arial" w:hAnsi="Arial" w:cs="Arial"/>
                <w:b/>
                <w:sz w:val="16"/>
                <w:szCs w:val="16"/>
              </w:rPr>
            </w:pP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p>
        </w:tc>
        <w:tc>
          <w:tcPr>
            <w:tcW w:w="1272" w:type="dxa"/>
            <w:vAlign w:val="center"/>
          </w:tcPr>
          <w:p w:rsidR="00A8585A" w:rsidRPr="00937526" w:rsidP="00A8585A" w14:paraId="6EEE76D1" w14:textId="4CD2C66F">
            <w:pPr>
              <w:jc w:val="right"/>
              <w:rPr>
                <w:rFonts w:ascii="Arial" w:hAnsi="Arial" w:cs="Arial"/>
                <w:b/>
                <w:sz w:val="16"/>
                <w:szCs w:val="16"/>
              </w:rPr>
            </w:pPr>
            <w:r w:rsidRPr="00937526">
              <w:rPr>
                <w:rFonts w:ascii="Arial" w:hAnsi="Arial" w:cs="Arial"/>
                <w:b/>
                <w:sz w:val="16"/>
                <w:szCs w:val="16"/>
              </w:rPr>
              <w:t>$</w:t>
            </w:r>
            <w:r w:rsidRPr="007C1FCC" w:rsidR="007C1FCC">
              <w:rPr>
                <w:rFonts w:ascii="Arial" w:hAnsi="Arial" w:cs="Arial"/>
                <w:b/>
                <w:sz w:val="16"/>
                <w:szCs w:val="16"/>
              </w:rPr>
              <w:t>76,437</w:t>
            </w:r>
          </w:p>
        </w:tc>
      </w:tr>
    </w:tbl>
    <w:p w:rsidR="0099732F" w14:paraId="0A7D28B8" w14:textId="77777777">
      <w:pPr>
        <w:rPr>
          <w:rFonts w:ascii="Arial" w:hAnsi="Arial"/>
          <w:sz w:val="24"/>
        </w:rPr>
      </w:pPr>
    </w:p>
    <w:p w:rsidR="00C62EAE" w:rsidRPr="001D603D" w:rsidP="00A54DB6" w14:paraId="7E8FDFA0" w14:textId="76BD37C3">
      <w:pPr>
        <w:ind w:left="360" w:hanging="360"/>
        <w:jc w:val="both"/>
        <w:rPr>
          <w:rFonts w:ascii="Arial" w:hAnsi="Arial" w:cs="Arial"/>
          <w:b/>
          <w:sz w:val="24"/>
          <w:szCs w:val="24"/>
          <w:lang w:val="en-GB"/>
        </w:rPr>
      </w:pPr>
      <w:r>
        <w:rPr>
          <w:rFonts w:ascii="Arial" w:hAnsi="Arial"/>
          <w:b/>
          <w:sz w:val="24"/>
        </w:rPr>
        <w:t>13.</w:t>
      </w:r>
      <w:r>
        <w:rPr>
          <w:rFonts w:ascii="Arial" w:hAnsi="Arial"/>
          <w:b/>
          <w:sz w:val="24"/>
        </w:rPr>
        <w:tab/>
      </w:r>
      <w:bookmarkStart w:id="4" w:name="_Hlk82672492"/>
      <w:r w:rsidRPr="001D603D">
        <w:rPr>
          <w:rFonts w:ascii="Arial" w:hAnsi="Arial" w:cs="Arial"/>
          <w:b/>
          <w:sz w:val="24"/>
          <w:szCs w:val="24"/>
          <w:lang w:val="en-GB"/>
        </w:rPr>
        <w:t>Provide an estimate for the total annual cost burden to respondents or record keepers resulting from the collection of information. (Do not include the cost of any hour burden already reflected on the burden worksheet).</w:t>
      </w:r>
    </w:p>
    <w:p w:rsidR="00C62EAE" w:rsidRPr="001D603D" w:rsidP="00A54DB6" w14:paraId="7082F396" w14:textId="77777777">
      <w:pPr>
        <w:numPr>
          <w:ilvl w:val="0"/>
          <w:numId w:val="28"/>
        </w:numPr>
        <w:tabs>
          <w:tab w:val="clear" w:pos="720"/>
        </w:tabs>
        <w:ind w:left="630" w:hanging="270"/>
        <w:jc w:val="both"/>
        <w:rPr>
          <w:rFonts w:ascii="Arial" w:hAnsi="Arial" w:cs="Arial"/>
          <w:b/>
          <w:sz w:val="24"/>
          <w:szCs w:val="24"/>
        </w:rPr>
      </w:pPr>
      <w:r w:rsidRPr="00E3728A">
        <w:rPr>
          <w:rFonts w:ascii="Arial" w:hAnsi="Arial" w:cs="Arial"/>
          <w:b/>
          <w:sz w:val="24"/>
          <w:szCs w:val="24"/>
        </w:rPr>
        <w:t>The cost estimate should be split into two components: (a) a total capital and start-up cost component (annualized over its expected useful life) and (b) a total operation and maintenance and purchase of services com</w:t>
      </w:r>
      <w:r w:rsidRPr="006009F5">
        <w:rPr>
          <w:rFonts w:ascii="Arial" w:hAnsi="Arial" w:cs="Arial"/>
          <w:b/>
          <w:sz w:val="24"/>
          <w:szCs w:val="24"/>
        </w:rPr>
        <w:t>ponent. The estimates should take into account costs associated with generating, maintaining, and disclosing or providing the information. Include descriptions of methods used to estimate major cost factors including system and technology acquisition, expe</w:t>
      </w:r>
      <w:r w:rsidRPr="001D603D">
        <w:rPr>
          <w:rFonts w:ascii="Arial" w:hAnsi="Arial" w:cs="Arial"/>
          <w:b/>
          <w:sz w:val="24"/>
          <w:szCs w:val="24"/>
        </w:rPr>
        <w:t>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62EAE" w:rsidRPr="001D603D" w:rsidP="00A54DB6" w14:paraId="6AC7A213" w14:textId="77777777">
      <w:pPr>
        <w:numPr>
          <w:ilvl w:val="0"/>
          <w:numId w:val="28"/>
        </w:numPr>
        <w:tabs>
          <w:tab w:val="clear" w:pos="720"/>
        </w:tabs>
        <w:ind w:left="630" w:hanging="270"/>
        <w:jc w:val="both"/>
        <w:rPr>
          <w:rFonts w:ascii="Arial" w:hAnsi="Arial" w:cs="Arial"/>
          <w:b/>
          <w:sz w:val="24"/>
          <w:szCs w:val="24"/>
        </w:rPr>
      </w:pPr>
      <w:r w:rsidRPr="001D603D">
        <w:rPr>
          <w:rFonts w:ascii="Arial" w:hAnsi="Arial" w:cs="Arial"/>
          <w:b/>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w:t>
      </w:r>
      <w:r w:rsidRPr="001D603D">
        <w:rPr>
          <w:rFonts w:ascii="Arial" w:hAnsi="Arial" w:cs="Arial"/>
          <w:b/>
          <w:sz w:val="24"/>
          <w:szCs w:val="24"/>
        </w:rPr>
        <w:t>the 60-day pre-OMB submission public comment process and use existing economic or regulatory impact analysis associated with the rulemaking containing the information collection, as appropriate.</w:t>
      </w:r>
    </w:p>
    <w:bookmarkEnd w:id="4"/>
    <w:p w:rsidR="005823F2" w14:paraId="779A2844" w14:textId="77777777">
      <w:pPr>
        <w:rPr>
          <w:rFonts w:ascii="Arial" w:hAnsi="Arial"/>
          <w:sz w:val="24"/>
        </w:rPr>
      </w:pPr>
    </w:p>
    <w:p w:rsidR="00F23A46" w14:paraId="7007C365" w14:textId="204E8CFF">
      <w:pPr>
        <w:pStyle w:val="BodyText2"/>
      </w:pPr>
      <w:r>
        <w:t xml:space="preserve">There are </w:t>
      </w:r>
      <w:r w:rsidR="00DB101B">
        <w:t xml:space="preserve">no </w:t>
      </w:r>
      <w:r w:rsidR="00FD546A">
        <w:t xml:space="preserve">annual non-hour costs associated with this information collection.   </w:t>
      </w:r>
      <w:r>
        <w:t>Respondents do not need to submit filing fees with these surveys.</w:t>
      </w:r>
      <w:r w:rsidR="00FD546A">
        <w:t xml:space="preserve"> The USPTO covers the costs of all survey materials </w:t>
      </w:r>
      <w:r>
        <w:t xml:space="preserve">so there </w:t>
      </w:r>
      <w:r w:rsidR="00FF336A">
        <w:t>is</w:t>
      </w:r>
      <w:r>
        <w:t xml:space="preserve"> no postage cost associated with this information collection. Therefore, this information collection does not impose any additional annual non-hour costs on the respondent.</w:t>
      </w:r>
    </w:p>
    <w:p w:rsidR="00F23A46" w14:paraId="74DFDBEB" w14:textId="77777777">
      <w:pPr>
        <w:pStyle w:val="BodyText2"/>
      </w:pPr>
    </w:p>
    <w:p w:rsidR="005823F2" w:rsidP="00A54DB6" w14:paraId="4B04CBAB" w14:textId="5F098E17">
      <w:pPr>
        <w:ind w:left="360" w:hanging="360"/>
        <w:jc w:val="both"/>
        <w:rPr>
          <w:rFonts w:ascii="Arial" w:hAnsi="Arial"/>
          <w:sz w:val="24"/>
        </w:rPr>
      </w:pPr>
      <w:r w:rsidRPr="003C4EFB">
        <w:rPr>
          <w:rFonts w:ascii="Arial" w:hAnsi="Arial"/>
          <w:b/>
          <w:sz w:val="24"/>
        </w:rPr>
        <w:t>14.</w:t>
      </w:r>
      <w:r w:rsidRPr="003C4EFB">
        <w:rPr>
          <w:rFonts w:ascii="Arial" w:hAnsi="Arial"/>
          <w:b/>
          <w:sz w:val="24"/>
        </w:rPr>
        <w:tab/>
      </w:r>
      <w:r w:rsidRPr="001D603D" w:rsidR="00C62EAE">
        <w:rPr>
          <w:rFonts w:ascii="Arial" w:hAnsi="Arial" w:cs="Arial"/>
          <w:b/>
          <w:bCs/>
          <w:sz w:val="24"/>
        </w:rPr>
        <w:t xml:space="preserve">Provide estimates of annualized costs to the </w:t>
      </w:r>
      <w:r w:rsidR="00EA1488">
        <w:rPr>
          <w:rFonts w:ascii="Arial" w:hAnsi="Arial" w:cs="Arial"/>
          <w:b/>
          <w:bCs/>
          <w:sz w:val="24"/>
        </w:rPr>
        <w:t>f</w:t>
      </w:r>
      <w:r w:rsidRPr="001D603D" w:rsidR="00C62EAE">
        <w:rPr>
          <w:rFonts w:ascii="Arial" w:hAnsi="Arial" w:cs="Arial"/>
          <w:b/>
          <w:bCs/>
          <w:sz w:val="24"/>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823F2" w14:paraId="12063E5C" w14:textId="77777777">
      <w:pPr>
        <w:jc w:val="both"/>
        <w:rPr>
          <w:rFonts w:ascii="Arial" w:hAnsi="Arial"/>
          <w:sz w:val="24"/>
        </w:rPr>
      </w:pPr>
    </w:p>
    <w:p w:rsidR="003C4EFB" w14:paraId="1492FDBB" w14:textId="26012340">
      <w:pPr>
        <w:jc w:val="both"/>
        <w:rPr>
          <w:rFonts w:ascii="Arial" w:hAnsi="Arial"/>
          <w:sz w:val="24"/>
        </w:rPr>
      </w:pPr>
      <w:r>
        <w:rPr>
          <w:rFonts w:ascii="Arial" w:hAnsi="Arial"/>
          <w:sz w:val="24"/>
        </w:rPr>
        <w:t xml:space="preserve">The USPTO </w:t>
      </w:r>
      <w:r w:rsidR="00EA1488">
        <w:rPr>
          <w:rFonts w:ascii="Arial" w:hAnsi="Arial"/>
          <w:sz w:val="24"/>
        </w:rPr>
        <w:t>uses</w:t>
      </w:r>
      <w:r>
        <w:rPr>
          <w:rFonts w:ascii="Arial" w:hAnsi="Arial"/>
          <w:sz w:val="24"/>
        </w:rPr>
        <w:t xml:space="preserve"> a contractor to conduct the </w:t>
      </w:r>
      <w:r w:rsidR="00EA1488">
        <w:rPr>
          <w:rFonts w:ascii="Arial" w:hAnsi="Arial"/>
          <w:sz w:val="24"/>
        </w:rPr>
        <w:t>survey</w:t>
      </w:r>
      <w:r>
        <w:rPr>
          <w:rFonts w:ascii="Arial" w:hAnsi="Arial"/>
          <w:sz w:val="24"/>
        </w:rPr>
        <w:t xml:space="preserve">, </w:t>
      </w:r>
      <w:r w:rsidR="00EA1488">
        <w:rPr>
          <w:rFonts w:ascii="Arial" w:hAnsi="Arial"/>
          <w:sz w:val="24"/>
        </w:rPr>
        <w:t>and therefore</w:t>
      </w:r>
      <w:r>
        <w:rPr>
          <w:rFonts w:ascii="Arial" w:hAnsi="Arial"/>
          <w:sz w:val="24"/>
        </w:rPr>
        <w:t xml:space="preserve"> is not conducted or processed by USPTO personnel. The USPTO estimates that the contractor </w:t>
      </w:r>
      <w:r>
        <w:rPr>
          <w:rFonts w:ascii="Arial" w:hAnsi="Arial"/>
          <w:sz w:val="24"/>
        </w:rPr>
        <w:t>Westat</w:t>
      </w:r>
      <w:r>
        <w:rPr>
          <w:rFonts w:ascii="Arial" w:hAnsi="Arial"/>
          <w:sz w:val="24"/>
        </w:rPr>
        <w:t xml:space="preserve"> will spend about $</w:t>
      </w:r>
      <w:r w:rsidR="003A4071">
        <w:rPr>
          <w:rFonts w:ascii="Arial" w:hAnsi="Arial"/>
          <w:sz w:val="24"/>
        </w:rPr>
        <w:t>1</w:t>
      </w:r>
      <w:r w:rsidR="007131EF">
        <w:rPr>
          <w:rFonts w:ascii="Arial" w:hAnsi="Arial"/>
          <w:sz w:val="24"/>
        </w:rPr>
        <w:t>66</w:t>
      </w:r>
      <w:r w:rsidR="003A4071">
        <w:rPr>
          <w:rFonts w:ascii="Arial" w:hAnsi="Arial"/>
          <w:sz w:val="24"/>
        </w:rPr>
        <w:t>,</w:t>
      </w:r>
      <w:r w:rsidR="007131EF">
        <w:rPr>
          <w:rFonts w:ascii="Arial" w:hAnsi="Arial"/>
          <w:sz w:val="24"/>
        </w:rPr>
        <w:t>3</w:t>
      </w:r>
      <w:r w:rsidR="001D0782">
        <w:rPr>
          <w:rFonts w:ascii="Arial" w:hAnsi="Arial"/>
          <w:sz w:val="24"/>
        </w:rPr>
        <w:t>18</w:t>
      </w:r>
      <w:r w:rsidR="004250AB">
        <w:rPr>
          <w:rFonts w:ascii="Arial" w:hAnsi="Arial"/>
          <w:sz w:val="24"/>
        </w:rPr>
        <w:t xml:space="preserve"> </w:t>
      </w:r>
      <w:r>
        <w:rPr>
          <w:rFonts w:ascii="Arial" w:hAnsi="Arial"/>
          <w:sz w:val="24"/>
        </w:rPr>
        <w:t>per wave of data collection, or $</w:t>
      </w:r>
      <w:r w:rsidR="00A90543">
        <w:rPr>
          <w:rFonts w:ascii="Arial" w:hAnsi="Arial"/>
          <w:sz w:val="24"/>
        </w:rPr>
        <w:t>3</w:t>
      </w:r>
      <w:r w:rsidR="007131EF">
        <w:rPr>
          <w:rFonts w:ascii="Arial" w:hAnsi="Arial"/>
          <w:sz w:val="24"/>
        </w:rPr>
        <w:t>32</w:t>
      </w:r>
      <w:r w:rsidR="00A90543">
        <w:rPr>
          <w:rFonts w:ascii="Arial" w:hAnsi="Arial"/>
          <w:sz w:val="24"/>
        </w:rPr>
        <w:t>,</w:t>
      </w:r>
      <w:r w:rsidR="007131EF">
        <w:rPr>
          <w:rFonts w:ascii="Arial" w:hAnsi="Arial"/>
          <w:sz w:val="24"/>
        </w:rPr>
        <w:t>6</w:t>
      </w:r>
      <w:r w:rsidR="001D0782">
        <w:rPr>
          <w:rFonts w:ascii="Arial" w:hAnsi="Arial"/>
          <w:sz w:val="24"/>
        </w:rPr>
        <w:t>37</w:t>
      </w:r>
      <w:r>
        <w:rPr>
          <w:rFonts w:ascii="Arial" w:hAnsi="Arial"/>
          <w:sz w:val="24"/>
        </w:rPr>
        <w:t xml:space="preserve"> </w:t>
      </w:r>
      <w:r>
        <w:rPr>
          <w:rFonts w:ascii="Arial" w:hAnsi="Arial"/>
          <w:sz w:val="24"/>
        </w:rPr>
        <w:t>per year. These costs include developing, conducting, and processing the survey.</w:t>
      </w:r>
      <w:r w:rsidR="00D84174">
        <w:rPr>
          <w:rFonts w:ascii="Arial" w:hAnsi="Arial"/>
          <w:sz w:val="24"/>
        </w:rPr>
        <w:t xml:space="preserve"> </w:t>
      </w:r>
      <w:r>
        <w:rPr>
          <w:rFonts w:ascii="Arial" w:hAnsi="Arial"/>
          <w:sz w:val="24"/>
        </w:rPr>
        <w:t>This estimate includes various tasks such as processing the related survey correspondence, performing data entry tasks, sampling, analyzing the data gathered, and preparing reports on the findings.  This estimate also includes all labor</w:t>
      </w:r>
      <w:r>
        <w:rPr>
          <w:rFonts w:ascii="Arial" w:hAnsi="Arial"/>
          <w:sz w:val="24"/>
        </w:rPr>
        <w:t xml:space="preserve"> costs and other direct costs. </w:t>
      </w:r>
    </w:p>
    <w:p w:rsidR="00044A36" w14:paraId="661CAC26" w14:textId="77777777">
      <w:pPr>
        <w:jc w:val="both"/>
        <w:rPr>
          <w:rFonts w:ascii="Arial" w:hAnsi="Arial"/>
          <w:sz w:val="24"/>
        </w:rPr>
      </w:pPr>
    </w:p>
    <w:p w:rsidR="005823F2" w:rsidRPr="00410E7E" w:rsidP="00A54DB6" w14:paraId="75051700" w14:textId="74FA156F">
      <w:pPr>
        <w:tabs>
          <w:tab w:val="left" w:pos="-1152"/>
        </w:tabs>
        <w:autoSpaceDE w:val="0"/>
        <w:autoSpaceDN w:val="0"/>
        <w:adjustRightInd w:val="0"/>
        <w:ind w:left="360" w:hanging="360"/>
        <w:contextualSpacing/>
        <w:jc w:val="both"/>
        <w:rPr>
          <w:rFonts w:ascii="Arial" w:hAnsi="Arial" w:cs="Arial"/>
          <w:b/>
          <w:bCs/>
          <w:sz w:val="24"/>
        </w:rPr>
      </w:pPr>
      <w:r>
        <w:rPr>
          <w:rFonts w:ascii="Arial" w:hAnsi="Arial"/>
          <w:b/>
          <w:sz w:val="24"/>
        </w:rPr>
        <w:t>15.</w:t>
      </w:r>
      <w:r>
        <w:rPr>
          <w:rFonts w:ascii="Arial" w:hAnsi="Arial"/>
          <w:b/>
          <w:sz w:val="24"/>
        </w:rPr>
        <w:tab/>
      </w:r>
      <w:bookmarkStart w:id="5" w:name="_Hlk82672636"/>
      <w:r w:rsidRPr="001D603D" w:rsidR="00C62EAE">
        <w:rPr>
          <w:rFonts w:ascii="Arial" w:hAnsi="Arial" w:cs="Arial"/>
          <w:b/>
          <w:bCs/>
          <w:sz w:val="24"/>
        </w:rPr>
        <w:t>Explain the reasons for any program changes or adjustments reported on the burden worksheet.</w:t>
      </w:r>
      <w:bookmarkEnd w:id="5"/>
    </w:p>
    <w:p w:rsidR="005823F2" w14:paraId="5F505C1A" w14:textId="77777777">
      <w:pPr>
        <w:jc w:val="both"/>
        <w:rPr>
          <w:rFonts w:ascii="Arial" w:hAnsi="Arial"/>
          <w:b/>
          <w:sz w:val="24"/>
        </w:rPr>
      </w:pPr>
    </w:p>
    <w:p w:rsidR="00EA1488" w:rsidRPr="00164C92" w:rsidP="00EA1488" w14:paraId="5D0CE74B" w14:textId="3E285E07">
      <w:pPr>
        <w:pStyle w:val="NoSpacing"/>
        <w:jc w:val="both"/>
        <w:rPr>
          <w:rFonts w:ascii="Arial" w:hAnsi="Arial" w:cs="Arial"/>
          <w:b/>
          <w:sz w:val="20"/>
          <w:szCs w:val="20"/>
        </w:rPr>
      </w:pPr>
      <w:bookmarkStart w:id="6" w:name="_Hlk166673648"/>
      <w:bookmarkStart w:id="7" w:name="_Hlk167110940"/>
      <w:r w:rsidRPr="000179EF">
        <w:rPr>
          <w:rFonts w:ascii="Arial" w:hAnsi="Arial" w:cs="Arial"/>
          <w:b/>
          <w:sz w:val="20"/>
          <w:szCs w:val="20"/>
        </w:rPr>
        <w:t xml:space="preserve">Table </w:t>
      </w:r>
      <w:r w:rsidR="006672E9">
        <w:rPr>
          <w:rFonts w:ascii="Arial" w:hAnsi="Arial" w:cs="Arial"/>
          <w:b/>
          <w:sz w:val="20"/>
          <w:szCs w:val="20"/>
        </w:rPr>
        <w:t>4</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4CFD7291" w14:textId="77777777" w:rsidTr="00BD596D">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cantSplit/>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6"/>
          <w:p w:rsidR="00EA1488" w:rsidRPr="00792B37" w:rsidP="00D72526" w14:paraId="53120A40"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A1488" w:rsidRPr="00792B37" w:rsidP="00D72526" w14:paraId="76202991"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A1488" w:rsidRPr="00792B37" w:rsidP="00D72526" w14:paraId="4AE7843B"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A1488" w:rsidRPr="00792B37" w:rsidP="00D72526" w14:paraId="2EC89C48"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A1488" w:rsidRPr="00792B37" w:rsidP="00D72526" w14:paraId="61204F9E"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A1488" w:rsidRPr="00792B37" w:rsidP="00D72526" w14:paraId="2F9B5BF5"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A1488" w:rsidRPr="00792B37" w:rsidP="00D72526" w14:paraId="76238DA2"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Previously Approved</w:t>
            </w:r>
          </w:p>
        </w:tc>
      </w:tr>
      <w:tr w14:paraId="1E20368C" w14:textId="77777777" w:rsidTr="00BD596D">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3221021D" w14:textId="77777777">
            <w:pPr>
              <w:spacing w:line="225" w:lineRule="atLeast"/>
              <w:rPr>
                <w:rFonts w:ascii="Arial" w:hAnsi="Arial" w:cs="Arial"/>
                <w:color w:val="56606F"/>
                <w:sz w:val="16"/>
                <w:szCs w:val="16"/>
              </w:rPr>
            </w:pPr>
            <w:r w:rsidRPr="00792B37">
              <w:rPr>
                <w:rFonts w:ascii="Arial" w:hAnsi="Arial" w:cs="Arial"/>
                <w:color w:val="56606F"/>
                <w:sz w:val="16"/>
                <w:szCs w:val="16"/>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375AD96B" w14:textId="5CC03634">
            <w:pPr>
              <w:spacing w:line="225" w:lineRule="atLeast"/>
              <w:rPr>
                <w:rFonts w:ascii="Arial" w:hAnsi="Arial" w:cs="Arial"/>
                <w:sz w:val="16"/>
                <w:szCs w:val="16"/>
              </w:rPr>
            </w:pPr>
            <w:r w:rsidRPr="00792B37">
              <w:rPr>
                <w:rFonts w:ascii="Arial" w:hAnsi="Arial" w:cs="Arial"/>
                <w:sz w:val="16"/>
                <w:szCs w:val="16"/>
              </w:rPr>
              <w:t>1,000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3353B144" w14:textId="77777777">
            <w:pPr>
              <w:spacing w:line="225" w:lineRule="atLeast"/>
              <w:rPr>
                <w:rFonts w:ascii="Arial" w:hAnsi="Arial" w:cs="Arial"/>
                <w:sz w:val="16"/>
                <w:szCs w:val="16"/>
              </w:rPr>
            </w:pPr>
            <w:r w:rsidRPr="00792B37">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2CC45DEA" w14:textId="47522CFF">
            <w:pPr>
              <w:spacing w:line="225" w:lineRule="atLeast"/>
              <w:rPr>
                <w:rFonts w:ascii="Arial" w:hAnsi="Arial" w:cs="Arial"/>
                <w:sz w:val="16"/>
                <w:szCs w:val="16"/>
              </w:rPr>
            </w:pPr>
            <w:r w:rsidRPr="00792B37">
              <w:rPr>
                <w:rFonts w:ascii="Arial" w:hAnsi="Arial" w:cs="Arial"/>
                <w:sz w:val="16"/>
                <w:szCs w:val="16"/>
              </w:rPr>
              <w:t xml:space="preserve">  </w:t>
            </w:r>
            <w:r w:rsidRPr="00792B37" w:rsidR="00EF1E84">
              <w:rPr>
                <w:rFonts w:ascii="Arial" w:hAnsi="Arial" w:cs="Arial"/>
                <w:sz w:val="16"/>
                <w:szCs w:val="16"/>
              </w:rPr>
              <w:t>-600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0453962E" w14:textId="72212215">
            <w:pPr>
              <w:spacing w:line="225" w:lineRule="atLeast"/>
              <w:rPr>
                <w:rFonts w:ascii="Arial" w:hAnsi="Arial" w:cs="Arial"/>
                <w:sz w:val="16"/>
                <w:szCs w:val="16"/>
              </w:rPr>
            </w:pPr>
            <w:r w:rsidRPr="00792B37">
              <w:rPr>
                <w:rFonts w:ascii="Arial" w:hAnsi="Arial" w:cs="Arial"/>
                <w:sz w:val="16"/>
                <w:szCs w:val="16"/>
              </w:rPr>
              <w:t>-1,500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15B510B8" w14:textId="77777777">
            <w:pPr>
              <w:spacing w:line="225" w:lineRule="atLeast"/>
              <w:rPr>
                <w:rFonts w:ascii="Arial" w:hAnsi="Arial" w:cs="Arial"/>
                <w:sz w:val="16"/>
                <w:szCs w:val="16"/>
              </w:rPr>
            </w:pPr>
            <w:r w:rsidRPr="00792B37">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5E4F2A8C" w14:textId="0C47674D">
            <w:pPr>
              <w:spacing w:line="225" w:lineRule="atLeast"/>
              <w:rPr>
                <w:rFonts w:ascii="Arial" w:hAnsi="Arial" w:cs="Arial"/>
                <w:sz w:val="16"/>
                <w:szCs w:val="16"/>
              </w:rPr>
            </w:pPr>
            <w:r w:rsidRPr="00792B37">
              <w:rPr>
                <w:rFonts w:ascii="Arial" w:hAnsi="Arial" w:cs="Arial"/>
                <w:sz w:val="16"/>
                <w:szCs w:val="16"/>
              </w:rPr>
              <w:t>3,100</w:t>
            </w:r>
          </w:p>
        </w:tc>
      </w:tr>
      <w:tr w14:paraId="76D49326" w14:textId="77777777" w:rsidTr="00BD596D">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54D94BBC" w14:textId="77777777">
            <w:pPr>
              <w:spacing w:line="225" w:lineRule="atLeast"/>
              <w:rPr>
                <w:rFonts w:ascii="Arial" w:hAnsi="Arial" w:cs="Arial"/>
                <w:color w:val="56606F"/>
                <w:sz w:val="16"/>
                <w:szCs w:val="16"/>
              </w:rPr>
            </w:pPr>
            <w:r w:rsidRPr="00792B37">
              <w:rPr>
                <w:rFonts w:ascii="Arial" w:hAnsi="Arial" w:cs="Arial"/>
                <w:color w:val="56606F"/>
                <w:sz w:val="16"/>
                <w:szCs w:val="16"/>
              </w:rPr>
              <w:t>Annual Time Burden (</w:t>
            </w:r>
            <w:r w:rsidRPr="00792B37">
              <w:rPr>
                <w:rFonts w:ascii="Arial" w:hAnsi="Arial" w:cs="Arial"/>
                <w:color w:val="56606F"/>
                <w:sz w:val="16"/>
                <w:szCs w:val="16"/>
              </w:rPr>
              <w:t>Hr</w:t>
            </w:r>
            <w:r w:rsidRPr="00792B37">
              <w:rPr>
                <w:rFonts w:ascii="Arial" w:hAnsi="Arial" w:cs="Arial"/>
                <w:color w:val="56606F"/>
                <w:sz w:val="16"/>
                <w:szCs w:val="16"/>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2F3B51F3" w14:textId="2027506E">
            <w:pPr>
              <w:spacing w:line="225" w:lineRule="atLeast"/>
              <w:rPr>
                <w:rFonts w:ascii="Arial" w:hAnsi="Arial" w:cs="Arial"/>
                <w:sz w:val="16"/>
                <w:szCs w:val="16"/>
              </w:rPr>
            </w:pPr>
            <w:r w:rsidRPr="00792B37">
              <w:rPr>
                <w:rFonts w:ascii="Arial" w:hAnsi="Arial" w:cs="Arial"/>
                <w:sz w:val="16"/>
                <w:szCs w:val="16"/>
              </w:rPr>
              <w:t>171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11C3AB46" w14:textId="77777777">
            <w:pPr>
              <w:spacing w:line="225" w:lineRule="atLeast"/>
              <w:rPr>
                <w:rFonts w:ascii="Arial" w:hAnsi="Arial" w:cs="Arial"/>
                <w:sz w:val="16"/>
                <w:szCs w:val="16"/>
              </w:rPr>
            </w:pPr>
            <w:r w:rsidRPr="00792B37">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1A8E67A9" w14:textId="17962CA4">
            <w:pPr>
              <w:spacing w:line="225" w:lineRule="atLeast"/>
              <w:rPr>
                <w:rFonts w:ascii="Arial" w:hAnsi="Arial" w:cs="Arial"/>
                <w:sz w:val="16"/>
                <w:szCs w:val="16"/>
              </w:rPr>
            </w:pPr>
            <w:r w:rsidRPr="00792B37">
              <w:rPr>
                <w:rFonts w:ascii="Arial" w:hAnsi="Arial" w:cs="Arial"/>
                <w:sz w:val="16"/>
                <w:szCs w:val="16"/>
              </w:rPr>
              <w:t xml:space="preserve">  </w:t>
            </w:r>
            <w:r w:rsidRPr="00792B37" w:rsidR="00EF1E84">
              <w:rPr>
                <w:rFonts w:ascii="Arial" w:hAnsi="Arial" w:cs="Arial"/>
                <w:sz w:val="16"/>
                <w:szCs w:val="16"/>
              </w:rPr>
              <w:t>-18</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642B7FF4" w14:textId="0CC73A69">
            <w:pPr>
              <w:spacing w:line="225" w:lineRule="atLeast"/>
              <w:rPr>
                <w:rFonts w:ascii="Arial" w:hAnsi="Arial" w:cs="Arial"/>
                <w:sz w:val="16"/>
                <w:szCs w:val="16"/>
              </w:rPr>
            </w:pPr>
            <w:r w:rsidRPr="00792B37">
              <w:rPr>
                <w:rFonts w:ascii="Arial" w:hAnsi="Arial" w:cs="Arial"/>
                <w:sz w:val="16"/>
                <w:szCs w:val="16"/>
              </w:rPr>
              <w:t>-255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73D8B15E" w14:textId="77777777">
            <w:pPr>
              <w:spacing w:line="225" w:lineRule="atLeast"/>
              <w:rPr>
                <w:rFonts w:ascii="Arial" w:hAnsi="Arial" w:cs="Arial"/>
                <w:sz w:val="16"/>
                <w:szCs w:val="16"/>
              </w:rPr>
            </w:pPr>
            <w:r w:rsidRPr="00792B37">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5B195B68" w14:textId="1E43FFB6">
            <w:pPr>
              <w:spacing w:line="225" w:lineRule="atLeast"/>
              <w:rPr>
                <w:rFonts w:ascii="Arial" w:hAnsi="Arial" w:cs="Arial"/>
                <w:sz w:val="16"/>
                <w:szCs w:val="16"/>
              </w:rPr>
            </w:pPr>
            <w:r w:rsidRPr="00792B37">
              <w:rPr>
                <w:rFonts w:ascii="Arial" w:hAnsi="Arial" w:cs="Arial"/>
                <w:sz w:val="16"/>
                <w:szCs w:val="16"/>
              </w:rPr>
              <w:t>444</w:t>
            </w:r>
          </w:p>
        </w:tc>
      </w:tr>
      <w:tr w14:paraId="4E398306" w14:textId="77777777" w:rsidTr="00BD596D">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541E07FF" w14:textId="77777777">
            <w:pPr>
              <w:spacing w:line="225" w:lineRule="atLeast"/>
              <w:rPr>
                <w:rFonts w:ascii="Arial" w:hAnsi="Arial" w:cs="Arial"/>
                <w:sz w:val="16"/>
                <w:szCs w:val="16"/>
              </w:rPr>
            </w:pPr>
            <w:r w:rsidRPr="00792B37">
              <w:rPr>
                <w:rFonts w:ascii="Arial" w:hAnsi="Arial" w:cs="Arial"/>
                <w:color w:val="56606F"/>
                <w:sz w:val="16"/>
                <w:szCs w:val="16"/>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1F25B0C2" w14:textId="5A5DC27E">
            <w:pPr>
              <w:spacing w:line="225" w:lineRule="atLeast"/>
              <w:rPr>
                <w:rFonts w:ascii="Arial" w:hAnsi="Arial" w:cs="Arial"/>
                <w:sz w:val="16"/>
                <w:szCs w:val="16"/>
              </w:rPr>
            </w:pPr>
            <w:r w:rsidRPr="00792B37">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03FAC445" w14:textId="77777777">
            <w:pPr>
              <w:spacing w:line="225" w:lineRule="atLeast"/>
              <w:rPr>
                <w:rFonts w:ascii="Arial" w:hAnsi="Arial" w:cs="Arial"/>
                <w:sz w:val="16"/>
                <w:szCs w:val="16"/>
              </w:rPr>
            </w:pPr>
            <w:r w:rsidRPr="00792B37">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46482A9C" w14:textId="77777777">
            <w:pPr>
              <w:spacing w:line="225" w:lineRule="atLeast"/>
              <w:rPr>
                <w:rFonts w:ascii="Arial" w:hAnsi="Arial" w:cs="Arial"/>
                <w:sz w:val="16"/>
                <w:szCs w:val="16"/>
              </w:rPr>
            </w:pPr>
            <w:r w:rsidRPr="00792B37">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59978E91" w14:textId="46733784">
            <w:pPr>
              <w:spacing w:line="225" w:lineRule="atLeast"/>
              <w:rPr>
                <w:rFonts w:ascii="Arial" w:hAnsi="Arial" w:cs="Arial"/>
                <w:sz w:val="16"/>
                <w:szCs w:val="16"/>
              </w:rPr>
            </w:pPr>
            <w:r w:rsidRPr="00792B37">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26454019" w14:textId="77777777">
            <w:pPr>
              <w:spacing w:line="225" w:lineRule="atLeast"/>
              <w:rPr>
                <w:rFonts w:ascii="Arial" w:hAnsi="Arial" w:cs="Arial"/>
                <w:sz w:val="16"/>
                <w:szCs w:val="16"/>
              </w:rPr>
            </w:pPr>
            <w:r w:rsidRPr="00792B37">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A1488" w:rsidRPr="00792B37" w:rsidP="00D72526" w14:paraId="49B8B661" w14:textId="7EBA3208">
            <w:pPr>
              <w:spacing w:line="225" w:lineRule="atLeast"/>
              <w:rPr>
                <w:rFonts w:ascii="Arial" w:hAnsi="Arial" w:cs="Arial"/>
                <w:sz w:val="16"/>
                <w:szCs w:val="16"/>
              </w:rPr>
            </w:pPr>
            <w:r w:rsidRPr="00792B37">
              <w:rPr>
                <w:rFonts w:ascii="Arial" w:hAnsi="Arial" w:cs="Arial"/>
                <w:sz w:val="16"/>
                <w:szCs w:val="16"/>
              </w:rPr>
              <w:t>0</w:t>
            </w:r>
          </w:p>
        </w:tc>
      </w:tr>
      <w:bookmarkEnd w:id="7"/>
    </w:tbl>
    <w:p w:rsidR="007E5ABF" w:rsidP="00D02DAD" w14:paraId="0722DC28" w14:textId="77777777">
      <w:pPr>
        <w:jc w:val="both"/>
        <w:rPr>
          <w:rFonts w:ascii="Arial" w:hAnsi="Arial"/>
          <w:sz w:val="24"/>
          <w:u w:val="single"/>
        </w:rPr>
      </w:pPr>
    </w:p>
    <w:p w:rsidR="005C2BBE" w:rsidRPr="005C2BBE" w:rsidP="005C2BBE" w14:paraId="2646CF58" w14:textId="6D2548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r w:rsidRPr="005C2BBE">
        <w:rPr>
          <w:rFonts w:ascii="Arial" w:hAnsi="Arial" w:cs="Arial"/>
          <w:sz w:val="24"/>
          <w:u w:val="single"/>
        </w:rPr>
        <w:t xml:space="preserve">Change in Responses and </w:t>
      </w:r>
      <w:r w:rsidR="00EA1488">
        <w:rPr>
          <w:rFonts w:ascii="Arial" w:hAnsi="Arial" w:cs="Arial"/>
          <w:sz w:val="24"/>
          <w:u w:val="single"/>
        </w:rPr>
        <w:t>Hourly</w:t>
      </w:r>
      <w:r w:rsidRPr="005C2BBE" w:rsidR="00EA1488">
        <w:rPr>
          <w:rFonts w:ascii="Arial" w:hAnsi="Arial" w:cs="Arial"/>
          <w:sz w:val="24"/>
          <w:u w:val="single"/>
        </w:rPr>
        <w:t xml:space="preserve"> </w:t>
      </w:r>
      <w:r w:rsidRPr="005C2BBE">
        <w:rPr>
          <w:rFonts w:ascii="Arial" w:hAnsi="Arial" w:cs="Arial"/>
          <w:sz w:val="24"/>
          <w:u w:val="single"/>
        </w:rPr>
        <w:t xml:space="preserve">Burden due to </w:t>
      </w:r>
      <w:r w:rsidR="00EA1488">
        <w:rPr>
          <w:rFonts w:ascii="Arial" w:hAnsi="Arial" w:cs="Arial"/>
          <w:sz w:val="24"/>
          <w:u w:val="single"/>
        </w:rPr>
        <w:t xml:space="preserve">Adjustment in </w:t>
      </w:r>
      <w:r w:rsidRPr="005C2BBE">
        <w:rPr>
          <w:rFonts w:ascii="Arial" w:hAnsi="Arial" w:cs="Arial"/>
          <w:sz w:val="24"/>
          <w:u w:val="single"/>
        </w:rPr>
        <w:t>Agency Discretion</w:t>
      </w:r>
    </w:p>
    <w:p w:rsidR="001571A2" w:rsidP="001571A2" w14:paraId="56080713" w14:textId="77777777">
      <w:pPr>
        <w:shd w:val="clear" w:color="auto" w:fill="FFFFFF"/>
        <w:spacing w:line="270" w:lineRule="atLeast"/>
        <w:jc w:val="both"/>
        <w:textAlignment w:val="center"/>
        <w:rPr>
          <w:rFonts w:ascii="Arial" w:hAnsi="Arial" w:cs="Arial"/>
          <w:color w:val="000000"/>
          <w:sz w:val="24"/>
          <w:szCs w:val="24"/>
        </w:rPr>
      </w:pPr>
    </w:p>
    <w:p w:rsidR="00EA1488" w14:paraId="27EC7DE3" w14:textId="7125297D">
      <w:pPr>
        <w:shd w:val="clear" w:color="auto" w:fill="FFFFFF"/>
        <w:spacing w:line="270" w:lineRule="atLeast"/>
        <w:jc w:val="both"/>
        <w:textAlignment w:val="center"/>
        <w:rPr>
          <w:rFonts w:ascii="Arial" w:hAnsi="Arial" w:cs="Arial"/>
          <w:color w:val="000000"/>
          <w:sz w:val="24"/>
          <w:szCs w:val="24"/>
        </w:rPr>
      </w:pPr>
      <w:r w:rsidRPr="00EA1488">
        <w:rPr>
          <w:rFonts w:ascii="Arial" w:hAnsi="Arial" w:cs="Arial"/>
          <w:color w:val="000000"/>
          <w:sz w:val="24"/>
          <w:szCs w:val="24"/>
        </w:rPr>
        <w:t xml:space="preserve">The total number of responses has decreased by </w:t>
      </w:r>
      <w:r w:rsidR="00EF1E84">
        <w:rPr>
          <w:rFonts w:ascii="Arial" w:hAnsi="Arial" w:cs="Arial"/>
          <w:color w:val="000000"/>
          <w:sz w:val="24"/>
          <w:szCs w:val="24"/>
        </w:rPr>
        <w:t>600</w:t>
      </w:r>
      <w:r w:rsidRPr="00EA1488">
        <w:rPr>
          <w:rFonts w:ascii="Arial" w:hAnsi="Arial" w:cs="Arial"/>
          <w:color w:val="000000"/>
          <w:sz w:val="24"/>
          <w:szCs w:val="24"/>
        </w:rPr>
        <w:t xml:space="preserve"> due to </w:t>
      </w:r>
      <w:r w:rsidR="000B245E">
        <w:rPr>
          <w:rFonts w:ascii="Arial" w:hAnsi="Arial" w:cs="Arial"/>
          <w:color w:val="000000"/>
          <w:sz w:val="24"/>
          <w:szCs w:val="24"/>
        </w:rPr>
        <w:t>the</w:t>
      </w:r>
      <w:r w:rsidR="00EF1E84">
        <w:rPr>
          <w:rFonts w:ascii="Arial" w:hAnsi="Arial" w:cs="Arial"/>
          <w:color w:val="000000"/>
          <w:sz w:val="24"/>
          <w:szCs w:val="24"/>
        </w:rPr>
        <w:t xml:space="preserve"> removal of the</w:t>
      </w:r>
      <w:r w:rsidR="000B245E">
        <w:rPr>
          <w:rFonts w:ascii="Arial" w:hAnsi="Arial" w:cs="Arial"/>
          <w:color w:val="000000"/>
          <w:sz w:val="24"/>
          <w:szCs w:val="24"/>
        </w:rPr>
        <w:t xml:space="preserve"> non-response follow-up survey card (Item 3 in the previous renewal) </w:t>
      </w:r>
      <w:r w:rsidR="00EF1E84">
        <w:rPr>
          <w:rFonts w:ascii="Arial" w:hAnsi="Arial" w:cs="Arial"/>
          <w:color w:val="000000"/>
          <w:sz w:val="24"/>
          <w:szCs w:val="24"/>
        </w:rPr>
        <w:t xml:space="preserve">This item was </w:t>
      </w:r>
      <w:r w:rsidR="000B245E">
        <w:rPr>
          <w:rFonts w:ascii="Arial" w:hAnsi="Arial" w:cs="Arial"/>
          <w:color w:val="000000"/>
          <w:sz w:val="24"/>
          <w:szCs w:val="24"/>
        </w:rPr>
        <w:t>determin</w:t>
      </w:r>
      <w:r w:rsidR="00EF1E84">
        <w:rPr>
          <w:rFonts w:ascii="Arial" w:hAnsi="Arial" w:cs="Arial"/>
          <w:color w:val="000000"/>
          <w:sz w:val="24"/>
          <w:szCs w:val="24"/>
        </w:rPr>
        <w:t>ed</w:t>
      </w:r>
      <w:r w:rsidR="000B245E">
        <w:rPr>
          <w:rFonts w:ascii="Arial" w:hAnsi="Arial" w:cs="Arial"/>
          <w:color w:val="000000"/>
          <w:sz w:val="24"/>
          <w:szCs w:val="24"/>
        </w:rPr>
        <w:t xml:space="preserve"> </w:t>
      </w:r>
      <w:r w:rsidR="00EF1E84">
        <w:rPr>
          <w:rFonts w:ascii="Arial" w:hAnsi="Arial" w:cs="Arial"/>
          <w:color w:val="000000"/>
          <w:sz w:val="24"/>
          <w:szCs w:val="24"/>
        </w:rPr>
        <w:t>to be</w:t>
      </w:r>
      <w:r w:rsidR="000B245E">
        <w:rPr>
          <w:rFonts w:ascii="Arial" w:hAnsi="Arial" w:cs="Arial"/>
          <w:color w:val="000000"/>
          <w:sz w:val="24"/>
          <w:szCs w:val="24"/>
        </w:rPr>
        <w:t xml:space="preserve"> exempt from the PRA. The survey card does not collect information and merely directs respondents to take the survey. </w:t>
      </w:r>
      <w:r w:rsidRPr="00EA1488">
        <w:rPr>
          <w:rFonts w:ascii="Arial" w:hAnsi="Arial" w:cs="Arial"/>
          <w:color w:val="000000"/>
          <w:sz w:val="24"/>
          <w:szCs w:val="24"/>
        </w:rPr>
        <w:t>This decrease in</w:t>
      </w:r>
      <w:r>
        <w:rPr>
          <w:rFonts w:ascii="Arial" w:hAnsi="Arial" w:cs="Arial"/>
          <w:color w:val="000000"/>
          <w:sz w:val="24"/>
          <w:szCs w:val="24"/>
        </w:rPr>
        <w:t xml:space="preserve"> </w:t>
      </w:r>
      <w:r w:rsidRPr="00EA1488">
        <w:rPr>
          <w:rFonts w:ascii="Arial" w:hAnsi="Arial" w:cs="Arial"/>
          <w:color w:val="000000"/>
          <w:sz w:val="24"/>
          <w:szCs w:val="24"/>
        </w:rPr>
        <w:t xml:space="preserve">responses results in a decrease of </w:t>
      </w:r>
      <w:r w:rsidR="00EF1E84">
        <w:rPr>
          <w:rFonts w:ascii="Arial" w:hAnsi="Arial" w:cs="Arial"/>
          <w:color w:val="000000"/>
          <w:sz w:val="24"/>
          <w:szCs w:val="24"/>
        </w:rPr>
        <w:t>18</w:t>
      </w:r>
      <w:r w:rsidRPr="00EA1488">
        <w:rPr>
          <w:rFonts w:ascii="Arial" w:hAnsi="Arial" w:cs="Arial"/>
          <w:color w:val="000000"/>
          <w:sz w:val="24"/>
          <w:szCs w:val="24"/>
        </w:rPr>
        <w:t xml:space="preserve"> hours in the annual time burden estimates</w:t>
      </w:r>
      <w:r>
        <w:rPr>
          <w:rFonts w:ascii="Arial" w:hAnsi="Arial" w:cs="Arial"/>
          <w:color w:val="000000"/>
          <w:sz w:val="24"/>
          <w:szCs w:val="24"/>
        </w:rPr>
        <w:t>.</w:t>
      </w:r>
    </w:p>
    <w:p w:rsidR="00EF1E84" w:rsidP="00EF1E84" w14:paraId="1C12CFFD" w14:textId="5591D8C5">
      <w:pPr>
        <w:shd w:val="clear" w:color="auto" w:fill="FFFFFF"/>
        <w:spacing w:line="270" w:lineRule="atLeast"/>
        <w:jc w:val="both"/>
        <w:textAlignment w:val="center"/>
        <w:rPr>
          <w:rFonts w:ascii="Arial" w:hAnsi="Arial" w:cs="Arial"/>
          <w:color w:val="000000"/>
          <w:sz w:val="24"/>
          <w:szCs w:val="24"/>
        </w:rPr>
      </w:pPr>
    </w:p>
    <w:p w:rsidR="00EF1E84" w:rsidRPr="005C2BBE" w:rsidP="00EF1E84" w14:paraId="03E6D50F" w14:textId="5517F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r w:rsidRPr="005C2BBE">
        <w:rPr>
          <w:rFonts w:ascii="Arial" w:hAnsi="Arial" w:cs="Arial"/>
          <w:sz w:val="24"/>
          <w:u w:val="single"/>
        </w:rPr>
        <w:t xml:space="preserve">Change in Responses and </w:t>
      </w:r>
      <w:r>
        <w:rPr>
          <w:rFonts w:ascii="Arial" w:hAnsi="Arial" w:cs="Arial"/>
          <w:sz w:val="24"/>
          <w:u w:val="single"/>
        </w:rPr>
        <w:t>Hourly</w:t>
      </w:r>
      <w:r w:rsidRPr="005C2BBE">
        <w:rPr>
          <w:rFonts w:ascii="Arial" w:hAnsi="Arial" w:cs="Arial"/>
          <w:sz w:val="24"/>
          <w:u w:val="single"/>
        </w:rPr>
        <w:t xml:space="preserve"> Burden due to </w:t>
      </w:r>
      <w:r>
        <w:rPr>
          <w:rFonts w:ascii="Arial" w:hAnsi="Arial" w:cs="Arial"/>
          <w:sz w:val="24"/>
          <w:u w:val="single"/>
        </w:rPr>
        <w:t xml:space="preserve">Adjustment in </w:t>
      </w:r>
      <w:r w:rsidRPr="005C2BBE">
        <w:rPr>
          <w:rFonts w:ascii="Arial" w:hAnsi="Arial" w:cs="Arial"/>
          <w:sz w:val="24"/>
          <w:u w:val="single"/>
        </w:rPr>
        <w:t xml:space="preserve">Agency </w:t>
      </w:r>
      <w:r>
        <w:rPr>
          <w:rFonts w:ascii="Arial" w:hAnsi="Arial" w:cs="Arial"/>
          <w:sz w:val="24"/>
          <w:u w:val="single"/>
        </w:rPr>
        <w:t>Estimate</w:t>
      </w:r>
    </w:p>
    <w:p w:rsidR="00EF1E84" w:rsidP="00EF1E84" w14:paraId="5735D6F4" w14:textId="431F678C">
      <w:pPr>
        <w:shd w:val="clear" w:color="auto" w:fill="FFFFFF"/>
        <w:spacing w:line="270" w:lineRule="atLeast"/>
        <w:jc w:val="both"/>
        <w:textAlignment w:val="center"/>
        <w:rPr>
          <w:rFonts w:ascii="Arial" w:hAnsi="Arial" w:cs="Arial"/>
          <w:sz w:val="24"/>
          <w:szCs w:val="24"/>
          <w:u w:val="single"/>
        </w:rPr>
      </w:pPr>
    </w:p>
    <w:p w:rsidR="00EF1E84" w:rsidRPr="00EF1E84" w:rsidP="00EF1E84" w14:paraId="26D4482B" w14:textId="4051B991">
      <w:pPr>
        <w:shd w:val="clear" w:color="auto" w:fill="FFFFFF"/>
        <w:spacing w:line="270" w:lineRule="atLeast"/>
        <w:jc w:val="both"/>
        <w:textAlignment w:val="center"/>
        <w:rPr>
          <w:rFonts w:ascii="Arial" w:hAnsi="Arial" w:cs="Arial"/>
          <w:color w:val="000000"/>
          <w:sz w:val="24"/>
          <w:szCs w:val="24"/>
        </w:rPr>
      </w:pPr>
      <w:r w:rsidRPr="00EA1488">
        <w:rPr>
          <w:rFonts w:ascii="Arial" w:hAnsi="Arial" w:cs="Arial"/>
          <w:color w:val="000000"/>
          <w:sz w:val="24"/>
          <w:szCs w:val="24"/>
        </w:rPr>
        <w:t xml:space="preserve">The total number of responses has decreased by </w:t>
      </w:r>
      <w:r>
        <w:rPr>
          <w:rFonts w:ascii="Arial" w:hAnsi="Arial" w:cs="Arial"/>
          <w:color w:val="000000"/>
          <w:sz w:val="24"/>
          <w:szCs w:val="24"/>
        </w:rPr>
        <w:t>1,500</w:t>
      </w:r>
      <w:r w:rsidRPr="00EA1488">
        <w:rPr>
          <w:rFonts w:ascii="Arial" w:hAnsi="Arial" w:cs="Arial"/>
          <w:color w:val="000000"/>
          <w:sz w:val="24"/>
          <w:szCs w:val="24"/>
        </w:rPr>
        <w:t xml:space="preserve"> due to </w:t>
      </w:r>
      <w:r>
        <w:rPr>
          <w:rFonts w:ascii="Arial" w:hAnsi="Arial" w:cs="Arial"/>
          <w:color w:val="000000"/>
          <w:sz w:val="24"/>
          <w:szCs w:val="24"/>
        </w:rPr>
        <w:t>the overall long-term declining response rate by potential respondents</w:t>
      </w:r>
      <w:r w:rsidRPr="00EA1488">
        <w:rPr>
          <w:rFonts w:ascii="Arial" w:hAnsi="Arial" w:cs="Arial"/>
          <w:color w:val="000000"/>
          <w:sz w:val="24"/>
          <w:szCs w:val="24"/>
        </w:rPr>
        <w:t>. This decrease in</w:t>
      </w:r>
      <w:r>
        <w:rPr>
          <w:rFonts w:ascii="Arial" w:hAnsi="Arial" w:cs="Arial"/>
          <w:color w:val="000000"/>
          <w:sz w:val="24"/>
          <w:szCs w:val="24"/>
        </w:rPr>
        <w:t xml:space="preserve"> </w:t>
      </w:r>
      <w:r w:rsidRPr="00EA1488">
        <w:rPr>
          <w:rFonts w:ascii="Arial" w:hAnsi="Arial" w:cs="Arial"/>
          <w:color w:val="000000"/>
          <w:sz w:val="24"/>
          <w:szCs w:val="24"/>
        </w:rPr>
        <w:t xml:space="preserve">responses results in a decrease of </w:t>
      </w:r>
      <w:r w:rsidRPr="000B245E">
        <w:rPr>
          <w:rFonts w:ascii="Arial" w:hAnsi="Arial" w:cs="Arial"/>
          <w:color w:val="000000"/>
          <w:sz w:val="24"/>
          <w:szCs w:val="24"/>
        </w:rPr>
        <w:t>2</w:t>
      </w:r>
      <w:r>
        <w:rPr>
          <w:rFonts w:ascii="Arial" w:hAnsi="Arial" w:cs="Arial"/>
          <w:color w:val="000000"/>
          <w:sz w:val="24"/>
          <w:szCs w:val="24"/>
        </w:rPr>
        <w:t>55</w:t>
      </w:r>
      <w:r w:rsidRPr="00EA1488">
        <w:rPr>
          <w:rFonts w:ascii="Arial" w:hAnsi="Arial" w:cs="Arial"/>
          <w:color w:val="000000"/>
          <w:sz w:val="24"/>
          <w:szCs w:val="24"/>
        </w:rPr>
        <w:t xml:space="preserve"> hours in the annual time burden estimates</w:t>
      </w:r>
      <w:r>
        <w:rPr>
          <w:rFonts w:ascii="Arial" w:hAnsi="Arial" w:cs="Arial"/>
          <w:color w:val="000000"/>
          <w:sz w:val="24"/>
          <w:szCs w:val="24"/>
        </w:rPr>
        <w:t>.</w:t>
      </w:r>
    </w:p>
    <w:p w:rsidR="00397BAB" w:rsidP="00397BAB" w14:paraId="2A5F6A73" w14:textId="77777777">
      <w:pPr>
        <w:jc w:val="both"/>
        <w:rPr>
          <w:rFonts w:ascii="Arial" w:hAnsi="Arial"/>
          <w:sz w:val="24"/>
        </w:rPr>
      </w:pPr>
    </w:p>
    <w:p w:rsidR="005823F2" w:rsidP="00A54DB6" w14:paraId="29838A5B" w14:textId="192F35BA">
      <w:pPr>
        <w:ind w:left="360" w:hanging="360"/>
        <w:jc w:val="both"/>
        <w:rPr>
          <w:rFonts w:ascii="Arial" w:hAnsi="Arial"/>
          <w:sz w:val="24"/>
        </w:rPr>
      </w:pPr>
      <w:r w:rsidRPr="003C4EFB">
        <w:rPr>
          <w:rFonts w:ascii="Arial" w:hAnsi="Arial"/>
          <w:b/>
          <w:sz w:val="24"/>
        </w:rPr>
        <w:t>16.</w:t>
      </w:r>
      <w:r w:rsidRPr="003C4EFB">
        <w:rPr>
          <w:rFonts w:ascii="Arial" w:hAnsi="Arial"/>
          <w:b/>
          <w:sz w:val="24"/>
        </w:rPr>
        <w:tab/>
      </w:r>
      <w:r w:rsidRPr="001D603D" w:rsidR="00C62EAE">
        <w:rPr>
          <w:rFonts w:ascii="Arial" w:hAnsi="Arial" w:cs="Arial"/>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23F2" w14:paraId="365F90F6" w14:textId="77777777">
      <w:pPr>
        <w:jc w:val="both"/>
        <w:rPr>
          <w:rFonts w:ascii="Arial" w:hAnsi="Arial"/>
          <w:sz w:val="24"/>
        </w:rPr>
      </w:pPr>
    </w:p>
    <w:p w:rsidR="00342D01" w14:paraId="5B8B77BC" w14:textId="77777777">
      <w:pPr>
        <w:pStyle w:val="BodyText2"/>
      </w:pPr>
    </w:p>
    <w:p w:rsidR="00342D01" w:rsidP="00342D01" w14:paraId="5D3A0855" w14:textId="77777777">
      <w:pPr>
        <w:pStyle w:val="BodyText2"/>
        <w:tabs>
          <w:tab w:val="left" w:pos="720"/>
        </w:tabs>
        <w:rPr>
          <w:rStyle w:val="Hyperlink"/>
          <w:u w:val="none"/>
        </w:rPr>
      </w:pPr>
      <w:r>
        <w:t xml:space="preserve">The USPTO disseminates information from the surveys on the following website: </w:t>
      </w:r>
      <w:hyperlink r:id="rId10" w:history="1">
        <w:r w:rsidRPr="00896FE6">
          <w:rPr>
            <w:rStyle w:val="Hyperlink"/>
          </w:rPr>
          <w:t>https://www.uspto.gov/patents/quality-metrics</w:t>
        </w:r>
      </w:hyperlink>
      <w:r w:rsidRPr="00A54DB6">
        <w:rPr>
          <w:rStyle w:val="Hyperlink"/>
          <w:u w:val="none"/>
        </w:rPr>
        <w:t>.</w:t>
      </w:r>
    </w:p>
    <w:p w:rsidR="002C206A" w:rsidP="00342D01" w14:paraId="1D49E543" w14:textId="77777777">
      <w:pPr>
        <w:pStyle w:val="BodyText2"/>
        <w:tabs>
          <w:tab w:val="left" w:pos="720"/>
        </w:tabs>
      </w:pPr>
    </w:p>
    <w:p w:rsidR="00DD367B" w14:paraId="744EC060" w14:textId="63362B03">
      <w:pPr>
        <w:pStyle w:val="BodyText2"/>
      </w:pPr>
      <w:r>
        <w:t>After each wave of data collection is completed, a report summarizing the results of the survey will be prepared by the USPTO’s contractor. At the end of each year of data collection,</w:t>
      </w:r>
      <w:r w:rsidR="00071583">
        <w:t xml:space="preserve"> </w:t>
      </w:r>
      <w:r w:rsidR="00071583">
        <w:t>Westat</w:t>
      </w:r>
      <w:r w:rsidR="00071583">
        <w:t xml:space="preserve"> prepares</w:t>
      </w:r>
      <w:r>
        <w:t xml:space="preserve"> a more in-depth summary report to discuss changes in examination quality across the waves of data collection. </w:t>
      </w:r>
    </w:p>
    <w:p w:rsidR="00DD367B" w14:paraId="0C3717D7" w14:textId="77777777">
      <w:pPr>
        <w:pStyle w:val="BodyText2"/>
      </w:pPr>
    </w:p>
    <w:p w:rsidR="00DD367B" w14:paraId="389A5B69" w14:textId="627BB227">
      <w:pPr>
        <w:pStyle w:val="BodyText2"/>
      </w:pPr>
      <w:r>
        <w:t>The primary goal</w:t>
      </w:r>
      <w:r w:rsidR="00EA1488">
        <w:t xml:space="preserve"> of the survey</w:t>
      </w:r>
      <w:r>
        <w:t xml:space="preserve"> is to measure change in examination quality over a fixed period of time. Respondents will be asked to evaluate their perceptions of examination quality and their recent interactions with the USPTO.</w:t>
      </w:r>
      <w:r w:rsidR="0048357C">
        <w:t xml:space="preserve"> Results will be</w:t>
      </w:r>
      <w:r w:rsidR="00E07F0F">
        <w:t xml:space="preserve"> used as part of USPTO’s overall quality measurement program.</w:t>
      </w:r>
    </w:p>
    <w:p w:rsidR="00DD367B" w14:paraId="14B1AFDA" w14:textId="77777777">
      <w:pPr>
        <w:pStyle w:val="BodyText2"/>
      </w:pPr>
    </w:p>
    <w:p w:rsidR="00DD367B" w14:paraId="7FB3F677" w14:textId="7AEB8D8F">
      <w:pPr>
        <w:pStyle w:val="BodyText2"/>
      </w:pPr>
      <w:r>
        <w:t>A projected schedule for the</w:t>
      </w:r>
      <w:r w:rsidR="00541309">
        <w:t xml:space="preserve"> </w:t>
      </w:r>
      <w:r w:rsidR="00AB4177">
        <w:t>next</w:t>
      </w:r>
      <w:r>
        <w:t xml:space="preserve"> survey</w:t>
      </w:r>
      <w:r w:rsidR="00541309">
        <w:t xml:space="preserve"> under this clearance</w:t>
      </w:r>
      <w:r>
        <w:t xml:space="preserve"> is provided below:</w:t>
      </w:r>
    </w:p>
    <w:p w:rsidR="00720796" w14:paraId="36031CE1" w14:textId="77777777">
      <w:pPr>
        <w:pStyle w:val="BodyText2"/>
      </w:pPr>
    </w:p>
    <w:p w:rsidR="003E3718" w:rsidRPr="00A54DB6" w14:paraId="3077C213" w14:textId="11B2F552">
      <w:pPr>
        <w:pStyle w:val="BodyText2"/>
        <w:rPr>
          <w:rFonts w:cs="Arial"/>
          <w:sz w:val="20"/>
        </w:rPr>
      </w:pPr>
      <w:r>
        <w:rPr>
          <w:rFonts w:cs="Arial"/>
          <w:b/>
          <w:sz w:val="20"/>
        </w:rPr>
        <w:t xml:space="preserve">Table 5: </w:t>
      </w:r>
      <w:r w:rsidRPr="00A54DB6" w:rsidR="00541309">
        <w:rPr>
          <w:rFonts w:cs="Arial"/>
          <w:b/>
          <w:sz w:val="20"/>
        </w:rPr>
        <w:t xml:space="preserve">Wave </w:t>
      </w:r>
      <w:r w:rsidR="007131EF">
        <w:rPr>
          <w:rFonts w:cs="Arial"/>
          <w:b/>
          <w:sz w:val="20"/>
        </w:rPr>
        <w:t>40</w:t>
      </w:r>
      <w:r w:rsidRPr="00A54DB6" w:rsidR="00E07F0F">
        <w:rPr>
          <w:rFonts w:cs="Arial"/>
          <w:b/>
          <w:sz w:val="20"/>
        </w:rPr>
        <w:t xml:space="preserve"> </w:t>
      </w:r>
      <w:r w:rsidRPr="00A54DB6" w:rsidR="00541309">
        <w:rPr>
          <w:rFonts w:cs="Arial"/>
          <w:b/>
          <w:sz w:val="20"/>
        </w:rPr>
        <w:t>(</w:t>
      </w:r>
      <w:r w:rsidRPr="00A54DB6" w:rsidR="005C6655">
        <w:rPr>
          <w:rFonts w:cs="Arial"/>
          <w:b/>
          <w:sz w:val="20"/>
        </w:rPr>
        <w:t>September</w:t>
      </w:r>
      <w:r w:rsidRPr="00A54DB6" w:rsidR="001E1B25">
        <w:rPr>
          <w:rFonts w:cs="Arial"/>
          <w:b/>
          <w:sz w:val="20"/>
        </w:rPr>
        <w:t xml:space="preserve"> </w:t>
      </w:r>
      <w:r w:rsidRPr="00A54DB6" w:rsidR="00E07F0F">
        <w:rPr>
          <w:rFonts w:cs="Arial"/>
          <w:b/>
          <w:sz w:val="20"/>
        </w:rPr>
        <w:t>20</w:t>
      </w:r>
      <w:r w:rsidRPr="00A54DB6" w:rsidR="005C6655">
        <w:rPr>
          <w:rFonts w:cs="Arial"/>
          <w:b/>
          <w:sz w:val="20"/>
        </w:rPr>
        <w:t>2</w:t>
      </w:r>
      <w:r w:rsidR="00474578">
        <w:rPr>
          <w:rFonts w:cs="Arial"/>
          <w:b/>
          <w:sz w:val="20"/>
        </w:rPr>
        <w:t>5</w:t>
      </w:r>
      <w:r w:rsidRPr="00A54DB6" w:rsidR="00541309">
        <w:rPr>
          <w:rFonts w:cs="Arial"/>
          <w:b/>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6"/>
        <w:gridCol w:w="3626"/>
      </w:tblGrid>
      <w:tr w14:paraId="00481F2C" w14:textId="77777777" w:rsidTr="00FF336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616" w:type="dxa"/>
            <w:shd w:val="clear" w:color="auto" w:fill="B4C6E7" w:themeFill="accent5" w:themeFillTint="66"/>
          </w:tcPr>
          <w:p w:rsidR="00FF76AB" w:rsidRPr="00A54DB6" w14:paraId="78BB7B83" w14:textId="77777777">
            <w:pPr>
              <w:pStyle w:val="BodyText2"/>
              <w:jc w:val="center"/>
              <w:rPr>
                <w:b/>
                <w:sz w:val="16"/>
                <w:szCs w:val="16"/>
              </w:rPr>
            </w:pPr>
            <w:r w:rsidRPr="00A54DB6">
              <w:rPr>
                <w:b/>
                <w:sz w:val="16"/>
                <w:szCs w:val="16"/>
              </w:rPr>
              <w:t>Task</w:t>
            </w:r>
          </w:p>
        </w:tc>
        <w:tc>
          <w:tcPr>
            <w:tcW w:w="3626" w:type="dxa"/>
            <w:shd w:val="clear" w:color="auto" w:fill="B4C6E7" w:themeFill="accent5" w:themeFillTint="66"/>
          </w:tcPr>
          <w:p w:rsidR="00FF76AB" w:rsidRPr="00A54DB6" w14:paraId="4991FA9C" w14:textId="77777777">
            <w:pPr>
              <w:pStyle w:val="BodyText2"/>
              <w:jc w:val="center"/>
              <w:rPr>
                <w:b/>
                <w:sz w:val="16"/>
                <w:szCs w:val="16"/>
              </w:rPr>
            </w:pPr>
            <w:r w:rsidRPr="00A54DB6">
              <w:rPr>
                <w:b/>
                <w:sz w:val="16"/>
                <w:szCs w:val="16"/>
              </w:rPr>
              <w:t>Due Date</w:t>
            </w:r>
          </w:p>
        </w:tc>
      </w:tr>
      <w:tr w14:paraId="4A8EE309" w14:textId="77777777" w:rsidTr="00FF336A">
        <w:tblPrEx>
          <w:tblW w:w="0" w:type="auto"/>
          <w:tblInd w:w="108" w:type="dxa"/>
          <w:tblLook w:val="01E0"/>
        </w:tblPrEx>
        <w:tc>
          <w:tcPr>
            <w:tcW w:w="5616" w:type="dxa"/>
            <w:shd w:val="clear" w:color="auto" w:fill="auto"/>
            <w:vAlign w:val="center"/>
          </w:tcPr>
          <w:p w:rsidR="006F1E7B" w:rsidRPr="00A54DB6" w:rsidP="006F1E7B" w14:paraId="69E08F0F" w14:textId="77777777">
            <w:pPr>
              <w:pStyle w:val="BodyText2"/>
              <w:rPr>
                <w:sz w:val="16"/>
                <w:szCs w:val="16"/>
              </w:rPr>
            </w:pPr>
            <w:r w:rsidRPr="00A54DB6">
              <w:rPr>
                <w:rFonts w:cs="Arial"/>
                <w:sz w:val="16"/>
                <w:szCs w:val="16"/>
              </w:rPr>
              <w:t>Mail pre-notification letters</w:t>
            </w:r>
          </w:p>
        </w:tc>
        <w:tc>
          <w:tcPr>
            <w:tcW w:w="3626" w:type="dxa"/>
            <w:shd w:val="clear" w:color="auto" w:fill="auto"/>
            <w:vAlign w:val="center"/>
          </w:tcPr>
          <w:p w:rsidR="006F1E7B" w:rsidRPr="00A54DB6" w14:paraId="66DD1581" w14:textId="01EAB001">
            <w:pPr>
              <w:pStyle w:val="BodyText2"/>
              <w:jc w:val="center"/>
              <w:rPr>
                <w:sz w:val="16"/>
                <w:szCs w:val="16"/>
              </w:rPr>
            </w:pPr>
            <w:r>
              <w:rPr>
                <w:rFonts w:cs="Arial"/>
                <w:sz w:val="16"/>
                <w:szCs w:val="16"/>
              </w:rPr>
              <w:t>Friday</w:t>
            </w:r>
            <w:r w:rsidRPr="00A54DB6">
              <w:rPr>
                <w:rFonts w:cs="Arial"/>
                <w:sz w:val="16"/>
                <w:szCs w:val="16"/>
              </w:rPr>
              <w:t xml:space="preserve">, July </w:t>
            </w:r>
            <w:r w:rsidRPr="00A54DB6" w:rsidR="005C6655">
              <w:rPr>
                <w:rFonts w:cs="Arial"/>
                <w:sz w:val="16"/>
                <w:szCs w:val="16"/>
              </w:rPr>
              <w:t>12</w:t>
            </w:r>
          </w:p>
        </w:tc>
      </w:tr>
      <w:tr w14:paraId="5180BE6E" w14:textId="77777777" w:rsidTr="00FF336A">
        <w:tblPrEx>
          <w:tblW w:w="0" w:type="auto"/>
          <w:tblInd w:w="108" w:type="dxa"/>
          <w:tblLook w:val="01E0"/>
        </w:tblPrEx>
        <w:tc>
          <w:tcPr>
            <w:tcW w:w="5616" w:type="dxa"/>
            <w:shd w:val="clear" w:color="auto" w:fill="auto"/>
            <w:vAlign w:val="center"/>
          </w:tcPr>
          <w:p w:rsidR="006F1E7B" w:rsidRPr="00A54DB6" w:rsidP="006F1E7B" w14:paraId="66A89CB2" w14:textId="77777777">
            <w:pPr>
              <w:pStyle w:val="BodyText2"/>
              <w:rPr>
                <w:sz w:val="16"/>
                <w:szCs w:val="16"/>
              </w:rPr>
            </w:pPr>
            <w:r w:rsidRPr="00A54DB6">
              <w:rPr>
                <w:rFonts w:cs="Arial"/>
                <w:sz w:val="16"/>
                <w:szCs w:val="16"/>
              </w:rPr>
              <w:t>Launch EQS web survey</w:t>
            </w:r>
          </w:p>
        </w:tc>
        <w:tc>
          <w:tcPr>
            <w:tcW w:w="3626" w:type="dxa"/>
            <w:shd w:val="clear" w:color="auto" w:fill="auto"/>
            <w:vAlign w:val="center"/>
          </w:tcPr>
          <w:p w:rsidR="006F1E7B" w:rsidRPr="00A54DB6" w14:paraId="6D903CFE" w14:textId="236ED707">
            <w:pPr>
              <w:pStyle w:val="BodyText2"/>
              <w:jc w:val="center"/>
              <w:rPr>
                <w:sz w:val="16"/>
                <w:szCs w:val="16"/>
              </w:rPr>
            </w:pPr>
            <w:r>
              <w:rPr>
                <w:rFonts w:cs="Arial"/>
                <w:sz w:val="16"/>
                <w:szCs w:val="16"/>
              </w:rPr>
              <w:t>Friday</w:t>
            </w:r>
            <w:r w:rsidRPr="00A54DB6">
              <w:rPr>
                <w:rFonts w:cs="Arial"/>
                <w:sz w:val="16"/>
                <w:szCs w:val="16"/>
              </w:rPr>
              <w:t xml:space="preserve">, July </w:t>
            </w:r>
            <w:r w:rsidRPr="00A54DB6" w:rsidR="005C6655">
              <w:rPr>
                <w:rFonts w:cs="Arial"/>
                <w:sz w:val="16"/>
                <w:szCs w:val="16"/>
              </w:rPr>
              <w:t>12</w:t>
            </w:r>
          </w:p>
        </w:tc>
      </w:tr>
      <w:tr w14:paraId="5D393809" w14:textId="77777777" w:rsidTr="00FF336A">
        <w:tblPrEx>
          <w:tblW w:w="0" w:type="auto"/>
          <w:tblInd w:w="108" w:type="dxa"/>
          <w:tblLook w:val="01E0"/>
        </w:tblPrEx>
        <w:tc>
          <w:tcPr>
            <w:tcW w:w="5616" w:type="dxa"/>
            <w:shd w:val="clear" w:color="auto" w:fill="auto"/>
            <w:vAlign w:val="center"/>
          </w:tcPr>
          <w:p w:rsidR="006F1E7B" w:rsidRPr="00A54DB6" w:rsidP="006F1E7B" w14:paraId="6424A9BC" w14:textId="77777777">
            <w:pPr>
              <w:pStyle w:val="BodyText2"/>
              <w:rPr>
                <w:sz w:val="16"/>
                <w:szCs w:val="16"/>
              </w:rPr>
            </w:pPr>
            <w:r w:rsidRPr="00A54DB6">
              <w:rPr>
                <w:rFonts w:cs="Arial"/>
                <w:sz w:val="16"/>
                <w:szCs w:val="16"/>
              </w:rPr>
              <w:t>Mail reminder postcards</w:t>
            </w:r>
          </w:p>
        </w:tc>
        <w:tc>
          <w:tcPr>
            <w:tcW w:w="3626" w:type="dxa"/>
            <w:shd w:val="clear" w:color="auto" w:fill="auto"/>
            <w:vAlign w:val="center"/>
          </w:tcPr>
          <w:p w:rsidR="006F1E7B" w:rsidRPr="00A54DB6" w14:paraId="6D908B34" w14:textId="4D25C0C8">
            <w:pPr>
              <w:pStyle w:val="BodyText2"/>
              <w:jc w:val="center"/>
              <w:rPr>
                <w:sz w:val="16"/>
                <w:szCs w:val="16"/>
              </w:rPr>
            </w:pPr>
            <w:r w:rsidRPr="00A54DB6">
              <w:rPr>
                <w:rFonts w:cs="Arial"/>
                <w:sz w:val="16"/>
                <w:szCs w:val="16"/>
              </w:rPr>
              <w:t>Monday</w:t>
            </w:r>
            <w:r w:rsidRPr="00A54DB6">
              <w:rPr>
                <w:rFonts w:cs="Arial"/>
                <w:sz w:val="16"/>
                <w:szCs w:val="16"/>
              </w:rPr>
              <w:t xml:space="preserve">, </w:t>
            </w:r>
            <w:r w:rsidR="007131EF">
              <w:rPr>
                <w:rFonts w:cs="Arial"/>
                <w:sz w:val="16"/>
                <w:szCs w:val="16"/>
              </w:rPr>
              <w:t xml:space="preserve">July </w:t>
            </w:r>
            <w:r w:rsidRPr="00A54DB6">
              <w:rPr>
                <w:rFonts w:cs="Arial"/>
                <w:sz w:val="16"/>
                <w:szCs w:val="16"/>
              </w:rPr>
              <w:t xml:space="preserve"> 2</w:t>
            </w:r>
            <w:r w:rsidR="007131EF">
              <w:rPr>
                <w:rFonts w:cs="Arial"/>
                <w:sz w:val="16"/>
                <w:szCs w:val="16"/>
              </w:rPr>
              <w:t>9</w:t>
            </w:r>
          </w:p>
        </w:tc>
      </w:tr>
      <w:tr w14:paraId="5DABC122" w14:textId="77777777" w:rsidTr="00FF336A">
        <w:tblPrEx>
          <w:tblW w:w="0" w:type="auto"/>
          <w:tblInd w:w="108" w:type="dxa"/>
          <w:tblLook w:val="01E0"/>
        </w:tblPrEx>
        <w:tc>
          <w:tcPr>
            <w:tcW w:w="5616" w:type="dxa"/>
            <w:shd w:val="clear" w:color="auto" w:fill="auto"/>
            <w:vAlign w:val="center"/>
          </w:tcPr>
          <w:p w:rsidR="006F1E7B" w:rsidRPr="00A54DB6" w:rsidP="006F1E7B" w14:paraId="77278BB4" w14:textId="77777777">
            <w:pPr>
              <w:pStyle w:val="BodyText2"/>
              <w:rPr>
                <w:sz w:val="16"/>
                <w:szCs w:val="16"/>
              </w:rPr>
            </w:pPr>
            <w:r w:rsidRPr="00A54DB6">
              <w:rPr>
                <w:rFonts w:cs="Arial"/>
                <w:sz w:val="16"/>
                <w:szCs w:val="16"/>
              </w:rPr>
              <w:t>Begin telephone non-response prompting</w:t>
            </w:r>
          </w:p>
        </w:tc>
        <w:tc>
          <w:tcPr>
            <w:tcW w:w="3626" w:type="dxa"/>
            <w:shd w:val="clear" w:color="auto" w:fill="auto"/>
          </w:tcPr>
          <w:p w:rsidR="006F1E7B" w:rsidRPr="00A54DB6" w14:paraId="432781CF" w14:textId="3C61A59A">
            <w:pPr>
              <w:pStyle w:val="BodyText2"/>
              <w:jc w:val="center"/>
              <w:rPr>
                <w:sz w:val="16"/>
                <w:szCs w:val="16"/>
              </w:rPr>
            </w:pPr>
            <w:r w:rsidRPr="00A54DB6">
              <w:rPr>
                <w:rFonts w:cs="Arial"/>
                <w:sz w:val="16"/>
                <w:szCs w:val="16"/>
              </w:rPr>
              <w:t xml:space="preserve">Monday, </w:t>
            </w:r>
            <w:r w:rsidRPr="00A54DB6" w:rsidR="005C6655">
              <w:rPr>
                <w:rFonts w:cs="Arial"/>
                <w:sz w:val="16"/>
                <w:szCs w:val="16"/>
              </w:rPr>
              <w:t>August</w:t>
            </w:r>
            <w:r w:rsidR="007131EF">
              <w:rPr>
                <w:rFonts w:cs="Arial"/>
                <w:sz w:val="16"/>
                <w:szCs w:val="16"/>
              </w:rPr>
              <w:t xml:space="preserve"> 5</w:t>
            </w:r>
          </w:p>
        </w:tc>
      </w:tr>
      <w:tr w14:paraId="29F30596" w14:textId="77777777" w:rsidTr="00FF336A">
        <w:tblPrEx>
          <w:tblW w:w="0" w:type="auto"/>
          <w:tblInd w:w="108" w:type="dxa"/>
          <w:tblLook w:val="01E0"/>
        </w:tblPrEx>
        <w:tc>
          <w:tcPr>
            <w:tcW w:w="5616" w:type="dxa"/>
            <w:tcBorders>
              <w:bottom w:val="single" w:sz="4" w:space="0" w:color="auto"/>
            </w:tcBorders>
            <w:shd w:val="clear" w:color="auto" w:fill="auto"/>
            <w:vAlign w:val="center"/>
          </w:tcPr>
          <w:p w:rsidR="006F1E7B" w:rsidRPr="00A54DB6" w:rsidP="006F1E7B" w14:paraId="211D1483" w14:textId="77777777">
            <w:pPr>
              <w:pStyle w:val="BodyText2"/>
              <w:rPr>
                <w:sz w:val="16"/>
                <w:szCs w:val="16"/>
              </w:rPr>
            </w:pPr>
            <w:r w:rsidRPr="00A54DB6">
              <w:rPr>
                <w:rFonts w:cs="Arial"/>
                <w:sz w:val="16"/>
                <w:szCs w:val="16"/>
              </w:rPr>
              <w:t>Close data collection</w:t>
            </w:r>
          </w:p>
        </w:tc>
        <w:tc>
          <w:tcPr>
            <w:tcW w:w="3626" w:type="dxa"/>
            <w:tcBorders>
              <w:bottom w:val="single" w:sz="4" w:space="0" w:color="auto"/>
            </w:tcBorders>
            <w:shd w:val="clear" w:color="auto" w:fill="auto"/>
          </w:tcPr>
          <w:p w:rsidR="006F1E7B" w:rsidRPr="00A54DB6" w14:paraId="73A8B34A" w14:textId="091AE2D6">
            <w:pPr>
              <w:pStyle w:val="BodyText2"/>
              <w:jc w:val="center"/>
              <w:rPr>
                <w:sz w:val="16"/>
                <w:szCs w:val="16"/>
              </w:rPr>
            </w:pPr>
            <w:r w:rsidRPr="00A54DB6">
              <w:rPr>
                <w:rFonts w:cs="Arial"/>
                <w:sz w:val="16"/>
                <w:szCs w:val="16"/>
              </w:rPr>
              <w:t xml:space="preserve">Monday, August </w:t>
            </w:r>
            <w:r w:rsidR="007131EF">
              <w:rPr>
                <w:rFonts w:cs="Arial"/>
                <w:sz w:val="16"/>
                <w:szCs w:val="16"/>
              </w:rPr>
              <w:t>26</w:t>
            </w:r>
          </w:p>
        </w:tc>
      </w:tr>
      <w:tr w14:paraId="35158FE0" w14:textId="77777777" w:rsidTr="00FF336A">
        <w:tblPrEx>
          <w:tblW w:w="0" w:type="auto"/>
          <w:tblInd w:w="108" w:type="dxa"/>
          <w:tblLook w:val="01E0"/>
        </w:tblPrEx>
        <w:tc>
          <w:tcPr>
            <w:tcW w:w="5616" w:type="dxa"/>
            <w:shd w:val="clear" w:color="auto" w:fill="auto"/>
          </w:tcPr>
          <w:p w:rsidR="006F1E7B" w:rsidRPr="00A54DB6" w:rsidP="006F1E7B" w14:paraId="6B2A0DF4" w14:textId="17BB5AB5">
            <w:pPr>
              <w:pStyle w:val="BodyText2"/>
              <w:rPr>
                <w:sz w:val="16"/>
                <w:szCs w:val="16"/>
              </w:rPr>
            </w:pPr>
            <w:r w:rsidRPr="00A54DB6">
              <w:rPr>
                <w:rFonts w:cs="Arial"/>
                <w:sz w:val="16"/>
                <w:szCs w:val="16"/>
              </w:rPr>
              <w:t xml:space="preserve">Deliver </w:t>
            </w:r>
            <w:r w:rsidR="00B628EB">
              <w:rPr>
                <w:rFonts w:cs="Arial"/>
                <w:sz w:val="16"/>
                <w:szCs w:val="16"/>
              </w:rPr>
              <w:t>bi</w:t>
            </w:r>
            <w:r w:rsidRPr="00A54DB6">
              <w:rPr>
                <w:rFonts w:cs="Arial"/>
                <w:sz w:val="16"/>
                <w:szCs w:val="16"/>
              </w:rPr>
              <w:t>annual report to USPTO</w:t>
            </w:r>
          </w:p>
        </w:tc>
        <w:tc>
          <w:tcPr>
            <w:tcW w:w="3626" w:type="dxa"/>
            <w:shd w:val="clear" w:color="auto" w:fill="auto"/>
          </w:tcPr>
          <w:p w:rsidR="006F1E7B" w:rsidRPr="00A54DB6" w:rsidP="00A54DB6" w14:paraId="476627E6" w14:textId="677CCFB5">
            <w:pPr>
              <w:pStyle w:val="BodyText2"/>
              <w:jc w:val="center"/>
              <w:rPr>
                <w:sz w:val="16"/>
                <w:szCs w:val="16"/>
              </w:rPr>
            </w:pPr>
            <w:r>
              <w:rPr>
                <w:rFonts w:cs="Arial"/>
                <w:sz w:val="16"/>
                <w:szCs w:val="16"/>
              </w:rPr>
              <w:t>Friday</w:t>
            </w:r>
            <w:r w:rsidRPr="00A54DB6">
              <w:rPr>
                <w:rFonts w:cs="Arial"/>
                <w:sz w:val="16"/>
                <w:szCs w:val="16"/>
              </w:rPr>
              <w:t xml:space="preserve">, September </w:t>
            </w:r>
            <w:r w:rsidRPr="00A54DB6" w:rsidR="005C6655">
              <w:rPr>
                <w:rFonts w:cs="Arial"/>
                <w:sz w:val="16"/>
                <w:szCs w:val="16"/>
              </w:rPr>
              <w:t>30</w:t>
            </w:r>
          </w:p>
        </w:tc>
      </w:tr>
    </w:tbl>
    <w:p w:rsidR="00DD367B" w14:paraId="173D5EBE" w14:textId="77777777">
      <w:pPr>
        <w:pStyle w:val="BodyText2"/>
      </w:pPr>
    </w:p>
    <w:p w:rsidR="005823F2" w:rsidP="00A54DB6" w14:paraId="286854C0" w14:textId="4DCDFF62">
      <w:pPr>
        <w:ind w:left="360" w:hanging="360"/>
        <w:jc w:val="both"/>
        <w:rPr>
          <w:rFonts w:ascii="Arial" w:hAnsi="Arial"/>
          <w:b/>
          <w:sz w:val="24"/>
        </w:rPr>
      </w:pPr>
      <w:r>
        <w:rPr>
          <w:rFonts w:ascii="Arial" w:hAnsi="Arial"/>
          <w:b/>
          <w:sz w:val="24"/>
        </w:rPr>
        <w:t>17.</w:t>
      </w:r>
      <w:r>
        <w:rPr>
          <w:rFonts w:ascii="Arial" w:hAnsi="Arial"/>
          <w:b/>
          <w:sz w:val="24"/>
        </w:rPr>
        <w:tab/>
      </w:r>
      <w:bookmarkStart w:id="8" w:name="_Hlk82672826"/>
      <w:r w:rsidRPr="001D603D" w:rsidR="00C62EAE">
        <w:rPr>
          <w:rFonts w:ascii="Arial" w:hAnsi="Arial" w:cs="Arial"/>
          <w:b/>
          <w:bCs/>
          <w:sz w:val="24"/>
        </w:rPr>
        <w:t>If seeking approval to not display the expiration date for OMB approval of the information collection, explain the reasons that display would be inappropriate.</w:t>
      </w:r>
      <w:bookmarkEnd w:id="8"/>
    </w:p>
    <w:p w:rsidR="005823F2" w14:paraId="4588064B" w14:textId="77777777">
      <w:pPr>
        <w:jc w:val="both"/>
        <w:rPr>
          <w:rFonts w:ascii="Arial" w:hAnsi="Arial"/>
          <w:sz w:val="24"/>
        </w:rPr>
      </w:pPr>
    </w:p>
    <w:p w:rsidR="00EA1488" w14:paraId="1E2855A8" w14:textId="59430497">
      <w:pPr>
        <w:jc w:val="both"/>
        <w:rPr>
          <w:rFonts w:ascii="Arial" w:hAnsi="Arial"/>
          <w:sz w:val="24"/>
        </w:rPr>
      </w:pPr>
      <w:r w:rsidRPr="00EA1488">
        <w:rPr>
          <w:rFonts w:ascii="Arial" w:hAnsi="Arial"/>
          <w:sz w:val="24"/>
        </w:rPr>
        <w:t>The forms in this information collection will display the OMB Control Number and the expiration date of OMB approval.</w:t>
      </w:r>
    </w:p>
    <w:p w:rsidR="00736AA0" w14:paraId="031C3E30" w14:textId="77777777">
      <w:pPr>
        <w:jc w:val="both"/>
        <w:rPr>
          <w:rFonts w:ascii="Arial" w:hAnsi="Arial"/>
          <w:sz w:val="24"/>
        </w:rPr>
      </w:pPr>
    </w:p>
    <w:p w:rsidR="005823F2" w:rsidP="00A54DB6" w14:paraId="6D8A6644" w14:textId="72CB3B93">
      <w:pPr>
        <w:ind w:left="360" w:hanging="360"/>
        <w:jc w:val="both"/>
        <w:rPr>
          <w:rFonts w:ascii="Arial" w:hAnsi="Arial"/>
          <w:b/>
          <w:sz w:val="24"/>
        </w:rPr>
      </w:pPr>
      <w:r>
        <w:rPr>
          <w:rFonts w:ascii="Arial" w:hAnsi="Arial"/>
          <w:b/>
          <w:sz w:val="24"/>
        </w:rPr>
        <w:t>18.</w:t>
      </w:r>
      <w:r>
        <w:rPr>
          <w:rFonts w:ascii="Arial" w:hAnsi="Arial"/>
          <w:b/>
          <w:sz w:val="24"/>
        </w:rPr>
        <w:tab/>
      </w:r>
      <w:r w:rsidRPr="001D603D" w:rsidR="00C62EAE">
        <w:rPr>
          <w:rFonts w:ascii="Arial" w:hAnsi="Arial" w:cs="Arial"/>
          <w:b/>
          <w:bCs/>
          <w:sz w:val="24"/>
        </w:rPr>
        <w:t>Explain each exception to the topics of the certification statement identified in “Certification for Paperwork Reduction Act Submissions.”</w:t>
      </w:r>
    </w:p>
    <w:p w:rsidR="005823F2" w14:paraId="71822CB3" w14:textId="77777777">
      <w:pPr>
        <w:jc w:val="both"/>
        <w:rPr>
          <w:rFonts w:ascii="Arial" w:hAnsi="Arial"/>
          <w:sz w:val="24"/>
        </w:rPr>
      </w:pPr>
    </w:p>
    <w:p w:rsidR="006A652B" w:rsidRPr="001571A2" w:rsidP="001571A2" w14:paraId="135FDB0F" w14:textId="433A6ECA">
      <w:pPr>
        <w:jc w:val="both"/>
        <w:rPr>
          <w:rFonts w:ascii="Arial" w:hAnsi="Arial"/>
          <w:sz w:val="24"/>
        </w:rPr>
      </w:pPr>
      <w:r>
        <w:rPr>
          <w:rFonts w:ascii="Arial" w:hAnsi="Arial"/>
          <w:sz w:val="24"/>
        </w:rPr>
        <w:t>This collection of information does not include any exceptions to the certificate statement.</w:t>
      </w:r>
    </w:p>
    <w:sectPr w:rsidSect="009E242F">
      <w:footerReference w:type="even" r:id="rId11"/>
      <w:footerReference w:type="default" r:id="rId12"/>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2B" w14:paraId="14B860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6A652B" w14:paraId="006ABA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2B" w:rsidRPr="00A54DB6" w14:paraId="0AEDADE0" w14:textId="45BB1F38">
    <w:pPr>
      <w:pStyle w:val="Footer"/>
      <w:framePr w:wrap="around" w:vAnchor="text" w:hAnchor="margin" w:xAlign="center" w:y="1"/>
      <w:rPr>
        <w:rStyle w:val="PageNumber"/>
        <w:rFonts w:ascii="Arial" w:hAnsi="Arial" w:cs="Arial"/>
      </w:rPr>
    </w:pPr>
    <w:r w:rsidRPr="00A54DB6">
      <w:rPr>
        <w:rStyle w:val="PageNumber"/>
        <w:rFonts w:ascii="Arial" w:hAnsi="Arial" w:cs="Arial"/>
      </w:rPr>
      <w:fldChar w:fldCharType="begin"/>
    </w:r>
    <w:r w:rsidRPr="00A54DB6">
      <w:rPr>
        <w:rStyle w:val="PageNumber"/>
        <w:rFonts w:ascii="Arial" w:hAnsi="Arial" w:cs="Arial"/>
      </w:rPr>
      <w:instrText xml:space="preserve">PAGE  </w:instrText>
    </w:r>
    <w:r w:rsidRPr="00A54DB6">
      <w:rPr>
        <w:rStyle w:val="PageNumber"/>
        <w:rFonts w:ascii="Arial" w:hAnsi="Arial" w:cs="Arial"/>
      </w:rPr>
      <w:fldChar w:fldCharType="separate"/>
    </w:r>
    <w:r w:rsidRPr="00A54DB6" w:rsidR="007942A5">
      <w:rPr>
        <w:rStyle w:val="PageNumber"/>
        <w:rFonts w:ascii="Arial" w:hAnsi="Arial" w:cs="Arial"/>
        <w:noProof/>
      </w:rPr>
      <w:t>11</w:t>
    </w:r>
    <w:r w:rsidRPr="00A54DB6">
      <w:rPr>
        <w:rStyle w:val="PageNumber"/>
        <w:rFonts w:ascii="Arial" w:hAnsi="Arial" w:cs="Arial"/>
      </w:rPr>
      <w:fldChar w:fldCharType="end"/>
    </w:r>
  </w:p>
  <w:p w:rsidR="006A652B" w14:paraId="5B3419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2099" w14:paraId="3EDA957A" w14:textId="77777777">
      <w:r>
        <w:separator/>
      </w:r>
    </w:p>
  </w:footnote>
  <w:footnote w:type="continuationSeparator" w:id="1">
    <w:p w:rsidR="00402099" w14:paraId="794D8AB8" w14:textId="77777777">
      <w:r>
        <w:continuationSeparator/>
      </w:r>
    </w:p>
  </w:footnote>
  <w:footnote w:id="2">
    <w:p w:rsidR="00400AC3" w:rsidRPr="00A54DB6" w14:paraId="2F9488B8" w14:textId="2E455E97">
      <w:pPr>
        <w:pStyle w:val="FootnoteText"/>
        <w:rPr>
          <w:rFonts w:ascii="Arial" w:hAnsi="Arial" w:cs="Arial"/>
        </w:rPr>
      </w:pPr>
      <w:r w:rsidRPr="00A54DB6">
        <w:rPr>
          <w:rStyle w:val="FootnoteReference"/>
          <w:rFonts w:ascii="Arial" w:hAnsi="Arial" w:cs="Arial"/>
          <w:sz w:val="16"/>
          <w:szCs w:val="16"/>
        </w:rPr>
        <w:footnoteRef/>
      </w:r>
      <w:r w:rsidRPr="00A54DB6">
        <w:rPr>
          <w:rFonts w:ascii="Arial" w:hAnsi="Arial" w:cs="Arial"/>
          <w:sz w:val="16"/>
          <w:szCs w:val="16"/>
        </w:rPr>
        <w:t xml:space="preserve"> </w:t>
      </w:r>
      <w:hyperlink r:id="rId1" w:history="1">
        <w:r w:rsidRPr="00BF1DE1" w:rsidR="00F83E87">
          <w:rPr>
            <w:rStyle w:val="Hyperlink"/>
            <w:rFonts w:ascii="Arial" w:hAnsi="Arial" w:cs="Arial"/>
            <w:sz w:val="16"/>
            <w:szCs w:val="16"/>
          </w:rPr>
          <w:t>https://www.govinfo.gov/content/pkg/FR-2025-05-01/pdf/2025-07524.pdf</w:t>
        </w:r>
      </w:hyperlink>
      <w:r w:rsidR="00F83E87">
        <w:rPr>
          <w:rFonts w:ascii="Arial" w:hAnsi="Arial" w:cs="Arial"/>
          <w:sz w:val="16"/>
          <w:szCs w:val="16"/>
        </w:rPr>
        <w:t xml:space="preserve">. </w:t>
      </w:r>
    </w:p>
  </w:footnote>
  <w:footnote w:id="3">
    <w:p w:rsidR="00937526" w:rsidRPr="002F0312" w:rsidP="00A54DB6" w14:paraId="3C5A4EA3" w14:textId="3E39F083">
      <w:pPr>
        <w:pStyle w:val="FootnoteText"/>
        <w:jc w:val="both"/>
        <w:rPr>
          <w:rFonts w:ascii="Arial" w:hAnsi="Arial" w:cs="Arial"/>
        </w:rPr>
      </w:pPr>
      <w:r w:rsidRPr="002F0312">
        <w:rPr>
          <w:rStyle w:val="FootnoteReference"/>
          <w:rFonts w:ascii="Arial" w:hAnsi="Arial" w:cs="Arial"/>
        </w:rPr>
        <w:footnoteRef/>
      </w:r>
      <w:r w:rsidRPr="002F0312">
        <w:rPr>
          <w:rFonts w:ascii="Arial" w:hAnsi="Arial" w:cs="Arial"/>
        </w:rPr>
        <w:t xml:space="preserve"> </w:t>
      </w:r>
      <w:bookmarkStart w:id="3" w:name="_Hlk153975013"/>
      <w:r w:rsidRPr="00A736CE" w:rsidR="00661888">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(https://www.aipla.org/home/news-publications/economic-survey</w:t>
      </w:r>
      <w:bookmarkEnd w:id="3"/>
      <w:r w:rsidRPr="002F0312">
        <w:rPr>
          <w:rFonts w:ascii="Arial" w:hAnsi="Arial" w:cs="Arial"/>
          <w:sz w:val="16"/>
        </w:rPr>
        <w:t>)</w:t>
      </w:r>
      <w:r w:rsidR="0021634B">
        <w:rPr>
          <w:rFonts w:ascii="Arial" w:hAnsi="Arial" w:cs="Arial"/>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4F13"/>
    <w:multiLevelType w:val="hybridMultilevel"/>
    <w:tmpl w:val="612414F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B461C20"/>
    <w:multiLevelType w:val="hybridMultilevel"/>
    <w:tmpl w:val="58DC55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D535D7C"/>
    <w:multiLevelType w:val="hybridMultilevel"/>
    <w:tmpl w:val="45C863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B03AFA"/>
    <w:multiLevelType w:val="hybridMultilevel"/>
    <w:tmpl w:val="783C0C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25432D58"/>
    <w:multiLevelType w:val="hybridMultilevel"/>
    <w:tmpl w:val="0CE053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7A4955"/>
    <w:multiLevelType w:val="hybridMultilevel"/>
    <w:tmpl w:val="171273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2B0B7554"/>
    <w:multiLevelType w:val="hybridMultilevel"/>
    <w:tmpl w:val="C74E8C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2C7A7135"/>
    <w:multiLevelType w:val="hybridMultilevel"/>
    <w:tmpl w:val="A67E9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BF21E4"/>
    <w:multiLevelType w:val="hybridMultilevel"/>
    <w:tmpl w:val="D1A401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ED8565B"/>
    <w:multiLevelType w:val="hybridMultilevel"/>
    <w:tmpl w:val="5C8CF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1E71F1B"/>
    <w:multiLevelType w:val="hybridMultilevel"/>
    <w:tmpl w:val="ACC4629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8E90460"/>
    <w:multiLevelType w:val="hybridMultilevel"/>
    <w:tmpl w:val="271A6490"/>
    <w:lvl w:ilvl="0">
      <w:start w:val="8"/>
      <w:numFmt w:val="decimal"/>
      <w:lvlText w:val="%1."/>
      <w:lvlJc w:val="left"/>
      <w:pPr>
        <w:tabs>
          <w:tab w:val="num" w:pos="720"/>
        </w:tabs>
        <w:ind w:left="720" w:hanging="720"/>
      </w:pPr>
      <w:rPr>
        <w:rFonts w:hint="default"/>
        <w:sz w:val="24"/>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F80824"/>
    <w:multiLevelType w:val="hybridMultilevel"/>
    <w:tmpl w:val="E5A23CE4"/>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43746C51"/>
    <w:multiLevelType w:val="hybridMultilevel"/>
    <w:tmpl w:val="44EA3D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44FC3550"/>
    <w:multiLevelType w:val="hybridMultilevel"/>
    <w:tmpl w:val="BF244E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73335B8"/>
    <w:multiLevelType w:val="hybridMultilevel"/>
    <w:tmpl w:val="36BAC4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BBE0B34"/>
    <w:multiLevelType w:val="hybridMultilevel"/>
    <w:tmpl w:val="EF621430"/>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2">
    <w:nsid w:val="4F2A546C"/>
    <w:multiLevelType w:val="hybridMultilevel"/>
    <w:tmpl w:val="F49A75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04B2608"/>
    <w:multiLevelType w:val="hybridMultilevel"/>
    <w:tmpl w:val="873A5C42"/>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563B6EE7"/>
    <w:multiLevelType w:val="hybridMultilevel"/>
    <w:tmpl w:val="B130F1A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3D7159"/>
    <w:multiLevelType w:val="hybridMultilevel"/>
    <w:tmpl w:val="200CE7E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9D04395"/>
    <w:multiLevelType w:val="hybridMultilevel"/>
    <w:tmpl w:val="011CD6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14A1A49"/>
    <w:multiLevelType w:val="hybridMultilevel"/>
    <w:tmpl w:val="3A02B36A"/>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63225553"/>
    <w:multiLevelType w:val="hybridMultilevel"/>
    <w:tmpl w:val="1D42B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2532742"/>
    <w:multiLevelType w:val="hybridMultilevel"/>
    <w:tmpl w:val="0DA2859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593273341">
    <w:abstractNumId w:val="29"/>
  </w:num>
  <w:num w:numId="2" w16cid:durableId="1227958837">
    <w:abstractNumId w:val="20"/>
  </w:num>
  <w:num w:numId="3" w16cid:durableId="514273491">
    <w:abstractNumId w:val="11"/>
  </w:num>
  <w:num w:numId="4" w16cid:durableId="1602103786">
    <w:abstractNumId w:val="31"/>
  </w:num>
  <w:num w:numId="5" w16cid:durableId="1708681750">
    <w:abstractNumId w:val="3"/>
  </w:num>
  <w:num w:numId="6" w16cid:durableId="310452157">
    <w:abstractNumId w:val="26"/>
  </w:num>
  <w:num w:numId="7" w16cid:durableId="235170653">
    <w:abstractNumId w:val="9"/>
  </w:num>
  <w:num w:numId="8" w16cid:durableId="1612735585">
    <w:abstractNumId w:val="17"/>
  </w:num>
  <w:num w:numId="9" w16cid:durableId="246116293">
    <w:abstractNumId w:val="0"/>
  </w:num>
  <w:num w:numId="10" w16cid:durableId="246504727">
    <w:abstractNumId w:val="30"/>
  </w:num>
  <w:num w:numId="11" w16cid:durableId="506361691">
    <w:abstractNumId w:val="16"/>
  </w:num>
  <w:num w:numId="12" w16cid:durableId="865874750">
    <w:abstractNumId w:val="14"/>
  </w:num>
  <w:num w:numId="13" w16cid:durableId="1109660066">
    <w:abstractNumId w:val="6"/>
  </w:num>
  <w:num w:numId="14" w16cid:durableId="1030182142">
    <w:abstractNumId w:val="2"/>
  </w:num>
  <w:num w:numId="15" w16cid:durableId="1961254351">
    <w:abstractNumId w:val="22"/>
  </w:num>
  <w:num w:numId="16" w16cid:durableId="471019916">
    <w:abstractNumId w:val="1"/>
  </w:num>
  <w:num w:numId="17" w16cid:durableId="1412001942">
    <w:abstractNumId w:val="27"/>
  </w:num>
  <w:num w:numId="18" w16cid:durableId="1810591151">
    <w:abstractNumId w:val="25"/>
  </w:num>
  <w:num w:numId="19" w16cid:durableId="1423448610">
    <w:abstractNumId w:val="13"/>
  </w:num>
  <w:num w:numId="20" w16cid:durableId="827287002">
    <w:abstractNumId w:val="19"/>
  </w:num>
  <w:num w:numId="21" w16cid:durableId="1917206227">
    <w:abstractNumId w:val="23"/>
  </w:num>
  <w:num w:numId="22" w16cid:durableId="2023777042">
    <w:abstractNumId w:val="4"/>
  </w:num>
  <w:num w:numId="23" w16cid:durableId="533924962">
    <w:abstractNumId w:val="10"/>
  </w:num>
  <w:num w:numId="24" w16cid:durableId="2079400674">
    <w:abstractNumId w:val="24"/>
  </w:num>
  <w:num w:numId="25" w16cid:durableId="708534752">
    <w:abstractNumId w:val="21"/>
  </w:num>
  <w:num w:numId="26" w16cid:durableId="920874004">
    <w:abstractNumId w:val="28"/>
  </w:num>
  <w:num w:numId="27" w16cid:durableId="1143426615">
    <w:abstractNumId w:val="5"/>
  </w:num>
  <w:num w:numId="28" w16cid:durableId="684331644">
    <w:abstractNumId w:val="18"/>
  </w:num>
  <w:num w:numId="29" w16cid:durableId="29765250">
    <w:abstractNumId w:val="8"/>
  </w:num>
  <w:num w:numId="30" w16cid:durableId="186480456">
    <w:abstractNumId w:val="12"/>
  </w:num>
  <w:num w:numId="31" w16cid:durableId="329721445">
    <w:abstractNumId w:val="15"/>
  </w:num>
  <w:num w:numId="32" w16cid:durableId="380791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85"/>
    <w:rsid w:val="00000744"/>
    <w:rsid w:val="000061EE"/>
    <w:rsid w:val="000126F5"/>
    <w:rsid w:val="00013492"/>
    <w:rsid w:val="00013BE9"/>
    <w:rsid w:val="00015E05"/>
    <w:rsid w:val="00016017"/>
    <w:rsid w:val="000179EF"/>
    <w:rsid w:val="00021253"/>
    <w:rsid w:val="00022C3D"/>
    <w:rsid w:val="00023019"/>
    <w:rsid w:val="00023DEE"/>
    <w:rsid w:val="00026E75"/>
    <w:rsid w:val="00027904"/>
    <w:rsid w:val="000360D8"/>
    <w:rsid w:val="000376C5"/>
    <w:rsid w:val="00040006"/>
    <w:rsid w:val="00043DD7"/>
    <w:rsid w:val="00044A36"/>
    <w:rsid w:val="000452C3"/>
    <w:rsid w:val="00047C14"/>
    <w:rsid w:val="00050082"/>
    <w:rsid w:val="00051672"/>
    <w:rsid w:val="00052E6A"/>
    <w:rsid w:val="00053A0A"/>
    <w:rsid w:val="000613F0"/>
    <w:rsid w:val="00061B97"/>
    <w:rsid w:val="00063B06"/>
    <w:rsid w:val="00064504"/>
    <w:rsid w:val="00065540"/>
    <w:rsid w:val="00067175"/>
    <w:rsid w:val="00071583"/>
    <w:rsid w:val="00071BD6"/>
    <w:rsid w:val="00072F1F"/>
    <w:rsid w:val="000734A3"/>
    <w:rsid w:val="0007354D"/>
    <w:rsid w:val="00074497"/>
    <w:rsid w:val="000754C2"/>
    <w:rsid w:val="00075ADB"/>
    <w:rsid w:val="00082EA6"/>
    <w:rsid w:val="00083F86"/>
    <w:rsid w:val="00084766"/>
    <w:rsid w:val="000872F2"/>
    <w:rsid w:val="00093639"/>
    <w:rsid w:val="00094299"/>
    <w:rsid w:val="00094635"/>
    <w:rsid w:val="00095A3C"/>
    <w:rsid w:val="00096282"/>
    <w:rsid w:val="0009652F"/>
    <w:rsid w:val="00096B82"/>
    <w:rsid w:val="00096CE6"/>
    <w:rsid w:val="000A01A8"/>
    <w:rsid w:val="000A20E1"/>
    <w:rsid w:val="000B245E"/>
    <w:rsid w:val="000C10BD"/>
    <w:rsid w:val="000C14D4"/>
    <w:rsid w:val="000C1622"/>
    <w:rsid w:val="000C663F"/>
    <w:rsid w:val="000C7CE5"/>
    <w:rsid w:val="000D14A6"/>
    <w:rsid w:val="000D5B9B"/>
    <w:rsid w:val="000D6D05"/>
    <w:rsid w:val="000D70E5"/>
    <w:rsid w:val="000F0E8F"/>
    <w:rsid w:val="000F1649"/>
    <w:rsid w:val="000F1D98"/>
    <w:rsid w:val="000F24DE"/>
    <w:rsid w:val="000F638B"/>
    <w:rsid w:val="000F6D8A"/>
    <w:rsid w:val="0010166B"/>
    <w:rsid w:val="001022B6"/>
    <w:rsid w:val="00104DFA"/>
    <w:rsid w:val="00105A3C"/>
    <w:rsid w:val="001063AF"/>
    <w:rsid w:val="00107177"/>
    <w:rsid w:val="00107288"/>
    <w:rsid w:val="00113829"/>
    <w:rsid w:val="00113D67"/>
    <w:rsid w:val="00113EF1"/>
    <w:rsid w:val="00114635"/>
    <w:rsid w:val="00120FE3"/>
    <w:rsid w:val="00122441"/>
    <w:rsid w:val="0012436B"/>
    <w:rsid w:val="00124631"/>
    <w:rsid w:val="00124964"/>
    <w:rsid w:val="001269C4"/>
    <w:rsid w:val="001276ED"/>
    <w:rsid w:val="00127F24"/>
    <w:rsid w:val="00131D1F"/>
    <w:rsid w:val="001335F5"/>
    <w:rsid w:val="0014618B"/>
    <w:rsid w:val="00151DA3"/>
    <w:rsid w:val="00152CCD"/>
    <w:rsid w:val="00155D73"/>
    <w:rsid w:val="001571A2"/>
    <w:rsid w:val="001640E6"/>
    <w:rsid w:val="00164C92"/>
    <w:rsid w:val="001665A8"/>
    <w:rsid w:val="00166ED5"/>
    <w:rsid w:val="00167DA9"/>
    <w:rsid w:val="0017227B"/>
    <w:rsid w:val="00172EDB"/>
    <w:rsid w:val="0017598A"/>
    <w:rsid w:val="00176F36"/>
    <w:rsid w:val="00177513"/>
    <w:rsid w:val="001806F3"/>
    <w:rsid w:val="00181A4C"/>
    <w:rsid w:val="00183B1E"/>
    <w:rsid w:val="00185E73"/>
    <w:rsid w:val="00186ED5"/>
    <w:rsid w:val="00187EEA"/>
    <w:rsid w:val="001907D7"/>
    <w:rsid w:val="00191049"/>
    <w:rsid w:val="001920AB"/>
    <w:rsid w:val="001944BE"/>
    <w:rsid w:val="00195742"/>
    <w:rsid w:val="00195BE3"/>
    <w:rsid w:val="0019614F"/>
    <w:rsid w:val="001968F9"/>
    <w:rsid w:val="00197746"/>
    <w:rsid w:val="001A07AE"/>
    <w:rsid w:val="001A0EDE"/>
    <w:rsid w:val="001A1734"/>
    <w:rsid w:val="001A3904"/>
    <w:rsid w:val="001A4189"/>
    <w:rsid w:val="001B2D92"/>
    <w:rsid w:val="001B622D"/>
    <w:rsid w:val="001C567D"/>
    <w:rsid w:val="001C60B0"/>
    <w:rsid w:val="001C6B22"/>
    <w:rsid w:val="001C7310"/>
    <w:rsid w:val="001D0782"/>
    <w:rsid w:val="001D1EE9"/>
    <w:rsid w:val="001D39EC"/>
    <w:rsid w:val="001D5FF6"/>
    <w:rsid w:val="001D603D"/>
    <w:rsid w:val="001D68E0"/>
    <w:rsid w:val="001D7CC7"/>
    <w:rsid w:val="001E051A"/>
    <w:rsid w:val="001E0DEE"/>
    <w:rsid w:val="001E198B"/>
    <w:rsid w:val="001E1B25"/>
    <w:rsid w:val="001E5870"/>
    <w:rsid w:val="001E77EE"/>
    <w:rsid w:val="001F1358"/>
    <w:rsid w:val="001F2158"/>
    <w:rsid w:val="001F2437"/>
    <w:rsid w:val="001F2818"/>
    <w:rsid w:val="001F3A21"/>
    <w:rsid w:val="001F59D7"/>
    <w:rsid w:val="00202B02"/>
    <w:rsid w:val="0021342F"/>
    <w:rsid w:val="00213E5B"/>
    <w:rsid w:val="00214043"/>
    <w:rsid w:val="0021543E"/>
    <w:rsid w:val="00215B61"/>
    <w:rsid w:val="00215D10"/>
    <w:rsid w:val="0021634B"/>
    <w:rsid w:val="00220678"/>
    <w:rsid w:val="00223C13"/>
    <w:rsid w:val="002313F5"/>
    <w:rsid w:val="00232D19"/>
    <w:rsid w:val="00234754"/>
    <w:rsid w:val="00234DD8"/>
    <w:rsid w:val="002436C1"/>
    <w:rsid w:val="002437DE"/>
    <w:rsid w:val="002457BF"/>
    <w:rsid w:val="00254680"/>
    <w:rsid w:val="002670E7"/>
    <w:rsid w:val="00267C7D"/>
    <w:rsid w:val="00271292"/>
    <w:rsid w:val="002715B1"/>
    <w:rsid w:val="002753C3"/>
    <w:rsid w:val="002756B0"/>
    <w:rsid w:val="002767D1"/>
    <w:rsid w:val="0028214E"/>
    <w:rsid w:val="00286CA2"/>
    <w:rsid w:val="00286FCD"/>
    <w:rsid w:val="00287E45"/>
    <w:rsid w:val="00293802"/>
    <w:rsid w:val="00293A16"/>
    <w:rsid w:val="00296986"/>
    <w:rsid w:val="00296A0C"/>
    <w:rsid w:val="00297F8E"/>
    <w:rsid w:val="002A5462"/>
    <w:rsid w:val="002B2627"/>
    <w:rsid w:val="002B3073"/>
    <w:rsid w:val="002B3B15"/>
    <w:rsid w:val="002B4322"/>
    <w:rsid w:val="002B6887"/>
    <w:rsid w:val="002B6E82"/>
    <w:rsid w:val="002B7578"/>
    <w:rsid w:val="002C206A"/>
    <w:rsid w:val="002C26FC"/>
    <w:rsid w:val="002C7A5F"/>
    <w:rsid w:val="002D6C0B"/>
    <w:rsid w:val="002E12E6"/>
    <w:rsid w:val="002E1DBE"/>
    <w:rsid w:val="002E69CC"/>
    <w:rsid w:val="002F0312"/>
    <w:rsid w:val="002F0361"/>
    <w:rsid w:val="002F0917"/>
    <w:rsid w:val="002F0B15"/>
    <w:rsid w:val="002F1185"/>
    <w:rsid w:val="002F2138"/>
    <w:rsid w:val="002F2262"/>
    <w:rsid w:val="002F590B"/>
    <w:rsid w:val="00305D9F"/>
    <w:rsid w:val="003114B3"/>
    <w:rsid w:val="0031159D"/>
    <w:rsid w:val="00311608"/>
    <w:rsid w:val="00313C58"/>
    <w:rsid w:val="003226AE"/>
    <w:rsid w:val="003265B4"/>
    <w:rsid w:val="00333B58"/>
    <w:rsid w:val="00335BFE"/>
    <w:rsid w:val="0034015E"/>
    <w:rsid w:val="00342051"/>
    <w:rsid w:val="0034216D"/>
    <w:rsid w:val="00342D01"/>
    <w:rsid w:val="00343E2C"/>
    <w:rsid w:val="003467D9"/>
    <w:rsid w:val="00350A7E"/>
    <w:rsid w:val="0035330C"/>
    <w:rsid w:val="00370C97"/>
    <w:rsid w:val="00371EF2"/>
    <w:rsid w:val="00372FBC"/>
    <w:rsid w:val="00374769"/>
    <w:rsid w:val="00377741"/>
    <w:rsid w:val="00380406"/>
    <w:rsid w:val="00392705"/>
    <w:rsid w:val="00393524"/>
    <w:rsid w:val="00393734"/>
    <w:rsid w:val="003940C1"/>
    <w:rsid w:val="00394479"/>
    <w:rsid w:val="00396E93"/>
    <w:rsid w:val="00397BAB"/>
    <w:rsid w:val="003A14A9"/>
    <w:rsid w:val="003A2D2A"/>
    <w:rsid w:val="003A4071"/>
    <w:rsid w:val="003A5A52"/>
    <w:rsid w:val="003A65E3"/>
    <w:rsid w:val="003A7763"/>
    <w:rsid w:val="003B30BA"/>
    <w:rsid w:val="003B3274"/>
    <w:rsid w:val="003B3C91"/>
    <w:rsid w:val="003C106A"/>
    <w:rsid w:val="003C47F7"/>
    <w:rsid w:val="003C4EFB"/>
    <w:rsid w:val="003C6C79"/>
    <w:rsid w:val="003C778F"/>
    <w:rsid w:val="003D2A30"/>
    <w:rsid w:val="003D2DCA"/>
    <w:rsid w:val="003D4C85"/>
    <w:rsid w:val="003E2B60"/>
    <w:rsid w:val="003E3718"/>
    <w:rsid w:val="003F1B47"/>
    <w:rsid w:val="003F5B12"/>
    <w:rsid w:val="00400AC3"/>
    <w:rsid w:val="00401477"/>
    <w:rsid w:val="00402099"/>
    <w:rsid w:val="004100B7"/>
    <w:rsid w:val="00410E7E"/>
    <w:rsid w:val="004123B8"/>
    <w:rsid w:val="00416CAD"/>
    <w:rsid w:val="00421C5D"/>
    <w:rsid w:val="0042230D"/>
    <w:rsid w:val="00423FDE"/>
    <w:rsid w:val="004250AB"/>
    <w:rsid w:val="00426538"/>
    <w:rsid w:val="0042781E"/>
    <w:rsid w:val="00431213"/>
    <w:rsid w:val="00431390"/>
    <w:rsid w:val="00431603"/>
    <w:rsid w:val="00431EFB"/>
    <w:rsid w:val="0044016C"/>
    <w:rsid w:val="0044246C"/>
    <w:rsid w:val="00442B99"/>
    <w:rsid w:val="00452497"/>
    <w:rsid w:val="00454D1D"/>
    <w:rsid w:val="00456443"/>
    <w:rsid w:val="00460453"/>
    <w:rsid w:val="00461E60"/>
    <w:rsid w:val="00471C29"/>
    <w:rsid w:val="00472493"/>
    <w:rsid w:val="00474578"/>
    <w:rsid w:val="004746B3"/>
    <w:rsid w:val="00476E0B"/>
    <w:rsid w:val="004821F0"/>
    <w:rsid w:val="00482FA4"/>
    <w:rsid w:val="0048357C"/>
    <w:rsid w:val="00485301"/>
    <w:rsid w:val="00485F98"/>
    <w:rsid w:val="00486D12"/>
    <w:rsid w:val="00491D35"/>
    <w:rsid w:val="00495DCE"/>
    <w:rsid w:val="004977CE"/>
    <w:rsid w:val="004A087D"/>
    <w:rsid w:val="004A0A8C"/>
    <w:rsid w:val="004A14AF"/>
    <w:rsid w:val="004A3C42"/>
    <w:rsid w:val="004A42F8"/>
    <w:rsid w:val="004A43EC"/>
    <w:rsid w:val="004A62B4"/>
    <w:rsid w:val="004A7778"/>
    <w:rsid w:val="004B1646"/>
    <w:rsid w:val="004B212F"/>
    <w:rsid w:val="004B519A"/>
    <w:rsid w:val="004B7F94"/>
    <w:rsid w:val="004C1E4C"/>
    <w:rsid w:val="004C362F"/>
    <w:rsid w:val="004C4EBC"/>
    <w:rsid w:val="004C57F6"/>
    <w:rsid w:val="004D3577"/>
    <w:rsid w:val="004D50AB"/>
    <w:rsid w:val="004D6A50"/>
    <w:rsid w:val="004E7394"/>
    <w:rsid w:val="004F353D"/>
    <w:rsid w:val="004F68A4"/>
    <w:rsid w:val="00503DCF"/>
    <w:rsid w:val="00514B24"/>
    <w:rsid w:val="00515BFD"/>
    <w:rsid w:val="00517F0D"/>
    <w:rsid w:val="0052480A"/>
    <w:rsid w:val="00531340"/>
    <w:rsid w:val="00531AED"/>
    <w:rsid w:val="00532FFC"/>
    <w:rsid w:val="00533568"/>
    <w:rsid w:val="0053401A"/>
    <w:rsid w:val="005354EE"/>
    <w:rsid w:val="00541309"/>
    <w:rsid w:val="00541A39"/>
    <w:rsid w:val="00541A76"/>
    <w:rsid w:val="00541EAA"/>
    <w:rsid w:val="00545204"/>
    <w:rsid w:val="005457D4"/>
    <w:rsid w:val="00546209"/>
    <w:rsid w:val="00546953"/>
    <w:rsid w:val="005505D5"/>
    <w:rsid w:val="00551396"/>
    <w:rsid w:val="0055352A"/>
    <w:rsid w:val="005550BC"/>
    <w:rsid w:val="0055525C"/>
    <w:rsid w:val="00555847"/>
    <w:rsid w:val="00555993"/>
    <w:rsid w:val="005576A4"/>
    <w:rsid w:val="005578B2"/>
    <w:rsid w:val="005578F2"/>
    <w:rsid w:val="005601F3"/>
    <w:rsid w:val="005627BF"/>
    <w:rsid w:val="00572067"/>
    <w:rsid w:val="00573C37"/>
    <w:rsid w:val="00574172"/>
    <w:rsid w:val="005767AA"/>
    <w:rsid w:val="00581315"/>
    <w:rsid w:val="005823F2"/>
    <w:rsid w:val="00583435"/>
    <w:rsid w:val="00584297"/>
    <w:rsid w:val="00587F68"/>
    <w:rsid w:val="00591BBD"/>
    <w:rsid w:val="005942B4"/>
    <w:rsid w:val="005948C7"/>
    <w:rsid w:val="005951E0"/>
    <w:rsid w:val="00595E0B"/>
    <w:rsid w:val="005A4A11"/>
    <w:rsid w:val="005A5D46"/>
    <w:rsid w:val="005B4235"/>
    <w:rsid w:val="005B5584"/>
    <w:rsid w:val="005B5A2C"/>
    <w:rsid w:val="005C065A"/>
    <w:rsid w:val="005C2BBE"/>
    <w:rsid w:val="005C396C"/>
    <w:rsid w:val="005C47EA"/>
    <w:rsid w:val="005C6655"/>
    <w:rsid w:val="005D0E7B"/>
    <w:rsid w:val="005D37FA"/>
    <w:rsid w:val="005D3BB6"/>
    <w:rsid w:val="005E16D9"/>
    <w:rsid w:val="005E591E"/>
    <w:rsid w:val="005F2D46"/>
    <w:rsid w:val="005F30A7"/>
    <w:rsid w:val="005F3E65"/>
    <w:rsid w:val="006009F5"/>
    <w:rsid w:val="00610E80"/>
    <w:rsid w:val="0061478D"/>
    <w:rsid w:val="00616112"/>
    <w:rsid w:val="00616EC6"/>
    <w:rsid w:val="00620068"/>
    <w:rsid w:val="006206A5"/>
    <w:rsid w:val="006244DA"/>
    <w:rsid w:val="00624C74"/>
    <w:rsid w:val="006270A9"/>
    <w:rsid w:val="0063287E"/>
    <w:rsid w:val="00632FB6"/>
    <w:rsid w:val="00643569"/>
    <w:rsid w:val="00644440"/>
    <w:rsid w:val="006451CF"/>
    <w:rsid w:val="006506BA"/>
    <w:rsid w:val="00652D30"/>
    <w:rsid w:val="00654E7A"/>
    <w:rsid w:val="006569F2"/>
    <w:rsid w:val="006608DB"/>
    <w:rsid w:val="00661888"/>
    <w:rsid w:val="00662D8C"/>
    <w:rsid w:val="00663B88"/>
    <w:rsid w:val="006672E9"/>
    <w:rsid w:val="006723FA"/>
    <w:rsid w:val="00674ED4"/>
    <w:rsid w:val="006772D2"/>
    <w:rsid w:val="00680C8F"/>
    <w:rsid w:val="00681D8C"/>
    <w:rsid w:val="00681EA6"/>
    <w:rsid w:val="006823DF"/>
    <w:rsid w:val="00682A0B"/>
    <w:rsid w:val="00683F60"/>
    <w:rsid w:val="006848C9"/>
    <w:rsid w:val="00686544"/>
    <w:rsid w:val="00687100"/>
    <w:rsid w:val="00692506"/>
    <w:rsid w:val="0069301A"/>
    <w:rsid w:val="0069659B"/>
    <w:rsid w:val="00696931"/>
    <w:rsid w:val="006971DA"/>
    <w:rsid w:val="006A0B37"/>
    <w:rsid w:val="006A1F4F"/>
    <w:rsid w:val="006A47E6"/>
    <w:rsid w:val="006A5E31"/>
    <w:rsid w:val="006A652B"/>
    <w:rsid w:val="006A6BD2"/>
    <w:rsid w:val="006A73AE"/>
    <w:rsid w:val="006B2FA3"/>
    <w:rsid w:val="006C345D"/>
    <w:rsid w:val="006C5100"/>
    <w:rsid w:val="006C57E9"/>
    <w:rsid w:val="006D0D64"/>
    <w:rsid w:val="006D1FCE"/>
    <w:rsid w:val="006D28FB"/>
    <w:rsid w:val="006D3DB0"/>
    <w:rsid w:val="006D4BFE"/>
    <w:rsid w:val="006D5CBC"/>
    <w:rsid w:val="006D6C58"/>
    <w:rsid w:val="006E468E"/>
    <w:rsid w:val="006F1E7B"/>
    <w:rsid w:val="006F25DD"/>
    <w:rsid w:val="006F4C24"/>
    <w:rsid w:val="006F56B9"/>
    <w:rsid w:val="006F63D5"/>
    <w:rsid w:val="00700C0F"/>
    <w:rsid w:val="00701240"/>
    <w:rsid w:val="00702019"/>
    <w:rsid w:val="00707712"/>
    <w:rsid w:val="007131EF"/>
    <w:rsid w:val="007147BA"/>
    <w:rsid w:val="00714C5A"/>
    <w:rsid w:val="00720796"/>
    <w:rsid w:val="00721422"/>
    <w:rsid w:val="00725C07"/>
    <w:rsid w:val="00725CA2"/>
    <w:rsid w:val="00731A50"/>
    <w:rsid w:val="0073449B"/>
    <w:rsid w:val="00734A11"/>
    <w:rsid w:val="00734CC9"/>
    <w:rsid w:val="00735DF8"/>
    <w:rsid w:val="00736AA0"/>
    <w:rsid w:val="00736FEF"/>
    <w:rsid w:val="00741967"/>
    <w:rsid w:val="00744F85"/>
    <w:rsid w:val="00751C75"/>
    <w:rsid w:val="00754F28"/>
    <w:rsid w:val="00757CFC"/>
    <w:rsid w:val="00762525"/>
    <w:rsid w:val="007635BA"/>
    <w:rsid w:val="007639F1"/>
    <w:rsid w:val="00766CDA"/>
    <w:rsid w:val="00767529"/>
    <w:rsid w:val="007718CE"/>
    <w:rsid w:val="00773778"/>
    <w:rsid w:val="0077637E"/>
    <w:rsid w:val="00776677"/>
    <w:rsid w:val="00781800"/>
    <w:rsid w:val="007819EC"/>
    <w:rsid w:val="00792200"/>
    <w:rsid w:val="00792B37"/>
    <w:rsid w:val="007935D3"/>
    <w:rsid w:val="007942A5"/>
    <w:rsid w:val="00796853"/>
    <w:rsid w:val="00797019"/>
    <w:rsid w:val="007A15A7"/>
    <w:rsid w:val="007A636A"/>
    <w:rsid w:val="007A74FC"/>
    <w:rsid w:val="007B12BE"/>
    <w:rsid w:val="007B3540"/>
    <w:rsid w:val="007C1FCC"/>
    <w:rsid w:val="007C5F1F"/>
    <w:rsid w:val="007C6259"/>
    <w:rsid w:val="007C68FB"/>
    <w:rsid w:val="007D0023"/>
    <w:rsid w:val="007D1A82"/>
    <w:rsid w:val="007D55C8"/>
    <w:rsid w:val="007D5B60"/>
    <w:rsid w:val="007D5C72"/>
    <w:rsid w:val="007D6FE1"/>
    <w:rsid w:val="007E1883"/>
    <w:rsid w:val="007E3251"/>
    <w:rsid w:val="007E3C56"/>
    <w:rsid w:val="007E3E06"/>
    <w:rsid w:val="007E5ABF"/>
    <w:rsid w:val="007F079D"/>
    <w:rsid w:val="007F0E9D"/>
    <w:rsid w:val="007F10E5"/>
    <w:rsid w:val="007F1A38"/>
    <w:rsid w:val="0080718B"/>
    <w:rsid w:val="00817D06"/>
    <w:rsid w:val="00820020"/>
    <w:rsid w:val="00824283"/>
    <w:rsid w:val="00840A73"/>
    <w:rsid w:val="00853D3F"/>
    <w:rsid w:val="00854ADA"/>
    <w:rsid w:val="008560ED"/>
    <w:rsid w:val="008570F3"/>
    <w:rsid w:val="00857153"/>
    <w:rsid w:val="00861121"/>
    <w:rsid w:val="00861436"/>
    <w:rsid w:val="00861B98"/>
    <w:rsid w:val="0086326A"/>
    <w:rsid w:val="00864A99"/>
    <w:rsid w:val="008660F2"/>
    <w:rsid w:val="0087292C"/>
    <w:rsid w:val="008768EE"/>
    <w:rsid w:val="00881FB7"/>
    <w:rsid w:val="008833E0"/>
    <w:rsid w:val="008859D2"/>
    <w:rsid w:val="008866E5"/>
    <w:rsid w:val="008875E8"/>
    <w:rsid w:val="00890D22"/>
    <w:rsid w:val="00896FE6"/>
    <w:rsid w:val="008A2450"/>
    <w:rsid w:val="008A3C85"/>
    <w:rsid w:val="008A4091"/>
    <w:rsid w:val="008A4402"/>
    <w:rsid w:val="008A6B1C"/>
    <w:rsid w:val="008A7CE0"/>
    <w:rsid w:val="008B0100"/>
    <w:rsid w:val="008B15D7"/>
    <w:rsid w:val="008B5F88"/>
    <w:rsid w:val="008B662D"/>
    <w:rsid w:val="008B66A2"/>
    <w:rsid w:val="008C12B8"/>
    <w:rsid w:val="008C2DEC"/>
    <w:rsid w:val="008C4052"/>
    <w:rsid w:val="008C6665"/>
    <w:rsid w:val="008D2243"/>
    <w:rsid w:val="008D2B85"/>
    <w:rsid w:val="008D3D05"/>
    <w:rsid w:val="008D4143"/>
    <w:rsid w:val="008D5E13"/>
    <w:rsid w:val="008E5175"/>
    <w:rsid w:val="008E6346"/>
    <w:rsid w:val="008E694D"/>
    <w:rsid w:val="008F15CC"/>
    <w:rsid w:val="008F448B"/>
    <w:rsid w:val="008F64A5"/>
    <w:rsid w:val="0090056A"/>
    <w:rsid w:val="00900747"/>
    <w:rsid w:val="009007B5"/>
    <w:rsid w:val="00900C2C"/>
    <w:rsid w:val="00900ED7"/>
    <w:rsid w:val="009039D0"/>
    <w:rsid w:val="00906BFA"/>
    <w:rsid w:val="009077D2"/>
    <w:rsid w:val="00920986"/>
    <w:rsid w:val="00923AC9"/>
    <w:rsid w:val="009261FF"/>
    <w:rsid w:val="00930013"/>
    <w:rsid w:val="00933485"/>
    <w:rsid w:val="00933761"/>
    <w:rsid w:val="009347C0"/>
    <w:rsid w:val="00934CC9"/>
    <w:rsid w:val="009350E9"/>
    <w:rsid w:val="00935A60"/>
    <w:rsid w:val="00937526"/>
    <w:rsid w:val="00943702"/>
    <w:rsid w:val="009474D6"/>
    <w:rsid w:val="00947CA9"/>
    <w:rsid w:val="00947CB1"/>
    <w:rsid w:val="00950D54"/>
    <w:rsid w:val="009510AF"/>
    <w:rsid w:val="00951C8E"/>
    <w:rsid w:val="00952224"/>
    <w:rsid w:val="00954771"/>
    <w:rsid w:val="00956E92"/>
    <w:rsid w:val="00957459"/>
    <w:rsid w:val="00960583"/>
    <w:rsid w:val="00960EE4"/>
    <w:rsid w:val="009610EE"/>
    <w:rsid w:val="009613E6"/>
    <w:rsid w:val="009660BE"/>
    <w:rsid w:val="0096748D"/>
    <w:rsid w:val="0096772B"/>
    <w:rsid w:val="00970711"/>
    <w:rsid w:val="009721DC"/>
    <w:rsid w:val="00973841"/>
    <w:rsid w:val="00973D76"/>
    <w:rsid w:val="00974C73"/>
    <w:rsid w:val="00974E5D"/>
    <w:rsid w:val="00975CAC"/>
    <w:rsid w:val="00977CF1"/>
    <w:rsid w:val="00982180"/>
    <w:rsid w:val="009823FC"/>
    <w:rsid w:val="0099151C"/>
    <w:rsid w:val="0099171F"/>
    <w:rsid w:val="00993B3F"/>
    <w:rsid w:val="009961FE"/>
    <w:rsid w:val="0099732F"/>
    <w:rsid w:val="0099772F"/>
    <w:rsid w:val="009A0910"/>
    <w:rsid w:val="009A31FE"/>
    <w:rsid w:val="009A5703"/>
    <w:rsid w:val="009A59BA"/>
    <w:rsid w:val="009B4C29"/>
    <w:rsid w:val="009B5ACD"/>
    <w:rsid w:val="009C008D"/>
    <w:rsid w:val="009C1D68"/>
    <w:rsid w:val="009C20B8"/>
    <w:rsid w:val="009C22C1"/>
    <w:rsid w:val="009C3DFD"/>
    <w:rsid w:val="009C647A"/>
    <w:rsid w:val="009D0209"/>
    <w:rsid w:val="009D19CE"/>
    <w:rsid w:val="009D33EF"/>
    <w:rsid w:val="009D5740"/>
    <w:rsid w:val="009E0397"/>
    <w:rsid w:val="009E086F"/>
    <w:rsid w:val="009E242F"/>
    <w:rsid w:val="009E322E"/>
    <w:rsid w:val="009E34E4"/>
    <w:rsid w:val="009E4329"/>
    <w:rsid w:val="009E5F81"/>
    <w:rsid w:val="009E647E"/>
    <w:rsid w:val="009E7725"/>
    <w:rsid w:val="009F0309"/>
    <w:rsid w:val="009F4171"/>
    <w:rsid w:val="009F471E"/>
    <w:rsid w:val="009F50DE"/>
    <w:rsid w:val="009F5287"/>
    <w:rsid w:val="00A032F8"/>
    <w:rsid w:val="00A051C1"/>
    <w:rsid w:val="00A06147"/>
    <w:rsid w:val="00A0667C"/>
    <w:rsid w:val="00A141E8"/>
    <w:rsid w:val="00A17596"/>
    <w:rsid w:val="00A177FA"/>
    <w:rsid w:val="00A179ED"/>
    <w:rsid w:val="00A20ACC"/>
    <w:rsid w:val="00A21544"/>
    <w:rsid w:val="00A21D84"/>
    <w:rsid w:val="00A264A8"/>
    <w:rsid w:val="00A30F03"/>
    <w:rsid w:val="00A348B7"/>
    <w:rsid w:val="00A4018F"/>
    <w:rsid w:val="00A435A2"/>
    <w:rsid w:val="00A466AD"/>
    <w:rsid w:val="00A51EC7"/>
    <w:rsid w:val="00A54B70"/>
    <w:rsid w:val="00A54DB6"/>
    <w:rsid w:val="00A57F37"/>
    <w:rsid w:val="00A65FD0"/>
    <w:rsid w:val="00A67763"/>
    <w:rsid w:val="00A7264D"/>
    <w:rsid w:val="00A7308D"/>
    <w:rsid w:val="00A7326B"/>
    <w:rsid w:val="00A736CE"/>
    <w:rsid w:val="00A80133"/>
    <w:rsid w:val="00A81A15"/>
    <w:rsid w:val="00A833FF"/>
    <w:rsid w:val="00A84CAC"/>
    <w:rsid w:val="00A857EC"/>
    <w:rsid w:val="00A8585A"/>
    <w:rsid w:val="00A90543"/>
    <w:rsid w:val="00A90C0C"/>
    <w:rsid w:val="00A92E7A"/>
    <w:rsid w:val="00A96A70"/>
    <w:rsid w:val="00A9770D"/>
    <w:rsid w:val="00AA02A5"/>
    <w:rsid w:val="00AA0C18"/>
    <w:rsid w:val="00AA14BD"/>
    <w:rsid w:val="00AA6E00"/>
    <w:rsid w:val="00AB191C"/>
    <w:rsid w:val="00AB3CE7"/>
    <w:rsid w:val="00AB40CE"/>
    <w:rsid w:val="00AB4177"/>
    <w:rsid w:val="00AC3651"/>
    <w:rsid w:val="00AC4B83"/>
    <w:rsid w:val="00AC50A3"/>
    <w:rsid w:val="00AC530A"/>
    <w:rsid w:val="00AC69CA"/>
    <w:rsid w:val="00AC7747"/>
    <w:rsid w:val="00AC7E62"/>
    <w:rsid w:val="00AD3419"/>
    <w:rsid w:val="00AD41FA"/>
    <w:rsid w:val="00AE2010"/>
    <w:rsid w:val="00AE7E12"/>
    <w:rsid w:val="00AE7E8E"/>
    <w:rsid w:val="00AF4BFE"/>
    <w:rsid w:val="00AF58FE"/>
    <w:rsid w:val="00B00BEB"/>
    <w:rsid w:val="00B012A8"/>
    <w:rsid w:val="00B03E35"/>
    <w:rsid w:val="00B079B9"/>
    <w:rsid w:val="00B133E3"/>
    <w:rsid w:val="00B150AD"/>
    <w:rsid w:val="00B1539F"/>
    <w:rsid w:val="00B15C1D"/>
    <w:rsid w:val="00B163F5"/>
    <w:rsid w:val="00B22375"/>
    <w:rsid w:val="00B23CC9"/>
    <w:rsid w:val="00B24211"/>
    <w:rsid w:val="00B24CDA"/>
    <w:rsid w:val="00B2671C"/>
    <w:rsid w:val="00B3096E"/>
    <w:rsid w:val="00B34920"/>
    <w:rsid w:val="00B46FDF"/>
    <w:rsid w:val="00B52CB2"/>
    <w:rsid w:val="00B54621"/>
    <w:rsid w:val="00B558C3"/>
    <w:rsid w:val="00B5601E"/>
    <w:rsid w:val="00B5778D"/>
    <w:rsid w:val="00B60645"/>
    <w:rsid w:val="00B610C4"/>
    <w:rsid w:val="00B628EB"/>
    <w:rsid w:val="00B62AB7"/>
    <w:rsid w:val="00B637BE"/>
    <w:rsid w:val="00B646F1"/>
    <w:rsid w:val="00B65F0E"/>
    <w:rsid w:val="00B71F9A"/>
    <w:rsid w:val="00B758E5"/>
    <w:rsid w:val="00B81D55"/>
    <w:rsid w:val="00B8229E"/>
    <w:rsid w:val="00B82318"/>
    <w:rsid w:val="00B848C8"/>
    <w:rsid w:val="00B90D94"/>
    <w:rsid w:val="00B9284E"/>
    <w:rsid w:val="00BA43EF"/>
    <w:rsid w:val="00BA5492"/>
    <w:rsid w:val="00BA6045"/>
    <w:rsid w:val="00BA75FA"/>
    <w:rsid w:val="00BB01BC"/>
    <w:rsid w:val="00BB0B72"/>
    <w:rsid w:val="00BB24F7"/>
    <w:rsid w:val="00BC41E5"/>
    <w:rsid w:val="00BC5C3A"/>
    <w:rsid w:val="00BC6101"/>
    <w:rsid w:val="00BD324A"/>
    <w:rsid w:val="00BD3E77"/>
    <w:rsid w:val="00BD596D"/>
    <w:rsid w:val="00BE1492"/>
    <w:rsid w:val="00BE5CE5"/>
    <w:rsid w:val="00BF1DE1"/>
    <w:rsid w:val="00BF25AB"/>
    <w:rsid w:val="00BF3BD8"/>
    <w:rsid w:val="00BF5B77"/>
    <w:rsid w:val="00C01C4F"/>
    <w:rsid w:val="00C032BE"/>
    <w:rsid w:val="00C047FE"/>
    <w:rsid w:val="00C13D97"/>
    <w:rsid w:val="00C17520"/>
    <w:rsid w:val="00C17D23"/>
    <w:rsid w:val="00C17D32"/>
    <w:rsid w:val="00C215EE"/>
    <w:rsid w:val="00C21B0F"/>
    <w:rsid w:val="00C23299"/>
    <w:rsid w:val="00C23A25"/>
    <w:rsid w:val="00C24032"/>
    <w:rsid w:val="00C2489F"/>
    <w:rsid w:val="00C264DB"/>
    <w:rsid w:val="00C31FC4"/>
    <w:rsid w:val="00C3207D"/>
    <w:rsid w:val="00C33453"/>
    <w:rsid w:val="00C33546"/>
    <w:rsid w:val="00C35E3F"/>
    <w:rsid w:val="00C40090"/>
    <w:rsid w:val="00C43446"/>
    <w:rsid w:val="00C438C1"/>
    <w:rsid w:val="00C53637"/>
    <w:rsid w:val="00C56D71"/>
    <w:rsid w:val="00C57C7B"/>
    <w:rsid w:val="00C60576"/>
    <w:rsid w:val="00C60A6D"/>
    <w:rsid w:val="00C60D2F"/>
    <w:rsid w:val="00C629CC"/>
    <w:rsid w:val="00C62EAE"/>
    <w:rsid w:val="00C62F83"/>
    <w:rsid w:val="00C649A9"/>
    <w:rsid w:val="00C67D37"/>
    <w:rsid w:val="00C70B94"/>
    <w:rsid w:val="00C70D1D"/>
    <w:rsid w:val="00C719B2"/>
    <w:rsid w:val="00C7208C"/>
    <w:rsid w:val="00C73D98"/>
    <w:rsid w:val="00C94773"/>
    <w:rsid w:val="00C959CC"/>
    <w:rsid w:val="00C95FB6"/>
    <w:rsid w:val="00C96ACF"/>
    <w:rsid w:val="00CA33D7"/>
    <w:rsid w:val="00CA6C61"/>
    <w:rsid w:val="00CB14CA"/>
    <w:rsid w:val="00CB2872"/>
    <w:rsid w:val="00CB4DBA"/>
    <w:rsid w:val="00CC37D7"/>
    <w:rsid w:val="00CC49FB"/>
    <w:rsid w:val="00CD0468"/>
    <w:rsid w:val="00CD2015"/>
    <w:rsid w:val="00CD4317"/>
    <w:rsid w:val="00CD4EAF"/>
    <w:rsid w:val="00CE136A"/>
    <w:rsid w:val="00CE1828"/>
    <w:rsid w:val="00CE4B97"/>
    <w:rsid w:val="00CE60CE"/>
    <w:rsid w:val="00CE6F5B"/>
    <w:rsid w:val="00CE7E03"/>
    <w:rsid w:val="00CF03B5"/>
    <w:rsid w:val="00CF23C7"/>
    <w:rsid w:val="00CF680C"/>
    <w:rsid w:val="00CF683F"/>
    <w:rsid w:val="00CF6861"/>
    <w:rsid w:val="00CF6F1D"/>
    <w:rsid w:val="00D02DAD"/>
    <w:rsid w:val="00D030F9"/>
    <w:rsid w:val="00D0597E"/>
    <w:rsid w:val="00D0690E"/>
    <w:rsid w:val="00D2004B"/>
    <w:rsid w:val="00D21778"/>
    <w:rsid w:val="00D24BBA"/>
    <w:rsid w:val="00D24DA5"/>
    <w:rsid w:val="00D25D51"/>
    <w:rsid w:val="00D27508"/>
    <w:rsid w:val="00D277FB"/>
    <w:rsid w:val="00D27AD0"/>
    <w:rsid w:val="00D34D6C"/>
    <w:rsid w:val="00D34EA1"/>
    <w:rsid w:val="00D37002"/>
    <w:rsid w:val="00D441E2"/>
    <w:rsid w:val="00D471C8"/>
    <w:rsid w:val="00D47B2E"/>
    <w:rsid w:val="00D52CE5"/>
    <w:rsid w:val="00D531E5"/>
    <w:rsid w:val="00D535E1"/>
    <w:rsid w:val="00D57158"/>
    <w:rsid w:val="00D60B9D"/>
    <w:rsid w:val="00D6115D"/>
    <w:rsid w:val="00D6339D"/>
    <w:rsid w:val="00D67C87"/>
    <w:rsid w:val="00D72526"/>
    <w:rsid w:val="00D726C8"/>
    <w:rsid w:val="00D72916"/>
    <w:rsid w:val="00D7371C"/>
    <w:rsid w:val="00D76740"/>
    <w:rsid w:val="00D81351"/>
    <w:rsid w:val="00D82043"/>
    <w:rsid w:val="00D82199"/>
    <w:rsid w:val="00D84174"/>
    <w:rsid w:val="00D87139"/>
    <w:rsid w:val="00D96385"/>
    <w:rsid w:val="00D97060"/>
    <w:rsid w:val="00D975EA"/>
    <w:rsid w:val="00DA62AA"/>
    <w:rsid w:val="00DA6866"/>
    <w:rsid w:val="00DB101B"/>
    <w:rsid w:val="00DB3F92"/>
    <w:rsid w:val="00DB7A06"/>
    <w:rsid w:val="00DC2EDA"/>
    <w:rsid w:val="00DC4100"/>
    <w:rsid w:val="00DD00E6"/>
    <w:rsid w:val="00DD2BBE"/>
    <w:rsid w:val="00DD367B"/>
    <w:rsid w:val="00DD618E"/>
    <w:rsid w:val="00DD730E"/>
    <w:rsid w:val="00DE0CA4"/>
    <w:rsid w:val="00DE1380"/>
    <w:rsid w:val="00DE3EA4"/>
    <w:rsid w:val="00DE6813"/>
    <w:rsid w:val="00DE6CDB"/>
    <w:rsid w:val="00DE7893"/>
    <w:rsid w:val="00DE7FAC"/>
    <w:rsid w:val="00DF2628"/>
    <w:rsid w:val="00DF4CFF"/>
    <w:rsid w:val="00DF6034"/>
    <w:rsid w:val="00DF618C"/>
    <w:rsid w:val="00E01FAB"/>
    <w:rsid w:val="00E051BB"/>
    <w:rsid w:val="00E06834"/>
    <w:rsid w:val="00E068B6"/>
    <w:rsid w:val="00E06FB0"/>
    <w:rsid w:val="00E07F0F"/>
    <w:rsid w:val="00E131D8"/>
    <w:rsid w:val="00E13209"/>
    <w:rsid w:val="00E156F0"/>
    <w:rsid w:val="00E15DDA"/>
    <w:rsid w:val="00E168B8"/>
    <w:rsid w:val="00E176E3"/>
    <w:rsid w:val="00E20123"/>
    <w:rsid w:val="00E20866"/>
    <w:rsid w:val="00E2218A"/>
    <w:rsid w:val="00E22D4B"/>
    <w:rsid w:val="00E27291"/>
    <w:rsid w:val="00E308C7"/>
    <w:rsid w:val="00E32C64"/>
    <w:rsid w:val="00E3728A"/>
    <w:rsid w:val="00E37F6B"/>
    <w:rsid w:val="00E41E9F"/>
    <w:rsid w:val="00E5005C"/>
    <w:rsid w:val="00E50823"/>
    <w:rsid w:val="00E50950"/>
    <w:rsid w:val="00E51D88"/>
    <w:rsid w:val="00E53547"/>
    <w:rsid w:val="00E55277"/>
    <w:rsid w:val="00E55ED1"/>
    <w:rsid w:val="00E56A53"/>
    <w:rsid w:val="00E56BDA"/>
    <w:rsid w:val="00E57EBC"/>
    <w:rsid w:val="00E60504"/>
    <w:rsid w:val="00E61B27"/>
    <w:rsid w:val="00E64A44"/>
    <w:rsid w:val="00E671AE"/>
    <w:rsid w:val="00E70386"/>
    <w:rsid w:val="00E72FE2"/>
    <w:rsid w:val="00E82BE6"/>
    <w:rsid w:val="00E86CBA"/>
    <w:rsid w:val="00E870AD"/>
    <w:rsid w:val="00E93379"/>
    <w:rsid w:val="00E93546"/>
    <w:rsid w:val="00E95960"/>
    <w:rsid w:val="00EA1488"/>
    <w:rsid w:val="00EA28C3"/>
    <w:rsid w:val="00EA3928"/>
    <w:rsid w:val="00EA5602"/>
    <w:rsid w:val="00EA675A"/>
    <w:rsid w:val="00EB097C"/>
    <w:rsid w:val="00EB1718"/>
    <w:rsid w:val="00EB3CB2"/>
    <w:rsid w:val="00EB551B"/>
    <w:rsid w:val="00EB56BA"/>
    <w:rsid w:val="00EB6B15"/>
    <w:rsid w:val="00EB7FFB"/>
    <w:rsid w:val="00EC1198"/>
    <w:rsid w:val="00EC2CFA"/>
    <w:rsid w:val="00EC3934"/>
    <w:rsid w:val="00EC3DB0"/>
    <w:rsid w:val="00EC3ED9"/>
    <w:rsid w:val="00EC4086"/>
    <w:rsid w:val="00EC4CCC"/>
    <w:rsid w:val="00ED0ADF"/>
    <w:rsid w:val="00ED5B81"/>
    <w:rsid w:val="00ED7A81"/>
    <w:rsid w:val="00EE011F"/>
    <w:rsid w:val="00EE53C9"/>
    <w:rsid w:val="00EF1090"/>
    <w:rsid w:val="00EF1901"/>
    <w:rsid w:val="00EF1E84"/>
    <w:rsid w:val="00EF4275"/>
    <w:rsid w:val="00EF43B9"/>
    <w:rsid w:val="00EF69CD"/>
    <w:rsid w:val="00F006F5"/>
    <w:rsid w:val="00F01C83"/>
    <w:rsid w:val="00F037CC"/>
    <w:rsid w:val="00F17611"/>
    <w:rsid w:val="00F23A46"/>
    <w:rsid w:val="00F30E92"/>
    <w:rsid w:val="00F359C0"/>
    <w:rsid w:val="00F35F86"/>
    <w:rsid w:val="00F40FE7"/>
    <w:rsid w:val="00F42233"/>
    <w:rsid w:val="00F424BB"/>
    <w:rsid w:val="00F437FB"/>
    <w:rsid w:val="00F4663C"/>
    <w:rsid w:val="00F467F1"/>
    <w:rsid w:val="00F47725"/>
    <w:rsid w:val="00F5333F"/>
    <w:rsid w:val="00F57953"/>
    <w:rsid w:val="00F63DE4"/>
    <w:rsid w:val="00F63E3D"/>
    <w:rsid w:val="00F67671"/>
    <w:rsid w:val="00F723D4"/>
    <w:rsid w:val="00F77E3F"/>
    <w:rsid w:val="00F82265"/>
    <w:rsid w:val="00F83E87"/>
    <w:rsid w:val="00F85D7E"/>
    <w:rsid w:val="00F90AD6"/>
    <w:rsid w:val="00F91A1E"/>
    <w:rsid w:val="00F96140"/>
    <w:rsid w:val="00FA0E30"/>
    <w:rsid w:val="00FA128E"/>
    <w:rsid w:val="00FA22CA"/>
    <w:rsid w:val="00FA6BEC"/>
    <w:rsid w:val="00FA7F5C"/>
    <w:rsid w:val="00FB3F13"/>
    <w:rsid w:val="00FB48DE"/>
    <w:rsid w:val="00FB684A"/>
    <w:rsid w:val="00FC3CF5"/>
    <w:rsid w:val="00FC41CD"/>
    <w:rsid w:val="00FC680F"/>
    <w:rsid w:val="00FC6C62"/>
    <w:rsid w:val="00FC7B50"/>
    <w:rsid w:val="00FD2E2F"/>
    <w:rsid w:val="00FD4018"/>
    <w:rsid w:val="00FD546A"/>
    <w:rsid w:val="00FD6081"/>
    <w:rsid w:val="00FD68B5"/>
    <w:rsid w:val="00FD71A3"/>
    <w:rsid w:val="00FE6BCB"/>
    <w:rsid w:val="00FF0995"/>
    <w:rsid w:val="00FF336A"/>
    <w:rsid w:val="00FF4ABE"/>
    <w:rsid w:val="00FF4DF2"/>
    <w:rsid w:val="00FF76AB"/>
    <w:rsid w:val="07336816"/>
    <w:rsid w:val="0AA0C960"/>
    <w:rsid w:val="0D95A6AE"/>
    <w:rsid w:val="12DE8866"/>
    <w:rsid w:val="13358E9A"/>
    <w:rsid w:val="29BC1D6A"/>
    <w:rsid w:val="2EB00C9F"/>
    <w:rsid w:val="3271D63C"/>
    <w:rsid w:val="343D8235"/>
    <w:rsid w:val="36981833"/>
    <w:rsid w:val="38E5619A"/>
    <w:rsid w:val="3948ADD2"/>
    <w:rsid w:val="44AB9FB3"/>
    <w:rsid w:val="44E09BEE"/>
    <w:rsid w:val="48B46686"/>
    <w:rsid w:val="499081B2"/>
    <w:rsid w:val="4AD850D8"/>
    <w:rsid w:val="4CB60C13"/>
    <w:rsid w:val="51D19C75"/>
    <w:rsid w:val="5672B298"/>
    <w:rsid w:val="590C1B26"/>
    <w:rsid w:val="5E3FD7E4"/>
    <w:rsid w:val="60D54DF7"/>
    <w:rsid w:val="61F53D7D"/>
    <w:rsid w:val="6458A62F"/>
    <w:rsid w:val="663B8C3D"/>
    <w:rsid w:val="6ADBBF27"/>
    <w:rsid w:val="6B77488E"/>
    <w:rsid w:val="6D549670"/>
    <w:rsid w:val="70BFC524"/>
    <w:rsid w:val="7FF4CD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2638E7"/>
  <w15:chartTrackingRefBased/>
  <w15:docId w15:val="{7F59D061-147D-4933-B2C8-CD16ACC0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uiPriority w:val="99"/>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rsid w:val="009510AF"/>
    <w:rPr>
      <w:sz w:val="16"/>
      <w:szCs w:val="16"/>
    </w:rPr>
  </w:style>
  <w:style w:type="paragraph" w:styleId="CommentText">
    <w:name w:val="annotation text"/>
    <w:basedOn w:val="Normal"/>
    <w:link w:val="CommentTextChar"/>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1907D7"/>
    <w:pPr>
      <w:ind w:left="720"/>
    </w:pPr>
  </w:style>
  <w:style w:type="character" w:customStyle="1" w:styleId="CommentTextChar">
    <w:name w:val="Comment Text Char"/>
    <w:link w:val="CommentText"/>
    <w:rsid w:val="00C62EAE"/>
  </w:style>
  <w:style w:type="table" w:customStyle="1" w:styleId="TableGrid1">
    <w:name w:val="Table Grid1"/>
    <w:basedOn w:val="TableNormal"/>
    <w:next w:val="TableGrid"/>
    <w:uiPriority w:val="39"/>
    <w:rsid w:val="009973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7264D"/>
    <w:rPr>
      <w:color w:val="954F72" w:themeColor="followedHyperlink"/>
      <w:u w:val="single"/>
    </w:rPr>
  </w:style>
  <w:style w:type="table" w:customStyle="1" w:styleId="TableGrid11">
    <w:name w:val="Table Grid11"/>
    <w:basedOn w:val="TableNormal"/>
    <w:next w:val="TableGrid"/>
    <w:uiPriority w:val="39"/>
    <w:rsid w:val="009375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6834"/>
    <w:rPr>
      <w:color w:val="605E5C"/>
      <w:shd w:val="clear" w:color="auto" w:fill="E1DFDD"/>
    </w:rPr>
  </w:style>
  <w:style w:type="paragraph" w:styleId="NoSpacing">
    <w:name w:val="No Spacing"/>
    <w:uiPriority w:val="1"/>
    <w:qFormat/>
    <w:rsid w:val="00EA1488"/>
    <w:rPr>
      <w:rFonts w:asciiTheme="minorHAnsi" w:eastAsiaTheme="minorHAnsi" w:hAnsiTheme="minorHAnsi" w:cstheme="minorBidi"/>
      <w:sz w:val="22"/>
      <w:szCs w:val="22"/>
    </w:rPr>
  </w:style>
  <w:style w:type="paragraph" w:styleId="Revision">
    <w:name w:val="Revision"/>
    <w:hidden/>
    <w:uiPriority w:val="99"/>
    <w:semiHidden/>
    <w:rsid w:val="00B8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pto.gov/patents/quality-metric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05-01/pdf/2025-075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Props1.xml><?xml version="1.0" encoding="utf-8"?>
<ds:datastoreItem xmlns:ds="http://schemas.openxmlformats.org/officeDocument/2006/customXml" ds:itemID="{D2EEC21E-F993-4DC9-8136-5A7F99B6DBAC}">
  <ds:schemaRefs>
    <ds:schemaRef ds:uri="http://schemas.microsoft.com/sharepoint/v3/contenttype/forms"/>
  </ds:schemaRefs>
</ds:datastoreItem>
</file>

<file path=customXml/itemProps2.xml><?xml version="1.0" encoding="utf-8"?>
<ds:datastoreItem xmlns:ds="http://schemas.openxmlformats.org/officeDocument/2006/customXml" ds:itemID="{39179965-D36F-489E-860C-F28D0FF3F569}">
  <ds:schemaRefs>
    <ds:schemaRef ds:uri="http://schemas.openxmlformats.org/officeDocument/2006/bibliography"/>
  </ds:schemaRefs>
</ds:datastoreItem>
</file>

<file path=customXml/itemProps3.xml><?xml version="1.0" encoding="utf-8"?>
<ds:datastoreItem xmlns:ds="http://schemas.openxmlformats.org/officeDocument/2006/customXml" ds:itemID="{CB854366-3EA4-4F53-8870-6FC537ACCE3F}">
  <ds:schemaRefs>
    <ds:schemaRef ds:uri="http://schemas.microsoft.com/office/2006/metadata/longProperties"/>
  </ds:schemaRefs>
</ds:datastoreItem>
</file>

<file path=customXml/itemProps4.xml><?xml version="1.0" encoding="utf-8"?>
<ds:datastoreItem xmlns:ds="http://schemas.openxmlformats.org/officeDocument/2006/customXml" ds:itemID="{F59C7BB3-43DC-4874-91AE-8178E92C9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9AFD20-1945-437C-9D9B-B76845D1BF0E}">
  <ds:schemaRefs>
    <ds:schemaRef ds:uri="http://schemas.microsoft.com/office/2006/metadata/properties"/>
    <ds:schemaRef ds:uri="http://schemas.microsoft.com/office/infopath/2007/PartnerControls"/>
    <ds:schemaRef ds:uri="0f5e2127-2ba4-41f5-b528-d0f9d9208b7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3883</Words>
  <Characters>22138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United States Patent and Trademark Office</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creator>United States Patent and Trademark Office</dc:creator>
  <cp:lastModifiedBy>Isaac, Justin</cp:lastModifiedBy>
  <cp:revision>2</cp:revision>
  <cp:lastPrinted>2012-12-20T17:27:00Z</cp:lastPrinted>
  <dcterms:created xsi:type="dcterms:W3CDTF">2025-07-23T21:39:00Z</dcterms:created>
  <dcterms:modified xsi:type="dcterms:W3CDTF">2025-07-23T21:39:00Z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 to0">
    <vt:lpwstr>114</vt:lpwstr>
  </property>
  <property fmtid="{D5CDD505-2E9C-101B-9397-08002B2CF9AE}" pid="3" name="ContentType">
    <vt:lpwstr>Document</vt:lpwstr>
  </property>
  <property fmtid="{D5CDD505-2E9C-101B-9397-08002B2CF9AE}" pid="4" name="ContentTypeId">
    <vt:lpwstr>0x010100B0FF176B9C2D0B489525CF344D663D72</vt:lpwstr>
  </property>
  <property fmtid="{D5CDD505-2E9C-101B-9397-08002B2CF9AE}" pid="5" name="display_urn:schemas-microsoft-com:office:office#Assigned_x0020_to0">
    <vt:lpwstr>Hall, Drew (AMBIT)</vt:lpwstr>
  </property>
  <property fmtid="{D5CDD505-2E9C-101B-9397-08002B2CF9AE}" pid="6" name="display_urn:schemas-microsoft-com:office:office#Author">
    <vt:lpwstr>Hall, Drew (AMBIT)</vt:lpwstr>
  </property>
  <property fmtid="{D5CDD505-2E9C-101B-9397-08002B2CF9AE}" pid="7" name="display_urn:schemas-microsoft-com:office:office#Editor">
    <vt:lpwstr>Hall, Drew (AMBIT)</vt:lpwstr>
  </property>
  <property fmtid="{D5CDD505-2E9C-101B-9397-08002B2CF9AE}" pid="8" name="display_urn:schemas-microsoft-com:office:office#Owner">
    <vt:lpwstr>Fitzpatrick, David</vt:lpwstr>
  </property>
</Properties>
</file>