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53FDA" w14:paraId="213C0658" w14:textId="53072991">
      <w:pPr>
        <w:jc w:val="center"/>
        <w:rPr>
          <w:rFonts w:eastAsia="Calibri"/>
        </w:rPr>
      </w:pPr>
      <w:r>
        <w:rPr>
          <w:rFonts w:eastAsia="Calibri"/>
        </w:rPr>
        <w:t>UNITED STATES FOOD &amp; DRUG ADMINISTRATION</w:t>
      </w:r>
    </w:p>
    <w:p w:rsidR="00357C8A" w:rsidP="00357C8A" w14:paraId="16CC23BB" w14:textId="77777777">
      <w:pPr>
        <w:jc w:val="center"/>
        <w:rPr>
          <w:rFonts w:eastAsia="Calibri"/>
        </w:rPr>
      </w:pPr>
    </w:p>
    <w:p w:rsidR="000E411B" w:rsidRPr="000E411B" w:rsidP="000E411B" w14:paraId="30837488" w14:textId="77777777">
      <w:pPr>
        <w:jc w:val="center"/>
        <w:rPr>
          <w:rFonts w:eastAsia="Calibri"/>
        </w:rPr>
      </w:pPr>
      <w:r w:rsidRPr="000E411B">
        <w:rPr>
          <w:rFonts w:eastAsia="Calibri"/>
        </w:rPr>
        <w:t>Quantitative Testing for the Development of FDA Communications</w:t>
      </w:r>
    </w:p>
    <w:p w:rsidR="000E411B" w:rsidP="000E411B" w14:paraId="3E1A56B4" w14:textId="4BC271DF">
      <w:pPr>
        <w:jc w:val="center"/>
        <w:rPr>
          <w:rFonts w:eastAsia="Calibri"/>
        </w:rPr>
      </w:pPr>
      <w:r w:rsidRPr="000E411B">
        <w:rPr>
          <w:rFonts w:eastAsia="Calibri"/>
        </w:rPr>
        <w:t>by the</w:t>
      </w:r>
      <w:r w:rsidR="009A4A7C">
        <w:rPr>
          <w:rFonts w:eastAsia="Calibri"/>
        </w:rPr>
        <w:t xml:space="preserve"> Human Foods Program (HFP)</w:t>
      </w:r>
    </w:p>
    <w:p w:rsidR="00A53FDA" w:rsidP="000E411B" w14:paraId="5BC2C685" w14:textId="77777777">
      <w:pPr>
        <w:jc w:val="center"/>
        <w:rPr>
          <w:rFonts w:eastAsia="Calibri"/>
        </w:rPr>
      </w:pPr>
    </w:p>
    <w:p w:rsidR="00A53FDA" w:rsidRPr="000E411B" w:rsidP="000E411B" w14:paraId="6FC6BE7A" w14:textId="50D4CEE5">
      <w:pPr>
        <w:jc w:val="center"/>
        <w:rPr>
          <w:rFonts w:eastAsia="Calibri"/>
        </w:rPr>
      </w:pPr>
      <w:r w:rsidRPr="00A53FDA">
        <w:rPr>
          <w:rFonts w:eastAsia="Calibri"/>
        </w:rPr>
        <w:t>GENERIC CLEARANCE</w:t>
      </w:r>
    </w:p>
    <w:p w:rsidR="00357C8A" w:rsidP="00357C8A" w14:paraId="137D144E" w14:textId="77777777">
      <w:pPr>
        <w:jc w:val="center"/>
        <w:rPr>
          <w:rFonts w:eastAsia="Calibri"/>
        </w:rPr>
      </w:pPr>
    </w:p>
    <w:p w:rsidR="00357C8A" w:rsidP="00357C8A" w14:paraId="4080B0CE" w14:textId="7D97524C">
      <w:pPr>
        <w:jc w:val="center"/>
        <w:rPr>
          <w:rFonts w:eastAsia="Calibri"/>
        </w:rPr>
      </w:pPr>
      <w:r w:rsidRPr="00357C8A">
        <w:rPr>
          <w:rFonts w:eastAsia="Calibri"/>
        </w:rPr>
        <w:t>OMB Control No. 0910-</w:t>
      </w:r>
      <w:r w:rsidR="000E411B">
        <w:rPr>
          <w:rFonts w:eastAsia="Calibri"/>
        </w:rPr>
        <w:t xml:space="preserve">0865 </w:t>
      </w:r>
      <w:r w:rsidR="00A53FDA">
        <w:rPr>
          <w:rFonts w:eastAsia="Calibri"/>
        </w:rPr>
        <w:t>–</w:t>
      </w:r>
      <w:r w:rsidR="000E411B">
        <w:rPr>
          <w:rFonts w:eastAsia="Calibri"/>
        </w:rPr>
        <w:t xml:space="preserve"> Extension</w:t>
      </w:r>
    </w:p>
    <w:p w:rsidR="00357C8A" w:rsidP="00357C8A" w14:paraId="240B98B8" w14:textId="77777777">
      <w:pPr>
        <w:jc w:val="center"/>
        <w:rPr>
          <w:rFonts w:eastAsia="Calibri"/>
        </w:rPr>
      </w:pPr>
    </w:p>
    <w:p w:rsidR="00357C8A" w:rsidP="00357C8A" w14:paraId="6BEE8210" w14:textId="77777777">
      <w:pPr>
        <w:jc w:val="center"/>
        <w:rPr>
          <w:rFonts w:eastAsia="Calibri"/>
        </w:rPr>
      </w:pPr>
      <w:r w:rsidRPr="00357C8A">
        <w:rPr>
          <w:rFonts w:eastAsia="Calibri"/>
        </w:rPr>
        <w:t>SUPPORTING STATEMENT</w:t>
      </w:r>
    </w:p>
    <w:p w:rsidR="009B4DF2" w:rsidP="00357C8A" w14:paraId="38009AFF" w14:textId="77777777">
      <w:pPr>
        <w:jc w:val="center"/>
        <w:rPr>
          <w:rFonts w:eastAsia="Calibri"/>
        </w:rPr>
      </w:pPr>
    </w:p>
    <w:p w:rsidR="009B4DF2" w:rsidRPr="008A7071" w:rsidP="008B51F4" w14:paraId="0A46F3CB" w14:textId="022398AD">
      <w:r w:rsidRPr="009122AE">
        <w:rPr>
          <w:rFonts w:eastAsia="Calibri"/>
          <w:u w:val="single"/>
        </w:rPr>
        <w:t>Terms of Clearance</w:t>
      </w:r>
      <w:r>
        <w:rPr>
          <w:rFonts w:eastAsia="Calibri"/>
        </w:rPr>
        <w:t>:</w:t>
      </w:r>
      <w:r w:rsidR="008A7071">
        <w:rPr>
          <w:rFonts w:eastAsia="Calibri"/>
        </w:rPr>
        <w:t xml:space="preserve">  </w:t>
      </w:r>
      <w:r w:rsidRPr="008A7071" w:rsidR="008B51F4">
        <w:rPr>
          <w:rFonts w:eastAsia="Calibri"/>
          <w:i/>
          <w:iCs/>
        </w:rPr>
        <w:t xml:space="preserve">FDA will submit individual collections under this generic clearance to OMB.  Individual collections will also undergo review by FDA’s </w:t>
      </w:r>
      <w:r w:rsidRPr="008A7071" w:rsidR="002A4541">
        <w:rPr>
          <w:rFonts w:eastAsia="Calibri"/>
          <w:i/>
          <w:iCs/>
        </w:rPr>
        <w:t xml:space="preserve">Human Subject Protection </w:t>
      </w:r>
      <w:r w:rsidRPr="008A7071" w:rsidR="00582F18">
        <w:rPr>
          <w:rFonts w:eastAsia="Calibri"/>
          <w:i/>
          <w:iCs/>
        </w:rPr>
        <w:t>Program</w:t>
      </w:r>
      <w:r w:rsidRPr="008A7071" w:rsidR="008B51F4">
        <w:rPr>
          <w:rFonts w:eastAsia="Calibri"/>
          <w:i/>
          <w:iCs/>
        </w:rPr>
        <w:t xml:space="preserve">, senior leadership in </w:t>
      </w:r>
      <w:r w:rsidRPr="008A7071" w:rsidR="004F0F3F">
        <w:rPr>
          <w:rFonts w:eastAsia="Calibri"/>
          <w:i/>
          <w:iCs/>
        </w:rPr>
        <w:t>HFP</w:t>
      </w:r>
      <w:r w:rsidRPr="008A7071" w:rsidR="008B51F4">
        <w:rPr>
          <w:rFonts w:eastAsia="Calibri"/>
          <w:i/>
          <w:iCs/>
        </w:rPr>
        <w:t>, and Paperwork Reduction Act (PRA) specialists.</w:t>
      </w:r>
      <w:r w:rsidRPr="008A7071" w:rsidR="008A7071">
        <w:rPr>
          <w:rFonts w:eastAsia="Calibri"/>
          <w:i/>
          <w:iCs/>
        </w:rPr>
        <w:t xml:space="preserve">  </w:t>
      </w:r>
      <w:r w:rsidRPr="008A7071" w:rsidR="008B51F4">
        <w:rPr>
          <w:rFonts w:eastAsia="Calibri"/>
          <w:i/>
          <w:iCs/>
        </w:rPr>
        <w:t>FDA will prepare a report during the OMB collection renewal summarizing the number of hours used, as well as the nature and results of the activities completed under this clearance</w:t>
      </w:r>
      <w:r w:rsidRPr="008B51F4" w:rsidR="008B51F4">
        <w:rPr>
          <w:rFonts w:eastAsia="Calibri"/>
        </w:rPr>
        <w:t>.</w:t>
      </w:r>
      <w:r w:rsidR="008A7071">
        <w:t xml:space="preserve">  </w:t>
      </w:r>
      <w:r>
        <w:t>I</w:t>
      </w:r>
      <w:r w:rsidRPr="00D50AAB">
        <w:rPr>
          <w:rFonts w:eastAsia="Calibri"/>
        </w:rPr>
        <w:t xml:space="preserve">n accordance with </w:t>
      </w:r>
      <w:r w:rsidR="008A7071">
        <w:rPr>
          <w:rFonts w:eastAsia="Calibri"/>
        </w:rPr>
        <w:t xml:space="preserve">these </w:t>
      </w:r>
      <w:r w:rsidR="00860AC0">
        <w:rPr>
          <w:rFonts w:eastAsia="Calibri"/>
        </w:rPr>
        <w:t>terms of clearance</w:t>
      </w:r>
      <w:r w:rsidRPr="00D50AAB">
        <w:rPr>
          <w:rFonts w:eastAsia="Calibri"/>
        </w:rPr>
        <w:t xml:space="preserve">, we </w:t>
      </w:r>
      <w:r w:rsidR="00860AC0">
        <w:rPr>
          <w:rFonts w:eastAsia="Calibri"/>
        </w:rPr>
        <w:t xml:space="preserve">have included, as a supplementary document, a summary of </w:t>
      </w:r>
      <w:r w:rsidR="00FB0177">
        <w:rPr>
          <w:rFonts w:eastAsia="Calibri"/>
        </w:rPr>
        <w:t xml:space="preserve">individual clearance requests </w:t>
      </w:r>
      <w:r w:rsidR="00860AC0">
        <w:rPr>
          <w:rFonts w:eastAsia="Calibri"/>
        </w:rPr>
        <w:t xml:space="preserve">conducted under this </w:t>
      </w:r>
      <w:r w:rsidR="00FB0177">
        <w:rPr>
          <w:rFonts w:eastAsia="Calibri"/>
        </w:rPr>
        <w:t>Generic collection approval</w:t>
      </w:r>
      <w:r w:rsidR="00860AC0">
        <w:rPr>
          <w:rFonts w:eastAsia="Calibri"/>
        </w:rPr>
        <w:t>.</w:t>
      </w:r>
    </w:p>
    <w:p w:rsidR="00357C8A" w:rsidRPr="00357C8A" w:rsidP="00357C8A" w14:paraId="5F036D57" w14:textId="77777777">
      <w:pPr>
        <w:rPr>
          <w:rFonts w:eastAsia="Calibri"/>
          <w:b/>
        </w:rPr>
      </w:pPr>
    </w:p>
    <w:p w:rsidR="00357C8A" w:rsidP="000D79CC" w14:paraId="21867E18" w14:textId="77777777">
      <w:pPr>
        <w:rPr>
          <w:rFonts w:eastAsia="Calibri"/>
        </w:rPr>
      </w:pPr>
      <w:r w:rsidRPr="00357C8A">
        <w:rPr>
          <w:rFonts w:eastAsia="Calibri"/>
          <w:b/>
        </w:rPr>
        <w:t>Part A:  Justification</w:t>
      </w:r>
      <w:r w:rsidRPr="00357C8A">
        <w:rPr>
          <w:rFonts w:eastAsia="Calibri"/>
        </w:rPr>
        <w:t>:</w:t>
      </w:r>
    </w:p>
    <w:p w:rsidR="000D79CC" w:rsidRPr="00357C8A" w:rsidP="000D79CC" w14:paraId="3FA0303E" w14:textId="77777777">
      <w:pPr>
        <w:rPr>
          <w:rFonts w:eastAsia="Calibri"/>
        </w:rPr>
      </w:pPr>
    </w:p>
    <w:p w:rsidR="00357C8A" w:rsidRPr="00357C8A" w:rsidP="006705EA" w14:paraId="7F6785F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16E42" w:rsidP="00916E42" w14:paraId="0F510D79" w14:textId="692DA11D">
      <w:pPr>
        <w:rPr>
          <w:rFonts w:eastAsia="Calibri"/>
        </w:rPr>
      </w:pPr>
      <w:r w:rsidRPr="008B51F4">
        <w:rPr>
          <w:rFonts w:eastAsia="Calibri"/>
        </w:rPr>
        <w:t xml:space="preserve">This information collection supports educational and public information programs conducted by the Food and </w:t>
      </w:r>
      <w:r w:rsidRPr="008B51F4">
        <w:rPr>
          <w:rFonts w:eastAsia="Calibri"/>
        </w:rPr>
        <w:t>Drug Administration (FDA), as authorized under section 1003(d)(2) of the Federal Food, Drug, and Cosmetic Act (FD&amp;C Act) (21 U.S.C. 393(d)(2)). The information collection also supports agency objectives pertaining to strengthening “</w:t>
      </w:r>
      <w:r w:rsidRPr="008B51F4">
        <w:rPr>
          <w:rFonts w:eastAsia="Calibri"/>
          <w:i/>
          <w:iCs/>
        </w:rPr>
        <w:t>social and behavioral science to promote informed decision-making about FDA-regulated products.</w:t>
      </w:r>
      <w:r w:rsidRPr="008B51F4">
        <w:rPr>
          <w:rFonts w:eastAsia="Calibri"/>
        </w:rPr>
        <w:t>”</w:t>
      </w:r>
      <w:r>
        <w:rPr>
          <w:rFonts w:eastAsia="Calibri"/>
          <w:vertAlign w:val="superscript"/>
        </w:rPr>
        <w:footnoteReference w:id="2"/>
      </w:r>
      <w:r w:rsidRPr="008B51F4">
        <w:rPr>
          <w:rFonts w:eastAsia="Calibri"/>
        </w:rPr>
        <w:t xml:space="preserve"> </w:t>
      </w:r>
      <w:r w:rsidR="00860AC0">
        <w:rPr>
          <w:rFonts w:eastAsia="Calibri"/>
        </w:rPr>
        <w:t>T</w:t>
      </w:r>
      <w:r w:rsidRPr="00916E42">
        <w:rPr>
          <w:rFonts w:eastAsia="Calibri"/>
        </w:rPr>
        <w:t>his information collection for a generic clearance allows FDA to use quantitative social/behavioral science data collection techniques (i.e., surveys and experimental studies) to test consumers’ reactions to FDA communications or educational messaging about FDA</w:t>
      </w:r>
      <w:r w:rsidR="00783C7F">
        <w:rPr>
          <w:rFonts w:eastAsia="Calibri"/>
        </w:rPr>
        <w:t>-</w:t>
      </w:r>
      <w:r w:rsidRPr="00916E42">
        <w:rPr>
          <w:rFonts w:eastAsia="Calibri"/>
        </w:rPr>
        <w:t>regulated food and cosmetic products, dietary supplements, and animal food and feed. To ensure that communications activities and educational campaigns have the highest potential to be received, understood, and accepted by those for whom they are i</w:t>
      </w:r>
      <w:r w:rsidRPr="00916E42">
        <w:rPr>
          <w:rFonts w:eastAsia="Calibri"/>
        </w:rPr>
        <w:t>ntended, it is important to assess communications while they are under development. Understanding consumers’ attitudes, motivations, and behaviors in response to potential communications and education</w:t>
      </w:r>
      <w:r w:rsidR="001A3FDE">
        <w:rPr>
          <w:rFonts w:eastAsia="Calibri"/>
        </w:rPr>
        <w:t>al</w:t>
      </w:r>
      <w:r w:rsidRPr="00916E42">
        <w:rPr>
          <w:rFonts w:eastAsia="Calibri"/>
        </w:rPr>
        <w:t xml:space="preserve"> messaging plays an important role in improving FDA’s communications.</w:t>
      </w:r>
    </w:p>
    <w:p w:rsidR="00E0388C" w:rsidRPr="00916E42" w:rsidP="00916E42" w14:paraId="337EA669" w14:textId="77777777">
      <w:pPr>
        <w:rPr>
          <w:rFonts w:eastAsia="Calibri"/>
        </w:rPr>
      </w:pPr>
    </w:p>
    <w:p w:rsidR="00916E42" w:rsidP="00916E42" w14:paraId="1CC2E09D" w14:textId="77777777">
      <w:pPr>
        <w:rPr>
          <w:rFonts w:eastAsia="Calibri"/>
        </w:rPr>
      </w:pPr>
      <w:r w:rsidRPr="00916E42">
        <w:rPr>
          <w:rFonts w:eastAsia="Calibri"/>
        </w:rPr>
        <w:t>If the following conditions are not met, FDA will submit an information collection request to OMB for approval through the normal PRA process:</w:t>
      </w:r>
    </w:p>
    <w:p w:rsidR="00E0388C" w:rsidRPr="00916E42" w:rsidP="00916E42" w14:paraId="7B2FB209" w14:textId="77777777">
      <w:pPr>
        <w:rPr>
          <w:rFonts w:eastAsia="Calibri"/>
        </w:rPr>
      </w:pPr>
    </w:p>
    <w:p w:rsidR="00916E42" w:rsidRPr="00916E42" w:rsidP="009A4A7C" w14:paraId="6FCDFCA7" w14:textId="77777777">
      <w:pPr>
        <w:ind w:left="720" w:hanging="360"/>
        <w:rPr>
          <w:rFonts w:eastAsia="Calibri"/>
        </w:rPr>
      </w:pPr>
      <w:r w:rsidRPr="00916E42">
        <w:rPr>
          <w:rFonts w:eastAsia="Calibri"/>
        </w:rPr>
        <w:t>•</w:t>
      </w:r>
      <w:r w:rsidRPr="00916E42">
        <w:rPr>
          <w:rFonts w:eastAsia="Calibri"/>
        </w:rPr>
        <w:tab/>
        <w:t xml:space="preserve">The </w:t>
      </w:r>
      <w:r w:rsidRPr="00916E42">
        <w:rPr>
          <w:rFonts w:eastAsia="Calibri"/>
        </w:rPr>
        <w:t>collections are voluntary;</w:t>
      </w:r>
    </w:p>
    <w:p w:rsidR="00916E42" w:rsidRPr="00916E42" w:rsidP="009A4A7C" w14:paraId="4C627666" w14:textId="77777777">
      <w:pPr>
        <w:ind w:left="720" w:hanging="360"/>
        <w:rPr>
          <w:rFonts w:eastAsia="Calibri"/>
        </w:rPr>
      </w:pPr>
      <w:r w:rsidRPr="00916E42">
        <w:rPr>
          <w:rFonts w:eastAsia="Calibri"/>
        </w:rPr>
        <w:t>•</w:t>
      </w:r>
      <w:r w:rsidRPr="00916E42">
        <w:rPr>
          <w:rFonts w:eastAsia="Calibri"/>
        </w:rPr>
        <w:tab/>
        <w:t>The collections are low burden for participants (based on considerations of total burden hours, total number of participants, or burden hours per participant) and are low cost for both the participants and the Federal Government;</w:t>
      </w:r>
    </w:p>
    <w:p w:rsidR="00916E42" w:rsidRPr="00916E42" w:rsidP="009A4A7C" w14:paraId="7864F7E6" w14:textId="77777777">
      <w:pPr>
        <w:ind w:left="720" w:hanging="360"/>
        <w:rPr>
          <w:rFonts w:eastAsia="Calibri"/>
        </w:rPr>
      </w:pPr>
      <w:r w:rsidRPr="00916E42">
        <w:rPr>
          <w:rFonts w:eastAsia="Calibri"/>
        </w:rPr>
        <w:t>•</w:t>
      </w:r>
      <w:r w:rsidRPr="00916E42">
        <w:rPr>
          <w:rFonts w:eastAsia="Calibri"/>
        </w:rPr>
        <w:tab/>
        <w:t>The collections are noncontroversial;</w:t>
      </w:r>
    </w:p>
    <w:p w:rsidR="00916E42" w:rsidRPr="00916E42" w:rsidP="009A4A7C" w14:paraId="54873262" w14:textId="5B0B4EA0">
      <w:pPr>
        <w:ind w:left="720" w:hanging="360"/>
        <w:rPr>
          <w:rFonts w:eastAsia="Calibri"/>
        </w:rPr>
      </w:pPr>
      <w:r w:rsidRPr="00916E42">
        <w:rPr>
          <w:rFonts w:eastAsia="Calibri"/>
        </w:rPr>
        <w:t>•</w:t>
      </w:r>
      <w:r w:rsidRPr="00916E42">
        <w:rPr>
          <w:rFonts w:eastAsia="Calibri"/>
        </w:rPr>
        <w:tab/>
      </w:r>
      <w:r w:rsidRPr="00916E42" w:rsidR="00F02278">
        <w:rPr>
          <w:rFonts w:eastAsia="Calibri"/>
        </w:rPr>
        <w:t>Personally</w:t>
      </w:r>
      <w:r w:rsidR="00AF7E38">
        <w:rPr>
          <w:rFonts w:eastAsia="Calibri"/>
        </w:rPr>
        <w:t>-</w:t>
      </w:r>
      <w:r w:rsidRPr="00916E42" w:rsidR="00F02278">
        <w:rPr>
          <w:rFonts w:eastAsia="Calibri"/>
        </w:rPr>
        <w:t>identifiable</w:t>
      </w:r>
      <w:r w:rsidRPr="00916E42">
        <w:rPr>
          <w:rFonts w:eastAsia="Calibri"/>
        </w:rPr>
        <w:t xml:space="preserve"> information (PII) is collected only to the extent necessary</w:t>
      </w:r>
      <w:r>
        <w:rPr>
          <w:rStyle w:val="FootnoteReference"/>
          <w:rFonts w:eastAsia="Calibri"/>
        </w:rPr>
        <w:footnoteReference w:id="3"/>
      </w:r>
      <w:r w:rsidRPr="00916E42">
        <w:rPr>
          <w:rFonts w:eastAsia="Calibri"/>
        </w:rPr>
        <w:t xml:space="preserve"> and is not retained;</w:t>
      </w:r>
    </w:p>
    <w:p w:rsidR="00916E42" w:rsidRPr="00916E42" w:rsidP="009A4A7C" w14:paraId="61A4AEF1" w14:textId="5BD42B9C">
      <w:pPr>
        <w:ind w:left="720" w:hanging="360"/>
        <w:rPr>
          <w:rFonts w:eastAsia="Calibri"/>
        </w:rPr>
      </w:pPr>
      <w:r w:rsidRPr="00916E42">
        <w:rPr>
          <w:rFonts w:eastAsia="Calibri"/>
        </w:rPr>
        <w:t>•</w:t>
      </w:r>
      <w:r w:rsidRPr="00916E42">
        <w:rPr>
          <w:rFonts w:eastAsia="Calibri"/>
        </w:rPr>
        <w:tab/>
        <w:t>Information gathered will not be used for the purpose of substantially informing influential policy decisions;</w:t>
      </w:r>
      <w:r>
        <w:rPr>
          <w:rStyle w:val="FootnoteReference"/>
          <w:rFonts w:eastAsia="Calibri"/>
        </w:rPr>
        <w:footnoteReference w:id="4"/>
      </w:r>
      <w:r w:rsidRPr="00916E42">
        <w:rPr>
          <w:rFonts w:eastAsia="Calibri"/>
        </w:rPr>
        <w:t xml:space="preserve"> and</w:t>
      </w:r>
    </w:p>
    <w:p w:rsidR="00916E42" w:rsidRPr="00916E42" w:rsidP="009A4A7C" w14:paraId="05D84F7C" w14:textId="77777777">
      <w:pPr>
        <w:ind w:left="720" w:hanging="360"/>
        <w:rPr>
          <w:rFonts w:eastAsia="Calibri"/>
        </w:rPr>
      </w:pPr>
      <w:r w:rsidRPr="00916E42">
        <w:rPr>
          <w:rFonts w:eastAsia="Calibri"/>
        </w:rPr>
        <w:t>•</w:t>
      </w:r>
      <w:r w:rsidRPr="00916E42">
        <w:rPr>
          <w:rFonts w:eastAsia="Calibri"/>
        </w:rPr>
        <w:tab/>
        <w:t>Information gathered will yield qualitative findings; the collections will not be designed or expected to yield statistical data or used as though the results are generalizable to the population of study.</w:t>
      </w:r>
    </w:p>
    <w:p w:rsidR="00A76839" w:rsidP="00916E42" w14:paraId="566E0C28" w14:textId="77777777">
      <w:pPr>
        <w:rPr>
          <w:rFonts w:eastAsia="Calibri"/>
        </w:rPr>
      </w:pPr>
    </w:p>
    <w:p w:rsidR="00916E42" w:rsidP="00916E42" w14:paraId="56D538A4" w14:textId="77777777">
      <w:pPr>
        <w:rPr>
          <w:rFonts w:eastAsia="Calibri"/>
        </w:rPr>
      </w:pPr>
      <w:r w:rsidRPr="00916E42">
        <w:rPr>
          <w:rFonts w:eastAsia="Calibri"/>
        </w:rPr>
        <w:t xml:space="preserve">To obtain approval for an individual generic collection submission that meets the conditions of this generic clearance, an abbreviated supporting statement will be submitted to OMB along with supporting documentation (e.g., a copy of the survey or experimental design and stimuli for testing).  </w:t>
      </w:r>
    </w:p>
    <w:p w:rsidR="00A76839" w:rsidRPr="00916E42" w:rsidP="00916E42" w14:paraId="4CEACAD0" w14:textId="77777777">
      <w:pPr>
        <w:rPr>
          <w:rFonts w:eastAsia="Calibri"/>
        </w:rPr>
      </w:pPr>
    </w:p>
    <w:p w:rsidR="00916E42" w:rsidP="00916E42" w14:paraId="6673623B" w14:textId="2343650C">
      <w:pPr>
        <w:rPr>
          <w:rFonts w:eastAsia="Calibri"/>
        </w:rPr>
      </w:pPr>
      <w:r w:rsidRPr="00916E42">
        <w:rPr>
          <w:rFonts w:eastAsia="Calibri"/>
        </w:rPr>
        <w:t xml:space="preserve">FDA will submit individual quantitative collections under this generic clearance to OMB.  Individual quantitative collections will also undergo review by FDA’s </w:t>
      </w:r>
      <w:r w:rsidR="00582F18">
        <w:rPr>
          <w:rFonts w:eastAsia="Calibri"/>
        </w:rPr>
        <w:t>Human Subject Protection Program</w:t>
      </w:r>
      <w:r w:rsidRPr="00916E42">
        <w:rPr>
          <w:rFonts w:eastAsia="Calibri"/>
        </w:rPr>
        <w:t xml:space="preserve">, senior leadership in </w:t>
      </w:r>
      <w:r w:rsidR="004F0F3F">
        <w:rPr>
          <w:rFonts w:eastAsia="Calibri"/>
        </w:rPr>
        <w:t>HFP</w:t>
      </w:r>
      <w:r w:rsidRPr="00916E42">
        <w:rPr>
          <w:rFonts w:eastAsia="Calibri"/>
        </w:rPr>
        <w:t>, and PRA specialists.</w:t>
      </w:r>
    </w:p>
    <w:p w:rsidR="00916E42" w:rsidRPr="008B51F4" w:rsidP="008B51F4" w14:paraId="738C5503" w14:textId="77777777">
      <w:pPr>
        <w:rPr>
          <w:rFonts w:eastAsia="Calibri"/>
        </w:rPr>
      </w:pPr>
    </w:p>
    <w:p w:rsidR="00357C8A" w:rsidP="000E411B" w14:paraId="69A63D49" w14:textId="77777777">
      <w:pPr>
        <w:rPr>
          <w:rFonts w:eastAsia="Calibri"/>
        </w:rPr>
      </w:pPr>
      <w:r w:rsidRPr="008B51F4">
        <w:rPr>
          <w:rFonts w:eastAsia="Calibri"/>
        </w:rPr>
        <w:t>We therefore request extension of approval for the generic clearance discussed in this supporting statement, and administered in accordance with methodologies described in our supporting statement part B.</w:t>
      </w:r>
    </w:p>
    <w:p w:rsidR="000E411B" w:rsidRPr="00CF5FD5" w:rsidP="000E411B" w14:paraId="298A1A9F" w14:textId="77777777">
      <w:pPr>
        <w:rPr>
          <w:rFonts w:eastAsia="Calibri"/>
          <w:color w:val="000000"/>
        </w:rPr>
      </w:pPr>
    </w:p>
    <w:p w:rsidR="00357C8A" w:rsidRPr="00357C8A" w:rsidP="006705EA" w14:paraId="322C1E5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B51F4" w:rsidRPr="005E5681" w:rsidP="008B51F4" w14:paraId="61944AD0" w14:textId="4E965B7D">
      <w:r>
        <w:t>Consistent with OMB communication on flexibilities under the PRA</w:t>
      </w:r>
      <w:r>
        <w:rPr>
          <w:rStyle w:val="FootnoteReference"/>
        </w:rPr>
        <w:footnoteReference w:id="5"/>
      </w:r>
      <w:r>
        <w:t xml:space="preserve"> and the use of </w:t>
      </w:r>
      <w:r w:rsidR="00860AC0">
        <w:t>g</w:t>
      </w:r>
      <w:r>
        <w:t xml:space="preserve">eneric </w:t>
      </w:r>
      <w:r w:rsidR="00860AC0">
        <w:t>c</w:t>
      </w:r>
      <w:r>
        <w:t xml:space="preserve">learance, individual submission requests will be those we believe are low in burden, similar in nature, and do not raise any substantive or policy issues. We intend to utilize the information collection as a way to test preliminary versions of communications we share with the public to help evaluate their clarity and usability. Consumer reaction and feedback to communications and educational messages under development will help us </w:t>
      </w:r>
      <w:r w:rsidRPr="005E5681">
        <w:t xml:space="preserve">better understand </w:t>
      </w:r>
      <w:r>
        <w:t>current behavior, knowledge, belie</w:t>
      </w:r>
      <w:r>
        <w:t xml:space="preserve">fs, perceptions, and attitudes </w:t>
      </w:r>
      <w:r w:rsidRPr="005E5681">
        <w:t>to topics and concepts</w:t>
      </w:r>
      <w:r>
        <w:t xml:space="preserve"> related to </w:t>
      </w:r>
      <w:r w:rsidRPr="008F3462">
        <w:t>FDA-regulated</w:t>
      </w:r>
      <w:r>
        <w:t xml:space="preserve"> products.</w:t>
      </w:r>
      <w:r w:rsidR="00A12E07">
        <w:t xml:space="preserve"> </w:t>
      </w:r>
      <w:r w:rsidRPr="005E5681">
        <w:t xml:space="preserve">The data will not be directly used for the purposes of making regulatory </w:t>
      </w:r>
      <w:r>
        <w:t xml:space="preserve">or other policy </w:t>
      </w:r>
      <w:r w:rsidRPr="005E5681">
        <w:t>decisions.</w:t>
      </w:r>
    </w:p>
    <w:p w:rsidR="008B51F4" w:rsidP="008B51F4" w14:paraId="110706A6" w14:textId="77777777">
      <w:pPr>
        <w:numPr>
          <w:ilvl w:val="12"/>
          <w:numId w:val="0"/>
        </w:numPr>
      </w:pPr>
    </w:p>
    <w:p w:rsidR="00357C8A" w:rsidRPr="00CF5FD5" w:rsidP="0022425B" w14:paraId="01751527" w14:textId="3E524510">
      <w:pPr>
        <w:spacing w:after="200"/>
        <w:rPr>
          <w:rFonts w:eastAsia="Calibri"/>
          <w:color w:val="000000"/>
        </w:rPr>
      </w:pPr>
      <w:r w:rsidRPr="00EB65AA">
        <w:rPr>
          <w:rFonts w:eastAsia="Calibri"/>
          <w:i/>
          <w:iCs/>
        </w:rPr>
        <w:t>Description of Respondents</w:t>
      </w:r>
      <w:r w:rsidRPr="00051CF5">
        <w:rPr>
          <w:rFonts w:eastAsia="Calibri"/>
        </w:rPr>
        <w:t xml:space="preserve">: </w:t>
      </w:r>
      <w:r w:rsidR="008A3335">
        <w:rPr>
          <w:rFonts w:eastAsia="Calibri"/>
        </w:rPr>
        <w:t xml:space="preserve"> </w:t>
      </w:r>
      <w:r w:rsidRPr="008B51F4" w:rsidR="008B51F4">
        <w:rPr>
          <w:rFonts w:eastAsia="Calibri"/>
        </w:rPr>
        <w:t>Respondents to this collection of information may include a wide range of consumers and other FDA stakeholders such as producers and manufacturers who are regulated under FDA-regulated food and cosmetic products, dietary supplements, and animal food and feed.</w:t>
      </w:r>
    </w:p>
    <w:p w:rsidR="00277468" w14:paraId="29645070" w14:textId="77777777">
      <w:pPr>
        <w:rPr>
          <w:rFonts w:eastAsia="Calibri"/>
          <w:u w:val="single"/>
        </w:rPr>
      </w:pPr>
      <w:r>
        <w:rPr>
          <w:rFonts w:eastAsia="Calibri"/>
          <w:u w:val="single"/>
        </w:rPr>
        <w:br w:type="page"/>
      </w:r>
    </w:p>
    <w:p w:rsidR="00357C8A" w:rsidRPr="00357C8A" w:rsidP="006705EA" w14:paraId="03B930B2" w14:textId="54D278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D21021" w:rsidRPr="00D21021" w:rsidP="00D21021" w14:paraId="728DC0A1" w14:textId="21FB0329">
      <w:pPr>
        <w:spacing w:after="200"/>
        <w:rPr>
          <w:rFonts w:eastAsia="Calibri"/>
        </w:rPr>
      </w:pPr>
      <w:r w:rsidRPr="00D21021">
        <w:rPr>
          <w:rFonts w:eastAsia="Calibri"/>
        </w:rPr>
        <w:t>As computer technology has continued to develop and become more widespread, opportunities to implement web-based data collection techniques via the Internet have increased. Thus, wherever possible, FDA will make use of web-based data collection methods when collecting quantitative data under this generic clearance. Using computer-assisted information technology to transmit data collection instruments and/or collect responses will continue to reduce the burden on participants as well as facilitate processing</w:t>
      </w:r>
      <w:r w:rsidRPr="00D21021">
        <w:rPr>
          <w:rFonts w:eastAsia="Calibri"/>
        </w:rPr>
        <w:t xml:space="preserve"> by the agency. For example, participants can access and respond to data collection requests at a time and place that is convenient to them, eliminating the need to travel for survey administration.  </w:t>
      </w:r>
    </w:p>
    <w:p w:rsidR="00D21021" w:rsidRPr="00D21021" w:rsidP="00D21021" w14:paraId="4323CD04" w14:textId="35B5022E">
      <w:pPr>
        <w:spacing w:after="200"/>
        <w:rPr>
          <w:rFonts w:eastAsia="Calibri"/>
        </w:rPr>
      </w:pPr>
      <w:r w:rsidRPr="00D21021">
        <w:rPr>
          <w:rFonts w:eastAsia="Calibri"/>
        </w:rPr>
        <w:t xml:space="preserve">Web-based data collections, including those using experimental designs, are an especially convenient option for eliciting feedback on visual stimuli.  With web-based surveys, participants complete an on-line survey and then submit the data electronically over the Internet. Closed-ended questions (e.g., multiple-choice items, Likert scales) will be employed whenever possible.  </w:t>
      </w:r>
    </w:p>
    <w:p w:rsidR="00357C8A" w:rsidRPr="00CF5FD5" w:rsidP="0022425B" w14:paraId="4F7CFC07" w14:textId="77777777">
      <w:pPr>
        <w:spacing w:after="200"/>
        <w:rPr>
          <w:rFonts w:eastAsia="Calibri"/>
          <w:color w:val="000000"/>
        </w:rPr>
      </w:pPr>
      <w:r w:rsidRPr="00D21021">
        <w:rPr>
          <w:rFonts w:eastAsia="Calibri"/>
        </w:rPr>
        <w:t>We believe at least 90% of the information collections will be completed electronically</w:t>
      </w:r>
      <w:r w:rsidRPr="00CF5FD5">
        <w:rPr>
          <w:rFonts w:eastAsia="Calibri"/>
          <w:color w:val="000000"/>
        </w:rPr>
        <w:t xml:space="preserve">.  </w:t>
      </w:r>
    </w:p>
    <w:p w:rsidR="00357C8A" w:rsidRPr="00357C8A" w:rsidP="006705EA" w14:paraId="08DD6FC3"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CF5FD5" w:rsidP="0053380B" w14:paraId="32154FCD" w14:textId="27887406">
      <w:pPr>
        <w:spacing w:after="200"/>
        <w:rPr>
          <w:rFonts w:eastAsia="Calibri"/>
          <w:color w:val="000000"/>
        </w:rPr>
      </w:pPr>
      <w:r w:rsidRPr="00D21021">
        <w:t>We are unaware of duplicative information collection. As each individual collection is developed, we review current scientific literature and other available data sources to avoid duplication of efforts and to maximize limited agency research funding. Also, as appropriate to the individual collection, we work with other HHS agencies engaged in similar or related research activities, and/or consult with outside experts that can potentially inform the agency’s research objectives.</w:t>
      </w:r>
    </w:p>
    <w:p w:rsidR="00357C8A" w:rsidRPr="00357C8A" w:rsidP="006705EA" w14:paraId="76A33BA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6F34106A" w14:textId="77777777">
      <w:pPr>
        <w:spacing w:after="200"/>
        <w:rPr>
          <w:rFonts w:eastAsia="Calibri"/>
        </w:rPr>
      </w:pPr>
      <w:r w:rsidRPr="00D21021">
        <w:rPr>
          <w:rFonts w:eastAsia="Calibri"/>
        </w:rPr>
        <w:t xml:space="preserve">No undue burden is imposed on small entities as a result of the information collection.  </w:t>
      </w:r>
    </w:p>
    <w:p w:rsidR="00357C8A" w:rsidRPr="00357C8A" w:rsidP="006705EA" w14:paraId="3B66ACD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CF5FD5" w:rsidP="00357C8A" w14:paraId="6D028BF3" w14:textId="38D7C35A">
      <w:pPr>
        <w:spacing w:after="200"/>
        <w:rPr>
          <w:rFonts w:eastAsia="Calibri"/>
          <w:color w:val="000000"/>
        </w:rPr>
      </w:pPr>
      <w:r w:rsidRPr="00D21021">
        <w:rPr>
          <w:rFonts w:eastAsia="Calibri"/>
        </w:rPr>
        <w:t xml:space="preserve">We intend to administer the information collection consistent with identified agency needs and available resources. The date(s)/timing of an individual collection is communicated in Question 10 of the justification documentation memo submitted in support of our request. </w:t>
      </w:r>
    </w:p>
    <w:p w:rsidR="00357C8A" w:rsidRPr="00357C8A" w:rsidP="006705EA" w14:paraId="15BFD82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D4E33A" w14:textId="486E1DE0">
      <w:pPr>
        <w:spacing w:after="200"/>
        <w:rPr>
          <w:rFonts w:eastAsia="Calibri"/>
        </w:rPr>
      </w:pPr>
      <w:r w:rsidRPr="00D21021">
        <w:rPr>
          <w:rFonts w:eastAsia="Calibri"/>
        </w:rPr>
        <w:t xml:space="preserve">Generally, studies under this clearance rely on quantitative methods and use convenience samples rather than probability samples. Therefore, the results are not intended to yield results that are statistically projectable, nationally representative, or precise estimates of population parameters. </w:t>
      </w:r>
    </w:p>
    <w:p w:rsidR="00357C8A" w:rsidRPr="00357C8A" w:rsidP="006705EA" w14:paraId="311E20B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CF5FD5" w:rsidP="00357C8A" w14:paraId="6BD98450" w14:textId="77777777">
      <w:pPr>
        <w:spacing w:after="200"/>
        <w:rPr>
          <w:rFonts w:eastAsia="Calibri"/>
          <w:color w:val="000000"/>
        </w:rPr>
      </w:pPr>
      <w:r w:rsidRPr="00D21021">
        <w:rPr>
          <w:rFonts w:eastAsia="Calibri"/>
        </w:rPr>
        <w:t xml:space="preserve">In accordance with 5 CFR 1320.8(d), we published a 60-day notice for public comment in the </w:t>
      </w:r>
      <w:r w:rsidRPr="00EF46DC">
        <w:rPr>
          <w:rFonts w:eastAsia="Calibri"/>
          <w:i/>
          <w:iCs/>
        </w:rPr>
        <w:t>Federal Register</w:t>
      </w:r>
      <w:r w:rsidRPr="00D21021">
        <w:rPr>
          <w:rFonts w:eastAsia="Calibri"/>
        </w:rPr>
        <w:t xml:space="preserve"> of </w:t>
      </w:r>
      <w:r w:rsidR="00C315E6">
        <w:rPr>
          <w:rFonts w:eastAsia="Calibri"/>
        </w:rPr>
        <w:t>July 31, 2024</w:t>
      </w:r>
      <w:r w:rsidRPr="00D21021">
        <w:rPr>
          <w:rFonts w:eastAsia="Calibri"/>
        </w:rPr>
        <w:t xml:space="preserve"> (8</w:t>
      </w:r>
      <w:r w:rsidR="00C315E6">
        <w:rPr>
          <w:rFonts w:eastAsia="Calibri"/>
        </w:rPr>
        <w:t>9</w:t>
      </w:r>
      <w:r w:rsidRPr="00D21021">
        <w:rPr>
          <w:rFonts w:eastAsia="Calibri"/>
        </w:rPr>
        <w:t xml:space="preserve"> FR </w:t>
      </w:r>
      <w:r w:rsidR="00C315E6">
        <w:rPr>
          <w:rFonts w:eastAsia="Calibri"/>
        </w:rPr>
        <w:t>61453</w:t>
      </w:r>
      <w:r w:rsidRPr="00D21021">
        <w:rPr>
          <w:rFonts w:eastAsia="Calibri"/>
        </w:rPr>
        <w:t xml:space="preserve">).  </w:t>
      </w:r>
      <w:r w:rsidR="00C315E6">
        <w:rPr>
          <w:rFonts w:eastAsia="Calibri"/>
        </w:rPr>
        <w:t>No comments were received.</w:t>
      </w:r>
    </w:p>
    <w:p w:rsidR="00357C8A" w:rsidRPr="00357C8A" w:rsidP="006705EA" w14:paraId="12B5D29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CF5FD5" w:rsidP="00357C8A" w14:paraId="645DE46B" w14:textId="2AAEFF4B">
      <w:pPr>
        <w:spacing w:after="200"/>
        <w:rPr>
          <w:rFonts w:eastAsia="Calibri"/>
          <w:color w:val="000000"/>
        </w:rPr>
      </w:pPr>
      <w:r w:rsidRPr="003E6637">
        <w:rPr>
          <w:rFonts w:eastAsia="Calibri"/>
        </w:rPr>
        <w:t xml:space="preserve">Gifts or payments offered to respondents as a token of appreciation will be limited as we expect to use proprietary consumer web-based panels with their own methods for retaining participants.  Instances where offering a small incentive is determined necessary will be addressed on a case-by-case basis (depending on the particular information collection design). Incentive amounts for </w:t>
      </w:r>
      <w:r w:rsidRPr="003E6637">
        <w:rPr>
          <w:rFonts w:eastAsia="Calibri"/>
        </w:rPr>
        <w:t>information collections conducted under this clearance will typically not exceed $75, though more may be requested for difficult-to-recruit populations. In cases where FDA believes this is necessary, details and justifications for incentive requests will be provided.</w:t>
      </w:r>
    </w:p>
    <w:p w:rsidR="00357C8A" w:rsidRPr="00357C8A" w:rsidP="006705EA" w14:paraId="0110C1B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819F7" w:rsidRPr="003002A2" w:rsidP="00FF548D" w14:paraId="75234DCE" w14:textId="77777777">
      <w:pPr>
        <w:spacing w:after="200"/>
        <w:rPr>
          <w:rFonts w:eastAsia="Calibri"/>
          <w:i/>
          <w:iCs/>
        </w:rPr>
      </w:pPr>
      <w:r w:rsidRPr="003002A2">
        <w:rPr>
          <w:rFonts w:eastAsia="Calibri"/>
          <w:i/>
          <w:iCs/>
        </w:rPr>
        <w:t>The Privacy Act of 1974</w:t>
      </w:r>
    </w:p>
    <w:p w:rsidR="00FF548D" w:rsidRPr="00FF548D" w:rsidP="00FF548D" w14:paraId="35112DB4" w14:textId="681B8286">
      <w:pPr>
        <w:spacing w:after="200"/>
        <w:rPr>
          <w:rFonts w:eastAsia="Calibri"/>
        </w:rPr>
      </w:pPr>
      <w:r w:rsidRPr="00FF548D">
        <w:rPr>
          <w:rFonts w:eastAsia="Calibri"/>
        </w:rPr>
        <w:t xml:space="preserve">In preparing this </w:t>
      </w:r>
      <w:r w:rsidR="006401A4">
        <w:rPr>
          <w:rFonts w:eastAsia="Calibri"/>
        </w:rPr>
        <w:t>s</w:t>
      </w:r>
      <w:r w:rsidRPr="00FF548D">
        <w:rPr>
          <w:rFonts w:eastAsia="Calibri"/>
        </w:rPr>
        <w:t xml:space="preserve">upporting </w:t>
      </w:r>
      <w:r w:rsidR="006401A4">
        <w:rPr>
          <w:rFonts w:eastAsia="Calibri"/>
        </w:rPr>
        <w:t>s</w:t>
      </w:r>
      <w:r w:rsidRPr="00FF548D">
        <w:rPr>
          <w:rFonts w:eastAsia="Calibri"/>
        </w:rPr>
        <w:t>tatement, we consulted our Privacy Office to ensure appropriate identification and handling of information collected.</w:t>
      </w:r>
      <w:r w:rsidR="00B819F7">
        <w:rPr>
          <w:rFonts w:eastAsia="Calibri"/>
        </w:rPr>
        <w:t xml:space="preserve">  </w:t>
      </w:r>
      <w:r w:rsidRPr="00FF548D">
        <w:rPr>
          <w:rFonts w:eastAsia="Calibri"/>
        </w:rPr>
        <w:t xml:space="preserve">This generic </w:t>
      </w:r>
      <w:r w:rsidR="00B819F7">
        <w:rPr>
          <w:rFonts w:eastAsia="Calibri"/>
        </w:rPr>
        <w:t xml:space="preserve">approval </w:t>
      </w:r>
      <w:r w:rsidRPr="00FF548D">
        <w:rPr>
          <w:rFonts w:eastAsia="Calibri"/>
        </w:rPr>
        <w:t>will collect personally identifiable information (PII).</w:t>
      </w:r>
      <w:r w:rsidR="009A7413">
        <w:rPr>
          <w:rFonts w:eastAsia="Calibri"/>
        </w:rPr>
        <w:t xml:space="preserve">  Individual collections </w:t>
      </w:r>
      <w:r w:rsidRPr="00FF548D">
        <w:rPr>
          <w:rFonts w:eastAsia="Calibri"/>
        </w:rPr>
        <w:t xml:space="preserve">under which various studies to be conducted will first go through internal PRA </w:t>
      </w:r>
      <w:r w:rsidR="00473402">
        <w:rPr>
          <w:rFonts w:eastAsia="Calibri"/>
        </w:rPr>
        <w:t xml:space="preserve">Staff </w:t>
      </w:r>
      <w:r w:rsidRPr="00FF548D">
        <w:rPr>
          <w:rFonts w:eastAsia="Calibri"/>
        </w:rPr>
        <w:t xml:space="preserve">and Privacy Office review. </w:t>
      </w:r>
      <w:r w:rsidR="00473402">
        <w:rPr>
          <w:rFonts w:eastAsia="Calibri"/>
        </w:rPr>
        <w:t xml:space="preserve"> </w:t>
      </w:r>
      <w:r w:rsidRPr="00FF548D">
        <w:rPr>
          <w:rFonts w:eastAsia="Calibri"/>
        </w:rPr>
        <w:t>The specific types of information collected may vary from study to study, but when PII is collected</w:t>
      </w:r>
      <w:r w:rsidR="00797987">
        <w:rPr>
          <w:rFonts w:eastAsia="Calibri"/>
        </w:rPr>
        <w:t>,</w:t>
      </w:r>
      <w:r w:rsidRPr="00FF548D">
        <w:rPr>
          <w:rFonts w:eastAsia="Calibri"/>
        </w:rPr>
        <w:t xml:space="preserve"> it typically consists of name and contact information. </w:t>
      </w:r>
    </w:p>
    <w:p w:rsidR="00FF548D" w:rsidRPr="00FF548D" w:rsidP="00FF548D" w14:paraId="6F13167F" w14:textId="0AB12C57">
      <w:pPr>
        <w:spacing w:after="200"/>
        <w:rPr>
          <w:rFonts w:eastAsia="Calibri"/>
        </w:rPr>
      </w:pPr>
      <w:r>
        <w:rPr>
          <w:rFonts w:eastAsia="Calibri"/>
        </w:rPr>
        <w:t xml:space="preserve">The </w:t>
      </w:r>
      <w:r w:rsidRPr="00FF548D" w:rsidR="00E93F71">
        <w:rPr>
          <w:rFonts w:eastAsia="Calibri"/>
        </w:rPr>
        <w:t>PII is collected on behalf of FDA by a contractor or vendor who conducts quantitative generic studies.</w:t>
      </w:r>
      <w:r w:rsidR="00B43E12">
        <w:rPr>
          <w:rFonts w:eastAsia="Calibri"/>
        </w:rPr>
        <w:t xml:space="preserve"> </w:t>
      </w:r>
      <w:r w:rsidRPr="00FF548D" w:rsidR="00E93F71">
        <w:rPr>
          <w:rFonts w:eastAsia="Calibri"/>
        </w:rPr>
        <w:t>PII is collected in the context of requesting individual feedback on the effectiveness of FDA communications and educational campaigns.</w:t>
      </w:r>
      <w:r>
        <w:rPr>
          <w:rFonts w:eastAsia="Calibri"/>
        </w:rPr>
        <w:t xml:space="preserve">  </w:t>
      </w:r>
      <w:r w:rsidRPr="00FF548D" w:rsidR="00E93F71">
        <w:rPr>
          <w:rFonts w:eastAsia="Calibri"/>
        </w:rPr>
        <w:t>Information collected by the vendor or contractor will be summarized into aggregate form, sent in aggregate to FDA (no PII will be included), and destroyed after the study or interview has been completed.</w:t>
      </w:r>
      <w:r>
        <w:rPr>
          <w:rFonts w:eastAsia="Calibri"/>
        </w:rPr>
        <w:t xml:space="preserve">  </w:t>
      </w:r>
      <w:r w:rsidRPr="00FF548D" w:rsidR="00E93F71">
        <w:rPr>
          <w:rFonts w:eastAsia="Calibri"/>
        </w:rPr>
        <w:t>Collected PII is used to notify potential respondents of their selection for an interview or study and include</w:t>
      </w:r>
      <w:r w:rsidR="007F5415">
        <w:rPr>
          <w:rFonts w:eastAsia="Calibri"/>
        </w:rPr>
        <w:t>s</w:t>
      </w:r>
      <w:r w:rsidRPr="00FF548D" w:rsidR="00E93F71">
        <w:rPr>
          <w:rFonts w:eastAsia="Calibri"/>
        </w:rPr>
        <w:t xml:space="preserve"> name and contact information.</w:t>
      </w:r>
      <w:r>
        <w:rPr>
          <w:rFonts w:eastAsia="Calibri"/>
        </w:rPr>
        <w:t xml:space="preserve">  </w:t>
      </w:r>
      <w:r w:rsidRPr="00FF548D" w:rsidR="00E93F71">
        <w:rPr>
          <w:rFonts w:eastAsia="Calibri"/>
        </w:rPr>
        <w:t xml:space="preserve">All individual information collected will be kept secure by the vendor or contractor. </w:t>
      </w:r>
      <w:r w:rsidR="0089590B">
        <w:rPr>
          <w:rFonts w:eastAsia="Calibri"/>
        </w:rPr>
        <w:t xml:space="preserve"> </w:t>
      </w:r>
      <w:r w:rsidRPr="00FF548D" w:rsidR="00E93F71">
        <w:rPr>
          <w:rFonts w:eastAsia="Calibri"/>
        </w:rPr>
        <w:t>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study or interview has been completed.</w:t>
      </w:r>
      <w:r w:rsidR="00EC2F6A">
        <w:rPr>
          <w:rFonts w:eastAsia="Calibri"/>
        </w:rPr>
        <w:t xml:space="preserve"> </w:t>
      </w:r>
      <w:r w:rsidRPr="00FF548D" w:rsidR="00E93F71">
        <w:rPr>
          <w:rFonts w:eastAsia="Calibri"/>
        </w:rPr>
        <w:t xml:space="preserve">Contractors are required to </w:t>
      </w:r>
      <w:r w:rsidRPr="00FF548D" w:rsidR="00E93F71">
        <w:rPr>
          <w:rFonts w:eastAsia="Calibri"/>
        </w:rPr>
        <w:t xml:space="preserve">sign a pledge of privacy that reinforces privacy requirements of the study and states that any procedural violation that jeopardizes a respondent’s privacy will be grounds for immediate termination and possible legal action.  In keeping with IRB/Human Subjects Research protocols, all the studies conducted under this approved generic collection obtain IRB clearance. The clearance process ensures that study data is appropriately secured (e.g., housed on the </w:t>
      </w:r>
      <w:r w:rsidR="00072863">
        <w:rPr>
          <w:rFonts w:eastAsia="Calibri"/>
        </w:rPr>
        <w:t>c</w:t>
      </w:r>
      <w:r w:rsidRPr="00FF548D" w:rsidR="00E93F71">
        <w:rPr>
          <w:rFonts w:eastAsia="Calibri"/>
        </w:rPr>
        <w:t>ontractor’s servers, password protected, separate s</w:t>
      </w:r>
      <w:r w:rsidRPr="00FF548D" w:rsidR="00E93F71">
        <w:rPr>
          <w:rFonts w:eastAsia="Calibri"/>
        </w:rPr>
        <w:t>torage areas for each study, access controlled).</w:t>
      </w:r>
    </w:p>
    <w:p w:rsidR="001075D3" w:rsidP="00EF46DC" w14:paraId="6ECAE1E7" w14:textId="7D10B2F8">
      <w:pPr>
        <w:spacing w:after="200"/>
        <w:rPr>
          <w:rFonts w:eastAsia="Calibri"/>
        </w:rPr>
      </w:pPr>
      <w:r w:rsidRPr="00FF548D">
        <w:rPr>
          <w:rFonts w:eastAsia="Calibri"/>
        </w:rPr>
        <w:t>In most if not all cases, the Privacy Act will not apply to collected information.</w:t>
      </w:r>
      <w:r w:rsidR="003002A2">
        <w:rPr>
          <w:rFonts w:eastAsia="Calibri"/>
        </w:rPr>
        <w:t xml:space="preserve">  </w:t>
      </w:r>
      <w:r w:rsidRPr="00FF548D">
        <w:rPr>
          <w:rFonts w:eastAsia="Calibri"/>
        </w:rPr>
        <w:t xml:space="preserve">To ensure accurate determinations regarding Privacy Act application, </w:t>
      </w:r>
      <w:r w:rsidR="00922E2B">
        <w:rPr>
          <w:rFonts w:eastAsia="Calibri"/>
        </w:rPr>
        <w:t xml:space="preserve">the </w:t>
      </w:r>
      <w:r w:rsidRPr="00FF548D">
        <w:rPr>
          <w:rFonts w:eastAsia="Calibri"/>
        </w:rPr>
        <w:t>FDA Privacy Office will review the details of each study conducted under this generic collection approval.</w:t>
      </w:r>
      <w:r w:rsidR="003002A2">
        <w:rPr>
          <w:rFonts w:eastAsia="Calibri"/>
        </w:rPr>
        <w:t xml:space="preserve">  </w:t>
      </w:r>
      <w:r w:rsidRPr="00FF548D">
        <w:rPr>
          <w:rFonts w:eastAsia="Calibri"/>
        </w:rPr>
        <w:t>In instances when the Privacy Act applies, FDA will satisfy the requirements of the statute for the study at issue.</w:t>
      </w:r>
    </w:p>
    <w:p w:rsidR="00B517CB" w:rsidP="00B517CB" w14:paraId="3E6FEE7C" w14:textId="77777777">
      <w:pPr>
        <w:rPr>
          <w:i/>
          <w:iCs/>
        </w:rPr>
      </w:pPr>
      <w:r>
        <w:rPr>
          <w:i/>
          <w:iCs/>
        </w:rPr>
        <w:t xml:space="preserve">The Freedom of Information Act (FOIA) </w:t>
      </w:r>
    </w:p>
    <w:p w:rsidR="00B517CB" w:rsidP="00B517CB" w14:paraId="671CEB54" w14:textId="77777777"/>
    <w:p w:rsidR="00B517CB" w:rsidP="00B517CB" w14:paraId="5BBB544F" w14:textId="4FFA812D">
      <w:r>
        <w:t>Under FOIA (5 U.S.C. 552), the public has broad access to government documents. However, FOIA provides certain exemptions from mandatory public disclosure of government records (5 U.S.C. 552(b)(1-9)).  We will make the fullest possible disclosure of records to the public, consistent with the rights of individuals to privacy, the property rights of persons in trade and confidential commercial or financial information.  Consistent with 5 CFR 1320.5(d)(2)(vii), data will be kept private to the extent allowed by law</w:t>
      </w:r>
      <w:r>
        <w:t>.</w:t>
      </w:r>
    </w:p>
    <w:p w:rsidR="00B517CB" w:rsidRPr="001075D3" w:rsidP="00B517CB" w14:paraId="198CF75E" w14:textId="77777777"/>
    <w:p w:rsidR="00B517CB" w14:paraId="5829C787" w14:textId="77777777">
      <w:pPr>
        <w:rPr>
          <w:rFonts w:eastAsia="Calibri"/>
          <w:u w:val="single"/>
        </w:rPr>
      </w:pPr>
      <w:r>
        <w:rPr>
          <w:rFonts w:eastAsia="Calibri"/>
          <w:u w:val="single"/>
        </w:rPr>
        <w:br w:type="page"/>
      </w:r>
    </w:p>
    <w:p w:rsidR="00357C8A" w:rsidRPr="00357C8A" w:rsidP="006705EA" w14:paraId="784955F2" w14:textId="583A85BF">
      <w:pPr>
        <w:numPr>
          <w:ilvl w:val="0"/>
          <w:numId w:val="6"/>
        </w:numPr>
        <w:spacing w:after="200" w:line="276" w:lineRule="auto"/>
        <w:rPr>
          <w:rFonts w:eastAsia="Calibri"/>
        </w:rPr>
      </w:pPr>
      <w:r w:rsidRPr="00357C8A">
        <w:rPr>
          <w:rFonts w:eastAsia="Calibri"/>
          <w:u w:val="single"/>
        </w:rPr>
        <w:t>Justification for Sensitive Questions</w:t>
      </w:r>
    </w:p>
    <w:p w:rsidR="00860AC0" w:rsidP="0022425B" w14:paraId="30732F02" w14:textId="64C24D5C">
      <w:pPr>
        <w:spacing w:after="200"/>
        <w:rPr>
          <w:rFonts w:eastAsia="Calibri"/>
        </w:rPr>
      </w:pPr>
      <w:r w:rsidRPr="003E6637">
        <w:rPr>
          <w:rFonts w:eastAsia="Calibri"/>
        </w:rPr>
        <w:t>We anticipate no sensitive questions will be included in the individual collection requests submitted under this generic clearance. In the event a question is proffered that may be regarded as sensitive, we will provide a justification and explain its relevance to the individual collection.</w:t>
      </w:r>
    </w:p>
    <w:p w:rsidR="00357C8A" w:rsidRPr="00357C8A" w:rsidP="006705EA" w14:paraId="4DDF3093"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B604A6" w:rsidRPr="00B517CB" w:rsidP="0022425B" w14:paraId="25C8159C" w14:textId="0EA299B8">
      <w:pPr>
        <w:spacing w:after="200"/>
        <w:ind w:left="360"/>
        <w:rPr>
          <w:rFonts w:eastAsia="Calibri"/>
          <w:i/>
          <w:iCs/>
        </w:rPr>
      </w:pPr>
      <w:r w:rsidRPr="00B517CB">
        <w:rPr>
          <w:rFonts w:eastAsia="Calibri"/>
          <w:i/>
          <w:iCs/>
        </w:rPr>
        <w:t>12a.  Annualized Hour Burden Estimate</w:t>
      </w:r>
    </w:p>
    <w:p w:rsidR="003E6637" w:rsidRPr="00EF46DC" w:rsidP="003E6637" w14:paraId="5EC629D7" w14:textId="22F4BE92">
      <w:pPr>
        <w:numPr>
          <w:ilvl w:val="12"/>
          <w:numId w:val="0"/>
        </w:numPr>
        <w:jc w:val="center"/>
        <w:rPr>
          <w:bCs/>
          <w:i/>
          <w:sz w:val="20"/>
          <w:szCs w:val="20"/>
        </w:rPr>
      </w:pPr>
      <w:bookmarkStart w:id="0" w:name="_Hlk181021990"/>
      <w:r w:rsidRPr="00EF46DC">
        <w:rPr>
          <w:bCs/>
          <w:sz w:val="20"/>
          <w:szCs w:val="20"/>
        </w:rPr>
        <w:t xml:space="preserve">Table </w:t>
      </w:r>
      <w:r w:rsidR="00DD5F50">
        <w:rPr>
          <w:bCs/>
          <w:sz w:val="20"/>
          <w:szCs w:val="20"/>
        </w:rPr>
        <w:t>2</w:t>
      </w:r>
      <w:r w:rsidRPr="00EF46DC">
        <w:rPr>
          <w:bCs/>
          <w:sz w:val="20"/>
          <w:szCs w:val="20"/>
        </w:rPr>
        <w:t>.--Estimated Annual Reporting Burden</w:t>
      </w:r>
      <w:bookmarkEnd w:id="0"/>
      <w:r w:rsidRPr="00EF46DC">
        <w:rPr>
          <w:bCs/>
          <w:sz w:val="20"/>
          <w:szCs w:val="20"/>
          <w:vertAlign w:val="superscript"/>
        </w:rPr>
        <w:t>1</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710"/>
        <w:gridCol w:w="1350"/>
        <w:gridCol w:w="1620"/>
        <w:gridCol w:w="895"/>
      </w:tblGrid>
      <w:tr w14:paraId="74E3EBD8" w14:textId="77777777" w:rsidTr="00EF46D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30"/>
        </w:trPr>
        <w:tc>
          <w:tcPr>
            <w:tcW w:w="2160" w:type="dxa"/>
            <w:tcBorders>
              <w:top w:val="single" w:sz="4" w:space="0" w:color="auto"/>
              <w:left w:val="single" w:sz="4" w:space="0" w:color="auto"/>
              <w:bottom w:val="single" w:sz="4" w:space="0" w:color="auto"/>
              <w:right w:val="single" w:sz="4" w:space="0" w:color="auto"/>
            </w:tcBorders>
          </w:tcPr>
          <w:p w:rsidR="003E6637" w:rsidRPr="00EF46DC" w:rsidP="00A73F8D" w14:paraId="7AF6B0CB" w14:textId="77777777">
            <w:pPr>
              <w:numPr>
                <w:ilvl w:val="12"/>
                <w:numId w:val="0"/>
              </w:numPr>
              <w:jc w:val="center"/>
              <w:rPr>
                <w:bCs/>
                <w:sz w:val="20"/>
                <w:szCs w:val="20"/>
              </w:rPr>
            </w:pPr>
            <w:r w:rsidRPr="00EF46DC">
              <w:rPr>
                <w:bCs/>
                <w:sz w:val="20"/>
                <w:szCs w:val="20"/>
              </w:rPr>
              <w:t>Activity</w:t>
            </w:r>
          </w:p>
        </w:tc>
        <w:tc>
          <w:tcPr>
            <w:tcW w:w="1260" w:type="dxa"/>
            <w:tcBorders>
              <w:top w:val="single" w:sz="4" w:space="0" w:color="auto"/>
              <w:left w:val="single" w:sz="4" w:space="0" w:color="auto"/>
              <w:bottom w:val="single" w:sz="4" w:space="0" w:color="auto"/>
              <w:right w:val="single" w:sz="4" w:space="0" w:color="auto"/>
            </w:tcBorders>
            <w:hideMark/>
          </w:tcPr>
          <w:p w:rsidR="003E6637" w:rsidRPr="00EF46DC" w:rsidP="0018782C" w14:paraId="64E95F8B" w14:textId="77777777">
            <w:pPr>
              <w:numPr>
                <w:ilvl w:val="12"/>
                <w:numId w:val="0"/>
              </w:numPr>
              <w:jc w:val="center"/>
              <w:rPr>
                <w:bCs/>
                <w:sz w:val="20"/>
                <w:szCs w:val="20"/>
              </w:rPr>
            </w:pPr>
            <w:r w:rsidRPr="00EF46DC">
              <w:rPr>
                <w:bCs/>
                <w:sz w:val="20"/>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3E6637" w:rsidRPr="00EF46DC" w:rsidP="00A73F8D" w14:paraId="680344D0" w14:textId="15DC4F53">
            <w:pPr>
              <w:numPr>
                <w:ilvl w:val="12"/>
                <w:numId w:val="0"/>
              </w:numPr>
              <w:jc w:val="center"/>
              <w:rPr>
                <w:bCs/>
                <w:sz w:val="20"/>
                <w:szCs w:val="20"/>
              </w:rPr>
            </w:pPr>
            <w:r w:rsidRPr="00EF46DC">
              <w:rPr>
                <w:bCs/>
                <w:sz w:val="20"/>
                <w:szCs w:val="20"/>
              </w:rPr>
              <w:t>No.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3E6637" w:rsidRPr="00EF46DC" w:rsidP="00A73F8D" w14:paraId="6073E04A" w14:textId="69085922">
            <w:pPr>
              <w:numPr>
                <w:ilvl w:val="12"/>
                <w:numId w:val="0"/>
              </w:numPr>
              <w:jc w:val="center"/>
              <w:rPr>
                <w:bCs/>
                <w:sz w:val="20"/>
                <w:szCs w:val="20"/>
              </w:rPr>
            </w:pPr>
            <w:r w:rsidRPr="00EF46DC">
              <w:rPr>
                <w:bCs/>
                <w:sz w:val="20"/>
                <w:szCs w:val="20"/>
              </w:rPr>
              <w:t xml:space="preserve">Total Annual </w:t>
            </w:r>
            <w:r w:rsidRPr="00EF46DC">
              <w:rPr>
                <w:bCs/>
                <w:sz w:val="20"/>
                <w:szCs w:val="20"/>
              </w:rPr>
              <w:t>Responses</w:t>
            </w:r>
          </w:p>
        </w:tc>
        <w:tc>
          <w:tcPr>
            <w:tcW w:w="1620" w:type="dxa"/>
            <w:tcBorders>
              <w:top w:val="single" w:sz="4" w:space="0" w:color="auto"/>
              <w:left w:val="single" w:sz="4" w:space="0" w:color="auto"/>
              <w:bottom w:val="single" w:sz="4" w:space="0" w:color="auto"/>
              <w:right w:val="single" w:sz="4" w:space="0" w:color="auto"/>
            </w:tcBorders>
            <w:hideMark/>
          </w:tcPr>
          <w:p w:rsidR="003E6637" w:rsidRPr="00EF46DC" w:rsidP="00A73F8D" w14:paraId="587052F8" w14:textId="77777777">
            <w:pPr>
              <w:numPr>
                <w:ilvl w:val="12"/>
                <w:numId w:val="0"/>
              </w:numPr>
              <w:jc w:val="center"/>
              <w:rPr>
                <w:bCs/>
                <w:sz w:val="20"/>
                <w:szCs w:val="20"/>
              </w:rPr>
            </w:pPr>
            <w:r w:rsidRPr="00EF46DC">
              <w:rPr>
                <w:bCs/>
                <w:sz w:val="20"/>
                <w:szCs w:val="20"/>
              </w:rPr>
              <w:t>Average Burden per Response</w:t>
            </w:r>
          </w:p>
        </w:tc>
        <w:tc>
          <w:tcPr>
            <w:tcW w:w="895" w:type="dxa"/>
            <w:tcBorders>
              <w:top w:val="single" w:sz="4" w:space="0" w:color="auto"/>
              <w:left w:val="single" w:sz="4" w:space="0" w:color="auto"/>
              <w:bottom w:val="single" w:sz="4" w:space="0" w:color="auto"/>
              <w:right w:val="single" w:sz="4" w:space="0" w:color="auto"/>
            </w:tcBorders>
            <w:hideMark/>
          </w:tcPr>
          <w:p w:rsidR="003E6637" w:rsidRPr="00EF46DC" w:rsidP="00A73F8D" w14:paraId="682BD6FF" w14:textId="77777777">
            <w:pPr>
              <w:numPr>
                <w:ilvl w:val="12"/>
                <w:numId w:val="0"/>
              </w:numPr>
              <w:jc w:val="center"/>
              <w:rPr>
                <w:bCs/>
                <w:sz w:val="20"/>
                <w:szCs w:val="20"/>
              </w:rPr>
            </w:pPr>
            <w:r w:rsidRPr="00EF46DC">
              <w:rPr>
                <w:bCs/>
                <w:sz w:val="20"/>
                <w:szCs w:val="20"/>
              </w:rPr>
              <w:t>Total Hours</w:t>
            </w:r>
          </w:p>
        </w:tc>
      </w:tr>
      <w:tr w14:paraId="7A59F035" w14:textId="77777777" w:rsidTr="00EF46DC">
        <w:tblPrEx>
          <w:tblW w:w="0" w:type="auto"/>
          <w:tblInd w:w="355" w:type="dxa"/>
          <w:tblLayout w:type="fixed"/>
          <w:tblLook w:val="01E0"/>
        </w:tblPrEx>
        <w:trPr>
          <w:trHeight w:val="539"/>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66DBBD4B" w14:textId="77777777">
            <w:pPr>
              <w:numPr>
                <w:ilvl w:val="12"/>
                <w:numId w:val="0"/>
              </w:numPr>
              <w:rPr>
                <w:sz w:val="20"/>
                <w:szCs w:val="20"/>
              </w:rPr>
            </w:pPr>
            <w:r w:rsidRPr="00F3340F">
              <w:rPr>
                <w:sz w:val="20"/>
                <w:szCs w:val="20"/>
              </w:rPr>
              <w:t>Cognitive Interviews Screener</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16F9E1F5" w14:textId="77777777">
            <w:pPr>
              <w:numPr>
                <w:ilvl w:val="12"/>
                <w:numId w:val="0"/>
              </w:numPr>
              <w:jc w:val="right"/>
              <w:rPr>
                <w:sz w:val="20"/>
                <w:szCs w:val="20"/>
              </w:rPr>
            </w:pPr>
            <w:r w:rsidRPr="00F3340F">
              <w:rPr>
                <w:sz w:val="20"/>
                <w:szCs w:val="20"/>
              </w:rPr>
              <w:t>720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0B5E2336"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357992BA" w14:textId="77777777">
            <w:pPr>
              <w:numPr>
                <w:ilvl w:val="12"/>
                <w:numId w:val="0"/>
              </w:numPr>
              <w:jc w:val="right"/>
              <w:rPr>
                <w:sz w:val="20"/>
                <w:szCs w:val="20"/>
              </w:rPr>
            </w:pPr>
            <w:r w:rsidRPr="00F3340F">
              <w:rPr>
                <w:sz w:val="20"/>
                <w:szCs w:val="20"/>
              </w:rPr>
              <w:t>720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13FEC7AF" w14:textId="77777777">
            <w:pPr>
              <w:jc w:val="right"/>
              <w:rPr>
                <w:sz w:val="20"/>
                <w:szCs w:val="20"/>
              </w:rPr>
            </w:pPr>
            <w:r w:rsidRPr="00F3340F">
              <w:rPr>
                <w:sz w:val="20"/>
                <w:szCs w:val="20"/>
              </w:rPr>
              <w:t>0.083</w:t>
            </w:r>
          </w:p>
          <w:p w:rsidR="003E6637" w:rsidRPr="00F3340F" w:rsidP="00CF5FD5" w14:paraId="303F3D72"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5251316" w14:textId="77777777">
            <w:pPr>
              <w:numPr>
                <w:ilvl w:val="12"/>
                <w:numId w:val="0"/>
              </w:numPr>
              <w:jc w:val="right"/>
              <w:rPr>
                <w:sz w:val="20"/>
                <w:szCs w:val="20"/>
              </w:rPr>
            </w:pPr>
            <w:r w:rsidRPr="00F3340F">
              <w:rPr>
                <w:sz w:val="20"/>
                <w:szCs w:val="20"/>
              </w:rPr>
              <w:t>60</w:t>
            </w:r>
          </w:p>
        </w:tc>
      </w:tr>
      <w:tr w14:paraId="41EEA79C" w14:textId="77777777" w:rsidTr="00EF46DC">
        <w:tblPrEx>
          <w:tblW w:w="0" w:type="auto"/>
          <w:tblInd w:w="355" w:type="dxa"/>
          <w:tblLayout w:type="fixed"/>
          <w:tblLook w:val="01E0"/>
        </w:tblPrEx>
        <w:trPr>
          <w:trHeight w:val="350"/>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67610A73" w14:textId="77777777">
            <w:pPr>
              <w:numPr>
                <w:ilvl w:val="12"/>
                <w:numId w:val="0"/>
              </w:numPr>
              <w:rPr>
                <w:sz w:val="20"/>
                <w:szCs w:val="20"/>
              </w:rPr>
            </w:pPr>
            <w:r w:rsidRPr="00F3340F">
              <w:rPr>
                <w:sz w:val="20"/>
                <w:szCs w:val="20"/>
              </w:rPr>
              <w:t>Cognitive Interviews</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10DADEE2" w14:textId="77777777">
            <w:pPr>
              <w:numPr>
                <w:ilvl w:val="12"/>
                <w:numId w:val="0"/>
              </w:numPr>
              <w:jc w:val="right"/>
              <w:rPr>
                <w:sz w:val="20"/>
                <w:szCs w:val="20"/>
              </w:rPr>
            </w:pPr>
            <w:r w:rsidRPr="00F3340F">
              <w:rPr>
                <w:sz w:val="20"/>
                <w:szCs w:val="20"/>
              </w:rPr>
              <w:t>144</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37A5364E"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58211CA3" w14:textId="77777777">
            <w:pPr>
              <w:numPr>
                <w:ilvl w:val="12"/>
                <w:numId w:val="0"/>
              </w:numPr>
              <w:jc w:val="right"/>
              <w:rPr>
                <w:sz w:val="20"/>
                <w:szCs w:val="20"/>
              </w:rPr>
            </w:pPr>
            <w:r w:rsidRPr="00F3340F">
              <w:rPr>
                <w:sz w:val="20"/>
                <w:szCs w:val="20"/>
              </w:rPr>
              <w:t>144</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09546BF0" w14:textId="77777777">
            <w:pPr>
              <w:jc w:val="right"/>
              <w:rPr>
                <w:sz w:val="20"/>
                <w:szCs w:val="20"/>
              </w:rPr>
            </w:pPr>
            <w:r w:rsidRPr="00F3340F">
              <w:rPr>
                <w:sz w:val="20"/>
                <w:szCs w:val="20"/>
              </w:rPr>
              <w:t>1</w:t>
            </w:r>
          </w:p>
          <w:p w:rsidR="003E6637" w:rsidRPr="00F3340F" w:rsidP="00CF5FD5" w14:paraId="06BD9E0C" w14:textId="77777777">
            <w:pPr>
              <w:numPr>
                <w:ilvl w:val="12"/>
                <w:numId w:val="0"/>
              </w:numPr>
              <w:jc w:val="right"/>
              <w:rPr>
                <w:sz w:val="20"/>
                <w:szCs w:val="20"/>
              </w:rPr>
            </w:pP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3364ED41" w14:textId="77777777">
            <w:pPr>
              <w:numPr>
                <w:ilvl w:val="12"/>
                <w:numId w:val="0"/>
              </w:numPr>
              <w:jc w:val="right"/>
              <w:rPr>
                <w:sz w:val="20"/>
                <w:szCs w:val="20"/>
              </w:rPr>
            </w:pPr>
            <w:r w:rsidRPr="00F3340F">
              <w:rPr>
                <w:sz w:val="20"/>
                <w:szCs w:val="20"/>
              </w:rPr>
              <w:t>144</w:t>
            </w:r>
          </w:p>
        </w:tc>
      </w:tr>
      <w:tr w14:paraId="428A949F" w14:textId="77777777" w:rsidTr="00EF46DC">
        <w:tblPrEx>
          <w:tblW w:w="0" w:type="auto"/>
          <w:tblInd w:w="355" w:type="dxa"/>
          <w:tblLayout w:type="fixed"/>
          <w:tblLook w:val="01E0"/>
        </w:tblPrEx>
        <w:trPr>
          <w:trHeight w:val="61"/>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7BA0F312" w14:textId="77777777">
            <w:pPr>
              <w:numPr>
                <w:ilvl w:val="12"/>
                <w:numId w:val="0"/>
              </w:numPr>
              <w:rPr>
                <w:sz w:val="20"/>
                <w:szCs w:val="20"/>
              </w:rPr>
            </w:pPr>
            <w:r w:rsidRPr="00F3340F">
              <w:rPr>
                <w:sz w:val="20"/>
                <w:szCs w:val="20"/>
              </w:rPr>
              <w:t xml:space="preserve">Pre-test study screener </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6899ECDA" w14:textId="77777777">
            <w:pPr>
              <w:numPr>
                <w:ilvl w:val="12"/>
                <w:numId w:val="0"/>
              </w:numPr>
              <w:jc w:val="right"/>
              <w:rPr>
                <w:sz w:val="20"/>
                <w:szCs w:val="20"/>
              </w:rPr>
            </w:pPr>
            <w:r w:rsidRPr="00F3340F">
              <w:rPr>
                <w:sz w:val="20"/>
                <w:szCs w:val="20"/>
              </w:rPr>
              <w:t>2,400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74205603"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1790A3BC" w14:textId="77777777">
            <w:pPr>
              <w:numPr>
                <w:ilvl w:val="12"/>
                <w:numId w:val="0"/>
              </w:numPr>
              <w:jc w:val="right"/>
              <w:rPr>
                <w:sz w:val="20"/>
                <w:szCs w:val="20"/>
              </w:rPr>
            </w:pPr>
            <w:r w:rsidRPr="00F3340F">
              <w:rPr>
                <w:sz w:val="20"/>
                <w:szCs w:val="20"/>
              </w:rPr>
              <w:t>2,400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22E6137A" w14:textId="77777777">
            <w:pPr>
              <w:jc w:val="right"/>
              <w:rPr>
                <w:sz w:val="20"/>
                <w:szCs w:val="20"/>
              </w:rPr>
            </w:pPr>
            <w:r w:rsidRPr="00F3340F">
              <w:rPr>
                <w:sz w:val="20"/>
                <w:szCs w:val="20"/>
              </w:rPr>
              <w:t>0.083</w:t>
            </w:r>
          </w:p>
          <w:p w:rsidR="003E6637" w:rsidRPr="00F3340F" w:rsidP="00CF5FD5" w14:paraId="6F86014A"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2EC6926" w14:textId="77777777">
            <w:pPr>
              <w:numPr>
                <w:ilvl w:val="12"/>
                <w:numId w:val="0"/>
              </w:numPr>
              <w:jc w:val="right"/>
              <w:rPr>
                <w:sz w:val="20"/>
                <w:szCs w:val="20"/>
              </w:rPr>
            </w:pPr>
            <w:r w:rsidRPr="00F3340F">
              <w:rPr>
                <w:sz w:val="20"/>
                <w:szCs w:val="20"/>
              </w:rPr>
              <w:t>199</w:t>
            </w:r>
          </w:p>
        </w:tc>
      </w:tr>
      <w:tr w14:paraId="714AA787" w14:textId="77777777" w:rsidTr="00EF46DC">
        <w:tblPrEx>
          <w:tblW w:w="0" w:type="auto"/>
          <w:tblInd w:w="355" w:type="dxa"/>
          <w:tblLayout w:type="fixed"/>
          <w:tblLook w:val="01E0"/>
        </w:tblPrEx>
        <w:trPr>
          <w:trHeight w:val="61"/>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59746BFB" w14:textId="77777777">
            <w:pPr>
              <w:numPr>
                <w:ilvl w:val="12"/>
                <w:numId w:val="0"/>
              </w:numPr>
              <w:rPr>
                <w:sz w:val="20"/>
                <w:szCs w:val="20"/>
              </w:rPr>
            </w:pPr>
            <w:r w:rsidRPr="00F3340F">
              <w:rPr>
                <w:sz w:val="20"/>
                <w:szCs w:val="20"/>
              </w:rPr>
              <w:t xml:space="preserve">Pre-testing study </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625F7351" w14:textId="77777777">
            <w:pPr>
              <w:numPr>
                <w:ilvl w:val="12"/>
                <w:numId w:val="0"/>
              </w:numPr>
              <w:jc w:val="right"/>
              <w:rPr>
                <w:sz w:val="20"/>
                <w:szCs w:val="20"/>
              </w:rPr>
            </w:pPr>
            <w:r w:rsidRPr="00F3340F">
              <w:rPr>
                <w:sz w:val="20"/>
                <w:szCs w:val="20"/>
              </w:rPr>
              <w:t>480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02D7E34A"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2F3740D6" w14:textId="77777777">
            <w:pPr>
              <w:numPr>
                <w:ilvl w:val="12"/>
                <w:numId w:val="0"/>
              </w:numPr>
              <w:jc w:val="right"/>
              <w:rPr>
                <w:sz w:val="20"/>
                <w:szCs w:val="20"/>
              </w:rPr>
            </w:pPr>
            <w:r w:rsidRPr="00F3340F">
              <w:rPr>
                <w:sz w:val="20"/>
                <w:szCs w:val="20"/>
              </w:rPr>
              <w:t>480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75BF1900" w14:textId="77777777">
            <w:pPr>
              <w:numPr>
                <w:ilvl w:val="12"/>
                <w:numId w:val="0"/>
              </w:numPr>
              <w:jc w:val="right"/>
              <w:rPr>
                <w:sz w:val="20"/>
                <w:szCs w:val="20"/>
              </w:rPr>
            </w:pPr>
            <w:r w:rsidRPr="00F3340F">
              <w:rPr>
                <w:sz w:val="20"/>
                <w:szCs w:val="20"/>
              </w:rPr>
              <w:t>0.25</w:t>
            </w:r>
          </w:p>
          <w:p w:rsidR="003E6637" w:rsidRPr="00F3340F" w:rsidP="00CF5FD5" w14:paraId="3F2EFBE0" w14:textId="77777777">
            <w:pPr>
              <w:numPr>
                <w:ilvl w:val="12"/>
                <w:numId w:val="0"/>
              </w:numPr>
              <w:jc w:val="right"/>
              <w:rPr>
                <w:sz w:val="20"/>
                <w:szCs w:val="20"/>
              </w:rPr>
            </w:pPr>
            <w:r w:rsidRPr="00F3340F">
              <w:rPr>
                <w:sz w:val="20"/>
                <w:szCs w:val="20"/>
              </w:rPr>
              <w:t xml:space="preserve">(15 </w:t>
            </w:r>
            <w:r w:rsidRPr="00F3340F">
              <w:rPr>
                <w:sz w:val="20"/>
                <w:szCs w:val="20"/>
              </w:rPr>
              <w:t>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881A95A" w14:textId="77777777">
            <w:pPr>
              <w:numPr>
                <w:ilvl w:val="12"/>
                <w:numId w:val="0"/>
              </w:numPr>
              <w:jc w:val="right"/>
              <w:rPr>
                <w:sz w:val="20"/>
                <w:szCs w:val="20"/>
              </w:rPr>
            </w:pPr>
            <w:r w:rsidRPr="00F3340F">
              <w:rPr>
                <w:sz w:val="20"/>
                <w:szCs w:val="20"/>
              </w:rPr>
              <w:t>120</w:t>
            </w:r>
          </w:p>
        </w:tc>
      </w:tr>
      <w:tr w14:paraId="1B64B1ED" w14:textId="77777777" w:rsidTr="006A0277">
        <w:tblPrEx>
          <w:tblW w:w="0" w:type="auto"/>
          <w:tblInd w:w="355" w:type="dxa"/>
          <w:tblLayout w:type="fixed"/>
          <w:tblLook w:val="01E0"/>
        </w:tblPrEx>
        <w:trPr>
          <w:trHeight w:val="737"/>
        </w:trPr>
        <w:tc>
          <w:tcPr>
            <w:tcW w:w="216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5809CAF8" w14:textId="77777777">
            <w:pPr>
              <w:numPr>
                <w:ilvl w:val="12"/>
                <w:numId w:val="0"/>
              </w:numPr>
              <w:rPr>
                <w:sz w:val="20"/>
                <w:szCs w:val="20"/>
              </w:rPr>
            </w:pPr>
            <w:r w:rsidRPr="00F3340F">
              <w:rPr>
                <w:sz w:val="20"/>
                <w:szCs w:val="20"/>
              </w:rPr>
              <w:t>Self-administered surveys/experimental Studies Screener</w:t>
            </w:r>
          </w:p>
        </w:tc>
        <w:tc>
          <w:tcPr>
            <w:tcW w:w="126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0ABC7FB6" w14:textId="45596C72">
            <w:pPr>
              <w:numPr>
                <w:ilvl w:val="12"/>
                <w:numId w:val="0"/>
              </w:numPr>
              <w:jc w:val="right"/>
              <w:rPr>
                <w:sz w:val="20"/>
                <w:szCs w:val="20"/>
              </w:rPr>
            </w:pPr>
            <w:r w:rsidRPr="00F3340F">
              <w:rPr>
                <w:sz w:val="20"/>
                <w:szCs w:val="20"/>
              </w:rPr>
              <w:t>7</w:t>
            </w:r>
            <w:r w:rsidR="006510F9">
              <w:rPr>
                <w:sz w:val="20"/>
                <w:szCs w:val="20"/>
              </w:rPr>
              <w:t>,</w:t>
            </w:r>
            <w:r w:rsidRPr="00F3340F">
              <w:rPr>
                <w:sz w:val="20"/>
                <w:szCs w:val="20"/>
              </w:rPr>
              <w:t>5</w:t>
            </w:r>
            <w:r w:rsidRPr="00F3340F">
              <w:rPr>
                <w:sz w:val="20"/>
                <w:szCs w:val="20"/>
              </w:rPr>
              <w:t>00</w:t>
            </w:r>
          </w:p>
        </w:tc>
        <w:tc>
          <w:tcPr>
            <w:tcW w:w="171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7C7C2701"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CF5FD5" w14:paraId="41F152EA" w14:textId="00ADAEFE">
            <w:pPr>
              <w:numPr>
                <w:ilvl w:val="12"/>
                <w:numId w:val="0"/>
              </w:numPr>
              <w:jc w:val="right"/>
              <w:rPr>
                <w:b/>
                <w:bCs/>
                <w:sz w:val="20"/>
                <w:szCs w:val="20"/>
              </w:rPr>
            </w:pPr>
            <w:r w:rsidRPr="006A0277">
              <w:rPr>
                <w:b/>
                <w:bCs/>
                <w:sz w:val="20"/>
                <w:szCs w:val="20"/>
              </w:rPr>
              <w:t>7</w:t>
            </w:r>
            <w:r w:rsidRPr="006A0277" w:rsidR="006510F9">
              <w:rPr>
                <w:b/>
                <w:bCs/>
                <w:sz w:val="20"/>
                <w:szCs w:val="20"/>
              </w:rPr>
              <w:t>,500</w:t>
            </w:r>
          </w:p>
        </w:tc>
        <w:tc>
          <w:tcPr>
            <w:tcW w:w="162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6206B718" w14:textId="77777777">
            <w:pPr>
              <w:jc w:val="right"/>
              <w:rPr>
                <w:sz w:val="20"/>
                <w:szCs w:val="20"/>
              </w:rPr>
            </w:pPr>
            <w:r w:rsidRPr="00F3340F">
              <w:rPr>
                <w:sz w:val="20"/>
                <w:szCs w:val="20"/>
              </w:rPr>
              <w:t>0.083</w:t>
            </w:r>
          </w:p>
          <w:p w:rsidR="003E6637" w:rsidRPr="00F3340F" w:rsidP="00CF5FD5" w14:paraId="36AAF6A0"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CF5FD5" w14:paraId="57C428F9" w14:textId="32FA6FC0">
            <w:pPr>
              <w:numPr>
                <w:ilvl w:val="12"/>
                <w:numId w:val="0"/>
              </w:numPr>
              <w:jc w:val="right"/>
              <w:rPr>
                <w:b/>
                <w:bCs/>
                <w:sz w:val="20"/>
                <w:szCs w:val="20"/>
              </w:rPr>
            </w:pPr>
            <w:r w:rsidRPr="006A0277">
              <w:rPr>
                <w:b/>
                <w:bCs/>
                <w:sz w:val="20"/>
                <w:szCs w:val="20"/>
              </w:rPr>
              <w:t>622.50</w:t>
            </w:r>
          </w:p>
        </w:tc>
      </w:tr>
      <w:tr w14:paraId="7EC83E5D" w14:textId="77777777" w:rsidTr="006A0277">
        <w:tblPrEx>
          <w:tblW w:w="0" w:type="auto"/>
          <w:tblInd w:w="355" w:type="dxa"/>
          <w:tblLayout w:type="fixed"/>
          <w:tblLook w:val="01E0"/>
        </w:tblPrEx>
        <w:trPr>
          <w:trHeight w:val="530"/>
        </w:trPr>
        <w:tc>
          <w:tcPr>
            <w:tcW w:w="216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010A7FEF" w14:textId="77777777">
            <w:pPr>
              <w:numPr>
                <w:ilvl w:val="12"/>
                <w:numId w:val="0"/>
              </w:numPr>
              <w:rPr>
                <w:sz w:val="20"/>
                <w:szCs w:val="20"/>
              </w:rPr>
            </w:pPr>
            <w:r w:rsidRPr="00F3340F">
              <w:rPr>
                <w:sz w:val="20"/>
                <w:szCs w:val="20"/>
              </w:rPr>
              <w:t>Self-Administered Surveys/Experimental Studies</w:t>
            </w:r>
          </w:p>
        </w:tc>
        <w:tc>
          <w:tcPr>
            <w:tcW w:w="126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0ADA9519" w14:textId="7B6D6309">
            <w:pPr>
              <w:numPr>
                <w:ilvl w:val="12"/>
                <w:numId w:val="0"/>
              </w:numPr>
              <w:jc w:val="right"/>
              <w:rPr>
                <w:sz w:val="20"/>
                <w:szCs w:val="20"/>
              </w:rPr>
            </w:pPr>
            <w:r w:rsidRPr="00F3340F">
              <w:rPr>
                <w:sz w:val="20"/>
                <w:szCs w:val="20"/>
              </w:rPr>
              <w:t>1</w:t>
            </w:r>
            <w:r w:rsidR="006510F9">
              <w:rPr>
                <w:sz w:val="20"/>
                <w:szCs w:val="20"/>
              </w:rPr>
              <w:t>,5</w:t>
            </w:r>
            <w:r w:rsidRPr="00F3340F">
              <w:rPr>
                <w:sz w:val="20"/>
                <w:szCs w:val="20"/>
              </w:rPr>
              <w:t>00</w:t>
            </w:r>
          </w:p>
        </w:tc>
        <w:tc>
          <w:tcPr>
            <w:tcW w:w="171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7E968611"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CF5FD5" w14:paraId="6FA24966" w14:textId="7E527CFD">
            <w:pPr>
              <w:numPr>
                <w:ilvl w:val="12"/>
                <w:numId w:val="0"/>
              </w:numPr>
              <w:jc w:val="right"/>
              <w:rPr>
                <w:b/>
                <w:bCs/>
                <w:sz w:val="20"/>
                <w:szCs w:val="20"/>
              </w:rPr>
            </w:pPr>
            <w:r w:rsidRPr="006A0277">
              <w:rPr>
                <w:b/>
                <w:bCs/>
                <w:sz w:val="20"/>
                <w:szCs w:val="20"/>
              </w:rPr>
              <w:t>1</w:t>
            </w:r>
            <w:r w:rsidRPr="006A0277" w:rsidR="007D456D">
              <w:rPr>
                <w:b/>
                <w:bCs/>
                <w:sz w:val="20"/>
                <w:szCs w:val="20"/>
              </w:rPr>
              <w:t>,500</w:t>
            </w:r>
          </w:p>
        </w:tc>
        <w:tc>
          <w:tcPr>
            <w:tcW w:w="162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3340F" w:rsidP="00CF5FD5" w14:paraId="3FE6C305" w14:textId="77777777">
            <w:pPr>
              <w:numPr>
                <w:ilvl w:val="12"/>
                <w:numId w:val="0"/>
              </w:numPr>
              <w:jc w:val="right"/>
              <w:rPr>
                <w:sz w:val="20"/>
                <w:szCs w:val="20"/>
              </w:rPr>
            </w:pPr>
            <w:r w:rsidRPr="00F3340F">
              <w:rPr>
                <w:sz w:val="20"/>
                <w:szCs w:val="20"/>
              </w:rPr>
              <w:t>0.25</w:t>
            </w:r>
          </w:p>
          <w:p w:rsidR="003E6637" w:rsidRPr="00F3340F" w:rsidP="00CF5FD5" w14:paraId="12D45F20" w14:textId="77777777">
            <w:pPr>
              <w:numPr>
                <w:ilvl w:val="12"/>
                <w:numId w:val="0"/>
              </w:numPr>
              <w:jc w:val="right"/>
              <w:rPr>
                <w:sz w:val="20"/>
                <w:szCs w:val="20"/>
              </w:rPr>
            </w:pPr>
            <w:r w:rsidRPr="00F3340F">
              <w:rPr>
                <w:sz w:val="20"/>
                <w:szCs w:val="20"/>
              </w:rPr>
              <w:t>(15 minutes)</w:t>
            </w:r>
          </w:p>
        </w:tc>
        <w:tc>
          <w:tcPr>
            <w:tcW w:w="895"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CF5FD5" w14:paraId="78520CF6" w14:textId="3F1F1E26">
            <w:pPr>
              <w:numPr>
                <w:ilvl w:val="12"/>
                <w:numId w:val="0"/>
              </w:numPr>
              <w:jc w:val="right"/>
              <w:rPr>
                <w:b/>
                <w:bCs/>
                <w:sz w:val="20"/>
                <w:szCs w:val="20"/>
              </w:rPr>
            </w:pPr>
            <w:r w:rsidRPr="006A0277">
              <w:rPr>
                <w:b/>
                <w:bCs/>
                <w:sz w:val="20"/>
                <w:szCs w:val="20"/>
              </w:rPr>
              <w:t>375</w:t>
            </w:r>
          </w:p>
        </w:tc>
      </w:tr>
      <w:tr w14:paraId="494ECF8E" w14:textId="77777777" w:rsidTr="006A0277">
        <w:tblPrEx>
          <w:tblW w:w="0" w:type="auto"/>
          <w:tblInd w:w="355" w:type="dxa"/>
          <w:tblLayout w:type="fixed"/>
          <w:tblLook w:val="01E0"/>
        </w:tblPrEx>
        <w:trPr>
          <w:trHeight w:val="287"/>
        </w:trPr>
        <w:tc>
          <w:tcPr>
            <w:tcW w:w="2160" w:type="dxa"/>
            <w:tcBorders>
              <w:top w:val="single" w:sz="4" w:space="0" w:color="auto"/>
              <w:left w:val="single" w:sz="4" w:space="0" w:color="auto"/>
              <w:bottom w:val="single" w:sz="4" w:space="0" w:color="auto"/>
              <w:right w:val="single" w:sz="4" w:space="0" w:color="auto"/>
            </w:tcBorders>
            <w:shd w:val="clear" w:color="auto" w:fill="FFFFCC"/>
          </w:tcPr>
          <w:p w:rsidR="0017454A" w:rsidRPr="00F3340F" w:rsidP="00CF5FD5" w14:paraId="6CE744A5" w14:textId="15E5EBE7">
            <w:pPr>
              <w:numPr>
                <w:ilvl w:val="12"/>
                <w:numId w:val="0"/>
              </w:numPr>
              <w:rPr>
                <w:sz w:val="20"/>
                <w:szCs w:val="20"/>
              </w:rPr>
            </w:pPr>
            <w:r>
              <w:rPr>
                <w:sz w:val="20"/>
                <w:szCs w:val="20"/>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CC"/>
          </w:tcPr>
          <w:p w:rsidR="0017454A" w:rsidRPr="00F3340F" w:rsidP="00CF5FD5" w14:paraId="7F416885" w14:textId="77777777">
            <w:pPr>
              <w:numPr>
                <w:ilvl w:val="12"/>
                <w:numId w:val="0"/>
              </w:numPr>
              <w:jc w:val="right"/>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FFFFCC"/>
          </w:tcPr>
          <w:p w:rsidR="0017454A" w:rsidRPr="00F3340F" w:rsidP="00CF5FD5" w14:paraId="0B53BCD1" w14:textId="77777777">
            <w:pPr>
              <w:numPr>
                <w:ilvl w:val="12"/>
                <w:numId w:val="0"/>
              </w:numPr>
              <w:jc w:val="right"/>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CC"/>
          </w:tcPr>
          <w:p w:rsidR="0017454A" w:rsidRPr="006A0277" w:rsidP="00CF5FD5" w14:paraId="267F5334" w14:textId="7E07C7F7">
            <w:pPr>
              <w:numPr>
                <w:ilvl w:val="12"/>
                <w:numId w:val="0"/>
              </w:numPr>
              <w:jc w:val="right"/>
              <w:rPr>
                <w:b/>
                <w:bCs/>
                <w:sz w:val="20"/>
                <w:szCs w:val="20"/>
              </w:rPr>
            </w:pPr>
            <w:r w:rsidRPr="006A0277">
              <w:rPr>
                <w:b/>
                <w:bCs/>
                <w:sz w:val="20"/>
                <w:szCs w:val="20"/>
              </w:rPr>
              <w:fldChar w:fldCharType="begin"/>
            </w:r>
            <w:r w:rsidRPr="006A0277">
              <w:rPr>
                <w:b/>
                <w:bCs/>
                <w:sz w:val="20"/>
                <w:szCs w:val="20"/>
              </w:rPr>
              <w:instrText xml:space="preserve"> =SUM(ABOVE) </w:instrText>
            </w:r>
            <w:r w:rsidRPr="006A0277">
              <w:rPr>
                <w:b/>
                <w:bCs/>
                <w:sz w:val="20"/>
                <w:szCs w:val="20"/>
              </w:rPr>
              <w:fldChar w:fldCharType="separate"/>
            </w:r>
            <w:r w:rsidRPr="006A0277">
              <w:rPr>
                <w:b/>
                <w:bCs/>
                <w:noProof/>
                <w:sz w:val="20"/>
                <w:szCs w:val="20"/>
              </w:rPr>
              <w:t>12,744</w:t>
            </w:r>
            <w:r w:rsidRPr="006A0277">
              <w:rPr>
                <w:b/>
                <w:bCs/>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FFFFCC"/>
          </w:tcPr>
          <w:p w:rsidR="0017454A" w:rsidRPr="00F3340F" w:rsidP="00CF5FD5" w14:paraId="7DA7AAFC" w14:textId="77777777">
            <w:pPr>
              <w:numPr>
                <w:ilvl w:val="12"/>
                <w:numId w:val="0"/>
              </w:numPr>
              <w:jc w:val="right"/>
              <w:rPr>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FFFFCC"/>
          </w:tcPr>
          <w:p w:rsidR="0017454A" w:rsidRPr="006A0277" w:rsidP="00CF5FD5" w14:paraId="24576F1F" w14:textId="463C274D">
            <w:pPr>
              <w:numPr>
                <w:ilvl w:val="12"/>
                <w:numId w:val="0"/>
              </w:numPr>
              <w:jc w:val="right"/>
              <w:rPr>
                <w:b/>
                <w:bCs/>
                <w:sz w:val="20"/>
                <w:szCs w:val="20"/>
              </w:rPr>
            </w:pPr>
            <w:r w:rsidRPr="006A0277">
              <w:rPr>
                <w:b/>
                <w:bCs/>
                <w:sz w:val="20"/>
                <w:szCs w:val="20"/>
              </w:rPr>
              <w:fldChar w:fldCharType="begin"/>
            </w:r>
            <w:r w:rsidRPr="006A0277">
              <w:rPr>
                <w:b/>
                <w:bCs/>
                <w:sz w:val="20"/>
                <w:szCs w:val="20"/>
              </w:rPr>
              <w:instrText xml:space="preserve"> =SUM(ABOVE) </w:instrText>
            </w:r>
            <w:r w:rsidRPr="006A0277">
              <w:rPr>
                <w:b/>
                <w:bCs/>
                <w:sz w:val="20"/>
                <w:szCs w:val="20"/>
              </w:rPr>
              <w:fldChar w:fldCharType="separate"/>
            </w:r>
            <w:r w:rsidRPr="006A0277">
              <w:rPr>
                <w:b/>
                <w:bCs/>
                <w:noProof/>
                <w:sz w:val="20"/>
                <w:szCs w:val="20"/>
              </w:rPr>
              <w:t>1520.5</w:t>
            </w:r>
            <w:r w:rsidRPr="006A0277">
              <w:rPr>
                <w:b/>
                <w:bCs/>
                <w:sz w:val="20"/>
                <w:szCs w:val="20"/>
              </w:rPr>
              <w:fldChar w:fldCharType="end"/>
            </w:r>
          </w:p>
        </w:tc>
      </w:tr>
    </w:tbl>
    <w:p w:rsidR="003E6637" w:rsidP="003B7DF8" w14:paraId="1DBA5AC1" w14:textId="77777777">
      <w:pPr>
        <w:spacing w:after="200"/>
        <w:ind w:left="360"/>
        <w:rPr>
          <w:rFonts w:eastAsia="Calibri"/>
        </w:rPr>
      </w:pPr>
      <w:r w:rsidRPr="00B435D2">
        <w:rPr>
          <w:sz w:val="20"/>
          <w:szCs w:val="20"/>
          <w:vertAlign w:val="superscript"/>
        </w:rPr>
        <w:t>1</w:t>
      </w:r>
      <w:r>
        <w:rPr>
          <w:sz w:val="20"/>
          <w:szCs w:val="20"/>
          <w:vertAlign w:val="superscript"/>
        </w:rPr>
        <w:t xml:space="preserve"> </w:t>
      </w:r>
      <w:r w:rsidRPr="00B435D2">
        <w:rPr>
          <w:sz w:val="20"/>
          <w:szCs w:val="20"/>
        </w:rPr>
        <w:t xml:space="preserve">There are no capital costs or </w:t>
      </w:r>
      <w:r w:rsidRPr="00B435D2">
        <w:rPr>
          <w:sz w:val="20"/>
          <w:szCs w:val="20"/>
        </w:rPr>
        <w:t>operating and maintenance costs associated with this collection of information.</w:t>
      </w:r>
    </w:p>
    <w:p w:rsidR="003E6637" w:rsidRPr="00CF5FD5" w:rsidP="000E411B" w14:paraId="11386BAB" w14:textId="77777777">
      <w:pPr>
        <w:spacing w:before="100" w:beforeAutospacing="1" w:after="100" w:afterAutospacing="1"/>
        <w:ind w:left="360"/>
        <w:rPr>
          <w:rFonts w:eastAsia="Calibri"/>
          <w:color w:val="000000"/>
        </w:rPr>
      </w:pPr>
      <w:r>
        <w:rPr>
          <w:rFonts w:eastAsia="Calibri"/>
        </w:rPr>
        <w:t xml:space="preserve">Although </w:t>
      </w:r>
      <w:r>
        <w:t xml:space="preserve">respondents to the collection of information </w:t>
      </w:r>
      <w:r>
        <w:rPr>
          <w:color w:val="000000"/>
        </w:rPr>
        <w:t>are private individuals, they will include a wide range of consumers and other FDA stakeholders, potentially including producers and manufacturers of FDA-regulated</w:t>
      </w:r>
      <w:r>
        <w:t xml:space="preserve"> products. </w:t>
      </w:r>
    </w:p>
    <w:p w:rsidR="00357C8A" w:rsidRPr="00B517CB" w:rsidP="00DC371B" w14:paraId="3C873286" w14:textId="77777777">
      <w:pPr>
        <w:spacing w:after="200"/>
        <w:ind w:left="360"/>
        <w:rPr>
          <w:rFonts w:eastAsia="Calibri"/>
          <w:i/>
          <w:iCs/>
        </w:rPr>
      </w:pPr>
      <w:r w:rsidRPr="00B517CB">
        <w:rPr>
          <w:rFonts w:eastAsia="Calibri"/>
          <w:i/>
          <w:iCs/>
        </w:rPr>
        <w:t>12b.  Annualized Cost Burden Estimate</w:t>
      </w:r>
    </w:p>
    <w:p w:rsidR="003E6637" w:rsidRPr="00EF46DC" w:rsidP="003E6637" w14:paraId="29AA0963" w14:textId="5A5C4CD7">
      <w:pPr>
        <w:jc w:val="center"/>
        <w:rPr>
          <w:sz w:val="20"/>
          <w:szCs w:val="20"/>
        </w:rPr>
      </w:pPr>
      <w:r w:rsidRPr="00EF46DC">
        <w:rPr>
          <w:sz w:val="20"/>
          <w:szCs w:val="20"/>
        </w:rPr>
        <w:t xml:space="preserve">Table </w:t>
      </w:r>
      <w:r w:rsidR="00FE47FE">
        <w:rPr>
          <w:sz w:val="20"/>
          <w:szCs w:val="20"/>
        </w:rPr>
        <w:t>3</w:t>
      </w:r>
      <w:r w:rsidRPr="00EF46DC">
        <w:rPr>
          <w:sz w:val="20"/>
          <w:szCs w:val="20"/>
        </w:rPr>
        <w:t xml:space="preserve">.--Estimated Annual Cost Burden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710"/>
        <w:gridCol w:w="2430"/>
        <w:gridCol w:w="1890"/>
      </w:tblGrid>
      <w:tr w14:paraId="16D1FE64" w14:textId="77777777" w:rsidTr="00EF46D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99"/>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EF46DC" w14:paraId="7B36D21C" w14:textId="77777777">
            <w:pPr>
              <w:jc w:val="center"/>
              <w:rPr>
                <w:b/>
                <w:sz w:val="20"/>
                <w:szCs w:val="20"/>
              </w:rPr>
            </w:pPr>
            <w:r w:rsidRPr="00F63F36">
              <w:rPr>
                <w:b/>
                <w:sz w:val="20"/>
                <w:szCs w:val="20"/>
              </w:rPr>
              <w:t>Survey Type</w:t>
            </w:r>
          </w:p>
        </w:tc>
        <w:tc>
          <w:tcPr>
            <w:tcW w:w="1710" w:type="dxa"/>
            <w:tcBorders>
              <w:top w:val="single" w:sz="4" w:space="0" w:color="auto"/>
              <w:left w:val="single" w:sz="4" w:space="0" w:color="auto"/>
              <w:bottom w:val="single" w:sz="4" w:space="0" w:color="auto"/>
              <w:right w:val="single" w:sz="4" w:space="0" w:color="auto"/>
            </w:tcBorders>
            <w:vAlign w:val="center"/>
            <w:hideMark/>
          </w:tcPr>
          <w:p w:rsidR="003E6637" w:rsidRPr="00F63F36" w:rsidP="003E6637" w14:paraId="01277064" w14:textId="77777777">
            <w:pPr>
              <w:jc w:val="center"/>
              <w:rPr>
                <w:b/>
                <w:sz w:val="20"/>
                <w:szCs w:val="20"/>
              </w:rPr>
            </w:pPr>
            <w:r w:rsidRPr="00F63F36">
              <w:rPr>
                <w:b/>
                <w:sz w:val="20"/>
                <w:szCs w:val="20"/>
              </w:rPr>
              <w:t>Total Burden Hours</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610F5550" w14:textId="77777777">
            <w:pPr>
              <w:jc w:val="center"/>
              <w:rPr>
                <w:b/>
                <w:sz w:val="20"/>
                <w:szCs w:val="20"/>
              </w:rPr>
            </w:pPr>
            <w:r w:rsidRPr="00F63F36">
              <w:rPr>
                <w:b/>
                <w:sz w:val="20"/>
                <w:szCs w:val="20"/>
              </w:rPr>
              <w:t xml:space="preserve">Average </w:t>
            </w:r>
            <w:r w:rsidRPr="00F63F36" w:rsidR="000E411B">
              <w:rPr>
                <w:b/>
                <w:sz w:val="20"/>
                <w:szCs w:val="20"/>
              </w:rPr>
              <w:t xml:space="preserve">Hourly </w:t>
            </w:r>
            <w:r w:rsidRPr="00F63F36">
              <w:rPr>
                <w:b/>
                <w:sz w:val="20"/>
                <w:szCs w:val="20"/>
              </w:rPr>
              <w:t>Rate</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2448C59E" w14:textId="77777777">
            <w:pPr>
              <w:jc w:val="center"/>
              <w:rPr>
                <w:b/>
                <w:sz w:val="20"/>
                <w:szCs w:val="20"/>
              </w:rPr>
            </w:pPr>
            <w:r w:rsidRPr="00F63F36">
              <w:rPr>
                <w:b/>
                <w:sz w:val="20"/>
                <w:szCs w:val="20"/>
              </w:rPr>
              <w:t>Total Respondent Cost</w:t>
            </w:r>
          </w:p>
        </w:tc>
      </w:tr>
      <w:tr w14:paraId="2C4F06C2" w14:textId="77777777" w:rsidTr="00EF46DC">
        <w:tblPrEx>
          <w:tblW w:w="0" w:type="auto"/>
          <w:tblInd w:w="355" w:type="dxa"/>
          <w:tblLook w:val="01E0"/>
        </w:tblPrEx>
        <w:trPr>
          <w:trHeight w:val="296"/>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1118FA74" w14:textId="77777777">
            <w:pPr>
              <w:rPr>
                <w:sz w:val="20"/>
                <w:szCs w:val="20"/>
              </w:rPr>
            </w:pPr>
            <w:r w:rsidRPr="00F63F36">
              <w:rPr>
                <w:sz w:val="20"/>
                <w:szCs w:val="20"/>
              </w:rPr>
              <w:t>Cognitive Interview Screener</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064CE97E" w14:textId="77777777">
            <w:pPr>
              <w:jc w:val="center"/>
              <w:rPr>
                <w:sz w:val="20"/>
                <w:szCs w:val="20"/>
              </w:rPr>
            </w:pPr>
            <w:r w:rsidRPr="00F63F36">
              <w:rPr>
                <w:sz w:val="20"/>
                <w:szCs w:val="20"/>
              </w:rPr>
              <w:t>60</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4FA646D6"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38F86532" w14:textId="77777777">
            <w:pPr>
              <w:jc w:val="right"/>
              <w:rPr>
                <w:sz w:val="20"/>
                <w:szCs w:val="20"/>
              </w:rPr>
            </w:pPr>
            <w:r w:rsidRPr="00F63F36">
              <w:rPr>
                <w:sz w:val="20"/>
                <w:szCs w:val="20"/>
              </w:rPr>
              <w:t xml:space="preserve">    $</w:t>
            </w:r>
            <w:r w:rsidRPr="00F63F36" w:rsidR="005A7E1D">
              <w:rPr>
                <w:sz w:val="20"/>
                <w:szCs w:val="20"/>
              </w:rPr>
              <w:t>1,888.80</w:t>
            </w:r>
          </w:p>
        </w:tc>
      </w:tr>
      <w:tr w14:paraId="3F1C99A1"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6EC300EA" w14:textId="77777777">
            <w:pPr>
              <w:rPr>
                <w:sz w:val="20"/>
                <w:szCs w:val="20"/>
              </w:rPr>
            </w:pPr>
            <w:r w:rsidRPr="00F63F36">
              <w:rPr>
                <w:sz w:val="20"/>
                <w:szCs w:val="20"/>
              </w:rPr>
              <w:t>Cognitive Interviews</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4A06F2F0" w14:textId="77777777">
            <w:pPr>
              <w:jc w:val="center"/>
              <w:rPr>
                <w:sz w:val="20"/>
                <w:szCs w:val="20"/>
              </w:rPr>
            </w:pPr>
            <w:r w:rsidRPr="00F63F36">
              <w:rPr>
                <w:sz w:val="20"/>
                <w:szCs w:val="20"/>
              </w:rPr>
              <w:t>144</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07A2CA9E"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0B43B252" w14:textId="77777777">
            <w:pPr>
              <w:jc w:val="right"/>
              <w:rPr>
                <w:sz w:val="20"/>
                <w:szCs w:val="20"/>
              </w:rPr>
            </w:pPr>
            <w:r w:rsidRPr="00F63F36">
              <w:rPr>
                <w:sz w:val="20"/>
                <w:szCs w:val="20"/>
              </w:rPr>
              <w:t xml:space="preserve">    $</w:t>
            </w:r>
            <w:r w:rsidRPr="00F63F36" w:rsidR="005A7E1D">
              <w:rPr>
                <w:sz w:val="20"/>
                <w:szCs w:val="20"/>
              </w:rPr>
              <w:t>4,533.12</w:t>
            </w:r>
          </w:p>
        </w:tc>
      </w:tr>
      <w:tr w14:paraId="513D2DFC"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473E84EA" w14:textId="77777777">
            <w:pPr>
              <w:rPr>
                <w:sz w:val="20"/>
                <w:szCs w:val="20"/>
              </w:rPr>
            </w:pPr>
            <w:r w:rsidRPr="00F63F36">
              <w:rPr>
                <w:sz w:val="20"/>
                <w:szCs w:val="20"/>
              </w:rPr>
              <w:t>Pre-test Study Screener</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447DCD2A" w14:textId="77777777">
            <w:pPr>
              <w:jc w:val="center"/>
              <w:rPr>
                <w:sz w:val="20"/>
                <w:szCs w:val="20"/>
              </w:rPr>
            </w:pPr>
            <w:r w:rsidRPr="00F63F36">
              <w:rPr>
                <w:sz w:val="20"/>
                <w:szCs w:val="20"/>
              </w:rPr>
              <w:t>199</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29349B07"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622C1C0E" w14:textId="77777777">
            <w:pPr>
              <w:jc w:val="right"/>
              <w:rPr>
                <w:sz w:val="20"/>
                <w:szCs w:val="20"/>
              </w:rPr>
            </w:pPr>
            <w:r w:rsidRPr="00F63F36">
              <w:rPr>
                <w:sz w:val="20"/>
                <w:szCs w:val="20"/>
              </w:rPr>
              <w:t xml:space="preserve">    $</w:t>
            </w:r>
            <w:r w:rsidRPr="00F63F36" w:rsidR="005A7E1D">
              <w:rPr>
                <w:sz w:val="20"/>
                <w:szCs w:val="20"/>
              </w:rPr>
              <w:t>6,264.52</w:t>
            </w:r>
          </w:p>
        </w:tc>
      </w:tr>
      <w:tr w14:paraId="00082A9D"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331A01C7" w14:textId="77777777">
            <w:pPr>
              <w:rPr>
                <w:sz w:val="20"/>
                <w:szCs w:val="20"/>
              </w:rPr>
            </w:pPr>
            <w:r w:rsidRPr="00F63F36">
              <w:rPr>
                <w:sz w:val="20"/>
                <w:szCs w:val="20"/>
              </w:rPr>
              <w:t>Pre-Test Study</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07C2F1FC" w14:textId="77777777">
            <w:pPr>
              <w:jc w:val="center"/>
              <w:rPr>
                <w:sz w:val="20"/>
                <w:szCs w:val="20"/>
              </w:rPr>
            </w:pPr>
            <w:r w:rsidRPr="00F63F36">
              <w:rPr>
                <w:sz w:val="20"/>
                <w:szCs w:val="20"/>
              </w:rPr>
              <w:t>120</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5CC9F6FC"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4B15025B" w14:textId="77777777">
            <w:pPr>
              <w:jc w:val="right"/>
              <w:rPr>
                <w:sz w:val="20"/>
                <w:szCs w:val="20"/>
              </w:rPr>
            </w:pPr>
            <w:r w:rsidRPr="00F63F36">
              <w:rPr>
                <w:sz w:val="20"/>
                <w:szCs w:val="20"/>
              </w:rPr>
              <w:t xml:space="preserve">    $</w:t>
            </w:r>
            <w:r w:rsidRPr="00F63F36" w:rsidR="005A7E1D">
              <w:rPr>
                <w:sz w:val="20"/>
                <w:szCs w:val="20"/>
              </w:rPr>
              <w:t>3,777.60</w:t>
            </w:r>
          </w:p>
        </w:tc>
      </w:tr>
      <w:tr w14:paraId="28281B61" w14:textId="77777777" w:rsidTr="006A0277">
        <w:tblPrEx>
          <w:tblW w:w="0" w:type="auto"/>
          <w:tblInd w:w="355" w:type="dxa"/>
          <w:tblLook w:val="01E0"/>
        </w:tblPrEx>
        <w:trPr>
          <w:trHeight w:val="710"/>
        </w:trPr>
        <w:tc>
          <w:tcPr>
            <w:tcW w:w="297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54577C6F" w14:textId="77777777">
            <w:pPr>
              <w:rPr>
                <w:sz w:val="20"/>
                <w:szCs w:val="20"/>
              </w:rPr>
            </w:pPr>
            <w:r w:rsidRPr="00F63F36">
              <w:rPr>
                <w:sz w:val="20"/>
                <w:szCs w:val="20"/>
              </w:rPr>
              <w:t>Self-Administered Surveys/Experimental Studies Screener</w:t>
            </w:r>
          </w:p>
        </w:tc>
        <w:tc>
          <w:tcPr>
            <w:tcW w:w="171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3B4D9F65" w14:textId="3521E770">
            <w:pPr>
              <w:jc w:val="center"/>
              <w:rPr>
                <w:sz w:val="20"/>
                <w:szCs w:val="20"/>
              </w:rPr>
            </w:pPr>
            <w:r w:rsidRPr="00F63F36">
              <w:rPr>
                <w:sz w:val="20"/>
                <w:szCs w:val="20"/>
              </w:rPr>
              <w:t>6</w:t>
            </w:r>
            <w:r w:rsidR="00843F21">
              <w:rPr>
                <w:sz w:val="20"/>
                <w:szCs w:val="20"/>
              </w:rPr>
              <w:t>22.50</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2BE8AA7A"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3E6637" w14:paraId="17E0DA6C" w14:textId="7996B016">
            <w:pPr>
              <w:jc w:val="right"/>
              <w:rPr>
                <w:b/>
                <w:bCs/>
                <w:sz w:val="20"/>
                <w:szCs w:val="20"/>
              </w:rPr>
            </w:pPr>
            <w:r w:rsidRPr="006A0277">
              <w:rPr>
                <w:b/>
                <w:bCs/>
                <w:sz w:val="20"/>
                <w:szCs w:val="20"/>
              </w:rPr>
              <w:t>$</w:t>
            </w:r>
            <w:r w:rsidRPr="006A0277" w:rsidR="005A7E1D">
              <w:rPr>
                <w:b/>
                <w:bCs/>
                <w:sz w:val="20"/>
                <w:szCs w:val="20"/>
              </w:rPr>
              <w:t>19</w:t>
            </w:r>
            <w:r w:rsidRPr="006A0277" w:rsidR="006A0277">
              <w:rPr>
                <w:b/>
                <w:bCs/>
                <w:sz w:val="20"/>
                <w:szCs w:val="20"/>
              </w:rPr>
              <w:t>,</w:t>
            </w:r>
            <w:r w:rsidRPr="006A0277" w:rsidR="005A7E1D">
              <w:rPr>
                <w:b/>
                <w:bCs/>
                <w:sz w:val="20"/>
                <w:szCs w:val="20"/>
              </w:rPr>
              <w:t>596</w:t>
            </w:r>
            <w:r w:rsidRPr="006A0277" w:rsidR="00843F21">
              <w:rPr>
                <w:b/>
                <w:bCs/>
                <w:sz w:val="20"/>
                <w:szCs w:val="20"/>
              </w:rPr>
              <w:t>.</w:t>
            </w:r>
            <w:r w:rsidRPr="006A0277" w:rsidR="005A7E1D">
              <w:rPr>
                <w:b/>
                <w:bCs/>
                <w:sz w:val="20"/>
                <w:szCs w:val="20"/>
              </w:rPr>
              <w:t>30</w:t>
            </w:r>
          </w:p>
        </w:tc>
      </w:tr>
      <w:tr w14:paraId="6EEE0C2B" w14:textId="77777777" w:rsidTr="006A0277">
        <w:tblPrEx>
          <w:tblW w:w="0" w:type="auto"/>
          <w:tblInd w:w="355" w:type="dxa"/>
          <w:tblLook w:val="01E0"/>
        </w:tblPrEx>
        <w:trPr>
          <w:trHeight w:val="530"/>
        </w:trPr>
        <w:tc>
          <w:tcPr>
            <w:tcW w:w="297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25AF3048" w14:textId="77777777">
            <w:pPr>
              <w:rPr>
                <w:sz w:val="20"/>
                <w:szCs w:val="20"/>
              </w:rPr>
            </w:pPr>
            <w:r w:rsidRPr="00F63F36">
              <w:rPr>
                <w:sz w:val="20"/>
                <w:szCs w:val="20"/>
              </w:rPr>
              <w:t>Self-Administered Surveys/Experimental Studies</w:t>
            </w:r>
          </w:p>
        </w:tc>
        <w:tc>
          <w:tcPr>
            <w:tcW w:w="171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4CDBFE0A" w14:textId="5C2891E9">
            <w:pPr>
              <w:jc w:val="center"/>
              <w:rPr>
                <w:sz w:val="20"/>
                <w:szCs w:val="20"/>
              </w:rPr>
            </w:pPr>
            <w:r w:rsidRPr="00F63F36">
              <w:rPr>
                <w:sz w:val="20"/>
                <w:szCs w:val="20"/>
              </w:rPr>
              <w:t>3</w:t>
            </w:r>
            <w:r w:rsidR="00843F21">
              <w:rPr>
                <w:sz w:val="20"/>
                <w:szCs w:val="20"/>
              </w:rPr>
              <w:t>75</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F63F36" w:rsidP="003E6637" w14:paraId="2EADB534"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shd w:val="clear" w:color="auto" w:fill="FFFFCC"/>
            <w:hideMark/>
          </w:tcPr>
          <w:p w:rsidR="003E6637" w:rsidRPr="006A0277" w:rsidP="003E6637" w14:paraId="590D5120" w14:textId="643188C5">
            <w:pPr>
              <w:jc w:val="right"/>
              <w:rPr>
                <w:b/>
                <w:bCs/>
                <w:sz w:val="20"/>
                <w:szCs w:val="20"/>
              </w:rPr>
            </w:pPr>
            <w:r w:rsidRPr="006A0277">
              <w:rPr>
                <w:b/>
                <w:bCs/>
                <w:sz w:val="20"/>
                <w:szCs w:val="20"/>
              </w:rPr>
              <w:t xml:space="preserve"> $</w:t>
            </w:r>
            <w:r w:rsidRPr="006A0277" w:rsidR="005A7E1D">
              <w:rPr>
                <w:b/>
                <w:bCs/>
                <w:sz w:val="20"/>
                <w:szCs w:val="20"/>
              </w:rPr>
              <w:t>11</w:t>
            </w:r>
            <w:r w:rsidRPr="006A0277" w:rsidR="006A0277">
              <w:rPr>
                <w:b/>
                <w:bCs/>
                <w:sz w:val="20"/>
                <w:szCs w:val="20"/>
              </w:rPr>
              <w:t>,</w:t>
            </w:r>
            <w:r w:rsidRPr="006A0277" w:rsidR="005A7E1D">
              <w:rPr>
                <w:b/>
                <w:bCs/>
                <w:sz w:val="20"/>
                <w:szCs w:val="20"/>
              </w:rPr>
              <w:t>805</w:t>
            </w:r>
            <w:r w:rsidRPr="006A0277" w:rsidR="006A0277">
              <w:rPr>
                <w:b/>
                <w:bCs/>
                <w:sz w:val="20"/>
                <w:szCs w:val="20"/>
              </w:rPr>
              <w:t>.</w:t>
            </w:r>
            <w:r w:rsidRPr="006A0277" w:rsidR="005A7E1D">
              <w:rPr>
                <w:b/>
                <w:bCs/>
                <w:sz w:val="20"/>
                <w:szCs w:val="20"/>
              </w:rPr>
              <w:t>00</w:t>
            </w:r>
          </w:p>
        </w:tc>
      </w:tr>
      <w:tr w14:paraId="3650FEA2" w14:textId="77777777" w:rsidTr="006A0277">
        <w:tblPrEx>
          <w:tblW w:w="0" w:type="auto"/>
          <w:tblInd w:w="355" w:type="dxa"/>
          <w:tblLook w:val="01E0"/>
        </w:tblPrEx>
        <w:trPr>
          <w:trHeight w:val="54"/>
        </w:trPr>
        <w:tc>
          <w:tcPr>
            <w:tcW w:w="7110" w:type="dxa"/>
            <w:gridSpan w:val="3"/>
            <w:tcBorders>
              <w:top w:val="single" w:sz="4" w:space="0" w:color="auto"/>
              <w:left w:val="single" w:sz="4" w:space="0" w:color="auto"/>
              <w:bottom w:val="single" w:sz="4" w:space="0" w:color="auto"/>
              <w:right w:val="single" w:sz="4" w:space="0" w:color="auto"/>
            </w:tcBorders>
            <w:shd w:val="clear" w:color="auto" w:fill="FFFFCC"/>
          </w:tcPr>
          <w:p w:rsidR="003E6637" w:rsidRPr="00F63F36" w:rsidP="003E6637" w14:paraId="3D55BBC4" w14:textId="77777777">
            <w:pPr>
              <w:rPr>
                <w:sz w:val="20"/>
                <w:szCs w:val="20"/>
              </w:rPr>
            </w:pPr>
            <w:r w:rsidRPr="00F63F36">
              <w:rPr>
                <w:sz w:val="20"/>
                <w:szCs w:val="20"/>
              </w:rPr>
              <w:t>Total</w:t>
            </w:r>
          </w:p>
        </w:tc>
        <w:tc>
          <w:tcPr>
            <w:tcW w:w="1890" w:type="dxa"/>
            <w:tcBorders>
              <w:top w:val="single" w:sz="4" w:space="0" w:color="auto"/>
              <w:left w:val="single" w:sz="4" w:space="0" w:color="auto"/>
              <w:bottom w:val="single" w:sz="4" w:space="0" w:color="auto"/>
              <w:right w:val="single" w:sz="4" w:space="0" w:color="auto"/>
            </w:tcBorders>
            <w:shd w:val="clear" w:color="auto" w:fill="FFFFCC"/>
          </w:tcPr>
          <w:p w:rsidR="003E6637" w:rsidRPr="006A0277" w:rsidP="003E6637" w14:paraId="1D1128A5" w14:textId="25C38A11">
            <w:pPr>
              <w:jc w:val="right"/>
              <w:rPr>
                <w:b/>
                <w:bCs/>
                <w:sz w:val="20"/>
                <w:szCs w:val="20"/>
              </w:rPr>
            </w:pPr>
            <w:r w:rsidRPr="006A0277">
              <w:rPr>
                <w:b/>
                <w:bCs/>
                <w:sz w:val="20"/>
                <w:szCs w:val="20"/>
              </w:rPr>
              <w:fldChar w:fldCharType="begin"/>
            </w:r>
            <w:r w:rsidRPr="006A0277">
              <w:rPr>
                <w:b/>
                <w:bCs/>
                <w:sz w:val="20"/>
                <w:szCs w:val="20"/>
              </w:rPr>
              <w:instrText xml:space="preserve"> =SUM(ABOVE) \# "$#,##0.00;($#,##0.00)" </w:instrText>
            </w:r>
            <w:r w:rsidRPr="006A0277">
              <w:rPr>
                <w:b/>
                <w:bCs/>
                <w:sz w:val="20"/>
                <w:szCs w:val="20"/>
              </w:rPr>
              <w:fldChar w:fldCharType="separate"/>
            </w:r>
            <w:r w:rsidRPr="006A0277">
              <w:rPr>
                <w:b/>
                <w:bCs/>
                <w:noProof/>
                <w:sz w:val="20"/>
                <w:szCs w:val="20"/>
              </w:rPr>
              <w:t>$47,865.34</w:t>
            </w:r>
            <w:r w:rsidRPr="006A0277">
              <w:rPr>
                <w:b/>
                <w:bCs/>
                <w:sz w:val="20"/>
                <w:szCs w:val="20"/>
              </w:rPr>
              <w:fldChar w:fldCharType="end"/>
            </w:r>
          </w:p>
        </w:tc>
      </w:tr>
    </w:tbl>
    <w:p w:rsidR="003E6637" w:rsidRPr="003E6637" w:rsidP="003E6637" w14:paraId="5C456BA2" w14:textId="77777777"/>
    <w:p w:rsidR="003E6637" w:rsidRPr="003E6637" w:rsidP="00EF46DC" w14:paraId="6E3F1D6F" w14:textId="6E5B6A12">
      <w:pPr>
        <w:ind w:left="360"/>
      </w:pPr>
      <w:r w:rsidRPr="003E6637">
        <w:t xml:space="preserve">As respondents to the information collection are private individuals from among a range of categories, we assume </w:t>
      </w:r>
      <w:r w:rsidR="005A7E1D">
        <w:t xml:space="preserve">mean hourly </w:t>
      </w:r>
      <w:r w:rsidRPr="003E6637">
        <w:t>wage rates attributable to those across “</w:t>
      </w:r>
      <w:r w:rsidRPr="003E6637">
        <w:rPr>
          <w:i/>
          <w:iCs/>
        </w:rPr>
        <w:t>all occupations</w:t>
      </w:r>
      <w:r w:rsidRPr="003E6637">
        <w:t xml:space="preserve">” </w:t>
      </w:r>
      <w:r w:rsidRPr="003E6637">
        <w:t>and multiply that figure by the annualized number of burden hours. [$</w:t>
      </w:r>
      <w:r w:rsidR="005A7E1D">
        <w:t>31.48</w:t>
      </w:r>
      <w:r>
        <w:rPr>
          <w:vertAlign w:val="superscript"/>
        </w:rPr>
        <w:footnoteReference w:id="6"/>
      </w:r>
      <w:r w:rsidRPr="003E6637">
        <w:t xml:space="preserve"> x 10,498 hours = $</w:t>
      </w:r>
      <w:r w:rsidR="005A7E1D">
        <w:t>330,477.04</w:t>
      </w:r>
      <w:r w:rsidRPr="003E6637">
        <w:t>.]  The number of participants and time needed for response was based on our prior experience with communications testing and an estimate of the communication needs of</w:t>
      </w:r>
      <w:r w:rsidR="004F0F3F">
        <w:t xml:space="preserve"> HFP</w:t>
      </w:r>
      <w:r w:rsidRPr="003E6637">
        <w:t>.  The actual numbers will vary depending upon the topic of interest.</w:t>
      </w:r>
    </w:p>
    <w:p w:rsidR="00357C8A" w:rsidRPr="00357C8A" w:rsidP="00357C8A" w14:paraId="065927A2" w14:textId="77777777">
      <w:pPr>
        <w:ind w:left="720"/>
        <w:rPr>
          <w:rFonts w:eastAsia="Calibri"/>
        </w:rPr>
      </w:pPr>
    </w:p>
    <w:p w:rsidR="00357C8A" w:rsidRPr="00357C8A" w:rsidP="006705EA" w14:paraId="2552328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D68C26D" w14:textId="77777777">
      <w:pPr>
        <w:spacing w:after="200" w:line="276" w:lineRule="auto"/>
        <w:rPr>
          <w:rFonts w:eastAsia="Calibri"/>
          <w:u w:val="single"/>
        </w:rPr>
      </w:pPr>
      <w:r w:rsidRPr="000E411B">
        <w:rPr>
          <w:rFonts w:eastAsia="Calibri"/>
        </w:rPr>
        <w:t>There are no capital, start-up, operating, or maintenance costs associated with this information collection.</w:t>
      </w:r>
    </w:p>
    <w:p w:rsidR="00357C8A" w:rsidRPr="00357C8A" w:rsidP="006705EA" w14:paraId="16F7AC9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0E411B" w:rsidRPr="000E411B" w:rsidP="000E411B" w14:paraId="36A4B9EE" w14:textId="7CB03602">
      <w:pPr>
        <w:spacing w:after="200"/>
        <w:rPr>
          <w:rFonts w:eastAsia="Calibri"/>
        </w:rPr>
      </w:pPr>
      <w:r w:rsidRPr="000E411B">
        <w:rPr>
          <w:rFonts w:eastAsia="Calibri"/>
        </w:rPr>
        <w:t>Costs to the Federal government include contractor expenses for designing and conducting information collection activities, specifically, drawing samples, training interviewers, collecting and analyzing information, and reporting findings. Contractor expenses will vary from $40,000 to $110,000 depending on the size of the study. We anticipate allocating $900,000 in contractor expenses to fund at least two large scale stud</w:t>
      </w:r>
      <w:r w:rsidR="004F0F3F">
        <w:rPr>
          <w:rFonts w:eastAsia="Calibri"/>
        </w:rPr>
        <w:t>ies</w:t>
      </w:r>
      <w:r w:rsidRPr="000E411B">
        <w:rPr>
          <w:rFonts w:eastAsia="Calibri"/>
        </w:rPr>
        <w:t xml:space="preserve"> and eight smaller scale studies annually.</w:t>
      </w:r>
    </w:p>
    <w:p w:rsidR="000E411B" w:rsidRPr="000E411B" w:rsidP="000E411B" w14:paraId="687DA538" w14:textId="714E5A8A">
      <w:pPr>
        <w:spacing w:after="200"/>
        <w:rPr>
          <w:rFonts w:eastAsia="Calibri"/>
        </w:rPr>
      </w:pPr>
      <w:r w:rsidRPr="000E411B">
        <w:rPr>
          <w:rFonts w:eastAsia="Calibri"/>
        </w:rPr>
        <w:t xml:space="preserve">In addition, we assume administrative costs for monitoring by a government Project Officer </w:t>
      </w:r>
      <w:r w:rsidR="00EF007A">
        <w:rPr>
          <w:rFonts w:eastAsia="Calibri"/>
        </w:rPr>
        <w:t>or</w:t>
      </w:r>
      <w:r w:rsidRPr="000E411B" w:rsidR="00EF007A">
        <w:rPr>
          <w:rFonts w:eastAsia="Calibri"/>
        </w:rPr>
        <w:t xml:space="preserve"> </w:t>
      </w:r>
      <w:r w:rsidRPr="000E411B">
        <w:rPr>
          <w:rFonts w:eastAsia="Calibri"/>
        </w:rPr>
        <w:t>Senior Analyst, or approximately 25</w:t>
      </w:r>
      <w:r w:rsidR="00EF007A">
        <w:rPr>
          <w:rFonts w:eastAsia="Calibri"/>
        </w:rPr>
        <w:t>% of an</w:t>
      </w:r>
      <w:r w:rsidRPr="000E411B">
        <w:rPr>
          <w:rFonts w:eastAsia="Calibri"/>
        </w:rPr>
        <w:t xml:space="preserve"> FTE’s </w:t>
      </w:r>
      <w:r w:rsidR="00EF007A">
        <w:rPr>
          <w:rFonts w:eastAsia="Calibri"/>
        </w:rPr>
        <w:t xml:space="preserve">time </w:t>
      </w:r>
      <w:r w:rsidRPr="000E411B">
        <w:rPr>
          <w:rFonts w:eastAsia="Calibri"/>
        </w:rPr>
        <w:t>per year (522 hours).  Assuming 202</w:t>
      </w:r>
      <w:r w:rsidR="005A7E1D">
        <w:rPr>
          <w:rFonts w:eastAsia="Calibri"/>
        </w:rPr>
        <w:t>4</w:t>
      </w:r>
      <w:r w:rsidRPr="000E411B">
        <w:rPr>
          <w:rFonts w:eastAsia="Calibri"/>
        </w:rPr>
        <w:t xml:space="preserve"> wage rates of a GS-13/Step 1 employee in the Baltimore-Washington area, ($</w:t>
      </w:r>
      <w:r w:rsidR="00E5550B">
        <w:rPr>
          <w:rFonts w:eastAsia="Calibri"/>
        </w:rPr>
        <w:t>56.52</w:t>
      </w:r>
      <w:r w:rsidRPr="000E411B">
        <w:rPr>
          <w:rFonts w:eastAsia="Calibri"/>
        </w:rPr>
        <w:t xml:space="preserve"> per hour), and doubling this to account for overhead ($</w:t>
      </w:r>
      <w:r w:rsidR="00E5550B">
        <w:rPr>
          <w:rFonts w:eastAsia="Calibri"/>
        </w:rPr>
        <w:t>113.04</w:t>
      </w:r>
      <w:r w:rsidRPr="000E411B">
        <w:rPr>
          <w:rFonts w:eastAsia="Calibri"/>
        </w:rPr>
        <w:t xml:space="preserve"> per hour), we calculate administrative costs of $</w:t>
      </w:r>
      <w:r w:rsidR="00E5550B">
        <w:rPr>
          <w:rFonts w:eastAsia="Calibri"/>
        </w:rPr>
        <w:t>59,007</w:t>
      </w:r>
      <w:r w:rsidRPr="000E411B">
        <w:rPr>
          <w:rFonts w:eastAsia="Calibri"/>
        </w:rPr>
        <w:t>.</w:t>
      </w:r>
    </w:p>
    <w:p w:rsidR="00357C8A" w:rsidRPr="00357C8A" w:rsidP="00357C8A" w14:paraId="3738334E" w14:textId="09C83274">
      <w:pPr>
        <w:spacing w:after="200"/>
        <w:rPr>
          <w:rFonts w:eastAsia="Calibri"/>
        </w:rPr>
      </w:pPr>
      <w:r w:rsidRPr="000E411B">
        <w:rPr>
          <w:rFonts w:eastAsia="Calibri"/>
        </w:rPr>
        <w:t>Cumulatively, therefore, we estimate a total of $95</w:t>
      </w:r>
      <w:r w:rsidR="00E5550B">
        <w:rPr>
          <w:rFonts w:eastAsia="Calibri"/>
        </w:rPr>
        <w:t>9</w:t>
      </w:r>
      <w:r w:rsidRPr="000E411B">
        <w:rPr>
          <w:rFonts w:eastAsia="Calibri"/>
        </w:rPr>
        <w:t>,</w:t>
      </w:r>
      <w:r w:rsidR="00E5550B">
        <w:rPr>
          <w:rFonts w:eastAsia="Calibri"/>
        </w:rPr>
        <w:t>007</w:t>
      </w:r>
      <w:r w:rsidRPr="000E411B">
        <w:rPr>
          <w:rFonts w:eastAsia="Calibri"/>
        </w:rPr>
        <w:t xml:space="preserve"> annually</w:t>
      </w:r>
      <w:r w:rsidR="00C11E63">
        <w:rPr>
          <w:rFonts w:eastAsia="Calibri"/>
        </w:rPr>
        <w:t xml:space="preserve"> for </w:t>
      </w:r>
      <w:r w:rsidR="00B85326">
        <w:rPr>
          <w:rFonts w:eastAsia="Calibri"/>
        </w:rPr>
        <w:t xml:space="preserve">costs to </w:t>
      </w:r>
      <w:r w:rsidRPr="00B85326" w:rsidR="00B85326">
        <w:rPr>
          <w:rFonts w:eastAsia="Calibri"/>
        </w:rPr>
        <w:t>the Federal government</w:t>
      </w:r>
      <w:r w:rsidRPr="000E411B">
        <w:rPr>
          <w:rFonts w:eastAsia="Calibri"/>
        </w:rPr>
        <w:t>.</w:t>
      </w:r>
    </w:p>
    <w:p w:rsidR="00357C8A" w:rsidP="006705EA" w14:paraId="021508A3" w14:textId="65F44882">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CF5FD5" w:rsidP="00357C8A" w14:paraId="7BF90BC2" w14:textId="743DF729">
      <w:pPr>
        <w:spacing w:after="200"/>
        <w:rPr>
          <w:rFonts w:eastAsia="Calibri"/>
          <w:color w:val="000000"/>
        </w:rPr>
      </w:pPr>
      <w:r>
        <w:rPr>
          <w:rFonts w:eastAsia="Calibri"/>
        </w:rPr>
        <w:t xml:space="preserve">Since our initial request for continued approval, we have reevaluated actual usage of individual clearance requests.  Accordingly, we have adjusted our estimate downward by </w:t>
      </w:r>
      <w:r w:rsidR="00504B43">
        <w:rPr>
          <w:rFonts w:eastAsia="Calibri"/>
        </w:rPr>
        <w:t>a factor of ten</w:t>
      </w:r>
      <w:r w:rsidR="00147037">
        <w:rPr>
          <w:rFonts w:eastAsia="Calibri"/>
        </w:rPr>
        <w:t xml:space="preserve">, as highlighted in </w:t>
      </w:r>
      <w:r w:rsidR="00BC1F71">
        <w:rPr>
          <w:rFonts w:eastAsia="Calibri"/>
        </w:rPr>
        <w:t>the individual IC elements at Q-12.</w:t>
      </w:r>
    </w:p>
    <w:p w:rsidR="00357C8A" w:rsidRPr="00357C8A" w:rsidP="006705EA" w14:paraId="1C451AA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0E411B" w:rsidP="000E411B" w14:paraId="221D195E" w14:textId="786BC318">
      <w:pPr>
        <w:numPr>
          <w:ilvl w:val="12"/>
          <w:numId w:val="0"/>
        </w:numPr>
      </w:pPr>
      <w:r w:rsidRPr="002051D8">
        <w:t xml:space="preserve">The analyses conducted for each </w:t>
      </w:r>
      <w:r>
        <w:t>quantitative study</w:t>
      </w:r>
      <w:r w:rsidRPr="002051D8">
        <w:t xml:space="preserve"> will be determined by the objectives, the </w:t>
      </w:r>
      <w:r>
        <w:t>data being collected</w:t>
      </w:r>
      <w:r w:rsidRPr="002051D8">
        <w:t xml:space="preserve">, and the </w:t>
      </w:r>
      <w:r>
        <w:t>characteristics of the participants</w:t>
      </w:r>
      <w:r w:rsidRPr="002051D8">
        <w:t xml:space="preserve">. Specifics of the analyses cannot be determined </w:t>
      </w:r>
      <w:r>
        <w:t>until the survey instrument is developed, however we project the following schedule of activities:</w:t>
      </w:r>
    </w:p>
    <w:p w:rsidR="000E411B" w:rsidRPr="00EF46DC" w:rsidP="00EF46DC" w14:paraId="5162FFAB" w14:textId="60890509">
      <w:pPr>
        <w:numPr>
          <w:ilvl w:val="12"/>
          <w:numId w:val="0"/>
        </w:numPr>
        <w:jc w:val="center"/>
        <w:rPr>
          <w:sz w:val="20"/>
          <w:szCs w:val="20"/>
        </w:rPr>
      </w:pPr>
      <w:r w:rsidRPr="00EF46DC">
        <w:rPr>
          <w:sz w:val="20"/>
          <w:szCs w:val="20"/>
        </w:rPr>
        <w:t xml:space="preserve">Table </w:t>
      </w:r>
      <w:r w:rsidR="00B85326">
        <w:rPr>
          <w:sz w:val="20"/>
          <w:szCs w:val="20"/>
        </w:rPr>
        <w:t>4</w:t>
      </w:r>
      <w:r w:rsidR="00F63F36">
        <w:rPr>
          <w:sz w:val="20"/>
          <w:szCs w:val="20"/>
        </w:rPr>
        <w:t>.--</w:t>
      </w:r>
      <w:r w:rsidRPr="00EF46DC">
        <w:rPr>
          <w:sz w:val="20"/>
          <w:szCs w:val="20"/>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575EBE25" w14:textId="77777777" w:rsidTr="00CF5F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0E411B" w:rsidRPr="00EF46DC" w:rsidP="00CF5FD5" w14:paraId="5DF718C3" w14:textId="77777777">
            <w:pPr>
              <w:numPr>
                <w:ilvl w:val="12"/>
                <w:numId w:val="0"/>
              </w:numPr>
              <w:jc w:val="center"/>
              <w:rPr>
                <w:b/>
                <w:bCs/>
                <w:sz w:val="20"/>
                <w:szCs w:val="20"/>
              </w:rPr>
            </w:pPr>
            <w:r w:rsidRPr="00EF46DC">
              <w:rPr>
                <w:b/>
                <w:bCs/>
                <w:sz w:val="20"/>
                <w:szCs w:val="20"/>
              </w:rPr>
              <w:t>Activity</w:t>
            </w:r>
          </w:p>
        </w:tc>
        <w:tc>
          <w:tcPr>
            <w:tcW w:w="4675" w:type="dxa"/>
            <w:shd w:val="clear" w:color="auto" w:fill="auto"/>
          </w:tcPr>
          <w:p w:rsidR="000E411B" w:rsidRPr="00EF46DC" w:rsidP="00CF5FD5" w14:paraId="6B7DE247" w14:textId="77777777">
            <w:pPr>
              <w:numPr>
                <w:ilvl w:val="12"/>
                <w:numId w:val="0"/>
              </w:numPr>
              <w:jc w:val="center"/>
              <w:rPr>
                <w:b/>
                <w:bCs/>
                <w:sz w:val="20"/>
                <w:szCs w:val="20"/>
              </w:rPr>
            </w:pPr>
            <w:r w:rsidRPr="00EF46DC">
              <w:rPr>
                <w:b/>
                <w:bCs/>
                <w:sz w:val="20"/>
                <w:szCs w:val="20"/>
              </w:rPr>
              <w:t>Time Schedule</w:t>
            </w:r>
          </w:p>
        </w:tc>
      </w:tr>
      <w:tr w14:paraId="118233E1" w14:textId="77777777" w:rsidTr="00CF5FD5">
        <w:tblPrEx>
          <w:tblW w:w="0" w:type="auto"/>
          <w:tblLook w:val="04A0"/>
        </w:tblPrEx>
        <w:tc>
          <w:tcPr>
            <w:tcW w:w="4675" w:type="dxa"/>
            <w:shd w:val="clear" w:color="auto" w:fill="auto"/>
          </w:tcPr>
          <w:p w:rsidR="000E411B" w:rsidRPr="00EF46DC" w:rsidP="00CF5FD5" w14:paraId="68B1711F" w14:textId="77777777">
            <w:pPr>
              <w:numPr>
                <w:ilvl w:val="12"/>
                <w:numId w:val="0"/>
              </w:numPr>
              <w:rPr>
                <w:sz w:val="20"/>
                <w:szCs w:val="20"/>
              </w:rPr>
            </w:pPr>
            <w:r w:rsidRPr="00EF46DC">
              <w:rPr>
                <w:sz w:val="20"/>
                <w:szCs w:val="20"/>
              </w:rPr>
              <w:t>Finalize materials</w:t>
            </w:r>
          </w:p>
        </w:tc>
        <w:tc>
          <w:tcPr>
            <w:tcW w:w="4675" w:type="dxa"/>
            <w:shd w:val="clear" w:color="auto" w:fill="auto"/>
          </w:tcPr>
          <w:p w:rsidR="000E411B" w:rsidRPr="00EF46DC" w:rsidP="00CF5FD5" w14:paraId="7A4DB0BD" w14:textId="77777777">
            <w:pPr>
              <w:numPr>
                <w:ilvl w:val="12"/>
                <w:numId w:val="0"/>
              </w:numPr>
              <w:rPr>
                <w:sz w:val="20"/>
                <w:szCs w:val="20"/>
              </w:rPr>
            </w:pPr>
            <w:r w:rsidRPr="00EF46DC">
              <w:rPr>
                <w:sz w:val="20"/>
                <w:szCs w:val="20"/>
              </w:rPr>
              <w:t xml:space="preserve">1 week after OMB </w:t>
            </w:r>
            <w:r w:rsidRPr="00EF46DC">
              <w:rPr>
                <w:sz w:val="20"/>
                <w:szCs w:val="20"/>
              </w:rPr>
              <w:t>approval</w:t>
            </w:r>
          </w:p>
        </w:tc>
      </w:tr>
      <w:tr w14:paraId="44C3F341" w14:textId="77777777" w:rsidTr="00CF5FD5">
        <w:tblPrEx>
          <w:tblW w:w="0" w:type="auto"/>
          <w:tblLook w:val="04A0"/>
        </w:tblPrEx>
        <w:tc>
          <w:tcPr>
            <w:tcW w:w="4675" w:type="dxa"/>
            <w:shd w:val="clear" w:color="auto" w:fill="auto"/>
          </w:tcPr>
          <w:p w:rsidR="000E411B" w:rsidRPr="00EF46DC" w:rsidP="00CF5FD5" w14:paraId="4B0D03E6" w14:textId="77777777">
            <w:pPr>
              <w:numPr>
                <w:ilvl w:val="12"/>
                <w:numId w:val="0"/>
              </w:numPr>
              <w:rPr>
                <w:sz w:val="20"/>
                <w:szCs w:val="20"/>
              </w:rPr>
            </w:pPr>
            <w:r w:rsidRPr="00EF46DC">
              <w:rPr>
                <w:sz w:val="20"/>
                <w:szCs w:val="20"/>
              </w:rPr>
              <w:t>Finalize design</w:t>
            </w:r>
          </w:p>
        </w:tc>
        <w:tc>
          <w:tcPr>
            <w:tcW w:w="4675" w:type="dxa"/>
            <w:shd w:val="clear" w:color="auto" w:fill="auto"/>
          </w:tcPr>
          <w:p w:rsidR="000E411B" w:rsidRPr="00EF46DC" w:rsidP="00CF5FD5" w14:paraId="4D5B5B22" w14:textId="77777777">
            <w:pPr>
              <w:numPr>
                <w:ilvl w:val="12"/>
                <w:numId w:val="0"/>
              </w:numPr>
              <w:rPr>
                <w:sz w:val="20"/>
                <w:szCs w:val="20"/>
              </w:rPr>
            </w:pPr>
            <w:r w:rsidRPr="00EF46DC">
              <w:rPr>
                <w:sz w:val="20"/>
                <w:szCs w:val="20"/>
              </w:rPr>
              <w:t>3 weeks after OMB approval</w:t>
            </w:r>
          </w:p>
        </w:tc>
      </w:tr>
      <w:tr w14:paraId="30E043D8" w14:textId="77777777" w:rsidTr="00CF5FD5">
        <w:tblPrEx>
          <w:tblW w:w="0" w:type="auto"/>
          <w:tblLook w:val="04A0"/>
        </w:tblPrEx>
        <w:tc>
          <w:tcPr>
            <w:tcW w:w="4675" w:type="dxa"/>
            <w:shd w:val="clear" w:color="auto" w:fill="auto"/>
          </w:tcPr>
          <w:p w:rsidR="000E411B" w:rsidRPr="00EF46DC" w:rsidP="00CF5FD5" w14:paraId="2C57DE87" w14:textId="77777777">
            <w:pPr>
              <w:numPr>
                <w:ilvl w:val="12"/>
                <w:numId w:val="0"/>
              </w:numPr>
              <w:rPr>
                <w:sz w:val="20"/>
                <w:szCs w:val="20"/>
              </w:rPr>
            </w:pPr>
            <w:r w:rsidRPr="00EF46DC">
              <w:rPr>
                <w:sz w:val="20"/>
                <w:szCs w:val="20"/>
              </w:rPr>
              <w:t>Collection data</w:t>
            </w:r>
          </w:p>
        </w:tc>
        <w:tc>
          <w:tcPr>
            <w:tcW w:w="4675" w:type="dxa"/>
            <w:shd w:val="clear" w:color="auto" w:fill="auto"/>
          </w:tcPr>
          <w:p w:rsidR="000E411B" w:rsidRPr="00EF46DC" w:rsidP="00CF5FD5" w14:paraId="4200B9AF" w14:textId="77777777">
            <w:pPr>
              <w:numPr>
                <w:ilvl w:val="12"/>
                <w:numId w:val="0"/>
              </w:numPr>
              <w:rPr>
                <w:sz w:val="20"/>
                <w:szCs w:val="20"/>
              </w:rPr>
            </w:pPr>
            <w:r w:rsidRPr="00EF46DC">
              <w:rPr>
                <w:sz w:val="20"/>
                <w:szCs w:val="20"/>
              </w:rPr>
              <w:t>5 weeks after OMB approval</w:t>
            </w:r>
          </w:p>
        </w:tc>
      </w:tr>
      <w:tr w14:paraId="6150594D" w14:textId="77777777" w:rsidTr="00CF5FD5">
        <w:tblPrEx>
          <w:tblW w:w="0" w:type="auto"/>
          <w:tblLook w:val="04A0"/>
        </w:tblPrEx>
        <w:tc>
          <w:tcPr>
            <w:tcW w:w="4675" w:type="dxa"/>
            <w:shd w:val="clear" w:color="auto" w:fill="auto"/>
          </w:tcPr>
          <w:p w:rsidR="000E411B" w:rsidRPr="00EF46DC" w:rsidP="00CF5FD5" w14:paraId="26978412" w14:textId="77777777">
            <w:pPr>
              <w:numPr>
                <w:ilvl w:val="12"/>
                <w:numId w:val="0"/>
              </w:numPr>
              <w:rPr>
                <w:sz w:val="20"/>
                <w:szCs w:val="20"/>
              </w:rPr>
            </w:pPr>
            <w:r w:rsidRPr="00EF46DC">
              <w:rPr>
                <w:sz w:val="20"/>
                <w:szCs w:val="20"/>
              </w:rPr>
              <w:t>Analysis of data</w:t>
            </w:r>
          </w:p>
        </w:tc>
        <w:tc>
          <w:tcPr>
            <w:tcW w:w="4675" w:type="dxa"/>
            <w:shd w:val="clear" w:color="auto" w:fill="auto"/>
          </w:tcPr>
          <w:p w:rsidR="000E411B" w:rsidRPr="00EF46DC" w:rsidP="00CF5FD5" w14:paraId="1DB26EC6" w14:textId="77777777">
            <w:pPr>
              <w:numPr>
                <w:ilvl w:val="12"/>
                <w:numId w:val="0"/>
              </w:numPr>
              <w:rPr>
                <w:sz w:val="20"/>
                <w:szCs w:val="20"/>
              </w:rPr>
            </w:pPr>
            <w:r w:rsidRPr="00EF46DC">
              <w:rPr>
                <w:sz w:val="20"/>
                <w:szCs w:val="20"/>
              </w:rPr>
              <w:t>10 weeks after OMB approval</w:t>
            </w:r>
          </w:p>
        </w:tc>
      </w:tr>
      <w:tr w14:paraId="6FB0712C" w14:textId="77777777" w:rsidTr="00CF5FD5">
        <w:tblPrEx>
          <w:tblW w:w="0" w:type="auto"/>
          <w:tblLook w:val="04A0"/>
        </w:tblPrEx>
        <w:tc>
          <w:tcPr>
            <w:tcW w:w="4675" w:type="dxa"/>
            <w:shd w:val="clear" w:color="auto" w:fill="auto"/>
          </w:tcPr>
          <w:p w:rsidR="000E411B" w:rsidRPr="00EF46DC" w:rsidP="00CF5FD5" w14:paraId="627EC1BA" w14:textId="77777777">
            <w:pPr>
              <w:numPr>
                <w:ilvl w:val="12"/>
                <w:numId w:val="0"/>
              </w:numPr>
              <w:rPr>
                <w:sz w:val="20"/>
                <w:szCs w:val="20"/>
              </w:rPr>
            </w:pPr>
            <w:r w:rsidRPr="00EF46DC">
              <w:rPr>
                <w:sz w:val="20"/>
                <w:szCs w:val="20"/>
              </w:rPr>
              <w:t>Report</w:t>
            </w:r>
          </w:p>
        </w:tc>
        <w:tc>
          <w:tcPr>
            <w:tcW w:w="4675" w:type="dxa"/>
            <w:shd w:val="clear" w:color="auto" w:fill="auto"/>
          </w:tcPr>
          <w:p w:rsidR="000E411B" w:rsidRPr="00EF46DC" w:rsidP="00CF5FD5" w14:paraId="33DAE5D8" w14:textId="77777777">
            <w:pPr>
              <w:numPr>
                <w:ilvl w:val="12"/>
                <w:numId w:val="0"/>
              </w:numPr>
              <w:rPr>
                <w:sz w:val="20"/>
                <w:szCs w:val="20"/>
              </w:rPr>
            </w:pPr>
            <w:r w:rsidRPr="00EF46DC">
              <w:rPr>
                <w:sz w:val="20"/>
                <w:szCs w:val="20"/>
              </w:rPr>
              <w:t>12 weeks after OMB approval</w:t>
            </w:r>
          </w:p>
        </w:tc>
      </w:tr>
    </w:tbl>
    <w:p w:rsidR="00CC0BB0" w:rsidP="000E411B" w14:paraId="6E491EA1" w14:textId="77777777">
      <w:pPr>
        <w:numPr>
          <w:ilvl w:val="12"/>
          <w:numId w:val="0"/>
        </w:numPr>
      </w:pPr>
    </w:p>
    <w:p w:rsidR="000E411B" w:rsidP="000E411B" w14:paraId="5EF29FCA" w14:textId="052B97DE">
      <w:pPr>
        <w:numPr>
          <w:ilvl w:val="12"/>
          <w:numId w:val="0"/>
        </w:numPr>
      </w:pPr>
      <w:r>
        <w:t>Te</w:t>
      </w:r>
      <w:r w:rsidRPr="002051D8">
        <w:t xml:space="preserve">chniques include primarily </w:t>
      </w:r>
      <w:r>
        <w:t>quantitative</w:t>
      </w:r>
      <w:r w:rsidRPr="002051D8">
        <w:t xml:space="preserve"> analyses using descriptive statistics</w:t>
      </w:r>
      <w:r>
        <w:t>. D</w:t>
      </w:r>
      <w:r w:rsidRPr="002051D8">
        <w:t>escriptive statistics</w:t>
      </w:r>
      <w:r>
        <w:t xml:space="preserve"> </w:t>
      </w:r>
      <w:r w:rsidRPr="002051D8">
        <w:t>—</w:t>
      </w:r>
      <w:r>
        <w:t xml:space="preserve"> including percentages, cross-</w:t>
      </w:r>
      <w:r w:rsidRPr="002051D8">
        <w:t>tabulations, and averages</w:t>
      </w:r>
      <w:r>
        <w:t xml:space="preserve"> </w:t>
      </w:r>
      <w:r w:rsidRPr="002051D8">
        <w:t>—</w:t>
      </w:r>
      <w:r>
        <w:t xml:space="preserve"> </w:t>
      </w:r>
      <w:r w:rsidRPr="002051D8">
        <w:t xml:space="preserve">will be calculated and presented, along with demographic descriptions of study </w:t>
      </w:r>
      <w:r>
        <w:t>participants</w:t>
      </w:r>
      <w:r w:rsidRPr="002051D8">
        <w:t xml:space="preserve">. Information collected from study participants </w:t>
      </w:r>
      <w:r>
        <w:t>may</w:t>
      </w:r>
      <w:r w:rsidRPr="002051D8">
        <w:t xml:space="preserve"> be subjected to subgroup analyses to uncover potential differences among key groups (defined by gender, age, race/ethnicity, etc.). </w:t>
      </w:r>
      <w:r>
        <w:t>Inferential s</w:t>
      </w:r>
      <w:r w:rsidRPr="002051D8">
        <w:t xml:space="preserve">tatistical analyses may </w:t>
      </w:r>
      <w:r>
        <w:t xml:space="preserve">also </w:t>
      </w:r>
      <w:r w:rsidRPr="002051D8">
        <w:t>be conducted using cross-tabulatio</w:t>
      </w:r>
      <w:r w:rsidRPr="002051D8">
        <w:t>n procedures with categorical variables (e.g., chi-square) and between-group procedures with continuous variables (e.g., ANOVA and t</w:t>
      </w:r>
      <w:r>
        <w:t>-</w:t>
      </w:r>
      <w:r w:rsidRPr="002051D8">
        <w:t>tests).  Parametric statistical tests will be used in the case of sufficient sample sizes, normal distributions, and continuous or interval data; nonparametric procedures will be used otherwise.</w:t>
      </w:r>
      <w:r>
        <w:t xml:space="preserve"> All of the analyses will be done in the context of understanding the limitations of the data with respect to their not representing population parameters.</w:t>
      </w:r>
    </w:p>
    <w:p w:rsidR="000E411B" w:rsidRPr="002051D8" w:rsidP="0083210A" w14:paraId="1CE8FD80" w14:textId="77777777">
      <w:pPr>
        <w:numPr>
          <w:ilvl w:val="12"/>
          <w:numId w:val="0"/>
        </w:numPr>
      </w:pPr>
    </w:p>
    <w:p w:rsidR="00CC0BB0" w:rsidP="000E411B" w14:paraId="108A3B59" w14:textId="746DE122">
      <w:pPr>
        <w:numPr>
          <w:ilvl w:val="12"/>
          <w:numId w:val="0"/>
        </w:numPr>
      </w:pPr>
      <w:r w:rsidRPr="002051D8">
        <w:t xml:space="preserve">While the primary purpose of </w:t>
      </w:r>
      <w:r>
        <w:t>quantitative research</w:t>
      </w:r>
      <w:r w:rsidRPr="002051D8">
        <w:t xml:space="preserve"> is to </w:t>
      </w:r>
      <w:r>
        <w:t xml:space="preserve">gather information in support of </w:t>
      </w:r>
      <w:r>
        <w:t>agency initiatives</w:t>
      </w:r>
      <w:r w:rsidRPr="002051D8">
        <w:t xml:space="preserve">, FDA </w:t>
      </w:r>
      <w:r>
        <w:t>may make study results avai</w:t>
      </w:r>
      <w:r w:rsidRPr="002051D8">
        <w:t xml:space="preserve">lable to a variety of health </w:t>
      </w:r>
      <w:r>
        <w:t>educators</w:t>
      </w:r>
      <w:r w:rsidRPr="002051D8">
        <w:t xml:space="preserve"> at </w:t>
      </w:r>
      <w:r w:rsidR="008F015F">
        <w:t>g</w:t>
      </w:r>
      <w:r w:rsidRPr="002051D8">
        <w:t xml:space="preserve">overnment agencies, voluntary organizations, health professional organizations, and medical institutions.  In addition, FDA may present the findings of its </w:t>
      </w:r>
      <w:r w:rsidRPr="002051D8">
        <w:t>work at professional association meetings,</w:t>
      </w:r>
      <w:r w:rsidR="003C26AA">
        <w:t xml:space="preserve"> such as </w:t>
      </w:r>
      <w:r w:rsidRPr="002051D8">
        <w:t xml:space="preserve"> those of the American Public Health Association.  Some results may be published in professional journals such as the </w:t>
      </w:r>
      <w:r w:rsidRPr="00A037C8">
        <w:rPr>
          <w:i/>
        </w:rPr>
        <w:t>Journal of Public Policy and Marketing</w:t>
      </w:r>
      <w:r w:rsidRPr="002051D8">
        <w:t>. In any findings presented at professional association meetings or in professional journals, FDA will state the limitations of the data by recognizing the nonrepresentative nature of its pretests.</w:t>
      </w:r>
    </w:p>
    <w:p w:rsidR="00357C8A" w:rsidRPr="00CC0BB0" w:rsidP="00EF46DC" w14:paraId="2957D0D5" w14:textId="77777777">
      <w:pPr>
        <w:numPr>
          <w:ilvl w:val="12"/>
          <w:numId w:val="0"/>
        </w:numPr>
        <w:rPr>
          <w:rFonts w:eastAsia="Calibri"/>
          <w:color w:val="000000"/>
        </w:rPr>
      </w:pPr>
    </w:p>
    <w:p w:rsidR="00357C8A" w:rsidRPr="00357C8A" w:rsidP="006705EA" w14:paraId="28F3388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CF5FD5" w:rsidP="00357C8A" w14:paraId="15CC288D" w14:textId="77777777">
      <w:pPr>
        <w:spacing w:after="200"/>
        <w:rPr>
          <w:rFonts w:eastAsia="Calibri"/>
          <w:color w:val="000000"/>
        </w:rPr>
      </w:pPr>
      <w:r w:rsidRPr="000E411B">
        <w:rPr>
          <w:rFonts w:eastAsia="Calibri"/>
        </w:rPr>
        <w:t xml:space="preserve">The OMB expiration date will be displayed as required. </w:t>
      </w:r>
    </w:p>
    <w:p w:rsidR="00357C8A" w:rsidRPr="00357C8A" w:rsidP="006705EA" w14:paraId="543C61B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0E411B" w14:paraId="2B7DA809" w14:textId="77777777">
      <w:pPr>
        <w:spacing w:after="200"/>
        <w:rPr>
          <w:rFonts w:eastAsia="Calibri"/>
        </w:rPr>
      </w:pPr>
      <w:r w:rsidRPr="000E411B">
        <w:rPr>
          <w:rFonts w:eastAsia="Calibri"/>
        </w:rPr>
        <w:t>There are no exceptions to the certification.</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909AA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11B">
      <w:rPr>
        <w:rStyle w:val="PageNumber"/>
        <w:noProof/>
      </w:rPr>
      <w:t>1</w:t>
    </w:r>
    <w:r>
      <w:rPr>
        <w:rStyle w:val="PageNumber"/>
      </w:rPr>
      <w:fldChar w:fldCharType="end"/>
    </w:r>
  </w:p>
  <w:p w:rsidR="00E63DE5" w14:paraId="02E5C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C20BC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EF480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FB5" w14:paraId="66F9BD9E" w14:textId="77777777">
      <w:r>
        <w:separator/>
      </w:r>
    </w:p>
  </w:footnote>
  <w:footnote w:type="continuationSeparator" w:id="1">
    <w:p w:rsidR="00782FB5" w14:paraId="233F6C19" w14:textId="77777777">
      <w:r>
        <w:continuationSeparator/>
      </w:r>
    </w:p>
  </w:footnote>
  <w:footnote w:id="2">
    <w:p w:rsidR="008B51F4" w:rsidRPr="00B435D2" w:rsidP="008B51F4" w14:paraId="009B46BF" w14:textId="7444863E">
      <w:pPr>
        <w:pStyle w:val="FootnoteText"/>
      </w:pPr>
      <w:r w:rsidRPr="00B435D2">
        <w:rPr>
          <w:rStyle w:val="FootnoteReference"/>
        </w:rPr>
        <w:footnoteRef/>
      </w:r>
      <w:r w:rsidR="00D90A33">
        <w:t xml:space="preserve"> </w:t>
      </w:r>
      <w:r w:rsidRPr="00B435D2">
        <w:t xml:space="preserve">Food and Drug Administration. </w:t>
      </w:r>
      <w:r w:rsidR="0051727E">
        <w:t xml:space="preserve"> </w:t>
      </w:r>
      <w:r w:rsidRPr="00B435D2">
        <w:t xml:space="preserve">About Science &amp; Research at FDA. </w:t>
      </w:r>
      <w:r w:rsidR="00FD1A47">
        <w:t xml:space="preserve"> </w:t>
      </w:r>
      <w:r w:rsidRPr="00B435D2">
        <w:t xml:space="preserve">Silver Spring, MD: </w:t>
      </w:r>
      <w:r w:rsidR="00FD1A47">
        <w:t xml:space="preserve"> </w:t>
      </w:r>
      <w:r w:rsidRPr="00B435D2">
        <w:t>U.S. Department of Health and Human Services (HHS), July 2013.  Accessed from</w:t>
      </w:r>
      <w:r>
        <w:t xml:space="preserve"> </w:t>
      </w:r>
      <w:hyperlink r:id="rId1" w:history="1">
        <w:r w:rsidRPr="00043DCD">
          <w:rPr>
            <w:rStyle w:val="Hyperlink"/>
          </w:rPr>
          <w:t>https://www.fda.gov/science-research/advancing-regulatory-science/strategic-plan-regulatory-science</w:t>
        </w:r>
      </w:hyperlink>
      <w:r w:rsidRPr="00B435D2">
        <w:t>.</w:t>
      </w:r>
    </w:p>
  </w:footnote>
  <w:footnote w:id="3">
    <w:p w:rsidR="00D4657B" w:rsidP="00D4657B" w14:paraId="39517E09" w14:textId="2E2878C2">
      <w:pPr>
        <w:pStyle w:val="FootnoteText"/>
      </w:pPr>
      <w:r>
        <w:rPr>
          <w:rStyle w:val="FootnoteReference"/>
        </w:rPr>
        <w:footnoteRef/>
      </w:r>
      <w:r>
        <w:t xml:space="preserve"> For example, collections that collect PII to</w:t>
      </w:r>
      <w:r w:rsidR="00BF5E77">
        <w:t xml:space="preserve"> </w:t>
      </w:r>
      <w:r>
        <w:t xml:space="preserve">provide remuneration for participants of </w:t>
      </w:r>
      <w:r w:rsidR="00582F18">
        <w:t>surveys, experiments, and</w:t>
      </w:r>
      <w:r>
        <w:t xml:space="preserve"> cognitive</w:t>
      </w:r>
      <w:r w:rsidR="00BF5E77">
        <w:t xml:space="preserve"> </w:t>
      </w:r>
      <w:r w:rsidR="00582F18">
        <w:t xml:space="preserve">interviews </w:t>
      </w:r>
      <w:r>
        <w:t>will be</w:t>
      </w:r>
      <w:r w:rsidR="00BF5E77">
        <w:t xml:space="preserve"> </w:t>
      </w:r>
      <w:r>
        <w:t xml:space="preserve">submitted under this request. </w:t>
      </w:r>
      <w:r w:rsidR="00BF5E77">
        <w:t xml:space="preserve"> </w:t>
      </w:r>
      <w:r>
        <w:t>All Privacy Act</w:t>
      </w:r>
      <w:r w:rsidR="00BF5E77">
        <w:t xml:space="preserve"> </w:t>
      </w:r>
      <w:r>
        <w:t>requirements will be met.</w:t>
      </w:r>
    </w:p>
    <w:p w:rsidR="00145E03" w:rsidP="00D4657B" w14:paraId="4F03355A" w14:textId="77777777">
      <w:pPr>
        <w:pStyle w:val="FootnoteText"/>
      </w:pPr>
    </w:p>
  </w:footnote>
  <w:footnote w:id="4">
    <w:p w:rsidR="00E83CCF" w:rsidP="00E83CCF" w14:paraId="292763C3" w14:textId="38F09ECA">
      <w:pPr>
        <w:pStyle w:val="FootnoteText"/>
      </w:pPr>
      <w:r>
        <w:rPr>
          <w:rStyle w:val="FootnoteReference"/>
        </w:rPr>
        <w:footnoteRef/>
      </w:r>
      <w:r>
        <w:t xml:space="preserve"> As defined in OMB and Agency Information</w:t>
      </w:r>
      <w:r w:rsidR="00BB5F49">
        <w:t xml:space="preserve"> </w:t>
      </w:r>
      <w:r>
        <w:t xml:space="preserve">Quality Guidelines, </w:t>
      </w:r>
      <w:r w:rsidR="00BB5F49">
        <w:t>“</w:t>
      </w:r>
      <w:r>
        <w:t>influential</w:t>
      </w:r>
      <w:r w:rsidR="00BB5F49">
        <w:t>”</w:t>
      </w:r>
      <w:r>
        <w:t xml:space="preserve"> means that </w:t>
      </w:r>
      <w:r w:rsidR="00BB5F49">
        <w:t>“</w:t>
      </w:r>
      <w:r>
        <w:t>an</w:t>
      </w:r>
      <w:r w:rsidR="00BB5F49">
        <w:t xml:space="preserve"> </w:t>
      </w:r>
      <w:r>
        <w:t>agency can reasonably</w:t>
      </w:r>
      <w:r w:rsidR="00BB5F49">
        <w:t xml:space="preserve"> </w:t>
      </w:r>
      <w:r>
        <w:t>determine that</w:t>
      </w:r>
      <w:r w:rsidR="00BB5F49">
        <w:t xml:space="preserve"> </w:t>
      </w:r>
      <w:r>
        <w:t>dissemination of the information will have or does</w:t>
      </w:r>
      <w:r w:rsidR="00BB5F49">
        <w:t xml:space="preserve"> </w:t>
      </w:r>
      <w:r>
        <w:t>have a clear and substantial impact on important</w:t>
      </w:r>
      <w:r w:rsidR="00BB5F49">
        <w:t xml:space="preserve"> </w:t>
      </w:r>
      <w:r>
        <w:t>public policies or important private sector</w:t>
      </w:r>
      <w:r w:rsidR="00BB5F49">
        <w:t xml:space="preserve"> </w:t>
      </w:r>
      <w:r>
        <w:t>decisions.</w:t>
      </w:r>
      <w:r w:rsidR="00BB5F49">
        <w:t>”</w:t>
      </w:r>
    </w:p>
    <w:p w:rsidR="00BB5F49" w:rsidP="00E83CCF" w14:paraId="7B225268" w14:textId="77777777">
      <w:pPr>
        <w:pStyle w:val="FootnoteText"/>
      </w:pPr>
    </w:p>
  </w:footnote>
  <w:footnote w:id="5">
    <w:p w:rsidR="008B51F4" w:rsidP="008B51F4" w14:paraId="5FF5B074" w14:textId="4F529111">
      <w:pPr>
        <w:pStyle w:val="FootnoteText"/>
      </w:pPr>
      <w:r>
        <w:rPr>
          <w:rStyle w:val="FootnoteReference"/>
        </w:rPr>
        <w:footnoteRef/>
      </w:r>
      <w:r w:rsidR="00DD4D45">
        <w:t xml:space="preserve"> </w:t>
      </w:r>
      <w:hyperlink r:id="rId2" w:history="1">
        <w:r w:rsidRPr="0014253B" w:rsidR="00DD4D45">
          <w:rPr>
            <w:rStyle w:val="Hyperlink"/>
          </w:rPr>
          <w:t>Memorandum for the Heads of Executive Departments and Agencies and Independent Regulatory Agencies (July 22, 2016)</w:t>
        </w:r>
      </w:hyperlink>
      <w:r w:rsidR="00C77899">
        <w:t xml:space="preserve">; available at </w:t>
      </w:r>
      <w:hyperlink r:id="rId3" w:history="1">
        <w:r w:rsidRPr="00AE2070" w:rsidR="00C77899">
          <w:rPr>
            <w:rStyle w:val="Hyperlink"/>
          </w:rPr>
          <w:t>https://www.whitehouse.gov/omb/information-regulatory-affairs/federal-collection-information/</w:t>
        </w:r>
      </w:hyperlink>
      <w:r w:rsidR="00DD4D45">
        <w:t xml:space="preserve">. </w:t>
      </w:r>
      <w:r>
        <w:t xml:space="preserve"> </w:t>
      </w:r>
    </w:p>
  </w:footnote>
  <w:footnote w:id="6">
    <w:p w:rsidR="003E6637" w:rsidRPr="00B435D2" w:rsidP="003E6637" w14:paraId="6F7F2C47" w14:textId="7EDF486C">
      <w:pPr>
        <w:pStyle w:val="FootnoteText"/>
      </w:pPr>
      <w:r w:rsidRPr="00B435D2">
        <w:rPr>
          <w:rStyle w:val="FootnoteReference"/>
        </w:rPr>
        <w:footnoteRef/>
      </w:r>
      <w:r w:rsidR="00D90A33">
        <w:t xml:space="preserve"> </w:t>
      </w:r>
      <w:r w:rsidRPr="00B435D2">
        <w:t xml:space="preserve">U.S. Bureau of Labor Statistics, </w:t>
      </w:r>
      <w:hyperlink r:id="rId4" w:tooltip="http://www.bls.gov/oes/current/oes_nat.htm" w:history="1">
        <w:r w:rsidRPr="00B435D2">
          <w:rPr>
            <w:rStyle w:val="Hyperlink"/>
            <w:color w:val="000000"/>
          </w:rPr>
          <w:t>http://www.bls.gov/oes/current/oes_nat.htm</w:t>
        </w:r>
      </w:hyperlink>
      <w:r w:rsidRPr="00B435D2">
        <w:t>, May 202</w:t>
      </w:r>
      <w:r w:rsidR="005A7E1D">
        <w:t>3</w:t>
      </w:r>
      <w:r w:rsidRPr="00B435D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2600139">
    <w:abstractNumId w:val="5"/>
  </w:num>
  <w:num w:numId="2" w16cid:durableId="1890219966">
    <w:abstractNumId w:val="1"/>
  </w:num>
  <w:num w:numId="3" w16cid:durableId="187525114">
    <w:abstractNumId w:val="6"/>
  </w:num>
  <w:num w:numId="4" w16cid:durableId="589966215">
    <w:abstractNumId w:val="3"/>
  </w:num>
  <w:num w:numId="5" w16cid:durableId="84769889">
    <w:abstractNumId w:val="7"/>
  </w:num>
  <w:num w:numId="6" w16cid:durableId="1913736709">
    <w:abstractNumId w:val="0"/>
  </w:num>
  <w:num w:numId="7" w16cid:durableId="1281642137">
    <w:abstractNumId w:val="2"/>
  </w:num>
  <w:num w:numId="8" w16cid:durableId="4217561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B3F"/>
    <w:rsid w:val="0002698C"/>
    <w:rsid w:val="00031A2C"/>
    <w:rsid w:val="00042B93"/>
    <w:rsid w:val="00043C7F"/>
    <w:rsid w:val="00043DCD"/>
    <w:rsid w:val="000467A8"/>
    <w:rsid w:val="00046C6E"/>
    <w:rsid w:val="00051CF5"/>
    <w:rsid w:val="0006570F"/>
    <w:rsid w:val="00072863"/>
    <w:rsid w:val="00075DE8"/>
    <w:rsid w:val="00087439"/>
    <w:rsid w:val="000A731D"/>
    <w:rsid w:val="000C0791"/>
    <w:rsid w:val="000C1260"/>
    <w:rsid w:val="000C560C"/>
    <w:rsid w:val="000D080B"/>
    <w:rsid w:val="000D1F4B"/>
    <w:rsid w:val="000D48FD"/>
    <w:rsid w:val="000D5AD9"/>
    <w:rsid w:val="000D5B27"/>
    <w:rsid w:val="000D79CC"/>
    <w:rsid w:val="000E1C64"/>
    <w:rsid w:val="000E411B"/>
    <w:rsid w:val="000F7119"/>
    <w:rsid w:val="00100739"/>
    <w:rsid w:val="0010493E"/>
    <w:rsid w:val="001075D3"/>
    <w:rsid w:val="00107885"/>
    <w:rsid w:val="00114FC4"/>
    <w:rsid w:val="00122DB8"/>
    <w:rsid w:val="0012329C"/>
    <w:rsid w:val="00133E00"/>
    <w:rsid w:val="00134FA7"/>
    <w:rsid w:val="00137950"/>
    <w:rsid w:val="0014253B"/>
    <w:rsid w:val="00145E03"/>
    <w:rsid w:val="00147037"/>
    <w:rsid w:val="00152F29"/>
    <w:rsid w:val="0017454A"/>
    <w:rsid w:val="00174D54"/>
    <w:rsid w:val="0017702C"/>
    <w:rsid w:val="00185270"/>
    <w:rsid w:val="0018782C"/>
    <w:rsid w:val="001A3B5A"/>
    <w:rsid w:val="001A3FDE"/>
    <w:rsid w:val="001A458C"/>
    <w:rsid w:val="001A7A74"/>
    <w:rsid w:val="001B7CE9"/>
    <w:rsid w:val="001C3350"/>
    <w:rsid w:val="001D495A"/>
    <w:rsid w:val="001D6B09"/>
    <w:rsid w:val="001E244C"/>
    <w:rsid w:val="001F1437"/>
    <w:rsid w:val="001F690C"/>
    <w:rsid w:val="002051D8"/>
    <w:rsid w:val="00206799"/>
    <w:rsid w:val="002074FE"/>
    <w:rsid w:val="0022425B"/>
    <w:rsid w:val="002259EF"/>
    <w:rsid w:val="00242ED1"/>
    <w:rsid w:val="002444BB"/>
    <w:rsid w:val="00254069"/>
    <w:rsid w:val="00254613"/>
    <w:rsid w:val="00262E27"/>
    <w:rsid w:val="00266103"/>
    <w:rsid w:val="00270748"/>
    <w:rsid w:val="002734E5"/>
    <w:rsid w:val="002746DB"/>
    <w:rsid w:val="002756A9"/>
    <w:rsid w:val="00277468"/>
    <w:rsid w:val="00280CAF"/>
    <w:rsid w:val="00282F09"/>
    <w:rsid w:val="002859C8"/>
    <w:rsid w:val="00291810"/>
    <w:rsid w:val="00294D62"/>
    <w:rsid w:val="00297532"/>
    <w:rsid w:val="00297FFD"/>
    <w:rsid w:val="002A1210"/>
    <w:rsid w:val="002A39CE"/>
    <w:rsid w:val="002A4541"/>
    <w:rsid w:val="002A47D2"/>
    <w:rsid w:val="002A7FB5"/>
    <w:rsid w:val="002B2074"/>
    <w:rsid w:val="002D14D8"/>
    <w:rsid w:val="002D4799"/>
    <w:rsid w:val="002E3FA4"/>
    <w:rsid w:val="002E53A5"/>
    <w:rsid w:val="002E64B8"/>
    <w:rsid w:val="002E6834"/>
    <w:rsid w:val="002F0E76"/>
    <w:rsid w:val="003002A2"/>
    <w:rsid w:val="003113FF"/>
    <w:rsid w:val="00312622"/>
    <w:rsid w:val="003139E2"/>
    <w:rsid w:val="00315665"/>
    <w:rsid w:val="0032277F"/>
    <w:rsid w:val="00332E30"/>
    <w:rsid w:val="00336B69"/>
    <w:rsid w:val="0034302B"/>
    <w:rsid w:val="00350523"/>
    <w:rsid w:val="0035189D"/>
    <w:rsid w:val="00355B62"/>
    <w:rsid w:val="00357A95"/>
    <w:rsid w:val="00357C8A"/>
    <w:rsid w:val="003740BC"/>
    <w:rsid w:val="0037456B"/>
    <w:rsid w:val="003801A3"/>
    <w:rsid w:val="0038191B"/>
    <w:rsid w:val="00383D90"/>
    <w:rsid w:val="003870AE"/>
    <w:rsid w:val="003A1A27"/>
    <w:rsid w:val="003A50CC"/>
    <w:rsid w:val="003B42B3"/>
    <w:rsid w:val="003B6384"/>
    <w:rsid w:val="003B7DF8"/>
    <w:rsid w:val="003C0FE2"/>
    <w:rsid w:val="003C26AA"/>
    <w:rsid w:val="003C4EBB"/>
    <w:rsid w:val="003D1531"/>
    <w:rsid w:val="003E4EC6"/>
    <w:rsid w:val="003E527E"/>
    <w:rsid w:val="003E553E"/>
    <w:rsid w:val="003E6637"/>
    <w:rsid w:val="003E7078"/>
    <w:rsid w:val="003F3DF5"/>
    <w:rsid w:val="003F73B8"/>
    <w:rsid w:val="0040297E"/>
    <w:rsid w:val="00411C20"/>
    <w:rsid w:val="00411D11"/>
    <w:rsid w:val="00414494"/>
    <w:rsid w:val="00415E23"/>
    <w:rsid w:val="0041670D"/>
    <w:rsid w:val="00423272"/>
    <w:rsid w:val="00424061"/>
    <w:rsid w:val="00442A3C"/>
    <w:rsid w:val="00443969"/>
    <w:rsid w:val="00447D74"/>
    <w:rsid w:val="00450A74"/>
    <w:rsid w:val="004546BF"/>
    <w:rsid w:val="00465350"/>
    <w:rsid w:val="00473402"/>
    <w:rsid w:val="00474D4E"/>
    <w:rsid w:val="00476B91"/>
    <w:rsid w:val="004846BF"/>
    <w:rsid w:val="00494912"/>
    <w:rsid w:val="004A5323"/>
    <w:rsid w:val="004A5A99"/>
    <w:rsid w:val="004C6979"/>
    <w:rsid w:val="004D13A2"/>
    <w:rsid w:val="004D3E7A"/>
    <w:rsid w:val="004D6773"/>
    <w:rsid w:val="004F0F3F"/>
    <w:rsid w:val="004F594B"/>
    <w:rsid w:val="004F61E1"/>
    <w:rsid w:val="00504B43"/>
    <w:rsid w:val="0051727E"/>
    <w:rsid w:val="0053380B"/>
    <w:rsid w:val="00543194"/>
    <w:rsid w:val="00544138"/>
    <w:rsid w:val="00554E34"/>
    <w:rsid w:val="005675C0"/>
    <w:rsid w:val="00582F18"/>
    <w:rsid w:val="00584583"/>
    <w:rsid w:val="00590E90"/>
    <w:rsid w:val="00590EEB"/>
    <w:rsid w:val="00593ED5"/>
    <w:rsid w:val="005A4099"/>
    <w:rsid w:val="005A7E1D"/>
    <w:rsid w:val="005C38B2"/>
    <w:rsid w:val="005C5029"/>
    <w:rsid w:val="005C548A"/>
    <w:rsid w:val="005C55C2"/>
    <w:rsid w:val="005C61EC"/>
    <w:rsid w:val="005C71CA"/>
    <w:rsid w:val="005C745C"/>
    <w:rsid w:val="005D0532"/>
    <w:rsid w:val="005D4DF5"/>
    <w:rsid w:val="005E42BA"/>
    <w:rsid w:val="005E5681"/>
    <w:rsid w:val="005F206B"/>
    <w:rsid w:val="00611D6B"/>
    <w:rsid w:val="00625CFD"/>
    <w:rsid w:val="006326EC"/>
    <w:rsid w:val="006401A4"/>
    <w:rsid w:val="00650B76"/>
    <w:rsid w:val="006510F9"/>
    <w:rsid w:val="00663A42"/>
    <w:rsid w:val="006641C7"/>
    <w:rsid w:val="006705EA"/>
    <w:rsid w:val="00670BE2"/>
    <w:rsid w:val="006916D9"/>
    <w:rsid w:val="006A0277"/>
    <w:rsid w:val="006A0E05"/>
    <w:rsid w:val="006A26C6"/>
    <w:rsid w:val="006A465A"/>
    <w:rsid w:val="006A7D5D"/>
    <w:rsid w:val="006B21B9"/>
    <w:rsid w:val="006B5484"/>
    <w:rsid w:val="006C7075"/>
    <w:rsid w:val="006D0C12"/>
    <w:rsid w:val="006D5D57"/>
    <w:rsid w:val="006E2538"/>
    <w:rsid w:val="006E302F"/>
    <w:rsid w:val="006E477A"/>
    <w:rsid w:val="006F4D6D"/>
    <w:rsid w:val="00705086"/>
    <w:rsid w:val="00722001"/>
    <w:rsid w:val="00722F69"/>
    <w:rsid w:val="00742058"/>
    <w:rsid w:val="00743853"/>
    <w:rsid w:val="00744525"/>
    <w:rsid w:val="00751E66"/>
    <w:rsid w:val="00754497"/>
    <w:rsid w:val="00773201"/>
    <w:rsid w:val="0077665B"/>
    <w:rsid w:val="00782FB5"/>
    <w:rsid w:val="00783C7F"/>
    <w:rsid w:val="00787C39"/>
    <w:rsid w:val="00792947"/>
    <w:rsid w:val="00795DF3"/>
    <w:rsid w:val="00797987"/>
    <w:rsid w:val="007A373C"/>
    <w:rsid w:val="007B225C"/>
    <w:rsid w:val="007C5DC0"/>
    <w:rsid w:val="007C75B1"/>
    <w:rsid w:val="007C772F"/>
    <w:rsid w:val="007D3DFC"/>
    <w:rsid w:val="007D456D"/>
    <w:rsid w:val="007E2F07"/>
    <w:rsid w:val="007E59A8"/>
    <w:rsid w:val="007F5415"/>
    <w:rsid w:val="0080776D"/>
    <w:rsid w:val="00810145"/>
    <w:rsid w:val="008108FA"/>
    <w:rsid w:val="00810FF1"/>
    <w:rsid w:val="00822336"/>
    <w:rsid w:val="00823DFA"/>
    <w:rsid w:val="0083210A"/>
    <w:rsid w:val="00842DB7"/>
    <w:rsid w:val="00843752"/>
    <w:rsid w:val="00843F21"/>
    <w:rsid w:val="0084479F"/>
    <w:rsid w:val="0085725E"/>
    <w:rsid w:val="00860AC0"/>
    <w:rsid w:val="00873D4F"/>
    <w:rsid w:val="0087509F"/>
    <w:rsid w:val="008842B6"/>
    <w:rsid w:val="00885B09"/>
    <w:rsid w:val="00892400"/>
    <w:rsid w:val="0089590B"/>
    <w:rsid w:val="008A209D"/>
    <w:rsid w:val="008A22BB"/>
    <w:rsid w:val="008A3335"/>
    <w:rsid w:val="008A7071"/>
    <w:rsid w:val="008B035D"/>
    <w:rsid w:val="008B0E29"/>
    <w:rsid w:val="008B0EFA"/>
    <w:rsid w:val="008B30AB"/>
    <w:rsid w:val="008B51F4"/>
    <w:rsid w:val="008B52E8"/>
    <w:rsid w:val="008C3BB8"/>
    <w:rsid w:val="008C4B65"/>
    <w:rsid w:val="008D7D9C"/>
    <w:rsid w:val="008E5F55"/>
    <w:rsid w:val="008F015F"/>
    <w:rsid w:val="008F3462"/>
    <w:rsid w:val="008F6BA9"/>
    <w:rsid w:val="009009E7"/>
    <w:rsid w:val="00905DEF"/>
    <w:rsid w:val="00906056"/>
    <w:rsid w:val="00907AE2"/>
    <w:rsid w:val="009122AE"/>
    <w:rsid w:val="00913B43"/>
    <w:rsid w:val="00916E42"/>
    <w:rsid w:val="00922E2B"/>
    <w:rsid w:val="00930203"/>
    <w:rsid w:val="009311D2"/>
    <w:rsid w:val="009311E6"/>
    <w:rsid w:val="00931275"/>
    <w:rsid w:val="00936AC7"/>
    <w:rsid w:val="009402E2"/>
    <w:rsid w:val="00940EB9"/>
    <w:rsid w:val="00953B64"/>
    <w:rsid w:val="009646A7"/>
    <w:rsid w:val="00970A88"/>
    <w:rsid w:val="009818A1"/>
    <w:rsid w:val="009A1674"/>
    <w:rsid w:val="009A4A7C"/>
    <w:rsid w:val="009A7413"/>
    <w:rsid w:val="009B38BE"/>
    <w:rsid w:val="009B4DF2"/>
    <w:rsid w:val="009C193C"/>
    <w:rsid w:val="009C684F"/>
    <w:rsid w:val="009D074C"/>
    <w:rsid w:val="009D6E73"/>
    <w:rsid w:val="009F0DDC"/>
    <w:rsid w:val="009F1F1D"/>
    <w:rsid w:val="009F2B4F"/>
    <w:rsid w:val="009F3C63"/>
    <w:rsid w:val="009F66B5"/>
    <w:rsid w:val="00A01C00"/>
    <w:rsid w:val="00A02F10"/>
    <w:rsid w:val="00A037C8"/>
    <w:rsid w:val="00A1060C"/>
    <w:rsid w:val="00A12E07"/>
    <w:rsid w:val="00A16221"/>
    <w:rsid w:val="00A20A7D"/>
    <w:rsid w:val="00A3546E"/>
    <w:rsid w:val="00A35D42"/>
    <w:rsid w:val="00A46CCF"/>
    <w:rsid w:val="00A506DE"/>
    <w:rsid w:val="00A53451"/>
    <w:rsid w:val="00A53505"/>
    <w:rsid w:val="00A53FDA"/>
    <w:rsid w:val="00A559F0"/>
    <w:rsid w:val="00A70426"/>
    <w:rsid w:val="00A707CC"/>
    <w:rsid w:val="00A71410"/>
    <w:rsid w:val="00A73F8D"/>
    <w:rsid w:val="00A76839"/>
    <w:rsid w:val="00A7785C"/>
    <w:rsid w:val="00A80612"/>
    <w:rsid w:val="00A91E9A"/>
    <w:rsid w:val="00A93ED9"/>
    <w:rsid w:val="00A949BB"/>
    <w:rsid w:val="00A96221"/>
    <w:rsid w:val="00AB2D20"/>
    <w:rsid w:val="00AC2DBB"/>
    <w:rsid w:val="00AC6A99"/>
    <w:rsid w:val="00AD6048"/>
    <w:rsid w:val="00AE2070"/>
    <w:rsid w:val="00AF7E38"/>
    <w:rsid w:val="00B055EF"/>
    <w:rsid w:val="00B06B5B"/>
    <w:rsid w:val="00B157CE"/>
    <w:rsid w:val="00B23769"/>
    <w:rsid w:val="00B41789"/>
    <w:rsid w:val="00B435D2"/>
    <w:rsid w:val="00B43E12"/>
    <w:rsid w:val="00B517CB"/>
    <w:rsid w:val="00B604A6"/>
    <w:rsid w:val="00B815FB"/>
    <w:rsid w:val="00B81808"/>
    <w:rsid w:val="00B819F7"/>
    <w:rsid w:val="00B826ED"/>
    <w:rsid w:val="00B85326"/>
    <w:rsid w:val="00B86DFA"/>
    <w:rsid w:val="00B936D0"/>
    <w:rsid w:val="00BA4D78"/>
    <w:rsid w:val="00BB15FB"/>
    <w:rsid w:val="00BB5C47"/>
    <w:rsid w:val="00BB5F49"/>
    <w:rsid w:val="00BC1F71"/>
    <w:rsid w:val="00BC6C0D"/>
    <w:rsid w:val="00BD3D5B"/>
    <w:rsid w:val="00BE3600"/>
    <w:rsid w:val="00BF5E77"/>
    <w:rsid w:val="00C01F6F"/>
    <w:rsid w:val="00C041EA"/>
    <w:rsid w:val="00C11E63"/>
    <w:rsid w:val="00C13BBD"/>
    <w:rsid w:val="00C149AB"/>
    <w:rsid w:val="00C16929"/>
    <w:rsid w:val="00C20690"/>
    <w:rsid w:val="00C21A0F"/>
    <w:rsid w:val="00C315E6"/>
    <w:rsid w:val="00C36020"/>
    <w:rsid w:val="00C40694"/>
    <w:rsid w:val="00C47895"/>
    <w:rsid w:val="00C479BF"/>
    <w:rsid w:val="00C5124B"/>
    <w:rsid w:val="00C70542"/>
    <w:rsid w:val="00C70EAB"/>
    <w:rsid w:val="00C75CBF"/>
    <w:rsid w:val="00C77899"/>
    <w:rsid w:val="00CB79DF"/>
    <w:rsid w:val="00CC0BB0"/>
    <w:rsid w:val="00CC2894"/>
    <w:rsid w:val="00CC36E4"/>
    <w:rsid w:val="00CD77C3"/>
    <w:rsid w:val="00CE112C"/>
    <w:rsid w:val="00CE35ED"/>
    <w:rsid w:val="00CE7895"/>
    <w:rsid w:val="00CF55D4"/>
    <w:rsid w:val="00CF5FD5"/>
    <w:rsid w:val="00D21021"/>
    <w:rsid w:val="00D25CBB"/>
    <w:rsid w:val="00D26CB5"/>
    <w:rsid w:val="00D4657B"/>
    <w:rsid w:val="00D50AAB"/>
    <w:rsid w:val="00D535AE"/>
    <w:rsid w:val="00D608DA"/>
    <w:rsid w:val="00D730BF"/>
    <w:rsid w:val="00D852F4"/>
    <w:rsid w:val="00D90A33"/>
    <w:rsid w:val="00DA65C5"/>
    <w:rsid w:val="00DB1110"/>
    <w:rsid w:val="00DB13AF"/>
    <w:rsid w:val="00DB3730"/>
    <w:rsid w:val="00DC371B"/>
    <w:rsid w:val="00DC3788"/>
    <w:rsid w:val="00DC76C7"/>
    <w:rsid w:val="00DD09F5"/>
    <w:rsid w:val="00DD0E02"/>
    <w:rsid w:val="00DD4201"/>
    <w:rsid w:val="00DD4D45"/>
    <w:rsid w:val="00DD5E9F"/>
    <w:rsid w:val="00DD5F50"/>
    <w:rsid w:val="00DE5711"/>
    <w:rsid w:val="00DE6947"/>
    <w:rsid w:val="00E00EA0"/>
    <w:rsid w:val="00E021CB"/>
    <w:rsid w:val="00E0388C"/>
    <w:rsid w:val="00E138F1"/>
    <w:rsid w:val="00E2309D"/>
    <w:rsid w:val="00E26758"/>
    <w:rsid w:val="00E4357B"/>
    <w:rsid w:val="00E443A7"/>
    <w:rsid w:val="00E45904"/>
    <w:rsid w:val="00E52B8B"/>
    <w:rsid w:val="00E5550B"/>
    <w:rsid w:val="00E63DE5"/>
    <w:rsid w:val="00E647AF"/>
    <w:rsid w:val="00E647C7"/>
    <w:rsid w:val="00E65A37"/>
    <w:rsid w:val="00E65EF7"/>
    <w:rsid w:val="00E77B48"/>
    <w:rsid w:val="00E83CCF"/>
    <w:rsid w:val="00E857FB"/>
    <w:rsid w:val="00E91799"/>
    <w:rsid w:val="00E93F71"/>
    <w:rsid w:val="00E97DF8"/>
    <w:rsid w:val="00EA21FE"/>
    <w:rsid w:val="00EA34E3"/>
    <w:rsid w:val="00EB65AA"/>
    <w:rsid w:val="00EB7538"/>
    <w:rsid w:val="00EC1868"/>
    <w:rsid w:val="00EC2F6A"/>
    <w:rsid w:val="00ED5A4B"/>
    <w:rsid w:val="00EE6468"/>
    <w:rsid w:val="00EF007A"/>
    <w:rsid w:val="00EF32B0"/>
    <w:rsid w:val="00EF46DC"/>
    <w:rsid w:val="00F02278"/>
    <w:rsid w:val="00F1299B"/>
    <w:rsid w:val="00F207A4"/>
    <w:rsid w:val="00F25173"/>
    <w:rsid w:val="00F3340F"/>
    <w:rsid w:val="00F355AC"/>
    <w:rsid w:val="00F3623C"/>
    <w:rsid w:val="00F40CF7"/>
    <w:rsid w:val="00F44194"/>
    <w:rsid w:val="00F63F36"/>
    <w:rsid w:val="00F71A5A"/>
    <w:rsid w:val="00F73A1A"/>
    <w:rsid w:val="00F769E0"/>
    <w:rsid w:val="00FA4A46"/>
    <w:rsid w:val="00FA5579"/>
    <w:rsid w:val="00FA75FE"/>
    <w:rsid w:val="00FB0177"/>
    <w:rsid w:val="00FB1032"/>
    <w:rsid w:val="00FB39BC"/>
    <w:rsid w:val="00FB6A53"/>
    <w:rsid w:val="00FC11CA"/>
    <w:rsid w:val="00FC6BDE"/>
    <w:rsid w:val="00FD1A47"/>
    <w:rsid w:val="00FD2C99"/>
    <w:rsid w:val="00FE4353"/>
    <w:rsid w:val="00FE47FE"/>
    <w:rsid w:val="00FF548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2F9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8B51F4"/>
    <w:rPr>
      <w:sz w:val="24"/>
      <w:szCs w:val="24"/>
    </w:rPr>
  </w:style>
  <w:style w:type="paragraph" w:styleId="FootnoteText">
    <w:name w:val="footnote text"/>
    <w:basedOn w:val="Normal"/>
    <w:link w:val="FootnoteTextChar"/>
    <w:uiPriority w:val="99"/>
    <w:rsid w:val="008B51F4"/>
    <w:rPr>
      <w:sz w:val="20"/>
      <w:szCs w:val="20"/>
    </w:rPr>
  </w:style>
  <w:style w:type="character" w:customStyle="1" w:styleId="FootnoteTextChar">
    <w:name w:val="Footnote Text Char"/>
    <w:basedOn w:val="DefaultParagraphFont"/>
    <w:link w:val="FootnoteText"/>
    <w:uiPriority w:val="99"/>
    <w:rsid w:val="008B51F4"/>
  </w:style>
  <w:style w:type="character" w:styleId="FootnoteReference">
    <w:name w:val="footnote reference"/>
    <w:uiPriority w:val="99"/>
    <w:rsid w:val="008B51F4"/>
    <w:rPr>
      <w:vertAlign w:val="superscript"/>
    </w:rPr>
  </w:style>
  <w:style w:type="character" w:styleId="CommentReference">
    <w:name w:val="annotation reference"/>
    <w:basedOn w:val="DefaultParagraphFont"/>
    <w:rsid w:val="00A53FDA"/>
    <w:rPr>
      <w:sz w:val="16"/>
      <w:szCs w:val="16"/>
    </w:rPr>
  </w:style>
  <w:style w:type="paragraph" w:styleId="CommentText">
    <w:name w:val="annotation text"/>
    <w:basedOn w:val="Normal"/>
    <w:link w:val="CommentTextChar"/>
    <w:rsid w:val="00A53FDA"/>
    <w:rPr>
      <w:sz w:val="20"/>
      <w:szCs w:val="20"/>
    </w:rPr>
  </w:style>
  <w:style w:type="character" w:customStyle="1" w:styleId="CommentTextChar">
    <w:name w:val="Comment Text Char"/>
    <w:basedOn w:val="DefaultParagraphFont"/>
    <w:link w:val="CommentText"/>
    <w:rsid w:val="00A53FDA"/>
  </w:style>
  <w:style w:type="paragraph" w:styleId="CommentSubject">
    <w:name w:val="annotation subject"/>
    <w:basedOn w:val="CommentText"/>
    <w:next w:val="CommentText"/>
    <w:link w:val="CommentSubjectChar"/>
    <w:rsid w:val="00A53FDA"/>
    <w:rPr>
      <w:b/>
      <w:bCs/>
    </w:rPr>
  </w:style>
  <w:style w:type="character" w:customStyle="1" w:styleId="CommentSubjectChar">
    <w:name w:val="Comment Subject Char"/>
    <w:basedOn w:val="CommentTextChar"/>
    <w:link w:val="CommentSubject"/>
    <w:rsid w:val="00A53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science-research/advancing-regulatory-science/strategic-plan-regulatory-science" TargetMode="External" /><Relationship Id="rId2" Type="http://schemas.openxmlformats.org/officeDocument/2006/relationships/hyperlink" Target="https://www.whitehouse.gov/wp-content/uploads/legacy_drupal_files/omb/inforeg/inforeg/pra_flexibilities_memo_7_22_16_finalI.pdf" TargetMode="External" /><Relationship Id="rId3" Type="http://schemas.openxmlformats.org/officeDocument/2006/relationships/hyperlink" Target="https://www.whitehouse.gov/omb/information-regulatory-affairs/federal-collection-information/" TargetMode="External" /><Relationship Id="rId4"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5BF6-D626-41C5-BFB2-41D7D8B49AD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2724</Words>
  <Characters>15529</Characters>
  <Application>Microsoft Office Word</Application>
  <DocSecurity>0</DocSecurity>
  <Lines>129</Lines>
  <Paragraphs>36</Paragraphs>
  <ScaleCrop>false</ScaleCrop>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2025-06-24T19:25:00Z</dcterms:created>
  <dcterms:modified xsi:type="dcterms:W3CDTF">2025-06-24T19:25:00Z</dcterms:modified>
</cp:coreProperties>
</file>