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A4126" w:rsidRPr="00191214" w:rsidP="000A4126" w14:paraId="13575F14" w14:textId="3ECB8DE5">
      <w:pPr>
        <w:contextualSpacing/>
        <w:jc w:val="center"/>
        <w:rPr>
          <w:b/>
          <w:bCs/>
          <w:szCs w:val="24"/>
        </w:rPr>
      </w:pPr>
      <w:r w:rsidRPr="00191214">
        <w:rPr>
          <w:b/>
          <w:bCs/>
          <w:szCs w:val="24"/>
        </w:rPr>
        <w:t>Understanding HIV/STD Risk and Enhancing PrEP Implementation Messaging in a Community-Based Sample of Gay, Bisexual, and Other Men Who Have Sex with Men in a Transformational Era (MIC-DROP)</w:t>
      </w:r>
    </w:p>
    <w:p w:rsidR="000A4126" w:rsidRPr="008E531C" w:rsidP="000A4126" w14:paraId="19E73478" w14:textId="77777777">
      <w:pPr>
        <w:contextualSpacing/>
        <w:jc w:val="center"/>
        <w:rPr>
          <w:b/>
          <w:bCs/>
          <w:szCs w:val="24"/>
        </w:rPr>
      </w:pPr>
    </w:p>
    <w:p w:rsidR="000A4126" w:rsidRPr="00EC7997" w:rsidP="000A4126" w14:paraId="55D4ADE5" w14:textId="75ED7A60">
      <w:pPr>
        <w:jc w:val="center"/>
        <w:rPr>
          <w:b/>
          <w:szCs w:val="24"/>
        </w:rPr>
      </w:pPr>
      <w:r>
        <w:rPr>
          <w:b/>
          <w:szCs w:val="24"/>
        </w:rPr>
        <w:t xml:space="preserve"> OMB</w:t>
      </w:r>
      <w:r w:rsidRPr="00EC7997">
        <w:rPr>
          <w:b/>
          <w:szCs w:val="24"/>
        </w:rPr>
        <w:t xml:space="preserve"> </w:t>
      </w:r>
      <w:r w:rsidRPr="00191214">
        <w:rPr>
          <w:b/>
          <w:szCs w:val="24"/>
        </w:rPr>
        <w:t>0920-</w:t>
      </w:r>
      <w:r w:rsidR="00C07C92">
        <w:rPr>
          <w:b/>
          <w:szCs w:val="24"/>
        </w:rPr>
        <w:t>1421</w:t>
      </w:r>
    </w:p>
    <w:p w:rsidR="000A4126" w:rsidP="000A4126" w14:paraId="5B1FFCE9" w14:textId="77777777">
      <w:pPr>
        <w:jc w:val="center"/>
        <w:rPr>
          <w:b/>
          <w:szCs w:val="24"/>
        </w:rPr>
      </w:pPr>
    </w:p>
    <w:p w:rsidR="000A4126" w:rsidP="000A4126" w14:paraId="753664DC" w14:textId="77777777">
      <w:pPr>
        <w:jc w:val="center"/>
        <w:rPr>
          <w:b/>
          <w:szCs w:val="24"/>
        </w:rPr>
      </w:pPr>
      <w:r>
        <w:rPr>
          <w:b/>
          <w:szCs w:val="24"/>
        </w:rPr>
        <w:t>Section A: Supporting Statement</w:t>
      </w:r>
    </w:p>
    <w:p w:rsidR="000A4126" w:rsidP="000A4126" w14:paraId="42C8538B" w14:textId="77777777">
      <w:pPr>
        <w:jc w:val="center"/>
        <w:rPr>
          <w:b/>
          <w:szCs w:val="24"/>
        </w:rPr>
      </w:pPr>
    </w:p>
    <w:p w:rsidR="000A4126" w:rsidP="000A4126" w14:paraId="1A39CCA5" w14:textId="2ED4FBB0">
      <w:pPr>
        <w:jc w:val="center"/>
        <w:rPr>
          <w:b/>
          <w:szCs w:val="24"/>
        </w:rPr>
      </w:pPr>
      <w:r>
        <w:rPr>
          <w:b/>
          <w:szCs w:val="24"/>
        </w:rPr>
        <w:t>March</w:t>
      </w:r>
      <w:r w:rsidR="004B2A90">
        <w:rPr>
          <w:b/>
          <w:szCs w:val="24"/>
        </w:rPr>
        <w:t xml:space="preserve"> 18, 2025</w:t>
      </w:r>
    </w:p>
    <w:p w:rsidR="000A4126" w:rsidP="000A4126" w14:paraId="366CA4EB" w14:textId="77777777">
      <w:pPr>
        <w:jc w:val="center"/>
        <w:rPr>
          <w:b/>
          <w:szCs w:val="24"/>
        </w:rPr>
      </w:pPr>
    </w:p>
    <w:p w:rsidR="000A4126" w:rsidP="000A4126" w14:paraId="00FF9016" w14:textId="77777777">
      <w:pPr>
        <w:jc w:val="center"/>
        <w:rPr>
          <w:b/>
          <w:szCs w:val="24"/>
        </w:rPr>
      </w:pPr>
    </w:p>
    <w:p w:rsidR="000A4126" w:rsidRPr="008E531C" w:rsidP="000A4126" w14:paraId="67473EC2" w14:textId="77777777">
      <w:pPr>
        <w:jc w:val="center"/>
        <w:rPr>
          <w:b/>
          <w:szCs w:val="24"/>
        </w:rPr>
      </w:pPr>
    </w:p>
    <w:p w:rsidR="000A4126" w:rsidRPr="00191214" w:rsidP="000A4126" w14:paraId="333F7D1C" w14:textId="77777777">
      <w:pPr>
        <w:jc w:val="center"/>
        <w:rPr>
          <w:b/>
          <w:szCs w:val="24"/>
        </w:rPr>
      </w:pPr>
      <w:r>
        <w:rPr>
          <w:b/>
          <w:szCs w:val="24"/>
        </w:rPr>
        <w:t>CONTACT</w:t>
      </w:r>
    </w:p>
    <w:p w:rsidR="000A4126" w:rsidP="000A4126" w14:paraId="25AF57F1" w14:textId="77777777">
      <w:pPr>
        <w:jc w:val="center"/>
        <w:rPr>
          <w:bCs/>
          <w:szCs w:val="24"/>
        </w:rPr>
      </w:pPr>
      <w:r w:rsidRPr="00CF64B2">
        <w:rPr>
          <w:bCs/>
          <w:szCs w:val="24"/>
        </w:rPr>
        <w:t>Gordon Mansergh, PhD, MA, MEd</w:t>
      </w:r>
    </w:p>
    <w:p w:rsidR="000A4126" w:rsidRPr="007A2BC9" w:rsidP="000A4126" w14:paraId="52CD77F0" w14:textId="77777777">
      <w:pPr>
        <w:jc w:val="center"/>
        <w:rPr>
          <w:bCs/>
          <w:szCs w:val="24"/>
        </w:rPr>
      </w:pPr>
      <w:r>
        <w:rPr>
          <w:bCs/>
          <w:szCs w:val="24"/>
        </w:rPr>
        <w:t>Project Officer</w:t>
      </w:r>
    </w:p>
    <w:p w:rsidR="000A4126" w:rsidRPr="007A2BC9" w:rsidP="000A4126" w14:paraId="2F7F25A7" w14:textId="77777777">
      <w:pPr>
        <w:jc w:val="center"/>
        <w:rPr>
          <w:bCs/>
          <w:szCs w:val="24"/>
        </w:rPr>
      </w:pPr>
      <w:r w:rsidRPr="007A2BC9">
        <w:rPr>
          <w:bCs/>
          <w:szCs w:val="24"/>
        </w:rPr>
        <w:t>Centers for Disease Control and Prevention</w:t>
      </w:r>
    </w:p>
    <w:p w:rsidR="000A4126" w:rsidRPr="007A2BC9" w:rsidP="000A4126" w14:paraId="3BD44DFC" w14:textId="159E65C8">
      <w:pPr>
        <w:jc w:val="center"/>
        <w:rPr>
          <w:bCs/>
          <w:szCs w:val="24"/>
        </w:rPr>
      </w:pPr>
      <w:r w:rsidRPr="007A2BC9">
        <w:rPr>
          <w:bCs/>
          <w:szCs w:val="24"/>
        </w:rPr>
        <w:t>Division of HIV</w:t>
      </w:r>
      <w:r w:rsidR="00320C8A">
        <w:rPr>
          <w:bCs/>
          <w:szCs w:val="24"/>
        </w:rPr>
        <w:t xml:space="preserve"> </w:t>
      </w:r>
      <w:r w:rsidRPr="007A2BC9">
        <w:rPr>
          <w:bCs/>
          <w:szCs w:val="24"/>
        </w:rPr>
        <w:t>Prevention</w:t>
      </w:r>
    </w:p>
    <w:p w:rsidR="000A4126" w:rsidRPr="007A2BC9" w:rsidP="000A4126" w14:paraId="5AC09FFA" w14:textId="77777777">
      <w:pPr>
        <w:jc w:val="center"/>
        <w:rPr>
          <w:bCs/>
          <w:szCs w:val="24"/>
        </w:rPr>
      </w:pPr>
      <w:r w:rsidRPr="007A2BC9">
        <w:rPr>
          <w:bCs/>
          <w:szCs w:val="24"/>
        </w:rPr>
        <w:t>Prevention Research Branch</w:t>
      </w:r>
    </w:p>
    <w:p w:rsidR="000A4126" w:rsidRPr="007A2BC9" w:rsidP="000A4126" w14:paraId="2AC61516" w14:textId="5B24FEFC">
      <w:pPr>
        <w:jc w:val="center"/>
        <w:rPr>
          <w:bCs/>
          <w:szCs w:val="24"/>
        </w:rPr>
      </w:pPr>
      <w:r w:rsidRPr="007A2BC9">
        <w:rPr>
          <w:bCs/>
          <w:szCs w:val="24"/>
        </w:rPr>
        <w:t xml:space="preserve">1600 Clifton Rd, NE, Mailstop </w:t>
      </w:r>
      <w:r w:rsidR="004C4E40">
        <w:rPr>
          <w:bCs/>
          <w:szCs w:val="24"/>
        </w:rPr>
        <w:t>H24-5</w:t>
      </w:r>
      <w:r w:rsidRPr="007A2BC9">
        <w:rPr>
          <w:bCs/>
          <w:szCs w:val="24"/>
        </w:rPr>
        <w:br/>
        <w:t xml:space="preserve">Atlanta, GA </w:t>
      </w:r>
      <w:r w:rsidRPr="007A2BC9" w:rsidR="004C4E40">
        <w:rPr>
          <w:bCs/>
          <w:szCs w:val="24"/>
        </w:rPr>
        <w:t>303</w:t>
      </w:r>
      <w:r w:rsidR="00294859">
        <w:rPr>
          <w:bCs/>
          <w:szCs w:val="24"/>
        </w:rPr>
        <w:t>33</w:t>
      </w:r>
    </w:p>
    <w:p w:rsidR="000A4126" w:rsidRPr="007A2BC9" w:rsidP="000A4126" w14:paraId="0C23A99D" w14:textId="77777777">
      <w:pPr>
        <w:jc w:val="center"/>
        <w:rPr>
          <w:bCs/>
          <w:szCs w:val="24"/>
        </w:rPr>
      </w:pPr>
    </w:p>
    <w:p w:rsidR="000A4126" w:rsidRPr="007A2BC9" w:rsidP="000A4126" w14:paraId="4F2E9D7D" w14:textId="77777777">
      <w:pPr>
        <w:jc w:val="center"/>
        <w:rPr>
          <w:bCs/>
          <w:szCs w:val="24"/>
        </w:rPr>
      </w:pPr>
      <w:r w:rsidRPr="007A2BC9">
        <w:rPr>
          <w:bCs/>
          <w:szCs w:val="24"/>
        </w:rPr>
        <w:t>Telephone: 404-639-6135</w:t>
      </w:r>
      <w:r w:rsidRPr="007A2BC9">
        <w:rPr>
          <w:bCs/>
          <w:szCs w:val="24"/>
        </w:rPr>
        <w:br/>
        <w:t>Fax: 404-639-1950</w:t>
      </w:r>
      <w:r w:rsidRPr="007A2BC9">
        <w:rPr>
          <w:bCs/>
          <w:szCs w:val="24"/>
        </w:rPr>
        <w:br/>
        <w:t>E-mail: gcm2@cdc.gov</w:t>
      </w:r>
    </w:p>
    <w:p w:rsidR="00DE0036" w14:paraId="05FB9939" w14:textId="4FFF1AEB"/>
    <w:p w:rsidR="000A4126" w14:paraId="08B8774D" w14:textId="27C574DB"/>
    <w:p w:rsidR="000A4126" w14:paraId="5D20ABA8" w14:textId="49662B6A"/>
    <w:p w:rsidR="000A4126" w14:paraId="6F9C641C" w14:textId="5DB987DF"/>
    <w:p w:rsidR="000A4126" w14:paraId="319E6009" w14:textId="23D713EF"/>
    <w:p w:rsidR="000A4126" w14:paraId="0D24896D" w14:textId="4DB8C6A8"/>
    <w:p w:rsidR="000A4126" w14:paraId="44A9ED61" w14:textId="46046D9E"/>
    <w:p w:rsidR="000A4126" w14:paraId="32EE15E6" w14:textId="72CAE7AD"/>
    <w:p w:rsidR="000A4126" w14:paraId="6D26D0DB" w14:textId="052748E3"/>
    <w:p w:rsidR="000A4126" w14:paraId="4F23F286" w14:textId="311BD227"/>
    <w:p w:rsidR="000A4126" w14:paraId="1359E2FC" w14:textId="7A659597"/>
    <w:p w:rsidR="000A4126" w14:paraId="2628BCF7" w14:textId="03E613FE"/>
    <w:p w:rsidR="000A4126" w14:paraId="2C99BCF5" w14:textId="20F2D9FF"/>
    <w:p w:rsidR="000A4126" w14:paraId="1FA1E10F" w14:textId="2043B2A0"/>
    <w:p w:rsidR="000A4126" w14:paraId="6028641D" w14:textId="08958B06"/>
    <w:p w:rsidR="000A4126" w14:paraId="6C031A87" w14:textId="4E1D9378"/>
    <w:p w:rsidR="000A4126" w14:paraId="5FAF481F" w14:textId="626EABD2"/>
    <w:p w:rsidR="000A4126" w14:paraId="4AC279F8" w14:textId="21CE0167"/>
    <w:p w:rsidR="000A4126" w14:paraId="77188BE1" w14:textId="03BB312D"/>
    <w:p w:rsidR="000A4126" w14:paraId="3F5A3755" w14:textId="03098343"/>
    <w:p w:rsidR="000A4126" w14:paraId="1EFD4A7A" w14:textId="0875D124"/>
    <w:p w:rsidR="000A4126" w14:paraId="68377AB9" w14:textId="336BED70"/>
    <w:p w:rsidR="000A4126" w:rsidRPr="0050702C" w:rsidP="000A4126" w14:paraId="3817F5B9" w14:textId="77777777">
      <w:pPr>
        <w:pBdr>
          <w:bottom w:val="single" w:sz="4" w:space="1" w:color="auto"/>
        </w:pBdr>
        <w:rPr>
          <w:rFonts w:eastAsia="Calibri"/>
          <w:b/>
          <w:szCs w:val="22"/>
        </w:rPr>
      </w:pPr>
      <w:r w:rsidRPr="0050702C">
        <w:rPr>
          <w:rFonts w:eastAsia="Calibri"/>
          <w:b/>
          <w:szCs w:val="22"/>
        </w:rPr>
        <w:t>TABLE OF CONTENTS</w:t>
      </w:r>
    </w:p>
    <w:p w:rsidR="000A4126" w:rsidRPr="0050702C" w:rsidP="000A4126" w14:paraId="0A3A8CEE" w14:textId="77777777">
      <w:pPr>
        <w:rPr>
          <w:rFonts w:eastAsia="Calibri"/>
          <w:b/>
          <w:szCs w:val="22"/>
        </w:rPr>
      </w:pPr>
    </w:p>
    <w:sdt>
      <w:sdtPr>
        <w:rPr>
          <w:szCs w:val="24"/>
        </w:rPr>
        <w:id w:val="1602600070"/>
        <w:docPartObj>
          <w:docPartGallery w:val="Table of Contents"/>
          <w:docPartUnique/>
        </w:docPartObj>
      </w:sdtPr>
      <w:sdtEndPr>
        <w:rPr>
          <w:b/>
          <w:bCs/>
          <w:noProof/>
        </w:rPr>
      </w:sdtEndPr>
      <w:sdtContent>
        <w:p w:rsidR="000A4126" w:rsidRPr="0050702C" w:rsidP="000A4126" w14:paraId="033D4E52" w14:textId="06C821BA">
          <w:pPr>
            <w:tabs>
              <w:tab w:val="left" w:pos="480"/>
              <w:tab w:val="right" w:leader="dot" w:pos="10070"/>
            </w:tabs>
            <w:spacing w:after="100"/>
            <w:rPr>
              <w:rFonts w:ascii="Calibri" w:hAnsi="Calibri"/>
              <w:noProof/>
              <w:sz w:val="22"/>
              <w:szCs w:val="22"/>
            </w:rPr>
          </w:pPr>
          <w:r w:rsidRPr="0050702C">
            <w:rPr>
              <w:szCs w:val="24"/>
            </w:rPr>
            <w:fldChar w:fldCharType="begin"/>
          </w:r>
          <w:r w:rsidRPr="0050702C">
            <w:rPr>
              <w:szCs w:val="24"/>
            </w:rPr>
            <w:instrText xml:space="preserve"> TOC \o "1-3" \h \z \u </w:instrText>
          </w:r>
          <w:r w:rsidRPr="0050702C">
            <w:rPr>
              <w:szCs w:val="24"/>
            </w:rPr>
            <w:fldChar w:fldCharType="separate"/>
          </w:r>
          <w:hyperlink w:anchor="Circumstances1" w:history="1">
            <w:r w:rsidRPr="005F0E61">
              <w:rPr>
                <w:rFonts w:eastAsiaTheme="majorEastAsia"/>
                <w:noProof/>
                <w:szCs w:val="24"/>
              </w:rPr>
              <w:t>1.</w:t>
            </w:r>
            <w:r w:rsidRPr="005F0E61">
              <w:rPr>
                <w:rFonts w:ascii="Calibri" w:hAnsi="Calibri"/>
                <w:noProof/>
                <w:sz w:val="22"/>
                <w:szCs w:val="22"/>
              </w:rPr>
              <w:t xml:space="preserve"> </w:t>
            </w:r>
            <w:r w:rsidRPr="005F0E61">
              <w:rPr>
                <w:rFonts w:eastAsiaTheme="majorEastAsia"/>
                <w:noProof/>
                <w:szCs w:val="24"/>
              </w:rPr>
              <w:t>Circumstances Making the Collection of Information Necessary</w:t>
            </w:r>
            <w:r w:rsidRPr="005F0E61">
              <w:rPr>
                <w:noProof/>
                <w:webHidden/>
                <w:szCs w:val="24"/>
              </w:rPr>
              <w:tab/>
            </w:r>
            <w:r w:rsidRPr="005F0E61">
              <w:rPr>
                <w:noProof/>
                <w:webHidden/>
                <w:szCs w:val="24"/>
              </w:rPr>
              <w:fldChar w:fldCharType="begin"/>
            </w:r>
            <w:r w:rsidRPr="005F0E61">
              <w:rPr>
                <w:noProof/>
                <w:webHidden/>
                <w:szCs w:val="24"/>
              </w:rPr>
              <w:instrText xml:space="preserve"> PAGEREF _Toc485202295 \h </w:instrText>
            </w:r>
            <w:r w:rsidRPr="005F0E61">
              <w:rPr>
                <w:noProof/>
                <w:webHidden/>
                <w:szCs w:val="24"/>
              </w:rPr>
              <w:fldChar w:fldCharType="separate"/>
            </w:r>
            <w:r w:rsidRPr="005F0E61">
              <w:rPr>
                <w:noProof/>
                <w:webHidden/>
                <w:szCs w:val="24"/>
              </w:rPr>
              <w:t>4</w:t>
            </w:r>
            <w:r w:rsidRPr="005F0E61">
              <w:rPr>
                <w:noProof/>
                <w:webHidden/>
                <w:szCs w:val="24"/>
              </w:rPr>
              <w:fldChar w:fldCharType="end"/>
            </w:r>
          </w:hyperlink>
        </w:p>
        <w:p w:rsidR="000A4126" w:rsidRPr="005F0E61" w:rsidP="000A4126" w14:paraId="61F25AAE" w14:textId="29CE8FF3">
          <w:pPr>
            <w:tabs>
              <w:tab w:val="left" w:pos="480"/>
              <w:tab w:val="right" w:leader="dot" w:pos="10070"/>
            </w:tabs>
            <w:spacing w:after="100"/>
            <w:rPr>
              <w:rStyle w:val="Hyperlink"/>
              <w:rFonts w:ascii="Calibri" w:hAnsi="Calibri"/>
              <w:noProof/>
              <w:sz w:val="22"/>
              <w:szCs w:val="22"/>
            </w:rPr>
          </w:pPr>
          <w:r>
            <w:rPr>
              <w:rFonts w:eastAsiaTheme="majorEastAsia"/>
              <w:noProof/>
              <w:szCs w:val="24"/>
              <w:u w:val="single"/>
            </w:rPr>
            <w:fldChar w:fldCharType="begin"/>
          </w:r>
          <w:r>
            <w:rPr>
              <w:rFonts w:eastAsiaTheme="majorEastAsia"/>
              <w:noProof/>
              <w:szCs w:val="24"/>
              <w:u w:val="single"/>
            </w:rPr>
            <w:instrText xml:space="preserve"> HYPERLINK  \l "Purpose2" </w:instrText>
          </w:r>
          <w:r>
            <w:rPr>
              <w:rFonts w:eastAsiaTheme="majorEastAsia"/>
              <w:noProof/>
              <w:szCs w:val="24"/>
              <w:u w:val="single"/>
            </w:rPr>
            <w:fldChar w:fldCharType="separate"/>
          </w:r>
          <w:r w:rsidRPr="005F0E61">
            <w:rPr>
              <w:rStyle w:val="Hyperlink"/>
              <w:rFonts w:eastAsiaTheme="majorEastAsia"/>
              <w:noProof/>
              <w:szCs w:val="24"/>
            </w:rPr>
            <w:t>2.</w:t>
          </w:r>
          <w:r w:rsidRPr="005F0E61">
            <w:rPr>
              <w:rStyle w:val="Hyperlink"/>
              <w:rFonts w:ascii="Calibri" w:hAnsi="Calibri"/>
              <w:noProof/>
              <w:sz w:val="22"/>
              <w:szCs w:val="22"/>
            </w:rPr>
            <w:t xml:space="preserve"> </w:t>
          </w:r>
          <w:r w:rsidRPr="005F0E61">
            <w:rPr>
              <w:rStyle w:val="Hyperlink"/>
              <w:rFonts w:eastAsiaTheme="majorEastAsia"/>
              <w:noProof/>
              <w:szCs w:val="24"/>
            </w:rPr>
            <w:t>Purpose and Use of the Information Collection</w:t>
          </w:r>
          <w:r w:rsidRPr="005F0E61">
            <w:rPr>
              <w:rStyle w:val="Hyperlink"/>
              <w:noProof/>
              <w:webHidden/>
              <w:szCs w:val="24"/>
            </w:rPr>
            <w:tab/>
          </w:r>
          <w:r w:rsidRPr="005F0E61">
            <w:rPr>
              <w:rStyle w:val="Hyperlink"/>
              <w:noProof/>
              <w:webHidden/>
              <w:szCs w:val="24"/>
            </w:rPr>
            <w:fldChar w:fldCharType="begin"/>
          </w:r>
          <w:r w:rsidRPr="005F0E61">
            <w:rPr>
              <w:rStyle w:val="Hyperlink"/>
              <w:noProof/>
              <w:webHidden/>
              <w:szCs w:val="24"/>
            </w:rPr>
            <w:instrText xml:space="preserve"> PAGEREF _Toc485202296 \h </w:instrText>
          </w:r>
          <w:r w:rsidRPr="005F0E61">
            <w:rPr>
              <w:rStyle w:val="Hyperlink"/>
              <w:noProof/>
              <w:webHidden/>
              <w:szCs w:val="24"/>
            </w:rPr>
            <w:fldChar w:fldCharType="separate"/>
          </w:r>
          <w:r w:rsidRPr="005F0E61">
            <w:rPr>
              <w:rStyle w:val="Hyperlink"/>
              <w:noProof/>
              <w:webHidden/>
              <w:szCs w:val="24"/>
            </w:rPr>
            <w:t>5</w:t>
          </w:r>
          <w:r w:rsidRPr="005F0E61">
            <w:rPr>
              <w:rStyle w:val="Hyperlink"/>
              <w:noProof/>
              <w:webHidden/>
              <w:szCs w:val="24"/>
            </w:rPr>
            <w:fldChar w:fldCharType="end"/>
          </w:r>
        </w:p>
        <w:p w:rsidR="000A4126" w:rsidRPr="005F0E61" w:rsidP="000A4126" w14:paraId="298DBC93" w14:textId="491C8ABD">
          <w:pPr>
            <w:tabs>
              <w:tab w:val="left" w:pos="480"/>
              <w:tab w:val="right" w:leader="dot" w:pos="10070"/>
            </w:tabs>
            <w:spacing w:after="100"/>
            <w:rPr>
              <w:rStyle w:val="Hyperlink"/>
              <w:rFonts w:ascii="Calibri" w:hAnsi="Calibri"/>
              <w:noProof/>
              <w:sz w:val="22"/>
              <w:szCs w:val="22"/>
            </w:rPr>
          </w:pPr>
          <w:r>
            <w:rPr>
              <w:rFonts w:eastAsiaTheme="majorEastAsia"/>
              <w:noProof/>
              <w:szCs w:val="24"/>
              <w:u w:val="single"/>
            </w:rPr>
            <w:fldChar w:fldCharType="end"/>
          </w:r>
          <w:r>
            <w:rPr>
              <w:rFonts w:eastAsiaTheme="majorEastAsia"/>
              <w:noProof/>
              <w:szCs w:val="24"/>
              <w:u w:val="single"/>
            </w:rPr>
            <w:fldChar w:fldCharType="begin"/>
          </w:r>
          <w:r>
            <w:rPr>
              <w:rFonts w:eastAsiaTheme="majorEastAsia"/>
              <w:noProof/>
              <w:szCs w:val="24"/>
              <w:u w:val="single"/>
            </w:rPr>
            <w:instrText xml:space="preserve"> HYPERLINK  \l "_3.__" </w:instrText>
          </w:r>
          <w:r>
            <w:rPr>
              <w:rFonts w:eastAsiaTheme="majorEastAsia"/>
              <w:noProof/>
              <w:szCs w:val="24"/>
              <w:u w:val="single"/>
            </w:rPr>
            <w:fldChar w:fldCharType="separate"/>
          </w:r>
          <w:r w:rsidRPr="005F0E61">
            <w:rPr>
              <w:rStyle w:val="Hyperlink"/>
              <w:rFonts w:eastAsiaTheme="majorEastAsia"/>
              <w:noProof/>
              <w:szCs w:val="24"/>
            </w:rPr>
            <w:t>3.</w:t>
          </w:r>
          <w:r w:rsidRPr="005F0E61">
            <w:rPr>
              <w:rStyle w:val="Hyperlink"/>
              <w:rFonts w:ascii="Calibri" w:hAnsi="Calibri"/>
              <w:noProof/>
              <w:sz w:val="22"/>
              <w:szCs w:val="22"/>
            </w:rPr>
            <w:t xml:space="preserve"> </w:t>
          </w:r>
          <w:r w:rsidRPr="005F0E61">
            <w:rPr>
              <w:rStyle w:val="Hyperlink"/>
              <w:rFonts w:eastAsiaTheme="majorEastAsia"/>
              <w:noProof/>
              <w:szCs w:val="24"/>
            </w:rPr>
            <w:t>Use of Improved Information Technology and Burden Reduction</w:t>
          </w:r>
          <w:r w:rsidRPr="005F0E61">
            <w:rPr>
              <w:rStyle w:val="Hyperlink"/>
              <w:noProof/>
              <w:webHidden/>
              <w:szCs w:val="24"/>
            </w:rPr>
            <w:tab/>
          </w:r>
          <w:r w:rsidRPr="005F0E61">
            <w:rPr>
              <w:rStyle w:val="Hyperlink"/>
              <w:noProof/>
              <w:webHidden/>
              <w:szCs w:val="24"/>
            </w:rPr>
            <w:fldChar w:fldCharType="begin"/>
          </w:r>
          <w:r w:rsidRPr="005F0E61">
            <w:rPr>
              <w:rStyle w:val="Hyperlink"/>
              <w:noProof/>
              <w:webHidden/>
              <w:szCs w:val="24"/>
            </w:rPr>
            <w:instrText xml:space="preserve"> PAGEREF _Toc485202297 \h </w:instrText>
          </w:r>
          <w:r w:rsidRPr="005F0E61">
            <w:rPr>
              <w:rStyle w:val="Hyperlink"/>
              <w:noProof/>
              <w:webHidden/>
              <w:szCs w:val="24"/>
            </w:rPr>
            <w:fldChar w:fldCharType="separate"/>
          </w:r>
          <w:r w:rsidRPr="005F0E61">
            <w:rPr>
              <w:rStyle w:val="Hyperlink"/>
              <w:noProof/>
              <w:webHidden/>
              <w:szCs w:val="24"/>
            </w:rPr>
            <w:t>7</w:t>
          </w:r>
          <w:r w:rsidRPr="005F0E61">
            <w:rPr>
              <w:rStyle w:val="Hyperlink"/>
              <w:noProof/>
              <w:webHidden/>
              <w:szCs w:val="24"/>
            </w:rPr>
            <w:fldChar w:fldCharType="end"/>
          </w:r>
        </w:p>
        <w:p w:rsidR="000A4126" w:rsidRPr="005F0E61" w:rsidP="000A4126" w14:paraId="3D882B72" w14:textId="3CA90665">
          <w:pPr>
            <w:tabs>
              <w:tab w:val="left" w:pos="480"/>
              <w:tab w:val="right" w:leader="dot" w:pos="10070"/>
            </w:tabs>
            <w:spacing w:after="100"/>
            <w:rPr>
              <w:rStyle w:val="Hyperlink"/>
              <w:rFonts w:ascii="Calibri" w:hAnsi="Calibri"/>
              <w:noProof/>
              <w:sz w:val="22"/>
              <w:szCs w:val="22"/>
            </w:rPr>
          </w:pPr>
          <w:r>
            <w:rPr>
              <w:rFonts w:eastAsiaTheme="majorEastAsia"/>
              <w:noProof/>
              <w:szCs w:val="24"/>
              <w:u w:val="single"/>
            </w:rPr>
            <w:fldChar w:fldCharType="end"/>
          </w:r>
          <w:r>
            <w:rPr>
              <w:rFonts w:eastAsiaTheme="majorEastAsia"/>
              <w:noProof/>
              <w:szCs w:val="24"/>
              <w:u w:val="single"/>
            </w:rPr>
            <w:fldChar w:fldCharType="begin"/>
          </w:r>
          <w:r>
            <w:rPr>
              <w:rFonts w:eastAsiaTheme="majorEastAsia"/>
              <w:noProof/>
              <w:szCs w:val="24"/>
              <w:u w:val="single"/>
            </w:rPr>
            <w:instrText xml:space="preserve"> HYPERLINK  \l "EffortsToIdentifyDuplication4" </w:instrText>
          </w:r>
          <w:r>
            <w:rPr>
              <w:rFonts w:eastAsiaTheme="majorEastAsia"/>
              <w:noProof/>
              <w:szCs w:val="24"/>
              <w:u w:val="single"/>
            </w:rPr>
            <w:fldChar w:fldCharType="separate"/>
          </w:r>
          <w:r w:rsidRPr="005F0E61">
            <w:rPr>
              <w:rStyle w:val="Hyperlink"/>
              <w:rFonts w:eastAsiaTheme="majorEastAsia"/>
              <w:noProof/>
              <w:szCs w:val="24"/>
            </w:rPr>
            <w:t>4.</w:t>
          </w:r>
          <w:r w:rsidRPr="005F0E61">
            <w:rPr>
              <w:rStyle w:val="Hyperlink"/>
              <w:rFonts w:ascii="Calibri" w:hAnsi="Calibri"/>
              <w:noProof/>
              <w:sz w:val="22"/>
              <w:szCs w:val="22"/>
            </w:rPr>
            <w:t xml:space="preserve"> </w:t>
          </w:r>
          <w:r w:rsidRPr="005F0E61">
            <w:rPr>
              <w:rStyle w:val="Hyperlink"/>
              <w:rFonts w:eastAsiaTheme="majorEastAsia"/>
              <w:noProof/>
              <w:szCs w:val="24"/>
            </w:rPr>
            <w:t>Efforts to Identify Duplication and Use of Similar Information</w:t>
          </w:r>
          <w:r w:rsidRPr="005F0E61">
            <w:rPr>
              <w:rStyle w:val="Hyperlink"/>
              <w:noProof/>
              <w:webHidden/>
              <w:szCs w:val="24"/>
            </w:rPr>
            <w:tab/>
          </w:r>
          <w:r w:rsidRPr="005F0E61">
            <w:rPr>
              <w:rStyle w:val="Hyperlink"/>
              <w:noProof/>
              <w:webHidden/>
              <w:szCs w:val="24"/>
            </w:rPr>
            <w:fldChar w:fldCharType="begin"/>
          </w:r>
          <w:r w:rsidRPr="005F0E61">
            <w:rPr>
              <w:rStyle w:val="Hyperlink"/>
              <w:noProof/>
              <w:webHidden/>
              <w:szCs w:val="24"/>
            </w:rPr>
            <w:instrText xml:space="preserve"> PAGEREF _Toc485202298 \h </w:instrText>
          </w:r>
          <w:r w:rsidRPr="005F0E61">
            <w:rPr>
              <w:rStyle w:val="Hyperlink"/>
              <w:noProof/>
              <w:webHidden/>
              <w:szCs w:val="24"/>
            </w:rPr>
            <w:fldChar w:fldCharType="separate"/>
          </w:r>
          <w:r w:rsidRPr="005F0E61">
            <w:rPr>
              <w:rStyle w:val="Hyperlink"/>
              <w:noProof/>
              <w:webHidden/>
              <w:szCs w:val="24"/>
            </w:rPr>
            <w:t>8</w:t>
          </w:r>
          <w:r w:rsidRPr="005F0E61">
            <w:rPr>
              <w:rStyle w:val="Hyperlink"/>
              <w:noProof/>
              <w:webHidden/>
              <w:szCs w:val="24"/>
            </w:rPr>
            <w:fldChar w:fldCharType="end"/>
          </w:r>
        </w:p>
        <w:p w:rsidR="000A4126" w:rsidRPr="005F0E61" w:rsidP="000A4126" w14:paraId="2BF7784D" w14:textId="4329A77B">
          <w:pPr>
            <w:tabs>
              <w:tab w:val="left" w:pos="480"/>
              <w:tab w:val="right" w:leader="dot" w:pos="10070"/>
            </w:tabs>
            <w:spacing w:after="100"/>
            <w:rPr>
              <w:rStyle w:val="Hyperlink"/>
              <w:rFonts w:ascii="Calibri" w:hAnsi="Calibri"/>
              <w:noProof/>
              <w:sz w:val="22"/>
              <w:szCs w:val="22"/>
            </w:rPr>
          </w:pPr>
          <w:r>
            <w:rPr>
              <w:rFonts w:eastAsiaTheme="majorEastAsia"/>
              <w:noProof/>
              <w:szCs w:val="24"/>
              <w:u w:val="single"/>
            </w:rPr>
            <w:fldChar w:fldCharType="end"/>
          </w:r>
          <w:r>
            <w:rPr>
              <w:rFonts w:eastAsiaTheme="majorEastAsia"/>
              <w:noProof/>
              <w:szCs w:val="24"/>
              <w:u w:val="single"/>
            </w:rPr>
            <w:fldChar w:fldCharType="begin"/>
          </w:r>
          <w:r>
            <w:rPr>
              <w:rFonts w:eastAsiaTheme="majorEastAsia"/>
              <w:noProof/>
              <w:szCs w:val="24"/>
              <w:u w:val="single"/>
            </w:rPr>
            <w:instrText xml:space="preserve"> HYPERLINK  \l "ImpactOnSmallBusinesses5" </w:instrText>
          </w:r>
          <w:r>
            <w:rPr>
              <w:rFonts w:eastAsiaTheme="majorEastAsia"/>
              <w:noProof/>
              <w:szCs w:val="24"/>
              <w:u w:val="single"/>
            </w:rPr>
            <w:fldChar w:fldCharType="separate"/>
          </w:r>
          <w:r w:rsidRPr="005F0E61">
            <w:rPr>
              <w:rStyle w:val="Hyperlink"/>
              <w:rFonts w:eastAsiaTheme="majorEastAsia"/>
              <w:noProof/>
              <w:szCs w:val="24"/>
            </w:rPr>
            <w:t>5.</w:t>
          </w:r>
          <w:r w:rsidRPr="005F0E61">
            <w:rPr>
              <w:rStyle w:val="Hyperlink"/>
              <w:rFonts w:ascii="Calibri" w:hAnsi="Calibri"/>
              <w:noProof/>
              <w:sz w:val="22"/>
              <w:szCs w:val="22"/>
            </w:rPr>
            <w:t xml:space="preserve"> </w:t>
          </w:r>
          <w:r w:rsidRPr="005F0E61">
            <w:rPr>
              <w:rStyle w:val="Hyperlink"/>
              <w:rFonts w:eastAsiaTheme="majorEastAsia"/>
              <w:noProof/>
              <w:szCs w:val="24"/>
            </w:rPr>
            <w:t>Impact on Small Businesses or Other Small Entities</w:t>
          </w:r>
          <w:r w:rsidRPr="005F0E61">
            <w:rPr>
              <w:rStyle w:val="Hyperlink"/>
              <w:noProof/>
              <w:webHidden/>
              <w:szCs w:val="24"/>
            </w:rPr>
            <w:tab/>
          </w:r>
          <w:r w:rsidRPr="005F0E61">
            <w:rPr>
              <w:rStyle w:val="Hyperlink"/>
              <w:noProof/>
              <w:webHidden/>
              <w:szCs w:val="24"/>
            </w:rPr>
            <w:fldChar w:fldCharType="begin"/>
          </w:r>
          <w:r w:rsidRPr="005F0E61">
            <w:rPr>
              <w:rStyle w:val="Hyperlink"/>
              <w:noProof/>
              <w:webHidden/>
              <w:szCs w:val="24"/>
            </w:rPr>
            <w:instrText xml:space="preserve"> PAGEREF _Toc485202299 \h </w:instrText>
          </w:r>
          <w:r w:rsidRPr="005F0E61">
            <w:rPr>
              <w:rStyle w:val="Hyperlink"/>
              <w:noProof/>
              <w:webHidden/>
              <w:szCs w:val="24"/>
            </w:rPr>
            <w:fldChar w:fldCharType="separate"/>
          </w:r>
          <w:r w:rsidRPr="005F0E61">
            <w:rPr>
              <w:rStyle w:val="Hyperlink"/>
              <w:noProof/>
              <w:webHidden/>
              <w:szCs w:val="24"/>
            </w:rPr>
            <w:t>8</w:t>
          </w:r>
          <w:r w:rsidRPr="005F0E61">
            <w:rPr>
              <w:rStyle w:val="Hyperlink"/>
              <w:noProof/>
              <w:webHidden/>
              <w:szCs w:val="24"/>
            </w:rPr>
            <w:fldChar w:fldCharType="end"/>
          </w:r>
        </w:p>
        <w:p w:rsidR="000A4126" w:rsidRPr="005F0E61" w:rsidP="000A4126" w14:paraId="4FCEEB2D" w14:textId="27193551">
          <w:pPr>
            <w:tabs>
              <w:tab w:val="left" w:pos="480"/>
              <w:tab w:val="right" w:leader="dot" w:pos="10070"/>
            </w:tabs>
            <w:spacing w:after="100"/>
            <w:rPr>
              <w:rStyle w:val="Hyperlink"/>
              <w:rFonts w:ascii="Calibri" w:hAnsi="Calibri"/>
              <w:noProof/>
              <w:sz w:val="22"/>
              <w:szCs w:val="22"/>
            </w:rPr>
          </w:pPr>
          <w:r>
            <w:rPr>
              <w:rFonts w:eastAsiaTheme="majorEastAsia"/>
              <w:noProof/>
              <w:szCs w:val="24"/>
              <w:u w:val="single"/>
            </w:rPr>
            <w:fldChar w:fldCharType="end"/>
          </w:r>
          <w:r>
            <w:rPr>
              <w:rFonts w:eastAsiaTheme="majorEastAsia"/>
              <w:noProof/>
              <w:szCs w:val="24"/>
              <w:u w:val="single"/>
            </w:rPr>
            <w:fldChar w:fldCharType="begin"/>
          </w:r>
          <w:r>
            <w:rPr>
              <w:rFonts w:eastAsiaTheme="majorEastAsia"/>
              <w:noProof/>
              <w:szCs w:val="24"/>
              <w:u w:val="single"/>
            </w:rPr>
            <w:instrText xml:space="preserve"> HYPERLINK  \l "Consequences6" </w:instrText>
          </w:r>
          <w:r>
            <w:rPr>
              <w:rFonts w:eastAsiaTheme="majorEastAsia"/>
              <w:noProof/>
              <w:szCs w:val="24"/>
              <w:u w:val="single"/>
            </w:rPr>
            <w:fldChar w:fldCharType="separate"/>
          </w:r>
          <w:r w:rsidRPr="005F0E61">
            <w:rPr>
              <w:rStyle w:val="Hyperlink"/>
              <w:rFonts w:eastAsiaTheme="majorEastAsia"/>
              <w:noProof/>
              <w:szCs w:val="24"/>
            </w:rPr>
            <w:t>6.</w:t>
          </w:r>
          <w:r w:rsidRPr="005F0E61">
            <w:rPr>
              <w:rStyle w:val="Hyperlink"/>
              <w:rFonts w:ascii="Calibri" w:hAnsi="Calibri"/>
              <w:noProof/>
              <w:sz w:val="22"/>
              <w:szCs w:val="22"/>
            </w:rPr>
            <w:t xml:space="preserve"> </w:t>
          </w:r>
          <w:r w:rsidRPr="005F0E61">
            <w:rPr>
              <w:rStyle w:val="Hyperlink"/>
              <w:rFonts w:eastAsiaTheme="majorEastAsia"/>
              <w:noProof/>
              <w:szCs w:val="24"/>
            </w:rPr>
            <w:t>Consequences of Collecting the Information Less Frequently</w:t>
          </w:r>
          <w:r w:rsidRPr="005F0E61">
            <w:rPr>
              <w:rStyle w:val="Hyperlink"/>
              <w:noProof/>
              <w:webHidden/>
              <w:szCs w:val="24"/>
            </w:rPr>
            <w:tab/>
          </w:r>
          <w:r w:rsidRPr="005F0E61">
            <w:rPr>
              <w:rStyle w:val="Hyperlink"/>
              <w:noProof/>
              <w:webHidden/>
              <w:szCs w:val="24"/>
            </w:rPr>
            <w:fldChar w:fldCharType="begin"/>
          </w:r>
          <w:r w:rsidRPr="005F0E61">
            <w:rPr>
              <w:rStyle w:val="Hyperlink"/>
              <w:noProof/>
              <w:webHidden/>
              <w:szCs w:val="24"/>
            </w:rPr>
            <w:instrText xml:space="preserve"> PAGEREF _Toc485202300 \h </w:instrText>
          </w:r>
          <w:r w:rsidRPr="005F0E61">
            <w:rPr>
              <w:rStyle w:val="Hyperlink"/>
              <w:noProof/>
              <w:webHidden/>
              <w:szCs w:val="24"/>
            </w:rPr>
            <w:fldChar w:fldCharType="separate"/>
          </w:r>
          <w:r w:rsidRPr="005F0E61">
            <w:rPr>
              <w:rStyle w:val="Hyperlink"/>
              <w:noProof/>
              <w:webHidden/>
              <w:szCs w:val="24"/>
            </w:rPr>
            <w:t>8</w:t>
          </w:r>
          <w:r w:rsidRPr="005F0E61">
            <w:rPr>
              <w:rStyle w:val="Hyperlink"/>
              <w:noProof/>
              <w:webHidden/>
              <w:szCs w:val="24"/>
            </w:rPr>
            <w:fldChar w:fldCharType="end"/>
          </w:r>
        </w:p>
        <w:p w:rsidR="000A4126" w:rsidRPr="005F0E61" w:rsidP="000A4126" w14:paraId="502108F2" w14:textId="58E153F8">
          <w:pPr>
            <w:tabs>
              <w:tab w:val="left" w:pos="480"/>
              <w:tab w:val="right" w:leader="dot" w:pos="10070"/>
            </w:tabs>
            <w:spacing w:after="100"/>
            <w:rPr>
              <w:rStyle w:val="Hyperlink"/>
              <w:rFonts w:ascii="Calibri" w:hAnsi="Calibri"/>
              <w:noProof/>
              <w:sz w:val="22"/>
              <w:szCs w:val="22"/>
            </w:rPr>
          </w:pPr>
          <w:r>
            <w:rPr>
              <w:rFonts w:eastAsiaTheme="majorEastAsia"/>
              <w:noProof/>
              <w:szCs w:val="24"/>
              <w:u w:val="single"/>
            </w:rPr>
            <w:fldChar w:fldCharType="end"/>
          </w:r>
          <w:r>
            <w:rPr>
              <w:rFonts w:eastAsiaTheme="majorEastAsia"/>
              <w:noProof/>
              <w:szCs w:val="24"/>
              <w:u w:val="single"/>
            </w:rPr>
            <w:fldChar w:fldCharType="begin"/>
          </w:r>
          <w:r>
            <w:rPr>
              <w:rFonts w:eastAsiaTheme="majorEastAsia"/>
              <w:noProof/>
              <w:szCs w:val="24"/>
              <w:u w:val="single"/>
            </w:rPr>
            <w:instrText xml:space="preserve"> HYPERLINK  \l "_7.__" </w:instrText>
          </w:r>
          <w:r>
            <w:rPr>
              <w:rFonts w:eastAsiaTheme="majorEastAsia"/>
              <w:noProof/>
              <w:szCs w:val="24"/>
              <w:u w:val="single"/>
            </w:rPr>
            <w:fldChar w:fldCharType="separate"/>
          </w:r>
          <w:r w:rsidRPr="005F0E61">
            <w:rPr>
              <w:rStyle w:val="Hyperlink"/>
              <w:rFonts w:eastAsiaTheme="majorEastAsia"/>
              <w:noProof/>
              <w:szCs w:val="24"/>
            </w:rPr>
            <w:t>7.</w:t>
          </w:r>
          <w:r w:rsidRPr="005F0E61">
            <w:rPr>
              <w:rStyle w:val="Hyperlink"/>
              <w:rFonts w:ascii="Calibri" w:hAnsi="Calibri"/>
              <w:noProof/>
              <w:sz w:val="22"/>
              <w:szCs w:val="22"/>
            </w:rPr>
            <w:t xml:space="preserve"> </w:t>
          </w:r>
          <w:r w:rsidRPr="005F0E61">
            <w:rPr>
              <w:rStyle w:val="Hyperlink"/>
              <w:rFonts w:eastAsiaTheme="majorEastAsia"/>
              <w:noProof/>
              <w:szCs w:val="24"/>
            </w:rPr>
            <w:t>Special Circumstances Relating to the Guidelines of 5 CFR 1320.5</w:t>
          </w:r>
          <w:r w:rsidRPr="005F0E61">
            <w:rPr>
              <w:rStyle w:val="Hyperlink"/>
              <w:noProof/>
              <w:webHidden/>
              <w:szCs w:val="24"/>
            </w:rPr>
            <w:tab/>
          </w:r>
          <w:r w:rsidRPr="005F0E61">
            <w:rPr>
              <w:rStyle w:val="Hyperlink"/>
              <w:noProof/>
              <w:webHidden/>
              <w:szCs w:val="24"/>
            </w:rPr>
            <w:fldChar w:fldCharType="begin"/>
          </w:r>
          <w:r w:rsidRPr="005F0E61">
            <w:rPr>
              <w:rStyle w:val="Hyperlink"/>
              <w:noProof/>
              <w:webHidden/>
              <w:szCs w:val="24"/>
            </w:rPr>
            <w:instrText xml:space="preserve"> PAGEREF _Toc485202301 \h </w:instrText>
          </w:r>
          <w:r w:rsidRPr="005F0E61">
            <w:rPr>
              <w:rStyle w:val="Hyperlink"/>
              <w:noProof/>
              <w:webHidden/>
              <w:szCs w:val="24"/>
            </w:rPr>
            <w:fldChar w:fldCharType="separate"/>
          </w:r>
          <w:r w:rsidRPr="005F0E61">
            <w:rPr>
              <w:rStyle w:val="Hyperlink"/>
              <w:noProof/>
              <w:webHidden/>
              <w:szCs w:val="24"/>
            </w:rPr>
            <w:t>8</w:t>
          </w:r>
          <w:r w:rsidRPr="005F0E61">
            <w:rPr>
              <w:rStyle w:val="Hyperlink"/>
              <w:noProof/>
              <w:webHidden/>
              <w:szCs w:val="24"/>
            </w:rPr>
            <w:fldChar w:fldCharType="end"/>
          </w:r>
        </w:p>
        <w:p w:rsidR="000A4126" w:rsidRPr="005F0E61" w:rsidP="000A4126" w14:paraId="1E60FF76" w14:textId="621A9942">
          <w:pPr>
            <w:tabs>
              <w:tab w:val="left" w:pos="480"/>
              <w:tab w:val="right" w:leader="dot" w:pos="10070"/>
            </w:tabs>
            <w:spacing w:after="100"/>
            <w:rPr>
              <w:rStyle w:val="Hyperlink"/>
              <w:rFonts w:ascii="Calibri" w:hAnsi="Calibri"/>
              <w:noProof/>
              <w:sz w:val="22"/>
              <w:szCs w:val="22"/>
            </w:rPr>
          </w:pPr>
          <w:r>
            <w:rPr>
              <w:rFonts w:eastAsiaTheme="majorEastAsia"/>
              <w:noProof/>
              <w:szCs w:val="24"/>
              <w:u w:val="single"/>
            </w:rPr>
            <w:fldChar w:fldCharType="end"/>
          </w:r>
          <w:r>
            <w:rPr>
              <w:rFonts w:eastAsiaTheme="majorEastAsia"/>
              <w:noProof/>
              <w:szCs w:val="24"/>
              <w:u w:val="single"/>
            </w:rPr>
            <w:fldChar w:fldCharType="begin"/>
          </w:r>
          <w:r>
            <w:rPr>
              <w:rFonts w:eastAsiaTheme="majorEastAsia"/>
              <w:noProof/>
              <w:szCs w:val="24"/>
              <w:u w:val="single"/>
            </w:rPr>
            <w:instrText xml:space="preserve"> HYPERLINK  \l "_8.__" </w:instrText>
          </w:r>
          <w:r>
            <w:rPr>
              <w:rFonts w:eastAsiaTheme="majorEastAsia"/>
              <w:noProof/>
              <w:szCs w:val="24"/>
              <w:u w:val="single"/>
            </w:rPr>
            <w:fldChar w:fldCharType="separate"/>
          </w:r>
          <w:r w:rsidRPr="005F0E61">
            <w:rPr>
              <w:rStyle w:val="Hyperlink"/>
              <w:rFonts w:eastAsiaTheme="majorEastAsia"/>
              <w:noProof/>
              <w:szCs w:val="24"/>
            </w:rPr>
            <w:t>8.</w:t>
          </w:r>
          <w:r w:rsidRPr="005F0E61">
            <w:rPr>
              <w:rStyle w:val="Hyperlink"/>
              <w:rFonts w:ascii="Calibri" w:hAnsi="Calibri"/>
              <w:noProof/>
              <w:sz w:val="22"/>
              <w:szCs w:val="22"/>
            </w:rPr>
            <w:t xml:space="preserve"> </w:t>
          </w:r>
          <w:r w:rsidRPr="005F0E61">
            <w:rPr>
              <w:rStyle w:val="Hyperlink"/>
              <w:rFonts w:eastAsiaTheme="majorEastAsia"/>
              <w:noProof/>
              <w:szCs w:val="24"/>
            </w:rPr>
            <w:t>Comments in Response to the Federal Register Notice and Efforts to Consult Outside the Agency</w:t>
          </w:r>
          <w:r w:rsidRPr="005F0E61">
            <w:rPr>
              <w:rStyle w:val="Hyperlink"/>
              <w:noProof/>
              <w:webHidden/>
              <w:szCs w:val="24"/>
            </w:rPr>
            <w:tab/>
          </w:r>
          <w:r w:rsidRPr="005F0E61">
            <w:rPr>
              <w:rStyle w:val="Hyperlink"/>
              <w:noProof/>
              <w:webHidden/>
              <w:szCs w:val="24"/>
            </w:rPr>
            <w:fldChar w:fldCharType="begin"/>
          </w:r>
          <w:r w:rsidRPr="005F0E61">
            <w:rPr>
              <w:rStyle w:val="Hyperlink"/>
              <w:noProof/>
              <w:webHidden/>
              <w:szCs w:val="24"/>
            </w:rPr>
            <w:instrText xml:space="preserve"> PAGEREF _Toc485202302 \h </w:instrText>
          </w:r>
          <w:r w:rsidRPr="005F0E61">
            <w:rPr>
              <w:rStyle w:val="Hyperlink"/>
              <w:noProof/>
              <w:webHidden/>
              <w:szCs w:val="24"/>
            </w:rPr>
            <w:fldChar w:fldCharType="separate"/>
          </w:r>
          <w:r w:rsidRPr="005F0E61">
            <w:rPr>
              <w:rStyle w:val="Hyperlink"/>
              <w:noProof/>
              <w:webHidden/>
              <w:szCs w:val="24"/>
            </w:rPr>
            <w:t>9</w:t>
          </w:r>
          <w:r w:rsidRPr="005F0E61">
            <w:rPr>
              <w:rStyle w:val="Hyperlink"/>
              <w:noProof/>
              <w:webHidden/>
              <w:szCs w:val="24"/>
            </w:rPr>
            <w:fldChar w:fldCharType="end"/>
          </w:r>
        </w:p>
        <w:p w:rsidR="000A4126" w:rsidRPr="005F0E61" w:rsidP="000A4126" w14:paraId="0A3519A7" w14:textId="4592B458">
          <w:pPr>
            <w:tabs>
              <w:tab w:val="left" w:pos="480"/>
              <w:tab w:val="right" w:leader="dot" w:pos="10070"/>
            </w:tabs>
            <w:spacing w:after="100"/>
            <w:rPr>
              <w:rStyle w:val="Hyperlink"/>
              <w:rFonts w:ascii="Calibri" w:hAnsi="Calibri"/>
              <w:noProof/>
              <w:sz w:val="22"/>
              <w:szCs w:val="22"/>
            </w:rPr>
          </w:pPr>
          <w:r>
            <w:rPr>
              <w:rFonts w:eastAsiaTheme="majorEastAsia"/>
              <w:noProof/>
              <w:szCs w:val="24"/>
              <w:u w:val="single"/>
            </w:rPr>
            <w:fldChar w:fldCharType="end"/>
          </w:r>
          <w:r>
            <w:rPr>
              <w:rFonts w:eastAsiaTheme="majorEastAsia"/>
              <w:noProof/>
              <w:szCs w:val="24"/>
              <w:u w:val="single"/>
            </w:rPr>
            <w:fldChar w:fldCharType="begin"/>
          </w:r>
          <w:r>
            <w:rPr>
              <w:rFonts w:eastAsiaTheme="majorEastAsia"/>
              <w:noProof/>
              <w:szCs w:val="24"/>
              <w:u w:val="single"/>
            </w:rPr>
            <w:instrText xml:space="preserve"> HYPERLINK  \l "_9.__" </w:instrText>
          </w:r>
          <w:r>
            <w:rPr>
              <w:rFonts w:eastAsiaTheme="majorEastAsia"/>
              <w:noProof/>
              <w:szCs w:val="24"/>
              <w:u w:val="single"/>
            </w:rPr>
            <w:fldChar w:fldCharType="separate"/>
          </w:r>
          <w:r w:rsidRPr="005F0E61">
            <w:rPr>
              <w:rStyle w:val="Hyperlink"/>
              <w:rFonts w:eastAsiaTheme="majorEastAsia"/>
              <w:noProof/>
              <w:szCs w:val="24"/>
            </w:rPr>
            <w:t>9.</w:t>
          </w:r>
          <w:r w:rsidRPr="005F0E61">
            <w:rPr>
              <w:rStyle w:val="Hyperlink"/>
              <w:rFonts w:ascii="Calibri" w:hAnsi="Calibri"/>
              <w:noProof/>
              <w:sz w:val="22"/>
              <w:szCs w:val="22"/>
            </w:rPr>
            <w:t xml:space="preserve"> </w:t>
          </w:r>
          <w:r w:rsidRPr="005F0E61">
            <w:rPr>
              <w:rStyle w:val="Hyperlink"/>
              <w:rFonts w:eastAsiaTheme="majorEastAsia"/>
              <w:noProof/>
              <w:szCs w:val="24"/>
            </w:rPr>
            <w:t>Explanation of Any Payment or Gift to Respondents</w:t>
          </w:r>
          <w:r w:rsidRPr="005F0E61">
            <w:rPr>
              <w:rStyle w:val="Hyperlink"/>
              <w:noProof/>
              <w:webHidden/>
              <w:szCs w:val="24"/>
            </w:rPr>
            <w:tab/>
          </w:r>
          <w:r w:rsidRPr="005F0E61">
            <w:rPr>
              <w:rStyle w:val="Hyperlink"/>
              <w:noProof/>
              <w:webHidden/>
              <w:szCs w:val="24"/>
            </w:rPr>
            <w:fldChar w:fldCharType="begin"/>
          </w:r>
          <w:r w:rsidRPr="005F0E61">
            <w:rPr>
              <w:rStyle w:val="Hyperlink"/>
              <w:noProof/>
              <w:webHidden/>
              <w:szCs w:val="24"/>
            </w:rPr>
            <w:instrText xml:space="preserve"> PAGEREF _Toc485202303 \h </w:instrText>
          </w:r>
          <w:r w:rsidRPr="005F0E61">
            <w:rPr>
              <w:rStyle w:val="Hyperlink"/>
              <w:noProof/>
              <w:webHidden/>
              <w:szCs w:val="24"/>
            </w:rPr>
            <w:fldChar w:fldCharType="separate"/>
          </w:r>
          <w:r w:rsidRPr="005F0E61">
            <w:rPr>
              <w:rStyle w:val="Hyperlink"/>
              <w:noProof/>
              <w:webHidden/>
              <w:szCs w:val="24"/>
            </w:rPr>
            <w:t>9</w:t>
          </w:r>
          <w:r w:rsidRPr="005F0E61">
            <w:rPr>
              <w:rStyle w:val="Hyperlink"/>
              <w:noProof/>
              <w:webHidden/>
              <w:szCs w:val="24"/>
            </w:rPr>
            <w:fldChar w:fldCharType="end"/>
          </w:r>
        </w:p>
        <w:p w:rsidR="000A4126" w:rsidRPr="005F0E61" w:rsidP="000A4126" w14:paraId="3225CF98" w14:textId="15502AB4">
          <w:pPr>
            <w:tabs>
              <w:tab w:val="left" w:pos="660"/>
              <w:tab w:val="right" w:leader="dot" w:pos="10070"/>
            </w:tabs>
            <w:spacing w:after="100"/>
            <w:rPr>
              <w:rStyle w:val="Hyperlink"/>
              <w:rFonts w:ascii="Calibri" w:hAnsi="Calibri"/>
              <w:noProof/>
              <w:sz w:val="22"/>
              <w:szCs w:val="22"/>
            </w:rPr>
          </w:pPr>
          <w:r>
            <w:rPr>
              <w:rFonts w:eastAsiaTheme="majorEastAsia"/>
              <w:noProof/>
              <w:szCs w:val="24"/>
              <w:u w:val="single"/>
            </w:rPr>
            <w:fldChar w:fldCharType="end"/>
          </w:r>
          <w:r>
            <w:rPr>
              <w:rFonts w:eastAsiaTheme="majorEastAsia"/>
              <w:noProof/>
              <w:szCs w:val="24"/>
              <w:u w:val="single"/>
            </w:rPr>
            <w:fldChar w:fldCharType="begin"/>
          </w:r>
          <w:r>
            <w:rPr>
              <w:rFonts w:eastAsiaTheme="majorEastAsia"/>
              <w:noProof/>
              <w:szCs w:val="24"/>
              <w:u w:val="single"/>
            </w:rPr>
            <w:instrText xml:space="preserve"> HYPERLINK  \l "ProtectionOfThePrivacy10" </w:instrText>
          </w:r>
          <w:r>
            <w:rPr>
              <w:rFonts w:eastAsiaTheme="majorEastAsia"/>
              <w:noProof/>
              <w:szCs w:val="24"/>
              <w:u w:val="single"/>
            </w:rPr>
            <w:fldChar w:fldCharType="separate"/>
          </w:r>
          <w:r w:rsidRPr="005F0E61">
            <w:rPr>
              <w:rStyle w:val="Hyperlink"/>
              <w:rFonts w:eastAsiaTheme="majorEastAsia"/>
              <w:noProof/>
              <w:szCs w:val="24"/>
            </w:rPr>
            <w:t>10.</w:t>
          </w:r>
          <w:r w:rsidRPr="005F0E61">
            <w:rPr>
              <w:rStyle w:val="Hyperlink"/>
              <w:rFonts w:ascii="Calibri" w:hAnsi="Calibri"/>
              <w:noProof/>
              <w:sz w:val="22"/>
              <w:szCs w:val="22"/>
            </w:rPr>
            <w:t xml:space="preserve"> </w:t>
          </w:r>
          <w:r w:rsidRPr="005F0E61">
            <w:rPr>
              <w:rStyle w:val="Hyperlink"/>
              <w:rFonts w:eastAsiaTheme="majorEastAsia"/>
              <w:noProof/>
              <w:szCs w:val="24"/>
            </w:rPr>
            <w:t>Protection of the Privacy and Confidentiality of Information Provided by Respondents</w:t>
          </w:r>
          <w:r w:rsidRPr="005F0E61">
            <w:rPr>
              <w:rStyle w:val="Hyperlink"/>
              <w:noProof/>
              <w:webHidden/>
              <w:szCs w:val="24"/>
            </w:rPr>
            <w:tab/>
          </w:r>
          <w:r w:rsidRPr="005F0E61">
            <w:rPr>
              <w:rStyle w:val="Hyperlink"/>
              <w:noProof/>
              <w:webHidden/>
              <w:szCs w:val="24"/>
            </w:rPr>
            <w:fldChar w:fldCharType="begin"/>
          </w:r>
          <w:r w:rsidRPr="005F0E61">
            <w:rPr>
              <w:rStyle w:val="Hyperlink"/>
              <w:noProof/>
              <w:webHidden/>
              <w:szCs w:val="24"/>
            </w:rPr>
            <w:instrText xml:space="preserve"> PAGEREF _Toc485202304 \h </w:instrText>
          </w:r>
          <w:r w:rsidRPr="005F0E61">
            <w:rPr>
              <w:rStyle w:val="Hyperlink"/>
              <w:noProof/>
              <w:webHidden/>
              <w:szCs w:val="24"/>
            </w:rPr>
            <w:fldChar w:fldCharType="separate"/>
          </w:r>
          <w:r w:rsidRPr="005F0E61">
            <w:rPr>
              <w:rStyle w:val="Hyperlink"/>
              <w:noProof/>
              <w:webHidden/>
              <w:szCs w:val="24"/>
            </w:rPr>
            <w:t>11</w:t>
          </w:r>
          <w:r w:rsidRPr="005F0E61">
            <w:rPr>
              <w:rStyle w:val="Hyperlink"/>
              <w:noProof/>
              <w:webHidden/>
              <w:szCs w:val="24"/>
            </w:rPr>
            <w:fldChar w:fldCharType="end"/>
          </w:r>
        </w:p>
        <w:p w:rsidR="000A4126" w:rsidRPr="005F0E61" w:rsidP="000A4126" w14:paraId="6F99CF56" w14:textId="65827533">
          <w:pPr>
            <w:tabs>
              <w:tab w:val="left" w:pos="660"/>
              <w:tab w:val="right" w:leader="dot" w:pos="10070"/>
            </w:tabs>
            <w:spacing w:after="100"/>
            <w:rPr>
              <w:rStyle w:val="Hyperlink"/>
              <w:rFonts w:ascii="Calibri" w:hAnsi="Calibri"/>
              <w:noProof/>
              <w:sz w:val="22"/>
              <w:szCs w:val="22"/>
            </w:rPr>
          </w:pPr>
          <w:r>
            <w:rPr>
              <w:rFonts w:eastAsiaTheme="majorEastAsia"/>
              <w:noProof/>
              <w:szCs w:val="24"/>
              <w:u w:val="single"/>
            </w:rPr>
            <w:fldChar w:fldCharType="end"/>
          </w:r>
          <w:r>
            <w:rPr>
              <w:rFonts w:eastAsiaTheme="majorEastAsia"/>
              <w:noProof/>
              <w:szCs w:val="24"/>
              <w:u w:val="single"/>
            </w:rPr>
            <w:fldChar w:fldCharType="begin"/>
          </w:r>
          <w:r>
            <w:rPr>
              <w:rFonts w:eastAsiaTheme="majorEastAsia"/>
              <w:noProof/>
              <w:szCs w:val="24"/>
              <w:u w:val="single"/>
            </w:rPr>
            <w:instrText xml:space="preserve"> HYPERLINK  \l "_11.__" </w:instrText>
          </w:r>
          <w:r>
            <w:rPr>
              <w:rFonts w:eastAsiaTheme="majorEastAsia"/>
              <w:noProof/>
              <w:szCs w:val="24"/>
              <w:u w:val="single"/>
            </w:rPr>
            <w:fldChar w:fldCharType="separate"/>
          </w:r>
          <w:r w:rsidRPr="005F0E61">
            <w:rPr>
              <w:rStyle w:val="Hyperlink"/>
              <w:rFonts w:eastAsiaTheme="majorEastAsia"/>
              <w:noProof/>
              <w:szCs w:val="24"/>
            </w:rPr>
            <w:t>11.</w:t>
          </w:r>
          <w:r w:rsidRPr="005F0E61">
            <w:rPr>
              <w:rStyle w:val="Hyperlink"/>
              <w:rFonts w:ascii="Calibri" w:hAnsi="Calibri"/>
              <w:noProof/>
              <w:sz w:val="22"/>
              <w:szCs w:val="22"/>
            </w:rPr>
            <w:t xml:space="preserve"> </w:t>
          </w:r>
          <w:r w:rsidRPr="005F0E61">
            <w:rPr>
              <w:rStyle w:val="Hyperlink"/>
              <w:rFonts w:eastAsiaTheme="majorEastAsia"/>
              <w:noProof/>
              <w:szCs w:val="24"/>
            </w:rPr>
            <w:t>Institutional Review Board (IRB) and Justification for Sensitive Questions</w:t>
          </w:r>
          <w:r w:rsidRPr="005F0E61">
            <w:rPr>
              <w:rStyle w:val="Hyperlink"/>
              <w:noProof/>
              <w:webHidden/>
              <w:szCs w:val="24"/>
            </w:rPr>
            <w:tab/>
          </w:r>
          <w:r w:rsidRPr="005F0E61">
            <w:rPr>
              <w:rStyle w:val="Hyperlink"/>
              <w:noProof/>
              <w:webHidden/>
              <w:szCs w:val="24"/>
            </w:rPr>
            <w:fldChar w:fldCharType="begin"/>
          </w:r>
          <w:r w:rsidRPr="005F0E61">
            <w:rPr>
              <w:rStyle w:val="Hyperlink"/>
              <w:noProof/>
              <w:webHidden/>
              <w:szCs w:val="24"/>
            </w:rPr>
            <w:instrText xml:space="preserve"> PAGEREF _Toc485202305 \h </w:instrText>
          </w:r>
          <w:r w:rsidRPr="005F0E61">
            <w:rPr>
              <w:rStyle w:val="Hyperlink"/>
              <w:noProof/>
              <w:webHidden/>
              <w:szCs w:val="24"/>
            </w:rPr>
            <w:fldChar w:fldCharType="separate"/>
          </w:r>
          <w:r w:rsidRPr="005F0E61">
            <w:rPr>
              <w:rStyle w:val="Hyperlink"/>
              <w:noProof/>
              <w:webHidden/>
              <w:szCs w:val="24"/>
            </w:rPr>
            <w:t>13</w:t>
          </w:r>
          <w:r w:rsidRPr="005F0E61">
            <w:rPr>
              <w:rStyle w:val="Hyperlink"/>
              <w:noProof/>
              <w:webHidden/>
              <w:szCs w:val="24"/>
            </w:rPr>
            <w:fldChar w:fldCharType="end"/>
          </w:r>
        </w:p>
        <w:p w:rsidR="000A4126" w:rsidRPr="005F0E61" w:rsidP="000A4126" w14:paraId="7AB3FD44" w14:textId="5DD3E852">
          <w:pPr>
            <w:tabs>
              <w:tab w:val="left" w:pos="660"/>
              <w:tab w:val="right" w:leader="dot" w:pos="10070"/>
            </w:tabs>
            <w:spacing w:after="100"/>
            <w:rPr>
              <w:rStyle w:val="Hyperlink"/>
              <w:rFonts w:ascii="Calibri" w:hAnsi="Calibri"/>
              <w:noProof/>
              <w:sz w:val="22"/>
              <w:szCs w:val="22"/>
            </w:rPr>
          </w:pPr>
          <w:r>
            <w:rPr>
              <w:rFonts w:eastAsiaTheme="majorEastAsia"/>
              <w:noProof/>
              <w:szCs w:val="24"/>
              <w:u w:val="single"/>
            </w:rPr>
            <w:fldChar w:fldCharType="end"/>
          </w:r>
          <w:r>
            <w:rPr>
              <w:rFonts w:eastAsiaTheme="majorEastAsia"/>
              <w:noProof/>
              <w:szCs w:val="24"/>
              <w:u w:val="single"/>
            </w:rPr>
            <w:fldChar w:fldCharType="begin"/>
          </w:r>
          <w:r>
            <w:rPr>
              <w:rFonts w:eastAsiaTheme="majorEastAsia"/>
              <w:noProof/>
              <w:szCs w:val="24"/>
              <w:u w:val="single"/>
            </w:rPr>
            <w:instrText xml:space="preserve"> HYPERLINK  \l "_12.__" </w:instrText>
          </w:r>
          <w:r>
            <w:rPr>
              <w:rFonts w:eastAsiaTheme="majorEastAsia"/>
              <w:noProof/>
              <w:szCs w:val="24"/>
              <w:u w:val="single"/>
            </w:rPr>
            <w:fldChar w:fldCharType="separate"/>
          </w:r>
          <w:r w:rsidRPr="005F0E61">
            <w:rPr>
              <w:rStyle w:val="Hyperlink"/>
              <w:rFonts w:eastAsiaTheme="majorEastAsia"/>
              <w:noProof/>
              <w:szCs w:val="24"/>
            </w:rPr>
            <w:t>12.</w:t>
          </w:r>
          <w:r w:rsidRPr="005F0E61">
            <w:rPr>
              <w:rStyle w:val="Hyperlink"/>
              <w:rFonts w:ascii="Calibri" w:hAnsi="Calibri"/>
              <w:noProof/>
              <w:sz w:val="22"/>
              <w:szCs w:val="22"/>
            </w:rPr>
            <w:t xml:space="preserve"> </w:t>
          </w:r>
          <w:r w:rsidRPr="005F0E61">
            <w:rPr>
              <w:rStyle w:val="Hyperlink"/>
              <w:rFonts w:eastAsiaTheme="majorEastAsia"/>
              <w:noProof/>
              <w:szCs w:val="24"/>
            </w:rPr>
            <w:t>Estimates of Annualized Burden Hours and Costs</w:t>
          </w:r>
          <w:r w:rsidRPr="005F0E61">
            <w:rPr>
              <w:rStyle w:val="Hyperlink"/>
              <w:noProof/>
              <w:webHidden/>
              <w:szCs w:val="24"/>
            </w:rPr>
            <w:tab/>
          </w:r>
          <w:r w:rsidRPr="005F0E61">
            <w:rPr>
              <w:rStyle w:val="Hyperlink"/>
              <w:noProof/>
              <w:webHidden/>
              <w:szCs w:val="24"/>
            </w:rPr>
            <w:fldChar w:fldCharType="begin"/>
          </w:r>
          <w:r w:rsidRPr="005F0E61">
            <w:rPr>
              <w:rStyle w:val="Hyperlink"/>
              <w:noProof/>
              <w:webHidden/>
              <w:szCs w:val="24"/>
            </w:rPr>
            <w:instrText xml:space="preserve"> PAGEREF _Toc485202306 \h </w:instrText>
          </w:r>
          <w:r w:rsidRPr="005F0E61">
            <w:rPr>
              <w:rStyle w:val="Hyperlink"/>
              <w:noProof/>
              <w:webHidden/>
              <w:szCs w:val="24"/>
            </w:rPr>
            <w:fldChar w:fldCharType="separate"/>
          </w:r>
          <w:r w:rsidRPr="005F0E61">
            <w:rPr>
              <w:rStyle w:val="Hyperlink"/>
              <w:noProof/>
              <w:webHidden/>
              <w:szCs w:val="24"/>
            </w:rPr>
            <w:t>14</w:t>
          </w:r>
          <w:r w:rsidRPr="005F0E61">
            <w:rPr>
              <w:rStyle w:val="Hyperlink"/>
              <w:noProof/>
              <w:webHidden/>
              <w:szCs w:val="24"/>
            </w:rPr>
            <w:fldChar w:fldCharType="end"/>
          </w:r>
        </w:p>
        <w:bookmarkStart w:id="0" w:name="_Hlk485203109"/>
        <w:p w:rsidR="000A4126" w:rsidRPr="005F0E61" w:rsidP="000A4126" w14:paraId="6608109D" w14:textId="255101CC">
          <w:pPr>
            <w:tabs>
              <w:tab w:val="left" w:pos="1100"/>
              <w:tab w:val="right" w:leader="dot" w:pos="10070"/>
            </w:tabs>
            <w:spacing w:after="100"/>
            <w:ind w:left="240"/>
            <w:rPr>
              <w:rFonts w:eastAsiaTheme="majorEastAsia"/>
              <w:noProof/>
              <w:szCs w:val="24"/>
            </w:rPr>
          </w:pPr>
          <w:r>
            <w:rPr>
              <w:rFonts w:eastAsiaTheme="majorEastAsia"/>
              <w:noProof/>
              <w:szCs w:val="24"/>
              <w:u w:val="single"/>
            </w:rPr>
            <w:fldChar w:fldCharType="end"/>
          </w:r>
          <w:r w:rsidRPr="005F0E61">
            <w:rPr>
              <w:rFonts w:eastAsiaTheme="majorEastAsia"/>
              <w:noProof/>
              <w:szCs w:val="24"/>
            </w:rPr>
            <w:fldChar w:fldCharType="begin"/>
          </w:r>
          <w:r w:rsidRPr="005F0E61">
            <w:rPr>
              <w:rFonts w:eastAsiaTheme="majorEastAsia"/>
              <w:noProof/>
              <w:szCs w:val="24"/>
            </w:rPr>
            <w:instrText>HYPERLINK  \l "Section12AHours"</w:instrText>
          </w:r>
          <w:r w:rsidRPr="005F0E61">
            <w:rPr>
              <w:rFonts w:eastAsiaTheme="majorEastAsia"/>
              <w:noProof/>
              <w:szCs w:val="24"/>
            </w:rPr>
            <w:fldChar w:fldCharType="separate"/>
          </w:r>
          <w:r w:rsidRPr="005F0E61">
            <w:rPr>
              <w:rFonts w:eastAsiaTheme="majorEastAsia"/>
              <w:noProof/>
              <w:szCs w:val="24"/>
            </w:rPr>
            <w:t>12A.</w:t>
          </w:r>
          <w:r w:rsidRPr="005F0E61">
            <w:rPr>
              <w:rFonts w:ascii="Calibri" w:hAnsi="Calibri"/>
              <w:noProof/>
              <w:sz w:val="22"/>
              <w:szCs w:val="22"/>
            </w:rPr>
            <w:t xml:space="preserve"> </w:t>
          </w:r>
          <w:r w:rsidRPr="005F0E61">
            <w:rPr>
              <w:rFonts w:eastAsiaTheme="majorEastAsia"/>
              <w:noProof/>
              <w:szCs w:val="24"/>
            </w:rPr>
            <w:t>Estimated Annualized Burden Hours</w:t>
          </w:r>
          <w:r w:rsidRPr="005F0E61">
            <w:rPr>
              <w:rFonts w:eastAsiaTheme="majorEastAsia"/>
              <w:noProof/>
              <w:webHidden/>
              <w:szCs w:val="24"/>
            </w:rPr>
            <w:tab/>
          </w:r>
          <w:r w:rsidRPr="005F0E61">
            <w:rPr>
              <w:rFonts w:eastAsiaTheme="majorEastAsia"/>
              <w:noProof/>
              <w:webHidden/>
              <w:szCs w:val="24"/>
            </w:rPr>
            <w:fldChar w:fldCharType="begin"/>
          </w:r>
          <w:r w:rsidRPr="005F0E61">
            <w:rPr>
              <w:rFonts w:eastAsiaTheme="majorEastAsia"/>
              <w:noProof/>
              <w:webHidden/>
              <w:szCs w:val="24"/>
            </w:rPr>
            <w:instrText xml:space="preserve"> PAGEREF _Toc485202307 \h </w:instrText>
          </w:r>
          <w:r w:rsidRPr="005F0E61">
            <w:rPr>
              <w:rFonts w:eastAsiaTheme="majorEastAsia"/>
              <w:noProof/>
              <w:webHidden/>
              <w:szCs w:val="24"/>
            </w:rPr>
            <w:fldChar w:fldCharType="separate"/>
          </w:r>
          <w:r w:rsidRPr="005F0E61">
            <w:rPr>
              <w:rFonts w:eastAsiaTheme="majorEastAsia"/>
              <w:noProof/>
              <w:webHidden/>
              <w:szCs w:val="24"/>
            </w:rPr>
            <w:t>14</w:t>
          </w:r>
          <w:r w:rsidRPr="005F0E61">
            <w:rPr>
              <w:rFonts w:eastAsiaTheme="majorEastAsia"/>
              <w:noProof/>
              <w:webHidden/>
              <w:szCs w:val="24"/>
            </w:rPr>
            <w:fldChar w:fldCharType="end"/>
          </w:r>
        </w:p>
        <w:p w:rsidR="000A4126" w:rsidRPr="005F0E61" w:rsidP="000A4126" w14:paraId="5E723B10" w14:textId="740B0373">
          <w:pPr>
            <w:tabs>
              <w:tab w:val="left" w:pos="1100"/>
              <w:tab w:val="right" w:leader="dot" w:pos="10070"/>
            </w:tabs>
            <w:spacing w:after="100"/>
            <w:ind w:left="240"/>
            <w:rPr>
              <w:rFonts w:eastAsiaTheme="majorEastAsia"/>
              <w:noProof/>
              <w:szCs w:val="24"/>
            </w:rPr>
          </w:pPr>
          <w:r w:rsidRPr="005F0E61">
            <w:rPr>
              <w:rFonts w:eastAsiaTheme="majorEastAsia"/>
              <w:noProof/>
              <w:szCs w:val="24"/>
            </w:rPr>
            <w:fldChar w:fldCharType="end"/>
          </w:r>
          <w:r w:rsidRPr="005F0E61">
            <w:rPr>
              <w:rFonts w:eastAsiaTheme="majorEastAsia"/>
              <w:noProof/>
              <w:szCs w:val="24"/>
            </w:rPr>
            <w:fldChar w:fldCharType="begin"/>
          </w:r>
          <w:r w:rsidRPr="005F0E61" w:rsidR="005F0E61">
            <w:rPr>
              <w:rFonts w:eastAsiaTheme="majorEastAsia"/>
              <w:noProof/>
              <w:szCs w:val="24"/>
            </w:rPr>
            <w:instrText>HYPERLINK  \l "BurdenCost12B"</w:instrText>
          </w:r>
          <w:r w:rsidRPr="005F0E61">
            <w:rPr>
              <w:rFonts w:eastAsiaTheme="majorEastAsia"/>
              <w:noProof/>
              <w:szCs w:val="24"/>
            </w:rPr>
            <w:fldChar w:fldCharType="separate"/>
          </w:r>
          <w:r w:rsidRPr="005F0E61">
            <w:rPr>
              <w:rFonts w:eastAsiaTheme="majorEastAsia"/>
              <w:noProof/>
              <w:szCs w:val="24"/>
            </w:rPr>
            <w:t>12B.</w:t>
          </w:r>
          <w:r w:rsidRPr="005F0E61">
            <w:rPr>
              <w:rFonts w:ascii="Calibri" w:hAnsi="Calibri"/>
              <w:noProof/>
              <w:sz w:val="22"/>
              <w:szCs w:val="22"/>
            </w:rPr>
            <w:t xml:space="preserve"> </w:t>
          </w:r>
          <w:r w:rsidRPr="005F0E61">
            <w:rPr>
              <w:rFonts w:eastAsiaTheme="majorEastAsia"/>
              <w:noProof/>
              <w:szCs w:val="24"/>
            </w:rPr>
            <w:t>Estimated Annualized Burden Costs</w:t>
          </w:r>
          <w:r w:rsidRPr="005F0E61">
            <w:rPr>
              <w:rFonts w:eastAsiaTheme="majorEastAsia"/>
              <w:noProof/>
              <w:webHidden/>
              <w:szCs w:val="24"/>
            </w:rPr>
            <w:tab/>
          </w:r>
          <w:bookmarkEnd w:id="0"/>
          <w:r w:rsidRPr="005F0E61">
            <w:rPr>
              <w:rFonts w:eastAsiaTheme="majorEastAsia"/>
              <w:noProof/>
              <w:webHidden/>
              <w:szCs w:val="24"/>
            </w:rPr>
            <w:t>14</w:t>
          </w:r>
        </w:p>
        <w:p w:rsidR="000A4126" w:rsidRPr="005F0E61" w:rsidP="000A4126" w14:paraId="5F50C175" w14:textId="7ED42911">
          <w:pPr>
            <w:tabs>
              <w:tab w:val="left" w:pos="660"/>
              <w:tab w:val="right" w:leader="dot" w:pos="10070"/>
            </w:tabs>
            <w:spacing w:after="100"/>
            <w:rPr>
              <w:rStyle w:val="Hyperlink"/>
              <w:rFonts w:ascii="Calibri" w:hAnsi="Calibri"/>
              <w:noProof/>
              <w:sz w:val="22"/>
              <w:szCs w:val="22"/>
            </w:rPr>
          </w:pPr>
          <w:r w:rsidRPr="005F0E61">
            <w:rPr>
              <w:rFonts w:eastAsiaTheme="majorEastAsia"/>
              <w:noProof/>
              <w:szCs w:val="24"/>
            </w:rPr>
            <w:fldChar w:fldCharType="end"/>
          </w:r>
          <w:r w:rsidR="005F0E61">
            <w:rPr>
              <w:rFonts w:eastAsiaTheme="majorEastAsia"/>
              <w:noProof/>
              <w:szCs w:val="24"/>
              <w:u w:val="single"/>
            </w:rPr>
            <w:fldChar w:fldCharType="begin"/>
          </w:r>
          <w:r w:rsidR="005F0E61">
            <w:rPr>
              <w:rFonts w:eastAsiaTheme="majorEastAsia"/>
              <w:noProof/>
              <w:szCs w:val="24"/>
              <w:u w:val="single"/>
            </w:rPr>
            <w:instrText xml:space="preserve"> HYPERLINK  \l "_13.__" </w:instrText>
          </w:r>
          <w:r w:rsidR="005F0E61">
            <w:rPr>
              <w:rFonts w:eastAsiaTheme="majorEastAsia"/>
              <w:noProof/>
              <w:szCs w:val="24"/>
              <w:u w:val="single"/>
            </w:rPr>
            <w:fldChar w:fldCharType="separate"/>
          </w:r>
          <w:r w:rsidRPr="005F0E61">
            <w:rPr>
              <w:rStyle w:val="Hyperlink"/>
              <w:rFonts w:eastAsiaTheme="majorEastAsia"/>
              <w:noProof/>
              <w:szCs w:val="24"/>
            </w:rPr>
            <w:t>13.</w:t>
          </w:r>
          <w:r w:rsidRPr="005F0E61">
            <w:rPr>
              <w:rStyle w:val="Hyperlink"/>
              <w:rFonts w:ascii="Calibri" w:hAnsi="Calibri"/>
              <w:noProof/>
              <w:sz w:val="22"/>
              <w:szCs w:val="22"/>
            </w:rPr>
            <w:t xml:space="preserve"> </w:t>
          </w:r>
          <w:r w:rsidRPr="005F0E61">
            <w:rPr>
              <w:rStyle w:val="Hyperlink"/>
              <w:rFonts w:eastAsiaTheme="majorEastAsia"/>
              <w:noProof/>
              <w:szCs w:val="24"/>
            </w:rPr>
            <w:t>Estimates of Other Total Annual Cost Burden to Respondents and Record Keepers</w:t>
          </w:r>
          <w:r w:rsidRPr="005F0E61">
            <w:rPr>
              <w:rStyle w:val="Hyperlink"/>
              <w:noProof/>
              <w:webHidden/>
              <w:szCs w:val="24"/>
            </w:rPr>
            <w:tab/>
          </w:r>
          <w:r w:rsidRPr="005F0E61">
            <w:rPr>
              <w:rStyle w:val="Hyperlink"/>
              <w:noProof/>
              <w:webHidden/>
              <w:szCs w:val="24"/>
            </w:rPr>
            <w:fldChar w:fldCharType="begin"/>
          </w:r>
          <w:r w:rsidRPr="005F0E61">
            <w:rPr>
              <w:rStyle w:val="Hyperlink"/>
              <w:noProof/>
              <w:webHidden/>
              <w:szCs w:val="24"/>
            </w:rPr>
            <w:instrText xml:space="preserve"> PAGEREF _Toc485202308 \h </w:instrText>
          </w:r>
          <w:r w:rsidRPr="005F0E61">
            <w:rPr>
              <w:rStyle w:val="Hyperlink"/>
              <w:noProof/>
              <w:webHidden/>
              <w:szCs w:val="24"/>
            </w:rPr>
            <w:fldChar w:fldCharType="separate"/>
          </w:r>
          <w:r w:rsidRPr="005F0E61">
            <w:rPr>
              <w:rStyle w:val="Hyperlink"/>
              <w:noProof/>
              <w:webHidden/>
              <w:szCs w:val="24"/>
            </w:rPr>
            <w:t>15</w:t>
          </w:r>
          <w:r w:rsidRPr="005F0E61">
            <w:rPr>
              <w:rStyle w:val="Hyperlink"/>
              <w:noProof/>
              <w:webHidden/>
              <w:szCs w:val="24"/>
            </w:rPr>
            <w:fldChar w:fldCharType="end"/>
          </w:r>
        </w:p>
        <w:p w:rsidR="000A4126" w:rsidRPr="005F0E61" w:rsidP="000A4126" w14:paraId="381A8DE1" w14:textId="0A67E15F">
          <w:pPr>
            <w:tabs>
              <w:tab w:val="left" w:pos="660"/>
              <w:tab w:val="right" w:leader="dot" w:pos="10070"/>
            </w:tabs>
            <w:spacing w:after="100"/>
            <w:rPr>
              <w:rStyle w:val="Hyperlink"/>
              <w:rFonts w:ascii="Calibri" w:hAnsi="Calibri"/>
              <w:noProof/>
              <w:sz w:val="22"/>
              <w:szCs w:val="22"/>
            </w:rPr>
          </w:pPr>
          <w:r>
            <w:rPr>
              <w:rFonts w:eastAsiaTheme="majorEastAsia"/>
              <w:noProof/>
              <w:szCs w:val="24"/>
              <w:u w:val="single"/>
            </w:rPr>
            <w:fldChar w:fldCharType="end"/>
          </w:r>
          <w:r>
            <w:rPr>
              <w:rFonts w:eastAsiaTheme="majorEastAsia"/>
              <w:noProof/>
              <w:szCs w:val="24"/>
              <w:u w:val="single"/>
            </w:rPr>
            <w:fldChar w:fldCharType="begin"/>
          </w:r>
          <w:r>
            <w:rPr>
              <w:rFonts w:eastAsiaTheme="majorEastAsia"/>
              <w:noProof/>
              <w:szCs w:val="24"/>
              <w:u w:val="single"/>
            </w:rPr>
            <w:instrText xml:space="preserve"> HYPERLINK  \l "_14.__" </w:instrText>
          </w:r>
          <w:r>
            <w:rPr>
              <w:rFonts w:eastAsiaTheme="majorEastAsia"/>
              <w:noProof/>
              <w:szCs w:val="24"/>
              <w:u w:val="single"/>
            </w:rPr>
            <w:fldChar w:fldCharType="separate"/>
          </w:r>
          <w:r w:rsidRPr="005F0E61">
            <w:rPr>
              <w:rStyle w:val="Hyperlink"/>
              <w:rFonts w:eastAsiaTheme="majorEastAsia"/>
              <w:noProof/>
              <w:szCs w:val="24"/>
            </w:rPr>
            <w:t>14.</w:t>
          </w:r>
          <w:r w:rsidRPr="005F0E61">
            <w:rPr>
              <w:rStyle w:val="Hyperlink"/>
              <w:rFonts w:ascii="Calibri" w:hAnsi="Calibri"/>
              <w:noProof/>
              <w:sz w:val="22"/>
              <w:szCs w:val="22"/>
            </w:rPr>
            <w:t xml:space="preserve"> </w:t>
          </w:r>
          <w:r w:rsidRPr="005F0E61">
            <w:rPr>
              <w:rStyle w:val="Hyperlink"/>
              <w:rFonts w:eastAsiaTheme="majorEastAsia"/>
              <w:noProof/>
              <w:szCs w:val="24"/>
            </w:rPr>
            <w:t>Annualized Cost to the Federal Government</w:t>
          </w:r>
          <w:r w:rsidRPr="005F0E61">
            <w:rPr>
              <w:rStyle w:val="Hyperlink"/>
              <w:noProof/>
              <w:webHidden/>
              <w:szCs w:val="24"/>
            </w:rPr>
            <w:tab/>
          </w:r>
          <w:r w:rsidRPr="005F0E61">
            <w:rPr>
              <w:rStyle w:val="Hyperlink"/>
              <w:noProof/>
              <w:webHidden/>
              <w:szCs w:val="24"/>
            </w:rPr>
            <w:fldChar w:fldCharType="begin"/>
          </w:r>
          <w:r w:rsidRPr="005F0E61">
            <w:rPr>
              <w:rStyle w:val="Hyperlink"/>
              <w:noProof/>
              <w:webHidden/>
              <w:szCs w:val="24"/>
            </w:rPr>
            <w:instrText xml:space="preserve"> PAGEREF _Toc485202309 \h </w:instrText>
          </w:r>
          <w:r w:rsidRPr="005F0E61">
            <w:rPr>
              <w:rStyle w:val="Hyperlink"/>
              <w:noProof/>
              <w:webHidden/>
              <w:szCs w:val="24"/>
            </w:rPr>
            <w:fldChar w:fldCharType="separate"/>
          </w:r>
          <w:r w:rsidRPr="005F0E61">
            <w:rPr>
              <w:rStyle w:val="Hyperlink"/>
              <w:noProof/>
              <w:webHidden/>
              <w:szCs w:val="24"/>
            </w:rPr>
            <w:t>15</w:t>
          </w:r>
          <w:r w:rsidRPr="005F0E61">
            <w:rPr>
              <w:rStyle w:val="Hyperlink"/>
              <w:noProof/>
              <w:webHidden/>
              <w:szCs w:val="24"/>
            </w:rPr>
            <w:fldChar w:fldCharType="end"/>
          </w:r>
        </w:p>
        <w:p w:rsidR="000A4126" w:rsidRPr="005F0E61" w:rsidP="000A4126" w14:paraId="6DC1CB8D" w14:textId="6E21E7DE">
          <w:pPr>
            <w:tabs>
              <w:tab w:val="left" w:pos="660"/>
              <w:tab w:val="right" w:leader="dot" w:pos="10070"/>
            </w:tabs>
            <w:spacing w:after="100"/>
            <w:rPr>
              <w:rStyle w:val="Hyperlink"/>
              <w:rFonts w:ascii="Calibri" w:hAnsi="Calibri"/>
              <w:noProof/>
              <w:sz w:val="22"/>
              <w:szCs w:val="22"/>
            </w:rPr>
          </w:pPr>
          <w:r>
            <w:rPr>
              <w:rFonts w:eastAsiaTheme="majorEastAsia"/>
              <w:noProof/>
              <w:szCs w:val="24"/>
              <w:u w:val="single"/>
            </w:rPr>
            <w:fldChar w:fldCharType="end"/>
          </w:r>
          <w:r>
            <w:rPr>
              <w:rFonts w:eastAsiaTheme="majorEastAsia"/>
              <w:noProof/>
              <w:szCs w:val="24"/>
              <w:u w:val="single"/>
            </w:rPr>
            <w:fldChar w:fldCharType="begin"/>
          </w:r>
          <w:r>
            <w:rPr>
              <w:rFonts w:eastAsiaTheme="majorEastAsia"/>
              <w:noProof/>
              <w:szCs w:val="24"/>
              <w:u w:val="single"/>
            </w:rPr>
            <w:instrText xml:space="preserve"> HYPERLINK  \l "ExplanationChanges15" </w:instrText>
          </w:r>
          <w:r>
            <w:rPr>
              <w:rFonts w:eastAsiaTheme="majorEastAsia"/>
              <w:noProof/>
              <w:szCs w:val="24"/>
              <w:u w:val="single"/>
            </w:rPr>
            <w:fldChar w:fldCharType="separate"/>
          </w:r>
          <w:r w:rsidRPr="005F0E61">
            <w:rPr>
              <w:rStyle w:val="Hyperlink"/>
              <w:rFonts w:eastAsiaTheme="majorEastAsia"/>
              <w:noProof/>
              <w:szCs w:val="24"/>
            </w:rPr>
            <w:t>15.</w:t>
          </w:r>
          <w:r w:rsidRPr="005F0E61">
            <w:rPr>
              <w:rStyle w:val="Hyperlink"/>
              <w:rFonts w:ascii="Calibri" w:hAnsi="Calibri"/>
              <w:noProof/>
              <w:sz w:val="22"/>
              <w:szCs w:val="22"/>
            </w:rPr>
            <w:t xml:space="preserve"> </w:t>
          </w:r>
          <w:r w:rsidRPr="005F0E61">
            <w:rPr>
              <w:rStyle w:val="Hyperlink"/>
              <w:rFonts w:eastAsiaTheme="majorEastAsia"/>
              <w:noProof/>
              <w:szCs w:val="24"/>
            </w:rPr>
            <w:t>Explanation for Program Changes or Adjustments</w:t>
          </w:r>
          <w:r w:rsidRPr="005F0E61">
            <w:rPr>
              <w:rStyle w:val="Hyperlink"/>
              <w:noProof/>
              <w:webHidden/>
              <w:szCs w:val="24"/>
            </w:rPr>
            <w:tab/>
          </w:r>
          <w:r w:rsidRPr="005F0E61">
            <w:rPr>
              <w:rStyle w:val="Hyperlink"/>
              <w:noProof/>
              <w:webHidden/>
              <w:szCs w:val="24"/>
            </w:rPr>
            <w:fldChar w:fldCharType="begin"/>
          </w:r>
          <w:r w:rsidRPr="005F0E61">
            <w:rPr>
              <w:rStyle w:val="Hyperlink"/>
              <w:noProof/>
              <w:webHidden/>
              <w:szCs w:val="24"/>
            </w:rPr>
            <w:instrText xml:space="preserve"> PAGEREF _Toc485202310 \h </w:instrText>
          </w:r>
          <w:r w:rsidRPr="005F0E61">
            <w:rPr>
              <w:rStyle w:val="Hyperlink"/>
              <w:noProof/>
              <w:webHidden/>
              <w:szCs w:val="24"/>
            </w:rPr>
            <w:fldChar w:fldCharType="separate"/>
          </w:r>
          <w:r w:rsidRPr="005F0E61">
            <w:rPr>
              <w:rStyle w:val="Hyperlink"/>
              <w:noProof/>
              <w:webHidden/>
              <w:szCs w:val="24"/>
            </w:rPr>
            <w:t>15</w:t>
          </w:r>
          <w:r w:rsidRPr="005F0E61">
            <w:rPr>
              <w:rStyle w:val="Hyperlink"/>
              <w:noProof/>
              <w:webHidden/>
              <w:szCs w:val="24"/>
            </w:rPr>
            <w:fldChar w:fldCharType="end"/>
          </w:r>
        </w:p>
        <w:p w:rsidR="000A4126" w:rsidRPr="005F0E61" w:rsidP="000A4126" w14:paraId="3EAABFC2" w14:textId="3190EC8F">
          <w:pPr>
            <w:tabs>
              <w:tab w:val="left" w:pos="660"/>
              <w:tab w:val="right" w:leader="dot" w:pos="10070"/>
            </w:tabs>
            <w:spacing w:after="100"/>
            <w:rPr>
              <w:rStyle w:val="Hyperlink"/>
              <w:rFonts w:ascii="Calibri" w:hAnsi="Calibri"/>
              <w:noProof/>
              <w:sz w:val="22"/>
              <w:szCs w:val="22"/>
            </w:rPr>
          </w:pPr>
          <w:r>
            <w:rPr>
              <w:rFonts w:eastAsiaTheme="majorEastAsia"/>
              <w:noProof/>
              <w:szCs w:val="24"/>
              <w:u w:val="single"/>
            </w:rPr>
            <w:fldChar w:fldCharType="end"/>
          </w:r>
          <w:r>
            <w:rPr>
              <w:rFonts w:eastAsiaTheme="majorEastAsia"/>
              <w:noProof/>
              <w:szCs w:val="24"/>
              <w:u w:val="single"/>
            </w:rPr>
            <w:fldChar w:fldCharType="begin"/>
          </w:r>
          <w:r>
            <w:rPr>
              <w:rFonts w:eastAsiaTheme="majorEastAsia"/>
              <w:noProof/>
              <w:szCs w:val="24"/>
              <w:u w:val="single"/>
            </w:rPr>
            <w:instrText xml:space="preserve"> HYPERLINK  \l "PlansForTabulation16" </w:instrText>
          </w:r>
          <w:r>
            <w:rPr>
              <w:rFonts w:eastAsiaTheme="majorEastAsia"/>
              <w:noProof/>
              <w:szCs w:val="24"/>
              <w:u w:val="single"/>
            </w:rPr>
            <w:fldChar w:fldCharType="separate"/>
          </w:r>
          <w:r w:rsidRPr="005F0E61">
            <w:rPr>
              <w:rStyle w:val="Hyperlink"/>
              <w:rFonts w:eastAsiaTheme="majorEastAsia"/>
              <w:noProof/>
              <w:szCs w:val="24"/>
            </w:rPr>
            <w:t>16.</w:t>
          </w:r>
          <w:r w:rsidRPr="005F0E61">
            <w:rPr>
              <w:rStyle w:val="Hyperlink"/>
              <w:rFonts w:ascii="Calibri" w:hAnsi="Calibri"/>
              <w:noProof/>
              <w:sz w:val="22"/>
              <w:szCs w:val="22"/>
            </w:rPr>
            <w:t xml:space="preserve"> </w:t>
          </w:r>
          <w:r w:rsidRPr="005F0E61">
            <w:rPr>
              <w:rStyle w:val="Hyperlink"/>
              <w:rFonts w:eastAsiaTheme="majorEastAsia"/>
              <w:noProof/>
              <w:szCs w:val="24"/>
            </w:rPr>
            <w:t>Plans for Tabulation and Publication and Project Time Schedule</w:t>
          </w:r>
          <w:r w:rsidRPr="005F0E61">
            <w:rPr>
              <w:rStyle w:val="Hyperlink"/>
              <w:noProof/>
              <w:webHidden/>
              <w:szCs w:val="24"/>
            </w:rPr>
            <w:tab/>
          </w:r>
          <w:r w:rsidRPr="005F0E61">
            <w:rPr>
              <w:rStyle w:val="Hyperlink"/>
              <w:noProof/>
              <w:webHidden/>
              <w:szCs w:val="24"/>
            </w:rPr>
            <w:fldChar w:fldCharType="begin"/>
          </w:r>
          <w:r w:rsidRPr="005F0E61">
            <w:rPr>
              <w:rStyle w:val="Hyperlink"/>
              <w:noProof/>
              <w:webHidden/>
              <w:szCs w:val="24"/>
            </w:rPr>
            <w:instrText xml:space="preserve"> PAGEREF _Toc485202311 \h </w:instrText>
          </w:r>
          <w:r w:rsidRPr="005F0E61">
            <w:rPr>
              <w:rStyle w:val="Hyperlink"/>
              <w:noProof/>
              <w:webHidden/>
              <w:szCs w:val="24"/>
            </w:rPr>
            <w:fldChar w:fldCharType="separate"/>
          </w:r>
          <w:r w:rsidRPr="005F0E61">
            <w:rPr>
              <w:rStyle w:val="Hyperlink"/>
              <w:noProof/>
              <w:webHidden/>
              <w:szCs w:val="24"/>
            </w:rPr>
            <w:t>16</w:t>
          </w:r>
          <w:r w:rsidRPr="005F0E61">
            <w:rPr>
              <w:rStyle w:val="Hyperlink"/>
              <w:noProof/>
              <w:webHidden/>
              <w:szCs w:val="24"/>
            </w:rPr>
            <w:fldChar w:fldCharType="end"/>
          </w:r>
        </w:p>
        <w:p w:rsidR="000A4126" w:rsidRPr="005F0E61" w:rsidP="000A4126" w14:paraId="378B3FBB" w14:textId="6BF0EA02">
          <w:pPr>
            <w:tabs>
              <w:tab w:val="left" w:pos="660"/>
              <w:tab w:val="right" w:leader="dot" w:pos="10070"/>
            </w:tabs>
            <w:spacing w:after="100"/>
            <w:rPr>
              <w:rStyle w:val="Hyperlink"/>
              <w:rFonts w:ascii="Calibri" w:hAnsi="Calibri"/>
              <w:noProof/>
              <w:sz w:val="22"/>
              <w:szCs w:val="22"/>
            </w:rPr>
          </w:pPr>
          <w:r>
            <w:rPr>
              <w:rFonts w:eastAsiaTheme="majorEastAsia"/>
              <w:noProof/>
              <w:szCs w:val="24"/>
              <w:u w:val="single"/>
            </w:rPr>
            <w:fldChar w:fldCharType="end"/>
          </w:r>
          <w:r>
            <w:rPr>
              <w:rFonts w:eastAsiaTheme="majorEastAsia"/>
              <w:noProof/>
              <w:szCs w:val="24"/>
              <w:u w:val="single"/>
            </w:rPr>
            <w:fldChar w:fldCharType="begin"/>
          </w:r>
          <w:r>
            <w:rPr>
              <w:rFonts w:eastAsiaTheme="majorEastAsia"/>
              <w:noProof/>
              <w:szCs w:val="24"/>
              <w:u w:val="single"/>
            </w:rPr>
            <w:instrText xml:space="preserve"> HYPERLINK  \l "OMBExpiration17" </w:instrText>
          </w:r>
          <w:r>
            <w:rPr>
              <w:rFonts w:eastAsiaTheme="majorEastAsia"/>
              <w:noProof/>
              <w:szCs w:val="24"/>
              <w:u w:val="single"/>
            </w:rPr>
            <w:fldChar w:fldCharType="separate"/>
          </w:r>
          <w:r w:rsidRPr="005F0E61">
            <w:rPr>
              <w:rStyle w:val="Hyperlink"/>
              <w:rFonts w:eastAsiaTheme="majorEastAsia"/>
              <w:noProof/>
              <w:szCs w:val="24"/>
            </w:rPr>
            <w:t>17.</w:t>
          </w:r>
          <w:r w:rsidRPr="005F0E61">
            <w:rPr>
              <w:rStyle w:val="Hyperlink"/>
              <w:rFonts w:ascii="Calibri" w:hAnsi="Calibri"/>
              <w:noProof/>
              <w:sz w:val="22"/>
              <w:szCs w:val="22"/>
            </w:rPr>
            <w:t xml:space="preserve"> </w:t>
          </w:r>
          <w:r w:rsidRPr="005F0E61">
            <w:rPr>
              <w:rStyle w:val="Hyperlink"/>
              <w:rFonts w:eastAsiaTheme="majorEastAsia"/>
              <w:noProof/>
              <w:szCs w:val="24"/>
            </w:rPr>
            <w:t>Reason(s) Display of OMB Expiration Date is Inappropriate</w:t>
          </w:r>
          <w:r w:rsidRPr="005F0E61">
            <w:rPr>
              <w:rStyle w:val="Hyperlink"/>
              <w:noProof/>
              <w:webHidden/>
              <w:szCs w:val="24"/>
            </w:rPr>
            <w:tab/>
          </w:r>
          <w:r w:rsidRPr="005F0E61">
            <w:rPr>
              <w:rStyle w:val="Hyperlink"/>
              <w:noProof/>
              <w:webHidden/>
              <w:szCs w:val="24"/>
            </w:rPr>
            <w:fldChar w:fldCharType="begin"/>
          </w:r>
          <w:r w:rsidRPr="005F0E61">
            <w:rPr>
              <w:rStyle w:val="Hyperlink"/>
              <w:noProof/>
              <w:webHidden/>
              <w:szCs w:val="24"/>
            </w:rPr>
            <w:instrText xml:space="preserve"> PAGEREF _Toc485202312 \h </w:instrText>
          </w:r>
          <w:r w:rsidRPr="005F0E61">
            <w:rPr>
              <w:rStyle w:val="Hyperlink"/>
              <w:noProof/>
              <w:webHidden/>
              <w:szCs w:val="24"/>
            </w:rPr>
            <w:fldChar w:fldCharType="separate"/>
          </w:r>
          <w:r w:rsidRPr="005F0E61">
            <w:rPr>
              <w:rStyle w:val="Hyperlink"/>
              <w:noProof/>
              <w:webHidden/>
              <w:szCs w:val="24"/>
            </w:rPr>
            <w:t>16</w:t>
          </w:r>
          <w:r w:rsidRPr="005F0E61">
            <w:rPr>
              <w:rStyle w:val="Hyperlink"/>
              <w:noProof/>
              <w:webHidden/>
              <w:szCs w:val="24"/>
            </w:rPr>
            <w:fldChar w:fldCharType="end"/>
          </w:r>
        </w:p>
        <w:p w:rsidR="000A4126" w:rsidRPr="005F0E61" w:rsidP="000A4126" w14:paraId="7418C2FF" w14:textId="5067232F">
          <w:pPr>
            <w:tabs>
              <w:tab w:val="left" w:pos="660"/>
              <w:tab w:val="right" w:leader="dot" w:pos="10070"/>
            </w:tabs>
            <w:spacing w:after="100"/>
            <w:rPr>
              <w:rStyle w:val="Hyperlink"/>
              <w:rFonts w:ascii="Calibri" w:hAnsi="Calibri"/>
              <w:noProof/>
              <w:sz w:val="22"/>
              <w:szCs w:val="22"/>
            </w:rPr>
          </w:pPr>
          <w:r>
            <w:rPr>
              <w:rFonts w:eastAsiaTheme="majorEastAsia"/>
              <w:noProof/>
              <w:szCs w:val="24"/>
              <w:u w:val="single"/>
            </w:rPr>
            <w:fldChar w:fldCharType="end"/>
          </w:r>
          <w:r>
            <w:rPr>
              <w:rFonts w:eastAsiaTheme="majorEastAsia"/>
              <w:noProof/>
              <w:szCs w:val="24"/>
              <w:u w:val="single"/>
            </w:rPr>
            <w:fldChar w:fldCharType="begin"/>
          </w:r>
          <w:r>
            <w:rPr>
              <w:rFonts w:eastAsiaTheme="majorEastAsia"/>
              <w:noProof/>
              <w:szCs w:val="24"/>
              <w:u w:val="single"/>
            </w:rPr>
            <w:instrText xml:space="preserve"> HYPERLINK  \l "Exceptions18" </w:instrText>
          </w:r>
          <w:r>
            <w:rPr>
              <w:rFonts w:eastAsiaTheme="majorEastAsia"/>
              <w:noProof/>
              <w:szCs w:val="24"/>
              <w:u w:val="single"/>
            </w:rPr>
            <w:fldChar w:fldCharType="separate"/>
          </w:r>
          <w:r w:rsidRPr="005F0E61">
            <w:rPr>
              <w:rStyle w:val="Hyperlink"/>
              <w:rFonts w:eastAsiaTheme="majorEastAsia"/>
              <w:noProof/>
              <w:szCs w:val="24"/>
            </w:rPr>
            <w:t>18.</w:t>
          </w:r>
          <w:r w:rsidRPr="005F0E61">
            <w:rPr>
              <w:rStyle w:val="Hyperlink"/>
              <w:rFonts w:ascii="Calibri" w:hAnsi="Calibri"/>
              <w:noProof/>
              <w:sz w:val="22"/>
              <w:szCs w:val="22"/>
            </w:rPr>
            <w:t xml:space="preserve"> </w:t>
          </w:r>
          <w:r w:rsidRPr="005F0E61">
            <w:rPr>
              <w:rStyle w:val="Hyperlink"/>
              <w:rFonts w:eastAsiaTheme="majorEastAsia"/>
              <w:noProof/>
              <w:szCs w:val="24"/>
            </w:rPr>
            <w:t>Exceptions to Certification for Paperwork Reduction Act Submissions</w:t>
          </w:r>
          <w:r w:rsidRPr="005F0E61">
            <w:rPr>
              <w:rStyle w:val="Hyperlink"/>
              <w:noProof/>
              <w:webHidden/>
              <w:szCs w:val="24"/>
            </w:rPr>
            <w:tab/>
          </w:r>
          <w:r w:rsidRPr="005F0E61">
            <w:rPr>
              <w:rStyle w:val="Hyperlink"/>
              <w:noProof/>
              <w:webHidden/>
              <w:szCs w:val="24"/>
            </w:rPr>
            <w:fldChar w:fldCharType="begin"/>
          </w:r>
          <w:r w:rsidRPr="005F0E61">
            <w:rPr>
              <w:rStyle w:val="Hyperlink"/>
              <w:noProof/>
              <w:webHidden/>
              <w:szCs w:val="24"/>
            </w:rPr>
            <w:instrText xml:space="preserve"> PAGEREF _Toc485202313 \h </w:instrText>
          </w:r>
          <w:r w:rsidRPr="005F0E61">
            <w:rPr>
              <w:rStyle w:val="Hyperlink"/>
              <w:noProof/>
              <w:webHidden/>
              <w:szCs w:val="24"/>
            </w:rPr>
            <w:fldChar w:fldCharType="separate"/>
          </w:r>
          <w:r w:rsidRPr="005F0E61">
            <w:rPr>
              <w:rStyle w:val="Hyperlink"/>
              <w:noProof/>
              <w:webHidden/>
              <w:szCs w:val="24"/>
            </w:rPr>
            <w:t>16</w:t>
          </w:r>
          <w:r w:rsidRPr="005F0E61">
            <w:rPr>
              <w:rStyle w:val="Hyperlink"/>
              <w:noProof/>
              <w:webHidden/>
              <w:szCs w:val="24"/>
            </w:rPr>
            <w:fldChar w:fldCharType="end"/>
          </w:r>
        </w:p>
        <w:p w:rsidR="000A4126" w:rsidRPr="005F0E61" w:rsidP="000A4126" w14:paraId="74FD9736" w14:textId="54D60180">
          <w:pPr>
            <w:tabs>
              <w:tab w:val="right" w:leader="dot" w:pos="10070"/>
            </w:tabs>
            <w:spacing w:after="100"/>
            <w:rPr>
              <w:rStyle w:val="Hyperlink"/>
              <w:rFonts w:ascii="Calibri" w:hAnsi="Calibri"/>
              <w:noProof/>
              <w:sz w:val="22"/>
              <w:szCs w:val="22"/>
            </w:rPr>
          </w:pPr>
          <w:r>
            <w:rPr>
              <w:rFonts w:eastAsiaTheme="majorEastAsia"/>
              <w:noProof/>
              <w:szCs w:val="24"/>
              <w:u w:val="single"/>
            </w:rPr>
            <w:fldChar w:fldCharType="end"/>
          </w:r>
          <w:r>
            <w:rPr>
              <w:rFonts w:eastAsiaTheme="majorEastAsia"/>
              <w:noProof/>
              <w:szCs w:val="24"/>
              <w:u w:val="single"/>
            </w:rPr>
            <w:fldChar w:fldCharType="begin"/>
          </w:r>
          <w:r>
            <w:rPr>
              <w:rFonts w:eastAsiaTheme="majorEastAsia"/>
              <w:noProof/>
              <w:szCs w:val="24"/>
              <w:u w:val="single"/>
            </w:rPr>
            <w:instrText xml:space="preserve"> HYPERLINK  \l "References" </w:instrText>
          </w:r>
          <w:r>
            <w:rPr>
              <w:rFonts w:eastAsiaTheme="majorEastAsia"/>
              <w:noProof/>
              <w:szCs w:val="24"/>
              <w:u w:val="single"/>
            </w:rPr>
            <w:fldChar w:fldCharType="separate"/>
          </w:r>
          <w:r w:rsidRPr="005F0E61">
            <w:rPr>
              <w:rStyle w:val="Hyperlink"/>
              <w:rFonts w:eastAsiaTheme="majorEastAsia"/>
              <w:noProof/>
              <w:szCs w:val="24"/>
            </w:rPr>
            <w:t>References:</w:t>
          </w:r>
          <w:r w:rsidRPr="005F0E61">
            <w:rPr>
              <w:rStyle w:val="Hyperlink"/>
              <w:noProof/>
              <w:webHidden/>
              <w:szCs w:val="24"/>
            </w:rPr>
            <w:tab/>
          </w:r>
          <w:r w:rsidRPr="005F0E61">
            <w:rPr>
              <w:rStyle w:val="Hyperlink"/>
              <w:noProof/>
              <w:webHidden/>
              <w:szCs w:val="24"/>
            </w:rPr>
            <w:fldChar w:fldCharType="begin"/>
          </w:r>
          <w:r w:rsidRPr="005F0E61">
            <w:rPr>
              <w:rStyle w:val="Hyperlink"/>
              <w:noProof/>
              <w:webHidden/>
              <w:szCs w:val="24"/>
            </w:rPr>
            <w:instrText xml:space="preserve"> PAGEREF _Toc485202314 \h </w:instrText>
          </w:r>
          <w:r w:rsidRPr="005F0E61">
            <w:rPr>
              <w:rStyle w:val="Hyperlink"/>
              <w:noProof/>
              <w:webHidden/>
              <w:szCs w:val="24"/>
            </w:rPr>
            <w:fldChar w:fldCharType="separate"/>
          </w:r>
          <w:r w:rsidRPr="005F0E61">
            <w:rPr>
              <w:rStyle w:val="Hyperlink"/>
              <w:noProof/>
              <w:webHidden/>
              <w:szCs w:val="24"/>
            </w:rPr>
            <w:t>17</w:t>
          </w:r>
          <w:r w:rsidRPr="005F0E61">
            <w:rPr>
              <w:rStyle w:val="Hyperlink"/>
              <w:noProof/>
              <w:webHidden/>
              <w:szCs w:val="24"/>
            </w:rPr>
            <w:fldChar w:fldCharType="end"/>
          </w:r>
        </w:p>
        <w:p w:rsidR="000A4126" w:rsidP="000A4126" w14:paraId="20A94795" w14:textId="4FB53CFC">
          <w:r>
            <w:rPr>
              <w:rFonts w:eastAsiaTheme="majorEastAsia"/>
              <w:noProof/>
              <w:szCs w:val="24"/>
              <w:u w:val="single"/>
            </w:rPr>
            <w:fldChar w:fldCharType="end"/>
          </w:r>
          <w:r w:rsidRPr="0050702C">
            <w:rPr>
              <w:bCs/>
              <w:noProof/>
              <w:szCs w:val="24"/>
            </w:rPr>
            <w:fldChar w:fldCharType="end"/>
          </w:r>
        </w:p>
      </w:sdtContent>
    </w:sdt>
    <w:p w:rsidR="000A4126" w14:paraId="445A7207" w14:textId="5CD5552D"/>
    <w:p w:rsidR="000A4126" w:rsidRPr="000F2DF5" w:rsidP="000A4126" w14:paraId="4CDF137B" w14:textId="77777777">
      <w:pPr>
        <w:pStyle w:val="NoSpacing"/>
        <w:pBdr>
          <w:bottom w:val="single" w:sz="4" w:space="1" w:color="auto"/>
        </w:pBdr>
        <w:rPr>
          <w:rFonts w:cs="Times New Roman"/>
          <w:b/>
        </w:rPr>
      </w:pPr>
      <w:r w:rsidRPr="000F2DF5">
        <w:rPr>
          <w:rFonts w:cs="Times New Roman"/>
          <w:b/>
        </w:rPr>
        <w:t>EXHIBITS</w:t>
      </w:r>
    </w:p>
    <w:p w:rsidR="000A4126" w:rsidP="000A4126" w14:paraId="52ABA13D" w14:textId="1FD35889">
      <w:pPr>
        <w:pStyle w:val="TableofFigures"/>
        <w:tabs>
          <w:tab w:val="right" w:leader="dot" w:pos="10070"/>
        </w:tabs>
        <w:rPr>
          <w:rFonts w:asciiTheme="minorHAnsi" w:eastAsiaTheme="minorEastAsia" w:hAnsiTheme="minorHAnsi" w:cstheme="minorBidi"/>
          <w:noProof/>
          <w:sz w:val="22"/>
          <w:szCs w:val="22"/>
        </w:rPr>
      </w:pPr>
      <w:r w:rsidRPr="000F2DF5">
        <w:rPr>
          <w:b/>
        </w:rPr>
        <w:fldChar w:fldCharType="begin"/>
      </w:r>
      <w:r w:rsidRPr="000F2DF5">
        <w:rPr>
          <w:b/>
        </w:rPr>
        <w:instrText xml:space="preserve"> TOC \h \z \c "Exhibit" </w:instrText>
      </w:r>
      <w:r w:rsidRPr="000F2DF5">
        <w:rPr>
          <w:b/>
        </w:rPr>
        <w:fldChar w:fldCharType="separate"/>
      </w:r>
    </w:p>
    <w:p w:rsidR="00832529" w:rsidRPr="00832529" w:rsidP="00832529" w14:paraId="13F8D6BC" w14:textId="54DAEE9E">
      <w:pPr>
        <w:pStyle w:val="TableofFigures"/>
        <w:tabs>
          <w:tab w:val="right" w:leader="dot" w:pos="10070"/>
        </w:tabs>
        <w:rPr>
          <w:rStyle w:val="Hyperlink"/>
          <w:rFonts w:asciiTheme="minorHAnsi" w:eastAsiaTheme="minorEastAsia" w:hAnsiTheme="minorHAnsi" w:cstheme="minorBidi"/>
          <w:noProof/>
          <w:sz w:val="22"/>
          <w:szCs w:val="22"/>
        </w:rPr>
      </w:pPr>
      <w:r>
        <w:rPr>
          <w:noProof/>
        </w:rPr>
        <w:fldChar w:fldCharType="begin"/>
      </w:r>
      <w:r>
        <w:rPr>
          <w:noProof/>
        </w:rPr>
        <w:instrText>HYPERLINK  \l "Exhibit21"</w:instrText>
      </w:r>
      <w:r>
        <w:rPr>
          <w:noProof/>
        </w:rPr>
        <w:fldChar w:fldCharType="separate"/>
      </w:r>
      <w:r w:rsidRPr="00832529">
        <w:rPr>
          <w:rStyle w:val="Hyperlink"/>
          <w:rFonts w:eastAsiaTheme="majorEastAsia"/>
          <w:noProof/>
        </w:rPr>
        <w:t>Exhibit 2.1: Timeline of study visits, activities, and labs</w:t>
      </w:r>
      <w:r w:rsidRPr="00832529">
        <w:rPr>
          <w:rStyle w:val="Hyperlink"/>
          <w:rFonts w:eastAsiaTheme="majorEastAsia"/>
          <w:noProof/>
          <w:webHidden/>
        </w:rPr>
        <w:tab/>
        <w:t>14</w:t>
      </w:r>
    </w:p>
    <w:p w:rsidR="000A4126" w:rsidRPr="00D16552" w:rsidP="00832529" w14:paraId="1D558FC2" w14:textId="19F415AA">
      <w:pPr>
        <w:pStyle w:val="TableofFigures"/>
        <w:tabs>
          <w:tab w:val="right" w:leader="dot" w:pos="10070"/>
        </w:tabs>
        <w:rPr>
          <w:rStyle w:val="Hyperlink"/>
          <w:rFonts w:asciiTheme="minorHAnsi" w:eastAsiaTheme="minorEastAsia" w:hAnsiTheme="minorHAnsi" w:cstheme="minorBidi"/>
          <w:noProof/>
          <w:sz w:val="22"/>
          <w:szCs w:val="22"/>
        </w:rPr>
      </w:pPr>
      <w:r>
        <w:rPr>
          <w:noProof/>
        </w:rPr>
        <w:fldChar w:fldCharType="end"/>
      </w:r>
      <w:bookmarkStart w:id="1" w:name="_Hlk132727818"/>
      <w:r>
        <w:rPr>
          <w:noProof/>
        </w:rPr>
        <w:fldChar w:fldCharType="begin"/>
      </w:r>
      <w:r w:rsidR="005F0E61">
        <w:rPr>
          <w:noProof/>
        </w:rPr>
        <w:instrText>HYPERLINK  \l "ExhibitHours121"</w:instrText>
      </w:r>
      <w:r>
        <w:rPr>
          <w:noProof/>
        </w:rPr>
        <w:fldChar w:fldCharType="separate"/>
      </w:r>
      <w:r w:rsidRPr="00D16552">
        <w:rPr>
          <w:rStyle w:val="Hyperlink"/>
          <w:rFonts w:eastAsiaTheme="majorEastAsia"/>
          <w:noProof/>
        </w:rPr>
        <w:t>Exhibit 12.1: Estimated Annualized Burden Hours</w:t>
      </w:r>
      <w:bookmarkStart w:id="2" w:name="_Hlk485202657"/>
      <w:r w:rsidRPr="00D16552">
        <w:rPr>
          <w:rStyle w:val="Hyperlink"/>
          <w:rFonts w:eastAsiaTheme="majorEastAsia"/>
          <w:noProof/>
          <w:webHidden/>
        </w:rPr>
        <w:tab/>
      </w:r>
      <w:bookmarkEnd w:id="2"/>
      <w:r w:rsidRPr="00D16552">
        <w:rPr>
          <w:rStyle w:val="Hyperlink"/>
          <w:rFonts w:eastAsiaTheme="majorEastAsia"/>
          <w:noProof/>
          <w:webHidden/>
        </w:rPr>
        <w:t>14</w:t>
      </w:r>
    </w:p>
    <w:p w:rsidR="000A4126" w:rsidRPr="00D16552" w:rsidP="000A4126" w14:paraId="7678BCD8" w14:textId="4C4F1BFE">
      <w:pPr>
        <w:pStyle w:val="TableofFigures"/>
        <w:tabs>
          <w:tab w:val="right" w:leader="dot" w:pos="10070"/>
        </w:tabs>
        <w:rPr>
          <w:rStyle w:val="Hyperlink"/>
          <w:rFonts w:asciiTheme="minorHAnsi" w:eastAsiaTheme="minorEastAsia" w:hAnsiTheme="minorHAnsi" w:cstheme="minorBidi"/>
          <w:noProof/>
          <w:sz w:val="22"/>
          <w:szCs w:val="22"/>
        </w:rPr>
      </w:pPr>
      <w:r>
        <w:rPr>
          <w:noProof/>
        </w:rPr>
        <w:fldChar w:fldCharType="end"/>
      </w:r>
      <w:bookmarkEnd w:id="1"/>
      <w:r>
        <w:rPr>
          <w:noProof/>
        </w:rPr>
        <w:fldChar w:fldCharType="begin"/>
      </w:r>
      <w:r w:rsidR="005F0E61">
        <w:rPr>
          <w:noProof/>
        </w:rPr>
        <w:instrText>HYPERLINK  \l "ExhibitCosts122"</w:instrText>
      </w:r>
      <w:r>
        <w:rPr>
          <w:noProof/>
        </w:rPr>
        <w:fldChar w:fldCharType="separate"/>
      </w:r>
      <w:r w:rsidRPr="00D16552">
        <w:rPr>
          <w:rStyle w:val="Hyperlink"/>
          <w:rFonts w:eastAsiaTheme="majorEastAsia"/>
          <w:noProof/>
        </w:rPr>
        <w:t>Exhibit 12.2: Estimated Annualized Burden Costs</w:t>
      </w:r>
      <w:r w:rsidRPr="00D16552">
        <w:rPr>
          <w:rStyle w:val="Hyperlink"/>
          <w:rFonts w:eastAsiaTheme="majorEastAsia"/>
          <w:noProof/>
          <w:webHidden/>
        </w:rPr>
        <w:tab/>
        <w:t>15</w:t>
      </w:r>
    </w:p>
    <w:p w:rsidR="000A4126" w:rsidRPr="00D16552" w:rsidP="000A4126" w14:paraId="10F1B397" w14:textId="76D07238">
      <w:pPr>
        <w:pStyle w:val="TableofFigures"/>
        <w:tabs>
          <w:tab w:val="right" w:leader="dot" w:pos="10070"/>
        </w:tabs>
        <w:rPr>
          <w:rStyle w:val="Hyperlink"/>
          <w:rFonts w:asciiTheme="minorHAnsi" w:eastAsiaTheme="minorEastAsia" w:hAnsiTheme="minorHAnsi" w:cstheme="minorBidi"/>
          <w:noProof/>
          <w:sz w:val="22"/>
          <w:szCs w:val="22"/>
        </w:rPr>
      </w:pPr>
      <w:r>
        <w:rPr>
          <w:noProof/>
        </w:rPr>
        <w:fldChar w:fldCharType="end"/>
      </w:r>
      <w:r>
        <w:rPr>
          <w:noProof/>
        </w:rPr>
        <w:fldChar w:fldCharType="begin"/>
      </w:r>
      <w:r w:rsidR="005F0E61">
        <w:rPr>
          <w:noProof/>
        </w:rPr>
        <w:instrText>HYPERLINK  \l "Exhibit141"</w:instrText>
      </w:r>
      <w:r>
        <w:rPr>
          <w:noProof/>
        </w:rPr>
        <w:fldChar w:fldCharType="separate"/>
      </w:r>
      <w:r w:rsidRPr="00D16552">
        <w:rPr>
          <w:rStyle w:val="Hyperlink"/>
          <w:rFonts w:eastAsiaTheme="majorEastAsia"/>
          <w:noProof/>
        </w:rPr>
        <w:t>Exhibit 14.1: Annualized Cost to the Government</w:t>
      </w:r>
      <w:r w:rsidRPr="00D16552">
        <w:rPr>
          <w:rStyle w:val="Hyperlink"/>
          <w:rFonts w:eastAsiaTheme="majorEastAsia"/>
          <w:noProof/>
          <w:webHidden/>
        </w:rPr>
        <w:tab/>
        <w:t>15</w:t>
      </w:r>
    </w:p>
    <w:p w:rsidR="000A4126" w:rsidRPr="00D16552" w:rsidP="000A4126" w14:paraId="23836AEB" w14:textId="0349BEB1">
      <w:pPr>
        <w:pStyle w:val="TableofFigures"/>
        <w:tabs>
          <w:tab w:val="right" w:leader="dot" w:pos="10070"/>
        </w:tabs>
        <w:rPr>
          <w:rStyle w:val="Hyperlink"/>
          <w:rFonts w:asciiTheme="minorHAnsi" w:eastAsiaTheme="minorEastAsia" w:hAnsiTheme="minorHAnsi" w:cstheme="minorBidi"/>
          <w:noProof/>
          <w:sz w:val="22"/>
          <w:szCs w:val="22"/>
        </w:rPr>
      </w:pPr>
      <w:r>
        <w:rPr>
          <w:noProof/>
        </w:rPr>
        <w:fldChar w:fldCharType="end"/>
      </w:r>
      <w:r>
        <w:rPr>
          <w:noProof/>
        </w:rPr>
        <w:fldChar w:fldCharType="begin"/>
      </w:r>
      <w:r w:rsidR="005F0E61">
        <w:rPr>
          <w:noProof/>
        </w:rPr>
        <w:instrText>HYPERLINK  \l "Exhibit161"</w:instrText>
      </w:r>
      <w:r>
        <w:rPr>
          <w:noProof/>
        </w:rPr>
        <w:fldChar w:fldCharType="separate"/>
      </w:r>
      <w:r w:rsidRPr="00D16552">
        <w:rPr>
          <w:rStyle w:val="Hyperlink"/>
          <w:rFonts w:eastAsiaTheme="majorEastAsia"/>
          <w:noProof/>
        </w:rPr>
        <w:t>Exhibit 16.1: Project Time Schedule</w:t>
      </w:r>
      <w:r w:rsidRPr="00D16552">
        <w:rPr>
          <w:rStyle w:val="Hyperlink"/>
          <w:rFonts w:eastAsiaTheme="majorEastAsia"/>
          <w:noProof/>
          <w:webHidden/>
        </w:rPr>
        <w:tab/>
        <w:t>16</w:t>
      </w:r>
    </w:p>
    <w:p w:rsidR="000A4126" w:rsidP="000A4126" w14:paraId="7F3188FE" w14:textId="35E5F3D7">
      <w:r>
        <w:rPr>
          <w:noProof/>
          <w:szCs w:val="24"/>
        </w:rPr>
        <w:fldChar w:fldCharType="end"/>
      </w:r>
      <w:r w:rsidRPr="000F2DF5">
        <w:fldChar w:fldCharType="end"/>
      </w:r>
    </w:p>
    <w:p w:rsidR="000A4126" w:rsidRPr="000F2DF5" w:rsidP="000A4126" w14:paraId="5265ECB6" w14:textId="77777777">
      <w:pPr>
        <w:pStyle w:val="NoSpacing"/>
        <w:pBdr>
          <w:bottom w:val="single" w:sz="4" w:space="1" w:color="auto"/>
        </w:pBdr>
        <w:rPr>
          <w:rFonts w:cs="Times New Roman"/>
          <w:b/>
        </w:rPr>
      </w:pPr>
      <w:r w:rsidRPr="000F2DF5">
        <w:rPr>
          <w:rFonts w:cs="Times New Roman"/>
          <w:b/>
        </w:rPr>
        <w:t>LIST OF ATTACHMENTS</w:t>
      </w:r>
    </w:p>
    <w:p w:rsidR="000A4126" w:rsidRPr="000F2DF5" w:rsidP="000A4126" w14:paraId="2B36F3C9" w14:textId="77777777">
      <w:pPr>
        <w:pStyle w:val="NoSpacing"/>
        <w:rPr>
          <w:rFonts w:cs="Times New Roman"/>
        </w:rPr>
      </w:pPr>
    </w:p>
    <w:p w:rsidR="000A4126" w:rsidRPr="000F2DF5" w:rsidP="000A4126" w14:paraId="76332E8C" w14:textId="77777777">
      <w:pPr>
        <w:pStyle w:val="NoSpacing"/>
        <w:tabs>
          <w:tab w:val="left" w:pos="360"/>
        </w:tabs>
        <w:rPr>
          <w:rFonts w:cs="Times New Roman"/>
        </w:rPr>
      </w:pPr>
      <w:r w:rsidRPr="000F2DF5">
        <w:rPr>
          <w:rFonts w:cs="Times New Roman"/>
          <w:b/>
        </w:rPr>
        <w:t>Attachment 1</w:t>
      </w:r>
      <w:r w:rsidRPr="000F2DF5">
        <w:rPr>
          <w:rFonts w:cs="Times New Roman"/>
        </w:rPr>
        <w:t xml:space="preserve"> Authorizing Legislation</w:t>
      </w:r>
    </w:p>
    <w:p w:rsidR="000A4126" w:rsidRPr="000F2DF5" w:rsidP="000A4126" w14:paraId="248DAA78" w14:textId="77777777">
      <w:pPr>
        <w:pStyle w:val="NoSpacing"/>
        <w:tabs>
          <w:tab w:val="left" w:pos="360"/>
        </w:tabs>
        <w:rPr>
          <w:rFonts w:cs="Times New Roman"/>
        </w:rPr>
      </w:pPr>
    </w:p>
    <w:p w:rsidR="000A4126" w:rsidP="000A4126" w14:paraId="69D18FF0" w14:textId="7BF9B0FA">
      <w:pPr>
        <w:pStyle w:val="NoSpacing"/>
        <w:tabs>
          <w:tab w:val="left" w:pos="360"/>
        </w:tabs>
        <w:rPr>
          <w:rFonts w:cs="Times New Roman"/>
        </w:rPr>
      </w:pPr>
      <w:r w:rsidRPr="000F2DF5">
        <w:rPr>
          <w:rFonts w:cs="Times New Roman"/>
          <w:b/>
        </w:rPr>
        <w:t>Attachment 2</w:t>
      </w:r>
      <w:r w:rsidRPr="000F2DF5">
        <w:rPr>
          <w:rFonts w:cs="Times New Roman"/>
        </w:rPr>
        <w:t xml:space="preserve"> </w:t>
      </w:r>
      <w:r>
        <w:rPr>
          <w:rFonts w:cs="Times New Roman"/>
        </w:rPr>
        <w:t>60-day Federal Register Notice</w:t>
      </w:r>
    </w:p>
    <w:p w:rsidR="007C28B4" w:rsidP="000A4126" w14:paraId="35076C0B" w14:textId="794C9DAB">
      <w:pPr>
        <w:pStyle w:val="NoSpacing"/>
        <w:tabs>
          <w:tab w:val="left" w:pos="360"/>
        </w:tabs>
        <w:rPr>
          <w:rFonts w:cs="Times New Roman"/>
        </w:rPr>
      </w:pPr>
      <w:r>
        <w:rPr>
          <w:rFonts w:cs="Times New Roman"/>
        </w:rPr>
        <w:tab/>
        <w:t>2a. 60-Day FRN publication</w:t>
      </w:r>
    </w:p>
    <w:p w:rsidR="00D2435C" w:rsidP="000A4126" w14:paraId="0B49A43B" w14:textId="7C914D95">
      <w:pPr>
        <w:pStyle w:val="NoSpacing"/>
        <w:tabs>
          <w:tab w:val="left" w:pos="360"/>
        </w:tabs>
        <w:rPr>
          <w:rFonts w:cs="Times New Roman"/>
        </w:rPr>
      </w:pPr>
      <w:r>
        <w:rPr>
          <w:rFonts w:cs="Times New Roman"/>
        </w:rPr>
        <w:tab/>
        <w:t>2b. 60-Day FRN</w:t>
      </w:r>
      <w:r w:rsidR="004321D4">
        <w:rPr>
          <w:rFonts w:cs="Times New Roman"/>
        </w:rPr>
        <w:t xml:space="preserve"> public comments and response</w:t>
      </w:r>
    </w:p>
    <w:p w:rsidR="000A4126" w:rsidP="000A4126" w14:paraId="278BDBEE" w14:textId="77777777">
      <w:pPr>
        <w:pStyle w:val="NoSpacing"/>
        <w:tabs>
          <w:tab w:val="left" w:pos="360"/>
        </w:tabs>
        <w:rPr>
          <w:rFonts w:cs="Times New Roman"/>
        </w:rPr>
      </w:pPr>
    </w:p>
    <w:p w:rsidR="003F4C7D" w:rsidRPr="000F2DF5" w:rsidP="000C4665" w14:paraId="22CB7D34" w14:textId="63412937">
      <w:pPr>
        <w:pStyle w:val="NoSpacing"/>
        <w:tabs>
          <w:tab w:val="left" w:pos="360"/>
        </w:tabs>
        <w:rPr>
          <w:rFonts w:cs="Times New Roman"/>
        </w:rPr>
      </w:pPr>
      <w:r w:rsidRPr="007A1543">
        <w:rPr>
          <w:rFonts w:cs="Times New Roman"/>
          <w:b/>
        </w:rPr>
        <w:t>Attachment 3</w:t>
      </w:r>
      <w:r>
        <w:rPr>
          <w:rFonts w:cs="Times New Roman"/>
        </w:rPr>
        <w:t xml:space="preserve"> Recruitment Materials</w:t>
      </w:r>
      <w:r w:rsidR="000C4665">
        <w:rPr>
          <w:rFonts w:cs="Times New Roman"/>
        </w:rPr>
        <w:t xml:space="preserve"> (English/Spanish)</w:t>
      </w:r>
    </w:p>
    <w:p w:rsidR="000A4126" w:rsidRPr="000F2DF5" w:rsidP="000A4126" w14:paraId="6041947D" w14:textId="77777777">
      <w:pPr>
        <w:pStyle w:val="NoSpacing"/>
        <w:tabs>
          <w:tab w:val="left" w:pos="360"/>
        </w:tabs>
        <w:rPr>
          <w:rFonts w:cs="Times New Roman"/>
          <w:b/>
        </w:rPr>
      </w:pPr>
    </w:p>
    <w:p w:rsidR="000A4126" w:rsidRPr="000F2DF5" w:rsidP="000A4126" w14:paraId="4EEA786B" w14:textId="77777777">
      <w:pPr>
        <w:pStyle w:val="NoSpacing"/>
        <w:tabs>
          <w:tab w:val="left" w:pos="360"/>
        </w:tabs>
        <w:rPr>
          <w:rFonts w:cs="Times New Roman"/>
        </w:rPr>
      </w:pPr>
      <w:r w:rsidRPr="000F2DF5">
        <w:rPr>
          <w:rFonts w:cs="Times New Roman"/>
          <w:b/>
        </w:rPr>
        <w:t xml:space="preserve">Attachment </w:t>
      </w:r>
      <w:r>
        <w:rPr>
          <w:rFonts w:cs="Times New Roman"/>
          <w:b/>
        </w:rPr>
        <w:t>4</w:t>
      </w:r>
      <w:r w:rsidRPr="000F2DF5">
        <w:rPr>
          <w:rFonts w:cs="Times New Roman"/>
          <w:b/>
        </w:rPr>
        <w:t xml:space="preserve"> </w:t>
      </w:r>
      <w:r w:rsidRPr="000F2DF5">
        <w:rPr>
          <w:rFonts w:cs="Times New Roman"/>
        </w:rPr>
        <w:t>Data Collection Instruments</w:t>
      </w:r>
    </w:p>
    <w:p w:rsidR="007E32AA" w:rsidRPr="000F2DF5" w:rsidP="000A4126" w14:paraId="254FA873" w14:textId="737284C5">
      <w:pPr>
        <w:pStyle w:val="NoSpacing"/>
        <w:tabs>
          <w:tab w:val="left" w:pos="360"/>
        </w:tabs>
        <w:rPr>
          <w:rFonts w:cs="Times New Roman"/>
        </w:rPr>
      </w:pPr>
      <w:r w:rsidRPr="000F2DF5">
        <w:rPr>
          <w:rFonts w:cs="Times New Roman"/>
        </w:rPr>
        <w:tab/>
      </w:r>
      <w:r>
        <w:rPr>
          <w:rFonts w:cs="Times New Roman"/>
        </w:rPr>
        <w:t>4</w:t>
      </w:r>
      <w:r w:rsidRPr="000F2DF5">
        <w:rPr>
          <w:rFonts w:cs="Times New Roman"/>
        </w:rPr>
        <w:t xml:space="preserve">a. </w:t>
      </w:r>
      <w:r>
        <w:rPr>
          <w:rFonts w:cs="Times New Roman"/>
        </w:rPr>
        <w:t>E</w:t>
      </w:r>
      <w:r w:rsidR="001F472F">
        <w:rPr>
          <w:rFonts w:cs="Times New Roman"/>
        </w:rPr>
        <w:t>lig</w:t>
      </w:r>
      <w:r>
        <w:rPr>
          <w:rFonts w:cs="Times New Roman"/>
        </w:rPr>
        <w:t>ibility Screener</w:t>
      </w:r>
      <w:r>
        <w:rPr>
          <w:rFonts w:cs="Times New Roman"/>
        </w:rPr>
        <w:t xml:space="preserve"> </w:t>
      </w:r>
      <w:r w:rsidR="00C35C27">
        <w:rPr>
          <w:rFonts w:cs="Times New Roman"/>
        </w:rPr>
        <w:t>(English/Spanish)</w:t>
      </w:r>
    </w:p>
    <w:p w:rsidR="007E32AA" w:rsidP="000A4126" w14:paraId="57EE9414" w14:textId="56A6833E">
      <w:pPr>
        <w:pStyle w:val="NoSpacing"/>
        <w:tabs>
          <w:tab w:val="left" w:pos="360"/>
        </w:tabs>
        <w:rPr>
          <w:rFonts w:cs="Times New Roman"/>
        </w:rPr>
      </w:pPr>
      <w:r>
        <w:rPr>
          <w:rFonts w:cs="Times New Roman"/>
        </w:rPr>
        <w:tab/>
        <w:t>4</w:t>
      </w:r>
      <w:r w:rsidR="00E23D2D">
        <w:rPr>
          <w:rFonts w:cs="Times New Roman"/>
        </w:rPr>
        <w:t>b</w:t>
      </w:r>
      <w:r w:rsidRPr="000F2DF5">
        <w:rPr>
          <w:rFonts w:cs="Times New Roman"/>
        </w:rPr>
        <w:t xml:space="preserve">. </w:t>
      </w:r>
      <w:r w:rsidR="00D73759">
        <w:rPr>
          <w:rFonts w:cs="Times New Roman"/>
        </w:rPr>
        <w:t>Registration</w:t>
      </w:r>
      <w:r w:rsidR="00184D0D">
        <w:rPr>
          <w:rFonts w:cs="Times New Roman"/>
        </w:rPr>
        <w:t xml:space="preserve"> Contact Information</w:t>
      </w:r>
      <w:r w:rsidR="00D73759">
        <w:rPr>
          <w:rFonts w:cs="Times New Roman"/>
        </w:rPr>
        <w:t xml:space="preserve"> </w:t>
      </w:r>
      <w:r w:rsidR="001F472F">
        <w:rPr>
          <w:rFonts w:cs="Times New Roman"/>
        </w:rPr>
        <w:t>Form</w:t>
      </w:r>
      <w:r>
        <w:rPr>
          <w:rFonts w:cs="Times New Roman"/>
        </w:rPr>
        <w:t xml:space="preserve"> </w:t>
      </w:r>
      <w:r w:rsidR="00FC3A29">
        <w:rPr>
          <w:rFonts w:cs="Times New Roman"/>
        </w:rPr>
        <w:t>(English/Spanish)</w:t>
      </w:r>
    </w:p>
    <w:p w:rsidR="009A487A" w:rsidP="009A487A" w14:paraId="2C1D65D1" w14:textId="639F71E9">
      <w:pPr>
        <w:pStyle w:val="NoSpacing"/>
        <w:tabs>
          <w:tab w:val="left" w:pos="360"/>
        </w:tabs>
        <w:rPr>
          <w:rFonts w:cs="Times New Roman"/>
        </w:rPr>
      </w:pPr>
      <w:r>
        <w:rPr>
          <w:rFonts w:cs="Times New Roman"/>
        </w:rPr>
        <w:tab/>
        <w:t>4</w:t>
      </w:r>
      <w:r w:rsidR="00E23D2D">
        <w:rPr>
          <w:rFonts w:cs="Times New Roman"/>
        </w:rPr>
        <w:t>c</w:t>
      </w:r>
      <w:r>
        <w:rPr>
          <w:rFonts w:cs="Times New Roman"/>
        </w:rPr>
        <w:t xml:space="preserve">. Quarterly assessment </w:t>
      </w:r>
      <w:r w:rsidR="00FC3A29">
        <w:rPr>
          <w:rFonts w:cs="Times New Roman"/>
        </w:rPr>
        <w:t>(English/Spanish)</w:t>
      </w:r>
    </w:p>
    <w:p w:rsidR="000A4126" w:rsidP="000A4126" w14:paraId="623D4E33" w14:textId="76E1DF0B">
      <w:pPr>
        <w:pStyle w:val="NoSpacing"/>
        <w:tabs>
          <w:tab w:val="left" w:pos="360"/>
        </w:tabs>
        <w:rPr>
          <w:rFonts w:cs="Times New Roman"/>
        </w:rPr>
      </w:pPr>
      <w:r>
        <w:rPr>
          <w:rFonts w:cs="Times New Roman"/>
        </w:rPr>
        <w:tab/>
        <w:t>4</w:t>
      </w:r>
      <w:r w:rsidR="00E23D2D">
        <w:rPr>
          <w:rFonts w:cs="Times New Roman"/>
        </w:rPr>
        <w:t>d</w:t>
      </w:r>
      <w:r w:rsidRPr="000F2DF5">
        <w:rPr>
          <w:rFonts w:cs="Times New Roman"/>
        </w:rPr>
        <w:t xml:space="preserve">. </w:t>
      </w:r>
      <w:r w:rsidR="001F472F">
        <w:rPr>
          <w:rFonts w:cs="Times New Roman"/>
        </w:rPr>
        <w:t>SMaRT</w:t>
      </w:r>
      <w:r w:rsidR="001F472F">
        <w:rPr>
          <w:rFonts w:cs="Times New Roman"/>
        </w:rPr>
        <w:t xml:space="preserve"> app </w:t>
      </w:r>
      <w:r w:rsidR="00674730">
        <w:rPr>
          <w:rFonts w:cs="Times New Roman"/>
        </w:rPr>
        <w:t>installation</w:t>
      </w:r>
      <w:r>
        <w:rPr>
          <w:rFonts w:cs="Times New Roman"/>
        </w:rPr>
        <w:t xml:space="preserve"> </w:t>
      </w:r>
      <w:r w:rsidR="00FC3A29">
        <w:rPr>
          <w:rFonts w:cs="Times New Roman"/>
        </w:rPr>
        <w:t>(English/Spanish)</w:t>
      </w:r>
    </w:p>
    <w:p w:rsidR="001F472F" w:rsidP="000A4126" w14:paraId="21FE7433" w14:textId="52369C4F">
      <w:pPr>
        <w:pStyle w:val="NoSpacing"/>
        <w:tabs>
          <w:tab w:val="left" w:pos="360"/>
        </w:tabs>
        <w:rPr>
          <w:rFonts w:cs="Times New Roman"/>
        </w:rPr>
      </w:pPr>
      <w:r>
        <w:rPr>
          <w:rFonts w:cs="Times New Roman"/>
        </w:rPr>
        <w:tab/>
        <w:t>4</w:t>
      </w:r>
      <w:r w:rsidR="00E23D2D">
        <w:rPr>
          <w:rFonts w:cs="Times New Roman"/>
        </w:rPr>
        <w:t>e</w:t>
      </w:r>
      <w:r>
        <w:rPr>
          <w:rFonts w:cs="Times New Roman"/>
        </w:rPr>
        <w:t xml:space="preserve">. </w:t>
      </w:r>
      <w:r w:rsidR="00E33A61">
        <w:rPr>
          <w:rFonts w:cs="Times New Roman"/>
        </w:rPr>
        <w:t xml:space="preserve"> </w:t>
      </w:r>
      <w:r w:rsidR="00674730">
        <w:rPr>
          <w:rFonts w:cs="Times New Roman"/>
        </w:rPr>
        <w:t>HIV sample</w:t>
      </w:r>
      <w:r>
        <w:rPr>
          <w:rFonts w:cs="Times New Roman"/>
        </w:rPr>
        <w:t xml:space="preserve"> collection </w:t>
      </w:r>
      <w:r w:rsidR="00FC3A29">
        <w:rPr>
          <w:rFonts w:cs="Times New Roman"/>
        </w:rPr>
        <w:t>(English/Spanish)</w:t>
      </w:r>
    </w:p>
    <w:p w:rsidR="001F472F" w:rsidP="000A4126" w14:paraId="3047F19A" w14:textId="14177185">
      <w:pPr>
        <w:pStyle w:val="NoSpacing"/>
        <w:tabs>
          <w:tab w:val="left" w:pos="360"/>
        </w:tabs>
        <w:rPr>
          <w:rFonts w:cs="Times New Roman"/>
        </w:rPr>
      </w:pPr>
      <w:r>
        <w:rPr>
          <w:rFonts w:cs="Times New Roman"/>
        </w:rPr>
        <w:tab/>
        <w:t>4</w:t>
      </w:r>
      <w:r w:rsidR="00E23D2D">
        <w:rPr>
          <w:rFonts w:cs="Times New Roman"/>
        </w:rPr>
        <w:t>f</w:t>
      </w:r>
      <w:r>
        <w:rPr>
          <w:rFonts w:cs="Times New Roman"/>
        </w:rPr>
        <w:t xml:space="preserve">. </w:t>
      </w:r>
      <w:r w:rsidR="00686E7F">
        <w:rPr>
          <w:rFonts w:cs="Times New Roman"/>
        </w:rPr>
        <w:t xml:space="preserve">STI sample collection </w:t>
      </w:r>
      <w:r w:rsidR="00FC3A29">
        <w:rPr>
          <w:rFonts w:cs="Times New Roman"/>
        </w:rPr>
        <w:t>(English/Spanish)</w:t>
      </w:r>
    </w:p>
    <w:p w:rsidR="001F472F" w:rsidP="000A4126" w14:paraId="1A5C515D" w14:textId="626AC797">
      <w:pPr>
        <w:pStyle w:val="NoSpacing"/>
        <w:tabs>
          <w:tab w:val="left" w:pos="360"/>
        </w:tabs>
        <w:rPr>
          <w:rFonts w:cs="Times New Roman"/>
        </w:rPr>
      </w:pPr>
      <w:r>
        <w:rPr>
          <w:rFonts w:cs="Times New Roman"/>
        </w:rPr>
        <w:tab/>
        <w:t>4</w:t>
      </w:r>
      <w:r w:rsidR="00E23D2D">
        <w:rPr>
          <w:rFonts w:cs="Times New Roman"/>
        </w:rPr>
        <w:t>g</w:t>
      </w:r>
      <w:r>
        <w:rPr>
          <w:rFonts w:cs="Times New Roman"/>
        </w:rPr>
        <w:t>. Focus Group Guide</w:t>
      </w:r>
      <w:r w:rsidR="00686E7F">
        <w:rPr>
          <w:rFonts w:cs="Times New Roman"/>
        </w:rPr>
        <w:t xml:space="preserve"> </w:t>
      </w:r>
      <w:r w:rsidR="00FC3A29">
        <w:rPr>
          <w:rFonts w:cs="Times New Roman"/>
        </w:rPr>
        <w:t>(English/Spanish)</w:t>
      </w:r>
    </w:p>
    <w:p w:rsidR="00686E7F" w:rsidRPr="000F2DF5" w:rsidP="000A4126" w14:paraId="59E3B197" w14:textId="3577E89D">
      <w:pPr>
        <w:pStyle w:val="NoSpacing"/>
        <w:tabs>
          <w:tab w:val="left" w:pos="360"/>
        </w:tabs>
        <w:rPr>
          <w:rFonts w:cs="Times New Roman"/>
        </w:rPr>
      </w:pPr>
      <w:r>
        <w:rPr>
          <w:rFonts w:cs="Times New Roman"/>
        </w:rPr>
        <w:tab/>
        <w:t>4</w:t>
      </w:r>
      <w:r w:rsidR="00E23D2D">
        <w:rPr>
          <w:rFonts w:cs="Times New Roman"/>
        </w:rPr>
        <w:t>h</w:t>
      </w:r>
      <w:r>
        <w:rPr>
          <w:rFonts w:cs="Times New Roman"/>
        </w:rPr>
        <w:t>. In-Depth Interview Guide</w:t>
      </w:r>
      <w:r>
        <w:rPr>
          <w:rFonts w:cs="Times New Roman"/>
        </w:rPr>
        <w:t xml:space="preserve"> </w:t>
      </w:r>
      <w:r w:rsidR="00FC3A29">
        <w:rPr>
          <w:rFonts w:cs="Times New Roman"/>
        </w:rPr>
        <w:t>(English/Spanish)</w:t>
      </w:r>
      <w:r>
        <w:rPr>
          <w:rFonts w:cs="Times New Roman"/>
        </w:rPr>
        <w:t xml:space="preserve"> </w:t>
      </w:r>
    </w:p>
    <w:p w:rsidR="000A4126" w:rsidRPr="000F2DF5" w:rsidP="000A4126" w14:paraId="15884E56" w14:textId="77777777">
      <w:pPr>
        <w:pStyle w:val="NoSpacing"/>
        <w:tabs>
          <w:tab w:val="left" w:pos="360"/>
        </w:tabs>
        <w:rPr>
          <w:rFonts w:cs="Times New Roman"/>
        </w:rPr>
      </w:pPr>
    </w:p>
    <w:p w:rsidR="000A4126" w:rsidP="000A4126" w14:paraId="2931FFC0" w14:textId="77777777">
      <w:pPr>
        <w:pStyle w:val="NoSpacing"/>
        <w:tabs>
          <w:tab w:val="left" w:pos="360"/>
        </w:tabs>
        <w:rPr>
          <w:rFonts w:cs="Times New Roman"/>
        </w:rPr>
      </w:pPr>
      <w:r>
        <w:rPr>
          <w:rFonts w:cs="Times New Roman"/>
          <w:b/>
        </w:rPr>
        <w:t>Attachment 5</w:t>
      </w:r>
      <w:r w:rsidRPr="000F2DF5">
        <w:rPr>
          <w:rFonts w:cs="Times New Roman"/>
        </w:rPr>
        <w:t xml:space="preserve"> Consent Form</w:t>
      </w:r>
      <w:r>
        <w:rPr>
          <w:rFonts w:cs="Times New Roman"/>
        </w:rPr>
        <w:t>s</w:t>
      </w:r>
    </w:p>
    <w:p w:rsidR="000A4126" w:rsidP="000A4126" w14:paraId="28F05193" w14:textId="500B255B">
      <w:pPr>
        <w:pStyle w:val="NoSpacing"/>
        <w:tabs>
          <w:tab w:val="left" w:pos="360"/>
        </w:tabs>
        <w:rPr>
          <w:rFonts w:cs="Times New Roman"/>
        </w:rPr>
      </w:pPr>
      <w:r>
        <w:rPr>
          <w:rFonts w:cs="Times New Roman"/>
        </w:rPr>
        <w:tab/>
        <w:t xml:space="preserve">5a. Consent </w:t>
      </w:r>
      <w:r w:rsidR="001F472F">
        <w:rPr>
          <w:rFonts w:cs="Times New Roman"/>
        </w:rPr>
        <w:t xml:space="preserve">to </w:t>
      </w:r>
      <w:r w:rsidR="00E321C5">
        <w:rPr>
          <w:rFonts w:cs="Times New Roman"/>
        </w:rPr>
        <w:t>P</w:t>
      </w:r>
      <w:r w:rsidR="001F472F">
        <w:rPr>
          <w:rFonts w:cs="Times New Roman"/>
        </w:rPr>
        <w:t>articipate</w:t>
      </w:r>
      <w:r w:rsidR="007E32AA">
        <w:rPr>
          <w:rFonts w:cs="Times New Roman"/>
        </w:rPr>
        <w:t xml:space="preserve"> </w:t>
      </w:r>
      <w:r w:rsidR="006836B8">
        <w:rPr>
          <w:rFonts w:cs="Times New Roman"/>
        </w:rPr>
        <w:t>(</w:t>
      </w:r>
      <w:r w:rsidR="001F472F">
        <w:rPr>
          <w:rFonts w:cs="Times New Roman"/>
        </w:rPr>
        <w:t>English</w:t>
      </w:r>
      <w:r w:rsidR="006836B8">
        <w:rPr>
          <w:rFonts w:cs="Times New Roman"/>
        </w:rPr>
        <w:t>/Spanish)</w:t>
      </w:r>
    </w:p>
    <w:p w:rsidR="007E32AA" w:rsidP="000A4126" w14:paraId="1A73C4DF" w14:textId="5F43B25D">
      <w:pPr>
        <w:pStyle w:val="NoSpacing"/>
        <w:tabs>
          <w:tab w:val="left" w:pos="360"/>
        </w:tabs>
        <w:rPr>
          <w:rFonts w:cs="Times New Roman"/>
        </w:rPr>
      </w:pPr>
      <w:r>
        <w:rPr>
          <w:rFonts w:cs="Times New Roman"/>
        </w:rPr>
        <w:tab/>
        <w:t>5</w:t>
      </w:r>
      <w:r w:rsidR="006836B8">
        <w:rPr>
          <w:rFonts w:cs="Times New Roman"/>
        </w:rPr>
        <w:t>b</w:t>
      </w:r>
      <w:r>
        <w:rPr>
          <w:rFonts w:cs="Times New Roman"/>
        </w:rPr>
        <w:t xml:space="preserve">. Focus </w:t>
      </w:r>
      <w:r w:rsidR="00E321C5">
        <w:rPr>
          <w:rFonts w:cs="Times New Roman"/>
        </w:rPr>
        <w:t>G</w:t>
      </w:r>
      <w:r>
        <w:rPr>
          <w:rFonts w:cs="Times New Roman"/>
        </w:rPr>
        <w:t xml:space="preserve">roup </w:t>
      </w:r>
      <w:r w:rsidR="00E321C5">
        <w:rPr>
          <w:rFonts w:cs="Times New Roman"/>
        </w:rPr>
        <w:t>C</w:t>
      </w:r>
      <w:r>
        <w:rPr>
          <w:rFonts w:cs="Times New Roman"/>
        </w:rPr>
        <w:t xml:space="preserve">onsent </w:t>
      </w:r>
      <w:r w:rsidR="006836B8">
        <w:rPr>
          <w:rFonts w:cs="Times New Roman"/>
        </w:rPr>
        <w:t>(</w:t>
      </w:r>
      <w:r>
        <w:rPr>
          <w:rFonts w:cs="Times New Roman"/>
        </w:rPr>
        <w:t>English</w:t>
      </w:r>
      <w:r w:rsidR="006836B8">
        <w:rPr>
          <w:rFonts w:cs="Times New Roman"/>
        </w:rPr>
        <w:t>/Spanish)</w:t>
      </w:r>
    </w:p>
    <w:p w:rsidR="007E32AA" w:rsidP="000A4126" w14:paraId="238A4FDA" w14:textId="4EEC2581">
      <w:pPr>
        <w:pStyle w:val="NoSpacing"/>
        <w:tabs>
          <w:tab w:val="left" w:pos="360"/>
        </w:tabs>
        <w:rPr>
          <w:rFonts w:cs="Times New Roman"/>
        </w:rPr>
      </w:pPr>
      <w:r>
        <w:rPr>
          <w:rFonts w:cs="Times New Roman"/>
        </w:rPr>
        <w:tab/>
        <w:t>5</w:t>
      </w:r>
      <w:r w:rsidR="006836B8">
        <w:rPr>
          <w:rFonts w:cs="Times New Roman"/>
        </w:rPr>
        <w:t>c</w:t>
      </w:r>
      <w:r>
        <w:rPr>
          <w:rFonts w:cs="Times New Roman"/>
        </w:rPr>
        <w:t>. In-</w:t>
      </w:r>
      <w:r w:rsidR="00E321C5">
        <w:rPr>
          <w:rFonts w:cs="Times New Roman"/>
        </w:rPr>
        <w:t>D</w:t>
      </w:r>
      <w:r>
        <w:rPr>
          <w:rFonts w:cs="Times New Roman"/>
        </w:rPr>
        <w:t xml:space="preserve">epth </w:t>
      </w:r>
      <w:r w:rsidR="00E321C5">
        <w:rPr>
          <w:rFonts w:cs="Times New Roman"/>
        </w:rPr>
        <w:t>I</w:t>
      </w:r>
      <w:r>
        <w:rPr>
          <w:rFonts w:cs="Times New Roman"/>
        </w:rPr>
        <w:t xml:space="preserve">nterview </w:t>
      </w:r>
      <w:r w:rsidR="00E321C5">
        <w:rPr>
          <w:rFonts w:cs="Times New Roman"/>
        </w:rPr>
        <w:t>C</w:t>
      </w:r>
      <w:r>
        <w:rPr>
          <w:rFonts w:cs="Times New Roman"/>
        </w:rPr>
        <w:t xml:space="preserve">onsent </w:t>
      </w:r>
      <w:r w:rsidR="006836B8">
        <w:rPr>
          <w:rFonts w:cs="Times New Roman"/>
        </w:rPr>
        <w:t>(</w:t>
      </w:r>
      <w:r>
        <w:rPr>
          <w:rFonts w:cs="Times New Roman"/>
        </w:rPr>
        <w:t>English</w:t>
      </w:r>
      <w:r w:rsidR="006836B8">
        <w:rPr>
          <w:rFonts w:cs="Times New Roman"/>
        </w:rPr>
        <w:t>/Spanish)</w:t>
      </w:r>
    </w:p>
    <w:p w:rsidR="000A4126" w:rsidRPr="000F2DF5" w:rsidP="000A4126" w14:paraId="26762EC6" w14:textId="77777777">
      <w:pPr>
        <w:pStyle w:val="NoSpacing"/>
        <w:tabs>
          <w:tab w:val="left" w:pos="360"/>
        </w:tabs>
        <w:rPr>
          <w:rFonts w:cs="Times New Roman"/>
        </w:rPr>
      </w:pPr>
      <w:r w:rsidRPr="000F2DF5">
        <w:rPr>
          <w:rFonts w:cs="Times New Roman"/>
        </w:rPr>
        <w:tab/>
      </w:r>
    </w:p>
    <w:p w:rsidR="000A4126" w:rsidRPr="000F2DF5" w:rsidP="000A4126" w14:paraId="1EED2884" w14:textId="77777777">
      <w:pPr>
        <w:pStyle w:val="NoSpacing"/>
        <w:tabs>
          <w:tab w:val="left" w:pos="360"/>
        </w:tabs>
        <w:rPr>
          <w:rFonts w:cs="Times New Roman"/>
        </w:rPr>
      </w:pPr>
      <w:r>
        <w:rPr>
          <w:rFonts w:cs="Times New Roman"/>
          <w:b/>
        </w:rPr>
        <w:t>Attachment 6</w:t>
      </w:r>
      <w:r w:rsidRPr="000F2DF5">
        <w:rPr>
          <w:rFonts w:cs="Times New Roman"/>
        </w:rPr>
        <w:t xml:space="preserve"> Human Subjects Approvals</w:t>
      </w:r>
    </w:p>
    <w:p w:rsidR="000A4126" w:rsidP="000A4126" w14:paraId="0B38077B" w14:textId="19AAF2CE">
      <w:pPr>
        <w:pStyle w:val="NoSpacing"/>
        <w:tabs>
          <w:tab w:val="left" w:pos="360"/>
        </w:tabs>
        <w:rPr>
          <w:rFonts w:cs="Times New Roman"/>
        </w:rPr>
      </w:pPr>
      <w:r w:rsidRPr="000F2DF5">
        <w:rPr>
          <w:rFonts w:cs="Times New Roman"/>
        </w:rPr>
        <w:tab/>
        <w:t xml:space="preserve">6a. </w:t>
      </w:r>
      <w:r w:rsidR="00686E7F">
        <w:rPr>
          <w:rFonts w:cs="Times New Roman"/>
        </w:rPr>
        <w:t>WCG</w:t>
      </w:r>
      <w:r w:rsidRPr="000F2DF5">
        <w:rPr>
          <w:rFonts w:cs="Times New Roman"/>
        </w:rPr>
        <w:t xml:space="preserve"> IRB</w:t>
      </w:r>
      <w:r w:rsidR="00686E7F">
        <w:rPr>
          <w:rFonts w:cs="Times New Roman"/>
        </w:rPr>
        <w:t xml:space="preserve"> </w:t>
      </w:r>
      <w:r w:rsidRPr="000F2DF5">
        <w:rPr>
          <w:rFonts w:cs="Times New Roman"/>
        </w:rPr>
        <w:t>Letter of Approval</w:t>
      </w:r>
    </w:p>
    <w:p w:rsidR="00CA7CBE" w:rsidRPr="000F2DF5" w:rsidP="000A4126" w14:paraId="1A041718" w14:textId="73E30208">
      <w:pPr>
        <w:pStyle w:val="NoSpacing"/>
        <w:tabs>
          <w:tab w:val="left" w:pos="360"/>
        </w:tabs>
        <w:rPr>
          <w:rFonts w:cs="Times New Roman"/>
        </w:rPr>
      </w:pPr>
      <w:r>
        <w:rPr>
          <w:rFonts w:cs="Times New Roman"/>
        </w:rPr>
        <w:tab/>
        <w:t>6b. Emory University IRB reliance agreement</w:t>
      </w:r>
    </w:p>
    <w:p w:rsidR="000A4126" w:rsidRPr="000F2DF5" w:rsidP="000A4126" w14:paraId="7F839DA5" w14:textId="1F681293">
      <w:pPr>
        <w:pStyle w:val="NoSpacing"/>
        <w:tabs>
          <w:tab w:val="left" w:pos="360"/>
        </w:tabs>
        <w:rPr>
          <w:rFonts w:cs="Times New Roman"/>
        </w:rPr>
      </w:pPr>
      <w:r w:rsidRPr="000F2DF5">
        <w:rPr>
          <w:rFonts w:cs="Times New Roman"/>
        </w:rPr>
        <w:tab/>
        <w:t>6</w:t>
      </w:r>
      <w:r w:rsidR="00CA7CBE">
        <w:rPr>
          <w:rFonts w:cs="Times New Roman"/>
        </w:rPr>
        <w:t>c</w:t>
      </w:r>
      <w:r w:rsidRPr="000F2DF5">
        <w:rPr>
          <w:rFonts w:cs="Times New Roman"/>
        </w:rPr>
        <w:t xml:space="preserve">. </w:t>
      </w:r>
      <w:r w:rsidR="00686E7F">
        <w:rPr>
          <w:rFonts w:cs="Times New Roman"/>
        </w:rPr>
        <w:t xml:space="preserve">University of </w:t>
      </w:r>
      <w:r w:rsidR="00AC4B1B">
        <w:rPr>
          <w:rFonts w:cs="Times New Roman"/>
        </w:rPr>
        <w:t xml:space="preserve">Chicago </w:t>
      </w:r>
      <w:r w:rsidR="00686E7F">
        <w:rPr>
          <w:rFonts w:cs="Times New Roman"/>
        </w:rPr>
        <w:t>IRB reliance agreement</w:t>
      </w:r>
    </w:p>
    <w:p w:rsidR="000A4126" w:rsidRPr="000F2DF5" w:rsidP="000A4126" w14:paraId="7743CA55" w14:textId="0DB83743">
      <w:pPr>
        <w:pStyle w:val="NoSpacing"/>
        <w:tabs>
          <w:tab w:val="left" w:pos="360"/>
        </w:tabs>
        <w:rPr>
          <w:rFonts w:cs="Times New Roman"/>
        </w:rPr>
      </w:pPr>
      <w:r w:rsidRPr="000F2DF5">
        <w:rPr>
          <w:rFonts w:cs="Times New Roman"/>
        </w:rPr>
        <w:tab/>
        <w:t>6</w:t>
      </w:r>
      <w:r w:rsidR="00CA7CBE">
        <w:rPr>
          <w:rFonts w:cs="Times New Roman"/>
        </w:rPr>
        <w:t>d</w:t>
      </w:r>
      <w:r>
        <w:rPr>
          <w:rFonts w:cs="Times New Roman"/>
        </w:rPr>
        <w:t xml:space="preserve">. </w:t>
      </w:r>
      <w:r w:rsidR="00686E7F">
        <w:rPr>
          <w:rFonts w:cs="Times New Roman"/>
        </w:rPr>
        <w:t xml:space="preserve">San Diego State University IRB reliance agreement </w:t>
      </w:r>
    </w:p>
    <w:p w:rsidR="000A4126" w:rsidRPr="000F2DF5" w:rsidP="000A4126" w14:paraId="7EB627C5" w14:textId="77777777">
      <w:pPr>
        <w:pStyle w:val="NoSpacing"/>
        <w:tabs>
          <w:tab w:val="left" w:pos="360"/>
        </w:tabs>
        <w:rPr>
          <w:rFonts w:cs="Times New Roman"/>
        </w:rPr>
      </w:pPr>
    </w:p>
    <w:p w:rsidR="000A4126" w:rsidP="000A4126" w14:paraId="2D20AB60" w14:textId="391ECC55">
      <w:pPr>
        <w:pStyle w:val="NoSpacing"/>
        <w:tabs>
          <w:tab w:val="left" w:pos="360"/>
        </w:tabs>
        <w:rPr>
          <w:rFonts w:cs="Times New Roman"/>
        </w:rPr>
      </w:pPr>
      <w:r w:rsidRPr="00EB6788">
        <w:rPr>
          <w:rFonts w:cs="Times New Roman"/>
          <w:b/>
        </w:rPr>
        <w:t xml:space="preserve">Attachment 7 </w:t>
      </w:r>
      <w:r>
        <w:rPr>
          <w:rFonts w:cs="Times New Roman"/>
        </w:rPr>
        <w:t xml:space="preserve">Data </w:t>
      </w:r>
      <w:r w:rsidR="00306679">
        <w:rPr>
          <w:rFonts w:cs="Times New Roman"/>
        </w:rPr>
        <w:t>Use</w:t>
      </w:r>
      <w:r>
        <w:rPr>
          <w:rFonts w:cs="Times New Roman"/>
        </w:rPr>
        <w:t xml:space="preserve"> Plan</w:t>
      </w:r>
    </w:p>
    <w:p w:rsidR="00B52F87" w:rsidP="000A4126" w14:paraId="1F135840" w14:textId="442D4A85">
      <w:pPr>
        <w:pStyle w:val="NoSpacing"/>
        <w:tabs>
          <w:tab w:val="left" w:pos="360"/>
        </w:tabs>
        <w:rPr>
          <w:rFonts w:cs="Times New Roman"/>
        </w:rPr>
      </w:pPr>
    </w:p>
    <w:p w:rsidR="00B52F87" w:rsidP="000A4126" w14:paraId="18909DCC" w14:textId="57A47537">
      <w:pPr>
        <w:pStyle w:val="NoSpacing"/>
        <w:tabs>
          <w:tab w:val="left" w:pos="360"/>
        </w:tabs>
        <w:rPr>
          <w:rFonts w:cs="Times New Roman"/>
        </w:rPr>
      </w:pPr>
      <w:r w:rsidRPr="00B52F87">
        <w:rPr>
          <w:rFonts w:cs="Times New Roman"/>
          <w:b/>
          <w:bCs/>
        </w:rPr>
        <w:t>Attachment 8</w:t>
      </w:r>
      <w:r>
        <w:rPr>
          <w:rFonts w:cs="Times New Roman"/>
        </w:rPr>
        <w:t xml:space="preserve"> Privacy Impact Assessment (PIA) </w:t>
      </w:r>
    </w:p>
    <w:p w:rsidR="00B52F87" w:rsidP="000A4126" w14:paraId="5B31B24B" w14:textId="1C91D5FE">
      <w:pPr>
        <w:pStyle w:val="NoSpacing"/>
        <w:tabs>
          <w:tab w:val="left" w:pos="360"/>
        </w:tabs>
        <w:rPr>
          <w:rFonts w:cs="Times New Roman"/>
        </w:rPr>
      </w:pPr>
    </w:p>
    <w:p w:rsidR="00B52F87" w:rsidP="000A4126" w14:paraId="092C999B" w14:textId="0F0D839D">
      <w:pPr>
        <w:pStyle w:val="NoSpacing"/>
        <w:tabs>
          <w:tab w:val="left" w:pos="360"/>
        </w:tabs>
        <w:rPr>
          <w:rFonts w:cs="Times New Roman"/>
        </w:rPr>
      </w:pPr>
    </w:p>
    <w:p w:rsidR="00B52F87" w:rsidP="000A4126" w14:paraId="147EC946" w14:textId="5EFC2E7C">
      <w:pPr>
        <w:pStyle w:val="NoSpacing"/>
        <w:tabs>
          <w:tab w:val="left" w:pos="360"/>
        </w:tabs>
        <w:rPr>
          <w:rFonts w:cs="Times New Roman"/>
        </w:rPr>
      </w:pPr>
    </w:p>
    <w:p w:rsidR="00B52F87" w:rsidP="000A4126" w14:paraId="0B9043C3" w14:textId="388434DB">
      <w:pPr>
        <w:pStyle w:val="NoSpacing"/>
        <w:tabs>
          <w:tab w:val="left" w:pos="360"/>
        </w:tabs>
        <w:rPr>
          <w:rFonts w:cs="Times New Roman"/>
        </w:rPr>
      </w:pPr>
    </w:p>
    <w:p w:rsidR="00B52F87" w:rsidP="000A4126" w14:paraId="42EC850F" w14:textId="06B95F94">
      <w:pPr>
        <w:pStyle w:val="NoSpacing"/>
        <w:tabs>
          <w:tab w:val="left" w:pos="360"/>
        </w:tabs>
        <w:rPr>
          <w:rFonts w:cs="Times New Roman"/>
        </w:rPr>
      </w:pPr>
    </w:p>
    <w:p w:rsidR="00B52F87" w:rsidP="000A4126" w14:paraId="10945D0D" w14:textId="26C27C9D">
      <w:pPr>
        <w:pStyle w:val="NoSpacing"/>
        <w:tabs>
          <w:tab w:val="left" w:pos="360"/>
        </w:tabs>
        <w:rPr>
          <w:rFonts w:cs="Times New Roman"/>
        </w:rPr>
      </w:pPr>
    </w:p>
    <w:p w:rsidR="00B52F87" w:rsidP="000A4126" w14:paraId="0E33520E" w14:textId="61DF8D58">
      <w:pPr>
        <w:pStyle w:val="NoSpacing"/>
        <w:tabs>
          <w:tab w:val="left" w:pos="360"/>
        </w:tabs>
        <w:rPr>
          <w:rFonts w:cs="Times New Roman"/>
        </w:rPr>
      </w:pPr>
    </w:p>
    <w:p w:rsidR="00B52F87" w:rsidP="000A4126" w14:paraId="583E53E4" w14:textId="6A253362">
      <w:pPr>
        <w:pStyle w:val="NoSpacing"/>
        <w:tabs>
          <w:tab w:val="left" w:pos="360"/>
        </w:tabs>
        <w:rPr>
          <w:rFonts w:cs="Times New Roman"/>
        </w:rPr>
      </w:pPr>
    </w:p>
    <w:p w:rsidR="00B52F87" w:rsidP="000A4126" w14:paraId="0F179A34" w14:textId="77777777">
      <w:pPr>
        <w:pStyle w:val="NoSpacing"/>
        <w:tabs>
          <w:tab w:val="left" w:pos="360"/>
        </w:tabs>
        <w:rPr>
          <w:rFonts w:cs="Times New Roman"/>
        </w:rPr>
        <w:sectPr w:rsidSect="00B52F87">
          <w:headerReference w:type="even" r:id="rId4"/>
          <w:headerReference w:type="default" r:id="rId5"/>
          <w:footerReference w:type="even" r:id="rId6"/>
          <w:footerReference w:type="default" r:id="rId7"/>
          <w:headerReference w:type="first" r:id="rId8"/>
          <w:footerReference w:type="first" r:id="rId9"/>
          <w:pgSz w:w="12240" w:h="15840"/>
          <w:pgMar w:top="1440" w:right="1152" w:bottom="1440" w:left="1152" w:header="720" w:footer="720" w:gutter="0"/>
          <w:cols w:space="720"/>
          <w:docGrid w:linePitch="360"/>
        </w:sectPr>
      </w:pPr>
    </w:p>
    <w:tbl>
      <w:tblPr>
        <w:tblStyle w:val="TableGrid"/>
        <w:tblW w:w="0" w:type="auto"/>
        <w:tblLook w:val="04A0"/>
      </w:tblPr>
      <w:tblGrid>
        <w:gridCol w:w="9350"/>
      </w:tblGrid>
      <w:tr w14:paraId="1FBD8432" w14:textId="77777777" w:rsidTr="003E3747">
        <w:tblPrEx>
          <w:tblW w:w="0" w:type="auto"/>
          <w:tblLook w:val="04A0"/>
        </w:tblPrEx>
        <w:trPr>
          <w:trHeight w:val="3860"/>
        </w:trPr>
        <w:tc>
          <w:tcPr>
            <w:tcW w:w="10070" w:type="dxa"/>
          </w:tcPr>
          <w:p w:rsidR="00202822" w:rsidRPr="00101531" w:rsidP="00101531" w14:paraId="0F6EB24B" w14:textId="21B18804">
            <w:pPr>
              <w:pStyle w:val="NoSpacing"/>
              <w:numPr>
                <w:ilvl w:val="0"/>
                <w:numId w:val="1"/>
              </w:numPr>
              <w:ind w:left="504"/>
              <w:rPr>
                <w:rFonts w:cs="Times New Roman"/>
                <w:b/>
              </w:rPr>
            </w:pPr>
            <w:r w:rsidRPr="000F2DF5">
              <w:rPr>
                <w:rFonts w:cs="Times New Roman"/>
                <w:b/>
              </w:rPr>
              <w:t>Goals of the study:</w:t>
            </w:r>
            <w:r>
              <w:rPr>
                <w:rFonts w:cs="Times New Roman"/>
                <w:b/>
              </w:rPr>
              <w:t xml:space="preserve"> </w:t>
            </w:r>
            <w:r w:rsidR="00101531">
              <w:rPr>
                <w:rFonts w:cs="Times New Roman"/>
                <w:bCs/>
              </w:rPr>
              <w:t>To understand the strategies of men who have sex with men (MSM) to prevent HIV and sexually transmitted infections (STIs), including preexposure prophylaxis (PrEP) use and adherence, condom use, and sexual risk-taking behaviors including substance use</w:t>
            </w:r>
            <w:r w:rsidRPr="00101531">
              <w:rPr>
                <w:rFonts w:cs="Times New Roman"/>
                <w:bCs/>
              </w:rPr>
              <w:t>.</w:t>
            </w:r>
          </w:p>
          <w:p w:rsidR="00202822" w:rsidP="00B52F87" w14:paraId="1E8D5D6D" w14:textId="3971878D">
            <w:pPr>
              <w:pStyle w:val="NoSpacing"/>
              <w:numPr>
                <w:ilvl w:val="0"/>
                <w:numId w:val="1"/>
              </w:numPr>
              <w:ind w:left="504"/>
              <w:rPr>
                <w:rFonts w:cs="Times New Roman"/>
                <w:b/>
              </w:rPr>
            </w:pPr>
            <w:r w:rsidRPr="000F2DF5">
              <w:rPr>
                <w:rFonts w:cs="Times New Roman"/>
                <w:b/>
              </w:rPr>
              <w:t xml:space="preserve">Intended use: </w:t>
            </w:r>
            <w:r>
              <w:rPr>
                <w:rFonts w:cs="Times New Roman"/>
                <w:bCs/>
              </w:rPr>
              <w:t xml:space="preserve">Data collected through this study will be used to inform the </w:t>
            </w:r>
            <w:r w:rsidR="000501B0">
              <w:rPr>
                <w:rFonts w:cs="Times New Roman"/>
                <w:bCs/>
              </w:rPr>
              <w:t xml:space="preserve">real-time </w:t>
            </w:r>
            <w:r>
              <w:rPr>
                <w:rFonts w:cs="Times New Roman"/>
                <w:bCs/>
              </w:rPr>
              <w:t xml:space="preserve">development and testing of HIV prevention messaging; to characterize the typologies of current and potential PrEP users; and to identify critical prevention gaps. </w:t>
            </w:r>
          </w:p>
          <w:p w:rsidR="00B52F87" w:rsidRPr="000F2DF5" w:rsidP="00B52F87" w14:paraId="61A334AF" w14:textId="28407370">
            <w:pPr>
              <w:pStyle w:val="NoSpacing"/>
              <w:numPr>
                <w:ilvl w:val="0"/>
                <w:numId w:val="1"/>
              </w:numPr>
              <w:ind w:left="504"/>
              <w:rPr>
                <w:rFonts w:cs="Times New Roman"/>
                <w:b/>
              </w:rPr>
            </w:pPr>
            <w:r w:rsidRPr="000F2DF5">
              <w:rPr>
                <w:rFonts w:cs="Times New Roman"/>
                <w:b/>
              </w:rPr>
              <w:t xml:space="preserve">Methods to be used to collect data: </w:t>
            </w:r>
            <w:r w:rsidRPr="00206136" w:rsidR="005F0E61">
              <w:rPr>
                <w:rFonts w:cs="Times New Roman"/>
                <w:bCs/>
              </w:rPr>
              <w:t>P</w:t>
            </w:r>
            <w:r>
              <w:rPr>
                <w:rFonts w:cs="Times New Roman"/>
              </w:rPr>
              <w:t xml:space="preserve">articipants will complete quantitative assessments at </w:t>
            </w:r>
            <w:r w:rsidR="005F0E61">
              <w:rPr>
                <w:rFonts w:cs="Times New Roman"/>
              </w:rPr>
              <w:t>quarterly</w:t>
            </w:r>
            <w:r>
              <w:rPr>
                <w:rFonts w:cs="Times New Roman"/>
              </w:rPr>
              <w:t xml:space="preserve"> intervals </w:t>
            </w:r>
            <w:r w:rsidR="005F0E61">
              <w:rPr>
                <w:rFonts w:cs="Times New Roman"/>
              </w:rPr>
              <w:t>during the two-year follow up period</w:t>
            </w:r>
            <w:r>
              <w:rPr>
                <w:rFonts w:cs="Times New Roman"/>
              </w:rPr>
              <w:t xml:space="preserve">. </w:t>
            </w:r>
            <w:r w:rsidR="005F0E61">
              <w:rPr>
                <w:rFonts w:cs="Times New Roman"/>
              </w:rPr>
              <w:t xml:space="preserve">Participants will use self-collection kits for STI and HIV testing at </w:t>
            </w:r>
            <w:r w:rsidR="0019010E">
              <w:rPr>
                <w:rFonts w:cs="Times New Roman"/>
              </w:rPr>
              <w:t>six</w:t>
            </w:r>
            <w:r w:rsidR="005F0E61">
              <w:rPr>
                <w:rFonts w:cs="Times New Roman"/>
              </w:rPr>
              <w:t>-month intervals. In-depth interviews and focus groups</w:t>
            </w:r>
            <w:r>
              <w:rPr>
                <w:rFonts w:cs="Times New Roman"/>
              </w:rPr>
              <w:t xml:space="preserve"> will also be conducted with a subset of intervention participants. </w:t>
            </w:r>
          </w:p>
          <w:p w:rsidR="005E66B9" w:rsidRPr="005E66B9" w:rsidP="00B52F87" w14:paraId="59EC0665" w14:textId="7CDCF2CC">
            <w:pPr>
              <w:pStyle w:val="NoSpacing"/>
              <w:numPr>
                <w:ilvl w:val="0"/>
                <w:numId w:val="1"/>
              </w:numPr>
              <w:ind w:left="504"/>
              <w:rPr>
                <w:rFonts w:cs="Times New Roman"/>
                <w:bCs/>
              </w:rPr>
            </w:pPr>
            <w:r w:rsidRPr="000F2DF5">
              <w:rPr>
                <w:rFonts w:cs="Times New Roman"/>
                <w:b/>
              </w:rPr>
              <w:t>The subpopulation to be studied:</w:t>
            </w:r>
            <w:r w:rsidR="00202822">
              <w:rPr>
                <w:rFonts w:cs="Times New Roman"/>
                <w:b/>
              </w:rPr>
              <w:t xml:space="preserve"> </w:t>
            </w:r>
            <w:r w:rsidR="00202822">
              <w:rPr>
                <w:rFonts w:cs="Times New Roman"/>
                <w:bCs/>
              </w:rPr>
              <w:t>A r</w:t>
            </w:r>
            <w:r w:rsidRPr="005E66B9">
              <w:rPr>
                <w:rFonts w:cs="Times New Roman"/>
                <w:bCs/>
              </w:rPr>
              <w:t xml:space="preserve">acially/ethnically </w:t>
            </w:r>
            <w:r w:rsidR="00EC4BC4">
              <w:rPr>
                <w:rFonts w:cs="Times New Roman"/>
                <w:bCs/>
              </w:rPr>
              <w:t>varied</w:t>
            </w:r>
            <w:r w:rsidRPr="005E66B9">
              <w:rPr>
                <w:rFonts w:cs="Times New Roman"/>
                <w:bCs/>
              </w:rPr>
              <w:t xml:space="preserve"> sample of </w:t>
            </w:r>
            <w:r>
              <w:rPr>
                <w:rFonts w:cs="Times New Roman"/>
                <w:bCs/>
              </w:rPr>
              <w:t xml:space="preserve">1275 </w:t>
            </w:r>
            <w:r w:rsidR="0018056B">
              <w:rPr>
                <w:rFonts w:cs="Times New Roman"/>
                <w:bCs/>
              </w:rPr>
              <w:t>HIV</w:t>
            </w:r>
            <w:r w:rsidR="00705DEF">
              <w:rPr>
                <w:rFonts w:cs="Times New Roman"/>
                <w:bCs/>
              </w:rPr>
              <w:t xml:space="preserve">-negative, </w:t>
            </w:r>
            <w:r w:rsidRPr="005E66B9">
              <w:rPr>
                <w:rFonts w:cs="Times New Roman"/>
                <w:bCs/>
              </w:rPr>
              <w:t xml:space="preserve">sexually active adult </w:t>
            </w:r>
            <w:r w:rsidR="0018056B">
              <w:rPr>
                <w:rFonts w:cs="Times New Roman"/>
                <w:bCs/>
              </w:rPr>
              <w:t>MSM</w:t>
            </w:r>
            <w:r>
              <w:rPr>
                <w:rFonts w:cs="Times New Roman"/>
                <w:bCs/>
              </w:rPr>
              <w:t xml:space="preserve"> living</w:t>
            </w:r>
            <w:r w:rsidRPr="005E66B9">
              <w:rPr>
                <w:rFonts w:cs="Times New Roman"/>
                <w:bCs/>
              </w:rPr>
              <w:t xml:space="preserve"> in </w:t>
            </w:r>
            <w:r>
              <w:rPr>
                <w:rFonts w:cs="Times New Roman"/>
                <w:bCs/>
              </w:rPr>
              <w:t xml:space="preserve">the </w:t>
            </w:r>
            <w:r w:rsidRPr="005E66B9">
              <w:rPr>
                <w:rFonts w:cs="Times New Roman"/>
                <w:bCs/>
              </w:rPr>
              <w:t xml:space="preserve">Atlanta, </w:t>
            </w:r>
            <w:r w:rsidR="00AC4B1B">
              <w:rPr>
                <w:rFonts w:cs="Times New Roman"/>
                <w:bCs/>
              </w:rPr>
              <w:t>Chicago</w:t>
            </w:r>
            <w:r w:rsidRPr="005E66B9">
              <w:rPr>
                <w:rFonts w:cs="Times New Roman"/>
                <w:bCs/>
              </w:rPr>
              <w:t>, and San Diego</w:t>
            </w:r>
            <w:r>
              <w:rPr>
                <w:rFonts w:cs="Times New Roman"/>
                <w:bCs/>
              </w:rPr>
              <w:t xml:space="preserve"> areas (4</w:t>
            </w:r>
            <w:r w:rsidR="001B2065">
              <w:rPr>
                <w:rFonts w:cs="Times New Roman"/>
                <w:bCs/>
              </w:rPr>
              <w:t>2</w:t>
            </w:r>
            <w:r>
              <w:rPr>
                <w:rFonts w:cs="Times New Roman"/>
                <w:bCs/>
              </w:rPr>
              <w:t>5 from each</w:t>
            </w:r>
            <w:r w:rsidR="00202822">
              <w:rPr>
                <w:rFonts w:cs="Times New Roman"/>
                <w:bCs/>
              </w:rPr>
              <w:t xml:space="preserve"> city</w:t>
            </w:r>
            <w:r>
              <w:rPr>
                <w:rFonts w:cs="Times New Roman"/>
                <w:bCs/>
              </w:rPr>
              <w:t xml:space="preserve">). </w:t>
            </w:r>
          </w:p>
          <w:p w:rsidR="00B52F87" w:rsidRPr="00A41DB0" w:rsidP="00A41DB0" w14:paraId="3C7997B3" w14:textId="35910E13">
            <w:pPr>
              <w:pStyle w:val="NoSpacing"/>
              <w:numPr>
                <w:ilvl w:val="0"/>
                <w:numId w:val="1"/>
              </w:numPr>
              <w:ind w:left="504"/>
              <w:rPr>
                <w:rFonts w:cs="Times New Roman"/>
                <w:b/>
              </w:rPr>
            </w:pPr>
            <w:r w:rsidRPr="000F2DF5">
              <w:rPr>
                <w:rFonts w:cs="Times New Roman"/>
                <w:b/>
              </w:rPr>
              <w:t xml:space="preserve">How data will be analyzed: </w:t>
            </w:r>
            <w:r w:rsidR="003F1219">
              <w:rPr>
                <w:rFonts w:cs="Times New Roman"/>
                <w:bCs/>
              </w:rPr>
              <w:t xml:space="preserve">This study will retain a cohort </w:t>
            </w:r>
            <w:r w:rsidR="00705DEF">
              <w:rPr>
                <w:rFonts w:cs="Times New Roman"/>
                <w:bCs/>
              </w:rPr>
              <w:t xml:space="preserve">1275 </w:t>
            </w:r>
            <w:r w:rsidR="003F1219">
              <w:rPr>
                <w:rFonts w:cs="Times New Roman"/>
                <w:bCs/>
              </w:rPr>
              <w:t>MSM to be assessed prospectively for two years.</w:t>
            </w:r>
            <w:r w:rsidR="00CA76C5">
              <w:rPr>
                <w:rFonts w:cs="Times New Roman"/>
                <w:bCs/>
              </w:rPr>
              <w:t xml:space="preserve"> Quantitative a</w:t>
            </w:r>
            <w:r w:rsidR="0098193A">
              <w:rPr>
                <w:rFonts w:cs="Times New Roman"/>
                <w:bCs/>
              </w:rPr>
              <w:t xml:space="preserve">nalysis will be conducted to identify PrEP use patterns, </w:t>
            </w:r>
            <w:r w:rsidR="00CA76C5">
              <w:rPr>
                <w:rFonts w:cs="Times New Roman"/>
                <w:bCs/>
              </w:rPr>
              <w:t xml:space="preserve">describe </w:t>
            </w:r>
            <w:r w:rsidR="0098193A">
              <w:rPr>
                <w:rFonts w:cs="Times New Roman"/>
                <w:bCs/>
              </w:rPr>
              <w:t xml:space="preserve">PrEP attitudes and beliefs, </w:t>
            </w:r>
            <w:r w:rsidR="00CA76C5">
              <w:rPr>
                <w:rFonts w:cs="Times New Roman"/>
                <w:bCs/>
              </w:rPr>
              <w:t xml:space="preserve">explain </w:t>
            </w:r>
            <w:r w:rsidR="0098193A">
              <w:rPr>
                <w:rFonts w:cs="Times New Roman"/>
                <w:bCs/>
              </w:rPr>
              <w:t>PrEP preferences, and</w:t>
            </w:r>
            <w:r w:rsidR="00CA76C5">
              <w:rPr>
                <w:rFonts w:cs="Times New Roman"/>
                <w:bCs/>
              </w:rPr>
              <w:t xml:space="preserve"> quantify participant</w:t>
            </w:r>
            <w:r w:rsidR="0098193A">
              <w:rPr>
                <w:rFonts w:cs="Times New Roman"/>
                <w:bCs/>
              </w:rPr>
              <w:t xml:space="preserve"> preferences for prevention messages. </w:t>
            </w:r>
            <w:r w:rsidR="00CA76C5">
              <w:rPr>
                <w:rFonts w:cs="Times New Roman"/>
                <w:bCs/>
              </w:rPr>
              <w:t xml:space="preserve">Qualitative analysis will be conducted to understand </w:t>
            </w:r>
            <w:r w:rsidRPr="00A41DB0" w:rsidR="00A41DB0">
              <w:rPr>
                <w:rFonts w:cs="Times New Roman"/>
                <w:bCs/>
              </w:rPr>
              <w:t xml:space="preserve">men’s experience </w:t>
            </w:r>
            <w:r w:rsidR="00874608">
              <w:rPr>
                <w:rFonts w:cs="Times New Roman"/>
                <w:bCs/>
              </w:rPr>
              <w:t>with PrEP treatment</w:t>
            </w:r>
            <w:r w:rsidRPr="00A41DB0" w:rsidR="00A41DB0">
              <w:rPr>
                <w:rFonts w:cs="Times New Roman"/>
                <w:bCs/>
              </w:rPr>
              <w:t xml:space="preserve">, explore their preferences for PrEP and other HIV prevention products, and to continue to test their reactions to prevention messages developed </w:t>
            </w:r>
            <w:r w:rsidR="00A41DB0">
              <w:rPr>
                <w:rFonts w:cs="Times New Roman"/>
                <w:bCs/>
              </w:rPr>
              <w:t>during the study</w:t>
            </w:r>
            <w:r w:rsidRPr="00A41DB0" w:rsidR="00A41DB0">
              <w:rPr>
                <w:rFonts w:cs="Times New Roman"/>
                <w:bCs/>
              </w:rPr>
              <w:t>.</w:t>
            </w:r>
          </w:p>
        </w:tc>
      </w:tr>
    </w:tbl>
    <w:p w:rsidR="00B52F87" w:rsidP="000A4126" w14:paraId="30312379" w14:textId="01873F20">
      <w:pPr>
        <w:pStyle w:val="NoSpacing"/>
        <w:tabs>
          <w:tab w:val="left" w:pos="360"/>
        </w:tabs>
        <w:rPr>
          <w:rFonts w:cs="Times New Roman"/>
        </w:rPr>
      </w:pPr>
    </w:p>
    <w:p w:rsidR="00B52F87" w:rsidRPr="00B52F87" w:rsidP="00B52F87" w14:paraId="6A63CE77" w14:textId="77777777">
      <w:pPr>
        <w:rPr>
          <w:rFonts w:eastAsia="Calibri"/>
          <w:b/>
          <w:szCs w:val="22"/>
        </w:rPr>
      </w:pPr>
      <w:r w:rsidRPr="00B52F87">
        <w:rPr>
          <w:rFonts w:eastAsia="Calibri"/>
          <w:b/>
          <w:szCs w:val="22"/>
        </w:rPr>
        <w:t xml:space="preserve">A. </w:t>
      </w:r>
      <w:r w:rsidRPr="00B52F87">
        <w:rPr>
          <w:rFonts w:eastAsia="Calibri"/>
          <w:b/>
          <w:szCs w:val="22"/>
          <w:u w:val="single"/>
        </w:rPr>
        <w:t>Justification</w:t>
      </w:r>
    </w:p>
    <w:p w:rsidR="00B52F87" w:rsidRPr="00B52F87" w:rsidP="00B52F87" w14:paraId="11F48B11" w14:textId="2BE595D4">
      <w:pPr>
        <w:keepNext/>
        <w:keepLines/>
        <w:spacing w:before="240"/>
        <w:ind w:left="432" w:hanging="432"/>
        <w:outlineLvl w:val="0"/>
        <w:rPr>
          <w:b/>
          <w:szCs w:val="32"/>
        </w:rPr>
      </w:pPr>
      <w:bookmarkStart w:id="3" w:name="_Toc485202295"/>
      <w:bookmarkStart w:id="4" w:name="Circumstances1"/>
      <w:r>
        <w:rPr>
          <w:b/>
          <w:szCs w:val="32"/>
        </w:rPr>
        <w:t xml:space="preserve">1. </w:t>
      </w:r>
      <w:r w:rsidRPr="00B52F87">
        <w:rPr>
          <w:b/>
          <w:szCs w:val="32"/>
        </w:rPr>
        <w:t>Circumstances Making the Collection of Information Necessary</w:t>
      </w:r>
      <w:bookmarkEnd w:id="3"/>
      <w:bookmarkEnd w:id="4"/>
      <w:r w:rsidR="005F0E61">
        <w:rPr>
          <w:b/>
          <w:szCs w:val="32"/>
        </w:rPr>
        <w:t xml:space="preserve"> </w:t>
      </w:r>
    </w:p>
    <w:p w:rsidR="00B52F87" w:rsidRPr="00B52F87" w:rsidP="00B52F87" w14:paraId="6D87CADD" w14:textId="77777777">
      <w:pPr>
        <w:rPr>
          <w:szCs w:val="24"/>
        </w:rPr>
      </w:pPr>
    </w:p>
    <w:p w:rsidR="00B52F87" w:rsidP="00EC4BC4" w14:paraId="0D7E6943" w14:textId="0C1D33F5">
      <w:pPr>
        <w:rPr>
          <w:szCs w:val="24"/>
        </w:rPr>
      </w:pPr>
      <w:r w:rsidRPr="00B52F87">
        <w:rPr>
          <w:szCs w:val="24"/>
        </w:rPr>
        <w:t>The Centers for Disease Control and Prevention’s (CDC) Division of HIV</w:t>
      </w:r>
      <w:r w:rsidR="00E94749">
        <w:rPr>
          <w:szCs w:val="24"/>
        </w:rPr>
        <w:t xml:space="preserve"> </w:t>
      </w:r>
      <w:r w:rsidRPr="00B52F87">
        <w:rPr>
          <w:szCs w:val="24"/>
        </w:rPr>
        <w:t xml:space="preserve">Prevention (DHP) requests approval for </w:t>
      </w:r>
      <w:r w:rsidR="00E94749">
        <w:rPr>
          <w:szCs w:val="24"/>
        </w:rPr>
        <w:t>36 months</w:t>
      </w:r>
      <w:r w:rsidRPr="00B52F87">
        <w:rPr>
          <w:szCs w:val="24"/>
        </w:rPr>
        <w:t xml:space="preserve"> of data collection for a research study entitled, “</w:t>
      </w:r>
      <w:r w:rsidRPr="00852879" w:rsidR="00852879">
        <w:rPr>
          <w:szCs w:val="24"/>
        </w:rPr>
        <w:t>Understanding HIV/STD Risk and Enhancing PrEP Implementation Messaging in a Community-Based Sample of Gay, Bisexual, and Other Men Who Have Sex with Men in a Transformational Era (MIC-DROP)</w:t>
      </w:r>
      <w:r w:rsidRPr="00B52F87">
        <w:rPr>
          <w:szCs w:val="24"/>
        </w:rPr>
        <w:t>” as a new information collection.</w:t>
      </w:r>
      <w:r w:rsidR="00044FA5">
        <w:rPr>
          <w:szCs w:val="24"/>
        </w:rPr>
        <w:t xml:space="preserve"> This project is funded un</w:t>
      </w:r>
      <w:r w:rsidR="0002450C">
        <w:rPr>
          <w:szCs w:val="24"/>
        </w:rPr>
        <w:t>der</w:t>
      </w:r>
      <w:r w:rsidR="00044FA5">
        <w:rPr>
          <w:szCs w:val="24"/>
        </w:rPr>
        <w:t xml:space="preserve"> Cooperative Agreement #</w:t>
      </w:r>
      <w:r w:rsidRPr="00951487" w:rsidR="0002450C">
        <w:rPr>
          <w:szCs w:val="24"/>
        </w:rPr>
        <w:t>U01PS00</w:t>
      </w:r>
      <w:r w:rsidRPr="00951487" w:rsidR="00602B56">
        <w:rPr>
          <w:szCs w:val="24"/>
        </w:rPr>
        <w:t>5244</w:t>
      </w:r>
      <w:r w:rsidRPr="00951487" w:rsidR="0002450C">
        <w:rPr>
          <w:szCs w:val="24"/>
        </w:rPr>
        <w:t>.</w:t>
      </w:r>
      <w:r w:rsidR="0002450C">
        <w:rPr>
          <w:szCs w:val="24"/>
        </w:rPr>
        <w:t xml:space="preserve"> </w:t>
      </w:r>
    </w:p>
    <w:p w:rsidR="007B49FC" w:rsidP="00B52F87" w14:paraId="287AD14A" w14:textId="0ABBC3E0">
      <w:pPr>
        <w:rPr>
          <w:szCs w:val="24"/>
        </w:rPr>
      </w:pPr>
    </w:p>
    <w:p w:rsidR="00805540" w:rsidP="00EC4BC4" w14:paraId="50A0A819" w14:textId="027466B8">
      <w:pPr>
        <w:rPr>
          <w:rFonts w:eastAsia="Calibri"/>
          <w:color w:val="2B579A"/>
          <w:szCs w:val="24"/>
          <w:shd w:val="clear" w:color="auto" w:fill="E6E6E6"/>
        </w:rPr>
      </w:pPr>
      <w:r w:rsidRPr="00081ADA">
        <w:rPr>
          <w:rFonts w:eastAsia="Calibri"/>
          <w:szCs w:val="24"/>
        </w:rPr>
        <w:t xml:space="preserve">The prevention of HIV in the United States is in a transformational era. In just a decade since the first finding of efficacy for daily oral </w:t>
      </w:r>
      <w:r w:rsidR="002A6108">
        <w:rPr>
          <w:rFonts w:eastAsia="Calibri"/>
          <w:szCs w:val="24"/>
        </w:rPr>
        <w:t>preexposure prophylaxis (</w:t>
      </w:r>
      <w:r w:rsidRPr="00081ADA">
        <w:rPr>
          <w:rFonts w:eastAsia="Calibri"/>
          <w:szCs w:val="24"/>
        </w:rPr>
        <w:t>PrEP</w:t>
      </w:r>
      <w:r w:rsidR="002A6108">
        <w:rPr>
          <w:rFonts w:eastAsia="Calibri"/>
          <w:szCs w:val="24"/>
        </w:rPr>
        <w:t>)</w:t>
      </w:r>
      <w:r w:rsidRPr="00081ADA">
        <w:rPr>
          <w:rFonts w:eastAsia="Calibri"/>
          <w:color w:val="2B579A"/>
          <w:szCs w:val="24"/>
          <w:shd w:val="clear" w:color="auto" w:fill="E6E6E6"/>
        </w:rPr>
        <w:fldChar w:fldCharType="begin"/>
      </w:r>
      <w:r w:rsidRPr="00081ADA">
        <w:rPr>
          <w:rFonts w:eastAsia="Calibri"/>
          <w:szCs w:val="24"/>
        </w:rPr>
        <w:instrText xml:space="preserve"> ADDIN ZOTERO_ITEM CSL_CITATION {"citationID":"YKVDr5lQ","properties":{"formattedCitation":"\\super 1\\nosupersub{}","plainCitation":"1","noteIndex":0},"citationItems":[{"id":7752,"uris":["http://zotero.org/users/9942874/items/5U39QXUT"],"itemData":{"id":7752,"type":"article-journal","abstract":"Background Antiretroviral chemoprophylaxis before exposure is a promising approach for the prevention of human immunodeficiency virus (HIV) acquisition.\nMethods We randomly assigned 2499 HIV-seronegative men or transgender women who have sex with men to receive a combination of two oral antiretroviral drugs, emtricitabine and tenofovir disoproxil fumarate (FTC–TDF), or placebo once daily. All subjects received HIV testing, risk-reduction counseling, condoms, and management of sexually transmitted infections. The authors’ affiliations are listed in the Appendix. Address reprint requests to Dr. Grant at the J. David Gladstone Institutes, University of California at San Francisco, 1650 Owens St., San Francisco, CA, 94158, or at robert.grant@ucsf.edu. *Other members of the Preexposure Prophylaxis Initiative (iPrEx) study team are listed in the Supplementary Appendix, available at NEJM.org.\nResults The study subjects were followed for 3324 person-years (median, 1.2 years; maximum, 2.8 years). Of these subjects, 10 were found to have been infected with HIV at enrollment, and 100 became infected during follow-up (36 in the FTC–TDF group and 64 in the placebo group), indicating a 44% reduction in the incidence of HIV (95% confidence interval, 15 to 63; P = 0.005). In the FTC–TDF group, the study drug was detected in 22 of 43 of seronegative subjects (51%) and in 3 of 34 HIV-infected subjects (9%) (P&lt;0.001). Nausea was reported more frequently during the first 4 weeks in the FTC–TDF group than in the placebo group (P&lt;0.001). The two groups had similar rates of serious adverse events (P = 0.57). This article (10.1056/NEJMoa1011205) was published on November 23, 2010, and updated on December 1, 2010, at NEJM.org. N Engl J Med 2010;363:2587-99. Copyright © 2010 Massachusetts Medical Society.\nConclusions Oral FTC–TDF provided protection against the acquisition of HIV infection among the subjects. Detectable blood levels strongly correlated with the prophylactic effect. (Funded by the National Institutes of Health and the Bill and Melinda Gates Foundation; ClinicalTrials.gov number, NCT00458393.)","container-title":"New England Journal of Medicine","DOI":"10.1056/NEJMoa1011205","ISSN":"0028-4793, 1533-4406","issue":"27","journalAbbreviation":"N Engl J Med","language":"en","page":"2587-2599","source":"DOI.org (Crossref)","title":"Preexposure Chemoprophylaxis for HIV Prevention in Men Who Have Sex with Men","volume":"363","author":[{"family":"Grant","given":"Robert M."},{"family":"Lama","given":"Javier R."},{"family":"Anderson","given":"Peter L."},{"family":"McMahan","given":"Vanessa"},{"family":"Liu","given":"Albert Y."},{"family":"Vargas","given":"Lorena"},{"family":"Goicochea","given":"Pedro"},{"family":"Casapía","given":"Martín"},{"family":"Guanira-Carranza","given":"Juan Vicente"},{"family":"Ramirez-Cardich","given":"Maria E."},{"family":"Montoya-Herrera","given":"Orlando"},{"family":"Fernández","given":"Telmo"},{"family":"Veloso","given":"Valdilea G."},{"family":"Buchbinder","given":"Susan P."},{"family":"Chariyalertsak","given":"Suwat"},{"family":"Schechter","given":"Mauro"},{"family":"Bekker","given":"Linda-Gail"},{"family":"Mayer","given":"Kenneth H."},{"family":"Kallás","given":"Esper Georges"},{"family":"Amico","given":"K. Rivet"},{"family":"Mulligan","given":"Kathleen"},{"family":"Bushman","given":"Lane R."},{"family":"Hance","given":"Robert J."},{"family":"Ganoza","given":"Carmela"},{"family":"Defechereux","given":"Patricia"},{"family":"Postle","given":"Brian"},{"family":"Wang","given":"Furong"},{"family":"McConnell","given":"J. Jeff"},{"family":"Zheng","given":"Jia-Hua"},{"family":"Lee","given":"Jeanny"},{"family":"Rooney","given":"James F."},{"family":"Jaffe","given":"Howard S."},{"family":"Martinez","given":"Ana I."},{"family":"Burns","given":"David N."},{"family":"Glidden","given":"David V."}],"issued":{"date-parts":[["2010",12,30]]}}}],"schema":"https://github.com/citation-style-language/schema/raw/master/csl-citation.json"} </w:instrText>
      </w:r>
      <w:r w:rsidRPr="00081ADA">
        <w:rPr>
          <w:rFonts w:eastAsia="Calibri"/>
          <w:color w:val="2B579A"/>
          <w:szCs w:val="24"/>
          <w:shd w:val="clear" w:color="auto" w:fill="E6E6E6"/>
        </w:rPr>
        <w:fldChar w:fldCharType="separate"/>
      </w:r>
      <w:r w:rsidRPr="00081ADA">
        <w:rPr>
          <w:rFonts w:eastAsia="Calibri"/>
          <w:szCs w:val="24"/>
          <w:vertAlign w:val="superscript"/>
        </w:rPr>
        <w:t>1</w:t>
      </w:r>
      <w:r w:rsidRPr="00081ADA">
        <w:rPr>
          <w:rFonts w:eastAsia="Calibri"/>
          <w:color w:val="2B579A"/>
          <w:szCs w:val="24"/>
          <w:shd w:val="clear" w:color="auto" w:fill="E6E6E6"/>
        </w:rPr>
        <w:fldChar w:fldCharType="end"/>
      </w:r>
      <w:r w:rsidRPr="00081ADA">
        <w:rPr>
          <w:rFonts w:eastAsia="Calibri"/>
          <w:szCs w:val="24"/>
        </w:rPr>
        <w:t>, there is a proliferation of new PrEP agents, including long-acting injectable PrEP</w:t>
      </w:r>
      <w:r w:rsidRPr="00081ADA">
        <w:rPr>
          <w:rFonts w:eastAsia="Calibri"/>
          <w:color w:val="2B579A"/>
          <w:szCs w:val="24"/>
          <w:shd w:val="clear" w:color="auto" w:fill="E6E6E6"/>
        </w:rPr>
        <w:fldChar w:fldCharType="begin"/>
      </w:r>
      <w:r w:rsidRPr="00081ADA">
        <w:rPr>
          <w:rFonts w:eastAsia="Calibri"/>
          <w:szCs w:val="24"/>
        </w:rPr>
        <w:instrText xml:space="preserve"> ADDIN ZOTERO_ITEM CSL_CITATION {"citationID":"7x9v1LQN","properties":{"formattedCitation":"\\super 2\\nosupersub{}","plainCitation":"2","noteIndex":0},"citationItems":[{"id":7753,"uris":["http://zotero.org/users/9942874/items/DME674I4"],"itemData":{"id":7753,"type":"article-journal","abstract":"BACKGROUND Safe and effective long-acting injectable agents for preexposure prophylaxis (PrEP) for human immunodeficiency virus (HIV) infection are needed to increase the options for preventing HIV infection.\nMETHODS We conducted a randomized, double-blind, double-dummy, noninferiority trial to compare long-acting injectable cabotegravir (CAB-LA, an integrase strand-transfer inhibitor [INSTI]) at a dose of 600 mg, given intramuscularly every 8 weeks, with daily oral tenofovir disoproxil fumarate–emtricitabine (TDF–FTC) for the prevention of HIV infection in at-risk cisgender men who have sex with men (MSM) and in at-risk transgender women who have sex with men. Participants were randomly assigned (1:1) to receive one of the two regimens and were followed for 153 weeks. HIV testing and safety evaluations were performed. The primary end point was incident HIV infection. The authors’ full names, academic de‑grees, and affiliations are listed in the Appendix. Address reprint requests to Dr. Landovitz at the Center for Clinical AIDS Research and Education, University of California, Los Angeles, 911 Broxton Ave., Ste. 200, Los Angeles, CA 90024, or at ­rlandovitz@­mednet.­ucla.­edu. *A list of the investigators in the HPTN 083 trial is provided in the Supplemen‑tary Appendix, available at NEJM.org. N Engl J Med 2021;385:595-608. DOI: 10.1056/NEJMoa2101016 Copyright © 2021 Massachusetts Medical Society.\nRESULTS The intention-to-treat population included 4566 participants who underwent randomization; 570 (12.5%) identified as transgender women, and the median age was 26 years (interquartile range, 22 to 32). The trial was stopped early for efficacy on review of the results of the first preplanned interim end-point analysis. Among 1698 participants from the United States, 845 (49.8%) identified as Black. Incident HIV infection occurred in 52 participants: 13 in the cabotegravir group (incidence, 0.41 per 100 person-years) and 39 in the TDF–FTC group (incidence, 1.22 per 100 person-years) (hazard ratio, 0.34; 95% confidence interval, 0.18 to 0.62). The effect was consistent across prespecified subgroups. Injection-site reactions were reported in 81.4% of the participants in the cabotegravir group and in 31.3% of those in the TDF–FTC group. In the participants in whom HIV infection was diagnosed after exposure to CAB-LA, INSTI resistance and delays in the detection of HIV infection were noted. No safety concerns were identified. CME at NEJM.org\nCONCLUSIONS CAB-LA was superior to daily oral TDF–FTC in preventing HIV infection among MSM and transgender women. Strategies are needed to prevent INSTI resistance in cases of CAB-LA PrEP failure. (Funded by the National Institute of Allergy and Infectious Diseases and others; HPTN 083 ClinicalTrials.gov number, NCT02720094.) n engl j med 385;7  nejm.org  August 12, 2021","container-title":"New England Journal of Medicine","DOI":"10.1056/NEJMoa2101016","ISSN":"0028-4793, 1533-4406","issue":"7","journalAbbreviation":"N Engl J Med","language":"en","page":"595-608","source":"DOI.org (Crossref)","title":"Cabotegravir for HIV Prevention in Cisgender Men and Transgender Women","volume":"385","author":[{"family":"Landovitz","given":"Raphael J."},{"family":"Donnell","given":"Deborah"},{"family":"Clement","given":"Meredith E."},{"family":"Hanscom","given":"Brett"},{"family":"Cottle","given":"Leslie"},{"family":"Coelho","given":"Lara"},{"family":"Cabello","given":"Robinson"},{"family":"Chariyalertsak","given":"Suwat"},{"family":"Dunne","given":"Eileen F."},{"family":"Frank","given":"Ian"},{"family":"Gallardo-Cartagena","given":"Jorge A."},{"family":"Gaur","given":"Aditya H."},{"family":"Gonzales","given":"Pedro"},{"family":"Tran","given":"Ha V."},{"family":"Hinojosa","given":"Juan C."},{"family":"Kallas","given":"Esper G."},{"family":"Kelley","given":"Colleen F."},{"family":"Losso","given":"Marcelo H."},{"family":"Madruga","given":"J. Valdez"},{"family":"Middelkoop","given":"Keren"},{"family":"Phanuphak","given":"Nittaya"},{"family":"Santos","given":"Breno"},{"family":"Sued","given":"Omar"},{"family":"Valencia Huamaní","given":"Javier"},{"family":"Overton","given":"Edgar T."},{"family":"Swaminathan","given":"Shobha"},{"family":"Rio","given":"Carlos","non-dropping-particle":"del"},{"family":"Gulick","given":"Roy M."},{"family":"Richardson","given":"Paul"},{"family":"Sullivan","given":"Philip"},{"family":"Piwowar-Manning","given":"Estelle"},{"family":"Marzinke","given":"Mark"},{"family":"Hendrix","given":"Craig"},{"family":"Li","given":"Maoji"},{"family":"Wang","given":"Zhe"},{"family":"Marrazzo","given":"Jeanne"},{"family":"Daar","given":"Eric"},{"family":"Asmelash","given":"Aida"},{"family":"Brown","given":"Todd T."},{"family":"Anderson","given":"Peter"},{"family":"Eshleman","given":"Susan H."},{"family":"Bryan","given":"Marcus"},{"family":"Blanchette","given":"Cheryl"},{"family":"Lucas","given":"Jonathan"},{"family":"Psaros","given":"Christina"},{"family":"Safren","given":"Steven"},{"family":"Sugarman","given":"Jeremy"},{"family":"Scott","given":"Hyman"},{"family":"Eron","given":"Joseph J."},{"family":"Fields","given":"Sheldon D."},{"family":"Sista","given":"Nirupama D."},{"family":"Gomez-Feliciano","given":"Kailazarid"},{"family":"Jennings","given":"Andrea"},{"family":"Kofron","given":"Ryan M."},{"family":"Holtz","given":"Timothy H."},{"family":"Shin","given":"Katherine"},{"family":"Rooney","given":"James F."},{"family":"Smith","given":"Kimberly Y."},{"family":"Spreen","given":"William"},{"family":"Margolis","given":"David"},{"family":"Rinehart","given":"Alex"},{"family":"Adeyeye","given":"Adeola"},{"family":"Cohen","given":"Myron S."},{"family":"McCauley","given":"Marybeth"},{"family":"Grinsztejn","given":"Beatriz"}],"issued":{"date-parts":[["2021",8,12]]}}}],"schema":"https://github.com/citation-style-language/schema/raw/master/csl-citation.json"} </w:instrText>
      </w:r>
      <w:r w:rsidRPr="00081ADA">
        <w:rPr>
          <w:rFonts w:eastAsia="Calibri"/>
          <w:color w:val="2B579A"/>
          <w:szCs w:val="24"/>
          <w:shd w:val="clear" w:color="auto" w:fill="E6E6E6"/>
        </w:rPr>
        <w:fldChar w:fldCharType="separate"/>
      </w:r>
      <w:r w:rsidRPr="00081ADA">
        <w:rPr>
          <w:rFonts w:eastAsia="Calibri"/>
          <w:szCs w:val="24"/>
          <w:vertAlign w:val="superscript"/>
        </w:rPr>
        <w:t>2</w:t>
      </w:r>
      <w:r w:rsidRPr="00081ADA">
        <w:rPr>
          <w:rFonts w:eastAsia="Calibri"/>
          <w:color w:val="2B579A"/>
          <w:szCs w:val="24"/>
          <w:shd w:val="clear" w:color="auto" w:fill="E6E6E6"/>
        </w:rPr>
        <w:fldChar w:fldCharType="end"/>
      </w:r>
      <w:r w:rsidRPr="00081ADA">
        <w:rPr>
          <w:rFonts w:eastAsia="Calibri"/>
          <w:szCs w:val="24"/>
        </w:rPr>
        <w:t>, and regimens, including “event-driven” (also called “on demand” or 2-1-1 dosing) PrEP.</w:t>
      </w:r>
      <w:r w:rsidRPr="00081ADA">
        <w:rPr>
          <w:rFonts w:eastAsia="Calibri"/>
          <w:color w:val="2B579A"/>
          <w:szCs w:val="24"/>
          <w:shd w:val="clear" w:color="auto" w:fill="E6E6E6"/>
        </w:rPr>
        <w:fldChar w:fldCharType="begin"/>
      </w:r>
      <w:r w:rsidRPr="00081ADA">
        <w:rPr>
          <w:rFonts w:eastAsia="Calibri"/>
          <w:szCs w:val="24"/>
        </w:rPr>
        <w:instrText xml:space="preserve"> ADDIN ZOTERO_ITEM CSL_CITATION {"citationID":"pUyxkxN5","properties":{"formattedCitation":"\\super 3\\nosupersub{}","plainCitation":"3","noteIndex":0},"citationItems":[{"id":7750,"uris":["http://zotero.org/users/9942874/items/RDT9RE3Q"],"itemData":{"id":7750,"type":"article-journal","container-title":"US Public Health Service","language":"en","page":"108","source":"Zotero","title":"Preexposure prophylaxis for the prevention of HIV infection in the United States--2021 update: a clinical practice guideline.","author":[{"family":"Centers for Disease Control and Prevention","given":""}],"issued":{"date-parts":[["2021"]]}}}],"schema":"https://github.com/citation-style-language/schema/raw/master/csl-citation.json"} </w:instrText>
      </w:r>
      <w:r w:rsidRPr="00081ADA">
        <w:rPr>
          <w:rFonts w:eastAsia="Calibri"/>
          <w:color w:val="2B579A"/>
          <w:szCs w:val="24"/>
          <w:shd w:val="clear" w:color="auto" w:fill="E6E6E6"/>
        </w:rPr>
        <w:fldChar w:fldCharType="separate"/>
      </w:r>
      <w:r w:rsidRPr="00081ADA">
        <w:rPr>
          <w:rFonts w:eastAsia="Calibri"/>
          <w:szCs w:val="24"/>
          <w:vertAlign w:val="superscript"/>
        </w:rPr>
        <w:t>3</w:t>
      </w:r>
      <w:r w:rsidRPr="00081ADA">
        <w:rPr>
          <w:rFonts w:eastAsia="Calibri"/>
          <w:color w:val="2B579A"/>
          <w:szCs w:val="24"/>
          <w:shd w:val="clear" w:color="auto" w:fill="E6E6E6"/>
        </w:rPr>
        <w:fldChar w:fldCharType="end"/>
      </w:r>
      <w:r w:rsidRPr="00081ADA">
        <w:rPr>
          <w:rFonts w:eastAsia="Calibri"/>
          <w:szCs w:val="24"/>
        </w:rPr>
        <w:t xml:space="preserve"> There has also been new knowledge about the impact of antiretrovirals (ARVs) for treatment of </w:t>
      </w:r>
      <w:r w:rsidR="00EA14F4">
        <w:rPr>
          <w:rFonts w:eastAsia="Calibri"/>
          <w:szCs w:val="24"/>
        </w:rPr>
        <w:t>human immun</w:t>
      </w:r>
      <w:r w:rsidR="000E3667">
        <w:rPr>
          <w:rFonts w:eastAsia="Calibri"/>
          <w:szCs w:val="24"/>
        </w:rPr>
        <w:t>odeficiency virus (</w:t>
      </w:r>
      <w:r w:rsidRPr="00081ADA">
        <w:rPr>
          <w:rFonts w:eastAsia="Calibri"/>
          <w:szCs w:val="24"/>
        </w:rPr>
        <w:t>HIV</w:t>
      </w:r>
      <w:r w:rsidR="000E3667">
        <w:rPr>
          <w:rFonts w:eastAsia="Calibri"/>
          <w:szCs w:val="24"/>
        </w:rPr>
        <w:t>)</w:t>
      </w:r>
      <w:r w:rsidRPr="00081ADA">
        <w:rPr>
          <w:rFonts w:eastAsia="Calibri"/>
          <w:szCs w:val="24"/>
        </w:rPr>
        <w:t>, and an emergent understanding that people living with HIV who take ARVs and maintain a suppressed viral load are incapable of transmitting HIV to their sexual partners.</w:t>
      </w:r>
      <w:r w:rsidRPr="00081ADA">
        <w:rPr>
          <w:rFonts w:eastAsia="Calibri"/>
          <w:color w:val="2B579A"/>
          <w:szCs w:val="24"/>
          <w:shd w:val="clear" w:color="auto" w:fill="E6E6E6"/>
        </w:rPr>
        <w:fldChar w:fldCharType="begin"/>
      </w:r>
      <w:r w:rsidRPr="00081ADA">
        <w:rPr>
          <w:rFonts w:eastAsia="Calibri"/>
          <w:szCs w:val="24"/>
        </w:rPr>
        <w:instrText xml:space="preserve"> ADDIN ZOTERO_ITEM CSL_CITATION {"citationID":"sEEvW37x","properties":{"formattedCitation":"\\super 4\\nosupersub{}","plainCitation":"4","noteIndex":0},"citationItems":[{"id":7758,"uris":["http://zotero.org/users/9942874/items/97SSXE47"],"itemData":{"id":7758,"type":"article-journal","abstract":"Background The level of evidence for HIV transmission risk through condomless sex in serodifferent gay couples with the HIV-positive partner taking virally suppressive antiretroviral therapy (ART) is limited compared with the evidence available for transmission risk in heterosexual couples. The aim of the second phase of the PARTNER study (PARTNER2) was to provide precise estimates of transmission risk in gay serodifferent partnerships.","container-title":"The Lancet","DOI":"10.1016/S0140-6736(19)30418-0","ISSN":"01406736","issue":"10189","journalAbbreviation":"The Lancet","language":"en","page":"2428-2438","source":"DOI.org (Crossref)","title":"Risk of HIV transmission through condomless sex in serodifferent gay couples with the HIV-positive partner taking suppressive antiretroviral therapy (PARTNER): final results of a multicentre, prospective, observational study","title-short":"Risk of HIV transmission through condomless sex in serodifferent gay couples with the HIV-positive partner taking suppressive antiretroviral therapy (PARTNER)","volume":"393","author":[{"family":"Rodger","given":"Alison J"},{"family":"Cambiano","given":"Valentina"},{"family":"Bruun","given":"Tina"},{"family":"Vernazza","given":"Pietro"},{"family":"Collins","given":"Simon"},{"family":"Degen","given":"Olaf"},{"family":"Corbelli","given":"Giulio Maria"},{"family":"Estrada","given":"Vicente"},{"family":"Geretti","given":"Anna Maria"},{"family":"Beloukas","given":"Apostolos"},{"family":"Raben","given":"Dorthe"},{"family":"Coll","given":"Pep"},{"family":"Antinori","given":"Andrea"},{"family":"Nwokolo","given":"Nneka"},{"family":"Rieger","given":"Armin"},{"family":"Prins","given":"Jan M"},{"family":"Blaxhult","given":"Anders"},{"family":"Weber","given":"Rainer"},{"family":"Van Eeden","given":"Arne"},{"family":"Brockmeyer","given":"Norbert H"},{"family":"Clarke","given":"Amanda"},{"family":"Romero Guerrero","given":"Jorge","non-dropping-particle":"del"},{"family":"Raffi","given":"Francois"},{"family":"Bogner","given":"Johannes R"},{"family":"Wandeler","given":"Gilles"},{"family":"Gerstoft","given":"Jan"},{"family":"Gutiérrez","given":"Felix"},{"family":"Brinkman","given":"Kees"},{"family":"Kitchen","given":"Maria"},{"family":"Ostergaard","given":"Lars"},{"family":"Leon","given":"Agathe"},{"family":"Ristola","given":"Matti"},{"family":"Jessen","given":"Heiko"},{"family":"Stellbrink","given":"Hans-Jürgen"},{"family":"Phillips","given":"Andrew N"},{"family":"Lundgren","given":"Jens"},{"family":"Coll","given":"Pep"},{"family":"Cobarsi","given":"Patricia"},{"family":"Nieto","given":"Aroa"},{"family":"Meulbroek","given":"Michael"},{"family":"Carrillo","given":"Antonia"},{"family":"Saz","given":"Jorge"},{"family":"Guerrero","given":"Jorge D.R."},{"family":"García","given":"Mar Vera"},{"family":"Gutiérrez","given":"Felix"},{"family":"Masiá","given":"Mar"},{"family":"Robledano","given":"Catalina"},{"family":"Leon","given":"Agathe"},{"family":"Leal","given":"Lorna"},{"family":"Redondo","given":"Eva G."},{"family":"Estrada","given":"Vicente P."},{"family":"Marquez","given":"Rocio"},{"family":"Sandoval","given":"Raquel"},{"family":"Viciana","given":"Pompeyo"},{"family":"Espinosa","given":"Nuria"},{"family":"Lopez-Cortes","given":"Luis"},{"family":"Podzamczer","given":"Daniel"},{"family":"Tiraboschi","given":"Juan"},{"family":"Morenilla","given":"Sandra"},{"family":"Antela","given":"Antonio"},{"family":"Losada","given":"Elena"},{"family":"Nwokolo","given":"Nneka"},{"family":"Sewell","given":"Janey"},{"family":"Clarke","given":"Amanda"},{"family":"Kirk","given":"Sarah"},{"family":"Knott","given":"Alyson"},{"family":"Rodger","given":"Alison J"},{"family":"Fernandez","given":"Thomas"},{"family":"Gompels","given":"Mark"},{"family":"Jennings","given":"Louise"},{"family":"Ward","given":"Lana"},{"family":"Fox","given":"Julie"},{"family":"Lwanga","given":"Julianne"},{"family":"Lee","given":"Ming"},{"family":"Gilson","given":"Richard"},{"family":"Leen","given":"Clifford"},{"family":"Morris","given":"Sheila"},{"family":"Clutterbuck","given":"Dan"},{"family":"Brady","given":"Michael"},{"family":"Asboe","given":"David"},{"family":"Fedele","given":"Serge"},{"family":"Fidler","given":"Sarah"},{"family":"Brockmeyer","given":"Norbert"},{"family":"Potthoff","given":"Anja"},{"family":"Skaletz-Rorowski","given":"Adriane"},{"family":"Bogner","given":"Johannes"},{"family":"Seybold","given":"Ulrich"},{"family":"Roider","given":"Julia"},{"family":"Jessen","given":"Heiko"},{"family":"Jessen","given":"Arne"},{"family":"Ruzicic","given":"Slobodan"},{"family":"Stellbrink","given":"Hans-Jürgen"},{"family":"Kümmerle","given":"Tim"},{"family":"Lehmann","given":"Clara"},{"family":"Degen","given":"Olaf"},{"family":"Bartel","given":"Sindy"},{"family":"Hüfner","given":"Anja"},{"family":"Rockstroh","given":"Jürgen"},{"family":"Mohrmann","given":"Karina"},{"family":"Boesecke","given":"Christoph"},{"family":"Krznaric","given":"Ivanka"},{"family":"Ingiliz","given":"Patrick"},{"family":"Weber","given":"Rainer"},{"family":"Grube","given":"Christina"},{"family":"Braun","given":"Dominique"},{"family":"Günthard","given":"Huldrych"},{"family":"Wandeler","given":"Gilles"},{"family":"Furrer","given":"Hansjakob"},{"family":"Rauch","given":"Andri"},{"family":"Vernazza","given":"Pietro"},{"family":"Schmid","given":"Patrick"},{"family":"Rasi","given":"Manuela"},{"family":"Borso","given":"Denise"},{"family":"Stratmann","given":"Markus"},{"family":"Caviezel","given":"Oliver"},{"family":"Stoeckle","given":"Marcel"},{"family":"Battegay","given":"Manuel"},{"family":"Tarr","given":"Philip"},{"family":"Christinet","given":"Vanessa"},{"family":"Jouinot","given":"Florent"},{"family":"Isambert","given":"Camille"},{"family":"Bernasconi","given":"Enos"},{"family":"Bernasconi","given":"Beatrice"},{"family":"Gerstoft","given":"Jan"},{"family":"Jensen","given":"Lene P."},{"family":"Bayer","given":"Anne A."},{"family":"Ostergaard","given":"Lars"},{"family":"Yehdego","given":"Yordanos"},{"family":"Bach","given":"Ann"},{"family":"Handberg","given":"Pia"},{"family":"Kronborg","given":"Gitte"},{"family":"Pedersen","given":"Svend","dropping-particle":"s."},{"family":"Bülow","given":"Nete"},{"family":"Ramskover","given":"Bente"},{"family":"Ristola","given":"Matti"},{"family":"Debnam","given":"Outi"},{"family":"Sutinen","given":"Jussi"},{"family":"Blaxhult","given":"Anders"},{"family":"Ask","given":"Ronnie"},{"family":"Hildingsson-Lundh","given":"Bernt"},{"family":"Westling","given":"Katarina"},{"family":"Frisen","given":"Eeva-Maija"},{"family":"Cortney","given":"Gráinne"},{"family":"O'Dea","given":"Siobhan"},{"family":"De Wit","given":"Stephane"},{"family":"Necsoi","given":"Coca"},{"family":"Vandekerckhove","given":"Linos"},{"family":"Goffard","given":"Jean-Christophe"},{"family":"Henrard","given":"Sophie"},{"family":"Prins","given":"Jan"},{"family":"Nobel","given":"Hans-Henrik"},{"family":"Weijsenfeld","given":"Annouschka"},{"family":"Van Eeden","given":"Arne"},{"family":"Elsenburg","given":"Loek"},{"family":"Brinkman","given":"Kees"},{"family":"Vos","given":"Danielle"},{"family":"Hoijenga","given":"Imke"},{"family":"Gisolf","given":"Elisabeth"},{"family":"Van Bentum","given":"Petra"},{"family":"Verhagen","given":"Dominique"},{"family":"Raffi","given":"Francois"},{"family":"Billaud","given":"Eric"},{"family":"Ohayon","given":"Michel"},{"family":"Gosset","given":"Daniel"},{"family":"Fior","given":"Alexandre"},{"family":"Pialoux","given":"Gilles"},{"family":"Thibaut","given":"Pelagie"},{"family":"Chas","given":"Julie"},{"family":"Leclercq","given":"Vincent"},{"family":"Pechenot","given":"Vincent"},{"family":"Coquelin","given":"Vincent"},{"family":"Pradier","given":"Christian"},{"family":"Breaud","given":"Sophie"},{"family":"Touzeau-Romer","given":"Veronique"},{"family":"Rieger","given":"Armin"},{"family":"Kitchen - Maria Geit","given":"Maria"},{"family":"Sarcletti","given":"Mario"},{"family":"Gisinger","given":"Martin"},{"family":"Oellinger","given":"Angela"},{"family":"Antinori","given":"Andrea"},{"family":"Menichetti","given":"Samanta"},{"family":"Bini","given":"Teresa"},{"family":"Mussini","given":"Cristina"},{"family":"Meschiari","given":"Marianna"},{"family":"Di Biagio","given":"Antonio"},{"family":"Taramasso","given":"Lucia"},{"family":"Celesia","given":"Benedetto M."},{"family":"Gussio","given":"Maria"},{"family":"Janeiro","given":"Nuno"}],"issued":{"date-parts":[["2019",6]]}}}],"schema":"https://github.com/citation-style-language/schema/raw/master/csl-citation.json"} </w:instrText>
      </w:r>
      <w:r w:rsidRPr="00081ADA">
        <w:rPr>
          <w:rFonts w:eastAsia="Calibri"/>
          <w:color w:val="2B579A"/>
          <w:szCs w:val="24"/>
          <w:shd w:val="clear" w:color="auto" w:fill="E6E6E6"/>
        </w:rPr>
        <w:fldChar w:fldCharType="separate"/>
      </w:r>
      <w:r w:rsidRPr="00081ADA">
        <w:rPr>
          <w:rFonts w:eastAsia="Calibri"/>
          <w:szCs w:val="24"/>
          <w:vertAlign w:val="superscript"/>
        </w:rPr>
        <w:t>4</w:t>
      </w:r>
      <w:r w:rsidRPr="00081ADA">
        <w:rPr>
          <w:rFonts w:eastAsia="Calibri"/>
          <w:color w:val="2B579A"/>
          <w:szCs w:val="24"/>
          <w:shd w:val="clear" w:color="auto" w:fill="E6E6E6"/>
        </w:rPr>
        <w:fldChar w:fldCharType="end"/>
      </w:r>
      <w:r w:rsidRPr="00081ADA">
        <w:rPr>
          <w:rFonts w:eastAsia="Calibri"/>
          <w:szCs w:val="24"/>
        </w:rPr>
        <w:t xml:space="preserve"> In this context, the idea of “protected” sex – which historically meant sex protected by condoms</w:t>
      </w:r>
      <w:r w:rsidRPr="00081ADA">
        <w:rPr>
          <w:rFonts w:eastAsia="Calibri"/>
          <w:color w:val="2B579A"/>
          <w:szCs w:val="24"/>
          <w:shd w:val="clear" w:color="auto" w:fill="E6E6E6"/>
        </w:rPr>
        <w:fldChar w:fldCharType="begin"/>
      </w:r>
      <w:r w:rsidRPr="00081ADA">
        <w:rPr>
          <w:rFonts w:eastAsia="Calibri"/>
          <w:szCs w:val="24"/>
        </w:rPr>
        <w:instrText xml:space="preserve"> ADDIN ZOTERO_ITEM CSL_CITATION {"citationID":"szjSWY23","properties":{"formattedCitation":"\\super 5\\nosupersub{}","plainCitation":"5","noteIndex":0},"citationItems":[{"id":7759,"uris":["http://zotero.org/users/9942874/items/B9HN6M9P"],"itemData":{"id":7759,"type":"article-journal","container-title":"PLoS Medicine","DOI":"10.1371/journal.pmed.1001286","ISSN":"1549-1676","issue":"8","journalAbbreviation":"PLoS Med","language":"en","page":"e1001286","source":"DOI.org (Crossref)","title":"Challenges for HIV Pre-Exposure Prophylaxis among Men Who Have Sex with Men in the United States","volume":"9","author":[{"family":"Mansergh","given":"Gordon"},{"family":"Koblin","given":"Beryl A."},{"family":"Sullivan","given":"Patrick S."}],"issued":{"date-parts":[["2012",8,21]]}}}],"schema":"https://github.com/citation-style-language/schema/raw/master/csl-citation.json"} </w:instrText>
      </w:r>
      <w:r w:rsidRPr="00081ADA">
        <w:rPr>
          <w:rFonts w:eastAsia="Calibri"/>
          <w:color w:val="2B579A"/>
          <w:szCs w:val="24"/>
          <w:shd w:val="clear" w:color="auto" w:fill="E6E6E6"/>
        </w:rPr>
        <w:fldChar w:fldCharType="separate"/>
      </w:r>
      <w:r w:rsidRPr="00081ADA">
        <w:rPr>
          <w:rFonts w:eastAsia="Calibri"/>
          <w:szCs w:val="24"/>
          <w:vertAlign w:val="superscript"/>
        </w:rPr>
        <w:t>5</w:t>
      </w:r>
      <w:r w:rsidRPr="00081ADA">
        <w:rPr>
          <w:rFonts w:eastAsia="Calibri"/>
          <w:color w:val="2B579A"/>
          <w:szCs w:val="24"/>
          <w:shd w:val="clear" w:color="auto" w:fill="E6E6E6"/>
        </w:rPr>
        <w:fldChar w:fldCharType="end"/>
      </w:r>
      <w:r w:rsidRPr="00081ADA">
        <w:rPr>
          <w:rFonts w:eastAsia="Calibri"/>
          <w:szCs w:val="24"/>
        </w:rPr>
        <w:t xml:space="preserve"> – has become much more complex.</w:t>
      </w:r>
      <w:r w:rsidRPr="00081ADA">
        <w:rPr>
          <w:rFonts w:eastAsia="Calibri"/>
          <w:color w:val="2B579A"/>
          <w:szCs w:val="24"/>
          <w:shd w:val="clear" w:color="auto" w:fill="E6E6E6"/>
        </w:rPr>
        <w:fldChar w:fldCharType="begin"/>
      </w:r>
      <w:r w:rsidRPr="00081ADA">
        <w:rPr>
          <w:rFonts w:eastAsia="Calibri"/>
          <w:szCs w:val="24"/>
        </w:rPr>
        <w:instrText xml:space="preserve"> ADDIN ZOTERO_ITEM CSL_CITATION {"citationID":"CBINNZgc","properties":{"formattedCitation":"\\super 6\\nosupersub{}","plainCitation":"6","noteIndex":0},"citationItems":[{"id":7754,"uris":["http://zotero.org/users/9942874/items/SKF4IWBH"],"itemData":{"id":7754,"type":"article-journal","abstract":"Advancing HIV behavioral science and its integration with recent biomedical prevention strategies - Treatment as Prevention (TasP) and pre-exposure prophylaxis (PrEP) - is complicated because traditional definitions of sexual risk (condomless anal sex [CAS] or CAS with a serodiscordant partner) may not suffice given the success of biomedical prevention in the absence of condoms. To better understand how to define and understand risk in the era of biomedical HIV prevention, we assessed correlates of four different definitions of high-risk sexual behavior among a sample of 401 adult HIV-positive MSM (57% African American) residing in the New York City area: 1) a traditional model of risk defined as CAS with an HIV-negative or unknown serostatus partner; 2) a definition that considered participant viral load (VL); 3) a definition that considered partner PrEP use; and 4) a definition that considered participant HIV viral load (VL) and partner PrEP use. Among participants reporting anal sex (n = 281) with a man in the past 3 months, 42% were considered high risk under definition 1, 6% under definition 2, 25% under definition 3, and 2% under definition 4. Correlates of risk varied across definitions. For example, while education was the strongest predictor of high-risk sexual behavior in definitions 1 and 2, alcohol use and enacted stigma were the strongest predictors in the model that only accounted for partner PrEP use (definition 3). These findings have implications for whom to reach for intervention efforts, the difficulty in meeting recruitment goals, and the types of interventions that should be used.","container-title":"Archives of Sexual Behavior","DOI":"10.1007/s10508-019-01499-8","ISSN":"0004-0002, 1573-2800","issue":"1","journalAbbreviation":"Arch Sex Behav","language":"en","page":"91-102","source":"DOI.org (Crossref)","title":"Defining Sexual Risk in the Era of Biomedical HIV Prevention: Implications for HIV Research and Practice","title-short":"Defining Sexual Risk in the Era of Biomedical HIV Prevention","volume":"49","author":[{"family":"Horvath","given":"Keith J."},{"family":"Lammert","given":"Sara"},{"family":"Martinka","given":"Aldona"},{"family":"Erickson","given":"Darin"}],"issued":{"date-parts":[["2020",1]]}}}],"schema":"https://github.com/citation-style-language/schema/raw/master/csl-citation.json"} </w:instrText>
      </w:r>
      <w:r w:rsidRPr="00081ADA">
        <w:rPr>
          <w:rFonts w:eastAsia="Calibri"/>
          <w:color w:val="2B579A"/>
          <w:szCs w:val="24"/>
          <w:shd w:val="clear" w:color="auto" w:fill="E6E6E6"/>
        </w:rPr>
        <w:fldChar w:fldCharType="separate"/>
      </w:r>
      <w:r w:rsidRPr="00081ADA">
        <w:rPr>
          <w:rFonts w:eastAsia="Calibri"/>
          <w:szCs w:val="24"/>
          <w:vertAlign w:val="superscript"/>
        </w:rPr>
        <w:t>6</w:t>
      </w:r>
      <w:r w:rsidRPr="00081ADA">
        <w:rPr>
          <w:rFonts w:eastAsia="Calibri"/>
          <w:color w:val="2B579A"/>
          <w:szCs w:val="24"/>
          <w:shd w:val="clear" w:color="auto" w:fill="E6E6E6"/>
        </w:rPr>
        <w:fldChar w:fldCharType="end"/>
      </w:r>
      <w:r w:rsidRPr="00081ADA">
        <w:rPr>
          <w:rFonts w:eastAsia="Calibri"/>
          <w:szCs w:val="24"/>
        </w:rPr>
        <w:t xml:space="preserve"> Men who have sex with men (MSM) and others at risk for acquiring HIV are now making decisions about how to reduce their risks of HIV infection in a world where there are many more options to reduce risks of infection, and where those options also interact with the HIV status and viral suppression status of their sex partners. Understanding men’s preferences </w:t>
      </w:r>
      <w:r w:rsidRPr="00081ADA">
        <w:rPr>
          <w:rFonts w:eastAsia="Calibri"/>
          <w:szCs w:val="24"/>
        </w:rPr>
        <w:t>for prevention products and strategies and what choices are being made by men with varying risk profiles is critical to public health responses and programs to reduce new HIV infections.</w:t>
      </w:r>
      <w:r w:rsidRPr="00081ADA">
        <w:rPr>
          <w:rFonts w:eastAsia="Calibri"/>
          <w:color w:val="2B579A"/>
          <w:szCs w:val="24"/>
          <w:shd w:val="clear" w:color="auto" w:fill="E6E6E6"/>
        </w:rPr>
        <w:fldChar w:fldCharType="begin"/>
      </w:r>
      <w:r w:rsidRPr="00081ADA">
        <w:rPr>
          <w:rFonts w:eastAsia="Calibri"/>
          <w:szCs w:val="24"/>
        </w:rPr>
        <w:instrText xml:space="preserve"> ADDIN ZOTERO_ITEM CSL_CITATION {"citationID":"zKXHsyDs","properties":{"formattedCitation":"\\super 5\\nosupersub{}","plainCitation":"5","noteIndex":0},"citationItems":[{"id":7759,"uris":["http://zotero.org/users/9942874/items/B9HN6M9P"],"itemData":{"id":7759,"type":"article-journal","container-title":"PLoS Medicine","DOI":"10.1371/journal.pmed.1001286","ISSN":"1549-1676","issue":"8","journalAbbreviation":"PLoS Med","language":"en","page":"e1001286","source":"DOI.org (Crossref)","title":"Challenges for HIV Pre-Exposure Prophylaxis among Men Who Have Sex with Men in the United States","volume":"9","author":[{"family":"Mansergh","given":"Gordon"},{"family":"Koblin","given":"Beryl A."},{"family":"Sullivan","given":"Patrick S."}],"issued":{"date-parts":[["2012",8,21]]}}}],"schema":"https://github.com/citation-style-language/schema/raw/master/csl-citation.json"} </w:instrText>
      </w:r>
      <w:r w:rsidRPr="00081ADA">
        <w:rPr>
          <w:rFonts w:eastAsia="Calibri"/>
          <w:color w:val="2B579A"/>
          <w:szCs w:val="24"/>
          <w:shd w:val="clear" w:color="auto" w:fill="E6E6E6"/>
        </w:rPr>
        <w:fldChar w:fldCharType="separate"/>
      </w:r>
      <w:r w:rsidRPr="00081ADA">
        <w:rPr>
          <w:rFonts w:eastAsia="Calibri"/>
          <w:szCs w:val="24"/>
          <w:vertAlign w:val="superscript"/>
        </w:rPr>
        <w:t>5</w:t>
      </w:r>
      <w:r w:rsidRPr="00081ADA">
        <w:rPr>
          <w:rFonts w:eastAsia="Calibri"/>
          <w:color w:val="2B579A"/>
          <w:szCs w:val="24"/>
          <w:shd w:val="clear" w:color="auto" w:fill="E6E6E6"/>
        </w:rPr>
        <w:fldChar w:fldCharType="end"/>
      </w:r>
    </w:p>
    <w:p w:rsidR="009F5E21" w:rsidRPr="00081ADA" w:rsidP="0089092A" w14:paraId="44878C45" w14:textId="77777777">
      <w:pPr>
        <w:ind w:firstLine="720"/>
        <w:rPr>
          <w:rFonts w:eastAsia="Calibri"/>
          <w:szCs w:val="24"/>
        </w:rPr>
      </w:pPr>
    </w:p>
    <w:p w:rsidR="00805540" w:rsidP="00EC4BC4" w14:paraId="3E5D97A1" w14:textId="64BA61A6">
      <w:pPr>
        <w:rPr>
          <w:rFonts w:eastAsia="Calibri"/>
          <w:szCs w:val="24"/>
        </w:rPr>
      </w:pPr>
      <w:r w:rsidRPr="00081ADA">
        <w:rPr>
          <w:rFonts w:eastAsia="Calibri"/>
          <w:szCs w:val="24"/>
        </w:rPr>
        <w:t>MSM are the most highly impacted group by HIV in the US, with transmission largely driven by high per-act risk MSM.</w:t>
      </w:r>
      <w:r w:rsidRPr="00081ADA">
        <w:rPr>
          <w:rFonts w:eastAsia="Calibri"/>
          <w:color w:val="2B579A"/>
          <w:szCs w:val="24"/>
        </w:rPr>
        <w:fldChar w:fldCharType="begin"/>
      </w:r>
      <w:r w:rsidRPr="00081ADA">
        <w:rPr>
          <w:rFonts w:eastAsia="Calibri"/>
          <w:szCs w:val="24"/>
        </w:rPr>
        <w:instrText xml:space="preserve"> ADDIN ZOTERO_ITEM CSL_CITATION {"citationID":"3JVweBsj","properties":{"formattedCitation":"\\super 7\\nosupersub{}","plainCitation":"7","noteIndex":0},"citationItems":[{"id":4315,"uris":["http://zotero.org/users/9942874/items/HZS3LYD8"],"itemData":{"id":4315,"type":"article-journal","container-title":"AIDS","DOI":"10.1097/01.aids.0000432449.30239.fe","ISSN":"0269-9370","issue":"17","language":"en","page":"2665-2678","source":"DOI.org (Crossref)","title":"The increase in global HIV epidemics in MSM","volume":"27","author":[{"family":"Beyrer","given":"Chris"},{"family":"Sullivan","given":"Patrick"},{"family":"Sanchez","given":"Jorge"},{"family":"Baral","given":"Stefan D."},{"family":"Collins","given":"Chris"},{"family":"Wirtz","given":"Andrea L."},{"family":"Altman","given":"Dennis"},{"family":"Trapence","given":"Gift"},{"family":"Mayer","given":"Kenneth"}],"issued":{"date-parts":[["2013",11,13]]}}}],"schema":"https://github.com/citation-style-language/schema/raw/master/csl-citation.json"} </w:instrText>
      </w:r>
      <w:r w:rsidRPr="00081ADA">
        <w:rPr>
          <w:rFonts w:eastAsia="Calibri"/>
          <w:color w:val="2B579A"/>
          <w:szCs w:val="24"/>
        </w:rPr>
        <w:fldChar w:fldCharType="separate"/>
      </w:r>
      <w:r w:rsidRPr="00081ADA">
        <w:rPr>
          <w:rFonts w:eastAsia="Calibri"/>
          <w:szCs w:val="24"/>
          <w:vertAlign w:val="superscript"/>
        </w:rPr>
        <w:t>7</w:t>
      </w:r>
      <w:r w:rsidRPr="00081ADA">
        <w:rPr>
          <w:rFonts w:eastAsia="Calibri"/>
          <w:color w:val="2B579A"/>
          <w:szCs w:val="24"/>
        </w:rPr>
        <w:fldChar w:fldCharType="end"/>
      </w:r>
      <w:r w:rsidRPr="00081ADA">
        <w:rPr>
          <w:rFonts w:eastAsia="Calibri"/>
          <w:szCs w:val="24"/>
        </w:rPr>
        <w:t xml:space="preserve"> Among MSM, Black/African American (Black) and Hispanic/Latino (Hispanic) men experience nested health inequities: in 2020</w:t>
      </w:r>
      <w:r w:rsidR="00554892">
        <w:rPr>
          <w:rFonts w:eastAsia="Calibri"/>
          <w:szCs w:val="24"/>
        </w:rPr>
        <w:t>,</w:t>
      </w:r>
      <w:r w:rsidRPr="00081ADA">
        <w:rPr>
          <w:rFonts w:eastAsia="Calibri"/>
          <w:szCs w:val="24"/>
        </w:rPr>
        <w:t xml:space="preserve"> Black men comprised 13% of US men and 38% of MSM diagnosed with HIV, and Hispanic men comprised 19% of US men and 33% of MSM diagnosed with HIV.</w:t>
      </w:r>
      <w:r w:rsidRPr="00081ADA">
        <w:rPr>
          <w:rFonts w:eastAsia="Calibri"/>
          <w:color w:val="2B579A"/>
          <w:szCs w:val="24"/>
        </w:rPr>
        <w:fldChar w:fldCharType="begin"/>
      </w:r>
      <w:r w:rsidRPr="00081ADA">
        <w:rPr>
          <w:rFonts w:eastAsia="Calibri"/>
          <w:szCs w:val="24"/>
        </w:rPr>
        <w:instrText xml:space="preserve"> ADDIN ZOTERO_ITEM CSL_CITATION {"citationID":"wnUeyUr3","properties":{"formattedCitation":"\\super 8\\nosupersub{}","plainCitation":"8","noteIndex":0},"citationItems":[{"id":7760,"uris":["http://zotero.org/users/9942874/items/PBZ7QPGK"],"itemData":{"id":7760,"type":"document","title":"Atlas Plus [Internet]","URL":"https://www.cdc.gov/nchhstp/atlas/","author":[{"family":"US Centers for Disease Control and Prevention","given":""}],"issued":{"date-parts":[["2019"]]}}}],"schema":"https://github.com/citation-style-language/schema/raw/master/csl-citation.json"} </w:instrText>
      </w:r>
      <w:r w:rsidRPr="00081ADA">
        <w:rPr>
          <w:rFonts w:eastAsia="Calibri"/>
          <w:color w:val="2B579A"/>
          <w:szCs w:val="24"/>
        </w:rPr>
        <w:fldChar w:fldCharType="separate"/>
      </w:r>
      <w:r w:rsidRPr="00081ADA">
        <w:rPr>
          <w:rFonts w:eastAsia="Calibri"/>
          <w:szCs w:val="24"/>
          <w:vertAlign w:val="superscript"/>
        </w:rPr>
        <w:t>8</w:t>
      </w:r>
      <w:r w:rsidRPr="00081ADA">
        <w:rPr>
          <w:rFonts w:eastAsia="Calibri"/>
          <w:color w:val="2B579A"/>
          <w:szCs w:val="24"/>
        </w:rPr>
        <w:fldChar w:fldCharType="end"/>
      </w:r>
      <w:r w:rsidRPr="00081ADA">
        <w:rPr>
          <w:rFonts w:eastAsia="Calibri"/>
          <w:szCs w:val="24"/>
        </w:rPr>
        <w:t xml:space="preserve"> Uptake of daily oral PrEP use by Black and Hispanic MSM has been slow</w:t>
      </w:r>
      <w:r w:rsidRPr="00081ADA">
        <w:rPr>
          <w:rFonts w:eastAsia="Calibri"/>
          <w:color w:val="2B579A"/>
          <w:szCs w:val="24"/>
        </w:rPr>
        <w:fldChar w:fldCharType="begin"/>
      </w:r>
      <w:r w:rsidRPr="00081ADA">
        <w:rPr>
          <w:rFonts w:eastAsia="Calibri"/>
          <w:szCs w:val="24"/>
        </w:rPr>
        <w:instrText xml:space="preserve"> ADDIN ZOTERO_ITEM CSL_CITATION {"citationID":"RMZ2Dv2f","properties":{"formattedCitation":"\\super 9\\nosupersub{}","plainCitation":"9","noteIndex":0},"citationItems":[{"id":7751,"uris":["http://zotero.org/users/9942874/items/8IAPPS5N"],"itemData":{"id":7751,"type":"article-journal","abstract":"Introduction: Pre‐exposure prophylaxis (PrEP) is a key HIV prevention technology, and is a pillar of a comprehensive HIV prevention approach for men who have sex with men (MSM). Because there have been no national data to characterize trends in the PrEP continuum in the United States, overall and for key demographic groups of MSM, we aimed to describe the extent to which PrEP awareness, willingness and use changed over time, overall and for specific groups of MSM critical for HIV prevention (e.g. Black and Hispanic MSM, younger MSM, MSM in rural areas and MSM without health coverage).\nMethods: The American Men’s Internet Survey (AMIS) is an annual survey of US MSM conducted in the United States among MSM aged ≥15 years since 2013. We analysed data on trends in elements of the PrEP continuum (awareness, willingness and use of PrEP) in a sample of 37,476 HIV‐negative/unknown status MSM from December 2013 through November 2017. We evaluated trends in continuum steps overall and among demographic subgroups using Poisson models with Generalized Estimating Equations. For 2017 data, we used logistic regression to compare the prevalence of PrEP use among demographic groups.\nResults: Overall, 51.4% (n = 19,244) of AMIS respondents were PrEP‐eligible across study years. Between 2013 and 2017, PrEP awareness increased from 47.4% to 80.6% willingness to use PrEP increased from 43.9% to 59.5% and PrEP use in the past 12 months increased from 1.7% to 19.9%. In 2017, use of PrEP was lower for men who were younger, lived outside of urban areas, and lacked health insurance; PrEP use was not different among Black, Hispanic and white MSM.\nConclusions: Our data show progress in use of PrEP among US MSM, but also reveal mismatches between PrEP use and epidemic need. We call for additional support of PrEP initiation, especially among young, non‐urban and uninsured MSM. Black and Hispanic MSM report levels of PrEP use no different from white MSM, but given higher HIV incidence for Black and Hispanic MSM, parity in use is not sufficient for epidemic control or health equity.","container-title":"Journal of the International AIDS Society","DOI":"10.1002/jia2.25461","ISSN":"1758-2652, 1758-2652","issue":"3","journalAbbreviation":"J Intern AIDS Soc","language":"en","source":"DOI.org (Crossref)","title":"National trends in HIV pre‐exposure prophylaxis awareness, willingness and use among United States men who have sex with men recruited online, 2013 through 2017","URL":"https://onlinelibrary.wiley.com/doi/10.1002/jia2.25461","volume":"23","author":[{"family":"Sullivan","given":"Patrick S"},{"family":"Sanchez","given":"Travis H"},{"family":"Zlotorzynska","given":"Maria"},{"family":"Chandler","given":"Cristian J"},{"family":"Sineath","given":"Rc"},{"family":"Kahle","given":"Erin"},{"family":"Tregear","given":"Stephen"}],"accessed":{"date-parts":[["2022",9,3]]},"issued":{"date-parts":[["2020",3]]}}}],"schema":"https://github.com/citation-style-language/schema/raw/master/csl-citation.json"} </w:instrText>
      </w:r>
      <w:r w:rsidRPr="00081ADA">
        <w:rPr>
          <w:rFonts w:eastAsia="Calibri"/>
          <w:color w:val="2B579A"/>
          <w:szCs w:val="24"/>
        </w:rPr>
        <w:fldChar w:fldCharType="separate"/>
      </w:r>
      <w:r w:rsidRPr="00081ADA">
        <w:rPr>
          <w:rFonts w:eastAsia="Calibri"/>
          <w:szCs w:val="24"/>
          <w:vertAlign w:val="superscript"/>
        </w:rPr>
        <w:t>9</w:t>
      </w:r>
      <w:r w:rsidRPr="00081ADA">
        <w:rPr>
          <w:rFonts w:eastAsia="Calibri"/>
          <w:color w:val="2B579A"/>
          <w:szCs w:val="24"/>
        </w:rPr>
        <w:fldChar w:fldCharType="end"/>
      </w:r>
      <w:r w:rsidRPr="00081ADA">
        <w:rPr>
          <w:rFonts w:eastAsia="Calibri"/>
          <w:szCs w:val="24"/>
        </w:rPr>
        <w:t xml:space="preserve"> and the extent of PrEP use among these men has not been equitable in light of their disproportionate impact in the HIV epidemic.</w:t>
      </w:r>
      <w:r w:rsidRPr="00081ADA">
        <w:rPr>
          <w:rFonts w:eastAsia="Calibri"/>
          <w:color w:val="2B579A"/>
          <w:szCs w:val="24"/>
        </w:rPr>
        <w:fldChar w:fldCharType="begin"/>
      </w:r>
      <w:r w:rsidRPr="00081ADA">
        <w:rPr>
          <w:rFonts w:eastAsia="Calibri"/>
          <w:szCs w:val="24"/>
        </w:rPr>
        <w:instrText xml:space="preserve"> ADDIN ZOTERO_ITEM CSL_CITATION {"citationID":"M9pBZ69q","properties":{"formattedCitation":"\\super 10\\nosupersub{}","plainCitation":"10","noteIndex":0},"citationItems":[{"id":7757,"uris":["http://zotero.org/users/9942874/items/JV5ZKJ4C"],"itemData":{"id":7757,"type":"article-journal","abstract":"Purpose—The number of individuals who have started a regimen for HIV pre-exposure prophylaxis (PrEP) in the US is not well characterized, but has been on the rise since 2012. This analysis assesses the distribution of PrEP use nationally and among subgroups.","container-title":"Annals of Epidemiology","DOI":"10.1016/j.annepidem.2018.06.005","ISSN":"10472797","issue":"12","journalAbbreviation":"Annals of Epidemiology","language":"en","page":"841-849","source":"DOI.org (Crossref)","title":"The prevalence of pre-exposure prophylaxis use and the pre-exposure prophylaxis–to-need ratio in the fourth quarter of 2017, United States","volume":"28","author":[{"family":"Siegler","given":"Aaron J."},{"family":"Mouhanna","given":"Farah"},{"family":"Giler","given":"Robertino Mera"},{"family":"Weiss","given":"Kevin"},{"family":"Pembleton","given":"Elizabeth"},{"family":"Guest","given":"Jodie"},{"family":"Jones","given":"Jeb"},{"family":"Castel","given":"Amanda"},{"family":"Yeung","given":"Howa"},{"family":"Kramer","given":"Michael"},{"family":"McCallister","given":"Scott"},{"family":"Sullivan","given":"Patrick S."}],"issued":{"date-parts":[["2018",12]]}}}],"schema":"https://github.com/citation-style-language/schema/raw/master/csl-citation.json"} </w:instrText>
      </w:r>
      <w:r w:rsidRPr="00081ADA">
        <w:rPr>
          <w:rFonts w:eastAsia="Calibri"/>
          <w:color w:val="2B579A"/>
          <w:szCs w:val="24"/>
        </w:rPr>
        <w:fldChar w:fldCharType="separate"/>
      </w:r>
      <w:r w:rsidRPr="00081ADA">
        <w:rPr>
          <w:rFonts w:eastAsia="Calibri"/>
          <w:szCs w:val="24"/>
          <w:vertAlign w:val="superscript"/>
        </w:rPr>
        <w:t>10</w:t>
      </w:r>
      <w:r w:rsidRPr="00081ADA">
        <w:rPr>
          <w:rFonts w:eastAsia="Calibri"/>
          <w:color w:val="2B579A"/>
          <w:szCs w:val="24"/>
        </w:rPr>
        <w:fldChar w:fldCharType="end"/>
      </w:r>
      <w:r w:rsidRPr="00081ADA">
        <w:rPr>
          <w:rFonts w:eastAsia="Calibri"/>
          <w:szCs w:val="24"/>
        </w:rPr>
        <w:t xml:space="preserve"> Similarly, HIV incidence is concentrated in young MSM of all races.</w:t>
      </w:r>
      <w:r w:rsidRPr="00081ADA">
        <w:rPr>
          <w:rFonts w:eastAsia="Calibri"/>
          <w:color w:val="2B579A"/>
          <w:szCs w:val="24"/>
        </w:rPr>
        <w:fldChar w:fldCharType="begin"/>
      </w:r>
      <w:r w:rsidRPr="00081ADA">
        <w:rPr>
          <w:rFonts w:eastAsia="Calibri"/>
          <w:szCs w:val="24"/>
        </w:rPr>
        <w:instrText xml:space="preserve"> ADDIN ZOTERO_ITEM CSL_CITATION {"citationID":"fQnRKrpC","properties":{"formattedCitation":"\\super 11\\nosupersub{}","plainCitation":"11","noteIndex":0},"citationItems":[{"id":7756,"uris":["http://zotero.org/users/9942874/items/RCW9KQEC"],"itemData":{"id":7756,"type":"article-journal","abstract":"Purpose—To describe factors associated with racial disparities in HIV incidence among men who have sex with men (MSM) in the United States.\nMethods—In a longitudinal cohort of black and white HIV-negative MSM in Atlanta, HIV incidence rates were compared by race. Incidence hazard ratios (HR) between black and white MSM were estimated with an age-scaled Cox proportional hazards model. A change-in-estimate approach was used to understand mediating time-independent and -dependent factors that accounted for the elevated HR.\nResults—Thirty-two incident HIV infections occurred among 260 black and 302 white MSM during 823 person-years (PY) of followup. HIV incidence was higher among black MSM (6.5/100PY; 95% CI: 4.2, 9.7) than white MSM (1.7/100PY; CI: 0.7, 3.3), and highest among young (18–24 years) black MSM (10.9/100PY; CI: 6.2, 17.6). The unadjusted hazard of HIV infection for black MSM was 2.9 (CI: 1.3–6.4) times that of white MSM; adjustment for health insurance status and partner race explained effectively all of the racial disparity.\nConclusions—Relative to white MSM in Atlanta, black MSM, particularly young black MSM, experienced higher HIV incidence that was not attributable to individual risk behaviors. In a","container-title":"Annals of Epidemiology","DOI":"10.1016/j.annepidem.2015.03.006","ISSN":"10472797","issue":"6","journalAbbreviation":"Annals of Epidemiology","language":"en","page":"445-454","source":"DOI.org (Crossref)","title":"Explaining racial disparities in HIV incidence in black and white men who have sex with men in Atlanta, GA: a prospective observational cohort study","title-short":"Explaining racial disparities in HIV incidence in black and white men who have sex with men in Atlanta, GA","volume":"25","author":[{"family":"Sullivan","given":"Patrick S."},{"family":"Rosenberg","given":"Eli S."},{"family":"Sanchez","given":"Travis H."},{"family":"Kelley","given":"Colleen F."},{"family":"Luisi","given":"Nicole"},{"family":"Cooper","given":"Hannah L."},{"family":"Diclemente","given":"Ralph J."},{"family":"Wingood","given":"Gina M."},{"family":"Frew","given":"Paula M."},{"family":"Salazar","given":"Laura F."},{"family":"Rio","given":"Carlos","non-dropping-particle":"del"},{"family":"Mulligan","given":"Mark J."},{"family":"Peterson","given":"John L."}],"issued":{"date-parts":[["2015",6]]}}}],"schema":"https://github.com/citation-style-language/schema/raw/master/csl-citation.json"} </w:instrText>
      </w:r>
      <w:r w:rsidRPr="00081ADA">
        <w:rPr>
          <w:rFonts w:eastAsia="Calibri"/>
          <w:color w:val="2B579A"/>
          <w:szCs w:val="24"/>
        </w:rPr>
        <w:fldChar w:fldCharType="separate"/>
      </w:r>
      <w:r w:rsidRPr="00081ADA">
        <w:rPr>
          <w:rFonts w:eastAsia="Calibri"/>
          <w:szCs w:val="24"/>
          <w:vertAlign w:val="superscript"/>
        </w:rPr>
        <w:t>11</w:t>
      </w:r>
      <w:r w:rsidRPr="00081ADA">
        <w:rPr>
          <w:rFonts w:eastAsia="Calibri"/>
          <w:color w:val="2B579A"/>
          <w:szCs w:val="24"/>
        </w:rPr>
        <w:fldChar w:fldCharType="end"/>
      </w:r>
      <w:r w:rsidRPr="00081ADA">
        <w:rPr>
          <w:rFonts w:eastAsia="Calibri"/>
          <w:szCs w:val="24"/>
        </w:rPr>
        <w:t xml:space="preserve"> Thus, research to increase our understanding of men’s awareness of, attitudes for and use of new prevention options must prioritize the equitable engagement of Black, Hispanic, and younger MSM.</w:t>
      </w:r>
    </w:p>
    <w:p w:rsidR="009F5E21" w:rsidRPr="00081ADA" w:rsidP="0089092A" w14:paraId="3A621C7C" w14:textId="77777777">
      <w:pPr>
        <w:ind w:firstLine="720"/>
        <w:rPr>
          <w:rFonts w:eastAsia="Calibri"/>
          <w:szCs w:val="24"/>
        </w:rPr>
      </w:pPr>
    </w:p>
    <w:p w:rsidR="00805540" w:rsidRPr="00081ADA" w:rsidP="00EC4BC4" w14:paraId="278EDF72" w14:textId="48EC6C82">
      <w:pPr>
        <w:rPr>
          <w:rFonts w:eastAsia="Calibri"/>
          <w:szCs w:val="24"/>
        </w:rPr>
      </w:pPr>
      <w:r w:rsidRPr="00081ADA">
        <w:rPr>
          <w:rFonts w:eastAsia="Calibri"/>
          <w:szCs w:val="24"/>
        </w:rPr>
        <w:t xml:space="preserve">The next 5 years will be a period of rapid changes in the rollout of new PrEP options and will likely see the introduction of new PrEP modalities (e.g., long-acting injectable PrEP, lower frequency oral dosing). Understanding the choices and patterns of PrEP use and the reasons and motivations for those choices among geographically, racially, and ethnically </w:t>
      </w:r>
      <w:r w:rsidR="00EC4BC4">
        <w:rPr>
          <w:rFonts w:eastAsia="Calibri"/>
          <w:szCs w:val="24"/>
        </w:rPr>
        <w:t>varied</w:t>
      </w:r>
      <w:r w:rsidRPr="00081ADA">
        <w:rPr>
          <w:rFonts w:eastAsia="Calibri"/>
          <w:szCs w:val="24"/>
        </w:rPr>
        <w:t xml:space="preserve"> groups of MSM will be a critical part of monitoring the public health response and in informing public health programs and messaging. Ideally, public health messaging will be driven by up-to-date information about the perceptions, preferences, and practices of those MSM at highest risk of HIV acquisition. During this era of rapid change in the available PrEP options, it is critical to have a robust system of real-time monitoring for PrEP preferences, what prevention options men are choosing, and what messages might be most impactful to support the appropriate uptake of PrEP and persistence on PrEP. Because we expect numerous changes in the availability of PrEP products and treatment guidelines, it is also critical to be able to process and interpret these data in a timely way, to best support nimble decisions in prevention messaging and programs in response to a changing landscape of prevention options.</w:t>
      </w:r>
    </w:p>
    <w:p w:rsidR="007B49FC" w:rsidP="0089092A" w14:paraId="6056207F" w14:textId="673D384F">
      <w:pPr>
        <w:rPr>
          <w:szCs w:val="24"/>
        </w:rPr>
      </w:pPr>
    </w:p>
    <w:p w:rsidR="005629EE" w:rsidP="0089092A" w14:paraId="0C7CBDEE" w14:textId="74C65AE1">
      <w:pPr>
        <w:rPr>
          <w:szCs w:val="24"/>
        </w:rPr>
      </w:pPr>
      <w:r w:rsidRPr="007B49FC">
        <w:rPr>
          <w:szCs w:val="24"/>
        </w:rPr>
        <w:t xml:space="preserve">The goal of this study is to understand the use of preexposure prophylaxis (PrEP) and other HIV and sexually transmitted infections (STI) prevention interventions over time among MSM. The study will also identify the most effective PrEP </w:t>
      </w:r>
      <w:r w:rsidR="00950D24">
        <w:rPr>
          <w:szCs w:val="24"/>
        </w:rPr>
        <w:t xml:space="preserve">messaging </w:t>
      </w:r>
      <w:r w:rsidRPr="007B49FC">
        <w:rPr>
          <w:szCs w:val="24"/>
        </w:rPr>
        <w:t xml:space="preserve">and other HIV and STI prevention messaging to increase protective behaviors among MSM. </w:t>
      </w:r>
      <w:r>
        <w:rPr>
          <w:szCs w:val="24"/>
        </w:rPr>
        <w:t>This study</w:t>
      </w:r>
      <w:r w:rsidRPr="007B49FC">
        <w:rPr>
          <w:szCs w:val="24"/>
        </w:rPr>
        <w:t xml:space="preserve"> will generate rapid reports following each wave of data collection to identify community trends and implications for prevention messaging.</w:t>
      </w:r>
    </w:p>
    <w:p w:rsidR="0002450C" w:rsidRPr="00B52F87" w:rsidP="0089092A" w14:paraId="7031D6B6" w14:textId="77777777">
      <w:pPr>
        <w:rPr>
          <w:szCs w:val="24"/>
        </w:rPr>
      </w:pPr>
    </w:p>
    <w:p w:rsidR="00A03B6B" w:rsidRPr="00A03B6B" w:rsidP="0089092A" w14:paraId="09ABC901" w14:textId="3CC21A20">
      <w:pPr>
        <w:pStyle w:val="NoSpacing"/>
        <w:tabs>
          <w:tab w:val="left" w:pos="360"/>
        </w:tabs>
        <w:rPr>
          <w:rFonts w:cs="Times New Roman"/>
        </w:rPr>
      </w:pPr>
      <w:r w:rsidRPr="00A03B6B">
        <w:rPr>
          <w:rFonts w:cs="Times New Roman"/>
        </w:rPr>
        <w:t>This project is in alignment with the following goals and objectives of the National HIV/AIDS Strategy (2022-2025):</w:t>
      </w:r>
      <w:r w:rsidRPr="0088337E" w:rsidR="0088337E">
        <w:rPr>
          <w:rFonts w:cs="Times New Roman"/>
          <w:vertAlign w:val="superscript"/>
        </w:rPr>
        <w:t>1</w:t>
      </w:r>
      <w:r w:rsidR="00CB24D8">
        <w:rPr>
          <w:rFonts w:cs="Times New Roman"/>
          <w:vertAlign w:val="superscript"/>
        </w:rPr>
        <w:t>1</w:t>
      </w:r>
      <w:r w:rsidRPr="00A03B6B">
        <w:rPr>
          <w:rFonts w:cs="Times New Roman"/>
        </w:rPr>
        <w:t xml:space="preserve"> </w:t>
      </w:r>
    </w:p>
    <w:p w:rsidR="00DD2EBA" w:rsidP="0089092A" w14:paraId="3B8C4E00" w14:textId="77777777">
      <w:pPr>
        <w:pStyle w:val="NoSpacing"/>
        <w:numPr>
          <w:ilvl w:val="0"/>
          <w:numId w:val="8"/>
        </w:numPr>
        <w:tabs>
          <w:tab w:val="left" w:pos="360"/>
        </w:tabs>
        <w:ind w:left="504"/>
        <w:rPr>
          <w:rFonts w:cs="Times New Roman"/>
        </w:rPr>
      </w:pPr>
      <w:r w:rsidRPr="00A03B6B">
        <w:rPr>
          <w:rFonts w:cs="Times New Roman"/>
        </w:rPr>
        <w:t>Goal 1: Prevent New HIV Infections</w:t>
      </w:r>
    </w:p>
    <w:p w:rsidR="00A03B6B" w:rsidRPr="00DD2EBA" w:rsidP="0089092A" w14:paraId="37FD9F2B" w14:textId="2AE54CE9">
      <w:pPr>
        <w:pStyle w:val="NoSpacing"/>
        <w:numPr>
          <w:ilvl w:val="1"/>
          <w:numId w:val="8"/>
        </w:numPr>
        <w:tabs>
          <w:tab w:val="left" w:pos="360"/>
        </w:tabs>
        <w:ind w:left="648"/>
        <w:rPr>
          <w:rFonts w:cs="Times New Roman"/>
        </w:rPr>
      </w:pPr>
      <w:r w:rsidRPr="00DD2EBA">
        <w:rPr>
          <w:rFonts w:cs="Times New Roman"/>
        </w:rPr>
        <w:t xml:space="preserve">Objective 1.3: Expand and improve implementation of safe, effective prevention interventions, including treatment as prevention, PrEP, PEP, and SSPs, and develop new </w:t>
      </w:r>
      <w:r w:rsidRPr="00DD2EBA" w:rsidR="00475700">
        <w:rPr>
          <w:rFonts w:cs="Times New Roman"/>
        </w:rPr>
        <w:t>options.</w:t>
      </w:r>
    </w:p>
    <w:p w:rsidR="00DD2EBA" w:rsidP="0089092A" w14:paraId="1B4BC126" w14:textId="77777777">
      <w:pPr>
        <w:pStyle w:val="NoSpacing"/>
        <w:numPr>
          <w:ilvl w:val="0"/>
          <w:numId w:val="8"/>
        </w:numPr>
        <w:tabs>
          <w:tab w:val="left" w:pos="360"/>
        </w:tabs>
        <w:ind w:left="504"/>
        <w:rPr>
          <w:rFonts w:cs="Times New Roman"/>
        </w:rPr>
      </w:pPr>
      <w:r w:rsidRPr="00A03B6B">
        <w:rPr>
          <w:rFonts w:cs="Times New Roman"/>
        </w:rPr>
        <w:t>Goal 3: Reduce HIV-Related Disparities and Health Inequities</w:t>
      </w:r>
    </w:p>
    <w:p w:rsidR="00A03B6B" w:rsidRPr="00DD2EBA" w:rsidP="0089092A" w14:paraId="227745AC" w14:textId="5261B49A">
      <w:pPr>
        <w:pStyle w:val="NoSpacing"/>
        <w:numPr>
          <w:ilvl w:val="1"/>
          <w:numId w:val="8"/>
        </w:numPr>
        <w:tabs>
          <w:tab w:val="left" w:pos="360"/>
        </w:tabs>
        <w:ind w:left="648"/>
        <w:rPr>
          <w:rFonts w:cs="Times New Roman"/>
        </w:rPr>
      </w:pPr>
      <w:r w:rsidRPr="00DD2EBA">
        <w:rPr>
          <w:rFonts w:cs="Times New Roman"/>
        </w:rPr>
        <w:t xml:space="preserve">Objective 3.2 Reduce disparities in new HIV infections, in knowledge of status, and along the HIV care </w:t>
      </w:r>
      <w:r w:rsidRPr="00DD2EBA" w:rsidR="00475700">
        <w:rPr>
          <w:rFonts w:cs="Times New Roman"/>
        </w:rPr>
        <w:t>continuum.</w:t>
      </w:r>
    </w:p>
    <w:p w:rsidR="00826EDF" w:rsidP="0089092A" w14:paraId="417E11C8" w14:textId="77777777">
      <w:pPr>
        <w:pStyle w:val="NoSpacing"/>
        <w:tabs>
          <w:tab w:val="left" w:pos="360"/>
        </w:tabs>
        <w:rPr>
          <w:rFonts w:cs="Times New Roman"/>
        </w:rPr>
      </w:pPr>
    </w:p>
    <w:p w:rsidR="00A03B6B" w:rsidRPr="00A03B6B" w:rsidP="0089092A" w14:paraId="54B8A050" w14:textId="469551C6">
      <w:pPr>
        <w:pStyle w:val="NoSpacing"/>
        <w:tabs>
          <w:tab w:val="left" w:pos="360"/>
        </w:tabs>
        <w:rPr>
          <w:rFonts w:cs="Times New Roman"/>
        </w:rPr>
      </w:pPr>
      <w:r w:rsidRPr="00A03B6B">
        <w:rPr>
          <w:rFonts w:cs="Times New Roman"/>
        </w:rPr>
        <w:t>This project is also in alignment with the Prevent strategy of the U.S. Department of Health and Human Services (HHS) Ending the HIV Epidemic in the U.S. (EHE) initiative. The initiative aims to reduce new HIV infections in the U.S. by 90% by 2030 by scaling up four key HIV prevention and treatment strategies: Diagnose, Treat, Prevent</w:t>
      </w:r>
      <w:r w:rsidR="00826EDF">
        <w:rPr>
          <w:rFonts w:cs="Times New Roman"/>
        </w:rPr>
        <w:t>,</w:t>
      </w:r>
      <w:r w:rsidRPr="00A03B6B">
        <w:rPr>
          <w:rFonts w:cs="Times New Roman"/>
        </w:rPr>
        <w:t xml:space="preserve"> and Respond Quickly</w:t>
      </w:r>
      <w:r w:rsidRPr="00826EDF">
        <w:rPr>
          <w:rFonts w:cs="Times New Roman"/>
          <w:vertAlign w:val="superscript"/>
        </w:rPr>
        <w:t>1</w:t>
      </w:r>
      <w:r w:rsidR="00571A72">
        <w:rPr>
          <w:rFonts w:cs="Times New Roman"/>
          <w:vertAlign w:val="superscript"/>
        </w:rPr>
        <w:t>2</w:t>
      </w:r>
      <w:r w:rsidRPr="00A03B6B">
        <w:rPr>
          <w:rFonts w:cs="Times New Roman"/>
        </w:rPr>
        <w:t xml:space="preserve">. Increasing the number of persons with PrEP indications who initiate, adhere to, and persist with PrEP will help to accomplish the goals of EHE, which includes a pillar to prevent new HIV infections using HIV preexposure prophylaxis (PrEP). </w:t>
      </w:r>
    </w:p>
    <w:p w:rsidR="00A03B6B" w:rsidRPr="00A03B6B" w:rsidP="0089092A" w14:paraId="49EB0C2E" w14:textId="77777777">
      <w:pPr>
        <w:pStyle w:val="NoSpacing"/>
        <w:tabs>
          <w:tab w:val="left" w:pos="360"/>
        </w:tabs>
        <w:rPr>
          <w:rFonts w:cs="Times New Roman"/>
        </w:rPr>
      </w:pPr>
    </w:p>
    <w:p w:rsidR="00A03B6B" w:rsidRPr="00A03B6B" w:rsidP="0089092A" w14:paraId="593F28DC" w14:textId="77777777">
      <w:pPr>
        <w:pStyle w:val="NoSpacing"/>
        <w:tabs>
          <w:tab w:val="left" w:pos="360"/>
        </w:tabs>
        <w:rPr>
          <w:rFonts w:cs="Times New Roman"/>
        </w:rPr>
      </w:pPr>
      <w:r w:rsidRPr="00A03B6B">
        <w:rPr>
          <w:rFonts w:cs="Times New Roman"/>
        </w:rPr>
        <w:t xml:space="preserve">This project will involve interaction with human participants and intends to collect new individually identifiable data and biospecimens from the participants. This project is considered human subjects research and will be covered by the Paperwork Reduction Act. </w:t>
      </w:r>
    </w:p>
    <w:p w:rsidR="00A03B6B" w:rsidRPr="00A03B6B" w:rsidP="0089092A" w14:paraId="670F6C31" w14:textId="77777777">
      <w:pPr>
        <w:pStyle w:val="NoSpacing"/>
        <w:tabs>
          <w:tab w:val="left" w:pos="360"/>
        </w:tabs>
        <w:rPr>
          <w:rFonts w:cs="Times New Roman"/>
        </w:rPr>
      </w:pPr>
    </w:p>
    <w:p w:rsidR="00B52F87" w:rsidP="0089092A" w14:paraId="3C8D5510" w14:textId="55B67FB2">
      <w:pPr>
        <w:pStyle w:val="NoSpacing"/>
        <w:tabs>
          <w:tab w:val="left" w:pos="360"/>
        </w:tabs>
        <w:rPr>
          <w:rFonts w:cs="Times New Roman"/>
        </w:rPr>
      </w:pPr>
      <w:r w:rsidRPr="00A03B6B">
        <w:rPr>
          <w:rFonts w:cs="Times New Roman"/>
        </w:rPr>
        <w:t>The following section of the U.S. Federal Code is relevant to this data collection: 42 USC 241, Section 301 of the Public Health Service Act authorizes conduct of “research, investigations, experiments, demonstrations, and studies relating to the causes, diagnosis, treatment, control, and prevention of physical and mental diseases and impairments of man.” (</w:t>
      </w:r>
      <w:r w:rsidRPr="00A03B6B">
        <w:rPr>
          <w:rFonts w:cs="Times New Roman"/>
          <w:b/>
          <w:bCs/>
        </w:rPr>
        <w:t>Attachment 1</w:t>
      </w:r>
      <w:r w:rsidRPr="00A03B6B">
        <w:rPr>
          <w:rFonts w:cs="Times New Roman"/>
        </w:rPr>
        <w:t>)</w:t>
      </w:r>
    </w:p>
    <w:p w:rsidR="002C5246" w:rsidP="000A4126" w14:paraId="2CDE325C" w14:textId="6F671004">
      <w:pPr>
        <w:pStyle w:val="NoSpacing"/>
        <w:tabs>
          <w:tab w:val="left" w:pos="360"/>
        </w:tabs>
        <w:rPr>
          <w:rFonts w:cs="Times New Roman"/>
        </w:rPr>
      </w:pPr>
    </w:p>
    <w:p w:rsidR="002C5246" w:rsidP="000A4126" w14:paraId="5FDE6323" w14:textId="492BAF01">
      <w:pPr>
        <w:pStyle w:val="NoSpacing"/>
        <w:tabs>
          <w:tab w:val="left" w:pos="360"/>
        </w:tabs>
        <w:rPr>
          <w:rFonts w:cs="Times New Roman"/>
          <w:b/>
          <w:bCs/>
        </w:rPr>
      </w:pPr>
      <w:bookmarkStart w:id="5" w:name="Purpose2"/>
      <w:r w:rsidRPr="002C5246">
        <w:rPr>
          <w:rFonts w:cs="Times New Roman"/>
          <w:b/>
          <w:bCs/>
        </w:rPr>
        <w:t>2.</w:t>
      </w:r>
      <w:r w:rsidRPr="002C5246">
        <w:rPr>
          <w:rFonts w:cs="Times New Roman"/>
          <w:b/>
          <w:bCs/>
        </w:rPr>
        <w:tab/>
        <w:t>Purpose and Use of the Information Collection</w:t>
      </w:r>
      <w:bookmarkEnd w:id="5"/>
      <w:r w:rsidR="005F0E61">
        <w:rPr>
          <w:rFonts w:cs="Times New Roman"/>
          <w:b/>
          <w:bCs/>
        </w:rPr>
        <w:t xml:space="preserve"> </w:t>
      </w:r>
    </w:p>
    <w:p w:rsidR="002C5246" w:rsidP="0089092A" w14:paraId="48BA7E95" w14:textId="3596F192">
      <w:pPr>
        <w:pStyle w:val="NoSpacing"/>
        <w:tabs>
          <w:tab w:val="left" w:pos="360"/>
        </w:tabs>
        <w:rPr>
          <w:rFonts w:cs="Times New Roman"/>
          <w:b/>
          <w:bCs/>
        </w:rPr>
      </w:pPr>
    </w:p>
    <w:p w:rsidR="00877F5A" w:rsidRPr="00081ADA" w:rsidP="0089092A" w14:paraId="7839B233" w14:textId="6453EC1A">
      <w:pPr>
        <w:pStyle w:val="NoSpacing"/>
        <w:tabs>
          <w:tab w:val="left" w:pos="360"/>
        </w:tabs>
        <w:rPr>
          <w:rFonts w:cs="Times New Roman"/>
          <w:szCs w:val="24"/>
        </w:rPr>
      </w:pPr>
      <w:bookmarkStart w:id="6" w:name="_Hlk137650018"/>
      <w:bookmarkStart w:id="7" w:name="_Hlk126933340"/>
      <w:r w:rsidRPr="00081ADA">
        <w:rPr>
          <w:rFonts w:cs="Times New Roman"/>
          <w:szCs w:val="24"/>
        </w:rPr>
        <w:t>The purpose of the information collection is to understand men’s strategies to prevent HIV/STIs, including PrEP use and adherence, condom use, sexual risk-taking behavior, and substance-using behaviors. This study will also assess men’s use and preferences for prevention modalities</w:t>
      </w:r>
      <w:r w:rsidR="0089092A">
        <w:rPr>
          <w:rFonts w:cs="Times New Roman"/>
          <w:szCs w:val="24"/>
        </w:rPr>
        <w:t xml:space="preserve"> and their </w:t>
      </w:r>
      <w:r w:rsidRPr="00081ADA">
        <w:rPr>
          <w:rFonts w:cs="Times New Roman"/>
          <w:szCs w:val="24"/>
        </w:rPr>
        <w:t xml:space="preserve">awareness, knowledge, </w:t>
      </w:r>
      <w:r w:rsidRPr="00081ADA" w:rsidR="000E3667">
        <w:rPr>
          <w:rFonts w:cs="Times New Roman"/>
          <w:szCs w:val="24"/>
        </w:rPr>
        <w:t>beliefs,</w:t>
      </w:r>
      <w:r w:rsidRPr="00081ADA">
        <w:rPr>
          <w:rFonts w:cs="Times New Roman"/>
          <w:szCs w:val="24"/>
        </w:rPr>
        <w:t xml:space="preserve"> and perceptions of HIV/</w:t>
      </w:r>
      <w:r w:rsidR="00AF6F75">
        <w:rPr>
          <w:rFonts w:cs="Times New Roman"/>
          <w:szCs w:val="24"/>
        </w:rPr>
        <w:t>sexually transmitted disease (</w:t>
      </w:r>
      <w:r w:rsidRPr="00081ADA">
        <w:rPr>
          <w:rFonts w:cs="Times New Roman"/>
          <w:szCs w:val="24"/>
        </w:rPr>
        <w:t>STD</w:t>
      </w:r>
      <w:r w:rsidR="00AF6F75">
        <w:rPr>
          <w:rFonts w:cs="Times New Roman"/>
          <w:szCs w:val="24"/>
        </w:rPr>
        <w:t>)</w:t>
      </w:r>
      <w:r w:rsidRPr="00081ADA">
        <w:rPr>
          <w:rFonts w:cs="Times New Roman"/>
          <w:szCs w:val="24"/>
        </w:rPr>
        <w:t xml:space="preserve"> prevention products</w:t>
      </w:r>
      <w:r w:rsidR="0089092A">
        <w:rPr>
          <w:rFonts w:cs="Times New Roman"/>
          <w:szCs w:val="24"/>
        </w:rPr>
        <w:t xml:space="preserve">. </w:t>
      </w:r>
      <w:bookmarkEnd w:id="6"/>
      <w:r w:rsidR="0089092A">
        <w:rPr>
          <w:rFonts w:cs="Times New Roman"/>
          <w:szCs w:val="24"/>
        </w:rPr>
        <w:t xml:space="preserve">Additionally, this information collection will conduct </w:t>
      </w:r>
      <w:r w:rsidRPr="00081ADA">
        <w:rPr>
          <w:rFonts w:cs="Times New Roman"/>
          <w:szCs w:val="24"/>
        </w:rPr>
        <w:t>structured assessments of prevention messages to develop effective messaging to close identified prevention protection gaps in behavior.</w:t>
      </w:r>
    </w:p>
    <w:bookmarkEnd w:id="7"/>
    <w:p w:rsidR="00877F5A" w:rsidRPr="00081ADA" w:rsidP="0089092A" w14:paraId="4E49C729" w14:textId="77777777">
      <w:pPr>
        <w:pStyle w:val="NoSpacing"/>
        <w:tabs>
          <w:tab w:val="left" w:pos="360"/>
        </w:tabs>
        <w:rPr>
          <w:rFonts w:cs="Times New Roman"/>
          <w:szCs w:val="24"/>
        </w:rPr>
      </w:pPr>
    </w:p>
    <w:p w:rsidR="00E05427" w:rsidRPr="00081ADA" w:rsidP="0089092A" w14:paraId="27CF6AC9" w14:textId="4B6E81A1">
      <w:pPr>
        <w:pStyle w:val="NoSpacing"/>
        <w:tabs>
          <w:tab w:val="left" w:pos="360"/>
        </w:tabs>
        <w:rPr>
          <w:rFonts w:cs="Times New Roman"/>
          <w:szCs w:val="24"/>
        </w:rPr>
      </w:pPr>
      <w:r w:rsidRPr="00081ADA">
        <w:rPr>
          <w:rFonts w:cs="Times New Roman"/>
          <w:szCs w:val="24"/>
        </w:rPr>
        <w:t xml:space="preserve">This study will be carried out in three locations: </w:t>
      </w:r>
      <w:r w:rsidR="00AC4B1B">
        <w:rPr>
          <w:rFonts w:cs="Times New Roman"/>
          <w:szCs w:val="24"/>
        </w:rPr>
        <w:t>Chicago</w:t>
      </w:r>
      <w:r w:rsidRPr="00081ADA">
        <w:rPr>
          <w:rFonts w:cs="Times New Roman"/>
          <w:szCs w:val="24"/>
        </w:rPr>
        <w:t xml:space="preserve">, </w:t>
      </w:r>
      <w:r w:rsidR="00AC4B1B">
        <w:rPr>
          <w:rFonts w:cs="Times New Roman"/>
          <w:szCs w:val="24"/>
        </w:rPr>
        <w:t>Illinois</w:t>
      </w:r>
      <w:r w:rsidRPr="00081ADA">
        <w:rPr>
          <w:rFonts w:cs="Times New Roman"/>
          <w:szCs w:val="24"/>
        </w:rPr>
        <w:t xml:space="preserve">; San Diego, California; and Atlanta, Georgia. </w:t>
      </w:r>
      <w:r w:rsidRPr="00081ADA">
        <w:rPr>
          <w:rFonts w:cs="Times New Roman"/>
          <w:szCs w:val="24"/>
        </w:rPr>
        <w:t xml:space="preserve">The awardee of the cooperative agreement, Emory University, and their partners, University of </w:t>
      </w:r>
      <w:r w:rsidR="00AC4B1B">
        <w:rPr>
          <w:rFonts w:cs="Times New Roman"/>
          <w:szCs w:val="24"/>
        </w:rPr>
        <w:t>Chicago</w:t>
      </w:r>
      <w:r w:rsidRPr="00081ADA">
        <w:rPr>
          <w:rFonts w:cs="Times New Roman"/>
          <w:szCs w:val="24"/>
        </w:rPr>
        <w:t xml:space="preserve">, and San Diego State University, will be responsible for collecting all data for this study. Biospecimens collected during the study will be </w:t>
      </w:r>
      <w:r w:rsidRPr="00081ADA" w:rsidR="00A31F3C">
        <w:rPr>
          <w:rFonts w:cs="Times New Roman"/>
          <w:szCs w:val="24"/>
        </w:rPr>
        <w:t xml:space="preserve">processed by Molecular Testing Labs (MTL, Vancouver, Oregon), a </w:t>
      </w:r>
      <w:r w:rsidR="00006C01">
        <w:rPr>
          <w:rFonts w:cs="Times New Roman"/>
          <w:szCs w:val="24"/>
        </w:rPr>
        <w:t xml:space="preserve">Clinical Laboratory Improvement </w:t>
      </w:r>
      <w:r w:rsidR="0053413F">
        <w:rPr>
          <w:rFonts w:cs="Times New Roman"/>
          <w:szCs w:val="24"/>
        </w:rPr>
        <w:t xml:space="preserve">Amendments </w:t>
      </w:r>
      <w:r w:rsidR="00FF3D34">
        <w:rPr>
          <w:rFonts w:cs="Times New Roman"/>
          <w:szCs w:val="24"/>
        </w:rPr>
        <w:t>(</w:t>
      </w:r>
      <w:r w:rsidRPr="00081ADA" w:rsidR="00A31F3C">
        <w:rPr>
          <w:rFonts w:cs="Times New Roman"/>
          <w:szCs w:val="24"/>
        </w:rPr>
        <w:t>CLIA</w:t>
      </w:r>
      <w:r w:rsidR="00FF3D34">
        <w:rPr>
          <w:rFonts w:cs="Times New Roman"/>
          <w:szCs w:val="24"/>
        </w:rPr>
        <w:t>)</w:t>
      </w:r>
      <w:r w:rsidR="00475700">
        <w:rPr>
          <w:rFonts w:cs="Times New Roman"/>
          <w:szCs w:val="24"/>
        </w:rPr>
        <w:t xml:space="preserve"> </w:t>
      </w:r>
      <w:r w:rsidRPr="00081ADA" w:rsidR="00A31F3C">
        <w:rPr>
          <w:rFonts w:cs="Times New Roman"/>
          <w:szCs w:val="24"/>
        </w:rPr>
        <w:t>certified laboratory that has worked with the awardee to develop standard procedures for urethral, rectal, and pharyngeal gonorrhea/chlamydia and syphilis.</w:t>
      </w:r>
      <w:r w:rsidRPr="00081ADA">
        <w:rPr>
          <w:rFonts w:cs="Times New Roman"/>
          <w:szCs w:val="24"/>
        </w:rPr>
        <w:t xml:space="preserve"> Data collection will take place over three years following </w:t>
      </w:r>
      <w:r w:rsidR="00F50456">
        <w:rPr>
          <w:rFonts w:cs="Times New Roman"/>
          <w:szCs w:val="24"/>
        </w:rPr>
        <w:t>United States Office of Management and Budget (</w:t>
      </w:r>
      <w:r w:rsidRPr="00081ADA">
        <w:rPr>
          <w:rFonts w:cs="Times New Roman"/>
          <w:szCs w:val="24"/>
        </w:rPr>
        <w:t>OMB</w:t>
      </w:r>
      <w:r w:rsidR="00F50456">
        <w:rPr>
          <w:rFonts w:cs="Times New Roman"/>
          <w:szCs w:val="24"/>
        </w:rPr>
        <w:t>)</w:t>
      </w:r>
      <w:r w:rsidRPr="00081ADA">
        <w:rPr>
          <w:rFonts w:cs="Times New Roman"/>
          <w:szCs w:val="24"/>
        </w:rPr>
        <w:t xml:space="preserve"> approval. </w:t>
      </w:r>
    </w:p>
    <w:p w:rsidR="000D3362" w:rsidRPr="00081ADA" w:rsidP="0089092A" w14:paraId="548C1A12" w14:textId="1DD10460">
      <w:pPr>
        <w:pStyle w:val="NoSpacing"/>
        <w:tabs>
          <w:tab w:val="left" w:pos="360"/>
        </w:tabs>
        <w:rPr>
          <w:rFonts w:cs="Times New Roman"/>
          <w:szCs w:val="24"/>
        </w:rPr>
      </w:pPr>
    </w:p>
    <w:p w:rsidR="000D3362" w:rsidRPr="00081ADA" w:rsidP="0089092A" w14:paraId="76A19690" w14:textId="4117143B">
      <w:pPr>
        <w:pStyle w:val="NoSpacing"/>
        <w:tabs>
          <w:tab w:val="left" w:pos="360"/>
        </w:tabs>
        <w:rPr>
          <w:rFonts w:cs="Times New Roman"/>
          <w:szCs w:val="24"/>
        </w:rPr>
      </w:pPr>
      <w:r w:rsidRPr="00081ADA">
        <w:rPr>
          <w:rFonts w:cs="Times New Roman"/>
          <w:szCs w:val="24"/>
        </w:rPr>
        <w:t xml:space="preserve">This study has four </w:t>
      </w:r>
      <w:r w:rsidRPr="00081ADA" w:rsidR="00C46ABE">
        <w:rPr>
          <w:rFonts w:cs="Times New Roman"/>
          <w:szCs w:val="24"/>
        </w:rPr>
        <w:t>objectives</w:t>
      </w:r>
      <w:r w:rsidRPr="00081ADA" w:rsidR="0072407F">
        <w:rPr>
          <w:rFonts w:cs="Times New Roman"/>
          <w:szCs w:val="24"/>
        </w:rPr>
        <w:t>:</w:t>
      </w:r>
    </w:p>
    <w:p w:rsidR="0072407F" w:rsidRPr="00081ADA" w:rsidP="0089092A" w14:paraId="4295F6C0" w14:textId="3E0ADFF4">
      <w:pPr>
        <w:pStyle w:val="NoSpacing"/>
        <w:tabs>
          <w:tab w:val="left" w:pos="360"/>
        </w:tabs>
        <w:rPr>
          <w:rFonts w:cs="Times New Roman"/>
          <w:szCs w:val="24"/>
        </w:rPr>
      </w:pPr>
    </w:p>
    <w:p w:rsidR="00866228" w:rsidRPr="00081ADA" w:rsidP="0089092A" w14:paraId="52B65B47" w14:textId="458B7EE4">
      <w:pPr>
        <w:numPr>
          <w:ilvl w:val="0"/>
          <w:numId w:val="7"/>
        </w:numPr>
        <w:contextualSpacing/>
        <w:rPr>
          <w:bCs/>
          <w:szCs w:val="24"/>
        </w:rPr>
      </w:pPr>
      <w:r w:rsidRPr="00081ADA">
        <w:rPr>
          <w:bCs/>
          <w:szCs w:val="24"/>
        </w:rPr>
        <w:t xml:space="preserve">To assess patterns in the use of available HIV prevention interventions (e.g., PrEP, condoms, prevention messaging) over time in a racially/ethnically </w:t>
      </w:r>
      <w:r w:rsidR="00EC4BC4">
        <w:rPr>
          <w:bCs/>
          <w:szCs w:val="24"/>
        </w:rPr>
        <w:t>varied</w:t>
      </w:r>
      <w:r w:rsidRPr="00081ADA">
        <w:rPr>
          <w:bCs/>
          <w:szCs w:val="24"/>
        </w:rPr>
        <w:t xml:space="preserve"> community-based sample of MSM three U.S. cities.  </w:t>
      </w:r>
    </w:p>
    <w:p w:rsidR="00866228" w:rsidRPr="00081ADA" w:rsidP="0089092A" w14:paraId="38D894A6" w14:textId="77777777">
      <w:pPr>
        <w:numPr>
          <w:ilvl w:val="0"/>
          <w:numId w:val="7"/>
        </w:numPr>
        <w:contextualSpacing/>
        <w:rPr>
          <w:bCs/>
          <w:szCs w:val="24"/>
        </w:rPr>
      </w:pPr>
      <w:r w:rsidRPr="00081ADA">
        <w:rPr>
          <w:bCs/>
          <w:szCs w:val="24"/>
        </w:rPr>
        <w:t>To assess HIV and STI infection and the association with type of prevention intervention among HIV-negative MSM during a transformational era with the availability of biomedical HIV prevention interventions.</w:t>
      </w:r>
    </w:p>
    <w:p w:rsidR="00866228" w:rsidRPr="00081ADA" w:rsidP="0089092A" w14:paraId="67CB86AF" w14:textId="77777777">
      <w:pPr>
        <w:numPr>
          <w:ilvl w:val="0"/>
          <w:numId w:val="7"/>
        </w:numPr>
        <w:contextualSpacing/>
        <w:rPr>
          <w:bCs/>
          <w:szCs w:val="24"/>
        </w:rPr>
      </w:pPr>
      <w:r w:rsidRPr="00081ADA">
        <w:rPr>
          <w:bCs/>
          <w:szCs w:val="24"/>
        </w:rPr>
        <w:t>To develop and test HIV and STI prevention messages during a transformational era with the availability of biomedical HIV prevention interventions.</w:t>
      </w:r>
    </w:p>
    <w:p w:rsidR="00866228" w:rsidP="0089092A" w14:paraId="423E7A11" w14:textId="577B0084">
      <w:pPr>
        <w:numPr>
          <w:ilvl w:val="0"/>
          <w:numId w:val="7"/>
        </w:numPr>
        <w:contextualSpacing/>
        <w:rPr>
          <w:bCs/>
          <w:szCs w:val="24"/>
        </w:rPr>
      </w:pPr>
      <w:r w:rsidRPr="00081ADA">
        <w:rPr>
          <w:bCs/>
          <w:szCs w:val="24"/>
        </w:rPr>
        <w:t xml:space="preserve">To generate rapid reports following each wave of quantitative and qualitative assessment that include key study findings, HIV prevention trends, and recommendations for public health messaging and behavioral interventions that can be used to guide HIV prevention interventions. </w:t>
      </w:r>
    </w:p>
    <w:p w:rsidR="0089092A" w:rsidRPr="00081ADA" w:rsidP="0089092A" w14:paraId="24CFADDC" w14:textId="77777777">
      <w:pPr>
        <w:contextualSpacing/>
        <w:rPr>
          <w:bCs/>
          <w:szCs w:val="24"/>
        </w:rPr>
      </w:pPr>
    </w:p>
    <w:p w:rsidR="0015320C" w:rsidP="0089092A" w14:paraId="534D162D" w14:textId="54E61384">
      <w:pPr>
        <w:pStyle w:val="NoSpacing"/>
        <w:tabs>
          <w:tab w:val="left" w:pos="360"/>
        </w:tabs>
        <w:rPr>
          <w:rFonts w:cs="Times New Roman"/>
          <w:szCs w:val="24"/>
        </w:rPr>
      </w:pPr>
      <w:r w:rsidRPr="00081ADA">
        <w:rPr>
          <w:rFonts w:cs="Times New Roman"/>
          <w:szCs w:val="24"/>
        </w:rPr>
        <w:t xml:space="preserve">To achieve the </w:t>
      </w:r>
      <w:r w:rsidRPr="00081ADA" w:rsidR="00C1322F">
        <w:rPr>
          <w:rFonts w:cs="Times New Roman"/>
          <w:szCs w:val="24"/>
        </w:rPr>
        <w:t xml:space="preserve">objectives of this data collection, a cohort of 1275 MSM in Atlanta, </w:t>
      </w:r>
      <w:r w:rsidR="00AC4B1B">
        <w:rPr>
          <w:rFonts w:cs="Times New Roman"/>
          <w:szCs w:val="24"/>
        </w:rPr>
        <w:t>Chicago</w:t>
      </w:r>
      <w:r w:rsidRPr="00081ADA" w:rsidR="00C1322F">
        <w:rPr>
          <w:rFonts w:cs="Times New Roman"/>
          <w:szCs w:val="24"/>
        </w:rPr>
        <w:t xml:space="preserve">, and San Diego </w:t>
      </w:r>
      <w:r w:rsidRPr="00081ADA" w:rsidR="003F4C7D">
        <w:rPr>
          <w:rFonts w:cs="Times New Roman"/>
          <w:szCs w:val="24"/>
        </w:rPr>
        <w:t>(425 from each city)</w:t>
      </w:r>
      <w:r w:rsidR="0089092A">
        <w:rPr>
          <w:rFonts w:cs="Times New Roman"/>
          <w:szCs w:val="24"/>
        </w:rPr>
        <w:t>,</w:t>
      </w:r>
      <w:r w:rsidRPr="00081ADA" w:rsidR="003F4C7D">
        <w:rPr>
          <w:rFonts w:cs="Times New Roman"/>
          <w:szCs w:val="24"/>
        </w:rPr>
        <w:t xml:space="preserve"> </w:t>
      </w:r>
      <w:r w:rsidRPr="00081ADA" w:rsidR="00C1322F">
        <w:rPr>
          <w:rFonts w:cs="Times New Roman"/>
          <w:szCs w:val="24"/>
        </w:rPr>
        <w:t xml:space="preserve">will be recruited to the study and then assessed over 24 months (2 years). </w:t>
      </w:r>
      <w:r w:rsidR="005C1013">
        <w:rPr>
          <w:rFonts w:cs="Times New Roman"/>
          <w:szCs w:val="24"/>
        </w:rPr>
        <w:t xml:space="preserve">We will use recruitment controls to ensure </w:t>
      </w:r>
      <w:r w:rsidRPr="0015320C">
        <w:rPr>
          <w:rFonts w:cs="Times New Roman"/>
          <w:szCs w:val="24"/>
        </w:rPr>
        <w:t>60% of participants will be PrEP users at baseline, and 40% will not be using PrEP. The purpose of this is to have a broader representation of MSM than only PrEP users</w:t>
      </w:r>
      <w:r w:rsidR="0089092A">
        <w:rPr>
          <w:rFonts w:cs="Times New Roman"/>
          <w:szCs w:val="24"/>
        </w:rPr>
        <w:t xml:space="preserve"> and</w:t>
      </w:r>
      <w:r w:rsidRPr="0015320C">
        <w:rPr>
          <w:rFonts w:cs="Times New Roman"/>
          <w:szCs w:val="24"/>
        </w:rPr>
        <w:t xml:space="preserve"> </w:t>
      </w:r>
      <w:r w:rsidR="0089092A">
        <w:rPr>
          <w:rFonts w:cs="Times New Roman"/>
          <w:szCs w:val="24"/>
        </w:rPr>
        <w:t>to</w:t>
      </w:r>
      <w:r w:rsidRPr="0015320C">
        <w:rPr>
          <w:rFonts w:cs="Times New Roman"/>
          <w:szCs w:val="24"/>
        </w:rPr>
        <w:t xml:space="preserve"> better understand PrEP uptake, adherence, persistence, and gaps in prevention protection over time as new modalities of PrEP </w:t>
      </w:r>
      <w:r w:rsidR="0089092A">
        <w:rPr>
          <w:rFonts w:cs="Times New Roman"/>
          <w:szCs w:val="24"/>
        </w:rPr>
        <w:t>are introduced</w:t>
      </w:r>
      <w:r w:rsidRPr="0015320C">
        <w:rPr>
          <w:rFonts w:cs="Times New Roman"/>
          <w:szCs w:val="24"/>
        </w:rPr>
        <w:t xml:space="preserve">. </w:t>
      </w:r>
      <w:r w:rsidR="0089092A">
        <w:rPr>
          <w:rFonts w:cs="Times New Roman"/>
          <w:szCs w:val="24"/>
        </w:rPr>
        <w:t>Additionally</w:t>
      </w:r>
      <w:r w:rsidRPr="0015320C">
        <w:rPr>
          <w:rFonts w:cs="Times New Roman"/>
          <w:szCs w:val="24"/>
        </w:rPr>
        <w:t xml:space="preserve">, we will oversample Black and Hispanic MSM so that a minimum of 30% each are represented in the cohort sample. </w:t>
      </w:r>
    </w:p>
    <w:p w:rsidR="0015320C" w:rsidP="0089092A" w14:paraId="132AB0C3" w14:textId="77777777">
      <w:pPr>
        <w:pStyle w:val="NoSpacing"/>
        <w:tabs>
          <w:tab w:val="left" w:pos="360"/>
        </w:tabs>
        <w:rPr>
          <w:rFonts w:cs="Times New Roman"/>
          <w:szCs w:val="24"/>
        </w:rPr>
      </w:pPr>
    </w:p>
    <w:p w:rsidR="0072407F" w:rsidRPr="00081ADA" w:rsidP="0089092A" w14:paraId="2C4A1D48" w14:textId="214428CD">
      <w:pPr>
        <w:pStyle w:val="NoSpacing"/>
        <w:tabs>
          <w:tab w:val="left" w:pos="360"/>
        </w:tabs>
        <w:rPr>
          <w:rFonts w:cs="Times New Roman"/>
          <w:szCs w:val="24"/>
        </w:rPr>
      </w:pPr>
      <w:r w:rsidRPr="00081ADA">
        <w:rPr>
          <w:rFonts w:cs="Times New Roman"/>
          <w:szCs w:val="24"/>
        </w:rPr>
        <w:t>We will recruit MSM participants in-person, using posted flyers and online advertisements (</w:t>
      </w:r>
      <w:r w:rsidRPr="00081ADA">
        <w:rPr>
          <w:rFonts w:cs="Times New Roman"/>
          <w:b/>
          <w:bCs/>
          <w:szCs w:val="24"/>
        </w:rPr>
        <w:t>Attachment</w:t>
      </w:r>
      <w:r w:rsidRPr="00081ADA" w:rsidR="008564CC">
        <w:rPr>
          <w:rFonts w:cs="Times New Roman"/>
          <w:b/>
          <w:bCs/>
          <w:szCs w:val="24"/>
        </w:rPr>
        <w:t xml:space="preserve"> 3</w:t>
      </w:r>
      <w:r w:rsidRPr="00081ADA" w:rsidR="008564CC">
        <w:rPr>
          <w:rFonts w:cs="Times New Roman"/>
          <w:szCs w:val="24"/>
        </w:rPr>
        <w:t xml:space="preserve">). </w:t>
      </w:r>
      <w:r w:rsidRPr="00081ADA" w:rsidR="00A54019">
        <w:rPr>
          <w:rFonts w:cs="Times New Roman"/>
          <w:szCs w:val="24"/>
        </w:rPr>
        <w:t xml:space="preserve">Our primary recruitment source will be through online targeted advertisements to adult men in the three metropolitan areas, including social media channels, such as Facebook, Instagram or Snapchat, </w:t>
      </w:r>
      <w:r w:rsidRPr="00081ADA" w:rsidR="005078F5">
        <w:rPr>
          <w:rFonts w:cs="Times New Roman"/>
          <w:szCs w:val="24"/>
        </w:rPr>
        <w:t>Grindr,</w:t>
      </w:r>
      <w:r w:rsidRPr="00081ADA" w:rsidR="00A54019">
        <w:rPr>
          <w:rFonts w:cs="Times New Roman"/>
          <w:szCs w:val="24"/>
        </w:rPr>
        <w:t xml:space="preserve"> or other dating apps.</w:t>
      </w:r>
      <w:r w:rsidRPr="00081ADA" w:rsidR="005078F5">
        <w:rPr>
          <w:rFonts w:cs="Times New Roman"/>
          <w:szCs w:val="24"/>
        </w:rPr>
        <w:t xml:space="preserve"> Additionally, recruitment will be done through referrals from local clinics and community-based organizations. These organizations may provide palm cards or QR codes for interested participants to reach the eligibility screening </w:t>
      </w:r>
      <w:r w:rsidR="000B7FE2">
        <w:rPr>
          <w:rFonts w:cs="Times New Roman"/>
          <w:szCs w:val="24"/>
        </w:rPr>
        <w:t>assessment</w:t>
      </w:r>
      <w:r w:rsidRPr="00081ADA" w:rsidR="005078F5">
        <w:rPr>
          <w:rFonts w:cs="Times New Roman"/>
          <w:szCs w:val="24"/>
        </w:rPr>
        <w:t>.</w:t>
      </w:r>
    </w:p>
    <w:p w:rsidR="002C5246" w:rsidRPr="00081ADA" w:rsidP="0089092A" w14:paraId="668AB597" w14:textId="726548E1">
      <w:pPr>
        <w:pStyle w:val="NoSpacing"/>
        <w:tabs>
          <w:tab w:val="left" w:pos="360"/>
        </w:tabs>
        <w:rPr>
          <w:rFonts w:cs="Times New Roman"/>
          <w:szCs w:val="24"/>
        </w:rPr>
      </w:pPr>
    </w:p>
    <w:p w:rsidR="00C41606" w:rsidRPr="00081ADA" w:rsidP="0089092A" w14:paraId="3A128E21" w14:textId="127F81E7">
      <w:pPr>
        <w:pStyle w:val="ListParagraph"/>
        <w:spacing w:after="0" w:line="240" w:lineRule="auto"/>
        <w:ind w:left="0"/>
        <w:contextualSpacing w:val="0"/>
        <w:rPr>
          <w:rFonts w:ascii="Times New Roman" w:hAnsi="Times New Roman"/>
          <w:sz w:val="24"/>
          <w:szCs w:val="24"/>
          <w:lang w:val="en-US"/>
        </w:rPr>
      </w:pPr>
      <w:r w:rsidRPr="00081ADA">
        <w:rPr>
          <w:rFonts w:ascii="Times New Roman" w:hAnsi="Times New Roman"/>
          <w:sz w:val="24"/>
          <w:szCs w:val="24"/>
        </w:rPr>
        <w:t xml:space="preserve">Potential participants recruited online or through referrals will be </w:t>
      </w:r>
      <w:r w:rsidR="00184745">
        <w:rPr>
          <w:rFonts w:ascii="Times New Roman" w:hAnsi="Times New Roman"/>
          <w:sz w:val="24"/>
          <w:szCs w:val="24"/>
          <w:lang w:val="en-US"/>
        </w:rPr>
        <w:t>directed</w:t>
      </w:r>
      <w:r w:rsidRPr="00081ADA">
        <w:rPr>
          <w:rFonts w:ascii="Times New Roman" w:hAnsi="Times New Roman"/>
          <w:sz w:val="24"/>
          <w:szCs w:val="24"/>
        </w:rPr>
        <w:t xml:space="preserve"> to an online study page that will first ask for </w:t>
      </w:r>
      <w:r w:rsidR="002170E3">
        <w:rPr>
          <w:rFonts w:ascii="Times New Roman" w:hAnsi="Times New Roman"/>
          <w:sz w:val="24"/>
          <w:szCs w:val="24"/>
          <w:lang w:val="en-US"/>
        </w:rPr>
        <w:t xml:space="preserve">verbal </w:t>
      </w:r>
      <w:r w:rsidRPr="00081ADA">
        <w:rPr>
          <w:rFonts w:ascii="Times New Roman" w:hAnsi="Times New Roman"/>
          <w:sz w:val="24"/>
          <w:szCs w:val="24"/>
        </w:rPr>
        <w:t>consent to complete the eligibility screener</w:t>
      </w:r>
      <w:r w:rsidRPr="00081ADA" w:rsidR="00E2269C">
        <w:rPr>
          <w:rFonts w:ascii="Times New Roman" w:hAnsi="Times New Roman"/>
          <w:sz w:val="24"/>
          <w:szCs w:val="24"/>
          <w:lang w:val="en-US"/>
        </w:rPr>
        <w:t xml:space="preserve"> (</w:t>
      </w:r>
      <w:r w:rsidRPr="00081ADA" w:rsidR="00E2269C">
        <w:rPr>
          <w:rFonts w:ascii="Times New Roman" w:hAnsi="Times New Roman"/>
          <w:b/>
          <w:bCs/>
          <w:sz w:val="24"/>
          <w:szCs w:val="24"/>
          <w:lang w:val="en-US"/>
        </w:rPr>
        <w:t>Attachment 4a</w:t>
      </w:r>
      <w:r w:rsidRPr="00081ADA" w:rsidR="00E2269C">
        <w:rPr>
          <w:rFonts w:ascii="Times New Roman" w:hAnsi="Times New Roman"/>
          <w:sz w:val="24"/>
          <w:szCs w:val="24"/>
          <w:lang w:val="en-US"/>
        </w:rPr>
        <w:t>)</w:t>
      </w:r>
      <w:r w:rsidRPr="00081ADA">
        <w:rPr>
          <w:rFonts w:ascii="Times New Roman" w:hAnsi="Times New Roman"/>
          <w:sz w:val="24"/>
          <w:szCs w:val="24"/>
        </w:rPr>
        <w:t>. Those determined to not be eligible would be offered additional resources for HIV or STI testing or other resources upon request.</w:t>
      </w:r>
      <w:r w:rsidR="00D93673">
        <w:rPr>
          <w:rFonts w:ascii="Times New Roman" w:hAnsi="Times New Roman"/>
          <w:sz w:val="24"/>
          <w:szCs w:val="24"/>
          <w:lang w:val="en-US"/>
        </w:rPr>
        <w:t xml:space="preserve"> After completing the screener</w:t>
      </w:r>
      <w:r w:rsidRPr="00081ADA" w:rsidR="00820496">
        <w:rPr>
          <w:rFonts w:ascii="Times New Roman" w:hAnsi="Times New Roman"/>
          <w:sz w:val="24"/>
          <w:szCs w:val="24"/>
          <w:lang w:val="en-US"/>
        </w:rPr>
        <w:t xml:space="preserve">, </w:t>
      </w:r>
      <w:r w:rsidR="00D93673">
        <w:rPr>
          <w:rFonts w:ascii="Times New Roman" w:hAnsi="Times New Roman"/>
          <w:sz w:val="24"/>
          <w:szCs w:val="24"/>
          <w:lang w:val="en-US"/>
        </w:rPr>
        <w:t xml:space="preserve">eligible </w:t>
      </w:r>
      <w:r w:rsidRPr="00081ADA" w:rsidR="00820496">
        <w:rPr>
          <w:rFonts w:ascii="Times New Roman" w:hAnsi="Times New Roman"/>
          <w:sz w:val="24"/>
          <w:szCs w:val="24"/>
          <w:lang w:val="en-US"/>
        </w:rPr>
        <w:t>participants</w:t>
      </w:r>
      <w:r w:rsidRPr="00081ADA" w:rsidR="000209A2">
        <w:rPr>
          <w:rFonts w:ascii="Times New Roman" w:hAnsi="Times New Roman"/>
          <w:sz w:val="24"/>
          <w:szCs w:val="24"/>
        </w:rPr>
        <w:t xml:space="preserve"> will</w:t>
      </w:r>
      <w:r w:rsidRPr="00081ADA" w:rsidR="008D7B27">
        <w:rPr>
          <w:rFonts w:ascii="Times New Roman" w:hAnsi="Times New Roman"/>
          <w:sz w:val="24"/>
          <w:szCs w:val="24"/>
          <w:lang w:val="en-US"/>
        </w:rPr>
        <w:t xml:space="preserve"> </w:t>
      </w:r>
      <w:r w:rsidRPr="00081ADA" w:rsidR="00F56F99">
        <w:rPr>
          <w:rFonts w:ascii="Times New Roman" w:hAnsi="Times New Roman"/>
          <w:sz w:val="24"/>
          <w:szCs w:val="24"/>
          <w:lang w:val="en-US"/>
        </w:rPr>
        <w:t xml:space="preserve">be </w:t>
      </w:r>
      <w:r w:rsidRPr="00081ADA" w:rsidR="000209A2">
        <w:rPr>
          <w:rFonts w:ascii="Times New Roman" w:hAnsi="Times New Roman"/>
          <w:sz w:val="24"/>
          <w:szCs w:val="24"/>
        </w:rPr>
        <w:t xml:space="preserve">asked to </w:t>
      </w:r>
      <w:r w:rsidRPr="00081ADA" w:rsidR="00A44916">
        <w:rPr>
          <w:rFonts w:ascii="Times New Roman" w:hAnsi="Times New Roman"/>
          <w:sz w:val="24"/>
          <w:szCs w:val="24"/>
          <w:lang w:val="en-US"/>
        </w:rPr>
        <w:t>provide contact information (</w:t>
      </w:r>
      <w:r w:rsidRPr="00081ADA" w:rsidR="00A44916">
        <w:rPr>
          <w:rFonts w:ascii="Times New Roman" w:hAnsi="Times New Roman"/>
          <w:b/>
          <w:bCs/>
          <w:sz w:val="24"/>
          <w:szCs w:val="24"/>
          <w:lang w:val="en-US"/>
        </w:rPr>
        <w:t>Attachment</w:t>
      </w:r>
      <w:r w:rsidR="00375E11">
        <w:rPr>
          <w:rFonts w:ascii="Times New Roman" w:hAnsi="Times New Roman"/>
          <w:b/>
          <w:bCs/>
          <w:sz w:val="24"/>
          <w:szCs w:val="24"/>
          <w:lang w:val="en-US"/>
        </w:rPr>
        <w:t xml:space="preserve"> 4b</w:t>
      </w:r>
      <w:r w:rsidRPr="00081ADA" w:rsidR="00A44916">
        <w:rPr>
          <w:rFonts w:ascii="Times New Roman" w:hAnsi="Times New Roman"/>
          <w:sz w:val="24"/>
          <w:szCs w:val="24"/>
          <w:lang w:val="en-US"/>
        </w:rPr>
        <w:t>)</w:t>
      </w:r>
      <w:r w:rsidR="00237B79">
        <w:rPr>
          <w:rFonts w:ascii="Times New Roman" w:hAnsi="Times New Roman"/>
          <w:sz w:val="24"/>
          <w:szCs w:val="24"/>
          <w:lang w:val="en-US"/>
        </w:rPr>
        <w:t>, Staff will contact the participant and set up a virtual enrollment visit</w:t>
      </w:r>
      <w:r w:rsidR="001879C8">
        <w:rPr>
          <w:rFonts w:ascii="Times New Roman" w:hAnsi="Times New Roman"/>
          <w:sz w:val="24"/>
          <w:szCs w:val="24"/>
          <w:lang w:val="en-US"/>
        </w:rPr>
        <w:t xml:space="preserve">. </w:t>
      </w:r>
      <w:r w:rsidR="00B236AD">
        <w:rPr>
          <w:rFonts w:ascii="Times New Roman" w:hAnsi="Times New Roman"/>
          <w:sz w:val="24"/>
          <w:szCs w:val="24"/>
          <w:lang w:val="en-US"/>
        </w:rPr>
        <w:t xml:space="preserve">The visit will take place a secure </w:t>
      </w:r>
      <w:r w:rsidR="007F022D">
        <w:rPr>
          <w:rFonts w:ascii="Times New Roman" w:hAnsi="Times New Roman"/>
          <w:sz w:val="24"/>
          <w:szCs w:val="24"/>
          <w:lang w:val="en-US"/>
        </w:rPr>
        <w:t>Health Insurance Portability and Accountability Act (</w:t>
      </w:r>
      <w:r w:rsidR="00B236AD">
        <w:rPr>
          <w:rFonts w:ascii="Times New Roman" w:hAnsi="Times New Roman"/>
          <w:sz w:val="24"/>
          <w:szCs w:val="24"/>
          <w:lang w:val="en-US"/>
        </w:rPr>
        <w:t>HIPAA</w:t>
      </w:r>
      <w:r w:rsidR="007F022D">
        <w:rPr>
          <w:rFonts w:ascii="Times New Roman" w:hAnsi="Times New Roman"/>
          <w:sz w:val="24"/>
          <w:szCs w:val="24"/>
          <w:lang w:val="en-US"/>
        </w:rPr>
        <w:t>)</w:t>
      </w:r>
      <w:r w:rsidR="00475700">
        <w:rPr>
          <w:rFonts w:ascii="Times New Roman" w:hAnsi="Times New Roman"/>
          <w:sz w:val="24"/>
          <w:szCs w:val="24"/>
          <w:lang w:val="en-US"/>
        </w:rPr>
        <w:t xml:space="preserve"> </w:t>
      </w:r>
      <w:r w:rsidR="00B236AD">
        <w:rPr>
          <w:rFonts w:ascii="Times New Roman" w:hAnsi="Times New Roman"/>
          <w:sz w:val="24"/>
          <w:szCs w:val="24"/>
          <w:lang w:val="en-US"/>
        </w:rPr>
        <w:t xml:space="preserve">compliant </w:t>
      </w:r>
      <w:r w:rsidR="0016726C">
        <w:rPr>
          <w:rFonts w:ascii="Times New Roman" w:hAnsi="Times New Roman"/>
          <w:sz w:val="24"/>
          <w:szCs w:val="24"/>
          <w:lang w:val="en-US"/>
        </w:rPr>
        <w:t xml:space="preserve">video conference platform (Zoom). </w:t>
      </w:r>
      <w:r w:rsidR="001879C8">
        <w:rPr>
          <w:rFonts w:ascii="Times New Roman" w:hAnsi="Times New Roman"/>
          <w:sz w:val="24"/>
          <w:szCs w:val="24"/>
          <w:lang w:val="en-US"/>
        </w:rPr>
        <w:t>During the enrollment visit</w:t>
      </w:r>
      <w:r w:rsidR="00461A86">
        <w:rPr>
          <w:rFonts w:ascii="Times New Roman" w:hAnsi="Times New Roman"/>
          <w:sz w:val="24"/>
          <w:szCs w:val="24"/>
          <w:lang w:val="en-US"/>
        </w:rPr>
        <w:t xml:space="preserve">, staff will </w:t>
      </w:r>
      <w:r w:rsidR="00975938">
        <w:rPr>
          <w:rFonts w:ascii="Times New Roman" w:hAnsi="Times New Roman"/>
          <w:sz w:val="24"/>
          <w:szCs w:val="24"/>
          <w:lang w:val="en-US"/>
        </w:rPr>
        <w:t>re</w:t>
      </w:r>
      <w:r w:rsidR="00A72845">
        <w:rPr>
          <w:rFonts w:ascii="Times New Roman" w:hAnsi="Times New Roman"/>
          <w:sz w:val="24"/>
          <w:szCs w:val="24"/>
          <w:lang w:val="en-US"/>
        </w:rPr>
        <w:t>-</w:t>
      </w:r>
      <w:r w:rsidR="00461A86">
        <w:rPr>
          <w:rFonts w:ascii="Times New Roman" w:hAnsi="Times New Roman"/>
          <w:sz w:val="24"/>
          <w:szCs w:val="24"/>
          <w:lang w:val="en-US"/>
        </w:rPr>
        <w:t>screen participants for eligibility</w:t>
      </w:r>
      <w:r w:rsidR="00A72845">
        <w:rPr>
          <w:rFonts w:ascii="Times New Roman" w:hAnsi="Times New Roman"/>
          <w:sz w:val="24"/>
          <w:szCs w:val="24"/>
          <w:lang w:val="en-US"/>
        </w:rPr>
        <w:t xml:space="preserve"> (</w:t>
      </w:r>
      <w:r w:rsidRPr="00475700" w:rsidR="00A72845">
        <w:rPr>
          <w:rFonts w:ascii="Times New Roman" w:hAnsi="Times New Roman"/>
          <w:b/>
          <w:bCs/>
          <w:sz w:val="24"/>
          <w:szCs w:val="24"/>
          <w:lang w:val="en-US"/>
        </w:rPr>
        <w:t>Attachment 4a</w:t>
      </w:r>
      <w:r w:rsidR="00A72845">
        <w:rPr>
          <w:rFonts w:ascii="Times New Roman" w:hAnsi="Times New Roman"/>
          <w:sz w:val="24"/>
          <w:szCs w:val="24"/>
          <w:lang w:val="en-US"/>
        </w:rPr>
        <w:t>)</w:t>
      </w:r>
      <w:r w:rsidR="007365FD">
        <w:rPr>
          <w:rFonts w:ascii="Times New Roman" w:hAnsi="Times New Roman"/>
          <w:sz w:val="24"/>
          <w:szCs w:val="24"/>
          <w:lang w:val="en-US"/>
        </w:rPr>
        <w:t xml:space="preserve">. </w:t>
      </w:r>
      <w:r w:rsidR="00BC649B">
        <w:rPr>
          <w:rFonts w:ascii="Times New Roman" w:hAnsi="Times New Roman"/>
          <w:sz w:val="24"/>
          <w:szCs w:val="24"/>
          <w:lang w:val="en-US"/>
        </w:rPr>
        <w:t>Staff will then provide eligible participants with</w:t>
      </w:r>
      <w:r w:rsidR="0066325B">
        <w:rPr>
          <w:rFonts w:ascii="Times New Roman" w:hAnsi="Times New Roman"/>
          <w:sz w:val="24"/>
          <w:szCs w:val="24"/>
          <w:lang w:val="en-US"/>
        </w:rPr>
        <w:t xml:space="preserve"> an overview of </w:t>
      </w:r>
      <w:r w:rsidR="00925FB6">
        <w:rPr>
          <w:rFonts w:ascii="Times New Roman" w:hAnsi="Times New Roman"/>
          <w:sz w:val="24"/>
          <w:szCs w:val="24"/>
          <w:lang w:val="en-US"/>
        </w:rPr>
        <w:t xml:space="preserve">the </w:t>
      </w:r>
      <w:r w:rsidR="0066325B">
        <w:rPr>
          <w:rFonts w:ascii="Times New Roman" w:hAnsi="Times New Roman"/>
          <w:sz w:val="24"/>
          <w:szCs w:val="24"/>
          <w:lang w:val="en-US"/>
        </w:rPr>
        <w:t xml:space="preserve">study </w:t>
      </w:r>
      <w:r w:rsidR="00925FB6">
        <w:rPr>
          <w:rFonts w:ascii="Times New Roman" w:hAnsi="Times New Roman"/>
          <w:sz w:val="24"/>
          <w:szCs w:val="24"/>
          <w:lang w:val="en-US"/>
        </w:rPr>
        <w:t>and study</w:t>
      </w:r>
      <w:r w:rsidR="00F9443C">
        <w:rPr>
          <w:rFonts w:ascii="Times New Roman" w:hAnsi="Times New Roman"/>
          <w:sz w:val="24"/>
          <w:szCs w:val="24"/>
          <w:lang w:val="en-US"/>
        </w:rPr>
        <w:t xml:space="preserve"> </w:t>
      </w:r>
      <w:r w:rsidR="0066325B">
        <w:rPr>
          <w:rFonts w:ascii="Times New Roman" w:hAnsi="Times New Roman"/>
          <w:sz w:val="24"/>
          <w:szCs w:val="24"/>
          <w:lang w:val="en-US"/>
        </w:rPr>
        <w:t>procedures</w:t>
      </w:r>
      <w:r w:rsidR="00BC649B">
        <w:rPr>
          <w:rFonts w:ascii="Times New Roman" w:hAnsi="Times New Roman"/>
          <w:sz w:val="24"/>
          <w:szCs w:val="24"/>
          <w:lang w:val="en-US"/>
        </w:rPr>
        <w:t xml:space="preserve"> and </w:t>
      </w:r>
      <w:r w:rsidR="00EC05B9">
        <w:rPr>
          <w:rFonts w:ascii="Times New Roman" w:hAnsi="Times New Roman"/>
          <w:sz w:val="24"/>
          <w:szCs w:val="24"/>
          <w:lang w:val="en-US"/>
        </w:rPr>
        <w:t>guide them to the online co</w:t>
      </w:r>
      <w:r w:rsidR="00553D0F">
        <w:rPr>
          <w:rFonts w:ascii="Times New Roman" w:hAnsi="Times New Roman"/>
          <w:sz w:val="24"/>
          <w:szCs w:val="24"/>
          <w:lang w:val="en-US"/>
        </w:rPr>
        <w:t>nsent form</w:t>
      </w:r>
      <w:r w:rsidR="00F9443C">
        <w:rPr>
          <w:rFonts w:ascii="Times New Roman" w:hAnsi="Times New Roman"/>
          <w:sz w:val="24"/>
          <w:szCs w:val="24"/>
          <w:lang w:val="en-US"/>
        </w:rPr>
        <w:t xml:space="preserve"> (</w:t>
      </w:r>
      <w:r w:rsidRPr="00475700" w:rsidR="00F9443C">
        <w:rPr>
          <w:rFonts w:ascii="Times New Roman" w:hAnsi="Times New Roman"/>
          <w:b/>
          <w:bCs/>
          <w:sz w:val="24"/>
          <w:szCs w:val="24"/>
          <w:lang w:val="en-US"/>
        </w:rPr>
        <w:t>Attachment 5a</w:t>
      </w:r>
      <w:r w:rsidR="00F9443C">
        <w:rPr>
          <w:rFonts w:ascii="Times New Roman" w:hAnsi="Times New Roman"/>
          <w:sz w:val="24"/>
          <w:szCs w:val="24"/>
          <w:lang w:val="en-US"/>
        </w:rPr>
        <w:t>)</w:t>
      </w:r>
      <w:r w:rsidR="00553D0F">
        <w:rPr>
          <w:rFonts w:ascii="Times New Roman" w:hAnsi="Times New Roman"/>
          <w:sz w:val="24"/>
          <w:szCs w:val="24"/>
          <w:lang w:val="en-US"/>
        </w:rPr>
        <w:t xml:space="preserve">. </w:t>
      </w:r>
      <w:r w:rsidR="00162395">
        <w:rPr>
          <w:rFonts w:ascii="Times New Roman" w:hAnsi="Times New Roman"/>
          <w:sz w:val="24"/>
          <w:szCs w:val="24"/>
          <w:lang w:val="en-US"/>
        </w:rPr>
        <w:t>After reviewing the consent form, p</w:t>
      </w:r>
      <w:r w:rsidR="0069595C">
        <w:rPr>
          <w:rFonts w:ascii="Times New Roman" w:hAnsi="Times New Roman"/>
          <w:sz w:val="24"/>
          <w:szCs w:val="24"/>
          <w:lang w:val="en-US"/>
        </w:rPr>
        <w:t xml:space="preserve">articipants will </w:t>
      </w:r>
      <w:r w:rsidR="00E23E95">
        <w:rPr>
          <w:rFonts w:ascii="Times New Roman" w:hAnsi="Times New Roman"/>
          <w:sz w:val="24"/>
          <w:szCs w:val="24"/>
          <w:lang w:val="en-US"/>
        </w:rPr>
        <w:t>be directed</w:t>
      </w:r>
      <w:r w:rsidR="00C240CA">
        <w:rPr>
          <w:rFonts w:ascii="Times New Roman" w:hAnsi="Times New Roman"/>
          <w:sz w:val="24"/>
          <w:szCs w:val="24"/>
          <w:lang w:val="en-US"/>
        </w:rPr>
        <w:t xml:space="preserve"> to click a box </w:t>
      </w:r>
      <w:r w:rsidR="000A495D">
        <w:rPr>
          <w:rFonts w:ascii="Times New Roman" w:hAnsi="Times New Roman"/>
          <w:sz w:val="24"/>
          <w:szCs w:val="24"/>
          <w:lang w:val="en-US"/>
        </w:rPr>
        <w:t xml:space="preserve">to </w:t>
      </w:r>
      <w:r w:rsidR="00417466">
        <w:rPr>
          <w:rFonts w:ascii="Times New Roman" w:hAnsi="Times New Roman"/>
          <w:sz w:val="24"/>
          <w:szCs w:val="24"/>
          <w:lang w:val="en-US"/>
        </w:rPr>
        <w:t>indicate their agreement</w:t>
      </w:r>
      <w:r w:rsidR="000A495D">
        <w:rPr>
          <w:rFonts w:ascii="Times New Roman" w:hAnsi="Times New Roman"/>
          <w:sz w:val="24"/>
          <w:szCs w:val="24"/>
          <w:lang w:val="en-US"/>
        </w:rPr>
        <w:t xml:space="preserve"> to participate in the study</w:t>
      </w:r>
      <w:r w:rsidR="00470CD1">
        <w:rPr>
          <w:rFonts w:ascii="Times New Roman" w:hAnsi="Times New Roman"/>
          <w:sz w:val="24"/>
          <w:szCs w:val="24"/>
          <w:lang w:val="en-US"/>
        </w:rPr>
        <w:t>. T</w:t>
      </w:r>
      <w:r w:rsidR="005D1AEE">
        <w:rPr>
          <w:rFonts w:ascii="Times New Roman" w:hAnsi="Times New Roman"/>
          <w:sz w:val="24"/>
          <w:szCs w:val="24"/>
          <w:lang w:val="en-US"/>
        </w:rPr>
        <w:t xml:space="preserve">he Institutional Review Board (IRB) of record </w:t>
      </w:r>
      <w:r w:rsidR="004C128E">
        <w:rPr>
          <w:rFonts w:ascii="Times New Roman" w:hAnsi="Times New Roman"/>
          <w:sz w:val="24"/>
          <w:szCs w:val="24"/>
          <w:lang w:val="en-US"/>
        </w:rPr>
        <w:t>has approved a</w:t>
      </w:r>
      <w:r w:rsidR="006E0AF2">
        <w:rPr>
          <w:rFonts w:ascii="Times New Roman" w:hAnsi="Times New Roman"/>
          <w:sz w:val="24"/>
          <w:szCs w:val="24"/>
          <w:lang w:val="en-US"/>
        </w:rPr>
        <w:t xml:space="preserve"> </w:t>
      </w:r>
      <w:r w:rsidR="00084D46">
        <w:rPr>
          <w:rFonts w:ascii="Times New Roman" w:hAnsi="Times New Roman"/>
          <w:sz w:val="24"/>
          <w:szCs w:val="24"/>
          <w:lang w:val="en-US"/>
        </w:rPr>
        <w:t>waive</w:t>
      </w:r>
      <w:r w:rsidR="00E30AFF">
        <w:rPr>
          <w:rFonts w:ascii="Times New Roman" w:hAnsi="Times New Roman"/>
          <w:sz w:val="24"/>
          <w:szCs w:val="24"/>
          <w:lang w:val="en-US"/>
        </w:rPr>
        <w:t>r</w:t>
      </w:r>
      <w:r w:rsidR="00084D46">
        <w:rPr>
          <w:rFonts w:ascii="Times New Roman" w:hAnsi="Times New Roman"/>
          <w:sz w:val="24"/>
          <w:szCs w:val="24"/>
          <w:lang w:val="en-US"/>
        </w:rPr>
        <w:t xml:space="preserve"> </w:t>
      </w:r>
      <w:r w:rsidR="00E30AFF">
        <w:rPr>
          <w:rFonts w:ascii="Times New Roman" w:hAnsi="Times New Roman"/>
          <w:sz w:val="24"/>
          <w:szCs w:val="24"/>
          <w:lang w:val="en-US"/>
        </w:rPr>
        <w:t xml:space="preserve">of </w:t>
      </w:r>
      <w:r w:rsidR="00084D46">
        <w:rPr>
          <w:rFonts w:ascii="Times New Roman" w:hAnsi="Times New Roman"/>
          <w:sz w:val="24"/>
          <w:szCs w:val="24"/>
          <w:lang w:val="en-US"/>
        </w:rPr>
        <w:t>participant signature on the consent form</w:t>
      </w:r>
      <w:r w:rsidR="003A5979">
        <w:rPr>
          <w:rFonts w:ascii="Times New Roman" w:hAnsi="Times New Roman"/>
          <w:sz w:val="24"/>
          <w:szCs w:val="24"/>
          <w:lang w:val="en-US"/>
        </w:rPr>
        <w:t xml:space="preserve"> (</w:t>
      </w:r>
      <w:r w:rsidRPr="00475700" w:rsidR="003A5979">
        <w:rPr>
          <w:rFonts w:ascii="Times New Roman" w:hAnsi="Times New Roman"/>
          <w:b/>
          <w:bCs/>
          <w:sz w:val="24"/>
          <w:szCs w:val="24"/>
          <w:lang w:val="en-US"/>
        </w:rPr>
        <w:t>Attachment 6a</w:t>
      </w:r>
      <w:r w:rsidR="003A5979">
        <w:rPr>
          <w:rFonts w:ascii="Times New Roman" w:hAnsi="Times New Roman"/>
          <w:sz w:val="24"/>
          <w:szCs w:val="24"/>
          <w:lang w:val="en-US"/>
        </w:rPr>
        <w:t>)</w:t>
      </w:r>
      <w:r w:rsidR="0086236A">
        <w:rPr>
          <w:rFonts w:ascii="Times New Roman" w:hAnsi="Times New Roman"/>
          <w:sz w:val="24"/>
          <w:szCs w:val="24"/>
          <w:lang w:val="en-US"/>
        </w:rPr>
        <w:t xml:space="preserve">. </w:t>
      </w:r>
      <w:r w:rsidR="00D61998">
        <w:rPr>
          <w:rFonts w:ascii="Times New Roman" w:hAnsi="Times New Roman"/>
          <w:sz w:val="24"/>
          <w:szCs w:val="24"/>
          <w:lang w:val="en-US"/>
        </w:rPr>
        <w:t xml:space="preserve">Following the consent process, </w:t>
      </w:r>
      <w:r w:rsidR="003973E2">
        <w:rPr>
          <w:rFonts w:ascii="Times New Roman" w:hAnsi="Times New Roman"/>
          <w:sz w:val="24"/>
          <w:szCs w:val="24"/>
          <w:lang w:val="en-US"/>
        </w:rPr>
        <w:t xml:space="preserve">staff will </w:t>
      </w:r>
      <w:r w:rsidR="00975938">
        <w:rPr>
          <w:rFonts w:ascii="Times New Roman" w:hAnsi="Times New Roman"/>
          <w:sz w:val="24"/>
          <w:szCs w:val="24"/>
          <w:lang w:val="en-US"/>
        </w:rPr>
        <w:t xml:space="preserve">guide participants through the completion of the </w:t>
      </w:r>
      <w:r w:rsidR="00BF726C">
        <w:rPr>
          <w:rFonts w:ascii="Times New Roman" w:hAnsi="Times New Roman"/>
          <w:sz w:val="24"/>
          <w:szCs w:val="24"/>
          <w:lang w:val="en-US"/>
        </w:rPr>
        <w:t>first</w:t>
      </w:r>
      <w:r w:rsidR="00975938">
        <w:rPr>
          <w:rFonts w:ascii="Times New Roman" w:hAnsi="Times New Roman"/>
          <w:sz w:val="24"/>
          <w:szCs w:val="24"/>
          <w:lang w:val="en-US"/>
        </w:rPr>
        <w:t xml:space="preserve"> quantitative </w:t>
      </w:r>
      <w:r w:rsidR="00BF726C">
        <w:rPr>
          <w:rFonts w:ascii="Times New Roman" w:hAnsi="Times New Roman"/>
          <w:sz w:val="24"/>
          <w:szCs w:val="24"/>
          <w:lang w:val="en-US"/>
        </w:rPr>
        <w:t>assessment</w:t>
      </w:r>
      <w:r w:rsidRPr="00081ADA" w:rsidR="00B506B6">
        <w:rPr>
          <w:rFonts w:ascii="Times New Roman" w:hAnsi="Times New Roman"/>
          <w:sz w:val="24"/>
          <w:szCs w:val="24"/>
          <w:lang w:val="en-US"/>
        </w:rPr>
        <w:t xml:space="preserve"> </w:t>
      </w:r>
      <w:bookmarkStart w:id="8" w:name="_Hlk126851799"/>
      <w:r w:rsidRPr="00081ADA" w:rsidR="00FC01FF">
        <w:rPr>
          <w:rFonts w:ascii="Times New Roman" w:hAnsi="Times New Roman"/>
          <w:sz w:val="24"/>
          <w:szCs w:val="24"/>
          <w:lang w:val="en-US"/>
        </w:rPr>
        <w:t>(</w:t>
      </w:r>
      <w:r w:rsidRPr="00081ADA" w:rsidR="00FC01FF">
        <w:rPr>
          <w:rFonts w:ascii="Times New Roman" w:hAnsi="Times New Roman"/>
          <w:b/>
          <w:bCs/>
          <w:sz w:val="24"/>
          <w:szCs w:val="24"/>
          <w:lang w:val="en-US"/>
        </w:rPr>
        <w:t>Attachment 4</w:t>
      </w:r>
      <w:r w:rsidR="0019777D">
        <w:rPr>
          <w:rFonts w:ascii="Times New Roman" w:hAnsi="Times New Roman"/>
          <w:b/>
          <w:bCs/>
          <w:sz w:val="24"/>
          <w:szCs w:val="24"/>
          <w:lang w:val="en-US"/>
        </w:rPr>
        <w:t>c</w:t>
      </w:r>
      <w:r w:rsidRPr="00081ADA" w:rsidR="00FC01FF">
        <w:rPr>
          <w:rFonts w:ascii="Times New Roman" w:hAnsi="Times New Roman"/>
          <w:sz w:val="24"/>
          <w:szCs w:val="24"/>
          <w:lang w:val="en-US"/>
        </w:rPr>
        <w:t>)</w:t>
      </w:r>
      <w:bookmarkEnd w:id="8"/>
      <w:r w:rsidR="00A3151E">
        <w:rPr>
          <w:rFonts w:ascii="Times New Roman" w:hAnsi="Times New Roman"/>
          <w:sz w:val="24"/>
          <w:szCs w:val="24"/>
          <w:lang w:val="en-US"/>
        </w:rPr>
        <w:t xml:space="preserve">, coordinate shipment of baseline at-home HIV and STI test </w:t>
      </w:r>
      <w:r w:rsidR="00A3151E">
        <w:rPr>
          <w:rFonts w:ascii="Times New Roman" w:hAnsi="Times New Roman"/>
          <w:sz w:val="24"/>
          <w:szCs w:val="24"/>
          <w:lang w:val="en-US"/>
        </w:rPr>
        <w:t>kits</w:t>
      </w:r>
      <w:r w:rsidR="000A6C83">
        <w:rPr>
          <w:rFonts w:ascii="Times New Roman" w:hAnsi="Times New Roman"/>
          <w:sz w:val="24"/>
          <w:szCs w:val="24"/>
          <w:lang w:val="en-US"/>
        </w:rPr>
        <w:t>,</w:t>
      </w:r>
      <w:r w:rsidR="00A3151E">
        <w:rPr>
          <w:rFonts w:ascii="Times New Roman" w:hAnsi="Times New Roman"/>
          <w:sz w:val="24"/>
          <w:szCs w:val="24"/>
          <w:lang w:val="en-US"/>
        </w:rPr>
        <w:t xml:space="preserve"> and</w:t>
      </w:r>
      <w:r w:rsidR="00A3151E">
        <w:rPr>
          <w:rFonts w:ascii="Times New Roman" w:hAnsi="Times New Roman"/>
          <w:sz w:val="24"/>
          <w:szCs w:val="24"/>
          <w:lang w:val="en-US"/>
        </w:rPr>
        <w:t xml:space="preserve"> assist the participant in setting up the </w:t>
      </w:r>
      <w:r w:rsidR="001D19D7">
        <w:rPr>
          <w:rFonts w:ascii="Times New Roman" w:hAnsi="Times New Roman"/>
          <w:sz w:val="24"/>
          <w:szCs w:val="24"/>
          <w:lang w:val="en-US"/>
        </w:rPr>
        <w:t xml:space="preserve">Study Management and Retention Toolkit </w:t>
      </w:r>
      <w:r w:rsidR="005C54B6">
        <w:rPr>
          <w:rFonts w:ascii="Times New Roman" w:hAnsi="Times New Roman"/>
          <w:sz w:val="24"/>
          <w:szCs w:val="24"/>
          <w:lang w:val="en-US"/>
        </w:rPr>
        <w:t>(</w:t>
      </w:r>
      <w:r w:rsidR="00A3151E">
        <w:rPr>
          <w:rFonts w:ascii="Times New Roman" w:hAnsi="Times New Roman"/>
          <w:sz w:val="24"/>
          <w:szCs w:val="24"/>
          <w:lang w:val="en-US"/>
        </w:rPr>
        <w:t>SMaRT</w:t>
      </w:r>
      <w:r w:rsidR="005C54B6">
        <w:rPr>
          <w:rFonts w:ascii="Times New Roman" w:hAnsi="Times New Roman"/>
          <w:sz w:val="24"/>
          <w:szCs w:val="24"/>
          <w:lang w:val="en-US"/>
        </w:rPr>
        <w:t>)</w:t>
      </w:r>
      <w:r w:rsidR="00A3151E">
        <w:rPr>
          <w:rFonts w:ascii="Times New Roman" w:hAnsi="Times New Roman"/>
          <w:sz w:val="24"/>
          <w:szCs w:val="24"/>
          <w:lang w:val="en-US"/>
        </w:rPr>
        <w:t xml:space="preserve"> app</w:t>
      </w:r>
      <w:r w:rsidR="005C54B6">
        <w:rPr>
          <w:rFonts w:ascii="Times New Roman" w:hAnsi="Times New Roman"/>
          <w:sz w:val="24"/>
          <w:szCs w:val="24"/>
          <w:lang w:val="en-US"/>
        </w:rPr>
        <w:t>lication</w:t>
      </w:r>
      <w:r w:rsidR="00A3151E">
        <w:rPr>
          <w:rFonts w:ascii="Times New Roman" w:hAnsi="Times New Roman"/>
          <w:sz w:val="24"/>
          <w:szCs w:val="24"/>
          <w:lang w:val="en-US"/>
        </w:rPr>
        <w:t xml:space="preserve"> on their </w:t>
      </w:r>
      <w:r w:rsidR="002F6795">
        <w:rPr>
          <w:rFonts w:ascii="Times New Roman" w:hAnsi="Times New Roman"/>
          <w:sz w:val="24"/>
          <w:szCs w:val="24"/>
          <w:lang w:val="en-US"/>
        </w:rPr>
        <w:t>mobile phone (</w:t>
      </w:r>
      <w:r w:rsidRPr="00475700" w:rsidR="002F6795">
        <w:rPr>
          <w:rFonts w:ascii="Times New Roman" w:hAnsi="Times New Roman"/>
          <w:b/>
          <w:bCs/>
          <w:sz w:val="24"/>
          <w:szCs w:val="24"/>
          <w:lang w:val="en-US"/>
        </w:rPr>
        <w:t>Attachment 4d</w:t>
      </w:r>
      <w:r w:rsidR="002F6795">
        <w:rPr>
          <w:rFonts w:ascii="Times New Roman" w:hAnsi="Times New Roman"/>
          <w:sz w:val="24"/>
          <w:szCs w:val="24"/>
          <w:lang w:val="en-US"/>
        </w:rPr>
        <w:t xml:space="preserve">). </w:t>
      </w:r>
      <w:r w:rsidRPr="00081ADA" w:rsidR="008B7C68">
        <w:rPr>
          <w:rFonts w:ascii="Times New Roman" w:hAnsi="Times New Roman"/>
          <w:sz w:val="24"/>
          <w:szCs w:val="24"/>
          <w:lang w:val="en-US"/>
        </w:rPr>
        <w:t xml:space="preserve">Screening, consent, </w:t>
      </w:r>
      <w:r w:rsidRPr="00081ADA" w:rsidR="002C3D3D">
        <w:rPr>
          <w:rFonts w:ascii="Times New Roman" w:hAnsi="Times New Roman"/>
          <w:sz w:val="24"/>
          <w:szCs w:val="24"/>
          <w:lang w:val="en-US"/>
        </w:rPr>
        <w:t>contact information</w:t>
      </w:r>
      <w:r w:rsidRPr="00081ADA" w:rsidR="00FE3208">
        <w:rPr>
          <w:rFonts w:ascii="Times New Roman" w:hAnsi="Times New Roman"/>
          <w:sz w:val="24"/>
          <w:szCs w:val="24"/>
          <w:lang w:val="en-US"/>
        </w:rPr>
        <w:t xml:space="preserve"> collection</w:t>
      </w:r>
      <w:r w:rsidRPr="00081ADA" w:rsidR="00DA44B7">
        <w:rPr>
          <w:rFonts w:ascii="Times New Roman" w:hAnsi="Times New Roman"/>
          <w:sz w:val="24"/>
          <w:szCs w:val="24"/>
          <w:lang w:val="en-US"/>
        </w:rPr>
        <w:t xml:space="preserve"> and </w:t>
      </w:r>
      <w:r w:rsidR="000B7FE2">
        <w:rPr>
          <w:rFonts w:ascii="Times New Roman" w:hAnsi="Times New Roman"/>
          <w:sz w:val="24"/>
          <w:szCs w:val="24"/>
          <w:lang w:val="en-US"/>
        </w:rPr>
        <w:t>assessment</w:t>
      </w:r>
      <w:r w:rsidRPr="00081ADA" w:rsidR="00DA44B7">
        <w:rPr>
          <w:rFonts w:ascii="Times New Roman" w:hAnsi="Times New Roman"/>
          <w:sz w:val="24"/>
          <w:szCs w:val="24"/>
          <w:lang w:val="en-US"/>
        </w:rPr>
        <w:t xml:space="preserve">s will be conducted </w:t>
      </w:r>
      <w:r w:rsidRPr="00081ADA" w:rsidR="00C760B7">
        <w:rPr>
          <w:rFonts w:ascii="Times New Roman" w:hAnsi="Times New Roman"/>
          <w:sz w:val="24"/>
          <w:szCs w:val="24"/>
          <w:lang w:val="en-US"/>
        </w:rPr>
        <w:t xml:space="preserve">online </w:t>
      </w:r>
      <w:r w:rsidRPr="00081ADA" w:rsidR="006C0E01">
        <w:rPr>
          <w:rFonts w:ascii="Times New Roman" w:hAnsi="Times New Roman"/>
          <w:sz w:val="24"/>
          <w:szCs w:val="24"/>
          <w:lang w:val="en-US"/>
        </w:rPr>
        <w:t xml:space="preserve">via </w:t>
      </w:r>
      <w:r w:rsidRPr="00081ADA" w:rsidR="00DA44B7">
        <w:rPr>
          <w:rFonts w:ascii="Times New Roman" w:hAnsi="Times New Roman"/>
          <w:sz w:val="24"/>
          <w:szCs w:val="24"/>
          <w:lang w:val="en-US"/>
        </w:rPr>
        <w:t>Alchemer</w:t>
      </w:r>
      <w:r w:rsidRPr="00081ADA" w:rsidR="00DA44B7">
        <w:rPr>
          <w:rFonts w:ascii="Times New Roman" w:hAnsi="Times New Roman"/>
          <w:sz w:val="24"/>
          <w:szCs w:val="24"/>
          <w:lang w:val="en-US"/>
        </w:rPr>
        <w:t>, a HIPPA</w:t>
      </w:r>
      <w:r w:rsidRPr="00081ADA" w:rsidR="00106DB7">
        <w:rPr>
          <w:rFonts w:ascii="Times New Roman" w:hAnsi="Times New Roman"/>
          <w:sz w:val="24"/>
          <w:szCs w:val="24"/>
          <w:lang w:val="en-US"/>
        </w:rPr>
        <w:t>-</w:t>
      </w:r>
      <w:r w:rsidRPr="00081ADA" w:rsidR="00DA44B7">
        <w:rPr>
          <w:rFonts w:ascii="Times New Roman" w:hAnsi="Times New Roman"/>
          <w:sz w:val="24"/>
          <w:szCs w:val="24"/>
          <w:lang w:val="en-US"/>
        </w:rPr>
        <w:t>compliant online</w:t>
      </w:r>
      <w:r w:rsidRPr="00081ADA" w:rsidR="00106DB7">
        <w:rPr>
          <w:rFonts w:ascii="Times New Roman" w:hAnsi="Times New Roman"/>
          <w:sz w:val="24"/>
          <w:szCs w:val="24"/>
          <w:lang w:val="en-US"/>
        </w:rPr>
        <w:t xml:space="preserve"> data collection platform</w:t>
      </w:r>
      <w:r w:rsidRPr="00081ADA" w:rsidR="000209A2">
        <w:rPr>
          <w:rFonts w:ascii="Times New Roman" w:hAnsi="Times New Roman"/>
          <w:sz w:val="24"/>
          <w:szCs w:val="24"/>
        </w:rPr>
        <w:t xml:space="preserve">. </w:t>
      </w:r>
    </w:p>
    <w:p w:rsidR="00CA18D2" w:rsidRPr="00081ADA" w:rsidP="0089092A" w14:paraId="7295EAF3" w14:textId="246B6229">
      <w:pPr>
        <w:pStyle w:val="ListParagraph"/>
        <w:spacing w:after="0" w:line="240" w:lineRule="auto"/>
        <w:ind w:left="0"/>
        <w:contextualSpacing w:val="0"/>
        <w:rPr>
          <w:rFonts w:ascii="Times New Roman" w:hAnsi="Times New Roman"/>
          <w:sz w:val="24"/>
          <w:szCs w:val="24"/>
          <w:lang w:val="en-US"/>
        </w:rPr>
      </w:pPr>
    </w:p>
    <w:p w:rsidR="00080AD2" w:rsidP="0089092A" w14:paraId="7D2D6E15" w14:textId="62257BDB">
      <w:pPr>
        <w:pStyle w:val="Default"/>
      </w:pPr>
      <w:r>
        <w:t>Over the two-year follow up period, p</w:t>
      </w:r>
      <w:r w:rsidRPr="00081ADA" w:rsidR="00B5141F">
        <w:t>articipants will be asked to complete</w:t>
      </w:r>
      <w:r w:rsidRPr="00081ADA" w:rsidR="003678B9">
        <w:t xml:space="preserve"> </w:t>
      </w:r>
      <w:r w:rsidR="000B7FE2">
        <w:t>assessment</w:t>
      </w:r>
      <w:r>
        <w:t>s every three months</w:t>
      </w:r>
      <w:r w:rsidRPr="00081ADA" w:rsidR="003678B9">
        <w:t xml:space="preserve"> (</w:t>
      </w:r>
      <w:r w:rsidRPr="00081ADA" w:rsidR="003678B9">
        <w:rPr>
          <w:b/>
          <w:bCs/>
        </w:rPr>
        <w:t>Attachment 4</w:t>
      </w:r>
      <w:r w:rsidR="00A913EE">
        <w:rPr>
          <w:b/>
          <w:bCs/>
        </w:rPr>
        <w:t>c</w:t>
      </w:r>
      <w:r w:rsidRPr="00081ADA" w:rsidR="003678B9">
        <w:t xml:space="preserve">). </w:t>
      </w:r>
      <w:r w:rsidR="00E3100E">
        <w:t xml:space="preserve">The </w:t>
      </w:r>
      <w:r w:rsidR="00877181">
        <w:t xml:space="preserve">quarterly </w:t>
      </w:r>
      <w:r w:rsidR="00C33D63">
        <w:t xml:space="preserve">quantitative </w:t>
      </w:r>
      <w:r w:rsidR="000B7FE2">
        <w:t>assessment</w:t>
      </w:r>
      <w:r w:rsidR="00877181">
        <w:t xml:space="preserve">s will collect </w:t>
      </w:r>
      <w:r w:rsidR="006222FF">
        <w:t>information on the following topics: sociodemographic information</w:t>
      </w:r>
      <w:r w:rsidR="00E44632">
        <w:t xml:space="preserve">; HIV and STI testing; </w:t>
      </w:r>
      <w:r w:rsidR="009F30D5">
        <w:t xml:space="preserve">condom use; </w:t>
      </w:r>
      <w:r w:rsidR="00E44632">
        <w:t xml:space="preserve">PrEP </w:t>
      </w:r>
      <w:r w:rsidR="00693B44">
        <w:t xml:space="preserve">knowledge, use, preferences, sharing, </w:t>
      </w:r>
      <w:r w:rsidR="009142E7">
        <w:t xml:space="preserve">perceived efficacy, and stigma; </w:t>
      </w:r>
      <w:r w:rsidR="00A860BB">
        <w:t xml:space="preserve">barriers to prevention services and healthcare trust; sexual </w:t>
      </w:r>
      <w:r w:rsidR="00B16A25">
        <w:t>partner</w:t>
      </w:r>
      <w:r w:rsidR="006C48BB">
        <w:t xml:space="preserve">s and </w:t>
      </w:r>
      <w:r w:rsidR="00880351">
        <w:t>sexual behaviors</w:t>
      </w:r>
      <w:r w:rsidR="00B16A25">
        <w:t xml:space="preserve">; mental health; </w:t>
      </w:r>
      <w:r>
        <w:t xml:space="preserve">alcohol and substance use; and attitudes about prevention messages. </w:t>
      </w:r>
      <w:r w:rsidRPr="007A402A" w:rsidR="007A402A">
        <w:t>For the messaging review portion of the assessment, the electronic data collection system will populate each quarterly assessment with ten pre-selected messages from the master message bank</w:t>
      </w:r>
      <w:r w:rsidR="000135CE">
        <w:t xml:space="preserve"> included here</w:t>
      </w:r>
      <w:r w:rsidRPr="007A402A" w:rsidR="007A402A">
        <w:t xml:space="preserve">. Messages </w:t>
      </w:r>
      <w:r w:rsidR="000135CE">
        <w:t xml:space="preserve">in the message bank were developed </w:t>
      </w:r>
      <w:r w:rsidR="00DF2A0C">
        <w:t>through</w:t>
      </w:r>
      <w:r w:rsidR="000135CE">
        <w:t xml:space="preserve"> </w:t>
      </w:r>
      <w:r w:rsidR="00475700">
        <w:t>previously approved</w:t>
      </w:r>
      <w:r w:rsidR="00DF2A0C">
        <w:t xml:space="preserve"> research. Messages for each wave of the testing </w:t>
      </w:r>
      <w:r w:rsidRPr="007A402A" w:rsidR="007A402A">
        <w:t xml:space="preserve">will be selected based on participant responses to </w:t>
      </w:r>
      <w:r w:rsidR="00DF2A0C">
        <w:t xml:space="preserve">previous waves </w:t>
      </w:r>
      <w:r w:rsidR="00475700">
        <w:t xml:space="preserve">of </w:t>
      </w:r>
      <w:r w:rsidRPr="007A402A" w:rsidR="00475700">
        <w:t>survey</w:t>
      </w:r>
      <w:r w:rsidR="00DF2A0C">
        <w:t xml:space="preserve"> </w:t>
      </w:r>
      <w:r w:rsidRPr="007A402A" w:rsidR="007A402A">
        <w:t>assessment</w:t>
      </w:r>
      <w:r w:rsidR="00DF2A0C">
        <w:t xml:space="preserve"> in this study, as well as</w:t>
      </w:r>
      <w:r w:rsidRPr="007A402A" w:rsidR="007A402A">
        <w:t xml:space="preserve"> participant responses to ongoing interviews and focus groups</w:t>
      </w:r>
      <w:r w:rsidR="00DF2A0C">
        <w:t xml:space="preserve"> herein</w:t>
      </w:r>
      <w:r w:rsidRPr="007A402A" w:rsidR="007A402A">
        <w:t>. This method will allow flexib</w:t>
      </w:r>
      <w:r w:rsidR="00DF2A0C">
        <w:t>ility</w:t>
      </w:r>
      <w:r w:rsidRPr="007A402A" w:rsidR="007A402A">
        <w:t xml:space="preserve"> and responsive</w:t>
      </w:r>
      <w:r w:rsidR="00DF2A0C">
        <w:t>ness</w:t>
      </w:r>
      <w:r w:rsidRPr="007A402A" w:rsidR="007A402A">
        <w:t xml:space="preserve"> to </w:t>
      </w:r>
      <w:r w:rsidR="00DF2A0C">
        <w:t xml:space="preserve">ongoing findings of </w:t>
      </w:r>
      <w:r w:rsidRPr="007A402A" w:rsidR="007A402A">
        <w:t xml:space="preserve">respondent </w:t>
      </w:r>
      <w:r w:rsidR="00DF2A0C">
        <w:t xml:space="preserve">prevention implementation challenges and </w:t>
      </w:r>
      <w:r w:rsidRPr="007A402A" w:rsidR="007A402A">
        <w:t>messag</w:t>
      </w:r>
      <w:r w:rsidR="00DF2A0C">
        <w:t>e</w:t>
      </w:r>
      <w:r w:rsidRPr="007A402A" w:rsidR="007A402A">
        <w:t xml:space="preserve"> preferences </w:t>
      </w:r>
      <w:r w:rsidR="00DF2A0C">
        <w:t xml:space="preserve">in order </w:t>
      </w:r>
      <w:r w:rsidR="00475700">
        <w:t>to</w:t>
      </w:r>
      <w:r w:rsidR="00475700">
        <w:t xml:space="preserve"> </w:t>
      </w:r>
      <w:r w:rsidRPr="007A402A" w:rsidR="00475700">
        <w:t>provide</w:t>
      </w:r>
      <w:r w:rsidRPr="007A402A" w:rsidR="007A402A">
        <w:t xml:space="preserve"> the greatest benefit to participants. </w:t>
      </w:r>
    </w:p>
    <w:p w:rsidR="00080AD2" w:rsidP="0089092A" w14:paraId="3A49ED79" w14:textId="77777777">
      <w:pPr>
        <w:pStyle w:val="Default"/>
      </w:pPr>
    </w:p>
    <w:p w:rsidR="00C05832" w:rsidP="0089092A" w14:paraId="783BD06E" w14:textId="1B7074D0">
      <w:pPr>
        <w:pStyle w:val="Default"/>
        <w:rPr>
          <w:color w:val="auto"/>
        </w:rPr>
      </w:pPr>
      <w:r w:rsidRPr="00081ADA">
        <w:rPr>
          <w:color w:val="auto"/>
        </w:rPr>
        <w:t>A</w:t>
      </w:r>
      <w:r w:rsidRPr="00081ADA" w:rsidR="00A4773E">
        <w:rPr>
          <w:color w:val="auto"/>
        </w:rPr>
        <w:t xml:space="preserve">t </w:t>
      </w:r>
      <w:r w:rsidRPr="00081ADA" w:rsidR="009103D8">
        <w:rPr>
          <w:color w:val="auto"/>
        </w:rPr>
        <w:t>six-month intervals, a</w:t>
      </w:r>
      <w:r w:rsidRPr="00081ADA">
        <w:rPr>
          <w:color w:val="auto"/>
        </w:rPr>
        <w:t xml:space="preserve">ll participants will be mailed self-collection kits to provide samples for </w:t>
      </w:r>
      <w:r w:rsidR="00D71290">
        <w:rPr>
          <w:color w:val="auto"/>
        </w:rPr>
        <w:t xml:space="preserve">HIV and </w:t>
      </w:r>
      <w:r w:rsidRPr="00081ADA">
        <w:rPr>
          <w:color w:val="auto"/>
        </w:rPr>
        <w:t>STI</w:t>
      </w:r>
      <w:r w:rsidRPr="00081ADA" w:rsidR="009103D8">
        <w:rPr>
          <w:color w:val="auto"/>
        </w:rPr>
        <w:t xml:space="preserve"> testing. Specimens for STI testing includ</w:t>
      </w:r>
      <w:r w:rsidRPr="00081ADA" w:rsidR="00C6058F">
        <w:rPr>
          <w:color w:val="auto"/>
        </w:rPr>
        <w:t xml:space="preserve">e </w:t>
      </w:r>
      <w:r w:rsidRPr="00081ADA">
        <w:rPr>
          <w:color w:val="auto"/>
        </w:rPr>
        <w:t>urine</w:t>
      </w:r>
      <w:r w:rsidRPr="00081ADA" w:rsidR="00926CC0">
        <w:rPr>
          <w:color w:val="auto"/>
        </w:rPr>
        <w:t xml:space="preserve">, </w:t>
      </w:r>
      <w:r w:rsidRPr="00081ADA">
        <w:rPr>
          <w:color w:val="auto"/>
        </w:rPr>
        <w:t>rectal</w:t>
      </w:r>
      <w:r w:rsidRPr="00081ADA" w:rsidR="00926CC0">
        <w:rPr>
          <w:color w:val="auto"/>
        </w:rPr>
        <w:t xml:space="preserve">, and </w:t>
      </w:r>
      <w:r w:rsidRPr="00081ADA">
        <w:rPr>
          <w:color w:val="auto"/>
        </w:rPr>
        <w:t>pharyngeal swab</w:t>
      </w:r>
      <w:r w:rsidRPr="00081ADA" w:rsidR="00926CC0">
        <w:rPr>
          <w:color w:val="auto"/>
        </w:rPr>
        <w:t>s</w:t>
      </w:r>
      <w:r w:rsidRPr="00081ADA">
        <w:rPr>
          <w:color w:val="auto"/>
        </w:rPr>
        <w:t xml:space="preserve"> for gonorrhea</w:t>
      </w:r>
      <w:r w:rsidRPr="00081ADA" w:rsidR="00926CC0">
        <w:rPr>
          <w:color w:val="auto"/>
        </w:rPr>
        <w:t xml:space="preserve"> and </w:t>
      </w:r>
      <w:r w:rsidRPr="00081ADA">
        <w:rPr>
          <w:color w:val="auto"/>
        </w:rPr>
        <w:t>chlamydia</w:t>
      </w:r>
      <w:r w:rsidRPr="00081ADA" w:rsidR="00856C7C">
        <w:rPr>
          <w:color w:val="auto"/>
        </w:rPr>
        <w:t xml:space="preserve"> and </w:t>
      </w:r>
      <w:r w:rsidRPr="00081ADA">
        <w:rPr>
          <w:color w:val="auto"/>
        </w:rPr>
        <w:t>dried blood spot</w:t>
      </w:r>
      <w:r w:rsidR="007078DD">
        <w:rPr>
          <w:color w:val="auto"/>
        </w:rPr>
        <w:t xml:space="preserve"> (DBS)</w:t>
      </w:r>
      <w:r w:rsidRPr="00081ADA">
        <w:rPr>
          <w:color w:val="auto"/>
        </w:rPr>
        <w:t xml:space="preserve"> for syphilis testing</w:t>
      </w:r>
      <w:r w:rsidRPr="00081ADA" w:rsidR="00856C7C">
        <w:rPr>
          <w:color w:val="auto"/>
        </w:rPr>
        <w:t xml:space="preserve">. HIV </w:t>
      </w:r>
      <w:r w:rsidRPr="00081ADA" w:rsidR="00AF3226">
        <w:rPr>
          <w:color w:val="auto"/>
        </w:rPr>
        <w:t xml:space="preserve">kits will collect DBS </w:t>
      </w:r>
      <w:r w:rsidRPr="00081ADA" w:rsidR="008B4B3D">
        <w:rPr>
          <w:color w:val="auto"/>
        </w:rPr>
        <w:t>for 4</w:t>
      </w:r>
      <w:r w:rsidRPr="00081ADA" w:rsidR="008B4B3D">
        <w:rPr>
          <w:color w:val="auto"/>
          <w:vertAlign w:val="superscript"/>
        </w:rPr>
        <w:t>th</w:t>
      </w:r>
      <w:r w:rsidRPr="00081ADA" w:rsidR="008B4B3D">
        <w:rPr>
          <w:color w:val="auto"/>
        </w:rPr>
        <w:t xml:space="preserve"> generation HIV testing. </w:t>
      </w:r>
      <w:r w:rsidR="00997F8D">
        <w:rPr>
          <w:color w:val="auto"/>
        </w:rPr>
        <w:t xml:space="preserve">Tests will be shipped </w:t>
      </w:r>
      <w:r w:rsidR="00B5654F">
        <w:rPr>
          <w:color w:val="auto"/>
        </w:rPr>
        <w:t xml:space="preserve">from, returned </w:t>
      </w:r>
      <w:r w:rsidR="000E3667">
        <w:rPr>
          <w:color w:val="auto"/>
        </w:rPr>
        <w:t>to,</w:t>
      </w:r>
      <w:r w:rsidR="00997F8D">
        <w:rPr>
          <w:color w:val="auto"/>
        </w:rPr>
        <w:t xml:space="preserve"> and processed by</w:t>
      </w:r>
      <w:r w:rsidRPr="00081ADA" w:rsidR="00001547">
        <w:rPr>
          <w:color w:val="auto"/>
        </w:rPr>
        <w:t xml:space="preserve"> a CLIA-certified </w:t>
      </w:r>
      <w:r w:rsidRPr="00081ADA" w:rsidR="00BE19A0">
        <w:rPr>
          <w:color w:val="auto"/>
        </w:rPr>
        <w:t>laboratory</w:t>
      </w:r>
      <w:r w:rsidR="00200035">
        <w:rPr>
          <w:color w:val="auto"/>
        </w:rPr>
        <w:t>.</w:t>
      </w:r>
      <w:r w:rsidRPr="00081ADA" w:rsidR="00BE19A0">
        <w:rPr>
          <w:color w:val="auto"/>
        </w:rPr>
        <w:t xml:space="preserve"> </w:t>
      </w:r>
      <w:r w:rsidRPr="00081ADA" w:rsidR="000D3C89">
        <w:rPr>
          <w:color w:val="auto"/>
        </w:rPr>
        <w:t xml:space="preserve">Instructions for the HIV specimen collection </w:t>
      </w:r>
      <w:r w:rsidRPr="00081ADA" w:rsidR="00241E59">
        <w:rPr>
          <w:color w:val="auto"/>
        </w:rPr>
        <w:t>(</w:t>
      </w:r>
      <w:r w:rsidRPr="00081ADA" w:rsidR="00241E59">
        <w:rPr>
          <w:b/>
          <w:bCs/>
          <w:color w:val="auto"/>
        </w:rPr>
        <w:t>Attachment 4</w:t>
      </w:r>
      <w:r w:rsidR="00A913EE">
        <w:rPr>
          <w:b/>
          <w:bCs/>
          <w:color w:val="auto"/>
        </w:rPr>
        <w:t>e</w:t>
      </w:r>
      <w:r w:rsidRPr="00081ADA" w:rsidR="00241E59">
        <w:rPr>
          <w:color w:val="auto"/>
        </w:rPr>
        <w:t>)</w:t>
      </w:r>
      <w:r w:rsidRPr="00081ADA" w:rsidR="00BF4884">
        <w:rPr>
          <w:color w:val="auto"/>
        </w:rPr>
        <w:t xml:space="preserve"> and</w:t>
      </w:r>
      <w:r w:rsidRPr="00081ADA" w:rsidR="00241E59">
        <w:rPr>
          <w:color w:val="auto"/>
        </w:rPr>
        <w:t xml:space="preserve"> the STI specimen collection (</w:t>
      </w:r>
      <w:r w:rsidRPr="00081ADA" w:rsidR="00241E59">
        <w:rPr>
          <w:b/>
          <w:bCs/>
          <w:color w:val="auto"/>
        </w:rPr>
        <w:t xml:space="preserve">Attachment </w:t>
      </w:r>
      <w:r w:rsidRPr="00081ADA" w:rsidR="001D7491">
        <w:rPr>
          <w:b/>
          <w:bCs/>
          <w:color w:val="auto"/>
        </w:rPr>
        <w:t>4</w:t>
      </w:r>
      <w:r w:rsidR="00A913EE">
        <w:rPr>
          <w:b/>
          <w:bCs/>
          <w:color w:val="auto"/>
        </w:rPr>
        <w:t>f</w:t>
      </w:r>
      <w:r w:rsidRPr="00081ADA" w:rsidR="001D7491">
        <w:rPr>
          <w:color w:val="auto"/>
        </w:rPr>
        <w:t xml:space="preserve">) are available </w:t>
      </w:r>
      <w:r w:rsidRPr="00081ADA" w:rsidR="00BF4884">
        <w:rPr>
          <w:color w:val="auto"/>
        </w:rPr>
        <w:t xml:space="preserve">English and Spanish. </w:t>
      </w:r>
      <w:r w:rsidRPr="00081ADA" w:rsidR="00C54EF1">
        <w:rPr>
          <w:color w:val="auto"/>
        </w:rPr>
        <w:t xml:space="preserve">The instructions </w:t>
      </w:r>
      <w:r w:rsidRPr="00081ADA">
        <w:rPr>
          <w:color w:val="auto"/>
        </w:rPr>
        <w:t>have been tested with MSM for acceptabilit</w:t>
      </w:r>
      <w:r w:rsidRPr="00081ADA" w:rsidR="00BC5889">
        <w:rPr>
          <w:color w:val="auto"/>
        </w:rPr>
        <w:t>y</w:t>
      </w:r>
      <w:r w:rsidRPr="00081ADA" w:rsidR="00BC5889">
        <w:rPr>
          <w:color w:val="auto"/>
          <w:vertAlign w:val="superscript"/>
        </w:rPr>
        <w:t>1</w:t>
      </w:r>
      <w:r w:rsidR="00971B4D">
        <w:rPr>
          <w:color w:val="auto"/>
          <w:vertAlign w:val="superscript"/>
        </w:rPr>
        <w:t>3</w:t>
      </w:r>
      <w:r w:rsidRPr="00081ADA">
        <w:rPr>
          <w:color w:val="auto"/>
        </w:rPr>
        <w:t xml:space="preserve"> and are being used through the Emory </w:t>
      </w:r>
      <w:r w:rsidR="00645472">
        <w:rPr>
          <w:color w:val="auto"/>
        </w:rPr>
        <w:t>Center for AIDS Research (</w:t>
      </w:r>
      <w:r w:rsidRPr="00081ADA">
        <w:rPr>
          <w:color w:val="auto"/>
        </w:rPr>
        <w:t>CFAR</w:t>
      </w:r>
      <w:r w:rsidR="00645472">
        <w:rPr>
          <w:color w:val="auto"/>
        </w:rPr>
        <w:t>)</w:t>
      </w:r>
      <w:r w:rsidRPr="00081ADA">
        <w:rPr>
          <w:color w:val="auto"/>
        </w:rPr>
        <w:t xml:space="preserve"> for multiple </w:t>
      </w:r>
      <w:r w:rsidR="00645472">
        <w:rPr>
          <w:color w:val="auto"/>
        </w:rPr>
        <w:t>National Institutes of Health (</w:t>
      </w:r>
      <w:r w:rsidRPr="00081ADA">
        <w:rPr>
          <w:color w:val="auto"/>
        </w:rPr>
        <w:t>NIH</w:t>
      </w:r>
      <w:r w:rsidR="00645472">
        <w:rPr>
          <w:color w:val="auto"/>
        </w:rPr>
        <w:t>)</w:t>
      </w:r>
      <w:r w:rsidRPr="00081ADA">
        <w:rPr>
          <w:color w:val="auto"/>
        </w:rPr>
        <w:t>-funded studies</w:t>
      </w:r>
      <w:r w:rsidRPr="00081ADA" w:rsidR="00BC5889">
        <w:rPr>
          <w:color w:val="auto"/>
          <w:vertAlign w:val="superscript"/>
        </w:rPr>
        <w:t>1</w:t>
      </w:r>
      <w:r w:rsidR="00971B4D">
        <w:rPr>
          <w:color w:val="auto"/>
          <w:vertAlign w:val="superscript"/>
        </w:rPr>
        <w:t>4</w:t>
      </w:r>
      <w:r w:rsidRPr="00081ADA">
        <w:rPr>
          <w:color w:val="auto"/>
        </w:rPr>
        <w:t xml:space="preserve">. For participants who prefer in-person procedures, they will </w:t>
      </w:r>
      <w:r w:rsidRPr="00081ADA" w:rsidR="00381598">
        <w:rPr>
          <w:color w:val="auto"/>
        </w:rPr>
        <w:t xml:space="preserve">have the option to </w:t>
      </w:r>
      <w:r w:rsidRPr="00081ADA">
        <w:rPr>
          <w:color w:val="auto"/>
        </w:rPr>
        <w:t xml:space="preserve">meet </w:t>
      </w:r>
      <w:r w:rsidRPr="00081ADA" w:rsidR="00B22298">
        <w:rPr>
          <w:color w:val="auto"/>
        </w:rPr>
        <w:t xml:space="preserve">with </w:t>
      </w:r>
      <w:r w:rsidRPr="00081ADA">
        <w:rPr>
          <w:color w:val="auto"/>
        </w:rPr>
        <w:t>study staff who will provide them with the STI or HIV self-collection kit and instructions</w:t>
      </w:r>
      <w:r w:rsidR="006A72C2">
        <w:rPr>
          <w:color w:val="auto"/>
        </w:rPr>
        <w:t>, answe</w:t>
      </w:r>
      <w:r w:rsidR="00CC36C3">
        <w:rPr>
          <w:color w:val="auto"/>
        </w:rPr>
        <w:t>r</w:t>
      </w:r>
      <w:r w:rsidR="006A72C2">
        <w:rPr>
          <w:color w:val="auto"/>
        </w:rPr>
        <w:t xml:space="preserve"> questions</w:t>
      </w:r>
      <w:r w:rsidR="0025425E">
        <w:rPr>
          <w:color w:val="auto"/>
        </w:rPr>
        <w:t>,</w:t>
      </w:r>
      <w:r w:rsidRPr="00081ADA">
        <w:rPr>
          <w:color w:val="auto"/>
        </w:rPr>
        <w:t xml:space="preserve"> and provide a </w:t>
      </w:r>
      <w:r w:rsidR="00CC36C3">
        <w:rPr>
          <w:color w:val="auto"/>
        </w:rPr>
        <w:t xml:space="preserve">private </w:t>
      </w:r>
      <w:r w:rsidRPr="00081ADA">
        <w:rPr>
          <w:color w:val="auto"/>
        </w:rPr>
        <w:t xml:space="preserve">room </w:t>
      </w:r>
      <w:r w:rsidR="00CC36C3">
        <w:rPr>
          <w:color w:val="auto"/>
        </w:rPr>
        <w:t>in which</w:t>
      </w:r>
      <w:r w:rsidRPr="00081ADA" w:rsidR="00CC36C3">
        <w:rPr>
          <w:color w:val="auto"/>
        </w:rPr>
        <w:t xml:space="preserve"> </w:t>
      </w:r>
      <w:r w:rsidRPr="00081ADA">
        <w:rPr>
          <w:color w:val="auto"/>
        </w:rPr>
        <w:t xml:space="preserve">participants </w:t>
      </w:r>
      <w:r w:rsidR="00CC36C3">
        <w:rPr>
          <w:color w:val="auto"/>
        </w:rPr>
        <w:t>can</w:t>
      </w:r>
      <w:r w:rsidRPr="00081ADA" w:rsidR="00CC36C3">
        <w:rPr>
          <w:color w:val="auto"/>
        </w:rPr>
        <w:t xml:space="preserve"> </w:t>
      </w:r>
      <w:r w:rsidRPr="00081ADA">
        <w:rPr>
          <w:color w:val="auto"/>
        </w:rPr>
        <w:t xml:space="preserve">collect their specimens. Study staff will assist with shipping specimens for those </w:t>
      </w:r>
      <w:r w:rsidR="00200035">
        <w:rPr>
          <w:color w:val="auto"/>
        </w:rPr>
        <w:t>participants who opt for</w:t>
      </w:r>
      <w:r w:rsidRPr="00081ADA">
        <w:rPr>
          <w:color w:val="auto"/>
        </w:rPr>
        <w:t xml:space="preserve"> an in-person visit. Men who have a new HIV diagnosis during the study will be helped with accessing HIV care and treatment services and will not proceed in the study. Men with an STI diagnosis will be connected to local resources for care and treatment. </w:t>
      </w:r>
    </w:p>
    <w:p w:rsidR="00A1406A" w:rsidRPr="00081ADA" w:rsidP="0089092A" w14:paraId="30292487" w14:textId="77777777">
      <w:pPr>
        <w:pStyle w:val="Default"/>
        <w:rPr>
          <w:color w:val="auto"/>
        </w:rPr>
      </w:pPr>
    </w:p>
    <w:p w:rsidR="00CA2C1E" w:rsidRPr="00081ADA" w:rsidP="0089092A" w14:paraId="27C6EC90" w14:textId="6AE11EBE">
      <w:pPr>
        <w:pStyle w:val="ListParagraph"/>
        <w:spacing w:after="0" w:line="240" w:lineRule="auto"/>
        <w:ind w:left="0"/>
        <w:contextualSpacing w:val="0"/>
        <w:rPr>
          <w:rFonts w:ascii="Times New Roman" w:hAnsi="Times New Roman"/>
          <w:sz w:val="24"/>
          <w:szCs w:val="24"/>
          <w:lang w:val="en-US"/>
        </w:rPr>
      </w:pPr>
      <w:r>
        <w:rPr>
          <w:rFonts w:ascii="Times New Roman" w:hAnsi="Times New Roman"/>
          <w:sz w:val="24"/>
          <w:szCs w:val="24"/>
          <w:lang w:val="en-US"/>
        </w:rPr>
        <w:t>A</w:t>
      </w:r>
      <w:r w:rsidRPr="00081ADA" w:rsidR="005602BB">
        <w:rPr>
          <w:rFonts w:ascii="Times New Roman" w:hAnsi="Times New Roman"/>
          <w:sz w:val="24"/>
          <w:szCs w:val="24"/>
          <w:lang w:val="en-US"/>
        </w:rPr>
        <w:t xml:space="preserve"> </w:t>
      </w:r>
      <w:r w:rsidRPr="00081ADA" w:rsidR="00E05D7A">
        <w:rPr>
          <w:rFonts w:ascii="Times New Roman" w:hAnsi="Times New Roman"/>
          <w:sz w:val="24"/>
          <w:szCs w:val="24"/>
          <w:lang w:val="en-US"/>
        </w:rPr>
        <w:t>subset of participants will be invited to participant in qualitative data collection</w:t>
      </w:r>
      <w:r w:rsidRPr="00081ADA" w:rsidR="00E50519">
        <w:rPr>
          <w:rFonts w:ascii="Times New Roman" w:hAnsi="Times New Roman"/>
          <w:sz w:val="24"/>
          <w:szCs w:val="24"/>
          <w:lang w:val="en-US"/>
        </w:rPr>
        <w:t xml:space="preserve"> </w:t>
      </w:r>
      <w:r w:rsidRPr="00081ADA" w:rsidR="001F270E">
        <w:rPr>
          <w:rFonts w:ascii="Times New Roman" w:hAnsi="Times New Roman"/>
          <w:sz w:val="24"/>
          <w:szCs w:val="24"/>
          <w:lang w:val="en-US"/>
        </w:rPr>
        <w:t>activities</w:t>
      </w:r>
      <w:r w:rsidRPr="00081ADA" w:rsidR="00E05D7A">
        <w:rPr>
          <w:rFonts w:ascii="Times New Roman" w:hAnsi="Times New Roman"/>
          <w:sz w:val="24"/>
          <w:szCs w:val="24"/>
          <w:lang w:val="en-US"/>
        </w:rPr>
        <w:t xml:space="preserve">. </w:t>
      </w:r>
      <w:r w:rsidRPr="00081ADA" w:rsidR="00E768C8">
        <w:rPr>
          <w:rFonts w:ascii="Times New Roman" w:hAnsi="Times New Roman"/>
          <w:sz w:val="24"/>
          <w:szCs w:val="24"/>
          <w:lang w:val="en-US"/>
        </w:rPr>
        <w:t xml:space="preserve">We will conduct focus group discussions </w:t>
      </w:r>
      <w:r w:rsidRPr="00081ADA" w:rsidR="00307EF3">
        <w:rPr>
          <w:rFonts w:ascii="Times New Roman" w:hAnsi="Times New Roman"/>
          <w:sz w:val="24"/>
          <w:szCs w:val="24"/>
          <w:lang w:val="en-US"/>
        </w:rPr>
        <w:t>(</w:t>
      </w:r>
      <w:r w:rsidRPr="00081ADA" w:rsidR="00307EF3">
        <w:rPr>
          <w:rFonts w:ascii="Times New Roman" w:hAnsi="Times New Roman"/>
          <w:b/>
          <w:bCs/>
          <w:sz w:val="24"/>
          <w:szCs w:val="24"/>
          <w:lang w:val="en-US"/>
        </w:rPr>
        <w:t xml:space="preserve">Attachment </w:t>
      </w:r>
      <w:r w:rsidRPr="00081ADA" w:rsidR="00B055D8">
        <w:rPr>
          <w:rFonts w:ascii="Times New Roman" w:hAnsi="Times New Roman"/>
          <w:b/>
          <w:bCs/>
          <w:sz w:val="24"/>
          <w:szCs w:val="24"/>
          <w:lang w:val="en-US"/>
        </w:rPr>
        <w:t>4</w:t>
      </w:r>
      <w:r w:rsidR="003662A2">
        <w:rPr>
          <w:rFonts w:ascii="Times New Roman" w:hAnsi="Times New Roman"/>
          <w:b/>
          <w:bCs/>
          <w:sz w:val="24"/>
          <w:szCs w:val="24"/>
          <w:lang w:val="en-US"/>
        </w:rPr>
        <w:t>g</w:t>
      </w:r>
      <w:r w:rsidRPr="00081ADA" w:rsidR="00B055D8">
        <w:rPr>
          <w:rFonts w:ascii="Times New Roman" w:hAnsi="Times New Roman"/>
          <w:sz w:val="24"/>
          <w:szCs w:val="24"/>
          <w:lang w:val="en-US"/>
        </w:rPr>
        <w:t xml:space="preserve">) </w:t>
      </w:r>
      <w:r w:rsidRPr="00081ADA" w:rsidR="00E768C8">
        <w:rPr>
          <w:rFonts w:ascii="Times New Roman" w:hAnsi="Times New Roman"/>
          <w:sz w:val="24"/>
          <w:szCs w:val="24"/>
          <w:lang w:val="en-US"/>
        </w:rPr>
        <w:t xml:space="preserve">with </w:t>
      </w:r>
      <w:r w:rsidR="00A15EBF">
        <w:rPr>
          <w:rFonts w:ascii="Times New Roman" w:hAnsi="Times New Roman"/>
          <w:sz w:val="24"/>
          <w:szCs w:val="24"/>
          <w:lang w:val="en-US"/>
        </w:rPr>
        <w:t>144</w:t>
      </w:r>
      <w:r w:rsidRPr="00081ADA" w:rsidR="00A15EBF">
        <w:rPr>
          <w:rFonts w:ascii="Times New Roman" w:hAnsi="Times New Roman"/>
          <w:sz w:val="24"/>
          <w:szCs w:val="24"/>
          <w:lang w:val="en-US"/>
        </w:rPr>
        <w:t xml:space="preserve"> </w:t>
      </w:r>
      <w:r w:rsidRPr="00081ADA" w:rsidR="00E768C8">
        <w:rPr>
          <w:rFonts w:ascii="Times New Roman" w:hAnsi="Times New Roman"/>
          <w:sz w:val="24"/>
          <w:szCs w:val="24"/>
          <w:lang w:val="en-US"/>
        </w:rPr>
        <w:t>total participants (</w:t>
      </w:r>
      <w:r w:rsidR="00A15EBF">
        <w:rPr>
          <w:rFonts w:ascii="Times New Roman" w:hAnsi="Times New Roman"/>
          <w:sz w:val="24"/>
          <w:szCs w:val="24"/>
          <w:lang w:val="en-US"/>
        </w:rPr>
        <w:t>48</w:t>
      </w:r>
      <w:r w:rsidRPr="00081ADA" w:rsidR="00A15EBF">
        <w:rPr>
          <w:rFonts w:ascii="Times New Roman" w:hAnsi="Times New Roman"/>
          <w:sz w:val="24"/>
          <w:szCs w:val="24"/>
          <w:lang w:val="en-US"/>
        </w:rPr>
        <w:t xml:space="preserve"> </w:t>
      </w:r>
      <w:r w:rsidRPr="00081ADA" w:rsidR="00E768C8">
        <w:rPr>
          <w:rFonts w:ascii="Times New Roman" w:hAnsi="Times New Roman"/>
          <w:sz w:val="24"/>
          <w:szCs w:val="24"/>
          <w:lang w:val="en-US"/>
        </w:rPr>
        <w:t xml:space="preserve">from each city). </w:t>
      </w:r>
      <w:r w:rsidR="00C56C2B">
        <w:rPr>
          <w:rFonts w:ascii="Times New Roman" w:hAnsi="Times New Roman"/>
          <w:sz w:val="24"/>
          <w:szCs w:val="24"/>
          <w:lang w:val="en-US"/>
        </w:rPr>
        <w:t>S</w:t>
      </w:r>
      <w:r w:rsidRPr="00081ADA" w:rsidR="00E768C8">
        <w:rPr>
          <w:rFonts w:ascii="Times New Roman" w:hAnsi="Times New Roman"/>
          <w:sz w:val="24"/>
          <w:szCs w:val="24"/>
          <w:lang w:val="en-US"/>
        </w:rPr>
        <w:t>mall focus groups</w:t>
      </w:r>
      <w:r w:rsidR="00C45CD7">
        <w:rPr>
          <w:rFonts w:ascii="Times New Roman" w:hAnsi="Times New Roman"/>
          <w:sz w:val="24"/>
          <w:szCs w:val="24"/>
          <w:lang w:val="en-US"/>
        </w:rPr>
        <w:t xml:space="preserve">, </w:t>
      </w:r>
      <w:r w:rsidRPr="00081ADA" w:rsidR="00E768C8">
        <w:rPr>
          <w:rFonts w:ascii="Times New Roman" w:hAnsi="Times New Roman"/>
          <w:sz w:val="24"/>
          <w:szCs w:val="24"/>
          <w:lang w:val="en-US"/>
        </w:rPr>
        <w:t>averaging 8 participants</w:t>
      </w:r>
      <w:r w:rsidR="00C56C2B">
        <w:rPr>
          <w:rFonts w:ascii="Times New Roman" w:hAnsi="Times New Roman"/>
          <w:sz w:val="24"/>
          <w:szCs w:val="24"/>
          <w:lang w:val="en-US"/>
        </w:rPr>
        <w:t>,</w:t>
      </w:r>
      <w:r w:rsidRPr="00081ADA" w:rsidR="00E768C8">
        <w:rPr>
          <w:rFonts w:ascii="Times New Roman" w:hAnsi="Times New Roman"/>
          <w:sz w:val="24"/>
          <w:szCs w:val="24"/>
          <w:lang w:val="en-US"/>
        </w:rPr>
        <w:t xml:space="preserve"> will be conducted </w:t>
      </w:r>
      <w:r w:rsidR="00200035">
        <w:rPr>
          <w:rFonts w:ascii="Times New Roman" w:hAnsi="Times New Roman"/>
          <w:sz w:val="24"/>
          <w:szCs w:val="24"/>
          <w:lang w:val="en-US"/>
        </w:rPr>
        <w:t xml:space="preserve">in person or </w:t>
      </w:r>
      <w:r w:rsidRPr="00081ADA" w:rsidR="00E768C8">
        <w:rPr>
          <w:rFonts w:ascii="Times New Roman" w:hAnsi="Times New Roman"/>
          <w:sz w:val="24"/>
          <w:szCs w:val="24"/>
          <w:lang w:val="en-US"/>
        </w:rPr>
        <w:t xml:space="preserve">via </w:t>
      </w:r>
      <w:r w:rsidR="00AB4C00">
        <w:rPr>
          <w:rFonts w:ascii="Times New Roman" w:hAnsi="Times New Roman"/>
          <w:sz w:val="24"/>
          <w:szCs w:val="24"/>
          <w:lang w:val="en-US"/>
        </w:rPr>
        <w:t xml:space="preserve">a </w:t>
      </w:r>
      <w:r w:rsidR="00C56C2B">
        <w:rPr>
          <w:rFonts w:ascii="Times New Roman" w:hAnsi="Times New Roman"/>
          <w:sz w:val="24"/>
          <w:szCs w:val="24"/>
          <w:lang w:val="en-US"/>
        </w:rPr>
        <w:t>HIPPA</w:t>
      </w:r>
      <w:r w:rsidRPr="00081ADA" w:rsidR="00E768C8">
        <w:rPr>
          <w:rFonts w:ascii="Times New Roman" w:hAnsi="Times New Roman"/>
          <w:sz w:val="24"/>
          <w:szCs w:val="24"/>
          <w:lang w:val="en-US"/>
        </w:rPr>
        <w:t xml:space="preserve">-compliant teleconference </w:t>
      </w:r>
      <w:r w:rsidR="00AB4C00">
        <w:rPr>
          <w:rFonts w:ascii="Times New Roman" w:hAnsi="Times New Roman"/>
          <w:sz w:val="24"/>
          <w:szCs w:val="24"/>
          <w:lang w:val="en-US"/>
        </w:rPr>
        <w:t xml:space="preserve">platform </w:t>
      </w:r>
      <w:r w:rsidR="009B2600">
        <w:rPr>
          <w:rFonts w:ascii="Times New Roman" w:hAnsi="Times New Roman"/>
          <w:sz w:val="24"/>
          <w:szCs w:val="24"/>
          <w:lang w:val="en-US"/>
        </w:rPr>
        <w:t>in three waves, about six months apart</w:t>
      </w:r>
      <w:r w:rsidRPr="00081ADA" w:rsidR="00E768C8">
        <w:rPr>
          <w:rFonts w:ascii="Times New Roman" w:hAnsi="Times New Roman"/>
          <w:sz w:val="24"/>
          <w:szCs w:val="24"/>
          <w:lang w:val="en-US"/>
        </w:rPr>
        <w:t xml:space="preserve">. Participants will be asked to attend </w:t>
      </w:r>
      <w:r w:rsidRPr="00081ADA" w:rsidR="0082706B">
        <w:rPr>
          <w:rFonts w:ascii="Times New Roman" w:hAnsi="Times New Roman"/>
          <w:sz w:val="24"/>
          <w:szCs w:val="24"/>
          <w:lang w:val="en-US"/>
        </w:rPr>
        <w:t xml:space="preserve">only </w:t>
      </w:r>
      <w:r w:rsidRPr="00081ADA" w:rsidR="00E768C8">
        <w:rPr>
          <w:rFonts w:ascii="Times New Roman" w:hAnsi="Times New Roman"/>
          <w:sz w:val="24"/>
          <w:szCs w:val="24"/>
          <w:lang w:val="en-US"/>
        </w:rPr>
        <w:t xml:space="preserve">one of the focus groups. </w:t>
      </w:r>
      <w:r w:rsidRPr="00081ADA" w:rsidR="00E10BDA">
        <w:rPr>
          <w:rFonts w:ascii="Times New Roman" w:hAnsi="Times New Roman"/>
          <w:sz w:val="24"/>
          <w:szCs w:val="24"/>
          <w:lang w:val="en-US"/>
        </w:rPr>
        <w:t xml:space="preserve">Participants will undergo a second consent process </w:t>
      </w:r>
      <w:r w:rsidRPr="00081ADA" w:rsidR="00084D06">
        <w:rPr>
          <w:rFonts w:ascii="Times New Roman" w:hAnsi="Times New Roman"/>
          <w:sz w:val="24"/>
          <w:szCs w:val="24"/>
          <w:lang w:val="en-US"/>
        </w:rPr>
        <w:t>(</w:t>
      </w:r>
      <w:r w:rsidRPr="00081ADA" w:rsidR="00084D06">
        <w:rPr>
          <w:rFonts w:ascii="Times New Roman" w:hAnsi="Times New Roman"/>
          <w:b/>
          <w:bCs/>
          <w:sz w:val="24"/>
          <w:szCs w:val="24"/>
          <w:lang w:val="en-US"/>
        </w:rPr>
        <w:t>Attachment 5</w:t>
      </w:r>
      <w:r w:rsidR="003662A2">
        <w:rPr>
          <w:rFonts w:ascii="Times New Roman" w:hAnsi="Times New Roman"/>
          <w:b/>
          <w:bCs/>
          <w:sz w:val="24"/>
          <w:szCs w:val="24"/>
          <w:lang w:val="en-US"/>
        </w:rPr>
        <w:t>b</w:t>
      </w:r>
      <w:r w:rsidRPr="00081ADA" w:rsidR="00084D06">
        <w:rPr>
          <w:rFonts w:ascii="Times New Roman" w:hAnsi="Times New Roman"/>
          <w:sz w:val="24"/>
          <w:szCs w:val="24"/>
          <w:lang w:val="en-US"/>
        </w:rPr>
        <w:t xml:space="preserve">) prior to attending </w:t>
      </w:r>
      <w:r w:rsidRPr="00081ADA" w:rsidR="00E709BD">
        <w:rPr>
          <w:rFonts w:ascii="Times New Roman" w:hAnsi="Times New Roman"/>
          <w:sz w:val="24"/>
          <w:szCs w:val="24"/>
          <w:lang w:val="en-US"/>
        </w:rPr>
        <w:t xml:space="preserve">the focus group discussion. </w:t>
      </w:r>
      <w:r w:rsidRPr="00081ADA" w:rsidR="00306628">
        <w:rPr>
          <w:rFonts w:ascii="Times New Roman" w:hAnsi="Times New Roman"/>
          <w:sz w:val="24"/>
          <w:szCs w:val="24"/>
          <w:lang w:val="en-US"/>
        </w:rPr>
        <w:t xml:space="preserve">We </w:t>
      </w:r>
      <w:r w:rsidRPr="00081ADA" w:rsidR="00B055D8">
        <w:rPr>
          <w:rFonts w:ascii="Times New Roman" w:hAnsi="Times New Roman"/>
          <w:sz w:val="24"/>
          <w:szCs w:val="24"/>
          <w:lang w:val="en-US"/>
        </w:rPr>
        <w:t xml:space="preserve">also </w:t>
      </w:r>
      <w:r w:rsidRPr="00081ADA" w:rsidR="002F407B">
        <w:rPr>
          <w:rFonts w:ascii="Times New Roman" w:hAnsi="Times New Roman"/>
          <w:sz w:val="24"/>
          <w:szCs w:val="24"/>
          <w:lang w:val="en-US"/>
        </w:rPr>
        <w:t xml:space="preserve">invite </w:t>
      </w:r>
      <w:r w:rsidRPr="00081ADA" w:rsidR="00AA0188">
        <w:rPr>
          <w:rFonts w:ascii="Times New Roman" w:hAnsi="Times New Roman"/>
          <w:sz w:val="24"/>
          <w:szCs w:val="24"/>
          <w:lang w:val="en-US"/>
        </w:rPr>
        <w:t xml:space="preserve">an additional </w:t>
      </w:r>
      <w:r w:rsidR="009B2600">
        <w:rPr>
          <w:rFonts w:ascii="Times New Roman" w:hAnsi="Times New Roman"/>
          <w:sz w:val="24"/>
          <w:szCs w:val="24"/>
          <w:lang w:val="en-US"/>
        </w:rPr>
        <w:t>45</w:t>
      </w:r>
      <w:r w:rsidRPr="00081ADA" w:rsidR="002F407B">
        <w:rPr>
          <w:rFonts w:ascii="Times New Roman" w:hAnsi="Times New Roman"/>
          <w:sz w:val="24"/>
          <w:szCs w:val="24"/>
          <w:lang w:val="en-US"/>
        </w:rPr>
        <w:t xml:space="preserve"> participants</w:t>
      </w:r>
      <w:r w:rsidRPr="00081ADA" w:rsidR="009F61A1">
        <w:rPr>
          <w:rFonts w:ascii="Times New Roman" w:hAnsi="Times New Roman"/>
          <w:sz w:val="24"/>
          <w:szCs w:val="24"/>
          <w:lang w:val="en-US"/>
        </w:rPr>
        <w:t xml:space="preserve"> (1</w:t>
      </w:r>
      <w:r w:rsidR="006C1351">
        <w:rPr>
          <w:rFonts w:ascii="Times New Roman" w:hAnsi="Times New Roman"/>
          <w:sz w:val="24"/>
          <w:szCs w:val="24"/>
          <w:lang w:val="en-US"/>
        </w:rPr>
        <w:t>5</w:t>
      </w:r>
      <w:r w:rsidRPr="00081ADA" w:rsidR="009F61A1">
        <w:rPr>
          <w:rFonts w:ascii="Times New Roman" w:hAnsi="Times New Roman"/>
          <w:sz w:val="24"/>
          <w:szCs w:val="24"/>
          <w:lang w:val="en-US"/>
        </w:rPr>
        <w:t xml:space="preserve"> from each city)</w:t>
      </w:r>
      <w:r w:rsidRPr="00081ADA" w:rsidR="002F407B">
        <w:rPr>
          <w:rFonts w:ascii="Times New Roman" w:hAnsi="Times New Roman"/>
          <w:sz w:val="24"/>
          <w:szCs w:val="24"/>
          <w:lang w:val="en-US"/>
        </w:rPr>
        <w:t xml:space="preserve"> </w:t>
      </w:r>
      <w:r w:rsidRPr="00081ADA" w:rsidR="00AA0188">
        <w:rPr>
          <w:rFonts w:ascii="Times New Roman" w:hAnsi="Times New Roman"/>
          <w:sz w:val="24"/>
          <w:szCs w:val="24"/>
          <w:lang w:val="en-US"/>
        </w:rPr>
        <w:t xml:space="preserve">to </w:t>
      </w:r>
      <w:r w:rsidR="002170E3">
        <w:rPr>
          <w:rFonts w:ascii="Times New Roman" w:hAnsi="Times New Roman"/>
          <w:sz w:val="24"/>
          <w:szCs w:val="24"/>
          <w:lang w:val="en-US"/>
        </w:rPr>
        <w:t>join</w:t>
      </w:r>
      <w:r w:rsidRPr="00081ADA" w:rsidR="002170E3">
        <w:rPr>
          <w:rFonts w:ascii="Times New Roman" w:hAnsi="Times New Roman"/>
          <w:sz w:val="24"/>
          <w:szCs w:val="24"/>
          <w:lang w:val="en-US"/>
        </w:rPr>
        <w:t xml:space="preserve"> </w:t>
      </w:r>
      <w:r w:rsidRPr="00081ADA" w:rsidR="00AA0188">
        <w:rPr>
          <w:rFonts w:ascii="Times New Roman" w:hAnsi="Times New Roman"/>
          <w:sz w:val="24"/>
          <w:szCs w:val="24"/>
          <w:lang w:val="en-US"/>
        </w:rPr>
        <w:t>a</w:t>
      </w:r>
      <w:r w:rsidRPr="00081ADA" w:rsidR="00306628">
        <w:rPr>
          <w:rFonts w:ascii="Times New Roman" w:hAnsi="Times New Roman"/>
          <w:sz w:val="24"/>
          <w:szCs w:val="24"/>
          <w:lang w:val="en-US"/>
        </w:rPr>
        <w:t xml:space="preserve"> series of </w:t>
      </w:r>
      <w:r w:rsidRPr="00081ADA" w:rsidR="002B3680">
        <w:rPr>
          <w:rFonts w:ascii="Times New Roman" w:hAnsi="Times New Roman"/>
          <w:sz w:val="24"/>
          <w:szCs w:val="24"/>
          <w:lang w:val="en-US"/>
        </w:rPr>
        <w:t>three in-depth interviews</w:t>
      </w:r>
      <w:r w:rsidRPr="00081ADA" w:rsidR="00477DFB">
        <w:rPr>
          <w:rFonts w:ascii="Times New Roman" w:hAnsi="Times New Roman"/>
          <w:sz w:val="24"/>
          <w:szCs w:val="24"/>
          <w:lang w:val="en-US"/>
        </w:rPr>
        <w:t xml:space="preserve"> (</w:t>
      </w:r>
      <w:r w:rsidRPr="00081ADA" w:rsidR="00477DFB">
        <w:rPr>
          <w:rFonts w:ascii="Times New Roman" w:hAnsi="Times New Roman"/>
          <w:b/>
          <w:bCs/>
          <w:sz w:val="24"/>
          <w:szCs w:val="24"/>
          <w:lang w:val="en-US"/>
        </w:rPr>
        <w:t>Attachment</w:t>
      </w:r>
      <w:r w:rsidRPr="00081ADA" w:rsidR="009F61A1">
        <w:rPr>
          <w:rFonts w:ascii="Times New Roman" w:hAnsi="Times New Roman"/>
          <w:b/>
          <w:bCs/>
          <w:sz w:val="24"/>
          <w:szCs w:val="24"/>
          <w:lang w:val="en-US"/>
        </w:rPr>
        <w:t xml:space="preserve"> 4</w:t>
      </w:r>
      <w:r w:rsidR="00D41CA0">
        <w:rPr>
          <w:rFonts w:ascii="Times New Roman" w:hAnsi="Times New Roman"/>
          <w:b/>
          <w:bCs/>
          <w:sz w:val="24"/>
          <w:szCs w:val="24"/>
          <w:lang w:val="en-US"/>
        </w:rPr>
        <w:t>h</w:t>
      </w:r>
      <w:r w:rsidRPr="00081ADA" w:rsidR="009F61A1">
        <w:rPr>
          <w:rFonts w:ascii="Times New Roman" w:hAnsi="Times New Roman"/>
          <w:sz w:val="24"/>
          <w:szCs w:val="24"/>
          <w:lang w:val="en-US"/>
        </w:rPr>
        <w:t>)</w:t>
      </w:r>
      <w:r w:rsidRPr="00081ADA" w:rsidR="00726B2C">
        <w:rPr>
          <w:rFonts w:ascii="Times New Roman" w:hAnsi="Times New Roman"/>
          <w:sz w:val="24"/>
          <w:szCs w:val="24"/>
          <w:lang w:val="en-US"/>
        </w:rPr>
        <w:t xml:space="preserve"> occurring at </w:t>
      </w:r>
      <w:r w:rsidRPr="00081ADA">
        <w:rPr>
          <w:rFonts w:ascii="Times New Roman" w:hAnsi="Times New Roman"/>
          <w:sz w:val="24"/>
          <w:szCs w:val="24"/>
          <w:lang w:val="en-US"/>
        </w:rPr>
        <w:t>six-month</w:t>
      </w:r>
      <w:r w:rsidRPr="00081ADA" w:rsidR="00726B2C">
        <w:rPr>
          <w:rFonts w:ascii="Times New Roman" w:hAnsi="Times New Roman"/>
          <w:sz w:val="24"/>
          <w:szCs w:val="24"/>
          <w:lang w:val="en-US"/>
        </w:rPr>
        <w:t xml:space="preserve"> intervals</w:t>
      </w:r>
      <w:r w:rsidRPr="00081ADA" w:rsidR="00FE52D1">
        <w:rPr>
          <w:rFonts w:ascii="Times New Roman" w:hAnsi="Times New Roman"/>
          <w:sz w:val="24"/>
          <w:szCs w:val="24"/>
          <w:lang w:val="en-US"/>
        </w:rPr>
        <w:t>. Participants will undergo a second consent process (</w:t>
      </w:r>
      <w:r w:rsidRPr="00081ADA" w:rsidR="00FE52D1">
        <w:rPr>
          <w:rFonts w:ascii="Times New Roman" w:hAnsi="Times New Roman"/>
          <w:b/>
          <w:bCs/>
          <w:sz w:val="24"/>
          <w:szCs w:val="24"/>
          <w:lang w:val="en-US"/>
        </w:rPr>
        <w:t xml:space="preserve">Attachment </w:t>
      </w:r>
      <w:r w:rsidRPr="00081ADA" w:rsidR="00E56B3C">
        <w:rPr>
          <w:rFonts w:ascii="Times New Roman" w:hAnsi="Times New Roman"/>
          <w:b/>
          <w:bCs/>
          <w:sz w:val="24"/>
          <w:szCs w:val="24"/>
          <w:lang w:val="en-US"/>
        </w:rPr>
        <w:t>5</w:t>
      </w:r>
      <w:r w:rsidR="00D41CA0">
        <w:rPr>
          <w:rFonts w:ascii="Times New Roman" w:hAnsi="Times New Roman"/>
          <w:b/>
          <w:bCs/>
          <w:sz w:val="24"/>
          <w:szCs w:val="24"/>
          <w:lang w:val="en-US"/>
        </w:rPr>
        <w:t>c</w:t>
      </w:r>
      <w:r w:rsidRPr="00081ADA" w:rsidR="00E56B3C">
        <w:rPr>
          <w:rFonts w:ascii="Times New Roman" w:hAnsi="Times New Roman"/>
          <w:sz w:val="24"/>
          <w:szCs w:val="24"/>
          <w:lang w:val="en-US"/>
        </w:rPr>
        <w:t xml:space="preserve">) prior to the interview. Interviews will be delivered </w:t>
      </w:r>
      <w:r w:rsidR="00200035">
        <w:rPr>
          <w:rFonts w:ascii="Times New Roman" w:hAnsi="Times New Roman"/>
          <w:sz w:val="24"/>
          <w:szCs w:val="24"/>
          <w:lang w:val="en-US"/>
        </w:rPr>
        <w:t xml:space="preserve">in person or </w:t>
      </w:r>
      <w:r w:rsidRPr="00081ADA" w:rsidR="002B3680">
        <w:rPr>
          <w:rFonts w:ascii="Times New Roman" w:hAnsi="Times New Roman"/>
          <w:sz w:val="24"/>
          <w:szCs w:val="24"/>
          <w:lang w:val="en-US"/>
        </w:rPr>
        <w:t xml:space="preserve">via </w:t>
      </w:r>
      <w:r w:rsidR="00AB4C00">
        <w:rPr>
          <w:rFonts w:ascii="Times New Roman" w:hAnsi="Times New Roman"/>
          <w:sz w:val="24"/>
          <w:szCs w:val="24"/>
          <w:lang w:val="en-US"/>
        </w:rPr>
        <w:t xml:space="preserve">a </w:t>
      </w:r>
      <w:r w:rsidRPr="00081ADA" w:rsidR="008E594E">
        <w:rPr>
          <w:rFonts w:ascii="Times New Roman" w:hAnsi="Times New Roman"/>
          <w:sz w:val="24"/>
          <w:szCs w:val="24"/>
          <w:lang w:val="en-US"/>
        </w:rPr>
        <w:t>HIPPA-compliant teleconferenc</w:t>
      </w:r>
      <w:r w:rsidRPr="00081ADA" w:rsidR="00CC74C6">
        <w:rPr>
          <w:rFonts w:ascii="Times New Roman" w:hAnsi="Times New Roman"/>
          <w:sz w:val="24"/>
          <w:szCs w:val="24"/>
          <w:lang w:val="en-US"/>
        </w:rPr>
        <w:t>e</w:t>
      </w:r>
      <w:r w:rsidR="00AB4C00">
        <w:rPr>
          <w:rFonts w:ascii="Times New Roman" w:hAnsi="Times New Roman"/>
          <w:sz w:val="24"/>
          <w:szCs w:val="24"/>
          <w:lang w:val="en-US"/>
        </w:rPr>
        <w:t xml:space="preserve"> platform</w:t>
      </w:r>
      <w:r w:rsidRPr="00081ADA" w:rsidR="009F61A1">
        <w:rPr>
          <w:rFonts w:ascii="Times New Roman" w:hAnsi="Times New Roman"/>
          <w:sz w:val="24"/>
          <w:szCs w:val="24"/>
          <w:lang w:val="en-US"/>
        </w:rPr>
        <w:t xml:space="preserve">. </w:t>
      </w:r>
      <w:r w:rsidRPr="00081ADA" w:rsidR="00624980">
        <w:rPr>
          <w:rFonts w:ascii="Times New Roman" w:hAnsi="Times New Roman"/>
          <w:sz w:val="24"/>
          <w:szCs w:val="24"/>
          <w:lang w:val="en-US"/>
        </w:rPr>
        <w:t xml:space="preserve">The aims of the </w:t>
      </w:r>
      <w:r w:rsidRPr="00081ADA" w:rsidR="00F3719F">
        <w:rPr>
          <w:rFonts w:ascii="Times New Roman" w:hAnsi="Times New Roman"/>
          <w:sz w:val="24"/>
          <w:szCs w:val="24"/>
          <w:lang w:val="en-US"/>
        </w:rPr>
        <w:t>qualitative data collection</w:t>
      </w:r>
      <w:r w:rsidR="00200035">
        <w:rPr>
          <w:rFonts w:ascii="Times New Roman" w:hAnsi="Times New Roman"/>
          <w:sz w:val="24"/>
          <w:szCs w:val="24"/>
          <w:lang w:val="en-US"/>
        </w:rPr>
        <w:t>s</w:t>
      </w:r>
      <w:r w:rsidRPr="00081ADA" w:rsidR="00F3719F">
        <w:rPr>
          <w:rFonts w:ascii="Times New Roman" w:hAnsi="Times New Roman"/>
          <w:sz w:val="24"/>
          <w:szCs w:val="24"/>
          <w:lang w:val="en-US"/>
        </w:rPr>
        <w:t xml:space="preserve"> </w:t>
      </w:r>
      <w:r w:rsidRPr="00081ADA" w:rsidR="00624980">
        <w:rPr>
          <w:rFonts w:ascii="Times New Roman" w:hAnsi="Times New Roman"/>
          <w:sz w:val="24"/>
          <w:szCs w:val="24"/>
          <w:lang w:val="en-US"/>
        </w:rPr>
        <w:t xml:space="preserve">are to understand men’s experience of PrEP, </w:t>
      </w:r>
      <w:r w:rsidRPr="00081ADA" w:rsidR="00F3719F">
        <w:rPr>
          <w:rFonts w:ascii="Times New Roman" w:hAnsi="Times New Roman"/>
          <w:sz w:val="24"/>
          <w:szCs w:val="24"/>
          <w:lang w:val="en-US"/>
        </w:rPr>
        <w:t xml:space="preserve">further </w:t>
      </w:r>
      <w:r w:rsidRPr="00081ADA" w:rsidR="00624980">
        <w:rPr>
          <w:rFonts w:ascii="Times New Roman" w:hAnsi="Times New Roman"/>
          <w:sz w:val="24"/>
          <w:szCs w:val="24"/>
          <w:lang w:val="en-US"/>
        </w:rPr>
        <w:t xml:space="preserve">explore their preferences for PrEP and other HIV prevention products, and to </w:t>
      </w:r>
      <w:r w:rsidR="00200035">
        <w:rPr>
          <w:rFonts w:ascii="Times New Roman" w:hAnsi="Times New Roman"/>
          <w:sz w:val="24"/>
          <w:szCs w:val="24"/>
          <w:lang w:val="en-US"/>
        </w:rPr>
        <w:t>evaluate</w:t>
      </w:r>
      <w:r w:rsidRPr="00081ADA" w:rsidR="00624980">
        <w:rPr>
          <w:rFonts w:ascii="Times New Roman" w:hAnsi="Times New Roman"/>
          <w:sz w:val="24"/>
          <w:szCs w:val="24"/>
          <w:lang w:val="en-US"/>
        </w:rPr>
        <w:t xml:space="preserve"> their reactions to prevention messages developed </w:t>
      </w:r>
      <w:r w:rsidRPr="00081ADA" w:rsidR="00F3719F">
        <w:rPr>
          <w:rFonts w:ascii="Times New Roman" w:hAnsi="Times New Roman"/>
          <w:sz w:val="24"/>
          <w:szCs w:val="24"/>
          <w:lang w:val="en-US"/>
        </w:rPr>
        <w:t>during the study</w:t>
      </w:r>
      <w:r w:rsidRPr="00081ADA" w:rsidR="00624980">
        <w:rPr>
          <w:rFonts w:ascii="Times New Roman" w:hAnsi="Times New Roman"/>
          <w:sz w:val="24"/>
          <w:szCs w:val="24"/>
          <w:lang w:val="en-US"/>
        </w:rPr>
        <w:t>.</w:t>
      </w:r>
    </w:p>
    <w:p w:rsidR="00E2269C" w:rsidP="002C5246" w14:paraId="138555F9" w14:textId="51481AC7">
      <w:pPr>
        <w:pStyle w:val="ListParagraph"/>
        <w:spacing w:after="0" w:line="240" w:lineRule="auto"/>
        <w:ind w:left="0"/>
        <w:contextualSpacing w:val="0"/>
        <w:rPr>
          <w:rFonts w:ascii="Times New Roman" w:hAnsi="Times New Roman"/>
          <w:sz w:val="24"/>
          <w:szCs w:val="24"/>
        </w:rPr>
      </w:pPr>
    </w:p>
    <w:p w:rsidR="004D2F2D" w:rsidRPr="00832529" w:rsidP="004D2F2D" w14:paraId="18FE1187" w14:textId="4AE38434">
      <w:pPr>
        <w:spacing w:line="259" w:lineRule="auto"/>
        <w:rPr>
          <w:rFonts w:asciiTheme="minorHAnsi" w:eastAsiaTheme="minorHAnsi" w:hAnsiTheme="minorHAnsi" w:cstheme="minorBidi"/>
          <w:b/>
          <w:bCs/>
          <w:color w:val="000000" w:themeColor="text1"/>
          <w:szCs w:val="24"/>
        </w:rPr>
      </w:pPr>
      <w:bookmarkStart w:id="9" w:name="Exhibit21"/>
      <w:bookmarkEnd w:id="9"/>
      <w:r>
        <w:rPr>
          <w:rFonts w:asciiTheme="minorHAnsi" w:eastAsiaTheme="minorHAnsi" w:hAnsiTheme="minorHAnsi" w:cstheme="minorBidi"/>
          <w:b/>
          <w:bCs/>
          <w:color w:val="000000" w:themeColor="text1"/>
          <w:szCs w:val="24"/>
        </w:rPr>
        <w:t>Exhibit</w:t>
      </w:r>
      <w:r w:rsidRPr="00832529">
        <w:rPr>
          <w:rFonts w:asciiTheme="minorHAnsi" w:eastAsiaTheme="minorHAnsi" w:hAnsiTheme="minorHAnsi" w:cstheme="minorBidi"/>
          <w:b/>
          <w:bCs/>
          <w:color w:val="000000" w:themeColor="text1"/>
          <w:szCs w:val="24"/>
        </w:rPr>
        <w:t xml:space="preserve"> 2.1 </w:t>
      </w:r>
      <w:bookmarkStart w:id="10" w:name="_Hlk132727875"/>
      <w:r w:rsidRPr="00832529">
        <w:rPr>
          <w:rFonts w:asciiTheme="minorHAnsi" w:eastAsiaTheme="minorHAnsi" w:hAnsiTheme="minorHAnsi" w:cstheme="minorBidi"/>
          <w:b/>
          <w:bCs/>
          <w:color w:val="000000" w:themeColor="text1"/>
          <w:szCs w:val="24"/>
        </w:rPr>
        <w:t xml:space="preserve">Timeline of study visits, activities, and </w:t>
      </w:r>
      <w:bookmarkEnd w:id="10"/>
      <w:r w:rsidRPr="00832529" w:rsidR="00475700">
        <w:rPr>
          <w:rFonts w:asciiTheme="minorHAnsi" w:eastAsiaTheme="minorHAnsi" w:hAnsiTheme="minorHAnsi" w:cstheme="minorBidi"/>
          <w:b/>
          <w:bCs/>
          <w:color w:val="000000" w:themeColor="text1"/>
          <w:szCs w:val="24"/>
        </w:rPr>
        <w:t>labs.</w:t>
      </w:r>
    </w:p>
    <w:tbl>
      <w:tblPr>
        <w:tblStyle w:val="TableGrid1"/>
        <w:tblW w:w="0" w:type="auto"/>
        <w:tblInd w:w="0" w:type="dxa"/>
        <w:tblLayout w:type="fixed"/>
        <w:tblLook w:val="04A0"/>
      </w:tblPr>
      <w:tblGrid>
        <w:gridCol w:w="1465"/>
        <w:gridCol w:w="987"/>
        <w:gridCol w:w="987"/>
        <w:gridCol w:w="987"/>
        <w:gridCol w:w="987"/>
        <w:gridCol w:w="987"/>
        <w:gridCol w:w="987"/>
        <w:gridCol w:w="987"/>
        <w:gridCol w:w="987"/>
      </w:tblGrid>
      <w:tr w14:paraId="3CBB14BC" w14:textId="77777777" w:rsidTr="00BD3FB0">
        <w:tblPrEx>
          <w:tblW w:w="0" w:type="auto"/>
          <w:tblInd w:w="0" w:type="dxa"/>
          <w:tblLayout w:type="fixed"/>
          <w:tblLook w:val="04A0"/>
        </w:tblPrEx>
        <w:tc>
          <w:tcPr>
            <w:tcW w:w="9361" w:type="dxa"/>
            <w:gridSpan w:val="9"/>
            <w:tcBorders>
              <w:top w:val="single" w:sz="8" w:space="0" w:color="auto"/>
              <w:left w:val="single" w:sz="8" w:space="0" w:color="auto"/>
              <w:bottom w:val="single" w:sz="8" w:space="0" w:color="auto"/>
              <w:right w:val="single" w:sz="8" w:space="0" w:color="auto"/>
            </w:tcBorders>
          </w:tcPr>
          <w:p w:rsidR="004D2F2D" w:rsidRPr="004D2F2D" w:rsidP="004D2F2D" w14:paraId="65F32ABA" w14:textId="77777777">
            <w:pPr>
              <w:jc w:val="center"/>
              <w:rPr>
                <w:rFonts w:ascii="Calibri" w:eastAsia="Calibri" w:hAnsi="Calibri" w:cs="Calibri"/>
                <w:sz w:val="22"/>
                <w:szCs w:val="22"/>
              </w:rPr>
            </w:pPr>
            <w:r w:rsidRPr="004D2F2D">
              <w:rPr>
                <w:rFonts w:ascii="Calibri" w:eastAsia="Calibri" w:hAnsi="Calibri" w:cs="Calibri"/>
                <w:sz w:val="22"/>
                <w:szCs w:val="22"/>
              </w:rPr>
              <w:t>Touch points for study participants in quarterly intervals (24-months total)</w:t>
            </w:r>
          </w:p>
        </w:tc>
      </w:tr>
      <w:tr w14:paraId="242C44FB" w14:textId="77777777" w:rsidTr="00BD3FB0">
        <w:tblPrEx>
          <w:tblW w:w="0" w:type="auto"/>
          <w:tblInd w:w="0" w:type="dxa"/>
          <w:tblLayout w:type="fixed"/>
          <w:tblLook w:val="04A0"/>
        </w:tblPrEx>
        <w:tc>
          <w:tcPr>
            <w:tcW w:w="1465" w:type="dxa"/>
            <w:tcBorders>
              <w:top w:val="single" w:sz="8" w:space="0" w:color="auto"/>
              <w:left w:val="single" w:sz="8" w:space="0" w:color="auto"/>
              <w:bottom w:val="single" w:sz="8" w:space="0" w:color="auto"/>
              <w:right w:val="single" w:sz="8" w:space="0" w:color="auto"/>
            </w:tcBorders>
          </w:tcPr>
          <w:p w:rsidR="004D2F2D" w:rsidRPr="004D2F2D" w:rsidP="004D2F2D" w14:paraId="7017511A" w14:textId="77777777">
            <w:pPr>
              <w:jc w:val="center"/>
              <w:rPr>
                <w:rFonts w:ascii="Calibri" w:eastAsia="Calibri" w:hAnsi="Calibri" w:cs="Calibri"/>
                <w:sz w:val="22"/>
                <w:szCs w:val="22"/>
              </w:rPr>
            </w:pPr>
            <w:r w:rsidRPr="004D2F2D">
              <w:rPr>
                <w:rFonts w:ascii="Calibri" w:eastAsia="Calibri" w:hAnsi="Calibri" w:cs="Calibri"/>
                <w:sz w:val="22"/>
                <w:szCs w:val="22"/>
              </w:rPr>
              <w:t xml:space="preserve"> </w:t>
            </w:r>
          </w:p>
        </w:tc>
        <w:tc>
          <w:tcPr>
            <w:tcW w:w="987" w:type="dxa"/>
            <w:tcBorders>
              <w:top w:val="nil"/>
              <w:left w:val="single" w:sz="8" w:space="0" w:color="auto"/>
              <w:bottom w:val="single" w:sz="8" w:space="0" w:color="auto"/>
              <w:right w:val="single" w:sz="8" w:space="0" w:color="auto"/>
            </w:tcBorders>
          </w:tcPr>
          <w:p w:rsidR="004D2F2D" w:rsidRPr="004D2F2D" w:rsidP="004D2F2D" w14:paraId="498F465C" w14:textId="77777777">
            <w:pPr>
              <w:jc w:val="center"/>
              <w:rPr>
                <w:rFonts w:ascii="Calibri" w:eastAsia="Calibri" w:hAnsi="Calibri" w:cs="Calibri"/>
                <w:sz w:val="22"/>
                <w:szCs w:val="22"/>
                <w:vertAlign w:val="superscript"/>
              </w:rPr>
            </w:pPr>
            <w:r w:rsidRPr="004D2F2D">
              <w:rPr>
                <w:rFonts w:ascii="Calibri" w:eastAsia="Calibri" w:hAnsi="Calibri" w:cs="Calibri"/>
                <w:sz w:val="22"/>
                <w:szCs w:val="22"/>
              </w:rPr>
              <w:t>1</w:t>
            </w:r>
            <w:r w:rsidRPr="004D2F2D">
              <w:rPr>
                <w:rFonts w:ascii="Calibri" w:eastAsia="Calibri" w:hAnsi="Calibri" w:cs="Calibri"/>
                <w:sz w:val="22"/>
                <w:szCs w:val="22"/>
                <w:vertAlign w:val="superscript"/>
              </w:rPr>
              <w:t>st</w:t>
            </w:r>
          </w:p>
        </w:tc>
        <w:tc>
          <w:tcPr>
            <w:tcW w:w="987" w:type="dxa"/>
            <w:tcBorders>
              <w:top w:val="nil"/>
              <w:left w:val="single" w:sz="8" w:space="0" w:color="auto"/>
              <w:bottom w:val="single" w:sz="8" w:space="0" w:color="auto"/>
              <w:right w:val="single" w:sz="8" w:space="0" w:color="auto"/>
            </w:tcBorders>
          </w:tcPr>
          <w:p w:rsidR="004D2F2D" w:rsidRPr="004D2F2D" w:rsidP="004D2F2D" w14:paraId="188B1143" w14:textId="77777777">
            <w:pPr>
              <w:jc w:val="center"/>
              <w:rPr>
                <w:rFonts w:ascii="Calibri" w:eastAsia="Calibri" w:hAnsi="Calibri" w:cs="Calibri"/>
                <w:sz w:val="22"/>
                <w:szCs w:val="22"/>
                <w:vertAlign w:val="superscript"/>
              </w:rPr>
            </w:pPr>
            <w:r w:rsidRPr="004D2F2D">
              <w:rPr>
                <w:rFonts w:ascii="Calibri" w:eastAsia="Calibri" w:hAnsi="Calibri" w:cs="Calibri"/>
                <w:sz w:val="22"/>
                <w:szCs w:val="22"/>
              </w:rPr>
              <w:t>2</w:t>
            </w:r>
            <w:r w:rsidRPr="004D2F2D">
              <w:rPr>
                <w:rFonts w:ascii="Calibri" w:eastAsia="Calibri" w:hAnsi="Calibri" w:cs="Calibri"/>
                <w:sz w:val="22"/>
                <w:szCs w:val="22"/>
                <w:vertAlign w:val="superscript"/>
              </w:rPr>
              <w:t>nd</w:t>
            </w:r>
          </w:p>
        </w:tc>
        <w:tc>
          <w:tcPr>
            <w:tcW w:w="987" w:type="dxa"/>
            <w:tcBorders>
              <w:top w:val="nil"/>
              <w:left w:val="single" w:sz="8" w:space="0" w:color="auto"/>
              <w:bottom w:val="single" w:sz="8" w:space="0" w:color="auto"/>
              <w:right w:val="single" w:sz="8" w:space="0" w:color="auto"/>
            </w:tcBorders>
          </w:tcPr>
          <w:p w:rsidR="004D2F2D" w:rsidRPr="004D2F2D" w:rsidP="004D2F2D" w14:paraId="2A220903" w14:textId="77777777">
            <w:pPr>
              <w:jc w:val="center"/>
              <w:rPr>
                <w:rFonts w:ascii="Calibri" w:eastAsia="Calibri" w:hAnsi="Calibri" w:cs="Calibri"/>
                <w:sz w:val="22"/>
                <w:szCs w:val="22"/>
                <w:vertAlign w:val="superscript"/>
              </w:rPr>
            </w:pPr>
            <w:r w:rsidRPr="004D2F2D">
              <w:rPr>
                <w:rFonts w:ascii="Calibri" w:eastAsia="Calibri" w:hAnsi="Calibri" w:cs="Calibri"/>
                <w:sz w:val="22"/>
                <w:szCs w:val="22"/>
              </w:rPr>
              <w:t>3</w:t>
            </w:r>
            <w:r w:rsidRPr="004D2F2D">
              <w:rPr>
                <w:rFonts w:ascii="Calibri" w:eastAsia="Calibri" w:hAnsi="Calibri" w:cs="Calibri"/>
                <w:sz w:val="22"/>
                <w:szCs w:val="22"/>
                <w:vertAlign w:val="superscript"/>
              </w:rPr>
              <w:t>rd</w:t>
            </w:r>
          </w:p>
        </w:tc>
        <w:tc>
          <w:tcPr>
            <w:tcW w:w="987" w:type="dxa"/>
            <w:tcBorders>
              <w:top w:val="nil"/>
              <w:left w:val="single" w:sz="8" w:space="0" w:color="auto"/>
              <w:bottom w:val="single" w:sz="8" w:space="0" w:color="auto"/>
              <w:right w:val="single" w:sz="8" w:space="0" w:color="auto"/>
            </w:tcBorders>
          </w:tcPr>
          <w:p w:rsidR="004D2F2D" w:rsidRPr="004D2F2D" w:rsidP="004D2F2D" w14:paraId="76C0917A" w14:textId="77777777">
            <w:pPr>
              <w:jc w:val="center"/>
              <w:rPr>
                <w:rFonts w:ascii="Calibri" w:eastAsia="Calibri" w:hAnsi="Calibri" w:cs="Calibri"/>
                <w:sz w:val="22"/>
                <w:szCs w:val="22"/>
                <w:vertAlign w:val="superscript"/>
              </w:rPr>
            </w:pPr>
            <w:r w:rsidRPr="004D2F2D">
              <w:rPr>
                <w:rFonts w:ascii="Calibri" w:eastAsia="Calibri" w:hAnsi="Calibri" w:cs="Calibri"/>
                <w:sz w:val="22"/>
                <w:szCs w:val="22"/>
              </w:rPr>
              <w:t>4</w:t>
            </w:r>
            <w:r w:rsidRPr="004D2F2D">
              <w:rPr>
                <w:rFonts w:ascii="Calibri" w:eastAsia="Calibri" w:hAnsi="Calibri" w:cs="Calibri"/>
                <w:sz w:val="22"/>
                <w:szCs w:val="22"/>
                <w:vertAlign w:val="superscript"/>
              </w:rPr>
              <w:t>th</w:t>
            </w:r>
          </w:p>
        </w:tc>
        <w:tc>
          <w:tcPr>
            <w:tcW w:w="987" w:type="dxa"/>
            <w:tcBorders>
              <w:top w:val="nil"/>
              <w:left w:val="single" w:sz="8" w:space="0" w:color="auto"/>
              <w:bottom w:val="single" w:sz="8" w:space="0" w:color="auto"/>
              <w:right w:val="single" w:sz="8" w:space="0" w:color="auto"/>
            </w:tcBorders>
          </w:tcPr>
          <w:p w:rsidR="004D2F2D" w:rsidRPr="004D2F2D" w:rsidP="004D2F2D" w14:paraId="5499E9E8" w14:textId="77777777">
            <w:pPr>
              <w:jc w:val="center"/>
              <w:rPr>
                <w:rFonts w:ascii="Calibri" w:eastAsia="Calibri" w:hAnsi="Calibri" w:cs="Calibri"/>
                <w:sz w:val="22"/>
                <w:szCs w:val="22"/>
                <w:vertAlign w:val="superscript"/>
              </w:rPr>
            </w:pPr>
            <w:r w:rsidRPr="004D2F2D">
              <w:rPr>
                <w:rFonts w:ascii="Calibri" w:eastAsia="Calibri" w:hAnsi="Calibri" w:cs="Calibri"/>
                <w:sz w:val="22"/>
                <w:szCs w:val="22"/>
              </w:rPr>
              <w:t>5</w:t>
            </w:r>
            <w:r w:rsidRPr="004D2F2D">
              <w:rPr>
                <w:rFonts w:ascii="Calibri" w:eastAsia="Calibri" w:hAnsi="Calibri" w:cs="Calibri"/>
                <w:sz w:val="22"/>
                <w:szCs w:val="22"/>
                <w:vertAlign w:val="superscript"/>
              </w:rPr>
              <w:t>th</w:t>
            </w:r>
          </w:p>
        </w:tc>
        <w:tc>
          <w:tcPr>
            <w:tcW w:w="987" w:type="dxa"/>
            <w:tcBorders>
              <w:top w:val="nil"/>
              <w:left w:val="single" w:sz="8" w:space="0" w:color="auto"/>
              <w:bottom w:val="single" w:sz="8" w:space="0" w:color="auto"/>
              <w:right w:val="single" w:sz="8" w:space="0" w:color="auto"/>
            </w:tcBorders>
          </w:tcPr>
          <w:p w:rsidR="004D2F2D" w:rsidRPr="004D2F2D" w:rsidP="004D2F2D" w14:paraId="2FAF5B66" w14:textId="77777777">
            <w:pPr>
              <w:jc w:val="center"/>
              <w:rPr>
                <w:rFonts w:ascii="Calibri" w:eastAsia="Calibri" w:hAnsi="Calibri" w:cs="Calibri"/>
                <w:sz w:val="22"/>
                <w:szCs w:val="22"/>
                <w:vertAlign w:val="superscript"/>
              </w:rPr>
            </w:pPr>
            <w:r w:rsidRPr="004D2F2D">
              <w:rPr>
                <w:rFonts w:ascii="Calibri" w:eastAsia="Calibri" w:hAnsi="Calibri" w:cs="Calibri"/>
                <w:sz w:val="22"/>
                <w:szCs w:val="22"/>
              </w:rPr>
              <w:t>6</w:t>
            </w:r>
            <w:r w:rsidRPr="004D2F2D">
              <w:rPr>
                <w:rFonts w:ascii="Calibri" w:eastAsia="Calibri" w:hAnsi="Calibri" w:cs="Calibri"/>
                <w:sz w:val="22"/>
                <w:szCs w:val="22"/>
                <w:vertAlign w:val="superscript"/>
              </w:rPr>
              <w:t>th</w:t>
            </w:r>
          </w:p>
        </w:tc>
        <w:tc>
          <w:tcPr>
            <w:tcW w:w="987" w:type="dxa"/>
            <w:tcBorders>
              <w:top w:val="nil"/>
              <w:left w:val="single" w:sz="8" w:space="0" w:color="auto"/>
              <w:bottom w:val="single" w:sz="8" w:space="0" w:color="auto"/>
              <w:right w:val="single" w:sz="8" w:space="0" w:color="auto"/>
            </w:tcBorders>
          </w:tcPr>
          <w:p w:rsidR="004D2F2D" w:rsidRPr="004D2F2D" w:rsidP="004D2F2D" w14:paraId="75522407" w14:textId="77777777">
            <w:pPr>
              <w:jc w:val="center"/>
              <w:rPr>
                <w:rFonts w:ascii="Calibri" w:eastAsia="Calibri" w:hAnsi="Calibri" w:cs="Calibri"/>
                <w:sz w:val="22"/>
                <w:szCs w:val="22"/>
                <w:vertAlign w:val="superscript"/>
              </w:rPr>
            </w:pPr>
            <w:r w:rsidRPr="004D2F2D">
              <w:rPr>
                <w:rFonts w:ascii="Calibri" w:eastAsia="Calibri" w:hAnsi="Calibri" w:cs="Calibri"/>
                <w:sz w:val="22"/>
                <w:szCs w:val="22"/>
              </w:rPr>
              <w:t>7</w:t>
            </w:r>
            <w:r w:rsidRPr="004D2F2D">
              <w:rPr>
                <w:rFonts w:ascii="Calibri" w:eastAsia="Calibri" w:hAnsi="Calibri" w:cs="Calibri"/>
                <w:sz w:val="22"/>
                <w:szCs w:val="22"/>
                <w:vertAlign w:val="superscript"/>
              </w:rPr>
              <w:t>th</w:t>
            </w:r>
          </w:p>
        </w:tc>
        <w:tc>
          <w:tcPr>
            <w:tcW w:w="987" w:type="dxa"/>
            <w:tcBorders>
              <w:top w:val="nil"/>
              <w:left w:val="single" w:sz="8" w:space="0" w:color="auto"/>
              <w:bottom w:val="single" w:sz="8" w:space="0" w:color="auto"/>
              <w:right w:val="single" w:sz="8" w:space="0" w:color="auto"/>
            </w:tcBorders>
          </w:tcPr>
          <w:p w:rsidR="004D2F2D" w:rsidRPr="004D2F2D" w:rsidP="004D2F2D" w14:paraId="6B3D27C9" w14:textId="77777777">
            <w:pPr>
              <w:jc w:val="center"/>
              <w:rPr>
                <w:rFonts w:ascii="Calibri" w:eastAsia="Calibri" w:hAnsi="Calibri" w:cs="Calibri"/>
                <w:sz w:val="22"/>
                <w:szCs w:val="22"/>
                <w:vertAlign w:val="superscript"/>
              </w:rPr>
            </w:pPr>
            <w:r w:rsidRPr="004D2F2D">
              <w:rPr>
                <w:rFonts w:ascii="Calibri" w:eastAsia="Calibri" w:hAnsi="Calibri" w:cs="Calibri"/>
                <w:sz w:val="22"/>
                <w:szCs w:val="22"/>
              </w:rPr>
              <w:t>8</w:t>
            </w:r>
            <w:r w:rsidRPr="004D2F2D">
              <w:rPr>
                <w:rFonts w:ascii="Calibri" w:eastAsia="Calibri" w:hAnsi="Calibri" w:cs="Calibri"/>
                <w:sz w:val="22"/>
                <w:szCs w:val="22"/>
                <w:vertAlign w:val="superscript"/>
              </w:rPr>
              <w:t>th</w:t>
            </w:r>
          </w:p>
        </w:tc>
      </w:tr>
      <w:tr w14:paraId="79EB4D42" w14:textId="77777777" w:rsidTr="00BD3FB0">
        <w:tblPrEx>
          <w:tblW w:w="0" w:type="auto"/>
          <w:tblInd w:w="0" w:type="dxa"/>
          <w:tblLayout w:type="fixed"/>
          <w:tblLook w:val="04A0"/>
        </w:tblPrEx>
        <w:tc>
          <w:tcPr>
            <w:tcW w:w="1465" w:type="dxa"/>
            <w:tcBorders>
              <w:top w:val="single" w:sz="8" w:space="0" w:color="auto"/>
              <w:left w:val="single" w:sz="8" w:space="0" w:color="auto"/>
              <w:bottom w:val="single" w:sz="8" w:space="0" w:color="auto"/>
              <w:right w:val="single" w:sz="8" w:space="0" w:color="auto"/>
            </w:tcBorders>
          </w:tcPr>
          <w:p w:rsidR="004D2F2D" w:rsidRPr="004D2F2D" w:rsidP="004D2F2D" w14:paraId="515F0782" w14:textId="01A1777C">
            <w:pPr>
              <w:jc w:val="center"/>
              <w:rPr>
                <w:rFonts w:ascii="Calibri" w:eastAsia="Calibri" w:hAnsi="Calibri" w:cs="Calibri"/>
                <w:sz w:val="22"/>
                <w:szCs w:val="22"/>
              </w:rPr>
            </w:pPr>
            <w:r w:rsidRPr="004D2F2D">
              <w:rPr>
                <w:rFonts w:ascii="Calibri" w:eastAsia="Calibri" w:hAnsi="Calibri" w:cs="Calibri"/>
                <w:sz w:val="22"/>
                <w:szCs w:val="22"/>
              </w:rPr>
              <w:t xml:space="preserve">Quantitative </w:t>
            </w:r>
            <w:r w:rsidR="000B7FE2">
              <w:rPr>
                <w:rFonts w:ascii="Calibri" w:eastAsia="Calibri" w:hAnsi="Calibri" w:cs="Calibri"/>
                <w:sz w:val="22"/>
                <w:szCs w:val="22"/>
              </w:rPr>
              <w:t>Assessment</w:t>
            </w:r>
          </w:p>
        </w:tc>
        <w:tc>
          <w:tcPr>
            <w:tcW w:w="987" w:type="dxa"/>
            <w:tcBorders>
              <w:top w:val="single" w:sz="8" w:space="0" w:color="auto"/>
              <w:left w:val="single" w:sz="8" w:space="0" w:color="auto"/>
              <w:bottom w:val="single" w:sz="8" w:space="0" w:color="auto"/>
              <w:right w:val="single" w:sz="8" w:space="0" w:color="auto"/>
            </w:tcBorders>
            <w:shd w:val="clear" w:color="auto" w:fill="C9C9C9" w:themeFill="accent3" w:themeFillTint="99"/>
          </w:tcPr>
          <w:p w:rsidR="004D2F2D" w:rsidRPr="004D2F2D" w:rsidP="004D2F2D" w14:paraId="45AFD427" w14:textId="77777777">
            <w:pPr>
              <w:jc w:val="center"/>
              <w:rPr>
                <w:rFonts w:ascii="Calibri" w:eastAsia="Calibri" w:hAnsi="Calibri" w:cs="Calibri"/>
                <w:color w:val="000000" w:themeColor="text1"/>
                <w:sz w:val="22"/>
                <w:szCs w:val="22"/>
              </w:rPr>
            </w:pPr>
            <w:r w:rsidRPr="004D2F2D">
              <w:rPr>
                <w:rFonts w:ascii="Calibri" w:eastAsia="Calibri" w:hAnsi="Calibri" w:cs="Calibri"/>
                <w:color w:val="000000" w:themeColor="text1"/>
                <w:sz w:val="22"/>
                <w:szCs w:val="22"/>
              </w:rPr>
              <w:t>X</w:t>
            </w:r>
          </w:p>
        </w:tc>
        <w:tc>
          <w:tcPr>
            <w:tcW w:w="987" w:type="dxa"/>
            <w:tcBorders>
              <w:top w:val="single" w:sz="8" w:space="0" w:color="auto"/>
              <w:left w:val="single" w:sz="8" w:space="0" w:color="auto"/>
              <w:bottom w:val="single" w:sz="8" w:space="0" w:color="auto"/>
              <w:right w:val="single" w:sz="8" w:space="0" w:color="auto"/>
            </w:tcBorders>
            <w:shd w:val="clear" w:color="auto" w:fill="C9C9C9" w:themeFill="accent3" w:themeFillTint="99"/>
          </w:tcPr>
          <w:p w:rsidR="004D2F2D" w:rsidRPr="004D2F2D" w:rsidP="004D2F2D" w14:paraId="056AB26A" w14:textId="77777777">
            <w:pPr>
              <w:jc w:val="center"/>
              <w:rPr>
                <w:rFonts w:ascii="Calibri" w:eastAsia="Calibri" w:hAnsi="Calibri" w:cs="Calibri"/>
                <w:color w:val="000000" w:themeColor="text1"/>
                <w:sz w:val="22"/>
                <w:szCs w:val="22"/>
              </w:rPr>
            </w:pPr>
            <w:r w:rsidRPr="004D2F2D">
              <w:rPr>
                <w:rFonts w:ascii="Calibri" w:eastAsia="Calibri" w:hAnsi="Calibri" w:cs="Calibri"/>
                <w:color w:val="000000" w:themeColor="text1"/>
                <w:sz w:val="22"/>
                <w:szCs w:val="22"/>
              </w:rPr>
              <w:t>X</w:t>
            </w:r>
          </w:p>
        </w:tc>
        <w:tc>
          <w:tcPr>
            <w:tcW w:w="987" w:type="dxa"/>
            <w:tcBorders>
              <w:top w:val="single" w:sz="8" w:space="0" w:color="auto"/>
              <w:left w:val="single" w:sz="8" w:space="0" w:color="auto"/>
              <w:bottom w:val="single" w:sz="8" w:space="0" w:color="auto"/>
              <w:right w:val="single" w:sz="8" w:space="0" w:color="auto"/>
            </w:tcBorders>
            <w:shd w:val="clear" w:color="auto" w:fill="C9C9C9" w:themeFill="accent3" w:themeFillTint="99"/>
          </w:tcPr>
          <w:p w:rsidR="004D2F2D" w:rsidRPr="004D2F2D" w:rsidP="004D2F2D" w14:paraId="694B429B" w14:textId="77777777">
            <w:pPr>
              <w:jc w:val="center"/>
              <w:rPr>
                <w:rFonts w:ascii="Calibri" w:eastAsia="Calibri" w:hAnsi="Calibri" w:cs="Calibri"/>
                <w:color w:val="000000" w:themeColor="text1"/>
                <w:sz w:val="22"/>
                <w:szCs w:val="22"/>
              </w:rPr>
            </w:pPr>
            <w:r w:rsidRPr="004D2F2D">
              <w:rPr>
                <w:rFonts w:ascii="Calibri" w:eastAsia="Calibri" w:hAnsi="Calibri" w:cs="Calibri"/>
                <w:color w:val="000000" w:themeColor="text1"/>
                <w:sz w:val="22"/>
                <w:szCs w:val="22"/>
              </w:rPr>
              <w:t>X</w:t>
            </w:r>
          </w:p>
        </w:tc>
        <w:tc>
          <w:tcPr>
            <w:tcW w:w="987" w:type="dxa"/>
            <w:tcBorders>
              <w:top w:val="single" w:sz="8" w:space="0" w:color="auto"/>
              <w:left w:val="single" w:sz="8" w:space="0" w:color="auto"/>
              <w:bottom w:val="single" w:sz="8" w:space="0" w:color="auto"/>
              <w:right w:val="single" w:sz="8" w:space="0" w:color="auto"/>
            </w:tcBorders>
            <w:shd w:val="clear" w:color="auto" w:fill="C9C9C9" w:themeFill="accent3" w:themeFillTint="99"/>
          </w:tcPr>
          <w:p w:rsidR="004D2F2D" w:rsidRPr="004D2F2D" w:rsidP="004D2F2D" w14:paraId="074713B2" w14:textId="77777777">
            <w:pPr>
              <w:jc w:val="center"/>
              <w:rPr>
                <w:rFonts w:ascii="Calibri" w:eastAsia="Calibri" w:hAnsi="Calibri" w:cs="Calibri"/>
                <w:color w:val="000000" w:themeColor="text1"/>
                <w:sz w:val="22"/>
                <w:szCs w:val="22"/>
              </w:rPr>
            </w:pPr>
            <w:r w:rsidRPr="004D2F2D">
              <w:rPr>
                <w:rFonts w:ascii="Calibri" w:eastAsia="Calibri" w:hAnsi="Calibri" w:cs="Calibri"/>
                <w:color w:val="000000" w:themeColor="text1"/>
                <w:sz w:val="22"/>
                <w:szCs w:val="22"/>
              </w:rPr>
              <w:t>X</w:t>
            </w:r>
          </w:p>
        </w:tc>
        <w:tc>
          <w:tcPr>
            <w:tcW w:w="987" w:type="dxa"/>
            <w:tcBorders>
              <w:top w:val="single" w:sz="8" w:space="0" w:color="auto"/>
              <w:left w:val="single" w:sz="8" w:space="0" w:color="auto"/>
              <w:bottom w:val="single" w:sz="8" w:space="0" w:color="auto"/>
              <w:right w:val="single" w:sz="8" w:space="0" w:color="auto"/>
            </w:tcBorders>
            <w:shd w:val="clear" w:color="auto" w:fill="C9C9C9" w:themeFill="accent3" w:themeFillTint="99"/>
          </w:tcPr>
          <w:p w:rsidR="004D2F2D" w:rsidRPr="004D2F2D" w:rsidP="004D2F2D" w14:paraId="4CCB4FE8" w14:textId="77777777">
            <w:pPr>
              <w:jc w:val="center"/>
              <w:rPr>
                <w:rFonts w:ascii="Calibri" w:eastAsia="Calibri" w:hAnsi="Calibri" w:cs="Calibri"/>
                <w:color w:val="000000" w:themeColor="text1"/>
                <w:sz w:val="22"/>
                <w:szCs w:val="22"/>
              </w:rPr>
            </w:pPr>
            <w:r w:rsidRPr="004D2F2D">
              <w:rPr>
                <w:rFonts w:ascii="Calibri" w:eastAsia="Calibri" w:hAnsi="Calibri" w:cs="Calibri"/>
                <w:color w:val="000000" w:themeColor="text1"/>
                <w:sz w:val="22"/>
                <w:szCs w:val="22"/>
              </w:rPr>
              <w:t>X</w:t>
            </w:r>
          </w:p>
        </w:tc>
        <w:tc>
          <w:tcPr>
            <w:tcW w:w="987" w:type="dxa"/>
            <w:tcBorders>
              <w:top w:val="single" w:sz="8" w:space="0" w:color="auto"/>
              <w:left w:val="single" w:sz="8" w:space="0" w:color="auto"/>
              <w:bottom w:val="single" w:sz="8" w:space="0" w:color="auto"/>
              <w:right w:val="single" w:sz="8" w:space="0" w:color="auto"/>
            </w:tcBorders>
            <w:shd w:val="clear" w:color="auto" w:fill="C9C9C9" w:themeFill="accent3" w:themeFillTint="99"/>
          </w:tcPr>
          <w:p w:rsidR="004D2F2D" w:rsidRPr="004D2F2D" w:rsidP="004D2F2D" w14:paraId="2EC5529F" w14:textId="77777777">
            <w:pPr>
              <w:jc w:val="center"/>
              <w:rPr>
                <w:rFonts w:ascii="Calibri" w:eastAsia="Calibri" w:hAnsi="Calibri" w:cs="Calibri"/>
                <w:color w:val="000000" w:themeColor="text1"/>
                <w:sz w:val="22"/>
                <w:szCs w:val="22"/>
              </w:rPr>
            </w:pPr>
            <w:r w:rsidRPr="004D2F2D">
              <w:rPr>
                <w:rFonts w:ascii="Calibri" w:eastAsia="Calibri" w:hAnsi="Calibri" w:cs="Calibri"/>
                <w:color w:val="000000" w:themeColor="text1"/>
                <w:sz w:val="22"/>
                <w:szCs w:val="22"/>
              </w:rPr>
              <w:t>X</w:t>
            </w:r>
          </w:p>
        </w:tc>
        <w:tc>
          <w:tcPr>
            <w:tcW w:w="987" w:type="dxa"/>
            <w:tcBorders>
              <w:top w:val="single" w:sz="8" w:space="0" w:color="auto"/>
              <w:left w:val="single" w:sz="8" w:space="0" w:color="auto"/>
              <w:bottom w:val="single" w:sz="8" w:space="0" w:color="auto"/>
              <w:right w:val="single" w:sz="8" w:space="0" w:color="auto"/>
            </w:tcBorders>
            <w:shd w:val="clear" w:color="auto" w:fill="C9C9C9" w:themeFill="accent3" w:themeFillTint="99"/>
          </w:tcPr>
          <w:p w:rsidR="004D2F2D" w:rsidRPr="004D2F2D" w:rsidP="004D2F2D" w14:paraId="62FF6158" w14:textId="77777777">
            <w:pPr>
              <w:jc w:val="center"/>
              <w:rPr>
                <w:rFonts w:ascii="Calibri" w:eastAsia="Calibri" w:hAnsi="Calibri" w:cs="Calibri"/>
                <w:color w:val="000000" w:themeColor="text1"/>
                <w:sz w:val="22"/>
                <w:szCs w:val="22"/>
              </w:rPr>
            </w:pPr>
            <w:r w:rsidRPr="004D2F2D">
              <w:rPr>
                <w:rFonts w:ascii="Calibri" w:eastAsia="Calibri" w:hAnsi="Calibri" w:cs="Calibri"/>
                <w:color w:val="000000" w:themeColor="text1"/>
                <w:sz w:val="22"/>
                <w:szCs w:val="22"/>
              </w:rPr>
              <w:t>X</w:t>
            </w:r>
          </w:p>
        </w:tc>
        <w:tc>
          <w:tcPr>
            <w:tcW w:w="987" w:type="dxa"/>
            <w:tcBorders>
              <w:top w:val="single" w:sz="8" w:space="0" w:color="auto"/>
              <w:left w:val="single" w:sz="8" w:space="0" w:color="auto"/>
              <w:bottom w:val="single" w:sz="8" w:space="0" w:color="auto"/>
              <w:right w:val="single" w:sz="8" w:space="0" w:color="auto"/>
            </w:tcBorders>
            <w:shd w:val="clear" w:color="auto" w:fill="C9C9C9" w:themeFill="accent3" w:themeFillTint="99"/>
          </w:tcPr>
          <w:p w:rsidR="004D2F2D" w:rsidRPr="004D2F2D" w:rsidP="004D2F2D" w14:paraId="7A466706" w14:textId="77777777">
            <w:pPr>
              <w:jc w:val="center"/>
              <w:rPr>
                <w:rFonts w:ascii="Calibri" w:eastAsia="Calibri" w:hAnsi="Calibri" w:cs="Calibri"/>
                <w:color w:val="000000" w:themeColor="text1"/>
                <w:sz w:val="22"/>
                <w:szCs w:val="22"/>
              </w:rPr>
            </w:pPr>
            <w:r w:rsidRPr="004D2F2D">
              <w:rPr>
                <w:rFonts w:ascii="Calibri" w:eastAsia="Calibri" w:hAnsi="Calibri" w:cs="Calibri"/>
                <w:color w:val="000000" w:themeColor="text1"/>
                <w:sz w:val="22"/>
                <w:szCs w:val="22"/>
              </w:rPr>
              <w:t>X</w:t>
            </w:r>
          </w:p>
        </w:tc>
      </w:tr>
      <w:tr w14:paraId="0939A503" w14:textId="77777777" w:rsidTr="00BD3FB0">
        <w:tblPrEx>
          <w:tblW w:w="0" w:type="auto"/>
          <w:tblInd w:w="0" w:type="dxa"/>
          <w:tblLayout w:type="fixed"/>
          <w:tblLook w:val="04A0"/>
        </w:tblPrEx>
        <w:tc>
          <w:tcPr>
            <w:tcW w:w="1465" w:type="dxa"/>
            <w:tcBorders>
              <w:top w:val="single" w:sz="8" w:space="0" w:color="auto"/>
              <w:left w:val="single" w:sz="8" w:space="0" w:color="auto"/>
              <w:bottom w:val="single" w:sz="8" w:space="0" w:color="auto"/>
              <w:right w:val="single" w:sz="8" w:space="0" w:color="auto"/>
            </w:tcBorders>
          </w:tcPr>
          <w:p w:rsidR="004D2F2D" w:rsidRPr="004D2F2D" w:rsidP="004D2F2D" w14:paraId="52FFD563" w14:textId="77777777">
            <w:pPr>
              <w:jc w:val="center"/>
              <w:rPr>
                <w:rFonts w:ascii="Calibri" w:eastAsia="Calibri" w:hAnsi="Calibri" w:cs="Calibri"/>
                <w:sz w:val="22"/>
                <w:szCs w:val="22"/>
              </w:rPr>
            </w:pPr>
            <w:r w:rsidRPr="004D2F2D">
              <w:rPr>
                <w:rFonts w:ascii="Calibri" w:eastAsia="Calibri" w:hAnsi="Calibri" w:cs="Calibri"/>
                <w:sz w:val="22"/>
                <w:szCs w:val="22"/>
              </w:rPr>
              <w:t>HIV Testing</w:t>
            </w:r>
          </w:p>
        </w:tc>
        <w:tc>
          <w:tcPr>
            <w:tcW w:w="987" w:type="dxa"/>
            <w:tcBorders>
              <w:top w:val="single" w:sz="8" w:space="0" w:color="auto"/>
              <w:left w:val="single" w:sz="8" w:space="0" w:color="auto"/>
              <w:bottom w:val="single" w:sz="8" w:space="0" w:color="auto"/>
              <w:right w:val="single" w:sz="8" w:space="0" w:color="auto"/>
            </w:tcBorders>
            <w:shd w:val="clear" w:color="auto" w:fill="C9C9C9" w:themeFill="accent3" w:themeFillTint="99"/>
          </w:tcPr>
          <w:p w:rsidR="004D2F2D" w:rsidRPr="004D2F2D" w:rsidP="004D2F2D" w14:paraId="3BAA0CE8" w14:textId="77777777">
            <w:pPr>
              <w:jc w:val="center"/>
              <w:rPr>
                <w:rFonts w:ascii="Calibri" w:eastAsia="Calibri" w:hAnsi="Calibri" w:cs="Calibri"/>
                <w:color w:val="000000" w:themeColor="text1"/>
                <w:sz w:val="22"/>
                <w:szCs w:val="22"/>
              </w:rPr>
            </w:pPr>
            <w:r w:rsidRPr="004D2F2D">
              <w:rPr>
                <w:rFonts w:ascii="Calibri" w:eastAsia="Calibri" w:hAnsi="Calibri" w:cs="Calibri"/>
                <w:color w:val="000000" w:themeColor="text1"/>
                <w:sz w:val="22"/>
                <w:szCs w:val="22"/>
              </w:rPr>
              <w:t>X</w:t>
            </w:r>
          </w:p>
          <w:p w:rsidR="004D2F2D" w:rsidRPr="004D2F2D" w:rsidP="004D2F2D" w14:paraId="05BE073D" w14:textId="77777777">
            <w:pPr>
              <w:jc w:val="center"/>
              <w:rPr>
                <w:rFonts w:ascii="Calibri" w:eastAsia="Calibri" w:hAnsi="Calibri" w:cs="Calibri"/>
                <w:sz w:val="22"/>
                <w:szCs w:val="22"/>
              </w:rPr>
            </w:pPr>
            <w:r w:rsidRPr="004D2F2D">
              <w:rPr>
                <w:rFonts w:ascii="Calibri" w:eastAsia="Calibri" w:hAnsi="Calibri" w:cs="Calibri"/>
                <w:sz w:val="22"/>
                <w:szCs w:val="22"/>
              </w:rPr>
              <w:t xml:space="preserve"> </w:t>
            </w:r>
          </w:p>
        </w:tc>
        <w:tc>
          <w:tcPr>
            <w:tcW w:w="987" w:type="dxa"/>
            <w:tcBorders>
              <w:top w:val="single" w:sz="8" w:space="0" w:color="auto"/>
              <w:left w:val="single" w:sz="8" w:space="0" w:color="auto"/>
              <w:bottom w:val="single" w:sz="8" w:space="0" w:color="auto"/>
              <w:right w:val="single" w:sz="8" w:space="0" w:color="auto"/>
            </w:tcBorders>
          </w:tcPr>
          <w:p w:rsidR="004D2F2D" w:rsidRPr="004D2F2D" w:rsidP="004D2F2D" w14:paraId="6628524D" w14:textId="77777777">
            <w:pPr>
              <w:jc w:val="center"/>
              <w:rPr>
                <w:rFonts w:ascii="Calibri" w:eastAsia="Calibri" w:hAnsi="Calibri" w:cs="Calibri"/>
                <w:sz w:val="22"/>
                <w:szCs w:val="22"/>
              </w:rPr>
            </w:pPr>
            <w:r w:rsidRPr="004D2F2D">
              <w:rPr>
                <w:rFonts w:ascii="Calibri" w:eastAsia="Calibri" w:hAnsi="Calibri" w:cs="Calibri"/>
                <w:sz w:val="22"/>
                <w:szCs w:val="22"/>
              </w:rPr>
              <w:t xml:space="preserve"> </w:t>
            </w:r>
          </w:p>
        </w:tc>
        <w:tc>
          <w:tcPr>
            <w:tcW w:w="987" w:type="dxa"/>
            <w:tcBorders>
              <w:top w:val="single" w:sz="8" w:space="0" w:color="auto"/>
              <w:left w:val="single" w:sz="8" w:space="0" w:color="auto"/>
              <w:bottom w:val="single" w:sz="8" w:space="0" w:color="auto"/>
              <w:right w:val="single" w:sz="8" w:space="0" w:color="auto"/>
            </w:tcBorders>
            <w:shd w:val="clear" w:color="auto" w:fill="C9C9C9" w:themeFill="accent3" w:themeFillTint="99"/>
          </w:tcPr>
          <w:p w:rsidR="004D2F2D" w:rsidRPr="004D2F2D" w:rsidP="004D2F2D" w14:paraId="33EA3515" w14:textId="77777777">
            <w:pPr>
              <w:jc w:val="center"/>
              <w:rPr>
                <w:rFonts w:ascii="Calibri" w:eastAsia="Calibri" w:hAnsi="Calibri" w:cs="Calibri"/>
                <w:color w:val="000000" w:themeColor="text1"/>
                <w:sz w:val="22"/>
                <w:szCs w:val="22"/>
              </w:rPr>
            </w:pPr>
            <w:r w:rsidRPr="004D2F2D">
              <w:rPr>
                <w:rFonts w:ascii="Calibri" w:eastAsia="Calibri" w:hAnsi="Calibri" w:cs="Calibri"/>
                <w:color w:val="000000" w:themeColor="text1"/>
                <w:sz w:val="22"/>
                <w:szCs w:val="22"/>
              </w:rPr>
              <w:t>X</w:t>
            </w:r>
          </w:p>
          <w:p w:rsidR="004D2F2D" w:rsidRPr="004D2F2D" w:rsidP="004D2F2D" w14:paraId="3B0329B1" w14:textId="77777777">
            <w:pPr>
              <w:jc w:val="center"/>
              <w:rPr>
                <w:rFonts w:ascii="Calibri" w:eastAsia="Calibri" w:hAnsi="Calibri" w:cs="Calibri"/>
                <w:sz w:val="22"/>
                <w:szCs w:val="22"/>
              </w:rPr>
            </w:pPr>
            <w:r w:rsidRPr="004D2F2D">
              <w:rPr>
                <w:rFonts w:ascii="Calibri" w:eastAsia="Calibri" w:hAnsi="Calibri" w:cs="Calibri"/>
                <w:sz w:val="22"/>
                <w:szCs w:val="22"/>
              </w:rPr>
              <w:t xml:space="preserve"> </w:t>
            </w:r>
          </w:p>
        </w:tc>
        <w:tc>
          <w:tcPr>
            <w:tcW w:w="987" w:type="dxa"/>
            <w:tcBorders>
              <w:top w:val="single" w:sz="8" w:space="0" w:color="auto"/>
              <w:left w:val="single" w:sz="8" w:space="0" w:color="auto"/>
              <w:bottom w:val="single" w:sz="8" w:space="0" w:color="auto"/>
              <w:right w:val="single" w:sz="8" w:space="0" w:color="auto"/>
            </w:tcBorders>
          </w:tcPr>
          <w:p w:rsidR="004D2F2D" w:rsidRPr="004D2F2D" w:rsidP="004D2F2D" w14:paraId="03633496" w14:textId="77777777">
            <w:pPr>
              <w:jc w:val="center"/>
              <w:rPr>
                <w:rFonts w:ascii="Calibri" w:eastAsia="Calibri" w:hAnsi="Calibri" w:cs="Calibri"/>
                <w:sz w:val="22"/>
                <w:szCs w:val="22"/>
              </w:rPr>
            </w:pPr>
            <w:r w:rsidRPr="004D2F2D">
              <w:rPr>
                <w:rFonts w:ascii="Calibri" w:eastAsia="Calibri" w:hAnsi="Calibri" w:cs="Calibri"/>
                <w:sz w:val="22"/>
                <w:szCs w:val="22"/>
              </w:rPr>
              <w:t xml:space="preserve"> </w:t>
            </w:r>
          </w:p>
        </w:tc>
        <w:tc>
          <w:tcPr>
            <w:tcW w:w="987" w:type="dxa"/>
            <w:tcBorders>
              <w:top w:val="single" w:sz="8" w:space="0" w:color="auto"/>
              <w:left w:val="single" w:sz="8" w:space="0" w:color="auto"/>
              <w:bottom w:val="single" w:sz="8" w:space="0" w:color="auto"/>
              <w:right w:val="single" w:sz="8" w:space="0" w:color="auto"/>
            </w:tcBorders>
            <w:shd w:val="clear" w:color="auto" w:fill="C9C9C9" w:themeFill="accent3" w:themeFillTint="99"/>
          </w:tcPr>
          <w:p w:rsidR="004D2F2D" w:rsidRPr="004D2F2D" w:rsidP="004D2F2D" w14:paraId="0FE50456" w14:textId="77777777">
            <w:pPr>
              <w:jc w:val="center"/>
              <w:rPr>
                <w:rFonts w:ascii="Calibri" w:eastAsia="Calibri" w:hAnsi="Calibri" w:cs="Calibri"/>
                <w:color w:val="000000" w:themeColor="text1"/>
                <w:sz w:val="22"/>
                <w:szCs w:val="22"/>
              </w:rPr>
            </w:pPr>
            <w:r w:rsidRPr="004D2F2D">
              <w:rPr>
                <w:rFonts w:ascii="Calibri" w:eastAsia="Calibri" w:hAnsi="Calibri" w:cs="Calibri"/>
                <w:color w:val="000000" w:themeColor="text1"/>
                <w:sz w:val="22"/>
                <w:szCs w:val="22"/>
              </w:rPr>
              <w:t>X</w:t>
            </w:r>
          </w:p>
        </w:tc>
        <w:tc>
          <w:tcPr>
            <w:tcW w:w="987" w:type="dxa"/>
            <w:tcBorders>
              <w:top w:val="single" w:sz="8" w:space="0" w:color="auto"/>
              <w:left w:val="single" w:sz="8" w:space="0" w:color="auto"/>
              <w:bottom w:val="single" w:sz="8" w:space="0" w:color="auto"/>
              <w:right w:val="single" w:sz="8" w:space="0" w:color="auto"/>
            </w:tcBorders>
          </w:tcPr>
          <w:p w:rsidR="004D2F2D" w:rsidRPr="004D2F2D" w:rsidP="004D2F2D" w14:paraId="5FE4004D" w14:textId="77777777">
            <w:pPr>
              <w:jc w:val="center"/>
              <w:rPr>
                <w:rFonts w:ascii="Calibri" w:eastAsia="Calibri" w:hAnsi="Calibri" w:cs="Calibri"/>
                <w:sz w:val="22"/>
                <w:szCs w:val="22"/>
              </w:rPr>
            </w:pPr>
            <w:r w:rsidRPr="004D2F2D">
              <w:rPr>
                <w:rFonts w:ascii="Calibri" w:eastAsia="Calibri" w:hAnsi="Calibri" w:cs="Calibri"/>
                <w:sz w:val="22"/>
                <w:szCs w:val="22"/>
              </w:rPr>
              <w:t xml:space="preserve"> </w:t>
            </w:r>
          </w:p>
        </w:tc>
        <w:tc>
          <w:tcPr>
            <w:tcW w:w="987" w:type="dxa"/>
            <w:tcBorders>
              <w:top w:val="single" w:sz="8" w:space="0" w:color="auto"/>
              <w:left w:val="single" w:sz="8" w:space="0" w:color="auto"/>
              <w:bottom w:val="single" w:sz="8" w:space="0" w:color="auto"/>
              <w:right w:val="single" w:sz="8" w:space="0" w:color="auto"/>
            </w:tcBorders>
            <w:shd w:val="clear" w:color="auto" w:fill="C9C9C9" w:themeFill="accent3" w:themeFillTint="99"/>
          </w:tcPr>
          <w:p w:rsidR="004D2F2D" w:rsidRPr="004D2F2D" w:rsidP="004D2F2D" w14:paraId="48EC787E" w14:textId="77777777">
            <w:pPr>
              <w:jc w:val="center"/>
              <w:rPr>
                <w:rFonts w:ascii="Calibri" w:eastAsia="Calibri" w:hAnsi="Calibri" w:cs="Calibri"/>
                <w:color w:val="000000" w:themeColor="text1"/>
                <w:sz w:val="22"/>
                <w:szCs w:val="22"/>
              </w:rPr>
            </w:pPr>
            <w:r w:rsidRPr="004D2F2D">
              <w:rPr>
                <w:rFonts w:ascii="Calibri" w:eastAsia="Calibri" w:hAnsi="Calibri" w:cs="Calibri"/>
                <w:color w:val="000000" w:themeColor="text1"/>
                <w:sz w:val="22"/>
                <w:szCs w:val="22"/>
              </w:rPr>
              <w:t>X</w:t>
            </w:r>
          </w:p>
        </w:tc>
        <w:tc>
          <w:tcPr>
            <w:tcW w:w="987" w:type="dxa"/>
            <w:tcBorders>
              <w:top w:val="single" w:sz="8" w:space="0" w:color="auto"/>
              <w:left w:val="single" w:sz="8" w:space="0" w:color="auto"/>
              <w:bottom w:val="single" w:sz="8" w:space="0" w:color="auto"/>
              <w:right w:val="single" w:sz="8" w:space="0" w:color="auto"/>
            </w:tcBorders>
          </w:tcPr>
          <w:p w:rsidR="004D2F2D" w:rsidRPr="004D2F2D" w:rsidP="004D2F2D" w14:paraId="32D7508B" w14:textId="77777777">
            <w:pPr>
              <w:jc w:val="center"/>
              <w:rPr>
                <w:rFonts w:ascii="Calibri" w:eastAsia="Calibri" w:hAnsi="Calibri" w:cs="Calibri"/>
                <w:sz w:val="22"/>
                <w:szCs w:val="22"/>
              </w:rPr>
            </w:pPr>
            <w:r w:rsidRPr="004D2F2D">
              <w:rPr>
                <w:rFonts w:ascii="Calibri" w:eastAsia="Calibri" w:hAnsi="Calibri" w:cs="Calibri"/>
                <w:sz w:val="22"/>
                <w:szCs w:val="22"/>
              </w:rPr>
              <w:t xml:space="preserve"> </w:t>
            </w:r>
          </w:p>
        </w:tc>
      </w:tr>
      <w:tr w14:paraId="07F151EB" w14:textId="77777777" w:rsidTr="00BD3FB0">
        <w:tblPrEx>
          <w:tblW w:w="0" w:type="auto"/>
          <w:tblInd w:w="0" w:type="dxa"/>
          <w:tblLayout w:type="fixed"/>
          <w:tblLook w:val="04A0"/>
        </w:tblPrEx>
        <w:tc>
          <w:tcPr>
            <w:tcW w:w="1465" w:type="dxa"/>
            <w:tcBorders>
              <w:top w:val="single" w:sz="8" w:space="0" w:color="auto"/>
              <w:left w:val="single" w:sz="8" w:space="0" w:color="auto"/>
              <w:bottom w:val="single" w:sz="8" w:space="0" w:color="auto"/>
              <w:right w:val="single" w:sz="8" w:space="0" w:color="auto"/>
            </w:tcBorders>
          </w:tcPr>
          <w:p w:rsidR="004D2F2D" w:rsidRPr="004D2F2D" w:rsidP="004D2F2D" w14:paraId="037C26A1" w14:textId="77777777">
            <w:pPr>
              <w:jc w:val="center"/>
              <w:rPr>
                <w:rFonts w:ascii="Calibri" w:eastAsia="Calibri" w:hAnsi="Calibri" w:cs="Calibri"/>
                <w:sz w:val="22"/>
                <w:szCs w:val="22"/>
              </w:rPr>
            </w:pPr>
            <w:r w:rsidRPr="004D2F2D">
              <w:rPr>
                <w:rFonts w:ascii="Calibri" w:eastAsia="Calibri" w:hAnsi="Calibri" w:cs="Calibri"/>
                <w:sz w:val="22"/>
                <w:szCs w:val="22"/>
              </w:rPr>
              <w:t>STI Testing</w:t>
            </w:r>
          </w:p>
        </w:tc>
        <w:tc>
          <w:tcPr>
            <w:tcW w:w="987" w:type="dxa"/>
            <w:tcBorders>
              <w:top w:val="single" w:sz="8" w:space="0" w:color="auto"/>
              <w:left w:val="single" w:sz="8" w:space="0" w:color="auto"/>
              <w:bottom w:val="single" w:sz="8" w:space="0" w:color="auto"/>
              <w:right w:val="single" w:sz="8" w:space="0" w:color="auto"/>
            </w:tcBorders>
            <w:shd w:val="clear" w:color="auto" w:fill="C9C9C9" w:themeFill="accent3" w:themeFillTint="99"/>
          </w:tcPr>
          <w:p w:rsidR="004D2F2D" w:rsidRPr="004D2F2D" w:rsidP="004D2F2D" w14:paraId="4CE2AD5A" w14:textId="77777777">
            <w:pPr>
              <w:jc w:val="center"/>
              <w:rPr>
                <w:rFonts w:ascii="Calibri" w:eastAsia="Calibri" w:hAnsi="Calibri" w:cs="Calibri"/>
                <w:color w:val="000000" w:themeColor="text1"/>
                <w:sz w:val="22"/>
                <w:szCs w:val="22"/>
              </w:rPr>
            </w:pPr>
            <w:r w:rsidRPr="004D2F2D">
              <w:rPr>
                <w:rFonts w:ascii="Calibri" w:eastAsia="Calibri" w:hAnsi="Calibri" w:cs="Calibri"/>
                <w:color w:val="000000" w:themeColor="text1"/>
                <w:sz w:val="22"/>
                <w:szCs w:val="22"/>
              </w:rPr>
              <w:t>X</w:t>
            </w:r>
          </w:p>
          <w:p w:rsidR="004D2F2D" w:rsidRPr="004D2F2D" w:rsidP="004D2F2D" w14:paraId="2F213EBF" w14:textId="77777777">
            <w:pPr>
              <w:jc w:val="center"/>
              <w:rPr>
                <w:rFonts w:ascii="Calibri" w:eastAsia="Calibri" w:hAnsi="Calibri" w:cs="Calibri"/>
                <w:sz w:val="22"/>
                <w:szCs w:val="22"/>
              </w:rPr>
            </w:pPr>
            <w:r w:rsidRPr="004D2F2D">
              <w:rPr>
                <w:rFonts w:ascii="Calibri" w:eastAsia="Calibri" w:hAnsi="Calibri" w:cs="Calibri"/>
                <w:sz w:val="22"/>
                <w:szCs w:val="22"/>
              </w:rPr>
              <w:t xml:space="preserve"> </w:t>
            </w:r>
          </w:p>
        </w:tc>
        <w:tc>
          <w:tcPr>
            <w:tcW w:w="987" w:type="dxa"/>
            <w:tcBorders>
              <w:top w:val="single" w:sz="8" w:space="0" w:color="auto"/>
              <w:left w:val="single" w:sz="8" w:space="0" w:color="auto"/>
              <w:bottom w:val="single" w:sz="8" w:space="0" w:color="auto"/>
              <w:right w:val="single" w:sz="8" w:space="0" w:color="auto"/>
            </w:tcBorders>
          </w:tcPr>
          <w:p w:rsidR="004D2F2D" w:rsidRPr="004D2F2D" w:rsidP="004D2F2D" w14:paraId="2970F231" w14:textId="77777777">
            <w:pPr>
              <w:jc w:val="center"/>
              <w:rPr>
                <w:rFonts w:ascii="Calibri" w:eastAsia="Calibri" w:hAnsi="Calibri" w:cs="Calibri"/>
                <w:sz w:val="22"/>
                <w:szCs w:val="22"/>
              </w:rPr>
            </w:pPr>
            <w:r w:rsidRPr="004D2F2D">
              <w:rPr>
                <w:rFonts w:ascii="Calibri" w:eastAsia="Calibri" w:hAnsi="Calibri" w:cs="Calibri"/>
                <w:sz w:val="22"/>
                <w:szCs w:val="22"/>
              </w:rPr>
              <w:t xml:space="preserve"> </w:t>
            </w:r>
          </w:p>
        </w:tc>
        <w:tc>
          <w:tcPr>
            <w:tcW w:w="987" w:type="dxa"/>
            <w:tcBorders>
              <w:top w:val="single" w:sz="8" w:space="0" w:color="auto"/>
              <w:left w:val="single" w:sz="8" w:space="0" w:color="auto"/>
              <w:bottom w:val="single" w:sz="8" w:space="0" w:color="auto"/>
              <w:right w:val="single" w:sz="8" w:space="0" w:color="auto"/>
            </w:tcBorders>
            <w:shd w:val="clear" w:color="auto" w:fill="C9C9C9" w:themeFill="accent3" w:themeFillTint="99"/>
          </w:tcPr>
          <w:p w:rsidR="004D2F2D" w:rsidRPr="004D2F2D" w:rsidP="004D2F2D" w14:paraId="6D07FC3E" w14:textId="77777777">
            <w:pPr>
              <w:jc w:val="center"/>
              <w:rPr>
                <w:rFonts w:ascii="Calibri" w:eastAsia="Calibri" w:hAnsi="Calibri" w:cs="Calibri"/>
                <w:color w:val="000000" w:themeColor="text1"/>
                <w:sz w:val="22"/>
                <w:szCs w:val="22"/>
              </w:rPr>
            </w:pPr>
            <w:r w:rsidRPr="004D2F2D">
              <w:rPr>
                <w:rFonts w:ascii="Calibri" w:eastAsia="Calibri" w:hAnsi="Calibri" w:cs="Calibri"/>
                <w:color w:val="000000" w:themeColor="text1"/>
                <w:sz w:val="22"/>
                <w:szCs w:val="22"/>
              </w:rPr>
              <w:t>X</w:t>
            </w:r>
          </w:p>
        </w:tc>
        <w:tc>
          <w:tcPr>
            <w:tcW w:w="987" w:type="dxa"/>
            <w:tcBorders>
              <w:top w:val="single" w:sz="8" w:space="0" w:color="auto"/>
              <w:left w:val="single" w:sz="8" w:space="0" w:color="auto"/>
              <w:bottom w:val="single" w:sz="8" w:space="0" w:color="auto"/>
              <w:right w:val="single" w:sz="8" w:space="0" w:color="auto"/>
            </w:tcBorders>
          </w:tcPr>
          <w:p w:rsidR="004D2F2D" w:rsidRPr="004D2F2D" w:rsidP="004D2F2D" w14:paraId="6664CA6F" w14:textId="77777777">
            <w:pPr>
              <w:jc w:val="center"/>
              <w:rPr>
                <w:rFonts w:ascii="Calibri" w:eastAsia="Calibri" w:hAnsi="Calibri" w:cs="Calibri"/>
                <w:sz w:val="22"/>
                <w:szCs w:val="22"/>
              </w:rPr>
            </w:pPr>
            <w:r w:rsidRPr="004D2F2D">
              <w:rPr>
                <w:rFonts w:ascii="Calibri" w:eastAsia="Calibri" w:hAnsi="Calibri" w:cs="Calibri"/>
                <w:sz w:val="22"/>
                <w:szCs w:val="22"/>
              </w:rPr>
              <w:t xml:space="preserve"> </w:t>
            </w:r>
          </w:p>
        </w:tc>
        <w:tc>
          <w:tcPr>
            <w:tcW w:w="987" w:type="dxa"/>
            <w:tcBorders>
              <w:top w:val="single" w:sz="8" w:space="0" w:color="auto"/>
              <w:left w:val="single" w:sz="8" w:space="0" w:color="auto"/>
              <w:bottom w:val="single" w:sz="8" w:space="0" w:color="auto"/>
              <w:right w:val="single" w:sz="8" w:space="0" w:color="auto"/>
            </w:tcBorders>
            <w:shd w:val="clear" w:color="auto" w:fill="C9C9C9" w:themeFill="accent3" w:themeFillTint="99"/>
          </w:tcPr>
          <w:p w:rsidR="004D2F2D" w:rsidRPr="004D2F2D" w:rsidP="004D2F2D" w14:paraId="43B70487" w14:textId="77777777">
            <w:pPr>
              <w:jc w:val="center"/>
              <w:rPr>
                <w:rFonts w:ascii="Calibri" w:eastAsia="Calibri" w:hAnsi="Calibri" w:cs="Calibri"/>
                <w:color w:val="000000" w:themeColor="text1"/>
                <w:sz w:val="22"/>
                <w:szCs w:val="22"/>
              </w:rPr>
            </w:pPr>
            <w:r w:rsidRPr="004D2F2D">
              <w:rPr>
                <w:rFonts w:ascii="Calibri" w:eastAsia="Calibri" w:hAnsi="Calibri" w:cs="Calibri"/>
                <w:color w:val="000000" w:themeColor="text1"/>
                <w:sz w:val="22"/>
                <w:szCs w:val="22"/>
              </w:rPr>
              <w:t>X</w:t>
            </w:r>
          </w:p>
        </w:tc>
        <w:tc>
          <w:tcPr>
            <w:tcW w:w="987" w:type="dxa"/>
            <w:tcBorders>
              <w:top w:val="single" w:sz="8" w:space="0" w:color="auto"/>
              <w:left w:val="single" w:sz="8" w:space="0" w:color="auto"/>
              <w:bottom w:val="single" w:sz="8" w:space="0" w:color="auto"/>
              <w:right w:val="single" w:sz="8" w:space="0" w:color="auto"/>
            </w:tcBorders>
          </w:tcPr>
          <w:p w:rsidR="004D2F2D" w:rsidRPr="004D2F2D" w:rsidP="004D2F2D" w14:paraId="5F3580B7" w14:textId="77777777">
            <w:pPr>
              <w:jc w:val="center"/>
              <w:rPr>
                <w:rFonts w:ascii="Calibri" w:eastAsia="Calibri" w:hAnsi="Calibri" w:cs="Calibri"/>
                <w:sz w:val="22"/>
                <w:szCs w:val="22"/>
              </w:rPr>
            </w:pPr>
            <w:r w:rsidRPr="004D2F2D">
              <w:rPr>
                <w:rFonts w:ascii="Calibri" w:eastAsia="Calibri" w:hAnsi="Calibri" w:cs="Calibri"/>
                <w:sz w:val="22"/>
                <w:szCs w:val="22"/>
              </w:rPr>
              <w:t xml:space="preserve"> </w:t>
            </w:r>
          </w:p>
        </w:tc>
        <w:tc>
          <w:tcPr>
            <w:tcW w:w="987" w:type="dxa"/>
            <w:tcBorders>
              <w:top w:val="single" w:sz="8" w:space="0" w:color="auto"/>
              <w:left w:val="single" w:sz="8" w:space="0" w:color="auto"/>
              <w:bottom w:val="single" w:sz="8" w:space="0" w:color="auto"/>
              <w:right w:val="single" w:sz="8" w:space="0" w:color="auto"/>
            </w:tcBorders>
            <w:shd w:val="clear" w:color="auto" w:fill="C9C9C9" w:themeFill="accent3" w:themeFillTint="99"/>
          </w:tcPr>
          <w:p w:rsidR="004D2F2D" w:rsidRPr="004D2F2D" w:rsidP="004D2F2D" w14:paraId="2297C5DF" w14:textId="77777777">
            <w:pPr>
              <w:jc w:val="center"/>
              <w:rPr>
                <w:rFonts w:ascii="Calibri" w:eastAsia="Calibri" w:hAnsi="Calibri" w:cs="Calibri"/>
                <w:color w:val="000000" w:themeColor="text1"/>
                <w:sz w:val="22"/>
                <w:szCs w:val="22"/>
              </w:rPr>
            </w:pPr>
            <w:r w:rsidRPr="004D2F2D">
              <w:rPr>
                <w:rFonts w:ascii="Calibri" w:eastAsia="Calibri" w:hAnsi="Calibri" w:cs="Calibri"/>
                <w:color w:val="000000" w:themeColor="text1"/>
                <w:sz w:val="22"/>
                <w:szCs w:val="22"/>
              </w:rPr>
              <w:t>X</w:t>
            </w:r>
          </w:p>
        </w:tc>
        <w:tc>
          <w:tcPr>
            <w:tcW w:w="987" w:type="dxa"/>
            <w:tcBorders>
              <w:top w:val="single" w:sz="8" w:space="0" w:color="auto"/>
              <w:left w:val="single" w:sz="8" w:space="0" w:color="auto"/>
              <w:bottom w:val="single" w:sz="8" w:space="0" w:color="auto"/>
              <w:right w:val="single" w:sz="8" w:space="0" w:color="auto"/>
            </w:tcBorders>
          </w:tcPr>
          <w:p w:rsidR="004D2F2D" w:rsidRPr="004D2F2D" w:rsidP="004D2F2D" w14:paraId="338ECA3D" w14:textId="77777777">
            <w:pPr>
              <w:jc w:val="center"/>
              <w:rPr>
                <w:rFonts w:ascii="Calibri" w:eastAsia="Calibri" w:hAnsi="Calibri" w:cs="Calibri"/>
                <w:sz w:val="22"/>
                <w:szCs w:val="22"/>
              </w:rPr>
            </w:pPr>
            <w:r w:rsidRPr="004D2F2D">
              <w:rPr>
                <w:rFonts w:ascii="Calibri" w:eastAsia="Calibri" w:hAnsi="Calibri" w:cs="Calibri"/>
                <w:sz w:val="22"/>
                <w:szCs w:val="22"/>
              </w:rPr>
              <w:t xml:space="preserve"> </w:t>
            </w:r>
          </w:p>
        </w:tc>
      </w:tr>
      <w:tr w14:paraId="730E4DAE" w14:textId="77777777" w:rsidTr="00BD3FB0">
        <w:tblPrEx>
          <w:tblW w:w="0" w:type="auto"/>
          <w:tblInd w:w="0" w:type="dxa"/>
          <w:tblLayout w:type="fixed"/>
          <w:tblLook w:val="04A0"/>
        </w:tblPrEx>
        <w:tc>
          <w:tcPr>
            <w:tcW w:w="1465" w:type="dxa"/>
            <w:tcBorders>
              <w:top w:val="single" w:sz="8" w:space="0" w:color="auto"/>
              <w:left w:val="single" w:sz="8" w:space="0" w:color="auto"/>
              <w:bottom w:val="single" w:sz="8" w:space="0" w:color="auto"/>
              <w:right w:val="single" w:sz="8" w:space="0" w:color="auto"/>
            </w:tcBorders>
          </w:tcPr>
          <w:p w:rsidR="004D2F2D" w:rsidRPr="004D2F2D" w:rsidP="004D2F2D" w14:paraId="4FE049FC" w14:textId="77777777">
            <w:pPr>
              <w:jc w:val="center"/>
              <w:rPr>
                <w:rFonts w:ascii="Calibri" w:eastAsia="Calibri" w:hAnsi="Calibri" w:cs="Calibri"/>
                <w:sz w:val="22"/>
                <w:szCs w:val="22"/>
              </w:rPr>
            </w:pPr>
            <w:r w:rsidRPr="004D2F2D">
              <w:rPr>
                <w:rFonts w:ascii="Calibri" w:eastAsia="Calibri" w:hAnsi="Calibri" w:cs="Calibri"/>
                <w:sz w:val="22"/>
                <w:szCs w:val="22"/>
              </w:rPr>
              <w:t>Qualitative Assessments</w:t>
            </w:r>
          </w:p>
        </w:tc>
        <w:tc>
          <w:tcPr>
            <w:tcW w:w="987" w:type="dxa"/>
            <w:tcBorders>
              <w:top w:val="single" w:sz="8" w:space="0" w:color="auto"/>
              <w:left w:val="single" w:sz="8" w:space="0" w:color="auto"/>
              <w:bottom w:val="single" w:sz="8" w:space="0" w:color="auto"/>
              <w:right w:val="single" w:sz="8" w:space="0" w:color="auto"/>
            </w:tcBorders>
          </w:tcPr>
          <w:p w:rsidR="004D2F2D" w:rsidRPr="004D2F2D" w:rsidP="004D2F2D" w14:paraId="6A83296D" w14:textId="77777777">
            <w:pPr>
              <w:jc w:val="center"/>
              <w:rPr>
                <w:rFonts w:ascii="Calibri" w:eastAsia="Calibri" w:hAnsi="Calibri" w:cs="Calibri"/>
                <w:sz w:val="22"/>
                <w:szCs w:val="22"/>
              </w:rPr>
            </w:pPr>
            <w:r w:rsidRPr="004D2F2D">
              <w:rPr>
                <w:rFonts w:ascii="Calibri" w:eastAsia="Calibri" w:hAnsi="Calibri" w:cs="Calibri"/>
                <w:sz w:val="22"/>
                <w:szCs w:val="22"/>
              </w:rPr>
              <w:t xml:space="preserve"> </w:t>
            </w:r>
          </w:p>
        </w:tc>
        <w:tc>
          <w:tcPr>
            <w:tcW w:w="987" w:type="dxa"/>
            <w:tcBorders>
              <w:top w:val="single" w:sz="8" w:space="0" w:color="auto"/>
              <w:left w:val="single" w:sz="8" w:space="0" w:color="auto"/>
              <w:bottom w:val="single" w:sz="8" w:space="0" w:color="auto"/>
              <w:right w:val="single" w:sz="8" w:space="0" w:color="auto"/>
            </w:tcBorders>
            <w:shd w:val="clear" w:color="auto" w:fill="C9C9C9" w:themeFill="accent3" w:themeFillTint="99"/>
          </w:tcPr>
          <w:p w:rsidR="004D2F2D" w:rsidRPr="004D2F2D" w:rsidP="004D2F2D" w14:paraId="44D9357B" w14:textId="77777777">
            <w:pPr>
              <w:jc w:val="center"/>
              <w:rPr>
                <w:rFonts w:ascii="Calibri" w:eastAsia="Calibri" w:hAnsi="Calibri" w:cs="Calibri"/>
                <w:color w:val="000000" w:themeColor="text1"/>
                <w:sz w:val="22"/>
                <w:szCs w:val="22"/>
              </w:rPr>
            </w:pPr>
            <w:r w:rsidRPr="004D2F2D">
              <w:rPr>
                <w:rFonts w:ascii="Calibri" w:eastAsia="Calibri" w:hAnsi="Calibri" w:cs="Calibri"/>
                <w:color w:val="000000" w:themeColor="text1"/>
                <w:sz w:val="22"/>
                <w:szCs w:val="22"/>
              </w:rPr>
              <w:t>X</w:t>
            </w:r>
          </w:p>
        </w:tc>
        <w:tc>
          <w:tcPr>
            <w:tcW w:w="987" w:type="dxa"/>
            <w:tcBorders>
              <w:top w:val="single" w:sz="8" w:space="0" w:color="auto"/>
              <w:left w:val="single" w:sz="8" w:space="0" w:color="auto"/>
              <w:bottom w:val="single" w:sz="8" w:space="0" w:color="auto"/>
              <w:right w:val="single" w:sz="8" w:space="0" w:color="auto"/>
            </w:tcBorders>
          </w:tcPr>
          <w:p w:rsidR="004D2F2D" w:rsidRPr="004D2F2D" w:rsidP="004D2F2D" w14:paraId="5BE58553" w14:textId="77777777">
            <w:pPr>
              <w:jc w:val="center"/>
              <w:rPr>
                <w:rFonts w:ascii="Calibri" w:eastAsia="Calibri" w:hAnsi="Calibri" w:cs="Calibri"/>
                <w:sz w:val="22"/>
                <w:szCs w:val="22"/>
              </w:rPr>
            </w:pPr>
            <w:r w:rsidRPr="004D2F2D">
              <w:rPr>
                <w:rFonts w:ascii="Calibri" w:eastAsia="Calibri" w:hAnsi="Calibri" w:cs="Calibri"/>
                <w:sz w:val="22"/>
                <w:szCs w:val="22"/>
              </w:rPr>
              <w:t xml:space="preserve"> </w:t>
            </w:r>
          </w:p>
        </w:tc>
        <w:tc>
          <w:tcPr>
            <w:tcW w:w="987" w:type="dxa"/>
            <w:tcBorders>
              <w:top w:val="single" w:sz="8" w:space="0" w:color="auto"/>
              <w:left w:val="single" w:sz="8" w:space="0" w:color="auto"/>
              <w:bottom w:val="single" w:sz="8" w:space="0" w:color="auto"/>
              <w:right w:val="single" w:sz="8" w:space="0" w:color="auto"/>
            </w:tcBorders>
            <w:shd w:val="clear" w:color="auto" w:fill="C9C9C9" w:themeFill="accent3" w:themeFillTint="99"/>
          </w:tcPr>
          <w:p w:rsidR="004D2F2D" w:rsidRPr="004D2F2D" w:rsidP="004D2F2D" w14:paraId="0F38B299" w14:textId="77777777">
            <w:pPr>
              <w:jc w:val="center"/>
              <w:rPr>
                <w:rFonts w:ascii="Calibri" w:eastAsia="Calibri" w:hAnsi="Calibri" w:cs="Calibri"/>
                <w:color w:val="000000" w:themeColor="text1"/>
                <w:sz w:val="22"/>
                <w:szCs w:val="22"/>
              </w:rPr>
            </w:pPr>
            <w:r w:rsidRPr="004D2F2D">
              <w:rPr>
                <w:rFonts w:ascii="Calibri" w:eastAsia="Calibri" w:hAnsi="Calibri" w:cs="Calibri"/>
                <w:color w:val="000000" w:themeColor="text1"/>
                <w:sz w:val="22"/>
                <w:szCs w:val="22"/>
              </w:rPr>
              <w:t>X</w:t>
            </w:r>
          </w:p>
        </w:tc>
        <w:tc>
          <w:tcPr>
            <w:tcW w:w="987" w:type="dxa"/>
            <w:tcBorders>
              <w:top w:val="single" w:sz="8" w:space="0" w:color="auto"/>
              <w:left w:val="single" w:sz="8" w:space="0" w:color="auto"/>
              <w:bottom w:val="single" w:sz="8" w:space="0" w:color="auto"/>
              <w:right w:val="single" w:sz="8" w:space="0" w:color="auto"/>
            </w:tcBorders>
          </w:tcPr>
          <w:p w:rsidR="004D2F2D" w:rsidRPr="004D2F2D" w:rsidP="004D2F2D" w14:paraId="0D284B36" w14:textId="77777777">
            <w:pPr>
              <w:jc w:val="center"/>
              <w:rPr>
                <w:rFonts w:ascii="Calibri" w:eastAsia="Calibri" w:hAnsi="Calibri" w:cs="Calibri"/>
                <w:sz w:val="22"/>
                <w:szCs w:val="22"/>
              </w:rPr>
            </w:pPr>
            <w:r w:rsidRPr="004D2F2D">
              <w:rPr>
                <w:rFonts w:ascii="Calibri" w:eastAsia="Calibri" w:hAnsi="Calibri" w:cs="Calibri"/>
                <w:sz w:val="22"/>
                <w:szCs w:val="22"/>
              </w:rPr>
              <w:t xml:space="preserve"> </w:t>
            </w:r>
          </w:p>
        </w:tc>
        <w:tc>
          <w:tcPr>
            <w:tcW w:w="987" w:type="dxa"/>
            <w:tcBorders>
              <w:top w:val="single" w:sz="8" w:space="0" w:color="auto"/>
              <w:left w:val="single" w:sz="8" w:space="0" w:color="auto"/>
              <w:bottom w:val="single" w:sz="8" w:space="0" w:color="auto"/>
              <w:right w:val="single" w:sz="8" w:space="0" w:color="auto"/>
            </w:tcBorders>
            <w:shd w:val="clear" w:color="auto" w:fill="C9C9C9" w:themeFill="accent3" w:themeFillTint="99"/>
          </w:tcPr>
          <w:p w:rsidR="004D2F2D" w:rsidRPr="004D2F2D" w:rsidP="004D2F2D" w14:paraId="5DDA0FDC" w14:textId="77777777">
            <w:pPr>
              <w:jc w:val="center"/>
              <w:rPr>
                <w:rFonts w:ascii="Calibri" w:eastAsia="Calibri" w:hAnsi="Calibri" w:cs="Calibri"/>
                <w:color w:val="000000" w:themeColor="text1"/>
                <w:sz w:val="22"/>
                <w:szCs w:val="22"/>
              </w:rPr>
            </w:pPr>
            <w:r w:rsidRPr="004D2F2D">
              <w:rPr>
                <w:rFonts w:ascii="Calibri" w:eastAsia="Calibri" w:hAnsi="Calibri" w:cs="Calibri"/>
                <w:color w:val="000000" w:themeColor="text1"/>
                <w:sz w:val="22"/>
                <w:szCs w:val="22"/>
              </w:rPr>
              <w:t>X</w:t>
            </w:r>
          </w:p>
        </w:tc>
        <w:tc>
          <w:tcPr>
            <w:tcW w:w="987" w:type="dxa"/>
            <w:tcBorders>
              <w:top w:val="single" w:sz="8" w:space="0" w:color="auto"/>
              <w:left w:val="single" w:sz="8" w:space="0" w:color="auto"/>
              <w:bottom w:val="single" w:sz="8" w:space="0" w:color="auto"/>
              <w:right w:val="single" w:sz="8" w:space="0" w:color="auto"/>
            </w:tcBorders>
          </w:tcPr>
          <w:p w:rsidR="004D2F2D" w:rsidRPr="004D2F2D" w:rsidP="004D2F2D" w14:paraId="119F6270" w14:textId="77777777">
            <w:pPr>
              <w:jc w:val="center"/>
              <w:rPr>
                <w:rFonts w:ascii="Calibri" w:eastAsia="Calibri" w:hAnsi="Calibri" w:cs="Calibri"/>
                <w:sz w:val="22"/>
                <w:szCs w:val="22"/>
              </w:rPr>
            </w:pPr>
            <w:r w:rsidRPr="004D2F2D">
              <w:rPr>
                <w:rFonts w:ascii="Calibri" w:eastAsia="Calibri" w:hAnsi="Calibri" w:cs="Calibri"/>
                <w:sz w:val="22"/>
                <w:szCs w:val="22"/>
              </w:rPr>
              <w:t xml:space="preserve"> </w:t>
            </w:r>
          </w:p>
        </w:tc>
        <w:tc>
          <w:tcPr>
            <w:tcW w:w="987" w:type="dxa"/>
            <w:tcBorders>
              <w:top w:val="single" w:sz="8" w:space="0" w:color="auto"/>
              <w:left w:val="single" w:sz="8" w:space="0" w:color="auto"/>
              <w:bottom w:val="single" w:sz="8" w:space="0" w:color="auto"/>
              <w:right w:val="single" w:sz="8" w:space="0" w:color="auto"/>
            </w:tcBorders>
          </w:tcPr>
          <w:p w:rsidR="004D2F2D" w:rsidRPr="004D2F2D" w:rsidP="004D2F2D" w14:paraId="2A900B4D" w14:textId="77777777">
            <w:pPr>
              <w:rPr>
                <w:rFonts w:ascii="Calibri" w:eastAsia="Calibri" w:hAnsi="Calibri" w:cs="Calibri"/>
                <w:sz w:val="22"/>
                <w:szCs w:val="22"/>
              </w:rPr>
            </w:pPr>
          </w:p>
        </w:tc>
      </w:tr>
    </w:tbl>
    <w:p w:rsidR="004D2F2D" w:rsidRPr="00081ADA" w:rsidP="002C5246" w14:paraId="2503C3E4" w14:textId="77777777">
      <w:pPr>
        <w:pStyle w:val="ListParagraph"/>
        <w:spacing w:after="0" w:line="240" w:lineRule="auto"/>
        <w:ind w:left="0"/>
        <w:contextualSpacing w:val="0"/>
        <w:rPr>
          <w:rFonts w:ascii="Times New Roman" w:hAnsi="Times New Roman"/>
          <w:sz w:val="24"/>
          <w:szCs w:val="24"/>
        </w:rPr>
      </w:pPr>
    </w:p>
    <w:p w:rsidR="002C5246" w:rsidRPr="00081ADA" w:rsidP="002C5246" w14:paraId="20DD448E" w14:textId="33055E39">
      <w:pPr>
        <w:pStyle w:val="ListParagraph"/>
        <w:spacing w:after="0" w:line="240" w:lineRule="auto"/>
        <w:ind w:left="0"/>
        <w:contextualSpacing w:val="0"/>
        <w:rPr>
          <w:rFonts w:ascii="Times New Roman" w:hAnsi="Times New Roman" w:eastAsiaTheme="minorHAnsi"/>
          <w:sz w:val="24"/>
          <w:szCs w:val="24"/>
          <w:lang w:val="en-US" w:eastAsia="en-US"/>
        </w:rPr>
      </w:pPr>
      <w:r w:rsidRPr="00081ADA">
        <w:rPr>
          <w:rFonts w:ascii="Times New Roman" w:hAnsi="Times New Roman" w:eastAsiaTheme="minorHAnsi"/>
          <w:sz w:val="24"/>
          <w:szCs w:val="24"/>
          <w:lang w:val="en-US" w:eastAsia="en-US"/>
        </w:rPr>
        <w:t>The study protocol</w:t>
      </w:r>
      <w:r w:rsidR="00266F80">
        <w:rPr>
          <w:rFonts w:ascii="Times New Roman" w:hAnsi="Times New Roman" w:eastAsiaTheme="minorHAnsi"/>
          <w:sz w:val="24"/>
          <w:szCs w:val="24"/>
          <w:lang w:val="en-US" w:eastAsia="en-US"/>
        </w:rPr>
        <w:t>, consent forms,</w:t>
      </w:r>
      <w:r w:rsidRPr="00081ADA">
        <w:rPr>
          <w:rFonts w:ascii="Times New Roman" w:hAnsi="Times New Roman" w:eastAsiaTheme="minorHAnsi"/>
          <w:sz w:val="24"/>
          <w:szCs w:val="24"/>
          <w:lang w:val="en-US" w:eastAsia="en-US"/>
        </w:rPr>
        <w:t xml:space="preserve"> and all data collection instruments have been approved by the WCG Institutional Review Board (IRB) (</w:t>
      </w:r>
      <w:r w:rsidRPr="00081ADA">
        <w:rPr>
          <w:rFonts w:ascii="Times New Roman" w:hAnsi="Times New Roman" w:eastAsiaTheme="minorHAnsi"/>
          <w:b/>
          <w:sz w:val="24"/>
          <w:szCs w:val="24"/>
          <w:lang w:val="en-US" w:eastAsia="en-US"/>
        </w:rPr>
        <w:t>Attachment 6a</w:t>
      </w:r>
      <w:r w:rsidRPr="00081ADA">
        <w:rPr>
          <w:rFonts w:ascii="Times New Roman" w:hAnsi="Times New Roman" w:eastAsiaTheme="minorHAnsi"/>
          <w:sz w:val="24"/>
          <w:szCs w:val="24"/>
          <w:lang w:val="en-US" w:eastAsia="en-US"/>
        </w:rPr>
        <w:t xml:space="preserve">). </w:t>
      </w:r>
    </w:p>
    <w:p w:rsidR="002C5246" w:rsidRPr="00081ADA" w:rsidP="002C5246" w14:paraId="363F9F28" w14:textId="671A693C">
      <w:pPr>
        <w:pStyle w:val="ListParagraph"/>
        <w:spacing w:after="0" w:line="240" w:lineRule="auto"/>
        <w:ind w:left="0"/>
        <w:contextualSpacing w:val="0"/>
        <w:rPr>
          <w:rFonts w:ascii="Times New Roman" w:hAnsi="Times New Roman" w:eastAsiaTheme="minorHAnsi"/>
          <w:sz w:val="24"/>
          <w:szCs w:val="24"/>
          <w:lang w:val="en-US" w:eastAsia="en-US"/>
        </w:rPr>
      </w:pPr>
    </w:p>
    <w:p w:rsidR="003F4C7D" w:rsidRPr="00081ADA" w:rsidP="002C5246" w14:paraId="6475C9D2" w14:textId="419974D5">
      <w:pPr>
        <w:pStyle w:val="ListParagraph"/>
        <w:spacing w:after="0" w:line="240" w:lineRule="auto"/>
        <w:ind w:left="0"/>
        <w:contextualSpacing w:val="0"/>
        <w:rPr>
          <w:rFonts w:ascii="Times New Roman" w:hAnsi="Times New Roman" w:eastAsiaTheme="minorHAnsi"/>
          <w:sz w:val="24"/>
          <w:szCs w:val="24"/>
          <w:lang w:val="en-US" w:eastAsia="en-US"/>
        </w:rPr>
      </w:pPr>
      <w:r>
        <w:rPr>
          <w:rFonts w:ascii="Times New Roman" w:hAnsi="Times New Roman" w:eastAsiaTheme="minorHAnsi"/>
          <w:sz w:val="24"/>
          <w:szCs w:val="24"/>
          <w:lang w:val="en-US" w:eastAsia="en-US"/>
        </w:rPr>
        <w:t xml:space="preserve">Data collected during this study will be used to better </w:t>
      </w:r>
      <w:r w:rsidRPr="002170E3">
        <w:rPr>
          <w:rFonts w:ascii="Times New Roman" w:hAnsi="Times New Roman" w:eastAsiaTheme="minorHAnsi"/>
          <w:sz w:val="24"/>
          <w:szCs w:val="24"/>
          <w:lang w:val="en-US" w:eastAsia="en-US"/>
        </w:rPr>
        <w:t xml:space="preserve">understand men’s strategies to prevent HIV/STIs, including PrEP use and adherence, condom use, sexual risk-taking behavior, and substance-using behaviors. </w:t>
      </w:r>
      <w:r w:rsidRPr="00081ADA" w:rsidR="00877F5A">
        <w:rPr>
          <w:rFonts w:ascii="Times New Roman" w:hAnsi="Times New Roman" w:eastAsiaTheme="minorHAnsi"/>
          <w:sz w:val="24"/>
          <w:szCs w:val="24"/>
          <w:lang w:val="en-US" w:eastAsia="en-US"/>
        </w:rPr>
        <w:t xml:space="preserve">Data collected in this study will </w:t>
      </w:r>
      <w:r>
        <w:rPr>
          <w:rFonts w:ascii="Times New Roman" w:hAnsi="Times New Roman" w:eastAsiaTheme="minorHAnsi"/>
          <w:sz w:val="24"/>
          <w:szCs w:val="24"/>
          <w:lang w:val="en-US" w:eastAsia="en-US"/>
        </w:rPr>
        <w:t xml:space="preserve">also be </w:t>
      </w:r>
      <w:r w:rsidRPr="00081ADA" w:rsidR="00877F5A">
        <w:rPr>
          <w:rFonts w:ascii="Times New Roman" w:hAnsi="Times New Roman" w:eastAsiaTheme="minorHAnsi"/>
          <w:sz w:val="24"/>
          <w:szCs w:val="24"/>
          <w:lang w:val="en-US" w:eastAsia="en-US"/>
        </w:rPr>
        <w:t xml:space="preserve">used to </w:t>
      </w:r>
      <w:r w:rsidRPr="00081ADA" w:rsidR="00C46ABE">
        <w:rPr>
          <w:rFonts w:ascii="Times New Roman" w:hAnsi="Times New Roman" w:eastAsiaTheme="minorHAnsi"/>
          <w:sz w:val="24"/>
          <w:szCs w:val="24"/>
          <w:lang w:val="en-US" w:eastAsia="en-US"/>
        </w:rPr>
        <w:t xml:space="preserve">generate </w:t>
      </w:r>
      <w:r w:rsidR="00200035">
        <w:rPr>
          <w:rFonts w:ascii="Times New Roman" w:hAnsi="Times New Roman" w:eastAsiaTheme="minorHAnsi"/>
          <w:sz w:val="24"/>
          <w:szCs w:val="24"/>
          <w:lang w:val="en-US" w:eastAsia="en-US"/>
        </w:rPr>
        <w:t xml:space="preserve">rapid reports </w:t>
      </w:r>
      <w:r w:rsidRPr="00081ADA" w:rsidR="00C46ABE">
        <w:rPr>
          <w:rFonts w:ascii="Times New Roman" w:hAnsi="Times New Roman" w:eastAsiaTheme="minorHAnsi"/>
          <w:sz w:val="24"/>
          <w:szCs w:val="24"/>
          <w:lang w:val="en-US" w:eastAsia="en-US"/>
        </w:rPr>
        <w:t xml:space="preserve">every three months to identify HIV prevention gaps and messaging opportunities and recommendations for MSM. Effective prevention messaging will be implemented in CDC messaging and community programs (e.g., mobile apps, social marketing campaigns, website information sources, other written prevention materials) to improve HIV prevention for communities of MSM.  </w:t>
      </w:r>
      <w:r w:rsidRPr="00081ADA">
        <w:rPr>
          <w:rFonts w:ascii="Times New Roman" w:hAnsi="Times New Roman" w:eastAsiaTheme="minorHAnsi"/>
          <w:sz w:val="24"/>
          <w:szCs w:val="24"/>
          <w:lang w:val="en-US" w:eastAsia="en-US"/>
        </w:rPr>
        <w:t xml:space="preserve">Study findings will be disseminated through community forums, academic and community conference presentations, and peer-reviewed publications. </w:t>
      </w:r>
    </w:p>
    <w:p w:rsidR="002C5246" w:rsidP="002C5246" w14:paraId="4307958C" w14:textId="23A5CD90">
      <w:pPr>
        <w:pStyle w:val="Heading1"/>
        <w:numPr>
          <w:ilvl w:val="0"/>
          <w:numId w:val="0"/>
        </w:numPr>
        <w:rPr>
          <w:rFonts w:cs="Times New Roman"/>
        </w:rPr>
      </w:pPr>
      <w:bookmarkStart w:id="11" w:name="_3.__"/>
      <w:bookmarkStart w:id="12" w:name="_Toc485202297"/>
      <w:bookmarkEnd w:id="11"/>
      <w:r>
        <w:rPr>
          <w:rFonts w:cs="Times New Roman"/>
        </w:rPr>
        <w:t xml:space="preserve">3.   </w:t>
      </w:r>
      <w:r w:rsidRPr="00C469CA">
        <w:rPr>
          <w:rFonts w:cs="Times New Roman"/>
        </w:rPr>
        <w:t>Use of Improved Information Technology and Burden Reduction</w:t>
      </w:r>
      <w:bookmarkEnd w:id="12"/>
    </w:p>
    <w:p w:rsidR="003F136D" w:rsidP="00200035" w14:paraId="426FBFF5" w14:textId="77777777"/>
    <w:p w:rsidR="00837B91" w:rsidRPr="003F136D" w:rsidP="00200035" w14:paraId="6308F43A" w14:textId="3B16A16E">
      <w:r w:rsidRPr="003F136D">
        <w:t xml:space="preserve">Screening, consent, contact information collection, </w:t>
      </w:r>
      <w:r w:rsidR="000B7FE2">
        <w:t>assessment</w:t>
      </w:r>
      <w:r w:rsidRPr="003F136D">
        <w:t xml:space="preserve"> completion</w:t>
      </w:r>
      <w:r w:rsidRPr="003F136D" w:rsidR="00441B56">
        <w:t xml:space="preserve">, focus group attendance and </w:t>
      </w:r>
      <w:r w:rsidR="00473F4E">
        <w:t xml:space="preserve">the </w:t>
      </w:r>
      <w:r w:rsidRPr="003F136D" w:rsidR="00441B56">
        <w:t xml:space="preserve">in-depth interview will be </w:t>
      </w:r>
      <w:r w:rsidR="002170E3">
        <w:t>offered in an</w:t>
      </w:r>
      <w:r w:rsidRPr="003F136D" w:rsidR="00441B56">
        <w:t xml:space="preserve"> online</w:t>
      </w:r>
      <w:r w:rsidR="002170E3">
        <w:t xml:space="preserve"> format</w:t>
      </w:r>
      <w:r w:rsidRPr="003F136D" w:rsidR="00BD0A0E">
        <w:t xml:space="preserve">. </w:t>
      </w:r>
      <w:r w:rsidRPr="003F136D" w:rsidR="00325C27">
        <w:t>This</w:t>
      </w:r>
      <w:r w:rsidRPr="003F136D" w:rsidR="006060DE">
        <w:t xml:space="preserve"> </w:t>
      </w:r>
      <w:r w:rsidRPr="003F136D" w:rsidR="00325C27">
        <w:t xml:space="preserve">will allow participants to complete the study activities at a place and time that is most </w:t>
      </w:r>
      <w:r w:rsidR="001616A8">
        <w:t xml:space="preserve">secure and </w:t>
      </w:r>
      <w:r w:rsidRPr="003F136D" w:rsidR="00325C27">
        <w:t>conveni</w:t>
      </w:r>
      <w:r w:rsidRPr="003F136D" w:rsidR="006060DE">
        <w:t>ent to them.</w:t>
      </w:r>
      <w:r w:rsidRPr="003F136D" w:rsidR="00441B56">
        <w:t xml:space="preserve"> </w:t>
      </w:r>
      <w:r w:rsidR="00091ABC">
        <w:t xml:space="preserve">Participants will </w:t>
      </w:r>
      <w:r w:rsidR="004B7DC1">
        <w:t xml:space="preserve">also </w:t>
      </w:r>
      <w:r w:rsidR="00091ABC">
        <w:t xml:space="preserve">have the option to conduct data collection activities </w:t>
      </w:r>
      <w:r w:rsidR="006C2498">
        <w:t xml:space="preserve">in-person. </w:t>
      </w:r>
      <w:r w:rsidR="00473F4E">
        <w:t xml:space="preserve">Study staff will be available to support participants during virtual and in-person data collection activities. </w:t>
      </w:r>
      <w:r w:rsidRPr="003F136D" w:rsidR="00A63011">
        <w:t>Focus groups and in-depth interviews will be audio-recorded</w:t>
      </w:r>
      <w:r w:rsidRPr="003F136D" w:rsidR="00966B9D">
        <w:t xml:space="preserve">. This limits </w:t>
      </w:r>
      <w:r w:rsidRPr="003F136D" w:rsidR="00B929F3">
        <w:t>burden on the interviewer</w:t>
      </w:r>
      <w:r w:rsidRPr="003F136D" w:rsidR="00FA3F2F">
        <w:t xml:space="preserve"> (the interviewer does not have to take </w:t>
      </w:r>
      <w:r w:rsidRPr="003F136D" w:rsidR="00955F9A">
        <w:t xml:space="preserve">handwritten </w:t>
      </w:r>
      <w:r w:rsidRPr="003F136D" w:rsidR="00FA3F2F">
        <w:t xml:space="preserve">notes), </w:t>
      </w:r>
      <w:r w:rsidRPr="003F136D" w:rsidR="00932B63">
        <w:t xml:space="preserve">allows researchers to accurately capture participant responses, and </w:t>
      </w:r>
      <w:r w:rsidR="00200035">
        <w:t>allows</w:t>
      </w:r>
      <w:r w:rsidRPr="003F136D" w:rsidR="00932B63">
        <w:t xml:space="preserve"> the </w:t>
      </w:r>
      <w:r w:rsidRPr="003F136D" w:rsidR="00E5299A">
        <w:t xml:space="preserve">interviewer or focus group </w:t>
      </w:r>
      <w:r w:rsidRPr="003F136D" w:rsidR="00BD1985">
        <w:t xml:space="preserve">moderator to </w:t>
      </w:r>
      <w:r w:rsidR="00200035">
        <w:t>concentrate</w:t>
      </w:r>
      <w:r w:rsidRPr="003F136D" w:rsidR="00A90F95">
        <w:t xml:space="preserve"> on building and maintaining rapport with the respondent.</w:t>
      </w:r>
      <w:r w:rsidR="00473F4E">
        <w:t xml:space="preserve"> </w:t>
      </w:r>
    </w:p>
    <w:p w:rsidR="005243AA" w:rsidRPr="003F136D" w:rsidP="00200035" w14:paraId="771CF8B4" w14:textId="77777777"/>
    <w:p w:rsidR="00837B91" w:rsidRPr="003F136D" w:rsidP="00D55B8A" w14:paraId="12D4E257" w14:textId="70F96235">
      <w:r w:rsidRPr="003F136D">
        <w:t xml:space="preserve">Quantitative data collection will be </w:t>
      </w:r>
      <w:r w:rsidRPr="003F136D" w:rsidR="000801C4">
        <w:t>conducted with</w:t>
      </w:r>
      <w:r w:rsidRPr="003F136D">
        <w:t xml:space="preserve"> </w:t>
      </w:r>
      <w:r w:rsidRPr="003F136D">
        <w:t>Alchemer</w:t>
      </w:r>
      <w:r w:rsidRPr="003F136D">
        <w:t>, a HIPPA</w:t>
      </w:r>
      <w:r w:rsidR="00F50456">
        <w:t>-</w:t>
      </w:r>
      <w:r w:rsidRPr="003F136D">
        <w:t xml:space="preserve">compliant </w:t>
      </w:r>
      <w:r w:rsidRPr="003F136D" w:rsidR="001D52D8">
        <w:t>web-based</w:t>
      </w:r>
      <w:r w:rsidRPr="003F136D">
        <w:t xml:space="preserve"> system previously used </w:t>
      </w:r>
      <w:r w:rsidRPr="003F136D" w:rsidR="000801C4">
        <w:t>the study team in</w:t>
      </w:r>
      <w:r w:rsidRPr="003F136D">
        <w:t xml:space="preserve"> collaborative research with CDC</w:t>
      </w:r>
      <w:r w:rsidRPr="003F136D" w:rsidR="00381DA4">
        <w:t xml:space="preserve"> (</w:t>
      </w:r>
      <w:r w:rsidRPr="003F136D" w:rsidR="003B44F3">
        <w:t>Mobile Messaging Intervention to Present New HIV Prevention Options for Men Who have Sex with Men: Randomized Controlled Trial</w:t>
      </w:r>
      <w:r w:rsidR="0094042E">
        <w:t>, OMB 0920-1209</w:t>
      </w:r>
      <w:r w:rsidR="00B5654F">
        <w:t xml:space="preserve"> exp. </w:t>
      </w:r>
      <w:r w:rsidR="006B754D">
        <w:t>12/31/2019</w:t>
      </w:r>
      <w:r w:rsidRPr="003F136D" w:rsidR="00D722F7">
        <w:t xml:space="preserve">) </w:t>
      </w:r>
      <w:r w:rsidRPr="003F136D">
        <w:t xml:space="preserve">and supported by the Emory University Center for AIDS Research (CFAR). </w:t>
      </w:r>
      <w:r w:rsidR="000B7FE2">
        <w:t>Assessment</w:t>
      </w:r>
      <w:r w:rsidRPr="003F136D">
        <w:t>s will be optimized for participants to take them through a personal computer, mobile phone, tablet</w:t>
      </w:r>
      <w:r w:rsidRPr="003F136D" w:rsidR="0025123D">
        <w:t>,</w:t>
      </w:r>
      <w:r w:rsidRPr="003F136D">
        <w:t xml:space="preserve"> or the </w:t>
      </w:r>
      <w:r w:rsidRPr="003F136D">
        <w:t>SM</w:t>
      </w:r>
      <w:r w:rsidR="00473F4E">
        <w:t>a</w:t>
      </w:r>
      <w:r w:rsidRPr="003F136D">
        <w:t>RT</w:t>
      </w:r>
      <w:r w:rsidRPr="003F136D">
        <w:t xml:space="preserve"> study app. For participants who do not have any of these devices or prefer to not take the </w:t>
      </w:r>
      <w:r w:rsidR="000B7FE2">
        <w:t>assessment</w:t>
      </w:r>
      <w:r w:rsidRPr="003F136D">
        <w:t xml:space="preserve"> from their personal device, each city will have research space where participants can schedule a convenient time to take the </w:t>
      </w:r>
      <w:r w:rsidR="000B7FE2">
        <w:t>assessment</w:t>
      </w:r>
      <w:r w:rsidRPr="003F136D">
        <w:t xml:space="preserve"> on a computer or tablet that the study will provide for that purpose. </w:t>
      </w:r>
      <w:r w:rsidR="002374A1">
        <w:t>The</w:t>
      </w:r>
      <w:r w:rsidR="00940A84">
        <w:t xml:space="preserve"> </w:t>
      </w:r>
      <w:r w:rsidR="00DB432A">
        <w:t>web based</w:t>
      </w:r>
      <w:r w:rsidR="00940A84">
        <w:t xml:space="preserve"> </w:t>
      </w:r>
      <w:r w:rsidR="00940A84">
        <w:t>Alchemer</w:t>
      </w:r>
      <w:r w:rsidR="00940A84">
        <w:t xml:space="preserve"> sy</w:t>
      </w:r>
      <w:r w:rsidR="00DB432A">
        <w:t xml:space="preserve">stem </w:t>
      </w:r>
      <w:r w:rsidR="002374A1">
        <w:t>also</w:t>
      </w:r>
      <w:r w:rsidR="00C51E68">
        <w:t xml:space="preserve"> allow</w:t>
      </w:r>
      <w:r w:rsidR="002374A1">
        <w:t>s</w:t>
      </w:r>
      <w:r w:rsidR="00DB432A">
        <w:t xml:space="preserve"> us to build in computer-generated</w:t>
      </w:r>
      <w:r w:rsidR="00D60D39">
        <w:t xml:space="preserve"> skip patterns </w:t>
      </w:r>
      <w:r w:rsidR="006D281A">
        <w:t>to</w:t>
      </w:r>
      <w:r w:rsidR="00D60D39">
        <w:t xml:space="preserve"> </w:t>
      </w:r>
      <w:r w:rsidR="008E7760">
        <w:t xml:space="preserve">greatly </w:t>
      </w:r>
      <w:r w:rsidR="007A606E">
        <w:t>reduce respondent burden</w:t>
      </w:r>
      <w:r w:rsidR="006D281A">
        <w:t xml:space="preserve">. </w:t>
      </w:r>
      <w:r w:rsidR="00D55B8A">
        <w:t>In addition, data collected through the web</w:t>
      </w:r>
      <w:r w:rsidR="00B629B8">
        <w:t xml:space="preserve"> </w:t>
      </w:r>
      <w:r w:rsidR="00D55B8A">
        <w:t>application can be used to automatically generate the study database, reducing data entry burden and</w:t>
      </w:r>
      <w:r w:rsidR="00B629B8">
        <w:t xml:space="preserve"> </w:t>
      </w:r>
      <w:r w:rsidR="00D55B8A">
        <w:t>potential data entry error.</w:t>
      </w:r>
    </w:p>
    <w:p w:rsidR="00CE73BA" w:rsidRPr="003F136D" w:rsidP="00200035" w14:paraId="77A6AC74" w14:textId="77777777"/>
    <w:p w:rsidR="00A81BBB" w:rsidRPr="003E2F97" w:rsidP="00200035" w14:paraId="476CB39F" w14:textId="229FC5D9">
      <w:bookmarkStart w:id="13" w:name="_Hlk131175690"/>
      <w:r w:rsidRPr="003F136D">
        <w:t xml:space="preserve">The </w:t>
      </w:r>
      <w:r w:rsidR="00B5251B">
        <w:t xml:space="preserve">study will utilize the </w:t>
      </w:r>
      <w:r w:rsidRPr="003F136D">
        <w:t>SMaRT</w:t>
      </w:r>
      <w:r w:rsidRPr="003F136D">
        <w:t xml:space="preserve"> </w:t>
      </w:r>
      <w:r w:rsidR="00AF6F75">
        <w:t xml:space="preserve">(Study Management and Retention Toolkit) </w:t>
      </w:r>
      <w:r w:rsidRPr="003F136D">
        <w:t>system</w:t>
      </w:r>
      <w:r w:rsidR="00B5251B">
        <w:t>,</w:t>
      </w:r>
      <w:r w:rsidRPr="003F136D">
        <w:t xml:space="preserve"> a study management platform that allows for participant management </w:t>
      </w:r>
      <w:r w:rsidRPr="003F136D" w:rsidR="0082393F">
        <w:t xml:space="preserve">including </w:t>
      </w:r>
      <w:r w:rsidRPr="003F136D">
        <w:t>reminder</w:t>
      </w:r>
      <w:r w:rsidRPr="003F136D" w:rsidR="0082393F">
        <w:t xml:space="preserve"> notices</w:t>
      </w:r>
      <w:r w:rsidRPr="003F136D">
        <w:t xml:space="preserve">, scheduling, </w:t>
      </w:r>
      <w:r w:rsidR="000B7FE2">
        <w:t>assessment</w:t>
      </w:r>
      <w:r w:rsidRPr="003F136D">
        <w:t xml:space="preserve"> administration, and communication by email and text messaging. It </w:t>
      </w:r>
      <w:r w:rsidRPr="003F136D" w:rsidR="0082393F">
        <w:t xml:space="preserve">also </w:t>
      </w:r>
      <w:r w:rsidRPr="003F136D">
        <w:t xml:space="preserve">includes a </w:t>
      </w:r>
      <w:r w:rsidRPr="003F136D" w:rsidR="008837AE">
        <w:t xml:space="preserve">HIPPA-compliant </w:t>
      </w:r>
      <w:r w:rsidRPr="003F136D">
        <w:t>companion mobile app that study participants install on their smart phones that supports several key functions of study participation</w:t>
      </w:r>
      <w:r w:rsidRPr="003F136D" w:rsidR="00BA74BE">
        <w:t xml:space="preserve"> including</w:t>
      </w:r>
      <w:r w:rsidRPr="003F136D">
        <w:t xml:space="preserve"> notifications of </w:t>
      </w:r>
      <w:r w:rsidR="000B7FE2">
        <w:t>assessment</w:t>
      </w:r>
      <w:r w:rsidRPr="003F136D">
        <w:t xml:space="preserve">s available, administration of </w:t>
      </w:r>
      <w:r w:rsidR="000B7FE2">
        <w:t>assessment</w:t>
      </w:r>
      <w:r w:rsidRPr="003F136D">
        <w:t xml:space="preserve">s, </w:t>
      </w:r>
      <w:r w:rsidRPr="003F136D" w:rsidR="00BA74BE">
        <w:t xml:space="preserve">a </w:t>
      </w:r>
      <w:r w:rsidRPr="003F136D">
        <w:t>messaging center, appointment scheduling</w:t>
      </w:r>
      <w:r w:rsidRPr="003F136D" w:rsidR="00706FD6">
        <w:t xml:space="preserve">, secure </w:t>
      </w:r>
      <w:r w:rsidRPr="003F136D" w:rsidR="001B0A7F">
        <w:t xml:space="preserve">HIPPA-complaint </w:t>
      </w:r>
      <w:r w:rsidRPr="003F136D" w:rsidR="00706FD6">
        <w:t>document upload</w:t>
      </w:r>
      <w:r w:rsidRPr="003F136D" w:rsidR="001B0A7F">
        <w:t xml:space="preserve"> and return of laboratory results, and </w:t>
      </w:r>
      <w:r w:rsidRPr="003F136D" w:rsidR="005631FC">
        <w:t xml:space="preserve">a </w:t>
      </w:r>
      <w:r w:rsidRPr="003F136D" w:rsidR="001B0A7F">
        <w:t>HIPPA-compliant telehealth video</w:t>
      </w:r>
      <w:r w:rsidRPr="003F136D" w:rsidR="005631FC">
        <w:t xml:space="preserve"> conference platform</w:t>
      </w:r>
      <w:r w:rsidRPr="003F136D" w:rsidR="001B0A7F">
        <w:t xml:space="preserve">. </w:t>
      </w:r>
      <w:r w:rsidRPr="003F136D" w:rsidR="001B0A7F">
        <w:t>SMaRT</w:t>
      </w:r>
      <w:r w:rsidRPr="003F136D" w:rsidR="001B0A7F">
        <w:t xml:space="preserve"> develops an individualized study timeline for each participant as they are enrolled, with target dates for all study activities (</w:t>
      </w:r>
      <w:r w:rsidR="000B7FE2">
        <w:t>assessment</w:t>
      </w:r>
      <w:r w:rsidRPr="003F136D" w:rsidR="001B0A7F">
        <w:t xml:space="preserve">s, testing, qualitative interviews, etc.). Participants can elect to receive messages and communicate with study staff by email, through text messages, or through </w:t>
      </w:r>
      <w:r w:rsidRPr="003F136D" w:rsidR="00895486">
        <w:t xml:space="preserve">the </w:t>
      </w:r>
      <w:r w:rsidRPr="003F136D" w:rsidR="00895486">
        <w:t>SMaRT</w:t>
      </w:r>
      <w:r w:rsidRPr="003F136D" w:rsidR="001B0A7F">
        <w:t xml:space="preserve"> study app. Reminders for study assessments, return of biological specimens, uploading of HIV test results and qualitative interviews will be delivered through the </w:t>
      </w:r>
      <w:r w:rsidRPr="003F136D" w:rsidR="001B0A7F">
        <w:t>SMaRT</w:t>
      </w:r>
      <w:r w:rsidRPr="003F136D" w:rsidR="001B0A7F">
        <w:t xml:space="preserve"> system, using the method (email, SMS, app messaging) that the participant has chosen.</w:t>
      </w:r>
    </w:p>
    <w:bookmarkEnd w:id="13"/>
    <w:p w:rsidR="002C5246" w:rsidRPr="002C5246" w:rsidP="00200035" w14:paraId="2B8EB9AB" w14:textId="77777777"/>
    <w:p w:rsidR="002C5246" w:rsidP="002C5246" w14:paraId="6BAB5C17" w14:textId="77569FA7">
      <w:pPr>
        <w:pStyle w:val="ListParagraph"/>
        <w:spacing w:after="0" w:line="240" w:lineRule="auto"/>
        <w:ind w:left="0"/>
        <w:contextualSpacing w:val="0"/>
        <w:rPr>
          <w:rFonts w:ascii="Times New Roman" w:hAnsi="Times New Roman" w:eastAsiaTheme="minorHAnsi"/>
          <w:b/>
          <w:bCs/>
          <w:sz w:val="24"/>
          <w:szCs w:val="24"/>
          <w:lang w:val="en-US" w:eastAsia="en-US"/>
        </w:rPr>
      </w:pPr>
      <w:r w:rsidRPr="00872253">
        <w:rPr>
          <w:rFonts w:ascii="Times New Roman" w:hAnsi="Times New Roman" w:eastAsiaTheme="minorHAnsi"/>
          <w:b/>
          <w:bCs/>
          <w:sz w:val="24"/>
          <w:szCs w:val="24"/>
          <w:lang w:val="en-US" w:eastAsia="en-US"/>
        </w:rPr>
        <w:t xml:space="preserve">4.    </w:t>
      </w:r>
      <w:bookmarkStart w:id="14" w:name="EffortsToIdentifyDuplication4"/>
      <w:r w:rsidRPr="00872253">
        <w:rPr>
          <w:rFonts w:ascii="Times New Roman" w:hAnsi="Times New Roman" w:eastAsiaTheme="minorHAnsi"/>
          <w:b/>
          <w:bCs/>
          <w:sz w:val="24"/>
          <w:szCs w:val="24"/>
          <w:lang w:val="en-US" w:eastAsia="en-US"/>
        </w:rPr>
        <w:t>Efforts to Identify Duplication and Use of Similar Information</w:t>
      </w:r>
    </w:p>
    <w:bookmarkEnd w:id="14"/>
    <w:p w:rsidR="00090F20" w:rsidP="003F558C" w14:paraId="4F5DB2D7" w14:textId="114E4991">
      <w:pPr>
        <w:spacing w:line="259" w:lineRule="auto"/>
        <w:rPr>
          <w:rFonts w:eastAsiaTheme="minorHAnsi"/>
          <w:szCs w:val="24"/>
        </w:rPr>
      </w:pPr>
    </w:p>
    <w:p w:rsidR="00CD5C45" w:rsidRPr="00081ADA" w:rsidP="00CD5C45" w14:paraId="1C468F6E" w14:textId="4D1ADBBC">
      <w:pPr>
        <w:spacing w:line="259" w:lineRule="auto"/>
        <w:rPr>
          <w:rFonts w:eastAsiaTheme="minorHAnsi"/>
          <w:szCs w:val="24"/>
        </w:rPr>
      </w:pPr>
      <w:r w:rsidRPr="00081ADA">
        <w:rPr>
          <w:rFonts w:eastAsiaTheme="minorHAnsi"/>
          <w:szCs w:val="24"/>
        </w:rPr>
        <w:t>In 2021, CDC provided clinical guidelines</w:t>
      </w:r>
      <w:r w:rsidRPr="00081ADA" w:rsidR="00D548D7">
        <w:rPr>
          <w:rFonts w:eastAsiaTheme="minorHAnsi"/>
          <w:szCs w:val="24"/>
          <w:vertAlign w:val="superscript"/>
        </w:rPr>
        <w:t>1</w:t>
      </w:r>
      <w:r w:rsidR="00E11D50">
        <w:rPr>
          <w:rFonts w:eastAsiaTheme="minorHAnsi"/>
          <w:szCs w:val="24"/>
          <w:vertAlign w:val="superscript"/>
        </w:rPr>
        <w:t>5</w:t>
      </w:r>
      <w:r w:rsidRPr="00081ADA">
        <w:rPr>
          <w:rFonts w:eastAsiaTheme="minorHAnsi"/>
          <w:szCs w:val="24"/>
        </w:rPr>
        <w:t xml:space="preserve"> addressing new products for PrEP for MSM, including bi-monthly injectable PrEP (</w:t>
      </w:r>
      <w:r w:rsidRPr="00081ADA">
        <w:rPr>
          <w:rFonts w:eastAsiaTheme="minorHAnsi"/>
          <w:szCs w:val="24"/>
        </w:rPr>
        <w:t>Apretude</w:t>
      </w:r>
      <w:r w:rsidRPr="00081ADA">
        <w:rPr>
          <w:rFonts w:eastAsiaTheme="minorHAnsi"/>
          <w:szCs w:val="24"/>
        </w:rPr>
        <w:t xml:space="preserve">, cabotegravir-long acting) and on demand oral PrEP (also known as event-driven or 2-1-1 oral dosing). Prior to 2021, behavioral research on PrEP focused solely on the daily oral modality (Truvada, </w:t>
      </w:r>
      <w:r w:rsidRPr="00081ADA">
        <w:rPr>
          <w:rFonts w:eastAsiaTheme="minorHAnsi"/>
          <w:szCs w:val="24"/>
        </w:rPr>
        <w:t>Descovy</w:t>
      </w:r>
      <w:r w:rsidRPr="00081ADA">
        <w:rPr>
          <w:rFonts w:eastAsiaTheme="minorHAnsi"/>
          <w:szCs w:val="24"/>
        </w:rPr>
        <w:t>) and its use and adherence among MSM in the United States</w:t>
      </w:r>
      <w:r w:rsidR="00B60A5E">
        <w:rPr>
          <w:rFonts w:eastAsiaTheme="minorHAnsi"/>
          <w:szCs w:val="24"/>
        </w:rPr>
        <w:t>.</w:t>
      </w:r>
      <w:r w:rsidRPr="00081ADA" w:rsidR="008124CE">
        <w:rPr>
          <w:rFonts w:eastAsiaTheme="minorHAnsi"/>
          <w:szCs w:val="24"/>
          <w:vertAlign w:val="superscript"/>
        </w:rPr>
        <w:t>1</w:t>
      </w:r>
      <w:r w:rsidR="005A5DFE">
        <w:rPr>
          <w:rFonts w:eastAsiaTheme="minorHAnsi"/>
          <w:szCs w:val="24"/>
          <w:vertAlign w:val="superscript"/>
        </w:rPr>
        <w:t>6</w:t>
      </w:r>
      <w:r w:rsidRPr="00081ADA" w:rsidR="008124CE">
        <w:rPr>
          <w:rFonts w:eastAsiaTheme="minorHAnsi"/>
          <w:szCs w:val="24"/>
          <w:vertAlign w:val="superscript"/>
        </w:rPr>
        <w:t>, 1</w:t>
      </w:r>
      <w:r w:rsidR="005A5DFE">
        <w:rPr>
          <w:rFonts w:eastAsiaTheme="minorHAnsi"/>
          <w:szCs w:val="24"/>
          <w:vertAlign w:val="superscript"/>
        </w:rPr>
        <w:t>7</w:t>
      </w:r>
      <w:r w:rsidRPr="00081ADA">
        <w:rPr>
          <w:rFonts w:eastAsiaTheme="minorHAnsi"/>
          <w:szCs w:val="24"/>
        </w:rPr>
        <w:t xml:space="preserve"> While some earlier studies assessed behavioral intentions related to hypothetical injectable and on demand PrEP products in this population</w:t>
      </w:r>
      <w:r w:rsidR="00B60A5E">
        <w:rPr>
          <w:rFonts w:eastAsiaTheme="minorHAnsi"/>
          <w:szCs w:val="24"/>
        </w:rPr>
        <w:t>,</w:t>
      </w:r>
      <w:r w:rsidRPr="00081ADA" w:rsidR="00DD0BC3">
        <w:rPr>
          <w:rFonts w:eastAsiaTheme="minorHAnsi"/>
          <w:szCs w:val="24"/>
          <w:vertAlign w:val="superscript"/>
        </w:rPr>
        <w:t>1</w:t>
      </w:r>
      <w:r w:rsidR="005A5DFE">
        <w:rPr>
          <w:rFonts w:eastAsiaTheme="minorHAnsi"/>
          <w:szCs w:val="24"/>
          <w:vertAlign w:val="superscript"/>
        </w:rPr>
        <w:t>8</w:t>
      </w:r>
      <w:r w:rsidRPr="00081ADA" w:rsidR="00DD0BC3">
        <w:rPr>
          <w:rFonts w:eastAsiaTheme="minorHAnsi"/>
          <w:szCs w:val="24"/>
          <w:vertAlign w:val="superscript"/>
        </w:rPr>
        <w:t>, 1</w:t>
      </w:r>
      <w:r w:rsidR="00011CFC">
        <w:rPr>
          <w:rFonts w:eastAsiaTheme="minorHAnsi"/>
          <w:szCs w:val="24"/>
          <w:vertAlign w:val="superscript"/>
        </w:rPr>
        <w:t>9</w:t>
      </w:r>
      <w:r w:rsidRPr="00081ADA">
        <w:rPr>
          <w:rFonts w:eastAsiaTheme="minorHAnsi"/>
          <w:szCs w:val="24"/>
        </w:rPr>
        <w:t xml:space="preserve"> research has not yet assessed actual behavioral choices over time once products are available for </w:t>
      </w:r>
      <w:r w:rsidR="00657FD0">
        <w:rPr>
          <w:rFonts w:eastAsiaTheme="minorHAnsi"/>
          <w:szCs w:val="24"/>
        </w:rPr>
        <w:t xml:space="preserve">MSM in the </w:t>
      </w:r>
      <w:r w:rsidRPr="00081ADA">
        <w:rPr>
          <w:rFonts w:eastAsiaTheme="minorHAnsi"/>
          <w:szCs w:val="24"/>
        </w:rPr>
        <w:t>U.S. Transitioning among products is likely with emergence of new products, as well as over time for an individual, but these behaviors have not yet been assessed</w:t>
      </w:r>
      <w:r w:rsidRPr="00081ADA" w:rsidR="00802C87">
        <w:rPr>
          <w:rFonts w:eastAsiaTheme="minorHAnsi"/>
          <w:szCs w:val="24"/>
        </w:rPr>
        <w:t>.</w:t>
      </w:r>
      <w:r w:rsidR="0050074F">
        <w:rPr>
          <w:rFonts w:eastAsiaTheme="minorHAnsi"/>
          <w:szCs w:val="24"/>
          <w:vertAlign w:val="superscript"/>
        </w:rPr>
        <w:t>20</w:t>
      </w:r>
      <w:r w:rsidRPr="00081ADA">
        <w:rPr>
          <w:rFonts w:eastAsiaTheme="minorHAnsi"/>
          <w:szCs w:val="24"/>
        </w:rPr>
        <w:t xml:space="preserve"> Past PrEP use and adherence studies have largely been clinic based</w:t>
      </w:r>
      <w:r w:rsidR="004632C7">
        <w:rPr>
          <w:rFonts w:eastAsiaTheme="minorHAnsi"/>
          <w:szCs w:val="24"/>
        </w:rPr>
        <w:t>.</w:t>
      </w:r>
      <w:r w:rsidR="0050074F">
        <w:rPr>
          <w:rFonts w:eastAsiaTheme="minorHAnsi"/>
          <w:szCs w:val="24"/>
          <w:vertAlign w:val="superscript"/>
        </w:rPr>
        <w:t>21</w:t>
      </w:r>
      <w:r w:rsidRPr="00081ADA">
        <w:rPr>
          <w:rFonts w:eastAsiaTheme="minorHAnsi"/>
          <w:szCs w:val="24"/>
        </w:rPr>
        <w:t xml:space="preserve"> Other MSM cohort studies currently in development during this new era of multiple available PrEP products may focus on either current PrEP users in clinic settings (e.g., </w:t>
      </w:r>
      <w:r w:rsidRPr="00081ADA">
        <w:rPr>
          <w:rFonts w:eastAsiaTheme="minorHAnsi"/>
          <w:szCs w:val="24"/>
        </w:rPr>
        <w:t>PrEPChoice</w:t>
      </w:r>
      <w:r w:rsidRPr="00081ADA">
        <w:rPr>
          <w:rFonts w:eastAsiaTheme="minorHAnsi"/>
          <w:szCs w:val="24"/>
        </w:rPr>
        <w:t xml:space="preserve">) or men not using PrEP (none identified), but not on both populations of MSM when applying a standard assessment across the two groups for relevant comparisons over time. Lastly, we are not able to identify any MSM cohort studies that are focused on developing and testing prevention messages in the new era of several PrEP products, and then providing rapid reports to a federal agency about recommendations for immediate messaging by agency and funded partners.  </w:t>
      </w:r>
    </w:p>
    <w:p w:rsidR="00CD5C45" w:rsidRPr="00081ADA" w:rsidP="00CD5C45" w14:paraId="59F92F19" w14:textId="77777777">
      <w:pPr>
        <w:spacing w:line="259" w:lineRule="auto"/>
        <w:rPr>
          <w:rFonts w:eastAsiaTheme="minorHAnsi"/>
          <w:szCs w:val="24"/>
        </w:rPr>
      </w:pPr>
    </w:p>
    <w:p w:rsidR="003321E2" w:rsidRPr="00081ADA" w:rsidP="003F558C" w14:paraId="50249A90" w14:textId="759C5765">
      <w:pPr>
        <w:spacing w:line="259" w:lineRule="auto"/>
        <w:rPr>
          <w:rFonts w:eastAsiaTheme="minorHAnsi"/>
          <w:szCs w:val="24"/>
        </w:rPr>
      </w:pPr>
      <w:r w:rsidRPr="00081ADA">
        <w:rPr>
          <w:rFonts w:eastAsiaTheme="minorHAnsi"/>
          <w:szCs w:val="24"/>
        </w:rPr>
        <w:t xml:space="preserve">Because the HIV prevention behavior and other information gathered in this study will focus on a large community-based, 2-year cohort of MSM that includes men who are (a) using PrEP and (b) not using PrEP at baseline, the Agency believes this study is unique in its efforts herein. Further, this study is unique in that it will develop and test prevention messages to help close identified gaps in HIV protective behavior in the cohort of </w:t>
      </w:r>
      <w:r w:rsidRPr="00081ADA" w:rsidR="00003036">
        <w:rPr>
          <w:rFonts w:eastAsiaTheme="minorHAnsi"/>
          <w:szCs w:val="24"/>
        </w:rPr>
        <w:t>MSM and</w:t>
      </w:r>
      <w:r w:rsidRPr="00081ADA">
        <w:rPr>
          <w:rFonts w:eastAsiaTheme="minorHAnsi"/>
          <w:szCs w:val="24"/>
        </w:rPr>
        <w:t xml:space="preserve"> provide rapid reports to the Agency following each wave of data collection</w:t>
      </w:r>
      <w:r w:rsidR="006B754D">
        <w:rPr>
          <w:rFonts w:eastAsiaTheme="minorHAnsi"/>
          <w:szCs w:val="24"/>
        </w:rPr>
        <w:t>. These reports will</w:t>
      </w:r>
      <w:r w:rsidRPr="00081ADA">
        <w:rPr>
          <w:rFonts w:eastAsiaTheme="minorHAnsi"/>
          <w:szCs w:val="24"/>
        </w:rPr>
        <w:t xml:space="preserve"> summarize key findings and give recommendations for prevention messaging by the Agency and its funded programs in this new era of multiple available PrEP products. </w:t>
      </w:r>
    </w:p>
    <w:p w:rsidR="00872253" w:rsidRPr="00081ADA" w:rsidP="00872253" w14:paraId="14B7FA4A" w14:textId="0CD021D8">
      <w:pPr>
        <w:keepNext/>
        <w:keepLines/>
        <w:spacing w:before="240"/>
        <w:outlineLvl w:val="0"/>
        <w:rPr>
          <w:b/>
          <w:szCs w:val="24"/>
        </w:rPr>
      </w:pPr>
      <w:bookmarkStart w:id="15" w:name="_Toc485202299"/>
      <w:r w:rsidRPr="00081ADA">
        <w:rPr>
          <w:b/>
          <w:szCs w:val="24"/>
        </w:rPr>
        <w:t xml:space="preserve">5.    </w:t>
      </w:r>
      <w:bookmarkStart w:id="16" w:name="ImpactOnSmallBusinesses5"/>
      <w:r w:rsidRPr="00081ADA">
        <w:rPr>
          <w:b/>
          <w:szCs w:val="24"/>
        </w:rPr>
        <w:t>Impact on Small Businesses or Other Small Entities</w:t>
      </w:r>
      <w:bookmarkEnd w:id="15"/>
    </w:p>
    <w:bookmarkEnd w:id="16"/>
    <w:p w:rsidR="00872253" w:rsidRPr="00081ADA" w:rsidP="00872253" w14:paraId="7109B83B" w14:textId="77777777">
      <w:pPr>
        <w:rPr>
          <w:szCs w:val="24"/>
        </w:rPr>
      </w:pPr>
    </w:p>
    <w:p w:rsidR="00872253" w:rsidRPr="00081ADA" w:rsidP="00872253" w14:paraId="1CED96FD" w14:textId="77777777">
      <w:pPr>
        <w:rPr>
          <w:szCs w:val="24"/>
        </w:rPr>
      </w:pPr>
      <w:r w:rsidRPr="00081ADA">
        <w:rPr>
          <w:szCs w:val="24"/>
        </w:rPr>
        <w:t>This collection request does not involve burden to small businesses or other small entities.</w:t>
      </w:r>
    </w:p>
    <w:p w:rsidR="00872253" w:rsidRPr="00081ADA" w:rsidP="00872253" w14:paraId="61C61C95" w14:textId="5591E7FE">
      <w:pPr>
        <w:keepNext/>
        <w:keepLines/>
        <w:spacing w:before="240"/>
        <w:outlineLvl w:val="0"/>
        <w:rPr>
          <w:b/>
          <w:szCs w:val="24"/>
        </w:rPr>
      </w:pPr>
      <w:bookmarkStart w:id="17" w:name="_Toc485202300"/>
      <w:r w:rsidRPr="00081ADA">
        <w:rPr>
          <w:b/>
          <w:szCs w:val="24"/>
        </w:rPr>
        <w:t xml:space="preserve">6.    </w:t>
      </w:r>
      <w:bookmarkStart w:id="18" w:name="Consequences6"/>
      <w:r w:rsidRPr="00081ADA">
        <w:rPr>
          <w:b/>
          <w:szCs w:val="24"/>
        </w:rPr>
        <w:t>Consequences of Collecting the Information Less Frequently</w:t>
      </w:r>
      <w:bookmarkEnd w:id="17"/>
      <w:bookmarkEnd w:id="18"/>
    </w:p>
    <w:p w:rsidR="00872253" w:rsidRPr="00081ADA" w:rsidP="00872253" w14:paraId="08437492" w14:textId="0734D162">
      <w:pPr>
        <w:rPr>
          <w:szCs w:val="24"/>
        </w:rPr>
      </w:pPr>
    </w:p>
    <w:p w:rsidR="004B43D6" w:rsidRPr="00081ADA" w:rsidP="00872253" w14:paraId="62EF7FA2" w14:textId="4CFC13A0">
      <w:pPr>
        <w:rPr>
          <w:szCs w:val="24"/>
        </w:rPr>
      </w:pPr>
      <w:r w:rsidRPr="00081ADA">
        <w:rPr>
          <w:szCs w:val="24"/>
        </w:rPr>
        <w:t xml:space="preserve">The study will provide the </w:t>
      </w:r>
      <w:r w:rsidRPr="00081ADA" w:rsidR="008517A0">
        <w:rPr>
          <w:szCs w:val="24"/>
        </w:rPr>
        <w:t xml:space="preserve">quantitative and qualitative data needed to </w:t>
      </w:r>
      <w:r w:rsidRPr="00081ADA" w:rsidR="001F30DB">
        <w:rPr>
          <w:szCs w:val="24"/>
        </w:rPr>
        <w:t>assess men’s use and preferences for prevention modalities, awareness, knowledge, beliefs and perceptions of HIV/STD prevention products, and structured assessments of prevention messages to develop effective messaging to close identified prevention protection gaps in behavior.</w:t>
      </w:r>
      <w:r w:rsidRPr="00081ADA" w:rsidR="006E23DD">
        <w:rPr>
          <w:szCs w:val="24"/>
        </w:rPr>
        <w:t xml:space="preserve"> Data will be collected </w:t>
      </w:r>
      <w:r w:rsidR="00407113">
        <w:rPr>
          <w:szCs w:val="24"/>
        </w:rPr>
        <w:t>over a</w:t>
      </w:r>
      <w:r w:rsidRPr="00081ADA" w:rsidR="006E23DD">
        <w:rPr>
          <w:szCs w:val="24"/>
        </w:rPr>
        <w:t xml:space="preserve"> two-year follow up period</w:t>
      </w:r>
      <w:r w:rsidRPr="00081ADA" w:rsidR="005F071A">
        <w:rPr>
          <w:szCs w:val="24"/>
        </w:rPr>
        <w:t>. Q</w:t>
      </w:r>
      <w:r w:rsidRPr="00081ADA" w:rsidR="00987254">
        <w:rPr>
          <w:szCs w:val="24"/>
        </w:rPr>
        <w:t xml:space="preserve">uantitative data will be collected at </w:t>
      </w:r>
      <w:r w:rsidR="006B754D">
        <w:rPr>
          <w:szCs w:val="24"/>
        </w:rPr>
        <w:t>3</w:t>
      </w:r>
      <w:r w:rsidRPr="00081ADA" w:rsidR="00987254">
        <w:rPr>
          <w:szCs w:val="24"/>
        </w:rPr>
        <w:t xml:space="preserve">-month </w:t>
      </w:r>
      <w:r w:rsidRPr="00081ADA" w:rsidR="00EC0D36">
        <w:rPr>
          <w:szCs w:val="24"/>
        </w:rPr>
        <w:t xml:space="preserve">intervals </w:t>
      </w:r>
      <w:r w:rsidRPr="00081ADA" w:rsidR="00F233F1">
        <w:rPr>
          <w:szCs w:val="24"/>
        </w:rPr>
        <w:t xml:space="preserve">and </w:t>
      </w:r>
      <w:r w:rsidRPr="00081ADA" w:rsidR="00EC0D36">
        <w:rPr>
          <w:szCs w:val="24"/>
        </w:rPr>
        <w:t>biospecimens at 6-month intervals</w:t>
      </w:r>
      <w:r w:rsidRPr="00081ADA" w:rsidR="005F071A">
        <w:rPr>
          <w:szCs w:val="24"/>
        </w:rPr>
        <w:t xml:space="preserve">. </w:t>
      </w:r>
      <w:r w:rsidRPr="00081ADA" w:rsidR="004A586C">
        <w:rPr>
          <w:szCs w:val="24"/>
        </w:rPr>
        <w:t xml:space="preserve">A series of three qualitative interviews will be conducted </w:t>
      </w:r>
      <w:r w:rsidRPr="00081ADA" w:rsidR="00281306">
        <w:rPr>
          <w:szCs w:val="24"/>
        </w:rPr>
        <w:t xml:space="preserve">at 6-month intervals and qualitative focus group discussions </w:t>
      </w:r>
      <w:r w:rsidRPr="00081ADA" w:rsidR="00BD280F">
        <w:rPr>
          <w:szCs w:val="24"/>
        </w:rPr>
        <w:t xml:space="preserve">will occur </w:t>
      </w:r>
      <w:r w:rsidRPr="00081ADA" w:rsidR="008B5086">
        <w:rPr>
          <w:szCs w:val="24"/>
        </w:rPr>
        <w:t xml:space="preserve">every six months. </w:t>
      </w:r>
      <w:r w:rsidRPr="00081ADA" w:rsidR="003C585C">
        <w:rPr>
          <w:szCs w:val="24"/>
        </w:rPr>
        <w:t xml:space="preserve">Collecting data less frequently would limit our ability </w:t>
      </w:r>
      <w:r w:rsidRPr="00081ADA" w:rsidR="00B00444">
        <w:rPr>
          <w:szCs w:val="24"/>
        </w:rPr>
        <w:t xml:space="preserve">to conduct real-time monitoring of </w:t>
      </w:r>
      <w:r w:rsidRPr="00081ADA" w:rsidR="003620C8">
        <w:rPr>
          <w:szCs w:val="24"/>
        </w:rPr>
        <w:t xml:space="preserve">PrEP </w:t>
      </w:r>
      <w:r w:rsidRPr="00081ADA" w:rsidR="001E273C">
        <w:rPr>
          <w:szCs w:val="24"/>
        </w:rPr>
        <w:t xml:space="preserve">use and </w:t>
      </w:r>
      <w:r w:rsidRPr="00081ADA" w:rsidR="00DD2AD7">
        <w:rPr>
          <w:szCs w:val="24"/>
        </w:rPr>
        <w:t>preferences and</w:t>
      </w:r>
      <w:r w:rsidRPr="00081ADA" w:rsidR="001E273C">
        <w:rPr>
          <w:szCs w:val="24"/>
        </w:rPr>
        <w:t xml:space="preserve"> </w:t>
      </w:r>
      <w:r w:rsidRPr="00081ADA" w:rsidR="00BB34F1">
        <w:rPr>
          <w:szCs w:val="24"/>
        </w:rPr>
        <w:t xml:space="preserve">actively </w:t>
      </w:r>
      <w:r w:rsidRPr="00081ADA" w:rsidR="00050857">
        <w:rPr>
          <w:szCs w:val="24"/>
        </w:rPr>
        <w:t xml:space="preserve">assess </w:t>
      </w:r>
      <w:r w:rsidRPr="00081ADA" w:rsidR="006332AC">
        <w:rPr>
          <w:szCs w:val="24"/>
        </w:rPr>
        <w:t xml:space="preserve">the impact of </w:t>
      </w:r>
      <w:r w:rsidRPr="00081ADA" w:rsidR="007549CC">
        <w:rPr>
          <w:szCs w:val="24"/>
        </w:rPr>
        <w:t>prevention messages to rapidly inform</w:t>
      </w:r>
      <w:r w:rsidRPr="00081ADA" w:rsidR="000B69FE">
        <w:rPr>
          <w:szCs w:val="24"/>
        </w:rPr>
        <w:t xml:space="preserve"> the </w:t>
      </w:r>
      <w:r w:rsidRPr="00081ADA" w:rsidR="001D2547">
        <w:rPr>
          <w:szCs w:val="24"/>
        </w:rPr>
        <w:t>development and delivery</w:t>
      </w:r>
      <w:r w:rsidRPr="00081ADA" w:rsidR="000B69FE">
        <w:rPr>
          <w:szCs w:val="24"/>
        </w:rPr>
        <w:t xml:space="preserve"> of prevention messaging</w:t>
      </w:r>
      <w:r w:rsidRPr="00081ADA" w:rsidR="008A073A">
        <w:rPr>
          <w:szCs w:val="24"/>
        </w:rPr>
        <w:t>.</w:t>
      </w:r>
      <w:r w:rsidRPr="00081ADA" w:rsidR="00580319">
        <w:rPr>
          <w:szCs w:val="24"/>
        </w:rPr>
        <w:t xml:space="preserve"> The number of </w:t>
      </w:r>
      <w:r w:rsidRPr="00081ADA" w:rsidR="008102FD">
        <w:rPr>
          <w:szCs w:val="24"/>
        </w:rPr>
        <w:t xml:space="preserve">collections is the minimum required to </w:t>
      </w:r>
      <w:r w:rsidRPr="00081ADA" w:rsidR="00701A35">
        <w:rPr>
          <w:szCs w:val="24"/>
        </w:rPr>
        <w:t xml:space="preserve">ensure timely delivery of </w:t>
      </w:r>
      <w:r w:rsidRPr="00081ADA" w:rsidR="005F4D30">
        <w:rPr>
          <w:szCs w:val="24"/>
        </w:rPr>
        <w:t xml:space="preserve">responsive and meaningful messaging. </w:t>
      </w:r>
    </w:p>
    <w:p w:rsidR="00AA78EA" w:rsidRPr="00081ADA" w:rsidP="00AA78EA" w14:paraId="2F5F38BC" w14:textId="0544EE91">
      <w:pPr>
        <w:pStyle w:val="Heading1"/>
        <w:numPr>
          <w:ilvl w:val="0"/>
          <w:numId w:val="0"/>
        </w:numPr>
        <w:rPr>
          <w:rFonts w:cs="Times New Roman"/>
          <w:szCs w:val="24"/>
        </w:rPr>
      </w:pPr>
      <w:bookmarkStart w:id="19" w:name="_7.__"/>
      <w:bookmarkStart w:id="20" w:name="_Toc485202301"/>
      <w:bookmarkEnd w:id="19"/>
      <w:r w:rsidRPr="00081ADA">
        <w:rPr>
          <w:rFonts w:cs="Times New Roman"/>
          <w:szCs w:val="24"/>
        </w:rPr>
        <w:t>7.    Special Circumstances Relating to the Guidelines of 5 CFR 1320.5</w:t>
      </w:r>
      <w:bookmarkEnd w:id="20"/>
    </w:p>
    <w:p w:rsidR="00AA78EA" w:rsidRPr="00081ADA" w:rsidP="00AA78EA" w14:paraId="731055AB" w14:textId="77777777">
      <w:pPr>
        <w:rPr>
          <w:szCs w:val="24"/>
        </w:rPr>
      </w:pPr>
    </w:p>
    <w:p w:rsidR="0014704E" w:rsidRPr="00081ADA" w:rsidP="008D4A91" w14:paraId="776171C7" w14:textId="15AE893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bookmarkStart w:id="21" w:name="_8.__"/>
      <w:bookmarkStart w:id="22" w:name="_Toc485202302"/>
      <w:bookmarkEnd w:id="21"/>
      <w:r w:rsidRPr="00081ADA">
        <w:rPr>
          <w:szCs w:val="24"/>
        </w:rPr>
        <w:t xml:space="preserve">There are no special circumstances. The message testing activities fully comply with the regulations and guidelines in 5 CFR 1320.5.  </w:t>
      </w:r>
    </w:p>
    <w:p w:rsidR="00AA78EA" w:rsidRPr="00081ADA" w:rsidP="00AA78EA" w14:paraId="01368FCA" w14:textId="430C0C10">
      <w:pPr>
        <w:pStyle w:val="Heading1"/>
        <w:numPr>
          <w:ilvl w:val="0"/>
          <w:numId w:val="0"/>
        </w:numPr>
        <w:rPr>
          <w:rFonts w:cs="Times New Roman"/>
          <w:szCs w:val="24"/>
        </w:rPr>
      </w:pPr>
      <w:r w:rsidRPr="00081ADA">
        <w:rPr>
          <w:rFonts w:cs="Times New Roman"/>
          <w:szCs w:val="24"/>
        </w:rPr>
        <w:t>8.   Comments in Response to the Federal Register Notice and Efforts to Consult Outside the Agency</w:t>
      </w:r>
      <w:bookmarkEnd w:id="22"/>
    </w:p>
    <w:p w:rsidR="007455AE" w:rsidP="00EC4AB4" w14:paraId="36E606D6" w14:textId="77777777">
      <w:pPr>
        <w:rPr>
          <w:rFonts w:eastAsia="Calibri"/>
          <w:szCs w:val="24"/>
        </w:rPr>
      </w:pPr>
    </w:p>
    <w:p w:rsidR="00AA78EA" w:rsidRPr="00EC4AB4" w:rsidP="00EC4AB4" w14:paraId="45B89778" w14:textId="6EA402C7">
      <w:pPr>
        <w:rPr>
          <w:rFonts w:eastAsia="Calibri"/>
          <w:szCs w:val="24"/>
        </w:rPr>
      </w:pPr>
      <w:r w:rsidRPr="00081ADA">
        <w:rPr>
          <w:szCs w:val="24"/>
        </w:rPr>
        <w:t xml:space="preserve">A </w:t>
      </w:r>
      <w:r w:rsidR="007455AE">
        <w:rPr>
          <w:szCs w:val="24"/>
        </w:rPr>
        <w:t xml:space="preserve">60-Day </w:t>
      </w:r>
      <w:r w:rsidRPr="00081ADA">
        <w:rPr>
          <w:szCs w:val="24"/>
        </w:rPr>
        <w:t xml:space="preserve">Federal Register Notice </w:t>
      </w:r>
      <w:r w:rsidR="007455AE">
        <w:rPr>
          <w:szCs w:val="24"/>
        </w:rPr>
        <w:t xml:space="preserve">to solicit public comments </w:t>
      </w:r>
      <w:r w:rsidRPr="00081ADA">
        <w:rPr>
          <w:szCs w:val="24"/>
        </w:rPr>
        <w:t>was published on 11/16/2022, Vol. 87, No. 220, pages 68696-68698</w:t>
      </w:r>
      <w:r w:rsidRPr="00081ADA">
        <w:rPr>
          <w:szCs w:val="24"/>
        </w:rPr>
        <w:t xml:space="preserve"> (</w:t>
      </w:r>
      <w:r w:rsidRPr="00081ADA">
        <w:rPr>
          <w:b/>
          <w:szCs w:val="24"/>
        </w:rPr>
        <w:t>Attachment 2</w:t>
      </w:r>
      <w:r w:rsidR="007455AE">
        <w:rPr>
          <w:b/>
          <w:szCs w:val="24"/>
        </w:rPr>
        <w:t>a</w:t>
      </w:r>
      <w:r w:rsidRPr="00081ADA">
        <w:rPr>
          <w:szCs w:val="24"/>
        </w:rPr>
        <w:t xml:space="preserve">). </w:t>
      </w:r>
      <w:r w:rsidRPr="00081ADA" w:rsidR="009B11A9">
        <w:rPr>
          <w:szCs w:val="24"/>
        </w:rPr>
        <w:t xml:space="preserve">CDC received </w:t>
      </w:r>
      <w:r w:rsidRPr="00081ADA" w:rsidR="009A5775">
        <w:rPr>
          <w:szCs w:val="24"/>
        </w:rPr>
        <w:t>two comments during the 60-day notice period</w:t>
      </w:r>
      <w:r w:rsidR="007455AE">
        <w:rPr>
          <w:szCs w:val="24"/>
        </w:rPr>
        <w:t xml:space="preserve"> (</w:t>
      </w:r>
      <w:r w:rsidRPr="007455AE" w:rsidR="007455AE">
        <w:rPr>
          <w:b/>
          <w:bCs/>
          <w:szCs w:val="24"/>
        </w:rPr>
        <w:t>Attachment 2b</w:t>
      </w:r>
      <w:r w:rsidR="007455AE">
        <w:rPr>
          <w:szCs w:val="24"/>
        </w:rPr>
        <w:t>)</w:t>
      </w:r>
      <w:r w:rsidRPr="00081ADA" w:rsidR="009A5775">
        <w:rPr>
          <w:szCs w:val="24"/>
        </w:rPr>
        <w:t xml:space="preserve">. The first was a </w:t>
      </w:r>
      <w:r w:rsidRPr="00081ADA" w:rsidR="009B11A9">
        <w:rPr>
          <w:szCs w:val="24"/>
        </w:rPr>
        <w:t>letter of general support</w:t>
      </w:r>
      <w:r w:rsidRPr="00081ADA" w:rsidR="00A456F9">
        <w:rPr>
          <w:szCs w:val="24"/>
        </w:rPr>
        <w:t xml:space="preserve"> </w:t>
      </w:r>
      <w:r w:rsidRPr="00081ADA" w:rsidR="009A5775">
        <w:rPr>
          <w:szCs w:val="24"/>
        </w:rPr>
        <w:t xml:space="preserve">to which CDC replied </w:t>
      </w:r>
      <w:r w:rsidRPr="00081ADA" w:rsidR="002853AD">
        <w:rPr>
          <w:szCs w:val="24"/>
        </w:rPr>
        <w:t xml:space="preserve">thanking the </w:t>
      </w:r>
      <w:r w:rsidRPr="00081ADA" w:rsidR="00C30FD6">
        <w:rPr>
          <w:szCs w:val="24"/>
        </w:rPr>
        <w:t>respondent</w:t>
      </w:r>
      <w:r w:rsidRPr="00081ADA" w:rsidR="002853AD">
        <w:rPr>
          <w:szCs w:val="24"/>
        </w:rPr>
        <w:t>. The second letter had several recommendations</w:t>
      </w:r>
      <w:r w:rsidRPr="00081ADA" w:rsidR="009218F0">
        <w:rPr>
          <w:szCs w:val="24"/>
        </w:rPr>
        <w:t xml:space="preserve"> for improving the study in the areas of </w:t>
      </w:r>
      <w:r w:rsidRPr="00081ADA" w:rsidR="00FF0F35">
        <w:rPr>
          <w:szCs w:val="24"/>
        </w:rPr>
        <w:t xml:space="preserve">study design, </w:t>
      </w:r>
      <w:r w:rsidRPr="00081ADA" w:rsidR="009218F0">
        <w:rPr>
          <w:szCs w:val="24"/>
        </w:rPr>
        <w:t xml:space="preserve">recruitment, </w:t>
      </w:r>
      <w:r w:rsidRPr="00081ADA" w:rsidR="00CA2A9B">
        <w:rPr>
          <w:szCs w:val="24"/>
        </w:rPr>
        <w:t xml:space="preserve">participant inclusion criteria, </w:t>
      </w:r>
      <w:r w:rsidRPr="00081ADA" w:rsidR="004259C2">
        <w:rPr>
          <w:szCs w:val="24"/>
        </w:rPr>
        <w:t xml:space="preserve">and </w:t>
      </w:r>
      <w:r w:rsidRPr="00081ADA" w:rsidR="00BE7220">
        <w:rPr>
          <w:szCs w:val="24"/>
        </w:rPr>
        <w:t>the provision of</w:t>
      </w:r>
      <w:r w:rsidRPr="00081ADA" w:rsidR="00CA2A9B">
        <w:rPr>
          <w:szCs w:val="24"/>
        </w:rPr>
        <w:t xml:space="preserve"> participant compensation</w:t>
      </w:r>
      <w:r w:rsidRPr="00081ADA" w:rsidR="000906AC">
        <w:rPr>
          <w:szCs w:val="24"/>
        </w:rPr>
        <w:t xml:space="preserve"> to limit </w:t>
      </w:r>
      <w:r w:rsidRPr="00081ADA" w:rsidR="004259C2">
        <w:rPr>
          <w:szCs w:val="24"/>
        </w:rPr>
        <w:t xml:space="preserve">selection bias. CDC replied </w:t>
      </w:r>
      <w:r w:rsidRPr="00081ADA" w:rsidR="009251DB">
        <w:rPr>
          <w:szCs w:val="24"/>
        </w:rPr>
        <w:t xml:space="preserve">explaining the scientific rational for </w:t>
      </w:r>
      <w:r w:rsidRPr="00081ADA" w:rsidR="007D6E44">
        <w:rPr>
          <w:szCs w:val="24"/>
        </w:rPr>
        <w:t>the racial and ethnic makeup of the sample</w:t>
      </w:r>
      <w:r w:rsidRPr="00081ADA" w:rsidR="003A6E46">
        <w:rPr>
          <w:szCs w:val="24"/>
        </w:rPr>
        <w:t>;</w:t>
      </w:r>
      <w:r w:rsidRPr="00081ADA" w:rsidR="007D6E44">
        <w:rPr>
          <w:szCs w:val="24"/>
        </w:rPr>
        <w:t xml:space="preserve"> </w:t>
      </w:r>
      <w:r w:rsidRPr="00081ADA" w:rsidR="008A2F45">
        <w:rPr>
          <w:szCs w:val="24"/>
        </w:rPr>
        <w:t xml:space="preserve">the selection of </w:t>
      </w:r>
      <w:r w:rsidRPr="00081ADA" w:rsidR="003F1D21">
        <w:rPr>
          <w:szCs w:val="24"/>
        </w:rPr>
        <w:t>two</w:t>
      </w:r>
      <w:r w:rsidRPr="00081ADA" w:rsidR="008A2F45">
        <w:rPr>
          <w:szCs w:val="24"/>
        </w:rPr>
        <w:t xml:space="preserve"> cohorts rather than </w:t>
      </w:r>
      <w:r w:rsidRPr="00081ADA" w:rsidR="003F1D21">
        <w:rPr>
          <w:szCs w:val="24"/>
        </w:rPr>
        <w:t>three</w:t>
      </w:r>
      <w:r w:rsidRPr="00081ADA" w:rsidR="008A2F45">
        <w:rPr>
          <w:szCs w:val="24"/>
        </w:rPr>
        <w:t xml:space="preserve">; </w:t>
      </w:r>
      <w:r w:rsidRPr="00081ADA" w:rsidR="00B34731">
        <w:rPr>
          <w:szCs w:val="24"/>
        </w:rPr>
        <w:t xml:space="preserve">and </w:t>
      </w:r>
      <w:r w:rsidRPr="00081ADA" w:rsidR="008A2F45">
        <w:rPr>
          <w:szCs w:val="24"/>
        </w:rPr>
        <w:t>the inclusion criteria</w:t>
      </w:r>
      <w:r w:rsidRPr="00081ADA" w:rsidR="00B34731">
        <w:rPr>
          <w:szCs w:val="24"/>
        </w:rPr>
        <w:t xml:space="preserve">. CDC also reassured the respondent that </w:t>
      </w:r>
      <w:r w:rsidRPr="00081ADA" w:rsidR="00736BE9">
        <w:rPr>
          <w:szCs w:val="24"/>
        </w:rPr>
        <w:t>the</w:t>
      </w:r>
      <w:r w:rsidRPr="00081ADA" w:rsidR="006F0C80">
        <w:rPr>
          <w:szCs w:val="24"/>
        </w:rPr>
        <w:t xml:space="preserve"> study</w:t>
      </w:r>
      <w:r w:rsidRPr="00081ADA" w:rsidR="00BE71F3">
        <w:rPr>
          <w:szCs w:val="24"/>
        </w:rPr>
        <w:t xml:space="preserve"> </w:t>
      </w:r>
      <w:r w:rsidRPr="00081ADA" w:rsidR="00196CA7">
        <w:rPr>
          <w:szCs w:val="24"/>
        </w:rPr>
        <w:t>would be</w:t>
      </w:r>
      <w:r w:rsidRPr="00081ADA" w:rsidR="00BE71F3">
        <w:rPr>
          <w:szCs w:val="24"/>
        </w:rPr>
        <w:t xml:space="preserve"> utiliz</w:t>
      </w:r>
      <w:r w:rsidRPr="00081ADA" w:rsidR="00196CA7">
        <w:rPr>
          <w:szCs w:val="24"/>
        </w:rPr>
        <w:t>ing</w:t>
      </w:r>
      <w:r w:rsidRPr="00081ADA" w:rsidR="00BE71F3">
        <w:rPr>
          <w:szCs w:val="24"/>
        </w:rPr>
        <w:t xml:space="preserve"> the recruitment methods</w:t>
      </w:r>
      <w:r w:rsidR="007D5282">
        <w:rPr>
          <w:szCs w:val="24"/>
        </w:rPr>
        <w:t xml:space="preserve"> that</w:t>
      </w:r>
      <w:r w:rsidRPr="00081ADA" w:rsidR="00BE71F3">
        <w:rPr>
          <w:szCs w:val="24"/>
        </w:rPr>
        <w:t xml:space="preserve"> </w:t>
      </w:r>
      <w:r w:rsidRPr="00081ADA" w:rsidR="00FD5F52">
        <w:rPr>
          <w:szCs w:val="24"/>
        </w:rPr>
        <w:t xml:space="preserve">they </w:t>
      </w:r>
      <w:r w:rsidRPr="00081ADA" w:rsidR="00196CA7">
        <w:rPr>
          <w:szCs w:val="24"/>
        </w:rPr>
        <w:t>suggested</w:t>
      </w:r>
      <w:r w:rsidRPr="00081ADA" w:rsidR="00330662">
        <w:rPr>
          <w:szCs w:val="24"/>
        </w:rPr>
        <w:t>, and that th</w:t>
      </w:r>
      <w:r w:rsidRPr="00081ADA" w:rsidR="00110A86">
        <w:rPr>
          <w:szCs w:val="24"/>
        </w:rPr>
        <w:t xml:space="preserve">e study </w:t>
      </w:r>
      <w:r w:rsidRPr="00081ADA" w:rsidR="00FD5F52">
        <w:rPr>
          <w:szCs w:val="24"/>
        </w:rPr>
        <w:t>does plan</w:t>
      </w:r>
      <w:r w:rsidRPr="00081ADA" w:rsidR="00110A86">
        <w:rPr>
          <w:szCs w:val="24"/>
        </w:rPr>
        <w:t xml:space="preserve"> to </w:t>
      </w:r>
      <w:r w:rsidR="00F50456">
        <w:rPr>
          <w:szCs w:val="24"/>
        </w:rPr>
        <w:t xml:space="preserve">provide </w:t>
      </w:r>
      <w:r w:rsidRPr="00081ADA" w:rsidR="00E51F10">
        <w:rPr>
          <w:szCs w:val="24"/>
        </w:rPr>
        <w:t>study participants</w:t>
      </w:r>
      <w:r w:rsidR="00F50456">
        <w:rPr>
          <w:szCs w:val="24"/>
        </w:rPr>
        <w:t xml:space="preserve"> with a token of appreciation</w:t>
      </w:r>
      <w:r w:rsidRPr="00081ADA" w:rsidR="00E51F10">
        <w:rPr>
          <w:szCs w:val="24"/>
        </w:rPr>
        <w:t xml:space="preserve">. </w:t>
      </w:r>
      <w:r w:rsidRPr="00EC4AB4" w:rsidR="00EC4AB4">
        <w:rPr>
          <w:rFonts w:eastAsia="Calibri"/>
          <w:szCs w:val="24"/>
        </w:rPr>
        <w:t xml:space="preserve">No changes were made to the supporting statement or data collection instruments.  </w:t>
      </w:r>
    </w:p>
    <w:p w:rsidR="001839F7" w:rsidRPr="00081ADA" w:rsidP="00EC4AB4" w14:paraId="2CB3FD42" w14:textId="77777777">
      <w:pPr>
        <w:pStyle w:val="ListParagraph"/>
        <w:spacing w:after="0" w:line="240" w:lineRule="auto"/>
        <w:ind w:left="0"/>
        <w:contextualSpacing w:val="0"/>
        <w:rPr>
          <w:rFonts w:ascii="Times New Roman" w:hAnsi="Times New Roman" w:eastAsiaTheme="minorHAnsi"/>
          <w:b/>
          <w:bCs/>
          <w:sz w:val="24"/>
          <w:szCs w:val="24"/>
          <w:lang w:val="en-US" w:eastAsia="en-US"/>
        </w:rPr>
      </w:pPr>
    </w:p>
    <w:p w:rsidR="00B01C8F" w:rsidRPr="00081ADA" w:rsidP="00EC4AB4" w14:paraId="0FFE74A4" w14:textId="0AB307A0">
      <w:pPr>
        <w:pStyle w:val="ListParagraph"/>
        <w:spacing w:after="0" w:line="240" w:lineRule="auto"/>
        <w:ind w:left="0"/>
        <w:contextualSpacing w:val="0"/>
        <w:rPr>
          <w:rFonts w:ascii="Times New Roman" w:hAnsi="Times New Roman" w:eastAsiaTheme="minorHAnsi"/>
          <w:sz w:val="24"/>
          <w:szCs w:val="24"/>
          <w:lang w:val="en-US" w:eastAsia="en-US"/>
        </w:rPr>
      </w:pPr>
      <w:r w:rsidRPr="00081ADA">
        <w:rPr>
          <w:rFonts w:ascii="Times New Roman" w:hAnsi="Times New Roman" w:eastAsiaTheme="minorHAnsi"/>
          <w:sz w:val="24"/>
          <w:szCs w:val="24"/>
          <w:lang w:val="en-US" w:eastAsia="en-US"/>
        </w:rPr>
        <w:t xml:space="preserve">In addition, </w:t>
      </w:r>
      <w:r w:rsidRPr="00081ADA" w:rsidR="00AC1A0E">
        <w:rPr>
          <w:rFonts w:ascii="Times New Roman" w:hAnsi="Times New Roman" w:eastAsiaTheme="minorHAnsi"/>
          <w:sz w:val="24"/>
          <w:szCs w:val="24"/>
          <w:lang w:val="en-US" w:eastAsia="en-US"/>
        </w:rPr>
        <w:t xml:space="preserve">Emory University, San Diego State University, and University of </w:t>
      </w:r>
      <w:r w:rsidR="00AC4B1B">
        <w:rPr>
          <w:rFonts w:ascii="Times New Roman" w:hAnsi="Times New Roman" w:eastAsiaTheme="minorHAnsi"/>
          <w:sz w:val="24"/>
          <w:szCs w:val="24"/>
          <w:lang w:val="en-US" w:eastAsia="en-US"/>
        </w:rPr>
        <w:t>Chicago</w:t>
      </w:r>
      <w:r w:rsidRPr="00081ADA" w:rsidR="00AC4B1B">
        <w:rPr>
          <w:rFonts w:ascii="Times New Roman" w:hAnsi="Times New Roman" w:eastAsiaTheme="minorHAnsi"/>
          <w:sz w:val="24"/>
          <w:szCs w:val="24"/>
          <w:lang w:val="en-US" w:eastAsia="en-US"/>
        </w:rPr>
        <w:t xml:space="preserve"> </w:t>
      </w:r>
      <w:r w:rsidRPr="00081ADA" w:rsidR="005B1416">
        <w:rPr>
          <w:rFonts w:ascii="Times New Roman" w:hAnsi="Times New Roman" w:eastAsiaTheme="minorHAnsi"/>
          <w:sz w:val="24"/>
          <w:szCs w:val="24"/>
          <w:lang w:val="en-US" w:eastAsia="en-US"/>
        </w:rPr>
        <w:t xml:space="preserve">were </w:t>
      </w:r>
      <w:r w:rsidR="00184053">
        <w:rPr>
          <w:rFonts w:ascii="Times New Roman" w:hAnsi="Times New Roman" w:eastAsiaTheme="minorHAnsi"/>
          <w:sz w:val="24"/>
          <w:szCs w:val="24"/>
          <w:lang w:val="en-US" w:eastAsia="en-US"/>
        </w:rPr>
        <w:t>involved in</w:t>
      </w:r>
      <w:r w:rsidRPr="00081ADA" w:rsidR="005B1416">
        <w:rPr>
          <w:rFonts w:ascii="Times New Roman" w:hAnsi="Times New Roman" w:eastAsiaTheme="minorHAnsi"/>
          <w:sz w:val="24"/>
          <w:szCs w:val="24"/>
          <w:lang w:val="en-US" w:eastAsia="en-US"/>
        </w:rPr>
        <w:t xml:space="preserve"> the development of this study in 2022 and 2023. </w:t>
      </w:r>
      <w:r w:rsidRPr="00081ADA" w:rsidR="00387D57">
        <w:rPr>
          <w:rFonts w:ascii="Times New Roman" w:hAnsi="Times New Roman" w:eastAsiaTheme="minorHAnsi"/>
          <w:sz w:val="24"/>
          <w:szCs w:val="24"/>
          <w:lang w:val="en-US" w:eastAsia="en-US"/>
        </w:rPr>
        <w:t xml:space="preserve">There were no unresolved issues associated with the </w:t>
      </w:r>
      <w:r w:rsidR="00676843">
        <w:rPr>
          <w:rFonts w:ascii="Times New Roman" w:hAnsi="Times New Roman" w:eastAsiaTheme="minorHAnsi"/>
          <w:sz w:val="24"/>
          <w:szCs w:val="24"/>
          <w:lang w:val="en-US" w:eastAsia="en-US"/>
        </w:rPr>
        <w:t>development</w:t>
      </w:r>
      <w:r w:rsidRPr="00081ADA" w:rsidR="00676843">
        <w:rPr>
          <w:rFonts w:ascii="Times New Roman" w:hAnsi="Times New Roman" w:eastAsiaTheme="minorHAnsi"/>
          <w:sz w:val="24"/>
          <w:szCs w:val="24"/>
          <w:lang w:val="en-US" w:eastAsia="en-US"/>
        </w:rPr>
        <w:t xml:space="preserve"> </w:t>
      </w:r>
      <w:r w:rsidRPr="00081ADA" w:rsidR="00387D57">
        <w:rPr>
          <w:rFonts w:ascii="Times New Roman" w:hAnsi="Times New Roman" w:eastAsiaTheme="minorHAnsi"/>
          <w:sz w:val="24"/>
          <w:szCs w:val="24"/>
          <w:lang w:val="en-US" w:eastAsia="en-US"/>
        </w:rPr>
        <w:t>process</w:t>
      </w:r>
      <w:r w:rsidRPr="00081ADA" w:rsidR="00F06D60">
        <w:rPr>
          <w:rFonts w:ascii="Times New Roman" w:hAnsi="Times New Roman" w:eastAsiaTheme="minorHAnsi"/>
          <w:sz w:val="24"/>
          <w:szCs w:val="24"/>
          <w:lang w:val="en-US" w:eastAsia="en-US"/>
        </w:rPr>
        <w:t xml:space="preserve">.  </w:t>
      </w:r>
    </w:p>
    <w:p w:rsidR="008C0E73" w:rsidRPr="00081ADA" w:rsidP="00EC4AB4" w14:paraId="1324FB8D" w14:textId="0CD30B58">
      <w:pPr>
        <w:pStyle w:val="ListParagraph"/>
        <w:spacing w:after="0" w:line="240" w:lineRule="auto"/>
        <w:ind w:left="0"/>
        <w:contextualSpacing w:val="0"/>
        <w:rPr>
          <w:rFonts w:ascii="Times New Roman" w:hAnsi="Times New Roman" w:eastAsiaTheme="minorHAnsi"/>
          <w:sz w:val="24"/>
          <w:szCs w:val="24"/>
          <w:lang w:val="en-US" w:eastAsia="en-US"/>
        </w:rPr>
      </w:pPr>
    </w:p>
    <w:tbl>
      <w:tblPr>
        <w:tblStyle w:val="TableGrid"/>
        <w:tblW w:w="0" w:type="auto"/>
        <w:tblLook w:val="04A0"/>
      </w:tblPr>
      <w:tblGrid>
        <w:gridCol w:w="4662"/>
        <w:gridCol w:w="4688"/>
      </w:tblGrid>
      <w:tr w14:paraId="43D47E6E" w14:textId="77777777" w:rsidTr="008B5B9C">
        <w:tblPrEx>
          <w:tblW w:w="0" w:type="auto"/>
          <w:tblLook w:val="04A0"/>
        </w:tblPrEx>
        <w:tc>
          <w:tcPr>
            <w:tcW w:w="4662" w:type="dxa"/>
          </w:tcPr>
          <w:p w:rsidR="00434994" w:rsidRPr="00830A60" w:rsidP="008B5B9C" w14:paraId="5DC1A251" w14:textId="77777777">
            <w:r w:rsidRPr="00830A60">
              <w:t>Patrick Sullivan, Principal Investigator</w:t>
            </w:r>
          </w:p>
          <w:p w:rsidR="00434994" w:rsidRPr="00830A60" w:rsidP="008B5B9C" w14:paraId="687CD936" w14:textId="77777777">
            <w:r w:rsidRPr="00830A60">
              <w:t>Emory University</w:t>
            </w:r>
          </w:p>
          <w:p w:rsidR="00434994" w:rsidRPr="00830A60" w:rsidP="008B5B9C" w14:paraId="18A5DA04" w14:textId="77777777">
            <w:r w:rsidRPr="00830A60">
              <w:t>1518 Clifton Rd NE</w:t>
            </w:r>
          </w:p>
          <w:p w:rsidR="00434994" w:rsidRPr="00830A60" w:rsidP="008B5B9C" w14:paraId="2DA9866C" w14:textId="77777777">
            <w:r w:rsidRPr="00830A60">
              <w:t>Atlanta, GA 30322</w:t>
            </w:r>
          </w:p>
          <w:p w:rsidR="00434994" w:rsidRPr="00830A60" w:rsidP="008B5B9C" w14:paraId="5B96B533" w14:textId="77777777">
            <w:r w:rsidRPr="00830A60">
              <w:t>404-210-6039</w:t>
            </w:r>
          </w:p>
          <w:p w:rsidR="00434994" w:rsidRPr="00B80F52" w:rsidP="008B5B9C" w14:paraId="3FB248CF" w14:textId="0B0635B9">
            <w:r w:rsidRPr="00475700">
              <w:t>psulli@emory.edu</w:t>
            </w:r>
            <w:r w:rsidRPr="00830A60">
              <w:t xml:space="preserve"> </w:t>
            </w:r>
          </w:p>
        </w:tc>
        <w:tc>
          <w:tcPr>
            <w:tcW w:w="4688" w:type="dxa"/>
          </w:tcPr>
          <w:p w:rsidR="00434994" w:rsidRPr="00830A60" w:rsidP="008B5B9C" w14:paraId="359FFA87" w14:textId="77777777">
            <w:r w:rsidRPr="00830A60">
              <w:t>Travis Sanchez, Co-Investigator</w:t>
            </w:r>
          </w:p>
          <w:p w:rsidR="00434994" w:rsidRPr="00830A60" w:rsidP="008B5B9C" w14:paraId="555AD1E7" w14:textId="77777777">
            <w:r w:rsidRPr="00830A60">
              <w:t>Emory University</w:t>
            </w:r>
          </w:p>
          <w:p w:rsidR="00434994" w:rsidRPr="00830A60" w:rsidP="008B5B9C" w14:paraId="183361FD" w14:textId="77777777">
            <w:r w:rsidRPr="00830A60">
              <w:t>1518 Clifton Rd NE</w:t>
            </w:r>
          </w:p>
          <w:p w:rsidR="00434994" w:rsidRPr="00830A60" w:rsidP="008B5B9C" w14:paraId="0642DCF0" w14:textId="77777777">
            <w:r w:rsidRPr="00830A60">
              <w:t>Atlanta, GA 30322</w:t>
            </w:r>
          </w:p>
          <w:p w:rsidR="00434994" w:rsidRPr="00830A60" w:rsidP="008B5B9C" w14:paraId="4E22953D" w14:textId="77777777">
            <w:r w:rsidRPr="00830A60">
              <w:t>404-727-8403</w:t>
            </w:r>
          </w:p>
          <w:p w:rsidR="00434994" w:rsidRPr="00B80F52" w:rsidP="008B5B9C" w14:paraId="1FC42BE4" w14:textId="7415051E">
            <w:r w:rsidRPr="00475700">
              <w:t>travis.sanchez@emory.edu</w:t>
            </w:r>
            <w:r w:rsidRPr="00830A60">
              <w:t xml:space="preserve"> </w:t>
            </w:r>
          </w:p>
        </w:tc>
      </w:tr>
      <w:tr w14:paraId="4190E1AE" w14:textId="77777777" w:rsidTr="008B5B9C">
        <w:tblPrEx>
          <w:tblW w:w="0" w:type="auto"/>
          <w:tblLook w:val="04A0"/>
        </w:tblPrEx>
        <w:tc>
          <w:tcPr>
            <w:tcW w:w="4662" w:type="dxa"/>
          </w:tcPr>
          <w:p w:rsidR="00723078" w:rsidP="008B5B9C" w14:paraId="01C51A86" w14:textId="0D8E32AE">
            <w:r w:rsidRPr="00723078">
              <w:t xml:space="preserve">Aaron Siegler, </w:t>
            </w:r>
            <w:r>
              <w:t>Investigator</w:t>
            </w:r>
          </w:p>
          <w:p w:rsidR="007D524F" w:rsidP="008B5B9C" w14:paraId="233AE513" w14:textId="7B8F958F">
            <w:r>
              <w:t>Emory University</w:t>
            </w:r>
          </w:p>
          <w:p w:rsidR="007D524F" w:rsidP="008B5B9C" w14:paraId="4E698FAD" w14:textId="6310FBE7">
            <w:r>
              <w:t>1518 Clifton Rd NE</w:t>
            </w:r>
          </w:p>
          <w:p w:rsidR="007D524F" w:rsidRPr="002E46EB" w:rsidP="008B5B9C" w14:paraId="1D9CB179" w14:textId="049AB070">
            <w:pPr>
              <w:rPr>
                <w:lang w:val="pt-BR"/>
              </w:rPr>
            </w:pPr>
            <w:r w:rsidRPr="002E46EB">
              <w:rPr>
                <w:lang w:val="pt-BR"/>
              </w:rPr>
              <w:t>Atlanta, GA 30322</w:t>
            </w:r>
          </w:p>
          <w:p w:rsidR="00857E07" w:rsidRPr="002E46EB" w:rsidP="008B5B9C" w14:paraId="3D6F6652" w14:textId="683882DE">
            <w:pPr>
              <w:rPr>
                <w:lang w:val="pt-BR"/>
              </w:rPr>
            </w:pPr>
            <w:r w:rsidRPr="002E46EB">
              <w:rPr>
                <w:lang w:val="pt-BR"/>
              </w:rPr>
              <w:t>404-712-9733</w:t>
            </w:r>
          </w:p>
          <w:p w:rsidR="00857E07" w:rsidRPr="002E46EB" w:rsidP="008B5B9C" w14:paraId="03659BFE" w14:textId="68258B2A">
            <w:pPr>
              <w:rPr>
                <w:lang w:val="pt-BR"/>
              </w:rPr>
            </w:pPr>
            <w:r w:rsidRPr="002E46EB">
              <w:rPr>
                <w:lang w:val="pt-BR"/>
              </w:rPr>
              <w:t>asiegle@emory.edu</w:t>
            </w:r>
          </w:p>
        </w:tc>
        <w:tc>
          <w:tcPr>
            <w:tcW w:w="4688" w:type="dxa"/>
          </w:tcPr>
          <w:p w:rsidR="00434994" w:rsidRPr="00830A60" w:rsidP="008B5B9C" w14:paraId="6C1E09AE" w14:textId="77777777">
            <w:r w:rsidRPr="002E46EB">
              <w:rPr>
                <w:lang w:val="pt-BR"/>
              </w:rPr>
              <w:t xml:space="preserve"> </w:t>
            </w:r>
            <w:r w:rsidRPr="00830A60">
              <w:t xml:space="preserve">Keith Horvath, Investigator </w:t>
            </w:r>
          </w:p>
          <w:p w:rsidR="00434994" w:rsidRPr="00830A60" w:rsidP="008B5B9C" w14:paraId="57665112" w14:textId="77777777">
            <w:r w:rsidRPr="00830A60">
              <w:t xml:space="preserve">San Diego State University </w:t>
            </w:r>
          </w:p>
          <w:p w:rsidR="00434994" w:rsidRPr="00830A60" w:rsidP="008B5B9C" w14:paraId="0B40F8EF" w14:textId="77777777">
            <w:r w:rsidRPr="00830A60">
              <w:t>6363 Alvarado Court, Suite 250</w:t>
            </w:r>
          </w:p>
          <w:p w:rsidR="00434994" w:rsidRPr="00830A60" w:rsidP="008B5B9C" w14:paraId="569A90AF" w14:textId="77777777">
            <w:r w:rsidRPr="00830A60">
              <w:t>San Diego, CA 92120</w:t>
            </w:r>
          </w:p>
          <w:p w:rsidR="00434994" w:rsidRPr="00830A60" w:rsidP="008B5B9C" w14:paraId="02AD7BB2" w14:textId="77777777">
            <w:r w:rsidRPr="00830A60">
              <w:t>619-594-3346</w:t>
            </w:r>
          </w:p>
          <w:p w:rsidR="00434994" w:rsidRPr="00B80F52" w:rsidP="008B5B9C" w14:paraId="546F0147" w14:textId="21591E3F">
            <w:r w:rsidRPr="00475700">
              <w:t>khorvath@sdsu.edu</w:t>
            </w:r>
          </w:p>
        </w:tc>
      </w:tr>
      <w:tr w14:paraId="09A43A96" w14:textId="77777777" w:rsidTr="008B5B9C">
        <w:tblPrEx>
          <w:tblW w:w="0" w:type="auto"/>
          <w:tblLook w:val="04A0"/>
        </w:tblPrEx>
        <w:trPr>
          <w:trHeight w:val="1430"/>
        </w:trPr>
        <w:tc>
          <w:tcPr>
            <w:tcW w:w="4662" w:type="dxa"/>
          </w:tcPr>
          <w:p w:rsidR="00857E07" w:rsidRPr="00475700" w:rsidP="008B5B9C" w14:paraId="5699C88C" w14:textId="77777777">
            <w:pPr>
              <w:rPr>
                <w:rStyle w:val="Hyperlink"/>
                <w:color w:val="auto"/>
                <w:u w:val="none"/>
              </w:rPr>
            </w:pPr>
            <w:r w:rsidRPr="00475700">
              <w:rPr>
                <w:rStyle w:val="Hyperlink"/>
                <w:color w:val="auto"/>
                <w:u w:val="none"/>
              </w:rPr>
              <w:t xml:space="preserve">John Schneider, Investigator </w:t>
            </w:r>
          </w:p>
          <w:p w:rsidR="00857E07" w:rsidRPr="00475700" w:rsidP="008B5B9C" w14:paraId="3D1484FA" w14:textId="77777777">
            <w:pPr>
              <w:rPr>
                <w:rStyle w:val="Hyperlink"/>
                <w:color w:val="auto"/>
                <w:u w:val="none"/>
              </w:rPr>
            </w:pPr>
            <w:r w:rsidRPr="00475700">
              <w:rPr>
                <w:rStyle w:val="Hyperlink"/>
                <w:color w:val="auto"/>
                <w:u w:val="none"/>
              </w:rPr>
              <w:t>University of Chicago</w:t>
            </w:r>
          </w:p>
          <w:p w:rsidR="00857E07" w:rsidRPr="00475700" w:rsidP="008B5B9C" w14:paraId="4B83F68E" w14:textId="77777777">
            <w:pPr>
              <w:rPr>
                <w:rStyle w:val="Hyperlink"/>
                <w:color w:val="auto"/>
                <w:u w:val="none"/>
              </w:rPr>
            </w:pPr>
            <w:r w:rsidRPr="00475700">
              <w:rPr>
                <w:rStyle w:val="Hyperlink"/>
                <w:color w:val="auto"/>
                <w:u w:val="none"/>
              </w:rPr>
              <w:t>5841 South Maryland Ave</w:t>
            </w:r>
          </w:p>
          <w:p w:rsidR="00857E07" w:rsidRPr="00475700" w:rsidP="008B5B9C" w14:paraId="06A7E5A8" w14:textId="77777777">
            <w:pPr>
              <w:rPr>
                <w:rStyle w:val="Hyperlink"/>
                <w:u w:val="none"/>
              </w:rPr>
            </w:pPr>
            <w:r w:rsidRPr="00475700">
              <w:rPr>
                <w:rStyle w:val="Hyperlink"/>
                <w:color w:val="auto"/>
                <w:u w:val="none"/>
              </w:rPr>
              <w:t>Chicago, IL 60637</w:t>
            </w:r>
          </w:p>
          <w:p w:rsidR="00857E07" w:rsidP="008B5B9C" w14:paraId="6589EBD8" w14:textId="77777777">
            <w:r>
              <w:t>773-702-1000</w:t>
            </w:r>
          </w:p>
          <w:p w:rsidR="00857E07" w:rsidRPr="000F2DF5" w:rsidP="008B5B9C" w14:paraId="7D9F6D44" w14:textId="196CA8DF">
            <w:r>
              <w:t>Jschnei1@bsd.uchicago.edu</w:t>
            </w:r>
          </w:p>
        </w:tc>
        <w:tc>
          <w:tcPr>
            <w:tcW w:w="4688" w:type="dxa"/>
          </w:tcPr>
          <w:p w:rsidR="00434994" w:rsidRPr="00B80F52" w:rsidP="008B5B9C" w14:paraId="682FB79F" w14:textId="77777777"/>
        </w:tc>
      </w:tr>
    </w:tbl>
    <w:p w:rsidR="008C0E73" w:rsidRPr="00081ADA" w:rsidP="002C5246" w14:paraId="1766EE83" w14:textId="77777777">
      <w:pPr>
        <w:pStyle w:val="ListParagraph"/>
        <w:spacing w:after="0" w:line="240" w:lineRule="auto"/>
        <w:ind w:left="0"/>
        <w:contextualSpacing w:val="0"/>
        <w:rPr>
          <w:rFonts w:ascii="Times New Roman" w:hAnsi="Times New Roman" w:eastAsiaTheme="minorHAnsi"/>
          <w:sz w:val="24"/>
          <w:szCs w:val="24"/>
          <w:lang w:val="en-US" w:eastAsia="en-US"/>
        </w:rPr>
      </w:pPr>
    </w:p>
    <w:p w:rsidR="00AA78EA" w:rsidRPr="00081ADA" w:rsidP="00AA78EA" w14:paraId="266C4874" w14:textId="2AA276B5">
      <w:pPr>
        <w:pStyle w:val="Heading1"/>
        <w:numPr>
          <w:ilvl w:val="0"/>
          <w:numId w:val="0"/>
        </w:numPr>
        <w:rPr>
          <w:rFonts w:cs="Times New Roman"/>
          <w:szCs w:val="24"/>
        </w:rPr>
      </w:pPr>
      <w:bookmarkStart w:id="23" w:name="_9.__"/>
      <w:bookmarkStart w:id="24" w:name="_Toc485202303"/>
      <w:bookmarkEnd w:id="23"/>
      <w:r w:rsidRPr="00081ADA">
        <w:rPr>
          <w:rFonts w:cs="Times New Roman"/>
          <w:szCs w:val="24"/>
        </w:rPr>
        <w:t>9.   Explanation of Any Payment or Gift to Respondents</w:t>
      </w:r>
      <w:bookmarkEnd w:id="24"/>
    </w:p>
    <w:p w:rsidR="002C5246" w:rsidRPr="00081ADA" w:rsidP="00EC4AB4" w14:paraId="32A9D693" w14:textId="45F3534E">
      <w:pPr>
        <w:pStyle w:val="NoSpacing"/>
        <w:tabs>
          <w:tab w:val="left" w:pos="360"/>
        </w:tabs>
        <w:rPr>
          <w:rFonts w:cs="Times New Roman"/>
          <w:szCs w:val="24"/>
        </w:rPr>
      </w:pPr>
    </w:p>
    <w:p w:rsidR="00377FE8" w:rsidRPr="00081ADA" w:rsidP="00EC4AB4" w14:paraId="6EE2E096" w14:textId="66F34E0E">
      <w:pPr>
        <w:rPr>
          <w:szCs w:val="24"/>
        </w:rPr>
      </w:pPr>
      <w:r w:rsidRPr="00081ADA">
        <w:rPr>
          <w:szCs w:val="24"/>
        </w:rPr>
        <w:t xml:space="preserve">Participants will receive a </w:t>
      </w:r>
      <w:r w:rsidRPr="00E32C7E">
        <w:rPr>
          <w:szCs w:val="24"/>
        </w:rPr>
        <w:t>$50</w:t>
      </w:r>
      <w:r w:rsidRPr="00081ADA">
        <w:rPr>
          <w:szCs w:val="24"/>
        </w:rPr>
        <w:t xml:space="preserve"> for completion of </w:t>
      </w:r>
      <w:r w:rsidR="00433AB8">
        <w:rPr>
          <w:szCs w:val="24"/>
        </w:rPr>
        <w:t xml:space="preserve">each </w:t>
      </w:r>
      <w:r w:rsidR="006C2FBC">
        <w:rPr>
          <w:szCs w:val="24"/>
        </w:rPr>
        <w:t>quantitative</w:t>
      </w:r>
      <w:r w:rsidRPr="00081ADA">
        <w:rPr>
          <w:szCs w:val="24"/>
        </w:rPr>
        <w:t xml:space="preserve"> </w:t>
      </w:r>
      <w:r w:rsidR="000B7FE2">
        <w:rPr>
          <w:szCs w:val="24"/>
        </w:rPr>
        <w:t>assessment</w:t>
      </w:r>
      <w:r w:rsidRPr="00081ADA">
        <w:rPr>
          <w:szCs w:val="24"/>
        </w:rPr>
        <w:t xml:space="preserve"> </w:t>
      </w:r>
      <w:r w:rsidR="006C2FBC">
        <w:rPr>
          <w:szCs w:val="24"/>
        </w:rPr>
        <w:t xml:space="preserve">(8 total) </w:t>
      </w:r>
      <w:r w:rsidRPr="00081ADA">
        <w:rPr>
          <w:szCs w:val="24"/>
        </w:rPr>
        <w:t xml:space="preserve">and </w:t>
      </w:r>
      <w:r w:rsidR="00433AB8">
        <w:rPr>
          <w:szCs w:val="24"/>
        </w:rPr>
        <w:t>$50 for each</w:t>
      </w:r>
      <w:r w:rsidR="006C2FBC">
        <w:rPr>
          <w:szCs w:val="24"/>
        </w:rPr>
        <w:t xml:space="preserve"> </w:t>
      </w:r>
      <w:r w:rsidR="00433AB8">
        <w:rPr>
          <w:szCs w:val="24"/>
        </w:rPr>
        <w:t>HIV</w:t>
      </w:r>
      <w:r w:rsidR="006C2FBC">
        <w:rPr>
          <w:szCs w:val="24"/>
        </w:rPr>
        <w:t>/</w:t>
      </w:r>
      <w:r w:rsidR="00433AB8">
        <w:rPr>
          <w:szCs w:val="24"/>
        </w:rPr>
        <w:t>STI testing kit completed</w:t>
      </w:r>
      <w:r w:rsidR="006C2FBC">
        <w:rPr>
          <w:szCs w:val="24"/>
        </w:rPr>
        <w:t xml:space="preserve"> (4 total)</w:t>
      </w:r>
      <w:r w:rsidRPr="00081ADA">
        <w:rPr>
          <w:szCs w:val="24"/>
        </w:rPr>
        <w:t xml:space="preserve">. Participants </w:t>
      </w:r>
      <w:r w:rsidR="006C2FBC">
        <w:rPr>
          <w:szCs w:val="24"/>
        </w:rPr>
        <w:t>may receive a maximum token of</w:t>
      </w:r>
      <w:r w:rsidRPr="00081ADA">
        <w:rPr>
          <w:szCs w:val="24"/>
        </w:rPr>
        <w:t xml:space="preserve"> </w:t>
      </w:r>
      <w:r w:rsidRPr="00E32C7E">
        <w:rPr>
          <w:szCs w:val="24"/>
        </w:rPr>
        <w:t>$</w:t>
      </w:r>
      <w:r w:rsidR="006C2FBC">
        <w:rPr>
          <w:szCs w:val="24"/>
        </w:rPr>
        <w:t>600</w:t>
      </w:r>
      <w:r w:rsidRPr="00081ADA" w:rsidR="006C2FBC">
        <w:rPr>
          <w:szCs w:val="24"/>
        </w:rPr>
        <w:t xml:space="preserve"> </w:t>
      </w:r>
      <w:r w:rsidR="003B7EBB">
        <w:rPr>
          <w:szCs w:val="24"/>
        </w:rPr>
        <w:t>if they complete all</w:t>
      </w:r>
      <w:r w:rsidR="002C4050">
        <w:rPr>
          <w:szCs w:val="24"/>
        </w:rPr>
        <w:t xml:space="preserve"> </w:t>
      </w:r>
      <w:r w:rsidR="009A59B6">
        <w:rPr>
          <w:szCs w:val="24"/>
        </w:rPr>
        <w:t>eight</w:t>
      </w:r>
      <w:r w:rsidR="000B7FE2">
        <w:rPr>
          <w:szCs w:val="24"/>
        </w:rPr>
        <w:t xml:space="preserve"> assessments </w:t>
      </w:r>
      <w:r w:rsidR="006C2FBC">
        <w:rPr>
          <w:szCs w:val="24"/>
        </w:rPr>
        <w:t xml:space="preserve">and </w:t>
      </w:r>
      <w:r w:rsidR="002C4050">
        <w:rPr>
          <w:szCs w:val="24"/>
        </w:rPr>
        <w:t xml:space="preserve">all four </w:t>
      </w:r>
      <w:r w:rsidR="006C2FBC">
        <w:rPr>
          <w:szCs w:val="24"/>
        </w:rPr>
        <w:t>test kits</w:t>
      </w:r>
      <w:r w:rsidRPr="00081ADA">
        <w:rPr>
          <w:szCs w:val="24"/>
        </w:rPr>
        <w:t xml:space="preserve">. </w:t>
      </w:r>
      <w:r w:rsidR="006C2FBC">
        <w:rPr>
          <w:szCs w:val="24"/>
        </w:rPr>
        <w:t>A subset of participants (</w:t>
      </w:r>
      <w:r w:rsidR="00AE79D9">
        <w:rPr>
          <w:szCs w:val="24"/>
        </w:rPr>
        <w:t>189</w:t>
      </w:r>
      <w:r w:rsidR="006C2FBC">
        <w:rPr>
          <w:szCs w:val="24"/>
        </w:rPr>
        <w:t>) will be purposively selected to participate in either a single focus group discussion (</w:t>
      </w:r>
      <w:r w:rsidR="00405DE1">
        <w:rPr>
          <w:szCs w:val="24"/>
        </w:rPr>
        <w:t>144</w:t>
      </w:r>
      <w:r w:rsidR="006C2FBC">
        <w:rPr>
          <w:szCs w:val="24"/>
        </w:rPr>
        <w:t>) or a series of three in-depth interviews (45). Individuals who are selected for in-depth interviews</w:t>
      </w:r>
      <w:r w:rsidRPr="00081ADA">
        <w:rPr>
          <w:szCs w:val="24"/>
        </w:rPr>
        <w:t xml:space="preserve"> will receive </w:t>
      </w:r>
      <w:r w:rsidRPr="00E32C7E">
        <w:rPr>
          <w:szCs w:val="24"/>
        </w:rPr>
        <w:t>$</w:t>
      </w:r>
      <w:r w:rsidR="006C2FBC">
        <w:rPr>
          <w:szCs w:val="24"/>
        </w:rPr>
        <w:t>75</w:t>
      </w:r>
      <w:r w:rsidRPr="00081ADA" w:rsidR="006C2FBC">
        <w:rPr>
          <w:szCs w:val="24"/>
        </w:rPr>
        <w:t xml:space="preserve"> </w:t>
      </w:r>
      <w:r w:rsidRPr="00081ADA">
        <w:rPr>
          <w:szCs w:val="24"/>
        </w:rPr>
        <w:t>for each interview</w:t>
      </w:r>
      <w:r w:rsidR="00D4590E">
        <w:rPr>
          <w:szCs w:val="24"/>
        </w:rPr>
        <w:t xml:space="preserve">. Participants </w:t>
      </w:r>
      <w:r w:rsidR="0089161E">
        <w:rPr>
          <w:szCs w:val="24"/>
        </w:rPr>
        <w:t>may receive a maximum</w:t>
      </w:r>
      <w:r w:rsidRPr="00081ADA">
        <w:rPr>
          <w:szCs w:val="24"/>
        </w:rPr>
        <w:t xml:space="preserve"> token of </w:t>
      </w:r>
      <w:r w:rsidRPr="00E32C7E">
        <w:rPr>
          <w:szCs w:val="24"/>
        </w:rPr>
        <w:t>$</w:t>
      </w:r>
      <w:r w:rsidR="006C2FBC">
        <w:rPr>
          <w:szCs w:val="24"/>
        </w:rPr>
        <w:t>225</w:t>
      </w:r>
      <w:r w:rsidRPr="00081ADA" w:rsidR="006C2FBC">
        <w:rPr>
          <w:szCs w:val="24"/>
        </w:rPr>
        <w:t xml:space="preserve"> </w:t>
      </w:r>
      <w:r w:rsidR="003B7EBB">
        <w:rPr>
          <w:szCs w:val="24"/>
        </w:rPr>
        <w:t>if they complete</w:t>
      </w:r>
      <w:r w:rsidRPr="00081ADA">
        <w:rPr>
          <w:szCs w:val="24"/>
        </w:rPr>
        <w:t xml:space="preserve"> all three interviews. </w:t>
      </w:r>
      <w:r w:rsidR="006C2FBC">
        <w:rPr>
          <w:szCs w:val="24"/>
        </w:rPr>
        <w:t>Individuals who are selected to join a focus group</w:t>
      </w:r>
      <w:r w:rsidRPr="00081ADA" w:rsidR="006C2FBC">
        <w:rPr>
          <w:szCs w:val="24"/>
        </w:rPr>
        <w:t xml:space="preserve"> </w:t>
      </w:r>
      <w:r w:rsidRPr="00081ADA">
        <w:rPr>
          <w:szCs w:val="24"/>
        </w:rPr>
        <w:t xml:space="preserve">will receive </w:t>
      </w:r>
      <w:r w:rsidRPr="00E32C7E">
        <w:rPr>
          <w:szCs w:val="24"/>
        </w:rPr>
        <w:t>$</w:t>
      </w:r>
      <w:r w:rsidR="006C2FBC">
        <w:rPr>
          <w:szCs w:val="24"/>
        </w:rPr>
        <w:t>75</w:t>
      </w:r>
      <w:r w:rsidRPr="00081ADA" w:rsidR="006C2FBC">
        <w:rPr>
          <w:szCs w:val="24"/>
        </w:rPr>
        <w:t xml:space="preserve"> </w:t>
      </w:r>
      <w:r w:rsidRPr="00081ADA">
        <w:rPr>
          <w:szCs w:val="24"/>
        </w:rPr>
        <w:t>for participation in</w:t>
      </w:r>
      <w:r w:rsidR="006C2FBC">
        <w:rPr>
          <w:szCs w:val="24"/>
        </w:rPr>
        <w:t xml:space="preserve"> a single</w:t>
      </w:r>
      <w:r w:rsidR="00960021">
        <w:rPr>
          <w:szCs w:val="24"/>
        </w:rPr>
        <w:t xml:space="preserve"> </w:t>
      </w:r>
      <w:r w:rsidRPr="00081ADA">
        <w:rPr>
          <w:szCs w:val="24"/>
        </w:rPr>
        <w:t>90-minute focus group discussion. All payments will be provided in the form of an electronic gift card that will be emailed to participants.</w:t>
      </w:r>
      <w:r w:rsidR="00602B56">
        <w:rPr>
          <w:szCs w:val="24"/>
        </w:rPr>
        <w:t xml:space="preserve"> </w:t>
      </w:r>
    </w:p>
    <w:p w:rsidR="00377FE8" w:rsidP="00EC4AB4" w14:paraId="10CED2C1" w14:textId="3673122D">
      <w:pPr>
        <w:rPr>
          <w:szCs w:val="24"/>
        </w:rPr>
      </w:pPr>
    </w:p>
    <w:p w:rsidR="00047D50" w:rsidP="00EC4AB4" w14:paraId="778D2016" w14:textId="16B30121">
      <w:pPr>
        <w:rPr>
          <w:szCs w:val="24"/>
        </w:rPr>
      </w:pPr>
      <w:r>
        <w:rPr>
          <w:szCs w:val="24"/>
        </w:rPr>
        <w:t>MIC DROP Incentives</w:t>
      </w:r>
    </w:p>
    <w:tbl>
      <w:tblPr>
        <w:tblStyle w:val="TableGrid"/>
        <w:tblW w:w="0" w:type="auto"/>
        <w:tblLook w:val="04A0"/>
      </w:tblPr>
      <w:tblGrid>
        <w:gridCol w:w="3415"/>
        <w:gridCol w:w="1260"/>
        <w:gridCol w:w="2070"/>
        <w:gridCol w:w="1350"/>
      </w:tblGrid>
      <w:tr w14:paraId="7475EF39" w14:textId="77777777" w:rsidTr="004A16E9">
        <w:tblPrEx>
          <w:tblW w:w="0" w:type="auto"/>
          <w:tblLook w:val="04A0"/>
        </w:tblPrEx>
        <w:tc>
          <w:tcPr>
            <w:tcW w:w="3415" w:type="dxa"/>
            <w:tcBorders>
              <w:top w:val="single" w:sz="4" w:space="0" w:color="auto"/>
              <w:left w:val="single" w:sz="4" w:space="0" w:color="auto"/>
              <w:bottom w:val="single" w:sz="4" w:space="0" w:color="auto"/>
            </w:tcBorders>
            <w:shd w:val="clear" w:color="auto" w:fill="D9D9D9" w:themeFill="background1" w:themeFillShade="D9"/>
          </w:tcPr>
          <w:p w:rsidR="00465200" w:rsidRPr="00465200" w:rsidP="00465200" w14:paraId="581C4952" w14:textId="77777777">
            <w:pPr>
              <w:rPr>
                <w:rFonts w:asciiTheme="minorHAnsi" w:eastAsiaTheme="minorHAnsi" w:hAnsiTheme="minorHAnsi" w:cstheme="minorBidi"/>
                <w:b/>
                <w:bCs/>
                <w:sz w:val="22"/>
                <w:szCs w:val="22"/>
              </w:rPr>
            </w:pPr>
            <w:r w:rsidRPr="00465200">
              <w:rPr>
                <w:rFonts w:asciiTheme="minorHAnsi" w:eastAsiaTheme="minorHAnsi" w:hAnsiTheme="minorHAnsi" w:cstheme="minorBidi"/>
                <w:b/>
                <w:bCs/>
                <w:sz w:val="22"/>
                <w:szCs w:val="22"/>
              </w:rPr>
              <w:t>Data collection activity</w:t>
            </w:r>
          </w:p>
        </w:tc>
        <w:tc>
          <w:tcPr>
            <w:tcW w:w="1260" w:type="dxa"/>
            <w:tcBorders>
              <w:top w:val="single" w:sz="4" w:space="0" w:color="auto"/>
              <w:bottom w:val="single" w:sz="4" w:space="0" w:color="auto"/>
            </w:tcBorders>
            <w:shd w:val="clear" w:color="auto" w:fill="D9D9D9" w:themeFill="background1" w:themeFillShade="D9"/>
          </w:tcPr>
          <w:p w:rsidR="00465200" w:rsidRPr="00465200" w:rsidP="00465200" w14:paraId="5035C074" w14:textId="77777777">
            <w:pPr>
              <w:rPr>
                <w:rFonts w:asciiTheme="minorHAnsi" w:eastAsiaTheme="minorHAnsi" w:hAnsiTheme="minorHAnsi" w:cstheme="minorBidi"/>
                <w:b/>
                <w:bCs/>
                <w:sz w:val="22"/>
                <w:szCs w:val="22"/>
              </w:rPr>
            </w:pPr>
            <w:r w:rsidRPr="00465200">
              <w:rPr>
                <w:rFonts w:asciiTheme="minorHAnsi" w:eastAsiaTheme="minorHAnsi" w:hAnsiTheme="minorHAnsi" w:cstheme="minorBidi"/>
                <w:b/>
                <w:bCs/>
                <w:sz w:val="22"/>
                <w:szCs w:val="22"/>
              </w:rPr>
              <w:t>Incentive amount</w:t>
            </w:r>
          </w:p>
        </w:tc>
        <w:tc>
          <w:tcPr>
            <w:tcW w:w="2070" w:type="dxa"/>
            <w:tcBorders>
              <w:top w:val="single" w:sz="4" w:space="0" w:color="auto"/>
              <w:bottom w:val="single" w:sz="4" w:space="0" w:color="auto"/>
            </w:tcBorders>
            <w:shd w:val="clear" w:color="auto" w:fill="D9D9D9" w:themeFill="background1" w:themeFillShade="D9"/>
          </w:tcPr>
          <w:p w:rsidR="00465200" w:rsidRPr="00465200" w:rsidP="00465200" w14:paraId="39251109" w14:textId="77777777">
            <w:pPr>
              <w:rPr>
                <w:rFonts w:asciiTheme="minorHAnsi" w:eastAsiaTheme="minorHAnsi" w:hAnsiTheme="minorHAnsi" w:cstheme="minorBidi"/>
                <w:b/>
                <w:bCs/>
                <w:sz w:val="22"/>
                <w:szCs w:val="22"/>
              </w:rPr>
            </w:pPr>
            <w:r w:rsidRPr="00465200">
              <w:rPr>
                <w:rFonts w:asciiTheme="minorHAnsi" w:eastAsiaTheme="minorHAnsi" w:hAnsiTheme="minorHAnsi" w:cstheme="minorBidi"/>
                <w:b/>
                <w:bCs/>
                <w:sz w:val="22"/>
                <w:szCs w:val="22"/>
              </w:rPr>
              <w:t>Total number of times administered</w:t>
            </w:r>
          </w:p>
        </w:tc>
        <w:tc>
          <w:tcPr>
            <w:tcW w:w="1350" w:type="dxa"/>
            <w:tcBorders>
              <w:top w:val="single" w:sz="4" w:space="0" w:color="auto"/>
              <w:bottom w:val="single" w:sz="4" w:space="0" w:color="auto"/>
              <w:right w:val="single" w:sz="4" w:space="0" w:color="auto"/>
            </w:tcBorders>
            <w:shd w:val="clear" w:color="auto" w:fill="D9D9D9" w:themeFill="background1" w:themeFillShade="D9"/>
          </w:tcPr>
          <w:p w:rsidR="00465200" w:rsidRPr="00465200" w:rsidP="00465200" w14:paraId="5E0B5983" w14:textId="77777777">
            <w:pPr>
              <w:rPr>
                <w:rFonts w:asciiTheme="minorHAnsi" w:eastAsiaTheme="minorHAnsi" w:hAnsiTheme="minorHAnsi" w:cstheme="minorBidi"/>
                <w:b/>
                <w:bCs/>
                <w:sz w:val="22"/>
                <w:szCs w:val="22"/>
              </w:rPr>
            </w:pPr>
            <w:r w:rsidRPr="00465200">
              <w:rPr>
                <w:rFonts w:asciiTheme="minorHAnsi" w:eastAsiaTheme="minorHAnsi" w:hAnsiTheme="minorHAnsi" w:cstheme="minorBidi"/>
                <w:b/>
                <w:bCs/>
                <w:sz w:val="22"/>
                <w:szCs w:val="22"/>
              </w:rPr>
              <w:t>Maximum incentive</w:t>
            </w:r>
          </w:p>
        </w:tc>
      </w:tr>
      <w:tr w14:paraId="7A05B759" w14:textId="77777777" w:rsidTr="004A16E9">
        <w:tblPrEx>
          <w:tblW w:w="0" w:type="auto"/>
          <w:tblLook w:val="04A0"/>
        </w:tblPrEx>
        <w:tc>
          <w:tcPr>
            <w:tcW w:w="3415" w:type="dxa"/>
            <w:tcBorders>
              <w:top w:val="single" w:sz="4" w:space="0" w:color="auto"/>
            </w:tcBorders>
            <w:shd w:val="clear" w:color="auto" w:fill="BFBFBF" w:themeFill="background1" w:themeFillShade="BF"/>
          </w:tcPr>
          <w:p w:rsidR="00465200" w:rsidRPr="00465200" w:rsidP="00465200" w14:paraId="6B67487A" w14:textId="77777777">
            <w:pPr>
              <w:rPr>
                <w:rFonts w:asciiTheme="minorHAnsi" w:eastAsiaTheme="minorHAnsi" w:hAnsiTheme="minorHAnsi" w:cstheme="minorBidi"/>
                <w:sz w:val="22"/>
                <w:szCs w:val="22"/>
              </w:rPr>
            </w:pPr>
            <w:r w:rsidRPr="00465200">
              <w:rPr>
                <w:rFonts w:asciiTheme="minorHAnsi" w:eastAsiaTheme="minorHAnsi" w:hAnsiTheme="minorHAnsi" w:cstheme="minorBidi"/>
                <w:sz w:val="22"/>
                <w:szCs w:val="22"/>
              </w:rPr>
              <w:t>Quantitative assessment</w:t>
            </w:r>
          </w:p>
        </w:tc>
        <w:tc>
          <w:tcPr>
            <w:tcW w:w="1260" w:type="dxa"/>
            <w:tcBorders>
              <w:top w:val="single" w:sz="4" w:space="0" w:color="auto"/>
            </w:tcBorders>
            <w:shd w:val="clear" w:color="auto" w:fill="BFBFBF" w:themeFill="background1" w:themeFillShade="BF"/>
          </w:tcPr>
          <w:p w:rsidR="00465200" w:rsidRPr="00465200" w:rsidP="00465200" w14:paraId="74546A60" w14:textId="77777777">
            <w:pPr>
              <w:jc w:val="center"/>
              <w:rPr>
                <w:rFonts w:asciiTheme="minorHAnsi" w:eastAsiaTheme="minorHAnsi" w:hAnsiTheme="minorHAnsi" w:cstheme="minorBidi"/>
                <w:sz w:val="22"/>
                <w:szCs w:val="22"/>
              </w:rPr>
            </w:pPr>
            <w:r w:rsidRPr="00465200">
              <w:rPr>
                <w:rFonts w:asciiTheme="minorHAnsi" w:eastAsiaTheme="minorHAnsi" w:hAnsiTheme="minorHAnsi" w:cstheme="minorBidi"/>
                <w:sz w:val="22"/>
                <w:szCs w:val="22"/>
              </w:rPr>
              <w:t>$50</w:t>
            </w:r>
          </w:p>
        </w:tc>
        <w:tc>
          <w:tcPr>
            <w:tcW w:w="2070" w:type="dxa"/>
            <w:tcBorders>
              <w:top w:val="single" w:sz="4" w:space="0" w:color="auto"/>
            </w:tcBorders>
            <w:shd w:val="clear" w:color="auto" w:fill="BFBFBF" w:themeFill="background1" w:themeFillShade="BF"/>
          </w:tcPr>
          <w:p w:rsidR="00465200" w:rsidRPr="00465200" w:rsidP="00465200" w14:paraId="6581E107" w14:textId="77777777">
            <w:pPr>
              <w:jc w:val="center"/>
              <w:rPr>
                <w:rFonts w:asciiTheme="minorHAnsi" w:eastAsiaTheme="minorHAnsi" w:hAnsiTheme="minorHAnsi" w:cstheme="minorBidi"/>
                <w:sz w:val="22"/>
                <w:szCs w:val="22"/>
              </w:rPr>
            </w:pPr>
            <w:r w:rsidRPr="00465200">
              <w:rPr>
                <w:rFonts w:asciiTheme="minorHAnsi" w:eastAsiaTheme="minorHAnsi" w:hAnsiTheme="minorHAnsi" w:cstheme="minorBidi"/>
                <w:sz w:val="22"/>
                <w:szCs w:val="22"/>
              </w:rPr>
              <w:t>8</w:t>
            </w:r>
          </w:p>
        </w:tc>
        <w:tc>
          <w:tcPr>
            <w:tcW w:w="1350" w:type="dxa"/>
            <w:tcBorders>
              <w:top w:val="single" w:sz="4" w:space="0" w:color="auto"/>
            </w:tcBorders>
            <w:shd w:val="clear" w:color="auto" w:fill="BFBFBF" w:themeFill="background1" w:themeFillShade="BF"/>
          </w:tcPr>
          <w:p w:rsidR="00465200" w:rsidRPr="00465200" w:rsidP="00465200" w14:paraId="42A2C8FF" w14:textId="77777777">
            <w:pPr>
              <w:jc w:val="center"/>
              <w:rPr>
                <w:rFonts w:asciiTheme="minorHAnsi" w:eastAsiaTheme="minorHAnsi" w:hAnsiTheme="minorHAnsi" w:cstheme="minorBidi"/>
                <w:sz w:val="22"/>
                <w:szCs w:val="22"/>
              </w:rPr>
            </w:pPr>
            <w:r w:rsidRPr="00465200">
              <w:rPr>
                <w:rFonts w:asciiTheme="minorHAnsi" w:eastAsiaTheme="minorHAnsi" w:hAnsiTheme="minorHAnsi" w:cstheme="minorBidi"/>
                <w:sz w:val="22"/>
                <w:szCs w:val="22"/>
              </w:rPr>
              <w:t>$400</w:t>
            </w:r>
          </w:p>
        </w:tc>
      </w:tr>
      <w:tr w14:paraId="2A617A4D" w14:textId="77777777" w:rsidTr="004A16E9">
        <w:tblPrEx>
          <w:tblW w:w="0" w:type="auto"/>
          <w:tblLook w:val="04A0"/>
        </w:tblPrEx>
        <w:tc>
          <w:tcPr>
            <w:tcW w:w="3415" w:type="dxa"/>
            <w:shd w:val="clear" w:color="auto" w:fill="BFBFBF" w:themeFill="background1" w:themeFillShade="BF"/>
          </w:tcPr>
          <w:p w:rsidR="00465200" w:rsidRPr="00465200" w:rsidP="00465200" w14:paraId="4857D3EF" w14:textId="0B18100E">
            <w:pPr>
              <w:rPr>
                <w:rFonts w:asciiTheme="minorHAnsi" w:eastAsiaTheme="minorHAnsi" w:hAnsiTheme="minorHAnsi" w:cstheme="minorBidi"/>
                <w:sz w:val="22"/>
                <w:szCs w:val="22"/>
              </w:rPr>
            </w:pPr>
            <w:r>
              <w:rPr>
                <w:rFonts w:asciiTheme="minorHAnsi" w:eastAsiaTheme="minorHAnsi" w:hAnsiTheme="minorHAnsi" w:cstheme="minorBidi"/>
                <w:sz w:val="22"/>
                <w:szCs w:val="22"/>
              </w:rPr>
              <w:t>825</w:t>
            </w:r>
            <w:r w:rsidRPr="00465200">
              <w:rPr>
                <w:rFonts w:asciiTheme="minorHAnsi" w:eastAsiaTheme="minorHAnsi" w:hAnsiTheme="minorHAnsi" w:cstheme="minorBidi"/>
                <w:sz w:val="22"/>
                <w:szCs w:val="22"/>
              </w:rPr>
              <w:t>HIV</w:t>
            </w:r>
            <w:r w:rsidR="00A04C32">
              <w:rPr>
                <w:rFonts w:asciiTheme="minorHAnsi" w:eastAsiaTheme="minorHAnsi" w:hAnsiTheme="minorHAnsi" w:cstheme="minorBidi"/>
                <w:sz w:val="22"/>
                <w:szCs w:val="22"/>
              </w:rPr>
              <w:t>/</w:t>
            </w:r>
            <w:r w:rsidRPr="00465200">
              <w:rPr>
                <w:rFonts w:asciiTheme="minorHAnsi" w:eastAsiaTheme="minorHAnsi" w:hAnsiTheme="minorHAnsi" w:cstheme="minorBidi"/>
                <w:sz w:val="22"/>
                <w:szCs w:val="22"/>
              </w:rPr>
              <w:t>STI self-tests</w:t>
            </w:r>
          </w:p>
        </w:tc>
        <w:tc>
          <w:tcPr>
            <w:tcW w:w="1260" w:type="dxa"/>
            <w:shd w:val="clear" w:color="auto" w:fill="BFBFBF" w:themeFill="background1" w:themeFillShade="BF"/>
          </w:tcPr>
          <w:p w:rsidR="00465200" w:rsidRPr="00465200" w:rsidP="00465200" w14:paraId="6C6A4260" w14:textId="77777777">
            <w:pPr>
              <w:jc w:val="center"/>
              <w:rPr>
                <w:rFonts w:asciiTheme="minorHAnsi" w:eastAsiaTheme="minorHAnsi" w:hAnsiTheme="minorHAnsi" w:cstheme="minorBidi"/>
                <w:sz w:val="22"/>
                <w:szCs w:val="22"/>
              </w:rPr>
            </w:pPr>
            <w:r w:rsidRPr="00465200">
              <w:rPr>
                <w:rFonts w:asciiTheme="minorHAnsi" w:eastAsiaTheme="minorHAnsi" w:hAnsiTheme="minorHAnsi" w:cstheme="minorBidi"/>
                <w:sz w:val="22"/>
                <w:szCs w:val="22"/>
              </w:rPr>
              <w:t>$50</w:t>
            </w:r>
          </w:p>
        </w:tc>
        <w:tc>
          <w:tcPr>
            <w:tcW w:w="2070" w:type="dxa"/>
            <w:shd w:val="clear" w:color="auto" w:fill="BFBFBF" w:themeFill="background1" w:themeFillShade="BF"/>
          </w:tcPr>
          <w:p w:rsidR="00465200" w:rsidRPr="00465200" w:rsidP="00465200" w14:paraId="438152D0" w14:textId="77777777">
            <w:pPr>
              <w:jc w:val="center"/>
              <w:rPr>
                <w:rFonts w:asciiTheme="minorHAnsi" w:eastAsiaTheme="minorHAnsi" w:hAnsiTheme="minorHAnsi" w:cstheme="minorBidi"/>
                <w:sz w:val="22"/>
                <w:szCs w:val="22"/>
              </w:rPr>
            </w:pPr>
            <w:r w:rsidRPr="00465200">
              <w:rPr>
                <w:rFonts w:asciiTheme="minorHAnsi" w:eastAsiaTheme="minorHAnsi" w:hAnsiTheme="minorHAnsi" w:cstheme="minorBidi"/>
                <w:sz w:val="22"/>
                <w:szCs w:val="22"/>
              </w:rPr>
              <w:t>4</w:t>
            </w:r>
          </w:p>
        </w:tc>
        <w:tc>
          <w:tcPr>
            <w:tcW w:w="1350" w:type="dxa"/>
            <w:shd w:val="clear" w:color="auto" w:fill="BFBFBF" w:themeFill="background1" w:themeFillShade="BF"/>
          </w:tcPr>
          <w:p w:rsidR="00465200" w:rsidRPr="00465200" w:rsidP="00465200" w14:paraId="5352CBCE" w14:textId="77777777">
            <w:pPr>
              <w:jc w:val="center"/>
              <w:rPr>
                <w:rFonts w:asciiTheme="minorHAnsi" w:eastAsiaTheme="minorHAnsi" w:hAnsiTheme="minorHAnsi" w:cstheme="minorBidi"/>
                <w:sz w:val="22"/>
                <w:szCs w:val="22"/>
              </w:rPr>
            </w:pPr>
            <w:r w:rsidRPr="00465200">
              <w:rPr>
                <w:rFonts w:asciiTheme="minorHAnsi" w:eastAsiaTheme="minorHAnsi" w:hAnsiTheme="minorHAnsi" w:cstheme="minorBidi"/>
                <w:sz w:val="22"/>
                <w:szCs w:val="22"/>
              </w:rPr>
              <w:t>$200</w:t>
            </w:r>
          </w:p>
        </w:tc>
      </w:tr>
      <w:tr w14:paraId="0299B114" w14:textId="77777777" w:rsidTr="004A16E9">
        <w:tblPrEx>
          <w:tblW w:w="0" w:type="auto"/>
          <w:tblLook w:val="04A0"/>
        </w:tblPrEx>
        <w:tc>
          <w:tcPr>
            <w:tcW w:w="6745" w:type="dxa"/>
            <w:gridSpan w:val="3"/>
            <w:shd w:val="clear" w:color="auto" w:fill="F2F2F2" w:themeFill="background1" w:themeFillShade="F2"/>
          </w:tcPr>
          <w:p w:rsidR="00465200" w:rsidRPr="00465200" w:rsidP="00465200" w14:paraId="789D94FD" w14:textId="77777777">
            <w:pPr>
              <w:jc w:val="center"/>
              <w:rPr>
                <w:rFonts w:asciiTheme="minorHAnsi" w:eastAsiaTheme="minorHAnsi" w:hAnsiTheme="minorHAnsi" w:cstheme="minorBidi"/>
                <w:sz w:val="22"/>
                <w:szCs w:val="22"/>
              </w:rPr>
            </w:pPr>
            <w:r w:rsidRPr="00465200">
              <w:rPr>
                <w:rFonts w:asciiTheme="minorHAnsi" w:eastAsiaTheme="minorHAnsi" w:hAnsiTheme="minorHAnsi" w:cstheme="minorBidi"/>
                <w:sz w:val="22"/>
                <w:szCs w:val="22"/>
              </w:rPr>
              <w:t>Total for all assessments and self-tests</w:t>
            </w:r>
          </w:p>
        </w:tc>
        <w:tc>
          <w:tcPr>
            <w:tcW w:w="1350" w:type="dxa"/>
            <w:shd w:val="clear" w:color="auto" w:fill="F2F2F2" w:themeFill="background1" w:themeFillShade="F2"/>
          </w:tcPr>
          <w:p w:rsidR="00465200" w:rsidRPr="00465200" w:rsidP="00465200" w14:paraId="5069B6E1" w14:textId="77777777">
            <w:pPr>
              <w:jc w:val="center"/>
              <w:rPr>
                <w:rFonts w:asciiTheme="minorHAnsi" w:eastAsiaTheme="minorHAnsi" w:hAnsiTheme="minorHAnsi" w:cstheme="minorBidi"/>
                <w:sz w:val="22"/>
                <w:szCs w:val="22"/>
              </w:rPr>
            </w:pPr>
            <w:r w:rsidRPr="00465200">
              <w:rPr>
                <w:rFonts w:asciiTheme="minorHAnsi" w:eastAsiaTheme="minorHAnsi" w:hAnsiTheme="minorHAnsi" w:cstheme="minorBidi"/>
                <w:sz w:val="22"/>
                <w:szCs w:val="22"/>
              </w:rPr>
              <w:t>$600</w:t>
            </w:r>
          </w:p>
        </w:tc>
      </w:tr>
      <w:tr w14:paraId="739A6794" w14:textId="77777777" w:rsidTr="004A16E9">
        <w:tblPrEx>
          <w:tblW w:w="0" w:type="auto"/>
          <w:tblLook w:val="04A0"/>
        </w:tblPrEx>
        <w:tc>
          <w:tcPr>
            <w:tcW w:w="3415" w:type="dxa"/>
            <w:shd w:val="clear" w:color="auto" w:fill="BFBFBF" w:themeFill="background1" w:themeFillShade="BF"/>
          </w:tcPr>
          <w:p w:rsidR="00465200" w:rsidRPr="00465200" w:rsidP="00465200" w14:paraId="5D2B0FD9" w14:textId="144EBBAA">
            <w:pPr>
              <w:rPr>
                <w:rFonts w:asciiTheme="minorHAnsi" w:eastAsiaTheme="minorHAnsi" w:hAnsiTheme="minorHAnsi" w:cstheme="minorBidi"/>
                <w:sz w:val="22"/>
                <w:szCs w:val="22"/>
              </w:rPr>
            </w:pPr>
            <w:r w:rsidRPr="00465200">
              <w:rPr>
                <w:rFonts w:asciiTheme="minorHAnsi" w:eastAsiaTheme="minorHAnsi" w:hAnsiTheme="minorHAnsi" w:cstheme="minorBidi"/>
                <w:sz w:val="22"/>
                <w:szCs w:val="22"/>
              </w:rPr>
              <w:t>In-depth interview</w:t>
            </w:r>
            <w:r w:rsidR="004A16E9">
              <w:rPr>
                <w:rFonts w:asciiTheme="minorHAnsi" w:eastAsiaTheme="minorHAnsi" w:hAnsiTheme="minorHAnsi" w:cstheme="minorBidi"/>
                <w:sz w:val="22"/>
                <w:szCs w:val="22"/>
              </w:rPr>
              <w:t xml:space="preserve"> (n=45)</w:t>
            </w:r>
          </w:p>
        </w:tc>
        <w:tc>
          <w:tcPr>
            <w:tcW w:w="1260" w:type="dxa"/>
            <w:shd w:val="clear" w:color="auto" w:fill="BFBFBF" w:themeFill="background1" w:themeFillShade="BF"/>
          </w:tcPr>
          <w:p w:rsidR="00465200" w:rsidRPr="00465200" w:rsidP="00465200" w14:paraId="580BF1E4" w14:textId="77777777">
            <w:pPr>
              <w:jc w:val="center"/>
              <w:rPr>
                <w:rFonts w:asciiTheme="minorHAnsi" w:eastAsiaTheme="minorHAnsi" w:hAnsiTheme="minorHAnsi" w:cstheme="minorBidi"/>
                <w:sz w:val="22"/>
                <w:szCs w:val="22"/>
              </w:rPr>
            </w:pPr>
            <w:r w:rsidRPr="00465200">
              <w:rPr>
                <w:rFonts w:asciiTheme="minorHAnsi" w:eastAsiaTheme="minorHAnsi" w:hAnsiTheme="minorHAnsi" w:cstheme="minorBidi"/>
                <w:sz w:val="22"/>
                <w:szCs w:val="22"/>
              </w:rPr>
              <w:t>$75</w:t>
            </w:r>
          </w:p>
        </w:tc>
        <w:tc>
          <w:tcPr>
            <w:tcW w:w="2070" w:type="dxa"/>
            <w:shd w:val="clear" w:color="auto" w:fill="BFBFBF" w:themeFill="background1" w:themeFillShade="BF"/>
          </w:tcPr>
          <w:p w:rsidR="00465200" w:rsidRPr="00465200" w:rsidP="00465200" w14:paraId="5D4BA48C" w14:textId="77777777">
            <w:pPr>
              <w:jc w:val="center"/>
              <w:rPr>
                <w:rFonts w:asciiTheme="minorHAnsi" w:eastAsiaTheme="minorHAnsi" w:hAnsiTheme="minorHAnsi" w:cstheme="minorBidi"/>
                <w:sz w:val="22"/>
                <w:szCs w:val="22"/>
              </w:rPr>
            </w:pPr>
            <w:r w:rsidRPr="00465200">
              <w:rPr>
                <w:rFonts w:asciiTheme="minorHAnsi" w:eastAsiaTheme="minorHAnsi" w:hAnsiTheme="minorHAnsi" w:cstheme="minorBidi"/>
                <w:sz w:val="22"/>
                <w:szCs w:val="22"/>
              </w:rPr>
              <w:t>3</w:t>
            </w:r>
          </w:p>
        </w:tc>
        <w:tc>
          <w:tcPr>
            <w:tcW w:w="1350" w:type="dxa"/>
            <w:shd w:val="clear" w:color="auto" w:fill="BFBFBF" w:themeFill="background1" w:themeFillShade="BF"/>
          </w:tcPr>
          <w:p w:rsidR="00465200" w:rsidRPr="00465200" w:rsidP="00465200" w14:paraId="39F47E34" w14:textId="77777777">
            <w:pPr>
              <w:jc w:val="center"/>
              <w:rPr>
                <w:rFonts w:asciiTheme="minorHAnsi" w:eastAsiaTheme="minorHAnsi" w:hAnsiTheme="minorHAnsi" w:cstheme="minorBidi"/>
                <w:sz w:val="22"/>
                <w:szCs w:val="22"/>
              </w:rPr>
            </w:pPr>
            <w:r w:rsidRPr="00465200">
              <w:rPr>
                <w:rFonts w:asciiTheme="minorHAnsi" w:eastAsiaTheme="minorHAnsi" w:hAnsiTheme="minorHAnsi" w:cstheme="minorBidi"/>
                <w:sz w:val="22"/>
                <w:szCs w:val="22"/>
              </w:rPr>
              <w:t>$225</w:t>
            </w:r>
          </w:p>
        </w:tc>
      </w:tr>
      <w:tr w14:paraId="304748BA" w14:textId="77777777" w:rsidTr="004A16E9">
        <w:tblPrEx>
          <w:tblW w:w="0" w:type="auto"/>
          <w:tblLook w:val="04A0"/>
        </w:tblPrEx>
        <w:tc>
          <w:tcPr>
            <w:tcW w:w="3415" w:type="dxa"/>
            <w:shd w:val="clear" w:color="auto" w:fill="BFBFBF" w:themeFill="background1" w:themeFillShade="BF"/>
          </w:tcPr>
          <w:p w:rsidR="00465200" w:rsidRPr="00465200" w:rsidP="00465200" w14:paraId="48D358DE" w14:textId="186A7C26">
            <w:pPr>
              <w:rPr>
                <w:rFonts w:asciiTheme="minorHAnsi" w:eastAsiaTheme="minorHAnsi" w:hAnsiTheme="minorHAnsi" w:cstheme="minorBidi"/>
                <w:sz w:val="22"/>
                <w:szCs w:val="22"/>
              </w:rPr>
            </w:pPr>
            <w:r w:rsidRPr="00465200">
              <w:rPr>
                <w:rFonts w:asciiTheme="minorHAnsi" w:eastAsiaTheme="minorHAnsi" w:hAnsiTheme="minorHAnsi" w:cstheme="minorBidi"/>
                <w:sz w:val="22"/>
                <w:szCs w:val="22"/>
              </w:rPr>
              <w:t>Focus group discussion</w:t>
            </w:r>
            <w:r w:rsidR="004A16E9">
              <w:rPr>
                <w:rFonts w:asciiTheme="minorHAnsi" w:eastAsiaTheme="minorHAnsi" w:hAnsiTheme="minorHAnsi" w:cstheme="minorBidi"/>
                <w:sz w:val="22"/>
                <w:szCs w:val="22"/>
              </w:rPr>
              <w:t xml:space="preserve"> (n=144)</w:t>
            </w:r>
          </w:p>
        </w:tc>
        <w:tc>
          <w:tcPr>
            <w:tcW w:w="1260" w:type="dxa"/>
            <w:shd w:val="clear" w:color="auto" w:fill="BFBFBF" w:themeFill="background1" w:themeFillShade="BF"/>
          </w:tcPr>
          <w:p w:rsidR="00465200" w:rsidRPr="00465200" w:rsidP="00465200" w14:paraId="6F051E21" w14:textId="77777777">
            <w:pPr>
              <w:jc w:val="center"/>
              <w:rPr>
                <w:rFonts w:asciiTheme="minorHAnsi" w:eastAsiaTheme="minorHAnsi" w:hAnsiTheme="minorHAnsi" w:cstheme="minorBidi"/>
                <w:sz w:val="22"/>
                <w:szCs w:val="22"/>
              </w:rPr>
            </w:pPr>
            <w:r w:rsidRPr="00465200">
              <w:rPr>
                <w:rFonts w:asciiTheme="minorHAnsi" w:eastAsiaTheme="minorHAnsi" w:hAnsiTheme="minorHAnsi" w:cstheme="minorBidi"/>
                <w:sz w:val="22"/>
                <w:szCs w:val="22"/>
              </w:rPr>
              <w:t>$75</w:t>
            </w:r>
          </w:p>
        </w:tc>
        <w:tc>
          <w:tcPr>
            <w:tcW w:w="2070" w:type="dxa"/>
            <w:shd w:val="clear" w:color="auto" w:fill="BFBFBF" w:themeFill="background1" w:themeFillShade="BF"/>
          </w:tcPr>
          <w:p w:rsidR="00465200" w:rsidRPr="00465200" w:rsidP="00465200" w14:paraId="3261BDE4" w14:textId="77777777">
            <w:pPr>
              <w:jc w:val="center"/>
              <w:rPr>
                <w:rFonts w:asciiTheme="minorHAnsi" w:eastAsiaTheme="minorHAnsi" w:hAnsiTheme="minorHAnsi" w:cstheme="minorBidi"/>
                <w:sz w:val="22"/>
                <w:szCs w:val="22"/>
              </w:rPr>
            </w:pPr>
            <w:r w:rsidRPr="00465200">
              <w:rPr>
                <w:rFonts w:asciiTheme="minorHAnsi" w:eastAsiaTheme="minorHAnsi" w:hAnsiTheme="minorHAnsi" w:cstheme="minorBidi"/>
                <w:sz w:val="22"/>
                <w:szCs w:val="22"/>
              </w:rPr>
              <w:t>1</w:t>
            </w:r>
          </w:p>
        </w:tc>
        <w:tc>
          <w:tcPr>
            <w:tcW w:w="1350" w:type="dxa"/>
            <w:shd w:val="clear" w:color="auto" w:fill="BFBFBF" w:themeFill="background1" w:themeFillShade="BF"/>
          </w:tcPr>
          <w:p w:rsidR="00465200" w:rsidRPr="00465200" w:rsidP="00465200" w14:paraId="6ABEAEDD" w14:textId="77777777">
            <w:pPr>
              <w:jc w:val="center"/>
              <w:rPr>
                <w:rFonts w:asciiTheme="minorHAnsi" w:eastAsiaTheme="minorHAnsi" w:hAnsiTheme="minorHAnsi" w:cstheme="minorBidi"/>
                <w:sz w:val="22"/>
                <w:szCs w:val="22"/>
              </w:rPr>
            </w:pPr>
            <w:r w:rsidRPr="00465200">
              <w:rPr>
                <w:rFonts w:asciiTheme="minorHAnsi" w:eastAsiaTheme="minorHAnsi" w:hAnsiTheme="minorHAnsi" w:cstheme="minorBidi"/>
                <w:sz w:val="22"/>
                <w:szCs w:val="22"/>
              </w:rPr>
              <w:t>$75</w:t>
            </w:r>
          </w:p>
        </w:tc>
      </w:tr>
    </w:tbl>
    <w:p w:rsidR="00327C26" w:rsidP="00EC4AB4" w14:paraId="6C3F05C2" w14:textId="77777777">
      <w:pPr>
        <w:rPr>
          <w:szCs w:val="24"/>
        </w:rPr>
      </w:pPr>
    </w:p>
    <w:p w:rsidR="00A62F09" w:rsidRPr="00A62F09" w:rsidP="00A62F09" w14:paraId="4C3432F2" w14:textId="6A876A25">
      <w:pPr>
        <w:rPr>
          <w:szCs w:val="24"/>
        </w:rPr>
      </w:pPr>
      <w:r w:rsidRPr="00A62F09">
        <w:rPr>
          <w:szCs w:val="24"/>
        </w:rPr>
        <w:t>The proposed incentives for the MIC-DROP study are based on the researchers’ recent experiences with a similar study, Project PEACH – Parrying the Pitfalls of PrEP: Preventing Premature PrEP Discontinuation and STI’s Among Young Black MSM</w:t>
      </w:r>
      <w:r w:rsidRPr="00A62F09">
        <w:rPr>
          <w:szCs w:val="24"/>
          <w:vertAlign w:val="superscript"/>
        </w:rPr>
        <w:t>2</w:t>
      </w:r>
      <w:r w:rsidR="00774EC4">
        <w:rPr>
          <w:szCs w:val="24"/>
          <w:vertAlign w:val="superscript"/>
        </w:rPr>
        <w:t>2</w:t>
      </w:r>
      <w:r w:rsidRPr="00A62F09">
        <w:rPr>
          <w:szCs w:val="24"/>
        </w:rPr>
        <w:t xml:space="preserve">.  Project PEACH is an intervention study with the goal of preventing new HIV infections among young, black men who have sex with men (MSM) in Atlanta, GA by increasing HIV pre-exposure prophylaxis (PrEP) use, decreasing PrEP discontinuation, and preventing sexually transmitted infections (STI) </w:t>
      </w:r>
      <w:r w:rsidRPr="00A62F09">
        <w:rPr>
          <w:szCs w:val="24"/>
        </w:rPr>
        <w:t>through the use of</w:t>
      </w:r>
      <w:r w:rsidRPr="00A62F09">
        <w:rPr>
          <w:szCs w:val="24"/>
        </w:rPr>
        <w:t xml:space="preserve"> STI post-exposure prophylaxis (PEP).  Participants are enrolled in the study for 2 years with frequent follow-up time points to assess PrEP and STI PEP usage and detect warning signs for PrEP discontinuation so that peer navigators and clinicians can intervene to prevent it.  Like the MIC DROP study, Project PEACH study activities include downloading a </w:t>
      </w:r>
      <w:r w:rsidRPr="00A62F09">
        <w:rPr>
          <w:szCs w:val="24"/>
        </w:rPr>
        <w:t xml:space="preserve">mobile phone app, engaging in ongoing web-based quantitative surveys, and serial HIV and STI self-testing. Additionally, Project PEACH participants were also asked to attend three in-person visits and complete weekly and monthly quizzes. Project PEACH launched in November 2021; however, 7 months into the study, we had only enrolled 30 people and fell significantly behind our grant milestones. Additionally, we had low engagement with our web-based surveys. To enroll this difficult to reach population and improve our retention outcomes, we had to increase our incentive amounts to $125 for in-person surveys and testing and $40 for web-based surveys. Seven months after making these changes to our incentives, we were able to enroll an additional 109 participants for Project PEACH.  Since this time, the impact of COVID-19 and inflation have continued to make recruitment extremely challenging. We anticipate having similar challenges with enrolling participants for MIC-DROP. </w:t>
      </w:r>
      <w:r w:rsidRPr="00A62F09">
        <w:rPr>
          <w:szCs w:val="24"/>
        </w:rPr>
        <w:t>In order to</w:t>
      </w:r>
      <w:r w:rsidRPr="00A62F09">
        <w:rPr>
          <w:szCs w:val="24"/>
        </w:rPr>
        <w:t xml:space="preserve"> mitigate these challenges, we propose a modest increase to the incentive amounts recommended by OMB guidelines. </w:t>
      </w:r>
    </w:p>
    <w:p w:rsidR="00047D50" w:rsidRPr="00081ADA" w:rsidP="00EC4AB4" w14:paraId="5157BAB7" w14:textId="77777777">
      <w:pPr>
        <w:rPr>
          <w:szCs w:val="24"/>
        </w:rPr>
      </w:pPr>
    </w:p>
    <w:p w:rsidR="0062681B" w:rsidP="00C117EC" w14:paraId="715A3BA0" w14:textId="639260EE">
      <w:pPr>
        <w:rPr>
          <w:szCs w:val="24"/>
        </w:rPr>
      </w:pPr>
      <w:r w:rsidRPr="00081ADA">
        <w:rPr>
          <w:szCs w:val="24"/>
        </w:rPr>
        <w:t>In his memorandum for the president’s management council dated January 20, 2006, the Administrator of the Office of Information and Regulatory Affairs of the Office of Management and Budget wrote, “Incentives are most appropriately used in Federal statistical surveys with hard-to-find populations or respondents whose failure to participate would jeopardize the quality of the survey data (e.g., in panel surveys experiencing high attrition), or in studies that impose exceptional burden on respondents, such as those asking highly sensitive questions…”</w:t>
      </w:r>
      <w:r w:rsidRPr="00E32C7E" w:rsidR="001C7219">
        <w:rPr>
          <w:szCs w:val="24"/>
          <w:vertAlign w:val="superscript"/>
        </w:rPr>
        <w:t>2</w:t>
      </w:r>
      <w:r w:rsidR="00774EC4">
        <w:rPr>
          <w:szCs w:val="24"/>
          <w:vertAlign w:val="superscript"/>
        </w:rPr>
        <w:t>3</w:t>
      </w:r>
      <w:r w:rsidRPr="00081ADA">
        <w:rPr>
          <w:szCs w:val="24"/>
        </w:rPr>
        <w:t xml:space="preserve"> The use of tokens of appreciation in the proposed research is appropriate according to this guidance. The primary goal of the project is to develop and assess the potential impact of practical messages about emerging HIV prevention information and approaches (e.g., PrEP, condom effectiveness, peer group HIV prevalence) for MSM</w:t>
      </w:r>
      <w:r w:rsidR="00863108">
        <w:rPr>
          <w:szCs w:val="24"/>
        </w:rPr>
        <w:t xml:space="preserve">, including </w:t>
      </w:r>
      <w:r w:rsidR="000D47D1">
        <w:rPr>
          <w:szCs w:val="24"/>
        </w:rPr>
        <w:t>Black and Latino MSM</w:t>
      </w:r>
      <w:r w:rsidRPr="00081ADA">
        <w:rPr>
          <w:szCs w:val="24"/>
        </w:rPr>
        <w:t xml:space="preserve">. This study seeks to recruit, enroll, and follow </w:t>
      </w:r>
      <w:r w:rsidRPr="00081ADA" w:rsidR="00F934A5">
        <w:rPr>
          <w:szCs w:val="24"/>
        </w:rPr>
        <w:t>a</w:t>
      </w:r>
      <w:r w:rsidRPr="00081ADA">
        <w:rPr>
          <w:szCs w:val="24"/>
        </w:rPr>
        <w:t xml:space="preserve"> </w:t>
      </w:r>
      <w:r w:rsidRPr="00081ADA" w:rsidR="00D36843">
        <w:rPr>
          <w:szCs w:val="24"/>
        </w:rPr>
        <w:t>stigmatized population</w:t>
      </w:r>
      <w:r w:rsidRPr="00081ADA">
        <w:rPr>
          <w:szCs w:val="24"/>
        </w:rPr>
        <w:t xml:space="preserve">, while also asking highly sensitive questions about issues such as </w:t>
      </w:r>
      <w:r w:rsidRPr="00081ADA" w:rsidR="004A51BE">
        <w:rPr>
          <w:szCs w:val="24"/>
        </w:rPr>
        <w:t>PrEP use</w:t>
      </w:r>
      <w:r w:rsidRPr="00081ADA">
        <w:rPr>
          <w:szCs w:val="24"/>
        </w:rPr>
        <w:t xml:space="preserve">, </w:t>
      </w:r>
      <w:r w:rsidRPr="00081ADA" w:rsidR="00F20EAC">
        <w:rPr>
          <w:szCs w:val="24"/>
        </w:rPr>
        <w:t xml:space="preserve">HIV and STIs, and sexual </w:t>
      </w:r>
      <w:r w:rsidRPr="00081ADA" w:rsidR="004A51BE">
        <w:rPr>
          <w:szCs w:val="24"/>
        </w:rPr>
        <w:t>behaviors</w:t>
      </w:r>
      <w:r w:rsidRPr="00081ADA">
        <w:rPr>
          <w:szCs w:val="24"/>
        </w:rPr>
        <w:t xml:space="preserve">.  </w:t>
      </w:r>
      <w:r w:rsidRPr="00081ADA" w:rsidR="004647E2">
        <w:rPr>
          <w:szCs w:val="24"/>
        </w:rPr>
        <w:t>Further, o</w:t>
      </w:r>
      <w:r w:rsidRPr="00081ADA" w:rsidR="003C2D2C">
        <w:rPr>
          <w:szCs w:val="24"/>
        </w:rPr>
        <w:t xml:space="preserve">ffering tokens of appreciation is </w:t>
      </w:r>
      <w:r w:rsidRPr="00081ADA" w:rsidR="00AC7A7E">
        <w:rPr>
          <w:szCs w:val="24"/>
        </w:rPr>
        <w:t xml:space="preserve">critical when </w:t>
      </w:r>
      <w:r w:rsidRPr="00081ADA" w:rsidR="00726FC8">
        <w:rPr>
          <w:szCs w:val="24"/>
        </w:rPr>
        <w:t>recruiting</w:t>
      </w:r>
      <w:r w:rsidRPr="00081ADA" w:rsidR="003C2D2C">
        <w:rPr>
          <w:szCs w:val="24"/>
        </w:rPr>
        <w:t xml:space="preserve"> minorities and historically underrepresented groups in research.</w:t>
      </w:r>
      <w:r w:rsidRPr="00081ADA" w:rsidR="005E00F9">
        <w:rPr>
          <w:szCs w:val="24"/>
        </w:rPr>
        <w:t xml:space="preserve"> A meta-analysis of 95 studies published between January 1999 and April 2005 describing methods of increasing minority persons’ enrollment and retention in research studies found that remuneration enhanced retention among this group.</w:t>
      </w:r>
      <w:r w:rsidRPr="006E4CB3" w:rsidR="00152919">
        <w:rPr>
          <w:szCs w:val="24"/>
          <w:vertAlign w:val="superscript"/>
        </w:rPr>
        <w:t>2</w:t>
      </w:r>
      <w:r w:rsidR="00774EC4">
        <w:rPr>
          <w:szCs w:val="24"/>
          <w:vertAlign w:val="superscript"/>
        </w:rPr>
        <w:t>4</w:t>
      </w:r>
    </w:p>
    <w:p w:rsidR="0062681B" w:rsidRPr="00081ADA" w:rsidP="00EC4AB4" w14:paraId="23B0D730" w14:textId="77777777">
      <w:pPr>
        <w:pStyle w:val="NoSpacing"/>
        <w:tabs>
          <w:tab w:val="left" w:pos="360"/>
        </w:tabs>
        <w:rPr>
          <w:rFonts w:cs="Times New Roman"/>
          <w:szCs w:val="24"/>
        </w:rPr>
      </w:pPr>
    </w:p>
    <w:p w:rsidR="00CA6BAA" w:rsidRPr="00081ADA" w:rsidP="00EC4AB4" w14:paraId="51270384" w14:textId="6E37793D">
      <w:pPr>
        <w:rPr>
          <w:szCs w:val="24"/>
        </w:rPr>
      </w:pPr>
      <w:r w:rsidRPr="00081ADA">
        <w:rPr>
          <w:szCs w:val="24"/>
        </w:rPr>
        <w:t>Remuneration has been used in other HIV-related CDC data collection efforts, such as for National HIV Behavioral Surveillance (OMB 0920-0770, exp. 5/31/2014)</w:t>
      </w:r>
      <w:r w:rsidRPr="00081ADA" w:rsidR="00EC4BC4">
        <w:rPr>
          <w:szCs w:val="24"/>
        </w:rPr>
        <w:t xml:space="preserve"> </w:t>
      </w:r>
      <w:r w:rsidRPr="00081ADA">
        <w:rPr>
          <w:szCs w:val="24"/>
        </w:rPr>
        <w:t xml:space="preserve">and the Testing Brief Messages for Black and Latino MSM Study (OMB 0920-14SY under 0920-0840, exp. 1/31/2019), </w:t>
      </w:r>
      <w:r w:rsidR="00EC4BC4">
        <w:rPr>
          <w:szCs w:val="24"/>
        </w:rPr>
        <w:t>both</w:t>
      </w:r>
      <w:r w:rsidRPr="00081ADA">
        <w:rPr>
          <w:szCs w:val="24"/>
        </w:rPr>
        <w:t xml:space="preserve"> of which included hard-to-reach populations and had a similar length of time for completing the client interview as in this proposed research. </w:t>
      </w:r>
      <w:r w:rsidR="00B5654F">
        <w:rPr>
          <w:szCs w:val="24"/>
        </w:rPr>
        <w:t xml:space="preserve">This </w:t>
      </w:r>
      <w:r w:rsidR="00EC4AB4">
        <w:rPr>
          <w:szCs w:val="24"/>
        </w:rPr>
        <w:t>remuneration</w:t>
      </w:r>
      <w:r w:rsidR="00B5654F">
        <w:rPr>
          <w:szCs w:val="24"/>
        </w:rPr>
        <w:t xml:space="preserve"> approach and these </w:t>
      </w:r>
      <w:r w:rsidR="00EC4AB4">
        <w:rPr>
          <w:szCs w:val="24"/>
        </w:rPr>
        <w:t xml:space="preserve">token </w:t>
      </w:r>
      <w:r w:rsidR="00B5654F">
        <w:rPr>
          <w:szCs w:val="24"/>
        </w:rPr>
        <w:t xml:space="preserve">levels are consistent with a recent CDC study with a similar population, </w:t>
      </w:r>
      <w:r w:rsidRPr="00481BB3" w:rsidR="00481BB3">
        <w:rPr>
          <w:szCs w:val="24"/>
        </w:rPr>
        <w:t>Mobile Messaging Intervention to Present New HIV Prevention Options for Men Who have Sex with Men (MSM): Randomized Controlled Trial</w:t>
      </w:r>
      <w:r w:rsidR="00B5654F">
        <w:rPr>
          <w:szCs w:val="24"/>
        </w:rPr>
        <w:t xml:space="preserve"> (OMB 0920-</w:t>
      </w:r>
      <w:r w:rsidR="00EC4AB4">
        <w:rPr>
          <w:szCs w:val="24"/>
        </w:rPr>
        <w:t>1209</w:t>
      </w:r>
      <w:r w:rsidR="00B5654F">
        <w:rPr>
          <w:szCs w:val="24"/>
        </w:rPr>
        <w:t xml:space="preserve">, exp. </w:t>
      </w:r>
      <w:r w:rsidR="00EC4AB4">
        <w:rPr>
          <w:szCs w:val="24"/>
        </w:rPr>
        <w:t>12</w:t>
      </w:r>
      <w:r w:rsidR="00CF120B">
        <w:rPr>
          <w:szCs w:val="24"/>
        </w:rPr>
        <w:t>/</w:t>
      </w:r>
      <w:r w:rsidR="00EC4AB4">
        <w:rPr>
          <w:szCs w:val="24"/>
        </w:rPr>
        <w:t>31</w:t>
      </w:r>
      <w:r w:rsidR="0088374E">
        <w:rPr>
          <w:szCs w:val="24"/>
        </w:rPr>
        <w:t>/201</w:t>
      </w:r>
      <w:r w:rsidR="00EC4AB4">
        <w:rPr>
          <w:szCs w:val="24"/>
        </w:rPr>
        <w:t>9</w:t>
      </w:r>
      <w:r w:rsidR="00B5654F">
        <w:rPr>
          <w:szCs w:val="24"/>
        </w:rPr>
        <w:t xml:space="preserve">). </w:t>
      </w:r>
      <w:r w:rsidRPr="00B5654F" w:rsidR="00B5654F">
        <w:rPr>
          <w:szCs w:val="24"/>
        </w:rPr>
        <w:t xml:space="preserve">In each of these projects, tokens of appreciation </w:t>
      </w:r>
      <w:r w:rsidR="00EC4AB4">
        <w:rPr>
          <w:szCs w:val="24"/>
        </w:rPr>
        <w:t>helped to</w:t>
      </w:r>
      <w:r w:rsidRPr="00B5654F" w:rsidR="00B5654F">
        <w:rPr>
          <w:szCs w:val="24"/>
        </w:rPr>
        <w:t xml:space="preserve"> increase </w:t>
      </w:r>
      <w:r w:rsidR="00B5654F">
        <w:rPr>
          <w:szCs w:val="24"/>
        </w:rPr>
        <w:t xml:space="preserve">and maintain </w:t>
      </w:r>
      <w:r w:rsidRPr="00B5654F" w:rsidR="00B5654F">
        <w:rPr>
          <w:szCs w:val="24"/>
        </w:rPr>
        <w:t>participation rates.</w:t>
      </w:r>
    </w:p>
    <w:p w:rsidR="002C5246" w:rsidRPr="00081ADA" w:rsidP="00EC4AB4" w14:paraId="7CD36D4B" w14:textId="5614C9C9">
      <w:pPr>
        <w:pStyle w:val="NoSpacing"/>
        <w:tabs>
          <w:tab w:val="left" w:pos="360"/>
        </w:tabs>
        <w:rPr>
          <w:rFonts w:cs="Times New Roman"/>
          <w:szCs w:val="24"/>
        </w:rPr>
      </w:pPr>
    </w:p>
    <w:p w:rsidR="002C5246" w:rsidRPr="00081ADA" w:rsidP="000A4126" w14:paraId="768E0174" w14:textId="65F5C277">
      <w:pPr>
        <w:pStyle w:val="NoSpacing"/>
        <w:tabs>
          <w:tab w:val="left" w:pos="360"/>
        </w:tabs>
        <w:rPr>
          <w:rFonts w:cs="Times New Roman"/>
          <w:b/>
          <w:bCs/>
          <w:szCs w:val="24"/>
        </w:rPr>
      </w:pPr>
      <w:r w:rsidRPr="00081ADA">
        <w:rPr>
          <w:rFonts w:cs="Times New Roman"/>
          <w:b/>
          <w:bCs/>
          <w:szCs w:val="24"/>
        </w:rPr>
        <w:t>10.</w:t>
      </w:r>
      <w:r w:rsidRPr="00081ADA">
        <w:rPr>
          <w:rFonts w:cs="Times New Roman"/>
          <w:b/>
          <w:bCs/>
          <w:szCs w:val="24"/>
        </w:rPr>
        <w:tab/>
        <w:t xml:space="preserve"> </w:t>
      </w:r>
      <w:bookmarkStart w:id="25" w:name="ProtectionOfThePrivacy10"/>
      <w:r w:rsidRPr="00081ADA">
        <w:rPr>
          <w:rFonts w:cs="Times New Roman"/>
          <w:b/>
          <w:bCs/>
          <w:szCs w:val="24"/>
        </w:rPr>
        <w:t>Protection of the Privacy and Confidentiality of Information Provided by Respondents</w:t>
      </w:r>
      <w:bookmarkEnd w:id="25"/>
    </w:p>
    <w:p w:rsidR="00C10799" w:rsidP="00EC4AB4" w14:paraId="20323B21" w14:textId="77777777">
      <w:pPr>
        <w:pStyle w:val="NoSpacing"/>
        <w:tabs>
          <w:tab w:val="left" w:pos="360"/>
        </w:tabs>
        <w:rPr>
          <w:rFonts w:cs="Times New Roman"/>
          <w:b/>
          <w:bCs/>
        </w:rPr>
      </w:pPr>
    </w:p>
    <w:p w:rsidR="00052270" w:rsidRPr="00EC4AB4" w:rsidP="00EC4AB4" w14:paraId="1F5E069B" w14:textId="3A125FA2">
      <w:pPr>
        <w:rPr>
          <w:rFonts w:eastAsia="Calibri"/>
          <w:szCs w:val="24"/>
        </w:rPr>
      </w:pPr>
      <w:r w:rsidRPr="00EC4AB4">
        <w:rPr>
          <w:rFonts w:eastAsia="Calibri"/>
          <w:szCs w:val="24"/>
        </w:rPr>
        <w:t xml:space="preserve">The </w:t>
      </w:r>
      <w:r w:rsidR="00AF6F75">
        <w:rPr>
          <w:rFonts w:eastAsia="Calibri"/>
          <w:szCs w:val="24"/>
        </w:rPr>
        <w:t xml:space="preserve">CDC National Center for HIV, </w:t>
      </w:r>
      <w:r w:rsidR="009D73CC">
        <w:rPr>
          <w:rFonts w:eastAsia="Calibri"/>
          <w:szCs w:val="24"/>
        </w:rPr>
        <w:t xml:space="preserve">Viral </w:t>
      </w:r>
      <w:r w:rsidR="00AF6F75">
        <w:rPr>
          <w:rFonts w:eastAsia="Calibri"/>
          <w:szCs w:val="24"/>
        </w:rPr>
        <w:t>Hepatitis</w:t>
      </w:r>
      <w:r w:rsidR="009D73CC">
        <w:rPr>
          <w:rFonts w:eastAsia="Calibri"/>
          <w:szCs w:val="24"/>
        </w:rPr>
        <w:t>, STD, and TB Prevention (</w:t>
      </w:r>
      <w:r w:rsidRPr="00EC4AB4">
        <w:rPr>
          <w:rFonts w:eastAsia="Calibri"/>
          <w:szCs w:val="24"/>
        </w:rPr>
        <w:t>NCHHSTP</w:t>
      </w:r>
      <w:r w:rsidR="009D73CC">
        <w:rPr>
          <w:rFonts w:eastAsia="Calibri"/>
          <w:szCs w:val="24"/>
        </w:rPr>
        <w:t>)</w:t>
      </w:r>
      <w:r w:rsidRPr="00EC4AB4">
        <w:rPr>
          <w:rFonts w:eastAsia="Calibri"/>
          <w:szCs w:val="24"/>
        </w:rPr>
        <w:t xml:space="preserve"> Associate Director for Science Office has reviewed this project and determined the Privacy Act applies to this information collection activity.  </w:t>
      </w:r>
      <w:r w:rsidRPr="00EC4AB4" w:rsidR="00C42A6C">
        <w:rPr>
          <w:rFonts w:eastAsia="Calibri"/>
          <w:szCs w:val="24"/>
        </w:rPr>
        <w:t xml:space="preserve">A Privacy Impact Assessment </w:t>
      </w:r>
      <w:r w:rsidRPr="00EC4AB4" w:rsidR="004F554F">
        <w:rPr>
          <w:rFonts w:eastAsia="Calibri"/>
          <w:szCs w:val="24"/>
        </w:rPr>
        <w:t>has been</w:t>
      </w:r>
      <w:r w:rsidRPr="00EC4AB4" w:rsidR="002F5832">
        <w:rPr>
          <w:rFonts w:eastAsia="Calibri"/>
          <w:szCs w:val="24"/>
        </w:rPr>
        <w:t xml:space="preserve"> conducted </w:t>
      </w:r>
      <w:r w:rsidRPr="00EC4AB4" w:rsidR="000D2401">
        <w:rPr>
          <w:rFonts w:eastAsia="Calibri"/>
          <w:szCs w:val="24"/>
        </w:rPr>
        <w:t>(</w:t>
      </w:r>
      <w:r w:rsidRPr="00EC4AB4" w:rsidR="000D2401">
        <w:rPr>
          <w:rFonts w:eastAsia="Calibri"/>
          <w:b/>
          <w:bCs/>
          <w:szCs w:val="24"/>
        </w:rPr>
        <w:t>Attachment 8</w:t>
      </w:r>
      <w:r w:rsidRPr="00EC4AB4" w:rsidR="000D2401">
        <w:rPr>
          <w:rFonts w:eastAsia="Calibri"/>
          <w:szCs w:val="24"/>
        </w:rPr>
        <w:t>)</w:t>
      </w:r>
      <w:r w:rsidRPr="00EC4AB4">
        <w:rPr>
          <w:rFonts w:eastAsia="Calibri"/>
          <w:szCs w:val="24"/>
        </w:rPr>
        <w:t>.</w:t>
      </w:r>
      <w:r w:rsidRPr="00EC4AB4" w:rsidR="000D2401">
        <w:rPr>
          <w:rFonts w:eastAsia="Calibri"/>
          <w:szCs w:val="24"/>
        </w:rPr>
        <w:t xml:space="preserve"> </w:t>
      </w:r>
    </w:p>
    <w:p w:rsidR="00CA507C" w:rsidRPr="00081ADA" w:rsidP="00EC4AB4" w14:paraId="36BA3362" w14:textId="4721C8CB">
      <w:pPr>
        <w:rPr>
          <w:rFonts w:eastAsia="Calibri"/>
          <w:szCs w:val="24"/>
        </w:rPr>
      </w:pPr>
    </w:p>
    <w:p w:rsidR="004F554F" w:rsidRPr="00081ADA" w:rsidP="00EC4AB4" w14:paraId="63A378F4" w14:textId="706EFA55">
      <w:pPr>
        <w:rPr>
          <w:rFonts w:eastAsia="Calibri"/>
          <w:szCs w:val="24"/>
        </w:rPr>
      </w:pPr>
      <w:r w:rsidRPr="00081ADA">
        <w:rPr>
          <w:rFonts w:eastAsia="Calibri"/>
          <w:szCs w:val="24"/>
        </w:rPr>
        <w:t>The awardee, Emory University</w:t>
      </w:r>
      <w:r w:rsidRPr="00081ADA" w:rsidR="00B07C8E">
        <w:rPr>
          <w:rFonts w:eastAsia="Calibri"/>
          <w:szCs w:val="24"/>
        </w:rPr>
        <w:t xml:space="preserve"> </w:t>
      </w:r>
      <w:r w:rsidRPr="00081ADA">
        <w:rPr>
          <w:rFonts w:eastAsia="Calibri"/>
          <w:szCs w:val="24"/>
        </w:rPr>
        <w:t xml:space="preserve">and </w:t>
      </w:r>
      <w:r w:rsidRPr="00081ADA" w:rsidR="00B07C8E">
        <w:rPr>
          <w:rFonts w:eastAsia="Calibri"/>
          <w:szCs w:val="24"/>
        </w:rPr>
        <w:t xml:space="preserve">their </w:t>
      </w:r>
      <w:r w:rsidRPr="00081ADA">
        <w:rPr>
          <w:rFonts w:eastAsia="Calibri"/>
          <w:szCs w:val="24"/>
        </w:rPr>
        <w:t xml:space="preserve">partners, University of </w:t>
      </w:r>
      <w:r w:rsidR="00AC4B1B">
        <w:rPr>
          <w:rFonts w:eastAsia="Calibri"/>
          <w:szCs w:val="24"/>
        </w:rPr>
        <w:t>Chicago</w:t>
      </w:r>
      <w:r w:rsidRPr="00081ADA" w:rsidR="00B07C8E">
        <w:rPr>
          <w:rFonts w:eastAsia="Calibri"/>
          <w:szCs w:val="24"/>
        </w:rPr>
        <w:t>,</w:t>
      </w:r>
      <w:r w:rsidRPr="00081ADA">
        <w:rPr>
          <w:rFonts w:eastAsia="Calibri"/>
          <w:szCs w:val="24"/>
        </w:rPr>
        <w:t xml:space="preserve"> and </w:t>
      </w:r>
      <w:r w:rsidRPr="00081ADA" w:rsidR="00B07C8E">
        <w:rPr>
          <w:rFonts w:eastAsia="Calibri"/>
          <w:szCs w:val="24"/>
        </w:rPr>
        <w:t>San Diego State University</w:t>
      </w:r>
      <w:r w:rsidRPr="00081ADA">
        <w:rPr>
          <w:rFonts w:eastAsia="Calibri"/>
          <w:szCs w:val="24"/>
        </w:rPr>
        <w:t xml:space="preserve">, will be responsible for collecting all data for this study. </w:t>
      </w:r>
      <w:r w:rsidRPr="00081ADA">
        <w:rPr>
          <w:rFonts w:eastAsia="Calibri"/>
          <w:szCs w:val="24"/>
        </w:rPr>
        <w:t xml:space="preserve">Personally identifiable information will not be shared with CDC. </w:t>
      </w:r>
    </w:p>
    <w:p w:rsidR="004F554F" w:rsidRPr="00081ADA" w:rsidP="00EC4AB4" w14:paraId="2CC0DF20" w14:textId="116406E7">
      <w:pPr>
        <w:rPr>
          <w:rFonts w:eastAsia="Calibri"/>
          <w:szCs w:val="24"/>
        </w:rPr>
      </w:pPr>
      <w:r w:rsidRPr="00081ADA">
        <w:rPr>
          <w:rFonts w:eastAsia="Calibri"/>
          <w:szCs w:val="24"/>
        </w:rPr>
        <w:t xml:space="preserve"> </w:t>
      </w:r>
    </w:p>
    <w:p w:rsidR="00380339" w:rsidRPr="00081ADA" w:rsidP="00EC4AB4" w14:paraId="51F4245C" w14:textId="64518129">
      <w:pPr>
        <w:rPr>
          <w:szCs w:val="24"/>
        </w:rPr>
      </w:pPr>
      <w:r w:rsidRPr="00081ADA">
        <w:rPr>
          <w:rFonts w:eastAsia="Calibri"/>
          <w:szCs w:val="24"/>
        </w:rPr>
        <w:t>T</w:t>
      </w:r>
      <w:r w:rsidRPr="00081ADA" w:rsidR="004F554F">
        <w:rPr>
          <w:rFonts w:eastAsia="Calibri"/>
          <w:szCs w:val="24"/>
        </w:rPr>
        <w:t>he t</w:t>
      </w:r>
      <w:r w:rsidRPr="00081ADA">
        <w:rPr>
          <w:rFonts w:eastAsia="Calibri"/>
          <w:szCs w:val="24"/>
        </w:rPr>
        <w:t>erms of the CDC Cooperative Agreement authorizing data collection require the grantee to maintain the privacy of all information collected. Section 301(d) of the Public Health Service (PHS) Act, as amended by Section 2012 of the 21</w:t>
      </w:r>
      <w:r w:rsidRPr="00081ADA">
        <w:rPr>
          <w:rFonts w:eastAsia="Calibri"/>
          <w:szCs w:val="24"/>
          <w:vertAlign w:val="superscript"/>
        </w:rPr>
        <w:t>st</w:t>
      </w:r>
      <w:r w:rsidRPr="00081ADA">
        <w:rPr>
          <w:rFonts w:eastAsia="Calibri"/>
          <w:szCs w:val="24"/>
        </w:rPr>
        <w:t xml:space="preserve"> Century Cure Act, P.L. 114-255 (42 U.S.C. 241(d), </w:t>
      </w:r>
      <w:r w:rsidRPr="00081ADA">
        <w:rPr>
          <w:szCs w:val="24"/>
        </w:rPr>
        <w:t xml:space="preserve">states that the Secretary shall issue Certificates of Confidentiality to persons engaged in biomedical, behavioral, clinical, or other research activities in which identifiable, sensitive information is collected. This study meets those requirements. The Certificate of Confidentiality further protects the privacy of subjects by limiting the disclosure of identifiable, sensitive information. </w:t>
      </w:r>
      <w:r w:rsidRPr="00081ADA">
        <w:rPr>
          <w:rFonts w:eastAsia="Calibri"/>
          <w:szCs w:val="24"/>
        </w:rPr>
        <w:t xml:space="preserve">With this Certificate, the research team cannot be forced (for example, by court subpoena) to disclose identifying information from study participants for any civil, criminal, administrative, legislative, or other proceeding, whether at the federal, state, or local level. </w:t>
      </w:r>
    </w:p>
    <w:p w:rsidR="00380339" w:rsidRPr="00081ADA" w:rsidP="00EC4AB4" w14:paraId="7620DDD9" w14:textId="17DD5E0A">
      <w:pPr>
        <w:rPr>
          <w:rFonts w:eastAsia="Calibri"/>
          <w:szCs w:val="24"/>
        </w:rPr>
      </w:pPr>
    </w:p>
    <w:p w:rsidR="00FF1D65" w:rsidP="00EC4AB4" w14:paraId="4F993E45" w14:textId="2AAE0537">
      <w:pPr>
        <w:rPr>
          <w:rFonts w:eastAsia="Calibri"/>
          <w:szCs w:val="24"/>
        </w:rPr>
      </w:pPr>
      <w:r w:rsidRPr="00DB7165">
        <w:rPr>
          <w:rFonts w:eastAsia="Calibri"/>
          <w:szCs w:val="24"/>
        </w:rPr>
        <w:t xml:space="preserve">To minimize risks to confidentiality, we will provide study data with all appropriate physical and operational security protections. </w:t>
      </w:r>
      <w:r w:rsidR="00E32C7E">
        <w:rPr>
          <w:rFonts w:eastAsia="Calibri"/>
          <w:szCs w:val="24"/>
        </w:rPr>
        <w:t>A</w:t>
      </w:r>
      <w:r w:rsidRPr="00DB7165">
        <w:rPr>
          <w:rFonts w:eastAsia="Calibri"/>
          <w:szCs w:val="24"/>
        </w:rPr>
        <w:t>ll identifiable data collected regarding study participants will be maintained on the study</w:t>
      </w:r>
      <w:r w:rsidRPr="00DB7165">
        <w:rPr>
          <w:rFonts w:eastAsia="Calibri"/>
          <w:b/>
          <w:szCs w:val="24"/>
        </w:rPr>
        <w:t xml:space="preserve"> </w:t>
      </w:r>
      <w:r w:rsidRPr="00DB7165">
        <w:rPr>
          <w:rFonts w:eastAsia="Calibri"/>
          <w:szCs w:val="24"/>
        </w:rPr>
        <w:t xml:space="preserve">server. This will be maintained separately from all other information, </w:t>
      </w:r>
      <w:r w:rsidRPr="00DB7165" w:rsidR="007062DA">
        <w:rPr>
          <w:rFonts w:eastAsia="Calibri"/>
          <w:szCs w:val="24"/>
        </w:rPr>
        <w:t>including</w:t>
      </w:r>
      <w:r w:rsidRPr="00DB7165">
        <w:rPr>
          <w:rFonts w:eastAsia="Calibri"/>
          <w:szCs w:val="24"/>
        </w:rPr>
        <w:t xml:space="preserve"> baseline </w:t>
      </w:r>
      <w:r w:rsidR="000B7FE2">
        <w:rPr>
          <w:rFonts w:eastAsia="Calibri"/>
          <w:szCs w:val="24"/>
        </w:rPr>
        <w:t>assessment</w:t>
      </w:r>
      <w:r w:rsidRPr="00DB7165">
        <w:rPr>
          <w:rFonts w:eastAsia="Calibri"/>
          <w:szCs w:val="24"/>
        </w:rPr>
        <w:t xml:space="preserve"> responses, follow-up </w:t>
      </w:r>
      <w:r w:rsidR="000B7FE2">
        <w:rPr>
          <w:rFonts w:eastAsia="Calibri"/>
          <w:szCs w:val="24"/>
        </w:rPr>
        <w:t>assessment</w:t>
      </w:r>
      <w:r w:rsidRPr="00DB7165">
        <w:rPr>
          <w:rFonts w:eastAsia="Calibri"/>
          <w:szCs w:val="24"/>
        </w:rPr>
        <w:t xml:space="preserve"> responses, at-home HIV and STI test results, and qualitative assessments. A master list linking the identifiers and study data will be stored on the study server, and access to these confidential files will be managed by the Project Coordinator and Principal Investigator. All participants will be assigned a unique identification</w:t>
      </w:r>
      <w:r w:rsidR="00904D75">
        <w:rPr>
          <w:rFonts w:eastAsia="Calibri"/>
          <w:szCs w:val="24"/>
        </w:rPr>
        <w:t xml:space="preserve"> (ID)</w:t>
      </w:r>
      <w:r w:rsidRPr="00DB7165">
        <w:rPr>
          <w:rFonts w:eastAsia="Calibri"/>
          <w:szCs w:val="24"/>
        </w:rPr>
        <w:t xml:space="preserve"> number</w:t>
      </w:r>
      <w:r>
        <w:rPr>
          <w:rFonts w:eastAsia="Calibri"/>
          <w:szCs w:val="24"/>
        </w:rPr>
        <w:t xml:space="preserve"> which will be unrelated to the participants’ name or other uniquely identifying information.</w:t>
      </w:r>
      <w:r w:rsidRPr="00DB7165">
        <w:rPr>
          <w:rFonts w:eastAsia="Calibri"/>
          <w:szCs w:val="24"/>
        </w:rPr>
        <w:t xml:space="preserve"> </w:t>
      </w:r>
      <w:r>
        <w:rPr>
          <w:rFonts w:eastAsia="Calibri"/>
          <w:szCs w:val="24"/>
        </w:rPr>
        <w:t>Documents containing personally identifying information (PII) and the document linking PII and the study ID number will be maintained separately from study data in password protected files stored within a restricted folder on a secured server</w:t>
      </w:r>
      <w:r w:rsidRPr="00DB7165">
        <w:rPr>
          <w:rFonts w:eastAsia="Calibri"/>
          <w:szCs w:val="24"/>
        </w:rPr>
        <w:t xml:space="preserve">. </w:t>
      </w:r>
      <w:r>
        <w:rPr>
          <w:rFonts w:eastAsia="Calibri"/>
          <w:szCs w:val="24"/>
        </w:rPr>
        <w:t>The linking document</w:t>
      </w:r>
      <w:r w:rsidRPr="00DB7165">
        <w:rPr>
          <w:rFonts w:eastAsia="Calibri"/>
          <w:szCs w:val="24"/>
        </w:rPr>
        <w:t xml:space="preserve"> </w:t>
      </w:r>
      <w:r>
        <w:rPr>
          <w:rFonts w:eastAsia="Calibri"/>
          <w:szCs w:val="24"/>
        </w:rPr>
        <w:t>and documents containing PII</w:t>
      </w:r>
      <w:r w:rsidRPr="00DB7165">
        <w:rPr>
          <w:rFonts w:eastAsia="Calibri"/>
          <w:szCs w:val="24"/>
        </w:rPr>
        <w:t xml:space="preserve"> will be accessible only to Investigators, Project Coordinators, and other staff who </w:t>
      </w:r>
      <w:r w:rsidR="00EC4AB4">
        <w:rPr>
          <w:rFonts w:eastAsia="Calibri"/>
          <w:szCs w:val="24"/>
        </w:rPr>
        <w:t xml:space="preserve">will </w:t>
      </w:r>
      <w:r w:rsidRPr="00DB7165">
        <w:rPr>
          <w:rFonts w:eastAsia="Calibri"/>
          <w:szCs w:val="24"/>
        </w:rPr>
        <w:t xml:space="preserve">undergo training in data security procedures. </w:t>
      </w:r>
    </w:p>
    <w:p w:rsidR="00FF1D65" w:rsidP="00EC4AB4" w14:paraId="496901B8" w14:textId="77777777">
      <w:pPr>
        <w:rPr>
          <w:rFonts w:eastAsia="Calibri"/>
          <w:szCs w:val="24"/>
        </w:rPr>
      </w:pPr>
    </w:p>
    <w:p w:rsidR="004F554F" w:rsidRPr="00DB7165" w:rsidP="00EC4AB4" w14:paraId="3840D1EF" w14:textId="1FF71EDD">
      <w:pPr>
        <w:rPr>
          <w:rFonts w:eastAsia="Calibri"/>
          <w:szCs w:val="24"/>
        </w:rPr>
      </w:pPr>
      <w:r w:rsidRPr="00DB7165">
        <w:rPr>
          <w:rFonts w:eastAsia="Calibri"/>
          <w:szCs w:val="24"/>
        </w:rPr>
        <w:t xml:space="preserve">All web survey data will be collected using </w:t>
      </w:r>
      <w:r w:rsidRPr="00DB7165">
        <w:rPr>
          <w:rFonts w:eastAsia="Calibri"/>
          <w:szCs w:val="24"/>
        </w:rPr>
        <w:t>Alchemer</w:t>
      </w:r>
      <w:r w:rsidRPr="00DB7165">
        <w:rPr>
          <w:rFonts w:eastAsia="Calibri"/>
          <w:szCs w:val="24"/>
        </w:rPr>
        <w:t xml:space="preserve">, a secure, encrypted electronic platform with which the Emory site team has established a business associate agreement to ensure HIPAA-compliance. Study data stored by </w:t>
      </w:r>
      <w:r w:rsidRPr="00DB7165">
        <w:rPr>
          <w:rFonts w:eastAsia="Calibri"/>
          <w:szCs w:val="24"/>
        </w:rPr>
        <w:t>Alchemer</w:t>
      </w:r>
      <w:r w:rsidRPr="00DB7165">
        <w:rPr>
          <w:rFonts w:eastAsia="Calibri"/>
          <w:szCs w:val="24"/>
        </w:rPr>
        <w:t xml:space="preserve"> are maintained on a dedicated secure server, with no co-mingling of study data with other </w:t>
      </w:r>
      <w:r w:rsidRPr="00DB7165">
        <w:rPr>
          <w:rFonts w:eastAsia="Calibri"/>
          <w:szCs w:val="24"/>
        </w:rPr>
        <w:t>Alchemer</w:t>
      </w:r>
      <w:r w:rsidRPr="00DB7165">
        <w:rPr>
          <w:rFonts w:eastAsia="Calibri"/>
          <w:szCs w:val="24"/>
        </w:rPr>
        <w:t xml:space="preserve"> customer data, or between Emory projects administered by </w:t>
      </w:r>
      <w:r w:rsidRPr="00DB7165">
        <w:rPr>
          <w:rFonts w:eastAsia="Calibri"/>
          <w:szCs w:val="24"/>
        </w:rPr>
        <w:t>Alchemer</w:t>
      </w:r>
      <w:r w:rsidRPr="00DB7165">
        <w:rPr>
          <w:rFonts w:eastAsia="Calibri"/>
          <w:szCs w:val="24"/>
        </w:rPr>
        <w:t xml:space="preserve">. Data collected via </w:t>
      </w:r>
      <w:r w:rsidRPr="00DB7165">
        <w:rPr>
          <w:rFonts w:eastAsia="Calibri"/>
          <w:szCs w:val="24"/>
        </w:rPr>
        <w:t>Alchemer</w:t>
      </w:r>
      <w:r w:rsidRPr="00DB7165">
        <w:rPr>
          <w:rFonts w:eastAsia="Calibri"/>
          <w:szCs w:val="24"/>
        </w:rPr>
        <w:t xml:space="preserve"> are automatically encrypted, with the coded access only available to the Project Director and the PIs. </w:t>
      </w:r>
      <w:r w:rsidRPr="00DB7165">
        <w:rPr>
          <w:rFonts w:eastAsia="Calibri"/>
          <w:szCs w:val="24"/>
        </w:rPr>
        <w:t>All data will be secured during transmission by using a 256-bit SSL encryption or higher, and the SSL certificate will be from a reputable provider (</w:t>
      </w:r>
      <w:r w:rsidRPr="00DB7165" w:rsidR="002C78BF">
        <w:rPr>
          <w:rFonts w:eastAsia="Calibri"/>
          <w:szCs w:val="24"/>
        </w:rPr>
        <w:t>e.g.,</w:t>
      </w:r>
      <w:r w:rsidRPr="00DB7165">
        <w:rPr>
          <w:rFonts w:eastAsia="Calibri"/>
          <w:szCs w:val="24"/>
        </w:rPr>
        <w:t xml:space="preserve"> VeriSign).</w:t>
      </w:r>
    </w:p>
    <w:p w:rsidR="00FF1D65" w:rsidRPr="00DB7165" w:rsidP="00EC4AB4" w14:paraId="56BDFD3A" w14:textId="77777777">
      <w:pPr>
        <w:rPr>
          <w:rFonts w:eastAsia="Calibri"/>
          <w:szCs w:val="24"/>
        </w:rPr>
      </w:pPr>
    </w:p>
    <w:p w:rsidR="004F554F" w:rsidRPr="00DB7165" w:rsidP="00EC4AB4" w14:paraId="27895A38" w14:textId="77777777">
      <w:pPr>
        <w:rPr>
          <w:rFonts w:eastAsia="Calibri"/>
          <w:szCs w:val="24"/>
        </w:rPr>
      </w:pPr>
      <w:r w:rsidRPr="00DB7165">
        <w:rPr>
          <w:rFonts w:eastAsia="Calibri"/>
          <w:szCs w:val="24"/>
        </w:rPr>
        <w:t xml:space="preserve">All electronic files and records will be stored in a firewall-protected, encrypted server at Emory University. Access to printed or electronic data will be on a role-based standard; only those study staff who require access to identifying data to complete their study-related roles will be allowed access. All study staff will be trained in security and confidentiality procedures and will sign a confidentiality agreement before receiving access to any participant data. </w:t>
      </w:r>
    </w:p>
    <w:p w:rsidR="00FF1D65" w:rsidRPr="00081ADA" w:rsidP="00EC4AB4" w14:paraId="2EDFF64C" w14:textId="77777777">
      <w:pPr>
        <w:rPr>
          <w:rFonts w:eastAsia="Calibri"/>
          <w:szCs w:val="24"/>
          <w:highlight w:val="yellow"/>
        </w:rPr>
      </w:pPr>
    </w:p>
    <w:p w:rsidR="00FF1D65" w:rsidP="00EC4AB4" w14:paraId="749000D5" w14:textId="4433A8BC">
      <w:pPr>
        <w:rPr>
          <w:rFonts w:eastAsia="Calibri"/>
          <w:szCs w:val="24"/>
        </w:rPr>
      </w:pPr>
      <w:r w:rsidRPr="009E7718">
        <w:rPr>
          <w:rFonts w:eastAsia="Calibri"/>
          <w:iCs/>
          <w:szCs w:val="24"/>
        </w:rPr>
        <w:t xml:space="preserve">The study will </w:t>
      </w:r>
      <w:r w:rsidRPr="009E7718" w:rsidR="00884AA6">
        <w:rPr>
          <w:rFonts w:eastAsia="Calibri"/>
          <w:iCs/>
          <w:szCs w:val="24"/>
        </w:rPr>
        <w:t>rely</w:t>
      </w:r>
      <w:r w:rsidRPr="009E7718">
        <w:rPr>
          <w:rFonts w:eastAsia="Calibri"/>
          <w:iCs/>
          <w:szCs w:val="24"/>
        </w:rPr>
        <w:t xml:space="preserve"> on the </w:t>
      </w:r>
      <w:r>
        <w:rPr>
          <w:rFonts w:eastAsia="Calibri"/>
          <w:iCs/>
          <w:szCs w:val="24"/>
        </w:rPr>
        <w:t xml:space="preserve">HIPPA-compliant </w:t>
      </w:r>
      <w:r w:rsidRPr="009E7718">
        <w:rPr>
          <w:rFonts w:eastAsia="Calibri"/>
          <w:iCs/>
          <w:szCs w:val="24"/>
        </w:rPr>
        <w:t>Zoom video chat service to conduct in-depth</w:t>
      </w:r>
      <w:r w:rsidRPr="009E7718" w:rsidR="00126573">
        <w:rPr>
          <w:rFonts w:eastAsia="Calibri"/>
          <w:iCs/>
          <w:szCs w:val="24"/>
        </w:rPr>
        <w:t xml:space="preserve"> interviews and focus</w:t>
      </w:r>
      <w:r w:rsidRPr="009E7718" w:rsidR="00C166A6">
        <w:rPr>
          <w:rFonts w:eastAsia="Calibri"/>
          <w:iCs/>
          <w:szCs w:val="24"/>
        </w:rPr>
        <w:t xml:space="preserve"> </w:t>
      </w:r>
      <w:r w:rsidRPr="009E7718" w:rsidR="00126573">
        <w:rPr>
          <w:rFonts w:eastAsia="Calibri"/>
          <w:iCs/>
          <w:szCs w:val="24"/>
        </w:rPr>
        <w:t xml:space="preserve">group discussions. </w:t>
      </w:r>
      <w:r w:rsidRPr="009E7718" w:rsidR="004F554F">
        <w:rPr>
          <w:rFonts w:eastAsia="Calibri"/>
          <w:szCs w:val="24"/>
        </w:rPr>
        <w:t xml:space="preserve">Zoom </w:t>
      </w:r>
      <w:r>
        <w:rPr>
          <w:rFonts w:eastAsia="Calibri"/>
          <w:szCs w:val="24"/>
        </w:rPr>
        <w:t>provides end-to-end encryption using</w:t>
      </w:r>
      <w:r w:rsidRPr="009E7718" w:rsidR="004F554F">
        <w:rPr>
          <w:rFonts w:eastAsia="Calibri"/>
          <w:szCs w:val="24"/>
        </w:rPr>
        <w:t xml:space="preserve"> Advance Encryption Standard (AES) 256-bit algorithm, or similar. Session keys are generated with device unique hardware ID to avoid data being read from other devices. This ensures that the consultation cannot be eavesdropped or tampered with. These qualitative assessments will be recorded, and only the audio element will be retained on the secure study server. The recordings from the qualitative assessments will be transcribed </w:t>
      </w:r>
      <w:r>
        <w:rPr>
          <w:rFonts w:eastAsia="Calibri"/>
          <w:szCs w:val="24"/>
        </w:rPr>
        <w:t>and during the transcription process all uniquely identifying information will be removed.</w:t>
      </w:r>
      <w:r w:rsidRPr="009E7718" w:rsidR="004F554F">
        <w:rPr>
          <w:rFonts w:eastAsia="Calibri"/>
          <w:szCs w:val="24"/>
        </w:rPr>
        <w:t xml:space="preserve"> </w:t>
      </w:r>
    </w:p>
    <w:p w:rsidR="00FF1D65" w:rsidRPr="00FF1D65" w:rsidP="00EC4AB4" w14:paraId="0CDD00CD" w14:textId="77777777">
      <w:pPr>
        <w:rPr>
          <w:rFonts w:eastAsia="Calibri"/>
          <w:szCs w:val="24"/>
        </w:rPr>
      </w:pPr>
    </w:p>
    <w:p w:rsidR="004F554F" w:rsidRPr="00081ADA" w:rsidP="00EC4AB4" w14:paraId="5285A094" w14:textId="6486059D">
      <w:pPr>
        <w:rPr>
          <w:rFonts w:eastAsia="Calibri"/>
          <w:szCs w:val="24"/>
        </w:rPr>
      </w:pPr>
      <w:bookmarkStart w:id="26" w:name="_Hlk62660081"/>
      <w:r w:rsidRPr="009E7718">
        <w:rPr>
          <w:rFonts w:eastAsia="Calibri"/>
          <w:szCs w:val="24"/>
        </w:rPr>
        <w:t>The study will use a HIPAA-compliant web-based platform entitled Study Management and Retention Toolkit (</w:t>
      </w:r>
      <w:r w:rsidRPr="009E7718">
        <w:rPr>
          <w:rFonts w:eastAsia="Calibri"/>
          <w:szCs w:val="24"/>
        </w:rPr>
        <w:t>SM</w:t>
      </w:r>
      <w:r w:rsidR="00473F4E">
        <w:rPr>
          <w:rFonts w:eastAsia="Calibri"/>
          <w:szCs w:val="24"/>
        </w:rPr>
        <w:t>a</w:t>
      </w:r>
      <w:r w:rsidRPr="009E7718">
        <w:rPr>
          <w:rFonts w:eastAsia="Calibri"/>
          <w:szCs w:val="24"/>
        </w:rPr>
        <w:t>RT</w:t>
      </w:r>
      <w:r w:rsidRPr="009E7718">
        <w:rPr>
          <w:rFonts w:eastAsia="Calibri"/>
          <w:szCs w:val="24"/>
        </w:rPr>
        <w:t xml:space="preserve">), </w:t>
      </w:r>
      <w:r w:rsidR="00FF1D65">
        <w:rPr>
          <w:rFonts w:eastAsia="Calibri"/>
          <w:szCs w:val="24"/>
        </w:rPr>
        <w:t>a</w:t>
      </w:r>
      <w:r w:rsidRPr="009E7718">
        <w:rPr>
          <w:rFonts w:eastAsia="Calibri"/>
          <w:szCs w:val="24"/>
        </w:rPr>
        <w:t xml:space="preserve"> </w:t>
      </w:r>
      <w:r w:rsidR="00FF1D65">
        <w:rPr>
          <w:rFonts w:eastAsia="Calibri"/>
          <w:szCs w:val="24"/>
        </w:rPr>
        <w:t>study management platform</w:t>
      </w:r>
      <w:r w:rsidRPr="009E7718">
        <w:rPr>
          <w:rFonts w:eastAsia="Calibri"/>
          <w:szCs w:val="24"/>
        </w:rPr>
        <w:t xml:space="preserve"> </w:t>
      </w:r>
      <w:r w:rsidR="00FF1D65">
        <w:rPr>
          <w:rFonts w:eastAsia="Calibri"/>
          <w:szCs w:val="24"/>
        </w:rPr>
        <w:t>that supports</w:t>
      </w:r>
      <w:r w:rsidRPr="009E7718">
        <w:rPr>
          <w:rFonts w:eastAsia="Calibri"/>
          <w:szCs w:val="24"/>
        </w:rPr>
        <w:t xml:space="preserve"> various aspects of participant recruitment, study implementation, and retention. </w:t>
      </w:r>
      <w:r w:rsidR="00FF1D65">
        <w:t>SMaRT</w:t>
      </w:r>
      <w:r w:rsidRPr="003F136D" w:rsidR="00FF1D65">
        <w:t xml:space="preserve"> includes a HIPPA-compliant companion mobile app that study participants install on their smart phones </w:t>
      </w:r>
      <w:r w:rsidR="00FF1D65">
        <w:t>as well as</w:t>
      </w:r>
      <w:r w:rsidRPr="009E7718">
        <w:rPr>
          <w:rFonts w:eastAsia="Calibri"/>
          <w:szCs w:val="24"/>
        </w:rPr>
        <w:t xml:space="preserve"> an admin</w:t>
      </w:r>
      <w:r w:rsidR="00FF1D65">
        <w:rPr>
          <w:rFonts w:eastAsia="Calibri"/>
          <w:szCs w:val="24"/>
        </w:rPr>
        <w:t>istrative</w:t>
      </w:r>
      <w:r w:rsidRPr="009E7718">
        <w:rPr>
          <w:rFonts w:eastAsia="Calibri"/>
          <w:szCs w:val="24"/>
        </w:rPr>
        <w:t xml:space="preserve"> portal</w:t>
      </w:r>
      <w:r w:rsidR="00FF1D65">
        <w:rPr>
          <w:rFonts w:eastAsia="Calibri"/>
          <w:szCs w:val="24"/>
        </w:rPr>
        <w:t xml:space="preserve"> for study staff</w:t>
      </w:r>
      <w:r w:rsidRPr="009E7718">
        <w:rPr>
          <w:rFonts w:eastAsia="Calibri"/>
          <w:szCs w:val="24"/>
        </w:rPr>
        <w:t xml:space="preserve">, which allows for secure messaging, study calendar management, and longitudinal tracking of participants from screening to study completion. The ability to designate specific roles to all </w:t>
      </w:r>
      <w:r w:rsidRPr="009E7718">
        <w:rPr>
          <w:rFonts w:eastAsia="Calibri"/>
          <w:szCs w:val="24"/>
        </w:rPr>
        <w:t>SM</w:t>
      </w:r>
      <w:r w:rsidR="00473F4E">
        <w:rPr>
          <w:rFonts w:eastAsia="Calibri"/>
          <w:szCs w:val="24"/>
        </w:rPr>
        <w:t>a</w:t>
      </w:r>
      <w:r w:rsidRPr="009E7718">
        <w:rPr>
          <w:rFonts w:eastAsia="Calibri"/>
          <w:szCs w:val="24"/>
        </w:rPr>
        <w:t>RT</w:t>
      </w:r>
      <w:r w:rsidRPr="009E7718">
        <w:rPr>
          <w:rFonts w:eastAsia="Calibri"/>
          <w:szCs w:val="24"/>
        </w:rPr>
        <w:t xml:space="preserve"> users allows for greater control around permissions and accessibility to participant information.</w:t>
      </w:r>
      <w:bookmarkEnd w:id="26"/>
    </w:p>
    <w:p w:rsidR="00FF1D65" w:rsidP="00EC4AB4" w14:paraId="57122881" w14:textId="77777777">
      <w:pPr>
        <w:rPr>
          <w:rFonts w:eastAsia="Calibri"/>
          <w:szCs w:val="24"/>
        </w:rPr>
      </w:pPr>
    </w:p>
    <w:p w:rsidR="00FF1D65" w:rsidRPr="00DB7165" w:rsidP="00FF1D65" w14:paraId="1DA8106B" w14:textId="2ED73619">
      <w:pPr>
        <w:rPr>
          <w:rFonts w:eastAsia="Calibri"/>
          <w:szCs w:val="24"/>
        </w:rPr>
      </w:pPr>
      <w:r>
        <w:rPr>
          <w:rFonts w:eastAsia="Calibri"/>
          <w:szCs w:val="24"/>
        </w:rPr>
        <w:t>Study staff will be trained to</w:t>
      </w:r>
      <w:r w:rsidRPr="00DB7165">
        <w:rPr>
          <w:rFonts w:eastAsia="Calibri"/>
          <w:szCs w:val="24"/>
        </w:rPr>
        <w:t xml:space="preserve"> follow regulations for mandatory reporting of breaches in confidentiality or adverse events. All study personnel will have completed </w:t>
      </w:r>
      <w:r>
        <w:rPr>
          <w:rFonts w:eastAsia="Calibri"/>
          <w:szCs w:val="24"/>
        </w:rPr>
        <w:t>human research protections (</w:t>
      </w:r>
      <w:r w:rsidRPr="00DB7165">
        <w:rPr>
          <w:rFonts w:eastAsia="Calibri"/>
          <w:szCs w:val="24"/>
        </w:rPr>
        <w:t>CITI</w:t>
      </w:r>
      <w:r>
        <w:rPr>
          <w:rFonts w:eastAsia="Calibri"/>
          <w:szCs w:val="24"/>
        </w:rPr>
        <w:t>)</w:t>
      </w:r>
      <w:r w:rsidRPr="00DB7165">
        <w:rPr>
          <w:rFonts w:eastAsia="Calibri"/>
          <w:szCs w:val="24"/>
        </w:rPr>
        <w:t xml:space="preserve"> training.</w:t>
      </w:r>
      <w:r>
        <w:rPr>
          <w:rFonts w:eastAsia="Calibri"/>
          <w:szCs w:val="24"/>
        </w:rPr>
        <w:t xml:space="preserve"> </w:t>
      </w:r>
      <w:r w:rsidRPr="00DB7165">
        <w:rPr>
          <w:rFonts w:eastAsia="Calibri"/>
          <w:szCs w:val="24"/>
        </w:rPr>
        <w:t xml:space="preserve">All study staff will be trained to recognize, document, and report any unusual events or circumstances that occur during data collection immediately to the </w:t>
      </w:r>
      <w:r w:rsidR="009D73CC">
        <w:rPr>
          <w:rFonts w:eastAsia="Calibri"/>
          <w:szCs w:val="24"/>
        </w:rPr>
        <w:t>Principal Investigator (</w:t>
      </w:r>
      <w:r w:rsidRPr="00DB7165">
        <w:rPr>
          <w:rFonts w:eastAsia="Calibri"/>
          <w:szCs w:val="24"/>
        </w:rPr>
        <w:t>PI</w:t>
      </w:r>
      <w:r w:rsidR="009D73CC">
        <w:rPr>
          <w:rFonts w:eastAsia="Calibri"/>
          <w:szCs w:val="24"/>
        </w:rPr>
        <w:t>)</w:t>
      </w:r>
      <w:r w:rsidRPr="00DB7165">
        <w:rPr>
          <w:rFonts w:eastAsia="Calibri"/>
          <w:szCs w:val="24"/>
        </w:rPr>
        <w:t xml:space="preserve"> and Emory IRB. If an adverse event appears to be research-related, it will be reported to the </w:t>
      </w:r>
      <w:r w:rsidR="00731B9F">
        <w:rPr>
          <w:rFonts w:eastAsia="Calibri"/>
          <w:szCs w:val="24"/>
        </w:rPr>
        <w:t xml:space="preserve">Office </w:t>
      </w:r>
      <w:r w:rsidR="00A76A2A">
        <w:rPr>
          <w:rFonts w:eastAsia="Calibri"/>
          <w:szCs w:val="24"/>
        </w:rPr>
        <w:t>for</w:t>
      </w:r>
      <w:r w:rsidR="00731B9F">
        <w:rPr>
          <w:rFonts w:eastAsia="Calibri"/>
          <w:szCs w:val="24"/>
        </w:rPr>
        <w:t xml:space="preserve"> Human </w:t>
      </w:r>
      <w:r w:rsidR="00A76A2A">
        <w:rPr>
          <w:rFonts w:eastAsia="Calibri"/>
          <w:szCs w:val="24"/>
        </w:rPr>
        <w:t>Research Protections</w:t>
      </w:r>
      <w:r w:rsidRPr="00DB7165">
        <w:rPr>
          <w:rFonts w:eastAsia="Calibri"/>
          <w:szCs w:val="24"/>
        </w:rPr>
        <w:t xml:space="preserve"> and </w:t>
      </w:r>
      <w:r w:rsidR="00A76A2A">
        <w:rPr>
          <w:rFonts w:eastAsia="Calibri"/>
          <w:szCs w:val="24"/>
        </w:rPr>
        <w:t>CDC</w:t>
      </w:r>
      <w:r w:rsidRPr="00DB7165">
        <w:rPr>
          <w:rFonts w:eastAsia="Calibri"/>
          <w:szCs w:val="24"/>
        </w:rPr>
        <w:t xml:space="preserve">, along with summaries of discussions concerning the event. </w:t>
      </w:r>
      <w:r>
        <w:rPr>
          <w:rFonts w:eastAsia="Calibri"/>
          <w:szCs w:val="24"/>
        </w:rPr>
        <w:t>CDC</w:t>
      </w:r>
      <w:r w:rsidRPr="00DB7165">
        <w:rPr>
          <w:rFonts w:eastAsia="Calibri"/>
          <w:szCs w:val="24"/>
        </w:rPr>
        <w:t xml:space="preserve"> will be informed of any </w:t>
      </w:r>
      <w:r w:rsidR="009D73CC">
        <w:rPr>
          <w:rFonts w:eastAsia="Calibri"/>
          <w:szCs w:val="24"/>
        </w:rPr>
        <w:t>Institutional Review Board (</w:t>
      </w:r>
      <w:r w:rsidRPr="00DB7165">
        <w:rPr>
          <w:rFonts w:eastAsia="Calibri"/>
          <w:szCs w:val="24"/>
        </w:rPr>
        <w:t>IRB</w:t>
      </w:r>
      <w:r w:rsidR="009D73CC">
        <w:rPr>
          <w:rFonts w:eastAsia="Calibri"/>
          <w:szCs w:val="24"/>
        </w:rPr>
        <w:t>)</w:t>
      </w:r>
      <w:r w:rsidRPr="00DB7165">
        <w:rPr>
          <w:rFonts w:eastAsia="Calibri"/>
          <w:szCs w:val="24"/>
        </w:rPr>
        <w:t xml:space="preserve"> action taken concerning any adverse event. The Principal Investigators and Project Director will monitor staff closely. Staff deficient in any aspect of performance will be re-trained, closely monitored for proficiency, and if not adhering to established protocols and procedures, will be terminated. </w:t>
      </w:r>
    </w:p>
    <w:p w:rsidR="00FF1D65" w:rsidRPr="00081ADA" w:rsidP="00EC4AB4" w14:paraId="1140CD94" w14:textId="77777777">
      <w:pPr>
        <w:rPr>
          <w:rFonts w:eastAsia="Calibri"/>
          <w:szCs w:val="24"/>
        </w:rPr>
      </w:pPr>
    </w:p>
    <w:p w:rsidR="00ED43AA" w:rsidP="00EC4AB4" w14:paraId="6FE6E76B" w14:textId="784123BD">
      <w:pPr>
        <w:rPr>
          <w:rFonts w:eastAsia="Calibri"/>
          <w:color w:val="000000"/>
          <w:szCs w:val="24"/>
          <w:shd w:val="clear" w:color="auto" w:fill="FFFFFF"/>
        </w:rPr>
      </w:pPr>
      <w:r w:rsidRPr="00582497">
        <w:rPr>
          <w:rFonts w:eastAsiaTheme="minorHAnsi"/>
          <w:szCs w:val="24"/>
        </w:rPr>
        <w:t xml:space="preserve">Six months after study completion, participant contact information and all links between survey responses and contact information forms will be destroyed. </w:t>
      </w:r>
      <w:r w:rsidRPr="00DA6F38" w:rsidR="00DA6F38">
        <w:rPr>
          <w:rFonts w:eastAsiaTheme="minorHAnsi"/>
          <w:szCs w:val="24"/>
        </w:rPr>
        <w:t>De-linked study data will be retained for up to 25 years in accordance with Emory University Libraries and Information Technology Records Management Policy, Policy #5.21, Research Records: Clinical Trials, 21 CFR 312.62 (c); O.C.G.A. 9-3-24; (updated 10/1/2022).</w:t>
      </w:r>
      <w:r w:rsidRPr="00081ADA">
        <w:rPr>
          <w:rFonts w:eastAsia="Calibri"/>
          <w:color w:val="000000"/>
          <w:szCs w:val="24"/>
          <w:shd w:val="clear" w:color="auto" w:fill="FFFFFF"/>
        </w:rPr>
        <w:t xml:space="preserve"> Regarding the public access dataset, CDC will store complete de-identified data on a secure server that is accessible through the Division of HIV Prevention, HIV Research Branch for 6 years; after which time, the data will be archived according to guidance set forth by CDC Records Management Policy, Policy # CDC-GA-2005-07 (updated 9/14/2021). </w:t>
      </w:r>
    </w:p>
    <w:p w:rsidR="00A76A2A" w:rsidRPr="00582497" w:rsidP="00EC4AB4" w14:paraId="7604FBEC" w14:textId="77777777">
      <w:pPr>
        <w:rPr>
          <w:rFonts w:eastAsiaTheme="minorHAnsi"/>
          <w:szCs w:val="24"/>
        </w:rPr>
      </w:pPr>
    </w:p>
    <w:p w:rsidR="00304135" w:rsidRPr="00A76A2A" w:rsidP="00A76A2A" w14:paraId="3B0F8FCD" w14:textId="23FC8EE7">
      <w:pPr>
        <w:widowControl w:val="0"/>
        <w:tabs>
          <w:tab w:val="left" w:pos="-1440"/>
          <w:tab w:val="left" w:pos="-720"/>
        </w:tabs>
        <w:suppressAutoHyphens/>
        <w:rPr>
          <w:rFonts w:eastAsia="Calibri"/>
          <w:szCs w:val="24"/>
        </w:rPr>
      </w:pPr>
      <w:r w:rsidRPr="00081ADA">
        <w:rPr>
          <w:rFonts w:eastAsia="Calibri"/>
          <w:szCs w:val="24"/>
        </w:rPr>
        <w:t>De-identified, summary data may be used in manuscripts, presentations and reports that highlight the activities and successes of this program. Public access to the data will be provided at the completion of the study and after the dissemination of the primary findings. Any data made publicly available after the completion of the study will be de-identified and will not be linked to participant contact information</w:t>
      </w:r>
      <w:r w:rsidR="00DA6F38">
        <w:rPr>
          <w:rFonts w:eastAsia="Calibri"/>
          <w:szCs w:val="24"/>
        </w:rPr>
        <w:t xml:space="preserve">. The Data Use Agreement outlines the protocols for public access to study data </w:t>
      </w:r>
      <w:r w:rsidRPr="00081ADA">
        <w:rPr>
          <w:rFonts w:eastAsia="Calibri"/>
          <w:szCs w:val="24"/>
        </w:rPr>
        <w:t>(</w:t>
      </w:r>
      <w:r w:rsidRPr="00081ADA">
        <w:rPr>
          <w:rFonts w:eastAsia="Calibri"/>
          <w:b/>
          <w:szCs w:val="24"/>
        </w:rPr>
        <w:t xml:space="preserve">Attachment </w:t>
      </w:r>
      <w:r w:rsidR="00A76A2A">
        <w:rPr>
          <w:rFonts w:eastAsia="Calibri"/>
          <w:b/>
          <w:szCs w:val="24"/>
        </w:rPr>
        <w:t>7</w:t>
      </w:r>
      <w:r w:rsidRPr="00081ADA">
        <w:rPr>
          <w:rFonts w:eastAsia="Calibri"/>
          <w:szCs w:val="24"/>
        </w:rPr>
        <w:t xml:space="preserve">). </w:t>
      </w:r>
    </w:p>
    <w:p w:rsidR="00AA78EA" w:rsidRPr="00081ADA" w:rsidP="00AA78EA" w14:paraId="2DE8F2EC" w14:textId="1D4F51A7">
      <w:pPr>
        <w:pStyle w:val="Heading1"/>
        <w:numPr>
          <w:ilvl w:val="0"/>
          <w:numId w:val="0"/>
        </w:numPr>
        <w:rPr>
          <w:rFonts w:cs="Times New Roman"/>
          <w:szCs w:val="24"/>
        </w:rPr>
      </w:pPr>
      <w:bookmarkStart w:id="27" w:name="_11.__"/>
      <w:bookmarkStart w:id="28" w:name="_Toc485202305"/>
      <w:bookmarkEnd w:id="27"/>
      <w:r w:rsidRPr="00081ADA">
        <w:rPr>
          <w:rFonts w:cs="Times New Roman"/>
          <w:szCs w:val="24"/>
        </w:rPr>
        <w:t>11.   Institutional Review Board (IRB) and Justification for Sensitive Questions</w:t>
      </w:r>
      <w:bookmarkEnd w:id="28"/>
      <w:r w:rsidRPr="00081ADA" w:rsidR="007D3EFB">
        <w:rPr>
          <w:rFonts w:cs="Times New Roman"/>
          <w:szCs w:val="24"/>
        </w:rPr>
        <w:t xml:space="preserve"> </w:t>
      </w:r>
    </w:p>
    <w:p w:rsidR="00AA78EA" w:rsidRPr="00081ADA" w:rsidP="00A76A2A" w14:paraId="5CBC12BC" w14:textId="77777777">
      <w:pPr>
        <w:rPr>
          <w:szCs w:val="24"/>
        </w:rPr>
      </w:pPr>
    </w:p>
    <w:p w:rsidR="00F84233" w:rsidRPr="00081ADA" w:rsidP="00A76A2A" w14:paraId="33587D11" w14:textId="77777777">
      <w:pPr>
        <w:rPr>
          <w:szCs w:val="24"/>
        </w:rPr>
      </w:pPr>
      <w:r w:rsidRPr="00081ADA">
        <w:rPr>
          <w:szCs w:val="24"/>
        </w:rPr>
        <w:t>IRB Approval</w:t>
      </w:r>
    </w:p>
    <w:p w:rsidR="00F84233" w:rsidRPr="00081ADA" w:rsidP="00A76A2A" w14:paraId="64C2D1C9" w14:textId="77777777">
      <w:pPr>
        <w:rPr>
          <w:szCs w:val="24"/>
        </w:rPr>
      </w:pPr>
    </w:p>
    <w:p w:rsidR="00F84233" w:rsidRPr="00081ADA" w:rsidP="00A76A2A" w14:paraId="20F6F958" w14:textId="2E61FE2A">
      <w:pPr>
        <w:rPr>
          <w:szCs w:val="24"/>
        </w:rPr>
      </w:pPr>
      <w:r w:rsidRPr="00081ADA">
        <w:rPr>
          <w:szCs w:val="24"/>
        </w:rPr>
        <w:t xml:space="preserve">The study protocol, the data collection instruments, and all accompanying documents have been reviewed and approved by </w:t>
      </w:r>
      <w:r w:rsidRPr="00081ADA" w:rsidR="005E1844">
        <w:rPr>
          <w:szCs w:val="24"/>
        </w:rPr>
        <w:t>WCG</w:t>
      </w:r>
      <w:r w:rsidRPr="00081ADA">
        <w:rPr>
          <w:szCs w:val="24"/>
        </w:rPr>
        <w:t xml:space="preserve"> IRB (</w:t>
      </w:r>
      <w:r w:rsidRPr="00081ADA">
        <w:rPr>
          <w:b/>
          <w:szCs w:val="24"/>
        </w:rPr>
        <w:t>Attachment 6a</w:t>
      </w:r>
      <w:r w:rsidRPr="00081ADA">
        <w:rPr>
          <w:szCs w:val="24"/>
        </w:rPr>
        <w:t xml:space="preserve">). For purposes of this information collection, the study research partners, </w:t>
      </w:r>
      <w:r w:rsidR="00A53512">
        <w:rPr>
          <w:szCs w:val="24"/>
        </w:rPr>
        <w:t xml:space="preserve">Emory University, </w:t>
      </w:r>
      <w:r w:rsidRPr="00081ADA" w:rsidR="003D33DD">
        <w:rPr>
          <w:szCs w:val="24"/>
        </w:rPr>
        <w:t xml:space="preserve">University of </w:t>
      </w:r>
      <w:r w:rsidR="00AC4B1B">
        <w:rPr>
          <w:szCs w:val="24"/>
        </w:rPr>
        <w:t>Chicago</w:t>
      </w:r>
      <w:r w:rsidRPr="00081ADA" w:rsidR="003D33DD">
        <w:rPr>
          <w:szCs w:val="24"/>
        </w:rPr>
        <w:t>, and San Diego State University</w:t>
      </w:r>
      <w:r w:rsidRPr="00081ADA">
        <w:rPr>
          <w:szCs w:val="24"/>
        </w:rPr>
        <w:t xml:space="preserve">, defer to </w:t>
      </w:r>
      <w:r w:rsidRPr="00081ADA" w:rsidR="003D33DD">
        <w:rPr>
          <w:szCs w:val="24"/>
        </w:rPr>
        <w:t xml:space="preserve">the WCG IRB </w:t>
      </w:r>
      <w:r w:rsidRPr="00081ADA">
        <w:rPr>
          <w:szCs w:val="24"/>
        </w:rPr>
        <w:t>(</w:t>
      </w:r>
      <w:r w:rsidRPr="00081ADA">
        <w:rPr>
          <w:b/>
          <w:szCs w:val="24"/>
        </w:rPr>
        <w:t>Attachments 6b</w:t>
      </w:r>
      <w:r w:rsidR="00A53512">
        <w:rPr>
          <w:b/>
          <w:szCs w:val="24"/>
        </w:rPr>
        <w:t>, 6c, and 6d</w:t>
      </w:r>
      <w:r w:rsidRPr="00081ADA">
        <w:rPr>
          <w:szCs w:val="24"/>
        </w:rPr>
        <w:t xml:space="preserve">). </w:t>
      </w:r>
    </w:p>
    <w:p w:rsidR="00F84233" w:rsidRPr="00081ADA" w:rsidP="00A76A2A" w14:paraId="3DC858F8" w14:textId="77777777">
      <w:pPr>
        <w:rPr>
          <w:szCs w:val="24"/>
        </w:rPr>
      </w:pPr>
    </w:p>
    <w:p w:rsidR="00F84233" w:rsidRPr="00081ADA" w:rsidP="00A76A2A" w14:paraId="4A09FE2E" w14:textId="77777777">
      <w:pPr>
        <w:rPr>
          <w:szCs w:val="24"/>
        </w:rPr>
      </w:pPr>
      <w:r w:rsidRPr="00081ADA">
        <w:rPr>
          <w:szCs w:val="24"/>
        </w:rPr>
        <w:t>Sensitive Questions</w:t>
      </w:r>
    </w:p>
    <w:p w:rsidR="008214F1" w:rsidRPr="00081ADA" w:rsidP="00A76A2A" w14:paraId="192F8BE7" w14:textId="77777777">
      <w:pPr>
        <w:rPr>
          <w:szCs w:val="24"/>
        </w:rPr>
      </w:pPr>
    </w:p>
    <w:p w:rsidR="00AA78EA" w:rsidRPr="00081ADA" w:rsidP="00A76A2A" w14:paraId="4E199B5F" w14:textId="4FF82D94">
      <w:pPr>
        <w:rPr>
          <w:szCs w:val="24"/>
        </w:rPr>
      </w:pPr>
      <w:r w:rsidRPr="00081ADA">
        <w:rPr>
          <w:szCs w:val="24"/>
        </w:rPr>
        <w:t xml:space="preserve">This study is designed to </w:t>
      </w:r>
      <w:r w:rsidRPr="00081ADA" w:rsidR="001F62EE">
        <w:rPr>
          <w:szCs w:val="24"/>
        </w:rPr>
        <w:t xml:space="preserve">collect information about PrEP use and adherence, </w:t>
      </w:r>
      <w:r w:rsidRPr="00081ADA" w:rsidR="00DA064F">
        <w:rPr>
          <w:szCs w:val="24"/>
        </w:rPr>
        <w:t xml:space="preserve">HIV and STIs, </w:t>
      </w:r>
      <w:r w:rsidRPr="00081ADA" w:rsidR="003D72B9">
        <w:rPr>
          <w:szCs w:val="24"/>
        </w:rPr>
        <w:t xml:space="preserve">and </w:t>
      </w:r>
      <w:r w:rsidRPr="00081ADA" w:rsidR="00DA064F">
        <w:rPr>
          <w:szCs w:val="24"/>
        </w:rPr>
        <w:t>sexual beh</w:t>
      </w:r>
      <w:r w:rsidRPr="00081ADA" w:rsidR="005C23EA">
        <w:rPr>
          <w:szCs w:val="24"/>
        </w:rPr>
        <w:t>aviors from MSM</w:t>
      </w:r>
      <w:r w:rsidRPr="00081ADA" w:rsidR="00F61416">
        <w:rPr>
          <w:szCs w:val="24"/>
        </w:rPr>
        <w:t xml:space="preserve"> at risk of HIV infection</w:t>
      </w:r>
      <w:r w:rsidRPr="00081ADA">
        <w:rPr>
          <w:szCs w:val="24"/>
        </w:rPr>
        <w:t xml:space="preserve">. As such, our study entails the collection of sensitive HIV risk-related information. All study staff will be trained to provide respondents with referrals to sources of prevention and care, such as mental health organizations, as needed. Sensitive questions will be asked </w:t>
      </w:r>
      <w:r w:rsidRPr="00081ADA" w:rsidR="00AE6603">
        <w:rPr>
          <w:szCs w:val="24"/>
        </w:rPr>
        <w:t xml:space="preserve">about </w:t>
      </w:r>
      <w:r w:rsidRPr="00081ADA" w:rsidR="001902DB">
        <w:rPr>
          <w:szCs w:val="24"/>
        </w:rPr>
        <w:t xml:space="preserve">PrEP use, </w:t>
      </w:r>
      <w:r w:rsidRPr="00081ADA" w:rsidR="006627E0">
        <w:rPr>
          <w:szCs w:val="24"/>
        </w:rPr>
        <w:t xml:space="preserve">sexual behavior, and </w:t>
      </w:r>
      <w:r w:rsidRPr="00081ADA" w:rsidR="00150BEF">
        <w:rPr>
          <w:szCs w:val="24"/>
        </w:rPr>
        <w:t>substance use</w:t>
      </w:r>
      <w:r w:rsidRPr="00081ADA">
        <w:rPr>
          <w:szCs w:val="24"/>
        </w:rPr>
        <w:t xml:space="preserve">. We will inform all participants that they may skip any question or stop participation at any time for any reason.  </w:t>
      </w:r>
    </w:p>
    <w:p w:rsidR="00AA78EA" w:rsidRPr="00081ADA" w:rsidP="00AA78EA" w14:paraId="02201B66" w14:textId="2DE76905">
      <w:pPr>
        <w:pStyle w:val="Heading1"/>
        <w:numPr>
          <w:ilvl w:val="0"/>
          <w:numId w:val="0"/>
        </w:numPr>
        <w:rPr>
          <w:rFonts w:cs="Times New Roman"/>
          <w:szCs w:val="24"/>
        </w:rPr>
      </w:pPr>
      <w:bookmarkStart w:id="29" w:name="_12.__"/>
      <w:bookmarkStart w:id="30" w:name="_Toc485202306"/>
      <w:bookmarkEnd w:id="29"/>
      <w:r w:rsidRPr="00081ADA">
        <w:rPr>
          <w:rFonts w:cs="Times New Roman"/>
          <w:szCs w:val="24"/>
        </w:rPr>
        <w:t>12.   Estimates of Annualized Burden Hours and Costs</w:t>
      </w:r>
      <w:bookmarkEnd w:id="30"/>
    </w:p>
    <w:p w:rsidR="00AA78EA" w:rsidRPr="00081ADA" w:rsidP="00AA78EA" w14:paraId="24C7DB44" w14:textId="77777777">
      <w:pPr>
        <w:rPr>
          <w:szCs w:val="24"/>
        </w:rPr>
      </w:pPr>
    </w:p>
    <w:p w:rsidR="00AA78EA" w:rsidRPr="00081ADA" w:rsidP="00AA78EA" w14:paraId="223396ED" w14:textId="77777777">
      <w:pPr>
        <w:rPr>
          <w:szCs w:val="24"/>
        </w:rPr>
      </w:pPr>
      <w:bookmarkStart w:id="31" w:name="Section12AHours"/>
      <w:bookmarkEnd w:id="31"/>
      <w:r w:rsidRPr="00081ADA">
        <w:rPr>
          <w:b/>
          <w:szCs w:val="24"/>
        </w:rPr>
        <w:t>12A. Estimates of Annualized Burden Hours</w:t>
      </w:r>
    </w:p>
    <w:p w:rsidR="00AA78EA" w:rsidP="000A4126" w14:paraId="69C1C9E9" w14:textId="18D66A25">
      <w:pPr>
        <w:pStyle w:val="NoSpacing"/>
        <w:tabs>
          <w:tab w:val="left" w:pos="360"/>
        </w:tabs>
        <w:rPr>
          <w:rFonts w:cs="Times New Roman"/>
          <w:b/>
          <w:bCs/>
        </w:rPr>
      </w:pPr>
    </w:p>
    <w:p w:rsidR="00DF4B9D" w:rsidP="000A4126" w14:paraId="74B2BDFE" w14:textId="1EA3A87E">
      <w:pPr>
        <w:pStyle w:val="NoSpacing"/>
        <w:tabs>
          <w:tab w:val="left" w:pos="360"/>
        </w:tabs>
        <w:rPr>
          <w:rFonts w:cs="Times New Roman"/>
        </w:rPr>
      </w:pPr>
      <w:r>
        <w:rPr>
          <w:rFonts w:cs="Times New Roman"/>
        </w:rPr>
        <w:t xml:space="preserve">The </w:t>
      </w:r>
      <w:r w:rsidR="006D31A6">
        <w:rPr>
          <w:rFonts w:cs="Times New Roman"/>
        </w:rPr>
        <w:t>requested data</w:t>
      </w:r>
      <w:r>
        <w:rPr>
          <w:rFonts w:cs="Times New Roman"/>
        </w:rPr>
        <w:t xml:space="preserve"> collection period is 36 months. </w:t>
      </w:r>
      <w:r w:rsidR="00A76A2A">
        <w:rPr>
          <w:rFonts w:cs="Times New Roman"/>
        </w:rPr>
        <w:t xml:space="preserve">Following enrollment, the </w:t>
      </w:r>
      <w:r>
        <w:rPr>
          <w:rFonts w:cs="Times New Roman"/>
        </w:rPr>
        <w:t xml:space="preserve">participant </w:t>
      </w:r>
      <w:r w:rsidR="00A76A2A">
        <w:rPr>
          <w:rFonts w:cs="Times New Roman"/>
        </w:rPr>
        <w:t>will be followed for</w:t>
      </w:r>
      <w:r w:rsidR="00AD6342">
        <w:rPr>
          <w:rFonts w:cs="Times New Roman"/>
        </w:rPr>
        <w:t xml:space="preserve"> 24 months. Total enrollment </w:t>
      </w:r>
      <w:r w:rsidR="00E573B3">
        <w:rPr>
          <w:rFonts w:cs="Times New Roman"/>
        </w:rPr>
        <w:t xml:space="preserve">for the study is 1275. </w:t>
      </w:r>
      <w:r w:rsidR="00E32C7E">
        <w:rPr>
          <w:rFonts w:cs="Times New Roman"/>
        </w:rPr>
        <w:t xml:space="preserve">We </w:t>
      </w:r>
      <w:r w:rsidR="004A7063">
        <w:rPr>
          <w:rFonts w:cs="Times New Roman"/>
        </w:rPr>
        <w:t>anticipate</w:t>
      </w:r>
      <w:r w:rsidR="00AA0E25">
        <w:rPr>
          <w:rFonts w:cs="Times New Roman"/>
        </w:rPr>
        <w:t xml:space="preserve"> that </w:t>
      </w:r>
      <w:r w:rsidR="00E32C7E">
        <w:rPr>
          <w:rFonts w:cs="Times New Roman"/>
        </w:rPr>
        <w:t>50</w:t>
      </w:r>
      <w:r w:rsidR="00AA0E25">
        <w:rPr>
          <w:rFonts w:cs="Times New Roman"/>
        </w:rPr>
        <w:t xml:space="preserve">% of participants screened will be eligible and </w:t>
      </w:r>
      <w:r w:rsidR="001D5CFF">
        <w:rPr>
          <w:rFonts w:cs="Times New Roman"/>
        </w:rPr>
        <w:t xml:space="preserve">choose </w:t>
      </w:r>
      <w:r w:rsidR="00AA0E25">
        <w:rPr>
          <w:rFonts w:cs="Times New Roman"/>
        </w:rPr>
        <w:t>to enroll in the MIC DROP study</w:t>
      </w:r>
      <w:r w:rsidR="001D5CFF">
        <w:rPr>
          <w:rFonts w:cs="Times New Roman"/>
        </w:rPr>
        <w:t xml:space="preserve">; therefore, we expect to screen approximately </w:t>
      </w:r>
      <w:r w:rsidR="00E32C7E">
        <w:rPr>
          <w:rFonts w:cs="Times New Roman"/>
        </w:rPr>
        <w:t>850</w:t>
      </w:r>
      <w:r w:rsidR="001D5CFF">
        <w:rPr>
          <w:rFonts w:cs="Times New Roman"/>
        </w:rPr>
        <w:t xml:space="preserve"> MSM annually. </w:t>
      </w:r>
      <w:r w:rsidR="00A76A2A">
        <w:rPr>
          <w:rFonts w:cs="Times New Roman"/>
        </w:rPr>
        <w:t>Eligibility screening is anticipated to</w:t>
      </w:r>
      <w:r w:rsidR="00AA741C">
        <w:rPr>
          <w:rFonts w:cs="Times New Roman"/>
        </w:rPr>
        <w:t xml:space="preserve"> take </w:t>
      </w:r>
      <w:r w:rsidR="00C24432">
        <w:rPr>
          <w:rFonts w:cs="Times New Roman"/>
        </w:rPr>
        <w:t>5 minutes (</w:t>
      </w:r>
      <w:r w:rsidRPr="00D0431C" w:rsidR="00C24432">
        <w:rPr>
          <w:rFonts w:cs="Times New Roman"/>
          <w:b/>
          <w:bCs/>
        </w:rPr>
        <w:t xml:space="preserve">Attachment </w:t>
      </w:r>
      <w:r w:rsidR="00C60DF2">
        <w:rPr>
          <w:rFonts w:cs="Times New Roman"/>
          <w:b/>
          <w:bCs/>
        </w:rPr>
        <w:t>4a</w:t>
      </w:r>
      <w:r w:rsidR="00C24432">
        <w:rPr>
          <w:rFonts w:cs="Times New Roman"/>
        </w:rPr>
        <w:t xml:space="preserve">). </w:t>
      </w:r>
      <w:r w:rsidR="00A71FE9">
        <w:rPr>
          <w:rFonts w:cs="Times New Roman"/>
        </w:rPr>
        <w:t xml:space="preserve">Providing contact information on the </w:t>
      </w:r>
      <w:r w:rsidR="00540BBC">
        <w:rPr>
          <w:rFonts w:cs="Times New Roman"/>
        </w:rPr>
        <w:t>Contact Information</w:t>
      </w:r>
      <w:r w:rsidR="00A71FE9">
        <w:rPr>
          <w:rFonts w:cs="Times New Roman"/>
        </w:rPr>
        <w:t xml:space="preserve"> Form will (</w:t>
      </w:r>
      <w:r w:rsidRPr="00D0431C" w:rsidR="00A71FE9">
        <w:rPr>
          <w:rFonts w:cs="Times New Roman"/>
          <w:b/>
          <w:bCs/>
        </w:rPr>
        <w:t xml:space="preserve">Attachment </w:t>
      </w:r>
      <w:r w:rsidRPr="00D0431C" w:rsidR="0088453E">
        <w:rPr>
          <w:rFonts w:cs="Times New Roman"/>
          <w:b/>
          <w:bCs/>
        </w:rPr>
        <w:t>4</w:t>
      </w:r>
      <w:r w:rsidR="008C65A9">
        <w:rPr>
          <w:rFonts w:cs="Times New Roman"/>
          <w:b/>
          <w:bCs/>
        </w:rPr>
        <w:t>b</w:t>
      </w:r>
      <w:r w:rsidR="0088453E">
        <w:rPr>
          <w:rFonts w:cs="Times New Roman"/>
        </w:rPr>
        <w:t xml:space="preserve">) </w:t>
      </w:r>
      <w:r w:rsidR="00A71FE9">
        <w:rPr>
          <w:rFonts w:cs="Times New Roman"/>
        </w:rPr>
        <w:t xml:space="preserve">also take about 5 minutes. </w:t>
      </w:r>
      <w:r w:rsidR="00FF5E24">
        <w:rPr>
          <w:rFonts w:cs="Times New Roman"/>
        </w:rPr>
        <w:t>All participants will be re-screened (</w:t>
      </w:r>
      <w:r w:rsidRPr="00960021" w:rsidR="00FF5E24">
        <w:rPr>
          <w:rFonts w:cs="Times New Roman"/>
          <w:b/>
          <w:bCs/>
        </w:rPr>
        <w:t>Attachment</w:t>
      </w:r>
      <w:r w:rsidRPr="00960021" w:rsidR="00A26376">
        <w:rPr>
          <w:rFonts w:cs="Times New Roman"/>
          <w:b/>
          <w:bCs/>
        </w:rPr>
        <w:t xml:space="preserve"> 4a</w:t>
      </w:r>
      <w:r w:rsidR="00A26376">
        <w:rPr>
          <w:rFonts w:cs="Times New Roman"/>
        </w:rPr>
        <w:t xml:space="preserve">) </w:t>
      </w:r>
      <w:r w:rsidR="00FF5E24">
        <w:rPr>
          <w:rFonts w:cs="Times New Roman"/>
        </w:rPr>
        <w:t xml:space="preserve">prior to consent and enrollment. </w:t>
      </w:r>
      <w:r w:rsidR="002D5B70">
        <w:rPr>
          <w:rFonts w:cs="Times New Roman"/>
        </w:rPr>
        <w:t xml:space="preserve">Data collection will include a quantitative assessment </w:t>
      </w:r>
      <w:r w:rsidR="00ED19E4">
        <w:rPr>
          <w:rFonts w:cs="Times New Roman"/>
        </w:rPr>
        <w:t>(</w:t>
      </w:r>
      <w:r w:rsidRPr="009B519F" w:rsidR="00ED19E4">
        <w:rPr>
          <w:rFonts w:cs="Times New Roman"/>
          <w:b/>
          <w:bCs/>
        </w:rPr>
        <w:t xml:space="preserve">Attachment </w:t>
      </w:r>
      <w:r w:rsidRPr="009B519F" w:rsidR="009B519F">
        <w:rPr>
          <w:rFonts w:cs="Times New Roman"/>
          <w:b/>
          <w:bCs/>
        </w:rPr>
        <w:t>4</w:t>
      </w:r>
      <w:r w:rsidR="008C65A9">
        <w:rPr>
          <w:rFonts w:cs="Times New Roman"/>
          <w:b/>
          <w:bCs/>
        </w:rPr>
        <w:t>c</w:t>
      </w:r>
      <w:r w:rsidR="009B519F">
        <w:rPr>
          <w:rFonts w:cs="Times New Roman"/>
        </w:rPr>
        <w:t xml:space="preserve">) </w:t>
      </w:r>
      <w:r w:rsidR="002D5B70">
        <w:rPr>
          <w:rFonts w:cs="Times New Roman"/>
        </w:rPr>
        <w:t xml:space="preserve">administered to </w:t>
      </w:r>
      <w:r w:rsidR="00D0431C">
        <w:rPr>
          <w:rFonts w:cs="Times New Roman"/>
        </w:rPr>
        <w:t xml:space="preserve">each participant </w:t>
      </w:r>
      <w:r w:rsidR="00FA3220">
        <w:rPr>
          <w:rFonts w:cs="Times New Roman"/>
        </w:rPr>
        <w:t xml:space="preserve">at </w:t>
      </w:r>
      <w:r w:rsidR="00823AF2">
        <w:rPr>
          <w:rFonts w:cs="Times New Roman"/>
        </w:rPr>
        <w:t>enrollment</w:t>
      </w:r>
      <w:r w:rsidR="00FA3220">
        <w:rPr>
          <w:rFonts w:cs="Times New Roman"/>
        </w:rPr>
        <w:t xml:space="preserve"> and </w:t>
      </w:r>
      <w:r w:rsidR="00ED19E4">
        <w:rPr>
          <w:rFonts w:cs="Times New Roman"/>
        </w:rPr>
        <w:t>quarterly intervals throughout the two</w:t>
      </w:r>
      <w:r w:rsidR="009B519F">
        <w:rPr>
          <w:rFonts w:cs="Times New Roman"/>
        </w:rPr>
        <w:t>-</w:t>
      </w:r>
      <w:r w:rsidR="00ED19E4">
        <w:rPr>
          <w:rFonts w:cs="Times New Roman"/>
        </w:rPr>
        <w:t>year follow up period</w:t>
      </w:r>
      <w:r w:rsidR="00823AF2">
        <w:rPr>
          <w:rFonts w:cs="Times New Roman"/>
        </w:rPr>
        <w:t xml:space="preserve"> (8 total assessments)</w:t>
      </w:r>
      <w:r w:rsidR="00ED19E4">
        <w:rPr>
          <w:rFonts w:cs="Times New Roman"/>
        </w:rPr>
        <w:t>.</w:t>
      </w:r>
      <w:r w:rsidR="00964766">
        <w:rPr>
          <w:rFonts w:cs="Times New Roman"/>
        </w:rPr>
        <w:t xml:space="preserve"> </w:t>
      </w:r>
      <w:r w:rsidR="00CD308B">
        <w:rPr>
          <w:rFonts w:cs="Times New Roman"/>
        </w:rPr>
        <w:t xml:space="preserve">We estimate the </w:t>
      </w:r>
      <w:r w:rsidR="007A02A0">
        <w:rPr>
          <w:rFonts w:cs="Times New Roman"/>
        </w:rPr>
        <w:t xml:space="preserve">quantitative assessment will take 45 minutes to complete. </w:t>
      </w:r>
      <w:r w:rsidR="00964766">
        <w:rPr>
          <w:rFonts w:cs="Times New Roman"/>
        </w:rPr>
        <w:t>P</w:t>
      </w:r>
      <w:r w:rsidR="00A3493B">
        <w:rPr>
          <w:rFonts w:cs="Times New Roman"/>
        </w:rPr>
        <w:t xml:space="preserve">articipants will be asked to install </w:t>
      </w:r>
      <w:r w:rsidR="00E45916">
        <w:rPr>
          <w:rFonts w:cs="Times New Roman"/>
        </w:rPr>
        <w:t xml:space="preserve">the </w:t>
      </w:r>
      <w:r w:rsidR="00E45916">
        <w:rPr>
          <w:rFonts w:cs="Times New Roman"/>
        </w:rPr>
        <w:t>SMaRT</w:t>
      </w:r>
      <w:r w:rsidR="00E45916">
        <w:rPr>
          <w:rFonts w:cs="Times New Roman"/>
        </w:rPr>
        <w:t xml:space="preserve"> application on their mobile phone</w:t>
      </w:r>
      <w:r w:rsidR="006478BB">
        <w:rPr>
          <w:rFonts w:cs="Times New Roman"/>
        </w:rPr>
        <w:t xml:space="preserve"> (</w:t>
      </w:r>
      <w:r w:rsidRPr="006F78F3" w:rsidR="006478BB">
        <w:rPr>
          <w:rFonts w:cs="Times New Roman"/>
          <w:b/>
          <w:bCs/>
        </w:rPr>
        <w:t xml:space="preserve">Attachment </w:t>
      </w:r>
      <w:r w:rsidRPr="006F78F3" w:rsidR="006F78F3">
        <w:rPr>
          <w:rFonts w:cs="Times New Roman"/>
          <w:b/>
          <w:bCs/>
        </w:rPr>
        <w:t>4</w:t>
      </w:r>
      <w:r w:rsidR="00BE1040">
        <w:rPr>
          <w:rFonts w:cs="Times New Roman"/>
          <w:b/>
          <w:bCs/>
        </w:rPr>
        <w:t>d</w:t>
      </w:r>
      <w:r w:rsidR="006F78F3">
        <w:rPr>
          <w:rFonts w:cs="Times New Roman"/>
        </w:rPr>
        <w:t>)</w:t>
      </w:r>
      <w:r w:rsidR="00600414">
        <w:rPr>
          <w:rFonts w:cs="Times New Roman"/>
        </w:rPr>
        <w:t xml:space="preserve">. We estimate the installation process will </w:t>
      </w:r>
      <w:r w:rsidR="00964766">
        <w:rPr>
          <w:rFonts w:cs="Times New Roman"/>
        </w:rPr>
        <w:t xml:space="preserve">take </w:t>
      </w:r>
      <w:r w:rsidR="00206865">
        <w:rPr>
          <w:rFonts w:cs="Times New Roman"/>
        </w:rPr>
        <w:t>10</w:t>
      </w:r>
      <w:r w:rsidR="00964766">
        <w:rPr>
          <w:rFonts w:cs="Times New Roman"/>
        </w:rPr>
        <w:t xml:space="preserve"> minutes. While all participants will be asked to install the app</w:t>
      </w:r>
      <w:r w:rsidR="00BA2872">
        <w:rPr>
          <w:rFonts w:cs="Times New Roman"/>
        </w:rPr>
        <w:t xml:space="preserve">, </w:t>
      </w:r>
      <w:r w:rsidR="00964766">
        <w:rPr>
          <w:rFonts w:cs="Times New Roman"/>
        </w:rPr>
        <w:t>use of the app</w:t>
      </w:r>
      <w:r w:rsidR="006478BB">
        <w:rPr>
          <w:rFonts w:cs="Times New Roman"/>
        </w:rPr>
        <w:t xml:space="preserve"> </w:t>
      </w:r>
      <w:r w:rsidR="00BA2872">
        <w:rPr>
          <w:rFonts w:cs="Times New Roman"/>
        </w:rPr>
        <w:t>after the initial install</w:t>
      </w:r>
      <w:r w:rsidR="006478BB">
        <w:rPr>
          <w:rFonts w:cs="Times New Roman"/>
        </w:rPr>
        <w:t xml:space="preserve"> will be option</w:t>
      </w:r>
      <w:r w:rsidR="006F78F3">
        <w:rPr>
          <w:rFonts w:cs="Times New Roman"/>
        </w:rPr>
        <w:t xml:space="preserve">al. </w:t>
      </w:r>
      <w:r w:rsidR="007A02A0">
        <w:rPr>
          <w:rFonts w:cs="Times New Roman"/>
        </w:rPr>
        <w:t xml:space="preserve">Participants will </w:t>
      </w:r>
      <w:r w:rsidR="000E1A66">
        <w:rPr>
          <w:rFonts w:cs="Times New Roman"/>
        </w:rPr>
        <w:t>be mailed a</w:t>
      </w:r>
      <w:r w:rsidR="00957836">
        <w:rPr>
          <w:rFonts w:cs="Times New Roman"/>
        </w:rPr>
        <w:t xml:space="preserve">n HIV and a STI specimen collection kit </w:t>
      </w:r>
      <w:r w:rsidR="003367A2">
        <w:rPr>
          <w:rFonts w:cs="Times New Roman"/>
        </w:rPr>
        <w:t xml:space="preserve">at baseline and 6-month intervals during </w:t>
      </w:r>
      <w:r w:rsidR="005254CF">
        <w:rPr>
          <w:rFonts w:cs="Times New Roman"/>
        </w:rPr>
        <w:t xml:space="preserve">the two-year follow up period. </w:t>
      </w:r>
      <w:r w:rsidR="00BD55C9">
        <w:rPr>
          <w:rFonts w:cs="Times New Roman"/>
        </w:rPr>
        <w:t xml:space="preserve">The </w:t>
      </w:r>
      <w:r w:rsidR="004B5FDF">
        <w:rPr>
          <w:rFonts w:cs="Times New Roman"/>
        </w:rPr>
        <w:t xml:space="preserve">HIV specimen (dried blood spot) self-collection is estimated to take </w:t>
      </w:r>
      <w:r w:rsidR="00206865">
        <w:rPr>
          <w:rFonts w:cs="Times New Roman"/>
        </w:rPr>
        <w:t>20</w:t>
      </w:r>
      <w:r w:rsidR="00613C5F">
        <w:rPr>
          <w:rFonts w:cs="Times New Roman"/>
        </w:rPr>
        <w:t xml:space="preserve"> </w:t>
      </w:r>
      <w:r w:rsidR="004B5FDF">
        <w:rPr>
          <w:rFonts w:cs="Times New Roman"/>
        </w:rPr>
        <w:t>minutes</w:t>
      </w:r>
      <w:r w:rsidR="00613C5F">
        <w:rPr>
          <w:rFonts w:cs="Times New Roman"/>
        </w:rPr>
        <w:t xml:space="preserve"> </w:t>
      </w:r>
      <w:r w:rsidR="00A76A2A">
        <w:rPr>
          <w:rFonts w:cs="Times New Roman"/>
        </w:rPr>
        <w:t xml:space="preserve">to complete </w:t>
      </w:r>
      <w:r w:rsidR="00613C5F">
        <w:rPr>
          <w:rFonts w:cs="Times New Roman"/>
        </w:rPr>
        <w:t>(</w:t>
      </w:r>
      <w:r w:rsidRPr="00DC675C" w:rsidR="00613C5F">
        <w:rPr>
          <w:rFonts w:cs="Times New Roman"/>
          <w:b/>
          <w:bCs/>
        </w:rPr>
        <w:t>Attachment 4</w:t>
      </w:r>
      <w:r w:rsidR="00BE1040">
        <w:rPr>
          <w:rFonts w:cs="Times New Roman"/>
          <w:b/>
          <w:bCs/>
        </w:rPr>
        <w:t>e</w:t>
      </w:r>
      <w:r w:rsidR="00DC675C">
        <w:rPr>
          <w:rFonts w:cs="Times New Roman"/>
        </w:rPr>
        <w:t>)</w:t>
      </w:r>
      <w:r w:rsidR="004B5FDF">
        <w:rPr>
          <w:rFonts w:cs="Times New Roman"/>
        </w:rPr>
        <w:t xml:space="preserve">. The STI specimen self-collection is estimated to </w:t>
      </w:r>
      <w:r w:rsidR="00613C5F">
        <w:rPr>
          <w:rFonts w:cs="Times New Roman"/>
        </w:rPr>
        <w:t>30 minutes</w:t>
      </w:r>
      <w:r w:rsidR="00DC675C">
        <w:rPr>
          <w:rFonts w:cs="Times New Roman"/>
        </w:rPr>
        <w:t xml:space="preserve"> </w:t>
      </w:r>
      <w:r w:rsidR="00A76A2A">
        <w:rPr>
          <w:rFonts w:cs="Times New Roman"/>
        </w:rPr>
        <w:t xml:space="preserve">to complete </w:t>
      </w:r>
      <w:r w:rsidR="00DC675C">
        <w:rPr>
          <w:rFonts w:cs="Times New Roman"/>
        </w:rPr>
        <w:t>(</w:t>
      </w:r>
      <w:r w:rsidRPr="003A0B25" w:rsidR="00DC675C">
        <w:rPr>
          <w:rFonts w:cs="Times New Roman"/>
          <w:b/>
          <w:bCs/>
        </w:rPr>
        <w:t>Attachment 4</w:t>
      </w:r>
      <w:r w:rsidR="001456E8">
        <w:rPr>
          <w:rFonts w:cs="Times New Roman"/>
          <w:b/>
          <w:bCs/>
        </w:rPr>
        <w:t>f</w:t>
      </w:r>
      <w:r w:rsidR="003A0B25">
        <w:rPr>
          <w:rFonts w:cs="Times New Roman"/>
        </w:rPr>
        <w:t xml:space="preserve">). </w:t>
      </w:r>
      <w:r w:rsidR="00E23620">
        <w:rPr>
          <w:rFonts w:cs="Times New Roman"/>
        </w:rPr>
        <w:t>A subset of participants (</w:t>
      </w:r>
      <w:r w:rsidR="00823AF2">
        <w:rPr>
          <w:rFonts w:cs="Times New Roman"/>
        </w:rPr>
        <w:t>150</w:t>
      </w:r>
      <w:r w:rsidR="008A3C52">
        <w:rPr>
          <w:rFonts w:cs="Times New Roman"/>
        </w:rPr>
        <w:t xml:space="preserve"> total) will be invited to join a</w:t>
      </w:r>
      <w:r w:rsidR="005D154A">
        <w:rPr>
          <w:rFonts w:cs="Times New Roman"/>
        </w:rPr>
        <w:t xml:space="preserve"> </w:t>
      </w:r>
      <w:r w:rsidR="008A3C52">
        <w:rPr>
          <w:rFonts w:cs="Times New Roman"/>
        </w:rPr>
        <w:t>focus group</w:t>
      </w:r>
      <w:r w:rsidR="009205B1">
        <w:rPr>
          <w:rFonts w:cs="Times New Roman"/>
        </w:rPr>
        <w:t xml:space="preserve"> (</w:t>
      </w:r>
      <w:r w:rsidRPr="009205B1" w:rsidR="009205B1">
        <w:rPr>
          <w:rFonts w:cs="Times New Roman"/>
          <w:b/>
          <w:bCs/>
        </w:rPr>
        <w:t>Attachment 4</w:t>
      </w:r>
      <w:r w:rsidR="001456E8">
        <w:rPr>
          <w:rFonts w:cs="Times New Roman"/>
          <w:b/>
          <w:bCs/>
        </w:rPr>
        <w:t>g</w:t>
      </w:r>
      <w:r w:rsidR="009205B1">
        <w:rPr>
          <w:rFonts w:cs="Times New Roman"/>
        </w:rPr>
        <w:t>)</w:t>
      </w:r>
      <w:r w:rsidR="008A3C52">
        <w:rPr>
          <w:rFonts w:cs="Times New Roman"/>
        </w:rPr>
        <w:t xml:space="preserve">. </w:t>
      </w:r>
      <w:r w:rsidR="008F2CBB">
        <w:rPr>
          <w:rFonts w:cs="Times New Roman"/>
        </w:rPr>
        <w:t>Small group f</w:t>
      </w:r>
      <w:r w:rsidR="008A3C52">
        <w:rPr>
          <w:rFonts w:cs="Times New Roman"/>
        </w:rPr>
        <w:t>ocus group</w:t>
      </w:r>
      <w:r w:rsidR="008F2CBB">
        <w:rPr>
          <w:rFonts w:cs="Times New Roman"/>
        </w:rPr>
        <w:t xml:space="preserve"> discussion</w:t>
      </w:r>
      <w:r w:rsidR="000765CD">
        <w:rPr>
          <w:rFonts w:cs="Times New Roman"/>
        </w:rPr>
        <w:t xml:space="preserve">s will convene for </w:t>
      </w:r>
      <w:r w:rsidR="008F2CBB">
        <w:rPr>
          <w:rFonts w:cs="Times New Roman"/>
        </w:rPr>
        <w:t>about 90</w:t>
      </w:r>
      <w:r w:rsidR="00FE6184">
        <w:rPr>
          <w:rFonts w:cs="Times New Roman"/>
        </w:rPr>
        <w:t xml:space="preserve"> </w:t>
      </w:r>
      <w:r w:rsidR="008F2CBB">
        <w:rPr>
          <w:rFonts w:cs="Times New Roman"/>
        </w:rPr>
        <w:t xml:space="preserve">minutes and will be offered every </w:t>
      </w:r>
      <w:r w:rsidR="007951A2">
        <w:rPr>
          <w:rFonts w:cs="Times New Roman"/>
        </w:rPr>
        <w:t xml:space="preserve">six months during the follow-up period. </w:t>
      </w:r>
      <w:r w:rsidR="009205B1">
        <w:rPr>
          <w:rFonts w:cs="Times New Roman"/>
        </w:rPr>
        <w:t xml:space="preserve">Another subset of participants </w:t>
      </w:r>
      <w:r w:rsidR="007B1481">
        <w:rPr>
          <w:rFonts w:cs="Times New Roman"/>
        </w:rPr>
        <w:t>(</w:t>
      </w:r>
      <w:r w:rsidR="00823AF2">
        <w:rPr>
          <w:rFonts w:cs="Times New Roman"/>
        </w:rPr>
        <w:t>45</w:t>
      </w:r>
      <w:r w:rsidR="007B1481">
        <w:rPr>
          <w:rFonts w:cs="Times New Roman"/>
        </w:rPr>
        <w:t xml:space="preserve"> total) will be invited to join a series of three in-depth interviews </w:t>
      </w:r>
      <w:r w:rsidR="00726B2C">
        <w:rPr>
          <w:rFonts w:cs="Times New Roman"/>
        </w:rPr>
        <w:t xml:space="preserve">occurring at </w:t>
      </w:r>
      <w:r w:rsidR="00F123EC">
        <w:rPr>
          <w:rFonts w:cs="Times New Roman"/>
        </w:rPr>
        <w:t>six-month</w:t>
      </w:r>
      <w:r w:rsidR="00726B2C">
        <w:rPr>
          <w:rFonts w:cs="Times New Roman"/>
        </w:rPr>
        <w:t xml:space="preserve"> intervals</w:t>
      </w:r>
      <w:r w:rsidR="00F123EC">
        <w:rPr>
          <w:rFonts w:cs="Times New Roman"/>
        </w:rPr>
        <w:t xml:space="preserve"> (</w:t>
      </w:r>
      <w:r w:rsidRPr="00F123EC" w:rsidR="00F123EC">
        <w:rPr>
          <w:rFonts w:cs="Times New Roman"/>
          <w:b/>
          <w:bCs/>
        </w:rPr>
        <w:t>Attachment 4</w:t>
      </w:r>
      <w:r w:rsidR="00CF5BF4">
        <w:rPr>
          <w:rFonts w:cs="Times New Roman"/>
          <w:b/>
          <w:bCs/>
        </w:rPr>
        <w:t>h</w:t>
      </w:r>
      <w:r w:rsidR="00F123EC">
        <w:rPr>
          <w:rFonts w:cs="Times New Roman"/>
        </w:rPr>
        <w:t xml:space="preserve">). The interviews </w:t>
      </w:r>
      <w:r w:rsidR="00FE6184">
        <w:rPr>
          <w:rFonts w:cs="Times New Roman"/>
        </w:rPr>
        <w:t xml:space="preserve">will take approximately 90 minutes to complete. </w:t>
      </w:r>
    </w:p>
    <w:p w:rsidR="005C20E9" w:rsidP="000A4126" w14:paraId="64ECEA6C" w14:textId="6FEA1D81">
      <w:pPr>
        <w:pStyle w:val="NoSpacing"/>
        <w:tabs>
          <w:tab w:val="left" w:pos="360"/>
        </w:tabs>
        <w:rPr>
          <w:rFonts w:cs="Times New Roman"/>
        </w:rPr>
      </w:pPr>
    </w:p>
    <w:p w:rsidR="005C20E9" w:rsidRPr="00DF4B9D" w:rsidP="000A4126" w14:paraId="037AC9C4" w14:textId="71B36B51">
      <w:pPr>
        <w:pStyle w:val="NoSpacing"/>
        <w:tabs>
          <w:tab w:val="left" w:pos="360"/>
        </w:tabs>
        <w:rPr>
          <w:rFonts w:cs="Times New Roman"/>
        </w:rPr>
      </w:pPr>
      <w:r>
        <w:rPr>
          <w:rFonts w:cs="Times New Roman"/>
        </w:rPr>
        <w:t xml:space="preserve">There are no costs to the participant other than their time. The total number of burden hours is </w:t>
      </w:r>
      <w:r w:rsidR="003E01A0">
        <w:rPr>
          <w:rFonts w:cs="Times New Roman"/>
        </w:rPr>
        <w:t>1</w:t>
      </w:r>
      <w:r w:rsidR="004A61E2">
        <w:rPr>
          <w:rFonts w:cs="Times New Roman"/>
        </w:rPr>
        <w:t>2,996</w:t>
      </w:r>
      <w:r w:rsidR="00B348A8">
        <w:rPr>
          <w:rFonts w:cs="Times New Roman"/>
        </w:rPr>
        <w:t xml:space="preserve"> </w:t>
      </w:r>
      <w:r w:rsidR="004A61E2">
        <w:rPr>
          <w:rFonts w:cs="Times New Roman"/>
        </w:rPr>
        <w:t>across</w:t>
      </w:r>
      <w:r w:rsidR="00B96BC8">
        <w:rPr>
          <w:rFonts w:cs="Times New Roman"/>
        </w:rPr>
        <w:t xml:space="preserve"> </w:t>
      </w:r>
      <w:r w:rsidR="00FD397D">
        <w:rPr>
          <w:rFonts w:cs="Times New Roman"/>
        </w:rPr>
        <w:t>three years</w:t>
      </w:r>
      <w:r w:rsidR="00B96BC8">
        <w:rPr>
          <w:rFonts w:cs="Times New Roman"/>
        </w:rPr>
        <w:t xml:space="preserve"> of data collection. The total estimated annualized burden hours are </w:t>
      </w:r>
      <w:r w:rsidR="00FD397D">
        <w:rPr>
          <w:rFonts w:cs="Times New Roman"/>
        </w:rPr>
        <w:t>4,3</w:t>
      </w:r>
      <w:r w:rsidR="007819DA">
        <w:rPr>
          <w:rFonts w:cs="Times New Roman"/>
        </w:rPr>
        <w:t>32</w:t>
      </w:r>
      <w:r w:rsidR="00CA0494">
        <w:rPr>
          <w:rFonts w:cs="Times New Roman"/>
        </w:rPr>
        <w:t xml:space="preserve">. </w:t>
      </w:r>
      <w:r w:rsidR="009878C9">
        <w:rPr>
          <w:rFonts w:cs="Times New Roman"/>
        </w:rPr>
        <w:t xml:space="preserve">Annualized burden was calculated by dividing the total burden hours for each data collection activity by three and working back to calculate the number of respondents and responses needed to arrive at the annualized amount equal to one-third of the total burden. </w:t>
      </w:r>
      <w:r w:rsidR="00CA0494">
        <w:rPr>
          <w:rFonts w:cs="Times New Roman"/>
        </w:rPr>
        <w:t xml:space="preserve">Total burden for each activity has been rounded </w:t>
      </w:r>
      <w:r w:rsidR="007371FA">
        <w:rPr>
          <w:rFonts w:cs="Times New Roman"/>
        </w:rPr>
        <w:t>to the nearest</w:t>
      </w:r>
      <w:r w:rsidR="00CA0494">
        <w:rPr>
          <w:rFonts w:cs="Times New Roman"/>
        </w:rPr>
        <w:t xml:space="preserve"> whole hour. </w:t>
      </w:r>
    </w:p>
    <w:p w:rsidR="001D5CFF" w:rsidP="000A4126" w14:paraId="23ED344D" w14:textId="77777777">
      <w:pPr>
        <w:pStyle w:val="NoSpacing"/>
        <w:tabs>
          <w:tab w:val="left" w:pos="360"/>
        </w:tabs>
        <w:rPr>
          <w:rFonts w:cs="Times New Roman"/>
          <w:b/>
          <w:bCs/>
        </w:rPr>
      </w:pPr>
    </w:p>
    <w:p w:rsidR="00AA78EA" w:rsidRPr="006D318A" w:rsidP="006D318A" w14:paraId="2D454D3D" w14:textId="62DAE3AD">
      <w:pPr>
        <w:pStyle w:val="Caption"/>
      </w:pPr>
      <w:bookmarkStart w:id="32" w:name="_Toc462246534"/>
      <w:r w:rsidRPr="00B80F52">
        <w:rPr>
          <w:sz w:val="24"/>
          <w:szCs w:val="24"/>
        </w:rPr>
        <w:t xml:space="preserve">Exhibit </w:t>
      </w:r>
      <w:r>
        <w:rPr>
          <w:sz w:val="24"/>
          <w:szCs w:val="24"/>
        </w:rPr>
        <w:fldChar w:fldCharType="begin"/>
      </w:r>
      <w:r>
        <w:rPr>
          <w:sz w:val="24"/>
          <w:szCs w:val="24"/>
        </w:rPr>
        <w:instrText xml:space="preserve"> STYLEREF 1 \s </w:instrText>
      </w:r>
      <w:r>
        <w:rPr>
          <w:sz w:val="24"/>
          <w:szCs w:val="24"/>
        </w:rPr>
        <w:fldChar w:fldCharType="separate"/>
      </w:r>
      <w:r>
        <w:rPr>
          <w:noProof/>
          <w:sz w:val="24"/>
          <w:szCs w:val="24"/>
        </w:rPr>
        <w:t>12</w:t>
      </w:r>
      <w:r>
        <w:rPr>
          <w:sz w:val="24"/>
          <w:szCs w:val="24"/>
        </w:rPr>
        <w:fldChar w:fldCharType="end"/>
      </w:r>
      <w:r>
        <w:rPr>
          <w:sz w:val="24"/>
          <w:szCs w:val="24"/>
        </w:rPr>
        <w:t>.1</w:t>
      </w:r>
      <w:r w:rsidRPr="00B80F52">
        <w:rPr>
          <w:sz w:val="24"/>
          <w:szCs w:val="24"/>
        </w:rPr>
        <w:t xml:space="preserve">: </w:t>
      </w:r>
      <w:bookmarkStart w:id="33" w:name="ExhibitHours121"/>
      <w:r w:rsidRPr="00B80F52">
        <w:rPr>
          <w:sz w:val="24"/>
          <w:szCs w:val="24"/>
        </w:rPr>
        <w:t xml:space="preserve">Estimated </w:t>
      </w:r>
      <w:r w:rsidRPr="006A33D7">
        <w:rPr>
          <w:sz w:val="24"/>
          <w:szCs w:val="24"/>
        </w:rPr>
        <w:t>Annualized</w:t>
      </w:r>
      <w:r w:rsidRPr="00B80F52">
        <w:rPr>
          <w:sz w:val="24"/>
          <w:szCs w:val="24"/>
        </w:rPr>
        <w:t xml:space="preserve"> Burden Hours</w:t>
      </w:r>
      <w:bookmarkEnd w:id="32"/>
      <w:bookmarkEnd w:id="33"/>
    </w:p>
    <w:tbl>
      <w:tblPr>
        <w:tblW w:w="9447" w:type="dxa"/>
        <w:tblLayout w:type="fixed"/>
        <w:tblCellMar>
          <w:left w:w="129" w:type="dxa"/>
          <w:right w:w="129" w:type="dxa"/>
        </w:tblCellMar>
        <w:tblLook w:val="0000"/>
      </w:tblPr>
      <w:tblGrid>
        <w:gridCol w:w="1527"/>
        <w:gridCol w:w="1980"/>
        <w:gridCol w:w="1620"/>
        <w:gridCol w:w="1530"/>
        <w:gridCol w:w="1710"/>
        <w:gridCol w:w="1080"/>
      </w:tblGrid>
      <w:tr w14:paraId="76838CC2" w14:textId="77777777" w:rsidTr="001D5CFF">
        <w:tblPrEx>
          <w:tblW w:w="9447" w:type="dxa"/>
          <w:tblLayout w:type="fixed"/>
          <w:tblCellMar>
            <w:left w:w="129" w:type="dxa"/>
            <w:right w:w="129" w:type="dxa"/>
          </w:tblCellMar>
          <w:tblLook w:val="0000"/>
        </w:tblPrEx>
        <w:tc>
          <w:tcPr>
            <w:tcW w:w="1527" w:type="dxa"/>
            <w:tcBorders>
              <w:top w:val="single" w:sz="2" w:space="0" w:color="000000"/>
              <w:left w:val="single" w:sz="2" w:space="0" w:color="000000"/>
              <w:bottom w:val="nil"/>
              <w:right w:val="nil"/>
            </w:tcBorders>
          </w:tcPr>
          <w:p w:rsidR="00AA78EA" w:rsidRPr="00AF06FC" w:rsidP="003E3747" w14:paraId="528D24E8" w14:textId="77777777">
            <w:pPr>
              <w:rPr>
                <w:b/>
                <w:szCs w:val="24"/>
              </w:rPr>
            </w:pPr>
            <w:r w:rsidRPr="00AF06FC">
              <w:rPr>
                <w:b/>
                <w:szCs w:val="24"/>
              </w:rPr>
              <w:t>Type of Respondent</w:t>
            </w:r>
          </w:p>
        </w:tc>
        <w:tc>
          <w:tcPr>
            <w:tcW w:w="1980" w:type="dxa"/>
            <w:tcBorders>
              <w:top w:val="single" w:sz="2" w:space="0" w:color="000000"/>
              <w:left w:val="single" w:sz="2" w:space="0" w:color="000000"/>
              <w:bottom w:val="nil"/>
              <w:right w:val="nil"/>
            </w:tcBorders>
          </w:tcPr>
          <w:p w:rsidR="00AA78EA" w:rsidRPr="00AF06FC" w:rsidP="003E3747" w14:paraId="0BCDA84F" w14:textId="77777777">
            <w:pPr>
              <w:rPr>
                <w:b/>
                <w:szCs w:val="24"/>
              </w:rPr>
            </w:pPr>
            <w:r w:rsidRPr="00AF06FC">
              <w:rPr>
                <w:b/>
                <w:szCs w:val="24"/>
              </w:rPr>
              <w:t>Form Name</w:t>
            </w:r>
          </w:p>
        </w:tc>
        <w:tc>
          <w:tcPr>
            <w:tcW w:w="1620" w:type="dxa"/>
            <w:tcBorders>
              <w:top w:val="single" w:sz="2" w:space="0" w:color="000000"/>
              <w:left w:val="single" w:sz="2" w:space="0" w:color="000000"/>
              <w:bottom w:val="nil"/>
              <w:right w:val="nil"/>
            </w:tcBorders>
          </w:tcPr>
          <w:p w:rsidR="00AA78EA" w:rsidRPr="00AF06FC" w:rsidP="003E3747" w14:paraId="6BBE91DF" w14:textId="77777777">
            <w:pPr>
              <w:rPr>
                <w:b/>
                <w:szCs w:val="24"/>
              </w:rPr>
            </w:pPr>
            <w:r w:rsidRPr="00AF06FC">
              <w:rPr>
                <w:b/>
                <w:szCs w:val="24"/>
              </w:rPr>
              <w:t>No. of Respondents</w:t>
            </w:r>
          </w:p>
        </w:tc>
        <w:tc>
          <w:tcPr>
            <w:tcW w:w="1530" w:type="dxa"/>
            <w:tcBorders>
              <w:top w:val="single" w:sz="2" w:space="0" w:color="000000"/>
              <w:left w:val="single" w:sz="2" w:space="0" w:color="000000"/>
              <w:bottom w:val="nil"/>
              <w:right w:val="nil"/>
            </w:tcBorders>
          </w:tcPr>
          <w:p w:rsidR="00AA78EA" w:rsidRPr="00AF06FC" w:rsidP="003E3747" w14:paraId="08EF1A8A" w14:textId="77777777">
            <w:pPr>
              <w:rPr>
                <w:b/>
                <w:szCs w:val="24"/>
              </w:rPr>
            </w:pPr>
            <w:r w:rsidRPr="00AF06FC">
              <w:rPr>
                <w:b/>
                <w:szCs w:val="24"/>
              </w:rPr>
              <w:t>No. of Responses Per Respondent</w:t>
            </w:r>
          </w:p>
        </w:tc>
        <w:tc>
          <w:tcPr>
            <w:tcW w:w="1710" w:type="dxa"/>
            <w:tcBorders>
              <w:top w:val="single" w:sz="2" w:space="0" w:color="000000"/>
              <w:left w:val="single" w:sz="2" w:space="0" w:color="000000"/>
              <w:bottom w:val="nil"/>
              <w:right w:val="single" w:sz="2" w:space="0" w:color="000000"/>
            </w:tcBorders>
          </w:tcPr>
          <w:p w:rsidR="00AA78EA" w:rsidRPr="00AF06FC" w:rsidP="003E3747" w14:paraId="57D9E3CB" w14:textId="77777777">
            <w:pPr>
              <w:rPr>
                <w:b/>
                <w:szCs w:val="24"/>
              </w:rPr>
            </w:pPr>
            <w:r w:rsidRPr="00AF06FC">
              <w:rPr>
                <w:b/>
                <w:szCs w:val="24"/>
              </w:rPr>
              <w:t xml:space="preserve">Average Burden Per Response (in Hours) </w:t>
            </w:r>
          </w:p>
        </w:tc>
        <w:tc>
          <w:tcPr>
            <w:tcW w:w="1080" w:type="dxa"/>
            <w:tcBorders>
              <w:top w:val="single" w:sz="2" w:space="0" w:color="000000"/>
              <w:left w:val="single" w:sz="2" w:space="0" w:color="000000"/>
              <w:bottom w:val="nil"/>
              <w:right w:val="single" w:sz="2" w:space="0" w:color="000000"/>
            </w:tcBorders>
          </w:tcPr>
          <w:p w:rsidR="00AA78EA" w:rsidRPr="00AF06FC" w:rsidP="003E3747" w14:paraId="5D04BD68" w14:textId="77777777">
            <w:pPr>
              <w:rPr>
                <w:b/>
                <w:szCs w:val="24"/>
              </w:rPr>
            </w:pPr>
            <w:r w:rsidRPr="00AF06FC">
              <w:rPr>
                <w:b/>
                <w:szCs w:val="24"/>
              </w:rPr>
              <w:t xml:space="preserve">Total </w:t>
            </w:r>
          </w:p>
          <w:p w:rsidR="00AA78EA" w:rsidRPr="00AF06FC" w:rsidP="003E3747" w14:paraId="19E336BE" w14:textId="77777777">
            <w:pPr>
              <w:rPr>
                <w:b/>
                <w:szCs w:val="24"/>
              </w:rPr>
            </w:pPr>
            <w:r w:rsidRPr="00AF06FC">
              <w:rPr>
                <w:b/>
                <w:szCs w:val="24"/>
              </w:rPr>
              <w:t>Burden</w:t>
            </w:r>
          </w:p>
          <w:p w:rsidR="00AA78EA" w:rsidRPr="00AF06FC" w:rsidP="003E3747" w14:paraId="3CB7E972" w14:textId="77777777">
            <w:pPr>
              <w:rPr>
                <w:b/>
                <w:szCs w:val="24"/>
              </w:rPr>
            </w:pPr>
            <w:r w:rsidRPr="00AF06FC">
              <w:rPr>
                <w:b/>
                <w:szCs w:val="24"/>
              </w:rPr>
              <w:t>Hours</w:t>
            </w:r>
          </w:p>
        </w:tc>
      </w:tr>
      <w:tr w14:paraId="75A85F3D" w14:textId="77777777" w:rsidTr="001D5CFF">
        <w:tblPrEx>
          <w:tblW w:w="9447" w:type="dxa"/>
          <w:tblLayout w:type="fixed"/>
          <w:tblCellMar>
            <w:left w:w="129" w:type="dxa"/>
            <w:right w:w="129" w:type="dxa"/>
          </w:tblCellMar>
          <w:tblLook w:val="0000"/>
        </w:tblPrEx>
        <w:tc>
          <w:tcPr>
            <w:tcW w:w="1527" w:type="dxa"/>
            <w:tcBorders>
              <w:top w:val="single" w:sz="2" w:space="0" w:color="000000"/>
              <w:left w:val="single" w:sz="2" w:space="0" w:color="000000"/>
              <w:right w:val="nil"/>
            </w:tcBorders>
          </w:tcPr>
          <w:p w:rsidR="0045533D" w:rsidRPr="00AF06FC" w:rsidP="0045533D" w14:paraId="2FBBE038" w14:textId="77777777">
            <w:pPr>
              <w:jc w:val="both"/>
              <w:rPr>
                <w:szCs w:val="24"/>
              </w:rPr>
            </w:pPr>
            <w:r w:rsidRPr="00AF06FC">
              <w:rPr>
                <w:szCs w:val="24"/>
              </w:rPr>
              <w:t>General Public- Adults</w:t>
            </w:r>
          </w:p>
        </w:tc>
        <w:tc>
          <w:tcPr>
            <w:tcW w:w="1980" w:type="dxa"/>
            <w:tcBorders>
              <w:top w:val="single" w:sz="2" w:space="0" w:color="000000"/>
              <w:left w:val="single" w:sz="2" w:space="0" w:color="000000"/>
              <w:bottom w:val="single" w:sz="2" w:space="0" w:color="000000"/>
              <w:right w:val="nil"/>
            </w:tcBorders>
          </w:tcPr>
          <w:p w:rsidR="0045533D" w:rsidRPr="00AF06FC" w:rsidP="0045533D" w14:paraId="559593FE" w14:textId="20481AC7">
            <w:pPr>
              <w:ind w:left="-39" w:right="51"/>
              <w:rPr>
                <w:szCs w:val="24"/>
              </w:rPr>
            </w:pPr>
            <w:r w:rsidRPr="00AF06FC">
              <w:rPr>
                <w:iCs/>
                <w:szCs w:val="24"/>
              </w:rPr>
              <w:t>Eligibility Screener (Att. 4a)</w:t>
            </w:r>
          </w:p>
        </w:tc>
        <w:tc>
          <w:tcPr>
            <w:tcW w:w="1620" w:type="dxa"/>
            <w:tcBorders>
              <w:top w:val="single" w:sz="2" w:space="0" w:color="000000"/>
              <w:left w:val="single" w:sz="2" w:space="0" w:color="000000"/>
              <w:bottom w:val="single" w:sz="2" w:space="0" w:color="000000"/>
              <w:right w:val="nil"/>
            </w:tcBorders>
            <w:vAlign w:val="center"/>
          </w:tcPr>
          <w:p w:rsidR="0045533D" w:rsidRPr="00AF06FC" w:rsidP="0045533D" w14:paraId="665B5455" w14:textId="67105F86">
            <w:pPr>
              <w:jc w:val="center"/>
              <w:rPr>
                <w:szCs w:val="24"/>
              </w:rPr>
            </w:pPr>
            <w:r>
              <w:rPr>
                <w:szCs w:val="24"/>
              </w:rPr>
              <w:t>850</w:t>
            </w:r>
          </w:p>
        </w:tc>
        <w:tc>
          <w:tcPr>
            <w:tcW w:w="1530" w:type="dxa"/>
            <w:tcBorders>
              <w:top w:val="single" w:sz="2" w:space="0" w:color="000000"/>
              <w:left w:val="single" w:sz="2" w:space="0" w:color="000000"/>
              <w:bottom w:val="single" w:sz="2" w:space="0" w:color="000000"/>
              <w:right w:val="nil"/>
            </w:tcBorders>
            <w:vAlign w:val="center"/>
          </w:tcPr>
          <w:p w:rsidR="0045533D" w:rsidRPr="00AF06FC" w:rsidP="0045533D" w14:paraId="58BF31A5" w14:textId="0408C2F2">
            <w:pPr>
              <w:ind w:right="-39"/>
              <w:jc w:val="center"/>
              <w:rPr>
                <w:szCs w:val="24"/>
              </w:rPr>
            </w:pPr>
            <w:r>
              <w:rPr>
                <w:szCs w:val="24"/>
              </w:rPr>
              <w:t>2</w:t>
            </w:r>
          </w:p>
        </w:tc>
        <w:tc>
          <w:tcPr>
            <w:tcW w:w="1710" w:type="dxa"/>
            <w:tcBorders>
              <w:top w:val="single" w:sz="2" w:space="0" w:color="000000"/>
              <w:left w:val="single" w:sz="2" w:space="0" w:color="000000"/>
              <w:bottom w:val="single" w:sz="2" w:space="0" w:color="000000"/>
              <w:right w:val="single" w:sz="2" w:space="0" w:color="000000"/>
            </w:tcBorders>
            <w:vAlign w:val="center"/>
          </w:tcPr>
          <w:p w:rsidR="0045533D" w:rsidRPr="00AF06FC" w:rsidP="0045533D" w14:paraId="39E06EF1" w14:textId="03C2218F">
            <w:pPr>
              <w:ind w:right="-39"/>
              <w:jc w:val="center"/>
              <w:rPr>
                <w:szCs w:val="24"/>
              </w:rPr>
            </w:pPr>
            <w:r w:rsidRPr="00AF06FC">
              <w:rPr>
                <w:szCs w:val="24"/>
              </w:rPr>
              <w:t>5/60</w:t>
            </w:r>
          </w:p>
        </w:tc>
        <w:tc>
          <w:tcPr>
            <w:tcW w:w="1080" w:type="dxa"/>
            <w:tcBorders>
              <w:top w:val="single" w:sz="2" w:space="0" w:color="000000"/>
              <w:left w:val="single" w:sz="2" w:space="0" w:color="000000"/>
              <w:bottom w:val="single" w:sz="2" w:space="0" w:color="000000"/>
              <w:right w:val="single" w:sz="2" w:space="0" w:color="000000"/>
            </w:tcBorders>
            <w:vAlign w:val="center"/>
          </w:tcPr>
          <w:p w:rsidR="0045533D" w:rsidRPr="00AF06FC" w:rsidP="00624D81" w14:paraId="720CF1E2" w14:textId="4D01E86B">
            <w:pPr>
              <w:jc w:val="center"/>
              <w:rPr>
                <w:szCs w:val="24"/>
              </w:rPr>
            </w:pPr>
            <w:r>
              <w:rPr>
                <w:szCs w:val="24"/>
              </w:rPr>
              <w:t>142</w:t>
            </w:r>
          </w:p>
        </w:tc>
      </w:tr>
      <w:tr w14:paraId="28920F67" w14:textId="77777777" w:rsidTr="001D5CFF">
        <w:tblPrEx>
          <w:tblW w:w="9447" w:type="dxa"/>
          <w:tblLayout w:type="fixed"/>
          <w:tblCellMar>
            <w:left w:w="129" w:type="dxa"/>
            <w:right w:w="129" w:type="dxa"/>
          </w:tblCellMar>
          <w:tblLook w:val="0000"/>
        </w:tblPrEx>
        <w:tc>
          <w:tcPr>
            <w:tcW w:w="1527" w:type="dxa"/>
            <w:tcBorders>
              <w:top w:val="single" w:sz="2" w:space="0" w:color="000000"/>
              <w:left w:val="single" w:sz="2" w:space="0" w:color="000000"/>
              <w:bottom w:val="single" w:sz="4" w:space="0" w:color="auto"/>
              <w:right w:val="nil"/>
            </w:tcBorders>
          </w:tcPr>
          <w:p w:rsidR="0045533D" w:rsidRPr="00AF06FC" w:rsidP="0045533D" w14:paraId="575A95FA" w14:textId="77777777">
            <w:pPr>
              <w:jc w:val="both"/>
              <w:rPr>
                <w:szCs w:val="24"/>
              </w:rPr>
            </w:pPr>
            <w:r w:rsidRPr="00AF06FC">
              <w:rPr>
                <w:szCs w:val="24"/>
              </w:rPr>
              <w:t>General Public-Adults</w:t>
            </w:r>
          </w:p>
        </w:tc>
        <w:tc>
          <w:tcPr>
            <w:tcW w:w="1980" w:type="dxa"/>
            <w:tcBorders>
              <w:top w:val="single" w:sz="2" w:space="0" w:color="000000"/>
              <w:left w:val="single" w:sz="2" w:space="0" w:color="000000"/>
              <w:bottom w:val="single" w:sz="2" w:space="0" w:color="000000"/>
              <w:right w:val="nil"/>
            </w:tcBorders>
          </w:tcPr>
          <w:p w:rsidR="0045533D" w:rsidRPr="00AF06FC" w:rsidP="0045533D" w14:paraId="49388A89" w14:textId="15BC3E7E">
            <w:pPr>
              <w:ind w:left="-39" w:right="51"/>
              <w:rPr>
                <w:szCs w:val="24"/>
              </w:rPr>
            </w:pPr>
            <w:r>
              <w:rPr>
                <w:szCs w:val="24"/>
              </w:rPr>
              <w:t>Registration Contact Information Form</w:t>
            </w:r>
            <w:r w:rsidRPr="00AF06FC">
              <w:rPr>
                <w:szCs w:val="24"/>
              </w:rPr>
              <w:t xml:space="preserve"> (Att. 4</w:t>
            </w:r>
            <w:r w:rsidR="00FF729A">
              <w:rPr>
                <w:szCs w:val="24"/>
              </w:rPr>
              <w:t>b</w:t>
            </w:r>
            <w:r w:rsidRPr="00AF06FC">
              <w:rPr>
                <w:szCs w:val="24"/>
              </w:rPr>
              <w:t>)</w:t>
            </w:r>
          </w:p>
        </w:tc>
        <w:tc>
          <w:tcPr>
            <w:tcW w:w="1620" w:type="dxa"/>
            <w:tcBorders>
              <w:top w:val="single" w:sz="2" w:space="0" w:color="000000"/>
              <w:left w:val="single" w:sz="2" w:space="0" w:color="000000"/>
              <w:bottom w:val="single" w:sz="2" w:space="0" w:color="000000"/>
              <w:right w:val="nil"/>
            </w:tcBorders>
            <w:vAlign w:val="center"/>
          </w:tcPr>
          <w:p w:rsidR="0045533D" w:rsidRPr="00AF06FC" w:rsidP="0045533D" w14:paraId="19278722" w14:textId="27FDBCD3">
            <w:pPr>
              <w:jc w:val="center"/>
              <w:rPr>
                <w:szCs w:val="24"/>
              </w:rPr>
            </w:pPr>
            <w:r w:rsidRPr="00AF06FC">
              <w:rPr>
                <w:szCs w:val="24"/>
              </w:rPr>
              <w:t>425</w:t>
            </w:r>
          </w:p>
        </w:tc>
        <w:tc>
          <w:tcPr>
            <w:tcW w:w="1530" w:type="dxa"/>
            <w:tcBorders>
              <w:top w:val="single" w:sz="2" w:space="0" w:color="000000"/>
              <w:left w:val="single" w:sz="2" w:space="0" w:color="000000"/>
              <w:bottom w:val="single" w:sz="2" w:space="0" w:color="000000"/>
              <w:right w:val="nil"/>
            </w:tcBorders>
            <w:vAlign w:val="center"/>
          </w:tcPr>
          <w:p w:rsidR="0045533D" w:rsidRPr="00AF06FC" w:rsidP="0045533D" w14:paraId="1C77E345" w14:textId="77777777">
            <w:pPr>
              <w:ind w:right="-39"/>
              <w:jc w:val="center"/>
              <w:rPr>
                <w:szCs w:val="24"/>
              </w:rPr>
            </w:pPr>
            <w:r w:rsidRPr="00AF06FC">
              <w:rPr>
                <w:szCs w:val="24"/>
              </w:rPr>
              <w:t>1</w:t>
            </w:r>
          </w:p>
        </w:tc>
        <w:tc>
          <w:tcPr>
            <w:tcW w:w="1710" w:type="dxa"/>
            <w:tcBorders>
              <w:top w:val="single" w:sz="2" w:space="0" w:color="000000"/>
              <w:left w:val="single" w:sz="2" w:space="0" w:color="000000"/>
              <w:bottom w:val="single" w:sz="2" w:space="0" w:color="000000"/>
              <w:right w:val="single" w:sz="2" w:space="0" w:color="000000"/>
            </w:tcBorders>
            <w:vAlign w:val="center"/>
          </w:tcPr>
          <w:p w:rsidR="0045533D" w:rsidRPr="00AF06FC" w:rsidP="0045533D" w14:paraId="3E567F38" w14:textId="6C20CE0B">
            <w:pPr>
              <w:ind w:right="-39"/>
              <w:jc w:val="center"/>
              <w:rPr>
                <w:szCs w:val="24"/>
              </w:rPr>
            </w:pPr>
            <w:r w:rsidRPr="00AF06FC">
              <w:rPr>
                <w:szCs w:val="24"/>
              </w:rPr>
              <w:t>5/60</w:t>
            </w:r>
          </w:p>
        </w:tc>
        <w:tc>
          <w:tcPr>
            <w:tcW w:w="1080" w:type="dxa"/>
            <w:tcBorders>
              <w:top w:val="single" w:sz="2" w:space="0" w:color="000000"/>
              <w:left w:val="single" w:sz="2" w:space="0" w:color="000000"/>
              <w:bottom w:val="single" w:sz="2" w:space="0" w:color="000000"/>
              <w:right w:val="single" w:sz="2" w:space="0" w:color="000000"/>
            </w:tcBorders>
            <w:vAlign w:val="center"/>
          </w:tcPr>
          <w:p w:rsidR="0045533D" w:rsidRPr="00AF06FC" w:rsidP="00624D81" w14:paraId="175B672E" w14:textId="38DD10BA">
            <w:pPr>
              <w:jc w:val="center"/>
              <w:rPr>
                <w:szCs w:val="24"/>
              </w:rPr>
            </w:pPr>
            <w:r w:rsidRPr="00AF06FC">
              <w:rPr>
                <w:szCs w:val="24"/>
              </w:rPr>
              <w:t>3</w:t>
            </w:r>
            <w:r w:rsidR="007371FA">
              <w:rPr>
                <w:szCs w:val="24"/>
              </w:rPr>
              <w:t>5</w:t>
            </w:r>
          </w:p>
        </w:tc>
      </w:tr>
      <w:tr w14:paraId="4FE15ACF" w14:textId="77777777" w:rsidTr="001D5CFF">
        <w:tblPrEx>
          <w:tblW w:w="9447" w:type="dxa"/>
          <w:tblLayout w:type="fixed"/>
          <w:tblCellMar>
            <w:left w:w="129" w:type="dxa"/>
            <w:right w:w="129" w:type="dxa"/>
          </w:tblCellMar>
          <w:tblLook w:val="0000"/>
        </w:tblPrEx>
        <w:tc>
          <w:tcPr>
            <w:tcW w:w="1527" w:type="dxa"/>
            <w:tcBorders>
              <w:top w:val="single" w:sz="2" w:space="0" w:color="000000"/>
              <w:left w:val="single" w:sz="2" w:space="0" w:color="000000"/>
              <w:bottom w:val="single" w:sz="4" w:space="0" w:color="auto"/>
              <w:right w:val="nil"/>
            </w:tcBorders>
          </w:tcPr>
          <w:p w:rsidR="0045533D" w:rsidRPr="00AF06FC" w:rsidP="0045533D" w14:paraId="0665A508" w14:textId="77777777">
            <w:pPr>
              <w:jc w:val="both"/>
              <w:rPr>
                <w:szCs w:val="24"/>
              </w:rPr>
            </w:pPr>
            <w:r w:rsidRPr="00AF06FC">
              <w:rPr>
                <w:szCs w:val="24"/>
              </w:rPr>
              <w:t>General Public- Adults</w:t>
            </w:r>
          </w:p>
        </w:tc>
        <w:tc>
          <w:tcPr>
            <w:tcW w:w="1980" w:type="dxa"/>
            <w:tcBorders>
              <w:top w:val="single" w:sz="2" w:space="0" w:color="000000"/>
              <w:left w:val="single" w:sz="2" w:space="0" w:color="000000"/>
              <w:bottom w:val="single" w:sz="2" w:space="0" w:color="000000"/>
              <w:right w:val="nil"/>
            </w:tcBorders>
          </w:tcPr>
          <w:p w:rsidR="0045533D" w:rsidRPr="00AF06FC" w:rsidP="0045533D" w14:paraId="0478E9BE" w14:textId="7391B360">
            <w:pPr>
              <w:ind w:left="-39" w:right="51"/>
              <w:rPr>
                <w:szCs w:val="24"/>
              </w:rPr>
            </w:pPr>
            <w:r w:rsidRPr="00AF06FC">
              <w:rPr>
                <w:szCs w:val="24"/>
              </w:rPr>
              <w:t>Quarterly Assessment (Att. 4</w:t>
            </w:r>
            <w:r w:rsidR="00FF729A">
              <w:rPr>
                <w:szCs w:val="24"/>
              </w:rPr>
              <w:t>c</w:t>
            </w:r>
            <w:r w:rsidRPr="00AF06FC">
              <w:rPr>
                <w:szCs w:val="24"/>
              </w:rPr>
              <w:t>)</w:t>
            </w:r>
          </w:p>
        </w:tc>
        <w:tc>
          <w:tcPr>
            <w:tcW w:w="1620" w:type="dxa"/>
            <w:tcBorders>
              <w:top w:val="single" w:sz="2" w:space="0" w:color="000000"/>
              <w:left w:val="single" w:sz="2" w:space="0" w:color="000000"/>
              <w:bottom w:val="single" w:sz="4" w:space="0" w:color="auto"/>
              <w:right w:val="nil"/>
            </w:tcBorders>
            <w:vAlign w:val="center"/>
          </w:tcPr>
          <w:p w:rsidR="0045533D" w:rsidRPr="00AF06FC" w:rsidP="0045533D" w14:paraId="2DABDC97" w14:textId="52B8DE99">
            <w:pPr>
              <w:jc w:val="center"/>
              <w:rPr>
                <w:szCs w:val="24"/>
              </w:rPr>
            </w:pPr>
            <w:r>
              <w:rPr>
                <w:szCs w:val="24"/>
              </w:rPr>
              <w:t>850</w:t>
            </w:r>
          </w:p>
        </w:tc>
        <w:tc>
          <w:tcPr>
            <w:tcW w:w="1530" w:type="dxa"/>
            <w:tcBorders>
              <w:top w:val="single" w:sz="2" w:space="0" w:color="000000"/>
              <w:left w:val="single" w:sz="2" w:space="0" w:color="000000"/>
              <w:bottom w:val="single" w:sz="4" w:space="0" w:color="auto"/>
              <w:right w:val="nil"/>
            </w:tcBorders>
            <w:vAlign w:val="center"/>
          </w:tcPr>
          <w:p w:rsidR="0045533D" w:rsidRPr="00AF06FC" w:rsidP="0045533D" w14:paraId="353A5A08" w14:textId="27479EFE">
            <w:pPr>
              <w:ind w:right="-39"/>
              <w:jc w:val="center"/>
              <w:rPr>
                <w:szCs w:val="24"/>
              </w:rPr>
            </w:pPr>
            <w:r w:rsidRPr="00AF06FC">
              <w:rPr>
                <w:szCs w:val="24"/>
              </w:rPr>
              <w:t>4</w:t>
            </w:r>
          </w:p>
        </w:tc>
        <w:tc>
          <w:tcPr>
            <w:tcW w:w="1710" w:type="dxa"/>
            <w:tcBorders>
              <w:top w:val="single" w:sz="2" w:space="0" w:color="000000"/>
              <w:left w:val="single" w:sz="2" w:space="0" w:color="000000"/>
              <w:bottom w:val="single" w:sz="4" w:space="0" w:color="auto"/>
              <w:right w:val="single" w:sz="2" w:space="0" w:color="000000"/>
            </w:tcBorders>
            <w:vAlign w:val="center"/>
          </w:tcPr>
          <w:p w:rsidR="0045533D" w:rsidRPr="00AF06FC" w:rsidP="0045533D" w14:paraId="1A9CC232" w14:textId="71336496">
            <w:pPr>
              <w:ind w:right="-39"/>
              <w:jc w:val="center"/>
              <w:rPr>
                <w:szCs w:val="24"/>
              </w:rPr>
            </w:pPr>
            <w:r w:rsidRPr="00AF06FC">
              <w:rPr>
                <w:szCs w:val="24"/>
              </w:rPr>
              <w:t>45/60</w:t>
            </w:r>
          </w:p>
        </w:tc>
        <w:tc>
          <w:tcPr>
            <w:tcW w:w="1080" w:type="dxa"/>
            <w:tcBorders>
              <w:top w:val="single" w:sz="2" w:space="0" w:color="000000"/>
              <w:left w:val="single" w:sz="2" w:space="0" w:color="000000"/>
              <w:bottom w:val="single" w:sz="4" w:space="0" w:color="auto"/>
              <w:right w:val="single" w:sz="2" w:space="0" w:color="000000"/>
            </w:tcBorders>
            <w:vAlign w:val="center"/>
          </w:tcPr>
          <w:p w:rsidR="0045533D" w:rsidRPr="00AF06FC" w:rsidP="00624D81" w14:paraId="0AD2B11D" w14:textId="5D93D2DA">
            <w:pPr>
              <w:jc w:val="center"/>
              <w:rPr>
                <w:szCs w:val="24"/>
              </w:rPr>
            </w:pPr>
            <w:r>
              <w:rPr>
                <w:szCs w:val="24"/>
              </w:rPr>
              <w:t>2550</w:t>
            </w:r>
          </w:p>
        </w:tc>
      </w:tr>
      <w:tr w14:paraId="77DC9DCE" w14:textId="77777777" w:rsidTr="001D5CFF">
        <w:tblPrEx>
          <w:tblW w:w="9447" w:type="dxa"/>
          <w:tblLayout w:type="fixed"/>
          <w:tblCellMar>
            <w:left w:w="129" w:type="dxa"/>
            <w:right w:w="129" w:type="dxa"/>
          </w:tblCellMar>
          <w:tblLook w:val="0000"/>
        </w:tblPrEx>
        <w:trPr>
          <w:trHeight w:val="512"/>
        </w:trPr>
        <w:tc>
          <w:tcPr>
            <w:tcW w:w="1527" w:type="dxa"/>
            <w:tcBorders>
              <w:top w:val="single" w:sz="2" w:space="0" w:color="000000"/>
              <w:left w:val="single" w:sz="2" w:space="0" w:color="000000"/>
              <w:bottom w:val="single" w:sz="4" w:space="0" w:color="auto"/>
              <w:right w:val="nil"/>
            </w:tcBorders>
          </w:tcPr>
          <w:p w:rsidR="0045533D" w:rsidRPr="00AF06FC" w:rsidP="0045533D" w14:paraId="136596A9" w14:textId="77777777">
            <w:pPr>
              <w:jc w:val="both"/>
              <w:rPr>
                <w:szCs w:val="24"/>
              </w:rPr>
            </w:pPr>
            <w:r w:rsidRPr="00AF06FC">
              <w:rPr>
                <w:szCs w:val="24"/>
              </w:rPr>
              <w:t>General Public- Adults</w:t>
            </w:r>
          </w:p>
        </w:tc>
        <w:tc>
          <w:tcPr>
            <w:tcW w:w="1980" w:type="dxa"/>
            <w:tcBorders>
              <w:top w:val="single" w:sz="2" w:space="0" w:color="000000"/>
              <w:left w:val="single" w:sz="2" w:space="0" w:color="000000"/>
              <w:bottom w:val="single" w:sz="2" w:space="0" w:color="000000"/>
              <w:right w:val="nil"/>
            </w:tcBorders>
            <w:vAlign w:val="center"/>
          </w:tcPr>
          <w:p w:rsidR="0045533D" w:rsidRPr="00AF06FC" w:rsidP="0045533D" w14:paraId="3B51949B" w14:textId="49D1C22E">
            <w:pPr>
              <w:ind w:left="-39" w:right="51"/>
              <w:rPr>
                <w:szCs w:val="24"/>
              </w:rPr>
            </w:pPr>
            <w:r w:rsidRPr="00AF06FC">
              <w:rPr>
                <w:szCs w:val="24"/>
              </w:rPr>
              <w:t>SMaRT</w:t>
            </w:r>
            <w:r w:rsidRPr="00AF06FC">
              <w:rPr>
                <w:szCs w:val="24"/>
              </w:rPr>
              <w:t xml:space="preserve"> app install (Att. 4</w:t>
            </w:r>
            <w:r w:rsidR="00FF729A">
              <w:rPr>
                <w:szCs w:val="24"/>
              </w:rPr>
              <w:t>d</w:t>
            </w:r>
            <w:r w:rsidRPr="00AF06FC">
              <w:rPr>
                <w:szCs w:val="24"/>
              </w:rPr>
              <w:t>)</w:t>
            </w:r>
          </w:p>
        </w:tc>
        <w:tc>
          <w:tcPr>
            <w:tcW w:w="1620" w:type="dxa"/>
            <w:tcBorders>
              <w:top w:val="single" w:sz="2" w:space="0" w:color="000000"/>
              <w:left w:val="single" w:sz="2" w:space="0" w:color="000000"/>
              <w:bottom w:val="single" w:sz="2" w:space="0" w:color="000000"/>
              <w:right w:val="nil"/>
            </w:tcBorders>
            <w:vAlign w:val="center"/>
          </w:tcPr>
          <w:p w:rsidR="0045533D" w:rsidRPr="00AF06FC" w:rsidP="0045533D" w14:paraId="43BED586" w14:textId="4F9A3CAF">
            <w:pPr>
              <w:jc w:val="center"/>
              <w:rPr>
                <w:szCs w:val="24"/>
              </w:rPr>
            </w:pPr>
            <w:r w:rsidRPr="00AF06FC">
              <w:rPr>
                <w:szCs w:val="24"/>
              </w:rPr>
              <w:t>425</w:t>
            </w:r>
          </w:p>
        </w:tc>
        <w:tc>
          <w:tcPr>
            <w:tcW w:w="1530" w:type="dxa"/>
            <w:tcBorders>
              <w:top w:val="single" w:sz="2" w:space="0" w:color="000000"/>
              <w:left w:val="single" w:sz="2" w:space="0" w:color="000000"/>
              <w:bottom w:val="single" w:sz="2" w:space="0" w:color="000000"/>
              <w:right w:val="nil"/>
            </w:tcBorders>
            <w:vAlign w:val="center"/>
          </w:tcPr>
          <w:p w:rsidR="0045533D" w:rsidRPr="00AF06FC" w:rsidP="0045533D" w14:paraId="0B126002" w14:textId="77777777">
            <w:pPr>
              <w:ind w:right="-39"/>
              <w:jc w:val="center"/>
              <w:rPr>
                <w:szCs w:val="24"/>
              </w:rPr>
            </w:pPr>
            <w:r w:rsidRPr="00AF06FC">
              <w:rPr>
                <w:szCs w:val="24"/>
              </w:rPr>
              <w:t>1</w:t>
            </w:r>
          </w:p>
        </w:tc>
        <w:tc>
          <w:tcPr>
            <w:tcW w:w="1710" w:type="dxa"/>
            <w:tcBorders>
              <w:top w:val="single" w:sz="2" w:space="0" w:color="000000"/>
              <w:left w:val="single" w:sz="2" w:space="0" w:color="000000"/>
              <w:bottom w:val="single" w:sz="2" w:space="0" w:color="000000"/>
              <w:right w:val="single" w:sz="2" w:space="0" w:color="000000"/>
            </w:tcBorders>
            <w:vAlign w:val="center"/>
          </w:tcPr>
          <w:p w:rsidR="0045533D" w:rsidRPr="00AF06FC" w:rsidP="0045533D" w14:paraId="5AF9D689" w14:textId="5D935A85">
            <w:pPr>
              <w:ind w:right="-39"/>
              <w:jc w:val="center"/>
              <w:rPr>
                <w:szCs w:val="24"/>
              </w:rPr>
            </w:pPr>
            <w:r>
              <w:rPr>
                <w:szCs w:val="24"/>
              </w:rPr>
              <w:t>10</w:t>
            </w:r>
            <w:r w:rsidRPr="00AF06FC">
              <w:rPr>
                <w:szCs w:val="24"/>
              </w:rPr>
              <w:t>/60</w:t>
            </w:r>
          </w:p>
        </w:tc>
        <w:tc>
          <w:tcPr>
            <w:tcW w:w="1080" w:type="dxa"/>
            <w:tcBorders>
              <w:top w:val="single" w:sz="2" w:space="0" w:color="000000"/>
              <w:left w:val="single" w:sz="2" w:space="0" w:color="000000"/>
              <w:bottom w:val="single" w:sz="2" w:space="0" w:color="000000"/>
              <w:right w:val="single" w:sz="2" w:space="0" w:color="000000"/>
            </w:tcBorders>
            <w:vAlign w:val="center"/>
          </w:tcPr>
          <w:p w:rsidR="0045533D" w:rsidRPr="00AF06FC" w:rsidP="00624D81" w14:paraId="3DA82D3F" w14:textId="57D0DF4F">
            <w:pPr>
              <w:jc w:val="center"/>
              <w:rPr>
                <w:szCs w:val="24"/>
              </w:rPr>
            </w:pPr>
            <w:r>
              <w:rPr>
                <w:szCs w:val="24"/>
              </w:rPr>
              <w:t>71</w:t>
            </w:r>
          </w:p>
        </w:tc>
      </w:tr>
      <w:tr w14:paraId="12E9BD02" w14:textId="77777777" w:rsidTr="001D5CFF">
        <w:tblPrEx>
          <w:tblW w:w="9447" w:type="dxa"/>
          <w:tblLayout w:type="fixed"/>
          <w:tblCellMar>
            <w:left w:w="129" w:type="dxa"/>
            <w:right w:w="129" w:type="dxa"/>
          </w:tblCellMar>
          <w:tblLook w:val="0000"/>
        </w:tblPrEx>
        <w:trPr>
          <w:trHeight w:val="512"/>
        </w:trPr>
        <w:tc>
          <w:tcPr>
            <w:tcW w:w="1527" w:type="dxa"/>
            <w:tcBorders>
              <w:top w:val="single" w:sz="2" w:space="0" w:color="000000"/>
              <w:left w:val="single" w:sz="2" w:space="0" w:color="000000"/>
              <w:bottom w:val="single" w:sz="4" w:space="0" w:color="auto"/>
              <w:right w:val="nil"/>
            </w:tcBorders>
          </w:tcPr>
          <w:p w:rsidR="0045533D" w:rsidRPr="00AF06FC" w:rsidP="0045533D" w14:paraId="16C2F23E" w14:textId="35940F8C">
            <w:pPr>
              <w:jc w:val="both"/>
              <w:rPr>
                <w:szCs w:val="24"/>
              </w:rPr>
            </w:pPr>
            <w:r w:rsidRPr="00AF06FC">
              <w:rPr>
                <w:szCs w:val="24"/>
              </w:rPr>
              <w:t>General Public- Adults</w:t>
            </w:r>
          </w:p>
        </w:tc>
        <w:tc>
          <w:tcPr>
            <w:tcW w:w="1980" w:type="dxa"/>
            <w:tcBorders>
              <w:top w:val="single" w:sz="2" w:space="0" w:color="000000"/>
              <w:left w:val="single" w:sz="2" w:space="0" w:color="000000"/>
              <w:bottom w:val="single" w:sz="2" w:space="0" w:color="000000"/>
              <w:right w:val="nil"/>
            </w:tcBorders>
            <w:vAlign w:val="center"/>
          </w:tcPr>
          <w:p w:rsidR="0045533D" w:rsidRPr="00AF06FC" w:rsidP="0045533D" w14:paraId="4FD3E800" w14:textId="729D90A4">
            <w:pPr>
              <w:ind w:left="-39" w:right="51"/>
              <w:rPr>
                <w:szCs w:val="24"/>
              </w:rPr>
            </w:pPr>
            <w:r w:rsidRPr="00AF06FC">
              <w:rPr>
                <w:szCs w:val="24"/>
              </w:rPr>
              <w:t>HIV sample collection (Att. 4</w:t>
            </w:r>
            <w:r w:rsidR="00FF729A">
              <w:rPr>
                <w:szCs w:val="24"/>
              </w:rPr>
              <w:t>e</w:t>
            </w:r>
            <w:r w:rsidRPr="00AF06FC">
              <w:rPr>
                <w:szCs w:val="24"/>
              </w:rPr>
              <w:t>)</w:t>
            </w:r>
          </w:p>
        </w:tc>
        <w:tc>
          <w:tcPr>
            <w:tcW w:w="1620" w:type="dxa"/>
            <w:tcBorders>
              <w:top w:val="single" w:sz="2" w:space="0" w:color="000000"/>
              <w:left w:val="single" w:sz="2" w:space="0" w:color="000000"/>
              <w:bottom w:val="single" w:sz="2" w:space="0" w:color="000000"/>
              <w:right w:val="nil"/>
            </w:tcBorders>
            <w:vAlign w:val="center"/>
          </w:tcPr>
          <w:p w:rsidR="0045533D" w:rsidRPr="00AF06FC" w:rsidP="0045533D" w14:paraId="0F7819AD" w14:textId="44DB6C3C">
            <w:pPr>
              <w:jc w:val="center"/>
              <w:rPr>
                <w:szCs w:val="24"/>
              </w:rPr>
            </w:pPr>
            <w:r>
              <w:rPr>
                <w:szCs w:val="24"/>
              </w:rPr>
              <w:t>850</w:t>
            </w:r>
          </w:p>
        </w:tc>
        <w:tc>
          <w:tcPr>
            <w:tcW w:w="1530" w:type="dxa"/>
            <w:tcBorders>
              <w:top w:val="single" w:sz="2" w:space="0" w:color="000000"/>
              <w:left w:val="single" w:sz="2" w:space="0" w:color="000000"/>
              <w:bottom w:val="single" w:sz="2" w:space="0" w:color="000000"/>
              <w:right w:val="nil"/>
            </w:tcBorders>
            <w:vAlign w:val="center"/>
          </w:tcPr>
          <w:p w:rsidR="0045533D" w:rsidRPr="00AF06FC" w:rsidP="0045533D" w14:paraId="0D7DB4E1" w14:textId="01AB3AB0">
            <w:pPr>
              <w:ind w:right="-39"/>
              <w:jc w:val="center"/>
              <w:rPr>
                <w:szCs w:val="24"/>
              </w:rPr>
            </w:pPr>
            <w:r w:rsidRPr="00AF06FC">
              <w:rPr>
                <w:szCs w:val="24"/>
              </w:rPr>
              <w:t>2</w:t>
            </w:r>
          </w:p>
        </w:tc>
        <w:tc>
          <w:tcPr>
            <w:tcW w:w="1710" w:type="dxa"/>
            <w:tcBorders>
              <w:top w:val="single" w:sz="2" w:space="0" w:color="000000"/>
              <w:left w:val="single" w:sz="2" w:space="0" w:color="000000"/>
              <w:bottom w:val="single" w:sz="2" w:space="0" w:color="000000"/>
              <w:right w:val="single" w:sz="2" w:space="0" w:color="000000"/>
            </w:tcBorders>
            <w:vAlign w:val="center"/>
          </w:tcPr>
          <w:p w:rsidR="0045533D" w:rsidRPr="00AF06FC" w:rsidP="0045533D" w14:paraId="2A90C39A" w14:textId="1B578BC4">
            <w:pPr>
              <w:ind w:right="-39"/>
              <w:jc w:val="center"/>
              <w:rPr>
                <w:szCs w:val="24"/>
              </w:rPr>
            </w:pPr>
            <w:r>
              <w:rPr>
                <w:szCs w:val="24"/>
              </w:rPr>
              <w:t>20</w:t>
            </w:r>
            <w:r w:rsidRPr="00AF06FC">
              <w:rPr>
                <w:szCs w:val="24"/>
              </w:rPr>
              <w:t>/60</w:t>
            </w:r>
          </w:p>
        </w:tc>
        <w:tc>
          <w:tcPr>
            <w:tcW w:w="1080" w:type="dxa"/>
            <w:tcBorders>
              <w:top w:val="single" w:sz="2" w:space="0" w:color="000000"/>
              <w:left w:val="single" w:sz="2" w:space="0" w:color="000000"/>
              <w:bottom w:val="single" w:sz="2" w:space="0" w:color="000000"/>
              <w:right w:val="single" w:sz="2" w:space="0" w:color="000000"/>
            </w:tcBorders>
            <w:vAlign w:val="center"/>
          </w:tcPr>
          <w:p w:rsidR="0045533D" w:rsidRPr="00AF06FC" w:rsidP="00624D81" w14:paraId="0EACB6B3" w14:textId="0288B4DD">
            <w:pPr>
              <w:jc w:val="center"/>
              <w:rPr>
                <w:szCs w:val="24"/>
              </w:rPr>
            </w:pPr>
            <w:r>
              <w:rPr>
                <w:szCs w:val="24"/>
              </w:rPr>
              <w:t>567</w:t>
            </w:r>
          </w:p>
        </w:tc>
      </w:tr>
      <w:tr w14:paraId="46D6945A" w14:textId="77777777" w:rsidTr="001D5CFF">
        <w:tblPrEx>
          <w:tblW w:w="9447" w:type="dxa"/>
          <w:tblLayout w:type="fixed"/>
          <w:tblCellMar>
            <w:left w:w="129" w:type="dxa"/>
            <w:right w:w="129" w:type="dxa"/>
          </w:tblCellMar>
          <w:tblLook w:val="0000"/>
        </w:tblPrEx>
        <w:trPr>
          <w:trHeight w:val="512"/>
        </w:trPr>
        <w:tc>
          <w:tcPr>
            <w:tcW w:w="1527" w:type="dxa"/>
            <w:tcBorders>
              <w:top w:val="single" w:sz="2" w:space="0" w:color="000000"/>
              <w:left w:val="single" w:sz="2" w:space="0" w:color="000000"/>
              <w:bottom w:val="single" w:sz="4" w:space="0" w:color="auto"/>
              <w:right w:val="nil"/>
            </w:tcBorders>
          </w:tcPr>
          <w:p w:rsidR="0045533D" w:rsidRPr="00AF06FC" w:rsidP="0045533D" w14:paraId="2E22337D" w14:textId="4E2E029A">
            <w:pPr>
              <w:jc w:val="both"/>
              <w:rPr>
                <w:szCs w:val="24"/>
              </w:rPr>
            </w:pPr>
            <w:r w:rsidRPr="00AF06FC">
              <w:rPr>
                <w:szCs w:val="24"/>
              </w:rPr>
              <w:t>General Public- Adults</w:t>
            </w:r>
          </w:p>
        </w:tc>
        <w:tc>
          <w:tcPr>
            <w:tcW w:w="1980" w:type="dxa"/>
            <w:tcBorders>
              <w:top w:val="single" w:sz="2" w:space="0" w:color="000000"/>
              <w:left w:val="single" w:sz="2" w:space="0" w:color="000000"/>
              <w:bottom w:val="single" w:sz="2" w:space="0" w:color="000000"/>
              <w:right w:val="nil"/>
            </w:tcBorders>
            <w:vAlign w:val="center"/>
          </w:tcPr>
          <w:p w:rsidR="0045533D" w:rsidRPr="00AF06FC" w:rsidP="0045533D" w14:paraId="711E0911" w14:textId="506D0E39">
            <w:pPr>
              <w:ind w:left="-39" w:right="51"/>
              <w:rPr>
                <w:szCs w:val="24"/>
              </w:rPr>
            </w:pPr>
            <w:r w:rsidRPr="00AF06FC">
              <w:rPr>
                <w:szCs w:val="24"/>
              </w:rPr>
              <w:t>STI sample collection (Att. 4</w:t>
            </w:r>
            <w:r w:rsidR="00FF729A">
              <w:rPr>
                <w:szCs w:val="24"/>
              </w:rPr>
              <w:t>f</w:t>
            </w:r>
            <w:r w:rsidRPr="00AF06FC">
              <w:rPr>
                <w:szCs w:val="24"/>
              </w:rPr>
              <w:t>)</w:t>
            </w:r>
          </w:p>
        </w:tc>
        <w:tc>
          <w:tcPr>
            <w:tcW w:w="1620" w:type="dxa"/>
            <w:tcBorders>
              <w:top w:val="single" w:sz="2" w:space="0" w:color="000000"/>
              <w:left w:val="single" w:sz="2" w:space="0" w:color="000000"/>
              <w:bottom w:val="single" w:sz="2" w:space="0" w:color="000000"/>
              <w:right w:val="nil"/>
            </w:tcBorders>
            <w:vAlign w:val="center"/>
          </w:tcPr>
          <w:p w:rsidR="0045533D" w:rsidRPr="00AF06FC" w:rsidP="004A3DC2" w14:paraId="284EB608" w14:textId="2C7BD301">
            <w:pPr>
              <w:jc w:val="center"/>
              <w:rPr>
                <w:szCs w:val="24"/>
              </w:rPr>
            </w:pPr>
            <w:r>
              <w:rPr>
                <w:szCs w:val="24"/>
              </w:rPr>
              <w:t>850</w:t>
            </w:r>
          </w:p>
        </w:tc>
        <w:tc>
          <w:tcPr>
            <w:tcW w:w="1530" w:type="dxa"/>
            <w:tcBorders>
              <w:top w:val="single" w:sz="2" w:space="0" w:color="000000"/>
              <w:left w:val="single" w:sz="2" w:space="0" w:color="000000"/>
              <w:bottom w:val="single" w:sz="2" w:space="0" w:color="000000"/>
              <w:right w:val="nil"/>
            </w:tcBorders>
            <w:vAlign w:val="center"/>
          </w:tcPr>
          <w:p w:rsidR="0045533D" w:rsidRPr="00AF06FC" w:rsidP="0045533D" w14:paraId="6EAA1743" w14:textId="20F71F32">
            <w:pPr>
              <w:ind w:right="-39"/>
              <w:jc w:val="center"/>
              <w:rPr>
                <w:szCs w:val="24"/>
              </w:rPr>
            </w:pPr>
            <w:r w:rsidRPr="00AF06FC">
              <w:rPr>
                <w:szCs w:val="24"/>
              </w:rPr>
              <w:t>2</w:t>
            </w:r>
          </w:p>
        </w:tc>
        <w:tc>
          <w:tcPr>
            <w:tcW w:w="1710" w:type="dxa"/>
            <w:tcBorders>
              <w:top w:val="single" w:sz="2" w:space="0" w:color="000000"/>
              <w:left w:val="single" w:sz="2" w:space="0" w:color="000000"/>
              <w:bottom w:val="single" w:sz="2" w:space="0" w:color="000000"/>
              <w:right w:val="single" w:sz="2" w:space="0" w:color="000000"/>
            </w:tcBorders>
            <w:vAlign w:val="center"/>
          </w:tcPr>
          <w:p w:rsidR="0045533D" w:rsidRPr="00AF06FC" w:rsidP="0045533D" w14:paraId="0E4B54B0" w14:textId="0A5177A7">
            <w:pPr>
              <w:ind w:right="-39"/>
              <w:jc w:val="center"/>
              <w:rPr>
                <w:szCs w:val="24"/>
              </w:rPr>
            </w:pPr>
            <w:r w:rsidRPr="00AF06FC">
              <w:rPr>
                <w:szCs w:val="24"/>
              </w:rPr>
              <w:t>30/60</w:t>
            </w:r>
          </w:p>
        </w:tc>
        <w:tc>
          <w:tcPr>
            <w:tcW w:w="1080" w:type="dxa"/>
            <w:tcBorders>
              <w:top w:val="single" w:sz="2" w:space="0" w:color="000000"/>
              <w:left w:val="single" w:sz="2" w:space="0" w:color="000000"/>
              <w:bottom w:val="single" w:sz="2" w:space="0" w:color="000000"/>
              <w:right w:val="single" w:sz="2" w:space="0" w:color="000000"/>
            </w:tcBorders>
            <w:vAlign w:val="center"/>
          </w:tcPr>
          <w:p w:rsidR="0045533D" w:rsidRPr="00AF06FC" w:rsidP="00624D81" w14:paraId="7AFC946A" w14:textId="7AA9AC48">
            <w:pPr>
              <w:jc w:val="center"/>
              <w:rPr>
                <w:szCs w:val="24"/>
              </w:rPr>
            </w:pPr>
            <w:r>
              <w:rPr>
                <w:szCs w:val="24"/>
              </w:rPr>
              <w:t>850</w:t>
            </w:r>
          </w:p>
        </w:tc>
      </w:tr>
      <w:tr w14:paraId="48E2C16E" w14:textId="77777777" w:rsidTr="001D5CFF">
        <w:tblPrEx>
          <w:tblW w:w="9447" w:type="dxa"/>
          <w:tblLayout w:type="fixed"/>
          <w:tblCellMar>
            <w:left w:w="129" w:type="dxa"/>
            <w:right w:w="129" w:type="dxa"/>
          </w:tblCellMar>
          <w:tblLook w:val="0000"/>
        </w:tblPrEx>
        <w:trPr>
          <w:trHeight w:val="512"/>
        </w:trPr>
        <w:tc>
          <w:tcPr>
            <w:tcW w:w="1527" w:type="dxa"/>
            <w:tcBorders>
              <w:top w:val="single" w:sz="2" w:space="0" w:color="000000"/>
              <w:left w:val="single" w:sz="2" w:space="0" w:color="000000"/>
              <w:bottom w:val="single" w:sz="4" w:space="0" w:color="auto"/>
              <w:right w:val="nil"/>
            </w:tcBorders>
          </w:tcPr>
          <w:p w:rsidR="0045533D" w:rsidRPr="00AF06FC" w:rsidP="0045533D" w14:paraId="0827067D" w14:textId="56269D71">
            <w:pPr>
              <w:jc w:val="both"/>
              <w:rPr>
                <w:szCs w:val="24"/>
              </w:rPr>
            </w:pPr>
            <w:r w:rsidRPr="00AF06FC">
              <w:rPr>
                <w:szCs w:val="24"/>
              </w:rPr>
              <w:t>General Public- Adults</w:t>
            </w:r>
          </w:p>
        </w:tc>
        <w:tc>
          <w:tcPr>
            <w:tcW w:w="1980" w:type="dxa"/>
            <w:tcBorders>
              <w:top w:val="single" w:sz="2" w:space="0" w:color="000000"/>
              <w:left w:val="single" w:sz="2" w:space="0" w:color="000000"/>
              <w:bottom w:val="single" w:sz="2" w:space="0" w:color="000000"/>
              <w:right w:val="nil"/>
            </w:tcBorders>
            <w:vAlign w:val="center"/>
          </w:tcPr>
          <w:p w:rsidR="0045533D" w:rsidRPr="00AF06FC" w:rsidP="0045533D" w14:paraId="5C309A43" w14:textId="06156F9E">
            <w:pPr>
              <w:ind w:left="-39" w:right="51"/>
              <w:rPr>
                <w:szCs w:val="24"/>
              </w:rPr>
            </w:pPr>
            <w:r w:rsidRPr="00AF06FC">
              <w:rPr>
                <w:szCs w:val="24"/>
              </w:rPr>
              <w:t>Focus Group Guide (Att. 4</w:t>
            </w:r>
            <w:r w:rsidR="00FF729A">
              <w:rPr>
                <w:szCs w:val="24"/>
              </w:rPr>
              <w:t>g</w:t>
            </w:r>
            <w:r w:rsidRPr="00AF06FC">
              <w:rPr>
                <w:szCs w:val="24"/>
              </w:rPr>
              <w:t>)</w:t>
            </w:r>
          </w:p>
        </w:tc>
        <w:tc>
          <w:tcPr>
            <w:tcW w:w="1620" w:type="dxa"/>
            <w:tcBorders>
              <w:top w:val="single" w:sz="2" w:space="0" w:color="000000"/>
              <w:left w:val="single" w:sz="2" w:space="0" w:color="000000"/>
              <w:bottom w:val="single" w:sz="2" w:space="0" w:color="000000"/>
              <w:right w:val="nil"/>
            </w:tcBorders>
            <w:vAlign w:val="center"/>
          </w:tcPr>
          <w:p w:rsidR="0045533D" w:rsidRPr="00AF06FC" w:rsidP="0045533D" w14:paraId="4F9AE6AA" w14:textId="37E2E1B6">
            <w:pPr>
              <w:jc w:val="center"/>
              <w:rPr>
                <w:szCs w:val="24"/>
              </w:rPr>
            </w:pPr>
            <w:r>
              <w:rPr>
                <w:szCs w:val="24"/>
              </w:rPr>
              <w:t>48</w:t>
            </w:r>
          </w:p>
        </w:tc>
        <w:tc>
          <w:tcPr>
            <w:tcW w:w="1530" w:type="dxa"/>
            <w:tcBorders>
              <w:top w:val="single" w:sz="2" w:space="0" w:color="000000"/>
              <w:left w:val="single" w:sz="2" w:space="0" w:color="000000"/>
              <w:bottom w:val="single" w:sz="2" w:space="0" w:color="000000"/>
              <w:right w:val="nil"/>
            </w:tcBorders>
            <w:vAlign w:val="center"/>
          </w:tcPr>
          <w:p w:rsidR="0045533D" w:rsidRPr="00AF06FC" w:rsidP="0045533D" w14:paraId="048FD7EF" w14:textId="43748FEB">
            <w:pPr>
              <w:ind w:right="-39"/>
              <w:jc w:val="center"/>
              <w:rPr>
                <w:szCs w:val="24"/>
              </w:rPr>
            </w:pPr>
            <w:r w:rsidRPr="00AF06FC">
              <w:rPr>
                <w:szCs w:val="24"/>
              </w:rPr>
              <w:t>1</w:t>
            </w:r>
          </w:p>
        </w:tc>
        <w:tc>
          <w:tcPr>
            <w:tcW w:w="1710" w:type="dxa"/>
            <w:tcBorders>
              <w:top w:val="single" w:sz="2" w:space="0" w:color="000000"/>
              <w:left w:val="single" w:sz="2" w:space="0" w:color="000000"/>
              <w:bottom w:val="single" w:sz="2" w:space="0" w:color="000000"/>
              <w:right w:val="single" w:sz="2" w:space="0" w:color="000000"/>
            </w:tcBorders>
            <w:vAlign w:val="center"/>
          </w:tcPr>
          <w:p w:rsidR="0045533D" w:rsidRPr="00AF06FC" w:rsidP="0045533D" w14:paraId="1D5BACF0" w14:textId="002EF860">
            <w:pPr>
              <w:ind w:right="-39"/>
              <w:jc w:val="center"/>
              <w:rPr>
                <w:szCs w:val="24"/>
              </w:rPr>
            </w:pPr>
            <w:r w:rsidRPr="00AF06FC">
              <w:rPr>
                <w:szCs w:val="24"/>
              </w:rPr>
              <w:t>90/60</w:t>
            </w:r>
          </w:p>
        </w:tc>
        <w:tc>
          <w:tcPr>
            <w:tcW w:w="1080" w:type="dxa"/>
            <w:tcBorders>
              <w:top w:val="single" w:sz="2" w:space="0" w:color="000000"/>
              <w:left w:val="single" w:sz="2" w:space="0" w:color="000000"/>
              <w:bottom w:val="single" w:sz="2" w:space="0" w:color="000000"/>
              <w:right w:val="single" w:sz="2" w:space="0" w:color="000000"/>
            </w:tcBorders>
            <w:vAlign w:val="center"/>
          </w:tcPr>
          <w:p w:rsidR="0045533D" w:rsidRPr="00AF06FC" w:rsidP="00624D81" w14:paraId="6106471B" w14:textId="782C98D2">
            <w:pPr>
              <w:jc w:val="center"/>
              <w:rPr>
                <w:szCs w:val="24"/>
              </w:rPr>
            </w:pPr>
            <w:r>
              <w:rPr>
                <w:szCs w:val="24"/>
              </w:rPr>
              <w:t>72</w:t>
            </w:r>
          </w:p>
        </w:tc>
      </w:tr>
      <w:tr w14:paraId="080A9DCA" w14:textId="77777777" w:rsidTr="001D5CFF">
        <w:tblPrEx>
          <w:tblW w:w="9447" w:type="dxa"/>
          <w:tblLayout w:type="fixed"/>
          <w:tblCellMar>
            <w:left w:w="129" w:type="dxa"/>
            <w:right w:w="129" w:type="dxa"/>
          </w:tblCellMar>
          <w:tblLook w:val="0000"/>
        </w:tblPrEx>
        <w:trPr>
          <w:trHeight w:val="512"/>
        </w:trPr>
        <w:tc>
          <w:tcPr>
            <w:tcW w:w="1527" w:type="dxa"/>
            <w:tcBorders>
              <w:top w:val="single" w:sz="2" w:space="0" w:color="000000"/>
              <w:left w:val="single" w:sz="2" w:space="0" w:color="000000"/>
              <w:bottom w:val="single" w:sz="4" w:space="0" w:color="auto"/>
              <w:right w:val="nil"/>
            </w:tcBorders>
          </w:tcPr>
          <w:p w:rsidR="0045533D" w:rsidRPr="00AF06FC" w:rsidP="0045533D" w14:paraId="4B673CCA" w14:textId="2272ED8A">
            <w:pPr>
              <w:jc w:val="both"/>
              <w:rPr>
                <w:szCs w:val="24"/>
              </w:rPr>
            </w:pPr>
            <w:r w:rsidRPr="00AF06FC">
              <w:rPr>
                <w:szCs w:val="24"/>
              </w:rPr>
              <w:t>General Public- Adults</w:t>
            </w:r>
          </w:p>
        </w:tc>
        <w:tc>
          <w:tcPr>
            <w:tcW w:w="1980" w:type="dxa"/>
            <w:tcBorders>
              <w:top w:val="single" w:sz="2" w:space="0" w:color="000000"/>
              <w:left w:val="single" w:sz="2" w:space="0" w:color="000000"/>
              <w:bottom w:val="single" w:sz="2" w:space="0" w:color="000000"/>
              <w:right w:val="nil"/>
            </w:tcBorders>
            <w:vAlign w:val="center"/>
          </w:tcPr>
          <w:p w:rsidR="0045533D" w:rsidRPr="00AF06FC" w:rsidP="0045533D" w14:paraId="5293E334" w14:textId="161B0FCA">
            <w:pPr>
              <w:ind w:left="-39" w:right="51"/>
              <w:rPr>
                <w:szCs w:val="24"/>
              </w:rPr>
            </w:pPr>
            <w:r w:rsidRPr="00AF06FC">
              <w:rPr>
                <w:szCs w:val="24"/>
              </w:rPr>
              <w:t>In-Depth Interview (Att. 4</w:t>
            </w:r>
            <w:r w:rsidR="00FF729A">
              <w:rPr>
                <w:szCs w:val="24"/>
              </w:rPr>
              <w:t>h</w:t>
            </w:r>
            <w:r w:rsidRPr="00AF06FC">
              <w:rPr>
                <w:szCs w:val="24"/>
              </w:rPr>
              <w:t>)</w:t>
            </w:r>
          </w:p>
        </w:tc>
        <w:tc>
          <w:tcPr>
            <w:tcW w:w="1620" w:type="dxa"/>
            <w:tcBorders>
              <w:top w:val="single" w:sz="2" w:space="0" w:color="000000"/>
              <w:left w:val="single" w:sz="2" w:space="0" w:color="000000"/>
              <w:bottom w:val="single" w:sz="2" w:space="0" w:color="000000"/>
              <w:right w:val="nil"/>
            </w:tcBorders>
            <w:vAlign w:val="center"/>
          </w:tcPr>
          <w:p w:rsidR="0045533D" w:rsidRPr="00AF06FC" w:rsidP="0045533D" w14:paraId="0E802938" w14:textId="267056CA">
            <w:pPr>
              <w:jc w:val="center"/>
              <w:rPr>
                <w:szCs w:val="24"/>
              </w:rPr>
            </w:pPr>
            <w:r>
              <w:rPr>
                <w:szCs w:val="24"/>
              </w:rPr>
              <w:t>45</w:t>
            </w:r>
          </w:p>
        </w:tc>
        <w:tc>
          <w:tcPr>
            <w:tcW w:w="1530" w:type="dxa"/>
            <w:tcBorders>
              <w:top w:val="single" w:sz="2" w:space="0" w:color="000000"/>
              <w:left w:val="single" w:sz="2" w:space="0" w:color="000000"/>
              <w:bottom w:val="single" w:sz="2" w:space="0" w:color="000000"/>
              <w:right w:val="nil"/>
            </w:tcBorders>
            <w:vAlign w:val="center"/>
          </w:tcPr>
          <w:p w:rsidR="0045533D" w:rsidRPr="00AF06FC" w:rsidP="0045533D" w14:paraId="65BA0F53" w14:textId="200EAE3D">
            <w:pPr>
              <w:ind w:right="-39"/>
              <w:jc w:val="center"/>
              <w:rPr>
                <w:szCs w:val="24"/>
              </w:rPr>
            </w:pPr>
            <w:r>
              <w:rPr>
                <w:szCs w:val="24"/>
              </w:rPr>
              <w:t>1</w:t>
            </w:r>
          </w:p>
        </w:tc>
        <w:tc>
          <w:tcPr>
            <w:tcW w:w="1710" w:type="dxa"/>
            <w:tcBorders>
              <w:top w:val="single" w:sz="2" w:space="0" w:color="000000"/>
              <w:left w:val="single" w:sz="2" w:space="0" w:color="000000"/>
              <w:bottom w:val="single" w:sz="2" w:space="0" w:color="000000"/>
              <w:right w:val="single" w:sz="2" w:space="0" w:color="000000"/>
            </w:tcBorders>
            <w:vAlign w:val="center"/>
          </w:tcPr>
          <w:p w:rsidR="0045533D" w:rsidRPr="00AF06FC" w:rsidP="0045533D" w14:paraId="2DEAD605" w14:textId="2C2B8F71">
            <w:pPr>
              <w:ind w:right="-39"/>
              <w:jc w:val="center"/>
              <w:rPr>
                <w:szCs w:val="24"/>
              </w:rPr>
            </w:pPr>
            <w:r>
              <w:rPr>
                <w:szCs w:val="24"/>
              </w:rPr>
              <w:t>60</w:t>
            </w:r>
            <w:r w:rsidRPr="00AF06FC">
              <w:rPr>
                <w:szCs w:val="24"/>
              </w:rPr>
              <w:t>/60</w:t>
            </w:r>
          </w:p>
        </w:tc>
        <w:tc>
          <w:tcPr>
            <w:tcW w:w="1080" w:type="dxa"/>
            <w:tcBorders>
              <w:top w:val="single" w:sz="2" w:space="0" w:color="000000"/>
              <w:left w:val="single" w:sz="2" w:space="0" w:color="000000"/>
              <w:bottom w:val="single" w:sz="2" w:space="0" w:color="000000"/>
              <w:right w:val="single" w:sz="2" w:space="0" w:color="000000"/>
            </w:tcBorders>
            <w:vAlign w:val="center"/>
          </w:tcPr>
          <w:p w:rsidR="0045533D" w:rsidRPr="00AF06FC" w:rsidP="00624D81" w14:paraId="252142C1" w14:textId="615C2953">
            <w:pPr>
              <w:jc w:val="center"/>
              <w:rPr>
                <w:szCs w:val="24"/>
              </w:rPr>
            </w:pPr>
            <w:r>
              <w:rPr>
                <w:szCs w:val="24"/>
              </w:rPr>
              <w:t>45</w:t>
            </w:r>
          </w:p>
        </w:tc>
      </w:tr>
      <w:tr w14:paraId="3329DE16" w14:textId="77777777" w:rsidTr="001D5CFF">
        <w:tblPrEx>
          <w:tblW w:w="9447" w:type="dxa"/>
          <w:tblLayout w:type="fixed"/>
          <w:tblCellMar>
            <w:left w:w="129" w:type="dxa"/>
            <w:right w:w="129" w:type="dxa"/>
          </w:tblCellMar>
          <w:tblLook w:val="0000"/>
        </w:tblPrEx>
        <w:tc>
          <w:tcPr>
            <w:tcW w:w="8367" w:type="dxa"/>
            <w:gridSpan w:val="5"/>
            <w:tcBorders>
              <w:top w:val="single" w:sz="2" w:space="0" w:color="000000"/>
              <w:left w:val="single" w:sz="2" w:space="0" w:color="000000"/>
              <w:bottom w:val="single" w:sz="2" w:space="0" w:color="000000"/>
              <w:right w:val="single" w:sz="2" w:space="0" w:color="000000"/>
            </w:tcBorders>
          </w:tcPr>
          <w:p w:rsidR="00AA78EA" w:rsidRPr="00AF06FC" w:rsidP="003E3747" w14:paraId="659ED275" w14:textId="77777777">
            <w:pPr>
              <w:ind w:right="224"/>
              <w:jc w:val="right"/>
              <w:rPr>
                <w:b/>
                <w:szCs w:val="24"/>
              </w:rPr>
            </w:pPr>
            <w:r w:rsidRPr="00AF06FC">
              <w:rPr>
                <w:b/>
                <w:szCs w:val="24"/>
              </w:rPr>
              <w:t>Total</w:t>
            </w:r>
          </w:p>
        </w:tc>
        <w:tc>
          <w:tcPr>
            <w:tcW w:w="1080" w:type="dxa"/>
            <w:tcBorders>
              <w:top w:val="single" w:sz="2" w:space="0" w:color="000000"/>
              <w:left w:val="single" w:sz="2" w:space="0" w:color="000000"/>
              <w:bottom w:val="single" w:sz="2" w:space="0" w:color="000000"/>
              <w:right w:val="single" w:sz="2" w:space="0" w:color="000000"/>
            </w:tcBorders>
            <w:vAlign w:val="center"/>
          </w:tcPr>
          <w:p w:rsidR="00AA78EA" w:rsidRPr="00AF06FC" w:rsidP="003E3747" w14:paraId="18FCBEA1" w14:textId="323ADE7E">
            <w:pPr>
              <w:jc w:val="center"/>
              <w:rPr>
                <w:b/>
                <w:szCs w:val="24"/>
              </w:rPr>
            </w:pPr>
            <w:r>
              <w:rPr>
                <w:b/>
                <w:szCs w:val="24"/>
              </w:rPr>
              <w:t>4</w:t>
            </w:r>
            <w:r w:rsidR="007819DA">
              <w:rPr>
                <w:b/>
                <w:szCs w:val="24"/>
              </w:rPr>
              <w:t>,</w:t>
            </w:r>
            <w:r>
              <w:rPr>
                <w:b/>
                <w:szCs w:val="24"/>
              </w:rPr>
              <w:t>3</w:t>
            </w:r>
            <w:r w:rsidR="007819DA">
              <w:rPr>
                <w:b/>
                <w:szCs w:val="24"/>
              </w:rPr>
              <w:t>32</w:t>
            </w:r>
          </w:p>
        </w:tc>
      </w:tr>
    </w:tbl>
    <w:p w:rsidR="00AA78EA" w:rsidP="000A4126" w14:paraId="600BDF91" w14:textId="77777777">
      <w:pPr>
        <w:pStyle w:val="NoSpacing"/>
        <w:tabs>
          <w:tab w:val="left" w:pos="360"/>
        </w:tabs>
        <w:rPr>
          <w:rFonts w:cs="Times New Roman"/>
          <w:b/>
          <w:bCs/>
        </w:rPr>
      </w:pPr>
    </w:p>
    <w:p w:rsidR="00AA78EA" w:rsidP="000A4126" w14:paraId="0D6C1BBE" w14:textId="1D80BCB9">
      <w:pPr>
        <w:pStyle w:val="NoSpacing"/>
        <w:tabs>
          <w:tab w:val="left" w:pos="360"/>
        </w:tabs>
        <w:rPr>
          <w:rFonts w:cs="Times New Roman"/>
          <w:b/>
          <w:bCs/>
        </w:rPr>
      </w:pPr>
      <w:r w:rsidRPr="00AA78EA">
        <w:rPr>
          <w:rFonts w:cs="Times New Roman"/>
          <w:b/>
          <w:bCs/>
        </w:rPr>
        <w:t>12B</w:t>
      </w:r>
      <w:bookmarkStart w:id="34" w:name="BurdenCost12B"/>
      <w:r w:rsidRPr="00AA78EA">
        <w:rPr>
          <w:rFonts w:cs="Times New Roman"/>
          <w:b/>
          <w:bCs/>
        </w:rPr>
        <w:t>. Estimated Annualized Burden Costs</w:t>
      </w:r>
      <w:bookmarkEnd w:id="34"/>
    </w:p>
    <w:p w:rsidR="00AA78EA" w:rsidP="000A4126" w14:paraId="6ED4C498" w14:textId="0AA396D6">
      <w:pPr>
        <w:pStyle w:val="NoSpacing"/>
        <w:tabs>
          <w:tab w:val="left" w:pos="360"/>
        </w:tabs>
        <w:rPr>
          <w:rFonts w:cs="Times New Roman"/>
          <w:b/>
          <w:bCs/>
        </w:rPr>
      </w:pPr>
    </w:p>
    <w:p w:rsidR="00064C19" w:rsidRPr="00064C19" w:rsidP="00064C19" w14:paraId="40DE5008" w14:textId="1572D73B">
      <w:pPr>
        <w:rPr>
          <w:szCs w:val="24"/>
        </w:rPr>
      </w:pPr>
      <w:r w:rsidRPr="00535C58">
        <w:rPr>
          <w:szCs w:val="24"/>
        </w:rPr>
        <w:t>The annualized costs to the respondents are described in Exhibit 12.2. The United States Bureau of Labor Statistics’ employment and wages estimates from May, 20</w:t>
      </w:r>
      <w:r w:rsidR="00F10A77">
        <w:rPr>
          <w:szCs w:val="24"/>
        </w:rPr>
        <w:t>2</w:t>
      </w:r>
      <w:r w:rsidR="00C6323B">
        <w:rPr>
          <w:szCs w:val="24"/>
        </w:rPr>
        <w:t>2</w:t>
      </w:r>
      <w:r w:rsidRPr="00535C58">
        <w:rPr>
          <w:szCs w:val="24"/>
        </w:rPr>
        <w:t xml:space="preserve"> (</w:t>
      </w:r>
      <w:hyperlink r:id="rId10" w:history="1">
        <w:r w:rsidRPr="00535C58">
          <w:rPr>
            <w:rStyle w:val="Hyperlink"/>
            <w:szCs w:val="24"/>
          </w:rPr>
          <w:t>http://www.bls.gov/oes/current/oes_nat.htm</w:t>
        </w:r>
      </w:hyperlink>
      <w:r w:rsidRPr="00535C58">
        <w:rPr>
          <w:szCs w:val="24"/>
        </w:rPr>
        <w:t>)</w:t>
      </w:r>
      <w:r w:rsidRPr="00535C58">
        <w:rPr>
          <w:color w:val="0070C0"/>
          <w:szCs w:val="24"/>
        </w:rPr>
        <w:t xml:space="preserve"> </w:t>
      </w:r>
      <w:hyperlink w:history="1"/>
      <w:r w:rsidRPr="00535C58">
        <w:rPr>
          <w:szCs w:val="24"/>
        </w:rPr>
        <w:t>were used to estimate the hourly wage rate for the general public for the purpose of this request. The estimated annualized burden cost is $</w:t>
      </w:r>
      <w:r w:rsidR="00491ED0">
        <w:rPr>
          <w:szCs w:val="24"/>
        </w:rPr>
        <w:t>128,920.30</w:t>
      </w:r>
      <w:r w:rsidRPr="00535C58">
        <w:rPr>
          <w:szCs w:val="24"/>
        </w:rPr>
        <w:t xml:space="preserve">. This cost represents the total </w:t>
      </w:r>
      <w:r w:rsidR="00491ED0">
        <w:rPr>
          <w:szCs w:val="24"/>
        </w:rPr>
        <w:t xml:space="preserve">annual </w:t>
      </w:r>
      <w:r w:rsidRPr="00535C58">
        <w:rPr>
          <w:szCs w:val="24"/>
        </w:rPr>
        <w:t>burden hours of general respondents multiplied by the average hourly wage rate ($</w:t>
      </w:r>
      <w:r>
        <w:rPr>
          <w:szCs w:val="24"/>
        </w:rPr>
        <w:t>2</w:t>
      </w:r>
      <w:r w:rsidR="00C6323B">
        <w:rPr>
          <w:szCs w:val="24"/>
        </w:rPr>
        <w:t>9.76</w:t>
      </w:r>
      <w:r w:rsidRPr="00535C58">
        <w:rPr>
          <w:szCs w:val="24"/>
        </w:rPr>
        <w:t xml:space="preserve">). </w:t>
      </w:r>
    </w:p>
    <w:p w:rsidR="00064C19" w:rsidP="000A4126" w14:paraId="43C86725" w14:textId="77777777">
      <w:pPr>
        <w:pStyle w:val="NoSpacing"/>
        <w:tabs>
          <w:tab w:val="left" w:pos="360"/>
        </w:tabs>
        <w:rPr>
          <w:rFonts w:cs="Times New Roman"/>
          <w:b/>
          <w:bCs/>
        </w:rPr>
      </w:pPr>
    </w:p>
    <w:p w:rsidR="00AA78EA" w:rsidP="000A4126" w14:paraId="1A7F85F8" w14:textId="264AB308">
      <w:pPr>
        <w:pStyle w:val="NoSpacing"/>
        <w:tabs>
          <w:tab w:val="left" w:pos="360"/>
        </w:tabs>
        <w:rPr>
          <w:rFonts w:cs="Times New Roman"/>
          <w:b/>
          <w:bCs/>
        </w:rPr>
      </w:pPr>
      <w:r w:rsidRPr="00AA78EA">
        <w:rPr>
          <w:rFonts w:cs="Times New Roman"/>
          <w:b/>
          <w:bCs/>
        </w:rPr>
        <w:t xml:space="preserve">Exhibit 12.2: </w:t>
      </w:r>
      <w:bookmarkStart w:id="35" w:name="ExhibitCosts122"/>
      <w:r w:rsidRPr="00AA78EA">
        <w:rPr>
          <w:rFonts w:cs="Times New Roman"/>
          <w:b/>
          <w:bCs/>
        </w:rPr>
        <w:t>Estimated Annualized Burden Costs</w:t>
      </w:r>
      <w:bookmarkEnd w:id="35"/>
    </w:p>
    <w:p w:rsidR="00AA78EA" w:rsidP="000A4126" w14:paraId="1AC3109A" w14:textId="134BDA46">
      <w:pPr>
        <w:pStyle w:val="NoSpacing"/>
        <w:tabs>
          <w:tab w:val="left" w:pos="360"/>
        </w:tabs>
        <w:rPr>
          <w:rFonts w:cs="Times New Roman"/>
          <w:b/>
          <w:bCs/>
        </w:rPr>
      </w:pPr>
    </w:p>
    <w:tbl>
      <w:tblPr>
        <w:tblW w:w="9447" w:type="dxa"/>
        <w:tblLayout w:type="fixed"/>
        <w:tblCellMar>
          <w:left w:w="129" w:type="dxa"/>
          <w:right w:w="129" w:type="dxa"/>
        </w:tblCellMar>
        <w:tblLook w:val="0000"/>
      </w:tblPr>
      <w:tblGrid>
        <w:gridCol w:w="2195"/>
        <w:gridCol w:w="2392"/>
        <w:gridCol w:w="990"/>
        <w:gridCol w:w="1980"/>
        <w:gridCol w:w="1890"/>
      </w:tblGrid>
      <w:tr w14:paraId="7FDAA84B" w14:textId="77777777" w:rsidTr="004E50E9">
        <w:tblPrEx>
          <w:tblW w:w="9447" w:type="dxa"/>
          <w:tblLayout w:type="fixed"/>
          <w:tblCellMar>
            <w:left w:w="129" w:type="dxa"/>
            <w:right w:w="129" w:type="dxa"/>
          </w:tblCellMar>
          <w:tblLook w:val="0000"/>
        </w:tblPrEx>
        <w:trPr>
          <w:cantSplit/>
          <w:trHeight w:val="685"/>
          <w:tblHeader/>
        </w:trPr>
        <w:tc>
          <w:tcPr>
            <w:tcW w:w="2195" w:type="dxa"/>
            <w:tcBorders>
              <w:top w:val="single" w:sz="2" w:space="0" w:color="000000"/>
              <w:left w:val="single" w:sz="2" w:space="0" w:color="000000"/>
              <w:bottom w:val="nil"/>
              <w:right w:val="nil"/>
            </w:tcBorders>
          </w:tcPr>
          <w:p w:rsidR="00AA78EA" w:rsidRPr="00AF06FC" w:rsidP="003E3747" w14:paraId="1CB322A2" w14:textId="77777777">
            <w:pPr>
              <w:rPr>
                <w:b/>
                <w:szCs w:val="24"/>
              </w:rPr>
            </w:pPr>
            <w:r w:rsidRPr="00AF06FC">
              <w:rPr>
                <w:b/>
                <w:szCs w:val="24"/>
              </w:rPr>
              <w:t>Type of Respondent</w:t>
            </w:r>
          </w:p>
        </w:tc>
        <w:tc>
          <w:tcPr>
            <w:tcW w:w="2392" w:type="dxa"/>
            <w:tcBorders>
              <w:top w:val="single" w:sz="2" w:space="0" w:color="000000"/>
              <w:left w:val="single" w:sz="2" w:space="0" w:color="000000"/>
              <w:bottom w:val="nil"/>
              <w:right w:val="nil"/>
            </w:tcBorders>
          </w:tcPr>
          <w:p w:rsidR="00AA78EA" w:rsidRPr="00AF06FC" w:rsidP="003E3747" w14:paraId="1F44524E" w14:textId="77777777">
            <w:pPr>
              <w:rPr>
                <w:b/>
                <w:szCs w:val="24"/>
              </w:rPr>
            </w:pPr>
            <w:r w:rsidRPr="00AF06FC">
              <w:rPr>
                <w:b/>
                <w:szCs w:val="24"/>
              </w:rPr>
              <w:t>Form Name</w:t>
            </w:r>
          </w:p>
        </w:tc>
        <w:tc>
          <w:tcPr>
            <w:tcW w:w="990" w:type="dxa"/>
            <w:tcBorders>
              <w:top w:val="single" w:sz="2" w:space="0" w:color="000000"/>
              <w:left w:val="single" w:sz="2" w:space="0" w:color="000000"/>
              <w:bottom w:val="nil"/>
              <w:right w:val="nil"/>
            </w:tcBorders>
          </w:tcPr>
          <w:p w:rsidR="00AA78EA" w:rsidRPr="00AF06FC" w:rsidP="003E3747" w14:paraId="1B164FAF" w14:textId="77777777">
            <w:pPr>
              <w:rPr>
                <w:b/>
                <w:szCs w:val="24"/>
              </w:rPr>
            </w:pPr>
            <w:r w:rsidRPr="00AF06FC">
              <w:rPr>
                <w:b/>
                <w:szCs w:val="24"/>
              </w:rPr>
              <w:t>Burden</w:t>
            </w:r>
          </w:p>
          <w:p w:rsidR="00AA78EA" w:rsidRPr="00AF06FC" w:rsidP="003E3747" w14:paraId="41FB9BC7" w14:textId="77777777">
            <w:pPr>
              <w:rPr>
                <w:b/>
                <w:szCs w:val="24"/>
              </w:rPr>
            </w:pPr>
            <w:r w:rsidRPr="00AF06FC">
              <w:rPr>
                <w:b/>
                <w:szCs w:val="24"/>
              </w:rPr>
              <w:t>Hours</w:t>
            </w:r>
          </w:p>
        </w:tc>
        <w:tc>
          <w:tcPr>
            <w:tcW w:w="1980" w:type="dxa"/>
            <w:tcBorders>
              <w:top w:val="single" w:sz="2" w:space="0" w:color="000000"/>
              <w:left w:val="single" w:sz="2" w:space="0" w:color="000000"/>
              <w:bottom w:val="nil"/>
              <w:right w:val="nil"/>
            </w:tcBorders>
          </w:tcPr>
          <w:p w:rsidR="00AA78EA" w:rsidRPr="00AF06FC" w:rsidP="003E3747" w14:paraId="6C940BC4" w14:textId="77777777">
            <w:pPr>
              <w:rPr>
                <w:b/>
                <w:szCs w:val="24"/>
              </w:rPr>
            </w:pPr>
            <w:r w:rsidRPr="00AF06FC">
              <w:rPr>
                <w:b/>
                <w:szCs w:val="24"/>
              </w:rPr>
              <w:t>Hourly Wage Rate</w:t>
            </w:r>
          </w:p>
        </w:tc>
        <w:tc>
          <w:tcPr>
            <w:tcW w:w="1890" w:type="dxa"/>
            <w:tcBorders>
              <w:top w:val="single" w:sz="2" w:space="0" w:color="000000"/>
              <w:left w:val="single" w:sz="2" w:space="0" w:color="000000"/>
              <w:bottom w:val="nil"/>
              <w:right w:val="single" w:sz="2" w:space="0" w:color="000000"/>
            </w:tcBorders>
          </w:tcPr>
          <w:p w:rsidR="00AA78EA" w:rsidRPr="00AF06FC" w:rsidP="003E3747" w14:paraId="06943C51" w14:textId="77777777">
            <w:pPr>
              <w:rPr>
                <w:b/>
                <w:szCs w:val="24"/>
              </w:rPr>
            </w:pPr>
            <w:r w:rsidRPr="00AF06FC">
              <w:rPr>
                <w:b/>
                <w:szCs w:val="24"/>
              </w:rPr>
              <w:t>Respondent Costs</w:t>
            </w:r>
          </w:p>
        </w:tc>
      </w:tr>
      <w:tr w14:paraId="6C145718" w14:textId="77777777" w:rsidTr="004E50E9">
        <w:tblPrEx>
          <w:tblW w:w="9447" w:type="dxa"/>
          <w:tblLayout w:type="fixed"/>
          <w:tblCellMar>
            <w:left w:w="129" w:type="dxa"/>
            <w:right w:w="129" w:type="dxa"/>
          </w:tblCellMar>
          <w:tblLook w:val="0000"/>
        </w:tblPrEx>
        <w:trPr>
          <w:cantSplit/>
          <w:trHeight w:val="557"/>
        </w:trPr>
        <w:tc>
          <w:tcPr>
            <w:tcW w:w="2195" w:type="dxa"/>
            <w:tcBorders>
              <w:top w:val="single" w:sz="2" w:space="0" w:color="000000"/>
              <w:left w:val="single" w:sz="2" w:space="0" w:color="000000"/>
              <w:right w:val="nil"/>
            </w:tcBorders>
          </w:tcPr>
          <w:p w:rsidR="00E87133" w:rsidRPr="00AF06FC" w:rsidP="00E87133" w14:paraId="02774048" w14:textId="4780D11C">
            <w:pPr>
              <w:rPr>
                <w:szCs w:val="24"/>
              </w:rPr>
            </w:pPr>
            <w:r w:rsidRPr="00AF06FC">
              <w:rPr>
                <w:szCs w:val="24"/>
              </w:rPr>
              <w:t>General Public- Adults</w:t>
            </w:r>
          </w:p>
        </w:tc>
        <w:tc>
          <w:tcPr>
            <w:tcW w:w="2392" w:type="dxa"/>
            <w:tcBorders>
              <w:top w:val="single" w:sz="2" w:space="0" w:color="000000"/>
              <w:left w:val="single" w:sz="2" w:space="0" w:color="000000"/>
              <w:bottom w:val="single" w:sz="2" w:space="0" w:color="000000"/>
              <w:right w:val="nil"/>
            </w:tcBorders>
          </w:tcPr>
          <w:p w:rsidR="00E87133" w:rsidRPr="00AF06FC" w:rsidP="00E87133" w14:paraId="33E9C786" w14:textId="4EFCB809">
            <w:pPr>
              <w:ind w:left="-39" w:right="51"/>
              <w:rPr>
                <w:szCs w:val="24"/>
              </w:rPr>
            </w:pPr>
            <w:r w:rsidRPr="00AF06FC">
              <w:rPr>
                <w:iCs/>
                <w:szCs w:val="24"/>
              </w:rPr>
              <w:t>Eligibility Screener (Att. 4a)</w:t>
            </w:r>
          </w:p>
        </w:tc>
        <w:tc>
          <w:tcPr>
            <w:tcW w:w="990" w:type="dxa"/>
            <w:tcBorders>
              <w:top w:val="single" w:sz="2" w:space="0" w:color="000000"/>
              <w:left w:val="single" w:sz="2" w:space="0" w:color="000000"/>
              <w:bottom w:val="single" w:sz="2" w:space="0" w:color="000000"/>
              <w:right w:val="single" w:sz="2" w:space="0" w:color="000000"/>
            </w:tcBorders>
            <w:vAlign w:val="center"/>
          </w:tcPr>
          <w:p w:rsidR="00E87133" w:rsidRPr="00AF06FC" w:rsidP="00E87133" w14:paraId="2A983075" w14:textId="3CBA4584">
            <w:pPr>
              <w:jc w:val="center"/>
              <w:rPr>
                <w:szCs w:val="24"/>
              </w:rPr>
            </w:pPr>
            <w:r>
              <w:rPr>
                <w:szCs w:val="24"/>
              </w:rPr>
              <w:t>142</w:t>
            </w:r>
          </w:p>
        </w:tc>
        <w:tc>
          <w:tcPr>
            <w:tcW w:w="1980" w:type="dxa"/>
            <w:tcBorders>
              <w:top w:val="single" w:sz="2" w:space="0" w:color="000000"/>
              <w:left w:val="single" w:sz="2" w:space="0" w:color="000000"/>
              <w:bottom w:val="single" w:sz="2" w:space="0" w:color="000000"/>
              <w:right w:val="nil"/>
            </w:tcBorders>
            <w:vAlign w:val="center"/>
          </w:tcPr>
          <w:p w:rsidR="00E87133" w:rsidRPr="00AF06FC" w:rsidP="004E50E9" w14:paraId="2B87BBA4" w14:textId="091FBB5A">
            <w:pPr>
              <w:ind w:right="-39"/>
              <w:jc w:val="center"/>
              <w:rPr>
                <w:szCs w:val="24"/>
              </w:rPr>
            </w:pPr>
            <w:r w:rsidRPr="00AF06FC">
              <w:rPr>
                <w:szCs w:val="24"/>
              </w:rPr>
              <w:t>$</w:t>
            </w:r>
            <w:r w:rsidR="004E50E9">
              <w:rPr>
                <w:szCs w:val="24"/>
              </w:rPr>
              <w:t>29.76</w:t>
            </w:r>
          </w:p>
        </w:tc>
        <w:tc>
          <w:tcPr>
            <w:tcW w:w="1890" w:type="dxa"/>
            <w:tcBorders>
              <w:top w:val="single" w:sz="2" w:space="0" w:color="000000"/>
              <w:left w:val="single" w:sz="2" w:space="0" w:color="000000"/>
              <w:bottom w:val="single" w:sz="2" w:space="0" w:color="000000"/>
              <w:right w:val="single" w:sz="2" w:space="0" w:color="000000"/>
            </w:tcBorders>
            <w:vAlign w:val="center"/>
          </w:tcPr>
          <w:p w:rsidR="00D32546" w:rsidRPr="00D32546" w:rsidP="00D32546" w14:paraId="113652D4" w14:textId="19AA038C">
            <w:pPr>
              <w:jc w:val="center"/>
              <w:rPr>
                <w:szCs w:val="24"/>
              </w:rPr>
            </w:pPr>
            <w:r w:rsidRPr="00AF06FC">
              <w:rPr>
                <w:szCs w:val="24"/>
              </w:rPr>
              <w:t>$</w:t>
            </w:r>
            <w:r>
              <w:rPr>
                <w:szCs w:val="24"/>
              </w:rPr>
              <w:t>4,225.92</w:t>
            </w:r>
          </w:p>
        </w:tc>
      </w:tr>
      <w:tr w14:paraId="4F61483E" w14:textId="77777777" w:rsidTr="004E50E9">
        <w:tblPrEx>
          <w:tblW w:w="9447" w:type="dxa"/>
          <w:tblLayout w:type="fixed"/>
          <w:tblCellMar>
            <w:left w:w="129" w:type="dxa"/>
            <w:right w:w="129" w:type="dxa"/>
          </w:tblCellMar>
          <w:tblLook w:val="0000"/>
        </w:tblPrEx>
        <w:trPr>
          <w:cantSplit/>
          <w:trHeight w:val="530"/>
        </w:trPr>
        <w:tc>
          <w:tcPr>
            <w:tcW w:w="2195" w:type="dxa"/>
            <w:tcBorders>
              <w:top w:val="single" w:sz="2" w:space="0" w:color="000000"/>
              <w:left w:val="single" w:sz="2" w:space="0" w:color="000000"/>
              <w:bottom w:val="single" w:sz="4" w:space="0" w:color="auto"/>
              <w:right w:val="nil"/>
            </w:tcBorders>
          </w:tcPr>
          <w:p w:rsidR="004E50E9" w:rsidRPr="00AF06FC" w:rsidP="004E50E9" w14:paraId="2E7987D0" w14:textId="07A7082A">
            <w:pPr>
              <w:rPr>
                <w:szCs w:val="24"/>
              </w:rPr>
            </w:pPr>
            <w:r w:rsidRPr="00AF06FC">
              <w:rPr>
                <w:szCs w:val="24"/>
              </w:rPr>
              <w:t>General Public-Adults</w:t>
            </w:r>
          </w:p>
        </w:tc>
        <w:tc>
          <w:tcPr>
            <w:tcW w:w="2392" w:type="dxa"/>
            <w:tcBorders>
              <w:top w:val="single" w:sz="2" w:space="0" w:color="000000"/>
              <w:left w:val="single" w:sz="2" w:space="0" w:color="000000"/>
              <w:bottom w:val="single" w:sz="2" w:space="0" w:color="000000"/>
              <w:right w:val="nil"/>
            </w:tcBorders>
          </w:tcPr>
          <w:p w:rsidR="004E50E9" w:rsidRPr="00AF06FC" w:rsidP="004E50E9" w14:paraId="075BFFB2" w14:textId="3978C643">
            <w:pPr>
              <w:ind w:left="-39" w:right="51"/>
              <w:rPr>
                <w:szCs w:val="24"/>
              </w:rPr>
            </w:pPr>
            <w:r>
              <w:rPr>
                <w:szCs w:val="24"/>
              </w:rPr>
              <w:t>Registration Contact Information</w:t>
            </w:r>
            <w:r w:rsidRPr="00AF06FC">
              <w:rPr>
                <w:szCs w:val="24"/>
              </w:rPr>
              <w:t xml:space="preserve"> </w:t>
            </w:r>
            <w:r>
              <w:rPr>
                <w:szCs w:val="24"/>
              </w:rPr>
              <w:t>F</w:t>
            </w:r>
            <w:r w:rsidRPr="00AF06FC">
              <w:rPr>
                <w:szCs w:val="24"/>
              </w:rPr>
              <w:t>orm (Att. 4</w:t>
            </w:r>
            <w:r>
              <w:rPr>
                <w:szCs w:val="24"/>
              </w:rPr>
              <w:t>b</w:t>
            </w:r>
            <w:r w:rsidRPr="00AF06FC">
              <w:rPr>
                <w:szCs w:val="24"/>
              </w:rPr>
              <w:t>)</w:t>
            </w:r>
          </w:p>
        </w:tc>
        <w:tc>
          <w:tcPr>
            <w:tcW w:w="990" w:type="dxa"/>
            <w:tcBorders>
              <w:top w:val="single" w:sz="2" w:space="0" w:color="000000"/>
              <w:left w:val="single" w:sz="2" w:space="0" w:color="000000"/>
              <w:bottom w:val="single" w:sz="2" w:space="0" w:color="000000"/>
              <w:right w:val="single" w:sz="2" w:space="0" w:color="000000"/>
            </w:tcBorders>
            <w:vAlign w:val="center"/>
          </w:tcPr>
          <w:p w:rsidR="004E50E9" w:rsidRPr="00AF06FC" w:rsidP="004E50E9" w14:paraId="6F6D0DED" w14:textId="5988CEEA">
            <w:pPr>
              <w:jc w:val="center"/>
              <w:rPr>
                <w:szCs w:val="24"/>
              </w:rPr>
            </w:pPr>
            <w:r w:rsidRPr="00AF06FC">
              <w:rPr>
                <w:szCs w:val="24"/>
              </w:rPr>
              <w:t>3</w:t>
            </w:r>
            <w:r w:rsidR="00D32546">
              <w:rPr>
                <w:szCs w:val="24"/>
              </w:rPr>
              <w:t>5</w:t>
            </w:r>
          </w:p>
        </w:tc>
        <w:tc>
          <w:tcPr>
            <w:tcW w:w="1980" w:type="dxa"/>
            <w:tcBorders>
              <w:top w:val="single" w:sz="2" w:space="0" w:color="000000"/>
              <w:left w:val="single" w:sz="2" w:space="0" w:color="000000"/>
              <w:bottom w:val="single" w:sz="2" w:space="0" w:color="000000"/>
              <w:right w:val="nil"/>
            </w:tcBorders>
            <w:vAlign w:val="center"/>
          </w:tcPr>
          <w:p w:rsidR="004E50E9" w:rsidRPr="00AF06FC" w:rsidP="004E50E9" w14:paraId="45BC3B21" w14:textId="3EF9B422">
            <w:pPr>
              <w:ind w:right="-39"/>
              <w:jc w:val="center"/>
              <w:rPr>
                <w:szCs w:val="24"/>
              </w:rPr>
            </w:pPr>
            <w:r w:rsidRPr="00D41F09">
              <w:rPr>
                <w:szCs w:val="24"/>
              </w:rPr>
              <w:t>$29.76</w:t>
            </w:r>
          </w:p>
        </w:tc>
        <w:tc>
          <w:tcPr>
            <w:tcW w:w="1890" w:type="dxa"/>
            <w:tcBorders>
              <w:top w:val="single" w:sz="2" w:space="0" w:color="000000"/>
              <w:left w:val="single" w:sz="2" w:space="0" w:color="000000"/>
              <w:bottom w:val="single" w:sz="2" w:space="0" w:color="000000"/>
              <w:right w:val="single" w:sz="2" w:space="0" w:color="000000"/>
            </w:tcBorders>
            <w:vAlign w:val="center"/>
          </w:tcPr>
          <w:p w:rsidR="004E50E9" w:rsidRPr="00AF06FC" w:rsidP="004E50E9" w14:paraId="6135288B" w14:textId="2686FB64">
            <w:pPr>
              <w:jc w:val="center"/>
              <w:rPr>
                <w:color w:val="000000"/>
                <w:szCs w:val="24"/>
              </w:rPr>
            </w:pPr>
            <w:r w:rsidRPr="00AF06FC">
              <w:rPr>
                <w:szCs w:val="24"/>
              </w:rPr>
              <w:t>$1,</w:t>
            </w:r>
            <w:r w:rsidR="00D32546">
              <w:rPr>
                <w:szCs w:val="24"/>
              </w:rPr>
              <w:t>041.60</w:t>
            </w:r>
          </w:p>
        </w:tc>
      </w:tr>
      <w:tr w14:paraId="13849B90" w14:textId="77777777" w:rsidTr="004E50E9">
        <w:tblPrEx>
          <w:tblW w:w="9447" w:type="dxa"/>
          <w:tblLayout w:type="fixed"/>
          <w:tblCellMar>
            <w:left w:w="129" w:type="dxa"/>
            <w:right w:w="129" w:type="dxa"/>
          </w:tblCellMar>
          <w:tblLook w:val="0000"/>
        </w:tblPrEx>
        <w:trPr>
          <w:cantSplit/>
          <w:trHeight w:val="710"/>
        </w:trPr>
        <w:tc>
          <w:tcPr>
            <w:tcW w:w="2195" w:type="dxa"/>
            <w:tcBorders>
              <w:top w:val="single" w:sz="2" w:space="0" w:color="000000"/>
              <w:left w:val="single" w:sz="2" w:space="0" w:color="000000"/>
              <w:bottom w:val="single" w:sz="4" w:space="0" w:color="auto"/>
              <w:right w:val="nil"/>
            </w:tcBorders>
          </w:tcPr>
          <w:p w:rsidR="004E50E9" w:rsidRPr="00AF06FC" w:rsidP="004E50E9" w14:paraId="621D5401" w14:textId="7F76D602">
            <w:pPr>
              <w:rPr>
                <w:szCs w:val="24"/>
              </w:rPr>
            </w:pPr>
            <w:r w:rsidRPr="00AF06FC">
              <w:rPr>
                <w:szCs w:val="24"/>
              </w:rPr>
              <w:t>General Public- Adults</w:t>
            </w:r>
          </w:p>
        </w:tc>
        <w:tc>
          <w:tcPr>
            <w:tcW w:w="2392" w:type="dxa"/>
            <w:tcBorders>
              <w:top w:val="single" w:sz="2" w:space="0" w:color="000000"/>
              <w:left w:val="single" w:sz="2" w:space="0" w:color="000000"/>
              <w:bottom w:val="single" w:sz="2" w:space="0" w:color="000000"/>
              <w:right w:val="nil"/>
            </w:tcBorders>
          </w:tcPr>
          <w:p w:rsidR="004E50E9" w:rsidRPr="00AF06FC" w:rsidP="004E50E9" w14:paraId="1A2C9045" w14:textId="2A17942C">
            <w:pPr>
              <w:ind w:left="-39" w:right="51"/>
              <w:rPr>
                <w:szCs w:val="24"/>
              </w:rPr>
            </w:pPr>
            <w:r w:rsidRPr="00AF06FC">
              <w:rPr>
                <w:szCs w:val="24"/>
              </w:rPr>
              <w:t>Quarterly Assessment (Att. 4</w:t>
            </w:r>
            <w:r>
              <w:rPr>
                <w:szCs w:val="24"/>
              </w:rPr>
              <w:t>c</w:t>
            </w:r>
            <w:r w:rsidRPr="00AF06FC">
              <w:rPr>
                <w:szCs w:val="24"/>
              </w:rPr>
              <w:t>)</w:t>
            </w:r>
          </w:p>
        </w:tc>
        <w:tc>
          <w:tcPr>
            <w:tcW w:w="990" w:type="dxa"/>
            <w:tcBorders>
              <w:top w:val="single" w:sz="2" w:space="0" w:color="000000"/>
              <w:left w:val="single" w:sz="2" w:space="0" w:color="000000"/>
              <w:bottom w:val="single" w:sz="4" w:space="0" w:color="auto"/>
              <w:right w:val="single" w:sz="2" w:space="0" w:color="000000"/>
            </w:tcBorders>
            <w:vAlign w:val="center"/>
          </w:tcPr>
          <w:p w:rsidR="004E50E9" w:rsidRPr="00AF06FC" w:rsidP="004E50E9" w14:paraId="3AA75BBE" w14:textId="707B0F42">
            <w:pPr>
              <w:jc w:val="center"/>
              <w:rPr>
                <w:szCs w:val="24"/>
              </w:rPr>
            </w:pPr>
            <w:r>
              <w:rPr>
                <w:szCs w:val="24"/>
              </w:rPr>
              <w:t>2550</w:t>
            </w:r>
          </w:p>
        </w:tc>
        <w:tc>
          <w:tcPr>
            <w:tcW w:w="1980" w:type="dxa"/>
            <w:tcBorders>
              <w:top w:val="single" w:sz="2" w:space="0" w:color="000000"/>
              <w:left w:val="single" w:sz="2" w:space="0" w:color="000000"/>
              <w:bottom w:val="single" w:sz="2" w:space="0" w:color="000000"/>
              <w:right w:val="nil"/>
            </w:tcBorders>
            <w:vAlign w:val="center"/>
          </w:tcPr>
          <w:p w:rsidR="004E50E9" w:rsidRPr="00AF06FC" w:rsidP="004E50E9" w14:paraId="41775619" w14:textId="32EA624D">
            <w:pPr>
              <w:ind w:right="-39"/>
              <w:jc w:val="center"/>
              <w:rPr>
                <w:szCs w:val="24"/>
              </w:rPr>
            </w:pPr>
            <w:r w:rsidRPr="00D41F09">
              <w:rPr>
                <w:szCs w:val="24"/>
              </w:rPr>
              <w:t>$29.76</w:t>
            </w:r>
          </w:p>
        </w:tc>
        <w:tc>
          <w:tcPr>
            <w:tcW w:w="1890" w:type="dxa"/>
            <w:tcBorders>
              <w:top w:val="single" w:sz="2" w:space="0" w:color="000000"/>
              <w:left w:val="single" w:sz="2" w:space="0" w:color="000000"/>
              <w:bottom w:val="single" w:sz="2" w:space="0" w:color="000000"/>
              <w:right w:val="single" w:sz="2" w:space="0" w:color="000000"/>
            </w:tcBorders>
            <w:vAlign w:val="center"/>
          </w:tcPr>
          <w:p w:rsidR="004E50E9" w:rsidRPr="00AF06FC" w:rsidP="004E50E9" w14:paraId="1A2EE144" w14:textId="24D01D3B">
            <w:pPr>
              <w:jc w:val="center"/>
              <w:rPr>
                <w:color w:val="000000"/>
                <w:szCs w:val="24"/>
              </w:rPr>
            </w:pPr>
            <w:r w:rsidRPr="00AF06FC">
              <w:rPr>
                <w:szCs w:val="24"/>
              </w:rPr>
              <w:t>$</w:t>
            </w:r>
            <w:r w:rsidR="00D32546">
              <w:rPr>
                <w:szCs w:val="24"/>
              </w:rPr>
              <w:t>75,888.00</w:t>
            </w:r>
          </w:p>
        </w:tc>
      </w:tr>
      <w:tr w14:paraId="1AD4440C" w14:textId="77777777" w:rsidTr="004E50E9">
        <w:tblPrEx>
          <w:tblW w:w="9447" w:type="dxa"/>
          <w:tblLayout w:type="fixed"/>
          <w:tblCellMar>
            <w:left w:w="129" w:type="dxa"/>
            <w:right w:w="129" w:type="dxa"/>
          </w:tblCellMar>
          <w:tblLook w:val="0000"/>
        </w:tblPrEx>
        <w:trPr>
          <w:cantSplit/>
          <w:trHeight w:val="456"/>
        </w:trPr>
        <w:tc>
          <w:tcPr>
            <w:tcW w:w="2195" w:type="dxa"/>
            <w:tcBorders>
              <w:top w:val="single" w:sz="2" w:space="0" w:color="000000"/>
              <w:left w:val="single" w:sz="2" w:space="0" w:color="000000"/>
              <w:bottom w:val="single" w:sz="4" w:space="0" w:color="auto"/>
              <w:right w:val="nil"/>
            </w:tcBorders>
          </w:tcPr>
          <w:p w:rsidR="004E50E9" w:rsidRPr="00AF06FC" w:rsidP="004E50E9" w14:paraId="61509D15" w14:textId="23A5F157">
            <w:pPr>
              <w:rPr>
                <w:szCs w:val="24"/>
              </w:rPr>
            </w:pPr>
            <w:r w:rsidRPr="00AF06FC">
              <w:rPr>
                <w:szCs w:val="24"/>
              </w:rPr>
              <w:t>General Public- Adults</w:t>
            </w:r>
          </w:p>
        </w:tc>
        <w:tc>
          <w:tcPr>
            <w:tcW w:w="2392" w:type="dxa"/>
            <w:tcBorders>
              <w:top w:val="single" w:sz="2" w:space="0" w:color="000000"/>
              <w:left w:val="single" w:sz="2" w:space="0" w:color="000000"/>
              <w:bottom w:val="single" w:sz="2" w:space="0" w:color="000000"/>
              <w:right w:val="nil"/>
            </w:tcBorders>
            <w:vAlign w:val="center"/>
          </w:tcPr>
          <w:p w:rsidR="004E50E9" w:rsidRPr="00AF06FC" w:rsidP="004E50E9" w14:paraId="6CA70A30" w14:textId="72CDD263">
            <w:pPr>
              <w:ind w:left="-39" w:right="51"/>
              <w:rPr>
                <w:szCs w:val="24"/>
              </w:rPr>
            </w:pPr>
            <w:r w:rsidRPr="00AF06FC">
              <w:rPr>
                <w:szCs w:val="24"/>
              </w:rPr>
              <w:t>SMaRT</w:t>
            </w:r>
            <w:r w:rsidRPr="00AF06FC">
              <w:rPr>
                <w:szCs w:val="24"/>
              </w:rPr>
              <w:t xml:space="preserve"> app install (Att. 4</w:t>
            </w:r>
            <w:r>
              <w:rPr>
                <w:szCs w:val="24"/>
              </w:rPr>
              <w:t>d</w:t>
            </w:r>
            <w:r w:rsidRPr="00AF06FC">
              <w:rPr>
                <w:szCs w:val="24"/>
              </w:rPr>
              <w:t>)</w:t>
            </w:r>
          </w:p>
        </w:tc>
        <w:tc>
          <w:tcPr>
            <w:tcW w:w="990" w:type="dxa"/>
            <w:tcBorders>
              <w:top w:val="single" w:sz="2" w:space="0" w:color="000000"/>
              <w:left w:val="single" w:sz="2" w:space="0" w:color="000000"/>
              <w:bottom w:val="single" w:sz="2" w:space="0" w:color="000000"/>
              <w:right w:val="single" w:sz="2" w:space="0" w:color="000000"/>
            </w:tcBorders>
            <w:vAlign w:val="center"/>
          </w:tcPr>
          <w:p w:rsidR="004E50E9" w:rsidRPr="00AF06FC" w:rsidP="004E50E9" w14:paraId="5F3ED24A" w14:textId="12B251C8">
            <w:pPr>
              <w:jc w:val="center"/>
              <w:rPr>
                <w:szCs w:val="24"/>
              </w:rPr>
            </w:pPr>
            <w:r>
              <w:rPr>
                <w:szCs w:val="24"/>
              </w:rPr>
              <w:t>71</w:t>
            </w:r>
          </w:p>
        </w:tc>
        <w:tc>
          <w:tcPr>
            <w:tcW w:w="1980" w:type="dxa"/>
            <w:tcBorders>
              <w:top w:val="single" w:sz="2" w:space="0" w:color="000000"/>
              <w:left w:val="single" w:sz="2" w:space="0" w:color="000000"/>
              <w:bottom w:val="single" w:sz="2" w:space="0" w:color="000000"/>
              <w:right w:val="nil"/>
            </w:tcBorders>
            <w:vAlign w:val="center"/>
          </w:tcPr>
          <w:p w:rsidR="004E50E9" w:rsidRPr="00AF06FC" w:rsidP="004E50E9" w14:paraId="08164EA8" w14:textId="3254BAAB">
            <w:pPr>
              <w:ind w:right="-39"/>
              <w:jc w:val="center"/>
              <w:rPr>
                <w:szCs w:val="24"/>
              </w:rPr>
            </w:pPr>
            <w:r w:rsidRPr="00D41F09">
              <w:rPr>
                <w:szCs w:val="24"/>
              </w:rPr>
              <w:t>$29.76</w:t>
            </w:r>
          </w:p>
        </w:tc>
        <w:tc>
          <w:tcPr>
            <w:tcW w:w="1890" w:type="dxa"/>
            <w:tcBorders>
              <w:top w:val="single" w:sz="2" w:space="0" w:color="000000"/>
              <w:left w:val="single" w:sz="2" w:space="0" w:color="000000"/>
              <w:bottom w:val="single" w:sz="2" w:space="0" w:color="000000"/>
              <w:right w:val="single" w:sz="2" w:space="0" w:color="000000"/>
            </w:tcBorders>
            <w:vAlign w:val="center"/>
          </w:tcPr>
          <w:p w:rsidR="004E50E9" w:rsidRPr="00AF06FC" w:rsidP="004E50E9" w14:paraId="5AD43A7A" w14:textId="5723F894">
            <w:pPr>
              <w:jc w:val="center"/>
              <w:rPr>
                <w:color w:val="000000"/>
                <w:szCs w:val="24"/>
              </w:rPr>
            </w:pPr>
            <w:r w:rsidRPr="00AF06FC">
              <w:rPr>
                <w:szCs w:val="24"/>
              </w:rPr>
              <w:t>$</w:t>
            </w:r>
            <w:r w:rsidR="00D32546">
              <w:rPr>
                <w:szCs w:val="24"/>
              </w:rPr>
              <w:t>2,112.96</w:t>
            </w:r>
          </w:p>
        </w:tc>
      </w:tr>
      <w:tr w14:paraId="71FAB779" w14:textId="77777777" w:rsidTr="004E50E9">
        <w:tblPrEx>
          <w:tblW w:w="9447" w:type="dxa"/>
          <w:tblLayout w:type="fixed"/>
          <w:tblCellMar>
            <w:left w:w="129" w:type="dxa"/>
            <w:right w:w="129" w:type="dxa"/>
          </w:tblCellMar>
          <w:tblLook w:val="0000"/>
        </w:tblPrEx>
        <w:trPr>
          <w:cantSplit/>
          <w:trHeight w:val="456"/>
        </w:trPr>
        <w:tc>
          <w:tcPr>
            <w:tcW w:w="2195" w:type="dxa"/>
            <w:tcBorders>
              <w:top w:val="single" w:sz="2" w:space="0" w:color="000000"/>
              <w:left w:val="single" w:sz="2" w:space="0" w:color="000000"/>
              <w:bottom w:val="single" w:sz="4" w:space="0" w:color="auto"/>
              <w:right w:val="nil"/>
            </w:tcBorders>
          </w:tcPr>
          <w:p w:rsidR="004E50E9" w:rsidRPr="00AF06FC" w:rsidP="004E50E9" w14:paraId="2D0A9E50" w14:textId="39F50F9A">
            <w:pPr>
              <w:rPr>
                <w:szCs w:val="24"/>
              </w:rPr>
            </w:pPr>
            <w:r w:rsidRPr="00AF06FC">
              <w:rPr>
                <w:szCs w:val="24"/>
              </w:rPr>
              <w:t>General Public- Adults</w:t>
            </w:r>
          </w:p>
        </w:tc>
        <w:tc>
          <w:tcPr>
            <w:tcW w:w="2392" w:type="dxa"/>
            <w:tcBorders>
              <w:top w:val="single" w:sz="2" w:space="0" w:color="000000"/>
              <w:left w:val="single" w:sz="2" w:space="0" w:color="000000"/>
              <w:bottom w:val="single" w:sz="2" w:space="0" w:color="000000"/>
              <w:right w:val="nil"/>
            </w:tcBorders>
            <w:vAlign w:val="center"/>
          </w:tcPr>
          <w:p w:rsidR="004E50E9" w:rsidRPr="00AF06FC" w:rsidP="004E50E9" w14:paraId="0B6840CD" w14:textId="3D7DD26A">
            <w:pPr>
              <w:ind w:left="-39" w:right="51"/>
              <w:rPr>
                <w:szCs w:val="24"/>
              </w:rPr>
            </w:pPr>
            <w:r w:rsidRPr="00AF06FC">
              <w:rPr>
                <w:szCs w:val="24"/>
              </w:rPr>
              <w:t>HIV sample collection (Att. 4</w:t>
            </w:r>
            <w:r>
              <w:rPr>
                <w:szCs w:val="24"/>
              </w:rPr>
              <w:t>e</w:t>
            </w:r>
            <w:r w:rsidRPr="00AF06FC">
              <w:rPr>
                <w:szCs w:val="24"/>
              </w:rPr>
              <w:t>)</w:t>
            </w:r>
          </w:p>
        </w:tc>
        <w:tc>
          <w:tcPr>
            <w:tcW w:w="990" w:type="dxa"/>
            <w:tcBorders>
              <w:top w:val="single" w:sz="2" w:space="0" w:color="000000"/>
              <w:left w:val="single" w:sz="2" w:space="0" w:color="000000"/>
              <w:bottom w:val="single" w:sz="2" w:space="0" w:color="000000"/>
              <w:right w:val="single" w:sz="2" w:space="0" w:color="000000"/>
            </w:tcBorders>
            <w:vAlign w:val="center"/>
          </w:tcPr>
          <w:p w:rsidR="004E50E9" w:rsidRPr="00AF06FC" w:rsidP="004E50E9" w14:paraId="398AB4DE" w14:textId="3CC9B140">
            <w:pPr>
              <w:jc w:val="center"/>
              <w:rPr>
                <w:szCs w:val="24"/>
              </w:rPr>
            </w:pPr>
            <w:r>
              <w:rPr>
                <w:szCs w:val="24"/>
              </w:rPr>
              <w:t>567</w:t>
            </w:r>
          </w:p>
        </w:tc>
        <w:tc>
          <w:tcPr>
            <w:tcW w:w="1980" w:type="dxa"/>
            <w:tcBorders>
              <w:top w:val="single" w:sz="2" w:space="0" w:color="000000"/>
              <w:left w:val="single" w:sz="2" w:space="0" w:color="000000"/>
              <w:bottom w:val="single" w:sz="2" w:space="0" w:color="000000"/>
              <w:right w:val="nil"/>
            </w:tcBorders>
            <w:vAlign w:val="center"/>
          </w:tcPr>
          <w:p w:rsidR="004E50E9" w:rsidRPr="00AF06FC" w:rsidP="004E50E9" w14:paraId="19496B90" w14:textId="05C030A1">
            <w:pPr>
              <w:ind w:right="-39"/>
              <w:jc w:val="center"/>
              <w:rPr>
                <w:szCs w:val="24"/>
              </w:rPr>
            </w:pPr>
            <w:r w:rsidRPr="00D41F09">
              <w:rPr>
                <w:szCs w:val="24"/>
              </w:rPr>
              <w:t>$29.76</w:t>
            </w:r>
          </w:p>
        </w:tc>
        <w:tc>
          <w:tcPr>
            <w:tcW w:w="1890" w:type="dxa"/>
            <w:tcBorders>
              <w:top w:val="single" w:sz="2" w:space="0" w:color="000000"/>
              <w:left w:val="single" w:sz="2" w:space="0" w:color="000000"/>
              <w:bottom w:val="single" w:sz="2" w:space="0" w:color="000000"/>
              <w:right w:val="single" w:sz="2" w:space="0" w:color="000000"/>
            </w:tcBorders>
            <w:vAlign w:val="center"/>
          </w:tcPr>
          <w:p w:rsidR="004E50E9" w:rsidRPr="00AF06FC" w:rsidP="004E50E9" w14:paraId="30B02EA8" w14:textId="4733C615">
            <w:pPr>
              <w:jc w:val="center"/>
              <w:rPr>
                <w:color w:val="000000"/>
                <w:szCs w:val="24"/>
              </w:rPr>
            </w:pPr>
            <w:r w:rsidRPr="00AF06FC">
              <w:rPr>
                <w:szCs w:val="24"/>
              </w:rPr>
              <w:t>$</w:t>
            </w:r>
            <w:r w:rsidR="00D32546">
              <w:rPr>
                <w:szCs w:val="24"/>
              </w:rPr>
              <w:t>16,873.92</w:t>
            </w:r>
          </w:p>
        </w:tc>
      </w:tr>
      <w:tr w14:paraId="32489CD8" w14:textId="77777777" w:rsidTr="004E50E9">
        <w:tblPrEx>
          <w:tblW w:w="9447" w:type="dxa"/>
          <w:tblLayout w:type="fixed"/>
          <w:tblCellMar>
            <w:left w:w="129" w:type="dxa"/>
            <w:right w:w="129" w:type="dxa"/>
          </w:tblCellMar>
          <w:tblLook w:val="0000"/>
        </w:tblPrEx>
        <w:trPr>
          <w:cantSplit/>
          <w:trHeight w:val="456"/>
        </w:trPr>
        <w:tc>
          <w:tcPr>
            <w:tcW w:w="2195" w:type="dxa"/>
            <w:tcBorders>
              <w:top w:val="single" w:sz="2" w:space="0" w:color="000000"/>
              <w:left w:val="single" w:sz="2" w:space="0" w:color="000000"/>
              <w:bottom w:val="single" w:sz="4" w:space="0" w:color="auto"/>
              <w:right w:val="nil"/>
            </w:tcBorders>
          </w:tcPr>
          <w:p w:rsidR="004E50E9" w:rsidRPr="00AF06FC" w:rsidP="004E50E9" w14:paraId="4A0B4DA4" w14:textId="6AF8CFA8">
            <w:pPr>
              <w:rPr>
                <w:szCs w:val="24"/>
              </w:rPr>
            </w:pPr>
            <w:r w:rsidRPr="00AF06FC">
              <w:rPr>
                <w:szCs w:val="24"/>
              </w:rPr>
              <w:t>General Public- Adults</w:t>
            </w:r>
          </w:p>
        </w:tc>
        <w:tc>
          <w:tcPr>
            <w:tcW w:w="2392" w:type="dxa"/>
            <w:tcBorders>
              <w:top w:val="single" w:sz="2" w:space="0" w:color="000000"/>
              <w:left w:val="single" w:sz="2" w:space="0" w:color="000000"/>
              <w:bottom w:val="single" w:sz="2" w:space="0" w:color="000000"/>
              <w:right w:val="nil"/>
            </w:tcBorders>
            <w:vAlign w:val="center"/>
          </w:tcPr>
          <w:p w:rsidR="004E50E9" w:rsidRPr="00AF06FC" w:rsidP="004E50E9" w14:paraId="2EAE770D" w14:textId="0B68FC8B">
            <w:pPr>
              <w:ind w:left="-39" w:right="51"/>
              <w:rPr>
                <w:szCs w:val="24"/>
              </w:rPr>
            </w:pPr>
            <w:r w:rsidRPr="00AF06FC">
              <w:rPr>
                <w:szCs w:val="24"/>
              </w:rPr>
              <w:t>STI sample collection (Att. 4</w:t>
            </w:r>
            <w:r>
              <w:rPr>
                <w:szCs w:val="24"/>
              </w:rPr>
              <w:t>f</w:t>
            </w:r>
            <w:r w:rsidRPr="00AF06FC">
              <w:rPr>
                <w:szCs w:val="24"/>
              </w:rPr>
              <w:t>)</w:t>
            </w:r>
          </w:p>
        </w:tc>
        <w:tc>
          <w:tcPr>
            <w:tcW w:w="990" w:type="dxa"/>
            <w:tcBorders>
              <w:top w:val="single" w:sz="2" w:space="0" w:color="000000"/>
              <w:left w:val="single" w:sz="2" w:space="0" w:color="000000"/>
              <w:bottom w:val="single" w:sz="2" w:space="0" w:color="000000"/>
              <w:right w:val="single" w:sz="2" w:space="0" w:color="000000"/>
            </w:tcBorders>
            <w:vAlign w:val="center"/>
          </w:tcPr>
          <w:p w:rsidR="004E50E9" w:rsidRPr="00AF06FC" w:rsidP="004E50E9" w14:paraId="761A0BD4" w14:textId="5D7B26EF">
            <w:pPr>
              <w:jc w:val="center"/>
              <w:rPr>
                <w:szCs w:val="24"/>
              </w:rPr>
            </w:pPr>
            <w:r>
              <w:rPr>
                <w:szCs w:val="24"/>
              </w:rPr>
              <w:t>850</w:t>
            </w:r>
          </w:p>
        </w:tc>
        <w:tc>
          <w:tcPr>
            <w:tcW w:w="1980" w:type="dxa"/>
            <w:tcBorders>
              <w:top w:val="single" w:sz="2" w:space="0" w:color="000000"/>
              <w:left w:val="single" w:sz="2" w:space="0" w:color="000000"/>
              <w:bottom w:val="single" w:sz="2" w:space="0" w:color="000000"/>
              <w:right w:val="nil"/>
            </w:tcBorders>
            <w:vAlign w:val="center"/>
          </w:tcPr>
          <w:p w:rsidR="004E50E9" w:rsidRPr="00AF06FC" w:rsidP="004E50E9" w14:paraId="6044C99C" w14:textId="27092318">
            <w:pPr>
              <w:ind w:right="-39"/>
              <w:jc w:val="center"/>
              <w:rPr>
                <w:szCs w:val="24"/>
              </w:rPr>
            </w:pPr>
            <w:r w:rsidRPr="00D41F09">
              <w:rPr>
                <w:szCs w:val="24"/>
              </w:rPr>
              <w:t>$29.76</w:t>
            </w:r>
          </w:p>
        </w:tc>
        <w:tc>
          <w:tcPr>
            <w:tcW w:w="1890" w:type="dxa"/>
            <w:tcBorders>
              <w:top w:val="single" w:sz="2" w:space="0" w:color="000000"/>
              <w:left w:val="single" w:sz="2" w:space="0" w:color="000000"/>
              <w:bottom w:val="single" w:sz="2" w:space="0" w:color="000000"/>
              <w:right w:val="single" w:sz="2" w:space="0" w:color="000000"/>
            </w:tcBorders>
            <w:vAlign w:val="center"/>
          </w:tcPr>
          <w:p w:rsidR="004E50E9" w:rsidRPr="00AF06FC" w:rsidP="004E50E9" w14:paraId="49F760C7" w14:textId="372C5C9C">
            <w:pPr>
              <w:jc w:val="center"/>
              <w:rPr>
                <w:color w:val="000000"/>
                <w:szCs w:val="24"/>
              </w:rPr>
            </w:pPr>
            <w:r w:rsidRPr="00AF06FC">
              <w:rPr>
                <w:szCs w:val="24"/>
              </w:rPr>
              <w:t>$</w:t>
            </w:r>
            <w:r w:rsidR="00D32546">
              <w:rPr>
                <w:szCs w:val="24"/>
              </w:rPr>
              <w:t>25,296.00</w:t>
            </w:r>
          </w:p>
        </w:tc>
      </w:tr>
      <w:tr w14:paraId="746A9052" w14:textId="77777777" w:rsidTr="004E50E9">
        <w:tblPrEx>
          <w:tblW w:w="9447" w:type="dxa"/>
          <w:tblLayout w:type="fixed"/>
          <w:tblCellMar>
            <w:left w:w="129" w:type="dxa"/>
            <w:right w:w="129" w:type="dxa"/>
          </w:tblCellMar>
          <w:tblLook w:val="0000"/>
        </w:tblPrEx>
        <w:trPr>
          <w:cantSplit/>
          <w:trHeight w:val="456"/>
        </w:trPr>
        <w:tc>
          <w:tcPr>
            <w:tcW w:w="2195" w:type="dxa"/>
            <w:tcBorders>
              <w:top w:val="single" w:sz="2" w:space="0" w:color="000000"/>
              <w:left w:val="single" w:sz="2" w:space="0" w:color="000000"/>
              <w:bottom w:val="single" w:sz="4" w:space="0" w:color="auto"/>
              <w:right w:val="nil"/>
            </w:tcBorders>
          </w:tcPr>
          <w:p w:rsidR="004E50E9" w:rsidRPr="00AF06FC" w:rsidP="004E50E9" w14:paraId="238779C1" w14:textId="3CCDA939">
            <w:pPr>
              <w:rPr>
                <w:szCs w:val="24"/>
              </w:rPr>
            </w:pPr>
            <w:r w:rsidRPr="00AF06FC">
              <w:rPr>
                <w:szCs w:val="24"/>
              </w:rPr>
              <w:t>General Public- Adults</w:t>
            </w:r>
          </w:p>
        </w:tc>
        <w:tc>
          <w:tcPr>
            <w:tcW w:w="2392" w:type="dxa"/>
            <w:tcBorders>
              <w:top w:val="single" w:sz="2" w:space="0" w:color="000000"/>
              <w:left w:val="single" w:sz="2" w:space="0" w:color="000000"/>
              <w:bottom w:val="single" w:sz="2" w:space="0" w:color="000000"/>
              <w:right w:val="nil"/>
            </w:tcBorders>
            <w:vAlign w:val="center"/>
          </w:tcPr>
          <w:p w:rsidR="004E50E9" w:rsidRPr="00AF06FC" w:rsidP="004E50E9" w14:paraId="1F569FD5" w14:textId="50E08CA1">
            <w:pPr>
              <w:ind w:left="-39" w:right="51"/>
              <w:rPr>
                <w:szCs w:val="24"/>
              </w:rPr>
            </w:pPr>
            <w:r w:rsidRPr="00AF06FC">
              <w:rPr>
                <w:szCs w:val="24"/>
              </w:rPr>
              <w:t>Focus Group Guide (Att. 4</w:t>
            </w:r>
            <w:r>
              <w:rPr>
                <w:szCs w:val="24"/>
              </w:rPr>
              <w:t>g</w:t>
            </w:r>
            <w:r w:rsidRPr="00AF06FC">
              <w:rPr>
                <w:szCs w:val="24"/>
              </w:rPr>
              <w:t>)</w:t>
            </w:r>
          </w:p>
        </w:tc>
        <w:tc>
          <w:tcPr>
            <w:tcW w:w="990" w:type="dxa"/>
            <w:tcBorders>
              <w:top w:val="single" w:sz="2" w:space="0" w:color="000000"/>
              <w:left w:val="single" w:sz="2" w:space="0" w:color="000000"/>
              <w:bottom w:val="single" w:sz="2" w:space="0" w:color="000000"/>
              <w:right w:val="single" w:sz="2" w:space="0" w:color="000000"/>
            </w:tcBorders>
            <w:vAlign w:val="center"/>
          </w:tcPr>
          <w:p w:rsidR="004E50E9" w:rsidRPr="00AF06FC" w:rsidP="004E50E9" w14:paraId="593E6321" w14:textId="1A1DBE39">
            <w:pPr>
              <w:jc w:val="center"/>
              <w:rPr>
                <w:szCs w:val="24"/>
              </w:rPr>
            </w:pPr>
            <w:r>
              <w:rPr>
                <w:szCs w:val="24"/>
              </w:rPr>
              <w:t>72</w:t>
            </w:r>
          </w:p>
        </w:tc>
        <w:tc>
          <w:tcPr>
            <w:tcW w:w="1980" w:type="dxa"/>
            <w:tcBorders>
              <w:top w:val="single" w:sz="2" w:space="0" w:color="000000"/>
              <w:left w:val="single" w:sz="2" w:space="0" w:color="000000"/>
              <w:bottom w:val="single" w:sz="2" w:space="0" w:color="000000"/>
              <w:right w:val="nil"/>
            </w:tcBorders>
            <w:vAlign w:val="center"/>
          </w:tcPr>
          <w:p w:rsidR="004E50E9" w:rsidRPr="00AF06FC" w:rsidP="004E50E9" w14:paraId="496DBE08" w14:textId="5EC11606">
            <w:pPr>
              <w:ind w:right="-39"/>
              <w:jc w:val="center"/>
              <w:rPr>
                <w:szCs w:val="24"/>
              </w:rPr>
            </w:pPr>
            <w:r w:rsidRPr="00D41F09">
              <w:rPr>
                <w:szCs w:val="24"/>
              </w:rPr>
              <w:t>$29.76</w:t>
            </w:r>
          </w:p>
        </w:tc>
        <w:tc>
          <w:tcPr>
            <w:tcW w:w="1890" w:type="dxa"/>
            <w:tcBorders>
              <w:top w:val="single" w:sz="2" w:space="0" w:color="000000"/>
              <w:left w:val="single" w:sz="2" w:space="0" w:color="000000"/>
              <w:bottom w:val="single" w:sz="2" w:space="0" w:color="000000"/>
              <w:right w:val="single" w:sz="2" w:space="0" w:color="000000"/>
            </w:tcBorders>
            <w:vAlign w:val="center"/>
          </w:tcPr>
          <w:p w:rsidR="004E50E9" w:rsidRPr="00AF06FC" w:rsidP="004E50E9" w14:paraId="122018F8" w14:textId="2F539B88">
            <w:pPr>
              <w:jc w:val="center"/>
              <w:rPr>
                <w:color w:val="000000"/>
                <w:szCs w:val="24"/>
              </w:rPr>
            </w:pPr>
            <w:r w:rsidRPr="00AF06FC">
              <w:rPr>
                <w:szCs w:val="24"/>
              </w:rPr>
              <w:t>$</w:t>
            </w:r>
            <w:r>
              <w:rPr>
                <w:szCs w:val="24"/>
              </w:rPr>
              <w:t>2,</w:t>
            </w:r>
            <w:r w:rsidR="00D32546">
              <w:rPr>
                <w:szCs w:val="24"/>
              </w:rPr>
              <w:t>142.72</w:t>
            </w:r>
          </w:p>
        </w:tc>
      </w:tr>
      <w:tr w14:paraId="47D7D522" w14:textId="77777777" w:rsidTr="004E50E9">
        <w:tblPrEx>
          <w:tblW w:w="9447" w:type="dxa"/>
          <w:tblLayout w:type="fixed"/>
          <w:tblCellMar>
            <w:left w:w="129" w:type="dxa"/>
            <w:right w:w="129" w:type="dxa"/>
          </w:tblCellMar>
          <w:tblLook w:val="0000"/>
        </w:tblPrEx>
        <w:trPr>
          <w:cantSplit/>
          <w:trHeight w:val="456"/>
        </w:trPr>
        <w:tc>
          <w:tcPr>
            <w:tcW w:w="2195" w:type="dxa"/>
            <w:tcBorders>
              <w:top w:val="single" w:sz="2" w:space="0" w:color="000000"/>
              <w:left w:val="single" w:sz="2" w:space="0" w:color="000000"/>
              <w:bottom w:val="single" w:sz="4" w:space="0" w:color="auto"/>
              <w:right w:val="nil"/>
            </w:tcBorders>
          </w:tcPr>
          <w:p w:rsidR="004E50E9" w:rsidRPr="00AF06FC" w:rsidP="004E50E9" w14:paraId="08EFB8B2" w14:textId="4973AC3B">
            <w:pPr>
              <w:rPr>
                <w:szCs w:val="24"/>
              </w:rPr>
            </w:pPr>
            <w:r w:rsidRPr="00AF06FC">
              <w:rPr>
                <w:szCs w:val="24"/>
              </w:rPr>
              <w:t>General Public- Adults</w:t>
            </w:r>
          </w:p>
        </w:tc>
        <w:tc>
          <w:tcPr>
            <w:tcW w:w="2392" w:type="dxa"/>
            <w:tcBorders>
              <w:top w:val="single" w:sz="2" w:space="0" w:color="000000"/>
              <w:left w:val="single" w:sz="2" w:space="0" w:color="000000"/>
              <w:bottom w:val="single" w:sz="2" w:space="0" w:color="000000"/>
              <w:right w:val="nil"/>
            </w:tcBorders>
            <w:vAlign w:val="center"/>
          </w:tcPr>
          <w:p w:rsidR="004E50E9" w:rsidRPr="00AF06FC" w:rsidP="004E50E9" w14:paraId="6F8D37C3" w14:textId="1FC6E32E">
            <w:pPr>
              <w:ind w:left="-39" w:right="51"/>
              <w:rPr>
                <w:szCs w:val="24"/>
              </w:rPr>
            </w:pPr>
            <w:r w:rsidRPr="00AF06FC">
              <w:rPr>
                <w:szCs w:val="24"/>
              </w:rPr>
              <w:t>In-Depth Interview (Att. 4</w:t>
            </w:r>
            <w:r>
              <w:rPr>
                <w:szCs w:val="24"/>
              </w:rPr>
              <w:t>h</w:t>
            </w:r>
            <w:r w:rsidRPr="00AF06FC">
              <w:rPr>
                <w:szCs w:val="24"/>
              </w:rPr>
              <w:t>)</w:t>
            </w:r>
          </w:p>
        </w:tc>
        <w:tc>
          <w:tcPr>
            <w:tcW w:w="990" w:type="dxa"/>
            <w:tcBorders>
              <w:top w:val="single" w:sz="2" w:space="0" w:color="000000"/>
              <w:left w:val="single" w:sz="2" w:space="0" w:color="000000"/>
              <w:bottom w:val="single" w:sz="2" w:space="0" w:color="000000"/>
              <w:right w:val="single" w:sz="2" w:space="0" w:color="000000"/>
            </w:tcBorders>
            <w:vAlign w:val="center"/>
          </w:tcPr>
          <w:p w:rsidR="004E50E9" w:rsidRPr="00AF06FC" w:rsidP="004E50E9" w14:paraId="17A12F66" w14:textId="4CBD9BAE">
            <w:pPr>
              <w:jc w:val="center"/>
              <w:rPr>
                <w:szCs w:val="24"/>
              </w:rPr>
            </w:pPr>
            <w:r>
              <w:rPr>
                <w:szCs w:val="24"/>
              </w:rPr>
              <w:t>45</w:t>
            </w:r>
          </w:p>
        </w:tc>
        <w:tc>
          <w:tcPr>
            <w:tcW w:w="1980" w:type="dxa"/>
            <w:tcBorders>
              <w:top w:val="single" w:sz="2" w:space="0" w:color="000000"/>
              <w:left w:val="single" w:sz="2" w:space="0" w:color="000000"/>
              <w:bottom w:val="single" w:sz="2" w:space="0" w:color="000000"/>
              <w:right w:val="nil"/>
            </w:tcBorders>
            <w:vAlign w:val="center"/>
          </w:tcPr>
          <w:p w:rsidR="004E50E9" w:rsidRPr="00AF06FC" w:rsidP="004E50E9" w14:paraId="1DA423C3" w14:textId="568715EF">
            <w:pPr>
              <w:ind w:right="-39"/>
              <w:jc w:val="center"/>
              <w:rPr>
                <w:szCs w:val="24"/>
              </w:rPr>
            </w:pPr>
            <w:r w:rsidRPr="00D41F09">
              <w:rPr>
                <w:szCs w:val="24"/>
              </w:rPr>
              <w:t>$29.76</w:t>
            </w:r>
          </w:p>
        </w:tc>
        <w:tc>
          <w:tcPr>
            <w:tcW w:w="1890" w:type="dxa"/>
            <w:tcBorders>
              <w:top w:val="single" w:sz="2" w:space="0" w:color="000000"/>
              <w:left w:val="single" w:sz="2" w:space="0" w:color="000000"/>
              <w:bottom w:val="single" w:sz="2" w:space="0" w:color="000000"/>
              <w:right w:val="single" w:sz="2" w:space="0" w:color="000000"/>
            </w:tcBorders>
            <w:vAlign w:val="center"/>
          </w:tcPr>
          <w:p w:rsidR="004E50E9" w:rsidRPr="00AF06FC" w:rsidP="004E50E9" w14:paraId="3CFCC329" w14:textId="2C347A9E">
            <w:pPr>
              <w:jc w:val="center"/>
              <w:rPr>
                <w:color w:val="000000"/>
                <w:szCs w:val="24"/>
              </w:rPr>
            </w:pPr>
            <w:r w:rsidRPr="00AF06FC">
              <w:rPr>
                <w:szCs w:val="24"/>
              </w:rPr>
              <w:t>$</w:t>
            </w:r>
            <w:r>
              <w:rPr>
                <w:szCs w:val="24"/>
              </w:rPr>
              <w:t>1,</w:t>
            </w:r>
            <w:r w:rsidR="00D32546">
              <w:rPr>
                <w:szCs w:val="24"/>
              </w:rPr>
              <w:t>339.20</w:t>
            </w:r>
          </w:p>
        </w:tc>
      </w:tr>
      <w:tr w14:paraId="1ADA76E3" w14:textId="77777777" w:rsidTr="00AA78EA">
        <w:tblPrEx>
          <w:tblW w:w="9447" w:type="dxa"/>
          <w:tblLayout w:type="fixed"/>
          <w:tblCellMar>
            <w:left w:w="129" w:type="dxa"/>
            <w:right w:w="129" w:type="dxa"/>
          </w:tblCellMar>
          <w:tblLook w:val="0000"/>
        </w:tblPrEx>
        <w:trPr>
          <w:cantSplit/>
          <w:trHeight w:val="228"/>
        </w:trPr>
        <w:tc>
          <w:tcPr>
            <w:tcW w:w="9447" w:type="dxa"/>
            <w:gridSpan w:val="5"/>
            <w:tcBorders>
              <w:top w:val="single" w:sz="2" w:space="0" w:color="000000"/>
              <w:left w:val="single" w:sz="2" w:space="0" w:color="000000"/>
              <w:bottom w:val="single" w:sz="2" w:space="0" w:color="000000"/>
              <w:right w:val="single" w:sz="2" w:space="0" w:color="000000"/>
            </w:tcBorders>
          </w:tcPr>
          <w:p w:rsidR="00AA78EA" w:rsidRPr="00AF06FC" w:rsidP="003E3747" w14:paraId="5C433F26" w14:textId="21FB87F5">
            <w:pPr>
              <w:ind w:right="224"/>
              <w:jc w:val="right"/>
              <w:rPr>
                <w:b/>
                <w:szCs w:val="24"/>
              </w:rPr>
            </w:pPr>
            <w:r w:rsidRPr="00AF06FC">
              <w:rPr>
                <w:b/>
                <w:szCs w:val="24"/>
              </w:rPr>
              <w:t>Total $</w:t>
            </w:r>
            <w:r w:rsidR="00D32546">
              <w:rPr>
                <w:b/>
                <w:szCs w:val="24"/>
              </w:rPr>
              <w:t>128,920.30</w:t>
            </w:r>
          </w:p>
        </w:tc>
      </w:tr>
    </w:tbl>
    <w:p w:rsidR="00AA78EA" w:rsidRPr="00FF7010" w:rsidP="000A4126" w14:paraId="60016228" w14:textId="77777777">
      <w:pPr>
        <w:pStyle w:val="NoSpacing"/>
        <w:tabs>
          <w:tab w:val="left" w:pos="360"/>
        </w:tabs>
        <w:rPr>
          <w:rFonts w:cs="Times New Roman"/>
          <w:b/>
          <w:bCs/>
          <w:szCs w:val="24"/>
        </w:rPr>
      </w:pPr>
    </w:p>
    <w:p w:rsidR="00AA78EA" w:rsidRPr="00FF7010" w:rsidP="00BE2055" w14:paraId="2BA9C9B5" w14:textId="12E69521">
      <w:pPr>
        <w:pStyle w:val="Heading1"/>
        <w:numPr>
          <w:ilvl w:val="0"/>
          <w:numId w:val="0"/>
        </w:numPr>
        <w:spacing w:before="0"/>
        <w:rPr>
          <w:rFonts w:cs="Times New Roman"/>
          <w:szCs w:val="24"/>
        </w:rPr>
      </w:pPr>
      <w:bookmarkStart w:id="36" w:name="_13.__"/>
      <w:bookmarkStart w:id="37" w:name="_Toc485202308"/>
      <w:bookmarkEnd w:id="36"/>
      <w:r w:rsidRPr="00FF7010">
        <w:rPr>
          <w:rFonts w:cs="Times New Roman"/>
          <w:szCs w:val="24"/>
        </w:rPr>
        <w:t>13.   Estimates of Other Total Annual Cost Burden to Respondents and Record Keepers</w:t>
      </w:r>
      <w:bookmarkEnd w:id="37"/>
    </w:p>
    <w:p w:rsidR="00AA78EA" w:rsidRPr="00FF7010" w:rsidP="00BE2055" w14:paraId="2BABEF4F" w14:textId="77777777">
      <w:pPr>
        <w:rPr>
          <w:szCs w:val="24"/>
        </w:rPr>
      </w:pPr>
    </w:p>
    <w:p w:rsidR="00AA78EA" w:rsidRPr="00FF7010" w:rsidP="00AA78EA" w14:paraId="7E087945" w14:textId="77777777">
      <w:pPr>
        <w:rPr>
          <w:szCs w:val="24"/>
        </w:rPr>
      </w:pPr>
      <w:r w:rsidRPr="00FF7010">
        <w:rPr>
          <w:szCs w:val="24"/>
        </w:rPr>
        <w:t>There are no other costs to respondents for participating in this survey.</w:t>
      </w:r>
    </w:p>
    <w:p w:rsidR="00AA78EA" w:rsidRPr="00FF7010" w:rsidP="00AA78EA" w14:paraId="26214886" w14:textId="77777777">
      <w:pPr>
        <w:rPr>
          <w:szCs w:val="24"/>
        </w:rPr>
      </w:pPr>
    </w:p>
    <w:p w:rsidR="00AA78EA" w:rsidRPr="00FF7010" w:rsidP="00BE2055" w14:paraId="65E80B47" w14:textId="0299F372">
      <w:pPr>
        <w:pStyle w:val="Heading1"/>
        <w:numPr>
          <w:ilvl w:val="0"/>
          <w:numId w:val="0"/>
        </w:numPr>
        <w:spacing w:before="0"/>
        <w:rPr>
          <w:rFonts w:cs="Times New Roman"/>
          <w:szCs w:val="24"/>
        </w:rPr>
      </w:pPr>
      <w:bookmarkStart w:id="38" w:name="_14.__"/>
      <w:bookmarkStart w:id="39" w:name="_Toc485202309"/>
      <w:bookmarkEnd w:id="38"/>
      <w:r w:rsidRPr="00FF7010">
        <w:rPr>
          <w:rFonts w:cs="Times New Roman"/>
          <w:szCs w:val="24"/>
        </w:rPr>
        <w:t>14.   Annualized Cost to the Federal Government</w:t>
      </w:r>
      <w:bookmarkEnd w:id="39"/>
    </w:p>
    <w:p w:rsidR="00AA78EA" w:rsidRPr="00FF7010" w:rsidP="00AA78EA" w14:paraId="12059164" w14:textId="77777777">
      <w:pPr>
        <w:rPr>
          <w:szCs w:val="24"/>
        </w:rPr>
      </w:pPr>
    </w:p>
    <w:p w:rsidR="00AA78EA" w:rsidRPr="00FF7010" w:rsidP="00540BBC" w14:paraId="4D4305E9" w14:textId="67863E8C">
      <w:pPr>
        <w:autoSpaceDE w:val="0"/>
        <w:autoSpaceDN w:val="0"/>
        <w:adjustRightInd w:val="0"/>
        <w:contextualSpacing/>
        <w:rPr>
          <w:szCs w:val="24"/>
        </w:rPr>
      </w:pPr>
      <w:r w:rsidRPr="00FF7010">
        <w:rPr>
          <w:szCs w:val="24"/>
        </w:rPr>
        <w:t>The annual cost to the government for the data collection is estimated to be $</w:t>
      </w:r>
      <w:r w:rsidRPr="00FF7010" w:rsidR="00ED293D">
        <w:rPr>
          <w:szCs w:val="24"/>
        </w:rPr>
        <w:t>1,583,732</w:t>
      </w:r>
      <w:r w:rsidRPr="00FF7010">
        <w:rPr>
          <w:szCs w:val="24"/>
        </w:rPr>
        <w:t xml:space="preserve"> (Exhibit 14.1). </w:t>
      </w:r>
    </w:p>
    <w:p w:rsidR="00AA78EA" w:rsidRPr="00FF7010" w:rsidP="00AA78EA" w14:paraId="1F469EDA" w14:textId="77777777">
      <w:pPr>
        <w:rPr>
          <w:b/>
          <w:szCs w:val="24"/>
        </w:rPr>
      </w:pPr>
      <w:bookmarkStart w:id="40" w:name="Exhibit141"/>
      <w:bookmarkEnd w:id="40"/>
      <w:r w:rsidRPr="00FF7010">
        <w:rPr>
          <w:b/>
          <w:szCs w:val="24"/>
        </w:rPr>
        <w:t>Exhibit 14.1: Annualized Cost to the Government</w:t>
      </w:r>
    </w:p>
    <w:tbl>
      <w:tblPr>
        <w:tblW w:w="0" w:type="auto"/>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
      <w:tblGrid>
        <w:gridCol w:w="1980"/>
        <w:gridCol w:w="5480"/>
        <w:gridCol w:w="1895"/>
      </w:tblGrid>
      <w:tr w14:paraId="3D42B3A1" w14:textId="77777777" w:rsidTr="003E3747">
        <w:tblPrEx>
          <w:tblW w:w="0" w:type="auto"/>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Ex>
        <w:tc>
          <w:tcPr>
            <w:tcW w:w="1980" w:type="dxa"/>
          </w:tcPr>
          <w:p w:rsidR="00B87058" w:rsidRPr="00FF7010" w:rsidP="003E3747" w14:paraId="3D2B03A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4"/>
              </w:rPr>
            </w:pPr>
            <w:r w:rsidRPr="00FF7010">
              <w:rPr>
                <w:b/>
                <w:bCs/>
                <w:szCs w:val="24"/>
              </w:rPr>
              <w:t>Expense Type</w:t>
            </w:r>
          </w:p>
        </w:tc>
        <w:tc>
          <w:tcPr>
            <w:tcW w:w="5480" w:type="dxa"/>
          </w:tcPr>
          <w:p w:rsidR="00B87058" w:rsidRPr="00FF7010" w:rsidP="003E3747" w14:paraId="3637C92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FF7010">
              <w:rPr>
                <w:b/>
                <w:bCs/>
                <w:szCs w:val="24"/>
              </w:rPr>
              <w:t>Expense Explanation</w:t>
            </w:r>
          </w:p>
        </w:tc>
        <w:tc>
          <w:tcPr>
            <w:tcW w:w="1895" w:type="dxa"/>
          </w:tcPr>
          <w:p w:rsidR="00B87058" w:rsidRPr="00FF7010" w:rsidP="003E3747" w14:paraId="152BB7F4" w14:textId="77777777">
            <w:pPr>
              <w:tabs>
                <w:tab w:val="center" w:pos="4320"/>
                <w:tab w:val="right" w:pos="8640"/>
              </w:tabs>
              <w:spacing w:line="50" w:lineRule="exact"/>
              <w:rPr>
                <w:szCs w:val="24"/>
              </w:rPr>
            </w:pPr>
          </w:p>
          <w:p w:rsidR="00B87058" w:rsidRPr="00FF7010" w:rsidP="003E3747" w14:paraId="493CD1A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szCs w:val="24"/>
              </w:rPr>
            </w:pPr>
            <w:r w:rsidRPr="00FF7010">
              <w:rPr>
                <w:b/>
                <w:bCs/>
                <w:szCs w:val="24"/>
              </w:rPr>
              <w:t>Annual Costs (dollars)</w:t>
            </w:r>
          </w:p>
        </w:tc>
      </w:tr>
      <w:tr w14:paraId="260179AC" w14:textId="77777777" w:rsidTr="003E3747">
        <w:tblPrEx>
          <w:tblW w:w="0" w:type="auto"/>
          <w:tblInd w:w="-5" w:type="dxa"/>
          <w:tblLook w:val="01E0"/>
        </w:tblPrEx>
        <w:tc>
          <w:tcPr>
            <w:tcW w:w="1980" w:type="dxa"/>
            <w:vMerge w:val="restart"/>
          </w:tcPr>
          <w:p w:rsidR="0099456B" w:rsidRPr="00FF7010" w:rsidP="003E3747" w14:paraId="42F1EC6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FF7010">
              <w:rPr>
                <w:szCs w:val="24"/>
              </w:rPr>
              <w:t>Direct Costs to the Federal Government</w:t>
            </w:r>
          </w:p>
        </w:tc>
        <w:tc>
          <w:tcPr>
            <w:tcW w:w="5480" w:type="dxa"/>
            <w:vAlign w:val="center"/>
          </w:tcPr>
          <w:p w:rsidR="0099456B" w:rsidRPr="00FF7010" w:rsidP="003E3747" w14:paraId="5607C945" w14:textId="1829F6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FF7010">
              <w:rPr>
                <w:szCs w:val="24"/>
              </w:rPr>
              <w:t>CDC, Project Officer (GS-14 0.40 FTE)</w:t>
            </w:r>
          </w:p>
        </w:tc>
        <w:tc>
          <w:tcPr>
            <w:tcW w:w="1895" w:type="dxa"/>
            <w:vAlign w:val="center"/>
          </w:tcPr>
          <w:p w:rsidR="0099456B" w:rsidRPr="00FF7010" w:rsidP="003E3747" w14:paraId="03C13456" w14:textId="2A63E5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szCs w:val="24"/>
              </w:rPr>
            </w:pPr>
            <w:r w:rsidRPr="00FF7010">
              <w:rPr>
                <w:szCs w:val="24"/>
              </w:rPr>
              <w:t>$49,163</w:t>
            </w:r>
          </w:p>
        </w:tc>
      </w:tr>
      <w:tr w14:paraId="561DBFC0" w14:textId="77777777" w:rsidTr="003E3747">
        <w:tblPrEx>
          <w:tblW w:w="0" w:type="auto"/>
          <w:tblInd w:w="-5" w:type="dxa"/>
          <w:tblLook w:val="01E0"/>
        </w:tblPrEx>
        <w:tc>
          <w:tcPr>
            <w:tcW w:w="1980" w:type="dxa"/>
            <w:vMerge/>
          </w:tcPr>
          <w:p w:rsidR="0099456B" w:rsidRPr="00FF7010" w:rsidP="003E3747" w14:paraId="21A5785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tc>
        <w:tc>
          <w:tcPr>
            <w:tcW w:w="5480" w:type="dxa"/>
            <w:vAlign w:val="center"/>
          </w:tcPr>
          <w:p w:rsidR="0099456B" w:rsidRPr="00FF7010" w:rsidP="003E3747" w14:paraId="6405F4DF" w14:textId="43AD2E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FF7010">
              <w:rPr>
                <w:szCs w:val="24"/>
              </w:rPr>
              <w:t>CDC Scientist (GS-14, 0.20 FTE)</w:t>
            </w:r>
          </w:p>
        </w:tc>
        <w:tc>
          <w:tcPr>
            <w:tcW w:w="1895" w:type="dxa"/>
            <w:vAlign w:val="center"/>
          </w:tcPr>
          <w:p w:rsidR="0099456B" w:rsidRPr="00FF7010" w:rsidP="003E3747" w14:paraId="538FFE5B" w14:textId="48DDE4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szCs w:val="24"/>
              </w:rPr>
            </w:pPr>
            <w:r w:rsidRPr="00FF7010">
              <w:rPr>
                <w:szCs w:val="24"/>
              </w:rPr>
              <w:t>$24,582</w:t>
            </w:r>
          </w:p>
        </w:tc>
      </w:tr>
      <w:tr w14:paraId="3167A0FA" w14:textId="77777777" w:rsidTr="003E3747">
        <w:tblPrEx>
          <w:tblW w:w="0" w:type="auto"/>
          <w:tblInd w:w="-5" w:type="dxa"/>
          <w:tblLook w:val="01E0"/>
        </w:tblPrEx>
        <w:tc>
          <w:tcPr>
            <w:tcW w:w="1980" w:type="dxa"/>
            <w:vMerge/>
          </w:tcPr>
          <w:p w:rsidR="0099456B" w:rsidRPr="00FF7010" w:rsidP="003E3747" w14:paraId="4E5208A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tc>
        <w:tc>
          <w:tcPr>
            <w:tcW w:w="5480" w:type="dxa"/>
            <w:vAlign w:val="center"/>
          </w:tcPr>
          <w:p w:rsidR="0099456B" w:rsidRPr="00FF7010" w:rsidP="003E3747" w14:paraId="3C23020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FF7010">
              <w:rPr>
                <w:szCs w:val="24"/>
              </w:rPr>
              <w:t xml:space="preserve">CDC Project Coordinator (GS-12, 0.40 FTE) </w:t>
            </w:r>
          </w:p>
        </w:tc>
        <w:tc>
          <w:tcPr>
            <w:tcW w:w="1895" w:type="dxa"/>
            <w:vAlign w:val="center"/>
          </w:tcPr>
          <w:p w:rsidR="0099456B" w:rsidRPr="00FF7010" w:rsidP="003E3747" w14:paraId="26129194" w14:textId="551837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szCs w:val="24"/>
              </w:rPr>
            </w:pPr>
            <w:r w:rsidRPr="00FF7010">
              <w:rPr>
                <w:szCs w:val="24"/>
              </w:rPr>
              <w:t>$34,987</w:t>
            </w:r>
          </w:p>
        </w:tc>
      </w:tr>
      <w:tr w14:paraId="4FEF936F" w14:textId="77777777" w:rsidTr="003E3747">
        <w:tblPrEx>
          <w:tblW w:w="0" w:type="auto"/>
          <w:tblInd w:w="-5" w:type="dxa"/>
          <w:tblLook w:val="01E0"/>
        </w:tblPrEx>
        <w:tc>
          <w:tcPr>
            <w:tcW w:w="1980" w:type="dxa"/>
            <w:vMerge/>
          </w:tcPr>
          <w:p w:rsidR="0099456B" w:rsidRPr="00FF7010" w:rsidP="003E3747" w14:paraId="6F9751D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tc>
        <w:tc>
          <w:tcPr>
            <w:tcW w:w="5480" w:type="dxa"/>
            <w:vAlign w:val="center"/>
          </w:tcPr>
          <w:p w:rsidR="0099456B" w:rsidRPr="00FF7010" w:rsidP="003E3747" w14:paraId="1B2C6A3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FF7010">
              <w:rPr>
                <w:b/>
                <w:szCs w:val="24"/>
              </w:rPr>
              <w:t xml:space="preserve">           Subtotal, Direct Costs</w:t>
            </w:r>
          </w:p>
        </w:tc>
        <w:tc>
          <w:tcPr>
            <w:tcW w:w="1895" w:type="dxa"/>
            <w:vAlign w:val="center"/>
          </w:tcPr>
          <w:p w:rsidR="0099456B" w:rsidRPr="00FF7010" w:rsidP="003E3747" w14:paraId="11F3C595" w14:textId="1255AD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szCs w:val="24"/>
              </w:rPr>
            </w:pPr>
            <w:r w:rsidRPr="00FF7010">
              <w:rPr>
                <w:b/>
                <w:szCs w:val="24"/>
              </w:rPr>
              <w:t>$108,732</w:t>
            </w:r>
          </w:p>
        </w:tc>
      </w:tr>
      <w:tr w14:paraId="68DC35C7" w14:textId="77777777" w:rsidTr="003E3747">
        <w:tblPrEx>
          <w:tblW w:w="0" w:type="auto"/>
          <w:tblInd w:w="-5" w:type="dxa"/>
          <w:tblLook w:val="01E0"/>
        </w:tblPrEx>
        <w:tc>
          <w:tcPr>
            <w:tcW w:w="1980" w:type="dxa"/>
          </w:tcPr>
          <w:p w:rsidR="00B87058" w:rsidRPr="00FF7010" w:rsidP="003E3747" w14:paraId="34F7ECE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FF7010">
              <w:rPr>
                <w:szCs w:val="24"/>
              </w:rPr>
              <w:t xml:space="preserve">Cooperative Agreement Costs </w:t>
            </w:r>
          </w:p>
        </w:tc>
        <w:tc>
          <w:tcPr>
            <w:tcW w:w="5480" w:type="dxa"/>
            <w:vAlign w:val="center"/>
          </w:tcPr>
          <w:p w:rsidR="00B87058" w:rsidRPr="00FF7010" w:rsidP="003E3747" w14:paraId="2648431F" w14:textId="559C99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FF7010">
              <w:rPr>
                <w:b/>
                <w:szCs w:val="24"/>
              </w:rPr>
              <w:t>Annual Cooperative Agreement #PS</w:t>
            </w:r>
            <w:r w:rsidRPr="00FF7010" w:rsidR="00546EFB">
              <w:rPr>
                <w:b/>
                <w:szCs w:val="24"/>
              </w:rPr>
              <w:t>22</w:t>
            </w:r>
            <w:r w:rsidRPr="00FF7010">
              <w:rPr>
                <w:b/>
                <w:szCs w:val="24"/>
              </w:rPr>
              <w:t>-00</w:t>
            </w:r>
            <w:r w:rsidRPr="00FF7010" w:rsidR="00546EFB">
              <w:rPr>
                <w:b/>
                <w:szCs w:val="24"/>
              </w:rPr>
              <w:t>4</w:t>
            </w:r>
            <w:r w:rsidRPr="00FF7010">
              <w:rPr>
                <w:b/>
                <w:szCs w:val="24"/>
              </w:rPr>
              <w:t xml:space="preserve"> Costs                 </w:t>
            </w:r>
          </w:p>
        </w:tc>
        <w:tc>
          <w:tcPr>
            <w:tcW w:w="1895" w:type="dxa"/>
            <w:vAlign w:val="center"/>
          </w:tcPr>
          <w:p w:rsidR="00B87058" w:rsidRPr="00491ED0" w:rsidP="003E3747" w14:paraId="3D43B0A3" w14:textId="4E3C59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szCs w:val="24"/>
              </w:rPr>
            </w:pPr>
            <w:r w:rsidRPr="00491ED0">
              <w:rPr>
                <w:b/>
                <w:szCs w:val="24"/>
              </w:rPr>
              <w:t>$</w:t>
            </w:r>
            <w:r w:rsidRPr="00491ED0" w:rsidR="00377857">
              <w:rPr>
                <w:rFonts w:eastAsiaTheme="minorHAnsi"/>
                <w:b/>
                <w:szCs w:val="24"/>
              </w:rPr>
              <w:t>1,475,000</w:t>
            </w:r>
          </w:p>
        </w:tc>
      </w:tr>
      <w:tr w14:paraId="1E5595DB" w14:textId="77777777" w:rsidTr="003E3747">
        <w:tblPrEx>
          <w:tblW w:w="0" w:type="auto"/>
          <w:tblInd w:w="-5" w:type="dxa"/>
          <w:tblLook w:val="01E0"/>
        </w:tblPrEx>
        <w:tc>
          <w:tcPr>
            <w:tcW w:w="1980" w:type="dxa"/>
          </w:tcPr>
          <w:p w:rsidR="00B87058" w:rsidRPr="00FF7010" w:rsidP="003E3747" w14:paraId="630807F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tc>
        <w:tc>
          <w:tcPr>
            <w:tcW w:w="5480" w:type="dxa"/>
          </w:tcPr>
          <w:p w:rsidR="00B87058" w:rsidRPr="00FF7010" w:rsidP="003E3747" w14:paraId="462614B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FF7010">
              <w:rPr>
                <w:b/>
                <w:szCs w:val="24"/>
              </w:rPr>
              <w:t>ANNUALIZED COST TO THE GOVERNMENT</w:t>
            </w:r>
          </w:p>
        </w:tc>
        <w:tc>
          <w:tcPr>
            <w:tcW w:w="1895" w:type="dxa"/>
          </w:tcPr>
          <w:p w:rsidR="00B87058" w:rsidRPr="00FF7010" w:rsidP="003E3747" w14:paraId="3DF5EB6D" w14:textId="43033D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szCs w:val="24"/>
              </w:rPr>
            </w:pPr>
            <w:r w:rsidRPr="00FF7010">
              <w:rPr>
                <w:b/>
                <w:szCs w:val="24"/>
              </w:rPr>
              <w:t>$</w:t>
            </w:r>
            <w:r w:rsidRPr="00FF7010" w:rsidR="00F71A1D">
              <w:rPr>
                <w:b/>
                <w:szCs w:val="24"/>
              </w:rPr>
              <w:t>1,583,732</w:t>
            </w:r>
          </w:p>
        </w:tc>
      </w:tr>
    </w:tbl>
    <w:p w:rsidR="00AA78EA" w:rsidP="000A4126" w14:paraId="3D86B16E" w14:textId="5670EC84">
      <w:pPr>
        <w:pStyle w:val="NoSpacing"/>
        <w:tabs>
          <w:tab w:val="left" w:pos="360"/>
        </w:tabs>
        <w:rPr>
          <w:rFonts w:cs="Times New Roman"/>
          <w:b/>
          <w:bCs/>
          <w:szCs w:val="24"/>
        </w:rPr>
      </w:pPr>
    </w:p>
    <w:p w:rsidR="00A75BBC" w:rsidRPr="00FF7010" w:rsidP="000A4126" w14:paraId="02CC94DE" w14:textId="77777777">
      <w:pPr>
        <w:pStyle w:val="NoSpacing"/>
        <w:tabs>
          <w:tab w:val="left" w:pos="360"/>
        </w:tabs>
        <w:rPr>
          <w:rFonts w:cs="Times New Roman"/>
          <w:b/>
          <w:bCs/>
          <w:szCs w:val="24"/>
        </w:rPr>
      </w:pPr>
    </w:p>
    <w:p w:rsidR="00B87058" w:rsidRPr="00FF7010" w:rsidP="00B87058" w14:paraId="751C1183" w14:textId="5957B8D1">
      <w:pPr>
        <w:pStyle w:val="NoSpacing"/>
        <w:tabs>
          <w:tab w:val="left" w:pos="360"/>
        </w:tabs>
        <w:rPr>
          <w:rFonts w:cs="Times New Roman"/>
          <w:b/>
          <w:bCs/>
          <w:szCs w:val="24"/>
        </w:rPr>
      </w:pPr>
      <w:r w:rsidRPr="00FF7010">
        <w:rPr>
          <w:rFonts w:cs="Times New Roman"/>
          <w:b/>
          <w:bCs/>
          <w:szCs w:val="24"/>
        </w:rPr>
        <w:t>15.</w:t>
      </w:r>
      <w:r w:rsidRPr="00FF7010">
        <w:rPr>
          <w:rFonts w:cs="Times New Roman"/>
          <w:b/>
          <w:bCs/>
          <w:szCs w:val="24"/>
        </w:rPr>
        <w:tab/>
        <w:t xml:space="preserve"> </w:t>
      </w:r>
      <w:bookmarkStart w:id="41" w:name="ExplanationChanges15"/>
      <w:r w:rsidRPr="00FF7010">
        <w:rPr>
          <w:rFonts w:cs="Times New Roman"/>
          <w:b/>
          <w:bCs/>
          <w:szCs w:val="24"/>
        </w:rPr>
        <w:t>Explanation for Program Changes or Adjustments</w:t>
      </w:r>
    </w:p>
    <w:bookmarkEnd w:id="41"/>
    <w:p w:rsidR="00B87058" w:rsidRPr="00FF7010" w:rsidP="00B87058" w14:paraId="50D8B40B" w14:textId="77777777">
      <w:pPr>
        <w:pStyle w:val="NoSpacing"/>
        <w:tabs>
          <w:tab w:val="left" w:pos="360"/>
        </w:tabs>
        <w:rPr>
          <w:rFonts w:cs="Times New Roman"/>
          <w:b/>
          <w:bCs/>
          <w:szCs w:val="24"/>
        </w:rPr>
      </w:pPr>
    </w:p>
    <w:p w:rsidR="00B87058" w:rsidRPr="00FF7010" w:rsidP="00B87058" w14:paraId="23F97B73" w14:textId="1D90DC14">
      <w:pPr>
        <w:pStyle w:val="NoSpacing"/>
        <w:tabs>
          <w:tab w:val="left" w:pos="360"/>
        </w:tabs>
        <w:rPr>
          <w:rFonts w:cs="Times New Roman"/>
          <w:szCs w:val="24"/>
        </w:rPr>
      </w:pPr>
      <w:r w:rsidRPr="00FF7010">
        <w:rPr>
          <w:rFonts w:cs="Times New Roman"/>
          <w:szCs w:val="24"/>
        </w:rPr>
        <w:t>This is a new information collection request (ICR).</w:t>
      </w:r>
    </w:p>
    <w:p w:rsidR="00AA78EA" w:rsidRPr="00FF7010" w:rsidP="000A4126" w14:paraId="5A08C17C" w14:textId="155A03B1">
      <w:pPr>
        <w:pStyle w:val="NoSpacing"/>
        <w:tabs>
          <w:tab w:val="left" w:pos="360"/>
        </w:tabs>
        <w:rPr>
          <w:rFonts w:cs="Times New Roman"/>
          <w:b/>
          <w:bCs/>
          <w:szCs w:val="24"/>
        </w:rPr>
      </w:pPr>
    </w:p>
    <w:p w:rsidR="00B87058" w:rsidRPr="00FF7010" w:rsidP="000A4126" w14:paraId="394C6801" w14:textId="6F8C083B">
      <w:pPr>
        <w:pStyle w:val="NoSpacing"/>
        <w:tabs>
          <w:tab w:val="left" w:pos="360"/>
        </w:tabs>
        <w:rPr>
          <w:rFonts w:cs="Times New Roman"/>
          <w:b/>
          <w:bCs/>
          <w:szCs w:val="24"/>
        </w:rPr>
      </w:pPr>
      <w:r w:rsidRPr="00FF7010">
        <w:rPr>
          <w:rFonts w:cs="Times New Roman"/>
          <w:b/>
          <w:bCs/>
          <w:szCs w:val="24"/>
        </w:rPr>
        <w:t>16.</w:t>
      </w:r>
      <w:r w:rsidRPr="00FF7010">
        <w:rPr>
          <w:rFonts w:cs="Times New Roman"/>
          <w:b/>
          <w:bCs/>
          <w:szCs w:val="24"/>
        </w:rPr>
        <w:tab/>
        <w:t xml:space="preserve"> </w:t>
      </w:r>
      <w:bookmarkStart w:id="42" w:name="PlansForTabulation16"/>
      <w:r w:rsidRPr="00FF7010">
        <w:rPr>
          <w:rFonts w:cs="Times New Roman"/>
          <w:b/>
          <w:bCs/>
          <w:szCs w:val="24"/>
        </w:rPr>
        <w:t>Plans for Tabulation and Publication and Project Time Schedule</w:t>
      </w:r>
      <w:bookmarkEnd w:id="42"/>
    </w:p>
    <w:p w:rsidR="00B87058" w:rsidRPr="00FF7010" w:rsidP="000A4126" w14:paraId="1F3913F4" w14:textId="24469E97">
      <w:pPr>
        <w:pStyle w:val="NoSpacing"/>
        <w:tabs>
          <w:tab w:val="left" w:pos="360"/>
        </w:tabs>
        <w:rPr>
          <w:rFonts w:cs="Times New Roman"/>
          <w:szCs w:val="24"/>
        </w:rPr>
      </w:pPr>
      <w:r>
        <w:rPr>
          <w:rFonts w:cs="Times New Roman"/>
          <w:szCs w:val="24"/>
        </w:rPr>
        <w:t>Our</w:t>
      </w:r>
      <w:r w:rsidRPr="00FF7010" w:rsidR="002D53EA">
        <w:rPr>
          <w:rFonts w:cs="Times New Roman"/>
          <w:szCs w:val="24"/>
        </w:rPr>
        <w:t xml:space="preserve"> </w:t>
      </w:r>
      <w:r w:rsidR="00E807D7">
        <w:rPr>
          <w:rFonts w:cs="Times New Roman"/>
          <w:szCs w:val="24"/>
        </w:rPr>
        <w:t>analytic</w:t>
      </w:r>
      <w:r w:rsidRPr="00FF7010" w:rsidR="002D53EA">
        <w:rPr>
          <w:rFonts w:cs="Times New Roman"/>
          <w:szCs w:val="24"/>
        </w:rPr>
        <w:t xml:space="preserve"> plans for the study include descriptive analysis and rapid reporting</w:t>
      </w:r>
      <w:r w:rsidRPr="00FF7010" w:rsidR="00912980">
        <w:rPr>
          <w:rFonts w:cs="Times New Roman"/>
          <w:szCs w:val="24"/>
        </w:rPr>
        <w:t xml:space="preserve">. We will use </w:t>
      </w:r>
      <w:r w:rsidRPr="00FF7010" w:rsidR="004F6265">
        <w:rPr>
          <w:rFonts w:cs="Times New Roman"/>
          <w:szCs w:val="24"/>
        </w:rPr>
        <w:t xml:space="preserve">latent class analysis to identify </w:t>
      </w:r>
      <w:r w:rsidRPr="00FF7010" w:rsidR="0045004B">
        <w:rPr>
          <w:rFonts w:cs="Times New Roman"/>
          <w:szCs w:val="24"/>
        </w:rPr>
        <w:t xml:space="preserve">classes of PrEP use patterns, consistency of use and efficacy beliefs; </w:t>
      </w:r>
      <w:r w:rsidRPr="00FF7010" w:rsidR="00912980">
        <w:rPr>
          <w:rFonts w:cs="Times New Roman"/>
          <w:szCs w:val="24"/>
        </w:rPr>
        <w:t xml:space="preserve">and </w:t>
      </w:r>
      <w:r w:rsidRPr="00FF7010" w:rsidR="00CF6146">
        <w:rPr>
          <w:rFonts w:cs="Times New Roman"/>
          <w:szCs w:val="24"/>
        </w:rPr>
        <w:t>discrete choice experiment to quantify the strengths of pre</w:t>
      </w:r>
      <w:r w:rsidRPr="00FF7010" w:rsidR="00D12E5A">
        <w:rPr>
          <w:rFonts w:cs="Times New Roman"/>
          <w:szCs w:val="24"/>
        </w:rPr>
        <w:t xml:space="preserve">ferences for </w:t>
      </w:r>
      <w:r w:rsidRPr="00FF7010" w:rsidR="00233523">
        <w:rPr>
          <w:rFonts w:cs="Times New Roman"/>
          <w:szCs w:val="24"/>
        </w:rPr>
        <w:t>PrEP modality and message content</w:t>
      </w:r>
      <w:r w:rsidRPr="00FF7010" w:rsidR="00E7278F">
        <w:rPr>
          <w:rFonts w:cs="Times New Roman"/>
          <w:szCs w:val="24"/>
        </w:rPr>
        <w:t>. We will also employ</w:t>
      </w:r>
      <w:r w:rsidRPr="00FF7010" w:rsidR="00233523">
        <w:rPr>
          <w:rFonts w:cs="Times New Roman"/>
          <w:szCs w:val="24"/>
        </w:rPr>
        <w:t xml:space="preserve"> longitudinal analysis to model PrEP attitudes and behaviors over time. </w:t>
      </w:r>
      <w:r w:rsidRPr="00FF7010" w:rsidR="001653D8">
        <w:rPr>
          <w:rFonts w:cs="Times New Roman"/>
          <w:szCs w:val="24"/>
        </w:rPr>
        <w:t>Qualitative data analysis w</w:t>
      </w:r>
      <w:r w:rsidRPr="00FF7010" w:rsidR="00C9495B">
        <w:rPr>
          <w:rFonts w:cs="Times New Roman"/>
          <w:szCs w:val="24"/>
        </w:rPr>
        <w:t xml:space="preserve">ill utilize </w:t>
      </w:r>
      <w:r w:rsidRPr="00FF7010" w:rsidR="00AD4576">
        <w:rPr>
          <w:rFonts w:cs="Times New Roman"/>
          <w:szCs w:val="24"/>
        </w:rPr>
        <w:t>a rapid analytic technique (</w:t>
      </w:r>
      <w:r w:rsidRPr="00FF7010" w:rsidR="00AD4576">
        <w:rPr>
          <w:rFonts w:cs="Times New Roman"/>
          <w:szCs w:val="24"/>
        </w:rPr>
        <w:t>RADaR</w:t>
      </w:r>
      <w:r w:rsidRPr="00FF7010" w:rsidR="00AD4576">
        <w:rPr>
          <w:rFonts w:cs="Times New Roman"/>
          <w:szCs w:val="24"/>
        </w:rPr>
        <w:t xml:space="preserve">) to </w:t>
      </w:r>
      <w:r w:rsidRPr="00FF7010" w:rsidR="00E155AD">
        <w:rPr>
          <w:rFonts w:cs="Times New Roman"/>
          <w:szCs w:val="24"/>
        </w:rPr>
        <w:t xml:space="preserve">quickly </w:t>
      </w:r>
      <w:r w:rsidRPr="00FF7010" w:rsidR="00B56101">
        <w:rPr>
          <w:rFonts w:cs="Times New Roman"/>
          <w:szCs w:val="24"/>
        </w:rPr>
        <w:t xml:space="preserve">measure prevention messaging impact and </w:t>
      </w:r>
      <w:r w:rsidRPr="00FF7010" w:rsidR="0068336C">
        <w:rPr>
          <w:rFonts w:cs="Times New Roman"/>
          <w:szCs w:val="24"/>
        </w:rPr>
        <w:t xml:space="preserve">promptly </w:t>
      </w:r>
      <w:r w:rsidRPr="00FF7010" w:rsidR="00B56101">
        <w:rPr>
          <w:rFonts w:cs="Times New Roman"/>
          <w:szCs w:val="24"/>
        </w:rPr>
        <w:t xml:space="preserve">extract key data points for </w:t>
      </w:r>
      <w:r w:rsidRPr="00FF7010" w:rsidR="00796661">
        <w:rPr>
          <w:rFonts w:cs="Times New Roman"/>
          <w:szCs w:val="24"/>
        </w:rPr>
        <w:t xml:space="preserve">prevention message development. </w:t>
      </w:r>
      <w:r w:rsidRPr="00FF7010" w:rsidR="004559EB">
        <w:rPr>
          <w:rFonts w:cs="Times New Roman"/>
          <w:szCs w:val="24"/>
        </w:rPr>
        <w:t xml:space="preserve"> </w:t>
      </w:r>
    </w:p>
    <w:p w:rsidR="00C12B2E" w:rsidRPr="00FF7010" w:rsidP="000A4126" w14:paraId="764F7282" w14:textId="307F8DFF">
      <w:pPr>
        <w:pStyle w:val="NoSpacing"/>
        <w:tabs>
          <w:tab w:val="left" w:pos="360"/>
        </w:tabs>
        <w:rPr>
          <w:rFonts w:cs="Times New Roman"/>
          <w:szCs w:val="24"/>
        </w:rPr>
      </w:pPr>
    </w:p>
    <w:p w:rsidR="0033183A" w:rsidRPr="00FF7010" w:rsidP="0033183A" w14:paraId="6BA0AD77" w14:textId="77777777">
      <w:pPr>
        <w:pStyle w:val="NoSpacing"/>
        <w:tabs>
          <w:tab w:val="left" w:pos="360"/>
        </w:tabs>
        <w:rPr>
          <w:rFonts w:cs="Times New Roman"/>
          <w:szCs w:val="24"/>
        </w:rPr>
      </w:pPr>
      <w:r w:rsidRPr="00FF7010">
        <w:rPr>
          <w:rFonts w:cs="Times New Roman"/>
          <w:szCs w:val="24"/>
        </w:rPr>
        <w:t xml:space="preserve">Rapid reports of survey waves will be generated every three months and sent to CDC to identify HIV prevention gaps and messaging opportunities and recommendations for MSM. Analyses of survey, focus group, and interview data will be analyzed by recipients and CDC to disseminate findings in peer-reviewed journals and at conferences and meetings. Effective prevention messaging will be implemented in CDC messaging and community programs (e.g., mobile apps, social marketing campaigns, website information sources, other written prevention materials) to improve HIV prevention for communities of MSM.  </w:t>
      </w:r>
    </w:p>
    <w:p w:rsidR="00045F86" w:rsidP="000A4126" w14:paraId="2343059D" w14:textId="77777777">
      <w:pPr>
        <w:pStyle w:val="NoSpacing"/>
        <w:tabs>
          <w:tab w:val="left" w:pos="360"/>
        </w:tabs>
        <w:rPr>
          <w:rFonts w:eastAsia="Times New Roman" w:cs="Times New Roman"/>
          <w:szCs w:val="24"/>
        </w:rPr>
      </w:pPr>
    </w:p>
    <w:p w:rsidR="008440BC" w:rsidRPr="00FF7010" w:rsidP="000A4126" w14:paraId="3654C9B1" w14:textId="722DB3AB">
      <w:pPr>
        <w:pStyle w:val="NoSpacing"/>
        <w:tabs>
          <w:tab w:val="left" w:pos="360"/>
        </w:tabs>
        <w:rPr>
          <w:rFonts w:cs="Times New Roman"/>
          <w:szCs w:val="24"/>
        </w:rPr>
      </w:pPr>
      <w:r w:rsidRPr="00FF7010">
        <w:rPr>
          <w:rFonts w:cs="Times New Roman"/>
          <w:szCs w:val="24"/>
        </w:rPr>
        <w:t>Data collection will occur over a period of 36 months, beginning one month after OMB approval</w:t>
      </w:r>
      <w:r w:rsidRPr="00FF7010" w:rsidR="001331FB">
        <w:rPr>
          <w:rFonts w:cs="Times New Roman"/>
          <w:szCs w:val="24"/>
        </w:rPr>
        <w:t xml:space="preserve">. </w:t>
      </w:r>
      <w:r w:rsidR="009D1B16">
        <w:rPr>
          <w:rFonts w:cs="Times New Roman"/>
          <w:szCs w:val="24"/>
        </w:rPr>
        <w:t>If</w:t>
      </w:r>
      <w:r w:rsidRPr="00FF7010" w:rsidR="001331FB">
        <w:rPr>
          <w:rFonts w:cs="Times New Roman"/>
          <w:szCs w:val="24"/>
        </w:rPr>
        <w:t xml:space="preserve"> OMB </w:t>
      </w:r>
      <w:r w:rsidR="009D1B16">
        <w:rPr>
          <w:rFonts w:cs="Times New Roman"/>
          <w:szCs w:val="24"/>
        </w:rPr>
        <w:t>approves</w:t>
      </w:r>
      <w:r w:rsidRPr="00FF7010" w:rsidR="001331FB">
        <w:rPr>
          <w:rFonts w:cs="Times New Roman"/>
          <w:szCs w:val="24"/>
        </w:rPr>
        <w:t xml:space="preserve"> </w:t>
      </w:r>
      <w:r w:rsidRPr="00FF7010" w:rsidR="00C17F86">
        <w:rPr>
          <w:rFonts w:cs="Times New Roman"/>
          <w:szCs w:val="24"/>
        </w:rPr>
        <w:t>our Information Collection Request</w:t>
      </w:r>
      <w:r w:rsidRPr="00FF7010" w:rsidR="00C76751">
        <w:rPr>
          <w:rFonts w:cs="Times New Roman"/>
          <w:szCs w:val="24"/>
        </w:rPr>
        <w:t xml:space="preserve"> by January 2024, </w:t>
      </w:r>
      <w:r w:rsidRPr="00FF7010">
        <w:rPr>
          <w:rFonts w:cs="Times New Roman"/>
          <w:szCs w:val="24"/>
        </w:rPr>
        <w:t xml:space="preserve">analysis </w:t>
      </w:r>
      <w:r w:rsidRPr="00FF7010" w:rsidR="00EF48F6">
        <w:rPr>
          <w:rFonts w:cs="Times New Roman"/>
          <w:szCs w:val="24"/>
        </w:rPr>
        <w:t xml:space="preserve">and report writing </w:t>
      </w:r>
      <w:r w:rsidRPr="00FF7010">
        <w:rPr>
          <w:rFonts w:cs="Times New Roman"/>
          <w:szCs w:val="24"/>
        </w:rPr>
        <w:t xml:space="preserve">will be carried out </w:t>
      </w:r>
      <w:r w:rsidRPr="00FF7010" w:rsidR="00B12F4A">
        <w:rPr>
          <w:rFonts w:cs="Times New Roman"/>
          <w:szCs w:val="24"/>
        </w:rPr>
        <w:t xml:space="preserve">from </w:t>
      </w:r>
      <w:r w:rsidRPr="00FF7010" w:rsidR="00EF48F6">
        <w:rPr>
          <w:rFonts w:cs="Times New Roman"/>
          <w:szCs w:val="24"/>
        </w:rPr>
        <w:t xml:space="preserve">October 2026 </w:t>
      </w:r>
      <w:r w:rsidRPr="00FF7010" w:rsidR="0036383D">
        <w:rPr>
          <w:rFonts w:cs="Times New Roman"/>
          <w:szCs w:val="24"/>
        </w:rPr>
        <w:t xml:space="preserve">to </w:t>
      </w:r>
      <w:r w:rsidRPr="00FF7010" w:rsidR="00EF48F6">
        <w:rPr>
          <w:rFonts w:cs="Times New Roman"/>
          <w:szCs w:val="24"/>
        </w:rPr>
        <w:t>March 2027</w:t>
      </w:r>
      <w:r w:rsidRPr="00FF7010" w:rsidR="0036383D">
        <w:rPr>
          <w:rFonts w:cs="Times New Roman"/>
          <w:szCs w:val="24"/>
        </w:rPr>
        <w:t xml:space="preserve">, and the final dataset and report will be submitted </w:t>
      </w:r>
      <w:r w:rsidRPr="00FF7010" w:rsidR="007A5685">
        <w:rPr>
          <w:rFonts w:cs="Times New Roman"/>
          <w:szCs w:val="24"/>
        </w:rPr>
        <w:t xml:space="preserve">by March 2027. We are requesting approval for </w:t>
      </w:r>
      <w:r w:rsidR="00206865">
        <w:rPr>
          <w:rFonts w:cs="Times New Roman"/>
          <w:szCs w:val="24"/>
        </w:rPr>
        <w:t>three (3)</w:t>
      </w:r>
      <w:r w:rsidRPr="00FF7010" w:rsidR="007A5685">
        <w:rPr>
          <w:rFonts w:cs="Times New Roman"/>
          <w:szCs w:val="24"/>
        </w:rPr>
        <w:t xml:space="preserve"> years of data collection. The project timeline is detailed in exhibit 16.1. </w:t>
      </w:r>
    </w:p>
    <w:p w:rsidR="000B04E4" w:rsidRPr="00FF7010" w:rsidP="000A4126" w14:paraId="37DE9219" w14:textId="77777777">
      <w:pPr>
        <w:pStyle w:val="NoSpacing"/>
        <w:tabs>
          <w:tab w:val="left" w:pos="360"/>
        </w:tabs>
        <w:rPr>
          <w:rFonts w:cs="Times New Roman"/>
          <w:b/>
          <w:bCs/>
          <w:szCs w:val="24"/>
        </w:rPr>
      </w:pPr>
    </w:p>
    <w:p w:rsidR="00B87058" w:rsidRPr="00FF7010" w:rsidP="000A4126" w14:paraId="2504B49A" w14:textId="11D70FD2">
      <w:pPr>
        <w:pStyle w:val="NoSpacing"/>
        <w:tabs>
          <w:tab w:val="left" w:pos="360"/>
        </w:tabs>
        <w:rPr>
          <w:rFonts w:cs="Times New Roman"/>
          <w:b/>
          <w:bCs/>
          <w:szCs w:val="24"/>
        </w:rPr>
      </w:pPr>
      <w:bookmarkStart w:id="43" w:name="Exhibit161"/>
      <w:r w:rsidRPr="00FF7010">
        <w:rPr>
          <w:rFonts w:cs="Times New Roman"/>
          <w:b/>
          <w:bCs/>
          <w:szCs w:val="24"/>
        </w:rPr>
        <w:t>Exhibit 16.1: Project Time Schedule</w:t>
      </w:r>
    </w:p>
    <w:tbl>
      <w:tblPr>
        <w:tblW w:w="0" w:type="auto"/>
        <w:jc w:val="center"/>
        <w:tblCellMar>
          <w:left w:w="0" w:type="dxa"/>
          <w:right w:w="0" w:type="dxa"/>
        </w:tblCellMar>
        <w:tblLook w:val="04A0"/>
      </w:tblPr>
      <w:tblGrid>
        <w:gridCol w:w="3480"/>
        <w:gridCol w:w="3660"/>
      </w:tblGrid>
      <w:tr w14:paraId="488D1D68" w14:textId="77777777" w:rsidTr="003E3747">
        <w:tblPrEx>
          <w:tblW w:w="0" w:type="auto"/>
          <w:jc w:val="center"/>
          <w:tblCellMar>
            <w:left w:w="0" w:type="dxa"/>
            <w:right w:w="0" w:type="dxa"/>
          </w:tblCellMar>
          <w:tblLook w:val="04A0"/>
        </w:tblPrEx>
        <w:trPr>
          <w:jc w:val="center"/>
        </w:trPr>
        <w:tc>
          <w:tcPr>
            <w:tcW w:w="34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bookmarkEnd w:id="43"/>
          <w:p w:rsidR="00B87058" w:rsidRPr="00FF7010" w:rsidP="0040535B" w14:paraId="1FB1626F" w14:textId="77777777">
            <w:pPr>
              <w:rPr>
                <w:szCs w:val="24"/>
              </w:rPr>
            </w:pPr>
            <w:r w:rsidRPr="00FF7010">
              <w:rPr>
                <w:szCs w:val="24"/>
              </w:rPr>
              <w:t> </w:t>
            </w:r>
          </w:p>
          <w:p w:rsidR="00B87058" w:rsidRPr="00FF7010" w:rsidP="0040535B" w14:paraId="7319EDED" w14:textId="77777777">
            <w:pPr>
              <w:rPr>
                <w:szCs w:val="24"/>
              </w:rPr>
            </w:pPr>
            <w:r w:rsidRPr="00FF7010">
              <w:rPr>
                <w:b/>
                <w:bCs/>
                <w:szCs w:val="24"/>
              </w:rPr>
              <w:t>Activity</w:t>
            </w:r>
          </w:p>
        </w:tc>
        <w:tc>
          <w:tcPr>
            <w:tcW w:w="36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87058" w:rsidRPr="00FF7010" w:rsidP="0040535B" w14:paraId="44C98061" w14:textId="77777777">
            <w:pPr>
              <w:jc w:val="center"/>
              <w:rPr>
                <w:szCs w:val="24"/>
              </w:rPr>
            </w:pPr>
            <w:r w:rsidRPr="00FF7010">
              <w:rPr>
                <w:szCs w:val="24"/>
              </w:rPr>
              <w:t> </w:t>
            </w:r>
          </w:p>
          <w:p w:rsidR="00B87058" w:rsidRPr="00FF7010" w:rsidP="0040535B" w14:paraId="014ED6A5" w14:textId="77777777">
            <w:pPr>
              <w:rPr>
                <w:szCs w:val="24"/>
              </w:rPr>
            </w:pPr>
            <w:r w:rsidRPr="00FF7010">
              <w:rPr>
                <w:b/>
                <w:bCs/>
                <w:szCs w:val="24"/>
              </w:rPr>
              <w:t>Time Schedule</w:t>
            </w:r>
          </w:p>
        </w:tc>
      </w:tr>
      <w:tr w14:paraId="7104E2FC" w14:textId="77777777" w:rsidTr="003E3747">
        <w:tblPrEx>
          <w:tblW w:w="0" w:type="auto"/>
          <w:jc w:val="center"/>
          <w:tblCellMar>
            <w:left w:w="0" w:type="dxa"/>
            <w:right w:w="0" w:type="dxa"/>
          </w:tblCellMar>
          <w:tblLook w:val="04A0"/>
        </w:tblPrEx>
        <w:trPr>
          <w:jc w:val="center"/>
        </w:trPr>
        <w:tc>
          <w:tcPr>
            <w:tcW w:w="34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87058" w:rsidRPr="00FF7010" w:rsidP="003E3747" w14:paraId="68ADF1BA" w14:textId="77777777">
            <w:pPr>
              <w:spacing w:before="100" w:beforeAutospacing="1" w:after="100" w:afterAutospacing="1"/>
              <w:rPr>
                <w:szCs w:val="24"/>
              </w:rPr>
            </w:pPr>
            <w:r w:rsidRPr="00FF7010">
              <w:rPr>
                <w:szCs w:val="24"/>
              </w:rPr>
              <w:t xml:space="preserve">Develop data collection tools, sampling and data plans, study protocol </w:t>
            </w:r>
          </w:p>
        </w:tc>
        <w:tc>
          <w:tcPr>
            <w:tcW w:w="3660" w:type="dxa"/>
            <w:tcBorders>
              <w:top w:val="nil"/>
              <w:left w:val="nil"/>
              <w:bottom w:val="single" w:sz="8" w:space="0" w:color="auto"/>
              <w:right w:val="single" w:sz="8" w:space="0" w:color="auto"/>
            </w:tcBorders>
            <w:tcMar>
              <w:top w:w="0" w:type="dxa"/>
              <w:left w:w="108" w:type="dxa"/>
              <w:bottom w:w="0" w:type="dxa"/>
              <w:right w:w="108" w:type="dxa"/>
            </w:tcMar>
            <w:vAlign w:val="center"/>
          </w:tcPr>
          <w:p w:rsidR="00B87058" w:rsidRPr="00FF7010" w:rsidP="003E3747" w14:paraId="741F54CB" w14:textId="581DC5EA">
            <w:pPr>
              <w:spacing w:before="100" w:beforeAutospacing="1" w:after="100" w:afterAutospacing="1"/>
              <w:rPr>
                <w:szCs w:val="24"/>
              </w:rPr>
            </w:pPr>
            <w:r w:rsidRPr="00FF7010">
              <w:rPr>
                <w:szCs w:val="24"/>
              </w:rPr>
              <w:t>August 2022</w:t>
            </w:r>
            <w:r w:rsidRPr="00FF7010">
              <w:rPr>
                <w:szCs w:val="24"/>
              </w:rPr>
              <w:t xml:space="preserve"> – </w:t>
            </w:r>
            <w:r w:rsidRPr="00FF7010" w:rsidR="00C66F3E">
              <w:rPr>
                <w:szCs w:val="24"/>
              </w:rPr>
              <w:t>February 2023</w:t>
            </w:r>
          </w:p>
        </w:tc>
      </w:tr>
      <w:tr w14:paraId="320243EC" w14:textId="77777777" w:rsidTr="003E3747">
        <w:tblPrEx>
          <w:tblW w:w="0" w:type="auto"/>
          <w:jc w:val="center"/>
          <w:tblCellMar>
            <w:left w:w="0" w:type="dxa"/>
            <w:right w:w="0" w:type="dxa"/>
          </w:tblCellMar>
          <w:tblLook w:val="04A0"/>
        </w:tblPrEx>
        <w:trPr>
          <w:jc w:val="center"/>
        </w:trPr>
        <w:tc>
          <w:tcPr>
            <w:tcW w:w="34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87058" w:rsidRPr="00FF7010" w:rsidP="003E3747" w14:paraId="6384C578" w14:textId="77777777">
            <w:pPr>
              <w:spacing w:before="100" w:beforeAutospacing="1" w:after="100" w:afterAutospacing="1"/>
              <w:rPr>
                <w:szCs w:val="24"/>
              </w:rPr>
            </w:pPr>
            <w:r w:rsidRPr="00FF7010">
              <w:rPr>
                <w:szCs w:val="24"/>
              </w:rPr>
              <w:t>OMB Submission</w:t>
            </w:r>
          </w:p>
        </w:tc>
        <w:tc>
          <w:tcPr>
            <w:tcW w:w="3660" w:type="dxa"/>
            <w:tcBorders>
              <w:top w:val="nil"/>
              <w:left w:val="nil"/>
              <w:bottom w:val="single" w:sz="8" w:space="0" w:color="auto"/>
              <w:right w:val="single" w:sz="8" w:space="0" w:color="auto"/>
            </w:tcBorders>
            <w:tcMar>
              <w:top w:w="0" w:type="dxa"/>
              <w:left w:w="108" w:type="dxa"/>
              <w:bottom w:w="0" w:type="dxa"/>
              <w:right w:w="108" w:type="dxa"/>
            </w:tcMar>
            <w:vAlign w:val="center"/>
          </w:tcPr>
          <w:p w:rsidR="00B87058" w:rsidRPr="00FF7010" w:rsidP="003E3747" w14:paraId="77988A65" w14:textId="2D972A49">
            <w:pPr>
              <w:spacing w:before="100" w:beforeAutospacing="1" w:after="100" w:afterAutospacing="1"/>
              <w:rPr>
                <w:szCs w:val="24"/>
              </w:rPr>
            </w:pPr>
            <w:r>
              <w:rPr>
                <w:szCs w:val="24"/>
              </w:rPr>
              <w:t>August</w:t>
            </w:r>
            <w:r w:rsidRPr="00FF7010" w:rsidR="004622AD">
              <w:rPr>
                <w:szCs w:val="24"/>
              </w:rPr>
              <w:t xml:space="preserve"> </w:t>
            </w:r>
            <w:r w:rsidRPr="00FF7010" w:rsidR="00C66F3E">
              <w:rPr>
                <w:szCs w:val="24"/>
              </w:rPr>
              <w:t>2023</w:t>
            </w:r>
          </w:p>
        </w:tc>
      </w:tr>
      <w:tr w14:paraId="4C773D38" w14:textId="77777777" w:rsidTr="003E3747">
        <w:tblPrEx>
          <w:tblW w:w="0" w:type="auto"/>
          <w:jc w:val="center"/>
          <w:tblCellMar>
            <w:left w:w="0" w:type="dxa"/>
            <w:right w:w="0" w:type="dxa"/>
          </w:tblCellMar>
          <w:tblLook w:val="04A0"/>
        </w:tblPrEx>
        <w:trPr>
          <w:jc w:val="center"/>
        </w:trPr>
        <w:tc>
          <w:tcPr>
            <w:tcW w:w="34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87058" w:rsidRPr="00FF7010" w:rsidP="003E3747" w14:paraId="1BF478B2" w14:textId="77777777">
            <w:pPr>
              <w:spacing w:before="100" w:beforeAutospacing="1" w:after="100" w:afterAutospacing="1"/>
              <w:rPr>
                <w:szCs w:val="24"/>
              </w:rPr>
            </w:pPr>
            <w:r w:rsidRPr="00FF7010">
              <w:rPr>
                <w:szCs w:val="24"/>
              </w:rPr>
              <w:t>Recruitment  </w:t>
            </w:r>
          </w:p>
        </w:tc>
        <w:tc>
          <w:tcPr>
            <w:tcW w:w="3660" w:type="dxa"/>
            <w:tcBorders>
              <w:top w:val="nil"/>
              <w:left w:val="nil"/>
              <w:bottom w:val="single" w:sz="8" w:space="0" w:color="auto"/>
              <w:right w:val="single" w:sz="8" w:space="0" w:color="auto"/>
            </w:tcBorders>
            <w:tcMar>
              <w:top w:w="0" w:type="dxa"/>
              <w:left w:w="108" w:type="dxa"/>
              <w:bottom w:w="0" w:type="dxa"/>
              <w:right w:w="108" w:type="dxa"/>
            </w:tcMar>
            <w:vAlign w:val="center"/>
          </w:tcPr>
          <w:p w:rsidR="00B87058" w:rsidRPr="00FF7010" w:rsidP="003E3747" w14:paraId="0CC714D7" w14:textId="77777777">
            <w:pPr>
              <w:spacing w:before="100" w:beforeAutospacing="1" w:after="100" w:afterAutospacing="1"/>
              <w:rPr>
                <w:szCs w:val="24"/>
              </w:rPr>
            </w:pPr>
            <w:r w:rsidRPr="00FF7010">
              <w:rPr>
                <w:szCs w:val="24"/>
              </w:rPr>
              <w:t>1 month after OMB Approval</w:t>
            </w:r>
          </w:p>
        </w:tc>
      </w:tr>
      <w:tr w14:paraId="7DBD9669" w14:textId="77777777" w:rsidTr="003E3747">
        <w:tblPrEx>
          <w:tblW w:w="0" w:type="auto"/>
          <w:jc w:val="center"/>
          <w:tblCellMar>
            <w:left w:w="0" w:type="dxa"/>
            <w:right w:w="0" w:type="dxa"/>
          </w:tblCellMar>
          <w:tblLook w:val="04A0"/>
        </w:tblPrEx>
        <w:trPr>
          <w:jc w:val="center"/>
        </w:trPr>
        <w:tc>
          <w:tcPr>
            <w:tcW w:w="34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87058" w:rsidRPr="00FF7010" w:rsidP="003E3747" w14:paraId="15746144" w14:textId="77777777">
            <w:pPr>
              <w:spacing w:before="100" w:beforeAutospacing="1" w:after="100" w:afterAutospacing="1"/>
              <w:rPr>
                <w:szCs w:val="24"/>
              </w:rPr>
            </w:pPr>
            <w:r w:rsidRPr="00FF7010">
              <w:rPr>
                <w:szCs w:val="24"/>
              </w:rPr>
              <w:t>Data Collection  </w:t>
            </w:r>
          </w:p>
        </w:tc>
        <w:tc>
          <w:tcPr>
            <w:tcW w:w="3660" w:type="dxa"/>
            <w:tcBorders>
              <w:top w:val="nil"/>
              <w:left w:val="nil"/>
              <w:bottom w:val="single" w:sz="8" w:space="0" w:color="auto"/>
              <w:right w:val="single" w:sz="8" w:space="0" w:color="auto"/>
            </w:tcBorders>
            <w:tcMar>
              <w:top w:w="0" w:type="dxa"/>
              <w:left w:w="108" w:type="dxa"/>
              <w:bottom w:w="0" w:type="dxa"/>
              <w:right w:w="108" w:type="dxa"/>
            </w:tcMar>
            <w:vAlign w:val="center"/>
          </w:tcPr>
          <w:p w:rsidR="00B87058" w:rsidRPr="00FF7010" w:rsidP="003E3747" w14:paraId="2CC431F7" w14:textId="28A78CBD">
            <w:pPr>
              <w:spacing w:before="100" w:beforeAutospacing="1" w:after="100" w:afterAutospacing="1"/>
              <w:rPr>
                <w:szCs w:val="24"/>
              </w:rPr>
            </w:pPr>
            <w:r w:rsidRPr="00FF7010">
              <w:rPr>
                <w:szCs w:val="24"/>
              </w:rPr>
              <w:t>2-</w:t>
            </w:r>
            <w:r w:rsidRPr="00FF7010" w:rsidR="00883D2E">
              <w:rPr>
                <w:szCs w:val="24"/>
              </w:rPr>
              <w:t>36</w:t>
            </w:r>
            <w:r w:rsidRPr="00FF7010">
              <w:rPr>
                <w:szCs w:val="24"/>
              </w:rPr>
              <w:t xml:space="preserve"> months after OMB Approval</w:t>
            </w:r>
          </w:p>
        </w:tc>
      </w:tr>
      <w:tr w14:paraId="6F4C39DA" w14:textId="77777777" w:rsidTr="003E3747">
        <w:tblPrEx>
          <w:tblW w:w="0" w:type="auto"/>
          <w:jc w:val="center"/>
          <w:tblCellMar>
            <w:left w:w="0" w:type="dxa"/>
            <w:right w:w="0" w:type="dxa"/>
          </w:tblCellMar>
          <w:tblLook w:val="04A0"/>
        </w:tblPrEx>
        <w:trPr>
          <w:jc w:val="center"/>
        </w:trPr>
        <w:tc>
          <w:tcPr>
            <w:tcW w:w="34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87058" w:rsidRPr="00FF7010" w:rsidP="003E3747" w14:paraId="6D40377F" w14:textId="77777777">
            <w:pPr>
              <w:spacing w:before="100" w:beforeAutospacing="1" w:after="100" w:afterAutospacing="1"/>
              <w:rPr>
                <w:szCs w:val="24"/>
              </w:rPr>
            </w:pPr>
            <w:r w:rsidRPr="00FF7010">
              <w:rPr>
                <w:szCs w:val="24"/>
              </w:rPr>
              <w:t>Data analysis finalized and report drafted</w:t>
            </w:r>
          </w:p>
        </w:tc>
        <w:tc>
          <w:tcPr>
            <w:tcW w:w="3660" w:type="dxa"/>
            <w:tcBorders>
              <w:top w:val="nil"/>
              <w:left w:val="nil"/>
              <w:bottom w:val="single" w:sz="8" w:space="0" w:color="auto"/>
              <w:right w:val="single" w:sz="8" w:space="0" w:color="auto"/>
            </w:tcBorders>
            <w:tcMar>
              <w:top w:w="0" w:type="dxa"/>
              <w:left w:w="108" w:type="dxa"/>
              <w:bottom w:w="0" w:type="dxa"/>
              <w:right w:w="108" w:type="dxa"/>
            </w:tcMar>
            <w:vAlign w:val="center"/>
          </w:tcPr>
          <w:p w:rsidR="00B87058" w:rsidRPr="00FF7010" w:rsidP="003E3747" w14:paraId="539DFEFE" w14:textId="6485D4EE">
            <w:pPr>
              <w:spacing w:before="100" w:beforeAutospacing="1" w:after="100" w:afterAutospacing="1"/>
              <w:rPr>
                <w:szCs w:val="24"/>
              </w:rPr>
            </w:pPr>
            <w:r w:rsidRPr="00FF7010">
              <w:rPr>
                <w:szCs w:val="24"/>
              </w:rPr>
              <w:t>33-39</w:t>
            </w:r>
            <w:r w:rsidRPr="00FF7010">
              <w:rPr>
                <w:szCs w:val="24"/>
              </w:rPr>
              <w:t xml:space="preserve"> months after OMB Approval</w:t>
            </w:r>
          </w:p>
        </w:tc>
      </w:tr>
      <w:tr w14:paraId="38E88E87" w14:textId="77777777" w:rsidTr="003E3747">
        <w:tblPrEx>
          <w:tblW w:w="0" w:type="auto"/>
          <w:jc w:val="center"/>
          <w:tblCellMar>
            <w:left w:w="0" w:type="dxa"/>
            <w:right w:w="0" w:type="dxa"/>
          </w:tblCellMar>
          <w:tblLook w:val="04A0"/>
        </w:tblPrEx>
        <w:trPr>
          <w:jc w:val="center"/>
        </w:trPr>
        <w:tc>
          <w:tcPr>
            <w:tcW w:w="34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87058" w:rsidRPr="00FF7010" w:rsidP="003E3747" w14:paraId="5A544965" w14:textId="77777777">
            <w:pPr>
              <w:spacing w:before="100" w:beforeAutospacing="1" w:after="100" w:afterAutospacing="1"/>
              <w:rPr>
                <w:szCs w:val="24"/>
              </w:rPr>
            </w:pPr>
            <w:r w:rsidRPr="00FF7010">
              <w:rPr>
                <w:szCs w:val="24"/>
              </w:rPr>
              <w:t>Final de-identified data set submitted to CDC</w:t>
            </w:r>
          </w:p>
        </w:tc>
        <w:tc>
          <w:tcPr>
            <w:tcW w:w="3660" w:type="dxa"/>
            <w:tcBorders>
              <w:top w:val="nil"/>
              <w:left w:val="nil"/>
              <w:bottom w:val="single" w:sz="8" w:space="0" w:color="auto"/>
              <w:right w:val="single" w:sz="8" w:space="0" w:color="auto"/>
            </w:tcBorders>
            <w:tcMar>
              <w:top w:w="0" w:type="dxa"/>
              <w:left w:w="108" w:type="dxa"/>
              <w:bottom w:w="0" w:type="dxa"/>
              <w:right w:w="108" w:type="dxa"/>
            </w:tcMar>
            <w:vAlign w:val="center"/>
          </w:tcPr>
          <w:p w:rsidR="00B87058" w:rsidRPr="00FF7010" w:rsidP="003E3747" w14:paraId="6E90826D" w14:textId="530C641C">
            <w:pPr>
              <w:spacing w:before="100" w:beforeAutospacing="1" w:after="100" w:afterAutospacing="1"/>
              <w:rPr>
                <w:szCs w:val="24"/>
              </w:rPr>
            </w:pPr>
            <w:r w:rsidRPr="00FF7010">
              <w:rPr>
                <w:szCs w:val="24"/>
              </w:rPr>
              <w:t>39</w:t>
            </w:r>
            <w:r w:rsidRPr="00FF7010">
              <w:rPr>
                <w:szCs w:val="24"/>
              </w:rPr>
              <w:t xml:space="preserve"> months after OMB Approval </w:t>
            </w:r>
          </w:p>
        </w:tc>
      </w:tr>
    </w:tbl>
    <w:p w:rsidR="002C182C" w:rsidRPr="00FF7010" w:rsidP="000A4126" w14:paraId="3953EAFE" w14:textId="77777777">
      <w:pPr>
        <w:pStyle w:val="NoSpacing"/>
        <w:tabs>
          <w:tab w:val="left" w:pos="360"/>
        </w:tabs>
        <w:rPr>
          <w:rFonts w:cs="Times New Roman"/>
          <w:szCs w:val="24"/>
        </w:rPr>
      </w:pPr>
    </w:p>
    <w:p w:rsidR="00FF08C6" w:rsidRPr="00FF7010" w:rsidP="00FF08C6" w14:paraId="713FE62A" w14:textId="45CE64AD">
      <w:pPr>
        <w:jc w:val="both"/>
        <w:rPr>
          <w:szCs w:val="24"/>
        </w:rPr>
      </w:pPr>
      <w:r w:rsidRPr="00FF7010">
        <w:rPr>
          <w:szCs w:val="24"/>
        </w:rPr>
        <w:t>In compliance with the CDC policy on data management and access, we will develop final, de-identified (names</w:t>
      </w:r>
      <w:r w:rsidR="0022597A">
        <w:rPr>
          <w:szCs w:val="24"/>
        </w:rPr>
        <w:t xml:space="preserve"> and</w:t>
      </w:r>
      <w:r w:rsidRPr="00FF7010">
        <w:rPr>
          <w:szCs w:val="24"/>
        </w:rPr>
        <w:t xml:space="preserve"> other personally identifiable information</w:t>
      </w:r>
      <w:r w:rsidR="0022597A">
        <w:rPr>
          <w:szCs w:val="24"/>
        </w:rPr>
        <w:t xml:space="preserve"> </w:t>
      </w:r>
      <w:r w:rsidRPr="00FF7010">
        <w:rPr>
          <w:szCs w:val="24"/>
        </w:rPr>
        <w:t xml:space="preserve">will be removed) quantitative and qualitative datasets for this study along with the corresponding data documentation, which will be made publicly available within 30 months of the end of data collection. It is anticipated that the data collected through this study will be shared as summary data tables and restricted use dataset(s). </w:t>
      </w:r>
      <w:r w:rsidRPr="00FF7010">
        <w:rPr>
          <w:rFonts w:eastAsia="Calibri"/>
          <w:color w:val="000000"/>
          <w:szCs w:val="24"/>
        </w:rPr>
        <w:t xml:space="preserve">A data use plan for information collected during this study has been developed. The </w:t>
      </w:r>
      <w:r w:rsidRPr="00FF7010">
        <w:rPr>
          <w:rFonts w:eastAsia="Calibri"/>
          <w:color w:val="000000"/>
          <w:szCs w:val="24"/>
        </w:rPr>
        <w:t xml:space="preserve">plan describes in detail how data access will be provided and the provisions for protection of privacy, security, intellectual property, or other rights </w:t>
      </w:r>
      <w:r w:rsidRPr="00DA6F38">
        <w:rPr>
          <w:rFonts w:eastAsia="Calibri"/>
          <w:color w:val="000000"/>
          <w:szCs w:val="24"/>
        </w:rPr>
        <w:t>(</w:t>
      </w:r>
      <w:r w:rsidRPr="00DA6F38">
        <w:rPr>
          <w:rFonts w:eastAsia="Calibri"/>
          <w:b/>
          <w:color w:val="000000"/>
          <w:szCs w:val="24"/>
        </w:rPr>
        <w:t xml:space="preserve">Attachment </w:t>
      </w:r>
      <w:r w:rsidR="00A76A2A">
        <w:rPr>
          <w:rFonts w:eastAsia="Calibri"/>
          <w:b/>
          <w:color w:val="000000"/>
          <w:szCs w:val="24"/>
        </w:rPr>
        <w:t>7</w:t>
      </w:r>
      <w:r w:rsidRPr="00DA6F38">
        <w:rPr>
          <w:rFonts w:eastAsia="Calibri"/>
          <w:color w:val="000000"/>
          <w:szCs w:val="24"/>
        </w:rPr>
        <w:t>).</w:t>
      </w:r>
      <w:r w:rsidRPr="00FF7010">
        <w:rPr>
          <w:rFonts w:eastAsia="Calibri"/>
          <w:color w:val="000000"/>
          <w:szCs w:val="24"/>
        </w:rPr>
        <w:t xml:space="preserve"> </w:t>
      </w:r>
    </w:p>
    <w:p w:rsidR="00C21B5A" w:rsidRPr="00FF7010" w:rsidP="000A4126" w14:paraId="346D9636" w14:textId="3B6DD411">
      <w:pPr>
        <w:pStyle w:val="NoSpacing"/>
        <w:tabs>
          <w:tab w:val="left" w:pos="360"/>
        </w:tabs>
        <w:rPr>
          <w:rFonts w:cs="Times New Roman"/>
          <w:b/>
          <w:bCs/>
          <w:szCs w:val="24"/>
        </w:rPr>
      </w:pPr>
    </w:p>
    <w:p w:rsidR="00B87058" w:rsidRPr="00FF7010" w:rsidP="00B87058" w14:paraId="1F64B448" w14:textId="77777777">
      <w:pPr>
        <w:pStyle w:val="NoSpacing"/>
        <w:tabs>
          <w:tab w:val="left" w:pos="360"/>
        </w:tabs>
        <w:rPr>
          <w:rFonts w:cs="Times New Roman"/>
          <w:b/>
          <w:bCs/>
          <w:szCs w:val="24"/>
        </w:rPr>
      </w:pPr>
      <w:r w:rsidRPr="00FF7010">
        <w:rPr>
          <w:rFonts w:cs="Times New Roman"/>
          <w:b/>
          <w:bCs/>
          <w:szCs w:val="24"/>
        </w:rPr>
        <w:t>17.</w:t>
      </w:r>
      <w:r w:rsidRPr="00FF7010">
        <w:rPr>
          <w:rFonts w:cs="Times New Roman"/>
          <w:b/>
          <w:bCs/>
          <w:szCs w:val="24"/>
        </w:rPr>
        <w:tab/>
      </w:r>
      <w:bookmarkStart w:id="44" w:name="OMBExpiration17"/>
      <w:r w:rsidRPr="00FF7010">
        <w:rPr>
          <w:rFonts w:cs="Times New Roman"/>
          <w:b/>
          <w:bCs/>
          <w:szCs w:val="24"/>
        </w:rPr>
        <w:t>Reason(s) Display of OMB Expiration Date is Inappropriate</w:t>
      </w:r>
      <w:bookmarkEnd w:id="44"/>
    </w:p>
    <w:p w:rsidR="00B87058" w:rsidRPr="00FF7010" w:rsidP="00B87058" w14:paraId="7564E407" w14:textId="77777777">
      <w:pPr>
        <w:pStyle w:val="NoSpacing"/>
        <w:tabs>
          <w:tab w:val="left" w:pos="360"/>
        </w:tabs>
        <w:rPr>
          <w:rFonts w:cs="Times New Roman"/>
          <w:b/>
          <w:bCs/>
          <w:szCs w:val="24"/>
        </w:rPr>
      </w:pPr>
    </w:p>
    <w:p w:rsidR="00B87058" w:rsidRPr="00FF7010" w:rsidP="00B87058" w14:paraId="3A8CD163" w14:textId="32F0CD78">
      <w:pPr>
        <w:pStyle w:val="NoSpacing"/>
        <w:tabs>
          <w:tab w:val="left" w:pos="360"/>
        </w:tabs>
        <w:rPr>
          <w:rFonts w:cs="Times New Roman"/>
          <w:szCs w:val="24"/>
        </w:rPr>
      </w:pPr>
      <w:r w:rsidRPr="00FF7010">
        <w:rPr>
          <w:rFonts w:cs="Times New Roman"/>
          <w:szCs w:val="24"/>
        </w:rPr>
        <w:t xml:space="preserve">We do not seek approval to eliminate the expiration date. </w:t>
      </w:r>
    </w:p>
    <w:p w:rsidR="00B87058" w:rsidRPr="00FF7010" w:rsidP="00B87058" w14:paraId="5B0744B1" w14:textId="77777777">
      <w:pPr>
        <w:pStyle w:val="NoSpacing"/>
        <w:tabs>
          <w:tab w:val="left" w:pos="360"/>
        </w:tabs>
        <w:rPr>
          <w:rFonts w:cs="Times New Roman"/>
          <w:b/>
          <w:bCs/>
          <w:szCs w:val="24"/>
        </w:rPr>
      </w:pPr>
    </w:p>
    <w:p w:rsidR="00B87058" w:rsidRPr="00FF7010" w:rsidP="00B87058" w14:paraId="47498BB8" w14:textId="77777777">
      <w:pPr>
        <w:pStyle w:val="NoSpacing"/>
        <w:tabs>
          <w:tab w:val="left" w:pos="360"/>
        </w:tabs>
        <w:rPr>
          <w:rFonts w:cs="Times New Roman"/>
          <w:b/>
          <w:bCs/>
          <w:szCs w:val="24"/>
        </w:rPr>
      </w:pPr>
      <w:r w:rsidRPr="00FF7010">
        <w:rPr>
          <w:rFonts w:cs="Times New Roman"/>
          <w:b/>
          <w:bCs/>
          <w:szCs w:val="24"/>
        </w:rPr>
        <w:t>18.</w:t>
      </w:r>
      <w:r w:rsidRPr="00FF7010">
        <w:rPr>
          <w:rFonts w:cs="Times New Roman"/>
          <w:b/>
          <w:bCs/>
          <w:szCs w:val="24"/>
        </w:rPr>
        <w:tab/>
      </w:r>
      <w:bookmarkStart w:id="45" w:name="Exceptions18"/>
      <w:r w:rsidRPr="00FF7010">
        <w:rPr>
          <w:rFonts w:cs="Times New Roman"/>
          <w:b/>
          <w:bCs/>
          <w:szCs w:val="24"/>
        </w:rPr>
        <w:t>Exceptions to Certification for Paperwork Reduction Act Submissions</w:t>
      </w:r>
      <w:bookmarkEnd w:id="45"/>
    </w:p>
    <w:p w:rsidR="00B87058" w:rsidRPr="00FF7010" w:rsidP="00B87058" w14:paraId="6B81F9FE" w14:textId="77777777">
      <w:pPr>
        <w:pStyle w:val="NoSpacing"/>
        <w:tabs>
          <w:tab w:val="left" w:pos="360"/>
        </w:tabs>
        <w:rPr>
          <w:rFonts w:cs="Times New Roman"/>
          <w:b/>
          <w:bCs/>
          <w:szCs w:val="24"/>
        </w:rPr>
      </w:pPr>
    </w:p>
    <w:p w:rsidR="00B87058" w:rsidRPr="00FF7010" w:rsidP="00B87058" w14:paraId="65060863" w14:textId="40E31ACF">
      <w:pPr>
        <w:pStyle w:val="NoSpacing"/>
        <w:tabs>
          <w:tab w:val="left" w:pos="360"/>
        </w:tabs>
        <w:rPr>
          <w:rFonts w:cs="Times New Roman"/>
          <w:szCs w:val="24"/>
        </w:rPr>
      </w:pPr>
      <w:r w:rsidRPr="00FF7010">
        <w:rPr>
          <w:rFonts w:cs="Times New Roman"/>
          <w:szCs w:val="24"/>
        </w:rPr>
        <w:t>There are no exemptions to the certification.</w:t>
      </w:r>
    </w:p>
    <w:p w:rsidR="009E61B7" w:rsidP="00B87058" w14:paraId="06D4437A" w14:textId="77777777">
      <w:pPr>
        <w:pStyle w:val="NoSpacing"/>
        <w:tabs>
          <w:tab w:val="left" w:pos="360"/>
        </w:tabs>
        <w:rPr>
          <w:rFonts w:cs="Times New Roman"/>
          <w:b/>
          <w:bCs/>
          <w:szCs w:val="24"/>
          <w:u w:val="single"/>
        </w:rPr>
      </w:pPr>
      <w:bookmarkStart w:id="46" w:name="References"/>
    </w:p>
    <w:p w:rsidR="005B5646" w:rsidP="00B87058" w14:paraId="50E371A5" w14:textId="77777777">
      <w:pPr>
        <w:pStyle w:val="NoSpacing"/>
        <w:tabs>
          <w:tab w:val="left" w:pos="360"/>
        </w:tabs>
        <w:rPr>
          <w:rFonts w:cs="Times New Roman"/>
          <w:b/>
          <w:bCs/>
          <w:szCs w:val="24"/>
          <w:u w:val="single"/>
        </w:rPr>
      </w:pPr>
    </w:p>
    <w:p w:rsidR="00F9406C" w:rsidP="00B87058" w14:paraId="6B482A0B" w14:textId="77777777">
      <w:pPr>
        <w:pStyle w:val="NoSpacing"/>
        <w:tabs>
          <w:tab w:val="left" w:pos="360"/>
        </w:tabs>
        <w:rPr>
          <w:rFonts w:cs="Times New Roman"/>
          <w:b/>
          <w:bCs/>
          <w:szCs w:val="24"/>
          <w:u w:val="single"/>
        </w:rPr>
      </w:pPr>
    </w:p>
    <w:p w:rsidR="00B87058" w:rsidRPr="00FF7010" w:rsidP="00B87058" w14:paraId="718CA259" w14:textId="23E6E0BB">
      <w:pPr>
        <w:pStyle w:val="NoSpacing"/>
        <w:tabs>
          <w:tab w:val="left" w:pos="360"/>
        </w:tabs>
        <w:rPr>
          <w:rFonts w:cs="Times New Roman"/>
          <w:b/>
          <w:bCs/>
          <w:szCs w:val="24"/>
          <w:u w:val="single"/>
        </w:rPr>
      </w:pPr>
      <w:r w:rsidRPr="00FF7010">
        <w:rPr>
          <w:rFonts w:cs="Times New Roman"/>
          <w:b/>
          <w:bCs/>
          <w:szCs w:val="24"/>
          <w:u w:val="single"/>
        </w:rPr>
        <w:t>References:</w:t>
      </w:r>
    </w:p>
    <w:bookmarkEnd w:id="46"/>
    <w:p w:rsidR="00B87058" w:rsidP="00B87058" w14:paraId="3F4D47CC" w14:textId="7F1B2898">
      <w:pPr>
        <w:pStyle w:val="NoSpacing"/>
        <w:tabs>
          <w:tab w:val="left" w:pos="360"/>
        </w:tabs>
        <w:rPr>
          <w:rFonts w:cs="Times New Roman"/>
        </w:rPr>
      </w:pPr>
    </w:p>
    <w:p w:rsidR="00E94178" w:rsidRPr="00E94178" w:rsidP="00E94178" w14:paraId="65F1506A" w14:textId="77777777">
      <w:pPr>
        <w:pStyle w:val="paragraph"/>
        <w:numPr>
          <w:ilvl w:val="0"/>
          <w:numId w:val="5"/>
        </w:numPr>
        <w:shd w:val="clear" w:color="auto" w:fill="FFFFFF"/>
        <w:spacing w:before="0" w:beforeAutospacing="0" w:after="0" w:afterAutospacing="0"/>
        <w:ind w:left="0" w:firstLine="0"/>
        <w:textAlignment w:val="baseline"/>
      </w:pPr>
      <w:r w:rsidRPr="00E94178">
        <w:t xml:space="preserve">Grant RM, Lama JR, Anderson PL, et al. Preexposure Chemoprophylaxis for HIV Prevention in Men Who Have Sex with Men. </w:t>
      </w:r>
      <w:r w:rsidRPr="00E94178">
        <w:rPr>
          <w:i/>
          <w:iCs/>
        </w:rPr>
        <w:t>N Engl J Med</w:t>
      </w:r>
      <w:r w:rsidRPr="00E94178">
        <w:t>. 2010;363(27):2587-2599. doi:10.1056/NEJMoa1011205</w:t>
      </w:r>
    </w:p>
    <w:p w:rsidR="00E94178" w:rsidRPr="00E94178" w:rsidP="00E94178" w14:paraId="75A6EA9D" w14:textId="77777777">
      <w:pPr>
        <w:pStyle w:val="paragraph"/>
        <w:numPr>
          <w:ilvl w:val="0"/>
          <w:numId w:val="5"/>
        </w:numPr>
        <w:shd w:val="clear" w:color="auto" w:fill="FFFFFF"/>
        <w:spacing w:before="0" w:beforeAutospacing="0" w:after="0" w:afterAutospacing="0"/>
        <w:ind w:left="0" w:firstLine="0"/>
        <w:textAlignment w:val="baseline"/>
      </w:pPr>
      <w:r w:rsidRPr="00E94178">
        <w:t>Landovitz</w:t>
      </w:r>
      <w:r w:rsidRPr="00E94178">
        <w:t xml:space="preserve"> RJ, Donnell D, Clement ME, et al. Cabotegravir for HIV Prevention in Cisgender Men and Transgender Women. </w:t>
      </w:r>
      <w:r w:rsidRPr="00E94178">
        <w:rPr>
          <w:i/>
          <w:iCs/>
        </w:rPr>
        <w:t>N Engl J Med</w:t>
      </w:r>
      <w:r w:rsidRPr="00E94178">
        <w:t>. 2021;385(7):595-608. doi:10.1056/NEJMoa2101016</w:t>
      </w:r>
    </w:p>
    <w:p w:rsidR="00E94178" w:rsidRPr="00E94178" w:rsidP="00E94178" w14:paraId="1F838FC2" w14:textId="77777777">
      <w:pPr>
        <w:pStyle w:val="paragraph"/>
        <w:numPr>
          <w:ilvl w:val="0"/>
          <w:numId w:val="5"/>
        </w:numPr>
        <w:shd w:val="clear" w:color="auto" w:fill="FFFFFF"/>
        <w:spacing w:before="0" w:beforeAutospacing="0" w:after="0" w:afterAutospacing="0"/>
        <w:ind w:left="0" w:firstLine="0"/>
        <w:textAlignment w:val="baseline"/>
      </w:pPr>
      <w:r w:rsidRPr="00E94178">
        <w:t xml:space="preserve">Centers for Disease Control and Prevention. Preexposure prophylaxis for the prevention of HIV infection in the United States--2021 update: a clinical practice guideline. </w:t>
      </w:r>
      <w:r w:rsidRPr="00E94178">
        <w:rPr>
          <w:i/>
          <w:iCs/>
        </w:rPr>
        <w:t>US Public Health Serv</w:t>
      </w:r>
      <w:r w:rsidRPr="00E94178">
        <w:t>. Published online 2021:108.</w:t>
      </w:r>
    </w:p>
    <w:p w:rsidR="00E94178" w:rsidRPr="00E94178" w:rsidP="00E94178" w14:paraId="152ECFBC" w14:textId="77777777">
      <w:pPr>
        <w:pStyle w:val="paragraph"/>
        <w:numPr>
          <w:ilvl w:val="0"/>
          <w:numId w:val="5"/>
        </w:numPr>
        <w:shd w:val="clear" w:color="auto" w:fill="FFFFFF"/>
        <w:spacing w:before="0" w:beforeAutospacing="0" w:after="0" w:afterAutospacing="0"/>
        <w:ind w:left="0" w:firstLine="0"/>
        <w:textAlignment w:val="baseline"/>
      </w:pPr>
      <w:r w:rsidRPr="00E94178">
        <w:t xml:space="preserve">Rodger AJ, Cambiano V, </w:t>
      </w:r>
      <w:r w:rsidRPr="00E94178">
        <w:t>Bruun</w:t>
      </w:r>
      <w:r w:rsidRPr="00E94178">
        <w:t xml:space="preserve"> T, et al. Risk of HIV transmission through condomless sex in </w:t>
      </w:r>
      <w:r w:rsidRPr="00E94178">
        <w:t>serodifferent</w:t>
      </w:r>
      <w:r w:rsidRPr="00E94178">
        <w:t xml:space="preserve"> gay couples with the HIV-positive partner taking suppressive antiretroviral therapy (PARTNER): </w:t>
      </w:r>
      <w:r w:rsidRPr="00E94178">
        <w:t>final results</w:t>
      </w:r>
      <w:r w:rsidRPr="00E94178">
        <w:t xml:space="preserve"> of a </w:t>
      </w:r>
      <w:r w:rsidRPr="00E94178">
        <w:t>multicentre</w:t>
      </w:r>
      <w:r w:rsidRPr="00E94178">
        <w:t xml:space="preserve">, prospective, observational study. </w:t>
      </w:r>
      <w:r w:rsidRPr="00E94178">
        <w:rPr>
          <w:i/>
          <w:iCs/>
        </w:rPr>
        <w:t>The Lancet</w:t>
      </w:r>
      <w:r w:rsidRPr="00E94178">
        <w:t>. 2019;393(10189):2428-2438. doi:10.1016/S0140-6736(19)30418-0</w:t>
      </w:r>
    </w:p>
    <w:p w:rsidR="00E94178" w:rsidRPr="00E94178" w:rsidP="00E94178" w14:paraId="3FE412FF" w14:textId="77777777">
      <w:pPr>
        <w:pStyle w:val="paragraph"/>
        <w:numPr>
          <w:ilvl w:val="0"/>
          <w:numId w:val="5"/>
        </w:numPr>
        <w:shd w:val="clear" w:color="auto" w:fill="FFFFFF"/>
        <w:spacing w:before="0" w:beforeAutospacing="0" w:after="0" w:afterAutospacing="0"/>
        <w:ind w:left="0" w:firstLine="0"/>
        <w:textAlignment w:val="baseline"/>
      </w:pPr>
      <w:r w:rsidRPr="00E94178">
        <w:t xml:space="preserve">Mansergh G, Koblin BA, Sullivan PS. Challenges for HIV Pre-Exposure Prophylaxis among Men Who Have Sex with Men in the United States. </w:t>
      </w:r>
      <w:r w:rsidRPr="00E94178">
        <w:rPr>
          <w:i/>
          <w:iCs/>
        </w:rPr>
        <w:t>PLoS</w:t>
      </w:r>
      <w:r w:rsidRPr="00E94178">
        <w:rPr>
          <w:i/>
          <w:iCs/>
        </w:rPr>
        <w:t xml:space="preserve"> Med</w:t>
      </w:r>
      <w:r w:rsidRPr="00E94178">
        <w:t>. 2012;9(8</w:t>
      </w:r>
      <w:r w:rsidRPr="00E94178">
        <w:t>):e</w:t>
      </w:r>
      <w:r w:rsidRPr="00E94178">
        <w:t xml:space="preserve">1001286. </w:t>
      </w:r>
      <w:r w:rsidRPr="00E94178">
        <w:t>doi:10.1371/journal.pmed</w:t>
      </w:r>
      <w:r w:rsidRPr="00E94178">
        <w:t>.1001286</w:t>
      </w:r>
    </w:p>
    <w:p w:rsidR="00E94178" w:rsidRPr="00E94178" w:rsidP="00E94178" w14:paraId="2BB9A737" w14:textId="77777777">
      <w:pPr>
        <w:pStyle w:val="paragraph"/>
        <w:numPr>
          <w:ilvl w:val="0"/>
          <w:numId w:val="5"/>
        </w:numPr>
        <w:shd w:val="clear" w:color="auto" w:fill="FFFFFF"/>
        <w:spacing w:before="0" w:beforeAutospacing="0" w:after="0" w:afterAutospacing="0"/>
        <w:ind w:left="0" w:firstLine="0"/>
        <w:textAlignment w:val="baseline"/>
      </w:pPr>
      <w:r w:rsidRPr="00E94178">
        <w:t xml:space="preserve">Horvath KJ, </w:t>
      </w:r>
      <w:r w:rsidRPr="00E94178">
        <w:t>Lammert</w:t>
      </w:r>
      <w:r w:rsidRPr="00E94178">
        <w:t xml:space="preserve"> S, </w:t>
      </w:r>
      <w:r w:rsidRPr="00E94178">
        <w:t>Martinka</w:t>
      </w:r>
      <w:r w:rsidRPr="00E94178">
        <w:t xml:space="preserve"> A, Erickson D. Defining Sexual Risk in the Era of Biomedical HIV Prevention: Implications for HIV Research and Practice. </w:t>
      </w:r>
      <w:r w:rsidRPr="00E94178">
        <w:rPr>
          <w:i/>
          <w:iCs/>
        </w:rPr>
        <w:t xml:space="preserve">Arch Sex </w:t>
      </w:r>
      <w:r w:rsidRPr="00E94178">
        <w:rPr>
          <w:i/>
          <w:iCs/>
        </w:rPr>
        <w:t>Behav</w:t>
      </w:r>
      <w:r w:rsidRPr="00E94178">
        <w:t>. 2020;49(1):91-102. doi:10.1007/s10508-019-01499-8</w:t>
      </w:r>
    </w:p>
    <w:p w:rsidR="00E94178" w:rsidRPr="00E94178" w:rsidP="00E94178" w14:paraId="0C50B603" w14:textId="77777777">
      <w:pPr>
        <w:pStyle w:val="paragraph"/>
        <w:numPr>
          <w:ilvl w:val="0"/>
          <w:numId w:val="5"/>
        </w:numPr>
        <w:shd w:val="clear" w:color="auto" w:fill="FFFFFF"/>
        <w:spacing w:before="0" w:beforeAutospacing="0" w:after="0" w:afterAutospacing="0"/>
        <w:ind w:left="0" w:firstLine="0"/>
        <w:textAlignment w:val="baseline"/>
      </w:pPr>
      <w:r w:rsidRPr="00E94178">
        <w:t>Beyrer</w:t>
      </w:r>
      <w:r w:rsidRPr="00E94178">
        <w:t xml:space="preserve"> C, Sullivan P, Sanchez J, et al. The increase in global HIV epidemics in MSM. </w:t>
      </w:r>
      <w:r w:rsidRPr="00E94178">
        <w:rPr>
          <w:i/>
          <w:iCs/>
        </w:rPr>
        <w:t>AIDS</w:t>
      </w:r>
      <w:r w:rsidRPr="00E94178">
        <w:t xml:space="preserve">. 2013;27(17):2665-2678. </w:t>
      </w:r>
      <w:r w:rsidRPr="00E94178">
        <w:t>doi:10.1097/01.aids</w:t>
      </w:r>
      <w:r w:rsidRPr="00E94178">
        <w:t>.0000432449.30239.fe</w:t>
      </w:r>
    </w:p>
    <w:p w:rsidR="00E94178" w:rsidRPr="00E94178" w:rsidP="00E94178" w14:paraId="0F633A14" w14:textId="77777777">
      <w:pPr>
        <w:pStyle w:val="paragraph"/>
        <w:numPr>
          <w:ilvl w:val="0"/>
          <w:numId w:val="5"/>
        </w:numPr>
        <w:shd w:val="clear" w:color="auto" w:fill="FFFFFF"/>
        <w:spacing w:before="0" w:beforeAutospacing="0" w:after="0" w:afterAutospacing="0"/>
        <w:ind w:left="0" w:firstLine="0"/>
        <w:textAlignment w:val="baseline"/>
      </w:pPr>
      <w:r w:rsidRPr="00E94178">
        <w:t>US Centers for Disease Control and Prevention. Atlas Plus [Internet]. Published online 2019. https://www.cdc.gov/nchhstp/atlas/</w:t>
      </w:r>
    </w:p>
    <w:p w:rsidR="00E94178" w:rsidRPr="00E94178" w:rsidP="00E94178" w14:paraId="6CB7D273" w14:textId="77777777">
      <w:pPr>
        <w:pStyle w:val="paragraph"/>
        <w:numPr>
          <w:ilvl w:val="0"/>
          <w:numId w:val="5"/>
        </w:numPr>
        <w:shd w:val="clear" w:color="auto" w:fill="FFFFFF"/>
        <w:spacing w:before="0" w:beforeAutospacing="0" w:after="0" w:afterAutospacing="0"/>
        <w:ind w:left="0" w:firstLine="0"/>
        <w:textAlignment w:val="baseline"/>
      </w:pPr>
      <w:r w:rsidRPr="00E94178">
        <w:t xml:space="preserve">Sullivan PS, Sanchez TH, </w:t>
      </w:r>
      <w:r w:rsidRPr="00E94178">
        <w:t>Zlotorzynska</w:t>
      </w:r>
      <w:r w:rsidRPr="00E94178">
        <w:t xml:space="preserve"> M, et al. National trends in HIV pre‐exposure prophylaxis awareness, willingness and use among United States men who have sex with men recruited online, 2013 through 2017. </w:t>
      </w:r>
      <w:r w:rsidRPr="00E94178">
        <w:rPr>
          <w:i/>
          <w:iCs/>
        </w:rPr>
        <w:t>J Int AIDS Soc</w:t>
      </w:r>
      <w:r w:rsidRPr="00E94178">
        <w:t>. 2020;23(3). doi:10.1002/jia2.25461</w:t>
      </w:r>
    </w:p>
    <w:p w:rsidR="00612248" w:rsidP="0088337E" w14:paraId="3B4F6AD6" w14:textId="77777777">
      <w:pPr>
        <w:pStyle w:val="paragraph"/>
        <w:numPr>
          <w:ilvl w:val="0"/>
          <w:numId w:val="5"/>
        </w:numPr>
        <w:shd w:val="clear" w:color="auto" w:fill="FFFFFF"/>
        <w:spacing w:before="0" w:beforeAutospacing="0" w:after="0" w:afterAutospacing="0"/>
        <w:ind w:left="0" w:firstLine="0"/>
        <w:textAlignment w:val="baseline"/>
      </w:pPr>
      <w:r w:rsidRPr="00E94178">
        <w:t xml:space="preserve">Siegler AJ, </w:t>
      </w:r>
      <w:r w:rsidRPr="00E94178">
        <w:t>Mouhanna</w:t>
      </w:r>
      <w:r w:rsidRPr="00E94178">
        <w:t xml:space="preserve"> F, </w:t>
      </w:r>
      <w:r w:rsidRPr="00E94178">
        <w:t>Giler</w:t>
      </w:r>
      <w:r w:rsidRPr="00E94178">
        <w:t xml:space="preserve"> RM, et al. The prevalence of pre-exposure prophylaxis </w:t>
      </w:r>
      <w:r w:rsidRPr="00E94178">
        <w:t>use</w:t>
      </w:r>
      <w:r w:rsidRPr="00E94178">
        <w:t xml:space="preserve"> and the pre-exposure prophylaxis–to-need ratio in the fourth quarter of 2017, United States. </w:t>
      </w:r>
      <w:r w:rsidRPr="00E94178">
        <w:rPr>
          <w:i/>
          <w:iCs/>
        </w:rPr>
        <w:t>Ann Epidemiol</w:t>
      </w:r>
      <w:r w:rsidRPr="00E94178">
        <w:t xml:space="preserve">. 2018;28(12):841-849. </w:t>
      </w:r>
      <w:r w:rsidRPr="00E94178">
        <w:t>doi:10.1016/j.annepidem</w:t>
      </w:r>
      <w:r w:rsidRPr="00E94178">
        <w:t>.2018.06.005</w:t>
      </w:r>
    </w:p>
    <w:p w:rsidR="00612248" w:rsidP="00627099" w14:paraId="6C322FBE" w14:textId="77777777">
      <w:pPr>
        <w:pStyle w:val="paragraph"/>
        <w:numPr>
          <w:ilvl w:val="0"/>
          <w:numId w:val="5"/>
        </w:numPr>
        <w:shd w:val="clear" w:color="auto" w:fill="FFFFFF"/>
        <w:spacing w:before="0" w:beforeAutospacing="0" w:after="0" w:afterAutospacing="0"/>
        <w:ind w:left="0" w:firstLine="0"/>
        <w:textAlignment w:val="baseline"/>
      </w:pPr>
      <w:r w:rsidRPr="0013387C">
        <w:t xml:space="preserve">HIV.gov. National HIV/AIDS Strategy (2022-2025). Available at: </w:t>
      </w:r>
      <w:hyperlink r:id="rId11" w:history="1">
        <w:r w:rsidRPr="00614E2B">
          <w:rPr>
            <w:rStyle w:val="Hyperlink"/>
          </w:rPr>
          <w:t>http://www.hiv.gov/federal-response/national-hiv-aids-strategy/national-hiv-aids-strategy-2022-2025</w:t>
        </w:r>
      </w:hyperlink>
      <w:r>
        <w:t xml:space="preserve">. Published </w:t>
      </w:r>
      <w:r w:rsidRPr="00926825">
        <w:t>August 29, 2022</w:t>
      </w:r>
      <w:r>
        <w:t xml:space="preserve">. </w:t>
      </w:r>
      <w:r w:rsidRPr="0013387C">
        <w:t xml:space="preserve">Accessed: </w:t>
      </w:r>
      <w:r>
        <w:t>December 29</w:t>
      </w:r>
      <w:r w:rsidRPr="0013387C">
        <w:t>, 2022.</w:t>
      </w:r>
    </w:p>
    <w:p w:rsidR="00E713DB" w:rsidP="008A71C0" w14:paraId="2A796D0A" w14:textId="6DDE6679">
      <w:pPr>
        <w:pStyle w:val="paragraph"/>
        <w:numPr>
          <w:ilvl w:val="0"/>
          <w:numId w:val="5"/>
        </w:numPr>
        <w:shd w:val="clear" w:color="auto" w:fill="FFFFFF"/>
        <w:spacing w:before="0" w:beforeAutospacing="0" w:after="0" w:afterAutospacing="0"/>
        <w:ind w:left="0" w:firstLine="0"/>
        <w:textAlignment w:val="baseline"/>
      </w:pPr>
      <w:r w:rsidRPr="00627099">
        <w:t xml:space="preserve">HIV.gov. What is ‘Ending the HIV Epidemic: A Plan for America’? Available at: </w:t>
      </w:r>
      <w:hyperlink r:id="rId12" w:history="1">
        <w:r w:rsidRPr="00612248">
          <w:rPr>
            <w:color w:val="0563C1"/>
            <w:u w:val="single"/>
          </w:rPr>
          <w:t>https://www.hiv.gov/federal-response/ending-the-hiv-epidemic/overview</w:t>
        </w:r>
      </w:hyperlink>
      <w:r w:rsidRPr="00627099">
        <w:t>. Updated July 01, 2022. Accessed: December 5, 202</w:t>
      </w:r>
      <w:r w:rsidR="00F30646">
        <w:t>2</w:t>
      </w:r>
      <w:r w:rsidRPr="00627099">
        <w:t>.</w:t>
      </w:r>
    </w:p>
    <w:p w:rsidR="00E713DB" w:rsidP="008A71C0" w14:paraId="69393D80" w14:textId="77777777">
      <w:pPr>
        <w:pStyle w:val="paragraph"/>
        <w:numPr>
          <w:ilvl w:val="0"/>
          <w:numId w:val="5"/>
        </w:numPr>
        <w:shd w:val="clear" w:color="auto" w:fill="FFFFFF"/>
        <w:spacing w:before="0" w:beforeAutospacing="0" w:after="0" w:afterAutospacing="0"/>
        <w:ind w:left="0" w:firstLine="0"/>
        <w:textAlignment w:val="baseline"/>
      </w:pPr>
      <w:r w:rsidRPr="008A71C0">
        <w:t xml:space="preserve">Siegler AJ, Mayer KH, Liu AY, et al. Developing and Assessing the Feasibility of a Home-based Preexposure Prophylaxis Monitoring and Support Program. </w:t>
      </w:r>
      <w:r w:rsidRPr="00E713DB">
        <w:rPr>
          <w:i/>
          <w:iCs/>
        </w:rPr>
        <w:t>Clin Infect Dis</w:t>
      </w:r>
      <w:r w:rsidRPr="008A71C0">
        <w:t>. 2019;68(3):501-504. doi:10.1093/</w:t>
      </w:r>
      <w:r w:rsidRPr="008A71C0">
        <w:t>cid</w:t>
      </w:r>
      <w:r w:rsidRPr="008A71C0">
        <w:t>/ciy529</w:t>
      </w:r>
    </w:p>
    <w:p w:rsidR="00E713DB" w:rsidP="00E713DB" w14:paraId="5AA8B54C" w14:textId="77777777">
      <w:pPr>
        <w:pStyle w:val="paragraph"/>
        <w:numPr>
          <w:ilvl w:val="0"/>
          <w:numId w:val="5"/>
        </w:numPr>
        <w:shd w:val="clear" w:color="auto" w:fill="FFFFFF"/>
        <w:spacing w:before="0" w:beforeAutospacing="0" w:after="0" w:afterAutospacing="0"/>
        <w:ind w:left="0" w:firstLine="0"/>
        <w:textAlignment w:val="baseline"/>
      </w:pPr>
      <w:r w:rsidRPr="008A71C0">
        <w:t>Norelli</w:t>
      </w:r>
      <w:r w:rsidRPr="008A71C0">
        <w:t xml:space="preserve"> J, </w:t>
      </w:r>
      <w:r w:rsidRPr="008A71C0">
        <w:t>Zlotorzynska</w:t>
      </w:r>
      <w:r w:rsidRPr="008A71C0">
        <w:t xml:space="preserve"> M, Sanchez T, Sullivan PS. Scaling Up </w:t>
      </w:r>
      <w:r w:rsidRPr="008A71C0">
        <w:t>CareKit</w:t>
      </w:r>
      <w:r w:rsidRPr="008A71C0">
        <w:t xml:space="preserve">: Lessons Learned from Expansion of a Centralized Home HIV and Sexually Transmitted Infection Testing Program. </w:t>
      </w:r>
      <w:r w:rsidRPr="00E713DB">
        <w:rPr>
          <w:i/>
          <w:iCs/>
        </w:rPr>
        <w:t xml:space="preserve">Sex </w:t>
      </w:r>
      <w:r w:rsidRPr="00E713DB">
        <w:rPr>
          <w:i/>
          <w:iCs/>
        </w:rPr>
        <w:t>Transm</w:t>
      </w:r>
      <w:r w:rsidRPr="00E713DB">
        <w:rPr>
          <w:i/>
          <w:iCs/>
        </w:rPr>
        <w:t xml:space="preserve"> Dis</w:t>
      </w:r>
      <w:r w:rsidRPr="008A71C0">
        <w:t>. 2021;48(8S</w:t>
      </w:r>
      <w:r w:rsidRPr="008A71C0">
        <w:t>):S</w:t>
      </w:r>
      <w:r w:rsidRPr="008A71C0">
        <w:t>66-S70. doi:10.1097/OLQ.0000000000001473</w:t>
      </w:r>
    </w:p>
    <w:p w:rsidR="00A0213C" w:rsidP="0078545F" w14:paraId="592F9854" w14:textId="27AC9C95">
      <w:pPr>
        <w:pStyle w:val="paragraph"/>
        <w:numPr>
          <w:ilvl w:val="0"/>
          <w:numId w:val="5"/>
        </w:numPr>
        <w:shd w:val="clear" w:color="auto" w:fill="FFFFFF"/>
        <w:spacing w:before="0" w:beforeAutospacing="0" w:after="0" w:afterAutospacing="0"/>
        <w:ind w:left="0" w:firstLine="0"/>
        <w:textAlignment w:val="baseline"/>
      </w:pPr>
      <w:r w:rsidRPr="003753F0">
        <w:t xml:space="preserve">CDC (2021). Preexposure Prophylaxis for the Prevention of HIV Infection in the United States – 2021 Update, A Clinical Practice Update. Available at: </w:t>
      </w:r>
      <w:hyperlink r:id="rId13" w:history="1">
        <w:r w:rsidRPr="003753F0">
          <w:rPr>
            <w:rStyle w:val="Hyperlink"/>
          </w:rPr>
          <w:t>US Public Health Service: PREEXPOSURE PROPHYLAXIS FOR THE PREVENTION OF HIV INFECTION IN THE UNITED STATES – 2021 UPDATE, A CLINICAL PRACTICE GUIDELINE (cdc.gov)</w:t>
        </w:r>
      </w:hyperlink>
      <w:r w:rsidRPr="003753F0">
        <w:t xml:space="preserve">. </w:t>
      </w:r>
      <w:r w:rsidR="008456EB">
        <w:t xml:space="preserve">Accessed January </w:t>
      </w:r>
      <w:r w:rsidR="00AB620F">
        <w:t>20, 2023.</w:t>
      </w:r>
    </w:p>
    <w:p w:rsidR="00A0213C" w:rsidRPr="00A0213C" w:rsidP="00A0213C" w14:paraId="3E8144DA" w14:textId="77777777">
      <w:pPr>
        <w:pStyle w:val="paragraph"/>
        <w:numPr>
          <w:ilvl w:val="0"/>
          <w:numId w:val="5"/>
        </w:numPr>
        <w:shd w:val="clear" w:color="auto" w:fill="FFFFFF"/>
        <w:spacing w:before="0" w:beforeAutospacing="0" w:after="0" w:afterAutospacing="0"/>
        <w:ind w:left="0" w:firstLine="0"/>
        <w:textAlignment w:val="baseline"/>
      </w:pPr>
      <w:hyperlink r:id="rId14" w:history="1">
        <w:r w:rsidRPr="00A0213C" w:rsidR="00BA4BD5">
          <w:rPr>
            <w:rStyle w:val="Hyperlink"/>
            <w:lang w:val="en"/>
          </w:rPr>
          <w:t>Grov</w:t>
        </w:r>
      </w:hyperlink>
      <w:r w:rsidRPr="00A0213C" w:rsidR="00BA4BD5">
        <w:rPr>
          <w:lang w:val="en"/>
        </w:rPr>
        <w:t xml:space="preserve"> C, </w:t>
      </w:r>
      <w:hyperlink r:id="rId15" w:history="1">
        <w:r w:rsidRPr="00A0213C" w:rsidR="00BA4BD5">
          <w:rPr>
            <w:rStyle w:val="Hyperlink"/>
            <w:lang w:val="en"/>
          </w:rPr>
          <w:t>Westmoreland</w:t>
        </w:r>
      </w:hyperlink>
      <w:r w:rsidRPr="00A0213C" w:rsidR="00BA4BD5">
        <w:rPr>
          <w:lang w:val="en"/>
        </w:rPr>
        <w:t xml:space="preserve"> DA, </w:t>
      </w:r>
      <w:hyperlink r:id="rId16" w:history="1">
        <w:r w:rsidRPr="00A0213C" w:rsidR="00BA4BD5">
          <w:rPr>
            <w:rStyle w:val="Hyperlink"/>
            <w:lang w:val="en"/>
          </w:rPr>
          <w:t>D'Angelo</w:t>
        </w:r>
      </w:hyperlink>
      <w:r w:rsidRPr="00A0213C" w:rsidR="00BA4BD5">
        <w:rPr>
          <w:lang w:val="en"/>
        </w:rPr>
        <w:t xml:space="preserve"> AB, </w:t>
      </w:r>
      <w:hyperlink r:id="rId17" w:history="1">
        <w:r w:rsidRPr="00A0213C" w:rsidR="00BA4BD5">
          <w:rPr>
            <w:rStyle w:val="Hyperlink"/>
            <w:lang w:val="en"/>
          </w:rPr>
          <w:t>Pantalone</w:t>
        </w:r>
      </w:hyperlink>
      <w:r w:rsidRPr="00A0213C" w:rsidR="00BA4BD5">
        <w:rPr>
          <w:lang w:val="en"/>
        </w:rPr>
        <w:t xml:space="preserve"> DW.</w:t>
      </w:r>
      <w:r w:rsidRPr="00A0213C" w:rsidR="00BA4BD5">
        <w:rPr>
          <w:vertAlign w:val="superscript"/>
          <w:lang w:val="en"/>
        </w:rPr>
        <w:t xml:space="preserve">. </w:t>
      </w:r>
      <w:r w:rsidRPr="00A0213C" w:rsidR="00BA4BD5">
        <w:rPr>
          <w:lang w:val="en"/>
        </w:rPr>
        <w:t xml:space="preserve">How Has HIV Pre-Exposure Prophylaxis (PrEP) Changed Sex? A Review of Research in a New Era of Bio-behavioral HIV Prevention. J Sex Res. 2021 Sep;58(7):891-913. </w:t>
      </w:r>
    </w:p>
    <w:p w:rsidR="00A0213C" w:rsidRPr="00A0213C" w:rsidP="00A0213C" w14:paraId="754FE844" w14:textId="77777777">
      <w:pPr>
        <w:pStyle w:val="paragraph"/>
        <w:numPr>
          <w:ilvl w:val="0"/>
          <w:numId w:val="5"/>
        </w:numPr>
        <w:shd w:val="clear" w:color="auto" w:fill="FFFFFF"/>
        <w:spacing w:before="0" w:beforeAutospacing="0" w:after="0" w:afterAutospacing="0"/>
        <w:ind w:left="0" w:firstLine="0"/>
        <w:textAlignment w:val="baseline"/>
      </w:pPr>
      <w:r w:rsidRPr="00A0213C">
        <w:rPr>
          <w:lang w:val="en"/>
        </w:rPr>
        <w:t xml:space="preserve">Montgomery MC, Ellison J, Chan PA, Harrison L, van den Berg JJ. </w:t>
      </w:r>
      <w:hyperlink r:id="rId18" w:history="1">
        <w:r w:rsidRPr="00A0213C">
          <w:rPr>
            <w:rStyle w:val="Hyperlink"/>
            <w:lang w:val="en"/>
          </w:rPr>
          <w:t xml:space="preserve">Sexual satisfaction with daily oral HIV pre-exposure prophylaxis (PrEP) among gay and bisexual men at two urban PrEP clinics in the United States: an observational study. </w:t>
        </w:r>
      </w:hyperlink>
      <w:r w:rsidRPr="00A0213C">
        <w:rPr>
          <w:lang w:val="en"/>
        </w:rPr>
        <w:t xml:space="preserve">Sex Health. 2021 Sep;18(4):319-326. </w:t>
      </w:r>
      <w:r w:rsidRPr="00A0213C">
        <w:rPr>
          <w:lang w:val="en"/>
        </w:rPr>
        <w:t>doi</w:t>
      </w:r>
      <w:r w:rsidRPr="00A0213C">
        <w:rPr>
          <w:lang w:val="en"/>
        </w:rPr>
        <w:t>: 10.1071/SH20207.</w:t>
      </w:r>
    </w:p>
    <w:p w:rsidR="00A0213C" w:rsidRPr="00A0213C" w:rsidP="00A0213C" w14:paraId="6E059E9C" w14:textId="77777777">
      <w:pPr>
        <w:pStyle w:val="paragraph"/>
        <w:numPr>
          <w:ilvl w:val="0"/>
          <w:numId w:val="5"/>
        </w:numPr>
        <w:shd w:val="clear" w:color="auto" w:fill="FFFFFF"/>
        <w:spacing w:before="0" w:beforeAutospacing="0" w:after="0" w:afterAutospacing="0"/>
        <w:ind w:left="0" w:firstLine="0"/>
        <w:textAlignment w:val="baseline"/>
      </w:pPr>
      <w:hyperlink r:id="rId19" w:history="1">
        <w:r w:rsidRPr="00A0213C" w:rsidR="003753F0">
          <w:rPr>
            <w:rStyle w:val="Hyperlink"/>
            <w:lang w:val="en"/>
          </w:rPr>
          <w:t>Dubov</w:t>
        </w:r>
        <w:r w:rsidRPr="00A0213C" w:rsidR="003753F0">
          <w:rPr>
            <w:rStyle w:val="Hyperlink"/>
            <w:lang w:val="en"/>
          </w:rPr>
          <w:t xml:space="preserve"> A</w:t>
        </w:r>
      </w:hyperlink>
      <w:r w:rsidRPr="00A0213C" w:rsidR="003753F0">
        <w:rPr>
          <w:lang w:val="en"/>
        </w:rPr>
        <w:t>, </w:t>
      </w:r>
      <w:hyperlink r:id="rId20" w:history="1">
        <w:r w:rsidRPr="00A0213C" w:rsidR="003753F0">
          <w:rPr>
            <w:rStyle w:val="Hyperlink"/>
            <w:lang w:val="en"/>
          </w:rPr>
          <w:t>Ogunbajo</w:t>
        </w:r>
      </w:hyperlink>
      <w:r w:rsidRPr="00A0213C" w:rsidR="003753F0">
        <w:rPr>
          <w:lang w:val="en"/>
        </w:rPr>
        <w:t xml:space="preserve"> A, </w:t>
      </w:r>
      <w:hyperlink r:id="rId21" w:history="1">
        <w:r w:rsidRPr="00A0213C" w:rsidR="003753F0">
          <w:rPr>
            <w:rStyle w:val="Hyperlink"/>
            <w:lang w:val="en"/>
          </w:rPr>
          <w:t>Altice</w:t>
        </w:r>
      </w:hyperlink>
      <w:r w:rsidRPr="00A0213C" w:rsidR="003753F0">
        <w:rPr>
          <w:lang w:val="en"/>
        </w:rPr>
        <w:t xml:space="preserve"> FL, </w:t>
      </w:r>
      <w:hyperlink r:id="rId22" w:history="1">
        <w:r w:rsidRPr="00A0213C" w:rsidR="003753F0">
          <w:rPr>
            <w:rStyle w:val="Hyperlink"/>
            <w:lang w:val="en"/>
          </w:rPr>
          <w:t>Fraenkel</w:t>
        </w:r>
      </w:hyperlink>
      <w:r w:rsidRPr="00A0213C" w:rsidR="003753F0">
        <w:rPr>
          <w:lang w:val="en"/>
        </w:rPr>
        <w:t xml:space="preserve"> L. Optimizing access to PrEP based on MSM preferences: Results of a discrete choice experiment. AIDS Care. 2019 May;31(5):545-553.</w:t>
      </w:r>
    </w:p>
    <w:p w:rsidR="00A0213C" w:rsidRPr="00A0213C" w:rsidP="00A0213C" w14:paraId="332C2651" w14:textId="77777777">
      <w:pPr>
        <w:pStyle w:val="paragraph"/>
        <w:numPr>
          <w:ilvl w:val="0"/>
          <w:numId w:val="5"/>
        </w:numPr>
        <w:shd w:val="clear" w:color="auto" w:fill="FFFFFF"/>
        <w:spacing w:before="0" w:beforeAutospacing="0" w:after="0" w:afterAutospacing="0"/>
        <w:ind w:left="0" w:firstLine="0"/>
        <w:textAlignment w:val="baseline"/>
      </w:pPr>
      <w:r w:rsidRPr="00A0213C">
        <w:rPr>
          <w:lang w:val="en"/>
        </w:rPr>
        <w:t xml:space="preserve">Mansergh G, Kota KK, Stephenson R, Hirshfield S, Sullivan P. </w:t>
      </w:r>
      <w:hyperlink r:id="rId23" w:history="1">
        <w:r w:rsidRPr="00A0213C">
          <w:rPr>
            <w:rStyle w:val="Hyperlink"/>
            <w:lang w:val="en"/>
          </w:rPr>
          <w:t xml:space="preserve">Preference for using a variety of future HIV pre-exposure prophylaxis products among men who have sex with men in three US cities. </w:t>
        </w:r>
      </w:hyperlink>
      <w:r w:rsidRPr="00A0213C">
        <w:rPr>
          <w:lang w:val="en"/>
        </w:rPr>
        <w:t>J Int AIDS Soc. 2021 Jan;24(1</w:t>
      </w:r>
      <w:r w:rsidRPr="00A0213C">
        <w:rPr>
          <w:lang w:val="en"/>
        </w:rPr>
        <w:t>):e</w:t>
      </w:r>
      <w:r w:rsidRPr="00A0213C">
        <w:rPr>
          <w:lang w:val="en"/>
        </w:rPr>
        <w:t xml:space="preserve">25664. </w:t>
      </w:r>
      <w:r w:rsidRPr="00A0213C">
        <w:rPr>
          <w:lang w:val="en"/>
        </w:rPr>
        <w:t>doi</w:t>
      </w:r>
      <w:r w:rsidRPr="00A0213C">
        <w:rPr>
          <w:lang w:val="en"/>
        </w:rPr>
        <w:t>: 10.1002/jia2.25664</w:t>
      </w:r>
    </w:p>
    <w:p w:rsidR="008723CF" w:rsidP="008723CF" w14:paraId="21E01BDB" w14:textId="77777777">
      <w:pPr>
        <w:pStyle w:val="paragraph"/>
        <w:numPr>
          <w:ilvl w:val="0"/>
          <w:numId w:val="5"/>
        </w:numPr>
        <w:shd w:val="clear" w:color="auto" w:fill="FFFFFF"/>
        <w:spacing w:before="0" w:beforeAutospacing="0" w:after="0" w:afterAutospacing="0"/>
        <w:ind w:left="0" w:firstLine="0"/>
        <w:textAlignment w:val="baseline"/>
      </w:pPr>
      <w:r w:rsidRPr="003753F0">
        <w:t>Mansergh G, Sullivan PS, Kota KK, Daskalakis D. Pre-exposure prophylaxis in the era of emerging methods for MSM in the USA: The HIV Prevention Cycle of Care Model. The Lancet HIV. 2022 (in press).</w:t>
      </w:r>
    </w:p>
    <w:p w:rsidR="008723CF" w:rsidRPr="008723CF" w:rsidP="008723CF" w14:paraId="46629EB9" w14:textId="77777777">
      <w:pPr>
        <w:pStyle w:val="paragraph"/>
        <w:numPr>
          <w:ilvl w:val="0"/>
          <w:numId w:val="5"/>
        </w:numPr>
        <w:shd w:val="clear" w:color="auto" w:fill="FFFFFF"/>
        <w:spacing w:before="0" w:beforeAutospacing="0" w:after="0" w:afterAutospacing="0"/>
        <w:ind w:left="0" w:firstLine="0"/>
        <w:textAlignment w:val="baseline"/>
      </w:pPr>
      <w:r w:rsidRPr="008723CF">
        <w:rPr>
          <w:lang w:val="en"/>
        </w:rPr>
        <w:t xml:space="preserve">Rogers BG, </w:t>
      </w:r>
      <w:r w:rsidRPr="008723CF">
        <w:rPr>
          <w:lang w:val="en"/>
        </w:rPr>
        <w:t>Sosnowy</w:t>
      </w:r>
      <w:r w:rsidRPr="008723CF">
        <w:rPr>
          <w:lang w:val="en"/>
        </w:rPr>
        <w:t xml:space="preserve"> C, </w:t>
      </w:r>
      <w:r w:rsidRPr="008723CF">
        <w:rPr>
          <w:lang w:val="en"/>
        </w:rPr>
        <w:t>Zanowick</w:t>
      </w:r>
      <w:r w:rsidRPr="008723CF">
        <w:rPr>
          <w:lang w:val="en"/>
        </w:rPr>
        <w:t xml:space="preserve">-Marr A, et al. Facilitators for retaining men who have sex with men in pre-exposure prophylaxis care in real world clinic settings within the United States. BMC Infect Dis. 2022 Aug 5;22(1):673. </w:t>
      </w:r>
      <w:r w:rsidRPr="008723CF">
        <w:rPr>
          <w:lang w:val="en"/>
        </w:rPr>
        <w:t>doi</w:t>
      </w:r>
      <w:r w:rsidRPr="008723CF">
        <w:rPr>
          <w:lang w:val="en"/>
        </w:rPr>
        <w:t xml:space="preserve">: 10.1186/s12879-022-07658-y. </w:t>
      </w:r>
    </w:p>
    <w:p w:rsidR="00774EC4" w:rsidP="008723CF" w14:paraId="4F919727" w14:textId="3E9888DA">
      <w:pPr>
        <w:pStyle w:val="paragraph"/>
        <w:numPr>
          <w:ilvl w:val="0"/>
          <w:numId w:val="5"/>
        </w:numPr>
        <w:shd w:val="clear" w:color="auto" w:fill="FFFFFF"/>
        <w:spacing w:before="0" w:beforeAutospacing="0" w:after="0" w:afterAutospacing="0"/>
        <w:ind w:left="0" w:firstLine="0"/>
        <w:textAlignment w:val="baseline"/>
      </w:pPr>
      <w:r w:rsidRPr="0000359F">
        <w:rPr>
          <w:color w:val="000000"/>
        </w:rPr>
        <w:t xml:space="preserve">Parrying the Pitfalls of PrEP: Preventing Premature PrEP Discontinuation and STIs Among MSM (Project PEACH). Clinical Trials identifier:  NCT05072093. Updated June 7, 2023. Accessed July 24, 2023. Available at </w:t>
      </w:r>
      <w:hyperlink r:id="rId24" w:history="1">
        <w:r w:rsidRPr="0000359F">
          <w:rPr>
            <w:rStyle w:val="Hyperlink"/>
          </w:rPr>
          <w:t>https://clinicaltrials.gov/study/NCT05072093</w:t>
        </w:r>
      </w:hyperlink>
    </w:p>
    <w:p w:rsidR="001C7219" w:rsidP="008723CF" w14:paraId="76EA363E" w14:textId="23A6C2F3">
      <w:pPr>
        <w:pStyle w:val="paragraph"/>
        <w:numPr>
          <w:ilvl w:val="0"/>
          <w:numId w:val="5"/>
        </w:numPr>
        <w:shd w:val="clear" w:color="auto" w:fill="FFFFFF"/>
        <w:spacing w:before="0" w:beforeAutospacing="0" w:after="0" w:afterAutospacing="0"/>
        <w:ind w:left="0" w:firstLine="0"/>
        <w:textAlignment w:val="baseline"/>
      </w:pPr>
      <w:r w:rsidRPr="008E5769">
        <w:t>Office of Information and Regulatory Affairs O</w:t>
      </w:r>
      <w:r>
        <w:t>ffice of Management and Budget</w:t>
      </w:r>
      <w:r w:rsidRPr="008E5769">
        <w:t>. Questions and Answers When Designing Surveys for Information Collections. Washington, DC</w:t>
      </w:r>
      <w:r>
        <w:t xml:space="preserve">. </w:t>
      </w:r>
      <w:r w:rsidRPr="008E5769">
        <w:t>Jan 2006 (Last Modified Oct 2016).</w:t>
      </w:r>
      <w:r w:rsidR="00E32C7E">
        <w:t xml:space="preserve"> Available at: </w:t>
      </w:r>
      <w:hyperlink r:id="rId25" w:history="1">
        <w:r w:rsidRPr="00255C55" w:rsidR="00E32C7E">
          <w:rPr>
            <w:rStyle w:val="Hyperlink"/>
          </w:rPr>
          <w:t>https://obamawhitehouse.archives.gov/sites/default/files/omb/inforeg/pmc_survey_guidance_2006.pdf</w:t>
        </w:r>
      </w:hyperlink>
      <w:r w:rsidR="00E32C7E">
        <w:t xml:space="preserve">. </w:t>
      </w:r>
      <w:r w:rsidRPr="00E32C7E" w:rsidR="00E32C7E">
        <w:t>Accessed January 14</w:t>
      </w:r>
      <w:r w:rsidR="00E32C7E">
        <w:t>, 2023.</w:t>
      </w:r>
    </w:p>
    <w:p w:rsidR="00535D64" w:rsidP="008723CF" w14:paraId="429B78AC" w14:textId="74799230">
      <w:pPr>
        <w:pStyle w:val="paragraph"/>
        <w:numPr>
          <w:ilvl w:val="0"/>
          <w:numId w:val="5"/>
        </w:numPr>
        <w:shd w:val="clear" w:color="auto" w:fill="FFFFFF"/>
        <w:spacing w:before="0" w:beforeAutospacing="0" w:after="0" w:afterAutospacing="0"/>
        <w:ind w:left="0" w:firstLine="0"/>
        <w:textAlignment w:val="baseline"/>
      </w:pPr>
      <w:r w:rsidRPr="008723CF">
        <w:t>Yancey AK, Ortega AN, Kumanyika SK. Effective recruitment and retention of minority research participants. Annual Review of Public Health. 2006;27: 1-28.</w:t>
      </w:r>
    </w:p>
    <w:p w:rsidR="003A5C4E" w:rsidRPr="00E32C7E" w:rsidP="00960021" w14:paraId="36752B73" w14:textId="1FEE608A">
      <w:pPr>
        <w:pStyle w:val="ListParagraph"/>
        <w:shd w:val="clear" w:color="auto" w:fill="FFFFFF"/>
        <w:spacing w:after="0" w:line="240" w:lineRule="auto"/>
        <w:ind w:left="0"/>
        <w:rPr>
          <w:rFonts w:ascii="Times New Roman" w:hAnsi="Times New Roman"/>
          <w:color w:val="000000"/>
          <w:sz w:val="24"/>
          <w:szCs w:val="24"/>
        </w:rPr>
      </w:pPr>
    </w:p>
    <w:sectPr w:rsidSect="00B52F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16" w14:paraId="37F85ED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12350112"/>
      <w:docPartObj>
        <w:docPartGallery w:val="Page Numbers (Bottom of Page)"/>
        <w:docPartUnique/>
      </w:docPartObj>
    </w:sdtPr>
    <w:sdtEndPr>
      <w:rPr>
        <w:noProof/>
      </w:rPr>
    </w:sdtEndPr>
    <w:sdtContent>
      <w:p w:rsidR="00851E5E" w14:paraId="5B888317" w14:textId="3A14549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F45494" w14:paraId="6601C5E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16" w14:paraId="413D91C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16" w14:paraId="18D9AE5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16" w14:paraId="6DBB2608"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16" w14:paraId="2A958E4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F616CD"/>
    <w:multiLevelType w:val="hybridMultilevel"/>
    <w:tmpl w:val="F962BB86"/>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FD605D3"/>
    <w:multiLevelType w:val="hybridMultilevel"/>
    <w:tmpl w:val="00FE89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8546667"/>
    <w:multiLevelType w:val="hybridMultilevel"/>
    <w:tmpl w:val="00F88366"/>
    <w:lvl w:ilvl="0">
      <w:start w:val="0"/>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78519E5"/>
    <w:multiLevelType w:val="hybridMultilevel"/>
    <w:tmpl w:val="69D80BD4"/>
    <w:lvl w:ilvl="0">
      <w:start w:val="1"/>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BDB03C5"/>
    <w:multiLevelType w:val="hybridMultilevel"/>
    <w:tmpl w:val="AF68D5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0CF0E72"/>
    <w:multiLevelType w:val="hybridMultilevel"/>
    <w:tmpl w:val="C6CAD7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7541CEA"/>
    <w:multiLevelType w:val="hybridMultilevel"/>
    <w:tmpl w:val="F6301C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6661AAA"/>
    <w:multiLevelType w:val="hybridMultilevel"/>
    <w:tmpl w:val="671C008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ED06F80"/>
    <w:multiLevelType w:val="hybridMultilevel"/>
    <w:tmpl w:val="847AE5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E1E10EB"/>
    <w:multiLevelType w:val="multilevel"/>
    <w:tmpl w:val="F5F0AB58"/>
    <w:lvl w:ilvl="0">
      <w:start w:val="1"/>
      <w:numFmt w:val="decimal"/>
      <w:pStyle w:val="Heading1"/>
      <w:lvlText w:val="%1."/>
      <w:lvlJc w:val="left"/>
      <w:pPr>
        <w:ind w:left="432" w:hanging="432"/>
      </w:pPr>
      <w:rPr>
        <w:rFonts w:hint="default"/>
      </w:rPr>
    </w:lvl>
    <w:lvl w:ilvl="1">
      <w:start w:val="1"/>
      <w:numFmt w:val="upperLetter"/>
      <w:pStyle w:val="Heading2"/>
      <w:lvlText w:val="%1%2."/>
      <w:lvlJc w:val="left"/>
      <w:pPr>
        <w:ind w:left="1116" w:hanging="576"/>
      </w:pPr>
      <w:rPr>
        <w:rFonts w:hint="default"/>
        <w:b/>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16cid:durableId="1149519898">
    <w:abstractNumId w:val="8"/>
  </w:num>
  <w:num w:numId="2" w16cid:durableId="161165419">
    <w:abstractNumId w:val="5"/>
  </w:num>
  <w:num w:numId="3" w16cid:durableId="1944848428">
    <w:abstractNumId w:val="9"/>
  </w:num>
  <w:num w:numId="4" w16cid:durableId="1023633590">
    <w:abstractNumId w:val="6"/>
  </w:num>
  <w:num w:numId="5" w16cid:durableId="1845318843">
    <w:abstractNumId w:val="7"/>
  </w:num>
  <w:num w:numId="6" w16cid:durableId="1812668237">
    <w:abstractNumId w:val="0"/>
  </w:num>
  <w:num w:numId="7" w16cid:durableId="1440222949">
    <w:abstractNumId w:val="3"/>
  </w:num>
  <w:num w:numId="8" w16cid:durableId="1723558293">
    <w:abstractNumId w:val="4"/>
  </w:num>
  <w:num w:numId="9" w16cid:durableId="490176110">
    <w:abstractNumId w:val="2"/>
  </w:num>
  <w:num w:numId="10" w16cid:durableId="1612374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126"/>
    <w:rsid w:val="00001547"/>
    <w:rsid w:val="00001F1C"/>
    <w:rsid w:val="00002369"/>
    <w:rsid w:val="00003036"/>
    <w:rsid w:val="0000359F"/>
    <w:rsid w:val="00006C01"/>
    <w:rsid w:val="00011CFC"/>
    <w:rsid w:val="000135CE"/>
    <w:rsid w:val="000209A2"/>
    <w:rsid w:val="00021E11"/>
    <w:rsid w:val="00022143"/>
    <w:rsid w:val="0002450C"/>
    <w:rsid w:val="00030DB8"/>
    <w:rsid w:val="0003456E"/>
    <w:rsid w:val="0004390B"/>
    <w:rsid w:val="00044FA5"/>
    <w:rsid w:val="00045F86"/>
    <w:rsid w:val="00046328"/>
    <w:rsid w:val="00047D50"/>
    <w:rsid w:val="000501B0"/>
    <w:rsid w:val="00050857"/>
    <w:rsid w:val="00052270"/>
    <w:rsid w:val="00056B3C"/>
    <w:rsid w:val="000635E6"/>
    <w:rsid w:val="00064C19"/>
    <w:rsid w:val="000716FA"/>
    <w:rsid w:val="00072AD1"/>
    <w:rsid w:val="00072CE8"/>
    <w:rsid w:val="000765CD"/>
    <w:rsid w:val="000769EC"/>
    <w:rsid w:val="000801C4"/>
    <w:rsid w:val="00080941"/>
    <w:rsid w:val="00080AD2"/>
    <w:rsid w:val="00081ADA"/>
    <w:rsid w:val="000837B8"/>
    <w:rsid w:val="00083AA9"/>
    <w:rsid w:val="00084D06"/>
    <w:rsid w:val="00084D46"/>
    <w:rsid w:val="00086519"/>
    <w:rsid w:val="000906AC"/>
    <w:rsid w:val="00090F20"/>
    <w:rsid w:val="00091ABC"/>
    <w:rsid w:val="00091EE7"/>
    <w:rsid w:val="00093AD1"/>
    <w:rsid w:val="0009502D"/>
    <w:rsid w:val="000959CF"/>
    <w:rsid w:val="000A0950"/>
    <w:rsid w:val="000A404D"/>
    <w:rsid w:val="000A4126"/>
    <w:rsid w:val="000A495D"/>
    <w:rsid w:val="000A6C83"/>
    <w:rsid w:val="000B04E4"/>
    <w:rsid w:val="000B69FE"/>
    <w:rsid w:val="000B6A1C"/>
    <w:rsid w:val="000B7FE2"/>
    <w:rsid w:val="000C1F40"/>
    <w:rsid w:val="000C429C"/>
    <w:rsid w:val="000C4665"/>
    <w:rsid w:val="000D2401"/>
    <w:rsid w:val="000D3362"/>
    <w:rsid w:val="000D3C89"/>
    <w:rsid w:val="000D3E94"/>
    <w:rsid w:val="000D40C1"/>
    <w:rsid w:val="000D47D1"/>
    <w:rsid w:val="000D4A87"/>
    <w:rsid w:val="000D642C"/>
    <w:rsid w:val="000D77EB"/>
    <w:rsid w:val="000E1A66"/>
    <w:rsid w:val="000E3667"/>
    <w:rsid w:val="000E4082"/>
    <w:rsid w:val="000E47FA"/>
    <w:rsid w:val="000E5481"/>
    <w:rsid w:val="000E5F00"/>
    <w:rsid w:val="000E6AC9"/>
    <w:rsid w:val="000F1903"/>
    <w:rsid w:val="000F29D6"/>
    <w:rsid w:val="000F2DF5"/>
    <w:rsid w:val="000F33D7"/>
    <w:rsid w:val="000F7E88"/>
    <w:rsid w:val="00101531"/>
    <w:rsid w:val="00105EEC"/>
    <w:rsid w:val="00106DB7"/>
    <w:rsid w:val="001104EA"/>
    <w:rsid w:val="00110A86"/>
    <w:rsid w:val="0011109F"/>
    <w:rsid w:val="00116E2C"/>
    <w:rsid w:val="00117DBF"/>
    <w:rsid w:val="00126573"/>
    <w:rsid w:val="00131F49"/>
    <w:rsid w:val="00132184"/>
    <w:rsid w:val="001331FB"/>
    <w:rsid w:val="0013387C"/>
    <w:rsid w:val="001351EB"/>
    <w:rsid w:val="00142281"/>
    <w:rsid w:val="00143D28"/>
    <w:rsid w:val="00144D46"/>
    <w:rsid w:val="001456E8"/>
    <w:rsid w:val="0014704E"/>
    <w:rsid w:val="001475B6"/>
    <w:rsid w:val="00147958"/>
    <w:rsid w:val="00147F69"/>
    <w:rsid w:val="00150BEF"/>
    <w:rsid w:val="00151BD9"/>
    <w:rsid w:val="001525A5"/>
    <w:rsid w:val="00152919"/>
    <w:rsid w:val="0015320C"/>
    <w:rsid w:val="00155717"/>
    <w:rsid w:val="001616A8"/>
    <w:rsid w:val="00161E34"/>
    <w:rsid w:val="00162395"/>
    <w:rsid w:val="00163FBE"/>
    <w:rsid w:val="00164849"/>
    <w:rsid w:val="001653D8"/>
    <w:rsid w:val="0016726C"/>
    <w:rsid w:val="00170226"/>
    <w:rsid w:val="00172A79"/>
    <w:rsid w:val="00173F27"/>
    <w:rsid w:val="00175D6B"/>
    <w:rsid w:val="0017648B"/>
    <w:rsid w:val="00180377"/>
    <w:rsid w:val="0018056B"/>
    <w:rsid w:val="001816F2"/>
    <w:rsid w:val="00182617"/>
    <w:rsid w:val="00183574"/>
    <w:rsid w:val="001839F7"/>
    <w:rsid w:val="00184053"/>
    <w:rsid w:val="00184745"/>
    <w:rsid w:val="00184D0D"/>
    <w:rsid w:val="001879C8"/>
    <w:rsid w:val="0019010E"/>
    <w:rsid w:val="001902DB"/>
    <w:rsid w:val="00191214"/>
    <w:rsid w:val="00191592"/>
    <w:rsid w:val="00196CA7"/>
    <w:rsid w:val="00197212"/>
    <w:rsid w:val="0019777D"/>
    <w:rsid w:val="001A4909"/>
    <w:rsid w:val="001A5BFB"/>
    <w:rsid w:val="001B0A7F"/>
    <w:rsid w:val="001B2065"/>
    <w:rsid w:val="001B55DD"/>
    <w:rsid w:val="001B58F7"/>
    <w:rsid w:val="001C7219"/>
    <w:rsid w:val="001C76A9"/>
    <w:rsid w:val="001D19D7"/>
    <w:rsid w:val="001D2547"/>
    <w:rsid w:val="001D52D8"/>
    <w:rsid w:val="001D5B80"/>
    <w:rsid w:val="001D5CFF"/>
    <w:rsid w:val="001D7491"/>
    <w:rsid w:val="001D7774"/>
    <w:rsid w:val="001E273C"/>
    <w:rsid w:val="001E3E30"/>
    <w:rsid w:val="001E7ACE"/>
    <w:rsid w:val="001F0DE5"/>
    <w:rsid w:val="001F270E"/>
    <w:rsid w:val="001F30DB"/>
    <w:rsid w:val="001F472F"/>
    <w:rsid w:val="001F62EE"/>
    <w:rsid w:val="001F7AD7"/>
    <w:rsid w:val="00200035"/>
    <w:rsid w:val="00202822"/>
    <w:rsid w:val="00204B0B"/>
    <w:rsid w:val="00206136"/>
    <w:rsid w:val="00206865"/>
    <w:rsid w:val="0021006C"/>
    <w:rsid w:val="002152A0"/>
    <w:rsid w:val="002170E3"/>
    <w:rsid w:val="002230D4"/>
    <w:rsid w:val="0022597A"/>
    <w:rsid w:val="002278C8"/>
    <w:rsid w:val="002334D7"/>
    <w:rsid w:val="00233523"/>
    <w:rsid w:val="0023525B"/>
    <w:rsid w:val="00235EEC"/>
    <w:rsid w:val="00236B1A"/>
    <w:rsid w:val="002374A1"/>
    <w:rsid w:val="00237B79"/>
    <w:rsid w:val="00241E59"/>
    <w:rsid w:val="00242AE9"/>
    <w:rsid w:val="00243043"/>
    <w:rsid w:val="0025123D"/>
    <w:rsid w:val="00251702"/>
    <w:rsid w:val="00251D74"/>
    <w:rsid w:val="002522EC"/>
    <w:rsid w:val="0025425E"/>
    <w:rsid w:val="00255C55"/>
    <w:rsid w:val="00257672"/>
    <w:rsid w:val="00266F80"/>
    <w:rsid w:val="002706A0"/>
    <w:rsid w:val="0027197C"/>
    <w:rsid w:val="00281306"/>
    <w:rsid w:val="00283DC4"/>
    <w:rsid w:val="002853AD"/>
    <w:rsid w:val="0029483E"/>
    <w:rsid w:val="00294859"/>
    <w:rsid w:val="00295054"/>
    <w:rsid w:val="002A3C8F"/>
    <w:rsid w:val="002A6108"/>
    <w:rsid w:val="002A62C3"/>
    <w:rsid w:val="002B0E46"/>
    <w:rsid w:val="002B2EDB"/>
    <w:rsid w:val="002B3680"/>
    <w:rsid w:val="002C0A19"/>
    <w:rsid w:val="002C182C"/>
    <w:rsid w:val="002C24CD"/>
    <w:rsid w:val="002C3D3D"/>
    <w:rsid w:val="002C4050"/>
    <w:rsid w:val="002C5246"/>
    <w:rsid w:val="002C6FF0"/>
    <w:rsid w:val="002C78BF"/>
    <w:rsid w:val="002D53EA"/>
    <w:rsid w:val="002D5B70"/>
    <w:rsid w:val="002D72DD"/>
    <w:rsid w:val="002E00C0"/>
    <w:rsid w:val="002E376F"/>
    <w:rsid w:val="002E46EB"/>
    <w:rsid w:val="002F0A96"/>
    <w:rsid w:val="002F407B"/>
    <w:rsid w:val="002F4837"/>
    <w:rsid w:val="002F5832"/>
    <w:rsid w:val="002F6795"/>
    <w:rsid w:val="00300A88"/>
    <w:rsid w:val="003013FC"/>
    <w:rsid w:val="00304135"/>
    <w:rsid w:val="00305943"/>
    <w:rsid w:val="00305F76"/>
    <w:rsid w:val="00306628"/>
    <w:rsid w:val="00306679"/>
    <w:rsid w:val="0030682F"/>
    <w:rsid w:val="00307EF3"/>
    <w:rsid w:val="003140BD"/>
    <w:rsid w:val="0031412E"/>
    <w:rsid w:val="00320C8A"/>
    <w:rsid w:val="003223B4"/>
    <w:rsid w:val="00325C27"/>
    <w:rsid w:val="00327C26"/>
    <w:rsid w:val="00327D42"/>
    <w:rsid w:val="00330662"/>
    <w:rsid w:val="0033183A"/>
    <w:rsid w:val="003321E2"/>
    <w:rsid w:val="0033524F"/>
    <w:rsid w:val="003367A2"/>
    <w:rsid w:val="003602C0"/>
    <w:rsid w:val="00360F88"/>
    <w:rsid w:val="003620C8"/>
    <w:rsid w:val="0036383D"/>
    <w:rsid w:val="00364C64"/>
    <w:rsid w:val="00365930"/>
    <w:rsid w:val="003662A2"/>
    <w:rsid w:val="003678B9"/>
    <w:rsid w:val="003737E2"/>
    <w:rsid w:val="00374054"/>
    <w:rsid w:val="003753F0"/>
    <w:rsid w:val="00375E11"/>
    <w:rsid w:val="00377857"/>
    <w:rsid w:val="00377FE8"/>
    <w:rsid w:val="00380339"/>
    <w:rsid w:val="00381598"/>
    <w:rsid w:val="00381DA4"/>
    <w:rsid w:val="00383BA0"/>
    <w:rsid w:val="00387D57"/>
    <w:rsid w:val="003927F1"/>
    <w:rsid w:val="003973E2"/>
    <w:rsid w:val="003A0B25"/>
    <w:rsid w:val="003A1259"/>
    <w:rsid w:val="003A5979"/>
    <w:rsid w:val="003A5C4E"/>
    <w:rsid w:val="003A6E46"/>
    <w:rsid w:val="003B18B2"/>
    <w:rsid w:val="003B44F3"/>
    <w:rsid w:val="003B54EF"/>
    <w:rsid w:val="003B5E0E"/>
    <w:rsid w:val="003B7EBB"/>
    <w:rsid w:val="003C0380"/>
    <w:rsid w:val="003C2D2C"/>
    <w:rsid w:val="003C5453"/>
    <w:rsid w:val="003C585C"/>
    <w:rsid w:val="003C640D"/>
    <w:rsid w:val="003C6FEB"/>
    <w:rsid w:val="003D1C9E"/>
    <w:rsid w:val="003D1E01"/>
    <w:rsid w:val="003D33DD"/>
    <w:rsid w:val="003D5CA2"/>
    <w:rsid w:val="003D6B66"/>
    <w:rsid w:val="003D72B9"/>
    <w:rsid w:val="003E01A0"/>
    <w:rsid w:val="003E15AB"/>
    <w:rsid w:val="003E2F97"/>
    <w:rsid w:val="003E3747"/>
    <w:rsid w:val="003F1219"/>
    <w:rsid w:val="003F136D"/>
    <w:rsid w:val="003F1D21"/>
    <w:rsid w:val="003F4C7D"/>
    <w:rsid w:val="003F5162"/>
    <w:rsid w:val="003F558C"/>
    <w:rsid w:val="0040535B"/>
    <w:rsid w:val="00405DE1"/>
    <w:rsid w:val="00407113"/>
    <w:rsid w:val="004114F2"/>
    <w:rsid w:val="00412447"/>
    <w:rsid w:val="00413837"/>
    <w:rsid w:val="00415B2F"/>
    <w:rsid w:val="00417466"/>
    <w:rsid w:val="00417C15"/>
    <w:rsid w:val="00425526"/>
    <w:rsid w:val="004259C2"/>
    <w:rsid w:val="00427457"/>
    <w:rsid w:val="004308AA"/>
    <w:rsid w:val="004321D4"/>
    <w:rsid w:val="004325ED"/>
    <w:rsid w:val="00433AB8"/>
    <w:rsid w:val="00434994"/>
    <w:rsid w:val="00441387"/>
    <w:rsid w:val="00441B56"/>
    <w:rsid w:val="00442317"/>
    <w:rsid w:val="00444929"/>
    <w:rsid w:val="00444DBB"/>
    <w:rsid w:val="0045004B"/>
    <w:rsid w:val="0045152E"/>
    <w:rsid w:val="004538FD"/>
    <w:rsid w:val="0045533D"/>
    <w:rsid w:val="004559EB"/>
    <w:rsid w:val="0046181C"/>
    <w:rsid w:val="00461A86"/>
    <w:rsid w:val="004622AD"/>
    <w:rsid w:val="004632C7"/>
    <w:rsid w:val="004647E2"/>
    <w:rsid w:val="00465200"/>
    <w:rsid w:val="00470CD1"/>
    <w:rsid w:val="00473F4E"/>
    <w:rsid w:val="00475700"/>
    <w:rsid w:val="004779D2"/>
    <w:rsid w:val="00477DFB"/>
    <w:rsid w:val="00481BB3"/>
    <w:rsid w:val="00483F5F"/>
    <w:rsid w:val="004850CC"/>
    <w:rsid w:val="004860D2"/>
    <w:rsid w:val="004900BD"/>
    <w:rsid w:val="00490A2A"/>
    <w:rsid w:val="00490A8E"/>
    <w:rsid w:val="00491ED0"/>
    <w:rsid w:val="00492CA3"/>
    <w:rsid w:val="00495055"/>
    <w:rsid w:val="004A16E9"/>
    <w:rsid w:val="004A3DC2"/>
    <w:rsid w:val="004A51BE"/>
    <w:rsid w:val="004A586C"/>
    <w:rsid w:val="004A5D6A"/>
    <w:rsid w:val="004A61E2"/>
    <w:rsid w:val="004A7063"/>
    <w:rsid w:val="004B2A90"/>
    <w:rsid w:val="004B43D6"/>
    <w:rsid w:val="004B5FDF"/>
    <w:rsid w:val="004B68A1"/>
    <w:rsid w:val="004B7DC1"/>
    <w:rsid w:val="004B7F48"/>
    <w:rsid w:val="004C128E"/>
    <w:rsid w:val="004C3056"/>
    <w:rsid w:val="004C4E40"/>
    <w:rsid w:val="004D2BF3"/>
    <w:rsid w:val="004D2F2D"/>
    <w:rsid w:val="004D5AC8"/>
    <w:rsid w:val="004D72D4"/>
    <w:rsid w:val="004E05E0"/>
    <w:rsid w:val="004E50E9"/>
    <w:rsid w:val="004F46F6"/>
    <w:rsid w:val="004F554F"/>
    <w:rsid w:val="004F6265"/>
    <w:rsid w:val="0050074F"/>
    <w:rsid w:val="0050702C"/>
    <w:rsid w:val="005070C4"/>
    <w:rsid w:val="005078F5"/>
    <w:rsid w:val="0051136C"/>
    <w:rsid w:val="0051219C"/>
    <w:rsid w:val="00516FE5"/>
    <w:rsid w:val="005227C3"/>
    <w:rsid w:val="005243AA"/>
    <w:rsid w:val="005254CF"/>
    <w:rsid w:val="00532BEE"/>
    <w:rsid w:val="00533938"/>
    <w:rsid w:val="0053413F"/>
    <w:rsid w:val="005349A1"/>
    <w:rsid w:val="00535C58"/>
    <w:rsid w:val="00535D64"/>
    <w:rsid w:val="00540902"/>
    <w:rsid w:val="00540BBC"/>
    <w:rsid w:val="00541386"/>
    <w:rsid w:val="00543778"/>
    <w:rsid w:val="00546EFB"/>
    <w:rsid w:val="005520F8"/>
    <w:rsid w:val="00553D0F"/>
    <w:rsid w:val="00554892"/>
    <w:rsid w:val="00555598"/>
    <w:rsid w:val="00556237"/>
    <w:rsid w:val="005602BB"/>
    <w:rsid w:val="00560722"/>
    <w:rsid w:val="005629EE"/>
    <w:rsid w:val="005631FC"/>
    <w:rsid w:val="00564666"/>
    <w:rsid w:val="005713B3"/>
    <w:rsid w:val="00571A72"/>
    <w:rsid w:val="00573CF3"/>
    <w:rsid w:val="00580319"/>
    <w:rsid w:val="00582497"/>
    <w:rsid w:val="005825F2"/>
    <w:rsid w:val="00583765"/>
    <w:rsid w:val="0058403E"/>
    <w:rsid w:val="00586658"/>
    <w:rsid w:val="005875D9"/>
    <w:rsid w:val="0059065E"/>
    <w:rsid w:val="005907A3"/>
    <w:rsid w:val="005A23E6"/>
    <w:rsid w:val="005A2684"/>
    <w:rsid w:val="005A4EAF"/>
    <w:rsid w:val="005A5DFE"/>
    <w:rsid w:val="005B1416"/>
    <w:rsid w:val="005B2718"/>
    <w:rsid w:val="005B4C54"/>
    <w:rsid w:val="005B5646"/>
    <w:rsid w:val="005B6056"/>
    <w:rsid w:val="005B645E"/>
    <w:rsid w:val="005B6D33"/>
    <w:rsid w:val="005C0F50"/>
    <w:rsid w:val="005C1013"/>
    <w:rsid w:val="005C133A"/>
    <w:rsid w:val="005C20E9"/>
    <w:rsid w:val="005C23EA"/>
    <w:rsid w:val="005C54B6"/>
    <w:rsid w:val="005C6267"/>
    <w:rsid w:val="005D154A"/>
    <w:rsid w:val="005D1AEE"/>
    <w:rsid w:val="005D4F8A"/>
    <w:rsid w:val="005D550C"/>
    <w:rsid w:val="005E00F9"/>
    <w:rsid w:val="005E1844"/>
    <w:rsid w:val="005E33D2"/>
    <w:rsid w:val="005E4EE6"/>
    <w:rsid w:val="005E66B9"/>
    <w:rsid w:val="005F071A"/>
    <w:rsid w:val="005F0E61"/>
    <w:rsid w:val="005F31C4"/>
    <w:rsid w:val="005F46EF"/>
    <w:rsid w:val="005F47F8"/>
    <w:rsid w:val="005F4D30"/>
    <w:rsid w:val="005F5D3B"/>
    <w:rsid w:val="00600414"/>
    <w:rsid w:val="006020B5"/>
    <w:rsid w:val="00602B56"/>
    <w:rsid w:val="00603552"/>
    <w:rsid w:val="006060DE"/>
    <w:rsid w:val="00610CD4"/>
    <w:rsid w:val="00610D55"/>
    <w:rsid w:val="00612248"/>
    <w:rsid w:val="00612CA1"/>
    <w:rsid w:val="00613C5F"/>
    <w:rsid w:val="00614E2B"/>
    <w:rsid w:val="00617723"/>
    <w:rsid w:val="006222FF"/>
    <w:rsid w:val="00622633"/>
    <w:rsid w:val="006230FD"/>
    <w:rsid w:val="00624324"/>
    <w:rsid w:val="00624695"/>
    <w:rsid w:val="00624980"/>
    <w:rsid w:val="00624D81"/>
    <w:rsid w:val="0062681B"/>
    <w:rsid w:val="00627099"/>
    <w:rsid w:val="00630F1C"/>
    <w:rsid w:val="00631551"/>
    <w:rsid w:val="006332AC"/>
    <w:rsid w:val="00634D48"/>
    <w:rsid w:val="0064285A"/>
    <w:rsid w:val="006440CC"/>
    <w:rsid w:val="00645472"/>
    <w:rsid w:val="006478BB"/>
    <w:rsid w:val="0065451D"/>
    <w:rsid w:val="00657FD0"/>
    <w:rsid w:val="00660C0F"/>
    <w:rsid w:val="006627E0"/>
    <w:rsid w:val="0066325B"/>
    <w:rsid w:val="00673AB9"/>
    <w:rsid w:val="00674730"/>
    <w:rsid w:val="00676843"/>
    <w:rsid w:val="006810C5"/>
    <w:rsid w:val="0068336C"/>
    <w:rsid w:val="006836B8"/>
    <w:rsid w:val="0068566F"/>
    <w:rsid w:val="006863D8"/>
    <w:rsid w:val="00686E7F"/>
    <w:rsid w:val="006902C0"/>
    <w:rsid w:val="00693B44"/>
    <w:rsid w:val="00694ADD"/>
    <w:rsid w:val="0069595C"/>
    <w:rsid w:val="006A33D7"/>
    <w:rsid w:val="006A72C2"/>
    <w:rsid w:val="006B4749"/>
    <w:rsid w:val="006B6318"/>
    <w:rsid w:val="006B754D"/>
    <w:rsid w:val="006C0E01"/>
    <w:rsid w:val="006C1351"/>
    <w:rsid w:val="006C2498"/>
    <w:rsid w:val="006C2FBC"/>
    <w:rsid w:val="006C30D7"/>
    <w:rsid w:val="006C48BB"/>
    <w:rsid w:val="006D1173"/>
    <w:rsid w:val="006D281A"/>
    <w:rsid w:val="006D318A"/>
    <w:rsid w:val="006D31A6"/>
    <w:rsid w:val="006E0AF2"/>
    <w:rsid w:val="006E1C5E"/>
    <w:rsid w:val="006E23DD"/>
    <w:rsid w:val="006E3A3C"/>
    <w:rsid w:val="006E4CB3"/>
    <w:rsid w:val="006E6804"/>
    <w:rsid w:val="006F0691"/>
    <w:rsid w:val="006F0C80"/>
    <w:rsid w:val="006F228D"/>
    <w:rsid w:val="006F2699"/>
    <w:rsid w:val="006F78F3"/>
    <w:rsid w:val="00701A35"/>
    <w:rsid w:val="007033B4"/>
    <w:rsid w:val="00705DEF"/>
    <w:rsid w:val="007062DA"/>
    <w:rsid w:val="00706FD6"/>
    <w:rsid w:val="007078DD"/>
    <w:rsid w:val="007151BE"/>
    <w:rsid w:val="00721FCB"/>
    <w:rsid w:val="00723078"/>
    <w:rsid w:val="00723120"/>
    <w:rsid w:val="0072407F"/>
    <w:rsid w:val="00726B2C"/>
    <w:rsid w:val="00726FC8"/>
    <w:rsid w:val="007276E8"/>
    <w:rsid w:val="007316E7"/>
    <w:rsid w:val="00731B9F"/>
    <w:rsid w:val="007335AA"/>
    <w:rsid w:val="007365FD"/>
    <w:rsid w:val="00736BE9"/>
    <w:rsid w:val="007371FA"/>
    <w:rsid w:val="007412BD"/>
    <w:rsid w:val="00744245"/>
    <w:rsid w:val="007455AE"/>
    <w:rsid w:val="007456C3"/>
    <w:rsid w:val="00751E71"/>
    <w:rsid w:val="007523E8"/>
    <w:rsid w:val="00753785"/>
    <w:rsid w:val="00754231"/>
    <w:rsid w:val="007549CC"/>
    <w:rsid w:val="007562F0"/>
    <w:rsid w:val="00756797"/>
    <w:rsid w:val="007619D2"/>
    <w:rsid w:val="00762FB1"/>
    <w:rsid w:val="00763F82"/>
    <w:rsid w:val="00766BFD"/>
    <w:rsid w:val="0076747F"/>
    <w:rsid w:val="0077103F"/>
    <w:rsid w:val="00774EC4"/>
    <w:rsid w:val="007819DA"/>
    <w:rsid w:val="00783641"/>
    <w:rsid w:val="00784E72"/>
    <w:rsid w:val="0078545F"/>
    <w:rsid w:val="0078600B"/>
    <w:rsid w:val="007878E2"/>
    <w:rsid w:val="007933E2"/>
    <w:rsid w:val="007951A2"/>
    <w:rsid w:val="00796661"/>
    <w:rsid w:val="007A02A0"/>
    <w:rsid w:val="007A1543"/>
    <w:rsid w:val="007A1EC2"/>
    <w:rsid w:val="007A2BC9"/>
    <w:rsid w:val="007A402A"/>
    <w:rsid w:val="007A43E1"/>
    <w:rsid w:val="007A5685"/>
    <w:rsid w:val="007A606E"/>
    <w:rsid w:val="007B0BA0"/>
    <w:rsid w:val="007B1481"/>
    <w:rsid w:val="007B282A"/>
    <w:rsid w:val="007B49F4"/>
    <w:rsid w:val="007B49FC"/>
    <w:rsid w:val="007C28B4"/>
    <w:rsid w:val="007C4E71"/>
    <w:rsid w:val="007D1C85"/>
    <w:rsid w:val="007D3EFB"/>
    <w:rsid w:val="007D524F"/>
    <w:rsid w:val="007D5282"/>
    <w:rsid w:val="007D5FEF"/>
    <w:rsid w:val="007D6E44"/>
    <w:rsid w:val="007E09B5"/>
    <w:rsid w:val="007E32AA"/>
    <w:rsid w:val="007E4435"/>
    <w:rsid w:val="007F022D"/>
    <w:rsid w:val="007F0E0F"/>
    <w:rsid w:val="007F40E1"/>
    <w:rsid w:val="007F6C21"/>
    <w:rsid w:val="0080181E"/>
    <w:rsid w:val="00802C87"/>
    <w:rsid w:val="008044B5"/>
    <w:rsid w:val="00805540"/>
    <w:rsid w:val="008102FD"/>
    <w:rsid w:val="008124CE"/>
    <w:rsid w:val="00820496"/>
    <w:rsid w:val="008214F1"/>
    <w:rsid w:val="0082393F"/>
    <w:rsid w:val="00823AF2"/>
    <w:rsid w:val="00826EDF"/>
    <w:rsid w:val="0082706B"/>
    <w:rsid w:val="008307D4"/>
    <w:rsid w:val="00830A60"/>
    <w:rsid w:val="00832529"/>
    <w:rsid w:val="00837B91"/>
    <w:rsid w:val="0084097C"/>
    <w:rsid w:val="008440BC"/>
    <w:rsid w:val="008456EB"/>
    <w:rsid w:val="008517A0"/>
    <w:rsid w:val="00851E5E"/>
    <w:rsid w:val="00852879"/>
    <w:rsid w:val="008564CC"/>
    <w:rsid w:val="00856C7C"/>
    <w:rsid w:val="00857E07"/>
    <w:rsid w:val="0086236A"/>
    <w:rsid w:val="00863108"/>
    <w:rsid w:val="00863E50"/>
    <w:rsid w:val="00866228"/>
    <w:rsid w:val="00866507"/>
    <w:rsid w:val="00872253"/>
    <w:rsid w:val="008723CF"/>
    <w:rsid w:val="00874608"/>
    <w:rsid w:val="008757E8"/>
    <w:rsid w:val="00876C1F"/>
    <w:rsid w:val="00877181"/>
    <w:rsid w:val="00877F5A"/>
    <w:rsid w:val="00880351"/>
    <w:rsid w:val="00880BB6"/>
    <w:rsid w:val="00881983"/>
    <w:rsid w:val="00881E6B"/>
    <w:rsid w:val="0088320E"/>
    <w:rsid w:val="0088337E"/>
    <w:rsid w:val="0088374E"/>
    <w:rsid w:val="008837AE"/>
    <w:rsid w:val="00883D2E"/>
    <w:rsid w:val="0088453E"/>
    <w:rsid w:val="00884AA6"/>
    <w:rsid w:val="00886825"/>
    <w:rsid w:val="0089092A"/>
    <w:rsid w:val="0089161E"/>
    <w:rsid w:val="0089295A"/>
    <w:rsid w:val="00895486"/>
    <w:rsid w:val="008957DF"/>
    <w:rsid w:val="00897361"/>
    <w:rsid w:val="008A073A"/>
    <w:rsid w:val="008A2F45"/>
    <w:rsid w:val="008A3983"/>
    <w:rsid w:val="008A3C52"/>
    <w:rsid w:val="008A6B93"/>
    <w:rsid w:val="008A71C0"/>
    <w:rsid w:val="008B1064"/>
    <w:rsid w:val="008B22EA"/>
    <w:rsid w:val="008B4B3D"/>
    <w:rsid w:val="008B5086"/>
    <w:rsid w:val="008B5B9C"/>
    <w:rsid w:val="008B7C68"/>
    <w:rsid w:val="008C0E73"/>
    <w:rsid w:val="008C1841"/>
    <w:rsid w:val="008C65A9"/>
    <w:rsid w:val="008C73C0"/>
    <w:rsid w:val="008D4A91"/>
    <w:rsid w:val="008D59DD"/>
    <w:rsid w:val="008D5FF6"/>
    <w:rsid w:val="008D7B27"/>
    <w:rsid w:val="008D7F97"/>
    <w:rsid w:val="008E3229"/>
    <w:rsid w:val="008E531C"/>
    <w:rsid w:val="008E5769"/>
    <w:rsid w:val="008E594E"/>
    <w:rsid w:val="008E7760"/>
    <w:rsid w:val="008F2CBB"/>
    <w:rsid w:val="008F3AC9"/>
    <w:rsid w:val="008F46BC"/>
    <w:rsid w:val="008F5E56"/>
    <w:rsid w:val="008F7186"/>
    <w:rsid w:val="00901581"/>
    <w:rsid w:val="009038E4"/>
    <w:rsid w:val="00904D75"/>
    <w:rsid w:val="00907379"/>
    <w:rsid w:val="009103D8"/>
    <w:rsid w:val="00912980"/>
    <w:rsid w:val="00913430"/>
    <w:rsid w:val="009142E7"/>
    <w:rsid w:val="00916A64"/>
    <w:rsid w:val="009205B1"/>
    <w:rsid w:val="009218F0"/>
    <w:rsid w:val="00923BC5"/>
    <w:rsid w:val="0092488C"/>
    <w:rsid w:val="009251DB"/>
    <w:rsid w:val="00925D70"/>
    <w:rsid w:val="00925FB6"/>
    <w:rsid w:val="00926825"/>
    <w:rsid w:val="00926CC0"/>
    <w:rsid w:val="00932B63"/>
    <w:rsid w:val="00937B15"/>
    <w:rsid w:val="0094042E"/>
    <w:rsid w:val="00940A84"/>
    <w:rsid w:val="009443AF"/>
    <w:rsid w:val="009450A4"/>
    <w:rsid w:val="00950D24"/>
    <w:rsid w:val="00951487"/>
    <w:rsid w:val="00954121"/>
    <w:rsid w:val="00955F9A"/>
    <w:rsid w:val="00956DF6"/>
    <w:rsid w:val="00957836"/>
    <w:rsid w:val="00960021"/>
    <w:rsid w:val="00964766"/>
    <w:rsid w:val="00966B4B"/>
    <w:rsid w:val="00966B9D"/>
    <w:rsid w:val="00971B4D"/>
    <w:rsid w:val="0097417B"/>
    <w:rsid w:val="00975938"/>
    <w:rsid w:val="00975BDD"/>
    <w:rsid w:val="009766DD"/>
    <w:rsid w:val="009809EF"/>
    <w:rsid w:val="0098193A"/>
    <w:rsid w:val="00981C5C"/>
    <w:rsid w:val="00982461"/>
    <w:rsid w:val="00982ABE"/>
    <w:rsid w:val="0098372D"/>
    <w:rsid w:val="00983773"/>
    <w:rsid w:val="00986C8F"/>
    <w:rsid w:val="00987254"/>
    <w:rsid w:val="009878C9"/>
    <w:rsid w:val="00991FC4"/>
    <w:rsid w:val="0099456B"/>
    <w:rsid w:val="00997F8D"/>
    <w:rsid w:val="009A35B5"/>
    <w:rsid w:val="009A487A"/>
    <w:rsid w:val="009A5775"/>
    <w:rsid w:val="009A59B6"/>
    <w:rsid w:val="009A6583"/>
    <w:rsid w:val="009A6C40"/>
    <w:rsid w:val="009B11A9"/>
    <w:rsid w:val="009B1E57"/>
    <w:rsid w:val="009B2600"/>
    <w:rsid w:val="009B519F"/>
    <w:rsid w:val="009D1B16"/>
    <w:rsid w:val="009D569E"/>
    <w:rsid w:val="009D73CC"/>
    <w:rsid w:val="009E61B7"/>
    <w:rsid w:val="009E7380"/>
    <w:rsid w:val="009E7718"/>
    <w:rsid w:val="009F0329"/>
    <w:rsid w:val="009F1A49"/>
    <w:rsid w:val="009F30D5"/>
    <w:rsid w:val="009F5E21"/>
    <w:rsid w:val="009F61A1"/>
    <w:rsid w:val="00A0213C"/>
    <w:rsid w:val="00A03B6B"/>
    <w:rsid w:val="00A04ACE"/>
    <w:rsid w:val="00A04C32"/>
    <w:rsid w:val="00A05C43"/>
    <w:rsid w:val="00A1406A"/>
    <w:rsid w:val="00A148CE"/>
    <w:rsid w:val="00A15752"/>
    <w:rsid w:val="00A15EBF"/>
    <w:rsid w:val="00A26376"/>
    <w:rsid w:val="00A3151E"/>
    <w:rsid w:val="00A31F3C"/>
    <w:rsid w:val="00A33BB1"/>
    <w:rsid w:val="00A3493B"/>
    <w:rsid w:val="00A41DB0"/>
    <w:rsid w:val="00A42494"/>
    <w:rsid w:val="00A44916"/>
    <w:rsid w:val="00A456F9"/>
    <w:rsid w:val="00A4773E"/>
    <w:rsid w:val="00A5292C"/>
    <w:rsid w:val="00A52EAC"/>
    <w:rsid w:val="00A53512"/>
    <w:rsid w:val="00A53929"/>
    <w:rsid w:val="00A54019"/>
    <w:rsid w:val="00A610A0"/>
    <w:rsid w:val="00A6132C"/>
    <w:rsid w:val="00A62B81"/>
    <w:rsid w:val="00A62CD6"/>
    <w:rsid w:val="00A62F09"/>
    <w:rsid w:val="00A63011"/>
    <w:rsid w:val="00A71FE9"/>
    <w:rsid w:val="00A72845"/>
    <w:rsid w:val="00A75BBC"/>
    <w:rsid w:val="00A76A2A"/>
    <w:rsid w:val="00A77C6F"/>
    <w:rsid w:val="00A81BBB"/>
    <w:rsid w:val="00A81BBC"/>
    <w:rsid w:val="00A853D7"/>
    <w:rsid w:val="00A860BB"/>
    <w:rsid w:val="00A90F95"/>
    <w:rsid w:val="00A913EE"/>
    <w:rsid w:val="00AA0188"/>
    <w:rsid w:val="00AA0506"/>
    <w:rsid w:val="00AA0E25"/>
    <w:rsid w:val="00AA2BE1"/>
    <w:rsid w:val="00AA6E05"/>
    <w:rsid w:val="00AA741C"/>
    <w:rsid w:val="00AA78EA"/>
    <w:rsid w:val="00AB1F93"/>
    <w:rsid w:val="00AB1F96"/>
    <w:rsid w:val="00AB29BE"/>
    <w:rsid w:val="00AB4C00"/>
    <w:rsid w:val="00AB576B"/>
    <w:rsid w:val="00AB620F"/>
    <w:rsid w:val="00AC1A0E"/>
    <w:rsid w:val="00AC279E"/>
    <w:rsid w:val="00AC3605"/>
    <w:rsid w:val="00AC3B4B"/>
    <w:rsid w:val="00AC4B1B"/>
    <w:rsid w:val="00AC7A7E"/>
    <w:rsid w:val="00AD24D1"/>
    <w:rsid w:val="00AD3DEB"/>
    <w:rsid w:val="00AD4576"/>
    <w:rsid w:val="00AD6342"/>
    <w:rsid w:val="00AD6427"/>
    <w:rsid w:val="00AD6E91"/>
    <w:rsid w:val="00AD7885"/>
    <w:rsid w:val="00AE6603"/>
    <w:rsid w:val="00AE79D9"/>
    <w:rsid w:val="00AF06FC"/>
    <w:rsid w:val="00AF0893"/>
    <w:rsid w:val="00AF3226"/>
    <w:rsid w:val="00AF32B7"/>
    <w:rsid w:val="00AF5822"/>
    <w:rsid w:val="00AF6F75"/>
    <w:rsid w:val="00B00444"/>
    <w:rsid w:val="00B00E97"/>
    <w:rsid w:val="00B01C8F"/>
    <w:rsid w:val="00B02F9C"/>
    <w:rsid w:val="00B045E9"/>
    <w:rsid w:val="00B05186"/>
    <w:rsid w:val="00B055D8"/>
    <w:rsid w:val="00B07C8E"/>
    <w:rsid w:val="00B12F4A"/>
    <w:rsid w:val="00B14C4E"/>
    <w:rsid w:val="00B15A9E"/>
    <w:rsid w:val="00B16A25"/>
    <w:rsid w:val="00B22298"/>
    <w:rsid w:val="00B236AD"/>
    <w:rsid w:val="00B23B14"/>
    <w:rsid w:val="00B30F86"/>
    <w:rsid w:val="00B34731"/>
    <w:rsid w:val="00B348A8"/>
    <w:rsid w:val="00B432D3"/>
    <w:rsid w:val="00B5066D"/>
    <w:rsid w:val="00B506B6"/>
    <w:rsid w:val="00B5141F"/>
    <w:rsid w:val="00B5251B"/>
    <w:rsid w:val="00B52F87"/>
    <w:rsid w:val="00B56101"/>
    <w:rsid w:val="00B5654F"/>
    <w:rsid w:val="00B60947"/>
    <w:rsid w:val="00B60A5E"/>
    <w:rsid w:val="00B629B8"/>
    <w:rsid w:val="00B62D58"/>
    <w:rsid w:val="00B6511B"/>
    <w:rsid w:val="00B70387"/>
    <w:rsid w:val="00B72A2E"/>
    <w:rsid w:val="00B74B05"/>
    <w:rsid w:val="00B80F52"/>
    <w:rsid w:val="00B83D79"/>
    <w:rsid w:val="00B845A0"/>
    <w:rsid w:val="00B85B02"/>
    <w:rsid w:val="00B87058"/>
    <w:rsid w:val="00B9139B"/>
    <w:rsid w:val="00B929F3"/>
    <w:rsid w:val="00B96BC8"/>
    <w:rsid w:val="00BA2872"/>
    <w:rsid w:val="00BA292F"/>
    <w:rsid w:val="00BA3C1C"/>
    <w:rsid w:val="00BA4BD5"/>
    <w:rsid w:val="00BA74BE"/>
    <w:rsid w:val="00BB02E1"/>
    <w:rsid w:val="00BB2047"/>
    <w:rsid w:val="00BB34F1"/>
    <w:rsid w:val="00BB5349"/>
    <w:rsid w:val="00BB6352"/>
    <w:rsid w:val="00BB7140"/>
    <w:rsid w:val="00BC4240"/>
    <w:rsid w:val="00BC5889"/>
    <w:rsid w:val="00BC649B"/>
    <w:rsid w:val="00BD0A0E"/>
    <w:rsid w:val="00BD1985"/>
    <w:rsid w:val="00BD280F"/>
    <w:rsid w:val="00BD55C9"/>
    <w:rsid w:val="00BE1040"/>
    <w:rsid w:val="00BE19A0"/>
    <w:rsid w:val="00BE2055"/>
    <w:rsid w:val="00BE40E4"/>
    <w:rsid w:val="00BE71F3"/>
    <w:rsid w:val="00BE7220"/>
    <w:rsid w:val="00BF4884"/>
    <w:rsid w:val="00BF60CA"/>
    <w:rsid w:val="00BF726C"/>
    <w:rsid w:val="00C030AA"/>
    <w:rsid w:val="00C05832"/>
    <w:rsid w:val="00C05A2D"/>
    <w:rsid w:val="00C07C92"/>
    <w:rsid w:val="00C10799"/>
    <w:rsid w:val="00C117EC"/>
    <w:rsid w:val="00C12B2E"/>
    <w:rsid w:val="00C1322F"/>
    <w:rsid w:val="00C166A6"/>
    <w:rsid w:val="00C17DE3"/>
    <w:rsid w:val="00C17F86"/>
    <w:rsid w:val="00C21B5A"/>
    <w:rsid w:val="00C21E21"/>
    <w:rsid w:val="00C240CA"/>
    <w:rsid w:val="00C24432"/>
    <w:rsid w:val="00C244DC"/>
    <w:rsid w:val="00C30FD6"/>
    <w:rsid w:val="00C33D63"/>
    <w:rsid w:val="00C35C27"/>
    <w:rsid w:val="00C41606"/>
    <w:rsid w:val="00C42A6C"/>
    <w:rsid w:val="00C44B5A"/>
    <w:rsid w:val="00C45CD7"/>
    <w:rsid w:val="00C469CA"/>
    <w:rsid w:val="00C46ABE"/>
    <w:rsid w:val="00C51E68"/>
    <w:rsid w:val="00C53B45"/>
    <w:rsid w:val="00C54EF1"/>
    <w:rsid w:val="00C56C2B"/>
    <w:rsid w:val="00C6058F"/>
    <w:rsid w:val="00C60DF2"/>
    <w:rsid w:val="00C6323B"/>
    <w:rsid w:val="00C65BD8"/>
    <w:rsid w:val="00C65D8E"/>
    <w:rsid w:val="00C66F3E"/>
    <w:rsid w:val="00C7386F"/>
    <w:rsid w:val="00C73943"/>
    <w:rsid w:val="00C73D70"/>
    <w:rsid w:val="00C73DBC"/>
    <w:rsid w:val="00C75FB4"/>
    <w:rsid w:val="00C760B7"/>
    <w:rsid w:val="00C76550"/>
    <w:rsid w:val="00C76751"/>
    <w:rsid w:val="00C80560"/>
    <w:rsid w:val="00C821C9"/>
    <w:rsid w:val="00C844D4"/>
    <w:rsid w:val="00C91407"/>
    <w:rsid w:val="00C92AA3"/>
    <w:rsid w:val="00C930FB"/>
    <w:rsid w:val="00C9346B"/>
    <w:rsid w:val="00C9495B"/>
    <w:rsid w:val="00C94CF9"/>
    <w:rsid w:val="00CA0494"/>
    <w:rsid w:val="00CA06AB"/>
    <w:rsid w:val="00CA18D2"/>
    <w:rsid w:val="00CA2A9B"/>
    <w:rsid w:val="00CA2C1E"/>
    <w:rsid w:val="00CA507C"/>
    <w:rsid w:val="00CA6BAA"/>
    <w:rsid w:val="00CA76C5"/>
    <w:rsid w:val="00CA7CBE"/>
    <w:rsid w:val="00CB0075"/>
    <w:rsid w:val="00CB0A15"/>
    <w:rsid w:val="00CB0E5D"/>
    <w:rsid w:val="00CB21AE"/>
    <w:rsid w:val="00CB24D8"/>
    <w:rsid w:val="00CB4F51"/>
    <w:rsid w:val="00CB5C36"/>
    <w:rsid w:val="00CC36C3"/>
    <w:rsid w:val="00CC49BF"/>
    <w:rsid w:val="00CC638D"/>
    <w:rsid w:val="00CC71B8"/>
    <w:rsid w:val="00CC74C6"/>
    <w:rsid w:val="00CD0922"/>
    <w:rsid w:val="00CD26A2"/>
    <w:rsid w:val="00CD308B"/>
    <w:rsid w:val="00CD31FF"/>
    <w:rsid w:val="00CD3AF2"/>
    <w:rsid w:val="00CD4178"/>
    <w:rsid w:val="00CD4FF8"/>
    <w:rsid w:val="00CD5C45"/>
    <w:rsid w:val="00CD6CA9"/>
    <w:rsid w:val="00CE1CF5"/>
    <w:rsid w:val="00CE4436"/>
    <w:rsid w:val="00CE73BA"/>
    <w:rsid w:val="00CF120B"/>
    <w:rsid w:val="00CF5BF4"/>
    <w:rsid w:val="00CF6146"/>
    <w:rsid w:val="00CF64B2"/>
    <w:rsid w:val="00D00ACD"/>
    <w:rsid w:val="00D030A3"/>
    <w:rsid w:val="00D0431C"/>
    <w:rsid w:val="00D0484E"/>
    <w:rsid w:val="00D04A75"/>
    <w:rsid w:val="00D10AA5"/>
    <w:rsid w:val="00D10BDD"/>
    <w:rsid w:val="00D12E5A"/>
    <w:rsid w:val="00D150A0"/>
    <w:rsid w:val="00D16064"/>
    <w:rsid w:val="00D16552"/>
    <w:rsid w:val="00D17B29"/>
    <w:rsid w:val="00D2435C"/>
    <w:rsid w:val="00D251F1"/>
    <w:rsid w:val="00D3199B"/>
    <w:rsid w:val="00D31CA0"/>
    <w:rsid w:val="00D32285"/>
    <w:rsid w:val="00D32546"/>
    <w:rsid w:val="00D33962"/>
    <w:rsid w:val="00D36843"/>
    <w:rsid w:val="00D37145"/>
    <w:rsid w:val="00D3734B"/>
    <w:rsid w:val="00D4030D"/>
    <w:rsid w:val="00D41CA0"/>
    <w:rsid w:val="00D41F09"/>
    <w:rsid w:val="00D4590E"/>
    <w:rsid w:val="00D50F52"/>
    <w:rsid w:val="00D51206"/>
    <w:rsid w:val="00D548D7"/>
    <w:rsid w:val="00D54C16"/>
    <w:rsid w:val="00D55B8A"/>
    <w:rsid w:val="00D570D0"/>
    <w:rsid w:val="00D60D39"/>
    <w:rsid w:val="00D61687"/>
    <w:rsid w:val="00D61793"/>
    <w:rsid w:val="00D61998"/>
    <w:rsid w:val="00D6665D"/>
    <w:rsid w:val="00D71290"/>
    <w:rsid w:val="00D722F7"/>
    <w:rsid w:val="00D72749"/>
    <w:rsid w:val="00D73759"/>
    <w:rsid w:val="00D833AD"/>
    <w:rsid w:val="00D85161"/>
    <w:rsid w:val="00D85D5D"/>
    <w:rsid w:val="00D93673"/>
    <w:rsid w:val="00D93C9C"/>
    <w:rsid w:val="00D96C05"/>
    <w:rsid w:val="00DA064F"/>
    <w:rsid w:val="00DA3501"/>
    <w:rsid w:val="00DA44B7"/>
    <w:rsid w:val="00DA6759"/>
    <w:rsid w:val="00DA6F38"/>
    <w:rsid w:val="00DA7A66"/>
    <w:rsid w:val="00DB16CB"/>
    <w:rsid w:val="00DB2B4E"/>
    <w:rsid w:val="00DB4096"/>
    <w:rsid w:val="00DB432A"/>
    <w:rsid w:val="00DB7165"/>
    <w:rsid w:val="00DC03D9"/>
    <w:rsid w:val="00DC675C"/>
    <w:rsid w:val="00DD0BC3"/>
    <w:rsid w:val="00DD2AD7"/>
    <w:rsid w:val="00DD2EBA"/>
    <w:rsid w:val="00DD4256"/>
    <w:rsid w:val="00DD512D"/>
    <w:rsid w:val="00DD7538"/>
    <w:rsid w:val="00DE0036"/>
    <w:rsid w:val="00DE1600"/>
    <w:rsid w:val="00DE197E"/>
    <w:rsid w:val="00DE7CE4"/>
    <w:rsid w:val="00DF2A0C"/>
    <w:rsid w:val="00DF46A1"/>
    <w:rsid w:val="00DF4B9D"/>
    <w:rsid w:val="00E05427"/>
    <w:rsid w:val="00E05D7A"/>
    <w:rsid w:val="00E1088C"/>
    <w:rsid w:val="00E10BDA"/>
    <w:rsid w:val="00E1190F"/>
    <w:rsid w:val="00E11D50"/>
    <w:rsid w:val="00E13B5F"/>
    <w:rsid w:val="00E155AD"/>
    <w:rsid w:val="00E2269C"/>
    <w:rsid w:val="00E22A50"/>
    <w:rsid w:val="00E23620"/>
    <w:rsid w:val="00E23D2D"/>
    <w:rsid w:val="00E23E95"/>
    <w:rsid w:val="00E24804"/>
    <w:rsid w:val="00E30AFF"/>
    <w:rsid w:val="00E3100E"/>
    <w:rsid w:val="00E321C5"/>
    <w:rsid w:val="00E32C7E"/>
    <w:rsid w:val="00E33A61"/>
    <w:rsid w:val="00E36F62"/>
    <w:rsid w:val="00E44632"/>
    <w:rsid w:val="00E45916"/>
    <w:rsid w:val="00E47998"/>
    <w:rsid w:val="00E50519"/>
    <w:rsid w:val="00E51759"/>
    <w:rsid w:val="00E51CF7"/>
    <w:rsid w:val="00E51F10"/>
    <w:rsid w:val="00E5299A"/>
    <w:rsid w:val="00E56B3C"/>
    <w:rsid w:val="00E573B3"/>
    <w:rsid w:val="00E60564"/>
    <w:rsid w:val="00E6184B"/>
    <w:rsid w:val="00E62C0A"/>
    <w:rsid w:val="00E709BD"/>
    <w:rsid w:val="00E713DB"/>
    <w:rsid w:val="00E7278F"/>
    <w:rsid w:val="00E768C8"/>
    <w:rsid w:val="00E807D7"/>
    <w:rsid w:val="00E82045"/>
    <w:rsid w:val="00E833C6"/>
    <w:rsid w:val="00E847CF"/>
    <w:rsid w:val="00E87133"/>
    <w:rsid w:val="00E87B7B"/>
    <w:rsid w:val="00E87FE6"/>
    <w:rsid w:val="00E94178"/>
    <w:rsid w:val="00E94749"/>
    <w:rsid w:val="00E97E36"/>
    <w:rsid w:val="00EA14F4"/>
    <w:rsid w:val="00EA4D9C"/>
    <w:rsid w:val="00EA725B"/>
    <w:rsid w:val="00EB6788"/>
    <w:rsid w:val="00EB74FE"/>
    <w:rsid w:val="00EC05B9"/>
    <w:rsid w:val="00EC0958"/>
    <w:rsid w:val="00EC0D36"/>
    <w:rsid w:val="00EC2A1C"/>
    <w:rsid w:val="00EC2FDC"/>
    <w:rsid w:val="00EC4AB4"/>
    <w:rsid w:val="00EC4BC4"/>
    <w:rsid w:val="00EC7997"/>
    <w:rsid w:val="00ED06F9"/>
    <w:rsid w:val="00ED19E4"/>
    <w:rsid w:val="00ED293D"/>
    <w:rsid w:val="00ED43AA"/>
    <w:rsid w:val="00EE6288"/>
    <w:rsid w:val="00EE7032"/>
    <w:rsid w:val="00EF0683"/>
    <w:rsid w:val="00EF1317"/>
    <w:rsid w:val="00EF1D50"/>
    <w:rsid w:val="00EF44BA"/>
    <w:rsid w:val="00EF48F6"/>
    <w:rsid w:val="00EF5511"/>
    <w:rsid w:val="00EF677D"/>
    <w:rsid w:val="00EF6A95"/>
    <w:rsid w:val="00F06177"/>
    <w:rsid w:val="00F06D60"/>
    <w:rsid w:val="00F10A77"/>
    <w:rsid w:val="00F11FAD"/>
    <w:rsid w:val="00F123EC"/>
    <w:rsid w:val="00F12F1E"/>
    <w:rsid w:val="00F1506A"/>
    <w:rsid w:val="00F20EAC"/>
    <w:rsid w:val="00F22A24"/>
    <w:rsid w:val="00F233F1"/>
    <w:rsid w:val="00F25CF5"/>
    <w:rsid w:val="00F30646"/>
    <w:rsid w:val="00F33BFA"/>
    <w:rsid w:val="00F3719F"/>
    <w:rsid w:val="00F45494"/>
    <w:rsid w:val="00F4737F"/>
    <w:rsid w:val="00F50456"/>
    <w:rsid w:val="00F56D73"/>
    <w:rsid w:val="00F56F99"/>
    <w:rsid w:val="00F60FB6"/>
    <w:rsid w:val="00F61416"/>
    <w:rsid w:val="00F63AE8"/>
    <w:rsid w:val="00F71A1D"/>
    <w:rsid w:val="00F72440"/>
    <w:rsid w:val="00F74F81"/>
    <w:rsid w:val="00F767E9"/>
    <w:rsid w:val="00F84233"/>
    <w:rsid w:val="00F874FE"/>
    <w:rsid w:val="00F9187A"/>
    <w:rsid w:val="00F934A5"/>
    <w:rsid w:val="00F9406C"/>
    <w:rsid w:val="00F9443C"/>
    <w:rsid w:val="00FA0D29"/>
    <w:rsid w:val="00FA1461"/>
    <w:rsid w:val="00FA3220"/>
    <w:rsid w:val="00FA3F2F"/>
    <w:rsid w:val="00FB0445"/>
    <w:rsid w:val="00FB3D2E"/>
    <w:rsid w:val="00FB4CBE"/>
    <w:rsid w:val="00FB5B2D"/>
    <w:rsid w:val="00FC01FF"/>
    <w:rsid w:val="00FC3A29"/>
    <w:rsid w:val="00FC4FD5"/>
    <w:rsid w:val="00FC63DC"/>
    <w:rsid w:val="00FD397D"/>
    <w:rsid w:val="00FD3EFE"/>
    <w:rsid w:val="00FD5F52"/>
    <w:rsid w:val="00FD67E0"/>
    <w:rsid w:val="00FE0156"/>
    <w:rsid w:val="00FE2221"/>
    <w:rsid w:val="00FE313E"/>
    <w:rsid w:val="00FE3208"/>
    <w:rsid w:val="00FE52D1"/>
    <w:rsid w:val="00FE6184"/>
    <w:rsid w:val="00FF08C6"/>
    <w:rsid w:val="00FF0F35"/>
    <w:rsid w:val="00FF1D65"/>
    <w:rsid w:val="00FF3083"/>
    <w:rsid w:val="00FF333B"/>
    <w:rsid w:val="00FF3D34"/>
    <w:rsid w:val="00FF5E24"/>
    <w:rsid w:val="00FF7010"/>
    <w:rsid w:val="00FF729A"/>
    <w:rsid w:val="00FF783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4BB8A03"/>
  <w15:chartTrackingRefBased/>
  <w15:docId w15:val="{CCC6EAE3-90EC-4CF2-8BA2-8AC365692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4126"/>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2C5246"/>
    <w:pPr>
      <w:keepNext/>
      <w:keepLines/>
      <w:numPr>
        <w:numId w:val="3"/>
      </w:numPr>
      <w:spacing w:before="24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2C5246"/>
    <w:pPr>
      <w:keepNext/>
      <w:keepLines/>
      <w:numPr>
        <w:ilvl w:val="1"/>
        <w:numId w:val="3"/>
      </w:numPr>
      <w:spacing w:before="40"/>
      <w:ind w:left="576"/>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rsid w:val="002C5246"/>
    <w:pPr>
      <w:keepNext/>
      <w:keepLines/>
      <w:numPr>
        <w:ilvl w:val="2"/>
        <w:numId w:val="3"/>
      </w:numPr>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2C5246"/>
    <w:pPr>
      <w:keepNext/>
      <w:keepLines/>
      <w:numPr>
        <w:ilvl w:val="3"/>
        <w:numId w:val="3"/>
      </w:numPr>
      <w:spacing w:before="40"/>
      <w:outlineLvl w:val="3"/>
    </w:pPr>
    <w:rPr>
      <w:rFonts w:asciiTheme="majorHAnsi" w:eastAsiaTheme="majorEastAsia" w:hAnsiTheme="majorHAnsi" w:cstheme="majorBidi"/>
      <w:i/>
      <w:iCs/>
      <w:color w:val="2F5496" w:themeColor="accent1" w:themeShade="BF"/>
      <w:szCs w:val="24"/>
    </w:rPr>
  </w:style>
  <w:style w:type="paragraph" w:styleId="Heading5">
    <w:name w:val="heading 5"/>
    <w:basedOn w:val="Normal"/>
    <w:next w:val="Normal"/>
    <w:link w:val="Heading5Char"/>
    <w:uiPriority w:val="9"/>
    <w:semiHidden/>
    <w:unhideWhenUsed/>
    <w:qFormat/>
    <w:rsid w:val="002C5246"/>
    <w:pPr>
      <w:keepNext/>
      <w:keepLines/>
      <w:numPr>
        <w:ilvl w:val="4"/>
        <w:numId w:val="3"/>
      </w:numPr>
      <w:spacing w:before="40"/>
      <w:outlineLvl w:val="4"/>
    </w:pPr>
    <w:rPr>
      <w:rFonts w:asciiTheme="majorHAnsi" w:eastAsiaTheme="majorEastAsia" w:hAnsiTheme="majorHAnsi" w:cstheme="majorBidi"/>
      <w:color w:val="2F5496" w:themeColor="accent1" w:themeShade="BF"/>
      <w:szCs w:val="24"/>
    </w:rPr>
  </w:style>
  <w:style w:type="paragraph" w:styleId="Heading6">
    <w:name w:val="heading 6"/>
    <w:basedOn w:val="Normal"/>
    <w:next w:val="Normal"/>
    <w:link w:val="Heading6Char"/>
    <w:uiPriority w:val="9"/>
    <w:semiHidden/>
    <w:unhideWhenUsed/>
    <w:qFormat/>
    <w:rsid w:val="002C5246"/>
    <w:pPr>
      <w:keepNext/>
      <w:keepLines/>
      <w:numPr>
        <w:ilvl w:val="5"/>
        <w:numId w:val="3"/>
      </w:numPr>
      <w:spacing w:before="40"/>
      <w:outlineLvl w:val="5"/>
    </w:pPr>
    <w:rPr>
      <w:rFonts w:asciiTheme="majorHAnsi" w:eastAsiaTheme="majorEastAsia" w:hAnsiTheme="majorHAnsi" w:cstheme="majorBidi"/>
      <w:color w:val="1F3763" w:themeColor="accent1" w:themeShade="7F"/>
      <w:szCs w:val="24"/>
    </w:rPr>
  </w:style>
  <w:style w:type="paragraph" w:styleId="Heading7">
    <w:name w:val="heading 7"/>
    <w:basedOn w:val="Normal"/>
    <w:next w:val="Normal"/>
    <w:link w:val="Heading7Char"/>
    <w:uiPriority w:val="9"/>
    <w:semiHidden/>
    <w:unhideWhenUsed/>
    <w:qFormat/>
    <w:rsid w:val="002C5246"/>
    <w:pPr>
      <w:keepNext/>
      <w:keepLines/>
      <w:numPr>
        <w:ilvl w:val="6"/>
        <w:numId w:val="3"/>
      </w:numPr>
      <w:spacing w:before="40"/>
      <w:outlineLvl w:val="6"/>
    </w:pPr>
    <w:rPr>
      <w:rFonts w:asciiTheme="majorHAnsi" w:eastAsiaTheme="majorEastAsia" w:hAnsiTheme="majorHAnsi" w:cstheme="majorBidi"/>
      <w:i/>
      <w:iCs/>
      <w:color w:val="1F3763" w:themeColor="accent1" w:themeShade="7F"/>
      <w:szCs w:val="24"/>
    </w:rPr>
  </w:style>
  <w:style w:type="paragraph" w:styleId="Heading8">
    <w:name w:val="heading 8"/>
    <w:basedOn w:val="Normal"/>
    <w:next w:val="Normal"/>
    <w:link w:val="Heading8Char"/>
    <w:uiPriority w:val="9"/>
    <w:semiHidden/>
    <w:unhideWhenUsed/>
    <w:qFormat/>
    <w:rsid w:val="002C5246"/>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C5246"/>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A4126"/>
    <w:pPr>
      <w:spacing w:after="0" w:line="240" w:lineRule="auto"/>
    </w:pPr>
    <w:rPr>
      <w:rFonts w:ascii="Times New Roman" w:hAnsi="Times New Roman"/>
      <w:sz w:val="24"/>
    </w:rPr>
  </w:style>
  <w:style w:type="character" w:styleId="Hyperlink">
    <w:name w:val="Hyperlink"/>
    <w:basedOn w:val="DefaultParagraphFont"/>
    <w:uiPriority w:val="99"/>
    <w:unhideWhenUsed/>
    <w:rsid w:val="000A4126"/>
    <w:rPr>
      <w:color w:val="0563C1" w:themeColor="hyperlink"/>
      <w:u w:val="single"/>
    </w:rPr>
  </w:style>
  <w:style w:type="paragraph" w:styleId="TableofFigures">
    <w:name w:val="table of figures"/>
    <w:basedOn w:val="Normal"/>
    <w:next w:val="Normal"/>
    <w:uiPriority w:val="99"/>
    <w:unhideWhenUsed/>
    <w:rsid w:val="000A4126"/>
    <w:rPr>
      <w:szCs w:val="24"/>
    </w:rPr>
  </w:style>
  <w:style w:type="table" w:styleId="TableGrid">
    <w:name w:val="Table Grid"/>
    <w:basedOn w:val="TableNormal"/>
    <w:uiPriority w:val="39"/>
    <w:rsid w:val="00B52F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2C5246"/>
    <w:pPr>
      <w:spacing w:after="200" w:line="276" w:lineRule="auto"/>
      <w:ind w:left="720"/>
      <w:contextualSpacing/>
    </w:pPr>
    <w:rPr>
      <w:rFonts w:ascii="Calibri" w:hAnsi="Calibri"/>
      <w:sz w:val="22"/>
      <w:szCs w:val="22"/>
      <w:lang w:val="x-none" w:eastAsia="x-none"/>
    </w:rPr>
  </w:style>
  <w:style w:type="character" w:customStyle="1" w:styleId="ListParagraphChar">
    <w:name w:val="List Paragraph Char"/>
    <w:link w:val="ListParagraph"/>
    <w:uiPriority w:val="34"/>
    <w:locked/>
    <w:rsid w:val="002C5246"/>
    <w:rPr>
      <w:rFonts w:ascii="Calibri" w:eastAsia="Times New Roman" w:hAnsi="Calibri" w:cs="Times New Roman"/>
      <w:lang w:val="x-none" w:eastAsia="x-none"/>
    </w:rPr>
  </w:style>
  <w:style w:type="character" w:customStyle="1" w:styleId="Heading1Char">
    <w:name w:val="Heading 1 Char"/>
    <w:basedOn w:val="DefaultParagraphFont"/>
    <w:link w:val="Heading1"/>
    <w:uiPriority w:val="9"/>
    <w:rsid w:val="002C5246"/>
    <w:rPr>
      <w:rFonts w:ascii="Times New Roman" w:hAnsi="Times New Roman" w:eastAsiaTheme="majorEastAsia" w:cstheme="majorBidi"/>
      <w:b/>
      <w:sz w:val="24"/>
      <w:szCs w:val="32"/>
    </w:rPr>
  </w:style>
  <w:style w:type="character" w:customStyle="1" w:styleId="Heading2Char">
    <w:name w:val="Heading 2 Char"/>
    <w:basedOn w:val="DefaultParagraphFont"/>
    <w:link w:val="Heading2"/>
    <w:uiPriority w:val="9"/>
    <w:rsid w:val="002C5246"/>
    <w:rPr>
      <w:rFonts w:ascii="Times New Roman" w:hAnsi="Times New Roman" w:eastAsiaTheme="majorEastAsia" w:cstheme="majorBidi"/>
      <w:b/>
      <w:sz w:val="24"/>
      <w:szCs w:val="26"/>
    </w:rPr>
  </w:style>
  <w:style w:type="character" w:customStyle="1" w:styleId="Heading3Char">
    <w:name w:val="Heading 3 Char"/>
    <w:basedOn w:val="DefaultParagraphFont"/>
    <w:link w:val="Heading3"/>
    <w:uiPriority w:val="9"/>
    <w:semiHidden/>
    <w:rsid w:val="002C5246"/>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2C5246"/>
    <w:rPr>
      <w:rFonts w:asciiTheme="majorHAnsi" w:eastAsiaTheme="majorEastAsia" w:hAnsiTheme="majorHAnsi" w:cstheme="majorBidi"/>
      <w:i/>
      <w:iCs/>
      <w:color w:val="2F5496" w:themeColor="accent1" w:themeShade="BF"/>
      <w:sz w:val="24"/>
      <w:szCs w:val="24"/>
    </w:rPr>
  </w:style>
  <w:style w:type="character" w:customStyle="1" w:styleId="Heading5Char">
    <w:name w:val="Heading 5 Char"/>
    <w:basedOn w:val="DefaultParagraphFont"/>
    <w:link w:val="Heading5"/>
    <w:uiPriority w:val="9"/>
    <w:semiHidden/>
    <w:rsid w:val="002C5246"/>
    <w:rPr>
      <w:rFonts w:asciiTheme="majorHAnsi" w:eastAsiaTheme="majorEastAsia" w:hAnsiTheme="majorHAnsi" w:cstheme="majorBidi"/>
      <w:color w:val="2F5496" w:themeColor="accent1" w:themeShade="BF"/>
      <w:sz w:val="24"/>
      <w:szCs w:val="24"/>
    </w:rPr>
  </w:style>
  <w:style w:type="character" w:customStyle="1" w:styleId="Heading6Char">
    <w:name w:val="Heading 6 Char"/>
    <w:basedOn w:val="DefaultParagraphFont"/>
    <w:link w:val="Heading6"/>
    <w:uiPriority w:val="9"/>
    <w:semiHidden/>
    <w:rsid w:val="002C5246"/>
    <w:rPr>
      <w:rFonts w:asciiTheme="majorHAnsi" w:eastAsiaTheme="majorEastAsia" w:hAnsiTheme="majorHAnsi" w:cstheme="majorBidi"/>
      <w:color w:val="1F3763" w:themeColor="accent1" w:themeShade="7F"/>
      <w:sz w:val="24"/>
      <w:szCs w:val="24"/>
    </w:rPr>
  </w:style>
  <w:style w:type="character" w:customStyle="1" w:styleId="Heading7Char">
    <w:name w:val="Heading 7 Char"/>
    <w:basedOn w:val="DefaultParagraphFont"/>
    <w:link w:val="Heading7"/>
    <w:uiPriority w:val="9"/>
    <w:semiHidden/>
    <w:rsid w:val="002C5246"/>
    <w:rPr>
      <w:rFonts w:asciiTheme="majorHAnsi" w:eastAsiaTheme="majorEastAsia" w:hAnsiTheme="majorHAnsi" w:cstheme="majorBidi"/>
      <w:i/>
      <w:iCs/>
      <w:color w:val="1F3763" w:themeColor="accent1" w:themeShade="7F"/>
      <w:sz w:val="24"/>
      <w:szCs w:val="24"/>
    </w:rPr>
  </w:style>
  <w:style w:type="character" w:customStyle="1" w:styleId="Heading8Char">
    <w:name w:val="Heading 8 Char"/>
    <w:basedOn w:val="DefaultParagraphFont"/>
    <w:link w:val="Heading8"/>
    <w:uiPriority w:val="9"/>
    <w:semiHidden/>
    <w:rsid w:val="002C524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C5246"/>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qFormat/>
    <w:rsid w:val="00AA78EA"/>
    <w:rPr>
      <w:b/>
      <w:bCs/>
      <w:sz w:val="20"/>
    </w:rPr>
  </w:style>
  <w:style w:type="paragraph" w:styleId="Header">
    <w:name w:val="header"/>
    <w:basedOn w:val="Normal"/>
    <w:link w:val="HeaderChar"/>
    <w:uiPriority w:val="99"/>
    <w:unhideWhenUsed/>
    <w:rsid w:val="00F45494"/>
    <w:pPr>
      <w:tabs>
        <w:tab w:val="center" w:pos="4680"/>
        <w:tab w:val="right" w:pos="9360"/>
      </w:tabs>
    </w:pPr>
  </w:style>
  <w:style w:type="character" w:customStyle="1" w:styleId="HeaderChar">
    <w:name w:val="Header Char"/>
    <w:basedOn w:val="DefaultParagraphFont"/>
    <w:link w:val="Header"/>
    <w:uiPriority w:val="99"/>
    <w:rsid w:val="00F45494"/>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F45494"/>
    <w:pPr>
      <w:tabs>
        <w:tab w:val="center" w:pos="4680"/>
        <w:tab w:val="right" w:pos="9360"/>
      </w:tabs>
    </w:pPr>
  </w:style>
  <w:style w:type="character" w:customStyle="1" w:styleId="FooterChar">
    <w:name w:val="Footer Char"/>
    <w:basedOn w:val="DefaultParagraphFont"/>
    <w:link w:val="Footer"/>
    <w:uiPriority w:val="99"/>
    <w:rsid w:val="00F45494"/>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5F0E61"/>
    <w:rPr>
      <w:color w:val="605E5C"/>
      <w:shd w:val="clear" w:color="auto" w:fill="E1DFDD"/>
    </w:rPr>
  </w:style>
  <w:style w:type="paragraph" w:customStyle="1" w:styleId="paragraph">
    <w:name w:val="paragraph"/>
    <w:basedOn w:val="Normal"/>
    <w:rsid w:val="0088337E"/>
    <w:pPr>
      <w:spacing w:before="100" w:beforeAutospacing="1" w:after="100" w:afterAutospacing="1"/>
    </w:pPr>
    <w:rPr>
      <w:szCs w:val="24"/>
    </w:rPr>
  </w:style>
  <w:style w:type="paragraph" w:customStyle="1" w:styleId="Default">
    <w:name w:val="Default"/>
    <w:link w:val="DefaultChar"/>
    <w:rsid w:val="00A81BB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DefaultChar">
    <w:name w:val="Default Char"/>
    <w:basedOn w:val="DefaultParagraphFont"/>
    <w:link w:val="Default"/>
    <w:rsid w:val="00A81BBB"/>
    <w:rPr>
      <w:rFonts w:ascii="Times New Roman" w:eastAsia="Times New Roman" w:hAnsi="Times New Roman" w:cs="Times New Roman"/>
      <w:color w:val="000000"/>
      <w:sz w:val="24"/>
      <w:szCs w:val="24"/>
    </w:rPr>
  </w:style>
  <w:style w:type="paragraph" w:styleId="Bibliography">
    <w:name w:val="Bibliography"/>
    <w:basedOn w:val="Normal"/>
    <w:next w:val="Normal"/>
    <w:uiPriority w:val="37"/>
    <w:semiHidden/>
    <w:unhideWhenUsed/>
    <w:rsid w:val="008A71C0"/>
  </w:style>
  <w:style w:type="character" w:styleId="FollowedHyperlink">
    <w:name w:val="FollowedHyperlink"/>
    <w:basedOn w:val="DefaultParagraphFont"/>
    <w:uiPriority w:val="99"/>
    <w:semiHidden/>
    <w:unhideWhenUsed/>
    <w:rsid w:val="00064C19"/>
    <w:rPr>
      <w:color w:val="954F72" w:themeColor="followedHyperlink"/>
      <w:u w:val="single"/>
    </w:rPr>
  </w:style>
  <w:style w:type="character" w:styleId="CommentReference">
    <w:name w:val="annotation reference"/>
    <w:basedOn w:val="DefaultParagraphFont"/>
    <w:uiPriority w:val="99"/>
    <w:semiHidden/>
    <w:unhideWhenUsed/>
    <w:rsid w:val="00C21B5A"/>
    <w:rPr>
      <w:sz w:val="16"/>
      <w:szCs w:val="16"/>
    </w:rPr>
  </w:style>
  <w:style w:type="paragraph" w:styleId="CommentText">
    <w:name w:val="annotation text"/>
    <w:basedOn w:val="Normal"/>
    <w:link w:val="CommentTextChar"/>
    <w:uiPriority w:val="99"/>
    <w:unhideWhenUsed/>
    <w:rsid w:val="00AD6E91"/>
    <w:rPr>
      <w:sz w:val="20"/>
    </w:rPr>
  </w:style>
  <w:style w:type="character" w:customStyle="1" w:styleId="CommentTextChar">
    <w:name w:val="Comment Text Char"/>
    <w:basedOn w:val="DefaultParagraphFont"/>
    <w:link w:val="CommentText"/>
    <w:uiPriority w:val="99"/>
    <w:rsid w:val="00AD6E9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D6E91"/>
    <w:rPr>
      <w:b/>
      <w:bCs/>
    </w:rPr>
  </w:style>
  <w:style w:type="character" w:customStyle="1" w:styleId="CommentSubjectChar">
    <w:name w:val="Comment Subject Char"/>
    <w:basedOn w:val="CommentTextChar"/>
    <w:link w:val="CommentSubject"/>
    <w:uiPriority w:val="99"/>
    <w:semiHidden/>
    <w:rsid w:val="00AD6E91"/>
    <w:rPr>
      <w:rFonts w:ascii="Times New Roman" w:eastAsia="Times New Roman" w:hAnsi="Times New Roman" w:cs="Times New Roman"/>
      <w:b/>
      <w:bCs/>
      <w:sz w:val="20"/>
      <w:szCs w:val="20"/>
    </w:rPr>
  </w:style>
  <w:style w:type="character" w:customStyle="1" w:styleId="element-citation">
    <w:name w:val="element-citation"/>
    <w:basedOn w:val="DefaultParagraphFont"/>
    <w:rsid w:val="005A2684"/>
  </w:style>
  <w:style w:type="character" w:customStyle="1" w:styleId="ref-journal">
    <w:name w:val="ref-journal"/>
    <w:basedOn w:val="DefaultParagraphFont"/>
    <w:rsid w:val="005A2684"/>
  </w:style>
  <w:style w:type="character" w:customStyle="1" w:styleId="ref-vol">
    <w:name w:val="ref-vol"/>
    <w:basedOn w:val="DefaultParagraphFont"/>
    <w:rsid w:val="005A2684"/>
  </w:style>
  <w:style w:type="character" w:customStyle="1" w:styleId="nowrap">
    <w:name w:val="nowrap"/>
    <w:basedOn w:val="DefaultParagraphFont"/>
    <w:rsid w:val="005A2684"/>
  </w:style>
  <w:style w:type="table" w:customStyle="1" w:styleId="TableGrid1">
    <w:name w:val="Table Grid1"/>
    <w:basedOn w:val="TableNormal"/>
    <w:next w:val="TableGrid"/>
    <w:rsid w:val="004D2F2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72749"/>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bls.gov/oes/current/oes_nat.htm" TargetMode="External" /><Relationship Id="rId11" Type="http://schemas.openxmlformats.org/officeDocument/2006/relationships/hyperlink" Target="http://www.hiv.gov/federal-response/national-hiv-aids-strategy/national-hiv-aids-strategy-2022-2025" TargetMode="External" /><Relationship Id="rId12" Type="http://schemas.openxmlformats.org/officeDocument/2006/relationships/hyperlink" Target="https://www.hiv.gov/federal-response/ending-the-hiv-epidemic/overview" TargetMode="External" /><Relationship Id="rId13" Type="http://schemas.openxmlformats.org/officeDocument/2006/relationships/hyperlink" Target="https://www.cdc.gov/hiv/pdf/risk/prep/cdc-hiv-prep-guidelines-2021.pdf" TargetMode="External" /><Relationship Id="rId14" Type="http://schemas.openxmlformats.org/officeDocument/2006/relationships/hyperlink" Target="https://pubmed.ncbi.nlm.nih.gov/?sort=date&amp;term=Grov+C&amp;cauthor_id=34180743" TargetMode="External" /><Relationship Id="rId15" Type="http://schemas.openxmlformats.org/officeDocument/2006/relationships/hyperlink" Target="https://pubmed.ncbi.nlm.nih.gov/?sort=date&amp;term=Westmoreland+DA&amp;cauthor_id=34180743" TargetMode="External" /><Relationship Id="rId16" Type="http://schemas.openxmlformats.org/officeDocument/2006/relationships/hyperlink" Target="https://pubmed.ncbi.nlm.nih.gov/?sort=date&amp;term=D%27Angelo+AB&amp;cauthor_id=34180743" TargetMode="External" /><Relationship Id="rId17" Type="http://schemas.openxmlformats.org/officeDocument/2006/relationships/hyperlink" Target="https://pubmed.ncbi.nlm.nih.gov/?sort=date&amp;term=Pantalone+DW&amp;cauthor_id=34180743" TargetMode="External" /><Relationship Id="rId18" Type="http://schemas.openxmlformats.org/officeDocument/2006/relationships/hyperlink" Target="https://pubmed.ncbi.nlm.nih.gov/34446149/" TargetMode="External" /><Relationship Id="rId19" Type="http://schemas.openxmlformats.org/officeDocument/2006/relationships/hyperlink" Target="https://pubmed.ncbi.nlm.nih.gov/?sort=date&amp;term=Dubov+A&amp;cauthor_id=30554519" TargetMode="External" /><Relationship Id="rId2" Type="http://schemas.openxmlformats.org/officeDocument/2006/relationships/webSettings" Target="webSettings.xml" /><Relationship Id="rId20" Type="http://schemas.openxmlformats.org/officeDocument/2006/relationships/hyperlink" Target="https://pubmed.ncbi.nlm.nih.gov/?sort=date&amp;term=Ogunbajo+A&amp;cauthor_id=30554519" TargetMode="External" /><Relationship Id="rId21" Type="http://schemas.openxmlformats.org/officeDocument/2006/relationships/hyperlink" Target="https://pubmed.ncbi.nlm.nih.gov/?sort=date&amp;term=Altice+FL&amp;cauthor_id=30554519" TargetMode="External" /><Relationship Id="rId22" Type="http://schemas.openxmlformats.org/officeDocument/2006/relationships/hyperlink" Target="https://pubmed.ncbi.nlm.nih.gov/?sort=date&amp;term=Fraenkel+L&amp;cauthor_id=30554519" TargetMode="External" /><Relationship Id="rId23" Type="http://schemas.openxmlformats.org/officeDocument/2006/relationships/hyperlink" Target="https://pubmed.ncbi.nlm.nih.gov/33481359/" TargetMode="External" /><Relationship Id="rId24" Type="http://schemas.openxmlformats.org/officeDocument/2006/relationships/hyperlink" Target="https://clinicaltrials.gov/study/NCT05072093" TargetMode="External" /><Relationship Id="rId25" Type="http://schemas.openxmlformats.org/officeDocument/2006/relationships/hyperlink" Target="https://obamawhitehouse.archives.gov/sites/default/files/omb/inforeg/pmc_survey_guidance_2006.pdf" TargetMode="External" /><Relationship Id="rId26" Type="http://schemas.openxmlformats.org/officeDocument/2006/relationships/theme" Target="theme/theme1.xml" /><Relationship Id="rId27" Type="http://schemas.openxmlformats.org/officeDocument/2006/relationships/numbering" Target="numbering.xml" /><Relationship Id="rId28"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21</Pages>
  <Words>14219</Words>
  <Characters>81051</Characters>
  <Application>Microsoft Office Word</Application>
  <DocSecurity>0</DocSecurity>
  <Lines>675</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Bessler</dc:creator>
  <cp:lastModifiedBy>Cody, Aisha (CDC/NCHHSTP/OD)</cp:lastModifiedBy>
  <cp:revision>2</cp:revision>
  <dcterms:created xsi:type="dcterms:W3CDTF">2025-04-03T13:23:00Z</dcterms:created>
  <dcterms:modified xsi:type="dcterms:W3CDTF">2025-04-03T13:23:00Z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1011c220f765206d28b17c18d15b384f5eda720784605458ba1193873ad34e4a</vt:lpwstr>
  </property>
  <property fmtid="{D5CDD505-2E9C-101B-9397-08002B2CF9AE}" pid="3" name="MSIP_Label_7b94a7b8-f06c-4dfe-bdcc-9b548fd58c31_ActionId">
    <vt:lpwstr>48b8dc6c-1a69-4142-b3d9-0ee58ff30a9f</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2023-02-07T23:05:09Z</vt:lpwstr>
  </property>
  <property fmtid="{D5CDD505-2E9C-101B-9397-08002B2CF9AE}" pid="9" name="MSIP_Label_7b94a7b8-f06c-4dfe-bdcc-9b548fd58c31_SiteId">
    <vt:lpwstr>9ce70869-60db-44fd-abe8-d2767077fc8f</vt:lpwstr>
  </property>
</Properties>
</file>