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A26" w:rsidRPr="0072690B" w:rsidP="00464AB6" w14:paraId="68B1F5AB" w14:textId="77777777">
      <w:pPr>
        <w:pStyle w:val="Body1"/>
        <w:rPr>
          <w:szCs w:val="24"/>
        </w:rPr>
      </w:pPr>
    </w:p>
    <w:p w:rsidR="00527A26" w:rsidRPr="0072690B" w:rsidP="0042175C" w14:paraId="0E2A7F16" w14:textId="77777777">
      <w:pPr>
        <w:pStyle w:val="Body1"/>
        <w:rPr>
          <w:szCs w:val="24"/>
        </w:rPr>
      </w:pPr>
    </w:p>
    <w:p w:rsidR="00527A26" w:rsidRPr="0072690B" w:rsidP="00A05BCF" w14:paraId="0F5A19EE" w14:textId="77777777">
      <w:pPr>
        <w:pStyle w:val="Body1"/>
        <w:rPr>
          <w:szCs w:val="24"/>
        </w:rPr>
      </w:pPr>
    </w:p>
    <w:p w:rsidR="00527A26" w:rsidRPr="0072690B" w:rsidP="00A05BCF" w14:paraId="0EA17603" w14:textId="77777777">
      <w:pPr>
        <w:pStyle w:val="Body1"/>
        <w:jc w:val="center"/>
        <w:rPr>
          <w:b/>
          <w:szCs w:val="24"/>
        </w:rPr>
      </w:pPr>
    </w:p>
    <w:p w:rsidR="00B13495" w:rsidRPr="00720887" w:rsidP="00720887" w14:paraId="7CF14DEF" w14:textId="611FD033">
      <w:pPr>
        <w:jc w:val="center"/>
        <w:rPr>
          <w:b/>
          <w:sz w:val="28"/>
          <w:szCs w:val="28"/>
        </w:rPr>
      </w:pPr>
      <w:r w:rsidRPr="00720887">
        <w:rPr>
          <w:b/>
          <w:sz w:val="28"/>
          <w:szCs w:val="28"/>
        </w:rPr>
        <w:t>Generic Clearance for the Collection of Minimal Data Necessary for Case Data During an Emergency Response</w:t>
      </w:r>
    </w:p>
    <w:p w:rsidR="00720887" w:rsidP="00A05BCF" w14:paraId="40B17E03" w14:textId="77777777">
      <w:pPr>
        <w:pStyle w:val="Body1"/>
        <w:jc w:val="center"/>
        <w:rPr>
          <w:b/>
          <w:szCs w:val="24"/>
        </w:rPr>
      </w:pPr>
    </w:p>
    <w:p w:rsidR="005100DC" w:rsidRPr="0050457E" w:rsidP="0050457E" w14:paraId="1EC9F0D5" w14:textId="618002EE">
      <w:pPr>
        <w:jc w:val="center"/>
        <w:rPr>
          <w:b/>
          <w:sz w:val="28"/>
          <w:szCs w:val="28"/>
        </w:rPr>
      </w:pPr>
      <w:r w:rsidRPr="0050457E">
        <w:rPr>
          <w:b/>
          <w:sz w:val="28"/>
          <w:szCs w:val="28"/>
        </w:rPr>
        <w:t>OMB No. 0920-</w:t>
      </w:r>
      <w:r w:rsidRPr="0050457E" w:rsidR="005121F4">
        <w:rPr>
          <w:b/>
          <w:sz w:val="28"/>
          <w:szCs w:val="28"/>
        </w:rPr>
        <w:t>XXXX</w:t>
      </w:r>
    </w:p>
    <w:p w:rsidR="005100DC" w:rsidRPr="0072690B" w:rsidP="004E5729" w14:paraId="4428D29A" w14:textId="77777777">
      <w:pPr>
        <w:pStyle w:val="Body1"/>
        <w:jc w:val="center"/>
        <w:rPr>
          <w:b/>
          <w:szCs w:val="24"/>
        </w:rPr>
      </w:pPr>
    </w:p>
    <w:p w:rsidR="005100DC" w:rsidRPr="0072690B" w:rsidP="00476ED6" w14:paraId="6D2432C3" w14:textId="77777777">
      <w:pPr>
        <w:pStyle w:val="Body1"/>
        <w:jc w:val="center"/>
        <w:rPr>
          <w:b/>
          <w:szCs w:val="24"/>
        </w:rPr>
      </w:pPr>
    </w:p>
    <w:p w:rsidR="005100DC" w:rsidRPr="0072690B" w:rsidP="0006715E" w14:paraId="20BC545C" w14:textId="77777777">
      <w:pPr>
        <w:pStyle w:val="Body1"/>
        <w:jc w:val="center"/>
        <w:rPr>
          <w:b/>
          <w:szCs w:val="24"/>
        </w:rPr>
      </w:pPr>
    </w:p>
    <w:p w:rsidR="005100DC" w:rsidRPr="0072690B" w:rsidP="00B76EAB" w14:paraId="73FD0816" w14:textId="77777777">
      <w:pPr>
        <w:pStyle w:val="Body1"/>
        <w:jc w:val="center"/>
        <w:rPr>
          <w:b/>
          <w:szCs w:val="24"/>
        </w:rPr>
      </w:pPr>
      <w:r w:rsidRPr="0072690B">
        <w:rPr>
          <w:b/>
          <w:szCs w:val="24"/>
        </w:rPr>
        <w:t>Supporting Statement A</w:t>
      </w:r>
    </w:p>
    <w:p w:rsidR="005100DC" w:rsidRPr="0072690B" w:rsidP="00C54617" w14:paraId="4D2C3CD0" w14:textId="77777777">
      <w:pPr>
        <w:pStyle w:val="Body1"/>
        <w:jc w:val="center"/>
        <w:rPr>
          <w:b/>
          <w:szCs w:val="24"/>
        </w:rPr>
      </w:pPr>
    </w:p>
    <w:p w:rsidR="005100DC" w:rsidRPr="0072690B" w:rsidP="009D625B" w14:paraId="3525C51D" w14:textId="77777777">
      <w:pPr>
        <w:pStyle w:val="Body1"/>
        <w:jc w:val="center"/>
        <w:rPr>
          <w:b/>
          <w:szCs w:val="24"/>
        </w:rPr>
      </w:pPr>
    </w:p>
    <w:p w:rsidR="005100DC" w:rsidRPr="0072690B" w:rsidP="00AA6A7E" w14:paraId="0507C34E" w14:textId="77777777">
      <w:pPr>
        <w:pStyle w:val="Body1"/>
        <w:rPr>
          <w:b/>
          <w:szCs w:val="24"/>
        </w:rPr>
      </w:pPr>
    </w:p>
    <w:p w:rsidR="00527A26" w:rsidRPr="0072690B" w:rsidP="00AA674F" w14:paraId="15DC2BAE" w14:textId="77777777">
      <w:pPr>
        <w:pStyle w:val="Body1"/>
        <w:jc w:val="center"/>
        <w:rPr>
          <w:b/>
          <w:szCs w:val="24"/>
        </w:rPr>
      </w:pPr>
    </w:p>
    <w:p w:rsidR="00527A26" w:rsidRPr="0072690B" w:rsidP="006D47D5" w14:paraId="3A84695C" w14:textId="77777777">
      <w:pPr>
        <w:pStyle w:val="Body1"/>
        <w:jc w:val="center"/>
        <w:rPr>
          <w:b/>
          <w:szCs w:val="24"/>
        </w:rPr>
      </w:pPr>
    </w:p>
    <w:p w:rsidR="00230437" w:rsidP="00A923CF" w14:paraId="04CABC47" w14:textId="6D4BD98A">
      <w:pPr>
        <w:pStyle w:val="Body1"/>
        <w:jc w:val="center"/>
        <w:rPr>
          <w:b/>
          <w:szCs w:val="24"/>
        </w:rPr>
      </w:pPr>
      <w:r w:rsidRPr="004A5470">
        <w:rPr>
          <w:b/>
          <w:szCs w:val="24"/>
        </w:rPr>
        <w:t xml:space="preserve">Project </w:t>
      </w:r>
      <w:r w:rsidR="00226941">
        <w:rPr>
          <w:b/>
          <w:szCs w:val="24"/>
        </w:rPr>
        <w:t>Contact</w:t>
      </w:r>
      <w:r w:rsidRPr="004A5470">
        <w:rPr>
          <w:b/>
          <w:szCs w:val="24"/>
        </w:rPr>
        <w:t xml:space="preserve">: </w:t>
      </w:r>
      <w:r w:rsidRPr="00373703" w:rsidR="00373703">
        <w:rPr>
          <w:b/>
          <w:szCs w:val="24"/>
        </w:rPr>
        <w:t>Lynda Rowe</w:t>
      </w:r>
    </w:p>
    <w:p w:rsidR="00533AFA" w:rsidP="00AB3924" w14:paraId="55FAAEF4" w14:textId="7612BE7A">
      <w:pPr>
        <w:pStyle w:val="Body1"/>
        <w:jc w:val="center"/>
        <w:rPr>
          <w:b/>
          <w:szCs w:val="24"/>
        </w:rPr>
      </w:pPr>
      <w:r w:rsidRPr="00052F9E">
        <w:rPr>
          <w:b/>
          <w:szCs w:val="24"/>
          <w:u w:color="0000FF"/>
        </w:rPr>
        <w:t>maa8@cdc.gov</w:t>
      </w:r>
    </w:p>
    <w:p w:rsidR="000330D6" w:rsidRPr="000330D6" w:rsidP="000330D6" w14:paraId="590E1A75" w14:textId="77777777">
      <w:pPr>
        <w:pStyle w:val="Body1"/>
        <w:jc w:val="center"/>
        <w:rPr>
          <w:b/>
          <w:szCs w:val="24"/>
        </w:rPr>
      </w:pPr>
      <w:r>
        <w:rPr>
          <w:b/>
          <w:szCs w:val="24"/>
        </w:rPr>
        <w:br/>
      </w:r>
      <w:r w:rsidRPr="000330D6">
        <w:rPr>
          <w:b/>
          <w:szCs w:val="24"/>
        </w:rPr>
        <w:t>Lynda Rowe</w:t>
      </w:r>
    </w:p>
    <w:p w:rsidR="000330D6" w:rsidRPr="000330D6" w:rsidP="000330D6" w14:paraId="0D19EB0D" w14:textId="77777777">
      <w:pPr>
        <w:pStyle w:val="Body1"/>
        <w:jc w:val="center"/>
        <w:rPr>
          <w:b/>
          <w:szCs w:val="24"/>
        </w:rPr>
      </w:pPr>
    </w:p>
    <w:p w:rsidR="000330D6" w:rsidRPr="000330D6" w:rsidP="000330D6" w14:paraId="365AFE75" w14:textId="77777777">
      <w:pPr>
        <w:pStyle w:val="Body1"/>
        <w:jc w:val="center"/>
        <w:rPr>
          <w:b/>
          <w:szCs w:val="24"/>
        </w:rPr>
      </w:pPr>
      <w:r w:rsidRPr="000330D6">
        <w:rPr>
          <w:b/>
          <w:szCs w:val="24"/>
        </w:rPr>
        <w:t>Director, Detect and Monitor Division</w:t>
      </w:r>
    </w:p>
    <w:p w:rsidR="000330D6" w:rsidRPr="000330D6" w:rsidP="000330D6" w14:paraId="5BE092D6" w14:textId="77777777">
      <w:pPr>
        <w:pStyle w:val="Body1"/>
        <w:jc w:val="center"/>
        <w:rPr>
          <w:b/>
          <w:szCs w:val="24"/>
        </w:rPr>
      </w:pPr>
      <w:r w:rsidRPr="000330D6">
        <w:rPr>
          <w:b/>
          <w:szCs w:val="24"/>
        </w:rPr>
        <w:t>Office of Public Health Data, Surveillance, and Technology</w:t>
      </w:r>
    </w:p>
    <w:p w:rsidR="000330D6" w:rsidRPr="000330D6" w:rsidP="000330D6" w14:paraId="516E0EC2" w14:textId="77777777">
      <w:pPr>
        <w:pStyle w:val="Body1"/>
        <w:jc w:val="center"/>
        <w:rPr>
          <w:b/>
          <w:szCs w:val="24"/>
        </w:rPr>
      </w:pPr>
      <w:r w:rsidRPr="000330D6">
        <w:rPr>
          <w:b/>
          <w:szCs w:val="24"/>
        </w:rPr>
        <w:t>Centers for Disease Control and Prevention</w:t>
      </w:r>
    </w:p>
    <w:p w:rsidR="00527A26" w:rsidRPr="0072690B" w:rsidP="000330D6" w14:paraId="43734BDB" w14:textId="03BE1C8F">
      <w:pPr>
        <w:pStyle w:val="Body1"/>
        <w:jc w:val="center"/>
        <w:rPr>
          <w:b/>
          <w:szCs w:val="24"/>
        </w:rPr>
      </w:pPr>
    </w:p>
    <w:p w:rsidR="00527A26" w:rsidRPr="0072690B" w:rsidP="005051EF" w14:paraId="3931E96D" w14:textId="77777777">
      <w:pPr>
        <w:pStyle w:val="Body1"/>
        <w:jc w:val="center"/>
        <w:rPr>
          <w:b/>
          <w:szCs w:val="24"/>
        </w:rPr>
      </w:pPr>
    </w:p>
    <w:p w:rsidR="00527A26" w:rsidRPr="0072690B" w:rsidP="005051EF" w14:paraId="4AD4BE68" w14:textId="77777777">
      <w:pPr>
        <w:pStyle w:val="Body1"/>
        <w:jc w:val="center"/>
        <w:rPr>
          <w:b/>
          <w:szCs w:val="24"/>
        </w:rPr>
      </w:pPr>
    </w:p>
    <w:p w:rsidR="00101E8A" w:rsidRPr="002B40CE" w:rsidP="00101E8A" w14:paraId="5E998461" w14:textId="086915C8">
      <w:pPr>
        <w:pStyle w:val="Body1"/>
        <w:jc w:val="center"/>
        <w:rPr>
          <w:b/>
          <w:color w:val="auto"/>
          <w:szCs w:val="24"/>
        </w:rPr>
      </w:pPr>
      <w:r>
        <w:rPr>
          <w:b/>
          <w:color w:val="auto"/>
          <w:szCs w:val="24"/>
        </w:rPr>
        <w:t xml:space="preserve">August </w:t>
      </w:r>
      <w:r w:rsidR="001A438F">
        <w:rPr>
          <w:b/>
          <w:color w:val="auto"/>
          <w:szCs w:val="24"/>
        </w:rPr>
        <w:t>2</w:t>
      </w:r>
      <w:r w:rsidR="00AB12A6">
        <w:rPr>
          <w:b/>
          <w:color w:val="auto"/>
          <w:szCs w:val="24"/>
        </w:rPr>
        <w:t>7</w:t>
      </w:r>
      <w:r w:rsidR="0088103B">
        <w:rPr>
          <w:b/>
          <w:color w:val="auto"/>
          <w:szCs w:val="24"/>
        </w:rPr>
        <w:t>, 202</w:t>
      </w:r>
      <w:r w:rsidR="00972F70">
        <w:rPr>
          <w:b/>
          <w:color w:val="auto"/>
          <w:szCs w:val="24"/>
        </w:rPr>
        <w:t>4</w:t>
      </w:r>
    </w:p>
    <w:p w:rsidR="00527A26" w:rsidRPr="0072690B" w:rsidP="005051EF" w14:paraId="42786CF5" w14:textId="77777777">
      <w:pPr>
        <w:pStyle w:val="Body1"/>
        <w:jc w:val="center"/>
        <w:rPr>
          <w:b/>
          <w:szCs w:val="24"/>
        </w:rPr>
      </w:pPr>
    </w:p>
    <w:p w:rsidR="00527A26" w:rsidP="005051EF" w14:paraId="20F8C62D" w14:textId="77777777">
      <w:pPr>
        <w:pStyle w:val="Body1"/>
        <w:jc w:val="center"/>
        <w:rPr>
          <w:b/>
          <w:szCs w:val="24"/>
        </w:rPr>
      </w:pPr>
    </w:p>
    <w:p w:rsidR="00101E8A" w:rsidP="005051EF" w14:paraId="02D777A8" w14:textId="77777777">
      <w:pPr>
        <w:pStyle w:val="Body1"/>
        <w:jc w:val="center"/>
        <w:rPr>
          <w:b/>
          <w:szCs w:val="24"/>
        </w:rPr>
      </w:pPr>
    </w:p>
    <w:p w:rsidR="00101E8A" w:rsidP="005051EF" w14:paraId="1F160A33" w14:textId="77777777">
      <w:pPr>
        <w:pStyle w:val="Body1"/>
        <w:jc w:val="center"/>
        <w:rPr>
          <w:b/>
          <w:szCs w:val="24"/>
        </w:rPr>
      </w:pPr>
    </w:p>
    <w:p w:rsidR="00101E8A" w:rsidP="005051EF" w14:paraId="2B9219C7" w14:textId="77777777">
      <w:pPr>
        <w:pStyle w:val="Body1"/>
        <w:jc w:val="center"/>
        <w:rPr>
          <w:b/>
          <w:szCs w:val="24"/>
        </w:rPr>
      </w:pPr>
    </w:p>
    <w:p w:rsidR="00101E8A" w:rsidP="005051EF" w14:paraId="1EF3AA35" w14:textId="77777777">
      <w:pPr>
        <w:pStyle w:val="Body1"/>
        <w:jc w:val="center"/>
        <w:rPr>
          <w:b/>
          <w:szCs w:val="24"/>
        </w:rPr>
      </w:pPr>
    </w:p>
    <w:p w:rsidR="00101E8A" w:rsidP="005051EF" w14:paraId="04D56E9A" w14:textId="77777777">
      <w:pPr>
        <w:pStyle w:val="Body1"/>
        <w:jc w:val="center"/>
        <w:rPr>
          <w:b/>
          <w:szCs w:val="24"/>
        </w:rPr>
      </w:pPr>
    </w:p>
    <w:p w:rsidR="00101E8A" w:rsidP="005051EF" w14:paraId="0B00B808" w14:textId="77777777">
      <w:pPr>
        <w:pStyle w:val="Body1"/>
        <w:jc w:val="center"/>
        <w:rPr>
          <w:b/>
          <w:szCs w:val="24"/>
        </w:rPr>
      </w:pPr>
    </w:p>
    <w:p w:rsidR="00101E8A" w:rsidRPr="0072690B" w:rsidP="005051EF" w14:paraId="35A0B338" w14:textId="77777777">
      <w:pPr>
        <w:pStyle w:val="Body1"/>
        <w:jc w:val="center"/>
        <w:rPr>
          <w:b/>
          <w:szCs w:val="24"/>
        </w:rPr>
      </w:pPr>
    </w:p>
    <w:p w:rsidR="00527A26" w:rsidRPr="0072690B" w:rsidP="005051EF" w14:paraId="71083A8A" w14:textId="77777777">
      <w:pPr>
        <w:pStyle w:val="Body1"/>
        <w:jc w:val="center"/>
        <w:rPr>
          <w:b/>
          <w:szCs w:val="24"/>
        </w:rPr>
      </w:pPr>
    </w:p>
    <w:p w:rsidR="00784C67" w:rsidRPr="00F21EE8" w:rsidP="002D635F" w14:paraId="63BAC01C" w14:textId="77777777">
      <w:pPr>
        <w:pStyle w:val="Body1"/>
        <w:rPr>
          <w:b/>
          <w:szCs w:val="24"/>
        </w:rPr>
      </w:pPr>
      <w:r>
        <w:rPr>
          <w:b/>
          <w:szCs w:val="24"/>
        </w:rPr>
        <w:br w:type="page"/>
      </w:r>
      <w:r w:rsidRPr="00F21EE8">
        <w:rPr>
          <w:b/>
          <w:szCs w:val="24"/>
        </w:rPr>
        <w:t>Table of Contents</w:t>
      </w:r>
    </w:p>
    <w:p w:rsidR="00784C67" w:rsidRPr="00F21EE8" w:rsidP="00784C67" w14:paraId="0E68D54E" w14:textId="77777777">
      <w:pPr>
        <w:pStyle w:val="Body1"/>
        <w:tabs>
          <w:tab w:val="left" w:pos="720"/>
          <w:tab w:val="left" w:pos="1440"/>
          <w:tab w:val="left" w:pos="2160"/>
          <w:tab w:val="left" w:pos="2880"/>
        </w:tabs>
        <w:spacing w:line="360" w:lineRule="auto"/>
        <w:rPr>
          <w:b/>
          <w:szCs w:val="24"/>
        </w:rPr>
      </w:pPr>
    </w:p>
    <w:p w:rsidR="00784C67" w:rsidRPr="00F21EE8" w:rsidP="00784C67" w14:paraId="66CBD0B9" w14:textId="7777777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rsidR="00784C67" w:rsidRPr="00F21EE8" w:rsidP="00784C67" w14:paraId="610B68CD" w14:textId="31E628FF">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r w:rsidRPr="00F21EE8">
        <w:rPr>
          <w:szCs w:val="24"/>
        </w:rPr>
        <w:tab/>
      </w:r>
      <w:r w:rsidRPr="00F21EE8">
        <w:rPr>
          <w:szCs w:val="24"/>
        </w:rPr>
        <w:tab/>
      </w:r>
      <w:r w:rsidRPr="00F21EE8">
        <w:rPr>
          <w:szCs w:val="24"/>
        </w:rPr>
        <w:tab/>
      </w:r>
    </w:p>
    <w:p w:rsidR="00784C67" w:rsidRPr="00F21EE8" w:rsidP="00784C67" w14:paraId="0DC063E8" w14:textId="77777777">
      <w:pPr>
        <w:pStyle w:val="Body1"/>
        <w:tabs>
          <w:tab w:val="left" w:pos="720"/>
          <w:tab w:val="left" w:pos="1440"/>
          <w:tab w:val="left" w:pos="2160"/>
          <w:tab w:val="left" w:pos="2880"/>
        </w:tabs>
        <w:spacing w:line="360" w:lineRule="auto"/>
        <w:rPr>
          <w:szCs w:val="24"/>
        </w:rPr>
      </w:pPr>
      <w:r w:rsidRPr="00F21EE8">
        <w:rPr>
          <w:szCs w:val="24"/>
        </w:rPr>
        <w:tab/>
        <w:t xml:space="preserve">2. </w:t>
      </w:r>
      <w:r w:rsidRPr="00F21EE8">
        <w:rPr>
          <w:szCs w:val="24"/>
        </w:rPr>
        <w:tab/>
        <w:t>Purpose and Use of Information Collection</w:t>
      </w:r>
    </w:p>
    <w:p w:rsidR="00784C67" w:rsidRPr="00F21EE8" w:rsidP="00784C67" w14:paraId="396D77B1" w14:textId="239FB3FC">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rsidR="00784C67" w:rsidRPr="00F21EE8" w:rsidP="00784C67" w14:paraId="3795991E" w14:textId="7777777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rsidR="00784C67" w:rsidRPr="00F21EE8" w:rsidP="00784C67" w14:paraId="011FE93F" w14:textId="7777777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rsidR="00784C67" w:rsidRPr="00F21EE8" w:rsidP="00784C67" w14:paraId="4043C518" w14:textId="7777777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rsidR="00784C67" w:rsidRPr="00F21EE8" w:rsidP="00784C67" w14:paraId="02ECEDD5" w14:textId="77777777">
      <w:pPr>
        <w:pStyle w:val="Body1"/>
        <w:tabs>
          <w:tab w:val="left" w:pos="720"/>
          <w:tab w:val="left" w:pos="1440"/>
        </w:tabs>
        <w:spacing w:line="360" w:lineRule="auto"/>
        <w:rPr>
          <w:szCs w:val="24"/>
        </w:rPr>
      </w:pPr>
      <w:r w:rsidRPr="00F21EE8">
        <w:rPr>
          <w:szCs w:val="24"/>
        </w:rPr>
        <w:tab/>
        <w:t>7.</w:t>
      </w:r>
      <w:r w:rsidRPr="00F21EE8">
        <w:rPr>
          <w:szCs w:val="24"/>
        </w:rPr>
        <w:tab/>
        <w:t>Special Circumstances Relating to the Guidelines of 5 CFR 1320.5</w:t>
      </w:r>
      <w:r w:rsidRPr="00F21EE8">
        <w:rPr>
          <w:szCs w:val="24"/>
        </w:rPr>
        <w:tab/>
      </w:r>
    </w:p>
    <w:p w:rsidR="00784C67" w:rsidRPr="00F21EE8" w:rsidP="00784C67" w14:paraId="566CC797" w14:textId="7777777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rsidR="00784C67" w:rsidRPr="00F21EE8" w:rsidP="00784C67" w14:paraId="2631C314" w14:textId="7777777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rsidR="00784C67" w:rsidRPr="007C4053" w:rsidP="007C4053" w14:paraId="5E158ADD" w14:textId="77777777">
      <w:pPr>
        <w:tabs>
          <w:tab w:val="left" w:pos="1440"/>
        </w:tabs>
        <w:spacing w:line="360" w:lineRule="auto"/>
        <w:ind w:left="1440" w:hanging="720"/>
        <w:rPr>
          <w:rFonts w:eastAsia="Arial Unicode MS"/>
          <w:sz w:val="24"/>
          <w:szCs w:val="24"/>
          <w:u w:color="000000"/>
        </w:rPr>
      </w:pPr>
      <w:r w:rsidRPr="007C4053">
        <w:rPr>
          <w:rFonts w:eastAsia="Arial Unicode MS"/>
          <w:sz w:val="24"/>
          <w:szCs w:val="24"/>
          <w:u w:color="000000"/>
        </w:rPr>
        <w:t>10.</w:t>
      </w:r>
      <w:r w:rsidRPr="007C4053">
        <w:rPr>
          <w:rFonts w:eastAsia="Arial Unicode MS"/>
          <w:sz w:val="24"/>
          <w:szCs w:val="24"/>
          <w:u w:color="000000"/>
        </w:rPr>
        <w:tab/>
      </w:r>
      <w:r w:rsidR="00377A73">
        <w:rPr>
          <w:rFonts w:eastAsia="Arial Unicode MS"/>
          <w:sz w:val="24"/>
          <w:szCs w:val="24"/>
          <w:u w:color="000000"/>
        </w:rPr>
        <w:t xml:space="preserve">Assurance of </w:t>
      </w:r>
      <w:r w:rsidRPr="007C4053">
        <w:rPr>
          <w:rFonts w:eastAsia="Arial Unicode MS"/>
          <w:sz w:val="24"/>
          <w:szCs w:val="24"/>
          <w:u w:color="000000"/>
        </w:rPr>
        <w:t xml:space="preserve">Confidentiality Provided </w:t>
      </w:r>
      <w:r w:rsidR="00377A73">
        <w:rPr>
          <w:rFonts w:eastAsia="Arial Unicode MS"/>
          <w:sz w:val="24"/>
          <w:szCs w:val="24"/>
          <w:u w:color="000000"/>
        </w:rPr>
        <w:t>to</w:t>
      </w:r>
      <w:r w:rsidRPr="007C4053">
        <w:rPr>
          <w:rFonts w:eastAsia="Arial Unicode MS"/>
          <w:sz w:val="24"/>
          <w:szCs w:val="24"/>
          <w:u w:color="000000"/>
        </w:rPr>
        <w:t xml:space="preserve"> Respondents</w:t>
      </w:r>
    </w:p>
    <w:p w:rsidR="00784C67" w:rsidRPr="00F21EE8" w:rsidP="00F831EC" w14:paraId="0C512D6B" w14:textId="4E616591">
      <w:pPr>
        <w:pStyle w:val="Body1"/>
        <w:tabs>
          <w:tab w:val="left" w:pos="720"/>
          <w:tab w:val="left" w:pos="1440"/>
          <w:tab w:val="num" w:pos="2160"/>
        </w:tabs>
        <w:spacing w:line="360" w:lineRule="auto"/>
        <w:ind w:left="720"/>
        <w:rPr>
          <w:szCs w:val="24"/>
        </w:rPr>
      </w:pPr>
      <w:r w:rsidRPr="00F21EE8">
        <w:rPr>
          <w:szCs w:val="24"/>
        </w:rPr>
        <w:t>11.</w:t>
      </w:r>
      <w:r w:rsidRPr="00F21EE8">
        <w:rPr>
          <w:szCs w:val="24"/>
        </w:rPr>
        <w:tab/>
      </w:r>
      <w:r w:rsidRPr="00FA091B" w:rsidR="00FA091B">
        <w:rPr>
          <w:szCs w:val="24"/>
        </w:rPr>
        <w:t xml:space="preserve">Institutional Review Board (IRB) and </w:t>
      </w:r>
      <w:r w:rsidRPr="00F21EE8">
        <w:rPr>
          <w:szCs w:val="24"/>
        </w:rPr>
        <w:t>Justification for Sensitive Questions</w:t>
      </w:r>
    </w:p>
    <w:p w:rsidR="00784C67" w:rsidRPr="00F21EE8" w:rsidP="00784C67" w14:paraId="21480F5B" w14:textId="7777777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rsidR="00784C67" w:rsidRPr="00F21EE8" w:rsidP="007C4053" w14:paraId="6481D359" w14:textId="7777777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w:t>
      </w:r>
      <w:r w:rsidR="007C4053">
        <w:rPr>
          <w:rFonts w:eastAsia="Arial Unicode MS"/>
          <w:sz w:val="24"/>
          <w:szCs w:val="24"/>
          <w:u w:color="000000"/>
        </w:rPr>
        <w:t xml:space="preserve">l Cost Burden to Respondents </w:t>
      </w:r>
      <w:r w:rsidR="00377A73">
        <w:rPr>
          <w:rFonts w:eastAsia="Arial Unicode MS"/>
          <w:sz w:val="24"/>
          <w:szCs w:val="24"/>
          <w:u w:color="000000"/>
        </w:rPr>
        <w:t>or</w:t>
      </w:r>
      <w:r w:rsidRPr="00F21EE8" w:rsidR="00377A73">
        <w:rPr>
          <w:rFonts w:eastAsia="Arial Unicode MS"/>
          <w:sz w:val="24"/>
          <w:szCs w:val="24"/>
          <w:u w:color="000000"/>
        </w:rPr>
        <w:t xml:space="preserve"> </w:t>
      </w:r>
      <w:r w:rsidRPr="00F21EE8">
        <w:rPr>
          <w:rFonts w:eastAsia="Arial Unicode MS"/>
          <w:sz w:val="24"/>
          <w:szCs w:val="24"/>
          <w:u w:color="000000"/>
        </w:rPr>
        <w:t>Record Keepers</w:t>
      </w:r>
    </w:p>
    <w:p w:rsidR="00784C67" w:rsidRPr="00F21EE8" w:rsidP="00784C67" w14:paraId="6395ED7F"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 xml:space="preserve">Annualized Cost to the </w:t>
      </w:r>
      <w:r w:rsidR="007C4053">
        <w:rPr>
          <w:rFonts w:eastAsia="Arial Unicode MS"/>
          <w:sz w:val="24"/>
          <w:szCs w:val="24"/>
          <w:u w:color="000000"/>
        </w:rPr>
        <w:t xml:space="preserve">Federal </w:t>
      </w:r>
      <w:r w:rsidRPr="00F21EE8">
        <w:rPr>
          <w:rFonts w:eastAsia="Arial Unicode MS"/>
          <w:sz w:val="24"/>
          <w:szCs w:val="24"/>
          <w:u w:color="000000"/>
        </w:rPr>
        <w:t>Government</w:t>
      </w:r>
    </w:p>
    <w:p w:rsidR="00784C67" w:rsidRPr="00F21EE8" w:rsidP="00784C67" w14:paraId="09C51E1F"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rsidR="00784C67" w:rsidRPr="00F21EE8" w:rsidP="00784C67" w14:paraId="6A213DD6"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rsidR="00784C67" w:rsidRPr="00F21EE8" w:rsidP="00784C67" w14:paraId="184E2BE3"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rsidR="00784C67" w:rsidRPr="00F21EE8" w:rsidP="00784C67" w14:paraId="09F66196"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rsidR="00784C67" w:rsidP="00784C67" w14:paraId="3B52B5C0" w14:textId="77777777">
      <w:pPr>
        <w:pStyle w:val="Body1"/>
        <w:tabs>
          <w:tab w:val="left" w:pos="720"/>
          <w:tab w:val="left" w:pos="1440"/>
          <w:tab w:val="left" w:pos="2160"/>
          <w:tab w:val="left" w:pos="2880"/>
        </w:tabs>
        <w:spacing w:line="360" w:lineRule="auto"/>
        <w:rPr>
          <w:b/>
          <w:szCs w:val="24"/>
        </w:rPr>
      </w:pPr>
    </w:p>
    <w:p w:rsidR="00C80A34" w:rsidRPr="00D515FB" w:rsidP="00C80A34" w14:paraId="6F1365D5" w14:textId="2FDCEB52">
      <w:pPr>
        <w:pStyle w:val="Body1"/>
        <w:tabs>
          <w:tab w:val="left" w:pos="720"/>
          <w:tab w:val="left" w:pos="1440"/>
          <w:tab w:val="left" w:pos="2160"/>
          <w:tab w:val="left" w:pos="2880"/>
        </w:tabs>
        <w:spacing w:line="360" w:lineRule="auto"/>
        <w:rPr>
          <w:b/>
          <w:szCs w:val="24"/>
        </w:rPr>
      </w:pPr>
      <w:r>
        <w:rPr>
          <w:b/>
          <w:szCs w:val="24"/>
        </w:rPr>
        <w:tab/>
      </w:r>
      <w:r w:rsidRPr="00D515FB" w:rsidR="0088103B">
        <w:rPr>
          <w:b/>
          <w:szCs w:val="24"/>
        </w:rPr>
        <w:t>Attachments</w:t>
      </w:r>
    </w:p>
    <w:p w:rsidR="00C80A34" w:rsidRPr="00CC1CCC" w:rsidP="00C80A34" w14:paraId="56368979" w14:textId="1870884F">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ab/>
        <w:t>1</w:t>
      </w:r>
      <w:r w:rsidRPr="00CC1CCC" w:rsidR="0088103B">
        <w:rPr>
          <w:rFonts w:eastAsia="Arial Unicode MS"/>
          <w:sz w:val="24"/>
          <w:szCs w:val="24"/>
          <w:u w:color="000000"/>
        </w:rPr>
        <w:t xml:space="preserve">. </w:t>
      </w:r>
      <w:r w:rsidRPr="00CC1CCC" w:rsidR="0088103B">
        <w:rPr>
          <w:rFonts w:eastAsia="Arial Unicode MS"/>
          <w:sz w:val="24"/>
          <w:szCs w:val="24"/>
          <w:u w:color="000000"/>
        </w:rPr>
        <w:tab/>
        <w:t>Authorizing Legislation</w:t>
      </w:r>
    </w:p>
    <w:p w:rsidR="00C80A34" w:rsidP="00C80A34" w14:paraId="0544D2C8" w14:textId="124A3143">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ab/>
        <w:t>2</w:t>
      </w:r>
      <w:r w:rsidR="00C2084D">
        <w:rPr>
          <w:rFonts w:eastAsia="Arial Unicode MS"/>
          <w:sz w:val="24"/>
          <w:szCs w:val="24"/>
          <w:u w:color="000000"/>
        </w:rPr>
        <w:t>a</w:t>
      </w:r>
      <w:r w:rsidRPr="00CC1CCC" w:rsidR="0088103B">
        <w:rPr>
          <w:rFonts w:eastAsia="Arial Unicode MS"/>
          <w:sz w:val="24"/>
          <w:szCs w:val="24"/>
          <w:u w:color="000000"/>
        </w:rPr>
        <w:t>.</w:t>
      </w:r>
      <w:r w:rsidRPr="00CC1CCC" w:rsidR="0088103B">
        <w:rPr>
          <w:rFonts w:eastAsia="Arial Unicode MS"/>
          <w:sz w:val="24"/>
          <w:szCs w:val="24"/>
          <w:u w:color="000000"/>
        </w:rPr>
        <w:tab/>
        <w:t>60-Day Federal Register Notice</w:t>
      </w:r>
    </w:p>
    <w:p w:rsidR="00C2084D" w:rsidP="00C80A34" w14:paraId="07A1BACB" w14:textId="1D219DB6">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ab/>
        <w:t>2b.</w:t>
      </w:r>
      <w:r>
        <w:rPr>
          <w:rFonts w:eastAsia="Arial Unicode MS"/>
          <w:sz w:val="24"/>
          <w:szCs w:val="24"/>
          <w:u w:color="000000"/>
        </w:rPr>
        <w:tab/>
      </w:r>
      <w:r w:rsidRPr="00CC5E4A" w:rsidR="00CC5E4A">
        <w:rPr>
          <w:rFonts w:eastAsia="Arial Unicode MS"/>
          <w:sz w:val="24"/>
          <w:szCs w:val="24"/>
          <w:u w:color="000000"/>
        </w:rPr>
        <w:t>Public Comment</w:t>
      </w:r>
    </w:p>
    <w:p w:rsidR="00C80A34" w:rsidP="00C80A34" w14:paraId="3C5704BE" w14:textId="7C2BDCFE">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ab/>
        <w:t xml:space="preserve">3. </w:t>
      </w:r>
      <w:r>
        <w:rPr>
          <w:rFonts w:eastAsia="Arial Unicode MS"/>
          <w:sz w:val="24"/>
          <w:szCs w:val="24"/>
          <w:u w:color="000000"/>
        </w:rPr>
        <w:tab/>
        <w:t>List of MDN Data Elements for Case Data</w:t>
      </w:r>
      <w:r w:rsidR="00E43F5E">
        <w:rPr>
          <w:rFonts w:eastAsia="Arial Unicode MS"/>
          <w:sz w:val="24"/>
          <w:szCs w:val="24"/>
          <w:u w:color="000000"/>
        </w:rPr>
        <w:t xml:space="preserve"> </w:t>
      </w:r>
      <w:r w:rsidRPr="00E43F5E" w:rsidR="00E43F5E">
        <w:rPr>
          <w:rFonts w:eastAsia="Arial Unicode MS"/>
          <w:sz w:val="24"/>
          <w:szCs w:val="24"/>
          <w:u w:color="000000"/>
        </w:rPr>
        <w:t>During an Emergency Response</w:t>
      </w:r>
    </w:p>
    <w:p w:rsidR="00D37B3D" w:rsidP="00C80A34" w14:paraId="2FABB864" w14:textId="3A2FBB8D">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ab/>
      </w:r>
      <w:r w:rsidR="00A81FAA">
        <w:rPr>
          <w:rFonts w:eastAsia="Arial Unicode MS"/>
          <w:sz w:val="24"/>
          <w:szCs w:val="24"/>
          <w:u w:color="000000"/>
        </w:rPr>
        <w:t>4.</w:t>
      </w:r>
      <w:r w:rsidR="00A81FAA">
        <w:rPr>
          <w:rFonts w:eastAsia="Arial Unicode MS"/>
          <w:sz w:val="24"/>
          <w:szCs w:val="24"/>
          <w:u w:color="000000"/>
        </w:rPr>
        <w:tab/>
        <w:t>List of GenV2 Data Elements that are not MDN Data Elements</w:t>
      </w:r>
    </w:p>
    <w:p w:rsidR="00C80A34" w:rsidP="005D5808" w14:paraId="715DCECD" w14:textId="1E64F283">
      <w:pPr>
        <w:tabs>
          <w:tab w:val="left" w:pos="720"/>
          <w:tab w:val="left" w:pos="1440"/>
        </w:tabs>
        <w:spacing w:line="360" w:lineRule="auto"/>
        <w:ind w:left="1440" w:hanging="1440"/>
        <w:rPr>
          <w:rFonts w:eastAsia="Arial Unicode MS"/>
          <w:sz w:val="24"/>
          <w:szCs w:val="24"/>
          <w:u w:color="000000"/>
        </w:rPr>
      </w:pPr>
      <w:r>
        <w:rPr>
          <w:rFonts w:eastAsia="Arial Unicode MS"/>
          <w:sz w:val="24"/>
          <w:szCs w:val="24"/>
          <w:u w:color="000000"/>
        </w:rPr>
        <w:tab/>
      </w:r>
      <w:r w:rsidR="00F24911">
        <w:rPr>
          <w:rFonts w:eastAsia="Arial Unicode MS"/>
          <w:sz w:val="24"/>
          <w:szCs w:val="24"/>
          <w:u w:color="000000"/>
        </w:rPr>
        <w:t>5</w:t>
      </w:r>
      <w:r>
        <w:rPr>
          <w:rFonts w:eastAsia="Arial Unicode MS"/>
          <w:sz w:val="24"/>
          <w:szCs w:val="24"/>
          <w:u w:color="000000"/>
        </w:rPr>
        <w:t>.</w:t>
      </w:r>
      <w:r>
        <w:rPr>
          <w:rFonts w:eastAsia="Arial Unicode MS"/>
          <w:sz w:val="24"/>
          <w:szCs w:val="24"/>
          <w:u w:color="000000"/>
        </w:rPr>
        <w:tab/>
      </w:r>
      <w:r w:rsidR="00DC39DD">
        <w:rPr>
          <w:rFonts w:eastAsia="Arial Unicode MS"/>
          <w:sz w:val="24"/>
          <w:szCs w:val="24"/>
          <w:u w:color="000000"/>
        </w:rPr>
        <w:t>MDN</w:t>
      </w:r>
      <w:r w:rsidRPr="00DC39DD" w:rsidR="00DC39DD">
        <w:rPr>
          <w:rFonts w:eastAsia="Arial Unicode MS"/>
          <w:sz w:val="24"/>
          <w:szCs w:val="24"/>
          <w:u w:color="000000"/>
        </w:rPr>
        <w:t xml:space="preserve"> for Case Data During an Emergency Response</w:t>
      </w:r>
      <w:r w:rsidR="00E43F5E">
        <w:rPr>
          <w:rFonts w:eastAsia="Arial Unicode MS"/>
          <w:sz w:val="24"/>
          <w:szCs w:val="24"/>
          <w:u w:color="000000"/>
        </w:rPr>
        <w:t xml:space="preserve"> Form</w:t>
      </w:r>
    </w:p>
    <w:p w:rsidR="00A94AEA" w:rsidP="005D5808" w14:paraId="538F3669" w14:textId="21B83AF2">
      <w:pPr>
        <w:tabs>
          <w:tab w:val="left" w:pos="720"/>
          <w:tab w:val="left" w:pos="1440"/>
        </w:tabs>
        <w:spacing w:line="360" w:lineRule="auto"/>
        <w:ind w:left="1440" w:hanging="1440"/>
        <w:rPr>
          <w:rFonts w:eastAsia="Arial Unicode MS"/>
          <w:sz w:val="24"/>
          <w:szCs w:val="24"/>
          <w:u w:color="000000"/>
        </w:rPr>
      </w:pPr>
      <w:r>
        <w:rPr>
          <w:rFonts w:eastAsia="Arial Unicode MS"/>
          <w:sz w:val="24"/>
          <w:szCs w:val="24"/>
          <w:u w:color="000000"/>
        </w:rPr>
        <w:tab/>
      </w:r>
      <w:r w:rsidR="00F24911">
        <w:rPr>
          <w:rFonts w:eastAsia="Arial Unicode MS"/>
          <w:sz w:val="24"/>
          <w:szCs w:val="24"/>
          <w:u w:color="000000"/>
        </w:rPr>
        <w:t>6</w:t>
      </w:r>
      <w:r>
        <w:rPr>
          <w:rFonts w:eastAsia="Arial Unicode MS"/>
          <w:sz w:val="24"/>
          <w:szCs w:val="24"/>
          <w:u w:color="000000"/>
        </w:rPr>
        <w:t>.</w:t>
      </w:r>
      <w:r>
        <w:rPr>
          <w:rFonts w:eastAsia="Arial Unicode MS"/>
          <w:sz w:val="24"/>
          <w:szCs w:val="24"/>
          <w:u w:color="000000"/>
        </w:rPr>
        <w:tab/>
      </w:r>
      <w:r w:rsidRPr="003C22F2">
        <w:rPr>
          <w:rFonts w:eastAsia="Arial Unicode MS"/>
          <w:sz w:val="24"/>
          <w:szCs w:val="24"/>
          <w:u w:color="000000"/>
        </w:rPr>
        <w:t>Final Response-Specific Data Elements Form</w:t>
      </w:r>
    </w:p>
    <w:p w:rsidR="00330AA4" w:rsidRPr="00330AA4" w:rsidP="00330AA4" w14:paraId="1FDA9664" w14:textId="72BCCEBE">
      <w:pPr>
        <w:tabs>
          <w:tab w:val="left" w:pos="720"/>
          <w:tab w:val="left" w:pos="1440"/>
        </w:tabs>
        <w:spacing w:line="360" w:lineRule="auto"/>
        <w:ind w:left="1440" w:hanging="1440"/>
        <w:rPr>
          <w:rFonts w:eastAsia="Arial Unicode MS"/>
          <w:sz w:val="24"/>
          <w:szCs w:val="24"/>
          <w:u w:color="000000"/>
        </w:rPr>
      </w:pPr>
      <w:r>
        <w:rPr>
          <w:rFonts w:eastAsia="Arial Unicode MS"/>
          <w:sz w:val="24"/>
          <w:szCs w:val="24"/>
          <w:u w:color="000000"/>
        </w:rPr>
        <w:tab/>
      </w:r>
      <w:r w:rsidR="00F24911">
        <w:rPr>
          <w:rFonts w:eastAsia="Arial Unicode MS"/>
          <w:sz w:val="24"/>
          <w:szCs w:val="24"/>
          <w:u w:color="000000"/>
        </w:rPr>
        <w:t>7</w:t>
      </w:r>
      <w:r>
        <w:rPr>
          <w:rFonts w:eastAsia="Arial Unicode MS"/>
          <w:sz w:val="24"/>
          <w:szCs w:val="24"/>
          <w:u w:color="000000"/>
        </w:rPr>
        <w:t xml:space="preserve">. </w:t>
      </w:r>
      <w:r>
        <w:rPr>
          <w:rFonts w:eastAsia="Arial Unicode MS"/>
          <w:sz w:val="24"/>
          <w:szCs w:val="24"/>
          <w:u w:color="000000"/>
        </w:rPr>
        <w:tab/>
      </w:r>
      <w:r w:rsidRPr="00614842" w:rsidR="00614842">
        <w:rPr>
          <w:rFonts w:eastAsia="Arial Unicode MS"/>
          <w:sz w:val="24"/>
          <w:szCs w:val="24"/>
          <w:u w:color="000000"/>
        </w:rPr>
        <w:t xml:space="preserve">Data Collation and Integration for Public Health Event Responses </w:t>
      </w:r>
      <w:r w:rsidR="00614842">
        <w:rPr>
          <w:rFonts w:eastAsia="Arial Unicode MS"/>
          <w:sz w:val="24"/>
          <w:szCs w:val="24"/>
          <w:u w:color="000000"/>
        </w:rPr>
        <w:t>(</w:t>
      </w:r>
      <w:r>
        <w:rPr>
          <w:rFonts w:eastAsia="Arial Unicode MS"/>
          <w:sz w:val="24"/>
          <w:szCs w:val="24"/>
          <w:u w:color="000000"/>
        </w:rPr>
        <w:t>DCIPHER</w:t>
      </w:r>
      <w:r w:rsidR="00614842">
        <w:rPr>
          <w:rFonts w:eastAsia="Arial Unicode MS"/>
          <w:sz w:val="24"/>
          <w:szCs w:val="24"/>
          <w:u w:color="000000"/>
        </w:rPr>
        <w:t>)</w:t>
      </w:r>
      <w:r>
        <w:rPr>
          <w:rFonts w:eastAsia="Arial Unicode MS"/>
          <w:sz w:val="24"/>
          <w:szCs w:val="24"/>
          <w:u w:color="000000"/>
        </w:rPr>
        <w:t xml:space="preserve"> </w:t>
      </w:r>
      <w:r w:rsidRPr="00330AA4">
        <w:rPr>
          <w:rFonts w:eastAsia="Arial Unicode MS"/>
          <w:sz w:val="24"/>
          <w:szCs w:val="24"/>
          <w:u w:color="000000"/>
        </w:rPr>
        <w:t xml:space="preserve">Privacy Impact Assessment </w:t>
      </w:r>
      <w:r w:rsidR="00E1626E">
        <w:rPr>
          <w:rFonts w:eastAsia="Arial Unicode MS"/>
          <w:sz w:val="24"/>
          <w:szCs w:val="24"/>
          <w:u w:color="000000"/>
        </w:rPr>
        <w:t>(PIA)</w:t>
      </w:r>
    </w:p>
    <w:p w:rsidR="00330AA4" w:rsidRPr="00330AA4" w:rsidP="00330AA4" w14:paraId="1FC843FC" w14:textId="76026781">
      <w:pPr>
        <w:tabs>
          <w:tab w:val="left" w:pos="720"/>
          <w:tab w:val="left" w:pos="1440"/>
        </w:tabs>
        <w:spacing w:line="360" w:lineRule="auto"/>
        <w:ind w:left="1440" w:hanging="1440"/>
        <w:rPr>
          <w:rFonts w:eastAsia="Arial Unicode MS"/>
          <w:sz w:val="24"/>
          <w:szCs w:val="24"/>
          <w:u w:color="000000"/>
        </w:rPr>
      </w:pPr>
      <w:r>
        <w:rPr>
          <w:rFonts w:eastAsia="Arial Unicode MS"/>
          <w:sz w:val="24"/>
          <w:szCs w:val="24"/>
          <w:u w:color="000000"/>
        </w:rPr>
        <w:tab/>
      </w:r>
      <w:r w:rsidR="00F24911">
        <w:rPr>
          <w:rFonts w:eastAsia="Arial Unicode MS"/>
          <w:sz w:val="24"/>
          <w:szCs w:val="24"/>
          <w:u w:color="000000"/>
        </w:rPr>
        <w:t>8</w:t>
      </w:r>
      <w:r>
        <w:rPr>
          <w:rFonts w:eastAsia="Arial Unicode MS"/>
          <w:sz w:val="24"/>
          <w:szCs w:val="24"/>
          <w:u w:color="000000"/>
        </w:rPr>
        <w:t>.</w:t>
      </w:r>
      <w:r>
        <w:rPr>
          <w:rFonts w:eastAsia="Arial Unicode MS"/>
          <w:sz w:val="24"/>
          <w:szCs w:val="24"/>
          <w:u w:color="000000"/>
        </w:rPr>
        <w:tab/>
      </w:r>
      <w:r w:rsidR="006060E7">
        <w:rPr>
          <w:rFonts w:eastAsia="Arial Unicode MS"/>
          <w:sz w:val="24"/>
          <w:szCs w:val="24"/>
          <w:u w:color="000000"/>
        </w:rPr>
        <w:t xml:space="preserve">MDN for </w:t>
      </w:r>
      <w:r w:rsidRPr="006060E7" w:rsidR="006060E7">
        <w:rPr>
          <w:rFonts w:eastAsia="Arial Unicode MS"/>
          <w:sz w:val="24"/>
          <w:szCs w:val="24"/>
          <w:u w:color="000000"/>
        </w:rPr>
        <w:t>Case Data During an Emergency Response</w:t>
      </w:r>
      <w:r w:rsidRPr="00330AA4">
        <w:rPr>
          <w:rFonts w:eastAsia="Arial Unicode MS"/>
          <w:sz w:val="24"/>
          <w:szCs w:val="24"/>
          <w:u w:color="000000"/>
        </w:rPr>
        <w:t xml:space="preserve"> Research Determination</w:t>
      </w:r>
    </w:p>
    <w:p w:rsidR="00330AA4" w:rsidRPr="00CC1CCC" w:rsidP="00330AA4" w14:paraId="3240B9C9" w14:textId="5549A7DD">
      <w:pPr>
        <w:tabs>
          <w:tab w:val="left" w:pos="720"/>
          <w:tab w:val="left" w:pos="1440"/>
        </w:tabs>
        <w:spacing w:line="360" w:lineRule="auto"/>
        <w:ind w:left="1440" w:hanging="1440"/>
        <w:rPr>
          <w:rFonts w:eastAsia="Arial Unicode MS"/>
          <w:sz w:val="24"/>
          <w:szCs w:val="24"/>
          <w:u w:color="000000"/>
        </w:rPr>
      </w:pPr>
      <w:r>
        <w:rPr>
          <w:rFonts w:eastAsia="Arial Unicode MS"/>
          <w:sz w:val="24"/>
          <w:szCs w:val="24"/>
          <w:u w:color="000000"/>
        </w:rPr>
        <w:tab/>
      </w:r>
      <w:r w:rsidR="00F24911">
        <w:rPr>
          <w:rFonts w:eastAsia="Arial Unicode MS"/>
          <w:sz w:val="24"/>
          <w:szCs w:val="24"/>
          <w:u w:color="000000"/>
        </w:rPr>
        <w:t>9</w:t>
      </w:r>
      <w:r w:rsidRPr="00330AA4">
        <w:rPr>
          <w:rFonts w:eastAsia="Arial Unicode MS"/>
          <w:sz w:val="24"/>
          <w:szCs w:val="24"/>
          <w:u w:color="000000"/>
        </w:rPr>
        <w:t xml:space="preserve">. </w:t>
      </w:r>
      <w:r w:rsidRPr="00330AA4">
        <w:rPr>
          <w:rFonts w:eastAsia="Arial Unicode MS"/>
          <w:sz w:val="24"/>
          <w:szCs w:val="24"/>
          <w:u w:color="000000"/>
        </w:rPr>
        <w:tab/>
        <w:t>Paperwork Reduction Act Burden Statement Screenshot</w:t>
      </w:r>
    </w:p>
    <w:p w:rsidR="00C80A34" w:rsidP="00C80A34" w14:paraId="70CACF80" w14:textId="77777777">
      <w:pPr>
        <w:tabs>
          <w:tab w:val="left" w:pos="0"/>
          <w:tab w:val="left" w:pos="720"/>
          <w:tab w:val="left" w:pos="1440"/>
        </w:tabs>
        <w:spacing w:line="360" w:lineRule="auto"/>
        <w:rPr>
          <w:rFonts w:eastAsia="Arial Unicode MS"/>
          <w:b/>
          <w:sz w:val="24"/>
          <w:szCs w:val="24"/>
          <w:u w:color="000000"/>
        </w:rPr>
      </w:pPr>
    </w:p>
    <w:p w:rsidR="002D635F" w:rsidRPr="0072690B" w:rsidP="002D635F" w14:paraId="107FC19F" w14:textId="1A31B420">
      <w:pPr>
        <w:pStyle w:val="Body1"/>
        <w:jc w:val="center"/>
        <w:rPr>
          <w:b/>
          <w:szCs w:val="24"/>
        </w:rPr>
      </w:pPr>
      <w:r w:rsidRPr="0604400D">
        <w:rPr>
          <w:b/>
          <w:bCs/>
        </w:rPr>
        <w:br w:type="page"/>
      </w:r>
      <w:r w:rsidRPr="0604400D" w:rsidR="00BF1A48">
        <w:rPr>
          <w:b/>
          <w:bCs/>
        </w:rPr>
        <w:t xml:space="preserve"> </w:t>
      </w:r>
      <w:r w:rsidRPr="0604400D" w:rsidR="00325DBF">
        <w:rPr>
          <w:b/>
          <w:bCs/>
        </w:rPr>
        <w:t>Minimal Data Necessary for Case Data During an Emergency Response</w:t>
      </w:r>
    </w:p>
    <w:p w:rsidR="008D7C72" w:rsidP="008D7C72" w14:paraId="1033AFEE" w14:textId="77777777">
      <w:pPr>
        <w:pStyle w:val="Body1"/>
        <w:jc w:val="center"/>
        <w:rPr>
          <w:b/>
          <w:szCs w:val="24"/>
        </w:rPr>
      </w:pPr>
    </w:p>
    <w:p w:rsidR="00CE103F" w:rsidP="008D7C72" w14:paraId="29F0F5A9" w14:textId="77777777">
      <w:pPr>
        <w:pStyle w:val="Body1"/>
        <w:jc w:val="center"/>
        <w:rPr>
          <w:b/>
          <w:szCs w:val="24"/>
        </w:rPr>
      </w:pPr>
      <w:r w:rsidRPr="00CE103F">
        <w:rPr>
          <w:b/>
          <w:noProof/>
          <w:color w:val="2B579A"/>
          <w:szCs w:val="24"/>
          <w:shd w:val="clear" w:color="auto" w:fill="E6E6E6"/>
        </w:rPr>
        <mc:AlternateContent>
          <mc:Choice Requires="wps">
            <w:drawing>
              <wp:anchor distT="45720" distB="45720" distL="114300" distR="114300" simplePos="0" relativeHeight="251658240" behindDoc="0" locked="0" layoutInCell="1" allowOverlap="1">
                <wp:simplePos x="0" y="0"/>
                <wp:positionH relativeFrom="margin">
                  <wp:posOffset>32385</wp:posOffset>
                </wp:positionH>
                <wp:positionV relativeFrom="paragraph">
                  <wp:posOffset>171450</wp:posOffset>
                </wp:positionV>
                <wp:extent cx="5476875" cy="6928485"/>
                <wp:effectExtent l="0" t="0" r="28575" b="2476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6875" cy="6928485"/>
                        </a:xfrm>
                        <a:prstGeom prst="rect">
                          <a:avLst/>
                        </a:prstGeom>
                        <a:solidFill>
                          <a:srgbClr val="FFFFFF"/>
                        </a:solidFill>
                        <a:ln w="9525">
                          <a:solidFill>
                            <a:srgbClr val="000000"/>
                          </a:solidFill>
                          <a:miter lim="800000"/>
                          <a:headEnd/>
                          <a:tailEnd/>
                        </a:ln>
                      </wps:spPr>
                      <wps:txbx>
                        <w:txbxContent>
                          <w:p w:rsidR="001664B1" w:rsidRPr="00A33C69" w:rsidP="00487A10" w14:textId="68CDA48B">
                            <w:pPr>
                              <w:pStyle w:val="Body1"/>
                              <w:rPr>
                                <w:szCs w:val="24"/>
                              </w:rPr>
                            </w:pPr>
                            <w:r w:rsidRPr="002F58E3">
                              <w:rPr>
                                <w:b/>
                                <w:bCs/>
                                <w:szCs w:val="24"/>
                              </w:rPr>
                              <w:t>Goal of the study</w:t>
                            </w:r>
                            <w:r w:rsidRPr="00DB64CB">
                              <w:rPr>
                                <w:szCs w:val="24"/>
                              </w:rPr>
                              <w:t xml:space="preserve">: </w:t>
                            </w:r>
                            <w:r>
                              <w:rPr>
                                <w:szCs w:val="24"/>
                              </w:rPr>
                              <w:t xml:space="preserve">The </w:t>
                            </w:r>
                            <w:r w:rsidRPr="001C4F23" w:rsidR="001C4F23">
                              <w:rPr>
                                <w:szCs w:val="24"/>
                              </w:rPr>
                              <w:t xml:space="preserve">Minimal Data Necessary </w:t>
                            </w:r>
                            <w:r w:rsidR="001C4F23">
                              <w:rPr>
                                <w:szCs w:val="24"/>
                              </w:rPr>
                              <w:t xml:space="preserve">(MDN) </w:t>
                            </w:r>
                            <w:r w:rsidRPr="001C4F23" w:rsidR="001C4F23">
                              <w:rPr>
                                <w:szCs w:val="24"/>
                              </w:rPr>
                              <w:t xml:space="preserve">for Case Data During an Emergency Response </w:t>
                            </w:r>
                            <w:r w:rsidR="005D4BFA">
                              <w:rPr>
                                <w:szCs w:val="24"/>
                              </w:rPr>
                              <w:t>g</w:t>
                            </w:r>
                            <w:r>
                              <w:rPr>
                                <w:szCs w:val="24"/>
                              </w:rPr>
                              <w:t xml:space="preserve">eneric </w:t>
                            </w:r>
                            <w:r w:rsidR="00B27FA7">
                              <w:rPr>
                                <w:szCs w:val="24"/>
                              </w:rPr>
                              <w:t xml:space="preserve">information collection request (ICR) </w:t>
                            </w:r>
                            <w:r>
                              <w:rPr>
                                <w:szCs w:val="24"/>
                              </w:rPr>
                              <w:t xml:space="preserve">is specifically designed to </w:t>
                            </w:r>
                            <w:r w:rsidRPr="00F71286" w:rsidR="00F71286">
                              <w:rPr>
                                <w:szCs w:val="24"/>
                              </w:rPr>
                              <w:t xml:space="preserve">collect the MDN and </w:t>
                            </w:r>
                            <w:r w:rsidR="00A00C85">
                              <w:rPr>
                                <w:szCs w:val="24"/>
                              </w:rPr>
                              <w:t>response-specific</w:t>
                            </w:r>
                            <w:r w:rsidRPr="00F71286" w:rsidR="00F71286">
                              <w:rPr>
                                <w:szCs w:val="24"/>
                              </w:rPr>
                              <w:t xml:space="preserve"> data as needed</w:t>
                            </w:r>
                            <w:r w:rsidR="00E6708C">
                              <w:rPr>
                                <w:szCs w:val="24"/>
                              </w:rPr>
                              <w:t>,</w:t>
                            </w:r>
                            <w:r w:rsidRPr="00F71286" w:rsidR="00F71286">
                              <w:rPr>
                                <w:szCs w:val="24"/>
                              </w:rPr>
                              <w:t xml:space="preserve"> for confirmed, probable, and suspected cases of any disease or condition that is the subject of a</w:t>
                            </w:r>
                            <w:r w:rsidR="00BF4A65">
                              <w:rPr>
                                <w:szCs w:val="24"/>
                              </w:rPr>
                              <w:t>n</w:t>
                            </w:r>
                            <w:r w:rsidRPr="00F71286" w:rsidR="00F71286">
                              <w:rPr>
                                <w:szCs w:val="24"/>
                              </w:rPr>
                              <w:t xml:space="preserve"> emergency response at CDC. </w:t>
                            </w:r>
                            <w:r w:rsidRPr="00CC4745" w:rsidR="00CC4745">
                              <w:rPr>
                                <w:szCs w:val="24"/>
                              </w:rPr>
                              <w:t xml:space="preserve">During an emergency response, CDC uses </w:t>
                            </w:r>
                            <w:r w:rsidR="00854970">
                              <w:rPr>
                                <w:szCs w:val="24"/>
                              </w:rPr>
                              <w:t xml:space="preserve">case </w:t>
                            </w:r>
                            <w:r w:rsidRPr="00CC4745" w:rsidR="00CC4745">
                              <w:rPr>
                                <w:szCs w:val="24"/>
                              </w:rPr>
                              <w:t xml:space="preserve">data to inform actions that need to be taken at all levels of public health and by the public. </w:t>
                            </w:r>
                            <w:r w:rsidR="00FB3261">
                              <w:rPr>
                                <w:szCs w:val="24"/>
                              </w:rPr>
                              <w:t>S</w:t>
                            </w:r>
                            <w:r w:rsidRPr="00CC4745" w:rsidR="00CC4745">
                              <w:rPr>
                                <w:szCs w:val="24"/>
                              </w:rPr>
                              <w:t>tate, tribal, local, and territorial (STLT) health departments and CDC need to exchange data on confirmed, probable, and suspected cases rapidly. Timely notification of cases from STLT to CDC is critical to provide situational awareness at the federal level to support decision making, particularly for public health threats that escalate quickly and cross jurisdictions</w:t>
                            </w:r>
                            <w:r w:rsidR="00FB3261">
                              <w:rPr>
                                <w:szCs w:val="24"/>
                              </w:rPr>
                              <w:t>.</w:t>
                            </w:r>
                            <w:r w:rsidR="00436351">
                              <w:rPr>
                                <w:szCs w:val="24"/>
                              </w:rPr>
                              <w:t xml:space="preserve"> C</w:t>
                            </w:r>
                            <w:r w:rsidRPr="00436351" w:rsidR="00436351">
                              <w:rPr>
                                <w:szCs w:val="24"/>
                              </w:rPr>
                              <w:t xml:space="preserve">ase data </w:t>
                            </w:r>
                            <w:r w:rsidR="00776599">
                              <w:rPr>
                                <w:szCs w:val="24"/>
                              </w:rPr>
                              <w:t xml:space="preserve">for each </w:t>
                            </w:r>
                            <w:r w:rsidR="00263F17">
                              <w:rPr>
                                <w:szCs w:val="24"/>
                              </w:rPr>
                              <w:t xml:space="preserve">generic information collection (GenIC) </w:t>
                            </w:r>
                            <w:r w:rsidRPr="00436351" w:rsidR="00436351">
                              <w:rPr>
                                <w:szCs w:val="24"/>
                              </w:rPr>
                              <w:t xml:space="preserve">will be collected for the duration of </w:t>
                            </w:r>
                            <w:r w:rsidR="00FA7751">
                              <w:rPr>
                                <w:szCs w:val="24"/>
                              </w:rPr>
                              <w:t>this generic ICR’s approval</w:t>
                            </w:r>
                            <w:r w:rsidRPr="00436351" w:rsidR="00436351">
                              <w:rPr>
                                <w:szCs w:val="24"/>
                              </w:rPr>
                              <w:t>.</w:t>
                            </w:r>
                            <w:r w:rsidR="000F7C72">
                              <w:rPr>
                                <w:szCs w:val="24"/>
                              </w:rPr>
                              <w:t xml:space="preserve"> </w:t>
                            </w:r>
                            <w:r w:rsidRPr="00A33C69">
                              <w:t xml:space="preserve">If collection </w:t>
                            </w:r>
                            <w:r w:rsidR="00F815CE">
                              <w:t xml:space="preserve">of case data </w:t>
                            </w:r>
                            <w:r w:rsidRPr="00A33C69">
                              <w:t xml:space="preserve">is required </w:t>
                            </w:r>
                            <w:r w:rsidR="00E8320E">
                              <w:t xml:space="preserve">after the </w:t>
                            </w:r>
                            <w:r w:rsidR="00FA7751">
                              <w:t xml:space="preserve">approval period for this </w:t>
                            </w:r>
                            <w:r w:rsidR="005E1334">
                              <w:t xml:space="preserve">generic </w:t>
                            </w:r>
                            <w:r w:rsidR="00FA7751">
                              <w:t>ICR is over, CDC will submit a new</w:t>
                            </w:r>
                            <w:r w:rsidR="00263F17">
                              <w:t xml:space="preserve"> GenIC</w:t>
                            </w:r>
                            <w:r w:rsidR="00326922">
                              <w:t>.</w:t>
                            </w:r>
                          </w:p>
                          <w:p w:rsidR="001664B1" w:rsidRPr="00A33C69" w14:textId="77777777">
                            <w:pPr>
                              <w:rPr>
                                <w:sz w:val="24"/>
                                <w:szCs w:val="24"/>
                              </w:rPr>
                            </w:pPr>
                          </w:p>
                          <w:p w:rsidR="001664B1" w14:textId="30E22F17">
                            <w:pPr>
                              <w:rPr>
                                <w:sz w:val="24"/>
                                <w:szCs w:val="24"/>
                              </w:rPr>
                            </w:pPr>
                            <w:r w:rsidRPr="00EA1D9F">
                              <w:rPr>
                                <w:b/>
                                <w:bCs/>
                                <w:sz w:val="24"/>
                                <w:szCs w:val="24"/>
                              </w:rPr>
                              <w:t>Intended use of the resulting data</w:t>
                            </w:r>
                            <w:r w:rsidRPr="00A33C69">
                              <w:rPr>
                                <w:sz w:val="24"/>
                                <w:szCs w:val="24"/>
                              </w:rPr>
                              <w:t xml:space="preserve">: </w:t>
                            </w:r>
                            <w:r w:rsidRPr="00EA6480" w:rsidR="00EA6480">
                              <w:rPr>
                                <w:sz w:val="24"/>
                                <w:szCs w:val="24"/>
                              </w:rPr>
                              <w:t>Data will be used for ongoing situational awareness and to monitor the occurrence and spread of the disease or condition. Other uses may include identifying populations or geographic areas at high risk; planning prevention and control programs and policies; and allocating resources appropriately. The data may also be used by CDC to obtain travel histories and other information to describe and manage outbreaks and conduct public health follow-up to minimize the spread of disease.</w:t>
                            </w:r>
                          </w:p>
                          <w:p w:rsidR="00EA6480" w:rsidRPr="00A33C69" w14:textId="77777777">
                            <w:pPr>
                              <w:rPr>
                                <w:sz w:val="24"/>
                                <w:szCs w:val="24"/>
                              </w:rPr>
                            </w:pPr>
                          </w:p>
                          <w:p w:rsidR="001664B1" w14:textId="2136AB01">
                            <w:pPr>
                              <w:rPr>
                                <w:sz w:val="24"/>
                                <w:szCs w:val="24"/>
                              </w:rPr>
                            </w:pPr>
                            <w:r w:rsidRPr="00641E11">
                              <w:rPr>
                                <w:b/>
                                <w:bCs/>
                                <w:sz w:val="24"/>
                                <w:szCs w:val="24"/>
                              </w:rPr>
                              <w:t>Methods to be used to collect:</w:t>
                            </w:r>
                            <w:r w:rsidRPr="00A33C69">
                              <w:rPr>
                                <w:sz w:val="24"/>
                                <w:szCs w:val="24"/>
                              </w:rPr>
                              <w:t xml:space="preserve"> </w:t>
                            </w:r>
                            <w:r w:rsidRPr="003322F1" w:rsidR="003322F1">
                              <w:rPr>
                                <w:sz w:val="24"/>
                                <w:szCs w:val="24"/>
                              </w:rPr>
                              <w:t xml:space="preserve">Data </w:t>
                            </w:r>
                            <w:r w:rsidR="00F11D45">
                              <w:rPr>
                                <w:sz w:val="24"/>
                                <w:szCs w:val="24"/>
                              </w:rPr>
                              <w:t>will</w:t>
                            </w:r>
                            <w:r w:rsidRPr="003322F1" w:rsidR="003322F1">
                              <w:rPr>
                                <w:sz w:val="24"/>
                                <w:szCs w:val="24"/>
                              </w:rPr>
                              <w:t xml:space="preserve"> be sent to CDC by STLT health </w:t>
                            </w:r>
                            <w:r w:rsidR="00B95ABA">
                              <w:rPr>
                                <w:sz w:val="24"/>
                                <w:szCs w:val="24"/>
                              </w:rPr>
                              <w:t>department</w:t>
                            </w:r>
                            <w:r w:rsidRPr="003322F1" w:rsidR="003322F1">
                              <w:rPr>
                                <w:sz w:val="24"/>
                                <w:szCs w:val="24"/>
                              </w:rPr>
                              <w:t xml:space="preserve">s through </w:t>
                            </w:r>
                            <w:r w:rsidR="00FB7B21">
                              <w:rPr>
                                <w:sz w:val="24"/>
                                <w:szCs w:val="24"/>
                              </w:rPr>
                              <w:t xml:space="preserve">the </w:t>
                            </w:r>
                            <w:r w:rsidRPr="003322F1" w:rsidR="003322F1">
                              <w:rPr>
                                <w:sz w:val="24"/>
                                <w:szCs w:val="24"/>
                              </w:rPr>
                              <w:t>Data Collation and Integration for Public Health Event Response (DCIPHER)</w:t>
                            </w:r>
                            <w:r w:rsidR="00FB7B21">
                              <w:rPr>
                                <w:sz w:val="24"/>
                                <w:szCs w:val="24"/>
                              </w:rPr>
                              <w:t xml:space="preserve"> system</w:t>
                            </w:r>
                            <w:r w:rsidR="009D3ABF">
                              <w:rPr>
                                <w:sz w:val="24"/>
                                <w:szCs w:val="24"/>
                              </w:rPr>
                              <w:t xml:space="preserve">. </w:t>
                            </w:r>
                            <w:r w:rsidR="009D4FE8">
                              <w:rPr>
                                <w:sz w:val="24"/>
                                <w:szCs w:val="24"/>
                              </w:rPr>
                              <w:t>O</w:t>
                            </w:r>
                            <w:r w:rsidRPr="003322F1" w:rsidR="003322F1">
                              <w:rPr>
                                <w:sz w:val="24"/>
                                <w:szCs w:val="24"/>
                              </w:rPr>
                              <w:t>ther automated or non-automated mechanisms including but not limited to fax, email, secure file upload, and data entry to a secure website</w:t>
                            </w:r>
                            <w:r w:rsidR="009D4FE8">
                              <w:rPr>
                                <w:sz w:val="24"/>
                                <w:szCs w:val="24"/>
                              </w:rPr>
                              <w:t xml:space="preserve"> may also be used under limited circumstances</w:t>
                            </w:r>
                            <w:r w:rsidRPr="003322F1" w:rsidR="003322F1">
                              <w:rPr>
                                <w:sz w:val="24"/>
                                <w:szCs w:val="24"/>
                              </w:rPr>
                              <w:t>.</w:t>
                            </w:r>
                          </w:p>
                          <w:p w:rsidR="00583B53" w:rsidRPr="00A33C69" w14:textId="77777777">
                            <w:pPr>
                              <w:rPr>
                                <w:sz w:val="24"/>
                                <w:szCs w:val="24"/>
                              </w:rPr>
                            </w:pPr>
                          </w:p>
                          <w:p w:rsidR="001664B1" w14:textId="3B97309B">
                            <w:pPr>
                              <w:rPr>
                                <w:sz w:val="24"/>
                                <w:szCs w:val="24"/>
                              </w:rPr>
                            </w:pPr>
                            <w:r w:rsidRPr="00641E11">
                              <w:rPr>
                                <w:b/>
                                <w:bCs/>
                                <w:sz w:val="24"/>
                                <w:szCs w:val="24"/>
                              </w:rPr>
                              <w:t>The subpopulation to be studied</w:t>
                            </w:r>
                            <w:r w:rsidRPr="00A33C69">
                              <w:rPr>
                                <w:sz w:val="24"/>
                                <w:szCs w:val="24"/>
                              </w:rPr>
                              <w:t xml:space="preserve">: </w:t>
                            </w:r>
                            <w:r w:rsidRPr="004A017F" w:rsidR="004A017F">
                              <w:rPr>
                                <w:sz w:val="24"/>
                                <w:szCs w:val="24"/>
                              </w:rPr>
                              <w:t>The respondent population consists of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w:t>
                            </w:r>
                          </w:p>
                          <w:p w:rsidR="004A017F" w:rsidRPr="00F3486C" w14:textId="77777777">
                            <w:pPr>
                              <w:rPr>
                                <w:sz w:val="24"/>
                                <w:szCs w:val="24"/>
                              </w:rPr>
                            </w:pPr>
                          </w:p>
                          <w:p w:rsidR="001664B1" w:rsidRPr="00F3486C" w14:textId="09C47B04">
                            <w:pPr>
                              <w:rPr>
                                <w:sz w:val="24"/>
                                <w:szCs w:val="24"/>
                              </w:rPr>
                            </w:pPr>
                            <w:r w:rsidRPr="00EC0D17">
                              <w:rPr>
                                <w:b/>
                                <w:bCs/>
                                <w:sz w:val="24"/>
                                <w:szCs w:val="24"/>
                              </w:rPr>
                              <w:t>How data will be analyzed</w:t>
                            </w:r>
                            <w:r w:rsidRPr="00F3486C">
                              <w:rPr>
                                <w:sz w:val="24"/>
                                <w:szCs w:val="24"/>
                              </w:rPr>
                              <w:t xml:space="preserve">: </w:t>
                            </w:r>
                            <w:r w:rsidRPr="00FE36CC" w:rsidR="00FE36CC">
                              <w:rPr>
                                <w:sz w:val="24"/>
                                <w:szCs w:val="24"/>
                              </w:rPr>
                              <w:t>Case counts will be aggregated by various demographic and geographic factors.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31.25pt;height:545.55pt;margin-top:13.5pt;margin-left:2.5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664B1" w:rsidRPr="00A33C69" w:rsidP="00487A10" w14:paraId="542FF547" w14:textId="68CDA48B">
                      <w:pPr>
                        <w:pStyle w:val="Body1"/>
                        <w:rPr>
                          <w:szCs w:val="24"/>
                        </w:rPr>
                      </w:pPr>
                      <w:r w:rsidRPr="002F58E3">
                        <w:rPr>
                          <w:b/>
                          <w:bCs/>
                          <w:szCs w:val="24"/>
                        </w:rPr>
                        <w:t>Goal of the study</w:t>
                      </w:r>
                      <w:r w:rsidRPr="00DB64CB">
                        <w:rPr>
                          <w:szCs w:val="24"/>
                        </w:rPr>
                        <w:t xml:space="preserve">: </w:t>
                      </w:r>
                      <w:r>
                        <w:rPr>
                          <w:szCs w:val="24"/>
                        </w:rPr>
                        <w:t xml:space="preserve">The </w:t>
                      </w:r>
                      <w:r w:rsidRPr="001C4F23" w:rsidR="001C4F23">
                        <w:rPr>
                          <w:szCs w:val="24"/>
                        </w:rPr>
                        <w:t xml:space="preserve">Minimal Data Necessary </w:t>
                      </w:r>
                      <w:r w:rsidR="001C4F23">
                        <w:rPr>
                          <w:szCs w:val="24"/>
                        </w:rPr>
                        <w:t xml:space="preserve">(MDN) </w:t>
                      </w:r>
                      <w:r w:rsidRPr="001C4F23" w:rsidR="001C4F23">
                        <w:rPr>
                          <w:szCs w:val="24"/>
                        </w:rPr>
                        <w:t xml:space="preserve">for Case Data During an Emergency Response </w:t>
                      </w:r>
                      <w:r w:rsidR="005D4BFA">
                        <w:rPr>
                          <w:szCs w:val="24"/>
                        </w:rPr>
                        <w:t>g</w:t>
                      </w:r>
                      <w:r>
                        <w:rPr>
                          <w:szCs w:val="24"/>
                        </w:rPr>
                        <w:t xml:space="preserve">eneric </w:t>
                      </w:r>
                      <w:r w:rsidR="00B27FA7">
                        <w:rPr>
                          <w:szCs w:val="24"/>
                        </w:rPr>
                        <w:t xml:space="preserve">information collection request (ICR) </w:t>
                      </w:r>
                      <w:r>
                        <w:rPr>
                          <w:szCs w:val="24"/>
                        </w:rPr>
                        <w:t xml:space="preserve">is specifically designed to </w:t>
                      </w:r>
                      <w:r w:rsidRPr="00F71286" w:rsidR="00F71286">
                        <w:rPr>
                          <w:szCs w:val="24"/>
                        </w:rPr>
                        <w:t xml:space="preserve">collect the MDN and </w:t>
                      </w:r>
                      <w:r w:rsidR="00A00C85">
                        <w:rPr>
                          <w:szCs w:val="24"/>
                        </w:rPr>
                        <w:t>response-specific</w:t>
                      </w:r>
                      <w:r w:rsidRPr="00F71286" w:rsidR="00F71286">
                        <w:rPr>
                          <w:szCs w:val="24"/>
                        </w:rPr>
                        <w:t xml:space="preserve"> data as needed</w:t>
                      </w:r>
                      <w:r w:rsidR="00E6708C">
                        <w:rPr>
                          <w:szCs w:val="24"/>
                        </w:rPr>
                        <w:t>,</w:t>
                      </w:r>
                      <w:r w:rsidRPr="00F71286" w:rsidR="00F71286">
                        <w:rPr>
                          <w:szCs w:val="24"/>
                        </w:rPr>
                        <w:t xml:space="preserve"> for confirmed, probable, and suspected cases of any disease or condition that is the subject of a</w:t>
                      </w:r>
                      <w:r w:rsidR="00BF4A65">
                        <w:rPr>
                          <w:szCs w:val="24"/>
                        </w:rPr>
                        <w:t>n</w:t>
                      </w:r>
                      <w:r w:rsidRPr="00F71286" w:rsidR="00F71286">
                        <w:rPr>
                          <w:szCs w:val="24"/>
                        </w:rPr>
                        <w:t xml:space="preserve"> emergency response at CDC. </w:t>
                      </w:r>
                      <w:r w:rsidRPr="00CC4745" w:rsidR="00CC4745">
                        <w:rPr>
                          <w:szCs w:val="24"/>
                        </w:rPr>
                        <w:t xml:space="preserve">During an emergency response, CDC uses </w:t>
                      </w:r>
                      <w:r w:rsidR="00854970">
                        <w:rPr>
                          <w:szCs w:val="24"/>
                        </w:rPr>
                        <w:t xml:space="preserve">case </w:t>
                      </w:r>
                      <w:r w:rsidRPr="00CC4745" w:rsidR="00CC4745">
                        <w:rPr>
                          <w:szCs w:val="24"/>
                        </w:rPr>
                        <w:t xml:space="preserve">data to inform actions that need to be taken at all levels of public health and by the public. </w:t>
                      </w:r>
                      <w:r w:rsidR="00FB3261">
                        <w:rPr>
                          <w:szCs w:val="24"/>
                        </w:rPr>
                        <w:t>S</w:t>
                      </w:r>
                      <w:r w:rsidRPr="00CC4745" w:rsidR="00CC4745">
                        <w:rPr>
                          <w:szCs w:val="24"/>
                        </w:rPr>
                        <w:t>tate, tribal, local, and territorial (STLT) health departments and CDC need to exchange data on confirmed, probable, and suspected cases rapidly. Timely notification of cases from STLT to CDC is critical to provide situational awareness at the federal level to support decision making, particularly for public health threats that escalate quickly and cross jurisdictions</w:t>
                      </w:r>
                      <w:r w:rsidR="00FB3261">
                        <w:rPr>
                          <w:szCs w:val="24"/>
                        </w:rPr>
                        <w:t>.</w:t>
                      </w:r>
                      <w:r w:rsidR="00436351">
                        <w:rPr>
                          <w:szCs w:val="24"/>
                        </w:rPr>
                        <w:t xml:space="preserve"> C</w:t>
                      </w:r>
                      <w:r w:rsidRPr="00436351" w:rsidR="00436351">
                        <w:rPr>
                          <w:szCs w:val="24"/>
                        </w:rPr>
                        <w:t xml:space="preserve">ase data </w:t>
                      </w:r>
                      <w:r w:rsidR="00776599">
                        <w:rPr>
                          <w:szCs w:val="24"/>
                        </w:rPr>
                        <w:t xml:space="preserve">for each </w:t>
                      </w:r>
                      <w:r w:rsidR="00263F17">
                        <w:rPr>
                          <w:szCs w:val="24"/>
                        </w:rPr>
                        <w:t xml:space="preserve">generic information collection (GenIC) </w:t>
                      </w:r>
                      <w:r w:rsidRPr="00436351" w:rsidR="00436351">
                        <w:rPr>
                          <w:szCs w:val="24"/>
                        </w:rPr>
                        <w:t xml:space="preserve">will be collected for the duration of </w:t>
                      </w:r>
                      <w:r w:rsidR="00FA7751">
                        <w:rPr>
                          <w:szCs w:val="24"/>
                        </w:rPr>
                        <w:t>this generic ICR’s approval</w:t>
                      </w:r>
                      <w:r w:rsidRPr="00436351" w:rsidR="00436351">
                        <w:rPr>
                          <w:szCs w:val="24"/>
                        </w:rPr>
                        <w:t>.</w:t>
                      </w:r>
                      <w:r w:rsidR="000F7C72">
                        <w:rPr>
                          <w:szCs w:val="24"/>
                        </w:rPr>
                        <w:t xml:space="preserve"> </w:t>
                      </w:r>
                      <w:r w:rsidRPr="00A33C69">
                        <w:t xml:space="preserve">If collection </w:t>
                      </w:r>
                      <w:r w:rsidR="00F815CE">
                        <w:t xml:space="preserve">of case data </w:t>
                      </w:r>
                      <w:r w:rsidRPr="00A33C69">
                        <w:t xml:space="preserve">is required </w:t>
                      </w:r>
                      <w:r w:rsidR="00E8320E">
                        <w:t xml:space="preserve">after the </w:t>
                      </w:r>
                      <w:r w:rsidR="00FA7751">
                        <w:t xml:space="preserve">approval period for this </w:t>
                      </w:r>
                      <w:r w:rsidR="005E1334">
                        <w:t xml:space="preserve">generic </w:t>
                      </w:r>
                      <w:r w:rsidR="00FA7751">
                        <w:t>ICR is over, CDC will submit a new</w:t>
                      </w:r>
                      <w:r w:rsidR="00263F17">
                        <w:t xml:space="preserve"> GenIC</w:t>
                      </w:r>
                      <w:r w:rsidR="00326922">
                        <w:t>.</w:t>
                      </w:r>
                    </w:p>
                    <w:p w:rsidR="001664B1" w:rsidRPr="00A33C69" w14:paraId="4EE17723" w14:textId="77777777">
                      <w:pPr>
                        <w:rPr>
                          <w:sz w:val="24"/>
                          <w:szCs w:val="24"/>
                        </w:rPr>
                      </w:pPr>
                    </w:p>
                    <w:p w:rsidR="001664B1" w14:paraId="50BB3701" w14:textId="30E22F17">
                      <w:pPr>
                        <w:rPr>
                          <w:sz w:val="24"/>
                          <w:szCs w:val="24"/>
                        </w:rPr>
                      </w:pPr>
                      <w:r w:rsidRPr="00EA1D9F">
                        <w:rPr>
                          <w:b/>
                          <w:bCs/>
                          <w:sz w:val="24"/>
                          <w:szCs w:val="24"/>
                        </w:rPr>
                        <w:t>Intended use of the resulting data</w:t>
                      </w:r>
                      <w:r w:rsidRPr="00A33C69">
                        <w:rPr>
                          <w:sz w:val="24"/>
                          <w:szCs w:val="24"/>
                        </w:rPr>
                        <w:t xml:space="preserve">: </w:t>
                      </w:r>
                      <w:r w:rsidRPr="00EA6480" w:rsidR="00EA6480">
                        <w:rPr>
                          <w:sz w:val="24"/>
                          <w:szCs w:val="24"/>
                        </w:rPr>
                        <w:t>Data will be used for ongoing situational awareness and to monitor the occurrence and spread of the disease or condition. Other uses may include identifying populations or geographic areas at high risk; planning prevention and control programs and policies; and allocating resources appropriately. The data may also be used by CDC to obtain travel histories and other information to describe and manage outbreaks and conduct public health follow-up to minimize the spread of disease.</w:t>
                      </w:r>
                    </w:p>
                    <w:p w:rsidR="00EA6480" w:rsidRPr="00A33C69" w14:paraId="65975579" w14:textId="77777777">
                      <w:pPr>
                        <w:rPr>
                          <w:sz w:val="24"/>
                          <w:szCs w:val="24"/>
                        </w:rPr>
                      </w:pPr>
                    </w:p>
                    <w:p w:rsidR="001664B1" w14:paraId="7ECBBE0D" w14:textId="2136AB01">
                      <w:pPr>
                        <w:rPr>
                          <w:sz w:val="24"/>
                          <w:szCs w:val="24"/>
                        </w:rPr>
                      </w:pPr>
                      <w:r w:rsidRPr="00641E11">
                        <w:rPr>
                          <w:b/>
                          <w:bCs/>
                          <w:sz w:val="24"/>
                          <w:szCs w:val="24"/>
                        </w:rPr>
                        <w:t>Methods to be used to collect:</w:t>
                      </w:r>
                      <w:r w:rsidRPr="00A33C69">
                        <w:rPr>
                          <w:sz w:val="24"/>
                          <w:szCs w:val="24"/>
                        </w:rPr>
                        <w:t xml:space="preserve"> </w:t>
                      </w:r>
                      <w:r w:rsidRPr="003322F1" w:rsidR="003322F1">
                        <w:rPr>
                          <w:sz w:val="24"/>
                          <w:szCs w:val="24"/>
                        </w:rPr>
                        <w:t xml:space="preserve">Data </w:t>
                      </w:r>
                      <w:r w:rsidR="00F11D45">
                        <w:rPr>
                          <w:sz w:val="24"/>
                          <w:szCs w:val="24"/>
                        </w:rPr>
                        <w:t>will</w:t>
                      </w:r>
                      <w:r w:rsidRPr="003322F1" w:rsidR="003322F1">
                        <w:rPr>
                          <w:sz w:val="24"/>
                          <w:szCs w:val="24"/>
                        </w:rPr>
                        <w:t xml:space="preserve"> be sent to CDC by STLT health </w:t>
                      </w:r>
                      <w:r w:rsidR="00B95ABA">
                        <w:rPr>
                          <w:sz w:val="24"/>
                          <w:szCs w:val="24"/>
                        </w:rPr>
                        <w:t>department</w:t>
                      </w:r>
                      <w:r w:rsidRPr="003322F1" w:rsidR="003322F1">
                        <w:rPr>
                          <w:sz w:val="24"/>
                          <w:szCs w:val="24"/>
                        </w:rPr>
                        <w:t xml:space="preserve">s through </w:t>
                      </w:r>
                      <w:r w:rsidR="00FB7B21">
                        <w:rPr>
                          <w:sz w:val="24"/>
                          <w:szCs w:val="24"/>
                        </w:rPr>
                        <w:t xml:space="preserve">the </w:t>
                      </w:r>
                      <w:r w:rsidRPr="003322F1" w:rsidR="003322F1">
                        <w:rPr>
                          <w:sz w:val="24"/>
                          <w:szCs w:val="24"/>
                        </w:rPr>
                        <w:t>Data Collation and Integration for Public Health Event Response (DCIPHER)</w:t>
                      </w:r>
                      <w:r w:rsidR="00FB7B21">
                        <w:rPr>
                          <w:sz w:val="24"/>
                          <w:szCs w:val="24"/>
                        </w:rPr>
                        <w:t xml:space="preserve"> system</w:t>
                      </w:r>
                      <w:r w:rsidR="009D3ABF">
                        <w:rPr>
                          <w:sz w:val="24"/>
                          <w:szCs w:val="24"/>
                        </w:rPr>
                        <w:t xml:space="preserve">. </w:t>
                      </w:r>
                      <w:r w:rsidR="009D4FE8">
                        <w:rPr>
                          <w:sz w:val="24"/>
                          <w:szCs w:val="24"/>
                        </w:rPr>
                        <w:t>O</w:t>
                      </w:r>
                      <w:r w:rsidRPr="003322F1" w:rsidR="003322F1">
                        <w:rPr>
                          <w:sz w:val="24"/>
                          <w:szCs w:val="24"/>
                        </w:rPr>
                        <w:t>ther automated or non-automated mechanisms including but not limited to fax, email, secure file upload, and data entry to a secure website</w:t>
                      </w:r>
                      <w:r w:rsidR="009D4FE8">
                        <w:rPr>
                          <w:sz w:val="24"/>
                          <w:szCs w:val="24"/>
                        </w:rPr>
                        <w:t xml:space="preserve"> may also be used under limited circumstances</w:t>
                      </w:r>
                      <w:r w:rsidRPr="003322F1" w:rsidR="003322F1">
                        <w:rPr>
                          <w:sz w:val="24"/>
                          <w:szCs w:val="24"/>
                        </w:rPr>
                        <w:t>.</w:t>
                      </w:r>
                    </w:p>
                    <w:p w:rsidR="00583B53" w:rsidRPr="00A33C69" w14:paraId="0C22BBA9" w14:textId="77777777">
                      <w:pPr>
                        <w:rPr>
                          <w:sz w:val="24"/>
                          <w:szCs w:val="24"/>
                        </w:rPr>
                      </w:pPr>
                    </w:p>
                    <w:p w:rsidR="001664B1" w14:paraId="64CAF6C5" w14:textId="3B97309B">
                      <w:pPr>
                        <w:rPr>
                          <w:sz w:val="24"/>
                          <w:szCs w:val="24"/>
                        </w:rPr>
                      </w:pPr>
                      <w:r w:rsidRPr="00641E11">
                        <w:rPr>
                          <w:b/>
                          <w:bCs/>
                          <w:sz w:val="24"/>
                          <w:szCs w:val="24"/>
                        </w:rPr>
                        <w:t>The subpopulation to be studied</w:t>
                      </w:r>
                      <w:r w:rsidRPr="00A33C69">
                        <w:rPr>
                          <w:sz w:val="24"/>
                          <w:szCs w:val="24"/>
                        </w:rPr>
                        <w:t xml:space="preserve">: </w:t>
                      </w:r>
                      <w:r w:rsidRPr="004A017F" w:rsidR="004A017F">
                        <w:rPr>
                          <w:sz w:val="24"/>
                          <w:szCs w:val="24"/>
                        </w:rPr>
                        <w:t>The respondent population consists of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w:t>
                      </w:r>
                    </w:p>
                    <w:p w:rsidR="004A017F" w:rsidRPr="00F3486C" w14:paraId="18DA0009" w14:textId="77777777">
                      <w:pPr>
                        <w:rPr>
                          <w:sz w:val="24"/>
                          <w:szCs w:val="24"/>
                        </w:rPr>
                      </w:pPr>
                    </w:p>
                    <w:p w:rsidR="001664B1" w:rsidRPr="00F3486C" w14:paraId="4949284E" w14:textId="09C47B04">
                      <w:pPr>
                        <w:rPr>
                          <w:sz w:val="24"/>
                          <w:szCs w:val="24"/>
                        </w:rPr>
                      </w:pPr>
                      <w:r w:rsidRPr="00EC0D17">
                        <w:rPr>
                          <w:b/>
                          <w:bCs/>
                          <w:sz w:val="24"/>
                          <w:szCs w:val="24"/>
                        </w:rPr>
                        <w:t>How data will be analyzed</w:t>
                      </w:r>
                      <w:r w:rsidRPr="00F3486C">
                        <w:rPr>
                          <w:sz w:val="24"/>
                          <w:szCs w:val="24"/>
                        </w:rPr>
                        <w:t xml:space="preserve">: </w:t>
                      </w:r>
                      <w:r w:rsidRPr="00FE36CC" w:rsidR="00FE36CC">
                        <w:rPr>
                          <w:sz w:val="24"/>
                          <w:szCs w:val="24"/>
                        </w:rPr>
                        <w:t>Case counts will be aggregated by various demographic and geographic factors.</w:t>
                      </w:r>
                    </w:p>
                  </w:txbxContent>
                </v:textbox>
                <w10:wrap type="square"/>
              </v:shape>
            </w:pict>
          </mc:Fallback>
        </mc:AlternateContent>
      </w:r>
    </w:p>
    <w:p w:rsidR="00CE103F" w:rsidRPr="00784C67" w:rsidP="008D7C72" w14:paraId="1C0D10B7" w14:textId="77777777">
      <w:pPr>
        <w:pStyle w:val="Body1"/>
        <w:jc w:val="center"/>
        <w:rPr>
          <w:b/>
          <w:szCs w:val="24"/>
        </w:rPr>
      </w:pPr>
    </w:p>
    <w:p w:rsidR="00CE103F" w:rsidP="008D7C72" w14:paraId="3C46F86C" w14:textId="77777777">
      <w:pPr>
        <w:pStyle w:val="Body1"/>
        <w:numPr>
          <w:ilvl w:val="0"/>
          <w:numId w:val="2"/>
        </w:numPr>
        <w:tabs>
          <w:tab w:val="num" w:pos="0"/>
        </w:tabs>
        <w:rPr>
          <w:b/>
          <w:szCs w:val="24"/>
          <w:u w:val="single"/>
        </w:rPr>
      </w:pPr>
    </w:p>
    <w:p w:rsidR="00CE103F" w:rsidP="008D7C72" w14:paraId="09B52D11" w14:textId="77777777">
      <w:pPr>
        <w:pStyle w:val="Body1"/>
        <w:numPr>
          <w:ilvl w:val="0"/>
          <w:numId w:val="2"/>
        </w:numPr>
        <w:tabs>
          <w:tab w:val="num" w:pos="0"/>
        </w:tabs>
        <w:rPr>
          <w:b/>
          <w:szCs w:val="24"/>
          <w:u w:val="single"/>
        </w:rPr>
      </w:pPr>
    </w:p>
    <w:p w:rsidR="00CE103F" w:rsidP="008D7C72" w14:paraId="068E92E3" w14:textId="77777777">
      <w:pPr>
        <w:pStyle w:val="Body1"/>
        <w:numPr>
          <w:ilvl w:val="0"/>
          <w:numId w:val="2"/>
        </w:numPr>
        <w:tabs>
          <w:tab w:val="num" w:pos="0"/>
        </w:tabs>
        <w:rPr>
          <w:b/>
          <w:szCs w:val="24"/>
          <w:u w:val="single"/>
        </w:rPr>
      </w:pPr>
    </w:p>
    <w:p w:rsidR="00CE103F" w:rsidP="008D7C72" w14:paraId="26A5BA4D" w14:textId="77777777">
      <w:pPr>
        <w:pStyle w:val="Body1"/>
        <w:numPr>
          <w:ilvl w:val="0"/>
          <w:numId w:val="2"/>
        </w:numPr>
        <w:tabs>
          <w:tab w:val="num" w:pos="0"/>
        </w:tabs>
        <w:rPr>
          <w:b/>
          <w:szCs w:val="24"/>
          <w:u w:val="single"/>
        </w:rPr>
      </w:pPr>
    </w:p>
    <w:p w:rsidR="00CE103F" w:rsidP="008D7C72" w14:paraId="3EE8D96A" w14:textId="77777777">
      <w:pPr>
        <w:pStyle w:val="Body1"/>
        <w:numPr>
          <w:ilvl w:val="0"/>
          <w:numId w:val="2"/>
        </w:numPr>
        <w:tabs>
          <w:tab w:val="num" w:pos="0"/>
        </w:tabs>
        <w:rPr>
          <w:b/>
          <w:szCs w:val="24"/>
          <w:u w:val="single"/>
        </w:rPr>
      </w:pPr>
    </w:p>
    <w:p w:rsidR="00CE103F" w:rsidP="008D7C72" w14:paraId="05E98F41" w14:textId="77777777">
      <w:pPr>
        <w:pStyle w:val="Body1"/>
        <w:numPr>
          <w:ilvl w:val="0"/>
          <w:numId w:val="2"/>
        </w:numPr>
        <w:tabs>
          <w:tab w:val="num" w:pos="0"/>
        </w:tabs>
        <w:rPr>
          <w:b/>
          <w:szCs w:val="24"/>
          <w:u w:val="single"/>
        </w:rPr>
      </w:pPr>
    </w:p>
    <w:p w:rsidR="00CE103F" w:rsidP="008D7C72" w14:paraId="6C29589F" w14:textId="77777777">
      <w:pPr>
        <w:pStyle w:val="Body1"/>
        <w:numPr>
          <w:ilvl w:val="0"/>
          <w:numId w:val="2"/>
        </w:numPr>
        <w:tabs>
          <w:tab w:val="num" w:pos="0"/>
        </w:tabs>
        <w:rPr>
          <w:b/>
          <w:szCs w:val="24"/>
          <w:u w:val="single"/>
        </w:rPr>
      </w:pPr>
    </w:p>
    <w:p w:rsidR="00CE103F" w:rsidP="008D7C72" w14:paraId="0939CBD1" w14:textId="77777777">
      <w:pPr>
        <w:pStyle w:val="Body1"/>
        <w:numPr>
          <w:ilvl w:val="0"/>
          <w:numId w:val="2"/>
        </w:numPr>
        <w:tabs>
          <w:tab w:val="num" w:pos="0"/>
        </w:tabs>
        <w:rPr>
          <w:b/>
          <w:szCs w:val="24"/>
          <w:u w:val="single"/>
        </w:rPr>
      </w:pPr>
    </w:p>
    <w:p w:rsidR="00CE103F" w:rsidP="008D7C72" w14:paraId="094CD4BD" w14:textId="77777777">
      <w:pPr>
        <w:pStyle w:val="Body1"/>
        <w:numPr>
          <w:ilvl w:val="0"/>
          <w:numId w:val="2"/>
        </w:numPr>
        <w:tabs>
          <w:tab w:val="num" w:pos="0"/>
        </w:tabs>
        <w:rPr>
          <w:b/>
          <w:szCs w:val="24"/>
          <w:u w:val="single"/>
        </w:rPr>
      </w:pPr>
    </w:p>
    <w:p w:rsidR="00CE103F" w:rsidP="008D7C72" w14:paraId="638A18E5" w14:textId="77777777">
      <w:pPr>
        <w:pStyle w:val="Body1"/>
        <w:numPr>
          <w:ilvl w:val="0"/>
          <w:numId w:val="2"/>
        </w:numPr>
        <w:tabs>
          <w:tab w:val="num" w:pos="0"/>
        </w:tabs>
        <w:rPr>
          <w:b/>
          <w:szCs w:val="24"/>
          <w:u w:val="single"/>
        </w:rPr>
      </w:pPr>
    </w:p>
    <w:p w:rsidR="00A33C69" w:rsidP="00CE103F" w14:paraId="43E9F8E9" w14:textId="77777777">
      <w:pPr>
        <w:pStyle w:val="Body1"/>
        <w:numPr>
          <w:ilvl w:val="0"/>
          <w:numId w:val="2"/>
        </w:numPr>
        <w:tabs>
          <w:tab w:val="num" w:pos="0"/>
        </w:tabs>
        <w:rPr>
          <w:b/>
          <w:szCs w:val="24"/>
        </w:rPr>
      </w:pPr>
    </w:p>
    <w:p w:rsidR="00A33C69" w:rsidP="00CE103F" w14:paraId="01FED5D2" w14:textId="77777777">
      <w:pPr>
        <w:pStyle w:val="Body1"/>
        <w:numPr>
          <w:ilvl w:val="0"/>
          <w:numId w:val="2"/>
        </w:numPr>
        <w:tabs>
          <w:tab w:val="num" w:pos="0"/>
        </w:tabs>
        <w:rPr>
          <w:b/>
          <w:szCs w:val="24"/>
        </w:rPr>
      </w:pPr>
    </w:p>
    <w:p w:rsidR="009C6DFD" w:rsidRPr="009C6DFD" w:rsidP="009C6DFD" w14:paraId="285D7E3B" w14:textId="77777777"/>
    <w:p w:rsidR="009C6DFD" w:rsidRPr="009C6DFD" w:rsidP="009C6DFD" w14:paraId="25C065F8" w14:textId="77777777"/>
    <w:p w:rsidR="009C6DFD" w:rsidRPr="009C6DFD" w:rsidP="009C6DFD" w14:paraId="61149EFA" w14:textId="77777777"/>
    <w:p w:rsidR="009C6DFD" w:rsidRPr="009C6DFD" w:rsidP="009C6DFD" w14:paraId="6F23CC63" w14:textId="77777777"/>
    <w:p w:rsidR="009C6DFD" w:rsidRPr="009C6DFD" w:rsidP="009C6DFD" w14:paraId="4B64DD90" w14:textId="77777777"/>
    <w:p w:rsidR="009C6DFD" w:rsidRPr="009C6DFD" w:rsidP="009C6DFD" w14:paraId="7794B0DB" w14:textId="77777777"/>
    <w:p w:rsidR="009C6DFD" w:rsidRPr="009C6DFD" w:rsidP="009C6DFD" w14:paraId="1E51AFB5" w14:textId="77777777"/>
    <w:p w:rsidR="009C6DFD" w:rsidRPr="009C6DFD" w:rsidP="009C6DFD" w14:paraId="3ECE66D4" w14:textId="77777777"/>
    <w:p w:rsidR="009C6DFD" w:rsidRPr="009C6DFD" w:rsidP="009C6DFD" w14:paraId="0F4BB613" w14:textId="77777777"/>
    <w:p w:rsidR="009C6DFD" w:rsidRPr="009C6DFD" w:rsidP="009C6DFD" w14:paraId="6694AF52" w14:textId="77777777"/>
    <w:p w:rsidR="009C6DFD" w:rsidRPr="009C6DFD" w:rsidP="009C6DFD" w14:paraId="7116D45F" w14:textId="77777777"/>
    <w:p w:rsidR="009C6DFD" w:rsidRPr="009C6DFD" w:rsidP="009C6DFD" w14:paraId="13DE3CD2" w14:textId="77777777"/>
    <w:p w:rsidR="009C6DFD" w:rsidRPr="009C6DFD" w:rsidP="009C6DFD" w14:paraId="4FD004F4" w14:textId="77777777"/>
    <w:p w:rsidR="009C6DFD" w:rsidRPr="009C6DFD" w:rsidP="009C6DFD" w14:paraId="7A5AD51C" w14:textId="77777777"/>
    <w:p w:rsidR="009C6DFD" w:rsidRPr="009C6DFD" w:rsidP="009C6DFD" w14:paraId="09AE9686" w14:textId="77777777"/>
    <w:p w:rsidR="009C6DFD" w:rsidRPr="009C6DFD" w:rsidP="009C6DFD" w14:paraId="09D15632" w14:textId="77777777"/>
    <w:p w:rsidR="009C6DFD" w:rsidP="009C6DFD" w14:paraId="3EE46287" w14:textId="77777777">
      <w:pPr>
        <w:rPr>
          <w:rFonts w:eastAsia="Arial Unicode MS"/>
          <w:b/>
          <w:color w:val="000000"/>
          <w:sz w:val="24"/>
          <w:szCs w:val="24"/>
          <w:u w:color="000000"/>
        </w:rPr>
      </w:pPr>
    </w:p>
    <w:p w:rsidR="009C6DFD" w:rsidP="009C6DFD" w14:paraId="5AA4AEE1" w14:textId="77777777">
      <w:pPr>
        <w:rPr>
          <w:rFonts w:eastAsia="Arial Unicode MS"/>
          <w:b/>
          <w:color w:val="000000"/>
          <w:sz w:val="24"/>
          <w:szCs w:val="24"/>
          <w:u w:color="000000"/>
        </w:rPr>
      </w:pPr>
    </w:p>
    <w:p w:rsidR="009C6DFD" w:rsidRPr="009C6DFD" w:rsidP="009C6DFD" w14:paraId="7AD5E5C5" w14:textId="77777777"/>
    <w:p w:rsidR="00914022" w:rsidP="00CE103F" w14:paraId="7ADCB651" w14:textId="77777777">
      <w:pPr>
        <w:pStyle w:val="Body1"/>
        <w:numPr>
          <w:ilvl w:val="0"/>
          <w:numId w:val="2"/>
        </w:numPr>
        <w:tabs>
          <w:tab w:val="num" w:pos="0"/>
        </w:tabs>
        <w:rPr>
          <w:b/>
          <w:szCs w:val="24"/>
        </w:rPr>
      </w:pPr>
    </w:p>
    <w:p w:rsidR="00914022" w:rsidP="00CE103F" w14:paraId="004B3618" w14:textId="77777777">
      <w:pPr>
        <w:pStyle w:val="Body1"/>
        <w:numPr>
          <w:ilvl w:val="0"/>
          <w:numId w:val="2"/>
        </w:numPr>
        <w:tabs>
          <w:tab w:val="num" w:pos="0"/>
        </w:tabs>
        <w:rPr>
          <w:b/>
          <w:szCs w:val="24"/>
        </w:rPr>
      </w:pPr>
    </w:p>
    <w:p w:rsidR="00914022" w:rsidP="00CE103F" w14:paraId="6066E326" w14:textId="77777777">
      <w:pPr>
        <w:pStyle w:val="Body1"/>
        <w:numPr>
          <w:ilvl w:val="0"/>
          <w:numId w:val="2"/>
        </w:numPr>
        <w:tabs>
          <w:tab w:val="num" w:pos="0"/>
        </w:tabs>
        <w:rPr>
          <w:b/>
          <w:szCs w:val="24"/>
        </w:rPr>
      </w:pPr>
    </w:p>
    <w:p w:rsidR="00914022" w:rsidP="00CE103F" w14:paraId="66251DFE" w14:textId="77777777">
      <w:pPr>
        <w:pStyle w:val="Body1"/>
        <w:numPr>
          <w:ilvl w:val="0"/>
          <w:numId w:val="2"/>
        </w:numPr>
        <w:tabs>
          <w:tab w:val="num" w:pos="0"/>
        </w:tabs>
        <w:rPr>
          <w:b/>
          <w:szCs w:val="24"/>
        </w:rPr>
      </w:pPr>
    </w:p>
    <w:p w:rsidR="00914022" w14:paraId="38FC84CC" w14:textId="77777777">
      <w:pPr>
        <w:rPr>
          <w:rFonts w:eastAsia="Arial Unicode MS"/>
          <w:b/>
          <w:color w:val="000000"/>
          <w:sz w:val="24"/>
          <w:szCs w:val="24"/>
          <w:u w:color="000000"/>
        </w:rPr>
      </w:pPr>
      <w:r>
        <w:rPr>
          <w:b/>
          <w:szCs w:val="24"/>
        </w:rPr>
        <w:br w:type="page"/>
      </w:r>
    </w:p>
    <w:p w:rsidR="008D7C72" w:rsidRPr="00CE103F" w:rsidP="00CE103F" w14:paraId="4A7F52B0" w14:textId="4DDF4A9F">
      <w:pPr>
        <w:pStyle w:val="Body1"/>
        <w:numPr>
          <w:ilvl w:val="0"/>
          <w:numId w:val="2"/>
        </w:numPr>
        <w:tabs>
          <w:tab w:val="num" w:pos="0"/>
        </w:tabs>
        <w:rPr>
          <w:b/>
          <w:szCs w:val="24"/>
        </w:rPr>
      </w:pPr>
      <w:r w:rsidRPr="007E4D4E">
        <w:rPr>
          <w:b/>
          <w:szCs w:val="24"/>
        </w:rPr>
        <w:t>1.</w:t>
      </w:r>
      <w:r w:rsidR="003C1135">
        <w:rPr>
          <w:b/>
          <w:szCs w:val="24"/>
        </w:rPr>
        <w:tab/>
      </w:r>
      <w:r w:rsidRPr="007E4D4E">
        <w:rPr>
          <w:b/>
          <w:szCs w:val="24"/>
        </w:rPr>
        <w:t>Circumstances</w:t>
      </w:r>
      <w:r w:rsidRPr="00CE103F">
        <w:rPr>
          <w:b/>
          <w:szCs w:val="24"/>
        </w:rPr>
        <w:t xml:space="preserve"> Making the Collection of Information Necessary</w:t>
      </w:r>
    </w:p>
    <w:p w:rsidR="008D7C72" w:rsidRPr="00784C67" w:rsidP="008D7C72" w14:paraId="1193F5D8" w14:textId="77777777">
      <w:pPr>
        <w:pStyle w:val="Body1"/>
        <w:rPr>
          <w:szCs w:val="24"/>
        </w:rPr>
      </w:pPr>
    </w:p>
    <w:p w:rsidR="00975656" w:rsidP="00A541F1" w14:paraId="7F257F74" w14:textId="4711F94C">
      <w:pPr>
        <w:pStyle w:val="Body1"/>
        <w:rPr>
          <w:szCs w:val="24"/>
        </w:rPr>
      </w:pPr>
      <w:r>
        <w:rPr>
          <w:szCs w:val="24"/>
          <w:u w:val="single"/>
        </w:rPr>
        <w:t>Background.</w:t>
      </w:r>
      <w:r>
        <w:rPr>
          <w:szCs w:val="24"/>
        </w:rPr>
        <w:t xml:space="preserve"> </w:t>
      </w:r>
      <w:r w:rsidR="00FA4E88">
        <w:rPr>
          <w:szCs w:val="24"/>
        </w:rPr>
        <w:t>The Centers for Disease Control and Prevention (CDC)</w:t>
      </w:r>
      <w:r w:rsidR="008D7C72">
        <w:rPr>
          <w:szCs w:val="24"/>
        </w:rPr>
        <w:t xml:space="preserve"> is requesting </w:t>
      </w:r>
      <w:r w:rsidR="00B21444">
        <w:rPr>
          <w:szCs w:val="24"/>
        </w:rPr>
        <w:t xml:space="preserve">Office of Management and Budget (OMB) </w:t>
      </w:r>
      <w:r w:rsidR="008D7C72">
        <w:rPr>
          <w:szCs w:val="24"/>
        </w:rPr>
        <w:t xml:space="preserve">approval </w:t>
      </w:r>
      <w:r w:rsidR="00B21444">
        <w:rPr>
          <w:szCs w:val="24"/>
        </w:rPr>
        <w:t xml:space="preserve">for </w:t>
      </w:r>
      <w:r w:rsidR="00306E9D">
        <w:rPr>
          <w:szCs w:val="24"/>
        </w:rPr>
        <w:t>a new</w:t>
      </w:r>
      <w:r w:rsidRPr="00784C67" w:rsidR="008D7C72">
        <w:rPr>
          <w:szCs w:val="24"/>
        </w:rPr>
        <w:t xml:space="preserve"> </w:t>
      </w:r>
      <w:r w:rsidR="00DC0282">
        <w:rPr>
          <w:szCs w:val="24"/>
        </w:rPr>
        <w:t>g</w:t>
      </w:r>
      <w:r w:rsidR="008D7C72">
        <w:rPr>
          <w:szCs w:val="24"/>
        </w:rPr>
        <w:t xml:space="preserve">eneric </w:t>
      </w:r>
      <w:r w:rsidR="00DC0282">
        <w:rPr>
          <w:szCs w:val="24"/>
        </w:rPr>
        <w:t>i</w:t>
      </w:r>
      <w:r w:rsidR="008D7C72">
        <w:rPr>
          <w:szCs w:val="24"/>
        </w:rPr>
        <w:t xml:space="preserve">nformation </w:t>
      </w:r>
      <w:r w:rsidR="00DC0282">
        <w:rPr>
          <w:szCs w:val="24"/>
        </w:rPr>
        <w:t>c</w:t>
      </w:r>
      <w:r w:rsidR="008D7C72">
        <w:rPr>
          <w:szCs w:val="24"/>
        </w:rPr>
        <w:t xml:space="preserve">ollection </w:t>
      </w:r>
      <w:r w:rsidR="00DC0282">
        <w:rPr>
          <w:szCs w:val="24"/>
        </w:rPr>
        <w:t>r</w:t>
      </w:r>
      <w:r w:rsidR="00B90220">
        <w:rPr>
          <w:szCs w:val="24"/>
        </w:rPr>
        <w:t xml:space="preserve">equest (ICR) </w:t>
      </w:r>
      <w:r w:rsidRPr="00A541F1" w:rsidR="00A541F1">
        <w:rPr>
          <w:szCs w:val="24"/>
        </w:rPr>
        <w:t xml:space="preserve">to collect the MDN and </w:t>
      </w:r>
      <w:r w:rsidR="004615FB">
        <w:rPr>
          <w:szCs w:val="24"/>
        </w:rPr>
        <w:t>response-specific</w:t>
      </w:r>
      <w:r w:rsidRPr="00A541F1" w:rsidR="00A541F1">
        <w:rPr>
          <w:szCs w:val="24"/>
        </w:rPr>
        <w:t xml:space="preserve"> data as needed for confirmed, probable, and suspected cases of any disease or condition that is the subject of an emergency response at CDC</w:t>
      </w:r>
      <w:r w:rsidR="008F08DA">
        <w:rPr>
          <w:szCs w:val="24"/>
        </w:rPr>
        <w:t>,</w:t>
      </w:r>
      <w:r w:rsidRPr="008F08DA" w:rsidR="008F08DA">
        <w:t xml:space="preserve"> </w:t>
      </w:r>
      <w:r w:rsidRPr="008F08DA" w:rsidR="008F08DA">
        <w:rPr>
          <w:szCs w:val="24"/>
        </w:rPr>
        <w:t>for a 3-year period</w:t>
      </w:r>
      <w:r w:rsidRPr="00A541F1" w:rsidR="00A541F1">
        <w:rPr>
          <w:szCs w:val="24"/>
        </w:rPr>
        <w:t>.</w:t>
      </w:r>
    </w:p>
    <w:p w:rsidR="00A541F1" w:rsidP="00573FE3" w14:paraId="74F62135" w14:textId="77777777">
      <w:pPr>
        <w:pStyle w:val="Body1"/>
        <w:ind w:left="720"/>
        <w:rPr>
          <w:szCs w:val="24"/>
        </w:rPr>
      </w:pPr>
    </w:p>
    <w:p w:rsidR="00A34785" w:rsidP="00A34785" w14:paraId="277118E7" w14:textId="480DAA2E">
      <w:pPr>
        <w:pStyle w:val="Body1"/>
        <w:rPr>
          <w:szCs w:val="24"/>
        </w:rPr>
      </w:pPr>
      <w:r w:rsidRPr="00EF6C4E">
        <w:rPr>
          <w:szCs w:val="24"/>
        </w:rPr>
        <w:t>The MDN is an integral part of CDC’s Data Modernization Initiative (DMI), a multi-year, multi-billion-dollar effort launched in 2020 to modernize data across the federal and state public health landscape. The goal of DMI is to enable</w:t>
      </w:r>
      <w:r>
        <w:rPr>
          <w:szCs w:val="24"/>
        </w:rPr>
        <w:t xml:space="preserve"> </w:t>
      </w:r>
      <w:r w:rsidRPr="00A34785">
        <w:rPr>
          <w:szCs w:val="24"/>
        </w:rPr>
        <w:t xml:space="preserve">better, faster, actionable insights for decision-making at all levels of public health. DMI is further supported by the Public Health Data Strategy (PHDS), CDC’s mission-focused, goal-driven, two-year plan providing accountability for data, technology, policy, and administrative actions necessary to meet public health data goals. The PHDS milestones address challenges in data exchange between healthcare organizations and public health authorities and between </w:t>
      </w:r>
      <w:r w:rsidRPr="00D87292" w:rsidR="00D87292">
        <w:rPr>
          <w:szCs w:val="24"/>
        </w:rPr>
        <w:t xml:space="preserve">State, tribal, local, and territorial </w:t>
      </w:r>
      <w:r w:rsidR="00D87292">
        <w:rPr>
          <w:szCs w:val="24"/>
        </w:rPr>
        <w:t>(</w:t>
      </w:r>
      <w:r w:rsidRPr="00A34785">
        <w:rPr>
          <w:szCs w:val="24"/>
        </w:rPr>
        <w:t>STLT</w:t>
      </w:r>
      <w:r w:rsidR="00D87292">
        <w:rPr>
          <w:szCs w:val="24"/>
        </w:rPr>
        <w:t>)</w:t>
      </w:r>
      <w:r w:rsidRPr="00A34785">
        <w:rPr>
          <w:szCs w:val="24"/>
        </w:rPr>
        <w:t xml:space="preserve"> and federal public health authorities.</w:t>
      </w:r>
    </w:p>
    <w:p w:rsidR="00220C38" w:rsidRPr="00A34785" w:rsidP="00A34785" w14:paraId="6E4B2390" w14:textId="77777777">
      <w:pPr>
        <w:pStyle w:val="Body1"/>
        <w:rPr>
          <w:szCs w:val="24"/>
        </w:rPr>
      </w:pPr>
    </w:p>
    <w:p w:rsidR="00CD3D1B" w:rsidRPr="00CD3D1B" w:rsidP="00CD3D1B" w14:paraId="5890030C" w14:textId="77777777">
      <w:pPr>
        <w:pStyle w:val="Body1"/>
        <w:rPr>
          <w:szCs w:val="24"/>
        </w:rPr>
      </w:pPr>
      <w:r w:rsidRPr="00A34785">
        <w:rPr>
          <w:szCs w:val="24"/>
        </w:rPr>
        <w:t>The MDN for case notification data is being implemented in 2024 through the Response Readiness for Case Data (RRCD) project. The purpose of the RRCD project is to</w:t>
      </w:r>
      <w:r>
        <w:rPr>
          <w:szCs w:val="24"/>
        </w:rPr>
        <w:t xml:space="preserve"> </w:t>
      </w:r>
      <w:r w:rsidRPr="00CD3D1B">
        <w:rPr>
          <w:szCs w:val="24"/>
        </w:rPr>
        <w:t>operationalize the MDN by:</w:t>
      </w:r>
    </w:p>
    <w:p w:rsidR="00DA0E72" w:rsidP="00141361" w14:paraId="29BDED00" w14:textId="77777777">
      <w:pPr>
        <w:pStyle w:val="Body1"/>
        <w:numPr>
          <w:ilvl w:val="0"/>
          <w:numId w:val="9"/>
        </w:numPr>
        <w:rPr>
          <w:szCs w:val="24"/>
        </w:rPr>
      </w:pPr>
      <w:r w:rsidRPr="00CD3D1B">
        <w:rPr>
          <w:szCs w:val="24"/>
        </w:rPr>
        <w:t xml:space="preserve">Securing appropriate endorsements for the MDN as the foundation for a new agency-wide approach to collecting case data in a response,  </w:t>
      </w:r>
    </w:p>
    <w:p w:rsidR="00DA0E72" w:rsidP="00141361" w14:paraId="2149BA3A" w14:textId="77777777">
      <w:pPr>
        <w:pStyle w:val="Body1"/>
        <w:numPr>
          <w:ilvl w:val="0"/>
          <w:numId w:val="9"/>
        </w:numPr>
        <w:rPr>
          <w:szCs w:val="24"/>
        </w:rPr>
      </w:pPr>
      <w:r w:rsidRPr="00DA0E72">
        <w:rPr>
          <w:szCs w:val="24"/>
        </w:rPr>
        <w:t xml:space="preserve">Developing an efficient process for proposing, defining, and implementing </w:t>
      </w:r>
      <w:r w:rsidRPr="00DA0E72" w:rsidR="003512F2">
        <w:rPr>
          <w:szCs w:val="24"/>
        </w:rPr>
        <w:t xml:space="preserve">data elements that may be needed for a particular response, and </w:t>
      </w:r>
    </w:p>
    <w:p w:rsidR="003512F2" w:rsidP="00141361" w14:paraId="6B7D4EF5" w14:textId="5BCB080D">
      <w:pPr>
        <w:pStyle w:val="Body1"/>
        <w:numPr>
          <w:ilvl w:val="0"/>
          <w:numId w:val="9"/>
        </w:numPr>
        <w:rPr>
          <w:szCs w:val="24"/>
        </w:rPr>
      </w:pPr>
      <w:r w:rsidRPr="00DA0E72">
        <w:rPr>
          <w:szCs w:val="24"/>
        </w:rPr>
        <w:t xml:space="preserve">Defining and aligning an implementation plan to drive </w:t>
      </w:r>
      <w:r w:rsidRPr="00DA0E72" w:rsidR="00C03472">
        <w:rPr>
          <w:szCs w:val="24"/>
        </w:rPr>
        <w:t xml:space="preserve">wide-spread </w:t>
      </w:r>
      <w:r w:rsidR="00E97CF1">
        <w:rPr>
          <w:szCs w:val="24"/>
        </w:rPr>
        <w:t>adoption among</w:t>
      </w:r>
      <w:r w:rsidRPr="00DA0E72">
        <w:rPr>
          <w:szCs w:val="24"/>
        </w:rPr>
        <w:t xml:space="preserve"> CDC programs and public health jurisdictions.</w:t>
      </w:r>
    </w:p>
    <w:p w:rsidR="00393E7A" w:rsidRPr="00393E7A" w:rsidP="00393E7A" w14:paraId="6596F500" w14:textId="77777777">
      <w:pPr>
        <w:pStyle w:val="Body1"/>
        <w:ind w:left="720"/>
        <w:rPr>
          <w:szCs w:val="24"/>
        </w:rPr>
      </w:pPr>
    </w:p>
    <w:p w:rsidR="00E27590" w:rsidP="00B82399" w14:paraId="1725A65E" w14:textId="77777777">
      <w:pPr>
        <w:pStyle w:val="Body1"/>
        <w:rPr>
          <w:szCs w:val="24"/>
        </w:rPr>
      </w:pPr>
      <w:r w:rsidRPr="00B82399">
        <w:rPr>
          <w:szCs w:val="24"/>
        </w:rPr>
        <w:t>Evidence of support for and progress toward implementation of the MDN is demonstrated by the following:</w:t>
      </w:r>
    </w:p>
    <w:p w:rsidR="00B82399" w:rsidRPr="00393E7A" w:rsidP="00141361" w14:paraId="6E0343B0" w14:textId="7838735E">
      <w:pPr>
        <w:pStyle w:val="Body1"/>
        <w:numPr>
          <w:ilvl w:val="0"/>
          <w:numId w:val="10"/>
        </w:numPr>
        <w:rPr>
          <w:szCs w:val="24"/>
        </w:rPr>
      </w:pPr>
      <w:r w:rsidRPr="00393E7A">
        <w:rPr>
          <w:szCs w:val="24"/>
        </w:rPr>
        <w:t>Section 319D of the Public Health Service Act (as amended Through P.L. 118-35, enacted January 19, 2024) states:</w:t>
      </w:r>
      <w:r w:rsidRPr="00393E7A" w:rsidR="00393E7A">
        <w:rPr>
          <w:szCs w:val="24"/>
        </w:rPr>
        <w:t xml:space="preserve"> </w:t>
      </w:r>
      <w:r w:rsidRPr="00393E7A">
        <w:rPr>
          <w:szCs w:val="24"/>
        </w:rPr>
        <w:t>“CDC shall define the minimum data necessary as the Agency collaborates with STLTs and other partners to improve the appropriate near real-time electronic transmission of interoperable public health data for situational awareness and response to public health emergencies”</w:t>
      </w:r>
      <w:r w:rsidR="001948C7">
        <w:rPr>
          <w:szCs w:val="24"/>
        </w:rPr>
        <w:t xml:space="preserve"> </w:t>
      </w:r>
      <w:r w:rsidRPr="001948C7" w:rsidR="001948C7">
        <w:rPr>
          <w:b/>
          <w:bCs/>
          <w:szCs w:val="24"/>
        </w:rPr>
        <w:t>[Attachment 1. Authorizing Legislation]</w:t>
      </w:r>
      <w:r w:rsidRPr="001948C7" w:rsidR="001948C7">
        <w:rPr>
          <w:szCs w:val="24"/>
        </w:rPr>
        <w:t>.</w:t>
      </w:r>
    </w:p>
    <w:p w:rsidR="005D6A59" w:rsidP="00141361" w14:paraId="42B88838" w14:textId="77777777">
      <w:pPr>
        <w:pStyle w:val="Body1"/>
        <w:numPr>
          <w:ilvl w:val="0"/>
          <w:numId w:val="10"/>
        </w:numPr>
        <w:rPr>
          <w:szCs w:val="24"/>
        </w:rPr>
      </w:pPr>
      <w:r w:rsidRPr="00B82399">
        <w:rPr>
          <w:szCs w:val="24"/>
        </w:rPr>
        <w:t>H.R.2882 - Further Consolidated Appropriations Act, 2024 - became Public Law No: 118-47 on March 23, 2024. Relevant joint explanatory text (report language) states:</w:t>
      </w:r>
      <w:r w:rsidR="00393E7A">
        <w:rPr>
          <w:szCs w:val="24"/>
        </w:rPr>
        <w:t xml:space="preserve"> </w:t>
      </w:r>
      <w:r w:rsidRPr="00393E7A">
        <w:rPr>
          <w:szCs w:val="24"/>
        </w:rPr>
        <w:t>“Public Health Data Modernization. The agreement urges CDC to work with representatives from STLT health departments through a regular convening mechanism to establish a public health data sharing process to ensure that notifiable case data are reported to CDC during an emergency response event in a timely and efficient manner that is the least burdensome for STLT public health departments. This process should include the use of an established minimal data set and transmission via existing and automated reporting mechanisms to the extent possible.”</w:t>
      </w:r>
    </w:p>
    <w:p w:rsidR="005D6A59" w:rsidP="00141361" w14:paraId="2370AF83" w14:textId="77777777">
      <w:pPr>
        <w:pStyle w:val="Body1"/>
        <w:numPr>
          <w:ilvl w:val="0"/>
          <w:numId w:val="10"/>
        </w:numPr>
        <w:rPr>
          <w:szCs w:val="24"/>
        </w:rPr>
      </w:pPr>
      <w:r w:rsidRPr="005D6A59">
        <w:rPr>
          <w:szCs w:val="24"/>
        </w:rPr>
        <w:t>The November 2022 CDC Advisory Committee to the Director Data and Surveillance Workgroup report recommended that CDC and partner organizations “define the minimal data necessary for core public health data sources.”</w:t>
      </w:r>
    </w:p>
    <w:p w:rsidR="003C5B23" w:rsidP="00141361" w14:paraId="4F54CA34" w14:textId="77777777">
      <w:pPr>
        <w:pStyle w:val="Body1"/>
        <w:numPr>
          <w:ilvl w:val="0"/>
          <w:numId w:val="10"/>
        </w:numPr>
        <w:rPr>
          <w:szCs w:val="24"/>
        </w:rPr>
      </w:pPr>
      <w:r w:rsidRPr="005D6A59">
        <w:rPr>
          <w:szCs w:val="24"/>
        </w:rPr>
        <w:t>The 2022-2023 DMI implementation plan directed CDC to “define data requirements for case-level situational awareness from day one of a public health emergency.”</w:t>
      </w:r>
      <w:r w:rsidR="00243406">
        <w:rPr>
          <w:szCs w:val="24"/>
        </w:rPr>
        <w:t xml:space="preserve"> </w:t>
      </w:r>
      <w:r w:rsidRPr="00B83910">
        <w:rPr>
          <w:szCs w:val="24"/>
        </w:rPr>
        <w:t>Subsequently, between August 2022 and February 2023, a cross-agency effort took a consensus-based approach to define the MDN with CDC and partner organizations.</w:t>
      </w:r>
    </w:p>
    <w:p w:rsidR="00AD5DDE" w:rsidP="00141361" w14:paraId="62F968BF" w14:textId="77777777">
      <w:pPr>
        <w:pStyle w:val="Body1"/>
        <w:numPr>
          <w:ilvl w:val="0"/>
          <w:numId w:val="10"/>
        </w:numPr>
        <w:rPr>
          <w:szCs w:val="24"/>
        </w:rPr>
      </w:pPr>
      <w:r w:rsidRPr="003C5B23">
        <w:rPr>
          <w:szCs w:val="24"/>
        </w:rPr>
        <w:t>The April 2023 PHDS defines case data as a core data source and lists as part of its fourth goal (“to advance more open and interoperable public health data”) that a set of minimal data elements for case data should be established in collaboration with STLT partners and CDC programs. Once implemented, CDC programs will be able to syndicate and collect a standardized set of data elements for case data, reducing reporting burden for STLT partners.</w:t>
      </w:r>
    </w:p>
    <w:p w:rsidR="003512F2" w:rsidRPr="00AD5DDE" w:rsidP="00141361" w14:paraId="72897293" w14:textId="5D215652">
      <w:pPr>
        <w:pStyle w:val="Body1"/>
        <w:numPr>
          <w:ilvl w:val="0"/>
          <w:numId w:val="10"/>
        </w:numPr>
        <w:rPr>
          <w:szCs w:val="24"/>
        </w:rPr>
      </w:pPr>
      <w:r w:rsidRPr="00AD5DDE">
        <w:rPr>
          <w:szCs w:val="24"/>
        </w:rPr>
        <w:t>The Council of State and Territorial Epidemiologists (CSTE) garnered broad support among STLTs for a minimum data set to enable response situational awareness.</w:t>
      </w:r>
    </w:p>
    <w:p w:rsidR="00EF6C4E" w:rsidP="00CE103F" w14:paraId="40F93C08" w14:textId="77777777">
      <w:pPr>
        <w:pStyle w:val="Body1"/>
        <w:rPr>
          <w:szCs w:val="24"/>
        </w:rPr>
      </w:pPr>
    </w:p>
    <w:p w:rsidR="00DF5789" w:rsidP="005D09F2" w14:paraId="7A86388B" w14:textId="15B8C12E">
      <w:pPr>
        <w:rPr>
          <w:sz w:val="24"/>
          <w:szCs w:val="24"/>
        </w:rPr>
      </w:pPr>
      <w:r w:rsidRPr="00C63454">
        <w:rPr>
          <w:sz w:val="24"/>
          <w:szCs w:val="24"/>
        </w:rPr>
        <w:t xml:space="preserve">Each </w:t>
      </w:r>
      <w:r w:rsidR="002148F3">
        <w:rPr>
          <w:sz w:val="24"/>
          <w:szCs w:val="24"/>
        </w:rPr>
        <w:t>g</w:t>
      </w:r>
      <w:r w:rsidR="002F3232">
        <w:rPr>
          <w:sz w:val="24"/>
          <w:szCs w:val="24"/>
        </w:rPr>
        <w:t xml:space="preserve">eneric </w:t>
      </w:r>
      <w:r w:rsidR="002148F3">
        <w:rPr>
          <w:sz w:val="24"/>
          <w:szCs w:val="24"/>
        </w:rPr>
        <w:t>i</w:t>
      </w:r>
      <w:r w:rsidRPr="00C63454">
        <w:rPr>
          <w:sz w:val="24"/>
          <w:szCs w:val="24"/>
        </w:rPr>
        <w:t xml:space="preserve">nformation </w:t>
      </w:r>
      <w:r w:rsidR="002148F3">
        <w:rPr>
          <w:sz w:val="24"/>
          <w:szCs w:val="24"/>
        </w:rPr>
        <w:t>c</w:t>
      </w:r>
      <w:r w:rsidRPr="00C63454">
        <w:rPr>
          <w:sz w:val="24"/>
          <w:szCs w:val="24"/>
        </w:rPr>
        <w:t>ollection (</w:t>
      </w:r>
      <w:r w:rsidR="002F3232">
        <w:rPr>
          <w:sz w:val="24"/>
          <w:szCs w:val="24"/>
        </w:rPr>
        <w:t>Gen</w:t>
      </w:r>
      <w:r w:rsidRPr="00C63454">
        <w:rPr>
          <w:sz w:val="24"/>
          <w:szCs w:val="24"/>
        </w:rPr>
        <w:t>IC</w:t>
      </w:r>
      <w:r w:rsidRPr="00C63454">
        <w:rPr>
          <w:sz w:val="24"/>
          <w:szCs w:val="24"/>
        </w:rPr>
        <w:t xml:space="preserve">) under this generic ICR will be implemented at the beginning of an emergency response and case data will be collected for the duration of </w:t>
      </w:r>
      <w:r w:rsidR="00900052">
        <w:rPr>
          <w:sz w:val="24"/>
          <w:szCs w:val="24"/>
        </w:rPr>
        <w:t>this generic ICR’s approval</w:t>
      </w:r>
      <w:r w:rsidRPr="00C63454">
        <w:rPr>
          <w:sz w:val="24"/>
          <w:szCs w:val="24"/>
        </w:rPr>
        <w:t xml:space="preserve">. The respondent population for each </w:t>
      </w:r>
      <w:r w:rsidR="003F39CB">
        <w:rPr>
          <w:sz w:val="24"/>
          <w:szCs w:val="24"/>
        </w:rPr>
        <w:t>Gen</w:t>
      </w:r>
      <w:r w:rsidRPr="00C63454">
        <w:rPr>
          <w:sz w:val="24"/>
          <w:szCs w:val="24"/>
        </w:rPr>
        <w:t>IC</w:t>
      </w:r>
      <w:r w:rsidRPr="00C63454">
        <w:rPr>
          <w:sz w:val="24"/>
          <w:szCs w:val="24"/>
        </w:rPr>
        <w:t xml:space="preserve"> will consist of 60 jurisdictions: public health departments in every U.S. state, New York City, Washington DC, 5 U.S. territories (American Samoa, the Commonwealth of Northern Mariana Islands, Guam, Puerto Rico, and the U.S. Virgin Islands), and 3 freely associated states (the Federated States of Micronesia, the Republic of the Marshall Islands, and the Republic of Palau). Each </w:t>
      </w:r>
      <w:r w:rsidR="005518C8">
        <w:rPr>
          <w:sz w:val="24"/>
          <w:szCs w:val="24"/>
        </w:rPr>
        <w:t>Gen</w:t>
      </w:r>
      <w:r w:rsidRPr="00C63454">
        <w:rPr>
          <w:sz w:val="24"/>
          <w:szCs w:val="24"/>
        </w:rPr>
        <w:t>IC</w:t>
      </w:r>
      <w:r w:rsidRPr="00C63454">
        <w:rPr>
          <w:sz w:val="24"/>
          <w:szCs w:val="24"/>
        </w:rPr>
        <w:t xml:space="preserve"> will include a detailed description of the disease or condition that is the subject of the emergency response, why case data are needed, and what the case data will be used for. The MDN will be collected for each </w:t>
      </w:r>
      <w:r w:rsidR="005518C8">
        <w:rPr>
          <w:sz w:val="24"/>
          <w:szCs w:val="24"/>
        </w:rPr>
        <w:t>Gen</w:t>
      </w:r>
      <w:r w:rsidRPr="00C63454">
        <w:rPr>
          <w:sz w:val="24"/>
          <w:szCs w:val="24"/>
        </w:rPr>
        <w:t>IC</w:t>
      </w:r>
      <w:r w:rsidRPr="00C63454">
        <w:rPr>
          <w:sz w:val="24"/>
          <w:szCs w:val="24"/>
        </w:rPr>
        <w:t xml:space="preserve"> with the option to include response-specific data elements. Justification will be provided for each response-specific data element included.</w:t>
      </w:r>
    </w:p>
    <w:p w:rsidR="00DF5789" w:rsidP="005D09F2" w14:paraId="0C423C32" w14:textId="77777777">
      <w:pPr>
        <w:rPr>
          <w:sz w:val="24"/>
          <w:szCs w:val="24"/>
        </w:rPr>
      </w:pPr>
    </w:p>
    <w:p w:rsidR="006B5C4B" w:rsidP="005D09F2" w14:paraId="64083074" w14:textId="39620F44">
      <w:pPr>
        <w:rPr>
          <w:sz w:val="24"/>
          <w:szCs w:val="24"/>
        </w:rPr>
      </w:pPr>
      <w:r w:rsidRPr="00243406">
        <w:rPr>
          <w:sz w:val="24"/>
          <w:szCs w:val="24"/>
        </w:rPr>
        <w:t xml:space="preserve">This </w:t>
      </w:r>
      <w:r w:rsidRPr="00243406" w:rsidR="0088523E">
        <w:rPr>
          <w:sz w:val="24"/>
          <w:szCs w:val="24"/>
        </w:rPr>
        <w:t>g</w:t>
      </w:r>
      <w:r w:rsidRPr="00243406" w:rsidR="0052206B">
        <w:rPr>
          <w:sz w:val="24"/>
          <w:szCs w:val="24"/>
        </w:rPr>
        <w:t xml:space="preserve">eneric </w:t>
      </w:r>
      <w:r w:rsidR="008E5A19">
        <w:rPr>
          <w:sz w:val="24"/>
          <w:szCs w:val="24"/>
        </w:rPr>
        <w:t>ICR</w:t>
      </w:r>
      <w:r w:rsidRPr="00243406" w:rsidR="0088523E">
        <w:rPr>
          <w:sz w:val="24"/>
          <w:szCs w:val="24"/>
        </w:rPr>
        <w:t xml:space="preserve"> </w:t>
      </w:r>
      <w:r w:rsidRPr="00243406" w:rsidR="00C3474D">
        <w:rPr>
          <w:sz w:val="24"/>
          <w:szCs w:val="24"/>
        </w:rPr>
        <w:t xml:space="preserve">includes a request to approve </w:t>
      </w:r>
      <w:r w:rsidR="008E5A19">
        <w:rPr>
          <w:sz w:val="24"/>
          <w:szCs w:val="24"/>
        </w:rPr>
        <w:t>GenICs</w:t>
      </w:r>
      <w:r w:rsidR="008E5A19">
        <w:rPr>
          <w:sz w:val="24"/>
          <w:szCs w:val="24"/>
        </w:rPr>
        <w:t xml:space="preserve"> </w:t>
      </w:r>
      <w:r w:rsidRPr="00243406" w:rsidR="006D1936">
        <w:rPr>
          <w:sz w:val="24"/>
          <w:szCs w:val="24"/>
        </w:rPr>
        <w:t>with</w:t>
      </w:r>
      <w:r w:rsidRPr="00243406" w:rsidR="00243406">
        <w:rPr>
          <w:sz w:val="24"/>
          <w:szCs w:val="24"/>
        </w:rPr>
        <w:t xml:space="preserve">in </w:t>
      </w:r>
      <w:r w:rsidRPr="00243406" w:rsidR="006D1936">
        <w:rPr>
          <w:sz w:val="24"/>
          <w:szCs w:val="24"/>
        </w:rPr>
        <w:t>72</w:t>
      </w:r>
      <w:r w:rsidRPr="00243406" w:rsidR="00C3474D">
        <w:rPr>
          <w:sz w:val="24"/>
          <w:szCs w:val="24"/>
        </w:rPr>
        <w:t xml:space="preserve"> </w:t>
      </w:r>
      <w:r w:rsidRPr="00243406" w:rsidR="006D1936">
        <w:rPr>
          <w:sz w:val="24"/>
          <w:szCs w:val="24"/>
        </w:rPr>
        <w:t>hour</w:t>
      </w:r>
      <w:r w:rsidRPr="00243406" w:rsidR="00C3474D">
        <w:rPr>
          <w:sz w:val="24"/>
          <w:szCs w:val="24"/>
        </w:rPr>
        <w:t>s</w:t>
      </w:r>
      <w:r w:rsidRPr="00243406" w:rsidR="006D1936">
        <w:rPr>
          <w:sz w:val="24"/>
          <w:szCs w:val="24"/>
        </w:rPr>
        <w:t xml:space="preserve"> </w:t>
      </w:r>
      <w:r w:rsidR="00D67B13">
        <w:rPr>
          <w:sz w:val="24"/>
          <w:szCs w:val="24"/>
        </w:rPr>
        <w:t>to 5 days</w:t>
      </w:r>
      <w:r w:rsidRPr="00243406">
        <w:rPr>
          <w:sz w:val="24"/>
          <w:szCs w:val="24"/>
        </w:rPr>
        <w:t xml:space="preserve"> </w:t>
      </w:r>
      <w:r w:rsidRPr="005D09F2" w:rsidR="005D09F2">
        <w:rPr>
          <w:sz w:val="24"/>
          <w:szCs w:val="24"/>
        </w:rPr>
        <w:t>to ensure timely information collection required during a</w:t>
      </w:r>
      <w:r w:rsidR="00B62CD4">
        <w:rPr>
          <w:sz w:val="24"/>
          <w:szCs w:val="24"/>
        </w:rPr>
        <w:t xml:space="preserve">n </w:t>
      </w:r>
      <w:r w:rsidRPr="005D09F2" w:rsidR="005D09F2">
        <w:rPr>
          <w:sz w:val="24"/>
          <w:szCs w:val="24"/>
        </w:rPr>
        <w:t>emergency response. During an emergency response, CDC needs case data to mobilize quickly and take immediate action alongside STLT partners to minimize or prevent public harm. CDC must have the ability to rapidly collect data to understand the scope of the problem and determine appropriate action.</w:t>
      </w:r>
    </w:p>
    <w:p w:rsidR="005D09F2" w:rsidP="005D09F2" w14:paraId="3279923F" w14:textId="77777777">
      <w:pPr>
        <w:rPr>
          <w:szCs w:val="24"/>
          <w:u w:val="single"/>
        </w:rPr>
      </w:pPr>
    </w:p>
    <w:p w:rsidR="0082785C" w:rsidP="0017618B" w14:paraId="1A764376" w14:textId="171D378E">
      <w:pPr>
        <w:pStyle w:val="Body1"/>
        <w:rPr>
          <w:szCs w:val="24"/>
        </w:rPr>
      </w:pPr>
      <w:r>
        <w:rPr>
          <w:szCs w:val="24"/>
          <w:u w:val="single"/>
        </w:rPr>
        <w:t>Need</w:t>
      </w:r>
      <w:r w:rsidRPr="00D36F78">
        <w:rPr>
          <w:szCs w:val="24"/>
        </w:rPr>
        <w:t>.</w:t>
      </w:r>
      <w:r>
        <w:rPr>
          <w:szCs w:val="24"/>
        </w:rPr>
        <w:t xml:space="preserve"> </w:t>
      </w:r>
      <w:r w:rsidRPr="0017618B" w:rsidR="0017618B">
        <w:rPr>
          <w:szCs w:val="24"/>
        </w:rPr>
        <w:t>The development and implementation of th</w:t>
      </w:r>
      <w:r w:rsidR="00BB367D">
        <w:rPr>
          <w:szCs w:val="24"/>
        </w:rPr>
        <w:t>is</w:t>
      </w:r>
      <w:r w:rsidRPr="0017618B" w:rsidR="0017618B">
        <w:rPr>
          <w:szCs w:val="24"/>
        </w:rPr>
        <w:t xml:space="preserve"> generic </w:t>
      </w:r>
      <w:r w:rsidR="00C732D7">
        <w:rPr>
          <w:szCs w:val="24"/>
        </w:rPr>
        <w:t xml:space="preserve">ICR </w:t>
      </w:r>
      <w:r w:rsidRPr="0017618B" w:rsidR="0017618B">
        <w:rPr>
          <w:szCs w:val="24"/>
        </w:rPr>
        <w:t xml:space="preserve">is urgent. CDC would like to use this </w:t>
      </w:r>
      <w:r w:rsidR="004A5EA8">
        <w:rPr>
          <w:szCs w:val="24"/>
        </w:rPr>
        <w:t xml:space="preserve">generic </w:t>
      </w:r>
      <w:r w:rsidR="00C732D7">
        <w:rPr>
          <w:szCs w:val="24"/>
        </w:rPr>
        <w:t>ICR</w:t>
      </w:r>
      <w:r w:rsidRPr="0017618B" w:rsidR="00C732D7">
        <w:rPr>
          <w:szCs w:val="24"/>
        </w:rPr>
        <w:t xml:space="preserve"> </w:t>
      </w:r>
      <w:r w:rsidRPr="0017618B" w:rsidR="0017618B">
        <w:rPr>
          <w:szCs w:val="24"/>
        </w:rPr>
        <w:t xml:space="preserve">for the next emergency response. Use of </w:t>
      </w:r>
      <w:r w:rsidR="00376011">
        <w:rPr>
          <w:szCs w:val="24"/>
        </w:rPr>
        <w:t>the</w:t>
      </w:r>
      <w:r w:rsidRPr="0017618B" w:rsidR="00376011">
        <w:rPr>
          <w:szCs w:val="24"/>
        </w:rPr>
        <w:t xml:space="preserve"> </w:t>
      </w:r>
      <w:r w:rsidRPr="0017618B" w:rsidR="0017618B">
        <w:rPr>
          <w:szCs w:val="24"/>
        </w:rPr>
        <w:t xml:space="preserve">process </w:t>
      </w:r>
      <w:r w:rsidR="00376011">
        <w:rPr>
          <w:szCs w:val="24"/>
        </w:rPr>
        <w:t xml:space="preserve">in this </w:t>
      </w:r>
      <w:r w:rsidR="004A5EA8">
        <w:rPr>
          <w:szCs w:val="24"/>
        </w:rPr>
        <w:t>generic</w:t>
      </w:r>
      <w:r w:rsidR="00376011">
        <w:rPr>
          <w:szCs w:val="24"/>
        </w:rPr>
        <w:t xml:space="preserve"> ICR </w:t>
      </w:r>
      <w:r w:rsidRPr="0017618B" w:rsidR="0017618B">
        <w:rPr>
          <w:szCs w:val="24"/>
        </w:rPr>
        <w:t xml:space="preserve">would have expedited the approval process for the 2019-2023 COVID-19 and 2022 and 2024 </w:t>
      </w:r>
      <w:r w:rsidR="00F43AF2">
        <w:rPr>
          <w:szCs w:val="24"/>
        </w:rPr>
        <w:t>M</w:t>
      </w:r>
      <w:r w:rsidRPr="0017618B" w:rsidR="00F43AF2">
        <w:rPr>
          <w:szCs w:val="24"/>
        </w:rPr>
        <w:t xml:space="preserve">pox </w:t>
      </w:r>
      <w:r w:rsidRPr="0017618B" w:rsidR="0017618B">
        <w:rPr>
          <w:szCs w:val="24"/>
        </w:rPr>
        <w:t xml:space="preserve">emergency responses. The current OMB approval process for case </w:t>
      </w:r>
      <w:r w:rsidR="00F43AF2">
        <w:rPr>
          <w:szCs w:val="24"/>
        </w:rPr>
        <w:t xml:space="preserve">notification </w:t>
      </w:r>
      <w:r w:rsidRPr="0017618B" w:rsidR="0017618B">
        <w:rPr>
          <w:szCs w:val="24"/>
        </w:rPr>
        <w:t>data collection during an emergency is decentralized, incumbent on each Center to manage, does not include a review of data elements</w:t>
      </w:r>
      <w:r w:rsidR="00BE1D90">
        <w:rPr>
          <w:szCs w:val="24"/>
        </w:rPr>
        <w:t xml:space="preserve"> and value sets</w:t>
      </w:r>
      <w:r w:rsidRPr="0017618B" w:rsidR="0017618B">
        <w:rPr>
          <w:szCs w:val="24"/>
        </w:rPr>
        <w:t xml:space="preserve"> for alignment with Agency-wide standards, and must be done in an accelerated and expedited process over the weekend or after hours, and across multiple offices. This proposed </w:t>
      </w:r>
      <w:r w:rsidR="009B64F7">
        <w:rPr>
          <w:szCs w:val="24"/>
        </w:rPr>
        <w:t>generic</w:t>
      </w:r>
      <w:r w:rsidRPr="0017618B" w:rsidR="0017618B">
        <w:rPr>
          <w:szCs w:val="24"/>
        </w:rPr>
        <w:t xml:space="preserve"> ICR is a more predictable approval process for collection that will be standardized across the Agency.</w:t>
      </w:r>
    </w:p>
    <w:p w:rsidR="0017618B" w:rsidRPr="00F67323" w:rsidP="0017618B" w14:paraId="1F424C48" w14:textId="77777777">
      <w:pPr>
        <w:pStyle w:val="Body1"/>
        <w:rPr>
          <w:szCs w:val="24"/>
        </w:rPr>
      </w:pPr>
    </w:p>
    <w:p w:rsidR="00CB0869" w:rsidP="008C3ED0" w14:paraId="392BD18D" w14:textId="7FA1CB89">
      <w:pPr>
        <w:pStyle w:val="Body1"/>
        <w:rPr>
          <w:szCs w:val="24"/>
        </w:rPr>
      </w:pPr>
      <w:r>
        <w:rPr>
          <w:szCs w:val="24"/>
        </w:rPr>
        <w:t xml:space="preserve">This </w:t>
      </w:r>
      <w:r w:rsidRPr="008C3ED0" w:rsidR="00F61EBA">
        <w:rPr>
          <w:szCs w:val="24"/>
        </w:rPr>
        <w:t xml:space="preserve">generic </w:t>
      </w:r>
      <w:r w:rsidR="00BC4AA7">
        <w:rPr>
          <w:szCs w:val="24"/>
        </w:rPr>
        <w:t xml:space="preserve">ICR </w:t>
      </w:r>
      <w:r w:rsidRPr="008C3ED0" w:rsidR="00F61EBA">
        <w:rPr>
          <w:szCs w:val="24"/>
        </w:rPr>
        <w:t>covers</w:t>
      </w:r>
      <w:r w:rsidRPr="008C3ED0" w:rsidR="00844604">
        <w:rPr>
          <w:szCs w:val="24"/>
        </w:rPr>
        <w:t xml:space="preserve"> </w:t>
      </w:r>
      <w:r w:rsidRPr="008C3ED0" w:rsidR="00D31684">
        <w:rPr>
          <w:szCs w:val="24"/>
        </w:rPr>
        <w:t xml:space="preserve">case </w:t>
      </w:r>
      <w:r w:rsidRPr="008C3ED0" w:rsidR="00844604">
        <w:rPr>
          <w:szCs w:val="24"/>
        </w:rPr>
        <w:t xml:space="preserve">data </w:t>
      </w:r>
      <w:r w:rsidRPr="008C3ED0" w:rsidR="00D31684">
        <w:rPr>
          <w:szCs w:val="24"/>
        </w:rPr>
        <w:t xml:space="preserve">collected during any </w:t>
      </w:r>
      <w:r w:rsidRPr="008C3ED0" w:rsidR="00026125">
        <w:rPr>
          <w:szCs w:val="24"/>
        </w:rPr>
        <w:t>emergency response at CDC</w:t>
      </w:r>
      <w:r w:rsidRPr="008C3ED0" w:rsidR="00AB18D4">
        <w:rPr>
          <w:szCs w:val="24"/>
        </w:rPr>
        <w:t xml:space="preserve">.  </w:t>
      </w:r>
    </w:p>
    <w:p w:rsidR="00F148E8" w:rsidP="008C3ED0" w14:paraId="517303D2" w14:textId="77777777">
      <w:pPr>
        <w:pStyle w:val="Body1"/>
        <w:rPr>
          <w:szCs w:val="24"/>
        </w:rPr>
      </w:pPr>
    </w:p>
    <w:p w:rsidR="00F148E8" w:rsidRPr="001D057E" w:rsidP="008C3ED0" w14:paraId="26F03344" w14:textId="77777777">
      <w:pPr>
        <w:pStyle w:val="Body1"/>
        <w:rPr>
          <w:szCs w:val="24"/>
        </w:rPr>
      </w:pPr>
    </w:p>
    <w:p w:rsidR="00527A26" w:rsidRPr="0072690B" w:rsidP="00EA7598" w14:paraId="1C123E46" w14:textId="77777777">
      <w:pPr>
        <w:pStyle w:val="Body1"/>
        <w:rPr>
          <w:szCs w:val="24"/>
        </w:rPr>
      </w:pPr>
    </w:p>
    <w:p w:rsidR="00527A26" w:rsidRPr="0072690B" w:rsidP="00D506FF" w14:paraId="02EBBE67" w14:textId="77777777">
      <w:pPr>
        <w:pStyle w:val="Body1"/>
        <w:tabs>
          <w:tab w:val="left" w:pos="720"/>
        </w:tabs>
        <w:rPr>
          <w:b/>
          <w:szCs w:val="24"/>
        </w:rPr>
      </w:pPr>
      <w:r w:rsidRPr="0072690B">
        <w:rPr>
          <w:b/>
          <w:szCs w:val="24"/>
        </w:rPr>
        <w:t>2.</w:t>
      </w:r>
      <w:r w:rsidRPr="0072690B">
        <w:rPr>
          <w:b/>
          <w:szCs w:val="24"/>
        </w:rPr>
        <w:tab/>
        <w:t>Purpose and Use of Information</w:t>
      </w:r>
      <w:r w:rsidRPr="0072690B" w:rsidR="00090414">
        <w:rPr>
          <w:b/>
          <w:szCs w:val="24"/>
        </w:rPr>
        <w:t xml:space="preserve"> Collection</w:t>
      </w:r>
    </w:p>
    <w:p w:rsidR="00527A26" w:rsidRPr="0072690B" w:rsidP="00D506FF" w14:paraId="28F42706" w14:textId="77777777">
      <w:pPr>
        <w:pStyle w:val="Body1"/>
        <w:tabs>
          <w:tab w:val="num" w:pos="720"/>
          <w:tab w:val="left" w:pos="1710"/>
        </w:tabs>
        <w:rPr>
          <w:b/>
          <w:szCs w:val="24"/>
        </w:rPr>
      </w:pPr>
    </w:p>
    <w:p w:rsidR="002208CA" w:rsidP="008209F8" w14:paraId="49E95304" w14:textId="070C85C3">
      <w:pPr>
        <w:pStyle w:val="Body1"/>
        <w:tabs>
          <w:tab w:val="num" w:pos="720"/>
          <w:tab w:val="left" w:pos="1710"/>
        </w:tabs>
        <w:rPr>
          <w:szCs w:val="24"/>
        </w:rPr>
      </w:pPr>
      <w:r>
        <w:rPr>
          <w:szCs w:val="24"/>
        </w:rPr>
        <w:t>The purpose</w:t>
      </w:r>
      <w:r w:rsidR="002D2095">
        <w:rPr>
          <w:szCs w:val="24"/>
        </w:rPr>
        <w:t xml:space="preserve"> of this </w:t>
      </w:r>
      <w:r w:rsidR="00246293">
        <w:rPr>
          <w:szCs w:val="24"/>
        </w:rPr>
        <w:t xml:space="preserve">generic </w:t>
      </w:r>
      <w:r w:rsidR="002D2095">
        <w:rPr>
          <w:szCs w:val="24"/>
        </w:rPr>
        <w:t xml:space="preserve">ICR is </w:t>
      </w:r>
      <w:r w:rsidRPr="000D3809" w:rsidR="000D3809">
        <w:rPr>
          <w:szCs w:val="24"/>
        </w:rPr>
        <w:t xml:space="preserve">to collect the MDN and response-specific data as needed for confirmed, probable, and suspected cases of any disease or condition that is the subject of an emergency response at CDC.  </w:t>
      </w:r>
      <w:r w:rsidRPr="00261FEE" w:rsidR="00261FEE">
        <w:rPr>
          <w:szCs w:val="24"/>
        </w:rPr>
        <w:t xml:space="preserve">Timely notification of cases from STLT to CDC is critical to provide situational awareness at the federal level to support decision making, particularly for public health threats that escalate quickly and cross jurisdictions. </w:t>
      </w:r>
      <w:r w:rsidR="003954A6">
        <w:rPr>
          <w:szCs w:val="24"/>
        </w:rPr>
        <w:t>C</w:t>
      </w:r>
      <w:r>
        <w:rPr>
          <w:szCs w:val="24"/>
        </w:rPr>
        <w:t>ase data are needed to ensure</w:t>
      </w:r>
      <w:r w:rsidRPr="002208CA">
        <w:rPr>
          <w:szCs w:val="24"/>
        </w:rPr>
        <w:t xml:space="preserve"> </w:t>
      </w:r>
      <w:r w:rsidR="006C2FF5">
        <w:rPr>
          <w:szCs w:val="24"/>
        </w:rPr>
        <w:t xml:space="preserve">that CDC receives </w:t>
      </w:r>
      <w:r w:rsidRPr="002208CA">
        <w:rPr>
          <w:szCs w:val="24"/>
        </w:rPr>
        <w:t xml:space="preserve">sufficient information to develop and implement effective prevention and control strategies to minimize adverse health consequences. To accomplish this objective, </w:t>
      </w:r>
      <w:r w:rsidR="005C7841">
        <w:rPr>
          <w:szCs w:val="24"/>
        </w:rPr>
        <w:t>case data</w:t>
      </w:r>
      <w:r w:rsidRPr="002208CA">
        <w:rPr>
          <w:szCs w:val="24"/>
        </w:rPr>
        <w:t xml:space="preserve"> must be collected rapidly.</w:t>
      </w:r>
    </w:p>
    <w:p w:rsidR="002208CA" w:rsidP="008209F8" w14:paraId="26047B3B" w14:textId="77777777">
      <w:pPr>
        <w:pStyle w:val="Body1"/>
        <w:tabs>
          <w:tab w:val="num" w:pos="720"/>
          <w:tab w:val="left" w:pos="1710"/>
        </w:tabs>
        <w:rPr>
          <w:szCs w:val="24"/>
        </w:rPr>
      </w:pPr>
    </w:p>
    <w:p w:rsidR="000D3809" w:rsidP="008209F8" w14:paraId="3EAA930D" w14:textId="1CFBA5E7">
      <w:pPr>
        <w:pStyle w:val="Body1"/>
        <w:tabs>
          <w:tab w:val="num" w:pos="720"/>
          <w:tab w:val="left" w:pos="1710"/>
        </w:tabs>
      </w:pPr>
      <w:r>
        <w:t xml:space="preserve">The MDN includes </w:t>
      </w:r>
      <w:r w:rsidR="564660B7">
        <w:t>54</w:t>
      </w:r>
      <w:r>
        <w:t xml:space="preserve"> standardized data elements that describe the “who” (e.g., number of people affected, demographics, pregnancy status, underlying medical conditions, hospitalization status), the “what” (e.g., condition and category, symptoms, laboratory tests), the “when” (dates of symptom onset, diagnosis, laboratory results, case occurrence, death, date entered into STLT system, date sent to CDC), the “where” (e.g., jurisdiction), and the “why” (e.g., link to known outbreaks, relevant exposures, travel history).</w:t>
      </w:r>
      <w:r w:rsidR="00B41081">
        <w:t xml:space="preserve"> The complete list of MDN data elements </w:t>
      </w:r>
      <w:r w:rsidR="009B6437">
        <w:t xml:space="preserve">is </w:t>
      </w:r>
      <w:r w:rsidR="00224DA0">
        <w:t>identified</w:t>
      </w:r>
      <w:r w:rsidR="00B41081">
        <w:t xml:space="preserve"> in an attachment</w:t>
      </w:r>
      <w:r w:rsidR="00E46F10">
        <w:t xml:space="preserve"> </w:t>
      </w:r>
      <w:r w:rsidRPr="7D2F1781" w:rsidR="008367A7">
        <w:rPr>
          <w:b/>
          <w:bCs/>
        </w:rPr>
        <w:t xml:space="preserve">[Attachment 3. </w:t>
      </w:r>
      <w:r w:rsidRPr="7D2F1781" w:rsidR="001303E5">
        <w:rPr>
          <w:b/>
          <w:bCs/>
        </w:rPr>
        <w:t>List of MDN Data Elements for Case Data</w:t>
      </w:r>
      <w:r w:rsidRPr="7D2F1781" w:rsidR="00E43F5E">
        <w:rPr>
          <w:b/>
          <w:bCs/>
        </w:rPr>
        <w:t xml:space="preserve"> During an Emergency Response</w:t>
      </w:r>
      <w:r w:rsidRPr="7D2F1781" w:rsidR="00224DA0">
        <w:rPr>
          <w:b/>
          <w:bCs/>
        </w:rPr>
        <w:t>]</w:t>
      </w:r>
      <w:r w:rsidRPr="7D2F1781" w:rsidR="008367A7">
        <w:rPr>
          <w:b/>
          <w:bCs/>
        </w:rPr>
        <w:t>.</w:t>
      </w:r>
    </w:p>
    <w:p w:rsidR="000D3809" w:rsidP="008209F8" w14:paraId="701C9A0B" w14:textId="77777777">
      <w:pPr>
        <w:pStyle w:val="Body1"/>
        <w:tabs>
          <w:tab w:val="num" w:pos="720"/>
          <w:tab w:val="left" w:pos="1710"/>
        </w:tabs>
        <w:rPr>
          <w:szCs w:val="24"/>
        </w:rPr>
      </w:pPr>
    </w:p>
    <w:p w:rsidR="0080767C" w:rsidRPr="00377F69" w:rsidP="008209F8" w14:paraId="04A2934E" w14:textId="01A278B5">
      <w:pPr>
        <w:pStyle w:val="Body1"/>
        <w:tabs>
          <w:tab w:val="num" w:pos="720"/>
          <w:tab w:val="left" w:pos="1710"/>
        </w:tabs>
        <w:rPr>
          <w:szCs w:val="24"/>
        </w:rPr>
      </w:pPr>
      <w:r>
        <w:rPr>
          <w:szCs w:val="24"/>
        </w:rPr>
        <w:t>A</w:t>
      </w:r>
      <w:r w:rsidR="0088103B">
        <w:rPr>
          <w:szCs w:val="24"/>
        </w:rPr>
        <w:t xml:space="preserve"> negative consequence </w:t>
      </w:r>
      <w:r w:rsidR="0096759A">
        <w:rPr>
          <w:szCs w:val="24"/>
        </w:rPr>
        <w:t xml:space="preserve">of not having the information </w:t>
      </w:r>
      <w:r w:rsidR="0049016A">
        <w:rPr>
          <w:szCs w:val="24"/>
        </w:rPr>
        <w:t>is</w:t>
      </w:r>
      <w:r w:rsidR="0088103B">
        <w:rPr>
          <w:szCs w:val="24"/>
        </w:rPr>
        <w:t xml:space="preserve"> </w:t>
      </w:r>
      <w:r w:rsidRPr="00EF6B7B" w:rsidR="0088103B">
        <w:rPr>
          <w:szCs w:val="24"/>
        </w:rPr>
        <w:t xml:space="preserve">increased or sustained morbidity and mortality </w:t>
      </w:r>
      <w:r w:rsidR="00C026C7">
        <w:rPr>
          <w:szCs w:val="24"/>
        </w:rPr>
        <w:t xml:space="preserve">associated with the disease or condition that is the subject of the </w:t>
      </w:r>
      <w:r w:rsidR="0006189C">
        <w:rPr>
          <w:szCs w:val="24"/>
        </w:rPr>
        <w:t>emergency response at CDC.</w:t>
      </w:r>
      <w:r w:rsidRPr="00EF6B7B" w:rsidR="00C744A2">
        <w:rPr>
          <w:szCs w:val="24"/>
        </w:rPr>
        <w:t xml:space="preserve"> </w:t>
      </w:r>
      <w:r w:rsidRPr="00D41E42" w:rsidR="00D41E42">
        <w:rPr>
          <w:szCs w:val="24"/>
        </w:rPr>
        <w:t xml:space="preserve">Rapid disease notification is an indispensable tool for </w:t>
      </w:r>
      <w:r w:rsidR="00854DB8">
        <w:rPr>
          <w:szCs w:val="24"/>
        </w:rPr>
        <w:t xml:space="preserve">CDC </w:t>
      </w:r>
      <w:r w:rsidRPr="00D41E42" w:rsidR="00D41E42">
        <w:rPr>
          <w:szCs w:val="24"/>
        </w:rPr>
        <w:t>officials to monitor the occurrence and prevent the spread of the diseases</w:t>
      </w:r>
      <w:r w:rsidR="00A70B53">
        <w:rPr>
          <w:szCs w:val="24"/>
        </w:rPr>
        <w:t xml:space="preserve"> during an emergency response</w:t>
      </w:r>
      <w:r w:rsidRPr="00D41E42" w:rsidR="00D41E42">
        <w:rPr>
          <w:szCs w:val="24"/>
        </w:rPr>
        <w:t xml:space="preserve">. </w:t>
      </w:r>
      <w:r w:rsidR="00360C87">
        <w:rPr>
          <w:szCs w:val="24"/>
        </w:rPr>
        <w:t>T</w:t>
      </w:r>
      <w:r w:rsidRPr="00D41E42" w:rsidR="00D41E42">
        <w:rPr>
          <w:szCs w:val="24"/>
        </w:rPr>
        <w:t>imely assessment</w:t>
      </w:r>
      <w:r w:rsidR="00360C87">
        <w:rPr>
          <w:szCs w:val="24"/>
        </w:rPr>
        <w:t xml:space="preserve"> is critical</w:t>
      </w:r>
      <w:r w:rsidRPr="00D41E42" w:rsidR="00D41E42">
        <w:rPr>
          <w:szCs w:val="24"/>
        </w:rPr>
        <w:t>, particularly for emerging disease threats.</w:t>
      </w:r>
    </w:p>
    <w:p w:rsidR="0057310B" w:rsidRPr="006E754B" w:rsidP="00F46FA7" w14:paraId="6BF9C903" w14:textId="63F6B05F">
      <w:pPr>
        <w:pStyle w:val="Body1"/>
        <w:tabs>
          <w:tab w:val="num" w:pos="720"/>
          <w:tab w:val="left" w:pos="1710"/>
        </w:tabs>
        <w:ind w:left="720"/>
        <w:rPr>
          <w:szCs w:val="24"/>
        </w:rPr>
      </w:pPr>
    </w:p>
    <w:p w:rsidR="00527A26" w:rsidRPr="00B651A5" w:rsidP="001E5A9A" w14:paraId="0A585021" w14:textId="77777777">
      <w:pPr>
        <w:pStyle w:val="Body1"/>
        <w:tabs>
          <w:tab w:val="num" w:pos="720"/>
        </w:tabs>
        <w:ind w:left="720" w:hanging="720"/>
        <w:rPr>
          <w:b/>
          <w:szCs w:val="24"/>
        </w:rPr>
      </w:pPr>
      <w:r w:rsidRPr="00B651A5">
        <w:rPr>
          <w:b/>
          <w:szCs w:val="24"/>
        </w:rPr>
        <w:t xml:space="preserve">3. </w:t>
      </w:r>
      <w:r w:rsidRPr="00B651A5">
        <w:rPr>
          <w:b/>
          <w:szCs w:val="24"/>
        </w:rPr>
        <w:tab/>
        <w:t>Use of Improved Information Technology and Burden Reduction</w:t>
      </w:r>
    </w:p>
    <w:p w:rsidR="00527A26" w:rsidRPr="00B651A5" w:rsidP="00B83871" w14:paraId="7906C665" w14:textId="77777777">
      <w:pPr>
        <w:pStyle w:val="Body1"/>
        <w:tabs>
          <w:tab w:val="num" w:pos="0"/>
          <w:tab w:val="left" w:pos="720"/>
          <w:tab w:val="left" w:pos="1800"/>
        </w:tabs>
        <w:rPr>
          <w:b/>
          <w:szCs w:val="24"/>
        </w:rPr>
      </w:pPr>
    </w:p>
    <w:p w:rsidR="004E3B80" w:rsidP="001E3C0C" w14:paraId="7B51DB11" w14:textId="787DA9A0">
      <w:pPr>
        <w:pStyle w:val="Body1"/>
        <w:tabs>
          <w:tab w:val="num" w:pos="0"/>
          <w:tab w:val="left" w:pos="720"/>
          <w:tab w:val="left" w:pos="1800"/>
        </w:tabs>
        <w:rPr>
          <w:szCs w:val="24"/>
        </w:rPr>
      </w:pPr>
      <w:r>
        <w:rPr>
          <w:szCs w:val="24"/>
        </w:rPr>
        <w:t>Case d</w:t>
      </w:r>
      <w:r w:rsidRPr="0008238E" w:rsidR="0008238E">
        <w:rPr>
          <w:szCs w:val="24"/>
        </w:rPr>
        <w:t xml:space="preserve">ata will be sent to CDC by STLT health departments through </w:t>
      </w:r>
      <w:r w:rsidR="00765986">
        <w:rPr>
          <w:szCs w:val="24"/>
        </w:rPr>
        <w:t xml:space="preserve">a common operating platform </w:t>
      </w:r>
      <w:r w:rsidR="004C5067">
        <w:rPr>
          <w:szCs w:val="24"/>
        </w:rPr>
        <w:t xml:space="preserve">via </w:t>
      </w:r>
      <w:r w:rsidR="00694E2B">
        <w:rPr>
          <w:szCs w:val="24"/>
        </w:rPr>
        <w:t xml:space="preserve">the </w:t>
      </w:r>
      <w:r w:rsidRPr="0008238E" w:rsidR="0008238E">
        <w:rPr>
          <w:szCs w:val="24"/>
        </w:rPr>
        <w:t>Data Collation and Integration for Public Health Event Response (DCIPHER)</w:t>
      </w:r>
      <w:r w:rsidR="00694E2B">
        <w:rPr>
          <w:szCs w:val="24"/>
        </w:rPr>
        <w:t xml:space="preserve"> </w:t>
      </w:r>
      <w:r w:rsidR="004C5067">
        <w:rPr>
          <w:szCs w:val="24"/>
        </w:rPr>
        <w:t>interface</w:t>
      </w:r>
      <w:r w:rsidRPr="0008238E" w:rsidR="0008238E">
        <w:rPr>
          <w:szCs w:val="24"/>
        </w:rPr>
        <w:t xml:space="preserve">. </w:t>
      </w:r>
      <w:r w:rsidRPr="00AE2B53" w:rsidR="00AE2B53">
        <w:rPr>
          <w:szCs w:val="24"/>
        </w:rPr>
        <w:t xml:space="preserve">DCIPHER is a secure, scalable tool used to collate, prepare, analyze, </w:t>
      </w:r>
      <w:r w:rsidR="00E46598">
        <w:rPr>
          <w:szCs w:val="24"/>
        </w:rPr>
        <w:t xml:space="preserve">and </w:t>
      </w:r>
      <w:r w:rsidR="005B4997">
        <w:rPr>
          <w:szCs w:val="24"/>
        </w:rPr>
        <w:t>visualize</w:t>
      </w:r>
      <w:r w:rsidR="00CB08A2">
        <w:rPr>
          <w:szCs w:val="24"/>
        </w:rPr>
        <w:t xml:space="preserve"> case notification data</w:t>
      </w:r>
      <w:r w:rsidRPr="00AE2B53" w:rsidR="00AE2B53">
        <w:rPr>
          <w:szCs w:val="24"/>
        </w:rPr>
        <w:t>. DCIPHER can connect to virtually any system or data source, enabling data integration agnostic of source or format, and providing near real-time insights into public health problems</w:t>
      </w:r>
      <w:r w:rsidR="00AE2B53">
        <w:rPr>
          <w:szCs w:val="24"/>
        </w:rPr>
        <w:t xml:space="preserve">. </w:t>
      </w:r>
      <w:r w:rsidRPr="00E93D8E" w:rsidR="00E93D8E">
        <w:rPr>
          <w:szCs w:val="24"/>
        </w:rPr>
        <w:t>DCIPHER</w:t>
      </w:r>
      <w:r w:rsidR="00E93D8E">
        <w:rPr>
          <w:szCs w:val="24"/>
        </w:rPr>
        <w:t>’s</w:t>
      </w:r>
      <w:r w:rsidR="00D90A5A">
        <w:rPr>
          <w:szCs w:val="24"/>
        </w:rPr>
        <w:t xml:space="preserve"> capabilities</w:t>
      </w:r>
      <w:r w:rsidR="00A03C5A">
        <w:rPr>
          <w:szCs w:val="24"/>
        </w:rPr>
        <w:t xml:space="preserve"> </w:t>
      </w:r>
      <w:r w:rsidR="00976BAD">
        <w:rPr>
          <w:szCs w:val="24"/>
        </w:rPr>
        <w:t xml:space="preserve">align with the PHDS goals to </w:t>
      </w:r>
      <w:r w:rsidR="00EE341C">
        <w:rPr>
          <w:szCs w:val="24"/>
        </w:rPr>
        <w:t>s</w:t>
      </w:r>
      <w:r w:rsidRPr="001E3C0C" w:rsidR="001E3C0C">
        <w:rPr>
          <w:szCs w:val="24"/>
        </w:rPr>
        <w:t>trengthen the core of public health data</w:t>
      </w:r>
      <w:r w:rsidR="00D90A5A">
        <w:rPr>
          <w:szCs w:val="24"/>
        </w:rPr>
        <w:t>, a</w:t>
      </w:r>
      <w:r w:rsidRPr="001E3C0C" w:rsidR="001E3C0C">
        <w:rPr>
          <w:szCs w:val="24"/>
        </w:rPr>
        <w:t>ccelerate access to analytic and automated solutions to support public health investigations and advance health equity</w:t>
      </w:r>
      <w:r w:rsidR="00D90A5A">
        <w:rPr>
          <w:szCs w:val="24"/>
        </w:rPr>
        <w:t>, vi</w:t>
      </w:r>
      <w:r w:rsidRPr="001E3C0C" w:rsidR="001E3C0C">
        <w:rPr>
          <w:szCs w:val="24"/>
        </w:rPr>
        <w:t>sualize and share insights to inform public health action</w:t>
      </w:r>
      <w:r w:rsidR="00D90A5A">
        <w:rPr>
          <w:szCs w:val="24"/>
        </w:rPr>
        <w:t>, and a</w:t>
      </w:r>
      <w:r w:rsidRPr="001E3C0C" w:rsidR="001E3C0C">
        <w:rPr>
          <w:szCs w:val="24"/>
        </w:rPr>
        <w:t>dvance more open and interoperable public health data.</w:t>
      </w:r>
      <w:r w:rsidR="00D85B3E">
        <w:rPr>
          <w:szCs w:val="24"/>
        </w:rPr>
        <w:t xml:space="preserve"> </w:t>
      </w:r>
    </w:p>
    <w:p w:rsidR="004E3B80" w:rsidP="001E3C0C" w14:paraId="62D3E8B5" w14:textId="77777777">
      <w:pPr>
        <w:pStyle w:val="Body1"/>
        <w:tabs>
          <w:tab w:val="num" w:pos="0"/>
          <w:tab w:val="left" w:pos="720"/>
          <w:tab w:val="left" w:pos="1800"/>
        </w:tabs>
        <w:rPr>
          <w:szCs w:val="24"/>
        </w:rPr>
      </w:pPr>
    </w:p>
    <w:p w:rsidR="00E33576" w:rsidP="00B83871" w14:paraId="438E69C6" w14:textId="07E14721">
      <w:pPr>
        <w:pStyle w:val="Body1"/>
        <w:tabs>
          <w:tab w:val="num" w:pos="0"/>
          <w:tab w:val="left" w:pos="720"/>
          <w:tab w:val="left" w:pos="1800"/>
        </w:tabs>
        <w:rPr>
          <w:szCs w:val="24"/>
        </w:rPr>
      </w:pPr>
      <w:r w:rsidRPr="004E3B80">
        <w:rPr>
          <w:szCs w:val="24"/>
        </w:rPr>
        <w:t xml:space="preserve">DCIPHER </w:t>
      </w:r>
      <w:r w:rsidR="00563957">
        <w:rPr>
          <w:szCs w:val="24"/>
        </w:rPr>
        <w:t xml:space="preserve">collects data </w:t>
      </w:r>
      <w:r w:rsidR="0090587B">
        <w:rPr>
          <w:szCs w:val="24"/>
        </w:rPr>
        <w:t>directly via forms</w:t>
      </w:r>
      <w:r w:rsidR="006805E7">
        <w:rPr>
          <w:szCs w:val="24"/>
        </w:rPr>
        <w:t xml:space="preserve">, </w:t>
      </w:r>
      <w:r w:rsidR="0090587B">
        <w:rPr>
          <w:szCs w:val="24"/>
        </w:rPr>
        <w:t>spreadsheets</w:t>
      </w:r>
      <w:r w:rsidR="006805E7">
        <w:rPr>
          <w:szCs w:val="24"/>
        </w:rPr>
        <w:t>, or machine-to-machine transfer</w:t>
      </w:r>
      <w:r w:rsidR="0090587B">
        <w:rPr>
          <w:szCs w:val="24"/>
        </w:rPr>
        <w:t xml:space="preserve"> </w:t>
      </w:r>
      <w:r w:rsidR="00226BA3">
        <w:rPr>
          <w:szCs w:val="24"/>
        </w:rPr>
        <w:t>and can receive data from any system</w:t>
      </w:r>
      <w:r w:rsidR="006129D7">
        <w:rPr>
          <w:szCs w:val="24"/>
        </w:rPr>
        <w:t xml:space="preserve">. </w:t>
      </w:r>
      <w:r w:rsidRPr="006129D7" w:rsidR="006129D7">
        <w:rPr>
          <w:szCs w:val="24"/>
        </w:rPr>
        <w:t>DCIPHER</w:t>
      </w:r>
      <w:r w:rsidR="00563957">
        <w:rPr>
          <w:szCs w:val="24"/>
        </w:rPr>
        <w:t xml:space="preserve"> </w:t>
      </w:r>
      <w:r w:rsidRPr="004E3B80">
        <w:rPr>
          <w:szCs w:val="24"/>
        </w:rPr>
        <w:t xml:space="preserve">has been used to support </w:t>
      </w:r>
      <w:r w:rsidR="00E6541D">
        <w:rPr>
          <w:szCs w:val="24"/>
        </w:rPr>
        <w:t xml:space="preserve">emergency </w:t>
      </w:r>
      <w:r w:rsidRPr="004E3B80">
        <w:rPr>
          <w:szCs w:val="24"/>
        </w:rPr>
        <w:t>responses including</w:t>
      </w:r>
      <w:r w:rsidR="00314109">
        <w:rPr>
          <w:szCs w:val="24"/>
        </w:rPr>
        <w:t xml:space="preserve"> </w:t>
      </w:r>
      <w:r w:rsidRPr="00314109" w:rsidR="00314109">
        <w:rPr>
          <w:szCs w:val="24"/>
        </w:rPr>
        <w:t>E-Cigarette or Vaping Product Use-Associated Lung Injury (EVALI)</w:t>
      </w:r>
      <w:r w:rsidR="00314109">
        <w:rPr>
          <w:szCs w:val="24"/>
        </w:rPr>
        <w:t xml:space="preserve"> and </w:t>
      </w:r>
      <w:r w:rsidRPr="00314109" w:rsidR="00314109">
        <w:rPr>
          <w:szCs w:val="24"/>
        </w:rPr>
        <w:t>COVID-19</w:t>
      </w:r>
      <w:r w:rsidR="00314109">
        <w:rPr>
          <w:szCs w:val="24"/>
        </w:rPr>
        <w:t xml:space="preserve">. </w:t>
      </w:r>
      <w:r w:rsidRPr="00E71127" w:rsidR="00E71127">
        <w:rPr>
          <w:szCs w:val="24"/>
        </w:rPr>
        <w:t>For EVALI, DCIPHER moved from concept to full roll-out (inclusive of a two-week pilot) to 53 states/jurisdictions in just five</w:t>
      </w:r>
      <w:r w:rsidR="000431CE">
        <w:rPr>
          <w:szCs w:val="24"/>
        </w:rPr>
        <w:t xml:space="preserve"> </w:t>
      </w:r>
      <w:r w:rsidRPr="00E71127" w:rsidR="00E71127">
        <w:rPr>
          <w:szCs w:val="24"/>
        </w:rPr>
        <w:t>weeks. The EVALI team leveraged DCIPHER as their common operating platform to automate and standardize the entirety</w:t>
      </w:r>
      <w:r w:rsidR="00E71127">
        <w:rPr>
          <w:szCs w:val="24"/>
        </w:rPr>
        <w:t xml:space="preserve"> </w:t>
      </w:r>
      <w:r w:rsidRPr="00E71127" w:rsidR="00E71127">
        <w:rPr>
          <w:szCs w:val="24"/>
        </w:rPr>
        <w:t xml:space="preserve">of the data management </w:t>
      </w:r>
      <w:r w:rsidRPr="00E71127" w:rsidR="000431CE">
        <w:rPr>
          <w:szCs w:val="24"/>
        </w:rPr>
        <w:t>lifecycle and</w:t>
      </w:r>
      <w:r w:rsidRPr="00E71127" w:rsidR="00E71127">
        <w:rPr>
          <w:szCs w:val="24"/>
        </w:rPr>
        <w:t xml:space="preserve"> </w:t>
      </w:r>
      <w:r w:rsidRPr="00E71127" w:rsidR="00E71127">
        <w:rPr>
          <w:szCs w:val="24"/>
        </w:rPr>
        <w:t>reduced the number of resources required to support data management activities</w:t>
      </w:r>
      <w:r w:rsidR="00E71127">
        <w:rPr>
          <w:szCs w:val="24"/>
        </w:rPr>
        <w:t xml:space="preserve"> </w:t>
      </w:r>
      <w:r w:rsidRPr="00E71127" w:rsidR="00E71127">
        <w:rPr>
          <w:szCs w:val="24"/>
        </w:rPr>
        <w:t>by 75%, allowing for data preparation and consolidation to be completed within hours, rather than days.</w:t>
      </w:r>
      <w:r w:rsidR="000B4F5B">
        <w:rPr>
          <w:szCs w:val="24"/>
        </w:rPr>
        <w:t xml:space="preserve"> For COVID-19, </w:t>
      </w:r>
      <w:r w:rsidRPr="00597912" w:rsidR="00597912">
        <w:rPr>
          <w:szCs w:val="24"/>
        </w:rPr>
        <w:t xml:space="preserve">DCIPHER </w:t>
      </w:r>
      <w:r w:rsidR="00597912">
        <w:rPr>
          <w:szCs w:val="24"/>
        </w:rPr>
        <w:t>was s</w:t>
      </w:r>
      <w:r w:rsidRPr="000B4F5B" w:rsidR="000B4F5B">
        <w:rPr>
          <w:szCs w:val="24"/>
        </w:rPr>
        <w:t xml:space="preserve">caled rapidly to support 900 users, </w:t>
      </w:r>
      <w:r w:rsidR="00597912">
        <w:rPr>
          <w:szCs w:val="24"/>
        </w:rPr>
        <w:t xml:space="preserve">and </w:t>
      </w:r>
      <w:r w:rsidRPr="000B4F5B" w:rsidR="000B4F5B">
        <w:rPr>
          <w:szCs w:val="24"/>
        </w:rPr>
        <w:t>ingestion of 47</w:t>
      </w:r>
      <w:r w:rsidR="000B4F5B">
        <w:rPr>
          <w:szCs w:val="24"/>
        </w:rPr>
        <w:t xml:space="preserve"> </w:t>
      </w:r>
      <w:r w:rsidRPr="000B4F5B" w:rsidR="000B4F5B">
        <w:rPr>
          <w:szCs w:val="24"/>
        </w:rPr>
        <w:t>datasets</w:t>
      </w:r>
      <w:r w:rsidR="00D17C12">
        <w:rPr>
          <w:szCs w:val="24"/>
        </w:rPr>
        <w:t xml:space="preserve">. </w:t>
      </w:r>
      <w:r w:rsidR="00180CCE">
        <w:rPr>
          <w:szCs w:val="24"/>
        </w:rPr>
        <w:t xml:space="preserve">This included </w:t>
      </w:r>
      <w:r w:rsidRPr="000B4F5B" w:rsidR="000B4F5B">
        <w:rPr>
          <w:szCs w:val="24"/>
        </w:rPr>
        <w:t>the daily production of the main</w:t>
      </w:r>
      <w:r w:rsidR="00180CCE">
        <w:rPr>
          <w:szCs w:val="24"/>
        </w:rPr>
        <w:t xml:space="preserve"> </w:t>
      </w:r>
      <w:r w:rsidRPr="000B4F5B" w:rsidR="000B4F5B">
        <w:rPr>
          <w:szCs w:val="24"/>
        </w:rPr>
        <w:t>COVID-19 case surveillance dataset, which include</w:t>
      </w:r>
      <w:r w:rsidR="00180CCE">
        <w:rPr>
          <w:szCs w:val="24"/>
        </w:rPr>
        <w:t>d</w:t>
      </w:r>
      <w:r w:rsidR="000B4F5B">
        <w:rPr>
          <w:szCs w:val="24"/>
        </w:rPr>
        <w:t xml:space="preserve"> </w:t>
      </w:r>
      <w:r w:rsidRPr="000B4F5B" w:rsidR="000B4F5B">
        <w:rPr>
          <w:szCs w:val="24"/>
        </w:rPr>
        <w:t>23+ million records</w:t>
      </w:r>
      <w:r w:rsidR="00180CCE">
        <w:rPr>
          <w:szCs w:val="24"/>
        </w:rPr>
        <w:t>.</w:t>
      </w:r>
      <w:r w:rsidR="00243197">
        <w:rPr>
          <w:szCs w:val="24"/>
        </w:rPr>
        <w:t xml:space="preserve"> These examples illustrate how the use of DCIPHER can ease the reporting burden of jurisdictions</w:t>
      </w:r>
      <w:r w:rsidR="00CB6969">
        <w:rPr>
          <w:szCs w:val="24"/>
        </w:rPr>
        <w:t xml:space="preserve"> that </w:t>
      </w:r>
      <w:r w:rsidR="00C56BE0">
        <w:rPr>
          <w:szCs w:val="24"/>
        </w:rPr>
        <w:t>send</w:t>
      </w:r>
      <w:r w:rsidR="00CB6969">
        <w:rPr>
          <w:szCs w:val="24"/>
        </w:rPr>
        <w:t xml:space="preserve"> case data to CDC during emergency responses.</w:t>
      </w:r>
      <w:r w:rsidR="00D54FED">
        <w:rPr>
          <w:szCs w:val="24"/>
        </w:rPr>
        <w:t xml:space="preserve"> </w:t>
      </w:r>
    </w:p>
    <w:p w:rsidR="00E33576" w:rsidP="00B83871" w14:paraId="5EBCF351" w14:textId="77777777">
      <w:pPr>
        <w:pStyle w:val="Body1"/>
        <w:tabs>
          <w:tab w:val="num" w:pos="0"/>
          <w:tab w:val="left" w:pos="720"/>
          <w:tab w:val="left" w:pos="1800"/>
        </w:tabs>
        <w:rPr>
          <w:szCs w:val="24"/>
        </w:rPr>
      </w:pPr>
    </w:p>
    <w:p w:rsidR="00D2626B" w:rsidP="00B83871" w14:paraId="15DED7EF" w14:textId="0FA9EBFB">
      <w:pPr>
        <w:pStyle w:val="Body1"/>
        <w:tabs>
          <w:tab w:val="num" w:pos="0"/>
          <w:tab w:val="left" w:pos="720"/>
          <w:tab w:val="left" w:pos="1800"/>
        </w:tabs>
        <w:rPr>
          <w:szCs w:val="24"/>
        </w:rPr>
      </w:pPr>
      <w:r>
        <w:rPr>
          <w:szCs w:val="24"/>
        </w:rPr>
        <w:t xml:space="preserve">While DCIPHER will be the </w:t>
      </w:r>
      <w:r w:rsidR="003D63D1">
        <w:rPr>
          <w:szCs w:val="24"/>
        </w:rPr>
        <w:t xml:space="preserve">common operating platform and </w:t>
      </w:r>
      <w:r>
        <w:rPr>
          <w:szCs w:val="24"/>
        </w:rPr>
        <w:t>main data collection tool used to collect case data during emergency responses, j</w:t>
      </w:r>
      <w:r w:rsidR="009E0CAD">
        <w:rPr>
          <w:szCs w:val="24"/>
        </w:rPr>
        <w:t>urisdictions may use o</w:t>
      </w:r>
      <w:r w:rsidRPr="0008238E" w:rsidR="0008238E">
        <w:rPr>
          <w:szCs w:val="24"/>
        </w:rPr>
        <w:t xml:space="preserve">ther automated or non-automated mechanisms </w:t>
      </w:r>
      <w:r w:rsidR="009F4029">
        <w:rPr>
          <w:szCs w:val="24"/>
        </w:rPr>
        <w:t xml:space="preserve">to send case data to CDC </w:t>
      </w:r>
      <w:r w:rsidRPr="009F4029" w:rsidR="009F4029">
        <w:rPr>
          <w:szCs w:val="24"/>
        </w:rPr>
        <w:t>under very limited circumstances</w:t>
      </w:r>
      <w:r w:rsidR="00ED7421">
        <w:rPr>
          <w:szCs w:val="24"/>
        </w:rPr>
        <w:t>. The</w:t>
      </w:r>
      <w:r w:rsidR="00AD02D0">
        <w:rPr>
          <w:szCs w:val="24"/>
        </w:rPr>
        <w:t>se</w:t>
      </w:r>
      <w:r w:rsidR="00ED7421">
        <w:rPr>
          <w:szCs w:val="24"/>
        </w:rPr>
        <w:t xml:space="preserve"> mechanisms include but are not limited to f</w:t>
      </w:r>
      <w:r w:rsidRPr="0008238E" w:rsidR="0008238E">
        <w:rPr>
          <w:szCs w:val="24"/>
        </w:rPr>
        <w:t>ax, email, secure file upload, and data entry to a secure website</w:t>
      </w:r>
      <w:r w:rsidR="00F62933">
        <w:rPr>
          <w:szCs w:val="24"/>
        </w:rPr>
        <w:t>.</w:t>
      </w:r>
      <w:r w:rsidR="008E148E">
        <w:rPr>
          <w:szCs w:val="24"/>
        </w:rPr>
        <w:t xml:space="preserve"> Th</w:t>
      </w:r>
      <w:r w:rsidR="00975AA1">
        <w:rPr>
          <w:szCs w:val="24"/>
        </w:rPr>
        <w:t>is flexi</w:t>
      </w:r>
      <w:r w:rsidR="0059201B">
        <w:rPr>
          <w:szCs w:val="24"/>
        </w:rPr>
        <w:t>bility reduces the</w:t>
      </w:r>
      <w:r w:rsidR="008E148E">
        <w:rPr>
          <w:szCs w:val="24"/>
        </w:rPr>
        <w:t xml:space="preserve"> burden on </w:t>
      </w:r>
      <w:r w:rsidR="0059201B">
        <w:rPr>
          <w:szCs w:val="24"/>
        </w:rPr>
        <w:t xml:space="preserve">the </w:t>
      </w:r>
      <w:r w:rsidR="008E148E">
        <w:rPr>
          <w:szCs w:val="24"/>
        </w:rPr>
        <w:t>jurisdictions</w:t>
      </w:r>
      <w:r w:rsidR="0059201B">
        <w:rPr>
          <w:szCs w:val="24"/>
        </w:rPr>
        <w:t xml:space="preserve">. </w:t>
      </w:r>
    </w:p>
    <w:p w:rsidR="007B3729" w:rsidP="00B83871" w14:paraId="37AC7FCE" w14:textId="77777777">
      <w:pPr>
        <w:pStyle w:val="Body1"/>
        <w:tabs>
          <w:tab w:val="num" w:pos="0"/>
          <w:tab w:val="left" w:pos="720"/>
          <w:tab w:val="left" w:pos="1800"/>
        </w:tabs>
        <w:rPr>
          <w:szCs w:val="24"/>
        </w:rPr>
      </w:pPr>
    </w:p>
    <w:p w:rsidR="007B3729" w:rsidRPr="00BE636D" w:rsidP="007B3729" w14:paraId="6BCAC29B" w14:textId="714B605A">
      <w:pPr>
        <w:pStyle w:val="Body1"/>
        <w:tabs>
          <w:tab w:val="left" w:pos="720"/>
          <w:tab w:val="left" w:pos="1800"/>
        </w:tabs>
      </w:pPr>
      <w:r>
        <w:t xml:space="preserve">The burden on jurisdictions is reduced by allowing them to use transmission methods that are already set up and automated. </w:t>
      </w:r>
      <w:r>
        <w:t xml:space="preserve">Many jurisdictions have already onboarded the Generic Version 2 (GenV2) Message Mapping Guide (MMG) and are able to connect their surveillance system to CDC to send GenV2 data elements with no additional burden incurred. There is a total of </w:t>
      </w:r>
      <w:r w:rsidR="748AB466">
        <w:t>67</w:t>
      </w:r>
      <w:r>
        <w:t xml:space="preserve"> GenV2 data elements and of the </w:t>
      </w:r>
      <w:r w:rsidRPr="00441CC0" w:rsidR="432A4BF8">
        <w:t>67</w:t>
      </w:r>
      <w:r w:rsidR="00AB1DBA">
        <w:t xml:space="preserve"> GenV2</w:t>
      </w:r>
      <w:r>
        <w:t xml:space="preserve"> data elements, </w:t>
      </w:r>
      <w:r w:rsidR="611FDA9F">
        <w:t>42</w:t>
      </w:r>
      <w:r>
        <w:t xml:space="preserve"> are </w:t>
      </w:r>
      <w:r w:rsidR="00AB1DBA">
        <w:t>not MDN</w:t>
      </w:r>
      <w:r w:rsidR="002431B7">
        <w:t xml:space="preserve"> </w:t>
      </w:r>
      <w:r w:rsidR="000F232C">
        <w:t xml:space="preserve">data elements </w:t>
      </w:r>
      <w:r w:rsidRPr="7D2F1781" w:rsidR="002431B7">
        <w:rPr>
          <w:b/>
          <w:bCs/>
        </w:rPr>
        <w:t xml:space="preserve">[Attachment </w:t>
      </w:r>
      <w:r w:rsidRPr="7D2F1781" w:rsidR="000F232C">
        <w:rPr>
          <w:b/>
          <w:bCs/>
        </w:rPr>
        <w:t>4</w:t>
      </w:r>
      <w:r w:rsidRPr="7D2F1781" w:rsidR="002431B7">
        <w:rPr>
          <w:b/>
          <w:bCs/>
        </w:rPr>
        <w:t xml:space="preserve">. List of </w:t>
      </w:r>
      <w:r w:rsidRPr="7D2F1781" w:rsidR="000F232C">
        <w:rPr>
          <w:b/>
          <w:bCs/>
        </w:rPr>
        <w:t xml:space="preserve">GenV2 Data Elements </w:t>
      </w:r>
      <w:r w:rsidRPr="7D2F1781" w:rsidR="00BE7991">
        <w:rPr>
          <w:b/>
          <w:bCs/>
        </w:rPr>
        <w:t xml:space="preserve">that are not </w:t>
      </w:r>
      <w:r w:rsidRPr="7D2F1781" w:rsidR="00673BC5">
        <w:rPr>
          <w:b/>
          <w:bCs/>
        </w:rPr>
        <w:t>MDN Data Elements</w:t>
      </w:r>
      <w:r w:rsidRPr="7D2F1781" w:rsidR="002431B7">
        <w:rPr>
          <w:b/>
          <w:bCs/>
        </w:rPr>
        <w:t>]</w:t>
      </w:r>
      <w:r>
        <w:t>. If the condition that is the subject of an emergency response is nationally notifiable, permission for CDC to collect GenV2 data elements from jurisdictions is already covered by</w:t>
      </w:r>
      <w:r w:rsidR="007524C0">
        <w:t xml:space="preserve"> the ICR</w:t>
      </w:r>
      <w:r>
        <w:t xml:space="preserve"> 0920-0728, </w:t>
      </w:r>
      <w:r w:rsidR="009F783D">
        <w:t>National Notifiable Diseases Surveillance System (</w:t>
      </w:r>
      <w:r>
        <w:t>NNDSS</w:t>
      </w:r>
      <w:r w:rsidR="009F783D">
        <w:t>)</w:t>
      </w:r>
      <w:r>
        <w:t xml:space="preserve">. However, if the condition that is the subject of the emergency response is not nationally notifiable, there is no existing ICR that grants permission for CDC to collect GenV2 data elements. </w:t>
      </w:r>
      <w:r w:rsidR="00BE0812">
        <w:t xml:space="preserve">Therefore, in </w:t>
      </w:r>
      <w:r>
        <w:t>addition to permission to collect MDN and response-specific data elements</w:t>
      </w:r>
      <w:r w:rsidR="0071118B">
        <w:t xml:space="preserve"> for </w:t>
      </w:r>
      <w:r w:rsidR="009D36A5">
        <w:t xml:space="preserve">conditions that are nationally </w:t>
      </w:r>
      <w:r w:rsidR="0071118B">
        <w:t xml:space="preserve">notifiable and </w:t>
      </w:r>
      <w:r w:rsidR="009D36A5">
        <w:t>conditions that are not nationally notifiable,</w:t>
      </w:r>
      <w:r>
        <w:t xml:space="preserve"> CDC requests permission under this generic ICR to collect GenV2 data elements for conditions</w:t>
      </w:r>
      <w:r w:rsidR="000F1604">
        <w:t xml:space="preserve"> that are </w:t>
      </w:r>
      <w:r>
        <w:t>the subject of an emergency response</w:t>
      </w:r>
      <w:r w:rsidR="00B26A51">
        <w:t xml:space="preserve"> and are not nationally notifiable</w:t>
      </w:r>
      <w:r>
        <w:t xml:space="preserve">. </w:t>
      </w:r>
    </w:p>
    <w:p w:rsidR="007B3729" w:rsidP="00B83871" w14:paraId="7F7CADD3" w14:textId="77777777">
      <w:pPr>
        <w:pStyle w:val="Body1"/>
        <w:tabs>
          <w:tab w:val="num" w:pos="0"/>
          <w:tab w:val="left" w:pos="720"/>
          <w:tab w:val="left" w:pos="1800"/>
        </w:tabs>
        <w:rPr>
          <w:szCs w:val="24"/>
        </w:rPr>
      </w:pPr>
    </w:p>
    <w:p w:rsidR="002364DB" w:rsidP="00B83871" w14:paraId="6CD92CE9" w14:textId="77777777">
      <w:pPr>
        <w:pStyle w:val="Body1"/>
        <w:tabs>
          <w:tab w:val="num" w:pos="0"/>
          <w:tab w:val="left" w:pos="720"/>
          <w:tab w:val="left" w:pos="1800"/>
        </w:tabs>
        <w:rPr>
          <w:szCs w:val="24"/>
        </w:rPr>
      </w:pPr>
    </w:p>
    <w:p w:rsidR="00173727" w:rsidP="002364DB" w14:paraId="641F1A56" w14:textId="29545DBC">
      <w:pPr>
        <w:pStyle w:val="Body1"/>
        <w:tabs>
          <w:tab w:val="num" w:pos="0"/>
          <w:tab w:val="left" w:pos="720"/>
          <w:tab w:val="left" w:pos="1800"/>
        </w:tabs>
        <w:rPr>
          <w:szCs w:val="24"/>
        </w:rPr>
      </w:pPr>
      <w:r w:rsidRPr="002364DB">
        <w:rPr>
          <w:szCs w:val="24"/>
        </w:rPr>
        <w:t xml:space="preserve">CDC </w:t>
      </w:r>
      <w:r>
        <w:rPr>
          <w:szCs w:val="24"/>
        </w:rPr>
        <w:t xml:space="preserve">is </w:t>
      </w:r>
      <w:r w:rsidRPr="002364DB">
        <w:rPr>
          <w:szCs w:val="24"/>
        </w:rPr>
        <w:t xml:space="preserve">committed to minimizing the disease collection and submission burden for jurisdictions. This </w:t>
      </w:r>
      <w:r w:rsidR="000B4458">
        <w:rPr>
          <w:szCs w:val="24"/>
        </w:rPr>
        <w:t>will be</w:t>
      </w:r>
      <w:r w:rsidRPr="002364DB">
        <w:rPr>
          <w:szCs w:val="24"/>
        </w:rPr>
        <w:t xml:space="preserve"> accomplished by</w:t>
      </w:r>
      <w:r>
        <w:rPr>
          <w:szCs w:val="24"/>
        </w:rPr>
        <w:t>:</w:t>
      </w:r>
    </w:p>
    <w:p w:rsidR="00173727" w:rsidP="002364DB" w14:paraId="6EEC0033" w14:textId="3AEEE8E4">
      <w:pPr>
        <w:pStyle w:val="Body1"/>
        <w:numPr>
          <w:ilvl w:val="0"/>
          <w:numId w:val="11"/>
        </w:numPr>
        <w:tabs>
          <w:tab w:val="num" w:pos="0"/>
          <w:tab w:val="left" w:pos="720"/>
          <w:tab w:val="left" w:pos="1800"/>
        </w:tabs>
        <w:rPr>
          <w:szCs w:val="24"/>
        </w:rPr>
      </w:pPr>
      <w:r w:rsidRPr="00173727">
        <w:rPr>
          <w:szCs w:val="24"/>
        </w:rPr>
        <w:t>H</w:t>
      </w:r>
      <w:r w:rsidRPr="00173727" w:rsidR="002364DB">
        <w:rPr>
          <w:szCs w:val="24"/>
        </w:rPr>
        <w:t xml:space="preserve">elping jurisdictions focus their surveillance efforts by providing guidance on which data elements are most important for </w:t>
      </w:r>
      <w:r w:rsidR="009B2DFB">
        <w:rPr>
          <w:szCs w:val="24"/>
        </w:rPr>
        <w:t>situational awareness</w:t>
      </w:r>
      <w:r w:rsidR="00E851F4">
        <w:rPr>
          <w:szCs w:val="24"/>
        </w:rPr>
        <w:t>.</w:t>
      </w:r>
    </w:p>
    <w:p w:rsidR="00173727" w:rsidP="002364DB" w14:paraId="7A6097E7" w14:textId="059F5EB5">
      <w:pPr>
        <w:pStyle w:val="Body1"/>
        <w:numPr>
          <w:ilvl w:val="0"/>
          <w:numId w:val="11"/>
        </w:numPr>
        <w:tabs>
          <w:tab w:val="num" w:pos="0"/>
          <w:tab w:val="left" w:pos="720"/>
          <w:tab w:val="left" w:pos="1800"/>
        </w:tabs>
        <w:rPr>
          <w:szCs w:val="24"/>
        </w:rPr>
      </w:pPr>
      <w:r w:rsidRPr="00173727">
        <w:rPr>
          <w:szCs w:val="24"/>
        </w:rPr>
        <w:t>Not requiring jurisdictions to send data elements that are not available for an individual</w:t>
      </w:r>
      <w:r w:rsidR="00AB06C9">
        <w:rPr>
          <w:szCs w:val="24"/>
        </w:rPr>
        <w:t xml:space="preserve"> case</w:t>
      </w:r>
      <w:r w:rsidRPr="00173727">
        <w:rPr>
          <w:szCs w:val="24"/>
        </w:rPr>
        <w:t>, not included in the jurisdiction’s surveillance system, or not a priority for collection in the jurisdiction; and</w:t>
      </w:r>
    </w:p>
    <w:p w:rsidR="00BE636D" w:rsidP="00BE636D" w14:paraId="6B4F5444" w14:textId="77777777">
      <w:pPr>
        <w:pStyle w:val="Body1"/>
        <w:numPr>
          <w:ilvl w:val="0"/>
          <w:numId w:val="11"/>
        </w:numPr>
        <w:tabs>
          <w:tab w:val="num" w:pos="0"/>
          <w:tab w:val="left" w:pos="720"/>
          <w:tab w:val="left" w:pos="1800"/>
        </w:tabs>
        <w:rPr>
          <w:szCs w:val="24"/>
        </w:rPr>
      </w:pPr>
      <w:r w:rsidRPr="00173727">
        <w:rPr>
          <w:szCs w:val="24"/>
        </w:rPr>
        <w:t>Receiving th</w:t>
      </w:r>
      <w:r w:rsidR="00E851F4">
        <w:rPr>
          <w:szCs w:val="24"/>
        </w:rPr>
        <w:t>ese</w:t>
      </w:r>
      <w:r w:rsidRPr="00173727">
        <w:rPr>
          <w:szCs w:val="24"/>
        </w:rPr>
        <w:t xml:space="preserve"> data through </w:t>
      </w:r>
      <w:r w:rsidR="007A7426">
        <w:rPr>
          <w:szCs w:val="24"/>
        </w:rPr>
        <w:t>DCIPHER</w:t>
      </w:r>
      <w:r w:rsidRPr="00173727">
        <w:rPr>
          <w:szCs w:val="24"/>
        </w:rPr>
        <w:t xml:space="preserve">, an existing infrastructure that supports automated messaging and that is already in use by public health jurisdictions to transmit case data from their jurisdiction surveillance systems to CDC. </w:t>
      </w:r>
    </w:p>
    <w:p w:rsidR="00BE636D" w:rsidP="00BE636D" w14:paraId="322D30B1" w14:textId="77777777">
      <w:pPr>
        <w:pStyle w:val="Body1"/>
        <w:tabs>
          <w:tab w:val="left" w:pos="720"/>
          <w:tab w:val="left" w:pos="1800"/>
        </w:tabs>
        <w:ind w:left="780"/>
        <w:rPr>
          <w:szCs w:val="24"/>
        </w:rPr>
      </w:pPr>
    </w:p>
    <w:p w:rsidR="004C7D36" w:rsidP="00AC3A9F" w14:paraId="2F4A42C1" w14:textId="77777777">
      <w:pPr>
        <w:pStyle w:val="Body1"/>
        <w:tabs>
          <w:tab w:val="num" w:pos="720"/>
        </w:tabs>
        <w:rPr>
          <w:b/>
          <w:szCs w:val="24"/>
        </w:rPr>
      </w:pPr>
    </w:p>
    <w:p w:rsidR="00E876A0" w:rsidP="00E876A0" w14:paraId="07FE6827" w14:textId="2FB8BD6D">
      <w:pPr>
        <w:pStyle w:val="Body1"/>
        <w:tabs>
          <w:tab w:val="num" w:pos="0"/>
          <w:tab w:val="left" w:pos="720"/>
          <w:tab w:val="left" w:pos="1800"/>
        </w:tabs>
        <w:rPr>
          <w:szCs w:val="24"/>
        </w:rPr>
      </w:pPr>
      <w:r>
        <w:rPr>
          <w:szCs w:val="24"/>
        </w:rPr>
        <w:t xml:space="preserve">To further support the use of improved information technology, aggregate </w:t>
      </w:r>
      <w:r w:rsidRPr="00E36AE0">
        <w:rPr>
          <w:szCs w:val="24"/>
        </w:rPr>
        <w:t>case data from each emergency response may be available to the public on https://data.</w:t>
      </w:r>
      <w:r>
        <w:rPr>
          <w:szCs w:val="24"/>
        </w:rPr>
        <w:t>cdc.</w:t>
      </w:r>
      <w:r w:rsidRPr="00E36AE0">
        <w:rPr>
          <w:szCs w:val="24"/>
        </w:rPr>
        <w:t xml:space="preserve">gov and </w:t>
      </w:r>
      <w:hyperlink r:id="rId10" w:history="1">
        <w:r w:rsidRPr="004E1FCC">
          <w:rPr>
            <w:rStyle w:val="Hyperlink"/>
            <w:szCs w:val="24"/>
          </w:rPr>
          <w:t>https://data.gov</w:t>
        </w:r>
      </w:hyperlink>
      <w:r w:rsidRPr="00E36AE0">
        <w:rPr>
          <w:szCs w:val="24"/>
        </w:rPr>
        <w:t>.</w:t>
      </w:r>
    </w:p>
    <w:p w:rsidR="00E876A0" w:rsidP="00AC3A9F" w14:paraId="008D7B8A" w14:textId="77777777">
      <w:pPr>
        <w:pStyle w:val="Body1"/>
        <w:tabs>
          <w:tab w:val="num" w:pos="720"/>
        </w:tabs>
        <w:rPr>
          <w:b/>
          <w:szCs w:val="24"/>
        </w:rPr>
      </w:pPr>
    </w:p>
    <w:p w:rsidR="00E876A0" w:rsidP="00AC3A9F" w14:paraId="4CDB90B5" w14:textId="77777777">
      <w:pPr>
        <w:pStyle w:val="Body1"/>
        <w:tabs>
          <w:tab w:val="num" w:pos="720"/>
        </w:tabs>
        <w:rPr>
          <w:b/>
          <w:szCs w:val="24"/>
        </w:rPr>
      </w:pPr>
    </w:p>
    <w:p w:rsidR="00527A26" w:rsidRPr="0072690B" w:rsidP="00AC3A9F" w14:paraId="552BF298" w14:textId="48FD0F8C">
      <w:pPr>
        <w:pStyle w:val="Body1"/>
        <w:tabs>
          <w:tab w:val="num" w:pos="720"/>
        </w:tabs>
        <w:rPr>
          <w:b/>
          <w:szCs w:val="24"/>
        </w:rPr>
      </w:pPr>
      <w:r w:rsidRPr="0072690B">
        <w:rPr>
          <w:b/>
          <w:szCs w:val="24"/>
        </w:rPr>
        <w:t xml:space="preserve">4. </w:t>
      </w:r>
      <w:r w:rsidRPr="0072690B">
        <w:rPr>
          <w:b/>
          <w:szCs w:val="24"/>
        </w:rPr>
        <w:tab/>
        <w:t>Efforts to Identify Duplication and Use of Similar Information</w:t>
      </w:r>
    </w:p>
    <w:p w:rsidR="00527A26" w:rsidRPr="0072690B" w:rsidP="00B83871" w14:paraId="120683F1" w14:textId="77777777">
      <w:pPr>
        <w:pStyle w:val="Body1"/>
        <w:tabs>
          <w:tab w:val="num" w:pos="0"/>
          <w:tab w:val="left" w:pos="720"/>
          <w:tab w:val="left" w:pos="1080"/>
          <w:tab w:val="left" w:pos="1800"/>
        </w:tabs>
        <w:rPr>
          <w:b/>
          <w:szCs w:val="24"/>
        </w:rPr>
      </w:pPr>
    </w:p>
    <w:p w:rsidR="00DA7C18" w:rsidP="00B83871" w14:paraId="67B0BCFE" w14:textId="638507F7">
      <w:pPr>
        <w:pStyle w:val="Body1"/>
        <w:tabs>
          <w:tab w:val="num" w:pos="0"/>
          <w:tab w:val="left" w:pos="720"/>
          <w:tab w:val="left" w:pos="1080"/>
          <w:tab w:val="left" w:pos="1800"/>
        </w:tabs>
        <w:rPr>
          <w:szCs w:val="24"/>
        </w:rPr>
      </w:pPr>
      <w:r w:rsidRPr="00DA7C18">
        <w:rPr>
          <w:szCs w:val="24"/>
        </w:rPr>
        <w:t>No other Federal agency funds or conducts this type of surveillance based on information on confirmed, probable, and suspected cases of diseases or conditions that are the subject of an emergency response. This information obtained from STLTs and maintained by CDC serves as a unique, centralized, integrated source of information in the U.S. and the information is not available from any other source. While there are current ICRs in use by CDC to facilitate data collection during emergencies, there is no standard mechanism to collect the MDN and response-specific case data for diseases or conditions that are the subject of an emergency response at CDC.</w:t>
      </w:r>
    </w:p>
    <w:p w:rsidR="00B51528" w:rsidP="00B83871" w14:paraId="1C4716CF" w14:textId="77777777">
      <w:pPr>
        <w:pStyle w:val="Body1"/>
        <w:tabs>
          <w:tab w:val="num" w:pos="0"/>
          <w:tab w:val="left" w:pos="720"/>
          <w:tab w:val="left" w:pos="1080"/>
          <w:tab w:val="left" w:pos="1800"/>
        </w:tabs>
        <w:rPr>
          <w:szCs w:val="24"/>
        </w:rPr>
      </w:pPr>
    </w:p>
    <w:p w:rsidR="00B51528" w:rsidP="00B83871" w14:paraId="12B9E1C1" w14:textId="485ED07D">
      <w:pPr>
        <w:pStyle w:val="Body1"/>
        <w:tabs>
          <w:tab w:val="num" w:pos="0"/>
          <w:tab w:val="left" w:pos="720"/>
          <w:tab w:val="left" w:pos="1080"/>
          <w:tab w:val="left" w:pos="1800"/>
        </w:tabs>
        <w:rPr>
          <w:szCs w:val="24"/>
        </w:rPr>
      </w:pPr>
      <w:r w:rsidRPr="00B51528">
        <w:rPr>
          <w:szCs w:val="24"/>
        </w:rPr>
        <w:t xml:space="preserve">A CDC staff person will serve in the role of </w:t>
      </w:r>
      <w:r w:rsidR="00F46861">
        <w:rPr>
          <w:szCs w:val="24"/>
        </w:rPr>
        <w:t xml:space="preserve">MDN for Case Data </w:t>
      </w:r>
      <w:r w:rsidRPr="00B51528">
        <w:rPr>
          <w:szCs w:val="24"/>
        </w:rPr>
        <w:t xml:space="preserve">Information Collection Request Liaison (ICRL). The ICRL will be responsible for maintaining a </w:t>
      </w:r>
      <w:r w:rsidR="00CE0140">
        <w:rPr>
          <w:szCs w:val="24"/>
        </w:rPr>
        <w:t>response-specific data element</w:t>
      </w:r>
      <w:r w:rsidRPr="00B51528">
        <w:rPr>
          <w:szCs w:val="24"/>
        </w:rPr>
        <w:t xml:space="preserve"> library, which will include </w:t>
      </w:r>
      <w:r w:rsidR="00CE0140">
        <w:rPr>
          <w:szCs w:val="24"/>
        </w:rPr>
        <w:t xml:space="preserve">a list of response-specific data elements </w:t>
      </w:r>
      <w:r w:rsidR="00D2347A">
        <w:rPr>
          <w:szCs w:val="24"/>
        </w:rPr>
        <w:t xml:space="preserve">and their value sets </w:t>
      </w:r>
      <w:r w:rsidR="00CE0140">
        <w:rPr>
          <w:szCs w:val="24"/>
        </w:rPr>
        <w:t>used</w:t>
      </w:r>
      <w:r w:rsidRPr="00B51528">
        <w:rPr>
          <w:szCs w:val="24"/>
        </w:rPr>
        <w:t xml:space="preserve"> under this generic </w:t>
      </w:r>
      <w:r w:rsidR="00A44C02">
        <w:rPr>
          <w:szCs w:val="24"/>
        </w:rPr>
        <w:t>ICR</w:t>
      </w:r>
      <w:r w:rsidRPr="00B51528">
        <w:rPr>
          <w:szCs w:val="24"/>
        </w:rPr>
        <w:t xml:space="preserve">. </w:t>
      </w:r>
      <w:r w:rsidR="00EC1F1D">
        <w:rPr>
          <w:szCs w:val="24"/>
        </w:rPr>
        <w:t>These data elements</w:t>
      </w:r>
      <w:r w:rsidR="000A3BE1">
        <w:rPr>
          <w:szCs w:val="24"/>
        </w:rPr>
        <w:t xml:space="preserve"> can be reused </w:t>
      </w:r>
      <w:r w:rsidR="0065646C">
        <w:rPr>
          <w:szCs w:val="24"/>
        </w:rPr>
        <w:t>during</w:t>
      </w:r>
      <w:r w:rsidR="000A3BE1">
        <w:rPr>
          <w:szCs w:val="24"/>
        </w:rPr>
        <w:t xml:space="preserve"> future emergency responses to ensure </w:t>
      </w:r>
      <w:r w:rsidR="00E20ED3">
        <w:rPr>
          <w:szCs w:val="24"/>
        </w:rPr>
        <w:t>standardization and harmonization of case data.</w:t>
      </w:r>
      <w:r w:rsidRPr="00B51528">
        <w:rPr>
          <w:szCs w:val="24"/>
        </w:rPr>
        <w:t xml:space="preserve"> </w:t>
      </w:r>
    </w:p>
    <w:p w:rsidR="00DA7C18" w:rsidRPr="0072690B" w:rsidP="00B83871" w14:paraId="00F93FEC" w14:textId="77777777">
      <w:pPr>
        <w:pStyle w:val="Body1"/>
        <w:tabs>
          <w:tab w:val="num" w:pos="0"/>
          <w:tab w:val="left" w:pos="720"/>
          <w:tab w:val="left" w:pos="1080"/>
          <w:tab w:val="left" w:pos="1800"/>
        </w:tabs>
        <w:rPr>
          <w:szCs w:val="24"/>
        </w:rPr>
      </w:pPr>
    </w:p>
    <w:p w:rsidR="00527A26" w:rsidRPr="0072690B" w:rsidP="00B14FF7" w14:paraId="705E5B24" w14:textId="77777777">
      <w:pPr>
        <w:pStyle w:val="Body1"/>
        <w:tabs>
          <w:tab w:val="num" w:pos="720"/>
        </w:tabs>
        <w:rPr>
          <w:b/>
          <w:szCs w:val="24"/>
        </w:rPr>
      </w:pPr>
      <w:r w:rsidRPr="0072690B">
        <w:rPr>
          <w:b/>
          <w:szCs w:val="24"/>
        </w:rPr>
        <w:t>5.</w:t>
      </w:r>
      <w:r w:rsidRPr="0072690B">
        <w:rPr>
          <w:b/>
          <w:szCs w:val="24"/>
        </w:rPr>
        <w:tab/>
        <w:t>Impact on Small Businesses or Other Small Entities</w:t>
      </w:r>
    </w:p>
    <w:p w:rsidR="00527A26" w:rsidRPr="0072690B" w:rsidP="00B83871" w14:paraId="6EDB716E" w14:textId="77777777">
      <w:pPr>
        <w:pStyle w:val="Body1"/>
        <w:tabs>
          <w:tab w:val="num" w:pos="0"/>
          <w:tab w:val="left" w:pos="720"/>
          <w:tab w:val="left" w:pos="1080"/>
          <w:tab w:val="left" w:pos="1800"/>
        </w:tabs>
        <w:rPr>
          <w:b/>
          <w:szCs w:val="24"/>
        </w:rPr>
      </w:pPr>
    </w:p>
    <w:p w:rsidR="00527A26" w:rsidP="00B83871" w14:paraId="30432982" w14:textId="5444AB7E">
      <w:pPr>
        <w:pStyle w:val="Body1"/>
        <w:tabs>
          <w:tab w:val="num" w:pos="0"/>
          <w:tab w:val="left" w:pos="720"/>
          <w:tab w:val="left" w:pos="1080"/>
          <w:tab w:val="left" w:pos="1800"/>
        </w:tabs>
        <w:rPr>
          <w:color w:val="auto"/>
          <w:szCs w:val="24"/>
        </w:rPr>
      </w:pPr>
      <w:r w:rsidRPr="00ED5FAB">
        <w:rPr>
          <w:color w:val="auto"/>
          <w:szCs w:val="24"/>
        </w:rPr>
        <w:t>This submission of information does not involve small businesses or other small entities.</w:t>
      </w:r>
    </w:p>
    <w:p w:rsidR="00ED5FAB" w:rsidRPr="0072690B" w:rsidP="00B83871" w14:paraId="12BDEA37" w14:textId="77777777">
      <w:pPr>
        <w:pStyle w:val="Body1"/>
        <w:tabs>
          <w:tab w:val="num" w:pos="0"/>
          <w:tab w:val="left" w:pos="720"/>
          <w:tab w:val="left" w:pos="1080"/>
          <w:tab w:val="left" w:pos="1800"/>
        </w:tabs>
        <w:rPr>
          <w:b/>
          <w:szCs w:val="24"/>
        </w:rPr>
      </w:pPr>
    </w:p>
    <w:p w:rsidR="00527A26" w:rsidRPr="0072690B" w:rsidP="00B14FF7" w14:paraId="1B9C2324" w14:textId="77777777">
      <w:pPr>
        <w:pStyle w:val="Body1"/>
        <w:tabs>
          <w:tab w:val="num" w:pos="720"/>
        </w:tabs>
        <w:rPr>
          <w:b/>
          <w:szCs w:val="24"/>
        </w:rPr>
      </w:pPr>
      <w:r w:rsidRPr="0072690B">
        <w:rPr>
          <w:b/>
          <w:szCs w:val="24"/>
        </w:rPr>
        <w:t xml:space="preserve">6. </w:t>
      </w:r>
      <w:r w:rsidRPr="0072690B">
        <w:rPr>
          <w:b/>
          <w:szCs w:val="24"/>
        </w:rPr>
        <w:tab/>
        <w:t>Consequences of Collecting the Information Less Frequently</w:t>
      </w:r>
    </w:p>
    <w:p w:rsidR="00730E0C" w:rsidP="00A25ECB" w14:paraId="79A30723" w14:textId="77777777">
      <w:pPr>
        <w:pStyle w:val="Body1"/>
        <w:tabs>
          <w:tab w:val="num" w:pos="0"/>
          <w:tab w:val="left" w:pos="720"/>
          <w:tab w:val="left" w:pos="1080"/>
          <w:tab w:val="left" w:pos="1800"/>
        </w:tabs>
        <w:rPr>
          <w:bCs/>
          <w:szCs w:val="24"/>
        </w:rPr>
      </w:pPr>
    </w:p>
    <w:p w:rsidR="005A1051" w:rsidP="00A25ECB" w14:paraId="28B8B3B6" w14:textId="041DF410">
      <w:pPr>
        <w:pStyle w:val="Body1"/>
        <w:tabs>
          <w:tab w:val="num" w:pos="0"/>
          <w:tab w:val="left" w:pos="720"/>
          <w:tab w:val="left" w:pos="1080"/>
          <w:tab w:val="left" w:pos="1800"/>
        </w:tabs>
        <w:rPr>
          <w:bCs/>
          <w:szCs w:val="24"/>
        </w:rPr>
      </w:pPr>
      <w:r>
        <w:rPr>
          <w:bCs/>
          <w:szCs w:val="24"/>
        </w:rPr>
        <w:t xml:space="preserve">The frequency of </w:t>
      </w:r>
      <w:r w:rsidR="0059052D">
        <w:rPr>
          <w:bCs/>
          <w:szCs w:val="24"/>
        </w:rPr>
        <w:t>notification</w:t>
      </w:r>
      <w:r>
        <w:rPr>
          <w:bCs/>
          <w:szCs w:val="24"/>
        </w:rPr>
        <w:t xml:space="preserve"> o</w:t>
      </w:r>
      <w:r w:rsidR="00C76F4F">
        <w:rPr>
          <w:bCs/>
          <w:szCs w:val="24"/>
        </w:rPr>
        <w:t>f</w:t>
      </w:r>
      <w:r>
        <w:rPr>
          <w:bCs/>
          <w:szCs w:val="24"/>
        </w:rPr>
        <w:t xml:space="preserve"> case</w:t>
      </w:r>
      <w:r w:rsidR="0059052D">
        <w:rPr>
          <w:bCs/>
          <w:szCs w:val="24"/>
        </w:rPr>
        <w:t>s</w:t>
      </w:r>
      <w:r>
        <w:rPr>
          <w:bCs/>
          <w:szCs w:val="24"/>
        </w:rPr>
        <w:t xml:space="preserve"> from STLT health departments to CDC</w:t>
      </w:r>
      <w:r w:rsidR="005505E2">
        <w:rPr>
          <w:bCs/>
          <w:szCs w:val="24"/>
        </w:rPr>
        <w:t xml:space="preserve"> during an emergency</w:t>
      </w:r>
      <w:r w:rsidR="00C76F4F">
        <w:rPr>
          <w:bCs/>
          <w:szCs w:val="24"/>
        </w:rPr>
        <w:t xml:space="preserve"> </w:t>
      </w:r>
      <w:r w:rsidR="005505E2">
        <w:rPr>
          <w:bCs/>
          <w:szCs w:val="24"/>
        </w:rPr>
        <w:t>response is dependent on the disease or condition.</w:t>
      </w:r>
      <w:r w:rsidR="00EC22DC">
        <w:rPr>
          <w:bCs/>
          <w:szCs w:val="24"/>
        </w:rPr>
        <w:t xml:space="preserve"> </w:t>
      </w:r>
      <w:r w:rsidRPr="00C46320" w:rsidR="00C46320">
        <w:rPr>
          <w:bCs/>
          <w:szCs w:val="24"/>
        </w:rPr>
        <w:t>Timely notification is critical to provide situational awareness at the federal level to support decision making, particularly for public health threats that escalate quickly and cross jurisdictions.</w:t>
      </w:r>
      <w:r w:rsidR="00377CF9">
        <w:rPr>
          <w:bCs/>
          <w:szCs w:val="24"/>
        </w:rPr>
        <w:t xml:space="preserve"> Ra</w:t>
      </w:r>
      <w:r w:rsidRPr="00A25ECB" w:rsidR="00A25ECB">
        <w:rPr>
          <w:bCs/>
          <w:szCs w:val="24"/>
        </w:rPr>
        <w:t xml:space="preserve">pid </w:t>
      </w:r>
      <w:r w:rsidR="00EC1146">
        <w:rPr>
          <w:bCs/>
          <w:szCs w:val="24"/>
        </w:rPr>
        <w:t xml:space="preserve">transmission of </w:t>
      </w:r>
      <w:r w:rsidR="00030F38">
        <w:rPr>
          <w:bCs/>
          <w:szCs w:val="24"/>
        </w:rPr>
        <w:t xml:space="preserve">case </w:t>
      </w:r>
      <w:r w:rsidR="00EC1146">
        <w:rPr>
          <w:bCs/>
          <w:szCs w:val="24"/>
        </w:rPr>
        <w:t xml:space="preserve">data </w:t>
      </w:r>
      <w:r w:rsidRPr="00A25ECB" w:rsidR="00A25ECB">
        <w:rPr>
          <w:bCs/>
          <w:szCs w:val="24"/>
        </w:rPr>
        <w:t xml:space="preserve">is an indispensable tool for public health officials at </w:t>
      </w:r>
      <w:r w:rsidR="00EC1146">
        <w:rPr>
          <w:bCs/>
          <w:szCs w:val="24"/>
        </w:rPr>
        <w:t>CDC</w:t>
      </w:r>
      <w:r w:rsidRPr="00A25ECB" w:rsidR="00A25ECB">
        <w:rPr>
          <w:bCs/>
          <w:szCs w:val="24"/>
        </w:rPr>
        <w:t xml:space="preserve">, who use the data to monitor the occurrence and prevent the spread of the diseases. Less frequent notification does not allow timely assessment, particularly for emerging disease threats. Changes in disease distribution are continuously monitored </w:t>
      </w:r>
      <w:r w:rsidR="004408DD">
        <w:rPr>
          <w:bCs/>
          <w:szCs w:val="24"/>
        </w:rPr>
        <w:t xml:space="preserve">during the emergency response </w:t>
      </w:r>
      <w:r w:rsidRPr="00A25ECB" w:rsidR="00A25ECB">
        <w:rPr>
          <w:bCs/>
          <w:szCs w:val="24"/>
        </w:rPr>
        <w:t xml:space="preserve">so that appropriate investigations or interventions may be rapidly undertaken. In addition, rapid </w:t>
      </w:r>
      <w:r w:rsidR="006C2469">
        <w:rPr>
          <w:bCs/>
          <w:szCs w:val="24"/>
        </w:rPr>
        <w:t>transmission of case data</w:t>
      </w:r>
      <w:r w:rsidRPr="00A25ECB" w:rsidR="00A25ECB">
        <w:rPr>
          <w:bCs/>
          <w:szCs w:val="24"/>
        </w:rPr>
        <w:t xml:space="preserve"> is also necessary to allow the United States to meet its obligations under the 2005 International Health Regulations to report important events that meet the criteria to be considered a public health emergency of international concern to the World Health Organization.</w:t>
      </w:r>
      <w:r w:rsidR="001806BA">
        <w:rPr>
          <w:bCs/>
          <w:szCs w:val="24"/>
        </w:rPr>
        <w:t xml:space="preserve"> </w:t>
      </w:r>
    </w:p>
    <w:p w:rsidR="005A1051" w:rsidP="00A25ECB" w14:paraId="4DA76C67" w14:textId="77777777">
      <w:pPr>
        <w:pStyle w:val="Body1"/>
        <w:tabs>
          <w:tab w:val="num" w:pos="0"/>
          <w:tab w:val="left" w:pos="720"/>
          <w:tab w:val="left" w:pos="1080"/>
          <w:tab w:val="left" w:pos="1800"/>
        </w:tabs>
        <w:rPr>
          <w:bCs/>
          <w:szCs w:val="24"/>
        </w:rPr>
      </w:pPr>
    </w:p>
    <w:p w:rsidR="00A25ECB" w:rsidP="00A25ECB" w14:paraId="578D77B1" w14:textId="7761F727">
      <w:pPr>
        <w:pStyle w:val="Body1"/>
        <w:tabs>
          <w:tab w:val="num" w:pos="0"/>
          <w:tab w:val="left" w:pos="720"/>
          <w:tab w:val="left" w:pos="1080"/>
          <w:tab w:val="left" w:pos="1800"/>
        </w:tabs>
        <w:rPr>
          <w:bCs/>
          <w:szCs w:val="24"/>
        </w:rPr>
      </w:pPr>
      <w:r w:rsidRPr="0096673A">
        <w:rPr>
          <w:bCs/>
          <w:szCs w:val="24"/>
        </w:rPr>
        <w:t xml:space="preserve">Case data for each </w:t>
      </w:r>
      <w:r w:rsidR="00C730C2">
        <w:rPr>
          <w:bCs/>
          <w:szCs w:val="24"/>
        </w:rPr>
        <w:t>GenIC</w:t>
      </w:r>
      <w:r w:rsidR="00C730C2">
        <w:rPr>
          <w:bCs/>
          <w:szCs w:val="24"/>
        </w:rPr>
        <w:t xml:space="preserve"> </w:t>
      </w:r>
      <w:r w:rsidRPr="0096673A">
        <w:rPr>
          <w:bCs/>
          <w:szCs w:val="24"/>
        </w:rPr>
        <w:t xml:space="preserve">will be collected for the duration of this generic ICR’s approval. If collection of case data is required after the approval period for this </w:t>
      </w:r>
      <w:r w:rsidR="005E1334">
        <w:rPr>
          <w:bCs/>
          <w:szCs w:val="24"/>
        </w:rPr>
        <w:t xml:space="preserve">generic </w:t>
      </w:r>
      <w:r w:rsidRPr="0096673A">
        <w:rPr>
          <w:bCs/>
          <w:szCs w:val="24"/>
        </w:rPr>
        <w:t xml:space="preserve">ICR is over, CDC will submit a new </w:t>
      </w:r>
      <w:r w:rsidR="00706158">
        <w:rPr>
          <w:bCs/>
          <w:szCs w:val="24"/>
        </w:rPr>
        <w:t>GenIC</w:t>
      </w:r>
      <w:r w:rsidRPr="0096673A">
        <w:rPr>
          <w:bCs/>
          <w:szCs w:val="24"/>
        </w:rPr>
        <w:t>.</w:t>
      </w:r>
    </w:p>
    <w:p w:rsidR="00920B79" w:rsidRPr="00A25ECB" w:rsidP="00A25ECB" w14:paraId="68808136" w14:textId="77777777">
      <w:pPr>
        <w:pStyle w:val="Body1"/>
        <w:tabs>
          <w:tab w:val="num" w:pos="0"/>
          <w:tab w:val="left" w:pos="720"/>
          <w:tab w:val="left" w:pos="1080"/>
          <w:tab w:val="left" w:pos="1800"/>
        </w:tabs>
        <w:rPr>
          <w:bCs/>
          <w:szCs w:val="24"/>
        </w:rPr>
      </w:pPr>
    </w:p>
    <w:p w:rsidR="00527A26" w:rsidP="00A25ECB" w14:paraId="4FFCD76C" w14:textId="693593A5">
      <w:pPr>
        <w:pStyle w:val="Body1"/>
        <w:tabs>
          <w:tab w:val="num" w:pos="0"/>
          <w:tab w:val="left" w:pos="720"/>
          <w:tab w:val="left" w:pos="1080"/>
          <w:tab w:val="left" w:pos="1800"/>
        </w:tabs>
        <w:rPr>
          <w:bCs/>
          <w:szCs w:val="24"/>
        </w:rPr>
      </w:pPr>
      <w:r w:rsidRPr="00A25ECB">
        <w:rPr>
          <w:bCs/>
          <w:szCs w:val="24"/>
        </w:rPr>
        <w:t>We are not aware of any legal obstacles to reducing the burden.</w:t>
      </w:r>
    </w:p>
    <w:p w:rsidR="00920B79" w:rsidP="00A25ECB" w14:paraId="39E70190" w14:textId="77777777">
      <w:pPr>
        <w:pStyle w:val="Body1"/>
        <w:tabs>
          <w:tab w:val="num" w:pos="0"/>
          <w:tab w:val="left" w:pos="720"/>
          <w:tab w:val="left" w:pos="1080"/>
          <w:tab w:val="left" w:pos="1800"/>
        </w:tabs>
        <w:rPr>
          <w:bCs/>
          <w:szCs w:val="24"/>
        </w:rPr>
      </w:pPr>
    </w:p>
    <w:p w:rsidR="00920B79" w:rsidP="00A25ECB" w14:paraId="532812CC" w14:textId="77777777">
      <w:pPr>
        <w:pStyle w:val="Body1"/>
        <w:tabs>
          <w:tab w:val="num" w:pos="0"/>
          <w:tab w:val="left" w:pos="720"/>
          <w:tab w:val="left" w:pos="1080"/>
          <w:tab w:val="left" w:pos="1800"/>
        </w:tabs>
        <w:rPr>
          <w:bCs/>
          <w:szCs w:val="24"/>
        </w:rPr>
      </w:pPr>
    </w:p>
    <w:p w:rsidR="00920B79" w:rsidP="00A25ECB" w14:paraId="3B1A6B9F" w14:textId="77777777">
      <w:pPr>
        <w:pStyle w:val="Body1"/>
        <w:tabs>
          <w:tab w:val="num" w:pos="0"/>
          <w:tab w:val="left" w:pos="720"/>
          <w:tab w:val="left" w:pos="1080"/>
          <w:tab w:val="left" w:pos="1800"/>
        </w:tabs>
        <w:rPr>
          <w:bCs/>
          <w:szCs w:val="24"/>
        </w:rPr>
      </w:pPr>
    </w:p>
    <w:p w:rsidR="00920B79" w:rsidRPr="00A25ECB" w:rsidP="00A25ECB" w14:paraId="248BDC85" w14:textId="77777777">
      <w:pPr>
        <w:pStyle w:val="Body1"/>
        <w:tabs>
          <w:tab w:val="num" w:pos="0"/>
          <w:tab w:val="left" w:pos="720"/>
          <w:tab w:val="left" w:pos="1080"/>
          <w:tab w:val="left" w:pos="1800"/>
        </w:tabs>
        <w:rPr>
          <w:bCs/>
          <w:szCs w:val="24"/>
        </w:rPr>
      </w:pPr>
    </w:p>
    <w:p w:rsidR="00A25ECB" w:rsidP="007E4D4E" w14:paraId="1373E1D9" w14:textId="77777777">
      <w:pPr>
        <w:rPr>
          <w:rFonts w:eastAsia="Arial Unicode MS"/>
          <w:sz w:val="24"/>
          <w:szCs w:val="24"/>
          <w:u w:color="000000"/>
        </w:rPr>
      </w:pPr>
    </w:p>
    <w:p w:rsidR="00527A26" w:rsidRPr="0072690B" w:rsidP="00631986" w14:paraId="7C9B1EA9" w14:textId="77777777">
      <w:pPr>
        <w:pStyle w:val="Body1"/>
        <w:tabs>
          <w:tab w:val="num" w:pos="720"/>
        </w:tabs>
        <w:rPr>
          <w:b/>
          <w:szCs w:val="24"/>
        </w:rPr>
      </w:pPr>
      <w:r w:rsidRPr="0072690B">
        <w:rPr>
          <w:b/>
          <w:szCs w:val="24"/>
        </w:rPr>
        <w:t>7.</w:t>
      </w:r>
      <w:r w:rsidRPr="0072690B">
        <w:rPr>
          <w:b/>
          <w:szCs w:val="24"/>
        </w:rPr>
        <w:tab/>
        <w:t>Special Circumstances Relating to the Guidelines of 5 CFR 1320.5</w:t>
      </w:r>
    </w:p>
    <w:p w:rsidR="00527A26" w:rsidRPr="0072690B" w:rsidP="00B83871" w14:paraId="65F4395F" w14:textId="77777777">
      <w:pPr>
        <w:pStyle w:val="Body1"/>
        <w:tabs>
          <w:tab w:val="num" w:pos="0"/>
          <w:tab w:val="left" w:pos="720"/>
          <w:tab w:val="left" w:pos="1080"/>
          <w:tab w:val="left" w:pos="1800"/>
        </w:tabs>
        <w:rPr>
          <w:b/>
          <w:szCs w:val="24"/>
        </w:rPr>
      </w:pPr>
    </w:p>
    <w:p w:rsidR="00FE3D23" w:rsidP="007E4D4E" w14:paraId="63F62338" w14:textId="519A7CC7">
      <w:pPr>
        <w:pStyle w:val="Body1"/>
        <w:rPr>
          <w:szCs w:val="24"/>
        </w:rPr>
      </w:pPr>
      <w:r w:rsidRPr="00FE3D23">
        <w:rPr>
          <w:szCs w:val="24"/>
        </w:rPr>
        <w:t xml:space="preserve">Collection of </w:t>
      </w:r>
      <w:r w:rsidRPr="00AC737A" w:rsidR="00AC737A">
        <w:rPr>
          <w:szCs w:val="24"/>
        </w:rPr>
        <w:t xml:space="preserve">MDN and response-specific </w:t>
      </w:r>
      <w:r w:rsidR="00AC737A">
        <w:rPr>
          <w:szCs w:val="24"/>
        </w:rPr>
        <w:t xml:space="preserve">case data </w:t>
      </w:r>
      <w:r w:rsidRPr="00FE3D23">
        <w:rPr>
          <w:szCs w:val="24"/>
        </w:rPr>
        <w:t xml:space="preserve">is conducted in a manner consistent with the guidelines in 5 CFR 1320.5. CDC requests that public health departments send case </w:t>
      </w:r>
      <w:r w:rsidR="00D258CA">
        <w:rPr>
          <w:szCs w:val="24"/>
        </w:rPr>
        <w:t>data to CDC as soon as</w:t>
      </w:r>
      <w:r w:rsidRPr="00FE3D23">
        <w:rPr>
          <w:szCs w:val="24"/>
        </w:rPr>
        <w:t xml:space="preserve"> possible, as justified under section A6.</w:t>
      </w:r>
    </w:p>
    <w:p w:rsidR="00016DEC" w:rsidRPr="00F10610" w:rsidP="00B651A5" w14:paraId="63A15D80" w14:textId="77777777">
      <w:pPr>
        <w:ind w:left="720"/>
        <w:rPr>
          <w:rFonts w:eastAsia="Arial Unicode MS"/>
          <w:sz w:val="24"/>
          <w:szCs w:val="24"/>
          <w:u w:color="000000"/>
        </w:rPr>
      </w:pPr>
      <w:r w:rsidRPr="00F10610">
        <w:rPr>
          <w:rFonts w:eastAsia="Arial Unicode MS"/>
          <w:sz w:val="24"/>
          <w:szCs w:val="24"/>
          <w:u w:color="000000"/>
        </w:rPr>
        <w:tab/>
      </w:r>
    </w:p>
    <w:p w:rsidR="001A3A81" w:rsidRPr="00B651A5" w:rsidP="007E4D4E" w14:paraId="408CDAEE" w14:textId="23D66840">
      <w:pPr>
        <w:rPr>
          <w:rFonts w:eastAsia="Arial Unicode MS"/>
          <w:sz w:val="24"/>
          <w:szCs w:val="24"/>
        </w:rPr>
      </w:pPr>
      <w:r w:rsidRPr="1EDBFEAD">
        <w:rPr>
          <w:rFonts w:eastAsia="Arial Unicode MS"/>
          <w:sz w:val="24"/>
          <w:szCs w:val="24"/>
        </w:rPr>
        <w:t xml:space="preserve">To comply with the regulation 5 CFR 1320.5 and at the same time ensure that </w:t>
      </w:r>
      <w:r w:rsidRPr="1EDBFEAD" w:rsidR="003C03EB">
        <w:rPr>
          <w:rFonts w:eastAsia="Arial Unicode MS"/>
          <w:sz w:val="24"/>
          <w:szCs w:val="24"/>
        </w:rPr>
        <w:t>case</w:t>
      </w:r>
      <w:r w:rsidRPr="1EDBFEAD">
        <w:rPr>
          <w:rFonts w:eastAsia="Arial Unicode MS"/>
          <w:sz w:val="24"/>
          <w:szCs w:val="24"/>
        </w:rPr>
        <w:t xml:space="preserve"> data are collected in a timely manner</w:t>
      </w:r>
      <w:r w:rsidRPr="1EDBFEAD" w:rsidR="00603B37">
        <w:rPr>
          <w:rFonts w:eastAsia="Arial Unicode MS"/>
          <w:sz w:val="24"/>
          <w:szCs w:val="24"/>
        </w:rPr>
        <w:t xml:space="preserve"> as</w:t>
      </w:r>
      <w:r w:rsidRPr="1EDBFEAD">
        <w:rPr>
          <w:rFonts w:eastAsia="Arial Unicode MS"/>
          <w:sz w:val="24"/>
          <w:szCs w:val="24"/>
        </w:rPr>
        <w:t xml:space="preserve"> necessary to protect the health of the public, </w:t>
      </w:r>
      <w:r w:rsidRPr="1EDBFEAD" w:rsidR="00925F0F">
        <w:rPr>
          <w:rFonts w:eastAsia="Arial Unicode MS"/>
          <w:sz w:val="24"/>
          <w:szCs w:val="24"/>
        </w:rPr>
        <w:t>information</w:t>
      </w:r>
      <w:r w:rsidRPr="1EDBFEAD" w:rsidR="00BE0F2D">
        <w:rPr>
          <w:rFonts w:eastAsia="Arial Unicode MS"/>
          <w:sz w:val="24"/>
          <w:szCs w:val="24"/>
        </w:rPr>
        <w:t xml:space="preserve"> collect</w:t>
      </w:r>
      <w:r w:rsidRPr="1EDBFEAD" w:rsidR="00925F0F">
        <w:rPr>
          <w:rFonts w:eastAsia="Arial Unicode MS"/>
          <w:sz w:val="24"/>
          <w:szCs w:val="24"/>
        </w:rPr>
        <w:t>ions</w:t>
      </w:r>
      <w:r w:rsidRPr="1EDBFEAD" w:rsidR="00BE0F2D">
        <w:rPr>
          <w:rFonts w:eastAsia="Arial Unicode MS"/>
          <w:sz w:val="24"/>
          <w:szCs w:val="24"/>
        </w:rPr>
        <w:t xml:space="preserve"> using </w:t>
      </w:r>
      <w:r w:rsidRPr="1EDBFEAD" w:rsidR="000A6B2D">
        <w:rPr>
          <w:rFonts w:eastAsia="Arial Unicode MS"/>
          <w:sz w:val="24"/>
          <w:szCs w:val="24"/>
        </w:rPr>
        <w:t xml:space="preserve">this </w:t>
      </w:r>
      <w:r w:rsidRPr="1EDBFEAD" w:rsidR="009E0AF1">
        <w:rPr>
          <w:rFonts w:eastAsia="Arial Unicode MS"/>
          <w:sz w:val="24"/>
          <w:szCs w:val="24"/>
        </w:rPr>
        <w:t>g</w:t>
      </w:r>
      <w:r w:rsidRPr="1EDBFEAD" w:rsidR="000A6B2D">
        <w:rPr>
          <w:rFonts w:eastAsia="Arial Unicode MS"/>
          <w:sz w:val="24"/>
          <w:szCs w:val="24"/>
        </w:rPr>
        <w:t>eneric ICR</w:t>
      </w:r>
      <w:r w:rsidRPr="1EDBFEAD" w:rsidR="00C744A2">
        <w:rPr>
          <w:rFonts w:eastAsia="Arial Unicode MS"/>
          <w:sz w:val="24"/>
          <w:szCs w:val="24"/>
        </w:rPr>
        <w:t xml:space="preserve"> </w:t>
      </w:r>
      <w:r w:rsidRPr="1EDBFEAD" w:rsidR="006E5EB5">
        <w:rPr>
          <w:rFonts w:eastAsia="Arial Unicode MS"/>
          <w:sz w:val="24"/>
          <w:szCs w:val="24"/>
        </w:rPr>
        <w:t>w</w:t>
      </w:r>
      <w:r w:rsidRPr="1EDBFEAD">
        <w:rPr>
          <w:rFonts w:eastAsia="Arial Unicode MS"/>
          <w:sz w:val="24"/>
          <w:szCs w:val="24"/>
        </w:rPr>
        <w:t>ill adhere to the following timeline</w:t>
      </w:r>
      <w:r w:rsidRPr="1EDBFEAD" w:rsidR="004F4B5F">
        <w:rPr>
          <w:rFonts w:eastAsia="Arial Unicode MS"/>
          <w:sz w:val="24"/>
          <w:szCs w:val="24"/>
        </w:rPr>
        <w:t xml:space="preserve"> and processes</w:t>
      </w:r>
      <w:r w:rsidRPr="1EDBFEAD">
        <w:rPr>
          <w:rFonts w:eastAsia="Arial Unicode MS"/>
          <w:sz w:val="24"/>
          <w:szCs w:val="24"/>
        </w:rPr>
        <w:t>:</w:t>
      </w:r>
    </w:p>
    <w:p w:rsidR="001A3A81" w:rsidRPr="00B651A5" w:rsidP="00141361" w14:paraId="76B7B7B8" w14:textId="1BB6A0AB">
      <w:pPr>
        <w:numPr>
          <w:ilvl w:val="0"/>
          <w:numId w:val="8"/>
        </w:numPr>
        <w:ind w:left="720"/>
        <w:rPr>
          <w:rFonts w:eastAsia="Arial Unicode MS"/>
          <w:sz w:val="24"/>
          <w:szCs w:val="24"/>
          <w:u w:color="000000"/>
        </w:rPr>
      </w:pPr>
      <w:r>
        <w:rPr>
          <w:rFonts w:eastAsia="Arial Unicode MS"/>
          <w:sz w:val="24"/>
          <w:szCs w:val="24"/>
          <w:u w:color="000000"/>
        </w:rPr>
        <w:t>CDC initiates an emergency response</w:t>
      </w:r>
      <w:r w:rsidRPr="00B651A5" w:rsidR="0088103B">
        <w:rPr>
          <w:rFonts w:eastAsia="Arial Unicode MS"/>
          <w:sz w:val="24"/>
          <w:szCs w:val="24"/>
          <w:u w:color="000000"/>
        </w:rPr>
        <w:t>.</w:t>
      </w:r>
    </w:p>
    <w:p w:rsidR="00601723" w:rsidP="008F2DDB" w14:paraId="066AFACD" w14:textId="1A678F29">
      <w:pPr>
        <w:numPr>
          <w:ilvl w:val="1"/>
          <w:numId w:val="8"/>
        </w:numPr>
        <w:ind w:left="1080"/>
        <w:rPr>
          <w:rFonts w:eastAsia="Arial Unicode MS"/>
          <w:sz w:val="24"/>
          <w:szCs w:val="24"/>
          <w:u w:color="000000"/>
        </w:rPr>
      </w:pPr>
      <w:r w:rsidRPr="0033297E">
        <w:rPr>
          <w:rFonts w:eastAsia="Arial Unicode MS"/>
          <w:sz w:val="24"/>
          <w:szCs w:val="24"/>
          <w:u w:color="000000"/>
        </w:rPr>
        <w:t xml:space="preserve">CDC notifies </w:t>
      </w:r>
      <w:r w:rsidRPr="0033297E" w:rsidR="0088103B">
        <w:rPr>
          <w:rFonts w:eastAsia="Arial Unicode MS"/>
          <w:sz w:val="24"/>
          <w:szCs w:val="24"/>
          <w:u w:color="000000"/>
        </w:rPr>
        <w:t>HHS</w:t>
      </w:r>
      <w:r w:rsidRPr="0033297E" w:rsidR="009E0AF1">
        <w:rPr>
          <w:rFonts w:eastAsia="Arial Unicode MS"/>
          <w:sz w:val="24"/>
          <w:szCs w:val="24"/>
          <w:u w:color="000000"/>
        </w:rPr>
        <w:t>,</w:t>
      </w:r>
      <w:r w:rsidRPr="0033297E" w:rsidR="0088103B">
        <w:rPr>
          <w:rFonts w:eastAsia="Arial Unicode MS"/>
          <w:sz w:val="24"/>
          <w:szCs w:val="24"/>
          <w:u w:color="000000"/>
        </w:rPr>
        <w:t xml:space="preserve"> the </w:t>
      </w:r>
      <w:r w:rsidRPr="0033297E" w:rsidR="001A3A81">
        <w:rPr>
          <w:rFonts w:eastAsia="Arial Unicode MS"/>
          <w:sz w:val="24"/>
          <w:szCs w:val="24"/>
          <w:u w:color="000000"/>
        </w:rPr>
        <w:t>OMB</w:t>
      </w:r>
      <w:r w:rsidRPr="0033297E" w:rsidR="009E0AF1">
        <w:rPr>
          <w:rFonts w:eastAsia="Arial Unicode MS"/>
          <w:sz w:val="24"/>
          <w:szCs w:val="24"/>
          <w:u w:color="000000"/>
        </w:rPr>
        <w:t>-OIRA</w:t>
      </w:r>
      <w:r w:rsidRPr="0033297E" w:rsidR="001A3A81">
        <w:rPr>
          <w:rFonts w:eastAsia="Arial Unicode MS"/>
          <w:sz w:val="24"/>
          <w:szCs w:val="24"/>
          <w:u w:color="000000"/>
        </w:rPr>
        <w:t xml:space="preserve"> Desk officer</w:t>
      </w:r>
      <w:r w:rsidRPr="0033297E" w:rsidR="009E0AF1">
        <w:rPr>
          <w:rFonts w:eastAsia="Arial Unicode MS"/>
          <w:sz w:val="24"/>
          <w:szCs w:val="24"/>
          <w:u w:color="000000"/>
        </w:rPr>
        <w:t>, and his/her designated back up</w:t>
      </w:r>
      <w:r w:rsidRPr="0033297E" w:rsidR="006E5EB5">
        <w:rPr>
          <w:rFonts w:eastAsia="Arial Unicode MS"/>
          <w:sz w:val="24"/>
          <w:szCs w:val="24"/>
          <w:u w:color="000000"/>
        </w:rPr>
        <w:t xml:space="preserve"> </w:t>
      </w:r>
      <w:r w:rsidRPr="0033297E" w:rsidR="005F675F">
        <w:rPr>
          <w:rFonts w:eastAsia="Arial Unicode MS"/>
          <w:sz w:val="24"/>
          <w:szCs w:val="24"/>
          <w:u w:color="000000"/>
        </w:rPr>
        <w:t xml:space="preserve">of the </w:t>
      </w:r>
      <w:r w:rsidRPr="0033297E" w:rsidR="006779BA">
        <w:rPr>
          <w:rFonts w:eastAsia="Arial Unicode MS"/>
          <w:sz w:val="24"/>
          <w:szCs w:val="24"/>
          <w:u w:color="000000"/>
        </w:rPr>
        <w:t>emergency response</w:t>
      </w:r>
      <w:r w:rsidRPr="0033297E" w:rsidR="006E5EB5">
        <w:rPr>
          <w:rFonts w:eastAsia="Arial Unicode MS"/>
          <w:sz w:val="24"/>
          <w:szCs w:val="24"/>
          <w:u w:color="000000"/>
        </w:rPr>
        <w:t xml:space="preserve"> </w:t>
      </w:r>
      <w:r w:rsidRPr="0033297E" w:rsidR="005F675F">
        <w:rPr>
          <w:rFonts w:eastAsia="Arial Unicode MS"/>
          <w:sz w:val="24"/>
          <w:szCs w:val="24"/>
          <w:u w:color="000000"/>
        </w:rPr>
        <w:t xml:space="preserve">immediately via </w:t>
      </w:r>
      <w:r w:rsidRPr="0033297E" w:rsidR="00902D98">
        <w:rPr>
          <w:rFonts w:eastAsia="Arial Unicode MS"/>
          <w:sz w:val="24"/>
          <w:szCs w:val="24"/>
          <w:u w:color="000000"/>
        </w:rPr>
        <w:t>e-mail</w:t>
      </w:r>
      <w:r w:rsidRPr="0033297E">
        <w:rPr>
          <w:rFonts w:eastAsia="Arial Unicode MS"/>
          <w:sz w:val="24"/>
          <w:szCs w:val="24"/>
          <w:u w:color="000000"/>
        </w:rPr>
        <w:t>.</w:t>
      </w:r>
      <w:r w:rsidR="00E73DF3">
        <w:rPr>
          <w:rFonts w:eastAsia="Arial Unicode MS"/>
          <w:sz w:val="24"/>
          <w:szCs w:val="24"/>
          <w:u w:color="000000"/>
        </w:rPr>
        <w:t xml:space="preserve"> </w:t>
      </w:r>
      <w:r w:rsidRPr="0033297E" w:rsidR="008F2FA5">
        <w:rPr>
          <w:rFonts w:eastAsia="Arial Unicode MS"/>
          <w:sz w:val="24"/>
          <w:szCs w:val="24"/>
          <w:u w:color="000000"/>
        </w:rPr>
        <w:t>The email</w:t>
      </w:r>
      <w:r w:rsidR="00773293">
        <w:rPr>
          <w:rFonts w:eastAsia="Arial Unicode MS"/>
          <w:sz w:val="24"/>
          <w:szCs w:val="24"/>
          <w:u w:color="000000"/>
        </w:rPr>
        <w:t xml:space="preserve"> will </w:t>
      </w:r>
      <w:r w:rsidR="00773293">
        <w:rPr>
          <w:rFonts w:eastAsia="Arial Unicode MS"/>
          <w:sz w:val="24"/>
          <w:szCs w:val="24"/>
          <w:u w:color="000000"/>
        </w:rPr>
        <w:t>include:</w:t>
      </w:r>
      <w:r w:rsidRPr="0033297E" w:rsidR="008F2FA5">
        <w:rPr>
          <w:rFonts w:eastAsia="Arial Unicode MS"/>
          <w:sz w:val="24"/>
          <w:szCs w:val="24"/>
          <w:u w:color="000000"/>
        </w:rPr>
        <w:t xml:space="preserve"> </w:t>
      </w:r>
      <w:r>
        <w:rPr>
          <w:rFonts w:eastAsia="Arial Unicode MS"/>
          <w:sz w:val="24"/>
          <w:szCs w:val="24"/>
          <w:u w:color="000000"/>
        </w:rPr>
        <w:t>A</w:t>
      </w:r>
      <w:r w:rsidR="00756364">
        <w:rPr>
          <w:rFonts w:eastAsia="Arial Unicode MS"/>
          <w:sz w:val="24"/>
          <w:szCs w:val="24"/>
          <w:u w:color="000000"/>
        </w:rPr>
        <w:t xml:space="preserve"> statement that </w:t>
      </w:r>
      <w:r w:rsidR="00A80611">
        <w:rPr>
          <w:rFonts w:eastAsia="Arial Unicode MS"/>
          <w:sz w:val="24"/>
          <w:szCs w:val="24"/>
          <w:u w:color="000000"/>
        </w:rPr>
        <w:t>CDC</w:t>
      </w:r>
      <w:r w:rsidR="00F722FE">
        <w:rPr>
          <w:rFonts w:eastAsia="Arial Unicode MS"/>
          <w:sz w:val="24"/>
          <w:szCs w:val="24"/>
          <w:u w:color="000000"/>
        </w:rPr>
        <w:t xml:space="preserve"> cannot comply with normal </w:t>
      </w:r>
      <w:r w:rsidR="008B101B">
        <w:rPr>
          <w:rFonts w:eastAsia="Arial Unicode MS"/>
          <w:sz w:val="24"/>
          <w:szCs w:val="24"/>
          <w:u w:color="000000"/>
        </w:rPr>
        <w:t>clearance procedures</w:t>
      </w:r>
      <w:r w:rsidR="002F0C63">
        <w:rPr>
          <w:rFonts w:eastAsia="Arial Unicode MS"/>
          <w:sz w:val="24"/>
          <w:szCs w:val="24"/>
          <w:u w:color="000000"/>
        </w:rPr>
        <w:t xml:space="preserve"> because (i) public harm is reasonably likely to result if normal clearance procedures are followed, (</w:t>
      </w:r>
      <w:r w:rsidR="00922BCE">
        <w:rPr>
          <w:rFonts w:eastAsia="Arial Unicode MS"/>
          <w:sz w:val="24"/>
          <w:szCs w:val="24"/>
          <w:u w:color="000000"/>
        </w:rPr>
        <w:t>ii</w:t>
      </w:r>
      <w:r w:rsidR="002F0C63">
        <w:rPr>
          <w:rFonts w:eastAsia="Arial Unicode MS"/>
          <w:sz w:val="24"/>
          <w:szCs w:val="24"/>
          <w:u w:color="000000"/>
        </w:rPr>
        <w:t>)</w:t>
      </w:r>
      <w:r w:rsidR="00B52AE8">
        <w:rPr>
          <w:rFonts w:eastAsia="Arial Unicode MS"/>
          <w:sz w:val="24"/>
          <w:szCs w:val="24"/>
          <w:u w:color="000000"/>
        </w:rPr>
        <w:t xml:space="preserve"> an emergency has occurred, and (iii) the use of normal clearance procedures is reasonably likely to prevent or disrupt the collection of </w:t>
      </w:r>
      <w:r w:rsidR="00773293">
        <w:rPr>
          <w:rFonts w:eastAsia="Arial Unicode MS"/>
          <w:sz w:val="24"/>
          <w:szCs w:val="24"/>
          <w:u w:color="000000"/>
        </w:rPr>
        <w:t>information.</w:t>
      </w:r>
    </w:p>
    <w:p w:rsidR="00866C92" w:rsidP="008F2DDB" w14:paraId="2EFCF9AB" w14:textId="32D09182">
      <w:pPr>
        <w:numPr>
          <w:ilvl w:val="1"/>
          <w:numId w:val="8"/>
        </w:numPr>
        <w:ind w:left="1080"/>
        <w:rPr>
          <w:rFonts w:eastAsia="Arial Unicode MS"/>
          <w:sz w:val="24"/>
          <w:szCs w:val="24"/>
          <w:u w:color="000000"/>
        </w:rPr>
      </w:pPr>
      <w:r>
        <w:rPr>
          <w:rFonts w:eastAsia="Arial Unicode MS"/>
          <w:sz w:val="24"/>
          <w:szCs w:val="24"/>
          <w:u w:color="000000"/>
        </w:rPr>
        <w:t>The proposed timing of OMB’s approval (</w:t>
      </w:r>
      <w:r w:rsidR="00D33DD2">
        <w:rPr>
          <w:rFonts w:eastAsia="Arial Unicode MS"/>
          <w:sz w:val="24"/>
          <w:szCs w:val="24"/>
          <w:u w:color="000000"/>
        </w:rPr>
        <w:t xml:space="preserve">between </w:t>
      </w:r>
      <w:r w:rsidR="006F0FBE">
        <w:rPr>
          <w:rFonts w:eastAsia="Arial Unicode MS"/>
          <w:sz w:val="24"/>
          <w:szCs w:val="24"/>
          <w:u w:color="000000"/>
        </w:rPr>
        <w:t xml:space="preserve">72 hours </w:t>
      </w:r>
      <w:r w:rsidR="00D33DD2">
        <w:rPr>
          <w:rFonts w:eastAsia="Arial Unicode MS"/>
          <w:sz w:val="24"/>
          <w:szCs w:val="24"/>
          <w:u w:color="000000"/>
        </w:rPr>
        <w:t xml:space="preserve">and </w:t>
      </w:r>
      <w:r w:rsidR="006F0FBE">
        <w:rPr>
          <w:rFonts w:eastAsia="Arial Unicode MS"/>
          <w:sz w:val="24"/>
          <w:szCs w:val="24"/>
          <w:u w:color="000000"/>
        </w:rPr>
        <w:t>5 days) and a justification for the proposed timing.</w:t>
      </w:r>
    </w:p>
    <w:p w:rsidR="00AD796B" w:rsidP="00141361" w14:paraId="01101731" w14:textId="092819CF">
      <w:pPr>
        <w:numPr>
          <w:ilvl w:val="0"/>
          <w:numId w:val="8"/>
        </w:numPr>
        <w:ind w:left="720"/>
        <w:rPr>
          <w:rFonts w:eastAsia="Arial Unicode MS"/>
          <w:sz w:val="24"/>
          <w:szCs w:val="24"/>
          <w:u w:color="000000"/>
        </w:rPr>
      </w:pPr>
      <w:r>
        <w:rPr>
          <w:rFonts w:eastAsia="Arial Unicode MS"/>
          <w:sz w:val="24"/>
          <w:szCs w:val="24"/>
          <w:u w:color="000000"/>
        </w:rPr>
        <w:t>CDC send</w:t>
      </w:r>
      <w:r w:rsidR="003E7E0F">
        <w:rPr>
          <w:rFonts w:eastAsia="Arial Unicode MS"/>
          <w:sz w:val="24"/>
          <w:szCs w:val="24"/>
          <w:u w:color="000000"/>
        </w:rPr>
        <w:t>s</w:t>
      </w:r>
      <w:r w:rsidR="007F46F3">
        <w:rPr>
          <w:rFonts w:eastAsia="Arial Unicode MS"/>
          <w:sz w:val="24"/>
          <w:szCs w:val="24"/>
          <w:u w:color="000000"/>
        </w:rPr>
        <w:t xml:space="preserve"> </w:t>
      </w:r>
      <w:r w:rsidRPr="00B651A5" w:rsidR="001A3A81">
        <w:rPr>
          <w:rFonts w:eastAsia="Arial Unicode MS"/>
          <w:sz w:val="24"/>
          <w:szCs w:val="24"/>
          <w:u w:color="000000"/>
        </w:rPr>
        <w:t xml:space="preserve">the </w:t>
      </w:r>
      <w:r w:rsidR="0040196A">
        <w:rPr>
          <w:rFonts w:eastAsia="Arial Unicode MS"/>
          <w:sz w:val="24"/>
          <w:szCs w:val="24"/>
          <w:u w:color="000000"/>
        </w:rPr>
        <w:t>GenIC</w:t>
      </w:r>
      <w:r w:rsidR="0040196A">
        <w:rPr>
          <w:rFonts w:eastAsia="Arial Unicode MS"/>
          <w:sz w:val="24"/>
          <w:szCs w:val="24"/>
          <w:u w:color="000000"/>
        </w:rPr>
        <w:t xml:space="preserve"> </w:t>
      </w:r>
      <w:r w:rsidRPr="00B651A5" w:rsidR="007D7E6C">
        <w:rPr>
          <w:rFonts w:eastAsia="Arial Unicode MS"/>
          <w:sz w:val="24"/>
          <w:szCs w:val="24"/>
          <w:u w:color="000000"/>
        </w:rPr>
        <w:t>“</w:t>
      </w:r>
      <w:r w:rsidRPr="00E645A3" w:rsidR="00E645A3">
        <w:rPr>
          <w:rFonts w:eastAsia="Arial Unicode MS"/>
          <w:sz w:val="24"/>
          <w:szCs w:val="24"/>
          <w:u w:color="000000"/>
        </w:rPr>
        <w:t>MDN for Case Data During an Emergency Response Form</w:t>
      </w:r>
      <w:r w:rsidR="00603B37">
        <w:rPr>
          <w:rFonts w:eastAsia="Arial Unicode MS"/>
          <w:sz w:val="24"/>
          <w:szCs w:val="24"/>
          <w:u w:color="000000"/>
        </w:rPr>
        <w:t>”</w:t>
      </w:r>
      <w:r w:rsidR="007442FB">
        <w:rPr>
          <w:rFonts w:eastAsia="Arial Unicode MS"/>
          <w:sz w:val="24"/>
          <w:szCs w:val="24"/>
          <w:u w:color="000000"/>
        </w:rPr>
        <w:t xml:space="preserve"> </w:t>
      </w:r>
      <w:r w:rsidRPr="00E74500" w:rsidR="00E74500">
        <w:rPr>
          <w:rFonts w:eastAsia="Arial Unicode MS"/>
          <w:b/>
          <w:bCs/>
          <w:sz w:val="24"/>
          <w:szCs w:val="24"/>
          <w:u w:color="000000"/>
        </w:rPr>
        <w:t xml:space="preserve">[Attachment </w:t>
      </w:r>
      <w:r w:rsidR="00900E69">
        <w:rPr>
          <w:rFonts w:eastAsia="Arial Unicode MS"/>
          <w:b/>
          <w:bCs/>
          <w:sz w:val="24"/>
          <w:szCs w:val="24"/>
          <w:u w:color="000000"/>
        </w:rPr>
        <w:t>5</w:t>
      </w:r>
      <w:r w:rsidRPr="00E74500" w:rsidR="00E74500">
        <w:rPr>
          <w:rFonts w:eastAsia="Arial Unicode MS"/>
          <w:b/>
          <w:bCs/>
          <w:sz w:val="24"/>
          <w:szCs w:val="24"/>
          <w:u w:color="000000"/>
        </w:rPr>
        <w:t>.</w:t>
      </w:r>
      <w:r w:rsidR="00E74500">
        <w:rPr>
          <w:rFonts w:eastAsia="Arial Unicode MS"/>
          <w:sz w:val="24"/>
          <w:szCs w:val="24"/>
          <w:u w:color="000000"/>
        </w:rPr>
        <w:t xml:space="preserve"> </w:t>
      </w:r>
      <w:r w:rsidRPr="00E74500" w:rsidR="00E74500">
        <w:rPr>
          <w:rFonts w:eastAsia="Arial Unicode MS"/>
          <w:b/>
          <w:sz w:val="24"/>
          <w:szCs w:val="24"/>
          <w:u w:color="000000"/>
        </w:rPr>
        <w:t>MDN for Case Data During an Emergency Response Form</w:t>
      </w:r>
      <w:r w:rsidR="00E74500">
        <w:rPr>
          <w:rFonts w:eastAsia="Arial Unicode MS"/>
          <w:b/>
          <w:sz w:val="24"/>
          <w:szCs w:val="24"/>
          <w:u w:color="000000"/>
        </w:rPr>
        <w:t>]</w:t>
      </w:r>
      <w:r w:rsidRPr="00B651A5" w:rsidR="001A3A81">
        <w:rPr>
          <w:rFonts w:eastAsia="Arial Unicode MS"/>
          <w:sz w:val="24"/>
          <w:szCs w:val="24"/>
          <w:u w:color="000000"/>
        </w:rPr>
        <w:t xml:space="preserve"> </w:t>
      </w:r>
      <w:r w:rsidR="0083107C">
        <w:rPr>
          <w:rFonts w:eastAsia="Arial Unicode MS"/>
          <w:sz w:val="24"/>
          <w:szCs w:val="24"/>
          <w:u w:color="000000"/>
        </w:rPr>
        <w:t xml:space="preserve">to OMB-OIRA. This form includes </w:t>
      </w:r>
      <w:r w:rsidR="002450B0">
        <w:rPr>
          <w:rFonts w:eastAsia="Arial Unicode MS"/>
          <w:sz w:val="24"/>
          <w:szCs w:val="24"/>
          <w:u w:color="000000"/>
        </w:rPr>
        <w:t xml:space="preserve">an estimate of how long approval is needed, </w:t>
      </w:r>
      <w:r w:rsidR="00E51C38">
        <w:rPr>
          <w:rFonts w:eastAsia="Arial Unicode MS"/>
          <w:sz w:val="24"/>
          <w:szCs w:val="24"/>
          <w:u w:color="000000"/>
        </w:rPr>
        <w:t xml:space="preserve">why CDC cannot </w:t>
      </w:r>
      <w:r w:rsidR="00197583">
        <w:rPr>
          <w:rFonts w:eastAsia="Arial Unicode MS"/>
          <w:sz w:val="24"/>
          <w:szCs w:val="24"/>
          <w:u w:color="000000"/>
        </w:rPr>
        <w:t xml:space="preserve">reasonably </w:t>
      </w:r>
      <w:r w:rsidR="00E51C38">
        <w:rPr>
          <w:rFonts w:eastAsia="Arial Unicode MS"/>
          <w:sz w:val="24"/>
          <w:szCs w:val="24"/>
          <w:u w:color="000000"/>
        </w:rPr>
        <w:t>comply with normal clearance procedures</w:t>
      </w:r>
      <w:r w:rsidR="00D115C3">
        <w:rPr>
          <w:rFonts w:eastAsia="Arial Unicode MS"/>
          <w:sz w:val="24"/>
          <w:szCs w:val="24"/>
          <w:u w:color="000000"/>
        </w:rPr>
        <w:t xml:space="preserve"> (i, ii, and iii above)</w:t>
      </w:r>
      <w:r w:rsidR="00E51C38">
        <w:rPr>
          <w:rFonts w:eastAsia="Arial Unicode MS"/>
          <w:sz w:val="24"/>
          <w:szCs w:val="24"/>
          <w:u w:color="000000"/>
        </w:rPr>
        <w:t xml:space="preserve">, </w:t>
      </w:r>
      <w:r w:rsidR="002450B0">
        <w:rPr>
          <w:rFonts w:eastAsia="Arial Unicode MS"/>
          <w:sz w:val="24"/>
          <w:szCs w:val="24"/>
          <w:u w:color="000000"/>
        </w:rPr>
        <w:t xml:space="preserve">a description of </w:t>
      </w:r>
      <w:r w:rsidR="002702E9">
        <w:rPr>
          <w:rFonts w:eastAsia="Arial Unicode MS"/>
          <w:sz w:val="24"/>
          <w:szCs w:val="24"/>
          <w:u w:color="000000"/>
        </w:rPr>
        <w:t xml:space="preserve">the </w:t>
      </w:r>
      <w:r w:rsidR="003A5EA1">
        <w:rPr>
          <w:rFonts w:eastAsia="Arial Unicode MS"/>
          <w:sz w:val="24"/>
          <w:szCs w:val="24"/>
          <w:u w:color="000000"/>
        </w:rPr>
        <w:t>disease or condition that is the subject of the emergency</w:t>
      </w:r>
      <w:r w:rsidRPr="00B651A5" w:rsidR="001A3A81">
        <w:rPr>
          <w:rFonts w:eastAsia="Arial Unicode MS"/>
          <w:sz w:val="24"/>
          <w:szCs w:val="24"/>
          <w:u w:color="000000"/>
        </w:rPr>
        <w:t xml:space="preserve"> response</w:t>
      </w:r>
      <w:r w:rsidR="001F03DE">
        <w:rPr>
          <w:rFonts w:eastAsia="Arial Unicode MS"/>
          <w:sz w:val="24"/>
          <w:szCs w:val="24"/>
          <w:u w:color="000000"/>
        </w:rPr>
        <w:t xml:space="preserve"> </w:t>
      </w:r>
      <w:r w:rsidRPr="00656C1B" w:rsidR="00656C1B">
        <w:rPr>
          <w:rFonts w:eastAsia="Arial Unicode MS"/>
          <w:sz w:val="24"/>
          <w:szCs w:val="24"/>
          <w:u w:color="000000"/>
        </w:rPr>
        <w:t>(including whether it is nationally notifiable or under standardized surveillance)</w:t>
      </w:r>
      <w:r w:rsidR="00935026">
        <w:rPr>
          <w:rFonts w:eastAsia="Arial Unicode MS"/>
          <w:sz w:val="24"/>
          <w:szCs w:val="24"/>
          <w:u w:color="000000"/>
        </w:rPr>
        <w:t>,</w:t>
      </w:r>
      <w:r w:rsidRPr="00656C1B" w:rsidR="00656C1B">
        <w:rPr>
          <w:rFonts w:eastAsia="Arial Unicode MS"/>
          <w:sz w:val="24"/>
          <w:szCs w:val="24"/>
          <w:u w:color="000000"/>
        </w:rPr>
        <w:t xml:space="preserve"> </w:t>
      </w:r>
      <w:r w:rsidR="001F03DE">
        <w:rPr>
          <w:rFonts w:eastAsia="Arial Unicode MS"/>
          <w:sz w:val="24"/>
          <w:szCs w:val="24"/>
          <w:u w:color="000000"/>
        </w:rPr>
        <w:t xml:space="preserve">the initial </w:t>
      </w:r>
      <w:r w:rsidR="00C82141">
        <w:rPr>
          <w:rFonts w:eastAsia="Arial Unicode MS"/>
          <w:sz w:val="24"/>
          <w:szCs w:val="24"/>
          <w:u w:color="000000"/>
        </w:rPr>
        <w:t xml:space="preserve">response-specific </w:t>
      </w:r>
      <w:r w:rsidR="001F03DE">
        <w:rPr>
          <w:rFonts w:eastAsia="Arial Unicode MS"/>
          <w:sz w:val="24"/>
          <w:szCs w:val="24"/>
          <w:u w:color="000000"/>
        </w:rPr>
        <w:t>data elements</w:t>
      </w:r>
      <w:r w:rsidR="00C82141">
        <w:rPr>
          <w:rFonts w:eastAsia="Arial Unicode MS"/>
          <w:sz w:val="24"/>
          <w:szCs w:val="24"/>
          <w:u w:color="000000"/>
        </w:rPr>
        <w:t xml:space="preserve"> that will be collected</w:t>
      </w:r>
      <w:r w:rsidR="00935026">
        <w:rPr>
          <w:rFonts w:eastAsia="Arial Unicode MS"/>
          <w:sz w:val="24"/>
          <w:szCs w:val="24"/>
          <w:u w:color="000000"/>
        </w:rPr>
        <w:t xml:space="preserve">, and </w:t>
      </w:r>
      <w:r w:rsidR="00783191">
        <w:rPr>
          <w:rFonts w:eastAsia="Arial Unicode MS"/>
          <w:sz w:val="24"/>
          <w:szCs w:val="24"/>
          <w:u w:color="000000"/>
        </w:rPr>
        <w:t>how the collection is essential to the mission of CDC</w:t>
      </w:r>
      <w:r w:rsidRPr="00B651A5" w:rsidR="001A3A81">
        <w:rPr>
          <w:rFonts w:eastAsia="Arial Unicode MS"/>
          <w:sz w:val="24"/>
          <w:szCs w:val="24"/>
          <w:u w:color="000000"/>
        </w:rPr>
        <w:t>.</w:t>
      </w:r>
    </w:p>
    <w:p w:rsidR="001A3A81" w:rsidRPr="00AD796B" w:rsidP="00141361" w14:paraId="61566454" w14:textId="5788F548">
      <w:pPr>
        <w:numPr>
          <w:ilvl w:val="0"/>
          <w:numId w:val="8"/>
        </w:numPr>
        <w:ind w:left="720"/>
        <w:rPr>
          <w:rFonts w:eastAsia="Arial Unicode MS"/>
          <w:sz w:val="24"/>
          <w:szCs w:val="24"/>
          <w:u w:color="000000"/>
        </w:rPr>
      </w:pPr>
      <w:r w:rsidRPr="009A6A4D">
        <w:rPr>
          <w:rFonts w:eastAsia="Arial Unicode MS"/>
          <w:sz w:val="24"/>
          <w:szCs w:val="24"/>
          <w:u w:color="000000"/>
        </w:rPr>
        <w:t>The OMB</w:t>
      </w:r>
      <w:r w:rsidR="009E0AF1">
        <w:rPr>
          <w:rFonts w:eastAsia="Arial Unicode MS"/>
          <w:sz w:val="24"/>
          <w:szCs w:val="24"/>
          <w:u w:color="000000"/>
        </w:rPr>
        <w:t>-OIRA</w:t>
      </w:r>
      <w:r w:rsidRPr="009A6A4D">
        <w:rPr>
          <w:rFonts w:eastAsia="Arial Unicode MS"/>
          <w:sz w:val="24"/>
          <w:szCs w:val="24"/>
          <w:u w:color="000000"/>
        </w:rPr>
        <w:t xml:space="preserve"> </w:t>
      </w:r>
      <w:r w:rsidR="008464CB">
        <w:rPr>
          <w:rFonts w:eastAsia="Arial Unicode MS"/>
          <w:sz w:val="24"/>
          <w:szCs w:val="24"/>
          <w:u w:color="000000"/>
        </w:rPr>
        <w:t>D</w:t>
      </w:r>
      <w:r w:rsidRPr="009A6A4D">
        <w:rPr>
          <w:rFonts w:eastAsia="Arial Unicode MS"/>
          <w:sz w:val="24"/>
          <w:szCs w:val="24"/>
          <w:u w:color="000000"/>
        </w:rPr>
        <w:t xml:space="preserve">esk officer </w:t>
      </w:r>
      <w:r w:rsidR="009E0AF1">
        <w:rPr>
          <w:rFonts w:eastAsia="Arial Unicode MS"/>
          <w:sz w:val="24"/>
          <w:szCs w:val="24"/>
          <w:u w:color="000000"/>
        </w:rPr>
        <w:t xml:space="preserve">or designee </w:t>
      </w:r>
      <w:r w:rsidRPr="009A6A4D">
        <w:rPr>
          <w:rFonts w:eastAsia="Arial Unicode MS"/>
          <w:sz w:val="24"/>
          <w:szCs w:val="24"/>
          <w:u w:color="000000"/>
        </w:rPr>
        <w:t>respond</w:t>
      </w:r>
      <w:r w:rsidRPr="009A6A4D" w:rsidR="00501620">
        <w:rPr>
          <w:rFonts w:eastAsia="Arial Unicode MS"/>
          <w:sz w:val="24"/>
          <w:szCs w:val="24"/>
          <w:u w:color="000000"/>
        </w:rPr>
        <w:t>s</w:t>
      </w:r>
      <w:r w:rsidRPr="009A6A4D">
        <w:rPr>
          <w:rFonts w:eastAsia="Arial Unicode MS"/>
          <w:sz w:val="24"/>
          <w:szCs w:val="24"/>
          <w:u w:color="000000"/>
        </w:rPr>
        <w:t xml:space="preserve"> with </w:t>
      </w:r>
      <w:r w:rsidRPr="009A6A4D" w:rsidR="00992E8C">
        <w:rPr>
          <w:rFonts w:eastAsia="Arial Unicode MS"/>
          <w:sz w:val="24"/>
          <w:szCs w:val="24"/>
          <w:u w:color="000000"/>
        </w:rPr>
        <w:t xml:space="preserve">approval or </w:t>
      </w:r>
      <w:r w:rsidRPr="009A6A4D">
        <w:rPr>
          <w:rFonts w:eastAsia="Arial Unicode MS"/>
          <w:sz w:val="24"/>
          <w:szCs w:val="24"/>
          <w:u w:color="000000"/>
        </w:rPr>
        <w:t xml:space="preserve">comments on the proposed </w:t>
      </w:r>
      <w:r w:rsidR="00D4652E">
        <w:rPr>
          <w:rFonts w:eastAsia="Arial Unicode MS"/>
          <w:sz w:val="24"/>
          <w:szCs w:val="24"/>
          <w:u w:color="000000"/>
        </w:rPr>
        <w:t>“</w:t>
      </w:r>
      <w:r w:rsidRPr="003143B4" w:rsidR="003143B4">
        <w:rPr>
          <w:rFonts w:eastAsia="Arial Unicode MS"/>
          <w:sz w:val="24"/>
          <w:szCs w:val="24"/>
          <w:u w:color="000000"/>
        </w:rPr>
        <w:t>MDN for Case Data During an Emergency Response Form</w:t>
      </w:r>
      <w:r w:rsidR="00D4652E">
        <w:rPr>
          <w:rFonts w:eastAsia="Arial Unicode MS"/>
          <w:sz w:val="24"/>
          <w:szCs w:val="24"/>
          <w:u w:color="000000"/>
        </w:rPr>
        <w:t xml:space="preserve">” </w:t>
      </w:r>
      <w:r w:rsidR="00CC61CC">
        <w:rPr>
          <w:rFonts w:eastAsia="Arial Unicode MS"/>
          <w:sz w:val="24"/>
          <w:szCs w:val="24"/>
          <w:u w:color="000000"/>
        </w:rPr>
        <w:t>within the agreed upon approval period (</w:t>
      </w:r>
      <w:r w:rsidR="0083107C">
        <w:rPr>
          <w:rFonts w:eastAsia="Arial Unicode MS"/>
          <w:sz w:val="24"/>
          <w:szCs w:val="24"/>
          <w:u w:color="000000"/>
        </w:rPr>
        <w:t>between</w:t>
      </w:r>
      <w:r w:rsidRPr="009A6A4D" w:rsidR="0083107C">
        <w:rPr>
          <w:rFonts w:eastAsia="Arial Unicode MS"/>
          <w:sz w:val="24"/>
          <w:szCs w:val="24"/>
          <w:u w:color="000000"/>
        </w:rPr>
        <w:t xml:space="preserve"> </w:t>
      </w:r>
      <w:r w:rsidRPr="009A6A4D">
        <w:rPr>
          <w:rFonts w:eastAsia="Arial Unicode MS"/>
          <w:sz w:val="24"/>
          <w:szCs w:val="24"/>
          <w:u w:color="000000"/>
        </w:rPr>
        <w:t>72 hours</w:t>
      </w:r>
      <w:r w:rsidR="0083107C">
        <w:rPr>
          <w:rFonts w:eastAsia="Arial Unicode MS"/>
          <w:sz w:val="24"/>
          <w:szCs w:val="24"/>
          <w:u w:color="000000"/>
        </w:rPr>
        <w:t xml:space="preserve"> and 5 days</w:t>
      </w:r>
      <w:r w:rsidR="00CC61CC">
        <w:rPr>
          <w:rFonts w:eastAsia="Arial Unicode MS"/>
          <w:sz w:val="24"/>
          <w:szCs w:val="24"/>
          <w:u w:color="000000"/>
        </w:rPr>
        <w:t>)</w:t>
      </w:r>
      <w:r w:rsidRPr="00B651A5">
        <w:rPr>
          <w:rFonts w:eastAsia="Arial Unicode MS"/>
          <w:sz w:val="24"/>
          <w:szCs w:val="24"/>
          <w:u w:color="000000"/>
        </w:rPr>
        <w:t xml:space="preserve">. </w:t>
      </w:r>
      <w:r w:rsidR="00992E8C">
        <w:rPr>
          <w:rFonts w:eastAsia="Arial Unicode MS"/>
          <w:sz w:val="24"/>
          <w:szCs w:val="24"/>
          <w:u w:color="000000"/>
        </w:rPr>
        <w:t>OMB may provide approval and comments orally (followed by e-mail for written documentation) or e-mail directly to CDC.</w:t>
      </w:r>
      <w:r w:rsidR="00C744A2">
        <w:rPr>
          <w:rFonts w:eastAsia="Arial Unicode MS"/>
          <w:sz w:val="24"/>
          <w:szCs w:val="24"/>
          <w:u w:color="000000"/>
        </w:rPr>
        <w:t xml:space="preserve"> </w:t>
      </w:r>
      <w:r w:rsidR="00992E8C">
        <w:rPr>
          <w:rFonts w:eastAsia="Arial Unicode MS"/>
          <w:sz w:val="24"/>
          <w:szCs w:val="24"/>
          <w:u w:color="000000"/>
        </w:rPr>
        <w:t xml:space="preserve">This may occur before the </w:t>
      </w:r>
      <w:r w:rsidR="00992E8C">
        <w:rPr>
          <w:rFonts w:eastAsia="Arial Unicode MS"/>
          <w:sz w:val="24"/>
          <w:szCs w:val="24"/>
          <w:u w:color="000000"/>
        </w:rPr>
        <w:t>GenIC</w:t>
      </w:r>
      <w:r w:rsidR="00992E8C">
        <w:rPr>
          <w:rFonts w:eastAsia="Arial Unicode MS"/>
          <w:sz w:val="24"/>
          <w:szCs w:val="24"/>
          <w:u w:color="000000"/>
        </w:rPr>
        <w:t xml:space="preserve"> request is submitted and received by OMB through the official ICR tracking system.</w:t>
      </w:r>
      <w:r w:rsidR="00C744A2">
        <w:rPr>
          <w:rFonts w:eastAsia="Arial Unicode MS"/>
          <w:sz w:val="24"/>
          <w:szCs w:val="24"/>
          <w:u w:color="000000"/>
        </w:rPr>
        <w:t xml:space="preserve"> </w:t>
      </w:r>
      <w:r w:rsidRPr="00B651A5">
        <w:rPr>
          <w:rFonts w:eastAsia="Arial Unicode MS"/>
          <w:sz w:val="24"/>
          <w:szCs w:val="24"/>
          <w:u w:color="000000"/>
        </w:rPr>
        <w:t xml:space="preserve">If no response is received within </w:t>
      </w:r>
      <w:r w:rsidR="0034141C">
        <w:rPr>
          <w:rFonts w:eastAsia="Arial Unicode MS"/>
          <w:sz w:val="24"/>
          <w:szCs w:val="24"/>
          <w:u w:color="000000"/>
        </w:rPr>
        <w:t>the agreed upon approval period</w:t>
      </w:r>
      <w:r w:rsidR="00902D98">
        <w:rPr>
          <w:rFonts w:eastAsia="Arial Unicode MS"/>
          <w:sz w:val="24"/>
          <w:szCs w:val="24"/>
          <w:u w:color="000000"/>
        </w:rPr>
        <w:t>,</w:t>
      </w:r>
      <w:r w:rsidRPr="00B651A5">
        <w:rPr>
          <w:rFonts w:eastAsia="Arial Unicode MS"/>
          <w:sz w:val="24"/>
          <w:szCs w:val="24"/>
          <w:u w:color="000000"/>
        </w:rPr>
        <w:t xml:space="preserve">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w:t>
      </w:r>
      <w:r w:rsidR="00427F22">
        <w:rPr>
          <w:rFonts w:eastAsia="Arial Unicode MS"/>
          <w:sz w:val="24"/>
          <w:szCs w:val="24"/>
          <w:u w:color="000000"/>
        </w:rPr>
        <w:t>considered OMB-approved</w:t>
      </w:r>
      <w:r w:rsidR="000759CB">
        <w:rPr>
          <w:rFonts w:eastAsia="Arial Unicode MS"/>
          <w:sz w:val="24"/>
          <w:szCs w:val="24"/>
          <w:u w:color="000000"/>
        </w:rPr>
        <w:t>.</w:t>
      </w:r>
      <w:r>
        <w:rPr>
          <w:rFonts w:eastAsia="Arial Unicode MS"/>
          <w:sz w:val="24"/>
          <w:szCs w:val="24"/>
          <w:u w:color="000000"/>
        </w:rPr>
        <w:t xml:space="preserve"> </w:t>
      </w:r>
    </w:p>
    <w:p w:rsidR="001A3A81" w:rsidP="00141361" w14:paraId="4A53C6D4" w14:textId="764BFF05">
      <w:pPr>
        <w:numPr>
          <w:ilvl w:val="0"/>
          <w:numId w:val="8"/>
        </w:numPr>
        <w:ind w:left="720"/>
        <w:rPr>
          <w:rFonts w:eastAsia="Arial Unicode MS"/>
          <w:sz w:val="24"/>
          <w:szCs w:val="24"/>
          <w:u w:color="000000"/>
        </w:rPr>
      </w:pPr>
      <w:r>
        <w:rPr>
          <w:rFonts w:eastAsia="Arial Unicode MS"/>
          <w:sz w:val="24"/>
          <w:szCs w:val="24"/>
          <w:u w:color="000000"/>
        </w:rPr>
        <w:t xml:space="preserve">At the completion of the </w:t>
      </w:r>
      <w:r w:rsidR="00C946F5">
        <w:rPr>
          <w:rFonts w:eastAsia="Arial Unicode MS"/>
          <w:sz w:val="24"/>
          <w:szCs w:val="24"/>
          <w:u w:color="000000"/>
        </w:rPr>
        <w:t>emergency response</w:t>
      </w:r>
      <w:r>
        <w:rPr>
          <w:rFonts w:eastAsia="Arial Unicode MS"/>
          <w:sz w:val="24"/>
          <w:szCs w:val="24"/>
          <w:u w:color="000000"/>
        </w:rPr>
        <w:t xml:space="preserve">, </w:t>
      </w:r>
      <w:r w:rsidR="00E46D00">
        <w:rPr>
          <w:rFonts w:eastAsia="Arial Unicode MS"/>
          <w:sz w:val="24"/>
          <w:szCs w:val="24"/>
          <w:u w:color="000000"/>
        </w:rPr>
        <w:t xml:space="preserve">CDC emergency response staff </w:t>
      </w:r>
      <w:r w:rsidR="00D3422B">
        <w:rPr>
          <w:rFonts w:eastAsia="Arial Unicode MS"/>
          <w:sz w:val="24"/>
          <w:szCs w:val="24"/>
          <w:u w:color="000000"/>
        </w:rPr>
        <w:t>submit</w:t>
      </w:r>
      <w:r w:rsidR="00A148B0">
        <w:rPr>
          <w:rFonts w:eastAsia="Arial Unicode MS"/>
          <w:sz w:val="24"/>
          <w:szCs w:val="24"/>
          <w:u w:color="000000"/>
        </w:rPr>
        <w:t>s</w:t>
      </w:r>
      <w:r w:rsidR="00D3422B">
        <w:rPr>
          <w:rFonts w:eastAsia="Arial Unicode MS"/>
          <w:sz w:val="24"/>
          <w:szCs w:val="24"/>
          <w:u w:color="000000"/>
        </w:rPr>
        <w:t xml:space="preserve"> the</w:t>
      </w:r>
      <w:r w:rsidR="005B0F82">
        <w:rPr>
          <w:rFonts w:eastAsia="Arial Unicode MS"/>
          <w:sz w:val="24"/>
          <w:szCs w:val="24"/>
          <w:u w:color="000000"/>
        </w:rPr>
        <w:t xml:space="preserve"> final </w:t>
      </w:r>
      <w:r w:rsidR="001B7334">
        <w:rPr>
          <w:rFonts w:eastAsia="Arial Unicode MS"/>
          <w:sz w:val="24"/>
          <w:szCs w:val="24"/>
          <w:u w:color="000000"/>
        </w:rPr>
        <w:t>list of response-specific data elements</w:t>
      </w:r>
      <w:r w:rsidR="005B0F82">
        <w:rPr>
          <w:rFonts w:eastAsia="Arial Unicode MS"/>
          <w:sz w:val="24"/>
          <w:szCs w:val="24"/>
          <w:u w:color="000000"/>
        </w:rPr>
        <w:t xml:space="preserve"> </w:t>
      </w:r>
      <w:r w:rsidRPr="00B651A5" w:rsidR="00F41554">
        <w:rPr>
          <w:rFonts w:eastAsia="Arial Unicode MS"/>
          <w:sz w:val="24"/>
          <w:szCs w:val="24"/>
          <w:u w:color="000000"/>
        </w:rPr>
        <w:t>using the “</w:t>
      </w:r>
      <w:r w:rsidR="00A94AEA">
        <w:rPr>
          <w:rFonts w:eastAsia="Arial Unicode MS"/>
          <w:sz w:val="24"/>
          <w:szCs w:val="24"/>
          <w:u w:color="000000"/>
        </w:rPr>
        <w:t>Final Response-Specific Data Elements Form</w:t>
      </w:r>
      <w:r w:rsidRPr="00B651A5" w:rsidR="00F41554">
        <w:rPr>
          <w:rFonts w:eastAsia="Arial Unicode MS"/>
          <w:sz w:val="24"/>
          <w:szCs w:val="24"/>
          <w:u w:color="000000"/>
        </w:rPr>
        <w:t xml:space="preserve">” </w:t>
      </w:r>
      <w:r w:rsidRPr="008A5D1A" w:rsidR="001C0286">
        <w:rPr>
          <w:rFonts w:eastAsia="Arial Unicode MS"/>
          <w:b/>
          <w:bCs/>
          <w:sz w:val="24"/>
          <w:szCs w:val="24"/>
          <w:u w:color="000000"/>
        </w:rPr>
        <w:t>[</w:t>
      </w:r>
      <w:r w:rsidRPr="008A5D1A" w:rsidR="00EF144F">
        <w:rPr>
          <w:rFonts w:eastAsia="Arial Unicode MS"/>
          <w:b/>
          <w:bCs/>
          <w:sz w:val="24"/>
          <w:szCs w:val="24"/>
          <w:u w:color="000000"/>
        </w:rPr>
        <w:t xml:space="preserve">Attachment </w:t>
      </w:r>
      <w:r w:rsidR="00900E69">
        <w:rPr>
          <w:rFonts w:eastAsia="Arial Unicode MS"/>
          <w:b/>
          <w:bCs/>
          <w:sz w:val="24"/>
          <w:szCs w:val="24"/>
          <w:u w:color="000000"/>
        </w:rPr>
        <w:t>6</w:t>
      </w:r>
      <w:r w:rsidRPr="008A5D1A" w:rsidR="00EF144F">
        <w:rPr>
          <w:rFonts w:eastAsia="Arial Unicode MS"/>
          <w:b/>
          <w:bCs/>
          <w:sz w:val="24"/>
          <w:szCs w:val="24"/>
          <w:u w:color="000000"/>
        </w:rPr>
        <w:t xml:space="preserve">. </w:t>
      </w:r>
      <w:r w:rsidRPr="008A5D1A" w:rsidR="001C0286">
        <w:rPr>
          <w:rFonts w:eastAsia="Arial Unicode MS"/>
          <w:b/>
          <w:bCs/>
          <w:sz w:val="24"/>
          <w:szCs w:val="24"/>
          <w:u w:color="000000"/>
        </w:rPr>
        <w:t>Final Response-Specific Data Elements Form</w:t>
      </w:r>
      <w:r w:rsidRPr="008A5D1A" w:rsidR="00EF144F">
        <w:rPr>
          <w:rFonts w:eastAsia="Arial Unicode MS"/>
          <w:b/>
          <w:bCs/>
          <w:sz w:val="24"/>
          <w:szCs w:val="24"/>
          <w:u w:color="000000"/>
        </w:rPr>
        <w:t>]</w:t>
      </w:r>
      <w:r w:rsidR="00D3422B">
        <w:rPr>
          <w:rFonts w:eastAsia="Arial Unicode MS"/>
          <w:sz w:val="24"/>
          <w:szCs w:val="24"/>
          <w:u w:color="000000"/>
        </w:rPr>
        <w:t xml:space="preserve"> to the ICRL</w:t>
      </w:r>
      <w:r w:rsidRPr="00B651A5" w:rsidR="00F41554">
        <w:rPr>
          <w:rFonts w:eastAsia="Arial Unicode MS"/>
          <w:sz w:val="24"/>
          <w:szCs w:val="24"/>
          <w:u w:color="000000"/>
        </w:rPr>
        <w:t>.</w:t>
      </w:r>
      <w:r w:rsidR="00C744A2">
        <w:rPr>
          <w:rFonts w:eastAsia="Arial Unicode MS"/>
          <w:sz w:val="24"/>
          <w:szCs w:val="24"/>
          <w:u w:color="000000"/>
        </w:rPr>
        <w:t xml:space="preserve"> </w:t>
      </w:r>
    </w:p>
    <w:p w:rsidR="001450A6" w:rsidP="00141361" w14:paraId="0AFF8FEE" w14:textId="3254ADC1">
      <w:pPr>
        <w:numPr>
          <w:ilvl w:val="0"/>
          <w:numId w:val="8"/>
        </w:numPr>
        <w:ind w:left="720"/>
        <w:rPr>
          <w:rFonts w:eastAsia="Arial Unicode MS"/>
          <w:sz w:val="24"/>
          <w:szCs w:val="24"/>
        </w:rPr>
      </w:pPr>
      <w:r w:rsidRPr="1EDBFEAD">
        <w:rPr>
          <w:rFonts w:eastAsia="Arial Unicode MS"/>
          <w:sz w:val="24"/>
          <w:szCs w:val="24"/>
        </w:rPr>
        <w:t xml:space="preserve">CDC </w:t>
      </w:r>
      <w:r w:rsidRPr="1EDBFEAD" w:rsidR="00D92716">
        <w:rPr>
          <w:rFonts w:eastAsia="Arial Unicode MS"/>
          <w:sz w:val="24"/>
          <w:szCs w:val="24"/>
        </w:rPr>
        <w:t xml:space="preserve">will </w:t>
      </w:r>
      <w:r w:rsidRPr="1EDBFEAD">
        <w:rPr>
          <w:rFonts w:eastAsia="Arial Unicode MS"/>
          <w:sz w:val="24"/>
          <w:szCs w:val="24"/>
        </w:rPr>
        <w:t xml:space="preserve">maintain a </w:t>
      </w:r>
      <w:r w:rsidRPr="1EDBFEAD" w:rsidR="0031781A">
        <w:rPr>
          <w:rFonts w:eastAsia="Arial Unicode MS"/>
          <w:sz w:val="24"/>
          <w:szCs w:val="24"/>
        </w:rPr>
        <w:t>list</w:t>
      </w:r>
      <w:r w:rsidRPr="1EDBFEAD">
        <w:rPr>
          <w:rFonts w:eastAsia="Arial Unicode MS"/>
          <w:sz w:val="24"/>
          <w:szCs w:val="24"/>
        </w:rPr>
        <w:t xml:space="preserve"> </w:t>
      </w:r>
      <w:r w:rsidRPr="1EDBFEAD" w:rsidR="007C1705">
        <w:rPr>
          <w:rFonts w:eastAsia="Arial Unicode MS"/>
          <w:sz w:val="24"/>
          <w:szCs w:val="24"/>
        </w:rPr>
        <w:t xml:space="preserve">of </w:t>
      </w:r>
      <w:r w:rsidRPr="1EDBFEAD" w:rsidR="00027688">
        <w:rPr>
          <w:rFonts w:eastAsia="Arial Unicode MS"/>
          <w:sz w:val="24"/>
          <w:szCs w:val="24"/>
        </w:rPr>
        <w:t xml:space="preserve">all </w:t>
      </w:r>
      <w:r w:rsidRPr="1EDBFEAD" w:rsidR="00DB10FC">
        <w:rPr>
          <w:rFonts w:eastAsia="Arial Unicode MS"/>
          <w:sz w:val="24"/>
          <w:szCs w:val="24"/>
        </w:rPr>
        <w:t xml:space="preserve">response-specific </w:t>
      </w:r>
      <w:r w:rsidRPr="1EDBFEAD" w:rsidR="007C1705">
        <w:rPr>
          <w:rFonts w:eastAsia="Arial Unicode MS"/>
          <w:sz w:val="24"/>
          <w:szCs w:val="24"/>
        </w:rPr>
        <w:t xml:space="preserve">data </w:t>
      </w:r>
      <w:r w:rsidRPr="1EDBFEAD" w:rsidR="00DB10FC">
        <w:rPr>
          <w:rFonts w:eastAsia="Arial Unicode MS"/>
          <w:sz w:val="24"/>
          <w:szCs w:val="24"/>
        </w:rPr>
        <w:t xml:space="preserve">elements collected </w:t>
      </w:r>
      <w:r w:rsidRPr="1EDBFEAD">
        <w:rPr>
          <w:rFonts w:eastAsia="Arial Unicode MS"/>
          <w:sz w:val="24"/>
          <w:szCs w:val="24"/>
        </w:rPr>
        <w:t xml:space="preserve">under this </w:t>
      </w:r>
      <w:r w:rsidRPr="1EDBFEAD" w:rsidR="009E0AF1">
        <w:rPr>
          <w:rFonts w:eastAsia="Arial Unicode MS"/>
          <w:sz w:val="24"/>
          <w:szCs w:val="24"/>
        </w:rPr>
        <w:t>g</w:t>
      </w:r>
      <w:r w:rsidRPr="1EDBFEAD">
        <w:rPr>
          <w:rFonts w:eastAsia="Arial Unicode MS"/>
          <w:sz w:val="24"/>
          <w:szCs w:val="24"/>
        </w:rPr>
        <w:t>eneric ICR.</w:t>
      </w:r>
      <w:r w:rsidRPr="1EDBFEAD" w:rsidR="00C744A2">
        <w:rPr>
          <w:rFonts w:eastAsia="Arial Unicode MS"/>
          <w:sz w:val="24"/>
          <w:szCs w:val="24"/>
        </w:rPr>
        <w:t xml:space="preserve"> </w:t>
      </w:r>
      <w:r w:rsidRPr="1EDBFEAD">
        <w:rPr>
          <w:rFonts w:eastAsia="Arial Unicode MS"/>
          <w:sz w:val="24"/>
          <w:szCs w:val="24"/>
        </w:rPr>
        <w:t xml:space="preserve">This </w:t>
      </w:r>
      <w:r w:rsidRPr="1EDBFEAD" w:rsidR="00115696">
        <w:rPr>
          <w:rFonts w:eastAsia="Arial Unicode MS"/>
          <w:sz w:val="24"/>
          <w:szCs w:val="24"/>
        </w:rPr>
        <w:t>list</w:t>
      </w:r>
      <w:r w:rsidRPr="1EDBFEAD">
        <w:rPr>
          <w:rFonts w:eastAsia="Arial Unicode MS"/>
          <w:sz w:val="24"/>
          <w:szCs w:val="24"/>
        </w:rPr>
        <w:t xml:space="preserve"> </w:t>
      </w:r>
      <w:r w:rsidRPr="1EDBFEAD" w:rsidR="00115696">
        <w:rPr>
          <w:rFonts w:eastAsia="Arial Unicode MS"/>
          <w:sz w:val="24"/>
          <w:szCs w:val="24"/>
        </w:rPr>
        <w:t>will be</w:t>
      </w:r>
      <w:r w:rsidRPr="1EDBFEAD">
        <w:rPr>
          <w:rFonts w:eastAsia="Arial Unicode MS"/>
          <w:sz w:val="24"/>
          <w:szCs w:val="24"/>
        </w:rPr>
        <w:t xml:space="preserve"> </w:t>
      </w:r>
      <w:r w:rsidRPr="1EDBFEAD" w:rsidR="007C1705">
        <w:rPr>
          <w:rFonts w:eastAsia="Arial Unicode MS"/>
          <w:sz w:val="24"/>
          <w:szCs w:val="24"/>
        </w:rPr>
        <w:t>submitted to OM</w:t>
      </w:r>
      <w:r w:rsidRPr="1EDBFEAD" w:rsidR="00E158BC">
        <w:rPr>
          <w:rFonts w:eastAsia="Arial Unicode MS"/>
          <w:sz w:val="24"/>
          <w:szCs w:val="24"/>
        </w:rPr>
        <w:t xml:space="preserve">B </w:t>
      </w:r>
      <w:r w:rsidRPr="1EDBFEAD" w:rsidR="005D2CED">
        <w:rPr>
          <w:rFonts w:eastAsia="Arial Unicode MS"/>
          <w:sz w:val="24"/>
          <w:szCs w:val="24"/>
        </w:rPr>
        <w:t>quarterly</w:t>
      </w:r>
      <w:r w:rsidRPr="1EDBFEAD" w:rsidR="00E158BC">
        <w:rPr>
          <w:rFonts w:eastAsia="Arial Unicode MS"/>
          <w:sz w:val="24"/>
          <w:szCs w:val="24"/>
        </w:rPr>
        <w:t xml:space="preserve"> as a non-substantive</w:t>
      </w:r>
      <w:r w:rsidRPr="1EDBFEAD" w:rsidR="007C1705">
        <w:rPr>
          <w:rFonts w:eastAsia="Arial Unicode MS"/>
          <w:sz w:val="24"/>
          <w:szCs w:val="24"/>
        </w:rPr>
        <w:t xml:space="preserve"> change to the </w:t>
      </w:r>
      <w:r w:rsidRPr="1EDBFEAD" w:rsidR="009E0AF1">
        <w:rPr>
          <w:rFonts w:eastAsia="Arial Unicode MS"/>
          <w:sz w:val="24"/>
          <w:szCs w:val="24"/>
        </w:rPr>
        <w:t>g</w:t>
      </w:r>
      <w:r w:rsidRPr="1EDBFEAD" w:rsidR="007C1705">
        <w:rPr>
          <w:rFonts w:eastAsia="Arial Unicode MS"/>
          <w:sz w:val="24"/>
          <w:szCs w:val="24"/>
        </w:rPr>
        <w:t>eneric ICR.</w:t>
      </w:r>
    </w:p>
    <w:p w:rsidR="005B0F82" w:rsidP="005B0F82" w14:paraId="094159EF" w14:textId="77777777">
      <w:pPr>
        <w:ind w:left="720"/>
        <w:rPr>
          <w:rFonts w:eastAsia="Arial Unicode MS"/>
          <w:sz w:val="24"/>
          <w:szCs w:val="24"/>
          <w:u w:color="000000"/>
        </w:rPr>
      </w:pPr>
    </w:p>
    <w:p w:rsidR="004517C9" w:rsidP="000737ED" w14:paraId="2B23C958" w14:textId="3A313896">
      <w:pPr>
        <w:rPr>
          <w:rFonts w:eastAsia="Arial Unicode MS"/>
          <w:sz w:val="24"/>
          <w:szCs w:val="24"/>
          <w:u w:color="000000"/>
        </w:rPr>
      </w:pPr>
      <w:r>
        <w:rPr>
          <w:rFonts w:eastAsia="Arial Unicode MS"/>
          <w:sz w:val="24"/>
          <w:szCs w:val="24"/>
          <w:u w:color="000000"/>
        </w:rPr>
        <w:t xml:space="preserve">A CDC staff person serves in the role of </w:t>
      </w:r>
      <w:r w:rsidR="00D4652E">
        <w:rPr>
          <w:rFonts w:eastAsia="Arial Unicode MS"/>
          <w:sz w:val="24"/>
          <w:szCs w:val="24"/>
          <w:u w:color="000000"/>
        </w:rPr>
        <w:t xml:space="preserve">MDN </w:t>
      </w:r>
      <w:r w:rsidR="004C65BA">
        <w:rPr>
          <w:rFonts w:eastAsia="Arial Unicode MS"/>
          <w:sz w:val="24"/>
          <w:szCs w:val="24"/>
          <w:u w:color="000000"/>
        </w:rPr>
        <w:t xml:space="preserve">for </w:t>
      </w:r>
      <w:r w:rsidR="00D4652E">
        <w:rPr>
          <w:rFonts w:eastAsia="Arial Unicode MS"/>
          <w:sz w:val="24"/>
          <w:szCs w:val="24"/>
          <w:u w:color="000000"/>
        </w:rPr>
        <w:t>C</w:t>
      </w:r>
      <w:r w:rsidRPr="00D4652E" w:rsidR="00D4652E">
        <w:rPr>
          <w:rFonts w:eastAsia="Arial Unicode MS"/>
          <w:sz w:val="24"/>
          <w:szCs w:val="24"/>
          <w:u w:color="000000"/>
        </w:rPr>
        <w:t>ase Data</w:t>
      </w:r>
      <w:r w:rsidR="00CA14C4">
        <w:rPr>
          <w:rFonts w:eastAsia="Arial Unicode MS"/>
          <w:sz w:val="24"/>
          <w:szCs w:val="24"/>
          <w:u w:color="000000"/>
        </w:rPr>
        <w:t xml:space="preserve"> </w:t>
      </w:r>
      <w:r>
        <w:rPr>
          <w:rFonts w:eastAsia="Arial Unicode MS"/>
          <w:sz w:val="24"/>
          <w:szCs w:val="24"/>
          <w:u w:color="000000"/>
        </w:rPr>
        <w:t>ICRL</w:t>
      </w:r>
      <w:r w:rsidRPr="00715540">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The ICRL oversees the clearance p</w:t>
      </w:r>
      <w:r w:rsidRPr="00715540">
        <w:rPr>
          <w:rFonts w:eastAsia="Arial Unicode MS"/>
          <w:sz w:val="24"/>
          <w:szCs w:val="24"/>
          <w:u w:color="000000"/>
        </w:rPr>
        <w:t>rocess</w:t>
      </w:r>
      <w:r>
        <w:rPr>
          <w:rFonts w:eastAsia="Arial Unicode MS"/>
          <w:sz w:val="24"/>
          <w:szCs w:val="24"/>
          <w:u w:color="000000"/>
        </w:rPr>
        <w:t xml:space="preserve"> for individual </w:t>
      </w:r>
      <w:r w:rsidR="00427F22">
        <w:rPr>
          <w:rFonts w:eastAsia="Arial Unicode MS"/>
          <w:sz w:val="24"/>
          <w:szCs w:val="24"/>
          <w:u w:color="000000"/>
        </w:rPr>
        <w:t>G</w:t>
      </w:r>
      <w:r>
        <w:rPr>
          <w:rFonts w:eastAsia="Arial Unicode MS"/>
          <w:sz w:val="24"/>
          <w:szCs w:val="24"/>
          <w:u w:color="000000"/>
        </w:rPr>
        <w:t>enICs</w:t>
      </w:r>
      <w:r>
        <w:rPr>
          <w:rFonts w:eastAsia="Arial Unicode MS"/>
          <w:sz w:val="24"/>
          <w:szCs w:val="24"/>
          <w:u w:color="000000"/>
        </w:rPr>
        <w:t xml:space="preserve">. </w:t>
      </w:r>
      <w:r w:rsidRPr="00715540">
        <w:rPr>
          <w:rFonts w:eastAsia="Arial Unicode MS"/>
          <w:sz w:val="24"/>
          <w:szCs w:val="24"/>
          <w:u w:color="000000"/>
        </w:rPr>
        <w:t>T</w:t>
      </w:r>
      <w:r>
        <w:rPr>
          <w:rFonts w:eastAsia="Arial Unicode MS"/>
          <w:sz w:val="24"/>
          <w:szCs w:val="24"/>
          <w:u w:color="000000"/>
        </w:rPr>
        <w:t xml:space="preserve">he ICRL maintains a </w:t>
      </w:r>
      <w:r w:rsidR="00055B44">
        <w:rPr>
          <w:rFonts w:eastAsia="Arial Unicode MS"/>
          <w:sz w:val="24"/>
          <w:szCs w:val="24"/>
          <w:u w:color="000000"/>
        </w:rPr>
        <w:t>list</w:t>
      </w:r>
      <w:r>
        <w:rPr>
          <w:rFonts w:eastAsia="Arial Unicode MS"/>
          <w:sz w:val="24"/>
          <w:szCs w:val="24"/>
          <w:u w:color="000000"/>
        </w:rPr>
        <w:t xml:space="preserve"> of </w:t>
      </w:r>
      <w:r w:rsidR="00055B44">
        <w:rPr>
          <w:rFonts w:eastAsia="Arial Unicode MS"/>
          <w:sz w:val="24"/>
          <w:szCs w:val="24"/>
          <w:u w:color="000000"/>
        </w:rPr>
        <w:t xml:space="preserve">response-specific </w:t>
      </w:r>
      <w:r>
        <w:rPr>
          <w:rFonts w:eastAsia="Arial Unicode MS"/>
          <w:sz w:val="24"/>
          <w:szCs w:val="24"/>
          <w:u w:color="000000"/>
        </w:rPr>
        <w:t xml:space="preserve">data </w:t>
      </w:r>
      <w:r w:rsidR="00055B44">
        <w:rPr>
          <w:rFonts w:eastAsia="Arial Unicode MS"/>
          <w:sz w:val="24"/>
          <w:szCs w:val="24"/>
          <w:u w:color="000000"/>
        </w:rPr>
        <w:t>elements</w:t>
      </w:r>
      <w:r>
        <w:rPr>
          <w:rFonts w:eastAsia="Arial Unicode MS"/>
          <w:sz w:val="24"/>
          <w:szCs w:val="24"/>
          <w:u w:color="000000"/>
        </w:rPr>
        <w:t xml:space="preserve"> </w:t>
      </w:r>
      <w:r w:rsidR="00AE2806">
        <w:rPr>
          <w:rFonts w:eastAsia="Arial Unicode MS"/>
          <w:sz w:val="24"/>
          <w:szCs w:val="24"/>
          <w:u w:color="000000"/>
        </w:rPr>
        <w:t xml:space="preserve">and value sets </w:t>
      </w:r>
      <w:r>
        <w:rPr>
          <w:rFonts w:eastAsia="Arial Unicode MS"/>
          <w:sz w:val="24"/>
          <w:szCs w:val="24"/>
          <w:u w:color="000000"/>
        </w:rPr>
        <w:t xml:space="preserve">that may be </w:t>
      </w:r>
      <w:r w:rsidR="00AE2806">
        <w:rPr>
          <w:rFonts w:eastAsia="Arial Unicode MS"/>
          <w:sz w:val="24"/>
          <w:szCs w:val="24"/>
          <w:u w:color="000000"/>
        </w:rPr>
        <w:t>utilized for future emergency responses</w:t>
      </w:r>
      <w:r w:rsidRPr="00715540">
        <w:rPr>
          <w:rFonts w:eastAsia="Arial Unicode MS"/>
          <w:sz w:val="24"/>
          <w:szCs w:val="24"/>
          <w:u w:color="000000"/>
        </w:rPr>
        <w:t>.</w:t>
      </w:r>
      <w:r>
        <w:rPr>
          <w:rFonts w:eastAsia="Arial Unicode MS"/>
          <w:sz w:val="24"/>
          <w:szCs w:val="24"/>
          <w:u w:color="000000"/>
        </w:rPr>
        <w:t xml:space="preserve"> Upon the completion of an </w:t>
      </w:r>
      <w:r w:rsidR="00617878">
        <w:rPr>
          <w:rFonts w:eastAsia="Arial Unicode MS"/>
          <w:sz w:val="24"/>
          <w:szCs w:val="24"/>
          <w:u w:color="000000"/>
        </w:rPr>
        <w:t>emergency response</w:t>
      </w:r>
      <w:r>
        <w:rPr>
          <w:rFonts w:eastAsia="Arial Unicode MS"/>
          <w:sz w:val="24"/>
          <w:szCs w:val="24"/>
          <w:u w:color="000000"/>
        </w:rPr>
        <w:t xml:space="preserve">, the ICRL </w:t>
      </w:r>
      <w:r w:rsidR="00617878">
        <w:rPr>
          <w:rFonts w:eastAsia="Arial Unicode MS"/>
          <w:sz w:val="24"/>
          <w:szCs w:val="24"/>
          <w:u w:color="000000"/>
        </w:rPr>
        <w:t>adds</w:t>
      </w:r>
      <w:r>
        <w:rPr>
          <w:rFonts w:eastAsia="Arial Unicode MS"/>
          <w:sz w:val="24"/>
          <w:szCs w:val="24"/>
          <w:u w:color="000000"/>
        </w:rPr>
        <w:t xml:space="preserve"> the </w:t>
      </w:r>
      <w:r w:rsidRPr="00F87C87" w:rsidR="00F87C87">
        <w:rPr>
          <w:rFonts w:eastAsia="Arial Unicode MS"/>
          <w:sz w:val="24"/>
          <w:szCs w:val="24"/>
          <w:u w:color="000000"/>
        </w:rPr>
        <w:t xml:space="preserve">response-specific </w:t>
      </w:r>
      <w:r>
        <w:rPr>
          <w:rFonts w:eastAsia="Arial Unicode MS"/>
          <w:sz w:val="24"/>
          <w:szCs w:val="24"/>
          <w:u w:color="000000"/>
        </w:rPr>
        <w:t xml:space="preserve">data </w:t>
      </w:r>
      <w:r w:rsidR="00617878">
        <w:rPr>
          <w:rFonts w:eastAsia="Arial Unicode MS"/>
          <w:sz w:val="24"/>
          <w:szCs w:val="24"/>
          <w:u w:color="000000"/>
        </w:rPr>
        <w:t>elements</w:t>
      </w:r>
      <w:r w:rsidR="00A95F38">
        <w:rPr>
          <w:rFonts w:eastAsia="Arial Unicode MS"/>
          <w:sz w:val="24"/>
          <w:szCs w:val="24"/>
          <w:u w:color="000000"/>
        </w:rPr>
        <w:t xml:space="preserve"> and </w:t>
      </w:r>
      <w:r w:rsidR="00A95F38">
        <w:rPr>
          <w:rFonts w:eastAsia="Arial Unicode MS"/>
          <w:sz w:val="24"/>
          <w:szCs w:val="24"/>
          <w:u w:color="000000"/>
        </w:rPr>
        <w:t>value sets</w:t>
      </w:r>
      <w:r w:rsidR="00441186">
        <w:rPr>
          <w:rFonts w:eastAsia="Arial Unicode MS"/>
          <w:sz w:val="24"/>
          <w:szCs w:val="24"/>
          <w:u w:color="000000"/>
        </w:rPr>
        <w:t xml:space="preserve"> </w:t>
      </w:r>
      <w:r w:rsidR="00617878">
        <w:rPr>
          <w:rFonts w:eastAsia="Arial Unicode MS"/>
          <w:sz w:val="24"/>
          <w:szCs w:val="24"/>
          <w:u w:color="000000"/>
        </w:rPr>
        <w:t>to the list</w:t>
      </w:r>
      <w:r>
        <w:rPr>
          <w:rFonts w:eastAsia="Arial Unicode MS"/>
          <w:sz w:val="24"/>
          <w:szCs w:val="24"/>
          <w:u w:color="000000"/>
        </w:rPr>
        <w:t xml:space="preserve">. </w:t>
      </w:r>
      <w:r w:rsidRPr="00715540">
        <w:rPr>
          <w:rFonts w:eastAsia="Arial Unicode MS"/>
          <w:sz w:val="24"/>
          <w:szCs w:val="24"/>
          <w:u w:color="000000"/>
        </w:rPr>
        <w:t xml:space="preserve">Each </w:t>
      </w:r>
      <w:r w:rsidR="006B636B">
        <w:rPr>
          <w:rFonts w:eastAsia="Arial Unicode MS"/>
          <w:sz w:val="24"/>
          <w:szCs w:val="24"/>
          <w:u w:color="000000"/>
        </w:rPr>
        <w:t xml:space="preserve">initial </w:t>
      </w:r>
      <w:r>
        <w:rPr>
          <w:rFonts w:eastAsia="Arial Unicode MS"/>
          <w:sz w:val="24"/>
          <w:szCs w:val="24"/>
          <w:u w:color="000000"/>
        </w:rPr>
        <w:t xml:space="preserve">request is closely reviewed by the </w:t>
      </w:r>
      <w:r w:rsidRPr="00715540">
        <w:rPr>
          <w:rFonts w:eastAsia="Arial Unicode MS"/>
          <w:sz w:val="24"/>
          <w:szCs w:val="24"/>
          <w:u w:color="000000"/>
        </w:rPr>
        <w:t xml:space="preserve">ICRL to </w:t>
      </w:r>
      <w:r w:rsidR="00AB166F">
        <w:rPr>
          <w:rFonts w:eastAsia="Arial Unicode MS"/>
          <w:sz w:val="24"/>
          <w:szCs w:val="24"/>
          <w:u w:color="000000"/>
        </w:rPr>
        <w:t xml:space="preserve">ensure only </w:t>
      </w:r>
      <w:r w:rsidR="00AB166F">
        <w:rPr>
          <w:rFonts w:eastAsia="Arial Unicode MS"/>
          <w:sz w:val="24"/>
          <w:szCs w:val="24"/>
          <w:u w:color="000000"/>
        </w:rPr>
        <w:t>GenICs</w:t>
      </w:r>
      <w:r w:rsidR="00AB166F">
        <w:rPr>
          <w:rFonts w:eastAsia="Arial Unicode MS"/>
          <w:sz w:val="24"/>
          <w:szCs w:val="24"/>
          <w:u w:color="000000"/>
        </w:rPr>
        <w:t xml:space="preserve"> for </w:t>
      </w:r>
      <w:r w:rsidR="007F36D0">
        <w:rPr>
          <w:rFonts w:eastAsia="Arial Unicode MS"/>
          <w:sz w:val="24"/>
          <w:szCs w:val="24"/>
          <w:u w:color="000000"/>
        </w:rPr>
        <w:t xml:space="preserve">official CDC emergency responses </w:t>
      </w:r>
      <w:r w:rsidR="00AB166F">
        <w:rPr>
          <w:rFonts w:eastAsia="Arial Unicode MS"/>
          <w:sz w:val="24"/>
          <w:szCs w:val="24"/>
          <w:u w:color="000000"/>
        </w:rPr>
        <w:t xml:space="preserve">are submitted to OMB for approval. </w:t>
      </w:r>
    </w:p>
    <w:p w:rsidR="00723171" w:rsidP="000737ED" w14:paraId="03B2F4A1" w14:textId="77777777">
      <w:pPr>
        <w:rPr>
          <w:rFonts w:eastAsia="Arial Unicode MS"/>
          <w:sz w:val="24"/>
          <w:szCs w:val="24"/>
          <w:u w:color="000000"/>
        </w:rPr>
      </w:pPr>
    </w:p>
    <w:p w:rsidR="00723171" w:rsidRPr="0057310B" w:rsidP="000737ED" w14:paraId="7E0ECCFB" w14:textId="3B76761F">
      <w:pPr>
        <w:rPr>
          <w:rFonts w:eastAsia="Arial Unicode MS"/>
          <w:sz w:val="24"/>
          <w:szCs w:val="24"/>
          <w:u w:color="000000"/>
        </w:rPr>
      </w:pPr>
      <w:r w:rsidRPr="007D528E">
        <w:rPr>
          <w:rFonts w:eastAsia="Arial Unicode MS"/>
          <w:sz w:val="24"/>
          <w:szCs w:val="24"/>
          <w:u w:color="000000"/>
        </w:rPr>
        <w:t xml:space="preserve">At this time, CDC is not able to change the race and ethnicity questions in </w:t>
      </w:r>
      <w:r w:rsidRPr="007D528E" w:rsidR="00453FE4">
        <w:rPr>
          <w:rFonts w:eastAsia="Arial Unicode MS"/>
          <w:sz w:val="24"/>
          <w:szCs w:val="24"/>
          <w:u w:color="000000"/>
        </w:rPr>
        <w:t>this generic ICR</w:t>
      </w:r>
      <w:r w:rsidRPr="007D528E">
        <w:rPr>
          <w:rFonts w:eastAsia="Arial Unicode MS"/>
          <w:sz w:val="24"/>
          <w:szCs w:val="24"/>
          <w:u w:color="000000"/>
        </w:rPr>
        <w:t xml:space="preserve"> to match the new OMB standard (SPD-15) as it will cause undue burden for the jurisdictions, cost to the government, and substantial delays in CDC’s Response Readiness for Case Data project. Since CDC will not be collecting primary data for </w:t>
      </w:r>
      <w:r w:rsidRPr="007D528E" w:rsidR="00D1182E">
        <w:rPr>
          <w:rFonts w:eastAsia="Arial Unicode MS"/>
          <w:sz w:val="24"/>
          <w:szCs w:val="24"/>
          <w:u w:color="000000"/>
        </w:rPr>
        <w:t>GenICs</w:t>
      </w:r>
      <w:r w:rsidRPr="007D528E">
        <w:rPr>
          <w:rFonts w:eastAsia="Arial Unicode MS"/>
          <w:sz w:val="24"/>
          <w:szCs w:val="24"/>
          <w:u w:color="000000"/>
        </w:rPr>
        <w:t xml:space="preserve"> under this proposed generic</w:t>
      </w:r>
      <w:r w:rsidRPr="007D528E" w:rsidR="00187A2F">
        <w:rPr>
          <w:rFonts w:eastAsia="Arial Unicode MS"/>
          <w:sz w:val="24"/>
          <w:szCs w:val="24"/>
          <w:u w:color="000000"/>
        </w:rPr>
        <w:t xml:space="preserve"> ICR</w:t>
      </w:r>
      <w:r w:rsidRPr="007D528E">
        <w:rPr>
          <w:rFonts w:eastAsia="Arial Unicode MS"/>
          <w:sz w:val="24"/>
          <w:szCs w:val="24"/>
          <w:u w:color="000000"/>
        </w:rPr>
        <w:t xml:space="preserve">, </w:t>
      </w:r>
      <w:r w:rsidRPr="007D528E" w:rsidR="00D1182E">
        <w:rPr>
          <w:rFonts w:eastAsia="Arial Unicode MS"/>
          <w:sz w:val="24"/>
          <w:szCs w:val="24"/>
          <w:u w:color="000000"/>
        </w:rPr>
        <w:t>CDC’s</w:t>
      </w:r>
      <w:r w:rsidRPr="007D528E">
        <w:rPr>
          <w:rFonts w:eastAsia="Arial Unicode MS"/>
          <w:sz w:val="24"/>
          <w:szCs w:val="24"/>
          <w:u w:color="000000"/>
        </w:rPr>
        <w:t xml:space="preserve"> ability to report accurate data for the required categories is dependent on the case data that the jurisdictions send to us. </w:t>
      </w:r>
      <w:r w:rsidRPr="007D528E" w:rsidR="006969D5">
        <w:rPr>
          <w:rFonts w:eastAsia="Arial Unicode MS"/>
          <w:sz w:val="24"/>
          <w:szCs w:val="24"/>
          <w:u w:color="000000"/>
        </w:rPr>
        <w:t>CDC does</w:t>
      </w:r>
      <w:r w:rsidRPr="007D528E">
        <w:rPr>
          <w:rFonts w:eastAsia="Arial Unicode MS"/>
          <w:sz w:val="24"/>
          <w:szCs w:val="24"/>
          <w:u w:color="000000"/>
        </w:rPr>
        <w:t xml:space="preserve"> see the value of the new standard and plan</w:t>
      </w:r>
      <w:r w:rsidRPr="007D528E" w:rsidR="00E5728C">
        <w:rPr>
          <w:rFonts w:eastAsia="Arial Unicode MS"/>
          <w:sz w:val="24"/>
          <w:szCs w:val="24"/>
          <w:u w:color="000000"/>
        </w:rPr>
        <w:t>s</w:t>
      </w:r>
      <w:r w:rsidRPr="007D528E">
        <w:rPr>
          <w:rFonts w:eastAsia="Arial Unicode MS"/>
          <w:sz w:val="24"/>
          <w:szCs w:val="24"/>
          <w:u w:color="000000"/>
        </w:rPr>
        <w:t xml:space="preserve"> to implement it in our next revision of the MDN Message Mapping Guide, </w:t>
      </w:r>
      <w:r w:rsidRPr="007D528E" w:rsidR="001E38FD">
        <w:rPr>
          <w:rFonts w:eastAsia="Arial Unicode MS"/>
          <w:sz w:val="24"/>
          <w:szCs w:val="24"/>
          <w:u w:color="000000"/>
        </w:rPr>
        <w:t xml:space="preserve">estimated </w:t>
      </w:r>
      <w:r w:rsidRPr="007D528E">
        <w:rPr>
          <w:rFonts w:eastAsia="Arial Unicode MS"/>
          <w:sz w:val="24"/>
          <w:szCs w:val="24"/>
          <w:u w:color="000000"/>
        </w:rPr>
        <w:t>to occur b</w:t>
      </w:r>
      <w:r w:rsidRPr="007D528E" w:rsidR="001E38FD">
        <w:rPr>
          <w:rFonts w:eastAsia="Arial Unicode MS"/>
          <w:sz w:val="24"/>
          <w:szCs w:val="24"/>
          <w:u w:color="000000"/>
        </w:rPr>
        <w:t>y fall</w:t>
      </w:r>
      <w:r w:rsidRPr="007D528E">
        <w:rPr>
          <w:rFonts w:eastAsia="Arial Unicode MS"/>
          <w:sz w:val="24"/>
          <w:szCs w:val="24"/>
          <w:u w:color="000000"/>
        </w:rPr>
        <w:t xml:space="preserve"> 202</w:t>
      </w:r>
      <w:r w:rsidRPr="007D528E" w:rsidR="001E38FD">
        <w:rPr>
          <w:rFonts w:eastAsia="Arial Unicode MS"/>
          <w:sz w:val="24"/>
          <w:szCs w:val="24"/>
          <w:u w:color="000000"/>
        </w:rPr>
        <w:t>7</w:t>
      </w:r>
      <w:r w:rsidRPr="007D528E" w:rsidR="006969D5">
        <w:rPr>
          <w:rFonts w:eastAsia="Arial Unicode MS"/>
          <w:sz w:val="24"/>
          <w:szCs w:val="24"/>
          <w:u w:color="000000"/>
        </w:rPr>
        <w:t>.</w:t>
      </w:r>
    </w:p>
    <w:p w:rsidR="004517C9" w:rsidP="009F198C" w14:paraId="16EFEC32" w14:textId="77777777">
      <w:pPr>
        <w:ind w:left="720" w:hanging="720"/>
        <w:rPr>
          <w:b/>
          <w:szCs w:val="24"/>
        </w:rPr>
      </w:pPr>
    </w:p>
    <w:p w:rsidR="00596298" w:rsidP="009F198C" w14:paraId="73C8F2A8" w14:textId="77777777">
      <w:pPr>
        <w:ind w:left="720" w:hanging="720"/>
        <w:rPr>
          <w:b/>
          <w:szCs w:val="24"/>
        </w:rPr>
      </w:pPr>
    </w:p>
    <w:p w:rsidR="00BA7C08" w:rsidRPr="00B651A5" w:rsidP="009F198C" w14:paraId="7A200C63" w14:textId="77777777">
      <w:pPr>
        <w:ind w:left="720" w:hanging="720"/>
        <w:rPr>
          <w:b/>
          <w:szCs w:val="24"/>
        </w:rPr>
      </w:pPr>
    </w:p>
    <w:p w:rsidR="001A3A81" w:rsidRPr="007366BE" w:rsidP="00B651A5" w14:paraId="0D44E89F" w14:textId="77777777">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t xml:space="preserve">Comments in Response to the Federal Register Notice and Efforts to Consult </w:t>
      </w:r>
      <w:r w:rsidRPr="007366BE">
        <w:rPr>
          <w:rFonts w:eastAsia="Arial Unicode MS"/>
          <w:b/>
          <w:sz w:val="24"/>
          <w:szCs w:val="24"/>
          <w:u w:color="000000"/>
        </w:rPr>
        <w:t>Outside the Agency</w:t>
      </w:r>
    </w:p>
    <w:p w:rsidR="00111594" w:rsidP="00111594" w14:paraId="2EDF4978" w14:textId="77777777">
      <w:pPr>
        <w:pStyle w:val="Body1"/>
        <w:tabs>
          <w:tab w:val="left" w:pos="720"/>
          <w:tab w:val="left" w:pos="1080"/>
          <w:tab w:val="left" w:pos="1800"/>
        </w:tabs>
        <w:rPr>
          <w:szCs w:val="24"/>
        </w:rPr>
      </w:pPr>
    </w:p>
    <w:p w:rsidR="00407476" w:rsidP="00111594" w14:paraId="68088447" w14:textId="2CD0D829">
      <w:pPr>
        <w:pStyle w:val="Body1"/>
        <w:tabs>
          <w:tab w:val="left" w:pos="720"/>
          <w:tab w:val="left" w:pos="1080"/>
          <w:tab w:val="left" w:pos="1800"/>
        </w:tabs>
        <w:rPr>
          <w:szCs w:val="24"/>
        </w:rPr>
      </w:pPr>
      <w:r w:rsidRPr="00FF7EDB">
        <w:rPr>
          <w:szCs w:val="24"/>
        </w:rPr>
        <w:t xml:space="preserve">A 60-day Federal Register Notice was published in the Federal Register on </w:t>
      </w:r>
      <w:r w:rsidR="00926811">
        <w:rPr>
          <w:szCs w:val="24"/>
        </w:rPr>
        <w:t>March</w:t>
      </w:r>
      <w:r w:rsidR="00DB2E33">
        <w:rPr>
          <w:szCs w:val="24"/>
        </w:rPr>
        <w:t xml:space="preserve"> 22</w:t>
      </w:r>
      <w:r w:rsidRPr="00FF7EDB">
        <w:rPr>
          <w:szCs w:val="24"/>
        </w:rPr>
        <w:t>,</w:t>
      </w:r>
      <w:r w:rsidR="001D1856">
        <w:rPr>
          <w:szCs w:val="24"/>
        </w:rPr>
        <w:t xml:space="preserve"> 202</w:t>
      </w:r>
      <w:r w:rsidR="00DB2E33">
        <w:rPr>
          <w:szCs w:val="24"/>
        </w:rPr>
        <w:t>4</w:t>
      </w:r>
      <w:r w:rsidR="001D1856">
        <w:rPr>
          <w:szCs w:val="24"/>
        </w:rPr>
        <w:t>,</w:t>
      </w:r>
      <w:r w:rsidRPr="00FF7EDB">
        <w:rPr>
          <w:szCs w:val="24"/>
        </w:rPr>
        <w:t xml:space="preserve"> </w:t>
      </w:r>
      <w:r w:rsidRPr="00FF7EDB" w:rsidR="003C4D18">
        <w:rPr>
          <w:szCs w:val="24"/>
        </w:rPr>
        <w:t xml:space="preserve">Vol. </w:t>
      </w:r>
      <w:r w:rsidRPr="00FF7EDB" w:rsidR="00FF7EDB">
        <w:rPr>
          <w:szCs w:val="24"/>
        </w:rPr>
        <w:t>8</w:t>
      </w:r>
      <w:r w:rsidR="00DB2E33">
        <w:rPr>
          <w:szCs w:val="24"/>
        </w:rPr>
        <w:t>9</w:t>
      </w:r>
      <w:r w:rsidR="00407E80">
        <w:rPr>
          <w:szCs w:val="24"/>
        </w:rPr>
        <w:t xml:space="preserve">, </w:t>
      </w:r>
      <w:r w:rsidRPr="00FF7EDB" w:rsidR="003C4D18">
        <w:rPr>
          <w:szCs w:val="24"/>
        </w:rPr>
        <w:t xml:space="preserve">No. </w:t>
      </w:r>
      <w:r w:rsidR="00DB2E33">
        <w:rPr>
          <w:szCs w:val="24"/>
        </w:rPr>
        <w:t>57</w:t>
      </w:r>
      <w:r w:rsidRPr="00FF7EDB" w:rsidR="003C4D18">
        <w:rPr>
          <w:szCs w:val="24"/>
        </w:rPr>
        <w:t xml:space="preserve">, page </w:t>
      </w:r>
      <w:r w:rsidR="001D1856">
        <w:rPr>
          <w:szCs w:val="24"/>
        </w:rPr>
        <w:t>2</w:t>
      </w:r>
      <w:r w:rsidR="0074310D">
        <w:rPr>
          <w:szCs w:val="24"/>
        </w:rPr>
        <w:t>0476</w:t>
      </w:r>
      <w:r w:rsidRPr="00FF7EDB" w:rsidR="003C4D18">
        <w:rPr>
          <w:szCs w:val="24"/>
        </w:rPr>
        <w:t xml:space="preserve"> </w:t>
      </w:r>
      <w:r w:rsidRPr="00EE465C">
        <w:rPr>
          <w:b/>
          <w:bCs/>
          <w:szCs w:val="24"/>
        </w:rPr>
        <w:t>[Attachment 2a. 60-Day FRN]</w:t>
      </w:r>
      <w:r w:rsidRPr="00407476">
        <w:rPr>
          <w:szCs w:val="24"/>
        </w:rPr>
        <w:t xml:space="preserve">. One non-substantive comment </w:t>
      </w:r>
      <w:r w:rsidRPr="00EE465C">
        <w:rPr>
          <w:b/>
          <w:bCs/>
          <w:szCs w:val="24"/>
        </w:rPr>
        <w:t>[Attachment 2b. Public Comment]</w:t>
      </w:r>
      <w:r w:rsidRPr="00407476">
        <w:rPr>
          <w:szCs w:val="24"/>
        </w:rPr>
        <w:t xml:space="preserve"> was received. No changes were made to the supporting statement or data collection instruments.</w:t>
      </w:r>
    </w:p>
    <w:p w:rsidR="008C5039" w:rsidRPr="006E754B" w:rsidP="00FF7EDB" w14:paraId="49537FF7" w14:textId="4E4FD76E">
      <w:pPr>
        <w:pStyle w:val="Body1"/>
        <w:tabs>
          <w:tab w:val="left" w:pos="720"/>
          <w:tab w:val="left" w:pos="1080"/>
          <w:tab w:val="left" w:pos="1800"/>
        </w:tabs>
        <w:ind w:left="720"/>
        <w:rPr>
          <w:b/>
          <w:i/>
          <w:szCs w:val="24"/>
        </w:rPr>
      </w:pPr>
      <w:r w:rsidRPr="00633917">
        <w:rPr>
          <w:szCs w:val="24"/>
        </w:rPr>
        <w:t xml:space="preserve"> </w:t>
      </w:r>
    </w:p>
    <w:p w:rsidR="00527A26" w:rsidRPr="005E159F" w:rsidP="00210A99" w14:paraId="23610238" w14:textId="77777777">
      <w:pPr>
        <w:pStyle w:val="Body1"/>
        <w:tabs>
          <w:tab w:val="left" w:pos="720"/>
          <w:tab w:val="num" w:pos="1800"/>
        </w:tabs>
        <w:rPr>
          <w:b/>
          <w:szCs w:val="24"/>
        </w:rPr>
      </w:pPr>
      <w:r w:rsidRPr="005E159F">
        <w:rPr>
          <w:b/>
          <w:szCs w:val="24"/>
        </w:rPr>
        <w:t>9.</w:t>
      </w:r>
      <w:r w:rsidRPr="005E159F">
        <w:rPr>
          <w:b/>
          <w:szCs w:val="24"/>
        </w:rPr>
        <w:tab/>
        <w:t>Explanation of Any Payment or Gift to Respondents</w:t>
      </w:r>
    </w:p>
    <w:p w:rsidR="00527A26" w:rsidRPr="00783129" w:rsidP="00B83871" w14:paraId="5B9EEFDD" w14:textId="77777777">
      <w:pPr>
        <w:pStyle w:val="Body1"/>
        <w:tabs>
          <w:tab w:val="num" w:pos="0"/>
          <w:tab w:val="left" w:pos="720"/>
          <w:tab w:val="left" w:pos="1800"/>
        </w:tabs>
        <w:rPr>
          <w:b/>
          <w:szCs w:val="24"/>
        </w:rPr>
      </w:pPr>
    </w:p>
    <w:p w:rsidR="00527A26" w:rsidRPr="00B651A5" w:rsidP="007E4D4E" w14:paraId="7B64E319" w14:textId="77777777">
      <w:pPr>
        <w:rPr>
          <w:rFonts w:eastAsia="Arial Unicode MS"/>
          <w:sz w:val="24"/>
          <w:szCs w:val="24"/>
          <w:u w:color="000000"/>
        </w:rPr>
      </w:pPr>
      <w:r w:rsidRPr="00B651A5">
        <w:rPr>
          <w:rFonts w:eastAsia="Arial Unicode MS"/>
          <w:sz w:val="24"/>
          <w:szCs w:val="24"/>
          <w:u w:color="000000"/>
        </w:rPr>
        <w:t xml:space="preserve">Respondents </w:t>
      </w:r>
      <w:r w:rsidRPr="00B651A5" w:rsidR="00E92F86">
        <w:rPr>
          <w:rFonts w:eastAsia="Arial Unicode MS"/>
          <w:sz w:val="24"/>
          <w:szCs w:val="24"/>
          <w:u w:color="000000"/>
        </w:rPr>
        <w:t>receive no gift or payment for their participation in any information collections.</w:t>
      </w:r>
    </w:p>
    <w:p w:rsidR="00527A26" w:rsidRPr="0072690B" w:rsidP="00B83871" w14:paraId="686932E9" w14:textId="77777777">
      <w:pPr>
        <w:pStyle w:val="Body1"/>
        <w:tabs>
          <w:tab w:val="num" w:pos="0"/>
          <w:tab w:val="left" w:pos="720"/>
          <w:tab w:val="left" w:pos="1800"/>
        </w:tabs>
        <w:rPr>
          <w:szCs w:val="24"/>
        </w:rPr>
      </w:pPr>
    </w:p>
    <w:p w:rsidR="00527A26" w:rsidRPr="0072690B" w:rsidP="007E4D4E" w14:paraId="26D3062A" w14:textId="77777777">
      <w:pPr>
        <w:pStyle w:val="Body1"/>
        <w:tabs>
          <w:tab w:val="num" w:pos="720"/>
        </w:tabs>
        <w:ind w:left="720" w:hanging="720"/>
        <w:rPr>
          <w:b/>
          <w:szCs w:val="24"/>
        </w:rPr>
      </w:pPr>
      <w:r w:rsidRPr="0072690B">
        <w:rPr>
          <w:b/>
          <w:szCs w:val="24"/>
        </w:rPr>
        <w:t>10.</w:t>
      </w:r>
      <w:r w:rsidRPr="0072690B">
        <w:rPr>
          <w:b/>
          <w:szCs w:val="24"/>
        </w:rPr>
        <w:tab/>
      </w:r>
      <w:r w:rsidR="00377A73">
        <w:rPr>
          <w:b/>
          <w:szCs w:val="24"/>
        </w:rPr>
        <w:t>Assurance of</w:t>
      </w:r>
      <w:r w:rsidR="007E4D4E">
        <w:rPr>
          <w:b/>
          <w:szCs w:val="24"/>
        </w:rPr>
        <w:t xml:space="preserve"> Confidentiality Provided </w:t>
      </w:r>
      <w:r w:rsidR="00377A73">
        <w:rPr>
          <w:b/>
          <w:szCs w:val="24"/>
        </w:rPr>
        <w:t>to</w:t>
      </w:r>
      <w:r w:rsidR="007E4D4E">
        <w:rPr>
          <w:b/>
          <w:szCs w:val="24"/>
        </w:rPr>
        <w:t xml:space="preserve"> Respondents</w:t>
      </w:r>
    </w:p>
    <w:p w:rsidR="00527A26" w:rsidRPr="0072690B" w:rsidP="00B83871" w14:paraId="08A033DB" w14:textId="77777777">
      <w:pPr>
        <w:pStyle w:val="Body1"/>
        <w:tabs>
          <w:tab w:val="num" w:pos="0"/>
          <w:tab w:val="left" w:pos="720"/>
          <w:tab w:val="left" w:pos="1800"/>
        </w:tabs>
        <w:rPr>
          <w:b/>
          <w:szCs w:val="24"/>
        </w:rPr>
      </w:pPr>
    </w:p>
    <w:p w:rsidR="00E75DF6" w:rsidP="007E4D4E" w14:paraId="10B58E46" w14:textId="1C19EF04">
      <w:pPr>
        <w:pStyle w:val="Body1"/>
        <w:tabs>
          <w:tab w:val="num" w:pos="720"/>
          <w:tab w:val="left" w:pos="1800"/>
        </w:tabs>
        <w:rPr>
          <w:szCs w:val="24"/>
        </w:rPr>
      </w:pPr>
      <w:r w:rsidRPr="00E5011B">
        <w:rPr>
          <w:szCs w:val="24"/>
        </w:rPr>
        <w:t>The Privacy Act applies</w:t>
      </w:r>
      <w:r w:rsidR="006D7F25">
        <w:rPr>
          <w:szCs w:val="24"/>
        </w:rPr>
        <w:t xml:space="preserve"> to this ICR</w:t>
      </w:r>
      <w:r w:rsidRPr="00E5011B">
        <w:rPr>
          <w:szCs w:val="24"/>
        </w:rPr>
        <w:t xml:space="preserve">. The applicable SORN is 09-20-0136, Epidemiologic Studies and Surveillance of Disease Problems. </w:t>
      </w:r>
      <w:r w:rsidR="00903B43">
        <w:rPr>
          <w:szCs w:val="24"/>
        </w:rPr>
        <w:t xml:space="preserve">Case data collected under </w:t>
      </w:r>
      <w:r w:rsidR="003362E1">
        <w:rPr>
          <w:szCs w:val="24"/>
        </w:rPr>
        <w:t xml:space="preserve">this ICR </w:t>
      </w:r>
      <w:r w:rsidR="005C6989">
        <w:rPr>
          <w:szCs w:val="24"/>
        </w:rPr>
        <w:t>will be</w:t>
      </w:r>
      <w:r w:rsidR="003362E1">
        <w:rPr>
          <w:szCs w:val="24"/>
        </w:rPr>
        <w:t xml:space="preserve"> </w:t>
      </w:r>
      <w:r w:rsidRPr="00E5011B">
        <w:rPr>
          <w:szCs w:val="24"/>
        </w:rPr>
        <w:t xml:space="preserve">stored in </w:t>
      </w:r>
      <w:r w:rsidRPr="005C6989" w:rsidR="005C6989">
        <w:rPr>
          <w:szCs w:val="24"/>
        </w:rPr>
        <w:t>DCIPHER</w:t>
      </w:r>
      <w:r w:rsidR="00210EFD">
        <w:rPr>
          <w:szCs w:val="24"/>
        </w:rPr>
        <w:t xml:space="preserve"> as </w:t>
      </w:r>
      <w:r w:rsidR="00975651">
        <w:rPr>
          <w:szCs w:val="24"/>
        </w:rPr>
        <w:t>CDC’s common operating platform</w:t>
      </w:r>
      <w:r w:rsidRPr="005C6989" w:rsidR="005C6989">
        <w:rPr>
          <w:szCs w:val="24"/>
        </w:rPr>
        <w:t xml:space="preserve">. DCIPHER is a cloud-based platform used across CDC, by other federal partners, and by state, local, tribal, and territorial public health jurisdictions to collect, collate, share, and link multiple sources of public health, outbreak, and event response data. It is designed to facilitate data interpretation and to inform public health decisions. </w:t>
      </w:r>
      <w:r w:rsidR="008A48BE">
        <w:rPr>
          <w:szCs w:val="24"/>
        </w:rPr>
        <w:t xml:space="preserve">DCIPHER </w:t>
      </w:r>
      <w:r w:rsidRPr="009A3F55" w:rsidR="009A3F55">
        <w:rPr>
          <w:szCs w:val="24"/>
        </w:rPr>
        <w:t>operates in a FedRAMP-approved cloud environment and receives continuous deployment, upgrades, and patching</w:t>
      </w:r>
      <w:r w:rsidRPr="00E5011B">
        <w:rPr>
          <w:szCs w:val="24"/>
        </w:rPr>
        <w:t xml:space="preserve">. </w:t>
      </w:r>
    </w:p>
    <w:p w:rsidR="00E75DF6" w:rsidP="007E4D4E" w14:paraId="7D5B0CBE" w14:textId="77777777">
      <w:pPr>
        <w:pStyle w:val="Body1"/>
        <w:tabs>
          <w:tab w:val="num" w:pos="720"/>
          <w:tab w:val="left" w:pos="1800"/>
        </w:tabs>
        <w:rPr>
          <w:szCs w:val="24"/>
        </w:rPr>
      </w:pPr>
    </w:p>
    <w:p w:rsidR="00E5011B" w:rsidP="007E4D4E" w14:paraId="5F1B6FBE" w14:textId="34F9D5E1">
      <w:pPr>
        <w:pStyle w:val="Body1"/>
        <w:tabs>
          <w:tab w:val="num" w:pos="720"/>
          <w:tab w:val="left" w:pos="1800"/>
        </w:tabs>
        <w:rPr>
          <w:szCs w:val="24"/>
        </w:rPr>
      </w:pPr>
      <w:r w:rsidRPr="00E5011B">
        <w:rPr>
          <w:szCs w:val="24"/>
        </w:rPr>
        <w:t xml:space="preserve">Personally identifiable information (PII) is collected, and information can be retrieved by PII. However, information is not retrieved by PII. Jurisdictions remove most PII before data are submitted to CDC, but some data elements (e.g., date of birth, date of diagnosis, county of residence) could potentially be combined with other information to identify individuals. See the Privacy Impact Assessment (PIA) for </w:t>
      </w:r>
      <w:r w:rsidRPr="00787DFA" w:rsidR="006C1DF1">
        <w:rPr>
          <w:szCs w:val="24"/>
        </w:rPr>
        <w:t>DCIPHER</w:t>
      </w:r>
      <w:r w:rsidRPr="0048130B" w:rsidR="006C1DF1">
        <w:rPr>
          <w:b/>
          <w:bCs/>
          <w:szCs w:val="24"/>
        </w:rPr>
        <w:t xml:space="preserve"> </w:t>
      </w:r>
      <w:r w:rsidRPr="0048130B">
        <w:rPr>
          <w:b/>
          <w:bCs/>
          <w:szCs w:val="24"/>
        </w:rPr>
        <w:t xml:space="preserve">[Attachment </w:t>
      </w:r>
      <w:r w:rsidR="00900E69">
        <w:rPr>
          <w:b/>
          <w:bCs/>
          <w:szCs w:val="24"/>
        </w:rPr>
        <w:t>7</w:t>
      </w:r>
      <w:r w:rsidRPr="0048130B" w:rsidR="00C904BF">
        <w:rPr>
          <w:b/>
          <w:bCs/>
          <w:szCs w:val="24"/>
        </w:rPr>
        <w:t>. Data Collation and Integration for Public Health Event Responses (DCIPHER) Privacy Impact Assessment (PIA)</w:t>
      </w:r>
      <w:r w:rsidRPr="0048130B">
        <w:rPr>
          <w:b/>
          <w:bCs/>
          <w:szCs w:val="24"/>
        </w:rPr>
        <w:t>]</w:t>
      </w:r>
      <w:r w:rsidRPr="00E5011B">
        <w:rPr>
          <w:szCs w:val="24"/>
        </w:rPr>
        <w:t xml:space="preserve">. Private information will not be disclosed unless otherwise compelled by law. No assurance of confidentiality has been obtained.  </w:t>
      </w:r>
    </w:p>
    <w:p w:rsidR="00E5011B" w:rsidP="007E4D4E" w14:paraId="5DB6B478" w14:textId="77777777">
      <w:pPr>
        <w:pStyle w:val="Body1"/>
        <w:tabs>
          <w:tab w:val="num" w:pos="720"/>
          <w:tab w:val="left" w:pos="1800"/>
        </w:tabs>
        <w:rPr>
          <w:szCs w:val="24"/>
        </w:rPr>
      </w:pPr>
    </w:p>
    <w:p w:rsidR="0026181F" w:rsidP="007E4D4E" w14:paraId="2096BE71" w14:textId="151D93A5">
      <w:pPr>
        <w:pStyle w:val="Body1"/>
        <w:tabs>
          <w:tab w:val="num" w:pos="720"/>
          <w:tab w:val="left" w:pos="1800"/>
        </w:tabs>
        <w:rPr>
          <w:szCs w:val="24"/>
        </w:rPr>
      </w:pPr>
      <w:r>
        <w:rPr>
          <w:szCs w:val="24"/>
        </w:rPr>
        <w:t xml:space="preserve">As stated in Section A.3, </w:t>
      </w:r>
      <w:r w:rsidR="00F706D1">
        <w:rPr>
          <w:szCs w:val="24"/>
        </w:rPr>
        <w:t>a</w:t>
      </w:r>
      <w:r w:rsidRPr="00F706D1" w:rsidR="00F706D1">
        <w:rPr>
          <w:szCs w:val="24"/>
        </w:rPr>
        <w:t>ggregate case data from each emergency response may be available to the public on https://data.</w:t>
      </w:r>
      <w:r w:rsidR="00B4401D">
        <w:rPr>
          <w:szCs w:val="24"/>
        </w:rPr>
        <w:t>cdc.</w:t>
      </w:r>
      <w:r w:rsidRPr="00F706D1" w:rsidR="00F706D1">
        <w:rPr>
          <w:szCs w:val="24"/>
        </w:rPr>
        <w:t xml:space="preserve">gov and </w:t>
      </w:r>
      <w:r w:rsidRPr="00DF3EFB" w:rsidR="00DF3EFB">
        <w:rPr>
          <w:szCs w:val="24"/>
          <w:u w:color="0000FF"/>
        </w:rPr>
        <w:t>https://data.gov</w:t>
      </w:r>
      <w:r w:rsidRPr="00F706D1" w:rsidR="00F706D1">
        <w:rPr>
          <w:szCs w:val="24"/>
        </w:rPr>
        <w:t>.</w:t>
      </w:r>
      <w:r w:rsidR="00DF3EFB">
        <w:rPr>
          <w:szCs w:val="24"/>
        </w:rPr>
        <w:t xml:space="preserve"> </w:t>
      </w:r>
      <w:r w:rsidRPr="00DF3EFB" w:rsidR="00DF3EFB">
        <w:rPr>
          <w:szCs w:val="24"/>
        </w:rPr>
        <w:t>Privacy is protected in several ways. https://data.</w:t>
      </w:r>
      <w:r w:rsidR="00B4401D">
        <w:rPr>
          <w:szCs w:val="24"/>
        </w:rPr>
        <w:t>cdc.</w:t>
      </w:r>
      <w:r w:rsidRPr="00DF3EFB" w:rsidR="00DF3EFB">
        <w:rPr>
          <w:szCs w:val="24"/>
        </w:rPr>
        <w:t>gov, and https://data.gov only provide summary statistics of aggregate data to their users. https://data.</w:t>
      </w:r>
      <w:r w:rsidR="00B4401D">
        <w:rPr>
          <w:szCs w:val="24"/>
        </w:rPr>
        <w:t>cdc.</w:t>
      </w:r>
      <w:r w:rsidRPr="00DF3EFB" w:rsidR="00DF3EFB">
        <w:rPr>
          <w:szCs w:val="24"/>
        </w:rPr>
        <w:t>gov is also subject to and have met CDC’s Security Assessment and Authorization (SA&amp;A) process through CDC’s Office of the Chief Information Officer (OCIO). Only public use, non-PII data in the form of summary statistics are uploaded to https://data.</w:t>
      </w:r>
      <w:r w:rsidR="00B4401D">
        <w:rPr>
          <w:szCs w:val="24"/>
        </w:rPr>
        <w:t>cdc.</w:t>
      </w:r>
      <w:r w:rsidRPr="00DF3EFB" w:rsidR="00DF3EFB">
        <w:rPr>
          <w:szCs w:val="24"/>
        </w:rPr>
        <w:t>gov per OCIO’s policy.</w:t>
      </w:r>
      <w:r w:rsidR="004376BC">
        <w:rPr>
          <w:szCs w:val="24"/>
        </w:rPr>
        <w:t xml:space="preserve"> </w:t>
      </w:r>
      <w:r w:rsidRPr="0026181F">
        <w:rPr>
          <w:szCs w:val="24"/>
        </w:rPr>
        <w:t>Data will be kept private to the extent allowed by law</w:t>
      </w:r>
      <w:r w:rsidR="004376BC">
        <w:rPr>
          <w:szCs w:val="24"/>
        </w:rPr>
        <w:t>.</w:t>
      </w:r>
    </w:p>
    <w:p w:rsidR="00BF6031" w:rsidP="007E4D4E" w14:paraId="44310133" w14:textId="77777777">
      <w:pPr>
        <w:pStyle w:val="Body1"/>
        <w:tabs>
          <w:tab w:val="num" w:pos="720"/>
          <w:tab w:val="left" w:pos="1800"/>
        </w:tabs>
        <w:rPr>
          <w:szCs w:val="24"/>
        </w:rPr>
      </w:pPr>
    </w:p>
    <w:p w:rsidR="00527A26" w:rsidRPr="004955C2" w:rsidP="00783129" w14:paraId="18186BAA" w14:textId="7C6A4270">
      <w:pPr>
        <w:pStyle w:val="Body1"/>
        <w:tabs>
          <w:tab w:val="num" w:pos="720"/>
        </w:tabs>
        <w:rPr>
          <w:b/>
          <w:szCs w:val="24"/>
        </w:rPr>
      </w:pPr>
      <w:r>
        <w:rPr>
          <w:b/>
          <w:szCs w:val="24"/>
        </w:rPr>
        <w:t>11.</w:t>
      </w:r>
      <w:r>
        <w:rPr>
          <w:b/>
          <w:szCs w:val="24"/>
        </w:rPr>
        <w:tab/>
      </w:r>
      <w:r w:rsidRPr="00E8635A" w:rsidR="00E8635A">
        <w:rPr>
          <w:b/>
          <w:szCs w:val="24"/>
        </w:rPr>
        <w:t>Institutional Review Board (IRB) and Justification for Sensitive Questions</w:t>
      </w:r>
    </w:p>
    <w:p w:rsidR="00527A26" w:rsidRPr="004A2C6F" w:rsidP="008C5039" w14:paraId="7BE728B4" w14:textId="77777777">
      <w:pPr>
        <w:pStyle w:val="Body1"/>
        <w:tabs>
          <w:tab w:val="num" w:pos="720"/>
          <w:tab w:val="left" w:pos="1800"/>
        </w:tabs>
        <w:ind w:left="720"/>
        <w:rPr>
          <w:szCs w:val="24"/>
        </w:rPr>
      </w:pPr>
    </w:p>
    <w:p w:rsidR="007D48FB" w:rsidRPr="005C5DAB" w:rsidP="007D48FB" w14:paraId="0C087846" w14:textId="77777777">
      <w:pPr>
        <w:rPr>
          <w:rFonts w:eastAsia="Arial Unicode MS"/>
          <w:color w:val="000000"/>
          <w:sz w:val="24"/>
          <w:szCs w:val="24"/>
          <w:u w:val="single"/>
        </w:rPr>
      </w:pPr>
      <w:r w:rsidRPr="005C5DAB">
        <w:rPr>
          <w:rFonts w:eastAsia="Arial Unicode MS"/>
          <w:color w:val="000000"/>
          <w:sz w:val="24"/>
          <w:szCs w:val="24"/>
          <w:u w:val="single"/>
        </w:rPr>
        <w:t>IRB Approval</w:t>
      </w:r>
    </w:p>
    <w:p w:rsidR="007D48FB" w:rsidRPr="007D48FB" w:rsidP="007D48FB" w14:paraId="3BFAD246" w14:textId="2AB5ECD8">
      <w:pPr>
        <w:rPr>
          <w:rFonts w:eastAsia="Arial Unicode MS"/>
          <w:color w:val="000000"/>
          <w:sz w:val="24"/>
          <w:szCs w:val="24"/>
          <w:u w:color="000000"/>
        </w:rPr>
      </w:pPr>
      <w:r w:rsidRPr="007D48FB">
        <w:rPr>
          <w:rFonts w:eastAsia="Arial Unicode MS"/>
          <w:color w:val="000000"/>
          <w:sz w:val="24"/>
          <w:szCs w:val="24"/>
          <w:u w:color="000000"/>
        </w:rPr>
        <w:t xml:space="preserve">This activity does not require Institutional Review Board (IRB) documentation as this activity is public health practice (surveillance), not research </w:t>
      </w:r>
      <w:r w:rsidRPr="0048130B">
        <w:rPr>
          <w:rFonts w:eastAsia="Arial Unicode MS"/>
          <w:b/>
          <w:bCs/>
          <w:color w:val="000000"/>
          <w:sz w:val="24"/>
          <w:szCs w:val="24"/>
          <w:u w:color="000000"/>
        </w:rPr>
        <w:t xml:space="preserve">[Attachment </w:t>
      </w:r>
      <w:r w:rsidR="00900E69">
        <w:rPr>
          <w:rFonts w:eastAsia="Arial Unicode MS"/>
          <w:b/>
          <w:bCs/>
          <w:color w:val="000000"/>
          <w:sz w:val="24"/>
          <w:szCs w:val="24"/>
          <w:u w:color="000000"/>
        </w:rPr>
        <w:t>8</w:t>
      </w:r>
      <w:r w:rsidRPr="0048130B">
        <w:rPr>
          <w:rFonts w:eastAsia="Arial Unicode MS"/>
          <w:b/>
          <w:bCs/>
          <w:color w:val="000000"/>
          <w:sz w:val="24"/>
          <w:szCs w:val="24"/>
          <w:u w:color="000000"/>
        </w:rPr>
        <w:t xml:space="preserve">. </w:t>
      </w:r>
      <w:r w:rsidRPr="0048130B" w:rsidR="0048130B">
        <w:rPr>
          <w:rFonts w:eastAsia="Arial Unicode MS"/>
          <w:b/>
          <w:bCs/>
          <w:color w:val="000000"/>
          <w:sz w:val="24"/>
          <w:szCs w:val="24"/>
          <w:u w:color="000000"/>
        </w:rPr>
        <w:t>MDN for Case Data During an Emergency Response Research Determination</w:t>
      </w:r>
      <w:r w:rsidRPr="0048130B">
        <w:rPr>
          <w:rFonts w:eastAsia="Arial Unicode MS"/>
          <w:b/>
          <w:bCs/>
          <w:color w:val="000000"/>
          <w:sz w:val="24"/>
          <w:szCs w:val="24"/>
          <w:u w:color="000000"/>
        </w:rPr>
        <w:t>]</w:t>
      </w:r>
      <w:r w:rsidRPr="007D48FB">
        <w:rPr>
          <w:rFonts w:eastAsia="Arial Unicode MS"/>
          <w:color w:val="000000"/>
          <w:sz w:val="24"/>
          <w:szCs w:val="24"/>
          <w:u w:color="000000"/>
        </w:rPr>
        <w:t>.</w:t>
      </w:r>
    </w:p>
    <w:p w:rsidR="007D48FB" w:rsidRPr="007D48FB" w:rsidP="007D48FB" w14:paraId="20618DCA" w14:textId="77777777">
      <w:pPr>
        <w:ind w:left="720"/>
        <w:rPr>
          <w:rFonts w:eastAsia="Arial Unicode MS"/>
          <w:color w:val="000000"/>
          <w:sz w:val="24"/>
          <w:szCs w:val="24"/>
          <w:u w:color="000000"/>
        </w:rPr>
      </w:pPr>
    </w:p>
    <w:p w:rsidR="007D48FB" w:rsidRPr="000737ED" w:rsidP="000737ED" w14:paraId="5989475D" w14:textId="77777777">
      <w:pPr>
        <w:rPr>
          <w:rFonts w:eastAsia="Arial Unicode MS"/>
          <w:color w:val="000000"/>
          <w:sz w:val="24"/>
          <w:szCs w:val="24"/>
          <w:u w:val="single"/>
        </w:rPr>
      </w:pPr>
      <w:r w:rsidRPr="000737ED">
        <w:rPr>
          <w:rFonts w:eastAsia="Arial Unicode MS"/>
          <w:color w:val="000000"/>
          <w:sz w:val="24"/>
          <w:szCs w:val="24"/>
          <w:u w:val="single"/>
        </w:rPr>
        <w:t>Sensitive Questions</w:t>
      </w:r>
    </w:p>
    <w:p w:rsidR="00527A26" w:rsidP="000737ED" w14:paraId="36B0D38E" w14:textId="1F32C0E1">
      <w:pPr>
        <w:rPr>
          <w:rFonts w:eastAsia="Arial Unicode MS"/>
          <w:color w:val="000000"/>
          <w:sz w:val="24"/>
          <w:szCs w:val="24"/>
          <w:u w:color="000000"/>
        </w:rPr>
      </w:pPr>
      <w:r>
        <w:rPr>
          <w:rFonts w:eastAsia="Arial Unicode MS"/>
          <w:color w:val="000000"/>
          <w:sz w:val="24"/>
          <w:szCs w:val="24"/>
          <w:u w:color="000000"/>
        </w:rPr>
        <w:t>There are no</w:t>
      </w:r>
      <w:r w:rsidRPr="007D48FB" w:rsidR="007D48FB">
        <w:rPr>
          <w:rFonts w:eastAsia="Arial Unicode MS"/>
          <w:color w:val="000000"/>
          <w:sz w:val="24"/>
          <w:szCs w:val="24"/>
          <w:u w:color="000000"/>
        </w:rPr>
        <w:t xml:space="preserve"> questions </w:t>
      </w:r>
      <w:r>
        <w:rPr>
          <w:rFonts w:eastAsia="Arial Unicode MS"/>
          <w:color w:val="000000"/>
          <w:sz w:val="24"/>
          <w:szCs w:val="24"/>
          <w:u w:color="000000"/>
        </w:rPr>
        <w:t xml:space="preserve">asked that are </w:t>
      </w:r>
      <w:r w:rsidRPr="007D48FB" w:rsidR="007D48FB">
        <w:rPr>
          <w:rFonts w:eastAsia="Arial Unicode MS"/>
          <w:color w:val="000000"/>
          <w:sz w:val="24"/>
          <w:szCs w:val="24"/>
          <w:u w:color="000000"/>
        </w:rPr>
        <w:t xml:space="preserve">of a sensitive nature, but information is submitted about sensitive topics, including whether a patient has sexually transmitted diseases and sexual and drug-using behaviors.  </w:t>
      </w:r>
      <w:r>
        <w:rPr>
          <w:rFonts w:eastAsia="Arial Unicode MS"/>
          <w:color w:val="000000"/>
          <w:sz w:val="24"/>
          <w:szCs w:val="24"/>
          <w:u w:color="000000"/>
        </w:rPr>
        <w:t>CDC</w:t>
      </w:r>
      <w:r w:rsidRPr="007D48FB" w:rsidR="007D48FB">
        <w:rPr>
          <w:rFonts w:eastAsia="Arial Unicode MS"/>
          <w:color w:val="000000"/>
          <w:sz w:val="24"/>
          <w:szCs w:val="24"/>
          <w:u w:color="000000"/>
        </w:rPr>
        <w:t xml:space="preserve"> must receive information about sensitive </w:t>
      </w:r>
      <w:r w:rsidR="00787DFA">
        <w:rPr>
          <w:rFonts w:eastAsia="Arial Unicode MS"/>
          <w:color w:val="000000"/>
          <w:sz w:val="24"/>
          <w:szCs w:val="24"/>
          <w:u w:color="000000"/>
        </w:rPr>
        <w:t>topics</w:t>
      </w:r>
      <w:r w:rsidRPr="007D48FB" w:rsidR="007D48FB">
        <w:rPr>
          <w:rFonts w:eastAsia="Arial Unicode MS"/>
          <w:color w:val="000000"/>
          <w:sz w:val="24"/>
          <w:szCs w:val="24"/>
          <w:u w:color="000000"/>
        </w:rPr>
        <w:t xml:space="preserve"> to monitor the occurrence of the diseases so that effective prevention and control programs can be planned and implemented.  </w:t>
      </w:r>
    </w:p>
    <w:p w:rsidR="00AD5A7E" w:rsidRPr="00B651A5" w:rsidP="000737ED" w14:paraId="678C860F" w14:textId="77777777">
      <w:pPr>
        <w:rPr>
          <w:rFonts w:eastAsia="Arial Unicode MS"/>
          <w:sz w:val="24"/>
          <w:szCs w:val="24"/>
          <w:u w:color="000000"/>
        </w:rPr>
      </w:pPr>
    </w:p>
    <w:p w:rsidR="001011A2" w:rsidRPr="007D528E" w:rsidP="00783129" w14:paraId="38B0B34C" w14:textId="77777777">
      <w:pPr>
        <w:pStyle w:val="Body1"/>
        <w:tabs>
          <w:tab w:val="num" w:pos="720"/>
        </w:tabs>
        <w:rPr>
          <w:b/>
          <w:szCs w:val="24"/>
        </w:rPr>
      </w:pPr>
      <w:r w:rsidRPr="007D528E">
        <w:rPr>
          <w:b/>
          <w:szCs w:val="24"/>
        </w:rPr>
        <w:t>12.</w:t>
      </w:r>
      <w:r w:rsidRPr="007D528E">
        <w:rPr>
          <w:b/>
          <w:szCs w:val="24"/>
        </w:rPr>
        <w:tab/>
      </w:r>
      <w:r w:rsidRPr="007D528E" w:rsidR="00527A26">
        <w:rPr>
          <w:b/>
          <w:szCs w:val="24"/>
        </w:rPr>
        <w:t>Estimates of Annualized Burden Hours and Costs</w:t>
      </w:r>
    </w:p>
    <w:p w:rsidR="004B339C" w:rsidRPr="007D528E" w:rsidP="00783129" w14:paraId="6DDB33BD" w14:textId="77777777">
      <w:pPr>
        <w:pStyle w:val="Body1"/>
        <w:tabs>
          <w:tab w:val="num" w:pos="720"/>
        </w:tabs>
        <w:rPr>
          <w:b/>
          <w:szCs w:val="24"/>
        </w:rPr>
      </w:pPr>
      <w:r w:rsidRPr="007D528E">
        <w:rPr>
          <w:b/>
          <w:szCs w:val="24"/>
        </w:rPr>
        <w:tab/>
      </w:r>
    </w:p>
    <w:p w:rsidR="00DC241A" w:rsidRPr="007D528E" w:rsidP="008B60E5" w14:paraId="58BDFABC" w14:textId="61E25510">
      <w:pPr>
        <w:rPr>
          <w:rFonts w:eastAsia="Arial Unicode MS"/>
          <w:color w:val="000000"/>
          <w:sz w:val="24"/>
          <w:szCs w:val="24"/>
          <w:u w:color="000000"/>
        </w:rPr>
      </w:pPr>
      <w:r w:rsidRPr="007D528E">
        <w:rPr>
          <w:rFonts w:eastAsia="Arial Unicode MS"/>
          <w:color w:val="000000"/>
          <w:sz w:val="24"/>
          <w:szCs w:val="24"/>
          <w:u w:color="000000"/>
        </w:rPr>
        <w:t xml:space="preserve">CDC </w:t>
      </w:r>
      <w:r w:rsidRPr="007D528E" w:rsidR="005E1474">
        <w:rPr>
          <w:rFonts w:eastAsia="Arial Unicode MS"/>
          <w:color w:val="000000"/>
          <w:sz w:val="24"/>
          <w:szCs w:val="24"/>
          <w:u w:color="000000"/>
        </w:rPr>
        <w:t xml:space="preserve">projects 10 emergency responses </w:t>
      </w:r>
      <w:r w:rsidRPr="007D528E" w:rsidR="004F0D5F">
        <w:rPr>
          <w:rFonts w:eastAsia="Arial Unicode MS"/>
          <w:color w:val="000000"/>
          <w:sz w:val="24"/>
          <w:szCs w:val="24"/>
          <w:u w:color="000000"/>
        </w:rPr>
        <w:t xml:space="preserve">annually </w:t>
      </w:r>
      <w:r w:rsidRPr="007D528E" w:rsidR="00E22984">
        <w:rPr>
          <w:rFonts w:eastAsia="Arial Unicode MS"/>
          <w:color w:val="000000"/>
          <w:sz w:val="24"/>
          <w:szCs w:val="24"/>
          <w:u w:color="000000"/>
        </w:rPr>
        <w:t xml:space="preserve">that will require states, territories, freely associated states, and cities to </w:t>
      </w:r>
      <w:r w:rsidRPr="007D528E">
        <w:rPr>
          <w:rFonts w:eastAsia="Arial Unicode MS"/>
          <w:color w:val="000000"/>
          <w:sz w:val="24"/>
          <w:szCs w:val="24"/>
          <w:u w:color="000000"/>
        </w:rPr>
        <w:t>submit case data to CDC daily</w:t>
      </w:r>
      <w:r w:rsidRPr="007D528E" w:rsidR="005538DE">
        <w:rPr>
          <w:rFonts w:eastAsia="Arial Unicode MS"/>
          <w:color w:val="000000"/>
          <w:sz w:val="24"/>
          <w:szCs w:val="24"/>
          <w:u w:color="000000"/>
        </w:rPr>
        <w:t xml:space="preserve">. </w:t>
      </w:r>
      <w:r w:rsidRPr="007D528E" w:rsidR="004B32B5">
        <w:rPr>
          <w:rFonts w:eastAsia="Arial Unicode MS"/>
          <w:color w:val="000000"/>
          <w:sz w:val="24"/>
          <w:szCs w:val="24"/>
          <w:u w:color="000000"/>
        </w:rPr>
        <w:t xml:space="preserve">Therefore, </w:t>
      </w:r>
      <w:r w:rsidRPr="007D528E" w:rsidR="002A5301">
        <w:rPr>
          <w:rFonts w:eastAsia="Arial Unicode MS"/>
          <w:color w:val="000000"/>
          <w:sz w:val="24"/>
          <w:szCs w:val="24"/>
          <w:u w:color="000000"/>
        </w:rPr>
        <w:t>the following</w:t>
      </w:r>
      <w:r w:rsidRPr="007D528E" w:rsidR="005538DE">
        <w:rPr>
          <w:rFonts w:eastAsia="Arial Unicode MS"/>
          <w:color w:val="000000"/>
          <w:sz w:val="24"/>
          <w:szCs w:val="24"/>
          <w:u w:color="000000"/>
        </w:rPr>
        <w:t xml:space="preserve"> standard burden table</w:t>
      </w:r>
      <w:r w:rsidRPr="007D528E" w:rsidR="008655BC">
        <w:rPr>
          <w:rFonts w:eastAsia="Arial Unicode MS"/>
          <w:color w:val="000000"/>
          <w:sz w:val="24"/>
          <w:szCs w:val="24"/>
          <w:u w:color="000000"/>
        </w:rPr>
        <w:t xml:space="preserve"> (</w:t>
      </w:r>
      <w:r w:rsidRPr="007D528E" w:rsidR="001A7FFB">
        <w:rPr>
          <w:rFonts w:eastAsia="Arial Unicode MS"/>
          <w:color w:val="000000"/>
          <w:sz w:val="24"/>
          <w:szCs w:val="24"/>
          <w:u w:color="000000"/>
        </w:rPr>
        <w:t>Table A</w:t>
      </w:r>
      <w:r w:rsidRPr="007D528E" w:rsidR="00987F96">
        <w:rPr>
          <w:rFonts w:eastAsia="Arial Unicode MS"/>
          <w:color w:val="000000"/>
          <w:sz w:val="24"/>
          <w:szCs w:val="24"/>
          <w:u w:color="000000"/>
        </w:rPr>
        <w:t>1</w:t>
      </w:r>
      <w:r w:rsidRPr="007D528E" w:rsidR="008655BC">
        <w:rPr>
          <w:rFonts w:eastAsia="Arial Unicode MS"/>
          <w:color w:val="000000"/>
          <w:sz w:val="24"/>
          <w:szCs w:val="24"/>
          <w:u w:color="000000"/>
        </w:rPr>
        <w:t xml:space="preserve">) will be used for each </w:t>
      </w:r>
      <w:r w:rsidRPr="007D528E" w:rsidR="008655BC">
        <w:rPr>
          <w:rFonts w:eastAsia="Arial Unicode MS"/>
          <w:color w:val="000000"/>
          <w:sz w:val="24"/>
          <w:szCs w:val="24"/>
          <w:u w:color="000000"/>
        </w:rPr>
        <w:t>GenIC</w:t>
      </w:r>
      <w:r w:rsidRPr="007D528E" w:rsidR="00F5290C">
        <w:rPr>
          <w:rFonts w:eastAsia="Arial Unicode MS"/>
          <w:color w:val="000000"/>
          <w:sz w:val="24"/>
          <w:szCs w:val="24"/>
          <w:u w:color="000000"/>
        </w:rPr>
        <w:t>:</w:t>
      </w:r>
    </w:p>
    <w:p w:rsidR="00987F96" w:rsidRPr="007D528E" w:rsidP="00987F96" w14:paraId="1F15A22C" w14:textId="77777777">
      <w:pPr>
        <w:widowControl w:val="0"/>
        <w:tabs>
          <w:tab w:val="left" w:pos="0"/>
        </w:tabs>
        <w:autoSpaceDE w:val="0"/>
        <w:autoSpaceDN w:val="0"/>
        <w:adjustRightInd w:val="0"/>
        <w:rPr>
          <w:rFonts w:eastAsia="Arial Unicode MS"/>
          <w:color w:val="000000"/>
          <w:sz w:val="24"/>
          <w:szCs w:val="24"/>
          <w:u w:color="000000"/>
        </w:rPr>
      </w:pPr>
    </w:p>
    <w:p w:rsidR="00987F96" w:rsidRPr="007D528E" w:rsidP="00987F96" w14:paraId="0E08ADBD" w14:textId="15A9D2B3">
      <w:pPr>
        <w:widowControl w:val="0"/>
        <w:tabs>
          <w:tab w:val="left" w:pos="0"/>
        </w:tabs>
        <w:autoSpaceDE w:val="0"/>
        <w:autoSpaceDN w:val="0"/>
        <w:adjustRightInd w:val="0"/>
        <w:rPr>
          <w:rFonts w:eastAsia="Arial Unicode MS"/>
          <w:color w:val="000000"/>
          <w:sz w:val="24"/>
          <w:szCs w:val="24"/>
          <w:u w:color="000000"/>
        </w:rPr>
      </w:pPr>
      <w:r w:rsidRPr="007D528E">
        <w:rPr>
          <w:rFonts w:eastAsia="Arial Unicode MS"/>
          <w:color w:val="000000"/>
          <w:sz w:val="24"/>
          <w:szCs w:val="24"/>
          <w:u w:color="000000"/>
        </w:rPr>
        <w:t>Table A1. Estimated Annualized Burden Hours per Response</w:t>
      </w:r>
    </w:p>
    <w:p w:rsidR="00987F96" w:rsidRPr="007D528E" w:rsidP="00987F96" w14:paraId="7DFDD65E" w14:textId="77777777">
      <w:pPr>
        <w:widowControl w:val="0"/>
        <w:tabs>
          <w:tab w:val="left" w:pos="0"/>
        </w:tabs>
        <w:autoSpaceDE w:val="0"/>
        <w:autoSpaceDN w:val="0"/>
        <w:adjustRightInd w:val="0"/>
        <w:rPr>
          <w:rFonts w:eastAsia="Arial Unicode MS"/>
          <w:color w:val="000000"/>
          <w:sz w:val="24"/>
          <w:szCs w:val="24"/>
          <w:u w:color="000000"/>
        </w:rPr>
      </w:pPr>
    </w:p>
    <w:tbl>
      <w:tblPr>
        <w:tblW w:w="10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2700"/>
        <w:gridCol w:w="1659"/>
        <w:gridCol w:w="1657"/>
        <w:gridCol w:w="1369"/>
        <w:gridCol w:w="1268"/>
      </w:tblGrid>
      <w:tr w14:paraId="2E5B832F" w14:textId="77777777" w:rsidTr="0079219F">
        <w:tblPrEx>
          <w:tblW w:w="10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20" w:type="dxa"/>
            <w:shd w:val="clear" w:color="auto" w:fill="auto"/>
          </w:tcPr>
          <w:p w:rsidR="00987F96" w:rsidRPr="007D528E" w:rsidP="0079219F" w14:paraId="0E15C285" w14:textId="77777777">
            <w:pPr>
              <w:spacing w:line="360" w:lineRule="auto"/>
              <w:jc w:val="center"/>
              <w:rPr>
                <w:rFonts w:eastAsia="Calibri"/>
                <w:bCs/>
                <w:sz w:val="24"/>
                <w:szCs w:val="24"/>
              </w:rPr>
            </w:pPr>
            <w:r w:rsidRPr="007D528E">
              <w:rPr>
                <w:rFonts w:eastAsia="Calibri"/>
                <w:bCs/>
                <w:sz w:val="24"/>
                <w:szCs w:val="24"/>
              </w:rPr>
              <w:t>Type of Respondent</w:t>
            </w:r>
          </w:p>
        </w:tc>
        <w:tc>
          <w:tcPr>
            <w:tcW w:w="2700" w:type="dxa"/>
            <w:shd w:val="clear" w:color="auto" w:fill="auto"/>
          </w:tcPr>
          <w:p w:rsidR="00987F96" w:rsidRPr="007D528E" w:rsidP="0079219F" w14:paraId="73D43138" w14:textId="77777777">
            <w:pPr>
              <w:spacing w:line="360" w:lineRule="auto"/>
              <w:jc w:val="center"/>
              <w:rPr>
                <w:rFonts w:eastAsia="Calibri"/>
                <w:bCs/>
                <w:sz w:val="24"/>
                <w:szCs w:val="24"/>
              </w:rPr>
            </w:pPr>
            <w:r w:rsidRPr="007D528E">
              <w:rPr>
                <w:rFonts w:eastAsia="Calibri"/>
                <w:bCs/>
                <w:sz w:val="24"/>
                <w:szCs w:val="24"/>
              </w:rPr>
              <w:t>Form Name</w:t>
            </w:r>
          </w:p>
        </w:tc>
        <w:tc>
          <w:tcPr>
            <w:tcW w:w="1659" w:type="dxa"/>
            <w:shd w:val="clear" w:color="auto" w:fill="auto"/>
          </w:tcPr>
          <w:p w:rsidR="00987F96" w:rsidRPr="007D528E" w:rsidP="0079219F" w14:paraId="2E71276F" w14:textId="77777777">
            <w:pPr>
              <w:spacing w:line="360" w:lineRule="auto"/>
              <w:jc w:val="center"/>
              <w:rPr>
                <w:rFonts w:eastAsia="Calibri"/>
                <w:bCs/>
                <w:sz w:val="24"/>
                <w:szCs w:val="24"/>
              </w:rPr>
            </w:pPr>
            <w:r w:rsidRPr="007D528E">
              <w:rPr>
                <w:rFonts w:eastAsia="Calibri"/>
                <w:bCs/>
                <w:sz w:val="24"/>
                <w:szCs w:val="24"/>
              </w:rPr>
              <w:t>Number of Respondents</w:t>
            </w:r>
          </w:p>
        </w:tc>
        <w:tc>
          <w:tcPr>
            <w:tcW w:w="1657" w:type="dxa"/>
            <w:shd w:val="clear" w:color="auto" w:fill="auto"/>
          </w:tcPr>
          <w:p w:rsidR="00987F96" w:rsidRPr="007D528E" w:rsidP="0079219F" w14:paraId="46028AFD" w14:textId="77777777">
            <w:pPr>
              <w:spacing w:line="360" w:lineRule="auto"/>
              <w:jc w:val="center"/>
              <w:rPr>
                <w:rFonts w:eastAsia="Calibri"/>
                <w:bCs/>
                <w:sz w:val="24"/>
                <w:szCs w:val="24"/>
              </w:rPr>
            </w:pPr>
            <w:r w:rsidRPr="007D528E">
              <w:rPr>
                <w:rFonts w:eastAsia="Calibri"/>
                <w:bCs/>
                <w:sz w:val="24"/>
                <w:szCs w:val="24"/>
              </w:rPr>
              <w:t>Number of Responses per Respondent</w:t>
            </w:r>
          </w:p>
        </w:tc>
        <w:tc>
          <w:tcPr>
            <w:tcW w:w="1369" w:type="dxa"/>
            <w:shd w:val="clear" w:color="auto" w:fill="auto"/>
          </w:tcPr>
          <w:p w:rsidR="00987F96" w:rsidRPr="007D528E" w:rsidP="0079219F" w14:paraId="6A9AF88E" w14:textId="77777777">
            <w:pPr>
              <w:spacing w:line="360" w:lineRule="auto"/>
              <w:jc w:val="center"/>
              <w:rPr>
                <w:rFonts w:eastAsia="Calibri"/>
                <w:bCs/>
                <w:sz w:val="24"/>
                <w:szCs w:val="24"/>
              </w:rPr>
            </w:pPr>
            <w:r w:rsidRPr="007D528E">
              <w:rPr>
                <w:rFonts w:eastAsia="Calibri"/>
                <w:bCs/>
                <w:sz w:val="24"/>
                <w:szCs w:val="24"/>
              </w:rPr>
              <w:t>Average Burden per Response (in hours)</w:t>
            </w:r>
          </w:p>
        </w:tc>
        <w:tc>
          <w:tcPr>
            <w:tcW w:w="1268" w:type="dxa"/>
            <w:shd w:val="clear" w:color="auto" w:fill="auto"/>
          </w:tcPr>
          <w:p w:rsidR="00987F96" w:rsidRPr="007D528E" w:rsidP="0079219F" w14:paraId="563E47F6" w14:textId="77777777">
            <w:pPr>
              <w:spacing w:line="360" w:lineRule="auto"/>
              <w:jc w:val="center"/>
              <w:rPr>
                <w:rFonts w:eastAsia="Calibri"/>
                <w:bCs/>
                <w:sz w:val="24"/>
                <w:szCs w:val="24"/>
              </w:rPr>
            </w:pPr>
            <w:r w:rsidRPr="007D528E">
              <w:rPr>
                <w:rFonts w:eastAsia="Calibri"/>
                <w:bCs/>
                <w:sz w:val="24"/>
                <w:szCs w:val="24"/>
              </w:rPr>
              <w:t>Total Burden (in hours)</w:t>
            </w:r>
          </w:p>
        </w:tc>
      </w:tr>
      <w:tr w14:paraId="4BEEDEA0" w14:textId="77777777" w:rsidTr="0079219F">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07C45B40" w14:textId="77777777">
            <w:pPr>
              <w:spacing w:line="360" w:lineRule="auto"/>
              <w:rPr>
                <w:rFonts w:eastAsia="Calibri"/>
                <w:bCs/>
                <w:sz w:val="24"/>
                <w:szCs w:val="24"/>
              </w:rPr>
            </w:pPr>
            <w:r w:rsidRPr="007D528E">
              <w:rPr>
                <w:rFonts w:eastAsia="Calibri"/>
                <w:bCs/>
                <w:sz w:val="24"/>
                <w:szCs w:val="24"/>
              </w:rPr>
              <w:t>States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12ED4A12"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343F4146" w14:textId="77777777">
            <w:pPr>
              <w:spacing w:line="360" w:lineRule="auto"/>
              <w:jc w:val="center"/>
              <w:rPr>
                <w:rFonts w:eastAsia="Calibri"/>
                <w:bCs/>
                <w:sz w:val="24"/>
                <w:szCs w:val="24"/>
              </w:rPr>
            </w:pPr>
            <w:r w:rsidRPr="007D528E">
              <w:rPr>
                <w:rFonts w:eastAsia="Calibri"/>
                <w:bCs/>
                <w:sz w:val="24"/>
                <w:szCs w:val="24"/>
              </w:rPr>
              <w:t>50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79B7DEC3" w14:textId="6F6640EE">
            <w:pPr>
              <w:spacing w:line="360" w:lineRule="auto"/>
              <w:jc w:val="center"/>
              <w:rPr>
                <w:rFonts w:eastAsia="Calibri"/>
                <w:sz w:val="24"/>
                <w:szCs w:val="24"/>
              </w:rPr>
            </w:pPr>
            <w:r w:rsidRPr="007D528E">
              <w:rPr>
                <w:rFonts w:eastAsia="Calibri"/>
                <w:sz w:val="24"/>
                <w:szCs w:val="24"/>
              </w:rPr>
              <w:t>365</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1DE9D1DB" w14:textId="77777777">
            <w:pPr>
              <w:spacing w:line="360" w:lineRule="auto"/>
              <w:jc w:val="center"/>
              <w:rPr>
                <w:rFonts w:eastAsia="Calibri"/>
                <w:sz w:val="24"/>
                <w:szCs w:val="24"/>
              </w:rPr>
            </w:pPr>
            <w:r w:rsidRPr="007D528E">
              <w:rPr>
                <w:rFonts w:eastAsia="Calibri"/>
                <w:sz w:val="24"/>
                <w:szCs w:val="24"/>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2E249181" w14:textId="58E3803D">
            <w:pPr>
              <w:spacing w:line="360" w:lineRule="auto"/>
              <w:jc w:val="center"/>
              <w:rPr>
                <w:rFonts w:eastAsia="Calibri"/>
                <w:sz w:val="24"/>
                <w:szCs w:val="24"/>
              </w:rPr>
            </w:pPr>
            <w:r w:rsidRPr="007D528E">
              <w:rPr>
                <w:rFonts w:eastAsia="Calibri"/>
                <w:sz w:val="24"/>
                <w:szCs w:val="24"/>
              </w:rPr>
              <w:t>9</w:t>
            </w:r>
            <w:r w:rsidRPr="007D528E" w:rsidR="00407230">
              <w:rPr>
                <w:rFonts w:eastAsia="Calibri"/>
                <w:sz w:val="24"/>
                <w:szCs w:val="24"/>
              </w:rPr>
              <w:t>,</w:t>
            </w:r>
            <w:r w:rsidRPr="007D528E">
              <w:rPr>
                <w:rFonts w:eastAsia="Calibri"/>
                <w:sz w:val="24"/>
                <w:szCs w:val="24"/>
              </w:rPr>
              <w:t>125</w:t>
            </w:r>
          </w:p>
        </w:tc>
      </w:tr>
      <w:tr w14:paraId="4447CAD3" w14:textId="77777777" w:rsidTr="0079219F">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25DF7505" w14:textId="77777777">
            <w:pPr>
              <w:spacing w:line="360" w:lineRule="auto"/>
              <w:rPr>
                <w:rFonts w:eastAsia="Calibri"/>
                <w:bCs/>
                <w:sz w:val="24"/>
                <w:szCs w:val="24"/>
              </w:rPr>
            </w:pPr>
            <w:r w:rsidRPr="007D528E">
              <w:rPr>
                <w:rFonts w:eastAsia="Calibri"/>
                <w:bCs/>
                <w:sz w:val="24"/>
                <w:szCs w:val="24"/>
              </w:rPr>
              <w:t>Territories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089912F1"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73785E05" w14:textId="77777777">
            <w:pPr>
              <w:spacing w:line="360" w:lineRule="auto"/>
              <w:jc w:val="center"/>
              <w:rPr>
                <w:rFonts w:eastAsia="Calibri"/>
                <w:bCs/>
                <w:sz w:val="24"/>
                <w:szCs w:val="24"/>
              </w:rPr>
            </w:pPr>
            <w:r w:rsidRPr="007D528E">
              <w:rPr>
                <w:rFonts w:eastAsia="Calibri"/>
                <w:bCs/>
                <w:sz w:val="24"/>
                <w:szCs w:val="24"/>
              </w:rPr>
              <w:t>5</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6BBBE80A" w14:textId="658A9C44">
            <w:pPr>
              <w:spacing w:line="360" w:lineRule="auto"/>
              <w:jc w:val="center"/>
              <w:rPr>
                <w:rFonts w:eastAsia="Calibri"/>
                <w:sz w:val="24"/>
                <w:szCs w:val="24"/>
              </w:rPr>
            </w:pPr>
            <w:r w:rsidRPr="007D528E">
              <w:rPr>
                <w:rFonts w:eastAsia="Calibri"/>
                <w:sz w:val="24"/>
                <w:szCs w:val="24"/>
              </w:rPr>
              <w:t>365</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22C1BC26" w14:textId="77777777">
            <w:pPr>
              <w:spacing w:line="360" w:lineRule="auto"/>
              <w:jc w:val="center"/>
              <w:rPr>
                <w:rFonts w:eastAsia="Calibri"/>
                <w:sz w:val="24"/>
                <w:szCs w:val="24"/>
              </w:rPr>
            </w:pPr>
            <w:r w:rsidRPr="007D528E">
              <w:rPr>
                <w:rFonts w:eastAsia="Calibri"/>
                <w:sz w:val="24"/>
                <w:szCs w:val="24"/>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7D5BC2A9" w14:textId="43EF739E">
            <w:pPr>
              <w:spacing w:line="360" w:lineRule="auto"/>
              <w:jc w:val="center"/>
              <w:rPr>
                <w:rFonts w:eastAsia="Calibri"/>
                <w:sz w:val="24"/>
                <w:szCs w:val="24"/>
              </w:rPr>
            </w:pPr>
            <w:r w:rsidRPr="007D528E">
              <w:rPr>
                <w:rFonts w:eastAsia="Calibri"/>
                <w:sz w:val="24"/>
                <w:szCs w:val="24"/>
              </w:rPr>
              <w:t>913</w:t>
            </w:r>
          </w:p>
        </w:tc>
      </w:tr>
      <w:tr w14:paraId="06ABC444" w14:textId="77777777" w:rsidTr="0079219F">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113CDD31" w14:textId="77777777">
            <w:pPr>
              <w:spacing w:line="360" w:lineRule="auto"/>
              <w:rPr>
                <w:rFonts w:eastAsia="Calibri"/>
                <w:bCs/>
                <w:sz w:val="24"/>
                <w:szCs w:val="24"/>
              </w:rPr>
            </w:pPr>
            <w:r w:rsidRPr="007D528E">
              <w:rPr>
                <w:rFonts w:eastAsia="Calibri"/>
                <w:bCs/>
                <w:sz w:val="24"/>
                <w:szCs w:val="24"/>
              </w:rPr>
              <w:t>Freely Associated States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66FE60CA"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47D403DE" w14:textId="77777777">
            <w:pPr>
              <w:spacing w:line="360" w:lineRule="auto"/>
              <w:jc w:val="center"/>
              <w:rPr>
                <w:rFonts w:eastAsia="Calibri"/>
                <w:bCs/>
                <w:sz w:val="24"/>
                <w:szCs w:val="24"/>
              </w:rPr>
            </w:pPr>
            <w:r w:rsidRPr="007D528E">
              <w:rPr>
                <w:rFonts w:eastAsia="Calibri"/>
                <w:bCs/>
                <w:sz w:val="24"/>
                <w:szCs w:val="24"/>
              </w:rPr>
              <w:t>3</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2BA5375D" w14:textId="77777777">
            <w:pPr>
              <w:spacing w:line="360" w:lineRule="auto"/>
              <w:jc w:val="center"/>
              <w:rPr>
                <w:rFonts w:eastAsia="Calibri"/>
                <w:sz w:val="24"/>
                <w:szCs w:val="24"/>
              </w:rPr>
            </w:pPr>
            <w:r w:rsidRPr="007D528E">
              <w:rPr>
                <w:rFonts w:eastAsia="Calibri"/>
                <w:sz w:val="24"/>
                <w:szCs w:val="24"/>
              </w:rPr>
              <w:t>3650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7C49AAD8" w14:textId="77777777">
            <w:pPr>
              <w:spacing w:line="360" w:lineRule="auto"/>
              <w:jc w:val="center"/>
              <w:rPr>
                <w:rFonts w:eastAsia="Calibri"/>
                <w:sz w:val="24"/>
                <w:szCs w:val="24"/>
              </w:rPr>
            </w:pPr>
            <w:r w:rsidRPr="007D528E">
              <w:rPr>
                <w:rFonts w:eastAsia="Calibri"/>
                <w:sz w:val="24"/>
                <w:szCs w:val="24"/>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987F96" w:rsidRPr="007D528E" w:rsidP="0079219F" w14:paraId="312C2C49" w14:textId="2E992364">
            <w:pPr>
              <w:spacing w:line="360" w:lineRule="auto"/>
              <w:jc w:val="center"/>
              <w:rPr>
                <w:rFonts w:eastAsia="Calibri"/>
                <w:sz w:val="24"/>
                <w:szCs w:val="24"/>
              </w:rPr>
            </w:pPr>
            <w:r w:rsidRPr="007D528E">
              <w:rPr>
                <w:rFonts w:eastAsia="Calibri"/>
                <w:sz w:val="24"/>
                <w:szCs w:val="24"/>
              </w:rPr>
              <w:t>548</w:t>
            </w:r>
          </w:p>
        </w:tc>
      </w:tr>
      <w:tr w14:paraId="5CC00C7B" w14:textId="77777777" w:rsidTr="0079219F">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407230" w:rsidRPr="007D528E" w:rsidP="00407230" w14:paraId="2443A39F" w14:textId="60C5F95F">
            <w:pPr>
              <w:spacing w:line="360" w:lineRule="auto"/>
              <w:rPr>
                <w:rFonts w:eastAsia="Calibri"/>
                <w:bCs/>
                <w:sz w:val="24"/>
                <w:szCs w:val="24"/>
              </w:rPr>
            </w:pPr>
            <w:r w:rsidRPr="007D528E">
              <w:rPr>
                <w:rFonts w:eastAsia="Calibri"/>
                <w:bCs/>
                <w:sz w:val="24"/>
                <w:szCs w:val="24"/>
              </w:rPr>
              <w:t>Cities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407230" w:rsidRPr="007D528E" w:rsidP="00407230" w14:paraId="51E8D949" w14:textId="25FCAD85">
            <w:pPr>
              <w:spacing w:line="360" w:lineRule="auto"/>
              <w:rPr>
                <w:rFonts w:eastAsia="Calibri"/>
                <w:bCs/>
                <w:sz w:val="24"/>
                <w:szCs w:val="24"/>
              </w:rPr>
            </w:pPr>
            <w:r w:rsidRPr="007D528E">
              <w:rPr>
                <w:rFonts w:eastAsia="Calibri"/>
                <w:bCs/>
                <w:sz w:val="24"/>
                <w:szCs w:val="24"/>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407230" w:rsidRPr="007D528E" w:rsidP="00407230" w14:paraId="6CE4AD25" w14:textId="69999264">
            <w:pPr>
              <w:spacing w:line="360" w:lineRule="auto"/>
              <w:jc w:val="center"/>
              <w:rPr>
                <w:rFonts w:eastAsia="Calibri"/>
                <w:bCs/>
                <w:sz w:val="24"/>
                <w:szCs w:val="24"/>
              </w:rPr>
            </w:pPr>
            <w:r w:rsidRPr="007D528E">
              <w:rPr>
                <w:rFonts w:eastAsia="Calibri"/>
                <w:bCs/>
                <w:sz w:val="24"/>
                <w:szCs w:val="24"/>
              </w:rPr>
              <w:t>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407230" w:rsidRPr="007D528E" w:rsidP="00407230" w14:paraId="1BD3464D" w14:textId="7BEA4FD4">
            <w:pPr>
              <w:spacing w:line="360" w:lineRule="auto"/>
              <w:jc w:val="center"/>
              <w:rPr>
                <w:rFonts w:eastAsia="Calibri"/>
                <w:sz w:val="24"/>
                <w:szCs w:val="24"/>
              </w:rPr>
            </w:pPr>
            <w:r w:rsidRPr="007D528E">
              <w:rPr>
                <w:rFonts w:eastAsia="Calibri"/>
                <w:sz w:val="24"/>
                <w:szCs w:val="24"/>
              </w:rPr>
              <w:t>365</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407230" w:rsidRPr="007D528E" w:rsidP="00407230" w14:paraId="133CB425" w14:textId="541720D2">
            <w:pPr>
              <w:spacing w:line="360" w:lineRule="auto"/>
              <w:jc w:val="center"/>
              <w:rPr>
                <w:rFonts w:eastAsia="Calibri"/>
                <w:sz w:val="24"/>
                <w:szCs w:val="24"/>
              </w:rPr>
            </w:pPr>
            <w:r w:rsidRPr="007D528E">
              <w:rPr>
                <w:rFonts w:eastAsia="Calibri"/>
                <w:sz w:val="24"/>
                <w:szCs w:val="24"/>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407230" w:rsidRPr="007D528E" w:rsidP="00407230" w14:paraId="1AD79D73" w14:textId="301C7D56">
            <w:pPr>
              <w:spacing w:line="360" w:lineRule="auto"/>
              <w:jc w:val="center"/>
              <w:rPr>
                <w:rFonts w:eastAsia="Calibri"/>
                <w:sz w:val="24"/>
                <w:szCs w:val="24"/>
              </w:rPr>
            </w:pPr>
            <w:r w:rsidRPr="007D528E">
              <w:rPr>
                <w:rFonts w:eastAsia="Calibri"/>
                <w:sz w:val="24"/>
                <w:szCs w:val="24"/>
              </w:rPr>
              <w:t>3,65</w:t>
            </w:r>
          </w:p>
        </w:tc>
      </w:tr>
      <w:tr w14:paraId="2A67FD5E" w14:textId="77777777" w:rsidTr="00973733">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D0F80" w:rsidRPr="007D528E" w:rsidP="00407230" w14:paraId="687B4DA7" w14:textId="05D23CAA">
            <w:pPr>
              <w:spacing w:line="360" w:lineRule="auto"/>
              <w:rPr>
                <w:rFonts w:eastAsia="Calibri"/>
                <w:bCs/>
                <w:sz w:val="24"/>
                <w:szCs w:val="24"/>
              </w:rPr>
            </w:pPr>
            <w:r w:rsidRPr="007D528E">
              <w:rPr>
                <w:rFonts w:eastAsia="Calibri"/>
                <w:bCs/>
                <w:sz w:val="24"/>
                <w:szCs w:val="24"/>
              </w:rPr>
              <w:t>Total</w:t>
            </w:r>
          </w:p>
        </w:tc>
        <w:tc>
          <w:tcPr>
            <w:tcW w:w="73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0F80" w:rsidRPr="007D528E" w:rsidP="00407230" w14:paraId="7478DEB2" w14:textId="77777777">
            <w:pPr>
              <w:spacing w:line="360" w:lineRule="auto"/>
              <w:jc w:val="center"/>
              <w:rPr>
                <w:rFonts w:eastAsia="Calibri"/>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1D0F80" w:rsidRPr="007D528E" w:rsidP="00407230" w14:paraId="5C044215" w14:textId="027386F1">
            <w:pPr>
              <w:spacing w:line="360" w:lineRule="auto"/>
              <w:jc w:val="center"/>
              <w:rPr>
                <w:rFonts w:eastAsia="Calibri"/>
                <w:sz w:val="24"/>
                <w:szCs w:val="24"/>
              </w:rPr>
            </w:pPr>
            <w:r w:rsidRPr="007D528E">
              <w:rPr>
                <w:rFonts w:eastAsia="Calibri"/>
                <w:sz w:val="24"/>
                <w:szCs w:val="24"/>
              </w:rPr>
              <w:t>10,951</w:t>
            </w:r>
          </w:p>
        </w:tc>
      </w:tr>
    </w:tbl>
    <w:p w:rsidR="00DC241A" w:rsidRPr="007D528E" w:rsidP="008B60E5" w14:paraId="08D722F8" w14:textId="77777777">
      <w:pPr>
        <w:rPr>
          <w:rFonts w:eastAsia="Arial Unicode MS"/>
          <w:color w:val="000000"/>
          <w:sz w:val="24"/>
          <w:szCs w:val="24"/>
          <w:u w:color="000000"/>
        </w:rPr>
      </w:pPr>
    </w:p>
    <w:p w:rsidR="008B60E5" w:rsidRPr="007D528E" w:rsidP="008B60E5" w14:paraId="020B7C3E" w14:textId="6743642D">
      <w:pPr>
        <w:rPr>
          <w:rFonts w:eastAsia="Arial Unicode MS"/>
          <w:color w:val="000000"/>
          <w:sz w:val="24"/>
          <w:szCs w:val="24"/>
          <w:u w:color="000000"/>
        </w:rPr>
      </w:pPr>
      <w:r w:rsidRPr="007D528E">
        <w:rPr>
          <w:rFonts w:eastAsia="Arial Unicode MS"/>
          <w:color w:val="000000"/>
          <w:sz w:val="24"/>
          <w:szCs w:val="24"/>
          <w:u w:color="000000"/>
        </w:rPr>
        <w:t xml:space="preserve">The annual burden estimates below include the time that states, territories, freely associated states, and cities will incur to submit confirmed, probable, and suspected case data </w:t>
      </w:r>
      <w:r w:rsidRPr="007D528E" w:rsidR="00895B1A">
        <w:rPr>
          <w:rFonts w:eastAsia="Arial Unicode MS"/>
          <w:color w:val="000000"/>
          <w:sz w:val="24"/>
          <w:szCs w:val="24"/>
          <w:u w:color="000000"/>
        </w:rPr>
        <w:t>(MDN and response-specific data elements</w:t>
      </w:r>
      <w:r w:rsidRPr="007D528E" w:rsidR="0002303D">
        <w:rPr>
          <w:rFonts w:eastAsia="Arial Unicode MS"/>
          <w:color w:val="000000"/>
          <w:sz w:val="24"/>
          <w:szCs w:val="24"/>
          <w:u w:color="000000"/>
        </w:rPr>
        <w:t xml:space="preserve">) </w:t>
      </w:r>
      <w:r w:rsidRPr="007D528E">
        <w:rPr>
          <w:rFonts w:eastAsia="Arial Unicode MS"/>
          <w:color w:val="000000"/>
          <w:sz w:val="24"/>
          <w:szCs w:val="24"/>
          <w:u w:color="000000"/>
        </w:rPr>
        <w:t xml:space="preserve">for diseases or conditions </w:t>
      </w:r>
      <w:r w:rsidRPr="007D528E" w:rsidR="00C510C4">
        <w:rPr>
          <w:rFonts w:eastAsia="Arial Unicode MS"/>
          <w:color w:val="000000"/>
          <w:sz w:val="24"/>
          <w:szCs w:val="24"/>
          <w:u w:color="000000"/>
        </w:rPr>
        <w:t xml:space="preserve">for 10 </w:t>
      </w:r>
      <w:r w:rsidRPr="007D528E">
        <w:rPr>
          <w:rFonts w:eastAsia="Arial Unicode MS"/>
          <w:color w:val="000000"/>
          <w:sz w:val="24"/>
          <w:szCs w:val="24"/>
          <w:u w:color="000000"/>
        </w:rPr>
        <w:t>emergency response</w:t>
      </w:r>
      <w:r w:rsidRPr="007D528E" w:rsidR="00C510C4">
        <w:rPr>
          <w:rFonts w:eastAsia="Arial Unicode MS"/>
          <w:color w:val="000000"/>
          <w:sz w:val="24"/>
          <w:szCs w:val="24"/>
          <w:u w:color="000000"/>
        </w:rPr>
        <w:t>s</w:t>
      </w:r>
      <w:r w:rsidRPr="007D528E">
        <w:rPr>
          <w:rFonts w:eastAsia="Arial Unicode MS"/>
          <w:color w:val="000000"/>
          <w:sz w:val="24"/>
          <w:szCs w:val="24"/>
          <w:u w:color="000000"/>
        </w:rPr>
        <w:t xml:space="preserve">. </w:t>
      </w:r>
    </w:p>
    <w:p w:rsidR="00CE0640" w:rsidRPr="007D528E" w:rsidP="00CE0640" w14:paraId="40EC4430" w14:textId="77777777">
      <w:pPr>
        <w:widowControl w:val="0"/>
        <w:tabs>
          <w:tab w:val="left" w:pos="0"/>
        </w:tabs>
        <w:autoSpaceDE w:val="0"/>
        <w:autoSpaceDN w:val="0"/>
        <w:adjustRightInd w:val="0"/>
        <w:rPr>
          <w:rFonts w:eastAsia="Arial Unicode MS"/>
          <w:color w:val="000000"/>
          <w:sz w:val="24"/>
          <w:szCs w:val="24"/>
          <w:u w:color="000000"/>
        </w:rPr>
      </w:pPr>
      <w:r w:rsidRPr="007D528E">
        <w:rPr>
          <w:rFonts w:eastAsia="Arial Unicode MS"/>
          <w:color w:val="000000"/>
          <w:sz w:val="24"/>
          <w:szCs w:val="24"/>
          <w:u w:color="000000"/>
        </w:rPr>
        <w:tab/>
      </w:r>
    </w:p>
    <w:p w:rsidR="00BF1A48" w:rsidRPr="007D528E" w:rsidP="00CE0640" w14:paraId="4300CF89" w14:textId="027681EE">
      <w:pPr>
        <w:widowControl w:val="0"/>
        <w:tabs>
          <w:tab w:val="left" w:pos="0"/>
        </w:tabs>
        <w:autoSpaceDE w:val="0"/>
        <w:autoSpaceDN w:val="0"/>
        <w:adjustRightInd w:val="0"/>
        <w:rPr>
          <w:rFonts w:eastAsia="Arial Unicode MS"/>
          <w:color w:val="000000"/>
          <w:sz w:val="24"/>
          <w:szCs w:val="24"/>
          <w:u w:color="000000"/>
        </w:rPr>
      </w:pPr>
      <w:r w:rsidRPr="007D528E">
        <w:rPr>
          <w:rFonts w:eastAsia="Arial Unicode MS"/>
          <w:color w:val="000000"/>
          <w:sz w:val="24"/>
          <w:szCs w:val="24"/>
          <w:u w:color="000000"/>
        </w:rPr>
        <w:tab/>
      </w:r>
      <w:r w:rsidRPr="007D528E" w:rsidR="004B339C">
        <w:rPr>
          <w:rFonts w:eastAsia="Arial Unicode MS"/>
          <w:color w:val="000000"/>
          <w:sz w:val="24"/>
          <w:szCs w:val="24"/>
          <w:u w:color="000000"/>
        </w:rPr>
        <w:t>Table A</w:t>
      </w:r>
      <w:r w:rsidRPr="007D528E" w:rsidR="001A7FFB">
        <w:rPr>
          <w:rFonts w:eastAsia="Arial Unicode MS"/>
          <w:color w:val="000000"/>
          <w:sz w:val="24"/>
          <w:szCs w:val="24"/>
          <w:u w:color="000000"/>
        </w:rPr>
        <w:t>2</w:t>
      </w:r>
      <w:r w:rsidRPr="007D528E" w:rsidR="00157D2C">
        <w:rPr>
          <w:rFonts w:eastAsia="Arial Unicode MS"/>
          <w:color w:val="000000"/>
          <w:sz w:val="24"/>
          <w:szCs w:val="24"/>
          <w:u w:color="000000"/>
        </w:rPr>
        <w:t>.</w:t>
      </w:r>
      <w:r w:rsidRPr="007D528E" w:rsidR="004B339C">
        <w:rPr>
          <w:rFonts w:eastAsia="Arial Unicode MS"/>
          <w:color w:val="000000"/>
          <w:sz w:val="24"/>
          <w:szCs w:val="24"/>
          <w:u w:color="000000"/>
        </w:rPr>
        <w:t xml:space="preserve"> </w:t>
      </w:r>
      <w:r w:rsidRPr="007D528E">
        <w:rPr>
          <w:rFonts w:eastAsia="Arial Unicode MS"/>
          <w:color w:val="000000"/>
          <w:sz w:val="24"/>
          <w:szCs w:val="24"/>
          <w:u w:color="000000"/>
        </w:rPr>
        <w:t>Estimated Annualized Burden Hours</w:t>
      </w:r>
    </w:p>
    <w:p w:rsidR="002730EF" w:rsidRPr="007D528E" w:rsidP="00CE0640" w14:paraId="1BCDBC64" w14:textId="77777777">
      <w:pPr>
        <w:widowControl w:val="0"/>
        <w:tabs>
          <w:tab w:val="left" w:pos="0"/>
        </w:tabs>
        <w:autoSpaceDE w:val="0"/>
        <w:autoSpaceDN w:val="0"/>
        <w:adjustRightInd w:val="0"/>
        <w:rPr>
          <w:rFonts w:eastAsia="Arial Unicode MS"/>
          <w:color w:val="000000"/>
          <w:sz w:val="24"/>
          <w:szCs w:val="24"/>
          <w:u w:color="000000"/>
        </w:rPr>
      </w:pPr>
    </w:p>
    <w:tbl>
      <w:tblPr>
        <w:tblW w:w="10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2700"/>
        <w:gridCol w:w="1659"/>
        <w:gridCol w:w="1657"/>
        <w:gridCol w:w="1369"/>
        <w:gridCol w:w="1268"/>
      </w:tblGrid>
      <w:tr w14:paraId="65FA2CC3" w14:textId="77777777">
        <w:tblPrEx>
          <w:tblW w:w="102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20" w:type="dxa"/>
            <w:shd w:val="clear" w:color="auto" w:fill="auto"/>
          </w:tcPr>
          <w:p w:rsidR="00510881" w:rsidRPr="007D528E" w:rsidP="00510881" w14:paraId="4954FC87" w14:textId="77777777">
            <w:pPr>
              <w:spacing w:line="360" w:lineRule="auto"/>
              <w:jc w:val="center"/>
              <w:rPr>
                <w:rFonts w:eastAsia="Calibri"/>
                <w:bCs/>
                <w:sz w:val="24"/>
                <w:szCs w:val="24"/>
              </w:rPr>
            </w:pPr>
            <w:r w:rsidRPr="007D528E">
              <w:rPr>
                <w:rFonts w:eastAsia="Calibri"/>
                <w:bCs/>
                <w:sz w:val="24"/>
                <w:szCs w:val="24"/>
              </w:rPr>
              <w:t>Type of Respondent</w:t>
            </w:r>
          </w:p>
        </w:tc>
        <w:tc>
          <w:tcPr>
            <w:tcW w:w="2700" w:type="dxa"/>
            <w:shd w:val="clear" w:color="auto" w:fill="auto"/>
          </w:tcPr>
          <w:p w:rsidR="00510881" w:rsidRPr="007D528E" w:rsidP="00510881" w14:paraId="5C68A141" w14:textId="77777777">
            <w:pPr>
              <w:spacing w:line="360" w:lineRule="auto"/>
              <w:jc w:val="center"/>
              <w:rPr>
                <w:rFonts w:eastAsia="Calibri"/>
                <w:bCs/>
                <w:sz w:val="24"/>
                <w:szCs w:val="24"/>
              </w:rPr>
            </w:pPr>
            <w:r w:rsidRPr="007D528E">
              <w:rPr>
                <w:rFonts w:eastAsia="Calibri"/>
                <w:bCs/>
                <w:sz w:val="24"/>
                <w:szCs w:val="24"/>
              </w:rPr>
              <w:t>Form Name</w:t>
            </w:r>
          </w:p>
        </w:tc>
        <w:tc>
          <w:tcPr>
            <w:tcW w:w="1659" w:type="dxa"/>
            <w:shd w:val="clear" w:color="auto" w:fill="auto"/>
          </w:tcPr>
          <w:p w:rsidR="00510881" w:rsidRPr="007D528E" w:rsidP="00510881" w14:paraId="34FF2F21" w14:textId="77777777">
            <w:pPr>
              <w:spacing w:line="360" w:lineRule="auto"/>
              <w:jc w:val="center"/>
              <w:rPr>
                <w:rFonts w:eastAsia="Calibri"/>
                <w:bCs/>
                <w:sz w:val="24"/>
                <w:szCs w:val="24"/>
              </w:rPr>
            </w:pPr>
            <w:r w:rsidRPr="007D528E">
              <w:rPr>
                <w:rFonts w:eastAsia="Calibri"/>
                <w:bCs/>
                <w:sz w:val="24"/>
                <w:szCs w:val="24"/>
              </w:rPr>
              <w:t>Number of Respondents</w:t>
            </w:r>
          </w:p>
        </w:tc>
        <w:tc>
          <w:tcPr>
            <w:tcW w:w="1657" w:type="dxa"/>
            <w:shd w:val="clear" w:color="auto" w:fill="auto"/>
          </w:tcPr>
          <w:p w:rsidR="00510881" w:rsidRPr="007D528E" w:rsidP="00510881" w14:paraId="3CBFC9C6" w14:textId="77777777">
            <w:pPr>
              <w:spacing w:line="360" w:lineRule="auto"/>
              <w:jc w:val="center"/>
              <w:rPr>
                <w:rFonts w:eastAsia="Calibri"/>
                <w:bCs/>
                <w:sz w:val="24"/>
                <w:szCs w:val="24"/>
              </w:rPr>
            </w:pPr>
            <w:r w:rsidRPr="007D528E">
              <w:rPr>
                <w:rFonts w:eastAsia="Calibri"/>
                <w:bCs/>
                <w:sz w:val="24"/>
                <w:szCs w:val="24"/>
              </w:rPr>
              <w:t>Number of Responses per Respondent</w:t>
            </w:r>
          </w:p>
        </w:tc>
        <w:tc>
          <w:tcPr>
            <w:tcW w:w="1369" w:type="dxa"/>
            <w:shd w:val="clear" w:color="auto" w:fill="auto"/>
          </w:tcPr>
          <w:p w:rsidR="00510881" w:rsidRPr="007D528E" w:rsidP="00510881" w14:paraId="24AC8108" w14:textId="77777777">
            <w:pPr>
              <w:spacing w:line="360" w:lineRule="auto"/>
              <w:jc w:val="center"/>
              <w:rPr>
                <w:rFonts w:eastAsia="Calibri"/>
                <w:bCs/>
                <w:sz w:val="24"/>
                <w:szCs w:val="24"/>
              </w:rPr>
            </w:pPr>
            <w:r w:rsidRPr="007D528E">
              <w:rPr>
                <w:rFonts w:eastAsia="Calibri"/>
                <w:bCs/>
                <w:sz w:val="24"/>
                <w:szCs w:val="24"/>
              </w:rPr>
              <w:t>Average Burden per Response (in hours)</w:t>
            </w:r>
          </w:p>
        </w:tc>
        <w:tc>
          <w:tcPr>
            <w:tcW w:w="1268" w:type="dxa"/>
            <w:shd w:val="clear" w:color="auto" w:fill="auto"/>
          </w:tcPr>
          <w:p w:rsidR="00510881" w:rsidRPr="007D528E" w:rsidP="00510881" w14:paraId="08DECA0E" w14:textId="77777777">
            <w:pPr>
              <w:spacing w:line="360" w:lineRule="auto"/>
              <w:jc w:val="center"/>
              <w:rPr>
                <w:rFonts w:eastAsia="Calibri"/>
                <w:bCs/>
                <w:sz w:val="24"/>
                <w:szCs w:val="24"/>
              </w:rPr>
            </w:pPr>
            <w:r w:rsidRPr="007D528E">
              <w:rPr>
                <w:rFonts w:eastAsia="Calibri"/>
                <w:bCs/>
                <w:sz w:val="24"/>
                <w:szCs w:val="24"/>
              </w:rPr>
              <w:t>Total Burden (in hours)</w:t>
            </w:r>
          </w:p>
        </w:tc>
      </w:tr>
      <w:tr w14:paraId="3A5C3924" w14:textId="77777777">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49941F17" w14:textId="77777777">
            <w:pPr>
              <w:spacing w:line="360" w:lineRule="auto"/>
              <w:rPr>
                <w:rFonts w:eastAsia="Calibri"/>
                <w:bCs/>
                <w:sz w:val="24"/>
                <w:szCs w:val="24"/>
              </w:rPr>
            </w:pPr>
            <w:r w:rsidRPr="007D528E">
              <w:rPr>
                <w:rFonts w:eastAsia="Calibri"/>
                <w:bCs/>
                <w:sz w:val="24"/>
                <w:szCs w:val="24"/>
              </w:rPr>
              <w:t>States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52797E8F"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19F91F8D" w14:textId="77777777">
            <w:pPr>
              <w:spacing w:line="360" w:lineRule="auto"/>
              <w:jc w:val="center"/>
              <w:rPr>
                <w:rFonts w:eastAsia="Calibri"/>
                <w:bCs/>
                <w:sz w:val="24"/>
                <w:szCs w:val="24"/>
              </w:rPr>
            </w:pPr>
            <w:r w:rsidRPr="007D528E">
              <w:rPr>
                <w:rFonts w:eastAsia="Calibri"/>
                <w:bCs/>
                <w:sz w:val="24"/>
                <w:szCs w:val="24"/>
              </w:rPr>
              <w:t>50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053C1169" w14:textId="5773C7B9">
            <w:pPr>
              <w:spacing w:line="360" w:lineRule="auto"/>
              <w:jc w:val="center"/>
              <w:rPr>
                <w:rFonts w:eastAsia="Calibri"/>
                <w:sz w:val="24"/>
                <w:szCs w:val="24"/>
              </w:rPr>
            </w:pPr>
            <w:r w:rsidRPr="007D528E">
              <w:rPr>
                <w:rFonts w:eastAsia="Calibri"/>
                <w:sz w:val="24"/>
                <w:szCs w:val="24"/>
              </w:rPr>
              <w:t>365</w:t>
            </w:r>
            <w:r w:rsidRPr="007D528E" w:rsidR="000B19D3">
              <w:rPr>
                <w:rFonts w:eastAsia="Calibri"/>
                <w:sz w:val="24"/>
                <w:szCs w:val="24"/>
              </w:rPr>
              <w:t>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6C748A8F" w14:textId="77777777">
            <w:pPr>
              <w:spacing w:line="360" w:lineRule="auto"/>
              <w:jc w:val="center"/>
              <w:rPr>
                <w:rFonts w:eastAsia="Calibri"/>
                <w:sz w:val="24"/>
                <w:szCs w:val="24"/>
              </w:rPr>
            </w:pPr>
            <w:r w:rsidRPr="007D528E">
              <w:rPr>
                <w:rFonts w:eastAsia="Calibri"/>
                <w:sz w:val="24"/>
                <w:szCs w:val="24"/>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4DF4909A" w14:textId="4BE378CE">
            <w:pPr>
              <w:spacing w:line="360" w:lineRule="auto"/>
              <w:jc w:val="center"/>
              <w:rPr>
                <w:rFonts w:eastAsia="Calibri"/>
                <w:sz w:val="24"/>
                <w:szCs w:val="24"/>
              </w:rPr>
            </w:pPr>
            <w:r w:rsidRPr="007D528E">
              <w:rPr>
                <w:rFonts w:eastAsia="Calibri"/>
                <w:sz w:val="24"/>
                <w:szCs w:val="24"/>
              </w:rPr>
              <w:t>91</w:t>
            </w:r>
            <w:r w:rsidRPr="007D528E" w:rsidR="000A4F40">
              <w:rPr>
                <w:rFonts w:eastAsia="Calibri"/>
                <w:sz w:val="24"/>
                <w:szCs w:val="24"/>
              </w:rPr>
              <w:t>,</w:t>
            </w:r>
            <w:r w:rsidRPr="007D528E">
              <w:rPr>
                <w:rFonts w:eastAsia="Calibri"/>
                <w:sz w:val="24"/>
                <w:szCs w:val="24"/>
              </w:rPr>
              <w:t>25</w:t>
            </w:r>
            <w:r w:rsidRPr="007D528E" w:rsidR="000A4F40">
              <w:rPr>
                <w:rFonts w:eastAsia="Calibri"/>
                <w:sz w:val="24"/>
                <w:szCs w:val="24"/>
              </w:rPr>
              <w:t>0</w:t>
            </w:r>
          </w:p>
        </w:tc>
      </w:tr>
      <w:tr w14:paraId="08E73C09" w14:textId="77777777">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7F08E1B5" w14:textId="77777777">
            <w:pPr>
              <w:spacing w:line="360" w:lineRule="auto"/>
              <w:rPr>
                <w:rFonts w:eastAsia="Calibri"/>
                <w:bCs/>
                <w:sz w:val="24"/>
                <w:szCs w:val="24"/>
              </w:rPr>
            </w:pPr>
            <w:r w:rsidRPr="007D528E">
              <w:rPr>
                <w:rFonts w:eastAsia="Calibri"/>
                <w:bCs/>
                <w:sz w:val="24"/>
                <w:szCs w:val="24"/>
              </w:rPr>
              <w:t>Territories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12C7CF79"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166F0C08" w14:textId="77777777">
            <w:pPr>
              <w:spacing w:line="360" w:lineRule="auto"/>
              <w:jc w:val="center"/>
              <w:rPr>
                <w:rFonts w:eastAsia="Calibri"/>
                <w:bCs/>
                <w:sz w:val="24"/>
                <w:szCs w:val="24"/>
              </w:rPr>
            </w:pPr>
            <w:r w:rsidRPr="007D528E">
              <w:rPr>
                <w:rFonts w:eastAsia="Calibri"/>
                <w:bCs/>
                <w:sz w:val="24"/>
                <w:szCs w:val="24"/>
              </w:rPr>
              <w:t>5</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3D2D55CA" w14:textId="0FC1E34B">
            <w:pPr>
              <w:spacing w:line="360" w:lineRule="auto"/>
              <w:jc w:val="center"/>
              <w:rPr>
                <w:rFonts w:eastAsia="Calibri"/>
                <w:sz w:val="24"/>
                <w:szCs w:val="24"/>
              </w:rPr>
            </w:pPr>
            <w:r w:rsidRPr="007D528E">
              <w:rPr>
                <w:rFonts w:eastAsia="Calibri"/>
                <w:sz w:val="24"/>
                <w:szCs w:val="24"/>
              </w:rPr>
              <w:t>365</w:t>
            </w:r>
            <w:r w:rsidRPr="007D528E" w:rsidR="000B19D3">
              <w:rPr>
                <w:rFonts w:eastAsia="Calibri"/>
                <w:sz w:val="24"/>
                <w:szCs w:val="24"/>
              </w:rPr>
              <w:t>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0F40F9C8" w14:textId="77777777">
            <w:pPr>
              <w:spacing w:line="360" w:lineRule="auto"/>
              <w:jc w:val="center"/>
              <w:rPr>
                <w:rFonts w:eastAsia="Calibri"/>
                <w:sz w:val="24"/>
                <w:szCs w:val="24"/>
              </w:rPr>
            </w:pPr>
            <w:r w:rsidRPr="007D528E">
              <w:rPr>
                <w:rFonts w:eastAsia="Calibri"/>
                <w:sz w:val="24"/>
                <w:szCs w:val="24"/>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4ABB2780" w14:textId="356C4E53">
            <w:pPr>
              <w:spacing w:line="360" w:lineRule="auto"/>
              <w:jc w:val="center"/>
              <w:rPr>
                <w:rFonts w:eastAsia="Calibri"/>
                <w:sz w:val="24"/>
                <w:szCs w:val="24"/>
              </w:rPr>
            </w:pPr>
            <w:r w:rsidRPr="007D528E">
              <w:rPr>
                <w:rFonts w:eastAsia="Calibri"/>
                <w:sz w:val="24"/>
                <w:szCs w:val="24"/>
              </w:rPr>
              <w:t>9</w:t>
            </w:r>
            <w:r w:rsidRPr="007D528E" w:rsidR="000B19D3">
              <w:rPr>
                <w:rFonts w:eastAsia="Calibri"/>
                <w:sz w:val="24"/>
                <w:szCs w:val="24"/>
              </w:rPr>
              <w:t>,</w:t>
            </w:r>
            <w:r w:rsidRPr="007D528E">
              <w:rPr>
                <w:rFonts w:eastAsia="Calibri"/>
                <w:sz w:val="24"/>
                <w:szCs w:val="24"/>
              </w:rPr>
              <w:t>13</w:t>
            </w:r>
            <w:r w:rsidRPr="007D528E" w:rsidR="000B19D3">
              <w:rPr>
                <w:rFonts w:eastAsia="Calibri"/>
                <w:sz w:val="24"/>
                <w:szCs w:val="24"/>
              </w:rPr>
              <w:t>0</w:t>
            </w:r>
          </w:p>
        </w:tc>
      </w:tr>
      <w:tr w14:paraId="0B5997A0" w14:textId="77777777">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29F6D347" w14:textId="77777777">
            <w:pPr>
              <w:spacing w:line="360" w:lineRule="auto"/>
              <w:rPr>
                <w:rFonts w:eastAsia="Calibri"/>
                <w:bCs/>
                <w:sz w:val="24"/>
                <w:szCs w:val="24"/>
              </w:rPr>
            </w:pPr>
            <w:r w:rsidRPr="007D528E">
              <w:rPr>
                <w:rFonts w:eastAsia="Calibri"/>
                <w:bCs/>
                <w:sz w:val="24"/>
                <w:szCs w:val="24"/>
              </w:rPr>
              <w:t>Freely Associated States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7D14127F"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06168BD3" w14:textId="77777777">
            <w:pPr>
              <w:spacing w:line="360" w:lineRule="auto"/>
              <w:jc w:val="center"/>
              <w:rPr>
                <w:rFonts w:eastAsia="Calibri"/>
                <w:bCs/>
                <w:sz w:val="24"/>
                <w:szCs w:val="24"/>
              </w:rPr>
            </w:pPr>
            <w:r w:rsidRPr="007D528E">
              <w:rPr>
                <w:rFonts w:eastAsia="Calibri"/>
                <w:bCs/>
                <w:sz w:val="24"/>
                <w:szCs w:val="24"/>
              </w:rPr>
              <w:t>3</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29FED088" w14:textId="1C397AFB">
            <w:pPr>
              <w:spacing w:line="360" w:lineRule="auto"/>
              <w:jc w:val="center"/>
              <w:rPr>
                <w:rFonts w:eastAsia="Calibri"/>
                <w:sz w:val="24"/>
                <w:szCs w:val="24"/>
              </w:rPr>
            </w:pPr>
            <w:r w:rsidRPr="007D528E">
              <w:rPr>
                <w:rFonts w:eastAsia="Calibri"/>
                <w:sz w:val="24"/>
                <w:szCs w:val="24"/>
              </w:rPr>
              <w:t>365</w:t>
            </w:r>
            <w:r w:rsidRPr="007D528E" w:rsidR="000B19D3">
              <w:rPr>
                <w:rFonts w:eastAsia="Calibri"/>
                <w:sz w:val="24"/>
                <w:szCs w:val="24"/>
              </w:rPr>
              <w:t>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2F92B1B2" w14:textId="77777777">
            <w:pPr>
              <w:spacing w:line="360" w:lineRule="auto"/>
              <w:jc w:val="center"/>
              <w:rPr>
                <w:rFonts w:eastAsia="Calibri"/>
                <w:sz w:val="24"/>
                <w:szCs w:val="24"/>
              </w:rPr>
            </w:pPr>
            <w:r w:rsidRPr="007D528E">
              <w:rPr>
                <w:rFonts w:eastAsia="Calibri"/>
                <w:sz w:val="24"/>
                <w:szCs w:val="24"/>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29B7CDA9" w14:textId="4E14023B">
            <w:pPr>
              <w:spacing w:line="360" w:lineRule="auto"/>
              <w:jc w:val="center"/>
              <w:rPr>
                <w:rFonts w:eastAsia="Calibri"/>
                <w:sz w:val="24"/>
                <w:szCs w:val="24"/>
              </w:rPr>
            </w:pPr>
            <w:r w:rsidRPr="007D528E">
              <w:rPr>
                <w:rFonts w:eastAsia="Calibri"/>
                <w:sz w:val="24"/>
                <w:szCs w:val="24"/>
              </w:rPr>
              <w:t>5</w:t>
            </w:r>
            <w:r w:rsidRPr="007D528E" w:rsidR="000B19D3">
              <w:rPr>
                <w:rFonts w:eastAsia="Calibri"/>
                <w:sz w:val="24"/>
                <w:szCs w:val="24"/>
              </w:rPr>
              <w:t>,</w:t>
            </w:r>
            <w:r w:rsidRPr="007D528E">
              <w:rPr>
                <w:rFonts w:eastAsia="Calibri"/>
                <w:sz w:val="24"/>
                <w:szCs w:val="24"/>
              </w:rPr>
              <w:t>48</w:t>
            </w:r>
            <w:r w:rsidRPr="007D528E" w:rsidR="000B19D3">
              <w:rPr>
                <w:rFonts w:eastAsia="Calibri"/>
                <w:sz w:val="24"/>
                <w:szCs w:val="24"/>
              </w:rPr>
              <w:t>0</w:t>
            </w:r>
          </w:p>
        </w:tc>
      </w:tr>
      <w:tr w14:paraId="7FA97C31" w14:textId="77777777">
        <w:tblPrEx>
          <w:tblW w:w="10273" w:type="dxa"/>
          <w:tblInd w:w="-185" w:type="dxa"/>
          <w:tblLook w:val="04A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071A96B1" w14:textId="77777777">
            <w:pPr>
              <w:spacing w:line="360" w:lineRule="auto"/>
              <w:rPr>
                <w:rFonts w:eastAsia="Calibri"/>
                <w:bCs/>
                <w:sz w:val="24"/>
                <w:szCs w:val="24"/>
              </w:rPr>
            </w:pPr>
            <w:r w:rsidRPr="007D528E">
              <w:rPr>
                <w:rFonts w:eastAsia="Calibri"/>
                <w:bCs/>
                <w:sz w:val="24"/>
                <w:szCs w:val="24"/>
              </w:rPr>
              <w:t>Cities</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2213B54E"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691F433B" w14:textId="77777777">
            <w:pPr>
              <w:spacing w:line="360" w:lineRule="auto"/>
              <w:jc w:val="center"/>
              <w:rPr>
                <w:rFonts w:eastAsia="Calibri"/>
                <w:bCs/>
                <w:sz w:val="24"/>
                <w:szCs w:val="24"/>
              </w:rPr>
            </w:pPr>
            <w:r w:rsidRPr="007D528E">
              <w:rPr>
                <w:rFonts w:eastAsia="Calibri"/>
                <w:bCs/>
                <w:sz w:val="24"/>
                <w:szCs w:val="24"/>
              </w:rPr>
              <w:t>2</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6F631CBA" w14:textId="642FB4A4">
            <w:pPr>
              <w:spacing w:line="360" w:lineRule="auto"/>
              <w:jc w:val="center"/>
              <w:rPr>
                <w:rFonts w:eastAsia="Calibri"/>
                <w:sz w:val="24"/>
                <w:szCs w:val="24"/>
              </w:rPr>
            </w:pPr>
            <w:r w:rsidRPr="007D528E">
              <w:rPr>
                <w:rFonts w:eastAsia="Calibri"/>
                <w:sz w:val="24"/>
                <w:szCs w:val="24"/>
              </w:rPr>
              <w:t>365</w:t>
            </w:r>
            <w:r w:rsidRPr="007D528E" w:rsidR="000B19D3">
              <w:rPr>
                <w:rFonts w:eastAsia="Calibri"/>
                <w:sz w:val="24"/>
                <w:szCs w:val="24"/>
              </w:rPr>
              <w:t>0</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4851F3CC" w14:textId="77777777">
            <w:pPr>
              <w:spacing w:line="360" w:lineRule="auto"/>
              <w:jc w:val="center"/>
              <w:rPr>
                <w:rFonts w:eastAsia="Calibri"/>
                <w:sz w:val="24"/>
                <w:szCs w:val="24"/>
              </w:rPr>
            </w:pPr>
            <w:r w:rsidRPr="007D528E">
              <w:rPr>
                <w:rFonts w:eastAsia="Calibri"/>
                <w:sz w:val="24"/>
                <w:szCs w:val="24"/>
              </w:rPr>
              <w:t>30/60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510881" w:rsidRPr="007D528E" w:rsidP="00510881" w14:paraId="0B02A610" w14:textId="39E45FD2">
            <w:pPr>
              <w:spacing w:line="360" w:lineRule="auto"/>
              <w:jc w:val="center"/>
              <w:rPr>
                <w:rFonts w:eastAsia="Calibri"/>
                <w:sz w:val="24"/>
                <w:szCs w:val="24"/>
              </w:rPr>
            </w:pPr>
            <w:r w:rsidRPr="007D528E">
              <w:rPr>
                <w:rFonts w:eastAsia="Calibri"/>
                <w:sz w:val="24"/>
                <w:szCs w:val="24"/>
              </w:rPr>
              <w:t>3</w:t>
            </w:r>
            <w:r w:rsidRPr="007D528E" w:rsidR="000B19D3">
              <w:rPr>
                <w:rFonts w:eastAsia="Calibri"/>
                <w:sz w:val="24"/>
                <w:szCs w:val="24"/>
              </w:rPr>
              <w:t>,</w:t>
            </w:r>
            <w:r w:rsidRPr="007D528E">
              <w:rPr>
                <w:rFonts w:eastAsia="Calibri"/>
                <w:sz w:val="24"/>
                <w:szCs w:val="24"/>
              </w:rPr>
              <w:t>65</w:t>
            </w:r>
            <w:r w:rsidRPr="007D528E" w:rsidR="000B19D3">
              <w:rPr>
                <w:rFonts w:eastAsia="Calibri"/>
                <w:sz w:val="24"/>
                <w:szCs w:val="24"/>
              </w:rPr>
              <w:t>0</w:t>
            </w:r>
          </w:p>
        </w:tc>
      </w:tr>
      <w:tr w14:paraId="280189F4" w14:textId="77777777">
        <w:tblPrEx>
          <w:tblW w:w="10273" w:type="dxa"/>
          <w:tblInd w:w="-185" w:type="dxa"/>
          <w:tblLook w:val="04A0"/>
        </w:tblPrEx>
        <w:tc>
          <w:tcPr>
            <w:tcW w:w="1620" w:type="dxa"/>
            <w:shd w:val="clear" w:color="auto" w:fill="auto"/>
            <w:vAlign w:val="center"/>
          </w:tcPr>
          <w:p w:rsidR="00510881" w:rsidRPr="007D528E" w:rsidP="00510881" w14:paraId="240E4F7A" w14:textId="77777777">
            <w:pPr>
              <w:spacing w:line="360" w:lineRule="auto"/>
              <w:rPr>
                <w:rFonts w:eastAsia="Calibri"/>
                <w:bCs/>
                <w:sz w:val="24"/>
                <w:szCs w:val="24"/>
              </w:rPr>
            </w:pPr>
            <w:r w:rsidRPr="007D528E">
              <w:rPr>
                <w:rFonts w:eastAsia="Calibri"/>
                <w:bCs/>
                <w:sz w:val="24"/>
                <w:szCs w:val="24"/>
              </w:rPr>
              <w:t>Total</w:t>
            </w:r>
          </w:p>
        </w:tc>
        <w:tc>
          <w:tcPr>
            <w:tcW w:w="7385" w:type="dxa"/>
            <w:gridSpan w:val="4"/>
            <w:shd w:val="clear" w:color="auto" w:fill="auto"/>
            <w:vAlign w:val="center"/>
          </w:tcPr>
          <w:p w:rsidR="00510881" w:rsidRPr="007D528E" w:rsidP="00510881" w14:paraId="540BAF8B" w14:textId="77777777">
            <w:pPr>
              <w:spacing w:line="360" w:lineRule="auto"/>
              <w:jc w:val="right"/>
              <w:rPr>
                <w:rFonts w:eastAsia="Calibri"/>
                <w:bCs/>
                <w:sz w:val="24"/>
                <w:szCs w:val="24"/>
              </w:rPr>
            </w:pPr>
          </w:p>
        </w:tc>
        <w:tc>
          <w:tcPr>
            <w:tcW w:w="1268" w:type="dxa"/>
            <w:shd w:val="clear" w:color="auto" w:fill="auto"/>
            <w:vAlign w:val="center"/>
          </w:tcPr>
          <w:p w:rsidR="00510881" w:rsidRPr="007D528E" w:rsidP="00510881" w14:paraId="5F5A587D" w14:textId="0B4E3530">
            <w:pPr>
              <w:spacing w:line="360" w:lineRule="auto"/>
              <w:jc w:val="center"/>
              <w:rPr>
                <w:rFonts w:eastAsia="Calibri"/>
                <w:sz w:val="24"/>
                <w:szCs w:val="24"/>
              </w:rPr>
            </w:pPr>
            <w:r w:rsidRPr="007D528E">
              <w:rPr>
                <w:rFonts w:eastAsia="Calibri"/>
                <w:sz w:val="24"/>
                <w:szCs w:val="24"/>
              </w:rPr>
              <w:t>109</w:t>
            </w:r>
            <w:r w:rsidRPr="007D528E" w:rsidR="000B19D3">
              <w:rPr>
                <w:rFonts w:eastAsia="Calibri"/>
                <w:sz w:val="24"/>
                <w:szCs w:val="24"/>
              </w:rPr>
              <w:t>,</w:t>
            </w:r>
            <w:r w:rsidRPr="007D528E">
              <w:rPr>
                <w:rFonts w:eastAsia="Calibri"/>
                <w:sz w:val="24"/>
                <w:szCs w:val="24"/>
              </w:rPr>
              <w:t>51</w:t>
            </w:r>
            <w:r w:rsidRPr="007D528E" w:rsidR="000B19D3">
              <w:rPr>
                <w:rFonts w:eastAsia="Calibri"/>
                <w:sz w:val="24"/>
                <w:szCs w:val="24"/>
              </w:rPr>
              <w:t>0</w:t>
            </w:r>
          </w:p>
        </w:tc>
      </w:tr>
    </w:tbl>
    <w:p w:rsidR="00207932" w:rsidRPr="007D528E" w:rsidP="00AD5A7E" w14:paraId="050F39B6" w14:textId="77777777">
      <w:pPr>
        <w:rPr>
          <w:rFonts w:eastAsia="Arial Unicode MS"/>
          <w:sz w:val="24"/>
          <w:szCs w:val="24"/>
          <w:u w:color="000000"/>
        </w:rPr>
      </w:pPr>
    </w:p>
    <w:p w:rsidR="00690F88" w:rsidRPr="007D528E" w:rsidP="00AD5A7E" w14:paraId="63A4F50E" w14:textId="3B3B71C6">
      <w:pPr>
        <w:rPr>
          <w:rFonts w:eastAsia="Arial Unicode MS"/>
          <w:sz w:val="24"/>
          <w:szCs w:val="24"/>
          <w:u w:color="000000"/>
        </w:rPr>
      </w:pPr>
      <w:r w:rsidRPr="007D528E">
        <w:rPr>
          <w:rFonts w:eastAsia="Arial Unicode MS"/>
          <w:sz w:val="24"/>
          <w:szCs w:val="24"/>
          <w:u w:color="000000"/>
        </w:rPr>
        <w:t>According to the U.S. Department of Labor, Bureau of Labor Statistics, Occupational Employment Statistics, May 202</w:t>
      </w:r>
      <w:r w:rsidRPr="007D528E" w:rsidR="00034466">
        <w:rPr>
          <w:rFonts w:eastAsia="Arial Unicode MS"/>
          <w:sz w:val="24"/>
          <w:szCs w:val="24"/>
          <w:u w:color="000000"/>
        </w:rPr>
        <w:t>3</w:t>
      </w:r>
      <w:r w:rsidRPr="007D528E">
        <w:rPr>
          <w:rFonts w:eastAsia="Arial Unicode MS"/>
          <w:sz w:val="24"/>
          <w:szCs w:val="24"/>
          <w:u w:color="000000"/>
        </w:rPr>
        <w:t xml:space="preserve"> National Occupational Employment and Wage Estimates for the United States, the estimated mean hourly wage for Computer Systems Analysts is $5</w:t>
      </w:r>
      <w:r w:rsidRPr="007D528E" w:rsidR="00034466">
        <w:rPr>
          <w:rFonts w:eastAsia="Arial Unicode MS"/>
          <w:sz w:val="24"/>
          <w:szCs w:val="24"/>
          <w:u w:color="000000"/>
        </w:rPr>
        <w:t>3</w:t>
      </w:r>
      <w:r w:rsidRPr="007D528E">
        <w:rPr>
          <w:rFonts w:eastAsia="Arial Unicode MS"/>
          <w:sz w:val="24"/>
          <w:szCs w:val="24"/>
          <w:u w:color="000000"/>
        </w:rPr>
        <w:t>.</w:t>
      </w:r>
      <w:r w:rsidRPr="007D528E" w:rsidR="00034466">
        <w:rPr>
          <w:rFonts w:eastAsia="Arial Unicode MS"/>
          <w:sz w:val="24"/>
          <w:szCs w:val="24"/>
          <w:u w:color="000000"/>
        </w:rPr>
        <w:t>2</w:t>
      </w:r>
      <w:r w:rsidRPr="007D528E">
        <w:rPr>
          <w:rFonts w:eastAsia="Arial Unicode MS"/>
          <w:sz w:val="24"/>
          <w:szCs w:val="24"/>
          <w:u w:color="000000"/>
        </w:rPr>
        <w:t>7 (https://www.bls.gov/oes/current/oes_nat.htm#15-0000). The estimated hourly wage for a Computer Systems Analyst is used for the submission of case surveillance data because this occupation represents the category of occupations held by the respondents that perform this activity. Using $5</w:t>
      </w:r>
      <w:r w:rsidRPr="007D528E" w:rsidR="00270CFD">
        <w:rPr>
          <w:rFonts w:eastAsia="Arial Unicode MS"/>
          <w:sz w:val="24"/>
          <w:szCs w:val="24"/>
          <w:u w:color="000000"/>
        </w:rPr>
        <w:t>3</w:t>
      </w:r>
      <w:r w:rsidRPr="007D528E">
        <w:rPr>
          <w:rFonts w:eastAsia="Arial Unicode MS"/>
          <w:sz w:val="24"/>
          <w:szCs w:val="24"/>
          <w:u w:color="000000"/>
        </w:rPr>
        <w:t>.7</w:t>
      </w:r>
      <w:r w:rsidRPr="007D528E" w:rsidR="00270CFD">
        <w:rPr>
          <w:rFonts w:eastAsia="Arial Unicode MS"/>
          <w:sz w:val="24"/>
          <w:szCs w:val="24"/>
          <w:u w:color="000000"/>
        </w:rPr>
        <w:t>2</w:t>
      </w:r>
      <w:r w:rsidRPr="007D528E">
        <w:rPr>
          <w:rFonts w:eastAsia="Arial Unicode MS"/>
          <w:sz w:val="24"/>
          <w:szCs w:val="24"/>
          <w:u w:color="000000"/>
        </w:rPr>
        <w:t xml:space="preserve"> as an average hourly wage rate for Computer Systems Analysts, it is estimated that the burden to submit case data for one year for 60 respondents is 109</w:t>
      </w:r>
      <w:r w:rsidRPr="007D528E" w:rsidR="004D08B1">
        <w:rPr>
          <w:rFonts w:eastAsia="Arial Unicode MS"/>
          <w:sz w:val="24"/>
          <w:szCs w:val="24"/>
          <w:u w:color="000000"/>
        </w:rPr>
        <w:t>,</w:t>
      </w:r>
      <w:r w:rsidRPr="007D528E">
        <w:rPr>
          <w:rFonts w:eastAsia="Arial Unicode MS"/>
          <w:sz w:val="24"/>
          <w:szCs w:val="24"/>
          <w:u w:color="000000"/>
        </w:rPr>
        <w:t>51</w:t>
      </w:r>
      <w:r w:rsidRPr="007D528E" w:rsidR="009E2536">
        <w:rPr>
          <w:rFonts w:eastAsia="Arial Unicode MS"/>
          <w:sz w:val="24"/>
          <w:szCs w:val="24"/>
          <w:u w:color="000000"/>
        </w:rPr>
        <w:t>0</w:t>
      </w:r>
      <w:r w:rsidRPr="007D528E">
        <w:rPr>
          <w:rFonts w:eastAsia="Arial Unicode MS"/>
          <w:sz w:val="24"/>
          <w:szCs w:val="24"/>
          <w:u w:color="000000"/>
        </w:rPr>
        <w:t xml:space="preserve"> hours at a national cost of </w:t>
      </w:r>
      <w:r w:rsidRPr="007D528E" w:rsidR="00FC05BB">
        <w:rPr>
          <w:rFonts w:eastAsia="Arial Unicode MS"/>
          <w:sz w:val="24"/>
          <w:szCs w:val="24"/>
          <w:u w:color="000000"/>
        </w:rPr>
        <w:t>$5,833,598</w:t>
      </w:r>
      <w:r w:rsidRPr="007D528E" w:rsidR="00E652CB">
        <w:rPr>
          <w:rFonts w:eastAsia="Arial Unicode MS"/>
          <w:sz w:val="24"/>
          <w:szCs w:val="24"/>
          <w:u w:color="000000"/>
        </w:rPr>
        <w:t>.</w:t>
      </w:r>
      <w:r w:rsidRPr="007D528E">
        <w:rPr>
          <w:rFonts w:eastAsia="Arial Unicode MS"/>
          <w:sz w:val="24"/>
          <w:szCs w:val="24"/>
          <w:u w:color="000000"/>
        </w:rPr>
        <w:t xml:space="preserve">   </w:t>
      </w:r>
    </w:p>
    <w:p w:rsidR="00690F88" w:rsidRPr="007D528E" w:rsidP="00704CF8" w14:paraId="791A8F51" w14:textId="77777777">
      <w:pPr>
        <w:ind w:left="720"/>
        <w:rPr>
          <w:rFonts w:eastAsia="Arial Unicode MS"/>
          <w:sz w:val="24"/>
          <w:szCs w:val="24"/>
          <w:u w:color="000000"/>
        </w:rPr>
      </w:pPr>
    </w:p>
    <w:p w:rsidR="00704CF8" w:rsidRPr="007D528E" w:rsidP="00704CF8" w14:paraId="73448870" w14:textId="4A59FBB8">
      <w:pPr>
        <w:ind w:left="720"/>
        <w:rPr>
          <w:rFonts w:eastAsia="Arial Unicode MS"/>
          <w:sz w:val="24"/>
          <w:szCs w:val="24"/>
          <w:u w:color="000000"/>
        </w:rPr>
      </w:pPr>
      <w:r w:rsidRPr="007D528E">
        <w:rPr>
          <w:rFonts w:eastAsia="Arial Unicode MS"/>
          <w:sz w:val="24"/>
          <w:szCs w:val="24"/>
          <w:u w:color="000000"/>
        </w:rPr>
        <w:t xml:space="preserve"> </w:t>
      </w:r>
      <w:r w:rsidRPr="007D528E" w:rsidR="0088103B">
        <w:rPr>
          <w:rFonts w:eastAsia="Arial Unicode MS"/>
          <w:sz w:val="24"/>
          <w:szCs w:val="24"/>
          <w:u w:color="000000"/>
        </w:rPr>
        <w:t xml:space="preserve">Table </w:t>
      </w:r>
      <w:r w:rsidRPr="007D528E" w:rsidR="00157D2C">
        <w:rPr>
          <w:rFonts w:eastAsia="Arial Unicode MS"/>
          <w:sz w:val="24"/>
          <w:szCs w:val="24"/>
          <w:u w:color="000000"/>
        </w:rPr>
        <w:t>B.</w:t>
      </w:r>
      <w:r w:rsidRPr="007D528E" w:rsidR="0088103B">
        <w:rPr>
          <w:rFonts w:eastAsia="Arial Unicode MS"/>
          <w:sz w:val="24"/>
          <w:szCs w:val="24"/>
          <w:u w:color="000000"/>
        </w:rPr>
        <w:t xml:space="preserve"> Estimated Annualized Burden Cost </w:t>
      </w:r>
    </w:p>
    <w:p w:rsidR="00704CF8" w:rsidRPr="007D528E" w:rsidP="00704CF8" w14:paraId="08B45802" w14:textId="77777777">
      <w:pPr>
        <w:ind w:left="720"/>
        <w:rPr>
          <w:rFonts w:eastAsia="Arial Unicode MS"/>
          <w:sz w:val="24"/>
          <w:szCs w:val="24"/>
          <w:u w:color="000000"/>
        </w:rPr>
      </w:pP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
        <w:gridCol w:w="1337"/>
        <w:gridCol w:w="1443"/>
        <w:gridCol w:w="1433"/>
        <w:gridCol w:w="1235"/>
        <w:gridCol w:w="996"/>
        <w:gridCol w:w="971"/>
        <w:gridCol w:w="1494"/>
      </w:tblGrid>
      <w:tr w14:paraId="51DB6346" w14:textId="7BD3F0A6" w:rsidTr="00AB29B3">
        <w:tblPrEx>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16" w:type="dxa"/>
            <w:shd w:val="clear" w:color="auto" w:fill="auto"/>
          </w:tcPr>
          <w:p w:rsidR="00694168" w:rsidRPr="007D528E" w14:paraId="22F6A7F6" w14:textId="77777777">
            <w:pPr>
              <w:spacing w:line="360" w:lineRule="auto"/>
              <w:jc w:val="center"/>
              <w:rPr>
                <w:rFonts w:eastAsia="Calibri"/>
                <w:bCs/>
                <w:sz w:val="24"/>
                <w:szCs w:val="24"/>
              </w:rPr>
            </w:pPr>
            <w:r w:rsidRPr="007D528E">
              <w:rPr>
                <w:rFonts w:eastAsia="Calibri"/>
                <w:bCs/>
                <w:sz w:val="24"/>
                <w:szCs w:val="24"/>
              </w:rPr>
              <w:t>Type of Respondent</w:t>
            </w:r>
          </w:p>
        </w:tc>
        <w:tc>
          <w:tcPr>
            <w:tcW w:w="1296" w:type="dxa"/>
            <w:shd w:val="clear" w:color="auto" w:fill="auto"/>
          </w:tcPr>
          <w:p w:rsidR="00694168" w:rsidRPr="007D528E" w14:paraId="6B963E3D" w14:textId="77777777">
            <w:pPr>
              <w:spacing w:line="360" w:lineRule="auto"/>
              <w:jc w:val="center"/>
              <w:rPr>
                <w:rFonts w:eastAsia="Calibri"/>
                <w:bCs/>
                <w:sz w:val="24"/>
                <w:szCs w:val="24"/>
              </w:rPr>
            </w:pPr>
            <w:r w:rsidRPr="007D528E">
              <w:rPr>
                <w:rFonts w:eastAsia="Calibri"/>
                <w:bCs/>
                <w:sz w:val="24"/>
                <w:szCs w:val="24"/>
              </w:rPr>
              <w:t>Form Name</w:t>
            </w:r>
          </w:p>
        </w:tc>
        <w:tc>
          <w:tcPr>
            <w:tcW w:w="1424" w:type="dxa"/>
            <w:shd w:val="clear" w:color="auto" w:fill="auto"/>
          </w:tcPr>
          <w:p w:rsidR="00694168" w:rsidRPr="007D528E" w14:paraId="7DDE9B00" w14:textId="77777777">
            <w:pPr>
              <w:spacing w:line="360" w:lineRule="auto"/>
              <w:jc w:val="center"/>
              <w:rPr>
                <w:rFonts w:eastAsia="Calibri"/>
                <w:bCs/>
                <w:sz w:val="24"/>
                <w:szCs w:val="24"/>
              </w:rPr>
            </w:pPr>
            <w:r w:rsidRPr="007D528E">
              <w:rPr>
                <w:rFonts w:eastAsia="Calibri"/>
                <w:bCs/>
                <w:sz w:val="24"/>
                <w:szCs w:val="24"/>
              </w:rPr>
              <w:t>Number of Respondents</w:t>
            </w:r>
          </w:p>
        </w:tc>
        <w:tc>
          <w:tcPr>
            <w:tcW w:w="1454" w:type="dxa"/>
            <w:shd w:val="clear" w:color="auto" w:fill="auto"/>
          </w:tcPr>
          <w:p w:rsidR="00694168" w:rsidRPr="007D528E" w14:paraId="5FED3E1E" w14:textId="77777777">
            <w:pPr>
              <w:spacing w:line="360" w:lineRule="auto"/>
              <w:jc w:val="center"/>
              <w:rPr>
                <w:rFonts w:eastAsia="Calibri"/>
                <w:bCs/>
                <w:sz w:val="24"/>
                <w:szCs w:val="24"/>
              </w:rPr>
            </w:pPr>
            <w:r w:rsidRPr="007D528E">
              <w:rPr>
                <w:rFonts w:eastAsia="Calibri"/>
                <w:bCs/>
                <w:sz w:val="24"/>
                <w:szCs w:val="24"/>
              </w:rPr>
              <w:t>Number of Responses per Respondent</w:t>
            </w:r>
          </w:p>
        </w:tc>
        <w:tc>
          <w:tcPr>
            <w:tcW w:w="1260" w:type="dxa"/>
            <w:shd w:val="clear" w:color="auto" w:fill="auto"/>
          </w:tcPr>
          <w:p w:rsidR="00694168" w:rsidRPr="007D528E" w14:paraId="2B74ED20" w14:textId="77777777">
            <w:pPr>
              <w:spacing w:line="360" w:lineRule="auto"/>
              <w:jc w:val="center"/>
              <w:rPr>
                <w:rFonts w:eastAsia="Calibri"/>
                <w:bCs/>
                <w:sz w:val="24"/>
                <w:szCs w:val="24"/>
              </w:rPr>
            </w:pPr>
            <w:r w:rsidRPr="007D528E">
              <w:rPr>
                <w:rFonts w:eastAsia="Calibri"/>
                <w:bCs/>
                <w:sz w:val="24"/>
                <w:szCs w:val="24"/>
              </w:rPr>
              <w:t>Average Burden per Response (in hours)</w:t>
            </w:r>
          </w:p>
        </w:tc>
        <w:tc>
          <w:tcPr>
            <w:tcW w:w="990" w:type="dxa"/>
            <w:shd w:val="clear" w:color="auto" w:fill="auto"/>
          </w:tcPr>
          <w:p w:rsidR="00694168" w:rsidRPr="007D528E" w14:paraId="3FB9B180" w14:textId="77777777">
            <w:pPr>
              <w:spacing w:line="360" w:lineRule="auto"/>
              <w:jc w:val="center"/>
              <w:rPr>
                <w:rFonts w:eastAsia="Calibri"/>
                <w:bCs/>
                <w:sz w:val="24"/>
                <w:szCs w:val="24"/>
              </w:rPr>
            </w:pPr>
            <w:r w:rsidRPr="007D528E">
              <w:rPr>
                <w:rFonts w:eastAsia="Calibri"/>
                <w:bCs/>
                <w:sz w:val="24"/>
                <w:szCs w:val="24"/>
              </w:rPr>
              <w:t>Total Burden (in hours)</w:t>
            </w:r>
          </w:p>
        </w:tc>
        <w:tc>
          <w:tcPr>
            <w:tcW w:w="990" w:type="dxa"/>
          </w:tcPr>
          <w:p w:rsidR="00694168" w:rsidRPr="007D528E" w14:paraId="0D39BA42" w14:textId="246341C8">
            <w:pPr>
              <w:spacing w:line="360" w:lineRule="auto"/>
              <w:jc w:val="center"/>
              <w:rPr>
                <w:rFonts w:eastAsia="Calibri"/>
                <w:bCs/>
                <w:sz w:val="24"/>
                <w:szCs w:val="24"/>
              </w:rPr>
            </w:pPr>
            <w:r w:rsidRPr="007D528E">
              <w:rPr>
                <w:rFonts w:eastAsia="Calibri"/>
                <w:bCs/>
                <w:sz w:val="24"/>
                <w:szCs w:val="24"/>
              </w:rPr>
              <w:t>Hourly Wage Rate</w:t>
            </w:r>
          </w:p>
        </w:tc>
        <w:tc>
          <w:tcPr>
            <w:tcW w:w="1530" w:type="dxa"/>
          </w:tcPr>
          <w:p w:rsidR="00694168" w:rsidRPr="007D528E" w14:paraId="0CC3F7EF" w14:textId="6BFD4763">
            <w:pPr>
              <w:spacing w:line="360" w:lineRule="auto"/>
              <w:jc w:val="center"/>
              <w:rPr>
                <w:rFonts w:eastAsia="Calibri"/>
                <w:bCs/>
                <w:sz w:val="24"/>
                <w:szCs w:val="24"/>
              </w:rPr>
            </w:pPr>
            <w:r w:rsidRPr="007D528E">
              <w:rPr>
                <w:rFonts w:eastAsia="Calibri"/>
                <w:bCs/>
                <w:sz w:val="24"/>
                <w:szCs w:val="24"/>
              </w:rPr>
              <w:t>Respondent Cost</w:t>
            </w:r>
          </w:p>
        </w:tc>
      </w:tr>
      <w:tr w14:paraId="6427C13E" w14:textId="2A8CC586" w:rsidTr="00AB29B3">
        <w:tblPrEx>
          <w:tblW w:w="10260" w:type="dxa"/>
          <w:tblInd w:w="-185" w:type="dxa"/>
          <w:tblLook w:val="04A0"/>
        </w:tblPrEx>
        <w:tc>
          <w:tcPr>
            <w:tcW w:w="1316"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687C6438" w14:textId="77777777">
            <w:pPr>
              <w:spacing w:line="360" w:lineRule="auto"/>
              <w:rPr>
                <w:rFonts w:eastAsia="Calibri"/>
                <w:bCs/>
                <w:sz w:val="24"/>
                <w:szCs w:val="24"/>
              </w:rPr>
            </w:pPr>
            <w:r w:rsidRPr="007D528E">
              <w:rPr>
                <w:rFonts w:eastAsia="Calibri"/>
                <w:bCs/>
                <w:sz w:val="24"/>
                <w:szCs w:val="24"/>
              </w:rPr>
              <w:t>States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071DB8D9"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1A492404" w14:textId="77777777">
            <w:pPr>
              <w:spacing w:line="360" w:lineRule="auto"/>
              <w:jc w:val="center"/>
              <w:rPr>
                <w:rFonts w:eastAsia="Calibri"/>
                <w:bCs/>
                <w:sz w:val="24"/>
                <w:szCs w:val="24"/>
              </w:rPr>
            </w:pPr>
            <w:r w:rsidRPr="007D528E">
              <w:rPr>
                <w:rFonts w:eastAsia="Calibri"/>
                <w:bCs/>
                <w:sz w:val="24"/>
                <w:szCs w:val="24"/>
              </w:rPr>
              <w:t>50</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02F7765D" w14:textId="77777777">
            <w:pPr>
              <w:spacing w:line="360" w:lineRule="auto"/>
              <w:jc w:val="center"/>
              <w:rPr>
                <w:rFonts w:eastAsia="Calibri"/>
                <w:sz w:val="24"/>
                <w:szCs w:val="24"/>
              </w:rPr>
            </w:pPr>
            <w:r w:rsidRPr="007D528E">
              <w:rPr>
                <w:rFonts w:eastAsia="Calibri"/>
                <w:sz w:val="24"/>
                <w:szCs w:val="24"/>
              </w:rPr>
              <w:t>365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6A847725" w14:textId="77777777">
            <w:pPr>
              <w:spacing w:line="360" w:lineRule="auto"/>
              <w:jc w:val="center"/>
              <w:rPr>
                <w:rFonts w:eastAsia="Calibri"/>
                <w:sz w:val="24"/>
                <w:szCs w:val="24"/>
              </w:rPr>
            </w:pPr>
            <w:r w:rsidRPr="007D528E">
              <w:rPr>
                <w:rFonts w:eastAsia="Calibri"/>
                <w:sz w:val="24"/>
                <w:szCs w:val="24"/>
              </w:rPr>
              <w:t>30/60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76DBAA78" w14:textId="4BC9B9FB">
            <w:pPr>
              <w:spacing w:line="360" w:lineRule="auto"/>
              <w:jc w:val="center"/>
              <w:rPr>
                <w:rFonts w:eastAsia="Calibri"/>
                <w:sz w:val="24"/>
                <w:szCs w:val="24"/>
              </w:rPr>
            </w:pPr>
            <w:r w:rsidRPr="007D528E">
              <w:rPr>
                <w:rFonts w:eastAsia="Calibri"/>
                <w:sz w:val="24"/>
                <w:szCs w:val="24"/>
              </w:rPr>
              <w:t>9,125</w:t>
            </w:r>
            <w:r w:rsidRPr="007D528E" w:rsidR="00C104F1">
              <w:rPr>
                <w:rFonts w:eastAsia="Calibr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586CA5" w:rsidRPr="007D528E" w:rsidP="00586CA5" w14:paraId="6BAAC0FC" w14:textId="74C4053F">
            <w:pPr>
              <w:spacing w:line="360" w:lineRule="auto"/>
              <w:jc w:val="center"/>
              <w:rPr>
                <w:rFonts w:eastAsia="Calibri"/>
                <w:sz w:val="24"/>
                <w:szCs w:val="24"/>
              </w:rPr>
            </w:pPr>
            <w:r w:rsidRPr="007D528E">
              <w:rPr>
                <w:sz w:val="24"/>
                <w:szCs w:val="24"/>
              </w:rPr>
              <w:t>$53.27</w:t>
            </w:r>
          </w:p>
        </w:tc>
        <w:tc>
          <w:tcPr>
            <w:tcW w:w="1530" w:type="dxa"/>
            <w:tcBorders>
              <w:top w:val="single" w:sz="4" w:space="0" w:color="auto"/>
              <w:left w:val="single" w:sz="4" w:space="0" w:color="auto"/>
              <w:bottom w:val="single" w:sz="4" w:space="0" w:color="auto"/>
              <w:right w:val="single" w:sz="4" w:space="0" w:color="auto"/>
            </w:tcBorders>
          </w:tcPr>
          <w:p w:rsidR="00ED2B8E" w:rsidRPr="007D528E" w:rsidP="00ED2B8E" w14:paraId="64187280" w14:textId="77777777">
            <w:pPr>
              <w:spacing w:line="360" w:lineRule="auto"/>
              <w:jc w:val="center"/>
              <w:rPr>
                <w:rFonts w:eastAsia="Calibri"/>
                <w:sz w:val="24"/>
                <w:szCs w:val="24"/>
              </w:rPr>
            </w:pPr>
            <w:r w:rsidRPr="007D528E">
              <w:rPr>
                <w:rFonts w:eastAsia="Calibri"/>
                <w:sz w:val="24"/>
                <w:szCs w:val="24"/>
              </w:rPr>
              <w:t>$4,860,888</w:t>
            </w:r>
          </w:p>
          <w:p w:rsidR="00586CA5" w:rsidRPr="007D528E" w:rsidP="00ED2B8E" w14:paraId="75827600" w14:textId="2AE05A4C">
            <w:pPr>
              <w:spacing w:line="360" w:lineRule="auto"/>
              <w:jc w:val="center"/>
              <w:rPr>
                <w:rFonts w:eastAsia="Calibri"/>
                <w:sz w:val="24"/>
                <w:szCs w:val="24"/>
              </w:rPr>
            </w:pPr>
          </w:p>
        </w:tc>
      </w:tr>
      <w:tr w14:paraId="5EAA85C2" w14:textId="491FB751" w:rsidTr="00AB29B3">
        <w:tblPrEx>
          <w:tblW w:w="10260" w:type="dxa"/>
          <w:tblInd w:w="-185" w:type="dxa"/>
          <w:tblLook w:val="04A0"/>
        </w:tblPrEx>
        <w:tc>
          <w:tcPr>
            <w:tcW w:w="1316"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642D46E8" w14:textId="77777777">
            <w:pPr>
              <w:spacing w:line="360" w:lineRule="auto"/>
              <w:rPr>
                <w:rFonts w:eastAsia="Calibri"/>
                <w:bCs/>
                <w:sz w:val="24"/>
                <w:szCs w:val="24"/>
              </w:rPr>
            </w:pPr>
            <w:r w:rsidRPr="007D528E">
              <w:rPr>
                <w:rFonts w:eastAsia="Calibri"/>
                <w:bCs/>
                <w:sz w:val="24"/>
                <w:szCs w:val="24"/>
              </w:rPr>
              <w:t>Territories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380614E3"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5C5C23CD" w14:textId="77777777">
            <w:pPr>
              <w:spacing w:line="360" w:lineRule="auto"/>
              <w:jc w:val="center"/>
              <w:rPr>
                <w:rFonts w:eastAsia="Calibri"/>
                <w:bCs/>
                <w:sz w:val="24"/>
                <w:szCs w:val="24"/>
              </w:rPr>
            </w:pPr>
            <w:r w:rsidRPr="007D528E">
              <w:rPr>
                <w:rFonts w:eastAsia="Calibri"/>
                <w:bCs/>
                <w:sz w:val="24"/>
                <w:szCs w:val="24"/>
              </w:rPr>
              <w:t>5</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55D6596C" w14:textId="77777777">
            <w:pPr>
              <w:spacing w:line="360" w:lineRule="auto"/>
              <w:jc w:val="center"/>
              <w:rPr>
                <w:rFonts w:eastAsia="Calibri"/>
                <w:sz w:val="24"/>
                <w:szCs w:val="24"/>
              </w:rPr>
            </w:pPr>
            <w:r w:rsidRPr="007D528E">
              <w:rPr>
                <w:rFonts w:eastAsia="Calibri"/>
                <w:sz w:val="24"/>
                <w:szCs w:val="24"/>
              </w:rPr>
              <w:t>365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1B3157EF" w14:textId="77777777">
            <w:pPr>
              <w:spacing w:line="360" w:lineRule="auto"/>
              <w:jc w:val="center"/>
              <w:rPr>
                <w:rFonts w:eastAsia="Calibri"/>
                <w:sz w:val="24"/>
                <w:szCs w:val="24"/>
              </w:rPr>
            </w:pPr>
            <w:r w:rsidRPr="007D528E">
              <w:rPr>
                <w:rFonts w:eastAsia="Calibri"/>
                <w:sz w:val="24"/>
                <w:szCs w:val="24"/>
              </w:rPr>
              <w:t>30/60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4F071B2E" w14:textId="14F0BD09">
            <w:pPr>
              <w:spacing w:line="360" w:lineRule="auto"/>
              <w:jc w:val="center"/>
              <w:rPr>
                <w:rFonts w:eastAsia="Calibri"/>
                <w:sz w:val="24"/>
                <w:szCs w:val="24"/>
              </w:rPr>
            </w:pPr>
            <w:r w:rsidRPr="007D528E">
              <w:rPr>
                <w:rFonts w:eastAsia="Calibri"/>
                <w:sz w:val="24"/>
                <w:szCs w:val="24"/>
              </w:rPr>
              <w:t>913</w:t>
            </w:r>
            <w:r w:rsidRPr="007D528E" w:rsidR="00C104F1">
              <w:rPr>
                <w:rFonts w:eastAsia="Calibr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586CA5" w:rsidRPr="007D528E" w:rsidP="00586CA5" w14:paraId="5A06F6A5" w14:textId="64ECFCD3">
            <w:pPr>
              <w:spacing w:line="360" w:lineRule="auto"/>
              <w:jc w:val="center"/>
              <w:rPr>
                <w:rFonts w:eastAsia="Calibri"/>
                <w:sz w:val="24"/>
                <w:szCs w:val="24"/>
              </w:rPr>
            </w:pPr>
            <w:r w:rsidRPr="007D528E">
              <w:rPr>
                <w:sz w:val="24"/>
                <w:szCs w:val="24"/>
              </w:rPr>
              <w:t>$53.27</w:t>
            </w:r>
          </w:p>
        </w:tc>
        <w:tc>
          <w:tcPr>
            <w:tcW w:w="1530" w:type="dxa"/>
            <w:tcBorders>
              <w:top w:val="single" w:sz="4" w:space="0" w:color="auto"/>
              <w:left w:val="single" w:sz="4" w:space="0" w:color="auto"/>
              <w:bottom w:val="single" w:sz="4" w:space="0" w:color="auto"/>
              <w:right w:val="single" w:sz="4" w:space="0" w:color="auto"/>
            </w:tcBorders>
          </w:tcPr>
          <w:p w:rsidR="00ED2B8E" w:rsidRPr="007D528E" w:rsidP="00ED2B8E" w14:paraId="3C639C89" w14:textId="77777777">
            <w:pPr>
              <w:spacing w:line="360" w:lineRule="auto"/>
              <w:jc w:val="center"/>
              <w:rPr>
                <w:rFonts w:eastAsia="Calibri"/>
                <w:sz w:val="24"/>
                <w:szCs w:val="24"/>
              </w:rPr>
            </w:pPr>
            <w:r w:rsidRPr="007D528E">
              <w:rPr>
                <w:rFonts w:eastAsia="Calibri"/>
                <w:sz w:val="24"/>
                <w:szCs w:val="24"/>
              </w:rPr>
              <w:t>$486,355</w:t>
            </w:r>
          </w:p>
          <w:p w:rsidR="00586CA5" w:rsidRPr="007D528E" w:rsidP="00586CA5" w14:paraId="60C87F75" w14:textId="72335156">
            <w:pPr>
              <w:spacing w:line="360" w:lineRule="auto"/>
              <w:jc w:val="center"/>
              <w:rPr>
                <w:rFonts w:eastAsia="Calibri"/>
                <w:sz w:val="24"/>
                <w:szCs w:val="24"/>
              </w:rPr>
            </w:pPr>
          </w:p>
        </w:tc>
      </w:tr>
      <w:tr w14:paraId="1CBE0CF9" w14:textId="64B6C864" w:rsidTr="00AB29B3">
        <w:tblPrEx>
          <w:tblW w:w="10260" w:type="dxa"/>
          <w:tblInd w:w="-185" w:type="dxa"/>
          <w:tblLook w:val="04A0"/>
        </w:tblPrEx>
        <w:tc>
          <w:tcPr>
            <w:tcW w:w="1316"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4EDA3958" w14:textId="77777777">
            <w:pPr>
              <w:spacing w:line="360" w:lineRule="auto"/>
              <w:rPr>
                <w:rFonts w:eastAsia="Calibri"/>
                <w:bCs/>
                <w:sz w:val="24"/>
                <w:szCs w:val="24"/>
              </w:rPr>
            </w:pPr>
            <w:r w:rsidRPr="007D528E">
              <w:rPr>
                <w:rFonts w:eastAsia="Calibri"/>
                <w:bCs/>
                <w:sz w:val="24"/>
                <w:szCs w:val="24"/>
              </w:rPr>
              <w:t>Freely Associated States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24D6C4F4"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5E4E9244" w14:textId="77777777">
            <w:pPr>
              <w:spacing w:line="360" w:lineRule="auto"/>
              <w:jc w:val="center"/>
              <w:rPr>
                <w:rFonts w:eastAsia="Calibri"/>
                <w:bCs/>
                <w:sz w:val="24"/>
                <w:szCs w:val="24"/>
              </w:rPr>
            </w:pPr>
            <w:r w:rsidRPr="007D528E">
              <w:rPr>
                <w:rFonts w:eastAsia="Calibri"/>
                <w:bCs/>
                <w:sz w:val="24"/>
                <w:szCs w:val="24"/>
              </w:rPr>
              <w:t>3</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074E1B70" w14:textId="77777777">
            <w:pPr>
              <w:spacing w:line="360" w:lineRule="auto"/>
              <w:jc w:val="center"/>
              <w:rPr>
                <w:rFonts w:eastAsia="Calibri"/>
                <w:sz w:val="24"/>
                <w:szCs w:val="24"/>
              </w:rPr>
            </w:pPr>
            <w:r w:rsidRPr="007D528E">
              <w:rPr>
                <w:rFonts w:eastAsia="Calibri"/>
                <w:sz w:val="24"/>
                <w:szCs w:val="24"/>
              </w:rPr>
              <w:t>365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5A7F5E45" w14:textId="77777777">
            <w:pPr>
              <w:spacing w:line="360" w:lineRule="auto"/>
              <w:jc w:val="center"/>
              <w:rPr>
                <w:rFonts w:eastAsia="Calibri"/>
                <w:sz w:val="24"/>
                <w:szCs w:val="24"/>
              </w:rPr>
            </w:pPr>
            <w:r w:rsidRPr="007D528E">
              <w:rPr>
                <w:rFonts w:eastAsia="Calibri"/>
                <w:sz w:val="24"/>
                <w:szCs w:val="24"/>
              </w:rPr>
              <w:t>30/60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63505AF3" w14:textId="0848353E">
            <w:pPr>
              <w:spacing w:line="360" w:lineRule="auto"/>
              <w:jc w:val="center"/>
              <w:rPr>
                <w:rFonts w:eastAsia="Calibri"/>
                <w:sz w:val="24"/>
                <w:szCs w:val="24"/>
              </w:rPr>
            </w:pPr>
            <w:r w:rsidRPr="007D528E">
              <w:rPr>
                <w:rFonts w:eastAsia="Calibri"/>
                <w:sz w:val="24"/>
                <w:szCs w:val="24"/>
              </w:rPr>
              <w:t>5</w:t>
            </w:r>
            <w:r w:rsidRPr="007D528E" w:rsidR="00C42EB4">
              <w:rPr>
                <w:rFonts w:eastAsia="Calibri"/>
                <w:sz w:val="24"/>
                <w:szCs w:val="24"/>
              </w:rPr>
              <w:t>,</w:t>
            </w:r>
            <w:r w:rsidRPr="007D528E">
              <w:rPr>
                <w:rFonts w:eastAsia="Calibri"/>
                <w:sz w:val="24"/>
                <w:szCs w:val="24"/>
              </w:rPr>
              <w:t>48</w:t>
            </w:r>
            <w:r w:rsidRPr="007D528E" w:rsidR="00C42EB4">
              <w:rPr>
                <w:rFonts w:eastAsia="Calibr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586CA5" w:rsidRPr="007D528E" w:rsidP="00586CA5" w14:paraId="5DDD3A63" w14:textId="50DE11C6">
            <w:pPr>
              <w:spacing w:line="360" w:lineRule="auto"/>
              <w:jc w:val="center"/>
              <w:rPr>
                <w:rFonts w:eastAsia="Calibri"/>
                <w:sz w:val="24"/>
                <w:szCs w:val="24"/>
              </w:rPr>
            </w:pPr>
            <w:r w:rsidRPr="007D528E">
              <w:rPr>
                <w:sz w:val="24"/>
                <w:szCs w:val="24"/>
              </w:rPr>
              <w:t>$53.27</w:t>
            </w:r>
          </w:p>
        </w:tc>
        <w:tc>
          <w:tcPr>
            <w:tcW w:w="1530" w:type="dxa"/>
            <w:tcBorders>
              <w:top w:val="single" w:sz="4" w:space="0" w:color="auto"/>
              <w:left w:val="single" w:sz="4" w:space="0" w:color="auto"/>
              <w:bottom w:val="single" w:sz="4" w:space="0" w:color="auto"/>
              <w:right w:val="single" w:sz="4" w:space="0" w:color="auto"/>
            </w:tcBorders>
          </w:tcPr>
          <w:p w:rsidR="00ED2B8E" w:rsidRPr="007D528E" w:rsidP="00ED2B8E" w14:paraId="631EF17E" w14:textId="77777777">
            <w:pPr>
              <w:spacing w:line="360" w:lineRule="auto"/>
              <w:jc w:val="center"/>
              <w:rPr>
                <w:rFonts w:eastAsia="Calibri"/>
                <w:sz w:val="24"/>
                <w:szCs w:val="24"/>
              </w:rPr>
            </w:pPr>
            <w:r w:rsidRPr="007D528E">
              <w:rPr>
                <w:rFonts w:eastAsia="Calibri"/>
                <w:sz w:val="24"/>
                <w:szCs w:val="24"/>
              </w:rPr>
              <w:t>$291,920</w:t>
            </w:r>
          </w:p>
          <w:p w:rsidR="00586CA5" w:rsidRPr="007D528E" w:rsidP="00586CA5" w14:paraId="53329DA3" w14:textId="35C44D39">
            <w:pPr>
              <w:spacing w:line="360" w:lineRule="auto"/>
              <w:jc w:val="center"/>
              <w:rPr>
                <w:rFonts w:eastAsia="Calibri"/>
                <w:sz w:val="24"/>
                <w:szCs w:val="24"/>
              </w:rPr>
            </w:pPr>
          </w:p>
        </w:tc>
      </w:tr>
      <w:tr w14:paraId="1F25A56A" w14:textId="535FDF9A" w:rsidTr="00AB29B3">
        <w:tblPrEx>
          <w:tblW w:w="10260" w:type="dxa"/>
          <w:tblInd w:w="-185" w:type="dxa"/>
          <w:tblLook w:val="04A0"/>
        </w:tblPrEx>
        <w:tc>
          <w:tcPr>
            <w:tcW w:w="1316"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42046720" w14:textId="77777777">
            <w:pPr>
              <w:spacing w:line="360" w:lineRule="auto"/>
              <w:rPr>
                <w:rFonts w:eastAsia="Calibri"/>
                <w:bCs/>
                <w:sz w:val="24"/>
                <w:szCs w:val="24"/>
              </w:rPr>
            </w:pPr>
            <w:r w:rsidRPr="007D528E">
              <w:rPr>
                <w:rFonts w:eastAsia="Calibri"/>
                <w:bCs/>
                <w:sz w:val="24"/>
                <w:szCs w:val="24"/>
              </w:rPr>
              <w:t>Cities</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3DF51915" w14:textId="77777777">
            <w:pPr>
              <w:spacing w:line="360" w:lineRule="auto"/>
              <w:rPr>
                <w:rFonts w:eastAsia="Calibri"/>
                <w:bCs/>
                <w:sz w:val="24"/>
                <w:szCs w:val="24"/>
              </w:rPr>
            </w:pPr>
            <w:r w:rsidRPr="007D528E">
              <w:rPr>
                <w:rFonts w:eastAsia="Calibri"/>
                <w:bCs/>
                <w:sz w:val="24"/>
                <w:szCs w:val="24"/>
              </w:rPr>
              <w:t xml:space="preserve">Submission of case data </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7ED00807" w14:textId="77777777">
            <w:pPr>
              <w:spacing w:line="360" w:lineRule="auto"/>
              <w:jc w:val="center"/>
              <w:rPr>
                <w:rFonts w:eastAsia="Calibri"/>
                <w:bCs/>
                <w:sz w:val="24"/>
                <w:szCs w:val="24"/>
              </w:rPr>
            </w:pPr>
            <w:r w:rsidRPr="007D528E">
              <w:rPr>
                <w:rFonts w:eastAsia="Calibri"/>
                <w:bCs/>
                <w:sz w:val="24"/>
                <w:szCs w:val="24"/>
              </w:rPr>
              <w:t>2</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0DD0E6BD" w14:textId="77777777">
            <w:pPr>
              <w:spacing w:line="360" w:lineRule="auto"/>
              <w:jc w:val="center"/>
              <w:rPr>
                <w:rFonts w:eastAsia="Calibri"/>
                <w:sz w:val="24"/>
                <w:szCs w:val="24"/>
              </w:rPr>
            </w:pPr>
            <w:r w:rsidRPr="007D528E">
              <w:rPr>
                <w:rFonts w:eastAsia="Calibri"/>
                <w:sz w:val="24"/>
                <w:szCs w:val="24"/>
              </w:rPr>
              <w:t>365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22308D3F" w14:textId="77777777">
            <w:pPr>
              <w:spacing w:line="360" w:lineRule="auto"/>
              <w:jc w:val="center"/>
              <w:rPr>
                <w:rFonts w:eastAsia="Calibri"/>
                <w:sz w:val="24"/>
                <w:szCs w:val="24"/>
              </w:rPr>
            </w:pPr>
            <w:r w:rsidRPr="007D528E">
              <w:rPr>
                <w:rFonts w:eastAsia="Calibri"/>
                <w:sz w:val="24"/>
                <w:szCs w:val="24"/>
              </w:rPr>
              <w:t>30/60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86CA5" w:rsidRPr="007D528E" w:rsidP="00586CA5" w14:paraId="3BA76049" w14:textId="13485561">
            <w:pPr>
              <w:spacing w:line="360" w:lineRule="auto"/>
              <w:jc w:val="center"/>
              <w:rPr>
                <w:rFonts w:eastAsia="Calibri"/>
                <w:sz w:val="24"/>
                <w:szCs w:val="24"/>
              </w:rPr>
            </w:pPr>
            <w:r w:rsidRPr="007D528E">
              <w:rPr>
                <w:rFonts w:eastAsia="Calibri"/>
                <w:sz w:val="24"/>
                <w:szCs w:val="24"/>
              </w:rPr>
              <w:t>3</w:t>
            </w:r>
            <w:r w:rsidRPr="007D528E" w:rsidR="00C42EB4">
              <w:rPr>
                <w:rFonts w:eastAsia="Calibri"/>
                <w:sz w:val="24"/>
                <w:szCs w:val="24"/>
              </w:rPr>
              <w:t>,</w:t>
            </w:r>
            <w:r w:rsidRPr="007D528E">
              <w:rPr>
                <w:rFonts w:eastAsia="Calibri"/>
                <w:sz w:val="24"/>
                <w:szCs w:val="24"/>
              </w:rPr>
              <w:t>65</w:t>
            </w:r>
            <w:r w:rsidRPr="007D528E" w:rsidR="00C42EB4">
              <w:rPr>
                <w:rFonts w:eastAsia="Calibr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586CA5" w:rsidRPr="007D528E" w:rsidP="00586CA5" w14:paraId="5D0C6A2C" w14:textId="6B9EA614">
            <w:pPr>
              <w:spacing w:line="360" w:lineRule="auto"/>
              <w:jc w:val="center"/>
              <w:rPr>
                <w:rFonts w:eastAsia="Calibri"/>
                <w:sz w:val="24"/>
                <w:szCs w:val="24"/>
              </w:rPr>
            </w:pPr>
            <w:r w:rsidRPr="007D528E">
              <w:rPr>
                <w:sz w:val="24"/>
                <w:szCs w:val="24"/>
              </w:rPr>
              <w:t>$53.27</w:t>
            </w:r>
          </w:p>
        </w:tc>
        <w:tc>
          <w:tcPr>
            <w:tcW w:w="1530" w:type="dxa"/>
            <w:tcBorders>
              <w:top w:val="single" w:sz="4" w:space="0" w:color="auto"/>
              <w:left w:val="single" w:sz="4" w:space="0" w:color="auto"/>
              <w:bottom w:val="single" w:sz="4" w:space="0" w:color="auto"/>
              <w:right w:val="single" w:sz="4" w:space="0" w:color="auto"/>
            </w:tcBorders>
          </w:tcPr>
          <w:p w:rsidR="00ED2B8E" w:rsidRPr="007D528E" w:rsidP="00ED2B8E" w14:paraId="7A11FFAE" w14:textId="77777777">
            <w:pPr>
              <w:spacing w:line="360" w:lineRule="auto"/>
              <w:jc w:val="center"/>
              <w:rPr>
                <w:rFonts w:eastAsia="Calibri"/>
                <w:sz w:val="24"/>
                <w:szCs w:val="24"/>
              </w:rPr>
            </w:pPr>
            <w:r w:rsidRPr="007D528E">
              <w:rPr>
                <w:rFonts w:eastAsia="Calibri"/>
                <w:sz w:val="24"/>
                <w:szCs w:val="24"/>
              </w:rPr>
              <w:t>$194,436</w:t>
            </w:r>
          </w:p>
          <w:p w:rsidR="00586CA5" w:rsidRPr="007D528E" w:rsidP="00586CA5" w14:paraId="2011F3C9" w14:textId="46D35CA6">
            <w:pPr>
              <w:spacing w:line="360" w:lineRule="auto"/>
              <w:jc w:val="center"/>
              <w:rPr>
                <w:rFonts w:eastAsia="Calibri"/>
                <w:sz w:val="24"/>
                <w:szCs w:val="24"/>
              </w:rPr>
            </w:pPr>
          </w:p>
        </w:tc>
      </w:tr>
      <w:tr w14:paraId="19A7F876" w14:textId="603B7FB6" w:rsidTr="00AB29B3">
        <w:tblPrEx>
          <w:tblW w:w="10260" w:type="dxa"/>
          <w:tblInd w:w="-185" w:type="dxa"/>
          <w:tblLook w:val="04A0"/>
        </w:tblPrEx>
        <w:tc>
          <w:tcPr>
            <w:tcW w:w="1316" w:type="dxa"/>
            <w:shd w:val="clear" w:color="auto" w:fill="auto"/>
            <w:vAlign w:val="center"/>
          </w:tcPr>
          <w:p w:rsidR="00694168" w:rsidRPr="007D528E" w14:paraId="0247A5A2" w14:textId="77777777">
            <w:pPr>
              <w:spacing w:line="360" w:lineRule="auto"/>
              <w:rPr>
                <w:rFonts w:eastAsia="Calibri"/>
                <w:bCs/>
                <w:sz w:val="24"/>
                <w:szCs w:val="24"/>
              </w:rPr>
            </w:pPr>
            <w:r w:rsidRPr="007D528E">
              <w:rPr>
                <w:rFonts w:eastAsia="Calibri"/>
                <w:bCs/>
                <w:sz w:val="24"/>
                <w:szCs w:val="24"/>
              </w:rPr>
              <w:t>Total</w:t>
            </w:r>
          </w:p>
        </w:tc>
        <w:tc>
          <w:tcPr>
            <w:tcW w:w="5434" w:type="dxa"/>
            <w:gridSpan w:val="4"/>
            <w:shd w:val="clear" w:color="auto" w:fill="auto"/>
            <w:vAlign w:val="center"/>
          </w:tcPr>
          <w:p w:rsidR="00694168" w:rsidRPr="007D528E" w14:paraId="11A9EE54" w14:textId="77777777">
            <w:pPr>
              <w:spacing w:line="360" w:lineRule="auto"/>
              <w:jc w:val="right"/>
              <w:rPr>
                <w:rFonts w:eastAsia="Calibri"/>
                <w:bCs/>
                <w:sz w:val="24"/>
                <w:szCs w:val="24"/>
              </w:rPr>
            </w:pPr>
          </w:p>
        </w:tc>
        <w:tc>
          <w:tcPr>
            <w:tcW w:w="990" w:type="dxa"/>
            <w:shd w:val="clear" w:color="auto" w:fill="auto"/>
            <w:vAlign w:val="center"/>
          </w:tcPr>
          <w:p w:rsidR="00694168" w:rsidRPr="007D528E" w14:paraId="3F28C204" w14:textId="142E7274">
            <w:pPr>
              <w:spacing w:line="360" w:lineRule="auto"/>
              <w:jc w:val="center"/>
              <w:rPr>
                <w:rFonts w:eastAsia="Calibri"/>
                <w:sz w:val="24"/>
                <w:szCs w:val="24"/>
              </w:rPr>
            </w:pPr>
            <w:r w:rsidRPr="007D528E">
              <w:rPr>
                <w:rFonts w:eastAsia="Calibri"/>
                <w:sz w:val="24"/>
                <w:szCs w:val="24"/>
              </w:rPr>
              <w:t>109</w:t>
            </w:r>
            <w:r w:rsidRPr="007D528E" w:rsidR="00635DF0">
              <w:rPr>
                <w:rFonts w:eastAsia="Calibri"/>
                <w:sz w:val="24"/>
                <w:szCs w:val="24"/>
              </w:rPr>
              <w:t>,</w:t>
            </w:r>
            <w:r w:rsidRPr="007D528E">
              <w:rPr>
                <w:rFonts w:eastAsia="Calibri"/>
                <w:sz w:val="24"/>
                <w:szCs w:val="24"/>
              </w:rPr>
              <w:t>51</w:t>
            </w:r>
            <w:r w:rsidRPr="007D528E" w:rsidR="006D5A42">
              <w:rPr>
                <w:rFonts w:eastAsia="Calibri"/>
                <w:sz w:val="24"/>
                <w:szCs w:val="24"/>
              </w:rPr>
              <w:t>0</w:t>
            </w:r>
          </w:p>
        </w:tc>
        <w:tc>
          <w:tcPr>
            <w:tcW w:w="990" w:type="dxa"/>
          </w:tcPr>
          <w:p w:rsidR="00694168" w:rsidRPr="007D528E" w14:paraId="73D4A621" w14:textId="77777777">
            <w:pPr>
              <w:spacing w:line="360" w:lineRule="auto"/>
              <w:jc w:val="center"/>
              <w:rPr>
                <w:rFonts w:eastAsia="Calibri"/>
                <w:sz w:val="24"/>
                <w:szCs w:val="24"/>
              </w:rPr>
            </w:pPr>
          </w:p>
        </w:tc>
        <w:tc>
          <w:tcPr>
            <w:tcW w:w="1530" w:type="dxa"/>
          </w:tcPr>
          <w:p w:rsidR="00872674" w:rsidRPr="00AB29B3" w:rsidP="00545985" w14:paraId="659F486D" w14:textId="1FB63719">
            <w:pPr>
              <w:spacing w:line="360" w:lineRule="auto"/>
              <w:jc w:val="center"/>
              <w:rPr>
                <w:rFonts w:eastAsia="Calibri"/>
                <w:sz w:val="24"/>
                <w:szCs w:val="24"/>
              </w:rPr>
            </w:pPr>
            <w:r w:rsidRPr="007D528E">
              <w:rPr>
                <w:rFonts w:eastAsia="Calibri"/>
                <w:sz w:val="24"/>
                <w:szCs w:val="24"/>
              </w:rPr>
              <w:t>$5,833,598</w:t>
            </w:r>
          </w:p>
        </w:tc>
      </w:tr>
    </w:tbl>
    <w:p w:rsidR="00A76263" w:rsidRPr="0072690B" w:rsidP="00704CF8" w14:paraId="2A29DC56" w14:textId="77777777">
      <w:pPr>
        <w:ind w:left="720"/>
        <w:rPr>
          <w:rFonts w:eastAsia="Arial Unicode MS"/>
          <w:sz w:val="24"/>
          <w:szCs w:val="24"/>
          <w:u w:color="000000"/>
        </w:rPr>
      </w:pPr>
    </w:p>
    <w:p w:rsidR="00704CF8" w:rsidP="00B651A5" w14:paraId="09A0FB5A" w14:textId="77777777">
      <w:pPr>
        <w:ind w:left="720"/>
        <w:rPr>
          <w:rFonts w:eastAsia="Arial Unicode MS"/>
          <w:sz w:val="24"/>
          <w:szCs w:val="24"/>
          <w:u w:color="000000"/>
        </w:rPr>
      </w:pPr>
    </w:p>
    <w:p w:rsidR="001A3A81" w:rsidRPr="00B651A5" w:rsidP="00B651A5" w14:paraId="7FD76F21" w14:textId="77777777">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t>Estimates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Pr="00B651A5">
        <w:rPr>
          <w:rFonts w:eastAsia="Arial Unicode MS"/>
          <w:b/>
          <w:sz w:val="24"/>
          <w:szCs w:val="24"/>
          <w:u w:color="000000"/>
        </w:rPr>
        <w:t xml:space="preserve"> Record Keepers</w:t>
      </w:r>
    </w:p>
    <w:p w:rsidR="001A3A81" w:rsidRPr="0072690B" w:rsidP="00B651A5" w14:paraId="06CF311D" w14:textId="77777777">
      <w:pPr>
        <w:rPr>
          <w:rFonts w:eastAsia="Arial Unicode MS"/>
          <w:sz w:val="24"/>
          <w:szCs w:val="24"/>
          <w:u w:color="000000"/>
        </w:rPr>
      </w:pPr>
      <w:r w:rsidRPr="0072690B">
        <w:rPr>
          <w:rFonts w:eastAsia="Arial Unicode MS"/>
          <w:sz w:val="24"/>
          <w:szCs w:val="24"/>
          <w:u w:color="000000"/>
        </w:rPr>
        <w:tab/>
      </w:r>
    </w:p>
    <w:p w:rsidR="0041615D" w:rsidP="007C4053" w14:paraId="559BDD35" w14:textId="77777777">
      <w:pPr>
        <w:rPr>
          <w:rFonts w:eastAsia="Arial Unicode MS"/>
          <w:sz w:val="24"/>
          <w:szCs w:val="24"/>
          <w:u w:color="000000"/>
        </w:rPr>
      </w:pPr>
      <w:r>
        <w:rPr>
          <w:rFonts w:eastAsia="Arial Unicode MS"/>
          <w:sz w:val="24"/>
          <w:szCs w:val="24"/>
          <w:u w:color="000000"/>
        </w:rPr>
        <w:t xml:space="preserve">There are no </w:t>
      </w:r>
      <w:r w:rsidR="007366BE">
        <w:rPr>
          <w:rFonts w:eastAsia="Arial Unicode MS"/>
          <w:sz w:val="24"/>
          <w:szCs w:val="24"/>
          <w:u w:color="000000"/>
        </w:rPr>
        <w:t xml:space="preserve">anticipated </w:t>
      </w:r>
      <w:r>
        <w:rPr>
          <w:rFonts w:eastAsia="Arial Unicode MS"/>
          <w:sz w:val="24"/>
          <w:szCs w:val="24"/>
          <w:u w:color="000000"/>
        </w:rPr>
        <w:t xml:space="preserve">costs to respondents other than time. </w:t>
      </w:r>
    </w:p>
    <w:p w:rsidR="00B83278" w:rsidRPr="0072690B" w:rsidP="0041615D" w14:paraId="57821285" w14:textId="77777777">
      <w:pPr>
        <w:ind w:left="720"/>
        <w:rPr>
          <w:rFonts w:eastAsia="Arial Unicode MS"/>
          <w:sz w:val="24"/>
          <w:szCs w:val="24"/>
          <w:u w:color="000000"/>
        </w:rPr>
      </w:pPr>
    </w:p>
    <w:p w:rsidR="001A3A81" w:rsidRPr="00052F9E" w:rsidP="00B651A5" w14:paraId="340D511C" w14:textId="77777777">
      <w:pPr>
        <w:rPr>
          <w:rFonts w:eastAsia="Arial Unicode MS"/>
          <w:b/>
          <w:sz w:val="24"/>
          <w:szCs w:val="24"/>
          <w:u w:color="000000"/>
        </w:rPr>
      </w:pPr>
      <w:r w:rsidRPr="00052F9E">
        <w:rPr>
          <w:rFonts w:eastAsia="Arial Unicode MS"/>
          <w:b/>
          <w:sz w:val="24"/>
          <w:szCs w:val="24"/>
          <w:u w:color="000000"/>
        </w:rPr>
        <w:t xml:space="preserve">14. </w:t>
      </w:r>
      <w:r w:rsidRPr="00052F9E" w:rsidR="007A226A">
        <w:rPr>
          <w:rFonts w:eastAsia="Arial Unicode MS"/>
          <w:b/>
          <w:sz w:val="24"/>
          <w:szCs w:val="24"/>
          <w:u w:color="000000"/>
        </w:rPr>
        <w:tab/>
      </w:r>
      <w:r w:rsidRPr="00052F9E">
        <w:rPr>
          <w:rFonts w:eastAsia="Arial Unicode MS"/>
          <w:b/>
          <w:sz w:val="24"/>
          <w:szCs w:val="24"/>
          <w:u w:color="000000"/>
        </w:rPr>
        <w:t xml:space="preserve">Annualized Cost to the </w:t>
      </w:r>
      <w:r w:rsidRPr="00052F9E" w:rsidR="007C4053">
        <w:rPr>
          <w:rFonts w:eastAsia="Arial Unicode MS"/>
          <w:b/>
          <w:sz w:val="24"/>
          <w:szCs w:val="24"/>
          <w:u w:color="000000"/>
        </w:rPr>
        <w:t xml:space="preserve">Federal </w:t>
      </w:r>
      <w:r w:rsidRPr="00052F9E">
        <w:rPr>
          <w:rFonts w:eastAsia="Arial Unicode MS"/>
          <w:b/>
          <w:sz w:val="24"/>
          <w:szCs w:val="24"/>
          <w:u w:color="000000"/>
        </w:rPr>
        <w:t>Government</w:t>
      </w:r>
    </w:p>
    <w:p w:rsidR="007A226A" w:rsidRPr="00052F9E" w:rsidP="00B651A5" w14:paraId="7DED5C03" w14:textId="77777777">
      <w:pPr>
        <w:ind w:left="720"/>
        <w:rPr>
          <w:rFonts w:eastAsia="Arial Unicode MS"/>
          <w:sz w:val="24"/>
          <w:szCs w:val="24"/>
          <w:u w:color="000000"/>
        </w:rPr>
      </w:pPr>
    </w:p>
    <w:p w:rsidR="00F05442" w:rsidRPr="00052F9E" w:rsidP="00F05442" w14:paraId="15EFCBD0" w14:textId="417E2C16">
      <w:pPr>
        <w:rPr>
          <w:rFonts w:eastAsia="Arial Unicode MS"/>
          <w:sz w:val="24"/>
          <w:szCs w:val="24"/>
          <w:u w:color="000000"/>
        </w:rPr>
      </w:pPr>
      <w:r w:rsidRPr="00052F9E">
        <w:rPr>
          <w:rFonts w:eastAsia="Arial Unicode MS"/>
          <w:sz w:val="24"/>
          <w:szCs w:val="24"/>
          <w:u w:color="000000"/>
        </w:rPr>
        <w:t>The annual cost to the federal government include</w:t>
      </w:r>
      <w:r w:rsidRPr="00052F9E" w:rsidR="00064B1B">
        <w:rPr>
          <w:rFonts w:eastAsia="Arial Unicode MS"/>
          <w:sz w:val="24"/>
          <w:szCs w:val="24"/>
          <w:u w:color="000000"/>
        </w:rPr>
        <w:t>s</w:t>
      </w:r>
      <w:r w:rsidRPr="00052F9E" w:rsidR="002430C1">
        <w:rPr>
          <w:rFonts w:eastAsia="Arial Unicode MS"/>
          <w:sz w:val="24"/>
          <w:szCs w:val="24"/>
          <w:u w:color="000000"/>
        </w:rPr>
        <w:t xml:space="preserve"> </w:t>
      </w:r>
      <w:r w:rsidRPr="00052F9E" w:rsidR="0049749B">
        <w:rPr>
          <w:rFonts w:eastAsia="Arial Unicode MS"/>
          <w:sz w:val="24"/>
          <w:szCs w:val="24"/>
          <w:u w:color="000000"/>
        </w:rPr>
        <w:t xml:space="preserve">personnel and other </w:t>
      </w:r>
      <w:r w:rsidRPr="00052F9E" w:rsidR="002430C1">
        <w:rPr>
          <w:rFonts w:eastAsia="Arial Unicode MS"/>
          <w:sz w:val="24"/>
          <w:szCs w:val="24"/>
          <w:u w:color="000000"/>
        </w:rPr>
        <w:t xml:space="preserve">costs to </w:t>
      </w:r>
      <w:r w:rsidRPr="00052F9E" w:rsidR="0049749B">
        <w:rPr>
          <w:rFonts w:eastAsia="Arial Unicode MS"/>
          <w:sz w:val="24"/>
          <w:szCs w:val="24"/>
          <w:u w:color="000000"/>
        </w:rPr>
        <w:t>maintain</w:t>
      </w:r>
      <w:r w:rsidRPr="00052F9E" w:rsidR="002430C1">
        <w:rPr>
          <w:rFonts w:eastAsia="Arial Unicode MS"/>
          <w:sz w:val="24"/>
          <w:szCs w:val="24"/>
          <w:u w:color="000000"/>
        </w:rPr>
        <w:t xml:space="preserve"> DCIPHER</w:t>
      </w:r>
      <w:r w:rsidRPr="00052F9E" w:rsidR="00F26850">
        <w:rPr>
          <w:rFonts w:eastAsia="Arial Unicode MS"/>
          <w:sz w:val="24"/>
          <w:szCs w:val="24"/>
          <w:u w:color="000000"/>
        </w:rPr>
        <w:t>.</w:t>
      </w:r>
      <w:r w:rsidRPr="00052F9E" w:rsidR="002430C1">
        <w:rPr>
          <w:rFonts w:eastAsia="Arial Unicode MS"/>
          <w:sz w:val="24"/>
          <w:szCs w:val="24"/>
          <w:u w:color="000000"/>
        </w:rPr>
        <w:t xml:space="preserve"> </w:t>
      </w:r>
    </w:p>
    <w:p w:rsidR="00243F61" w:rsidRPr="00052F9E" w:rsidP="00F05442" w14:paraId="3BB6B281" w14:textId="77777777">
      <w:pPr>
        <w:rPr>
          <w:rFonts w:eastAsia="Arial Unicode MS"/>
          <w:sz w:val="24"/>
          <w:szCs w:val="24"/>
          <w:u w:color="000000"/>
        </w:rPr>
      </w:pPr>
    </w:p>
    <w:p w:rsidR="00243F61" w:rsidRPr="00052F9E" w:rsidP="00F05442" w14:paraId="4F379B2C" w14:textId="14A06A91">
      <w:pPr>
        <w:rPr>
          <w:rFonts w:eastAsia="Arial Unicode MS"/>
          <w:sz w:val="24"/>
          <w:szCs w:val="24"/>
          <w:u w:color="000000"/>
        </w:rPr>
      </w:pPr>
      <w:r w:rsidRPr="00052F9E">
        <w:rPr>
          <w:rFonts w:eastAsia="Arial Unicode MS"/>
          <w:sz w:val="24"/>
          <w:szCs w:val="24"/>
          <w:u w:color="000000"/>
        </w:rPr>
        <w:t>Table C. Estimated Annualized Cost to the Government</w:t>
      </w:r>
    </w:p>
    <w:p w:rsidR="003870BE" w:rsidRPr="00052F9E" w:rsidP="00F05442" w14:paraId="554C8D4A" w14:textId="77777777">
      <w:pPr>
        <w:rPr>
          <w:rFonts w:eastAsia="Arial Unicode MS"/>
          <w:sz w:val="24"/>
          <w:szCs w:val="24"/>
          <w:u w:color="000000"/>
        </w:rPr>
      </w:pPr>
    </w:p>
    <w:tbl>
      <w:tblPr>
        <w:tblW w:w="9450" w:type="dxa"/>
        <w:tblInd w:w="96" w:type="dxa"/>
        <w:tblLayout w:type="fixed"/>
        <w:tblCellMar>
          <w:left w:w="96" w:type="dxa"/>
          <w:right w:w="96" w:type="dxa"/>
        </w:tblCellMar>
        <w:tblLook w:val="0000"/>
      </w:tblPr>
      <w:tblGrid>
        <w:gridCol w:w="5040"/>
        <w:gridCol w:w="1530"/>
        <w:gridCol w:w="1440"/>
        <w:gridCol w:w="1440"/>
      </w:tblGrid>
      <w:tr w14:paraId="6D905512" w14:textId="77777777">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3870BE" w:rsidRPr="00052F9E" w:rsidP="003870BE" w14:paraId="2A7E6D5C" w14:textId="77777777">
            <w:pPr>
              <w:spacing w:line="360" w:lineRule="auto"/>
              <w:rPr>
                <w:sz w:val="24"/>
                <w:szCs w:val="24"/>
              </w:rPr>
            </w:pPr>
            <w:r w:rsidRPr="00052F9E">
              <w:rPr>
                <w:sz w:val="24"/>
                <w:szCs w:val="24"/>
              </w:rPr>
              <w:t>Item</w:t>
            </w:r>
          </w:p>
        </w:tc>
        <w:tc>
          <w:tcPr>
            <w:tcW w:w="4410" w:type="dxa"/>
            <w:gridSpan w:val="3"/>
            <w:tcBorders>
              <w:top w:val="single" w:sz="6" w:space="0" w:color="000000"/>
              <w:left w:val="single" w:sz="6" w:space="0" w:color="000000"/>
              <w:right w:val="single" w:sz="6" w:space="0" w:color="000000"/>
            </w:tcBorders>
          </w:tcPr>
          <w:p w:rsidR="003870BE" w:rsidRPr="00052F9E" w:rsidP="003870BE" w14:paraId="4F3634B1" w14:textId="6AAC48AE">
            <w:pPr>
              <w:spacing w:line="360" w:lineRule="auto"/>
              <w:jc w:val="center"/>
              <w:rPr>
                <w:b/>
                <w:sz w:val="24"/>
                <w:szCs w:val="24"/>
              </w:rPr>
            </w:pPr>
            <w:r w:rsidRPr="00052F9E">
              <w:rPr>
                <w:sz w:val="24"/>
                <w:szCs w:val="24"/>
              </w:rPr>
              <w:t>Estimated Cost to Federal Government</w:t>
            </w:r>
          </w:p>
        </w:tc>
      </w:tr>
      <w:tr w14:paraId="554F729D" w14:textId="77777777">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3870BE" w:rsidRPr="00052F9E" w:rsidP="003870BE" w14:paraId="551C8D85" w14:textId="7B507233">
            <w:pPr>
              <w:spacing w:line="360" w:lineRule="auto"/>
              <w:rPr>
                <w:sz w:val="24"/>
                <w:szCs w:val="24"/>
              </w:rPr>
            </w:pPr>
          </w:p>
        </w:tc>
        <w:tc>
          <w:tcPr>
            <w:tcW w:w="1530" w:type="dxa"/>
            <w:tcBorders>
              <w:top w:val="single" w:sz="6" w:space="0" w:color="000000"/>
              <w:left w:val="single" w:sz="6" w:space="0" w:color="000000"/>
              <w:right w:val="single" w:sz="6" w:space="0" w:color="000000"/>
            </w:tcBorders>
          </w:tcPr>
          <w:p w:rsidR="003870BE" w:rsidRPr="00052F9E" w:rsidP="003870BE" w14:paraId="436E1C6E" w14:textId="55F1FE5D">
            <w:pPr>
              <w:spacing w:line="360" w:lineRule="auto"/>
              <w:jc w:val="center"/>
              <w:rPr>
                <w:sz w:val="24"/>
                <w:szCs w:val="24"/>
              </w:rPr>
            </w:pPr>
            <w:r w:rsidRPr="00052F9E">
              <w:rPr>
                <w:sz w:val="24"/>
                <w:szCs w:val="24"/>
              </w:rPr>
              <w:t xml:space="preserve">FY </w:t>
            </w:r>
            <w:r w:rsidRPr="00052F9E" w:rsidR="00E43FD3">
              <w:rPr>
                <w:sz w:val="24"/>
                <w:szCs w:val="24"/>
              </w:rPr>
              <w:t>25</w:t>
            </w:r>
          </w:p>
          <w:p w:rsidR="003870BE" w:rsidRPr="00052F9E" w:rsidP="003870BE" w14:paraId="72457E20" w14:textId="3FB81240">
            <w:pPr>
              <w:spacing w:line="360" w:lineRule="auto"/>
              <w:jc w:val="center"/>
              <w:rPr>
                <w:sz w:val="24"/>
                <w:szCs w:val="24"/>
              </w:rPr>
            </w:pPr>
            <w:r w:rsidRPr="00052F9E">
              <w:rPr>
                <w:sz w:val="24"/>
                <w:szCs w:val="24"/>
              </w:rPr>
              <w:t>(</w:t>
            </w:r>
            <w:r w:rsidRPr="00052F9E" w:rsidR="00E43FD3">
              <w:rPr>
                <w:sz w:val="24"/>
                <w:szCs w:val="24"/>
              </w:rPr>
              <w:t>projected</w:t>
            </w:r>
            <w:r w:rsidRPr="00052F9E">
              <w:rPr>
                <w:sz w:val="24"/>
                <w:szCs w:val="24"/>
              </w:rPr>
              <w:t>)</w:t>
            </w:r>
          </w:p>
        </w:tc>
        <w:tc>
          <w:tcPr>
            <w:tcW w:w="1440" w:type="dxa"/>
            <w:tcBorders>
              <w:top w:val="single" w:sz="6" w:space="0" w:color="000000"/>
              <w:left w:val="single" w:sz="6" w:space="0" w:color="000000"/>
              <w:right w:val="single" w:sz="6" w:space="0" w:color="000000"/>
            </w:tcBorders>
          </w:tcPr>
          <w:p w:rsidR="003870BE" w:rsidRPr="00052F9E" w:rsidP="003870BE" w14:paraId="6F048D7B" w14:textId="13A0E5BD">
            <w:pPr>
              <w:spacing w:line="360" w:lineRule="auto"/>
              <w:jc w:val="center"/>
              <w:rPr>
                <w:sz w:val="24"/>
                <w:szCs w:val="24"/>
              </w:rPr>
            </w:pPr>
            <w:r w:rsidRPr="00052F9E">
              <w:rPr>
                <w:sz w:val="24"/>
                <w:szCs w:val="24"/>
              </w:rPr>
              <w:t xml:space="preserve">FY </w:t>
            </w:r>
            <w:r w:rsidRPr="00052F9E" w:rsidR="00E43FD3">
              <w:rPr>
                <w:sz w:val="24"/>
                <w:szCs w:val="24"/>
              </w:rPr>
              <w:t xml:space="preserve">26 </w:t>
            </w:r>
            <w:r w:rsidRPr="00052F9E">
              <w:rPr>
                <w:sz w:val="24"/>
                <w:szCs w:val="24"/>
              </w:rPr>
              <w:t>(projected)</w:t>
            </w:r>
          </w:p>
        </w:tc>
        <w:tc>
          <w:tcPr>
            <w:tcW w:w="1440" w:type="dxa"/>
            <w:tcBorders>
              <w:top w:val="single" w:sz="6" w:space="0" w:color="000000"/>
              <w:left w:val="single" w:sz="6" w:space="0" w:color="000000"/>
              <w:right w:val="single" w:sz="6" w:space="0" w:color="000000"/>
            </w:tcBorders>
          </w:tcPr>
          <w:p w:rsidR="003870BE" w:rsidRPr="00052F9E" w:rsidP="003870BE" w14:paraId="1CB48B44" w14:textId="1E9A37E3">
            <w:pPr>
              <w:spacing w:line="360" w:lineRule="auto"/>
              <w:jc w:val="center"/>
              <w:rPr>
                <w:sz w:val="24"/>
                <w:szCs w:val="24"/>
              </w:rPr>
            </w:pPr>
            <w:r w:rsidRPr="00052F9E">
              <w:rPr>
                <w:sz w:val="24"/>
                <w:szCs w:val="24"/>
              </w:rPr>
              <w:t xml:space="preserve">FY </w:t>
            </w:r>
            <w:r w:rsidRPr="00052F9E" w:rsidR="00E43FD3">
              <w:rPr>
                <w:sz w:val="24"/>
                <w:szCs w:val="24"/>
              </w:rPr>
              <w:t xml:space="preserve">27 </w:t>
            </w:r>
            <w:r w:rsidRPr="00052F9E">
              <w:rPr>
                <w:sz w:val="24"/>
                <w:szCs w:val="24"/>
              </w:rPr>
              <w:t>(projected)</w:t>
            </w:r>
          </w:p>
        </w:tc>
      </w:tr>
      <w:tr w14:paraId="284B9861" w14:textId="77777777">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DA4A47" w:rsidRPr="00052F9E" w:rsidP="00AB3458" w14:paraId="7CA403D0" w14:textId="1D5ECA19">
            <w:pPr>
              <w:spacing w:line="360" w:lineRule="auto"/>
              <w:rPr>
                <w:sz w:val="24"/>
                <w:szCs w:val="24"/>
              </w:rPr>
            </w:pPr>
            <w:r w:rsidRPr="00052F9E">
              <w:rPr>
                <w:sz w:val="24"/>
                <w:szCs w:val="24"/>
              </w:rPr>
              <w:t>DCIPHER</w:t>
            </w:r>
            <w:r w:rsidRPr="00052F9E" w:rsidR="00C17BA5">
              <w:rPr>
                <w:sz w:val="24"/>
                <w:szCs w:val="24"/>
              </w:rPr>
              <w:t xml:space="preserve"> </w:t>
            </w:r>
            <w:r w:rsidRPr="00052F9E" w:rsidR="00AF33F5">
              <w:rPr>
                <w:sz w:val="24"/>
                <w:szCs w:val="24"/>
              </w:rPr>
              <w:t>–</w:t>
            </w:r>
            <w:r w:rsidRPr="00052F9E" w:rsidR="00C17BA5">
              <w:rPr>
                <w:sz w:val="24"/>
                <w:szCs w:val="24"/>
              </w:rPr>
              <w:t xml:space="preserve"> Personnel</w:t>
            </w:r>
            <w:r w:rsidRPr="00052F9E" w:rsidR="00AF33F5">
              <w:rPr>
                <w:sz w:val="24"/>
                <w:szCs w:val="24"/>
              </w:rPr>
              <w:t xml:space="preserve"> </w:t>
            </w:r>
            <w:r w:rsidRPr="00052F9E" w:rsidR="0013472C">
              <w:rPr>
                <w:sz w:val="24"/>
                <w:szCs w:val="24"/>
              </w:rPr>
              <w:t xml:space="preserve">/ </w:t>
            </w:r>
            <w:r w:rsidRPr="00052F9E" w:rsidR="00AF33F5">
              <w:rPr>
                <w:sz w:val="24"/>
                <w:szCs w:val="24"/>
              </w:rPr>
              <w:t>Services (Contractors, FTEs)</w:t>
            </w:r>
          </w:p>
        </w:tc>
        <w:tc>
          <w:tcPr>
            <w:tcW w:w="1530" w:type="dxa"/>
            <w:tcBorders>
              <w:top w:val="single" w:sz="6" w:space="0" w:color="000000"/>
              <w:left w:val="single" w:sz="6" w:space="0" w:color="000000"/>
              <w:right w:val="single" w:sz="6" w:space="0" w:color="000000"/>
            </w:tcBorders>
          </w:tcPr>
          <w:p w:rsidR="00DA4A47" w:rsidRPr="00052F9E" w:rsidP="003475D6" w14:paraId="3B33368D" w14:textId="14B63F39">
            <w:pPr>
              <w:spacing w:line="360" w:lineRule="auto"/>
              <w:jc w:val="center"/>
              <w:rPr>
                <w:sz w:val="24"/>
                <w:szCs w:val="24"/>
              </w:rPr>
            </w:pPr>
            <w:r w:rsidRPr="00052F9E">
              <w:rPr>
                <w:sz w:val="24"/>
                <w:szCs w:val="24"/>
              </w:rPr>
              <w:t>$740,681</w:t>
            </w:r>
          </w:p>
        </w:tc>
        <w:tc>
          <w:tcPr>
            <w:tcW w:w="1440" w:type="dxa"/>
            <w:tcBorders>
              <w:top w:val="single" w:sz="6" w:space="0" w:color="000000"/>
              <w:left w:val="single" w:sz="6" w:space="0" w:color="000000"/>
              <w:right w:val="single" w:sz="6" w:space="0" w:color="000000"/>
            </w:tcBorders>
          </w:tcPr>
          <w:p w:rsidR="00DA4A47" w:rsidRPr="00052F9E" w:rsidP="003475D6" w14:paraId="36C09FF5" w14:textId="37DB7FD3">
            <w:pPr>
              <w:spacing w:line="360" w:lineRule="auto"/>
              <w:jc w:val="center"/>
              <w:rPr>
                <w:sz w:val="24"/>
                <w:szCs w:val="24"/>
              </w:rPr>
            </w:pPr>
            <w:r w:rsidRPr="00052F9E">
              <w:rPr>
                <w:sz w:val="24"/>
                <w:szCs w:val="24"/>
              </w:rPr>
              <w:t>$740,681</w:t>
            </w:r>
          </w:p>
        </w:tc>
        <w:tc>
          <w:tcPr>
            <w:tcW w:w="1440" w:type="dxa"/>
            <w:tcBorders>
              <w:top w:val="single" w:sz="6" w:space="0" w:color="000000"/>
              <w:left w:val="single" w:sz="6" w:space="0" w:color="000000"/>
              <w:right w:val="single" w:sz="6" w:space="0" w:color="000000"/>
            </w:tcBorders>
          </w:tcPr>
          <w:p w:rsidR="00DA4A47" w:rsidRPr="00052F9E" w:rsidP="003475D6" w14:paraId="16C54097" w14:textId="5EEEDA68">
            <w:pPr>
              <w:spacing w:line="360" w:lineRule="auto"/>
              <w:jc w:val="center"/>
              <w:rPr>
                <w:sz w:val="24"/>
                <w:szCs w:val="24"/>
              </w:rPr>
            </w:pPr>
            <w:r w:rsidRPr="00052F9E">
              <w:rPr>
                <w:sz w:val="24"/>
                <w:szCs w:val="24"/>
              </w:rPr>
              <w:t>$740,681</w:t>
            </w:r>
          </w:p>
        </w:tc>
      </w:tr>
      <w:tr w14:paraId="7E3E6550" w14:textId="77777777">
        <w:tblPrEx>
          <w:tblW w:w="9450" w:type="dxa"/>
          <w:tblInd w:w="96" w:type="dxa"/>
          <w:tblLayout w:type="fixed"/>
          <w:tblCellMar>
            <w:left w:w="96" w:type="dxa"/>
            <w:right w:w="96" w:type="dxa"/>
          </w:tblCellMar>
          <w:tblLook w:val="0000"/>
        </w:tblPrEx>
        <w:trPr>
          <w:cantSplit/>
          <w:trHeight w:val="402"/>
        </w:trPr>
        <w:tc>
          <w:tcPr>
            <w:tcW w:w="5040" w:type="dxa"/>
            <w:tcBorders>
              <w:top w:val="single" w:sz="6" w:space="0" w:color="000000"/>
              <w:left w:val="single" w:sz="6" w:space="0" w:color="000000"/>
            </w:tcBorders>
          </w:tcPr>
          <w:p w:rsidR="003870BE" w:rsidRPr="00052F9E" w:rsidP="00AB3458" w14:paraId="63ECD2BD" w14:textId="587BD142">
            <w:pPr>
              <w:spacing w:line="360" w:lineRule="auto"/>
              <w:rPr>
                <w:sz w:val="24"/>
                <w:szCs w:val="24"/>
              </w:rPr>
            </w:pPr>
            <w:r w:rsidRPr="00052F9E">
              <w:rPr>
                <w:sz w:val="24"/>
                <w:szCs w:val="24"/>
              </w:rPr>
              <w:t xml:space="preserve">DCIPHER </w:t>
            </w:r>
            <w:r w:rsidRPr="00052F9E" w:rsidR="003F4A6A">
              <w:rPr>
                <w:sz w:val="24"/>
                <w:szCs w:val="24"/>
              </w:rPr>
              <w:t>–</w:t>
            </w:r>
            <w:r w:rsidRPr="00052F9E">
              <w:rPr>
                <w:sz w:val="24"/>
                <w:szCs w:val="24"/>
              </w:rPr>
              <w:t xml:space="preserve"> Other</w:t>
            </w:r>
            <w:r w:rsidRPr="00052F9E" w:rsidR="003F4A6A">
              <w:rPr>
                <w:sz w:val="24"/>
                <w:szCs w:val="24"/>
              </w:rPr>
              <w:t xml:space="preserve"> (IT</w:t>
            </w:r>
            <w:r w:rsidRPr="00052F9E" w:rsidR="00402B8E">
              <w:rPr>
                <w:sz w:val="24"/>
                <w:szCs w:val="24"/>
              </w:rPr>
              <w:t xml:space="preserve"> </w:t>
            </w:r>
            <w:r w:rsidRPr="00052F9E" w:rsidR="003F4A6A">
              <w:rPr>
                <w:sz w:val="24"/>
                <w:szCs w:val="24"/>
              </w:rPr>
              <w:t>/</w:t>
            </w:r>
            <w:r w:rsidRPr="00052F9E" w:rsidR="00402B8E">
              <w:rPr>
                <w:sz w:val="24"/>
                <w:szCs w:val="24"/>
              </w:rPr>
              <w:t xml:space="preserve"> Licensing)</w:t>
            </w:r>
          </w:p>
        </w:tc>
        <w:tc>
          <w:tcPr>
            <w:tcW w:w="1530" w:type="dxa"/>
            <w:tcBorders>
              <w:top w:val="single" w:sz="6" w:space="0" w:color="000000"/>
              <w:left w:val="single" w:sz="6" w:space="0" w:color="000000"/>
              <w:right w:val="single" w:sz="6" w:space="0" w:color="000000"/>
            </w:tcBorders>
          </w:tcPr>
          <w:p w:rsidR="003870BE" w:rsidRPr="00052F9E" w:rsidP="00052F9E" w14:paraId="0F5D9779" w14:textId="786BA4E2">
            <w:pPr>
              <w:spacing w:line="360" w:lineRule="auto"/>
              <w:jc w:val="center"/>
              <w:rPr>
                <w:sz w:val="24"/>
                <w:szCs w:val="24"/>
              </w:rPr>
            </w:pPr>
            <w:r w:rsidRPr="00052F9E">
              <w:rPr>
                <w:sz w:val="24"/>
                <w:szCs w:val="24"/>
              </w:rPr>
              <w:t>$445,710</w:t>
            </w:r>
          </w:p>
        </w:tc>
        <w:tc>
          <w:tcPr>
            <w:tcW w:w="1440" w:type="dxa"/>
            <w:tcBorders>
              <w:top w:val="single" w:sz="6" w:space="0" w:color="000000"/>
              <w:left w:val="single" w:sz="6" w:space="0" w:color="000000"/>
              <w:right w:val="single" w:sz="6" w:space="0" w:color="000000"/>
            </w:tcBorders>
          </w:tcPr>
          <w:p w:rsidR="003870BE" w:rsidRPr="00052F9E" w:rsidP="00052F9E" w14:paraId="1488A545" w14:textId="27DBAB42">
            <w:pPr>
              <w:spacing w:line="360" w:lineRule="auto"/>
              <w:jc w:val="center"/>
              <w:rPr>
                <w:sz w:val="24"/>
                <w:szCs w:val="24"/>
              </w:rPr>
            </w:pPr>
            <w:r w:rsidRPr="00052F9E">
              <w:rPr>
                <w:sz w:val="24"/>
                <w:szCs w:val="24"/>
              </w:rPr>
              <w:t>$445,710</w:t>
            </w:r>
          </w:p>
        </w:tc>
        <w:tc>
          <w:tcPr>
            <w:tcW w:w="1440" w:type="dxa"/>
            <w:tcBorders>
              <w:top w:val="single" w:sz="6" w:space="0" w:color="000000"/>
              <w:left w:val="single" w:sz="6" w:space="0" w:color="000000"/>
              <w:right w:val="single" w:sz="6" w:space="0" w:color="000000"/>
            </w:tcBorders>
          </w:tcPr>
          <w:p w:rsidR="003870BE" w:rsidRPr="00052F9E" w:rsidP="00052F9E" w14:paraId="59391744" w14:textId="64C8ABEF">
            <w:pPr>
              <w:spacing w:line="360" w:lineRule="auto"/>
              <w:jc w:val="center"/>
              <w:rPr>
                <w:sz w:val="24"/>
                <w:szCs w:val="24"/>
              </w:rPr>
            </w:pPr>
            <w:r w:rsidRPr="00052F9E">
              <w:rPr>
                <w:sz w:val="24"/>
                <w:szCs w:val="24"/>
              </w:rPr>
              <w:t>$445,710</w:t>
            </w:r>
          </w:p>
        </w:tc>
      </w:tr>
      <w:tr w14:paraId="4A97B564" w14:textId="77777777">
        <w:tblPrEx>
          <w:tblW w:w="9450" w:type="dxa"/>
          <w:tblInd w:w="96" w:type="dxa"/>
          <w:tblLayout w:type="fixed"/>
          <w:tblCellMar>
            <w:left w:w="96" w:type="dxa"/>
            <w:right w:w="96" w:type="dxa"/>
          </w:tblCellMar>
          <w:tblLook w:val="0000"/>
        </w:tblPrEx>
        <w:trPr>
          <w:cantSplit/>
          <w:trHeight w:val="372"/>
        </w:trPr>
        <w:tc>
          <w:tcPr>
            <w:tcW w:w="5040" w:type="dxa"/>
            <w:tcBorders>
              <w:top w:val="single" w:sz="6" w:space="0" w:color="000000"/>
              <w:left w:val="single" w:sz="6" w:space="0" w:color="000000"/>
              <w:bottom w:val="single" w:sz="6" w:space="0" w:color="000000"/>
            </w:tcBorders>
          </w:tcPr>
          <w:p w:rsidR="003870BE" w:rsidRPr="00052F9E" w:rsidP="00AB3458" w14:paraId="039939F8" w14:textId="77777777">
            <w:pPr>
              <w:spacing w:line="360" w:lineRule="auto"/>
              <w:rPr>
                <w:sz w:val="24"/>
                <w:szCs w:val="24"/>
              </w:rPr>
            </w:pPr>
            <w:r w:rsidRPr="00052F9E">
              <w:rPr>
                <w:sz w:val="24"/>
                <w:szCs w:val="24"/>
              </w:rPr>
              <w:t>Total</w:t>
            </w:r>
          </w:p>
        </w:tc>
        <w:tc>
          <w:tcPr>
            <w:tcW w:w="1530" w:type="dxa"/>
            <w:tcBorders>
              <w:top w:val="single" w:sz="6" w:space="0" w:color="000000"/>
              <w:left w:val="single" w:sz="6" w:space="0" w:color="000000"/>
              <w:bottom w:val="single" w:sz="6" w:space="0" w:color="000000"/>
              <w:right w:val="single" w:sz="6" w:space="0" w:color="000000"/>
            </w:tcBorders>
          </w:tcPr>
          <w:p w:rsidR="003870BE" w:rsidRPr="00052F9E" w:rsidP="00052F9E" w14:paraId="28518B87" w14:textId="2DB5AD74">
            <w:pPr>
              <w:spacing w:line="360" w:lineRule="auto"/>
              <w:jc w:val="center"/>
              <w:rPr>
                <w:sz w:val="24"/>
                <w:szCs w:val="24"/>
              </w:rPr>
            </w:pPr>
            <w:r w:rsidRPr="00052F9E">
              <w:rPr>
                <w:sz w:val="24"/>
                <w:szCs w:val="24"/>
              </w:rPr>
              <w:t>$1,186,391</w:t>
            </w:r>
          </w:p>
        </w:tc>
        <w:tc>
          <w:tcPr>
            <w:tcW w:w="1440" w:type="dxa"/>
            <w:tcBorders>
              <w:top w:val="single" w:sz="6" w:space="0" w:color="000000"/>
              <w:left w:val="single" w:sz="6" w:space="0" w:color="000000"/>
              <w:bottom w:val="single" w:sz="6" w:space="0" w:color="000000"/>
              <w:right w:val="single" w:sz="6" w:space="0" w:color="000000"/>
            </w:tcBorders>
          </w:tcPr>
          <w:p w:rsidR="003870BE" w:rsidRPr="00052F9E" w:rsidP="00052F9E" w14:paraId="5B6288DE" w14:textId="3AEEC5AD">
            <w:pPr>
              <w:spacing w:line="360" w:lineRule="auto"/>
              <w:jc w:val="center"/>
              <w:rPr>
                <w:sz w:val="24"/>
                <w:szCs w:val="24"/>
              </w:rPr>
            </w:pPr>
            <w:r w:rsidRPr="00052F9E">
              <w:rPr>
                <w:sz w:val="24"/>
                <w:szCs w:val="24"/>
              </w:rPr>
              <w:t>$1,186,391</w:t>
            </w:r>
          </w:p>
        </w:tc>
        <w:tc>
          <w:tcPr>
            <w:tcW w:w="1440" w:type="dxa"/>
            <w:tcBorders>
              <w:top w:val="single" w:sz="6" w:space="0" w:color="000000"/>
              <w:left w:val="single" w:sz="6" w:space="0" w:color="000000"/>
              <w:bottom w:val="single" w:sz="6" w:space="0" w:color="000000"/>
              <w:right w:val="single" w:sz="6" w:space="0" w:color="000000"/>
            </w:tcBorders>
          </w:tcPr>
          <w:p w:rsidR="003870BE" w:rsidRPr="00052F9E" w:rsidP="00052F9E" w14:paraId="6E2989C8" w14:textId="23EF378F">
            <w:pPr>
              <w:spacing w:line="360" w:lineRule="auto"/>
              <w:jc w:val="center"/>
              <w:rPr>
                <w:sz w:val="24"/>
                <w:szCs w:val="24"/>
              </w:rPr>
            </w:pPr>
            <w:r w:rsidRPr="00052F9E">
              <w:rPr>
                <w:sz w:val="24"/>
                <w:szCs w:val="24"/>
              </w:rPr>
              <w:t>$1,186,391</w:t>
            </w:r>
          </w:p>
        </w:tc>
      </w:tr>
    </w:tbl>
    <w:p w:rsidR="003870BE" w:rsidP="00052F9E" w14:paraId="344086C1" w14:textId="099A8F18">
      <w:pPr>
        <w:jc w:val="center"/>
        <w:rPr>
          <w:rFonts w:eastAsia="Arial Unicode MS"/>
          <w:sz w:val="24"/>
          <w:szCs w:val="24"/>
          <w:u w:color="000000"/>
        </w:rPr>
      </w:pPr>
      <w:r w:rsidRPr="00052F9E">
        <w:rPr>
          <w:rFonts w:eastAsia="Arial Unicode MS"/>
          <w:sz w:val="24"/>
          <w:szCs w:val="24"/>
          <w:u w:color="000000"/>
        </w:rPr>
        <w:t>The estimated annualized cost to the government is $</w:t>
      </w:r>
      <w:r w:rsidRPr="00052F9E" w:rsidR="003475D6">
        <w:rPr>
          <w:rFonts w:eastAsia="Arial Unicode MS"/>
          <w:sz w:val="24"/>
          <w:szCs w:val="24"/>
          <w:u w:color="000000"/>
        </w:rPr>
        <w:t>1,186,391</w:t>
      </w:r>
      <w:r w:rsidRPr="00052F9E">
        <w:rPr>
          <w:rFonts w:eastAsia="Arial Unicode MS"/>
          <w:sz w:val="24"/>
          <w:szCs w:val="24"/>
          <w:u w:color="000000"/>
        </w:rPr>
        <w:t xml:space="preserve"> (average of three years).</w:t>
      </w:r>
    </w:p>
    <w:p w:rsidR="00F05442" w:rsidP="00F05442" w14:paraId="2B6AB39F" w14:textId="77777777">
      <w:pPr>
        <w:rPr>
          <w:rFonts w:eastAsia="Arial Unicode MS"/>
          <w:sz w:val="24"/>
          <w:szCs w:val="24"/>
          <w:u w:color="000000"/>
        </w:rPr>
      </w:pPr>
    </w:p>
    <w:p w:rsidR="001A3A81" w:rsidRPr="0072690B" w:rsidP="00CE0640" w14:paraId="2E253C8E" w14:textId="77777777">
      <w:pPr>
        <w:ind w:left="720"/>
        <w:rPr>
          <w:rFonts w:eastAsia="Arial Unicode MS"/>
          <w:sz w:val="24"/>
          <w:szCs w:val="24"/>
          <w:u w:color="000000"/>
        </w:rPr>
      </w:pPr>
    </w:p>
    <w:p w:rsidR="001A3A81" w:rsidRPr="00B651A5" w:rsidP="00B651A5" w14:paraId="6590DED0" w14:textId="77777777">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t>Explanation for Program Changes or Adjustments</w:t>
      </w:r>
    </w:p>
    <w:p w:rsidR="001A3A81" w:rsidP="00B651A5" w14:paraId="01C0B97E" w14:textId="77777777">
      <w:pPr>
        <w:rPr>
          <w:rFonts w:eastAsia="Arial Unicode MS"/>
          <w:sz w:val="24"/>
          <w:szCs w:val="24"/>
          <w:u w:color="000000"/>
        </w:rPr>
      </w:pPr>
    </w:p>
    <w:p w:rsidR="00580166" w:rsidRPr="0072690B" w:rsidP="00502F5E" w14:paraId="5998C7C6" w14:textId="23675179">
      <w:pPr>
        <w:rPr>
          <w:szCs w:val="24"/>
        </w:rPr>
      </w:pPr>
      <w:r w:rsidRPr="006A5CD6">
        <w:rPr>
          <w:rFonts w:eastAsia="Arial Unicode MS"/>
          <w:sz w:val="24"/>
          <w:szCs w:val="24"/>
          <w:u w:color="000000"/>
        </w:rPr>
        <w:t>This is a new data/information collection</w:t>
      </w:r>
      <w:r w:rsidR="00B3775E">
        <w:rPr>
          <w:rFonts w:eastAsia="Arial Unicode MS"/>
          <w:sz w:val="24"/>
          <w:szCs w:val="24"/>
          <w:u w:color="000000"/>
        </w:rPr>
        <w:t>.</w:t>
      </w:r>
    </w:p>
    <w:p w:rsidR="001A3A81" w:rsidRPr="0072690B" w:rsidP="00B651A5" w14:paraId="5534EF31" w14:textId="77777777">
      <w:pPr>
        <w:rPr>
          <w:rFonts w:eastAsia="Arial Unicode MS"/>
          <w:sz w:val="24"/>
          <w:szCs w:val="24"/>
          <w:u w:color="000000"/>
        </w:rPr>
      </w:pPr>
    </w:p>
    <w:p w:rsidR="001A3A81" w:rsidRPr="00B651A5" w:rsidP="00B651A5" w14:paraId="6AC909BC" w14:textId="77777777">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t>Plans for Tabulation and Publication and Project Time Schedule</w:t>
      </w:r>
    </w:p>
    <w:p w:rsidR="001A3A81" w:rsidRPr="0072690B" w:rsidP="00B651A5" w14:paraId="3D875075" w14:textId="77777777">
      <w:pPr>
        <w:rPr>
          <w:rFonts w:eastAsia="Arial Unicode MS"/>
          <w:sz w:val="24"/>
          <w:szCs w:val="24"/>
          <w:u w:color="000000"/>
        </w:rPr>
      </w:pPr>
    </w:p>
    <w:p w:rsidR="007C4053" w:rsidP="007C4053" w14:paraId="5B318055" w14:textId="0E3AC4EA">
      <w:pPr>
        <w:rPr>
          <w:rFonts w:eastAsia="Arial Unicode MS"/>
          <w:sz w:val="24"/>
          <w:szCs w:val="24"/>
          <w:u w:color="000000"/>
        </w:rPr>
      </w:pPr>
      <w:r w:rsidRPr="006954CA">
        <w:rPr>
          <w:rFonts w:eastAsia="Arial Unicode MS"/>
          <w:sz w:val="24"/>
          <w:szCs w:val="24"/>
          <w:u w:color="000000"/>
        </w:rPr>
        <w:t>Each Information Collection (IC) under this proposed generic ICR will be implemented at the beginning of an emergency response and case data will be collected for the duration of the emergency response.</w:t>
      </w:r>
    </w:p>
    <w:p w:rsidR="006954CA" w:rsidP="007C4053" w14:paraId="603AFE42" w14:textId="77777777">
      <w:pPr>
        <w:rPr>
          <w:rFonts w:eastAsia="Arial Unicode MS"/>
          <w:sz w:val="24"/>
          <w:szCs w:val="24"/>
          <w:u w:color="000000"/>
        </w:rPr>
      </w:pPr>
    </w:p>
    <w:p w:rsidR="00012BA1" w:rsidP="007C4053" w14:paraId="15151D77" w14:textId="4DAD5C35">
      <w:pPr>
        <w:rPr>
          <w:rFonts w:eastAsia="Arial Unicode MS"/>
          <w:sz w:val="24"/>
          <w:szCs w:val="24"/>
          <w:u w:color="000000"/>
        </w:rPr>
      </w:pPr>
      <w:r>
        <w:rPr>
          <w:rFonts w:eastAsia="Arial Unicode MS"/>
          <w:sz w:val="24"/>
          <w:szCs w:val="24"/>
          <w:u w:color="000000"/>
        </w:rPr>
        <w:t>Summary statistics of a</w:t>
      </w:r>
      <w:r w:rsidR="00B1697B">
        <w:rPr>
          <w:rFonts w:eastAsia="Arial Unicode MS"/>
          <w:sz w:val="24"/>
          <w:szCs w:val="24"/>
          <w:u w:color="000000"/>
        </w:rPr>
        <w:t>ggregate c</w:t>
      </w:r>
      <w:r w:rsidR="00E5544A">
        <w:rPr>
          <w:rFonts w:eastAsia="Arial Unicode MS"/>
          <w:sz w:val="24"/>
          <w:szCs w:val="24"/>
          <w:u w:color="000000"/>
        </w:rPr>
        <w:t xml:space="preserve">ase data from each emergency response </w:t>
      </w:r>
      <w:r w:rsidR="00B97910">
        <w:rPr>
          <w:rFonts w:eastAsia="Arial Unicode MS"/>
          <w:sz w:val="24"/>
          <w:szCs w:val="24"/>
          <w:u w:color="000000"/>
        </w:rPr>
        <w:t>may</w:t>
      </w:r>
      <w:r w:rsidR="00E5544A">
        <w:rPr>
          <w:rFonts w:eastAsia="Arial Unicode MS"/>
          <w:sz w:val="24"/>
          <w:szCs w:val="24"/>
          <w:u w:color="000000"/>
        </w:rPr>
        <w:t xml:space="preserve"> be available to the public on h</w:t>
      </w:r>
      <w:r w:rsidR="00555AF2">
        <w:rPr>
          <w:rFonts w:eastAsia="Arial Unicode MS"/>
          <w:sz w:val="24"/>
          <w:szCs w:val="24"/>
          <w:u w:color="000000"/>
        </w:rPr>
        <w:t>t</w:t>
      </w:r>
      <w:r w:rsidR="00E5544A">
        <w:rPr>
          <w:rFonts w:eastAsia="Arial Unicode MS"/>
          <w:sz w:val="24"/>
          <w:szCs w:val="24"/>
          <w:u w:color="000000"/>
        </w:rPr>
        <w:t>tp</w:t>
      </w:r>
      <w:r w:rsidR="00B1697B">
        <w:rPr>
          <w:rFonts w:eastAsia="Arial Unicode MS"/>
          <w:sz w:val="24"/>
          <w:szCs w:val="24"/>
          <w:u w:color="000000"/>
        </w:rPr>
        <w:t>s</w:t>
      </w:r>
      <w:r w:rsidR="00E5544A">
        <w:rPr>
          <w:rFonts w:eastAsia="Arial Unicode MS"/>
          <w:sz w:val="24"/>
          <w:szCs w:val="24"/>
          <w:u w:color="000000"/>
        </w:rPr>
        <w:t>://data.</w:t>
      </w:r>
      <w:r w:rsidR="001F62A9">
        <w:rPr>
          <w:rFonts w:eastAsia="Arial Unicode MS"/>
          <w:sz w:val="24"/>
          <w:szCs w:val="24"/>
          <w:u w:color="000000"/>
        </w:rPr>
        <w:t>cdc.</w:t>
      </w:r>
      <w:r w:rsidR="00E5544A">
        <w:rPr>
          <w:rFonts w:eastAsia="Arial Unicode MS"/>
          <w:sz w:val="24"/>
          <w:szCs w:val="24"/>
          <w:u w:color="000000"/>
        </w:rPr>
        <w:t>gov</w:t>
      </w:r>
      <w:r w:rsidR="00B97910">
        <w:rPr>
          <w:rFonts w:eastAsia="Arial Unicode MS"/>
          <w:sz w:val="24"/>
          <w:szCs w:val="24"/>
          <w:u w:color="000000"/>
        </w:rPr>
        <w:t xml:space="preserve"> and </w:t>
      </w:r>
      <w:r w:rsidRPr="00B1697B" w:rsidR="00B1697B">
        <w:rPr>
          <w:rFonts w:eastAsia="Arial Unicode MS"/>
          <w:sz w:val="24"/>
          <w:szCs w:val="24"/>
          <w:u w:color="0000FF"/>
        </w:rPr>
        <w:t>https://data.gov</w:t>
      </w:r>
      <w:r w:rsidR="005C7C84">
        <w:rPr>
          <w:rFonts w:eastAsia="Arial Unicode MS"/>
          <w:sz w:val="24"/>
          <w:szCs w:val="24"/>
          <w:u w:color="0000FF"/>
        </w:rPr>
        <w:t>.</w:t>
      </w:r>
      <w:r w:rsidR="00E5544A">
        <w:rPr>
          <w:rFonts w:eastAsia="Arial Unicode MS"/>
          <w:sz w:val="24"/>
          <w:szCs w:val="24"/>
          <w:u w:color="000000"/>
        </w:rPr>
        <w:t xml:space="preserve"> </w:t>
      </w:r>
    </w:p>
    <w:p w:rsidR="00B97910" w:rsidP="007C4053" w14:paraId="08E990E2" w14:textId="77777777">
      <w:pPr>
        <w:rPr>
          <w:rFonts w:eastAsia="Arial Unicode MS"/>
          <w:sz w:val="24"/>
          <w:szCs w:val="24"/>
          <w:u w:color="000000"/>
        </w:rPr>
      </w:pPr>
    </w:p>
    <w:p w:rsidR="00CB0869" w:rsidP="00B651A5" w14:paraId="661816E0" w14:textId="77777777">
      <w:pPr>
        <w:ind w:left="720"/>
        <w:rPr>
          <w:rFonts w:eastAsia="Arial Unicode MS"/>
          <w:sz w:val="24"/>
          <w:szCs w:val="24"/>
          <w:u w:color="000000"/>
        </w:rPr>
      </w:pPr>
    </w:p>
    <w:p w:rsidR="001A3A81" w:rsidRPr="00B651A5" w:rsidP="00B651A5" w14:paraId="1A3B9A21" w14:textId="77777777">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t>Reason(s) Display of OMB Expiration Date is Inappropriate</w:t>
      </w:r>
    </w:p>
    <w:p w:rsidR="001A3A81" w:rsidRPr="0072690B" w:rsidP="00B651A5" w14:paraId="7B94A2ED" w14:textId="77777777">
      <w:pPr>
        <w:ind w:left="720"/>
        <w:rPr>
          <w:rFonts w:eastAsia="Arial Unicode MS"/>
          <w:sz w:val="24"/>
          <w:szCs w:val="24"/>
          <w:u w:color="000000"/>
        </w:rPr>
      </w:pPr>
    </w:p>
    <w:p w:rsidR="001A3A81" w:rsidRPr="0072690B" w:rsidP="005E4E8F" w14:paraId="103B4E1E" w14:textId="0EB74183">
      <w:pPr>
        <w:tabs>
          <w:tab w:val="num" w:pos="720"/>
        </w:tabs>
        <w:rPr>
          <w:rFonts w:eastAsia="Arial Unicode MS"/>
          <w:sz w:val="24"/>
          <w:szCs w:val="24"/>
          <w:u w:color="000000"/>
        </w:rPr>
      </w:pPr>
      <w:r w:rsidRPr="0072690B">
        <w:rPr>
          <w:rFonts w:eastAsia="Arial Unicode MS"/>
          <w:sz w:val="24"/>
          <w:szCs w:val="24"/>
          <w:u w:color="000000"/>
        </w:rPr>
        <w:t>CDC is not requesting an exemption to the display of the expiration date.</w:t>
      </w:r>
      <w:r w:rsidR="008B2609">
        <w:rPr>
          <w:rFonts w:eastAsia="Arial Unicode MS"/>
          <w:sz w:val="24"/>
          <w:szCs w:val="24"/>
          <w:u w:color="000000"/>
        </w:rPr>
        <w:t xml:space="preserve"> </w:t>
      </w:r>
      <w:r w:rsidRPr="008B2609" w:rsidR="008B2609">
        <w:rPr>
          <w:rFonts w:eastAsia="Arial Unicode MS"/>
          <w:sz w:val="24"/>
          <w:szCs w:val="24"/>
          <w:u w:color="000000"/>
        </w:rPr>
        <w:t xml:space="preserve">CDC requests approval to place the PRA burden statement and OMB expiration date on the </w:t>
      </w:r>
      <w:r w:rsidR="00E15C98">
        <w:rPr>
          <w:rFonts w:eastAsia="Arial Unicode MS"/>
          <w:sz w:val="24"/>
          <w:szCs w:val="24"/>
          <w:u w:color="000000"/>
        </w:rPr>
        <w:t xml:space="preserve">MDN </w:t>
      </w:r>
      <w:r w:rsidRPr="00E15C98" w:rsidR="00E15C98">
        <w:rPr>
          <w:rFonts w:eastAsia="Arial Unicode MS"/>
          <w:sz w:val="24"/>
          <w:szCs w:val="24"/>
          <w:u w:color="000000"/>
        </w:rPr>
        <w:t>for Case Data During an Emergency Response</w:t>
      </w:r>
      <w:r w:rsidRPr="008B2609" w:rsidR="008B2609">
        <w:rPr>
          <w:rFonts w:eastAsia="Arial Unicode MS"/>
          <w:sz w:val="24"/>
          <w:szCs w:val="24"/>
          <w:u w:color="000000"/>
        </w:rPr>
        <w:t xml:space="preserve"> webpage. </w:t>
      </w:r>
      <w:r w:rsidR="00C257AB">
        <w:rPr>
          <w:rFonts w:eastAsia="Arial Unicode MS"/>
          <w:sz w:val="24"/>
          <w:szCs w:val="24"/>
          <w:u w:color="000000"/>
        </w:rPr>
        <w:t xml:space="preserve">A </w:t>
      </w:r>
      <w:r w:rsidRPr="008B2609" w:rsidR="008B2609">
        <w:rPr>
          <w:rFonts w:eastAsia="Arial Unicode MS"/>
          <w:sz w:val="24"/>
          <w:szCs w:val="24"/>
          <w:u w:color="000000"/>
        </w:rPr>
        <w:t xml:space="preserve">screenshot of the webpage is shown in </w:t>
      </w:r>
      <w:r w:rsidR="009B749A">
        <w:rPr>
          <w:rFonts w:eastAsia="Arial Unicode MS"/>
          <w:sz w:val="24"/>
          <w:szCs w:val="24"/>
          <w:u w:color="000000"/>
        </w:rPr>
        <w:t xml:space="preserve">an attachment. </w:t>
      </w:r>
      <w:r w:rsidRPr="003E3EEC" w:rsidR="003E3EEC">
        <w:rPr>
          <w:rFonts w:eastAsia="Arial Unicode MS"/>
          <w:b/>
          <w:bCs/>
          <w:sz w:val="24"/>
          <w:szCs w:val="24"/>
          <w:u w:color="000000"/>
        </w:rPr>
        <w:t>[</w:t>
      </w:r>
      <w:r w:rsidRPr="003E3EEC" w:rsidR="008B2609">
        <w:rPr>
          <w:rFonts w:eastAsia="Arial Unicode MS"/>
          <w:b/>
          <w:bCs/>
          <w:sz w:val="24"/>
          <w:szCs w:val="24"/>
          <w:u w:color="000000"/>
        </w:rPr>
        <w:t xml:space="preserve">Attachment </w:t>
      </w:r>
      <w:r w:rsidR="00982E6B">
        <w:rPr>
          <w:rFonts w:eastAsia="Arial Unicode MS"/>
          <w:b/>
          <w:bCs/>
          <w:sz w:val="24"/>
          <w:szCs w:val="24"/>
          <w:u w:color="000000"/>
        </w:rPr>
        <w:t>9</w:t>
      </w:r>
      <w:r w:rsidRPr="003E3EEC" w:rsidR="008B2609">
        <w:rPr>
          <w:rFonts w:eastAsia="Arial Unicode MS"/>
          <w:b/>
          <w:bCs/>
          <w:sz w:val="24"/>
          <w:szCs w:val="24"/>
          <w:u w:color="000000"/>
        </w:rPr>
        <w:t>. PRA Burden Statement Screenshot</w:t>
      </w:r>
      <w:r w:rsidRPr="003E3EEC" w:rsidR="003E3EEC">
        <w:rPr>
          <w:rFonts w:eastAsia="Arial Unicode MS"/>
          <w:b/>
          <w:bCs/>
          <w:sz w:val="24"/>
          <w:szCs w:val="24"/>
          <w:u w:color="000000"/>
        </w:rPr>
        <w:t>]</w:t>
      </w:r>
      <w:r w:rsidRPr="008B2609" w:rsidR="008B2609">
        <w:rPr>
          <w:rFonts w:eastAsia="Arial Unicode MS"/>
          <w:sz w:val="24"/>
          <w:szCs w:val="24"/>
          <w:u w:color="000000"/>
        </w:rPr>
        <w:t>.</w:t>
      </w:r>
    </w:p>
    <w:p w:rsidR="001A3A81" w:rsidRPr="0072690B" w:rsidP="00B651A5" w14:paraId="4E309DA7" w14:textId="77777777">
      <w:pPr>
        <w:ind w:left="720"/>
        <w:rPr>
          <w:rFonts w:eastAsia="Arial Unicode MS"/>
          <w:sz w:val="24"/>
          <w:szCs w:val="24"/>
          <w:u w:color="000000"/>
        </w:rPr>
      </w:pPr>
    </w:p>
    <w:p w:rsidR="007C4053" w:rsidP="007C4053" w14:paraId="3A1CF7D2" w14:textId="77777777">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Pr="00B651A5" w:rsidR="001A3A81">
        <w:rPr>
          <w:rFonts w:eastAsia="Arial Unicode MS"/>
          <w:b/>
          <w:sz w:val="24"/>
          <w:szCs w:val="24"/>
          <w:u w:color="000000"/>
        </w:rPr>
        <w:t>Exceptions to Certification for Paperwork Reduction Act Submissions</w:t>
      </w:r>
    </w:p>
    <w:p w:rsidR="007C4053" w:rsidP="007C4053" w14:paraId="045BF933" w14:textId="77777777">
      <w:pPr>
        <w:rPr>
          <w:rFonts w:eastAsia="Arial Unicode MS"/>
          <w:b/>
          <w:sz w:val="24"/>
          <w:szCs w:val="24"/>
          <w:u w:color="000000"/>
        </w:rPr>
      </w:pPr>
    </w:p>
    <w:p w:rsidR="00527A26" w:rsidRPr="007C4053" w:rsidP="007C4053" w14:paraId="5773DF0F" w14:textId="77777777">
      <w:pPr>
        <w:rPr>
          <w:rFonts w:eastAsia="Arial Unicode MS"/>
          <w:b/>
          <w:sz w:val="24"/>
          <w:szCs w:val="24"/>
          <w:u w:color="000000"/>
        </w:rPr>
      </w:pPr>
      <w:r w:rsidRPr="0072690B">
        <w:rPr>
          <w:rFonts w:eastAsia="Arial Unicode MS"/>
          <w:sz w:val="24"/>
          <w:szCs w:val="24"/>
          <w:u w:color="000000"/>
        </w:rPr>
        <w:t>There are no exemptions to the certifications statement.</w:t>
      </w:r>
    </w:p>
    <w:sectPr w:rsidSect="00E42D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1CDA" w:rsidP="007B00EF" w14:paraId="2E5F3A4B" w14:textId="77777777">
      <w:r>
        <w:separator/>
      </w:r>
    </w:p>
    <w:p w:rsidR="00A01CDA" w:rsidP="007B00EF" w14:paraId="164C28A3" w14:textId="77777777"/>
    <w:p w:rsidR="00A01CDA" w:rsidP="007B00EF" w14:paraId="02BFC372" w14:textId="77777777"/>
    <w:p w:rsidR="00A01CDA" w14:paraId="11B991CE" w14:textId="77777777"/>
  </w:endnote>
  <w:endnote w:type="continuationSeparator" w:id="1">
    <w:p w:rsidR="00A01CDA" w:rsidP="007B00EF" w14:paraId="0F04BE73" w14:textId="77777777">
      <w:r>
        <w:continuationSeparator/>
      </w:r>
    </w:p>
    <w:p w:rsidR="00A01CDA" w:rsidP="007B00EF" w14:paraId="440B0D3B" w14:textId="77777777"/>
    <w:p w:rsidR="00A01CDA" w:rsidP="007B00EF" w14:paraId="770766E6" w14:textId="77777777"/>
    <w:p w:rsidR="00A01CDA" w14:paraId="720376EB" w14:textId="77777777"/>
  </w:endnote>
  <w:endnote w:type="continuationNotice" w:id="2">
    <w:p w:rsidR="00A01CDA" w14:paraId="3FA3C5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5AB5F3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4B1" w14:paraId="6A3DA147"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D156E">
      <w:rPr>
        <w:noProof/>
      </w:rPr>
      <w:t>18</w:t>
    </w:r>
    <w:r>
      <w:rPr>
        <w:color w:val="2B579A"/>
        <w:shd w:val="clear" w:color="auto" w:fill="E6E6E6"/>
      </w:rPr>
      <w:fldChar w:fldCharType="end"/>
    </w:r>
  </w:p>
  <w:p w:rsidR="001664B1" w:rsidP="007B00EF" w14:paraId="5961020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02CB64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1CDA" w:rsidP="007B00EF" w14:paraId="1E5ECF8A" w14:textId="77777777">
      <w:r>
        <w:separator/>
      </w:r>
    </w:p>
    <w:p w:rsidR="00A01CDA" w:rsidP="007B00EF" w14:paraId="364C98BB" w14:textId="77777777"/>
    <w:p w:rsidR="00A01CDA" w:rsidP="007B00EF" w14:paraId="338C0F3B" w14:textId="77777777"/>
    <w:p w:rsidR="00A01CDA" w14:paraId="1F312759" w14:textId="77777777"/>
  </w:footnote>
  <w:footnote w:type="continuationSeparator" w:id="1">
    <w:p w:rsidR="00A01CDA" w:rsidP="007B00EF" w14:paraId="32B2AB5A" w14:textId="77777777">
      <w:r>
        <w:continuationSeparator/>
      </w:r>
    </w:p>
    <w:p w:rsidR="00A01CDA" w:rsidP="007B00EF" w14:paraId="0B647949" w14:textId="77777777"/>
    <w:p w:rsidR="00A01CDA" w:rsidP="007B00EF" w14:paraId="288D93FA" w14:textId="77777777"/>
    <w:p w:rsidR="00A01CDA" w14:paraId="5A72A8F9" w14:textId="77777777"/>
  </w:footnote>
  <w:footnote w:type="continuationNotice" w:id="2">
    <w:p w:rsidR="00A01CDA" w14:paraId="71AC72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730F44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631579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6A1BE3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abstractNum>
  <w:abstractNum w:abstractNumId="5">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nsid w:val="2D1528B1"/>
    <w:multiLevelType w:val="hybridMultilevel"/>
    <w:tmpl w:val="19C89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0F4755"/>
    <w:multiLevelType w:val="hybridMultilevel"/>
    <w:tmpl w:val="9DB6E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33E34"/>
    <w:multiLevelType w:val="hybridMultilevel"/>
    <w:tmpl w:val="47B4240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682E0BD1"/>
    <w:multiLevelType w:val="hybridMultilevel"/>
    <w:tmpl w:val="F06870AA"/>
    <w:lvl w:ilvl="0">
      <w:start w:val="1"/>
      <w:numFmt w:val="decimal"/>
      <w:lvlText w:val="%1."/>
      <w:lvlJc w:val="left"/>
      <w:pPr>
        <w:ind w:left="3690" w:hanging="360"/>
      </w:pPr>
    </w:lvl>
    <w:lvl w:ilvl="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num w:numId="1" w16cid:durableId="1665470717">
    <w:abstractNumId w:val="0"/>
  </w:num>
  <w:num w:numId="2" w16cid:durableId="714626159">
    <w:abstractNumId w:val="1"/>
  </w:num>
  <w:num w:numId="3" w16cid:durableId="399403941">
    <w:abstractNumId w:val="2"/>
  </w:num>
  <w:num w:numId="4" w16cid:durableId="508521763">
    <w:abstractNumId w:val="3"/>
  </w:num>
  <w:num w:numId="5" w16cid:durableId="1692873422">
    <w:abstractNumId w:val="4"/>
  </w:num>
  <w:num w:numId="6" w16cid:durableId="241063976">
    <w:abstractNumId w:val="5"/>
  </w:num>
  <w:num w:numId="7" w16cid:durableId="1649358354">
    <w:abstractNumId w:val="6"/>
  </w:num>
  <w:num w:numId="8" w16cid:durableId="1391347626">
    <w:abstractNumId w:val="10"/>
  </w:num>
  <w:num w:numId="9" w16cid:durableId="1058478692">
    <w:abstractNumId w:val="8"/>
  </w:num>
  <w:num w:numId="10" w16cid:durableId="1979416492">
    <w:abstractNumId w:val="7"/>
  </w:num>
  <w:num w:numId="11" w16cid:durableId="6654008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EmbedSmartTags/>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10D8"/>
    <w:rsid w:val="00002478"/>
    <w:rsid w:val="00002F4E"/>
    <w:rsid w:val="00007732"/>
    <w:rsid w:val="00007C5D"/>
    <w:rsid w:val="000105BF"/>
    <w:rsid w:val="00010BA5"/>
    <w:rsid w:val="00012BA1"/>
    <w:rsid w:val="00016DEC"/>
    <w:rsid w:val="000172EE"/>
    <w:rsid w:val="00020382"/>
    <w:rsid w:val="0002303D"/>
    <w:rsid w:val="0002517B"/>
    <w:rsid w:val="0002585A"/>
    <w:rsid w:val="00026125"/>
    <w:rsid w:val="0002687E"/>
    <w:rsid w:val="00026EFB"/>
    <w:rsid w:val="00027688"/>
    <w:rsid w:val="00027BB1"/>
    <w:rsid w:val="00030F38"/>
    <w:rsid w:val="00031BD2"/>
    <w:rsid w:val="000330D6"/>
    <w:rsid w:val="00034466"/>
    <w:rsid w:val="00036B16"/>
    <w:rsid w:val="000372F2"/>
    <w:rsid w:val="00042053"/>
    <w:rsid w:val="00042166"/>
    <w:rsid w:val="000431CE"/>
    <w:rsid w:val="000433F4"/>
    <w:rsid w:val="00052F9E"/>
    <w:rsid w:val="00053517"/>
    <w:rsid w:val="000538E0"/>
    <w:rsid w:val="000544FA"/>
    <w:rsid w:val="00055B44"/>
    <w:rsid w:val="00055D66"/>
    <w:rsid w:val="000570D8"/>
    <w:rsid w:val="00057D51"/>
    <w:rsid w:val="0006189C"/>
    <w:rsid w:val="00061EBE"/>
    <w:rsid w:val="00064B1B"/>
    <w:rsid w:val="00066150"/>
    <w:rsid w:val="0006715E"/>
    <w:rsid w:val="00067D72"/>
    <w:rsid w:val="00070C2E"/>
    <w:rsid w:val="000713EA"/>
    <w:rsid w:val="00071FC1"/>
    <w:rsid w:val="000733E0"/>
    <w:rsid w:val="000737ED"/>
    <w:rsid w:val="00074BA3"/>
    <w:rsid w:val="000759CB"/>
    <w:rsid w:val="00076C45"/>
    <w:rsid w:val="00080189"/>
    <w:rsid w:val="0008238E"/>
    <w:rsid w:val="00082808"/>
    <w:rsid w:val="000844F5"/>
    <w:rsid w:val="00084798"/>
    <w:rsid w:val="00084DE8"/>
    <w:rsid w:val="0008519B"/>
    <w:rsid w:val="0008544D"/>
    <w:rsid w:val="00085818"/>
    <w:rsid w:val="00085C8D"/>
    <w:rsid w:val="00090414"/>
    <w:rsid w:val="00094172"/>
    <w:rsid w:val="0009428A"/>
    <w:rsid w:val="00095714"/>
    <w:rsid w:val="00096679"/>
    <w:rsid w:val="00096DA5"/>
    <w:rsid w:val="00097D15"/>
    <w:rsid w:val="00097DBB"/>
    <w:rsid w:val="000A20EA"/>
    <w:rsid w:val="000A35BE"/>
    <w:rsid w:val="000A37F1"/>
    <w:rsid w:val="000A3BE1"/>
    <w:rsid w:val="000A4F40"/>
    <w:rsid w:val="000A6B2D"/>
    <w:rsid w:val="000A7A00"/>
    <w:rsid w:val="000B0A38"/>
    <w:rsid w:val="000B0CEC"/>
    <w:rsid w:val="000B12E3"/>
    <w:rsid w:val="000B19D3"/>
    <w:rsid w:val="000B3EC4"/>
    <w:rsid w:val="000B4458"/>
    <w:rsid w:val="000B4F5B"/>
    <w:rsid w:val="000B78AA"/>
    <w:rsid w:val="000C132C"/>
    <w:rsid w:val="000C4532"/>
    <w:rsid w:val="000C509C"/>
    <w:rsid w:val="000C51BC"/>
    <w:rsid w:val="000C7C01"/>
    <w:rsid w:val="000D0161"/>
    <w:rsid w:val="000D3809"/>
    <w:rsid w:val="000D6F7F"/>
    <w:rsid w:val="000D768F"/>
    <w:rsid w:val="000E172E"/>
    <w:rsid w:val="000E29FF"/>
    <w:rsid w:val="000E6AB4"/>
    <w:rsid w:val="000E7007"/>
    <w:rsid w:val="000F04CE"/>
    <w:rsid w:val="000F07E4"/>
    <w:rsid w:val="000F1020"/>
    <w:rsid w:val="000F1604"/>
    <w:rsid w:val="000F232C"/>
    <w:rsid w:val="000F2BD3"/>
    <w:rsid w:val="000F2CE1"/>
    <w:rsid w:val="000F515B"/>
    <w:rsid w:val="000F5F43"/>
    <w:rsid w:val="000F68D7"/>
    <w:rsid w:val="000F704A"/>
    <w:rsid w:val="000F750C"/>
    <w:rsid w:val="000F78FC"/>
    <w:rsid w:val="000F7B64"/>
    <w:rsid w:val="000F7C72"/>
    <w:rsid w:val="00100414"/>
    <w:rsid w:val="00100C4A"/>
    <w:rsid w:val="001011A2"/>
    <w:rsid w:val="00101E8A"/>
    <w:rsid w:val="00102314"/>
    <w:rsid w:val="0010570F"/>
    <w:rsid w:val="00106B85"/>
    <w:rsid w:val="001102FD"/>
    <w:rsid w:val="00111594"/>
    <w:rsid w:val="00115210"/>
    <w:rsid w:val="00115696"/>
    <w:rsid w:val="001157C7"/>
    <w:rsid w:val="00121E6B"/>
    <w:rsid w:val="00122E02"/>
    <w:rsid w:val="001236BF"/>
    <w:rsid w:val="00123798"/>
    <w:rsid w:val="0012450C"/>
    <w:rsid w:val="00124CB1"/>
    <w:rsid w:val="001261C8"/>
    <w:rsid w:val="001269D5"/>
    <w:rsid w:val="001303E5"/>
    <w:rsid w:val="00132AAC"/>
    <w:rsid w:val="00133051"/>
    <w:rsid w:val="0013390E"/>
    <w:rsid w:val="0013472C"/>
    <w:rsid w:val="00141361"/>
    <w:rsid w:val="00142656"/>
    <w:rsid w:val="00144232"/>
    <w:rsid w:val="001450A6"/>
    <w:rsid w:val="001479A9"/>
    <w:rsid w:val="00157D2C"/>
    <w:rsid w:val="00157FCB"/>
    <w:rsid w:val="00160246"/>
    <w:rsid w:val="0016402A"/>
    <w:rsid w:val="00165577"/>
    <w:rsid w:val="001664B1"/>
    <w:rsid w:val="0016709B"/>
    <w:rsid w:val="0017235D"/>
    <w:rsid w:val="00173013"/>
    <w:rsid w:val="00173727"/>
    <w:rsid w:val="00174BDB"/>
    <w:rsid w:val="00174CDD"/>
    <w:rsid w:val="0017618B"/>
    <w:rsid w:val="00177AD5"/>
    <w:rsid w:val="001806BA"/>
    <w:rsid w:val="00180CCE"/>
    <w:rsid w:val="00181361"/>
    <w:rsid w:val="00184C12"/>
    <w:rsid w:val="00187481"/>
    <w:rsid w:val="00187A2F"/>
    <w:rsid w:val="00187D30"/>
    <w:rsid w:val="00190493"/>
    <w:rsid w:val="00190FB0"/>
    <w:rsid w:val="00191146"/>
    <w:rsid w:val="001922D0"/>
    <w:rsid w:val="00193DA5"/>
    <w:rsid w:val="001948C7"/>
    <w:rsid w:val="00194E12"/>
    <w:rsid w:val="00197195"/>
    <w:rsid w:val="00197583"/>
    <w:rsid w:val="001A0061"/>
    <w:rsid w:val="001A08ED"/>
    <w:rsid w:val="001A1184"/>
    <w:rsid w:val="001A1ED2"/>
    <w:rsid w:val="001A3A81"/>
    <w:rsid w:val="001A438F"/>
    <w:rsid w:val="001A4FED"/>
    <w:rsid w:val="001A7948"/>
    <w:rsid w:val="001A7FFB"/>
    <w:rsid w:val="001B1E51"/>
    <w:rsid w:val="001B6B21"/>
    <w:rsid w:val="001B731A"/>
    <w:rsid w:val="001B7334"/>
    <w:rsid w:val="001C0286"/>
    <w:rsid w:val="001C1752"/>
    <w:rsid w:val="001C4014"/>
    <w:rsid w:val="001C4F23"/>
    <w:rsid w:val="001C6245"/>
    <w:rsid w:val="001C62FB"/>
    <w:rsid w:val="001D057E"/>
    <w:rsid w:val="001D0F80"/>
    <w:rsid w:val="001D1856"/>
    <w:rsid w:val="001D4CB1"/>
    <w:rsid w:val="001E124B"/>
    <w:rsid w:val="001E38FD"/>
    <w:rsid w:val="001E3C0C"/>
    <w:rsid w:val="001E5A9A"/>
    <w:rsid w:val="001E621C"/>
    <w:rsid w:val="001F03DE"/>
    <w:rsid w:val="001F2355"/>
    <w:rsid w:val="001F549C"/>
    <w:rsid w:val="001F62A9"/>
    <w:rsid w:val="001F6366"/>
    <w:rsid w:val="001F7FCC"/>
    <w:rsid w:val="00203376"/>
    <w:rsid w:val="00205A47"/>
    <w:rsid w:val="00207932"/>
    <w:rsid w:val="00207B07"/>
    <w:rsid w:val="0021052D"/>
    <w:rsid w:val="00210A99"/>
    <w:rsid w:val="00210EFD"/>
    <w:rsid w:val="00212B9E"/>
    <w:rsid w:val="002148F3"/>
    <w:rsid w:val="00214BB9"/>
    <w:rsid w:val="0022026C"/>
    <w:rsid w:val="0022047D"/>
    <w:rsid w:val="002205AD"/>
    <w:rsid w:val="002208CA"/>
    <w:rsid w:val="00220984"/>
    <w:rsid w:val="00220C38"/>
    <w:rsid w:val="0022199D"/>
    <w:rsid w:val="00224DA0"/>
    <w:rsid w:val="00226941"/>
    <w:rsid w:val="00226BA3"/>
    <w:rsid w:val="00226D89"/>
    <w:rsid w:val="00230437"/>
    <w:rsid w:val="00230EFC"/>
    <w:rsid w:val="00233070"/>
    <w:rsid w:val="00234FFE"/>
    <w:rsid w:val="002364DB"/>
    <w:rsid w:val="00236810"/>
    <w:rsid w:val="00240916"/>
    <w:rsid w:val="002430C1"/>
    <w:rsid w:val="00243197"/>
    <w:rsid w:val="002431B7"/>
    <w:rsid w:val="00243406"/>
    <w:rsid w:val="00243F61"/>
    <w:rsid w:val="0024404F"/>
    <w:rsid w:val="002450B0"/>
    <w:rsid w:val="00246293"/>
    <w:rsid w:val="002473B4"/>
    <w:rsid w:val="002530B5"/>
    <w:rsid w:val="0025618D"/>
    <w:rsid w:val="00256A30"/>
    <w:rsid w:val="00257477"/>
    <w:rsid w:val="00257F3B"/>
    <w:rsid w:val="00260B54"/>
    <w:rsid w:val="0026181F"/>
    <w:rsid w:val="00261FEE"/>
    <w:rsid w:val="002624DC"/>
    <w:rsid w:val="00263F17"/>
    <w:rsid w:val="00264B95"/>
    <w:rsid w:val="00266A57"/>
    <w:rsid w:val="00266AB9"/>
    <w:rsid w:val="002702E9"/>
    <w:rsid w:val="00270413"/>
    <w:rsid w:val="00270CFD"/>
    <w:rsid w:val="0027154C"/>
    <w:rsid w:val="00271B6E"/>
    <w:rsid w:val="00271CA9"/>
    <w:rsid w:val="002720CF"/>
    <w:rsid w:val="002730EF"/>
    <w:rsid w:val="00274FA8"/>
    <w:rsid w:val="002773BF"/>
    <w:rsid w:val="0027755C"/>
    <w:rsid w:val="002833C4"/>
    <w:rsid w:val="00284B6F"/>
    <w:rsid w:val="00290AD9"/>
    <w:rsid w:val="0029517C"/>
    <w:rsid w:val="0029648C"/>
    <w:rsid w:val="00296874"/>
    <w:rsid w:val="00297CDE"/>
    <w:rsid w:val="002A01BE"/>
    <w:rsid w:val="002A11A0"/>
    <w:rsid w:val="002A3A1F"/>
    <w:rsid w:val="002A46B8"/>
    <w:rsid w:val="002A5301"/>
    <w:rsid w:val="002A560C"/>
    <w:rsid w:val="002A6B98"/>
    <w:rsid w:val="002B00A1"/>
    <w:rsid w:val="002B0403"/>
    <w:rsid w:val="002B40CE"/>
    <w:rsid w:val="002B458F"/>
    <w:rsid w:val="002B4D56"/>
    <w:rsid w:val="002B5211"/>
    <w:rsid w:val="002B7FD7"/>
    <w:rsid w:val="002C020A"/>
    <w:rsid w:val="002C1BD7"/>
    <w:rsid w:val="002C3193"/>
    <w:rsid w:val="002C4FD0"/>
    <w:rsid w:val="002C6FD8"/>
    <w:rsid w:val="002C7C33"/>
    <w:rsid w:val="002D0C89"/>
    <w:rsid w:val="002D1EE0"/>
    <w:rsid w:val="002D2095"/>
    <w:rsid w:val="002D2DB0"/>
    <w:rsid w:val="002D6121"/>
    <w:rsid w:val="002D635F"/>
    <w:rsid w:val="002D7FE3"/>
    <w:rsid w:val="002E11C9"/>
    <w:rsid w:val="002E1BA7"/>
    <w:rsid w:val="002E2629"/>
    <w:rsid w:val="002E3A99"/>
    <w:rsid w:val="002F0C63"/>
    <w:rsid w:val="002F2930"/>
    <w:rsid w:val="002F3232"/>
    <w:rsid w:val="002F3968"/>
    <w:rsid w:val="002F4596"/>
    <w:rsid w:val="002F4D16"/>
    <w:rsid w:val="002F4FB0"/>
    <w:rsid w:val="002F58E3"/>
    <w:rsid w:val="002F5AB1"/>
    <w:rsid w:val="002F6278"/>
    <w:rsid w:val="002F6447"/>
    <w:rsid w:val="00300900"/>
    <w:rsid w:val="00301304"/>
    <w:rsid w:val="00301B63"/>
    <w:rsid w:val="0030280F"/>
    <w:rsid w:val="00304D98"/>
    <w:rsid w:val="00305642"/>
    <w:rsid w:val="00306035"/>
    <w:rsid w:val="00306122"/>
    <w:rsid w:val="00306570"/>
    <w:rsid w:val="00306E9D"/>
    <w:rsid w:val="00314109"/>
    <w:rsid w:val="003143B4"/>
    <w:rsid w:val="00317767"/>
    <w:rsid w:val="0031781A"/>
    <w:rsid w:val="003200CC"/>
    <w:rsid w:val="00324EC4"/>
    <w:rsid w:val="00325322"/>
    <w:rsid w:val="00325A6F"/>
    <w:rsid w:val="00325DBF"/>
    <w:rsid w:val="00326922"/>
    <w:rsid w:val="00330804"/>
    <w:rsid w:val="00330AA4"/>
    <w:rsid w:val="00330B4A"/>
    <w:rsid w:val="003322F1"/>
    <w:rsid w:val="003323A5"/>
    <w:rsid w:val="003323C3"/>
    <w:rsid w:val="0033297E"/>
    <w:rsid w:val="003346A2"/>
    <w:rsid w:val="00335DFC"/>
    <w:rsid w:val="003362E1"/>
    <w:rsid w:val="003377E7"/>
    <w:rsid w:val="0034141C"/>
    <w:rsid w:val="00344C1E"/>
    <w:rsid w:val="00345C7F"/>
    <w:rsid w:val="00345D95"/>
    <w:rsid w:val="003475D6"/>
    <w:rsid w:val="00347A31"/>
    <w:rsid w:val="003501D0"/>
    <w:rsid w:val="003512F2"/>
    <w:rsid w:val="00352223"/>
    <w:rsid w:val="00353430"/>
    <w:rsid w:val="00356B5F"/>
    <w:rsid w:val="00360C87"/>
    <w:rsid w:val="00361A4F"/>
    <w:rsid w:val="00361D66"/>
    <w:rsid w:val="00362743"/>
    <w:rsid w:val="0036400C"/>
    <w:rsid w:val="00365F13"/>
    <w:rsid w:val="00367025"/>
    <w:rsid w:val="0037061B"/>
    <w:rsid w:val="00373703"/>
    <w:rsid w:val="00373FE7"/>
    <w:rsid w:val="003753FB"/>
    <w:rsid w:val="00376011"/>
    <w:rsid w:val="00377A73"/>
    <w:rsid w:val="00377CF9"/>
    <w:rsid w:val="00377F69"/>
    <w:rsid w:val="00383C44"/>
    <w:rsid w:val="0038489D"/>
    <w:rsid w:val="00385E01"/>
    <w:rsid w:val="0038659E"/>
    <w:rsid w:val="003870BE"/>
    <w:rsid w:val="00391807"/>
    <w:rsid w:val="00392215"/>
    <w:rsid w:val="00392C8C"/>
    <w:rsid w:val="00393E7A"/>
    <w:rsid w:val="00394D21"/>
    <w:rsid w:val="003954A6"/>
    <w:rsid w:val="00396F72"/>
    <w:rsid w:val="003A0DB5"/>
    <w:rsid w:val="003A119B"/>
    <w:rsid w:val="003A5EA1"/>
    <w:rsid w:val="003A6046"/>
    <w:rsid w:val="003B1051"/>
    <w:rsid w:val="003B1DC9"/>
    <w:rsid w:val="003B1FBE"/>
    <w:rsid w:val="003B20BF"/>
    <w:rsid w:val="003B3AA4"/>
    <w:rsid w:val="003B442A"/>
    <w:rsid w:val="003B4D63"/>
    <w:rsid w:val="003B60F1"/>
    <w:rsid w:val="003B6632"/>
    <w:rsid w:val="003B6FD9"/>
    <w:rsid w:val="003B7280"/>
    <w:rsid w:val="003C03EB"/>
    <w:rsid w:val="003C1135"/>
    <w:rsid w:val="003C22F2"/>
    <w:rsid w:val="003C4D18"/>
    <w:rsid w:val="003C52F4"/>
    <w:rsid w:val="003C5B23"/>
    <w:rsid w:val="003C6761"/>
    <w:rsid w:val="003D16B3"/>
    <w:rsid w:val="003D1D34"/>
    <w:rsid w:val="003D244E"/>
    <w:rsid w:val="003D39F9"/>
    <w:rsid w:val="003D5437"/>
    <w:rsid w:val="003D5A5C"/>
    <w:rsid w:val="003D63D1"/>
    <w:rsid w:val="003D7C59"/>
    <w:rsid w:val="003E0092"/>
    <w:rsid w:val="003E15CC"/>
    <w:rsid w:val="003E1AEC"/>
    <w:rsid w:val="003E3EEC"/>
    <w:rsid w:val="003E4C7E"/>
    <w:rsid w:val="003E4F3A"/>
    <w:rsid w:val="003E611A"/>
    <w:rsid w:val="003E6CF2"/>
    <w:rsid w:val="003E6DB9"/>
    <w:rsid w:val="003E7E0F"/>
    <w:rsid w:val="003F1BEF"/>
    <w:rsid w:val="003F229D"/>
    <w:rsid w:val="003F2E99"/>
    <w:rsid w:val="003F3652"/>
    <w:rsid w:val="003F3915"/>
    <w:rsid w:val="003F39CB"/>
    <w:rsid w:val="003F4281"/>
    <w:rsid w:val="003F4A6A"/>
    <w:rsid w:val="003F4DAC"/>
    <w:rsid w:val="003F4FAE"/>
    <w:rsid w:val="003F73C1"/>
    <w:rsid w:val="003F7F90"/>
    <w:rsid w:val="004005EE"/>
    <w:rsid w:val="0040196A"/>
    <w:rsid w:val="004023AB"/>
    <w:rsid w:val="00402B8E"/>
    <w:rsid w:val="00402DAB"/>
    <w:rsid w:val="00403AAE"/>
    <w:rsid w:val="004043CA"/>
    <w:rsid w:val="00406955"/>
    <w:rsid w:val="00406A94"/>
    <w:rsid w:val="00407230"/>
    <w:rsid w:val="00407476"/>
    <w:rsid w:val="00407E80"/>
    <w:rsid w:val="004109F4"/>
    <w:rsid w:val="00414646"/>
    <w:rsid w:val="0041615D"/>
    <w:rsid w:val="0042175C"/>
    <w:rsid w:val="00421C60"/>
    <w:rsid w:val="0042344E"/>
    <w:rsid w:val="00425644"/>
    <w:rsid w:val="00426DDD"/>
    <w:rsid w:val="00427F22"/>
    <w:rsid w:val="00430922"/>
    <w:rsid w:val="00433832"/>
    <w:rsid w:val="00433BD8"/>
    <w:rsid w:val="004358B5"/>
    <w:rsid w:val="00436351"/>
    <w:rsid w:val="0043689B"/>
    <w:rsid w:val="004375B3"/>
    <w:rsid w:val="004376BC"/>
    <w:rsid w:val="004408DD"/>
    <w:rsid w:val="00441186"/>
    <w:rsid w:val="00441CC0"/>
    <w:rsid w:val="00442472"/>
    <w:rsid w:val="004427B9"/>
    <w:rsid w:val="00443883"/>
    <w:rsid w:val="0044575B"/>
    <w:rsid w:val="00451654"/>
    <w:rsid w:val="004517C9"/>
    <w:rsid w:val="00452E5D"/>
    <w:rsid w:val="00453FE4"/>
    <w:rsid w:val="004577CD"/>
    <w:rsid w:val="00460678"/>
    <w:rsid w:val="004612F1"/>
    <w:rsid w:val="004615ED"/>
    <w:rsid w:val="004615FB"/>
    <w:rsid w:val="00461626"/>
    <w:rsid w:val="004639D9"/>
    <w:rsid w:val="00464AA4"/>
    <w:rsid w:val="00464AB6"/>
    <w:rsid w:val="00465D38"/>
    <w:rsid w:val="00465DBE"/>
    <w:rsid w:val="00472A47"/>
    <w:rsid w:val="0047565B"/>
    <w:rsid w:val="00475995"/>
    <w:rsid w:val="00476ED6"/>
    <w:rsid w:val="004776FC"/>
    <w:rsid w:val="0048130B"/>
    <w:rsid w:val="00482D85"/>
    <w:rsid w:val="00484982"/>
    <w:rsid w:val="00485EC5"/>
    <w:rsid w:val="00486366"/>
    <w:rsid w:val="00487A10"/>
    <w:rsid w:val="0049013A"/>
    <w:rsid w:val="0049016A"/>
    <w:rsid w:val="004925D0"/>
    <w:rsid w:val="00495394"/>
    <w:rsid w:val="004955C2"/>
    <w:rsid w:val="00496C47"/>
    <w:rsid w:val="0049749B"/>
    <w:rsid w:val="004A017F"/>
    <w:rsid w:val="004A1378"/>
    <w:rsid w:val="004A2C6F"/>
    <w:rsid w:val="004A2D5E"/>
    <w:rsid w:val="004A5470"/>
    <w:rsid w:val="004A5EA8"/>
    <w:rsid w:val="004A5EF5"/>
    <w:rsid w:val="004A6568"/>
    <w:rsid w:val="004B0278"/>
    <w:rsid w:val="004B1F20"/>
    <w:rsid w:val="004B32B5"/>
    <w:rsid w:val="004B339C"/>
    <w:rsid w:val="004B35B1"/>
    <w:rsid w:val="004B4B90"/>
    <w:rsid w:val="004B5BC7"/>
    <w:rsid w:val="004B6929"/>
    <w:rsid w:val="004C1949"/>
    <w:rsid w:val="004C3342"/>
    <w:rsid w:val="004C3F1E"/>
    <w:rsid w:val="004C5067"/>
    <w:rsid w:val="004C65BA"/>
    <w:rsid w:val="004C7D36"/>
    <w:rsid w:val="004D04B0"/>
    <w:rsid w:val="004D08B1"/>
    <w:rsid w:val="004D09B0"/>
    <w:rsid w:val="004D6F4D"/>
    <w:rsid w:val="004D7937"/>
    <w:rsid w:val="004E1FCC"/>
    <w:rsid w:val="004E24F9"/>
    <w:rsid w:val="004E2E65"/>
    <w:rsid w:val="004E3B80"/>
    <w:rsid w:val="004E4736"/>
    <w:rsid w:val="004E4BCE"/>
    <w:rsid w:val="004E55A2"/>
    <w:rsid w:val="004E5690"/>
    <w:rsid w:val="004E5729"/>
    <w:rsid w:val="004E5BF1"/>
    <w:rsid w:val="004F0D5F"/>
    <w:rsid w:val="004F1230"/>
    <w:rsid w:val="004F1822"/>
    <w:rsid w:val="004F2C57"/>
    <w:rsid w:val="004F2C60"/>
    <w:rsid w:val="004F2DCC"/>
    <w:rsid w:val="004F3571"/>
    <w:rsid w:val="004F3F9C"/>
    <w:rsid w:val="004F4B5F"/>
    <w:rsid w:val="004F4D25"/>
    <w:rsid w:val="00500836"/>
    <w:rsid w:val="00500BAB"/>
    <w:rsid w:val="00501620"/>
    <w:rsid w:val="00502F5E"/>
    <w:rsid w:val="0050457E"/>
    <w:rsid w:val="005051EF"/>
    <w:rsid w:val="005067EA"/>
    <w:rsid w:val="00506F5C"/>
    <w:rsid w:val="005100DC"/>
    <w:rsid w:val="005100F4"/>
    <w:rsid w:val="00510881"/>
    <w:rsid w:val="005121F4"/>
    <w:rsid w:val="00512FCF"/>
    <w:rsid w:val="00515B48"/>
    <w:rsid w:val="00515C52"/>
    <w:rsid w:val="005163FC"/>
    <w:rsid w:val="005176B2"/>
    <w:rsid w:val="00517DC4"/>
    <w:rsid w:val="00520376"/>
    <w:rsid w:val="0052206B"/>
    <w:rsid w:val="00525E54"/>
    <w:rsid w:val="00526C25"/>
    <w:rsid w:val="005277A1"/>
    <w:rsid w:val="00527A26"/>
    <w:rsid w:val="00527E8C"/>
    <w:rsid w:val="00527FE4"/>
    <w:rsid w:val="005330FD"/>
    <w:rsid w:val="00533AFA"/>
    <w:rsid w:val="00535130"/>
    <w:rsid w:val="00535244"/>
    <w:rsid w:val="00535876"/>
    <w:rsid w:val="00541FE1"/>
    <w:rsid w:val="00542718"/>
    <w:rsid w:val="00542A5F"/>
    <w:rsid w:val="005446F8"/>
    <w:rsid w:val="00545985"/>
    <w:rsid w:val="00547844"/>
    <w:rsid w:val="005505E2"/>
    <w:rsid w:val="0055073F"/>
    <w:rsid w:val="005518C8"/>
    <w:rsid w:val="005524E2"/>
    <w:rsid w:val="005538DE"/>
    <w:rsid w:val="00555AF2"/>
    <w:rsid w:val="00556D22"/>
    <w:rsid w:val="00563957"/>
    <w:rsid w:val="005660D8"/>
    <w:rsid w:val="005666FA"/>
    <w:rsid w:val="0057273B"/>
    <w:rsid w:val="0057310B"/>
    <w:rsid w:val="00573945"/>
    <w:rsid w:val="00573FE3"/>
    <w:rsid w:val="0057407D"/>
    <w:rsid w:val="00575385"/>
    <w:rsid w:val="00576052"/>
    <w:rsid w:val="00576D84"/>
    <w:rsid w:val="005774A0"/>
    <w:rsid w:val="00580166"/>
    <w:rsid w:val="00583B53"/>
    <w:rsid w:val="0058687C"/>
    <w:rsid w:val="00586CA5"/>
    <w:rsid w:val="005877DF"/>
    <w:rsid w:val="005878B9"/>
    <w:rsid w:val="00587D12"/>
    <w:rsid w:val="0059052D"/>
    <w:rsid w:val="0059159A"/>
    <w:rsid w:val="00591DFF"/>
    <w:rsid w:val="0059201B"/>
    <w:rsid w:val="00592168"/>
    <w:rsid w:val="00593569"/>
    <w:rsid w:val="00595555"/>
    <w:rsid w:val="00596298"/>
    <w:rsid w:val="00597630"/>
    <w:rsid w:val="00597912"/>
    <w:rsid w:val="005979E9"/>
    <w:rsid w:val="005A1051"/>
    <w:rsid w:val="005A4B8C"/>
    <w:rsid w:val="005A4FDF"/>
    <w:rsid w:val="005A7152"/>
    <w:rsid w:val="005A72D6"/>
    <w:rsid w:val="005B0F82"/>
    <w:rsid w:val="005B18C3"/>
    <w:rsid w:val="005B41E0"/>
    <w:rsid w:val="005B4997"/>
    <w:rsid w:val="005B6DA9"/>
    <w:rsid w:val="005C0568"/>
    <w:rsid w:val="005C0BF8"/>
    <w:rsid w:val="005C2325"/>
    <w:rsid w:val="005C2950"/>
    <w:rsid w:val="005C5DAB"/>
    <w:rsid w:val="005C6989"/>
    <w:rsid w:val="005C7841"/>
    <w:rsid w:val="005C7C84"/>
    <w:rsid w:val="005D08AD"/>
    <w:rsid w:val="005D09F2"/>
    <w:rsid w:val="005D17DD"/>
    <w:rsid w:val="005D2CED"/>
    <w:rsid w:val="005D343D"/>
    <w:rsid w:val="005D35BB"/>
    <w:rsid w:val="005D4BFA"/>
    <w:rsid w:val="005D5808"/>
    <w:rsid w:val="005D5FD5"/>
    <w:rsid w:val="005D6A59"/>
    <w:rsid w:val="005D7275"/>
    <w:rsid w:val="005D79F7"/>
    <w:rsid w:val="005E0551"/>
    <w:rsid w:val="005E1334"/>
    <w:rsid w:val="005E1474"/>
    <w:rsid w:val="005E1590"/>
    <w:rsid w:val="005E159F"/>
    <w:rsid w:val="005E4E8F"/>
    <w:rsid w:val="005E5773"/>
    <w:rsid w:val="005E7367"/>
    <w:rsid w:val="005F0DF8"/>
    <w:rsid w:val="005F675F"/>
    <w:rsid w:val="0060141B"/>
    <w:rsid w:val="00601723"/>
    <w:rsid w:val="00601AE9"/>
    <w:rsid w:val="00602841"/>
    <w:rsid w:val="00602B2D"/>
    <w:rsid w:val="0060344E"/>
    <w:rsid w:val="00603B37"/>
    <w:rsid w:val="00603C52"/>
    <w:rsid w:val="0060583B"/>
    <w:rsid w:val="006060E7"/>
    <w:rsid w:val="0060669F"/>
    <w:rsid w:val="00606D0C"/>
    <w:rsid w:val="00610378"/>
    <w:rsid w:val="006129D7"/>
    <w:rsid w:val="006139B8"/>
    <w:rsid w:val="00614842"/>
    <w:rsid w:val="00615C84"/>
    <w:rsid w:val="00617878"/>
    <w:rsid w:val="00623090"/>
    <w:rsid w:val="0062522E"/>
    <w:rsid w:val="00625484"/>
    <w:rsid w:val="00625BFD"/>
    <w:rsid w:val="00630315"/>
    <w:rsid w:val="00631986"/>
    <w:rsid w:val="00633917"/>
    <w:rsid w:val="0063424D"/>
    <w:rsid w:val="0063565C"/>
    <w:rsid w:val="00635D7A"/>
    <w:rsid w:val="00635DF0"/>
    <w:rsid w:val="0063678F"/>
    <w:rsid w:val="006400CE"/>
    <w:rsid w:val="006413B4"/>
    <w:rsid w:val="006413D8"/>
    <w:rsid w:val="00641E11"/>
    <w:rsid w:val="00641FE5"/>
    <w:rsid w:val="00643E20"/>
    <w:rsid w:val="00647D3E"/>
    <w:rsid w:val="00651E48"/>
    <w:rsid w:val="00653F38"/>
    <w:rsid w:val="006554E0"/>
    <w:rsid w:val="00655C19"/>
    <w:rsid w:val="0065646C"/>
    <w:rsid w:val="00656C1B"/>
    <w:rsid w:val="00660679"/>
    <w:rsid w:val="00664CB8"/>
    <w:rsid w:val="00665778"/>
    <w:rsid w:val="00666E35"/>
    <w:rsid w:val="006704EF"/>
    <w:rsid w:val="00670F5F"/>
    <w:rsid w:val="00673157"/>
    <w:rsid w:val="00673BC5"/>
    <w:rsid w:val="0067505F"/>
    <w:rsid w:val="0067564B"/>
    <w:rsid w:val="00676A7E"/>
    <w:rsid w:val="00676C8D"/>
    <w:rsid w:val="00676F3E"/>
    <w:rsid w:val="00677495"/>
    <w:rsid w:val="006779BA"/>
    <w:rsid w:val="006805E7"/>
    <w:rsid w:val="00683702"/>
    <w:rsid w:val="006860F9"/>
    <w:rsid w:val="0068663A"/>
    <w:rsid w:val="00690F88"/>
    <w:rsid w:val="006912F5"/>
    <w:rsid w:val="00692C73"/>
    <w:rsid w:val="00693732"/>
    <w:rsid w:val="00693A56"/>
    <w:rsid w:val="00693ABF"/>
    <w:rsid w:val="00694168"/>
    <w:rsid w:val="00694E2B"/>
    <w:rsid w:val="006954CA"/>
    <w:rsid w:val="006967AB"/>
    <w:rsid w:val="006969D5"/>
    <w:rsid w:val="00696E7C"/>
    <w:rsid w:val="006A0CA9"/>
    <w:rsid w:val="006A3E69"/>
    <w:rsid w:val="006A59AE"/>
    <w:rsid w:val="006A5CD6"/>
    <w:rsid w:val="006A60A3"/>
    <w:rsid w:val="006A7BC9"/>
    <w:rsid w:val="006B312C"/>
    <w:rsid w:val="006B3FFA"/>
    <w:rsid w:val="006B5C4B"/>
    <w:rsid w:val="006B636B"/>
    <w:rsid w:val="006B73D1"/>
    <w:rsid w:val="006C1323"/>
    <w:rsid w:val="006C1DF1"/>
    <w:rsid w:val="006C2469"/>
    <w:rsid w:val="006C2FF5"/>
    <w:rsid w:val="006C395E"/>
    <w:rsid w:val="006C508A"/>
    <w:rsid w:val="006C7EC9"/>
    <w:rsid w:val="006D0E4B"/>
    <w:rsid w:val="006D10DD"/>
    <w:rsid w:val="006D1936"/>
    <w:rsid w:val="006D1EE3"/>
    <w:rsid w:val="006D47D5"/>
    <w:rsid w:val="006D5A42"/>
    <w:rsid w:val="006D7365"/>
    <w:rsid w:val="006D7F25"/>
    <w:rsid w:val="006E3370"/>
    <w:rsid w:val="006E4F83"/>
    <w:rsid w:val="006E586B"/>
    <w:rsid w:val="006E5EB5"/>
    <w:rsid w:val="006E754B"/>
    <w:rsid w:val="006E7BF3"/>
    <w:rsid w:val="006F00D3"/>
    <w:rsid w:val="006F0FBE"/>
    <w:rsid w:val="006F14C5"/>
    <w:rsid w:val="006F18BC"/>
    <w:rsid w:val="006F325B"/>
    <w:rsid w:val="006F4031"/>
    <w:rsid w:val="006F586C"/>
    <w:rsid w:val="006F6304"/>
    <w:rsid w:val="006F6CAA"/>
    <w:rsid w:val="00702969"/>
    <w:rsid w:val="00704140"/>
    <w:rsid w:val="00704CF8"/>
    <w:rsid w:val="00706158"/>
    <w:rsid w:val="0071042C"/>
    <w:rsid w:val="0071118B"/>
    <w:rsid w:val="007150E2"/>
    <w:rsid w:val="00715540"/>
    <w:rsid w:val="00720887"/>
    <w:rsid w:val="00720F88"/>
    <w:rsid w:val="00723171"/>
    <w:rsid w:val="00723C22"/>
    <w:rsid w:val="007243F0"/>
    <w:rsid w:val="00724B74"/>
    <w:rsid w:val="00725B6C"/>
    <w:rsid w:val="00725CF0"/>
    <w:rsid w:val="0072690B"/>
    <w:rsid w:val="00730E0C"/>
    <w:rsid w:val="007310C4"/>
    <w:rsid w:val="00732210"/>
    <w:rsid w:val="0073315B"/>
    <w:rsid w:val="00733369"/>
    <w:rsid w:val="00733723"/>
    <w:rsid w:val="00735826"/>
    <w:rsid w:val="007366BE"/>
    <w:rsid w:val="00736C53"/>
    <w:rsid w:val="00736FD7"/>
    <w:rsid w:val="007412E7"/>
    <w:rsid w:val="0074233E"/>
    <w:rsid w:val="007429CE"/>
    <w:rsid w:val="0074310D"/>
    <w:rsid w:val="007436F9"/>
    <w:rsid w:val="00743AF9"/>
    <w:rsid w:val="007442FB"/>
    <w:rsid w:val="0074556F"/>
    <w:rsid w:val="00746C28"/>
    <w:rsid w:val="007524C0"/>
    <w:rsid w:val="00756364"/>
    <w:rsid w:val="00757E49"/>
    <w:rsid w:val="0076067D"/>
    <w:rsid w:val="0076088F"/>
    <w:rsid w:val="00760F6A"/>
    <w:rsid w:val="00762E5A"/>
    <w:rsid w:val="00765986"/>
    <w:rsid w:val="00765D5A"/>
    <w:rsid w:val="007711CD"/>
    <w:rsid w:val="0077278C"/>
    <w:rsid w:val="00773293"/>
    <w:rsid w:val="00775478"/>
    <w:rsid w:val="00775C7A"/>
    <w:rsid w:val="00776599"/>
    <w:rsid w:val="00782B38"/>
    <w:rsid w:val="00783129"/>
    <w:rsid w:val="00783191"/>
    <w:rsid w:val="00784B65"/>
    <w:rsid w:val="00784C67"/>
    <w:rsid w:val="00786A58"/>
    <w:rsid w:val="00787213"/>
    <w:rsid w:val="00787DFA"/>
    <w:rsid w:val="0079219F"/>
    <w:rsid w:val="0079241F"/>
    <w:rsid w:val="00796489"/>
    <w:rsid w:val="0079779B"/>
    <w:rsid w:val="007A0BF2"/>
    <w:rsid w:val="007A1446"/>
    <w:rsid w:val="007A2162"/>
    <w:rsid w:val="007A226A"/>
    <w:rsid w:val="007A35A8"/>
    <w:rsid w:val="007A49EA"/>
    <w:rsid w:val="007A664F"/>
    <w:rsid w:val="007A7426"/>
    <w:rsid w:val="007A7466"/>
    <w:rsid w:val="007B00EF"/>
    <w:rsid w:val="007B14DE"/>
    <w:rsid w:val="007B1E84"/>
    <w:rsid w:val="007B21AA"/>
    <w:rsid w:val="007B3729"/>
    <w:rsid w:val="007B3B43"/>
    <w:rsid w:val="007B4153"/>
    <w:rsid w:val="007B4788"/>
    <w:rsid w:val="007B50AA"/>
    <w:rsid w:val="007B51FF"/>
    <w:rsid w:val="007B55EF"/>
    <w:rsid w:val="007B770D"/>
    <w:rsid w:val="007B79DD"/>
    <w:rsid w:val="007B7F09"/>
    <w:rsid w:val="007C0C42"/>
    <w:rsid w:val="007C1705"/>
    <w:rsid w:val="007C1A8B"/>
    <w:rsid w:val="007C22E9"/>
    <w:rsid w:val="007C4053"/>
    <w:rsid w:val="007C461E"/>
    <w:rsid w:val="007C69AA"/>
    <w:rsid w:val="007C7C1B"/>
    <w:rsid w:val="007D24E2"/>
    <w:rsid w:val="007D2C17"/>
    <w:rsid w:val="007D3976"/>
    <w:rsid w:val="007D48FB"/>
    <w:rsid w:val="007D528E"/>
    <w:rsid w:val="007D7E6C"/>
    <w:rsid w:val="007E2AFF"/>
    <w:rsid w:val="007E4D4E"/>
    <w:rsid w:val="007E6CA5"/>
    <w:rsid w:val="007E759B"/>
    <w:rsid w:val="007F1C15"/>
    <w:rsid w:val="007F29E7"/>
    <w:rsid w:val="007F36D0"/>
    <w:rsid w:val="007F388B"/>
    <w:rsid w:val="007F46F3"/>
    <w:rsid w:val="007F5786"/>
    <w:rsid w:val="007F60B7"/>
    <w:rsid w:val="00801F06"/>
    <w:rsid w:val="008021C0"/>
    <w:rsid w:val="0080593C"/>
    <w:rsid w:val="0080767C"/>
    <w:rsid w:val="00812871"/>
    <w:rsid w:val="008128E6"/>
    <w:rsid w:val="008209F8"/>
    <w:rsid w:val="00821C53"/>
    <w:rsid w:val="00823B48"/>
    <w:rsid w:val="0082439B"/>
    <w:rsid w:val="00825311"/>
    <w:rsid w:val="00826B23"/>
    <w:rsid w:val="0082785C"/>
    <w:rsid w:val="00827FB0"/>
    <w:rsid w:val="0083107C"/>
    <w:rsid w:val="00831196"/>
    <w:rsid w:val="00833C47"/>
    <w:rsid w:val="0083549B"/>
    <w:rsid w:val="008367A7"/>
    <w:rsid w:val="00842ED7"/>
    <w:rsid w:val="00844604"/>
    <w:rsid w:val="00845417"/>
    <w:rsid w:val="008464CB"/>
    <w:rsid w:val="00847CE1"/>
    <w:rsid w:val="008523D7"/>
    <w:rsid w:val="00854970"/>
    <w:rsid w:val="00854DB8"/>
    <w:rsid w:val="008553DD"/>
    <w:rsid w:val="00864093"/>
    <w:rsid w:val="00864B87"/>
    <w:rsid w:val="008655BC"/>
    <w:rsid w:val="00865821"/>
    <w:rsid w:val="00866A72"/>
    <w:rsid w:val="00866C92"/>
    <w:rsid w:val="00867766"/>
    <w:rsid w:val="00872674"/>
    <w:rsid w:val="008729A1"/>
    <w:rsid w:val="00874964"/>
    <w:rsid w:val="0087638A"/>
    <w:rsid w:val="0088103B"/>
    <w:rsid w:val="00881CAF"/>
    <w:rsid w:val="00882EC8"/>
    <w:rsid w:val="00882FE3"/>
    <w:rsid w:val="00884221"/>
    <w:rsid w:val="008845B3"/>
    <w:rsid w:val="0088487F"/>
    <w:rsid w:val="008848FE"/>
    <w:rsid w:val="00884D4F"/>
    <w:rsid w:val="008850DC"/>
    <w:rsid w:val="0088523E"/>
    <w:rsid w:val="00887E8D"/>
    <w:rsid w:val="008900CB"/>
    <w:rsid w:val="00891725"/>
    <w:rsid w:val="0089379A"/>
    <w:rsid w:val="00895B1A"/>
    <w:rsid w:val="008A37FC"/>
    <w:rsid w:val="008A389B"/>
    <w:rsid w:val="008A48BE"/>
    <w:rsid w:val="008A5D1A"/>
    <w:rsid w:val="008A70DD"/>
    <w:rsid w:val="008A769D"/>
    <w:rsid w:val="008A7913"/>
    <w:rsid w:val="008B101B"/>
    <w:rsid w:val="008B1118"/>
    <w:rsid w:val="008B1190"/>
    <w:rsid w:val="008B1F30"/>
    <w:rsid w:val="008B2609"/>
    <w:rsid w:val="008B53A1"/>
    <w:rsid w:val="008B5767"/>
    <w:rsid w:val="008B5DF7"/>
    <w:rsid w:val="008B60E5"/>
    <w:rsid w:val="008B710F"/>
    <w:rsid w:val="008C1F9E"/>
    <w:rsid w:val="008C32AF"/>
    <w:rsid w:val="008C3CFD"/>
    <w:rsid w:val="008C3ED0"/>
    <w:rsid w:val="008C496E"/>
    <w:rsid w:val="008C5039"/>
    <w:rsid w:val="008C7192"/>
    <w:rsid w:val="008D1F60"/>
    <w:rsid w:val="008D41BA"/>
    <w:rsid w:val="008D4D35"/>
    <w:rsid w:val="008D6B6E"/>
    <w:rsid w:val="008D7C33"/>
    <w:rsid w:val="008D7C72"/>
    <w:rsid w:val="008E034E"/>
    <w:rsid w:val="008E148E"/>
    <w:rsid w:val="008E165F"/>
    <w:rsid w:val="008E4195"/>
    <w:rsid w:val="008E4B57"/>
    <w:rsid w:val="008E5A19"/>
    <w:rsid w:val="008E62F7"/>
    <w:rsid w:val="008F08DA"/>
    <w:rsid w:val="008F2DDB"/>
    <w:rsid w:val="008F2FA5"/>
    <w:rsid w:val="008F31B0"/>
    <w:rsid w:val="008F35B3"/>
    <w:rsid w:val="008F587F"/>
    <w:rsid w:val="008F6042"/>
    <w:rsid w:val="00900052"/>
    <w:rsid w:val="00900311"/>
    <w:rsid w:val="00900E69"/>
    <w:rsid w:val="00902D98"/>
    <w:rsid w:val="00903B43"/>
    <w:rsid w:val="0090587B"/>
    <w:rsid w:val="00906960"/>
    <w:rsid w:val="00907102"/>
    <w:rsid w:val="00907FA5"/>
    <w:rsid w:val="00910F69"/>
    <w:rsid w:val="00912A6F"/>
    <w:rsid w:val="0091310E"/>
    <w:rsid w:val="00914022"/>
    <w:rsid w:val="009178D4"/>
    <w:rsid w:val="00920B79"/>
    <w:rsid w:val="00922BCE"/>
    <w:rsid w:val="009232F5"/>
    <w:rsid w:val="00923802"/>
    <w:rsid w:val="00923CFA"/>
    <w:rsid w:val="009242D2"/>
    <w:rsid w:val="00925F0F"/>
    <w:rsid w:val="00926811"/>
    <w:rsid w:val="00926DD5"/>
    <w:rsid w:val="00930C56"/>
    <w:rsid w:val="00932276"/>
    <w:rsid w:val="0093464B"/>
    <w:rsid w:val="00935026"/>
    <w:rsid w:val="0093711A"/>
    <w:rsid w:val="0093740C"/>
    <w:rsid w:val="00937BBE"/>
    <w:rsid w:val="00940C8D"/>
    <w:rsid w:val="00941FD5"/>
    <w:rsid w:val="00944B86"/>
    <w:rsid w:val="00946BF8"/>
    <w:rsid w:val="00946F29"/>
    <w:rsid w:val="00947010"/>
    <w:rsid w:val="0094710D"/>
    <w:rsid w:val="00947D02"/>
    <w:rsid w:val="009502E0"/>
    <w:rsid w:val="00950428"/>
    <w:rsid w:val="0095231B"/>
    <w:rsid w:val="00954C0F"/>
    <w:rsid w:val="00955551"/>
    <w:rsid w:val="00960E7A"/>
    <w:rsid w:val="00961AB2"/>
    <w:rsid w:val="00961DFC"/>
    <w:rsid w:val="009620D4"/>
    <w:rsid w:val="00962D6E"/>
    <w:rsid w:val="009638D2"/>
    <w:rsid w:val="00963BFF"/>
    <w:rsid w:val="00964634"/>
    <w:rsid w:val="009651B8"/>
    <w:rsid w:val="00965B3D"/>
    <w:rsid w:val="00966150"/>
    <w:rsid w:val="00966448"/>
    <w:rsid w:val="0096673A"/>
    <w:rsid w:val="0096759A"/>
    <w:rsid w:val="0097150D"/>
    <w:rsid w:val="00971766"/>
    <w:rsid w:val="009717C6"/>
    <w:rsid w:val="00972F70"/>
    <w:rsid w:val="00975651"/>
    <w:rsid w:val="00975656"/>
    <w:rsid w:val="00975AA1"/>
    <w:rsid w:val="00975CAD"/>
    <w:rsid w:val="00976B38"/>
    <w:rsid w:val="00976BAD"/>
    <w:rsid w:val="009776A4"/>
    <w:rsid w:val="00977EFD"/>
    <w:rsid w:val="00981792"/>
    <w:rsid w:val="00981B75"/>
    <w:rsid w:val="00982E6B"/>
    <w:rsid w:val="00983650"/>
    <w:rsid w:val="009849D9"/>
    <w:rsid w:val="009854D9"/>
    <w:rsid w:val="009855F7"/>
    <w:rsid w:val="00985A79"/>
    <w:rsid w:val="00985D44"/>
    <w:rsid w:val="00987946"/>
    <w:rsid w:val="00987F59"/>
    <w:rsid w:val="00987F96"/>
    <w:rsid w:val="00990631"/>
    <w:rsid w:val="00992E8C"/>
    <w:rsid w:val="00994E23"/>
    <w:rsid w:val="009971C8"/>
    <w:rsid w:val="009A0724"/>
    <w:rsid w:val="009A12E4"/>
    <w:rsid w:val="009A169B"/>
    <w:rsid w:val="009A2618"/>
    <w:rsid w:val="009A3F55"/>
    <w:rsid w:val="009A49E2"/>
    <w:rsid w:val="009A6A4D"/>
    <w:rsid w:val="009A7F51"/>
    <w:rsid w:val="009B26B9"/>
    <w:rsid w:val="009B2DFB"/>
    <w:rsid w:val="009B5975"/>
    <w:rsid w:val="009B6437"/>
    <w:rsid w:val="009B64F7"/>
    <w:rsid w:val="009B749A"/>
    <w:rsid w:val="009C2D3D"/>
    <w:rsid w:val="009C2DF6"/>
    <w:rsid w:val="009C2F03"/>
    <w:rsid w:val="009C3653"/>
    <w:rsid w:val="009C398A"/>
    <w:rsid w:val="009C61BC"/>
    <w:rsid w:val="009C6691"/>
    <w:rsid w:val="009C6DFD"/>
    <w:rsid w:val="009C70BC"/>
    <w:rsid w:val="009C7AE8"/>
    <w:rsid w:val="009D0854"/>
    <w:rsid w:val="009D36A5"/>
    <w:rsid w:val="009D3ABF"/>
    <w:rsid w:val="009D4FE8"/>
    <w:rsid w:val="009D625B"/>
    <w:rsid w:val="009D7F42"/>
    <w:rsid w:val="009E0AF1"/>
    <w:rsid w:val="009E0CAD"/>
    <w:rsid w:val="009E2536"/>
    <w:rsid w:val="009E2F85"/>
    <w:rsid w:val="009E785C"/>
    <w:rsid w:val="009E7AEB"/>
    <w:rsid w:val="009F0C79"/>
    <w:rsid w:val="009F198C"/>
    <w:rsid w:val="009F1D6E"/>
    <w:rsid w:val="009F4029"/>
    <w:rsid w:val="009F41A5"/>
    <w:rsid w:val="009F6923"/>
    <w:rsid w:val="009F6C9A"/>
    <w:rsid w:val="009F7188"/>
    <w:rsid w:val="009F7334"/>
    <w:rsid w:val="009F783D"/>
    <w:rsid w:val="00A00C74"/>
    <w:rsid w:val="00A00C85"/>
    <w:rsid w:val="00A01CDA"/>
    <w:rsid w:val="00A03B1B"/>
    <w:rsid w:val="00A03C5A"/>
    <w:rsid w:val="00A05613"/>
    <w:rsid w:val="00A05BCF"/>
    <w:rsid w:val="00A05FCA"/>
    <w:rsid w:val="00A07CD1"/>
    <w:rsid w:val="00A11519"/>
    <w:rsid w:val="00A1254A"/>
    <w:rsid w:val="00A1281F"/>
    <w:rsid w:val="00A148B0"/>
    <w:rsid w:val="00A1546E"/>
    <w:rsid w:val="00A1656B"/>
    <w:rsid w:val="00A1696A"/>
    <w:rsid w:val="00A211A1"/>
    <w:rsid w:val="00A217FE"/>
    <w:rsid w:val="00A228DB"/>
    <w:rsid w:val="00A22BDF"/>
    <w:rsid w:val="00A23CFD"/>
    <w:rsid w:val="00A24E11"/>
    <w:rsid w:val="00A25ECB"/>
    <w:rsid w:val="00A2770D"/>
    <w:rsid w:val="00A27FCD"/>
    <w:rsid w:val="00A30BA4"/>
    <w:rsid w:val="00A32FA8"/>
    <w:rsid w:val="00A33C69"/>
    <w:rsid w:val="00A34032"/>
    <w:rsid w:val="00A34785"/>
    <w:rsid w:val="00A34EFE"/>
    <w:rsid w:val="00A371B2"/>
    <w:rsid w:val="00A43A9E"/>
    <w:rsid w:val="00A44C02"/>
    <w:rsid w:val="00A53FC0"/>
    <w:rsid w:val="00A541F1"/>
    <w:rsid w:val="00A601F7"/>
    <w:rsid w:val="00A611A8"/>
    <w:rsid w:val="00A6307F"/>
    <w:rsid w:val="00A63232"/>
    <w:rsid w:val="00A642FC"/>
    <w:rsid w:val="00A65C77"/>
    <w:rsid w:val="00A66828"/>
    <w:rsid w:val="00A707C3"/>
    <w:rsid w:val="00A70B53"/>
    <w:rsid w:val="00A713CC"/>
    <w:rsid w:val="00A72D50"/>
    <w:rsid w:val="00A730A0"/>
    <w:rsid w:val="00A7351A"/>
    <w:rsid w:val="00A738A9"/>
    <w:rsid w:val="00A75F5D"/>
    <w:rsid w:val="00A76263"/>
    <w:rsid w:val="00A7787B"/>
    <w:rsid w:val="00A80611"/>
    <w:rsid w:val="00A81B72"/>
    <w:rsid w:val="00A81C28"/>
    <w:rsid w:val="00A81FAA"/>
    <w:rsid w:val="00A846A4"/>
    <w:rsid w:val="00A8474C"/>
    <w:rsid w:val="00A84846"/>
    <w:rsid w:val="00A84CD9"/>
    <w:rsid w:val="00A85043"/>
    <w:rsid w:val="00A91A26"/>
    <w:rsid w:val="00A923CF"/>
    <w:rsid w:val="00A92803"/>
    <w:rsid w:val="00A93394"/>
    <w:rsid w:val="00A94A56"/>
    <w:rsid w:val="00A94AEA"/>
    <w:rsid w:val="00A95F38"/>
    <w:rsid w:val="00AA02BB"/>
    <w:rsid w:val="00AA0BE5"/>
    <w:rsid w:val="00AA19ED"/>
    <w:rsid w:val="00AA326D"/>
    <w:rsid w:val="00AA33C1"/>
    <w:rsid w:val="00AA3E70"/>
    <w:rsid w:val="00AA674F"/>
    <w:rsid w:val="00AA6A7E"/>
    <w:rsid w:val="00AB06C9"/>
    <w:rsid w:val="00AB12A6"/>
    <w:rsid w:val="00AB166F"/>
    <w:rsid w:val="00AB18D4"/>
    <w:rsid w:val="00AB1DBA"/>
    <w:rsid w:val="00AB29B3"/>
    <w:rsid w:val="00AB29DE"/>
    <w:rsid w:val="00AB3458"/>
    <w:rsid w:val="00AB35FF"/>
    <w:rsid w:val="00AB3924"/>
    <w:rsid w:val="00AC3A9F"/>
    <w:rsid w:val="00AC5588"/>
    <w:rsid w:val="00AC5F4D"/>
    <w:rsid w:val="00AC6107"/>
    <w:rsid w:val="00AC611E"/>
    <w:rsid w:val="00AC6530"/>
    <w:rsid w:val="00AC737A"/>
    <w:rsid w:val="00AC7ED3"/>
    <w:rsid w:val="00AD02D0"/>
    <w:rsid w:val="00AD1205"/>
    <w:rsid w:val="00AD27CC"/>
    <w:rsid w:val="00AD502B"/>
    <w:rsid w:val="00AD5A7E"/>
    <w:rsid w:val="00AD5DDE"/>
    <w:rsid w:val="00AD6128"/>
    <w:rsid w:val="00AD796B"/>
    <w:rsid w:val="00AE00B4"/>
    <w:rsid w:val="00AE2806"/>
    <w:rsid w:val="00AE2B53"/>
    <w:rsid w:val="00AE2C43"/>
    <w:rsid w:val="00AE4589"/>
    <w:rsid w:val="00AF07AA"/>
    <w:rsid w:val="00AF33F5"/>
    <w:rsid w:val="00AF366B"/>
    <w:rsid w:val="00AF36DC"/>
    <w:rsid w:val="00AF4854"/>
    <w:rsid w:val="00AF5834"/>
    <w:rsid w:val="00AF5F23"/>
    <w:rsid w:val="00AF64F7"/>
    <w:rsid w:val="00B012D1"/>
    <w:rsid w:val="00B0151E"/>
    <w:rsid w:val="00B0295F"/>
    <w:rsid w:val="00B03B2B"/>
    <w:rsid w:val="00B05BC8"/>
    <w:rsid w:val="00B05FCC"/>
    <w:rsid w:val="00B0693E"/>
    <w:rsid w:val="00B06F4C"/>
    <w:rsid w:val="00B10A97"/>
    <w:rsid w:val="00B10B91"/>
    <w:rsid w:val="00B13495"/>
    <w:rsid w:val="00B14FF7"/>
    <w:rsid w:val="00B154FF"/>
    <w:rsid w:val="00B16879"/>
    <w:rsid w:val="00B1697B"/>
    <w:rsid w:val="00B1749F"/>
    <w:rsid w:val="00B20A29"/>
    <w:rsid w:val="00B21444"/>
    <w:rsid w:val="00B25C53"/>
    <w:rsid w:val="00B26146"/>
    <w:rsid w:val="00B26650"/>
    <w:rsid w:val="00B26655"/>
    <w:rsid w:val="00B26A51"/>
    <w:rsid w:val="00B27826"/>
    <w:rsid w:val="00B27FA7"/>
    <w:rsid w:val="00B308AB"/>
    <w:rsid w:val="00B31CB0"/>
    <w:rsid w:val="00B33424"/>
    <w:rsid w:val="00B347D8"/>
    <w:rsid w:val="00B3544C"/>
    <w:rsid w:val="00B37742"/>
    <w:rsid w:val="00B3775E"/>
    <w:rsid w:val="00B37FB2"/>
    <w:rsid w:val="00B41081"/>
    <w:rsid w:val="00B4401D"/>
    <w:rsid w:val="00B505CE"/>
    <w:rsid w:val="00B51528"/>
    <w:rsid w:val="00B52AE8"/>
    <w:rsid w:val="00B53A8E"/>
    <w:rsid w:val="00B608C7"/>
    <w:rsid w:val="00B60959"/>
    <w:rsid w:val="00B62CD4"/>
    <w:rsid w:val="00B62CEE"/>
    <w:rsid w:val="00B63697"/>
    <w:rsid w:val="00B6370A"/>
    <w:rsid w:val="00B63877"/>
    <w:rsid w:val="00B651A5"/>
    <w:rsid w:val="00B67C2C"/>
    <w:rsid w:val="00B7015B"/>
    <w:rsid w:val="00B7063C"/>
    <w:rsid w:val="00B717E8"/>
    <w:rsid w:val="00B72A05"/>
    <w:rsid w:val="00B764E7"/>
    <w:rsid w:val="00B76EAB"/>
    <w:rsid w:val="00B801F2"/>
    <w:rsid w:val="00B80638"/>
    <w:rsid w:val="00B80A25"/>
    <w:rsid w:val="00B81FFC"/>
    <w:rsid w:val="00B82399"/>
    <w:rsid w:val="00B83278"/>
    <w:rsid w:val="00B83542"/>
    <w:rsid w:val="00B83871"/>
    <w:rsid w:val="00B83910"/>
    <w:rsid w:val="00B8440F"/>
    <w:rsid w:val="00B84819"/>
    <w:rsid w:val="00B85447"/>
    <w:rsid w:val="00B86B7C"/>
    <w:rsid w:val="00B90220"/>
    <w:rsid w:val="00B92817"/>
    <w:rsid w:val="00B93489"/>
    <w:rsid w:val="00B9408B"/>
    <w:rsid w:val="00B94A91"/>
    <w:rsid w:val="00B95ABA"/>
    <w:rsid w:val="00B95E2B"/>
    <w:rsid w:val="00B972E6"/>
    <w:rsid w:val="00B97910"/>
    <w:rsid w:val="00BA23C3"/>
    <w:rsid w:val="00BA3632"/>
    <w:rsid w:val="00BA4130"/>
    <w:rsid w:val="00BA587A"/>
    <w:rsid w:val="00BA7C08"/>
    <w:rsid w:val="00BB01EB"/>
    <w:rsid w:val="00BB10B1"/>
    <w:rsid w:val="00BB1706"/>
    <w:rsid w:val="00BB185E"/>
    <w:rsid w:val="00BB367D"/>
    <w:rsid w:val="00BB4F5A"/>
    <w:rsid w:val="00BB72F1"/>
    <w:rsid w:val="00BB750F"/>
    <w:rsid w:val="00BC4AA7"/>
    <w:rsid w:val="00BC56ED"/>
    <w:rsid w:val="00BC5EE0"/>
    <w:rsid w:val="00BD28C1"/>
    <w:rsid w:val="00BD411C"/>
    <w:rsid w:val="00BD705A"/>
    <w:rsid w:val="00BD796A"/>
    <w:rsid w:val="00BD7ECE"/>
    <w:rsid w:val="00BD7F0C"/>
    <w:rsid w:val="00BE0812"/>
    <w:rsid w:val="00BE0F2D"/>
    <w:rsid w:val="00BE1D0E"/>
    <w:rsid w:val="00BE1D90"/>
    <w:rsid w:val="00BE2EDE"/>
    <w:rsid w:val="00BE636D"/>
    <w:rsid w:val="00BE6469"/>
    <w:rsid w:val="00BE7991"/>
    <w:rsid w:val="00BF16E8"/>
    <w:rsid w:val="00BF1A48"/>
    <w:rsid w:val="00BF3270"/>
    <w:rsid w:val="00BF35FE"/>
    <w:rsid w:val="00BF4A65"/>
    <w:rsid w:val="00BF4BCC"/>
    <w:rsid w:val="00BF6031"/>
    <w:rsid w:val="00BF66A3"/>
    <w:rsid w:val="00BF7CF5"/>
    <w:rsid w:val="00C0107F"/>
    <w:rsid w:val="00C026C7"/>
    <w:rsid w:val="00C03472"/>
    <w:rsid w:val="00C104F1"/>
    <w:rsid w:val="00C11BCE"/>
    <w:rsid w:val="00C12BEB"/>
    <w:rsid w:val="00C15B0F"/>
    <w:rsid w:val="00C166CE"/>
    <w:rsid w:val="00C17BA5"/>
    <w:rsid w:val="00C2084D"/>
    <w:rsid w:val="00C239A1"/>
    <w:rsid w:val="00C257AB"/>
    <w:rsid w:val="00C270F1"/>
    <w:rsid w:val="00C27627"/>
    <w:rsid w:val="00C302BF"/>
    <w:rsid w:val="00C320C7"/>
    <w:rsid w:val="00C33919"/>
    <w:rsid w:val="00C3474D"/>
    <w:rsid w:val="00C35FF8"/>
    <w:rsid w:val="00C36E5D"/>
    <w:rsid w:val="00C37B11"/>
    <w:rsid w:val="00C42CA2"/>
    <w:rsid w:val="00C42EB4"/>
    <w:rsid w:val="00C430E7"/>
    <w:rsid w:val="00C43581"/>
    <w:rsid w:val="00C4432D"/>
    <w:rsid w:val="00C46320"/>
    <w:rsid w:val="00C50B09"/>
    <w:rsid w:val="00C510C4"/>
    <w:rsid w:val="00C5171D"/>
    <w:rsid w:val="00C52483"/>
    <w:rsid w:val="00C54617"/>
    <w:rsid w:val="00C5475C"/>
    <w:rsid w:val="00C550B9"/>
    <w:rsid w:val="00C56BE0"/>
    <w:rsid w:val="00C62209"/>
    <w:rsid w:val="00C63454"/>
    <w:rsid w:val="00C66175"/>
    <w:rsid w:val="00C66BEC"/>
    <w:rsid w:val="00C70B26"/>
    <w:rsid w:val="00C7209D"/>
    <w:rsid w:val="00C730C2"/>
    <w:rsid w:val="00C732D7"/>
    <w:rsid w:val="00C744A2"/>
    <w:rsid w:val="00C75F83"/>
    <w:rsid w:val="00C76F4F"/>
    <w:rsid w:val="00C77FCA"/>
    <w:rsid w:val="00C80A34"/>
    <w:rsid w:val="00C81199"/>
    <w:rsid w:val="00C82141"/>
    <w:rsid w:val="00C85C27"/>
    <w:rsid w:val="00C85ED7"/>
    <w:rsid w:val="00C8757F"/>
    <w:rsid w:val="00C904BF"/>
    <w:rsid w:val="00C90501"/>
    <w:rsid w:val="00C932A0"/>
    <w:rsid w:val="00C93622"/>
    <w:rsid w:val="00C946F5"/>
    <w:rsid w:val="00C94CC1"/>
    <w:rsid w:val="00C94D72"/>
    <w:rsid w:val="00C95E1B"/>
    <w:rsid w:val="00C9677C"/>
    <w:rsid w:val="00C96862"/>
    <w:rsid w:val="00CA07DF"/>
    <w:rsid w:val="00CA14C4"/>
    <w:rsid w:val="00CA2CB1"/>
    <w:rsid w:val="00CA79CE"/>
    <w:rsid w:val="00CB0869"/>
    <w:rsid w:val="00CB08A2"/>
    <w:rsid w:val="00CB3758"/>
    <w:rsid w:val="00CB6969"/>
    <w:rsid w:val="00CC0D60"/>
    <w:rsid w:val="00CC1CCC"/>
    <w:rsid w:val="00CC253E"/>
    <w:rsid w:val="00CC2E18"/>
    <w:rsid w:val="00CC2E72"/>
    <w:rsid w:val="00CC377E"/>
    <w:rsid w:val="00CC46B2"/>
    <w:rsid w:val="00CC4745"/>
    <w:rsid w:val="00CC5E4A"/>
    <w:rsid w:val="00CC61CC"/>
    <w:rsid w:val="00CC74B0"/>
    <w:rsid w:val="00CD0411"/>
    <w:rsid w:val="00CD0C1F"/>
    <w:rsid w:val="00CD26D2"/>
    <w:rsid w:val="00CD2711"/>
    <w:rsid w:val="00CD2823"/>
    <w:rsid w:val="00CD3D1B"/>
    <w:rsid w:val="00CD5D4F"/>
    <w:rsid w:val="00CD7295"/>
    <w:rsid w:val="00CD743C"/>
    <w:rsid w:val="00CD74AE"/>
    <w:rsid w:val="00CE0140"/>
    <w:rsid w:val="00CE0149"/>
    <w:rsid w:val="00CE0640"/>
    <w:rsid w:val="00CE0ADD"/>
    <w:rsid w:val="00CE103F"/>
    <w:rsid w:val="00CE2C7B"/>
    <w:rsid w:val="00CE2E93"/>
    <w:rsid w:val="00CE4418"/>
    <w:rsid w:val="00CE476F"/>
    <w:rsid w:val="00CE60DD"/>
    <w:rsid w:val="00CE7002"/>
    <w:rsid w:val="00CF0CF4"/>
    <w:rsid w:val="00CF0F4C"/>
    <w:rsid w:val="00CF3E13"/>
    <w:rsid w:val="00CF4D5A"/>
    <w:rsid w:val="00CF5812"/>
    <w:rsid w:val="00CF622A"/>
    <w:rsid w:val="00CF76C2"/>
    <w:rsid w:val="00D000FD"/>
    <w:rsid w:val="00D0156C"/>
    <w:rsid w:val="00D06B12"/>
    <w:rsid w:val="00D07423"/>
    <w:rsid w:val="00D10727"/>
    <w:rsid w:val="00D108F5"/>
    <w:rsid w:val="00D115C3"/>
    <w:rsid w:val="00D1182E"/>
    <w:rsid w:val="00D14D12"/>
    <w:rsid w:val="00D15466"/>
    <w:rsid w:val="00D17C12"/>
    <w:rsid w:val="00D21E73"/>
    <w:rsid w:val="00D233AA"/>
    <w:rsid w:val="00D2347A"/>
    <w:rsid w:val="00D24053"/>
    <w:rsid w:val="00D24162"/>
    <w:rsid w:val="00D25445"/>
    <w:rsid w:val="00D258CA"/>
    <w:rsid w:val="00D2626B"/>
    <w:rsid w:val="00D27B64"/>
    <w:rsid w:val="00D31684"/>
    <w:rsid w:val="00D31842"/>
    <w:rsid w:val="00D33DD2"/>
    <w:rsid w:val="00D3422B"/>
    <w:rsid w:val="00D3462C"/>
    <w:rsid w:val="00D36F78"/>
    <w:rsid w:val="00D37B3D"/>
    <w:rsid w:val="00D409FC"/>
    <w:rsid w:val="00D41E42"/>
    <w:rsid w:val="00D42D37"/>
    <w:rsid w:val="00D43C6D"/>
    <w:rsid w:val="00D45085"/>
    <w:rsid w:val="00D4652E"/>
    <w:rsid w:val="00D506FF"/>
    <w:rsid w:val="00D515FB"/>
    <w:rsid w:val="00D51618"/>
    <w:rsid w:val="00D52205"/>
    <w:rsid w:val="00D53536"/>
    <w:rsid w:val="00D53C60"/>
    <w:rsid w:val="00D54FED"/>
    <w:rsid w:val="00D55BB8"/>
    <w:rsid w:val="00D55D38"/>
    <w:rsid w:val="00D56E54"/>
    <w:rsid w:val="00D57090"/>
    <w:rsid w:val="00D60161"/>
    <w:rsid w:val="00D6119B"/>
    <w:rsid w:val="00D624CE"/>
    <w:rsid w:val="00D63731"/>
    <w:rsid w:val="00D67043"/>
    <w:rsid w:val="00D67B13"/>
    <w:rsid w:val="00D67DC3"/>
    <w:rsid w:val="00D71283"/>
    <w:rsid w:val="00D728B6"/>
    <w:rsid w:val="00D72933"/>
    <w:rsid w:val="00D73446"/>
    <w:rsid w:val="00D73879"/>
    <w:rsid w:val="00D739D9"/>
    <w:rsid w:val="00D74369"/>
    <w:rsid w:val="00D74B1B"/>
    <w:rsid w:val="00D7593A"/>
    <w:rsid w:val="00D76BB3"/>
    <w:rsid w:val="00D77014"/>
    <w:rsid w:val="00D77158"/>
    <w:rsid w:val="00D83AF8"/>
    <w:rsid w:val="00D85B3E"/>
    <w:rsid w:val="00D866D2"/>
    <w:rsid w:val="00D87292"/>
    <w:rsid w:val="00D90A5A"/>
    <w:rsid w:val="00D90FBE"/>
    <w:rsid w:val="00D9127E"/>
    <w:rsid w:val="00D91D50"/>
    <w:rsid w:val="00D92716"/>
    <w:rsid w:val="00D9390C"/>
    <w:rsid w:val="00D93F4D"/>
    <w:rsid w:val="00D940A8"/>
    <w:rsid w:val="00D940D1"/>
    <w:rsid w:val="00D95857"/>
    <w:rsid w:val="00D96D1B"/>
    <w:rsid w:val="00D97692"/>
    <w:rsid w:val="00DA0E72"/>
    <w:rsid w:val="00DA15CB"/>
    <w:rsid w:val="00DA2926"/>
    <w:rsid w:val="00DA4685"/>
    <w:rsid w:val="00DA4A47"/>
    <w:rsid w:val="00DA6022"/>
    <w:rsid w:val="00DA7C18"/>
    <w:rsid w:val="00DB10FC"/>
    <w:rsid w:val="00DB114D"/>
    <w:rsid w:val="00DB2E33"/>
    <w:rsid w:val="00DB64CB"/>
    <w:rsid w:val="00DB7AB7"/>
    <w:rsid w:val="00DC0128"/>
    <w:rsid w:val="00DC0282"/>
    <w:rsid w:val="00DC0CDF"/>
    <w:rsid w:val="00DC1643"/>
    <w:rsid w:val="00DC1D61"/>
    <w:rsid w:val="00DC1E95"/>
    <w:rsid w:val="00DC241A"/>
    <w:rsid w:val="00DC29AE"/>
    <w:rsid w:val="00DC3882"/>
    <w:rsid w:val="00DC39DD"/>
    <w:rsid w:val="00DC3F0A"/>
    <w:rsid w:val="00DC5AE8"/>
    <w:rsid w:val="00DC6509"/>
    <w:rsid w:val="00DC706D"/>
    <w:rsid w:val="00DC750D"/>
    <w:rsid w:val="00DD2031"/>
    <w:rsid w:val="00DD331B"/>
    <w:rsid w:val="00DD3382"/>
    <w:rsid w:val="00DE294B"/>
    <w:rsid w:val="00DE3B6C"/>
    <w:rsid w:val="00DE7624"/>
    <w:rsid w:val="00DF100E"/>
    <w:rsid w:val="00DF16E6"/>
    <w:rsid w:val="00DF2E52"/>
    <w:rsid w:val="00DF316D"/>
    <w:rsid w:val="00DF3EFB"/>
    <w:rsid w:val="00DF4387"/>
    <w:rsid w:val="00DF5789"/>
    <w:rsid w:val="00DF7974"/>
    <w:rsid w:val="00DF7FDE"/>
    <w:rsid w:val="00E020A2"/>
    <w:rsid w:val="00E022C2"/>
    <w:rsid w:val="00E03852"/>
    <w:rsid w:val="00E04ED2"/>
    <w:rsid w:val="00E07E97"/>
    <w:rsid w:val="00E105FF"/>
    <w:rsid w:val="00E110D6"/>
    <w:rsid w:val="00E11CF2"/>
    <w:rsid w:val="00E14C4F"/>
    <w:rsid w:val="00E158BC"/>
    <w:rsid w:val="00E15C98"/>
    <w:rsid w:val="00E1626E"/>
    <w:rsid w:val="00E179C6"/>
    <w:rsid w:val="00E20ED3"/>
    <w:rsid w:val="00E218C4"/>
    <w:rsid w:val="00E21D37"/>
    <w:rsid w:val="00E22984"/>
    <w:rsid w:val="00E24BAA"/>
    <w:rsid w:val="00E260F1"/>
    <w:rsid w:val="00E27590"/>
    <w:rsid w:val="00E31524"/>
    <w:rsid w:val="00E32CA2"/>
    <w:rsid w:val="00E33576"/>
    <w:rsid w:val="00E341A4"/>
    <w:rsid w:val="00E34301"/>
    <w:rsid w:val="00E353B9"/>
    <w:rsid w:val="00E36AE0"/>
    <w:rsid w:val="00E373CF"/>
    <w:rsid w:val="00E4271D"/>
    <w:rsid w:val="00E42DF3"/>
    <w:rsid w:val="00E43F5E"/>
    <w:rsid w:val="00E43FD3"/>
    <w:rsid w:val="00E46598"/>
    <w:rsid w:val="00E46D00"/>
    <w:rsid w:val="00E46F10"/>
    <w:rsid w:val="00E47DE9"/>
    <w:rsid w:val="00E5011B"/>
    <w:rsid w:val="00E5084B"/>
    <w:rsid w:val="00E51546"/>
    <w:rsid w:val="00E51C38"/>
    <w:rsid w:val="00E5544A"/>
    <w:rsid w:val="00E563F0"/>
    <w:rsid w:val="00E5728C"/>
    <w:rsid w:val="00E621F5"/>
    <w:rsid w:val="00E637FE"/>
    <w:rsid w:val="00E645A3"/>
    <w:rsid w:val="00E648EF"/>
    <w:rsid w:val="00E652CB"/>
    <w:rsid w:val="00E6541D"/>
    <w:rsid w:val="00E65501"/>
    <w:rsid w:val="00E660D1"/>
    <w:rsid w:val="00E66F19"/>
    <w:rsid w:val="00E6708C"/>
    <w:rsid w:val="00E700DF"/>
    <w:rsid w:val="00E70AAC"/>
    <w:rsid w:val="00E710A3"/>
    <w:rsid w:val="00E71127"/>
    <w:rsid w:val="00E73DF3"/>
    <w:rsid w:val="00E74500"/>
    <w:rsid w:val="00E75DF6"/>
    <w:rsid w:val="00E75FA5"/>
    <w:rsid w:val="00E80D2C"/>
    <w:rsid w:val="00E8320E"/>
    <w:rsid w:val="00E851F4"/>
    <w:rsid w:val="00E8539D"/>
    <w:rsid w:val="00E855D8"/>
    <w:rsid w:val="00E8635A"/>
    <w:rsid w:val="00E87666"/>
    <w:rsid w:val="00E876A0"/>
    <w:rsid w:val="00E904D5"/>
    <w:rsid w:val="00E9097A"/>
    <w:rsid w:val="00E90D6E"/>
    <w:rsid w:val="00E916C8"/>
    <w:rsid w:val="00E9170D"/>
    <w:rsid w:val="00E920E2"/>
    <w:rsid w:val="00E92DB3"/>
    <w:rsid w:val="00E92F86"/>
    <w:rsid w:val="00E93D8E"/>
    <w:rsid w:val="00E94756"/>
    <w:rsid w:val="00E956DB"/>
    <w:rsid w:val="00E97CF1"/>
    <w:rsid w:val="00EA0302"/>
    <w:rsid w:val="00EA0A7D"/>
    <w:rsid w:val="00EA1D9F"/>
    <w:rsid w:val="00EA31A3"/>
    <w:rsid w:val="00EA4474"/>
    <w:rsid w:val="00EA6164"/>
    <w:rsid w:val="00EA6480"/>
    <w:rsid w:val="00EA7121"/>
    <w:rsid w:val="00EA7598"/>
    <w:rsid w:val="00EB0DDC"/>
    <w:rsid w:val="00EB621A"/>
    <w:rsid w:val="00EB647F"/>
    <w:rsid w:val="00EB6B3F"/>
    <w:rsid w:val="00EC0D17"/>
    <w:rsid w:val="00EC1146"/>
    <w:rsid w:val="00EC1F1D"/>
    <w:rsid w:val="00EC22DC"/>
    <w:rsid w:val="00EC36F6"/>
    <w:rsid w:val="00EC69E2"/>
    <w:rsid w:val="00ED156E"/>
    <w:rsid w:val="00ED15A7"/>
    <w:rsid w:val="00ED2246"/>
    <w:rsid w:val="00ED2932"/>
    <w:rsid w:val="00ED2B8E"/>
    <w:rsid w:val="00ED3E54"/>
    <w:rsid w:val="00ED507F"/>
    <w:rsid w:val="00ED5FAB"/>
    <w:rsid w:val="00ED7421"/>
    <w:rsid w:val="00ED7705"/>
    <w:rsid w:val="00EE341C"/>
    <w:rsid w:val="00EE465C"/>
    <w:rsid w:val="00EE57A4"/>
    <w:rsid w:val="00EE77CE"/>
    <w:rsid w:val="00EF04C0"/>
    <w:rsid w:val="00EF144F"/>
    <w:rsid w:val="00EF1EB7"/>
    <w:rsid w:val="00EF62B2"/>
    <w:rsid w:val="00EF6B7B"/>
    <w:rsid w:val="00EF6C4E"/>
    <w:rsid w:val="00F009B6"/>
    <w:rsid w:val="00F05442"/>
    <w:rsid w:val="00F05883"/>
    <w:rsid w:val="00F0653A"/>
    <w:rsid w:val="00F07F10"/>
    <w:rsid w:val="00F10610"/>
    <w:rsid w:val="00F1181D"/>
    <w:rsid w:val="00F11D45"/>
    <w:rsid w:val="00F12951"/>
    <w:rsid w:val="00F1339C"/>
    <w:rsid w:val="00F13AFA"/>
    <w:rsid w:val="00F14150"/>
    <w:rsid w:val="00F1436E"/>
    <w:rsid w:val="00F148E8"/>
    <w:rsid w:val="00F15E59"/>
    <w:rsid w:val="00F17796"/>
    <w:rsid w:val="00F2044B"/>
    <w:rsid w:val="00F206A6"/>
    <w:rsid w:val="00F215C7"/>
    <w:rsid w:val="00F21EE8"/>
    <w:rsid w:val="00F22CB8"/>
    <w:rsid w:val="00F23EC0"/>
    <w:rsid w:val="00F24911"/>
    <w:rsid w:val="00F26850"/>
    <w:rsid w:val="00F26E63"/>
    <w:rsid w:val="00F272A4"/>
    <w:rsid w:val="00F30B7F"/>
    <w:rsid w:val="00F329B4"/>
    <w:rsid w:val="00F3380C"/>
    <w:rsid w:val="00F3486C"/>
    <w:rsid w:val="00F3506B"/>
    <w:rsid w:val="00F35441"/>
    <w:rsid w:val="00F3562D"/>
    <w:rsid w:val="00F35FEB"/>
    <w:rsid w:val="00F36963"/>
    <w:rsid w:val="00F37DBC"/>
    <w:rsid w:val="00F4001B"/>
    <w:rsid w:val="00F41554"/>
    <w:rsid w:val="00F421E7"/>
    <w:rsid w:val="00F43AF2"/>
    <w:rsid w:val="00F43F44"/>
    <w:rsid w:val="00F461E1"/>
    <w:rsid w:val="00F46861"/>
    <w:rsid w:val="00F4699E"/>
    <w:rsid w:val="00F46FA7"/>
    <w:rsid w:val="00F50BF4"/>
    <w:rsid w:val="00F51BB1"/>
    <w:rsid w:val="00F5290C"/>
    <w:rsid w:val="00F52E8C"/>
    <w:rsid w:val="00F52F66"/>
    <w:rsid w:val="00F53B7A"/>
    <w:rsid w:val="00F540B7"/>
    <w:rsid w:val="00F55094"/>
    <w:rsid w:val="00F55C28"/>
    <w:rsid w:val="00F55E3B"/>
    <w:rsid w:val="00F56497"/>
    <w:rsid w:val="00F61C6C"/>
    <w:rsid w:val="00F61EBA"/>
    <w:rsid w:val="00F61F68"/>
    <w:rsid w:val="00F6262C"/>
    <w:rsid w:val="00F62933"/>
    <w:rsid w:val="00F64358"/>
    <w:rsid w:val="00F67323"/>
    <w:rsid w:val="00F706D1"/>
    <w:rsid w:val="00F71286"/>
    <w:rsid w:val="00F71F5D"/>
    <w:rsid w:val="00F722FE"/>
    <w:rsid w:val="00F7256A"/>
    <w:rsid w:val="00F73655"/>
    <w:rsid w:val="00F74281"/>
    <w:rsid w:val="00F75A60"/>
    <w:rsid w:val="00F75DFB"/>
    <w:rsid w:val="00F771B1"/>
    <w:rsid w:val="00F801F2"/>
    <w:rsid w:val="00F815CE"/>
    <w:rsid w:val="00F81645"/>
    <w:rsid w:val="00F8304F"/>
    <w:rsid w:val="00F831EC"/>
    <w:rsid w:val="00F846AF"/>
    <w:rsid w:val="00F87A69"/>
    <w:rsid w:val="00F87C87"/>
    <w:rsid w:val="00F91F5B"/>
    <w:rsid w:val="00F931C6"/>
    <w:rsid w:val="00F956D1"/>
    <w:rsid w:val="00F95D9D"/>
    <w:rsid w:val="00F95DC2"/>
    <w:rsid w:val="00F96693"/>
    <w:rsid w:val="00F968D3"/>
    <w:rsid w:val="00FA091B"/>
    <w:rsid w:val="00FA1864"/>
    <w:rsid w:val="00FA3109"/>
    <w:rsid w:val="00FA4E88"/>
    <w:rsid w:val="00FA72BC"/>
    <w:rsid w:val="00FA7520"/>
    <w:rsid w:val="00FA769A"/>
    <w:rsid w:val="00FA7751"/>
    <w:rsid w:val="00FB0F60"/>
    <w:rsid w:val="00FB109F"/>
    <w:rsid w:val="00FB1B80"/>
    <w:rsid w:val="00FB3261"/>
    <w:rsid w:val="00FB74E7"/>
    <w:rsid w:val="00FB7B21"/>
    <w:rsid w:val="00FC00CB"/>
    <w:rsid w:val="00FC05BB"/>
    <w:rsid w:val="00FC1AC5"/>
    <w:rsid w:val="00FC238B"/>
    <w:rsid w:val="00FC2A44"/>
    <w:rsid w:val="00FC2EE6"/>
    <w:rsid w:val="00FC3214"/>
    <w:rsid w:val="00FC35E5"/>
    <w:rsid w:val="00FC4A96"/>
    <w:rsid w:val="00FC55E5"/>
    <w:rsid w:val="00FC6556"/>
    <w:rsid w:val="00FC675D"/>
    <w:rsid w:val="00FC76DB"/>
    <w:rsid w:val="00FD3764"/>
    <w:rsid w:val="00FE0EFB"/>
    <w:rsid w:val="00FE36CC"/>
    <w:rsid w:val="00FE3D23"/>
    <w:rsid w:val="00FE5384"/>
    <w:rsid w:val="00FE7A91"/>
    <w:rsid w:val="00FF1C59"/>
    <w:rsid w:val="00FF1E17"/>
    <w:rsid w:val="00FF201B"/>
    <w:rsid w:val="00FF3FD4"/>
    <w:rsid w:val="00FF672C"/>
    <w:rsid w:val="00FF6E0B"/>
    <w:rsid w:val="00FF7EDB"/>
    <w:rsid w:val="0604400D"/>
    <w:rsid w:val="1EDBFEAD"/>
    <w:rsid w:val="211FA65B"/>
    <w:rsid w:val="432A4BF8"/>
    <w:rsid w:val="564660B7"/>
    <w:rsid w:val="611FDA9F"/>
    <w:rsid w:val="748AB466"/>
    <w:rsid w:val="7D2F17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133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887"/>
  </w:style>
  <w:style w:type="paragraph" w:styleId="Heading1">
    <w:name w:val="heading 1"/>
    <w:basedOn w:val="Normal"/>
    <w:next w:val="Normal"/>
    <w:link w:val="Heading1Char"/>
    <w:qFormat/>
    <w:locked/>
    <w:rsid w:val="00AA02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 w:type="character" w:styleId="UnresolvedMention">
    <w:name w:val="Unresolved Mention"/>
    <w:basedOn w:val="DefaultParagraphFont"/>
    <w:uiPriority w:val="99"/>
    <w:semiHidden/>
    <w:unhideWhenUsed/>
    <w:rsid w:val="00533AFA"/>
    <w:rPr>
      <w:color w:val="605E5C"/>
      <w:shd w:val="clear" w:color="auto" w:fill="E1DFDD"/>
    </w:rPr>
  </w:style>
  <w:style w:type="character" w:customStyle="1" w:styleId="Heading1Char">
    <w:name w:val="Heading 1 Char"/>
    <w:basedOn w:val="DefaultParagraphFont"/>
    <w:link w:val="Heading1"/>
    <w:rsid w:val="00AA02BB"/>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DD3382"/>
    <w:rPr>
      <w:color w:val="2B579A"/>
      <w:shd w:val="clear" w:color="auto" w:fill="E6E6E6"/>
    </w:rPr>
  </w:style>
  <w:style w:type="paragraph" w:styleId="ListParagraph">
    <w:name w:val="List Paragraph"/>
    <w:basedOn w:val="Normal"/>
    <w:uiPriority w:val="34"/>
    <w:qFormat/>
    <w:rsid w:val="00332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CF2F9-7E01-40FA-87A8-9B932DA252A4}">
  <ds:schemaRefs>
    <ds:schemaRef ds:uri="http://schemas.openxmlformats.org/officeDocument/2006/bibliography"/>
  </ds:schemaRefs>
</ds:datastoreItem>
</file>

<file path=customXml/itemProps2.xml><?xml version="1.0" encoding="utf-8"?>
<ds:datastoreItem xmlns:ds="http://schemas.openxmlformats.org/officeDocument/2006/customXml" ds:itemID="{1BA418D8-B0EF-40A6-91BE-7ADE5467FF76}">
  <ds:schemaRefs>
    <ds:schemaRef ds:uri="http://schemas.openxmlformats.org/officeDocument/2006/bibliography"/>
  </ds:schemaRefs>
</ds:datastoreItem>
</file>

<file path=customXml/itemProps3.xml><?xml version="1.0" encoding="utf-8"?>
<ds:datastoreItem xmlns:ds="http://schemas.openxmlformats.org/officeDocument/2006/customXml" ds:itemID="{D55CD91E-E6DE-441A-A5B3-EC09533F11CB}">
  <ds:schemaRefs>
    <ds:schemaRef ds:uri="http://schemas.openxmlformats.org/officeDocument/2006/bibliography"/>
  </ds:schemaRefs>
</ds:datastoreItem>
</file>

<file path=customXml/itemProps4.xml><?xml version="1.0" encoding="utf-8"?>
<ds:datastoreItem xmlns:ds="http://schemas.openxmlformats.org/officeDocument/2006/customXml" ds:itemID="{F756041E-45F8-4F73-9EFE-695075CB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4514</Words>
  <Characters>25542</Characters>
  <Application>Microsoft Office Word</Application>
  <DocSecurity>0</DocSecurity>
  <Lines>212</Lines>
  <Paragraphs>59</Paragraphs>
  <ScaleCrop>false</ScaleCrop>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2024-09-13T10:40:00Z</dcterms:created>
  <dcterms:modified xsi:type="dcterms:W3CDTF">2024-09-13T10:40:00Z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bdd58ba0-d6d7-4d58-89c3-cb46cf12dd37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2021-09-09T19:05:09Z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