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983" w:rsidRPr="001017BA" w:rsidP="00602983" w14:paraId="2BE53891"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1017BA">
        <w:rPr>
          <w:rFonts w:ascii="Times New Roman" w:hAnsi="Times New Roman"/>
          <w:color w:val="000000"/>
          <w:sz w:val="36"/>
          <w:szCs w:val="36"/>
        </w:rPr>
        <w:t>Supporting Statement A for Request for Clearance:</w:t>
      </w:r>
    </w:p>
    <w:p w:rsidR="00602983" w:rsidRPr="001017BA"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1017BA">
        <w:rPr>
          <w:rFonts w:ascii="Times New Roman" w:hAnsi="Times New Roman"/>
          <w:b/>
          <w:color w:val="000000"/>
          <w:sz w:val="36"/>
          <w:szCs w:val="36"/>
        </w:rPr>
        <w:t>COLLABORATING CENTER FOR QUESTIONNAIRE DESIGN AND EVALUATION RESEARCH</w:t>
      </w:r>
    </w:p>
    <w:p w:rsidR="00602983" w:rsidRPr="001017BA"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602983" w:rsidRPr="001017BA" w:rsidP="00602983" w14:paraId="64DFB6E8" w14:textId="0C1DFB8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1017BA">
        <w:rPr>
          <w:rFonts w:ascii="Times New Roman" w:hAnsi="Times New Roman"/>
          <w:b/>
          <w:bCs/>
          <w:sz w:val="36"/>
          <w:szCs w:val="36"/>
        </w:rPr>
        <w:t>RANDS 10 and Accompanying Cognitive Interviews</w:t>
      </w:r>
    </w:p>
    <w:p w:rsidR="00602983" w:rsidRPr="001017BA" w:rsidP="00602983" w14:paraId="7578E1CE" w14:textId="60C66E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602983" w:rsidRPr="001017BA" w:rsidP="00602983" w14:paraId="397BA1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1017BA">
        <w:rPr>
          <w:rFonts w:ascii="Times New Roman" w:hAnsi="Times New Roman"/>
          <w:color w:val="000000"/>
          <w:sz w:val="36"/>
          <w:szCs w:val="36"/>
        </w:rPr>
        <w:t>OMB No. 0920-0222</w:t>
      </w:r>
    </w:p>
    <w:p w:rsidR="00602983" w:rsidRPr="001017BA"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Expiration Date: 01/31/2026</w:t>
      </w:r>
    </w:p>
    <w:p w:rsidR="00602983" w:rsidRPr="001017BA"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1017BA"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Contact Information:</w:t>
      </w:r>
    </w:p>
    <w:p w:rsidR="00602983" w:rsidRPr="001017BA"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1017BA"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 xml:space="preserve">Amanda Titus </w:t>
      </w:r>
    </w:p>
    <w:p w:rsidR="00602983" w:rsidRPr="001017BA"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Behavioral Scientist, Collaborating Center for Questionnaire Design and Evaluation Research</w:t>
      </w:r>
    </w:p>
    <w:p w:rsidR="00602983" w:rsidRPr="001017BA"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Division of Research and Methodology</w:t>
      </w:r>
    </w:p>
    <w:p w:rsidR="00602983" w:rsidRPr="001017BA"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National Center for Health Statistics/CDC</w:t>
      </w:r>
    </w:p>
    <w:p w:rsidR="00602983" w:rsidRPr="001017BA" w:rsidP="00602983" w14:paraId="67C8EB5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3311 Toledo Road, Room 5451</w:t>
      </w:r>
    </w:p>
    <w:p w:rsidR="00602983" w:rsidRPr="001017BA" w:rsidP="00602983" w14:paraId="21F9740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Hyattsville, MD  20782</w:t>
      </w:r>
    </w:p>
    <w:p w:rsidR="00602983" w:rsidRPr="001017BA"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1017BA">
        <w:rPr>
          <w:rFonts w:ascii="Times New Roman" w:hAnsi="Times New Roman"/>
          <w:color w:val="000000"/>
          <w:sz w:val="28"/>
          <w:szCs w:val="28"/>
        </w:rPr>
        <w:t>301-458-4579</w:t>
      </w:r>
    </w:p>
    <w:p w:rsidR="00602983" w:rsidRPr="001017BA"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1017BA">
        <w:rPr>
          <w:rFonts w:ascii="Times New Roman" w:hAnsi="Times New Roman"/>
          <w:color w:val="000000"/>
          <w:sz w:val="28"/>
          <w:szCs w:val="28"/>
          <w:u w:val="single"/>
        </w:rPr>
        <w:t>atitus@cdc.gov</w:t>
      </w:r>
    </w:p>
    <w:p w:rsidR="00602983" w:rsidRPr="001017BA"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1017BA"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1017BA" w:rsidP="00602983" w14:paraId="20207E5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1017BA" w:rsidP="004A4524" w14:paraId="2E5A386E" w14:textId="09F1626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1017BA">
        <w:rPr>
          <w:rFonts w:ascii="Times New Roman" w:hAnsi="Times New Roman"/>
          <w:color w:val="000000"/>
          <w:sz w:val="28"/>
          <w:szCs w:val="28"/>
        </w:rPr>
        <w:t>1/</w:t>
      </w:r>
      <w:r w:rsidR="007B293F">
        <w:rPr>
          <w:rFonts w:ascii="Times New Roman" w:hAnsi="Times New Roman"/>
          <w:color w:val="000000"/>
          <w:sz w:val="28"/>
          <w:szCs w:val="28"/>
        </w:rPr>
        <w:t>2</w:t>
      </w:r>
      <w:r w:rsidR="00C36697">
        <w:rPr>
          <w:rFonts w:ascii="Times New Roman" w:hAnsi="Times New Roman"/>
          <w:color w:val="000000"/>
          <w:sz w:val="28"/>
          <w:szCs w:val="28"/>
        </w:rPr>
        <w:t>9</w:t>
      </w:r>
      <w:r w:rsidRPr="001017BA">
        <w:rPr>
          <w:rFonts w:ascii="Times New Roman" w:hAnsi="Times New Roman"/>
          <w:color w:val="000000"/>
          <w:sz w:val="28"/>
          <w:szCs w:val="28"/>
        </w:rPr>
        <w:t>/2</w:t>
      </w:r>
      <w:r w:rsidR="00F017FE">
        <w:rPr>
          <w:rFonts w:ascii="Times New Roman" w:hAnsi="Times New Roman"/>
          <w:color w:val="000000"/>
          <w:sz w:val="28"/>
          <w:szCs w:val="28"/>
        </w:rPr>
        <w:t>4</w:t>
      </w:r>
    </w:p>
    <w:p w:rsidR="00602983" w:rsidRPr="001017BA" w:rsidP="00602983" w14:paraId="56338EDB" w14:textId="77777777"/>
    <w:p w:rsidR="00602983" w:rsidRPr="001017BA" w:rsidP="00602983" w14:paraId="12FC388F" w14:textId="77777777"/>
    <w:p w:rsidR="00602983" w:rsidRPr="001017BA" w:rsidP="00602983" w14:paraId="711286FC" w14:textId="77777777"/>
    <w:p w:rsidR="00602983" w:rsidRPr="001017BA" w:rsidP="00602983" w14:paraId="6ED164DC" w14:textId="77777777"/>
    <w:p w:rsidR="00602983" w:rsidRPr="001017BA" w:rsidP="00602983" w14:paraId="72173ABD" w14:textId="77777777"/>
    <w:p w:rsidR="00602983" w:rsidRPr="001017BA" w:rsidP="00602983" w14:paraId="00355761" w14:textId="77777777"/>
    <w:p w:rsidR="00602983" w:rsidRPr="001017BA" w:rsidP="00602983" w14:paraId="1965DB50" w14:textId="77777777"/>
    <w:p w:rsidR="00602983" w:rsidRPr="001017BA" w:rsidP="00602983" w14:paraId="739B52F1" w14:textId="77777777"/>
    <w:p w:rsidR="00602983" w:rsidRPr="001017BA" w:rsidP="00602983" w14:paraId="28C9EFAE" w14:textId="77777777">
      <w:pPr>
        <w:widowControl/>
        <w:autoSpaceDE/>
        <w:autoSpaceDN/>
        <w:adjustRightInd/>
        <w:rPr>
          <w:b/>
          <w:bCs/>
        </w:rPr>
      </w:pPr>
    </w:p>
    <w:p w:rsidR="00602983" w:rsidRPr="001017BA" w:rsidP="00602983" w14:paraId="65FCA320" w14:textId="77777777">
      <w:pPr>
        <w:widowControl/>
        <w:tabs>
          <w:tab w:val="left" w:pos="7789"/>
        </w:tabs>
        <w:autoSpaceDE/>
        <w:autoSpaceDN/>
        <w:adjustRightInd/>
        <w:rPr>
          <w:b/>
          <w:bCs/>
        </w:rPr>
      </w:pPr>
    </w:p>
    <w:p w:rsidR="00602983" w:rsidRPr="001017BA" w:rsidP="00602983" w14:paraId="280AF651" w14:textId="77777777">
      <w:pPr>
        <w:widowControl/>
        <w:autoSpaceDE/>
        <w:autoSpaceDN/>
        <w:adjustRightInd/>
        <w:rPr>
          <w:b/>
          <w:color w:val="000000"/>
        </w:rPr>
      </w:pPr>
      <w:r w:rsidRPr="001017BA">
        <w:br w:type="page"/>
      </w:r>
      <w:r w:rsidRPr="001017BA">
        <w:rPr>
          <w:b/>
          <w:color w:val="000000"/>
        </w:rPr>
        <w:t>Table of Contents</w:t>
      </w:r>
    </w:p>
    <w:p w:rsidR="00602983" w:rsidRPr="001017BA"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1017BA"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1017BA">
        <w:rPr>
          <w:rFonts w:ascii="Times New Roman" w:hAnsi="Times New Roman"/>
          <w:color w:val="000000"/>
          <w:u w:val="single"/>
        </w:rPr>
        <w:t>Justification</w:t>
      </w:r>
    </w:p>
    <w:p w:rsidR="00602983" w:rsidRPr="001017BA"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1017BA" w:rsidP="00602983" w14:paraId="11086B28"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1017BA">
        <w:rPr>
          <w:rFonts w:ascii="Times New Roman" w:hAnsi="Times New Roman"/>
          <w:color w:val="000000"/>
        </w:rPr>
        <w:t>A.1.</w:t>
      </w:r>
      <w:r w:rsidRPr="001017BA">
        <w:rPr>
          <w:rFonts w:ascii="Times New Roman" w:hAnsi="Times New Roman"/>
          <w:color w:val="000000"/>
        </w:rPr>
        <w:tab/>
        <w:t>Circumstance Making the Collection of Information Necessary</w:t>
      </w:r>
      <w:r w:rsidRPr="001017BA">
        <w:rPr>
          <w:rFonts w:ascii="Times New Roman" w:hAnsi="Times New Roman"/>
          <w:color w:val="000000"/>
        </w:rPr>
        <w:tab/>
        <w:t>2</w:t>
      </w:r>
    </w:p>
    <w:p w:rsidR="00602983" w:rsidRPr="001017BA" w:rsidP="00602983" w14:paraId="0B039DE6"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1017BA">
        <w:rPr>
          <w:rFonts w:ascii="Times New Roman" w:hAnsi="Times New Roman"/>
          <w:color w:val="000000"/>
        </w:rPr>
        <w:t>A.2.</w:t>
      </w:r>
      <w:r w:rsidRPr="001017BA">
        <w:rPr>
          <w:rFonts w:ascii="Times New Roman" w:hAnsi="Times New Roman"/>
          <w:color w:val="000000"/>
        </w:rPr>
        <w:tab/>
        <w:t>Purpose and Use of Information Collection</w:t>
      </w:r>
      <w:r w:rsidRPr="001017BA">
        <w:rPr>
          <w:rFonts w:ascii="Times New Roman" w:hAnsi="Times New Roman"/>
          <w:color w:val="000000"/>
        </w:rPr>
        <w:tab/>
        <w:t>2</w:t>
      </w:r>
    </w:p>
    <w:p w:rsidR="00602983" w:rsidRPr="001017BA"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1017BA">
        <w:rPr>
          <w:rFonts w:ascii="Times New Roman" w:hAnsi="Times New Roman"/>
          <w:bCs/>
        </w:rPr>
        <w:t>A.10.</w:t>
      </w:r>
      <w:r w:rsidRPr="001017BA">
        <w:rPr>
          <w:rFonts w:ascii="Times New Roman" w:hAnsi="Times New Roman"/>
          <w:bCs/>
        </w:rPr>
        <w:tab/>
        <w:t xml:space="preserve">Protection of the Privacy and Confidentiality of Information Provided </w:t>
      </w:r>
    </w:p>
    <w:p w:rsidR="00602983" w:rsidRPr="001017BA" w:rsidP="00602983" w14:paraId="6F7D06A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1017BA">
        <w:rPr>
          <w:rFonts w:ascii="Times New Roman" w:hAnsi="Times New Roman"/>
          <w:bCs/>
        </w:rPr>
        <w:tab/>
        <w:t>by Respondents…………………………………………….</w:t>
      </w:r>
      <w:r w:rsidRPr="001017BA">
        <w:rPr>
          <w:rFonts w:ascii="Times New Roman" w:hAnsi="Times New Roman"/>
          <w:bCs/>
        </w:rPr>
        <w:tab/>
        <w:t>3</w:t>
      </w:r>
    </w:p>
    <w:p w:rsidR="00602983" w:rsidRPr="001017BA" w:rsidP="00602983" w14:paraId="2A748384"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1017BA">
        <w:rPr>
          <w:rFonts w:ascii="Times New Roman" w:hAnsi="Times New Roman"/>
          <w:bCs/>
        </w:rPr>
        <w:t>A.11.</w:t>
      </w:r>
      <w:r w:rsidRPr="001017BA">
        <w:rPr>
          <w:rFonts w:ascii="Times New Roman" w:hAnsi="Times New Roman"/>
          <w:bCs/>
        </w:rPr>
        <w:tab/>
        <w:t>Institutional Review Board (IRB) and Justification for Sensitive Questions</w:t>
      </w:r>
      <w:r w:rsidRPr="001017BA">
        <w:rPr>
          <w:rFonts w:ascii="Times New Roman" w:hAnsi="Times New Roman"/>
          <w:bCs/>
        </w:rPr>
        <w:tab/>
        <w:t>4</w:t>
      </w:r>
    </w:p>
    <w:p w:rsidR="00602983" w:rsidRPr="001017BA" w:rsidP="00602983" w14:paraId="52E632C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1017BA">
        <w:rPr>
          <w:rFonts w:ascii="Times New Roman" w:hAnsi="Times New Roman"/>
          <w:bCs/>
        </w:rPr>
        <w:t>A.12.</w:t>
      </w:r>
      <w:r w:rsidRPr="001017BA">
        <w:rPr>
          <w:rFonts w:ascii="Times New Roman" w:hAnsi="Times New Roman"/>
          <w:bCs/>
        </w:rPr>
        <w:tab/>
        <w:t>Estimates of Annualized Burden Hours and Costs</w:t>
      </w:r>
      <w:r w:rsidRPr="001017BA">
        <w:rPr>
          <w:rFonts w:ascii="Times New Roman" w:hAnsi="Times New Roman"/>
          <w:bCs/>
        </w:rPr>
        <w:tab/>
        <w:t>4</w:t>
      </w:r>
    </w:p>
    <w:p w:rsidR="00602983" w:rsidRPr="001017BA"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1017BA" w:rsidP="00602983" w14:paraId="44F8EC02" w14:textId="77777777">
      <w:pPr>
        <w:rPr>
          <w:bCs/>
        </w:rPr>
      </w:pPr>
      <w:r w:rsidRPr="001017BA">
        <w:rPr>
          <w:bCs/>
        </w:rPr>
        <w:t>LIST OF ATTACHMENTS</w:t>
      </w:r>
    </w:p>
    <w:p w:rsidR="00602983" w:rsidRPr="001017BA" w:rsidP="00602983" w14:paraId="1C82DF59" w14:textId="77777777">
      <w:pPr>
        <w:rPr>
          <w:bCs/>
        </w:rPr>
      </w:pPr>
    </w:p>
    <w:p w:rsidR="00602983" w:rsidRPr="001017BA" w:rsidP="00602983" w14:paraId="63BF0BE8" w14:textId="4B1B937B">
      <w:r w:rsidRPr="001017BA">
        <w:t>Attachment 1: Questions</w:t>
      </w:r>
    </w:p>
    <w:p w:rsidR="00602983" w:rsidRPr="001017BA" w:rsidP="00602983" w14:paraId="216E77B7" w14:textId="77777777">
      <w:pPr>
        <w:rPr>
          <w:sz w:val="22"/>
          <w:szCs w:val="22"/>
        </w:rPr>
      </w:pPr>
      <w:r w:rsidRPr="001017BA">
        <w:t>Attachment 2: Previous use and Development of Questions</w:t>
      </w:r>
    </w:p>
    <w:p w:rsidR="00602983" w:rsidRPr="001017BA" w:rsidP="00602983" w14:paraId="25F37136" w14:textId="7FC0AA2D">
      <w:r w:rsidRPr="001017BA">
        <w:t>Attachment 3: Advertisement</w:t>
      </w:r>
    </w:p>
    <w:p w:rsidR="00602983" w:rsidRPr="001017BA" w:rsidP="00602983" w14:paraId="6189B1C3" w14:textId="719D1B15">
      <w:r w:rsidRPr="001017BA">
        <w:t>Attachment 4: Screening Script</w:t>
      </w:r>
    </w:p>
    <w:p w:rsidR="00602983" w:rsidP="00602983" w14:paraId="07540050" w14:textId="1DA4D71D">
      <w:r w:rsidRPr="001017BA">
        <w:t xml:space="preserve">Attachment 5: Informed Consent </w:t>
      </w:r>
    </w:p>
    <w:p w:rsidR="006A6A70" w:rsidP="00602983" w14:paraId="57DD40B6" w14:textId="196C1BC9">
      <w:r>
        <w:t>Attachment 6: NCHS Non-Disclosure Affidavit for NORC</w:t>
      </w:r>
    </w:p>
    <w:p w:rsidR="006A6A70" w:rsidP="006A6A70" w14:paraId="6372A95C" w14:textId="37C6568E">
      <w:pPr>
        <w:tabs>
          <w:tab w:val="left" w:pos="5720"/>
          <w:tab w:val="left" w:pos="8090"/>
        </w:tabs>
      </w:pPr>
      <w:r>
        <w:t xml:space="preserve">Attachment 7: Data Retention Policy </w:t>
      </w:r>
      <w:r>
        <w:tab/>
      </w:r>
      <w:r>
        <w:tab/>
      </w:r>
    </w:p>
    <w:p w:rsidR="006A6A70" w:rsidP="00602983" w14:paraId="01A3FD97" w14:textId="3700507E">
      <w:r>
        <w:t>Attachment 8: Thank You Letter</w:t>
      </w:r>
    </w:p>
    <w:p w:rsidR="006A6A70" w:rsidRPr="001017BA" w:rsidP="00602983" w14:paraId="221CBE34" w14:textId="00CD28D0">
      <w:r>
        <w:t xml:space="preserve">Attachment 9: Data Collection </w:t>
      </w:r>
    </w:p>
    <w:p w:rsidR="00836785" w:rsidRPr="001017BA" w:rsidP="004F3287" w14:paraId="0E1BE71E" w14:textId="77777777"/>
    <w:p w:rsidR="00602983" w:rsidRPr="001017BA" w:rsidP="00602983" w14:paraId="5CA7DCAA" w14:textId="77777777">
      <w:pPr>
        <w:widowControl/>
        <w:tabs>
          <w:tab w:val="left" w:pos="-1440"/>
        </w:tabs>
        <w:ind w:left="720" w:hanging="720"/>
        <w:rPr>
          <w:b/>
          <w:bCs/>
        </w:rPr>
      </w:pPr>
    </w:p>
    <w:p w:rsidR="00602983" w:rsidRPr="001017BA" w:rsidP="00602983" w14:paraId="2EC94A76" w14:textId="77777777">
      <w:pPr>
        <w:widowControl/>
        <w:tabs>
          <w:tab w:val="left" w:pos="-1440"/>
        </w:tabs>
        <w:ind w:left="720" w:hanging="720"/>
        <w:rPr>
          <w:b/>
          <w:bCs/>
        </w:rPr>
      </w:pPr>
      <w:r w:rsidRPr="001017BA">
        <w:rPr>
          <w:b/>
          <w:bCs/>
        </w:rPr>
        <w:t>A.</w:t>
      </w:r>
      <w:r w:rsidRPr="001017BA">
        <w:rPr>
          <w:b/>
          <w:bCs/>
        </w:rPr>
        <w:tab/>
      </w:r>
      <w:r w:rsidRPr="001017BA">
        <w:rPr>
          <w:b/>
          <w:bCs/>
          <w:u w:val="single"/>
        </w:rPr>
        <w:t>JUSTIFICATION</w:t>
      </w:r>
    </w:p>
    <w:p w:rsidR="00602983" w:rsidRPr="001017BA" w:rsidP="00602983" w14:paraId="7B3A6F80" w14:textId="77777777">
      <w:pPr>
        <w:widowControl/>
      </w:pPr>
    </w:p>
    <w:p w:rsidR="00602983" w:rsidRPr="001017BA" w:rsidP="00602983" w14:paraId="0BD46B27" w14:textId="77777777">
      <w:pPr>
        <w:widowControl/>
        <w:tabs>
          <w:tab w:val="left" w:pos="-1440"/>
        </w:tabs>
        <w:ind w:left="720" w:hanging="720"/>
      </w:pPr>
      <w:r w:rsidRPr="001017BA">
        <w:rPr>
          <w:b/>
          <w:bCs/>
        </w:rPr>
        <w:t>1.</w:t>
      </w:r>
      <w:r w:rsidRPr="001017BA">
        <w:rPr>
          <w:b/>
          <w:bCs/>
        </w:rPr>
        <w:tab/>
        <w:t>Circumstances Making the Collection of Information Necessary</w:t>
      </w:r>
    </w:p>
    <w:p w:rsidR="00602983" w:rsidRPr="001017BA" w:rsidP="00602983" w14:paraId="6F1F6F23" w14:textId="77777777">
      <w:pPr>
        <w:widowControl/>
        <w:tabs>
          <w:tab w:val="left" w:pos="-1440"/>
        </w:tabs>
      </w:pPr>
      <w:bookmarkStart w:id="0" w:name="_Hlk149563517"/>
    </w:p>
    <w:bookmarkEnd w:id="0"/>
    <w:p w:rsidR="00602983" w:rsidRPr="001017BA" w:rsidP="00602983" w14:paraId="23F785DB" w14:textId="66B7B00A">
      <w:r w:rsidRPr="001017BA">
        <w:t>The NCHS Collaborating Center for Questionnaire Design and Evaluation Research (CCQDER) conducts qualitative and mixed method research. CCQDER data collection is authorized under a generic OMB clearance (OMB No. 0920-0222, Exp. Date 0</w:t>
      </w:r>
      <w:r w:rsidRPr="001017BA" w:rsidR="00583D1E">
        <w:t>1</w:t>
      </w:r>
      <w:r w:rsidRPr="001017BA">
        <w:t>/3</w:t>
      </w:r>
      <w:r w:rsidRPr="001017BA" w:rsidR="00583D1E">
        <w:t>1</w:t>
      </w:r>
      <w:r w:rsidRPr="001017BA">
        <w:t>/202</w:t>
      </w:r>
      <w:r w:rsidRPr="001017BA" w:rsidR="00583D1E">
        <w:t>6</w:t>
      </w:r>
      <w:r w:rsidRPr="001017BA">
        <w:t>) and 42 U.S.C. 242k (Section 306 of the Public Health Service Act).</w:t>
      </w:r>
    </w:p>
    <w:p w:rsidR="00602983" w:rsidRPr="001017BA" w:rsidP="00602983" w14:paraId="7502C4BA" w14:textId="77777777">
      <w:r w:rsidRPr="001017BA">
        <w:tab/>
      </w:r>
    </w:p>
    <w:p w:rsidR="00602983" w:rsidRPr="001017BA" w:rsidP="00602983" w14:paraId="06421054" w14:textId="77777777">
      <w:pPr>
        <w:widowControl/>
        <w:tabs>
          <w:tab w:val="left" w:pos="-1440"/>
        </w:tabs>
        <w:ind w:left="720" w:hanging="720"/>
      </w:pPr>
      <w:r w:rsidRPr="001017BA">
        <w:rPr>
          <w:b/>
          <w:bCs/>
        </w:rPr>
        <w:t>2.</w:t>
      </w:r>
      <w:r w:rsidRPr="001017BA">
        <w:rPr>
          <w:b/>
          <w:bCs/>
        </w:rPr>
        <w:tab/>
        <w:t>Purpose and Use of Information Collection</w:t>
      </w:r>
    </w:p>
    <w:p w:rsidR="00602983" w:rsidRPr="001017BA" w:rsidP="00602983" w14:paraId="2F792AA0" w14:textId="77777777">
      <w:pPr>
        <w:pStyle w:val="HTMLPreformatted"/>
        <w:rPr>
          <w:rFonts w:ascii="Times New Roman" w:hAnsi="Times New Roman"/>
          <w:sz w:val="24"/>
          <w:szCs w:val="24"/>
        </w:rPr>
      </w:pPr>
    </w:p>
    <w:p w:rsidR="0032115F" w:rsidRPr="001017BA" w:rsidP="0032115F" w14:paraId="51F5E8B4" w14:textId="6BE213F5">
      <w:pPr>
        <w:widowControl/>
        <w:rPr>
          <w:rFonts w:cs="Courier New"/>
        </w:rPr>
      </w:pPr>
      <w:r w:rsidRPr="001017BA">
        <w:rPr>
          <w:rFonts w:cs="Courier New"/>
        </w:rPr>
        <w:t xml:space="preserve">The staff of the National Center for Health Statistics’ (NCHS) Collaborating Center for Questionnaire Design and Evaluation Research (CCQDER) in the Division of Research and Methodology (DRM) is requesting approval to evaluate several general health-related topics as part of NCHS’ Research and Development Survey (RANDS) Program, in collaboration with National Center for Complementary and Integrative Health (NCCIH) at the National Institutes of Health (NIH).  This will be a mixed-method evaluation using both cognitive interviews and a multi-mode survey using a commercial survey panel. As with most of the previous rounds of RANDS that have been approved in the past, the survey content for this round will be related to health and will generally mirror content found on the National Health Interview Survey (NHIS), the National Health and Nutrition Examination Survey (NHANES), the Household Pulse Survey, and the Behavioral Risk Factor Surveillance System (BRFSS).  The overall goals of this round of </w:t>
      </w:r>
      <w:r w:rsidRPr="001017BA">
        <w:rPr>
          <w:rFonts w:cs="Courier New"/>
        </w:rPr>
        <w:t xml:space="preserve">RANDS will be to evaluate potential questions for NCHS surveys and to continue to develop NCHS’ statistical and weighting approaches to using commercial survey panel data. </w:t>
      </w:r>
    </w:p>
    <w:p w:rsidR="0032115F" w:rsidRPr="001017BA" w:rsidP="0032115F" w14:paraId="61ED22B9" w14:textId="2D7BEB6B">
      <w:pPr>
        <w:widowControl/>
        <w:rPr>
          <w:rFonts w:cs="Courier New"/>
        </w:rPr>
      </w:pPr>
      <w:r w:rsidRPr="001017BA">
        <w:rPr>
          <w:rFonts w:cs="Courier New"/>
        </w:rPr>
        <w:t>The methodological survey will follow the same protocols approved for previous rounds of CCQDER RANDS projects and will use NORC’s AmeriSpeak Panel as its sample source.  As is typical for RANDS projects, the data will be used by NCHS for methodological purposes only, and public data files will be released along with extensive documentation about the limitations of the data</w:t>
      </w:r>
      <w:r w:rsidRPr="001017BA" w:rsidR="004E1D3E">
        <w:rPr>
          <w:rFonts w:cs="Courier New"/>
        </w:rPr>
        <w:t>.</w:t>
      </w:r>
      <w:r>
        <w:rPr>
          <w:rStyle w:val="FootnoteReference"/>
          <w:rFonts w:cs="Courier New"/>
        </w:rPr>
        <w:footnoteReference w:id="2"/>
      </w:r>
      <w:r w:rsidRPr="001017BA">
        <w:rPr>
          <w:rFonts w:cs="Courier New"/>
        </w:rPr>
        <w:t xml:space="preserve"> </w:t>
      </w:r>
    </w:p>
    <w:p w:rsidR="0032115F" w:rsidRPr="001017BA" w:rsidP="0032115F" w14:paraId="6159EB2C" w14:textId="77777777">
      <w:pPr>
        <w:widowControl/>
        <w:rPr>
          <w:rFonts w:cs="Courier New"/>
        </w:rPr>
      </w:pPr>
      <w:r w:rsidRPr="001017BA">
        <w:rPr>
          <w:rFonts w:cs="Courier New"/>
        </w:rPr>
        <w:t xml:space="preserve"> </w:t>
      </w:r>
    </w:p>
    <w:p w:rsidR="0032115F" w:rsidRPr="001017BA" w:rsidP="0032115F" w14:paraId="519FDA43" w14:textId="028FC4A3">
      <w:pPr>
        <w:widowControl/>
        <w:rPr>
          <w:rFonts w:cs="Courier New"/>
        </w:rPr>
      </w:pPr>
      <w:r w:rsidRPr="001017BA">
        <w:rPr>
          <w:rFonts w:cs="Courier New"/>
        </w:rPr>
        <w:t xml:space="preserve">In addition to the RANDS survey, this proposal also requests </w:t>
      </w:r>
      <w:r w:rsidR="004F60F9">
        <w:rPr>
          <w:rFonts w:cs="Courier New"/>
        </w:rPr>
        <w:t>approval</w:t>
      </w:r>
      <w:r w:rsidRPr="001017BA">
        <w:rPr>
          <w:rFonts w:cs="Courier New"/>
        </w:rPr>
        <w:t xml:space="preserve"> to conduct accompanying cognitive interviews, allowing CCQDER to evaluate the response processes underlying the RANDS10 questionnaire items and to develop embedded evaluation techniques (such as close-ended probes or experimental designs) as necessary.  The cognitive interviewing study will follow CCQDER’s typical protocol, using both virtual interviews and in-person cognitive interviews.   </w:t>
      </w:r>
    </w:p>
    <w:p w:rsidR="0032115F" w:rsidRPr="001017BA" w:rsidP="0032115F" w14:paraId="7C853007" w14:textId="77777777">
      <w:pPr>
        <w:widowControl/>
        <w:rPr>
          <w:rFonts w:cs="Courier New"/>
        </w:rPr>
      </w:pPr>
      <w:r w:rsidRPr="001017BA">
        <w:rPr>
          <w:rFonts w:cs="Courier New"/>
        </w:rPr>
        <w:t xml:space="preserve"> </w:t>
      </w:r>
    </w:p>
    <w:p w:rsidR="0032115F" w:rsidRPr="001017BA" w:rsidP="0032115F" w14:paraId="1C9067C5" w14:textId="2336BC28">
      <w:pPr>
        <w:widowControl/>
        <w:rPr>
          <w:rFonts w:cs="Courier New"/>
        </w:rPr>
      </w:pPr>
      <w:r w:rsidRPr="001017BA">
        <w:rPr>
          <w:rFonts w:cs="Courier New"/>
        </w:rPr>
        <w:t>We propose to start recruiting participants for cognitive interviews and programming the survey instrument for the methodological survey as soon as we receive IRB and OMB clearance.</w:t>
      </w:r>
    </w:p>
    <w:p w:rsidR="0032115F" w:rsidRPr="001017BA" w:rsidP="0032115F" w14:paraId="6AE9A158" w14:textId="77777777">
      <w:pPr>
        <w:widowControl/>
        <w:rPr>
          <w:rFonts w:cs="Courier New"/>
        </w:rPr>
      </w:pPr>
      <w:r w:rsidRPr="001017BA">
        <w:rPr>
          <w:rFonts w:cs="Courier New"/>
        </w:rPr>
        <w:t xml:space="preserve"> </w:t>
      </w:r>
    </w:p>
    <w:p w:rsidR="0032115F" w:rsidRPr="001017BA" w:rsidP="0032115F" w14:paraId="1FDF9053" w14:textId="77777777">
      <w:pPr>
        <w:widowControl/>
        <w:rPr>
          <w:rFonts w:cs="Courier New"/>
          <w:b/>
          <w:bCs/>
        </w:rPr>
      </w:pPr>
      <w:r w:rsidRPr="001017BA">
        <w:rPr>
          <w:rFonts w:cs="Courier New"/>
          <w:b/>
          <w:bCs/>
        </w:rPr>
        <w:t xml:space="preserve">Proposed Project: RANDS and Accompanying Cognitive Interviews </w:t>
      </w:r>
    </w:p>
    <w:p w:rsidR="0032115F" w:rsidRPr="001017BA" w:rsidP="0032115F" w14:paraId="5EB09472" w14:textId="77777777">
      <w:pPr>
        <w:widowControl/>
        <w:rPr>
          <w:rFonts w:cs="Courier New"/>
        </w:rPr>
      </w:pPr>
      <w:r w:rsidRPr="001017BA">
        <w:rPr>
          <w:rFonts w:cs="Courier New"/>
        </w:rPr>
        <w:t xml:space="preserve"> </w:t>
      </w:r>
    </w:p>
    <w:p w:rsidR="0032115F" w:rsidRPr="001017BA" w:rsidP="0032115F" w14:paraId="373BC084" w14:textId="0F33F402">
      <w:pPr>
        <w:widowControl/>
        <w:rPr>
          <w:rFonts w:cs="Courier New"/>
        </w:rPr>
      </w:pPr>
      <w:r w:rsidRPr="001017BA">
        <w:rPr>
          <w:rFonts w:cs="Courier New"/>
        </w:rPr>
        <w:t xml:space="preserve">As the nation’s principal health statistics agency, NCHS is responsible for producing high-quality statistics on the health and wellbeing of the American public and the state of the country’s health care system, as well as contributing to the development of survey methodologies that will allow the agency to continue producing these health statistics in the future.  As </w:t>
      </w:r>
      <w:r w:rsidRPr="001017BA" w:rsidR="004E1D3E">
        <w:rPr>
          <w:rFonts w:cs="Courier New"/>
        </w:rPr>
        <w:t>OMB has</w:t>
      </w:r>
      <w:r w:rsidRPr="001017BA">
        <w:rPr>
          <w:rFonts w:cs="Courier New"/>
        </w:rPr>
        <w:t xml:space="preserve"> previously approved in prior RANDS submissions, NCHS uses commercially available, pre-existing survey panels to supplement its ongoing examinations of measurement error and estimation techniques.  This methodological survey system—NCHS’ RANDS—has allowed the Center to conduct meaningful subgroup analyses of survey response patterns, explore patterns of survey item interpretation and potential reporting errors at a population level, and provides an opportunity to explore how estimates from commercial survey panels might be used in the future to supplement NCHS’ official statistics information collections and survey systems.  To date, nine separate rounds of RANDS have been conducted</w:t>
      </w:r>
      <w:r w:rsidRPr="001017BA" w:rsidR="004E1D3E">
        <w:rPr>
          <w:rFonts w:cs="Courier New"/>
        </w:rPr>
        <w:t>.</w:t>
      </w:r>
      <w:r>
        <w:rPr>
          <w:rStyle w:val="FootnoteReference"/>
          <w:rFonts w:cs="Courier New"/>
        </w:rPr>
        <w:footnoteReference w:id="3"/>
      </w:r>
      <w:r w:rsidRPr="001017BA">
        <w:rPr>
          <w:rFonts w:cs="Courier New"/>
        </w:rPr>
        <w:t xml:space="preserve"> </w:t>
      </w:r>
    </w:p>
    <w:p w:rsidR="0032115F" w:rsidRPr="001017BA" w:rsidP="0032115F" w14:paraId="0A555F66" w14:textId="77777777">
      <w:pPr>
        <w:widowControl/>
        <w:rPr>
          <w:rFonts w:cs="Courier New"/>
        </w:rPr>
      </w:pPr>
      <w:r w:rsidRPr="001017BA">
        <w:rPr>
          <w:rFonts w:cs="Courier New"/>
        </w:rPr>
        <w:t xml:space="preserve"> </w:t>
      </w:r>
    </w:p>
    <w:p w:rsidR="0032115F" w:rsidRPr="001017BA" w:rsidP="0032115F" w14:paraId="08397E8F" w14:textId="31D24F17">
      <w:pPr>
        <w:widowControl/>
        <w:rPr>
          <w:rFonts w:cs="Courier New"/>
        </w:rPr>
      </w:pPr>
      <w:r w:rsidRPr="001017BA">
        <w:rPr>
          <w:rFonts w:cs="Courier New"/>
        </w:rPr>
        <w:t xml:space="preserve">The questions we plan to study in the proposed cognitive interviews are included as Attachment </w:t>
      </w:r>
      <w:r w:rsidRPr="001017BA" w:rsidR="00E30941">
        <w:rPr>
          <w:rFonts w:cs="Courier New"/>
        </w:rPr>
        <w:t>1</w:t>
      </w:r>
      <w:r w:rsidRPr="001017BA">
        <w:rPr>
          <w:rFonts w:cs="Courier New"/>
        </w:rPr>
        <w:t xml:space="preserve">a.  The questionnaire proposed for RANDS10 is in Attachment </w:t>
      </w:r>
      <w:r w:rsidRPr="001017BA" w:rsidR="00E30941">
        <w:rPr>
          <w:rFonts w:cs="Courier New"/>
        </w:rPr>
        <w:t>1</w:t>
      </w:r>
      <w:r w:rsidRPr="001017BA">
        <w:rPr>
          <w:rFonts w:cs="Courier New"/>
        </w:rPr>
        <w:t xml:space="preserve">b. In addition to the inclusion of the standard RANDS variables that allow NCHS to calibrate RANDS to the NHIS, this questionnaire covers other topics that will help NCHS and NCCIH advance its methodological research, including: </w:t>
      </w:r>
    </w:p>
    <w:p w:rsidR="0032115F" w:rsidRPr="001017BA" w:rsidP="0032115F" w14:paraId="20B8F7C3" w14:textId="77777777">
      <w:pPr>
        <w:widowControl/>
        <w:rPr>
          <w:rFonts w:cs="Courier New"/>
        </w:rPr>
      </w:pPr>
      <w:r w:rsidRPr="001017BA">
        <w:rPr>
          <w:rFonts w:cs="Courier New"/>
        </w:rPr>
        <w:t xml:space="preserve"> </w:t>
      </w:r>
    </w:p>
    <w:p w:rsidR="0032115F" w:rsidRPr="001017BA" w:rsidP="004E1D3E" w14:paraId="7305B613" w14:textId="16911121">
      <w:pPr>
        <w:widowControl/>
        <w:ind w:left="720"/>
        <w:rPr>
          <w:rFonts w:cs="Courier New"/>
        </w:rPr>
      </w:pPr>
      <w:r w:rsidRPr="001017BA">
        <w:rPr>
          <w:rFonts w:cs="Courier New"/>
          <w:i/>
          <w:iCs/>
        </w:rPr>
        <w:t>Whole Person Health</w:t>
      </w:r>
      <w:r w:rsidRPr="001017BA">
        <w:rPr>
          <w:rFonts w:cs="Courier New"/>
        </w:rPr>
        <w:t>: The NCCIH asked NCHS to consider adding items to the NHIS that could be used to capture the concept of ‘whole person health</w:t>
      </w:r>
      <w:r w:rsidRPr="001017BA" w:rsidR="004E1D3E">
        <w:rPr>
          <w:rFonts w:cs="Courier New"/>
        </w:rPr>
        <w:t>.</w:t>
      </w:r>
      <w:r>
        <w:rPr>
          <w:rStyle w:val="FootnoteReference"/>
          <w:rFonts w:cs="Courier New"/>
        </w:rPr>
        <w:footnoteReference w:id="4"/>
      </w:r>
      <w:r>
        <w:rPr>
          <w:rStyle w:val="FootnoteReference"/>
          <w:rFonts w:cs="Courier New"/>
        </w:rPr>
        <w:footnoteReference w:id="5"/>
      </w:r>
      <w:r>
        <w:rPr>
          <w:rStyle w:val="FootnoteReference"/>
          <w:rFonts w:cs="Courier New"/>
        </w:rPr>
        <w:footnoteReference w:id="6"/>
      </w:r>
      <w:r>
        <w:rPr>
          <w:rStyle w:val="FootnoteReference"/>
          <w:rFonts w:cs="Courier New"/>
        </w:rPr>
        <w:footnoteReference w:id="7"/>
      </w:r>
      <w:r>
        <w:rPr>
          <w:rStyle w:val="FootnoteReference"/>
          <w:rFonts w:cs="Courier New"/>
        </w:rPr>
        <w:footnoteReference w:id="8"/>
      </w:r>
      <w:r w:rsidRPr="001017BA">
        <w:rPr>
          <w:rFonts w:cs="Courier New"/>
        </w:rPr>
        <w:t xml:space="preserve">  As opposed to considering specific conditions or diseases, ‘whole person health’ is a holistic approach that considers multiple factors affecting a person’s health and well-being, and focuses on restoring health, promoting resilience, and preventing diseases across a lifespan.  Nine items constituting whole person health are in consideration for the NHIS and relate to: self-rated health, quality of life, social and family connections, diet, physical activity, stress management, sleep, spirituality, and management of health concerns.  Questions pertaining to overall self-rated health, quality of life, and diet are well-established and come from the NHIS and NHANES.  The other 6 items are newly adapted single items taken from existing scales (social and family connections, physical activity, stress management, sleep, spirituality, and management of health concerns).   </w:t>
      </w:r>
    </w:p>
    <w:p w:rsidR="0032115F" w:rsidRPr="001017BA" w:rsidP="004E1D3E" w14:paraId="3D26E69F" w14:textId="77777777">
      <w:pPr>
        <w:widowControl/>
        <w:ind w:left="720"/>
        <w:rPr>
          <w:rFonts w:cs="Courier New"/>
        </w:rPr>
      </w:pPr>
      <w:r w:rsidRPr="001017BA">
        <w:rPr>
          <w:rFonts w:cs="Courier New"/>
        </w:rPr>
        <w:t xml:space="preserve"> </w:t>
      </w:r>
    </w:p>
    <w:p w:rsidR="0032115F" w:rsidRPr="001017BA" w:rsidP="004E1D3E" w14:paraId="186A3503" w14:textId="77777777">
      <w:pPr>
        <w:widowControl/>
        <w:ind w:left="720"/>
        <w:rPr>
          <w:rFonts w:cs="Courier New"/>
        </w:rPr>
      </w:pPr>
      <w:r w:rsidRPr="001017BA">
        <w:rPr>
          <w:rFonts w:cs="Courier New"/>
        </w:rPr>
        <w:t xml:space="preserve">For this study, cognitive interviews will first be conducted to examine the performance of the proposed items.  During the interviewing process, wording changes may be made if deemed appropriate to reduce error or respondent confusion.  Analysis of interviews will indicate the phenomena (or interpretive patterns) considered by respondents when formulating answers and will provide the basis for construct probes to be embedded in the RANDS10 questionnaire.  RANDS10 data will indicate the extent that various patterns exist and the comparability across demographic groups.  In addition to the follow-up probe questions, well-established, pre-existing scales items will be included to assess the validity of the single item measures. </w:t>
      </w:r>
    </w:p>
    <w:p w:rsidR="0032115F" w:rsidRPr="001017BA" w:rsidP="004E1D3E" w14:paraId="3D806000" w14:textId="77777777">
      <w:pPr>
        <w:widowControl/>
        <w:ind w:left="720"/>
        <w:rPr>
          <w:rFonts w:cs="Courier New"/>
        </w:rPr>
      </w:pPr>
      <w:r w:rsidRPr="001017BA">
        <w:rPr>
          <w:rFonts w:cs="Courier New"/>
        </w:rPr>
        <w:t xml:space="preserve"> </w:t>
      </w:r>
    </w:p>
    <w:p w:rsidR="0032115F" w:rsidRPr="001017BA" w:rsidP="004E1D3E" w14:paraId="00EFA46A" w14:textId="590D31B2">
      <w:pPr>
        <w:widowControl/>
        <w:ind w:left="720"/>
        <w:rPr>
          <w:rFonts w:cs="Courier New"/>
        </w:rPr>
      </w:pPr>
      <w:r w:rsidRPr="001017BA">
        <w:rPr>
          <w:rFonts w:cs="Courier New"/>
          <w:i/>
          <w:iCs/>
        </w:rPr>
        <w:t>Discrimination</w:t>
      </w:r>
      <w:r w:rsidRPr="001017BA">
        <w:rPr>
          <w:rFonts w:cs="Courier New"/>
        </w:rPr>
        <w:t xml:space="preserve">: NCHS is continuing its work evaluating existing discrimination scales, specifically, the Everyday Discrimination Scale and the Heightened Vigilance Scale.  This builds on previously approved studies (for both RANDS and cognitive interviewing) that were conducted in 2022 to inform decisions for including such measures on the NHIS. The analytic purpose of this study is to collect more in-depth data detailing the ways in which respondents experience and interpret specific episodes of discrimination.  This will allow us to </w:t>
      </w:r>
      <w:r w:rsidRPr="001017BA" w:rsidR="00B651C1">
        <w:rPr>
          <w:rFonts w:cs="Courier New"/>
        </w:rPr>
        <w:t>understand respondents’ perceptions of discrimination more fully</w:t>
      </w:r>
      <w:r w:rsidRPr="001017BA">
        <w:rPr>
          <w:rFonts w:cs="Courier New"/>
        </w:rPr>
        <w:t xml:space="preserve"> as they are shaped by intersectionality, the phenomena (or interpretive patterns) considered by respondents when formulating answers and, ultimately, the validity of the measures. Findings from the cognitive interviews will inform development of construct and error probes to be embedded in the RANDS10 questionnaire.  This quantitative data will provide insight into the extent that error and/or construct patterns exist within the discrimination data as well as </w:t>
      </w:r>
      <w:r w:rsidRPr="001017BA" w:rsidR="00B651C1">
        <w:rPr>
          <w:rFonts w:cs="Courier New"/>
        </w:rPr>
        <w:t>measurement invariance</w:t>
      </w:r>
      <w:r w:rsidRPr="001017BA">
        <w:rPr>
          <w:rFonts w:cs="Courier New"/>
        </w:rPr>
        <w:t xml:space="preserve"> across demographic groups. </w:t>
      </w:r>
    </w:p>
    <w:p w:rsidR="0032115F" w:rsidRPr="001017BA" w:rsidP="004E1D3E" w14:paraId="048323C5" w14:textId="77777777">
      <w:pPr>
        <w:widowControl/>
        <w:ind w:left="720"/>
        <w:rPr>
          <w:rFonts w:cs="Courier New"/>
        </w:rPr>
      </w:pPr>
      <w:r w:rsidRPr="001017BA">
        <w:rPr>
          <w:rFonts w:cs="Courier New"/>
        </w:rPr>
        <w:t xml:space="preserve"> </w:t>
      </w:r>
    </w:p>
    <w:p w:rsidR="0032115F" w:rsidRPr="001017BA" w:rsidP="004E1D3E" w14:paraId="35FFE4F4" w14:textId="2B0B9A3A">
      <w:pPr>
        <w:widowControl/>
        <w:ind w:left="720"/>
        <w:rPr>
          <w:rFonts w:cs="Courier New"/>
        </w:rPr>
      </w:pPr>
      <w:r w:rsidRPr="001017BA">
        <w:rPr>
          <w:rFonts w:cs="Courier New"/>
          <w:i/>
          <w:iCs/>
        </w:rPr>
        <w:t>Novel Calibration Variables</w:t>
      </w:r>
      <w:r w:rsidRPr="001017BA">
        <w:rPr>
          <w:rFonts w:cs="Courier New"/>
        </w:rPr>
        <w:t xml:space="preserve">: To this point, DRM has found success calibrating RANDS data to the NHIS using a combination of demographic and chronic condition variables.  DRM and NCHS’ Division of Health Interview Statistics have developed an expanded list of potential calibration variables.  Specific items include questions about volunteerism, health care access, internet use, and functional disability.  NCHS plans on using the proposed cognitive interviews and RANDS to </w:t>
      </w:r>
      <w:r w:rsidRPr="001017BA" w:rsidR="00B651C1">
        <w:rPr>
          <w:rFonts w:cs="Courier New"/>
        </w:rPr>
        <w:t>continue its</w:t>
      </w:r>
      <w:r w:rsidRPr="001017BA">
        <w:rPr>
          <w:rFonts w:cs="Courier New"/>
        </w:rPr>
        <w:t xml:space="preserve"> </w:t>
      </w:r>
      <w:r w:rsidRPr="001017BA" w:rsidR="00B651C1">
        <w:rPr>
          <w:rFonts w:cs="Courier New"/>
        </w:rPr>
        <w:t>evaluation of</w:t>
      </w:r>
      <w:r w:rsidRPr="001017BA">
        <w:rPr>
          <w:rFonts w:cs="Courier New"/>
        </w:rPr>
        <w:t xml:space="preserve"> these variables’ response patterns and how the inclusion of these variables in its calibration approach affects estimation. </w:t>
      </w:r>
    </w:p>
    <w:p w:rsidR="00B651C1" w:rsidRPr="001017BA" w:rsidP="004E1D3E" w14:paraId="666F7246" w14:textId="77777777">
      <w:pPr>
        <w:widowControl/>
        <w:ind w:left="720"/>
        <w:rPr>
          <w:rFonts w:cs="Courier New"/>
        </w:rPr>
      </w:pPr>
    </w:p>
    <w:p w:rsidR="00BE3A63" w:rsidRPr="001017BA" w:rsidP="00BE3A63" w14:paraId="16356544" w14:textId="700FAB58">
      <w:pPr>
        <w:widowControl/>
      </w:pPr>
      <w:r w:rsidRPr="001017BA">
        <w:t xml:space="preserve">The previous use and development of these items is described in Attachment 2. NCHS understands that OMB approval for evaluation of these questions does not imply or guarantee future approval for use or application of these or similar items. </w:t>
      </w:r>
    </w:p>
    <w:p w:rsidR="00BE3A63" w:rsidRPr="001017BA" w:rsidP="0032115F" w14:paraId="0DAE836A" w14:textId="77777777">
      <w:pPr>
        <w:widowControl/>
        <w:rPr>
          <w:rFonts w:cs="Courier New"/>
          <w:b/>
          <w:bCs/>
        </w:rPr>
      </w:pPr>
    </w:p>
    <w:p w:rsidR="0032115F" w:rsidRPr="001017BA" w:rsidP="0032115F" w14:paraId="34FF4650" w14:textId="197A8E37">
      <w:pPr>
        <w:widowControl/>
        <w:rPr>
          <w:rFonts w:cs="Courier New"/>
          <w:b/>
          <w:bCs/>
        </w:rPr>
      </w:pPr>
      <w:r w:rsidRPr="001017BA">
        <w:rPr>
          <w:rFonts w:cs="Courier New"/>
          <w:b/>
          <w:bCs/>
        </w:rPr>
        <w:t xml:space="preserve">Cognitive Interviews </w:t>
      </w:r>
    </w:p>
    <w:p w:rsidR="00B11B36" w:rsidRPr="001017BA" w:rsidP="004A4524" w14:paraId="1A35206D" w14:textId="77777777">
      <w:pPr>
        <w:widowControl/>
      </w:pPr>
    </w:p>
    <w:p w:rsidR="004A4524" w:rsidRPr="001017BA" w:rsidP="004A4524" w14:paraId="27A9AE1E" w14:textId="1F9B0C57">
      <w:pPr>
        <w:widowControl/>
      </w:pPr>
      <w:r w:rsidRPr="001017BA">
        <w:t>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The testing procedure conforms to the cognitive interviewing techniques that have been described in CCQDER’s generic clearance package (OMB No. 0920-0222, exp. 01/31/2026)</w:t>
      </w:r>
      <w:r w:rsidRPr="001017BA">
        <w:rPr>
          <w:b/>
          <w:bCs/>
        </w:rPr>
        <w:t xml:space="preserve">. </w:t>
      </w:r>
      <w:r w:rsidRPr="001017BA">
        <w:t>Within that framework, the following procedures are particular to this study:</w:t>
      </w:r>
    </w:p>
    <w:p w:rsidR="004A4524" w:rsidRPr="001017BA" w:rsidP="004A4524" w14:paraId="338986D5" w14:textId="77777777">
      <w:pPr>
        <w:widowControl/>
      </w:pPr>
    </w:p>
    <w:p w:rsidR="004A4524" w:rsidRPr="001017BA" w:rsidP="004A4524" w14:paraId="3E0677FA" w14:textId="5C4536B1">
      <w:pPr>
        <w:widowControl/>
        <w:tabs>
          <w:tab w:val="left" w:pos="0"/>
        </w:tabs>
        <w:ind w:left="720"/>
        <w:outlineLvl w:val="0"/>
      </w:pPr>
      <w:r w:rsidRPr="001017BA">
        <w:rPr>
          <w:i/>
          <w:iCs/>
        </w:rPr>
        <w:t>Recruitment</w:t>
      </w:r>
      <w:r w:rsidRPr="001017BA">
        <w:t xml:space="preserve">.  We propose to recruit up to </w:t>
      </w:r>
      <w:r w:rsidRPr="001017BA" w:rsidR="00E30941">
        <w:t>80 English-speaking, adult respondents</w:t>
      </w:r>
      <w:r w:rsidRPr="001017BA">
        <w:t>. In addition to those criteria, demographic diversity and intersectionality is also a priority, with the goal of achieving a purposive sample that includes a mix of genders, age, race, and educational attainment. Recruitment will be carried out through a combination of advertisements, flyers, word-of-mouth, and the CCQDER Respondent Database.  The advertisement/flyer used to recruit respondents is shown in Attachment 3.</w:t>
      </w:r>
    </w:p>
    <w:p w:rsidR="004A4524" w:rsidRPr="001017BA" w:rsidP="004A4524" w14:paraId="193584CE" w14:textId="77777777">
      <w:pPr>
        <w:widowControl/>
        <w:tabs>
          <w:tab w:val="left" w:pos="0"/>
        </w:tabs>
        <w:ind w:left="720"/>
        <w:outlineLvl w:val="0"/>
      </w:pPr>
    </w:p>
    <w:p w:rsidR="004A4524" w:rsidRPr="001017BA" w:rsidP="1FB5644F" w14:paraId="35349FDD" w14:textId="02088201">
      <w:pPr>
        <w:ind w:left="720"/>
        <w:contextualSpacing/>
      </w:pPr>
      <w:r w:rsidRPr="001017BA">
        <w:rPr>
          <w:i/>
          <w:iCs/>
        </w:rPr>
        <w:t>Screening</w:t>
      </w:r>
      <w:r w:rsidRPr="001017BA">
        <w:t>.</w:t>
      </w:r>
      <w:r w:rsidRPr="001017BA">
        <w:rPr>
          <w:b/>
          <w:bCs/>
        </w:rPr>
        <w:t xml:space="preserve">  </w:t>
      </w:r>
      <w:r w:rsidRPr="001017BA">
        <w:t xml:space="preserve">Respondent screening will conform to the protocol laid out in CCQDER’s generic package. The 5-minute screener used to determine eligibility of individuals responding to the advertisements/flyers is shown in Attachments 4a &amp; 4b. It is anticipated that as many as </w:t>
      </w:r>
      <w:r w:rsidRPr="001017BA" w:rsidR="772EFB02">
        <w:t>120</w:t>
      </w:r>
      <w:r w:rsidRPr="001017BA">
        <w:t xml:space="preserve"> individuals may need to be screened to recruit </w:t>
      </w:r>
      <w:r w:rsidRPr="001017BA" w:rsidR="14FB119C">
        <w:t>80</w:t>
      </w:r>
      <w:r w:rsidRPr="001017BA">
        <w:t xml:space="preserve">participants. </w:t>
      </w:r>
    </w:p>
    <w:p w:rsidR="004A4524" w:rsidRPr="001017BA" w:rsidP="004A4524" w14:paraId="3EE5B0A2" w14:textId="77777777">
      <w:pPr>
        <w:widowControl/>
        <w:tabs>
          <w:tab w:val="left" w:pos="0"/>
        </w:tabs>
        <w:ind w:left="720"/>
        <w:outlineLvl w:val="0"/>
      </w:pPr>
    </w:p>
    <w:p w:rsidR="004A4524" w:rsidRPr="001017BA" w:rsidP="004A4524" w14:paraId="0CB61E68" w14:textId="77777777">
      <w:pPr>
        <w:widowControl/>
        <w:tabs>
          <w:tab w:val="left" w:pos="0"/>
        </w:tabs>
        <w:ind w:left="720"/>
        <w:outlineLvl w:val="0"/>
      </w:pPr>
      <w:r w:rsidRPr="001017BA">
        <w:rPr>
          <w:i/>
          <w:iCs/>
        </w:rPr>
        <w:t>Interview methods.</w:t>
      </w:r>
      <w:r w:rsidRPr="001017BA">
        <w:t xml:space="preserve"> Cognitive interviews will be conducted by CCQDER staff and RSS contractors in accordance with the protocol described in CCQDER’s generic package. The informed consent documents specific to this project are included as Attachments 5a and 5b.</w:t>
      </w:r>
    </w:p>
    <w:p w:rsidR="004A4524" w:rsidRPr="001017BA" w:rsidP="004A4524" w14:paraId="41B9304E" w14:textId="77777777">
      <w:pPr>
        <w:widowControl/>
        <w:tabs>
          <w:tab w:val="left" w:pos="0"/>
        </w:tabs>
        <w:outlineLvl w:val="0"/>
      </w:pPr>
    </w:p>
    <w:p w:rsidR="00C21994" w:rsidRPr="001017BA" w:rsidP="004A4524" w14:paraId="03E7394D" w14:textId="78D38CD3">
      <w:pPr>
        <w:widowControl/>
        <w:tabs>
          <w:tab w:val="left" w:pos="0"/>
        </w:tabs>
        <w:outlineLvl w:val="0"/>
        <w:rPr>
          <w:b/>
          <w:bCs/>
        </w:rPr>
      </w:pPr>
      <w:r w:rsidRPr="001017BA">
        <w:rPr>
          <w:b/>
          <w:bCs/>
        </w:rPr>
        <w:t>RANDS 10</w:t>
      </w:r>
    </w:p>
    <w:p w:rsidR="001A30D7" w:rsidRPr="001017BA" w:rsidP="004A4524" w14:paraId="575CDE56" w14:textId="77777777">
      <w:pPr>
        <w:widowControl/>
        <w:tabs>
          <w:tab w:val="left" w:pos="0"/>
        </w:tabs>
        <w:outlineLvl w:val="0"/>
      </w:pPr>
    </w:p>
    <w:p w:rsidR="001A30D7" w:rsidRPr="001017BA" w:rsidP="00C21994" w14:paraId="32D33ECD" w14:textId="77777777">
      <w:pPr>
        <w:pStyle w:val="paragraph"/>
        <w:spacing w:before="0" w:beforeAutospacing="0" w:after="0" w:afterAutospacing="0"/>
        <w:textAlignment w:val="baseline"/>
        <w:rPr>
          <w:rStyle w:val="normaltextrun"/>
        </w:rPr>
      </w:pPr>
      <w:r w:rsidRPr="001017BA">
        <w:rPr>
          <w:rStyle w:val="normaltextrun"/>
        </w:rPr>
        <w:t xml:space="preserve">As with previous rounds of RANDS, DRM proposes that RANDS 10 function as a methodological study to provide a testbed for NCHS’ estimation and question evaluation research.  The design of RANDS 10 will conform to the survey techniques that have been described in CCQDER’s generic clearance </w:t>
      </w:r>
      <w:r w:rsidRPr="001017BA">
        <w:t>package (OMB No. 0920-0222, exp. 01/31/2026)</w:t>
      </w:r>
      <w:r w:rsidRPr="001017BA">
        <w:rPr>
          <w:b/>
          <w:bCs/>
        </w:rPr>
        <w:t xml:space="preserve">. </w:t>
      </w:r>
      <w:r w:rsidRPr="001017BA">
        <w:t>Within that framework, the following procedures are particular to this study:</w:t>
      </w:r>
      <w:r w:rsidRPr="001017BA">
        <w:rPr>
          <w:rStyle w:val="normaltextrun"/>
        </w:rPr>
        <w:t xml:space="preserve"> </w:t>
      </w:r>
    </w:p>
    <w:p w:rsidR="001A30D7" w:rsidRPr="001017BA" w:rsidP="001A30D7" w14:paraId="546BC69E" w14:textId="297D389C">
      <w:pPr>
        <w:pStyle w:val="paragraph"/>
        <w:spacing w:before="0" w:beforeAutospacing="0" w:after="0" w:afterAutospacing="0"/>
        <w:ind w:left="720"/>
        <w:textAlignment w:val="baseline"/>
        <w:rPr>
          <w:rStyle w:val="normaltextrun"/>
        </w:rPr>
      </w:pPr>
      <w:r w:rsidRPr="001017BA">
        <w:rPr>
          <w:rStyle w:val="normaltextrun"/>
          <w:i/>
          <w:iCs/>
        </w:rPr>
        <w:t xml:space="preserve">Sample. </w:t>
      </w:r>
      <w:r w:rsidRPr="001017BA" w:rsidR="00C21994">
        <w:rPr>
          <w:rStyle w:val="normaltextrun"/>
        </w:rPr>
        <w:t>This round of RANDS will be administered by NORC at the University of Chicago (NORC) across both web and phone modes, according to panelist preference</w:t>
      </w:r>
      <w:r w:rsidRPr="001017BA" w:rsidR="00FC0550">
        <w:rPr>
          <w:rStyle w:val="normaltextrun"/>
        </w:rPr>
        <w:t xml:space="preserve"> (approximately 10% of the </w:t>
      </w:r>
      <w:r w:rsidRPr="001017BA" w:rsidR="00FC0550">
        <w:rPr>
          <w:rStyle w:val="spellingerror"/>
        </w:rPr>
        <w:t>AmeriSpeak</w:t>
      </w:r>
      <w:r w:rsidRPr="001017BA" w:rsidR="00FC0550">
        <w:rPr>
          <w:rStyle w:val="normaltextrun"/>
        </w:rPr>
        <w:t xml:space="preserve"> panelists are “phone-only” respondents who only take surveys via a phone interviewer). We are requesting </w:t>
      </w:r>
      <w:r w:rsidR="004F60F9">
        <w:rPr>
          <w:rStyle w:val="normaltextrun"/>
        </w:rPr>
        <w:t>approval</w:t>
      </w:r>
      <w:r w:rsidRPr="001017BA" w:rsidR="00FC0550">
        <w:rPr>
          <w:rStyle w:val="normaltextrun"/>
        </w:rPr>
        <w:t xml:space="preserve"> to obtain 6,600 complete responses from the </w:t>
      </w:r>
      <w:r w:rsidRPr="001017BA" w:rsidR="00FC0550">
        <w:rPr>
          <w:rStyle w:val="spellingerror"/>
        </w:rPr>
        <w:t>AmeriSpeak</w:t>
      </w:r>
      <w:r w:rsidRPr="001017BA" w:rsidR="00FC0550">
        <w:rPr>
          <w:rStyle w:val="normaltextrun"/>
        </w:rPr>
        <w:t xml:space="preserve"> panel, including 6,000 web responses and 600 phone responses for one round of data collection. </w:t>
      </w:r>
      <w:r w:rsidRPr="001017BA" w:rsidR="00C21994">
        <w:rPr>
          <w:rStyle w:val="normaltextrun"/>
        </w:rPr>
        <w:t xml:space="preserve">Previous rounds of RANDS that have used both phone and web </w:t>
      </w:r>
      <w:r w:rsidRPr="001017BA" w:rsidR="00C21994">
        <w:rPr>
          <w:rStyle w:val="spellingerror"/>
        </w:rPr>
        <w:t>AmeriSpeak</w:t>
      </w:r>
      <w:r w:rsidRPr="001017BA" w:rsidR="00C21994">
        <w:rPr>
          <w:rStyle w:val="normaltextrun"/>
        </w:rPr>
        <w:t xml:space="preserve"> panel respondents have obtained sample completion rates averaging 72.5%.  </w:t>
      </w:r>
    </w:p>
    <w:p w:rsidR="001A30D7" w:rsidRPr="001017BA" w:rsidP="001A30D7" w14:paraId="7AFD0B1E" w14:textId="77777777">
      <w:pPr>
        <w:pStyle w:val="paragraph"/>
        <w:spacing w:before="0" w:beforeAutospacing="0" w:after="0" w:afterAutospacing="0"/>
        <w:ind w:left="720"/>
        <w:textAlignment w:val="baseline"/>
        <w:rPr>
          <w:rStyle w:val="normaltextrun"/>
        </w:rPr>
      </w:pPr>
    </w:p>
    <w:p w:rsidR="00C21994" w:rsidRPr="001017BA" w:rsidP="001A30D7" w14:paraId="29EC7B08" w14:textId="69A6DE74">
      <w:pPr>
        <w:pStyle w:val="paragraph"/>
        <w:spacing w:before="0" w:beforeAutospacing="0" w:after="0" w:afterAutospacing="0"/>
        <w:ind w:left="720"/>
        <w:textAlignment w:val="baseline"/>
        <w:rPr>
          <w:rFonts w:ascii="Segoe UI" w:hAnsi="Segoe UI" w:cs="Segoe UI"/>
          <w:sz w:val="18"/>
          <w:szCs w:val="18"/>
        </w:rPr>
      </w:pPr>
      <w:r w:rsidRPr="001017BA">
        <w:rPr>
          <w:rStyle w:val="normaltextrun"/>
          <w:i/>
          <w:iCs/>
        </w:rPr>
        <w:t xml:space="preserve">Survey Administration. </w:t>
      </w:r>
      <w:r w:rsidRPr="001017BA">
        <w:rPr>
          <w:rStyle w:val="normaltextrun"/>
        </w:rPr>
        <w:t>The proposed RANDS10 will be conducted as soon as IRB and OMB clearances are granted. For one round, NORC anticipates a field period of approximately 1 month.</w:t>
      </w:r>
      <w:r w:rsidRPr="001017BA">
        <w:rPr>
          <w:rStyle w:val="eop"/>
        </w:rPr>
        <w:t xml:space="preserve"> </w:t>
      </w:r>
      <w:r w:rsidRPr="001017BA">
        <w:rPr>
          <w:rStyle w:val="normaltextrun"/>
        </w:rPr>
        <w:t>As with previous rounds, the RANDS</w:t>
      </w:r>
      <w:r w:rsidRPr="001017BA" w:rsidR="00FC0550">
        <w:rPr>
          <w:rStyle w:val="normaltextrun"/>
        </w:rPr>
        <w:t xml:space="preserve"> </w:t>
      </w:r>
      <w:r w:rsidRPr="001017BA">
        <w:rPr>
          <w:rStyle w:val="normaltextrun"/>
        </w:rPr>
        <w:t xml:space="preserve">10 survey will begin with an introduction screen (or introduction text for telephone respondents) like what is seen at the beginning of Attachment 1b, explaining the general purpose of the survey and providing the consent, confidentiality, and Paperwork Reduction Act language. As signed consent is not possible for internet surveys where the population of respondents is anonymous to NCHS, as in a commercial panel, a waiver of signed consent from the CDC IRB will be obtained (as has been the case in all previous rounds of RANDS). The introduction page will require the respondent to manually click through to the first page of questions (or agree to continue and not hang up for telephone respondents); this action therefore implies consent. As with all previously approved rounds of RANDS that used NORC’s </w:t>
      </w:r>
      <w:r w:rsidRPr="001017BA">
        <w:rPr>
          <w:rStyle w:val="spellingerror"/>
        </w:rPr>
        <w:t>AmeriSpeak</w:t>
      </w:r>
      <w:r w:rsidRPr="001017BA">
        <w:rPr>
          <w:rStyle w:val="normaltextrun"/>
        </w:rPr>
        <w:t xml:space="preserve"> panel, NCHS will not provide an incentive to panelists participating in RANDS, though NORC does provide non-cash incentives in the form of “</w:t>
      </w:r>
      <w:r w:rsidRPr="001017BA">
        <w:rPr>
          <w:rStyle w:val="spellingerror"/>
        </w:rPr>
        <w:t>AmeriPoints</w:t>
      </w:r>
      <w:r w:rsidRPr="001017BA">
        <w:rPr>
          <w:rStyle w:val="normaltextrun"/>
        </w:rPr>
        <w:t>” that panelists can accumulate and exchange for items such as gift cards.</w:t>
      </w:r>
      <w:r w:rsidRPr="001017BA" w:rsidR="00FC0550">
        <w:rPr>
          <w:rStyle w:val="eop"/>
        </w:rPr>
        <w:t xml:space="preserve"> The full RANDS 10 survey is expected to take 20 minutes to complete.</w:t>
      </w:r>
    </w:p>
    <w:p w:rsidR="00C21994" w:rsidRPr="001017BA" w:rsidP="004A4524" w14:paraId="573C473A" w14:textId="77777777">
      <w:pPr>
        <w:widowControl/>
        <w:tabs>
          <w:tab w:val="left" w:pos="0"/>
        </w:tabs>
        <w:outlineLvl w:val="0"/>
      </w:pPr>
    </w:p>
    <w:p w:rsidR="00602983" w:rsidRPr="001017BA" w:rsidP="00602983" w14:paraId="4073FCD1" w14:textId="77777777"/>
    <w:p w:rsidR="00602983" w:rsidRPr="001017BA" w:rsidP="00602983" w14:paraId="3CB6A901" w14:textId="77777777">
      <w:pPr>
        <w:widowControl/>
        <w:tabs>
          <w:tab w:val="left" w:pos="0"/>
        </w:tabs>
        <w:ind w:left="720" w:hanging="720"/>
      </w:pPr>
      <w:r w:rsidRPr="001017BA">
        <w:rPr>
          <w:b/>
          <w:bCs/>
        </w:rPr>
        <w:t>10.</w:t>
      </w:r>
      <w:r w:rsidRPr="001017BA">
        <w:rPr>
          <w:b/>
          <w:bCs/>
        </w:rPr>
        <w:tab/>
        <w:t xml:space="preserve">Protection of the Privacy and Confidentiality of Information Provided by Respondents </w:t>
      </w:r>
    </w:p>
    <w:p w:rsidR="00602983" w:rsidRPr="001017BA" w:rsidP="00602983" w14:paraId="467E655A" w14:textId="77777777">
      <w:pPr>
        <w:widowControl/>
        <w:tabs>
          <w:tab w:val="left" w:pos="0"/>
        </w:tabs>
      </w:pPr>
    </w:p>
    <w:p w:rsidR="00770E23" w:rsidP="00770E23" w14:paraId="70642828" w14:textId="77777777">
      <w:pPr>
        <w:widowControl/>
        <w:tabs>
          <w:tab w:val="left" w:pos="0"/>
        </w:tabs>
      </w:pPr>
      <w:r>
        <w:t>The CCQDER continues to collect, on a confidential basis, data needed in order to conduct CCQDER studies. The process of informing respondents of the procedures used to keep information confidential begins with the telephone screener and will carry through to the interviewer and all communications with potential respondents. Materials will include all elements of informed consent, including the purpose of the data collection, the voluntary nature of the study, audio or video recording of the interview, and the effect upon the respondent for terminating the interview at any time.</w:t>
      </w:r>
    </w:p>
    <w:p w:rsidR="00770E23" w:rsidP="00770E23" w14:paraId="4D657AD2" w14:textId="77777777">
      <w:pPr>
        <w:widowControl/>
        <w:tabs>
          <w:tab w:val="left" w:pos="0"/>
        </w:tabs>
      </w:pPr>
    </w:p>
    <w:p w:rsidR="00770E23" w:rsidP="00770E23" w14:paraId="4925A088" w14:textId="77777777">
      <w:pPr>
        <w:widowControl/>
        <w:tabs>
          <w:tab w:val="left" w:pos="0"/>
        </w:tabs>
      </w:pPr>
      <w:r>
        <w:t>Confidentiality provided to respondents is assured by adherence to Section 308(d) of the Public Health Service Act (42 U.S.C. 242m) which states:</w:t>
      </w:r>
    </w:p>
    <w:p w:rsidR="00770E23" w:rsidP="00770E23" w14:paraId="438C5DDE" w14:textId="77777777">
      <w:pPr>
        <w:widowControl/>
        <w:tabs>
          <w:tab w:val="left" w:pos="0"/>
        </w:tabs>
      </w:pPr>
    </w:p>
    <w:p w:rsidR="00770E23" w:rsidP="00770E23" w14:paraId="7AF9ED07" w14:textId="77777777">
      <w:pPr>
        <w:widowControl/>
        <w:tabs>
          <w:tab w:val="left" w:pos="0"/>
        </w:tabs>
      </w:pPr>
      <w:r>
        <w:t xml:space="preserve">“No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w:t>
      </w:r>
      <w:r>
        <w:t>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770E23" w:rsidP="00770E23" w14:paraId="61072E83" w14:textId="77777777">
      <w:pPr>
        <w:widowControl/>
        <w:tabs>
          <w:tab w:val="left" w:pos="0"/>
        </w:tabs>
      </w:pPr>
    </w:p>
    <w:p w:rsidR="00770E23" w:rsidP="00770E23" w14:paraId="6B9032ED" w14:textId="77777777">
      <w:pPr>
        <w:widowControl/>
        <w:tabs>
          <w:tab w:val="left" w:pos="0"/>
        </w:tabs>
      </w:pPr>
      <w:r>
        <w:t>In addition, legislation covering confidentiality is provided according to the Confidential Information Protection and Statistical Efficiency Act or CIPSEA (44 U.S.C. 3561-3583), which states:</w:t>
      </w:r>
    </w:p>
    <w:p w:rsidR="00770E23" w:rsidP="00770E23" w14:paraId="15FE980D" w14:textId="77777777">
      <w:pPr>
        <w:widowControl/>
        <w:tabs>
          <w:tab w:val="left" w:pos="0"/>
        </w:tabs>
      </w:pPr>
    </w:p>
    <w:p w:rsidR="00770E23" w:rsidP="00770E23" w14:paraId="631BD834" w14:textId="77777777">
      <w:pPr>
        <w:widowControl/>
        <w:tabs>
          <w:tab w:val="left" w:pos="0"/>
        </w:tabs>
      </w:pPr>
      <w: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770E23" w:rsidP="00770E23" w14:paraId="3E42268C" w14:textId="77777777">
      <w:pPr>
        <w:widowControl/>
        <w:tabs>
          <w:tab w:val="left" w:pos="0"/>
        </w:tabs>
      </w:pPr>
    </w:p>
    <w:p w:rsidR="00770E23" w:rsidP="00770E23" w14:paraId="0ACD92AB" w14:textId="77777777">
      <w:pPr>
        <w:widowControl/>
        <w:tabs>
          <w:tab w:val="left" w:pos="0"/>
        </w:tabs>
      </w:pPr>
      <w: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p>
    <w:p w:rsidR="00770E23" w:rsidP="00770E23" w14:paraId="0B805A61" w14:textId="77777777">
      <w:pPr>
        <w:widowControl/>
        <w:tabs>
          <w:tab w:val="left" w:pos="0"/>
        </w:tabs>
      </w:pPr>
    </w:p>
    <w:p w:rsidR="00770E23" w:rsidP="00770E23" w14:paraId="5617EDD0" w14:textId="17A3F853">
      <w:pPr>
        <w:widowControl/>
        <w:tabs>
          <w:tab w:val="left" w:pos="0"/>
        </w:tabs>
      </w:pPr>
      <w:r>
        <w:t>A Designated Agent Agreement between NCHS and any CCQDER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(https://www.cdc.gov/nchs/training/confidentiality/training/), submit a certificate of completion, and sign a pledge to maintain confidentiality (Nondisclosure Affidavit) prior to completing CCQDER work. If the CCQDER contractor hires subcontractors to complete CCQDER work, the subcontractors must adhere to the same confidentiality and security requirements as CCQDER staff and contractors.</w:t>
      </w:r>
    </w:p>
    <w:p w:rsidR="00770E23" w:rsidP="00770E23" w14:paraId="6F0B35B4" w14:textId="77777777">
      <w:pPr>
        <w:widowControl/>
        <w:tabs>
          <w:tab w:val="left" w:pos="0"/>
        </w:tabs>
      </w:pPr>
    </w:p>
    <w:p w:rsidR="00770E23" w:rsidP="00770E23" w14:paraId="1C181EDF" w14:textId="77777777">
      <w:pPr>
        <w:widowControl/>
        <w:tabs>
          <w:tab w:val="left" w:pos="0"/>
        </w:tabs>
      </w:pPr>
      <w:r>
        <w:t>Data in identifiable form are collected for linkage of various CCQDER forms (informed consent documentation and respondent demographics) and audio and video recordings. The CCQDER also uses some identifiable data (name, phone number, email address) to contact previous respondents for CCQDER studies. The ability to match respondents to other data (informed consent documents, respondent demographics, and audio/video recordings) greatly expands the usefulness of the data at a very low cost.</w:t>
      </w:r>
    </w:p>
    <w:p w:rsidR="00770E23" w:rsidP="00770E23" w14:paraId="64651AD0" w14:textId="77777777">
      <w:pPr>
        <w:widowControl/>
        <w:tabs>
          <w:tab w:val="left" w:pos="0"/>
        </w:tabs>
      </w:pPr>
    </w:p>
    <w:p w:rsidR="00770E23" w:rsidP="00770E23" w14:paraId="15C29A8C" w14:textId="1DF9E4CD">
      <w:pPr>
        <w:widowControl/>
        <w:tabs>
          <w:tab w:val="left" w:pos="0"/>
        </w:tabs>
      </w:pPr>
      <w:r>
        <w:t>As outlined in the informed consent form, access to personal information is restricted to CCQDER staff who can only access the personal information for statistical, training and research purposes. Additionally, other NCHS staff, designated agents such as CCQDER contractors, or subcontractors may access the personal information for statistical purposes only after signing a Designated Agent Agreement with NCHS. CCQDER staff, designated agents, and staff from collaborating agencies must complete annual NCHS confidentiality training (https://www.cdc.gov/nchs/training/confidentiality/training/), submit a certificate of completion, and sign the NCHS affidavit of nondisclosure prior to being granted access to any personal information.</w:t>
      </w:r>
    </w:p>
    <w:p w:rsidR="00770E23" w:rsidP="00770E23" w14:paraId="65AF9F6F" w14:textId="77777777">
      <w:pPr>
        <w:widowControl/>
        <w:tabs>
          <w:tab w:val="left" w:pos="0"/>
        </w:tabs>
      </w:pPr>
    </w:p>
    <w:p w:rsidR="00602983" w:rsidRPr="001017BA" w:rsidP="00602983" w14:paraId="62223A7B" w14:textId="20664E94">
      <w:pPr>
        <w:rPr>
          <w:color w:val="000000"/>
        </w:rPr>
      </w:pPr>
      <w: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602983" w:rsidRPr="001017BA" w:rsidP="00602983" w14:paraId="562A7618" w14:textId="77777777">
      <w:pPr>
        <w:widowControl/>
        <w:tabs>
          <w:tab w:val="left" w:pos="0"/>
        </w:tabs>
        <w:rPr>
          <w:b/>
          <w:u w:val="single"/>
        </w:rPr>
      </w:pPr>
      <w:r w:rsidRPr="001017BA">
        <w:rPr>
          <w:b/>
          <w:bCs/>
          <w:u w:val="single"/>
        </w:rPr>
        <w:t>Confidentiality of responses and safeguarding of data at NCHS</w:t>
      </w:r>
    </w:p>
    <w:p w:rsidR="00602983" w:rsidRPr="001017BA" w:rsidP="00602983" w14:paraId="360168C3" w14:textId="77777777">
      <w:pPr>
        <w:pStyle w:val="QuickFormat6"/>
        <w:widowControl/>
        <w:tabs>
          <w:tab w:val="left" w:pos="-324"/>
          <w:tab w:val="left" w:pos="0"/>
          <w:tab w:val="left" w:pos="3420"/>
        </w:tabs>
        <w:rPr>
          <w:rFonts w:ascii="Times New Roman" w:hAnsi="Times New Roman"/>
        </w:rPr>
      </w:pPr>
      <w:r w:rsidRPr="001017BA">
        <w:rPr>
          <w:rFonts w:ascii="Times New Roman" w:hAnsi="Times New Roman"/>
        </w:rPr>
        <w:t xml:space="preserve">The CCQDER has a routine set of administrative, technical, and physical measures to safeguard confidentiality. Specific protocol for storage of confidential data, QDRL Lab, Q-video, Q-Notes, and Q-Bank access is described in CCQDER’s generic clearance package. (OMB No. 0920-0222, exp. 01/31/2026) </w:t>
      </w:r>
    </w:p>
    <w:p w:rsidR="00602983" w:rsidRPr="001017BA" w:rsidP="00602983" w14:paraId="6F1CC5D9" w14:textId="77777777">
      <w:pPr>
        <w:pStyle w:val="QuickFormat6"/>
        <w:widowControl/>
        <w:tabs>
          <w:tab w:val="left" w:pos="-324"/>
          <w:tab w:val="left" w:pos="0"/>
          <w:tab w:val="left" w:pos="3420"/>
        </w:tabs>
        <w:rPr>
          <w:rFonts w:ascii="Times New Roman" w:hAnsi="Times New Roman"/>
        </w:rPr>
      </w:pPr>
    </w:p>
    <w:p w:rsidR="00602983" w:rsidRPr="001017BA" w:rsidP="00602983" w14:paraId="3DDEFAD6" w14:textId="77777777">
      <w:pPr>
        <w:contextualSpacing/>
        <w:rPr>
          <w:b/>
          <w:u w:val="single"/>
        </w:rPr>
      </w:pPr>
      <w:r w:rsidRPr="001017BA">
        <w:rPr>
          <w:b/>
          <w:u w:val="single"/>
        </w:rPr>
        <w:t>Records Retention Schedule for Cognitive Interviews</w:t>
      </w:r>
    </w:p>
    <w:p w:rsidR="00602983" w:rsidRPr="001017BA" w:rsidP="00602983" w14:paraId="2E49B7E3" w14:textId="77777777">
      <w:pPr>
        <w:pStyle w:val="QuickFormat6"/>
        <w:widowControl/>
        <w:tabs>
          <w:tab w:val="left" w:pos="-324"/>
          <w:tab w:val="left" w:pos="0"/>
          <w:tab w:val="left" w:pos="3420"/>
        </w:tabs>
        <w:rPr>
          <w:rFonts w:ascii="Times New Roman" w:hAnsi="Times New Roman"/>
        </w:rPr>
      </w:pPr>
    </w:p>
    <w:p w:rsidR="00721E0F" w:rsidRPr="001017BA" w:rsidP="105C812F" w14:paraId="7BC2B91C" w14:textId="3FD814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1017BA">
        <w:t xml:space="preserve">Storage and retention of CCQDER data is guided by the CCQDER Data Storage and Access </w:t>
      </w:r>
      <w:r w:rsidRPr="001017BA" w:rsidR="004A4524">
        <w:t>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usefulness and qualitative value for likely use in question evaluation research after an initial retention period of 5</w:t>
      </w:r>
      <w:r w:rsidRPr="001017BA" w:rsidR="00750E6C">
        <w:t xml:space="preserve"> </w:t>
      </w:r>
      <w:r w:rsidRPr="001017BA" w:rsidR="004A4524">
        <w:t xml:space="preserve">years (see data retention policy). </w:t>
      </w:r>
      <w:r w:rsidRPr="001017BA" w:rsidR="00CA3AC2">
        <w:t>The information of individuals who did not qualify for the study and opt into our respondent database will be kept for 5 years</w:t>
      </w:r>
      <w:r w:rsidRPr="001017BA">
        <w:t>. Removal from our database can be requested by emailing recruitmentteam@cdc.gov.</w:t>
      </w:r>
    </w:p>
    <w:p w:rsidR="00602983" w:rsidRPr="001017BA" w:rsidP="00602983" w14:paraId="1CE1881A" w14:textId="77777777">
      <w:pPr>
        <w:widowControl/>
        <w:tabs>
          <w:tab w:val="left" w:pos="0"/>
        </w:tabs>
        <w:ind w:left="720" w:hanging="720"/>
        <w:rPr>
          <w:b/>
          <w:bCs/>
        </w:rPr>
      </w:pPr>
    </w:p>
    <w:p w:rsidR="00602983" w:rsidRPr="001017BA" w:rsidP="00602983" w14:paraId="132F184D" w14:textId="77777777">
      <w:pPr>
        <w:widowControl/>
        <w:tabs>
          <w:tab w:val="left" w:pos="0"/>
        </w:tabs>
        <w:ind w:left="720" w:hanging="720"/>
      </w:pPr>
      <w:r w:rsidRPr="001017BA">
        <w:rPr>
          <w:b/>
          <w:bCs/>
        </w:rPr>
        <w:t>11.</w:t>
      </w:r>
      <w:r w:rsidRPr="001017BA">
        <w:rPr>
          <w:b/>
          <w:bCs/>
        </w:rPr>
        <w:tab/>
        <w:t>Institutional Review Board (IRB) and Justification for Sensitive Questions</w:t>
      </w:r>
    </w:p>
    <w:p w:rsidR="00602983" w:rsidRPr="001017BA" w:rsidP="00602983" w14:paraId="10C4070F" w14:textId="77777777">
      <w:pPr>
        <w:widowControl/>
        <w:tabs>
          <w:tab w:val="left" w:pos="0"/>
        </w:tabs>
      </w:pPr>
    </w:p>
    <w:p w:rsidR="004A4524" w:rsidRPr="001017BA" w:rsidP="004A4524" w14:paraId="45895829" w14:textId="25CD59A6">
      <w:pPr>
        <w:widowControl/>
        <w:tabs>
          <w:tab w:val="left" w:pos="0"/>
        </w:tabs>
      </w:pPr>
      <w:r w:rsidRPr="001017BA">
        <w:t xml:space="preserve">NCHS </w:t>
      </w:r>
      <w:r w:rsidRPr="001017BA" w:rsidR="00877531">
        <w:t>and CDC Institutional</w:t>
      </w:r>
      <w:r w:rsidRPr="001017BA">
        <w:t xml:space="preserve"> Review Board (</w:t>
      </w:r>
      <w:r w:rsidRPr="001017BA" w:rsidR="00877531">
        <w:t>I</w:t>
      </w:r>
      <w:r w:rsidRPr="001017BA">
        <w:t xml:space="preserve">RB) approved this data collection </w:t>
      </w:r>
      <w:r w:rsidRPr="001017BA">
        <w:t xml:space="preserve">on </w:t>
      </w:r>
      <w:r w:rsidR="0051706B">
        <w:t>01</w:t>
      </w:r>
      <w:r w:rsidRPr="001017BA">
        <w:t>/</w:t>
      </w:r>
      <w:r w:rsidR="0051706B">
        <w:t>08</w:t>
      </w:r>
      <w:r w:rsidRPr="001017BA">
        <w:t>/20</w:t>
      </w:r>
      <w:r w:rsidR="0051706B">
        <w:t>24</w:t>
      </w:r>
      <w:r w:rsidR="00814BEE">
        <w:t>.</w:t>
      </w:r>
      <w:r w:rsidRPr="001017BA">
        <w:t xml:space="preserve"> </w:t>
      </w:r>
    </w:p>
    <w:p w:rsidR="004A4524" w:rsidRPr="001017BA" w:rsidP="004A4524" w14:paraId="41080618" w14:textId="77777777">
      <w:pPr>
        <w:widowControl/>
        <w:tabs>
          <w:tab w:val="left" w:pos="0"/>
        </w:tabs>
      </w:pPr>
    </w:p>
    <w:p w:rsidR="1FB5644F" w:rsidP="00C36697" w14:paraId="3A4818C4" w14:textId="3FF4E17A">
      <w:pPr>
        <w:widowControl/>
        <w:tabs>
          <w:tab w:val="left" w:pos="0"/>
        </w:tabs>
        <w:rPr>
          <w:b/>
          <w:bCs/>
        </w:rPr>
      </w:pPr>
      <w:r w:rsidRPr="001017BA">
        <w:rPr>
          <w:b/>
          <w:bCs/>
        </w:rPr>
        <w:t>12.  Estimates of Annualized Burden hours and costs</w:t>
      </w:r>
    </w:p>
    <w:p w:rsidR="004C0378" w:rsidP="00C36697" w14:paraId="73828891" w14:textId="77777777">
      <w:pPr>
        <w:widowControl/>
        <w:tabs>
          <w:tab w:val="left" w:pos="0"/>
        </w:tabs>
        <w:rPr>
          <w:b/>
          <w:bCs/>
        </w:rPr>
      </w:pPr>
    </w:p>
    <w:p w:rsidR="004C0378" w:rsidRPr="00F75EA1" w:rsidP="00C36697" w14:paraId="232247F5" w14:textId="5BFD9E77">
      <w:pPr>
        <w:widowControl/>
        <w:tabs>
          <w:tab w:val="left" w:pos="0"/>
        </w:tabs>
      </w:pPr>
      <w:r>
        <w:t>In January 2023, OMB approved 71,925 total number of respondents and 21,450 total burden hours.  For this GenIC NCHS is requesting 6,720 respondents and 2,290 burden hours.</w:t>
      </w:r>
    </w:p>
    <w:p w:rsidR="1FB5644F" w:rsidRPr="001017BA" w:rsidP="1FB5644F" w14:paraId="48EE853B" w14:textId="59A1C4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p>
    <w:p w:rsidR="00602983" w:rsidRPr="001017BA" w:rsidP="1FB5644F" w14:paraId="468A9DAB" w14:textId="31BC30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1017BA">
        <w:rPr>
          <w:u w:val="single"/>
        </w:rPr>
        <w:t xml:space="preserve">Burden table for </w:t>
      </w:r>
      <w:r w:rsidRPr="001017BA" w:rsidR="1F069574">
        <w:rPr>
          <w:u w:val="single"/>
        </w:rPr>
        <w:t>RANDS 10 and Accompanying Cognitive Interviews</w:t>
      </w:r>
      <w:r w:rsidRPr="001017BA">
        <w:rPr>
          <w:u w:val="single"/>
        </w:rPr>
        <w:t>:</w:t>
      </w:r>
    </w:p>
    <w:p w:rsidR="00602983" w:rsidRPr="001017BA" w:rsidP="00602983" w14:paraId="4ECF8F53" w14:textId="77777777">
      <w:pPr>
        <w:ind w:left="360"/>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545"/>
        <w:gridCol w:w="2717"/>
        <w:gridCol w:w="1436"/>
        <w:gridCol w:w="1481"/>
      </w:tblGrid>
      <w:tr w14:paraId="6065C7E7" w14:textId="77777777" w:rsidTr="1FB5644F">
        <w:tblPrEx>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11" w:type="dxa"/>
            <w:shd w:val="clear" w:color="auto" w:fill="auto"/>
          </w:tcPr>
          <w:p w:rsidR="00602983" w:rsidRPr="001017BA" w:rsidP="00043F1F" w14:paraId="0BBA33B4" w14:textId="77777777">
            <w:pPr>
              <w:rPr>
                <w:rFonts w:cs="Angsana New"/>
                <w:b/>
                <w:sz w:val="22"/>
                <w:szCs w:val="22"/>
              </w:rPr>
            </w:pPr>
            <w:r w:rsidRPr="001017BA">
              <w:rPr>
                <w:rFonts w:cs="Angsana New"/>
                <w:b/>
                <w:sz w:val="22"/>
                <w:szCs w:val="22"/>
              </w:rPr>
              <w:t>Form Name</w:t>
            </w:r>
          </w:p>
        </w:tc>
        <w:tc>
          <w:tcPr>
            <w:tcW w:w="1545" w:type="dxa"/>
            <w:shd w:val="clear" w:color="auto" w:fill="auto"/>
          </w:tcPr>
          <w:p w:rsidR="00602983" w:rsidRPr="001017BA" w:rsidP="00043F1F" w14:paraId="015E3DFC" w14:textId="77777777">
            <w:pPr>
              <w:rPr>
                <w:rFonts w:cs="Angsana New"/>
                <w:b/>
              </w:rPr>
            </w:pPr>
            <w:r w:rsidRPr="001017BA">
              <w:rPr>
                <w:rFonts w:cs="Angsana New"/>
                <w:b/>
              </w:rPr>
              <w:t xml:space="preserve">Number of </w:t>
            </w:r>
            <w:r w:rsidRPr="001017BA">
              <w:rPr>
                <w:rFonts w:cs="Angsana New"/>
                <w:b/>
              </w:rPr>
              <w:t>Participants</w:t>
            </w:r>
          </w:p>
        </w:tc>
        <w:tc>
          <w:tcPr>
            <w:tcW w:w="2717" w:type="dxa"/>
            <w:shd w:val="clear" w:color="auto" w:fill="auto"/>
          </w:tcPr>
          <w:p w:rsidR="00602983" w:rsidRPr="001017BA" w:rsidP="00043F1F" w14:paraId="177CABDD" w14:textId="77777777">
            <w:pPr>
              <w:rPr>
                <w:rFonts w:cs="Angsana New"/>
                <w:b/>
              </w:rPr>
            </w:pPr>
            <w:r w:rsidRPr="001017BA">
              <w:rPr>
                <w:rFonts w:cs="Angsana New"/>
                <w:b/>
              </w:rPr>
              <w:t xml:space="preserve">Number of </w:t>
            </w:r>
            <w:r w:rsidRPr="001017BA">
              <w:rPr>
                <w:rFonts w:cs="Angsana New"/>
                <w:b/>
              </w:rPr>
              <w:t>Responses/Participants</w:t>
            </w:r>
          </w:p>
        </w:tc>
        <w:tc>
          <w:tcPr>
            <w:tcW w:w="1436" w:type="dxa"/>
            <w:shd w:val="clear" w:color="auto" w:fill="auto"/>
          </w:tcPr>
          <w:p w:rsidR="00602983" w:rsidRPr="001017BA" w:rsidP="00043F1F" w14:paraId="24DA036C" w14:textId="77777777">
            <w:pPr>
              <w:rPr>
                <w:rFonts w:cs="Angsana New"/>
                <w:b/>
              </w:rPr>
            </w:pPr>
            <w:r w:rsidRPr="001017BA">
              <w:rPr>
                <w:rFonts w:cs="Angsana New"/>
                <w:b/>
              </w:rPr>
              <w:t xml:space="preserve">Average </w:t>
            </w:r>
            <w:r w:rsidRPr="001017BA">
              <w:rPr>
                <w:rFonts w:cs="Angsana New"/>
                <w:b/>
              </w:rPr>
              <w:t>hours per response</w:t>
            </w:r>
          </w:p>
        </w:tc>
        <w:tc>
          <w:tcPr>
            <w:tcW w:w="1481" w:type="dxa"/>
            <w:shd w:val="clear" w:color="auto" w:fill="auto"/>
          </w:tcPr>
          <w:p w:rsidR="00602983" w:rsidRPr="001017BA" w:rsidP="00043F1F" w14:paraId="5AC205CF" w14:textId="77777777">
            <w:pPr>
              <w:rPr>
                <w:rFonts w:cs="Angsana New"/>
                <w:b/>
              </w:rPr>
            </w:pPr>
            <w:r w:rsidRPr="001017BA">
              <w:rPr>
                <w:rFonts w:cs="Angsana New"/>
                <w:b/>
              </w:rPr>
              <w:t xml:space="preserve">Response </w:t>
            </w:r>
            <w:r w:rsidRPr="001017BA">
              <w:rPr>
                <w:rFonts w:cs="Angsana New"/>
                <w:b/>
              </w:rPr>
              <w:t>Burden (in hours)</w:t>
            </w:r>
          </w:p>
        </w:tc>
      </w:tr>
      <w:tr w14:paraId="1F1948F7" w14:textId="77777777" w:rsidTr="1FB5644F">
        <w:tblPrEx>
          <w:tblW w:w="8990" w:type="dxa"/>
          <w:tblInd w:w="360" w:type="dxa"/>
          <w:tblLook w:val="04A0"/>
        </w:tblPrEx>
        <w:tc>
          <w:tcPr>
            <w:tcW w:w="1811" w:type="dxa"/>
            <w:shd w:val="clear" w:color="auto" w:fill="auto"/>
          </w:tcPr>
          <w:p w:rsidR="00602983" w:rsidRPr="001017BA" w:rsidP="00043F1F" w14:paraId="3BB2C814" w14:textId="2AB8AED7">
            <w:pPr>
              <w:rPr>
                <w:rFonts w:cs="Angsana New"/>
              </w:rPr>
            </w:pPr>
            <w:r w:rsidRPr="001017BA">
              <w:rPr>
                <w:rFonts w:cs="Angsana New"/>
              </w:rPr>
              <w:t xml:space="preserve">Screener (all recruitment methods as described above (Attachment </w:t>
            </w:r>
            <w:r w:rsidRPr="001017BA" w:rsidR="001703B4">
              <w:rPr>
                <w:rFonts w:cs="Angsana New"/>
              </w:rPr>
              <w:t>4</w:t>
            </w:r>
            <w:r w:rsidRPr="001017BA">
              <w:rPr>
                <w:rFonts w:cs="Angsana New"/>
              </w:rPr>
              <w:t>)</w:t>
            </w:r>
          </w:p>
        </w:tc>
        <w:tc>
          <w:tcPr>
            <w:tcW w:w="1545" w:type="dxa"/>
            <w:shd w:val="clear" w:color="auto" w:fill="auto"/>
          </w:tcPr>
          <w:p w:rsidR="00602983" w:rsidRPr="001017BA" w:rsidP="00043F1F" w14:paraId="54B274F7" w14:textId="53939D08">
            <w:pPr>
              <w:rPr>
                <w:rFonts w:cs="Angsana New"/>
              </w:rPr>
            </w:pPr>
            <w:r w:rsidRPr="001017BA">
              <w:rPr>
                <w:rFonts w:cs="Angsana New"/>
              </w:rPr>
              <w:t>120</w:t>
            </w:r>
          </w:p>
        </w:tc>
        <w:tc>
          <w:tcPr>
            <w:tcW w:w="2717" w:type="dxa"/>
            <w:shd w:val="clear" w:color="auto" w:fill="auto"/>
          </w:tcPr>
          <w:p w:rsidR="00602983" w:rsidRPr="001017BA" w:rsidP="00043F1F" w14:paraId="5D3E0F6E" w14:textId="26E5B5A0">
            <w:pPr>
              <w:rPr>
                <w:rFonts w:cs="Angsana New"/>
              </w:rPr>
            </w:pPr>
            <w:r w:rsidRPr="001017BA">
              <w:rPr>
                <w:rFonts w:cs="Angsana New"/>
              </w:rPr>
              <w:t>1</w:t>
            </w:r>
          </w:p>
        </w:tc>
        <w:tc>
          <w:tcPr>
            <w:tcW w:w="1436" w:type="dxa"/>
            <w:shd w:val="clear" w:color="auto" w:fill="auto"/>
          </w:tcPr>
          <w:p w:rsidR="00602983" w:rsidRPr="001017BA" w:rsidP="00043F1F" w14:paraId="30E2D7C9" w14:textId="5BFE1321">
            <w:pPr>
              <w:rPr>
                <w:rFonts w:cs="Angsana New"/>
              </w:rPr>
            </w:pPr>
            <w:r w:rsidRPr="001017BA">
              <w:rPr>
                <w:rFonts w:cs="Angsana New"/>
              </w:rPr>
              <w:t>5/60</w:t>
            </w:r>
          </w:p>
        </w:tc>
        <w:tc>
          <w:tcPr>
            <w:tcW w:w="1481" w:type="dxa"/>
            <w:shd w:val="clear" w:color="auto" w:fill="auto"/>
          </w:tcPr>
          <w:p w:rsidR="00602983" w:rsidRPr="001017BA" w:rsidP="00043F1F" w14:paraId="097D1848" w14:textId="1F15CDFD">
            <w:pPr>
              <w:rPr>
                <w:rFonts w:cs="Angsana New"/>
              </w:rPr>
            </w:pPr>
            <w:r w:rsidRPr="001017BA">
              <w:rPr>
                <w:rFonts w:cs="Angsana New"/>
              </w:rPr>
              <w:t>10</w:t>
            </w:r>
          </w:p>
        </w:tc>
      </w:tr>
      <w:tr w14:paraId="30F08CEB" w14:textId="77777777" w:rsidTr="1FB5644F">
        <w:tblPrEx>
          <w:tblW w:w="8990" w:type="dxa"/>
          <w:tblInd w:w="360" w:type="dxa"/>
          <w:tblLook w:val="04A0"/>
        </w:tblPrEx>
        <w:tc>
          <w:tcPr>
            <w:tcW w:w="1811" w:type="dxa"/>
            <w:shd w:val="clear" w:color="auto" w:fill="auto"/>
          </w:tcPr>
          <w:p w:rsidR="00602983" w:rsidRPr="001017BA" w:rsidP="00043F1F" w14:paraId="2810F829" w14:textId="77777777">
            <w:pPr>
              <w:rPr>
                <w:rFonts w:cs="Angsana New"/>
              </w:rPr>
            </w:pPr>
            <w:r w:rsidRPr="001017BA">
              <w:rPr>
                <w:rFonts w:cs="Angsana New"/>
              </w:rPr>
              <w:t>Questionnaire</w:t>
            </w:r>
          </w:p>
        </w:tc>
        <w:tc>
          <w:tcPr>
            <w:tcW w:w="1545" w:type="dxa"/>
            <w:shd w:val="clear" w:color="auto" w:fill="auto"/>
          </w:tcPr>
          <w:p w:rsidR="00602983" w:rsidRPr="001017BA" w:rsidP="00043F1F" w14:paraId="2E0CFADD" w14:textId="47D59B71">
            <w:pPr>
              <w:rPr>
                <w:rFonts w:cs="Angsana New"/>
              </w:rPr>
            </w:pPr>
            <w:r w:rsidRPr="001017BA">
              <w:rPr>
                <w:rFonts w:cs="Angsana New"/>
              </w:rPr>
              <w:t>80</w:t>
            </w:r>
          </w:p>
        </w:tc>
        <w:tc>
          <w:tcPr>
            <w:tcW w:w="2717" w:type="dxa"/>
            <w:shd w:val="clear" w:color="auto" w:fill="auto"/>
          </w:tcPr>
          <w:p w:rsidR="00602983" w:rsidRPr="001017BA" w:rsidP="00043F1F" w14:paraId="4300AC14" w14:textId="17CD379A">
            <w:pPr>
              <w:rPr>
                <w:rFonts w:cs="Angsana New"/>
              </w:rPr>
            </w:pPr>
            <w:r w:rsidRPr="001017BA">
              <w:rPr>
                <w:rFonts w:cs="Angsana New"/>
              </w:rPr>
              <w:t>1</w:t>
            </w:r>
          </w:p>
        </w:tc>
        <w:tc>
          <w:tcPr>
            <w:tcW w:w="1436" w:type="dxa"/>
            <w:shd w:val="clear" w:color="auto" w:fill="auto"/>
          </w:tcPr>
          <w:p w:rsidR="00602983" w:rsidRPr="001017BA" w:rsidP="00043F1F" w14:paraId="0BD65329" w14:textId="5A9EA37C">
            <w:pPr>
              <w:rPr>
                <w:rFonts w:cs="Angsana New"/>
              </w:rPr>
            </w:pPr>
            <w:r w:rsidRPr="001017BA">
              <w:rPr>
                <w:rFonts w:cs="Angsana New"/>
              </w:rPr>
              <w:t>55/60</w:t>
            </w:r>
          </w:p>
        </w:tc>
        <w:tc>
          <w:tcPr>
            <w:tcW w:w="1481" w:type="dxa"/>
            <w:shd w:val="clear" w:color="auto" w:fill="auto"/>
          </w:tcPr>
          <w:p w:rsidR="00602983" w:rsidRPr="001017BA" w:rsidP="00043F1F" w14:paraId="384101D8" w14:textId="65457763">
            <w:pPr>
              <w:rPr>
                <w:rFonts w:cs="Angsana New"/>
              </w:rPr>
            </w:pPr>
            <w:r w:rsidRPr="001017BA">
              <w:rPr>
                <w:rFonts w:cs="Angsana New"/>
              </w:rPr>
              <w:t>73</w:t>
            </w:r>
          </w:p>
        </w:tc>
      </w:tr>
      <w:tr w14:paraId="1998BBAA" w14:textId="77777777" w:rsidTr="1FB5644F">
        <w:tblPrEx>
          <w:tblW w:w="8990" w:type="dxa"/>
          <w:tblInd w:w="360" w:type="dxa"/>
          <w:tblLook w:val="04A0"/>
        </w:tblPrEx>
        <w:tc>
          <w:tcPr>
            <w:tcW w:w="1811" w:type="dxa"/>
            <w:shd w:val="clear" w:color="auto" w:fill="auto"/>
          </w:tcPr>
          <w:p w:rsidR="00602983" w:rsidRPr="001017BA" w:rsidP="00043F1F" w14:paraId="175AD7DC" w14:textId="77777777">
            <w:pPr>
              <w:rPr>
                <w:rFonts w:cs="Angsana New"/>
              </w:rPr>
            </w:pPr>
            <w:r w:rsidRPr="001017BA">
              <w:rPr>
                <w:rFonts w:cs="Angsana New"/>
              </w:rPr>
              <w:t xml:space="preserve">Respondent Data Collection Sheets </w:t>
            </w:r>
          </w:p>
        </w:tc>
        <w:tc>
          <w:tcPr>
            <w:tcW w:w="1545" w:type="dxa"/>
            <w:shd w:val="clear" w:color="auto" w:fill="auto"/>
          </w:tcPr>
          <w:p w:rsidR="00602983" w:rsidRPr="001017BA" w:rsidP="00043F1F" w14:paraId="1317C726" w14:textId="0425CC5F">
            <w:pPr>
              <w:rPr>
                <w:rFonts w:cs="Angsana New"/>
              </w:rPr>
            </w:pPr>
            <w:r w:rsidRPr="001017BA">
              <w:rPr>
                <w:rFonts w:cs="Angsana New"/>
              </w:rPr>
              <w:t>80</w:t>
            </w:r>
          </w:p>
        </w:tc>
        <w:tc>
          <w:tcPr>
            <w:tcW w:w="2717" w:type="dxa"/>
            <w:shd w:val="clear" w:color="auto" w:fill="auto"/>
          </w:tcPr>
          <w:p w:rsidR="00602983" w:rsidRPr="001017BA" w:rsidP="00043F1F" w14:paraId="123FC770" w14:textId="669307FE">
            <w:pPr>
              <w:rPr>
                <w:rFonts w:cs="Angsana New"/>
              </w:rPr>
            </w:pPr>
            <w:r w:rsidRPr="001017BA">
              <w:rPr>
                <w:rFonts w:cs="Angsana New"/>
              </w:rPr>
              <w:t>1</w:t>
            </w:r>
          </w:p>
        </w:tc>
        <w:tc>
          <w:tcPr>
            <w:tcW w:w="1436" w:type="dxa"/>
            <w:shd w:val="clear" w:color="auto" w:fill="auto"/>
          </w:tcPr>
          <w:p w:rsidR="00602983" w:rsidRPr="001017BA" w:rsidP="00043F1F" w14:paraId="33D2C3DE" w14:textId="4735A91C">
            <w:pPr>
              <w:rPr>
                <w:rFonts w:cs="Angsana New"/>
              </w:rPr>
            </w:pPr>
            <w:r w:rsidRPr="001017BA">
              <w:rPr>
                <w:rFonts w:cs="Angsana New"/>
              </w:rPr>
              <w:t>5/60</w:t>
            </w:r>
          </w:p>
        </w:tc>
        <w:tc>
          <w:tcPr>
            <w:tcW w:w="1481" w:type="dxa"/>
            <w:shd w:val="clear" w:color="auto" w:fill="auto"/>
          </w:tcPr>
          <w:p w:rsidR="00602983" w:rsidRPr="001017BA" w:rsidP="00043F1F" w14:paraId="37B0ED9F" w14:textId="3501F824">
            <w:pPr>
              <w:rPr>
                <w:rFonts w:cs="Angsana New"/>
              </w:rPr>
            </w:pPr>
            <w:r w:rsidRPr="001017BA">
              <w:rPr>
                <w:rFonts w:cs="Angsana New"/>
              </w:rPr>
              <w:t>7</w:t>
            </w:r>
          </w:p>
        </w:tc>
      </w:tr>
      <w:tr w14:paraId="2CEAC55E" w14:textId="77777777" w:rsidTr="1FB5644F">
        <w:tblPrEx>
          <w:tblW w:w="8990" w:type="dxa"/>
          <w:tblInd w:w="360" w:type="dxa"/>
          <w:tblLook w:val="04A0"/>
        </w:tblPrEx>
        <w:tc>
          <w:tcPr>
            <w:tcW w:w="1811" w:type="dxa"/>
            <w:shd w:val="clear" w:color="auto" w:fill="auto"/>
          </w:tcPr>
          <w:p w:rsidR="005A65FE" w:rsidRPr="001017BA" w:rsidP="00043F1F" w14:paraId="1B559E90" w14:textId="07EE873F">
            <w:pPr>
              <w:rPr>
                <w:rFonts w:cs="Angsana New"/>
              </w:rPr>
            </w:pPr>
            <w:r w:rsidRPr="001017BA">
              <w:rPr>
                <w:rFonts w:cs="Angsana New"/>
              </w:rPr>
              <w:t>Methodological Survey</w:t>
            </w:r>
          </w:p>
        </w:tc>
        <w:tc>
          <w:tcPr>
            <w:tcW w:w="1545" w:type="dxa"/>
            <w:shd w:val="clear" w:color="auto" w:fill="auto"/>
          </w:tcPr>
          <w:p w:rsidR="005A65FE" w:rsidRPr="001017BA" w:rsidP="00043F1F" w14:paraId="3EB0CB63" w14:textId="55CA2CC8">
            <w:pPr>
              <w:rPr>
                <w:rFonts w:cs="Angsana New"/>
              </w:rPr>
            </w:pPr>
            <w:r w:rsidRPr="001017BA">
              <w:rPr>
                <w:rFonts w:cs="Angsana New"/>
              </w:rPr>
              <w:t>6</w:t>
            </w:r>
            <w:r w:rsidR="007A2109">
              <w:rPr>
                <w:rFonts w:cs="Angsana New"/>
              </w:rPr>
              <w:t>,</w:t>
            </w:r>
            <w:r w:rsidRPr="001017BA">
              <w:rPr>
                <w:rFonts w:cs="Angsana New"/>
              </w:rPr>
              <w:t>600</w:t>
            </w:r>
          </w:p>
        </w:tc>
        <w:tc>
          <w:tcPr>
            <w:tcW w:w="2717" w:type="dxa"/>
            <w:shd w:val="clear" w:color="auto" w:fill="auto"/>
          </w:tcPr>
          <w:p w:rsidR="005A65FE" w:rsidRPr="001017BA" w:rsidP="00043F1F" w14:paraId="1F775CF9" w14:textId="15B02311">
            <w:pPr>
              <w:rPr>
                <w:rFonts w:cs="Angsana New"/>
              </w:rPr>
            </w:pPr>
            <w:r w:rsidRPr="001017BA">
              <w:rPr>
                <w:rFonts w:cs="Angsana New"/>
              </w:rPr>
              <w:t>1</w:t>
            </w:r>
          </w:p>
        </w:tc>
        <w:tc>
          <w:tcPr>
            <w:tcW w:w="1436" w:type="dxa"/>
            <w:shd w:val="clear" w:color="auto" w:fill="auto"/>
          </w:tcPr>
          <w:p w:rsidR="005A65FE" w:rsidRPr="001017BA" w:rsidP="00043F1F" w14:paraId="4136854A" w14:textId="577FD0DE">
            <w:pPr>
              <w:rPr>
                <w:rFonts w:cs="Angsana New"/>
              </w:rPr>
            </w:pPr>
            <w:r w:rsidRPr="001017BA">
              <w:rPr>
                <w:rFonts w:cs="Angsana New"/>
              </w:rPr>
              <w:t>20/60</w:t>
            </w:r>
          </w:p>
        </w:tc>
        <w:tc>
          <w:tcPr>
            <w:tcW w:w="1481" w:type="dxa"/>
            <w:shd w:val="clear" w:color="auto" w:fill="auto"/>
          </w:tcPr>
          <w:p w:rsidR="005A65FE" w:rsidRPr="001017BA" w:rsidP="00043F1F" w14:paraId="63A430A3" w14:textId="4485814B">
            <w:pPr>
              <w:rPr>
                <w:rFonts w:cs="Angsana New"/>
              </w:rPr>
            </w:pPr>
            <w:r w:rsidRPr="001017BA">
              <w:rPr>
                <w:rFonts w:cs="Angsana New"/>
              </w:rPr>
              <w:t>2,200</w:t>
            </w:r>
          </w:p>
        </w:tc>
      </w:tr>
      <w:tr w14:paraId="0147F6BD" w14:textId="77777777" w:rsidTr="1FB5644F">
        <w:tblPrEx>
          <w:tblW w:w="8990" w:type="dxa"/>
          <w:tblInd w:w="360" w:type="dxa"/>
          <w:tblLook w:val="04A0"/>
        </w:tblPrEx>
        <w:tc>
          <w:tcPr>
            <w:tcW w:w="1811" w:type="dxa"/>
            <w:shd w:val="clear" w:color="auto" w:fill="auto"/>
          </w:tcPr>
          <w:p w:rsidR="00602983" w:rsidRPr="001017BA" w:rsidP="00043F1F" w14:paraId="13642680" w14:textId="77777777">
            <w:pPr>
              <w:rPr>
                <w:rFonts w:cs="Angsana New"/>
              </w:rPr>
            </w:pPr>
            <w:r w:rsidRPr="001017BA">
              <w:rPr>
                <w:rFonts w:cs="Angsana New"/>
              </w:rPr>
              <w:t>Total</w:t>
            </w:r>
          </w:p>
        </w:tc>
        <w:tc>
          <w:tcPr>
            <w:tcW w:w="1545" w:type="dxa"/>
            <w:shd w:val="clear" w:color="auto" w:fill="auto"/>
          </w:tcPr>
          <w:p w:rsidR="00602983" w:rsidRPr="001017BA" w:rsidP="00043F1F" w14:paraId="0425C9C1" w14:textId="77777777">
            <w:pPr>
              <w:rPr>
                <w:rFonts w:cs="Angsana New"/>
              </w:rPr>
            </w:pPr>
          </w:p>
        </w:tc>
        <w:tc>
          <w:tcPr>
            <w:tcW w:w="2717" w:type="dxa"/>
            <w:shd w:val="clear" w:color="auto" w:fill="auto"/>
          </w:tcPr>
          <w:p w:rsidR="00602983" w:rsidRPr="001017BA" w:rsidP="00043F1F" w14:paraId="38B9AF01" w14:textId="77777777">
            <w:pPr>
              <w:rPr>
                <w:rFonts w:cs="Angsana New"/>
              </w:rPr>
            </w:pPr>
          </w:p>
        </w:tc>
        <w:tc>
          <w:tcPr>
            <w:tcW w:w="1436" w:type="dxa"/>
            <w:shd w:val="clear" w:color="auto" w:fill="auto"/>
          </w:tcPr>
          <w:p w:rsidR="00602983" w:rsidRPr="001017BA" w:rsidP="00043F1F" w14:paraId="467B948D" w14:textId="77777777">
            <w:pPr>
              <w:rPr>
                <w:rFonts w:cs="Angsana New"/>
              </w:rPr>
            </w:pPr>
          </w:p>
        </w:tc>
        <w:tc>
          <w:tcPr>
            <w:tcW w:w="1481" w:type="dxa"/>
            <w:shd w:val="clear" w:color="auto" w:fill="auto"/>
          </w:tcPr>
          <w:p w:rsidR="00602983" w:rsidRPr="00EF37A9" w:rsidP="00043F1F" w14:paraId="0DFEC13D" w14:textId="156726DA">
            <w:pPr>
              <w:rPr>
                <w:rFonts w:cs="Angsana New"/>
              </w:rPr>
            </w:pPr>
            <w:r w:rsidRPr="001017BA">
              <w:rPr>
                <w:rFonts w:cs="Angsana New"/>
              </w:rPr>
              <w:t>2,290</w:t>
            </w:r>
          </w:p>
        </w:tc>
      </w:tr>
    </w:tbl>
    <w:p w:rsidR="00602983" w:rsidP="00602983" w14:paraId="40D15F44" w14:textId="77777777"/>
    <w:p w:rsidR="00755641" w14:paraId="2FD89F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27B6" w:rsidP="004E1D3E" w14:paraId="32CCA6B5" w14:textId="77777777">
      <w:r>
        <w:separator/>
      </w:r>
    </w:p>
  </w:footnote>
  <w:footnote w:type="continuationSeparator" w:id="1">
    <w:p w:rsidR="00A727B6" w:rsidP="004E1D3E" w14:paraId="3993B2A2" w14:textId="77777777">
      <w:r>
        <w:continuationSeparator/>
      </w:r>
    </w:p>
  </w:footnote>
  <w:footnote w:id="2">
    <w:p w:rsidR="004E1D3E" w14:paraId="6ADD9C72" w14:textId="378B8657">
      <w:pPr>
        <w:pStyle w:val="FootnoteText"/>
      </w:pPr>
      <w:r>
        <w:rPr>
          <w:rStyle w:val="FootnoteReference"/>
        </w:rPr>
        <w:footnoteRef/>
      </w:r>
      <w:r>
        <w:t xml:space="preserve"> </w:t>
      </w:r>
      <w:hyperlink r:id="rId1" w:history="1">
        <w:r w:rsidRPr="00E030CE">
          <w:rPr>
            <w:rStyle w:val="Hyperlink"/>
          </w:rPr>
          <w:t>https://www.cdc.gov/nchs/rands/data.htm</w:t>
        </w:r>
      </w:hyperlink>
      <w:r>
        <w:t xml:space="preserve"> </w:t>
      </w:r>
    </w:p>
  </w:footnote>
  <w:footnote w:id="3">
    <w:p w:rsidR="004E1D3E" w14:paraId="0A983E2F" w14:textId="011F3B78">
      <w:pPr>
        <w:pStyle w:val="FootnoteText"/>
      </w:pPr>
      <w:r>
        <w:rPr>
          <w:rStyle w:val="FootnoteReference"/>
        </w:rPr>
        <w:footnoteRef/>
      </w:r>
      <w:r>
        <w:t xml:space="preserve"> </w:t>
      </w:r>
      <w:hyperlink r:id="rId2" w:history="1">
        <w:r w:rsidRPr="00E030CE">
          <w:rPr>
            <w:rStyle w:val="Hyperlink"/>
          </w:rPr>
          <w:t>https://www.cdc.gov/nchs/rands</w:t>
        </w:r>
      </w:hyperlink>
      <w:r>
        <w:t xml:space="preserve"> </w:t>
      </w:r>
    </w:p>
  </w:footnote>
  <w:footnote w:id="4">
    <w:p w:rsidR="004E1D3E" w14:paraId="7763344C" w14:textId="5F8B38BC">
      <w:pPr>
        <w:pStyle w:val="FootnoteText"/>
      </w:pPr>
      <w:r>
        <w:rPr>
          <w:rStyle w:val="FootnoteReference"/>
        </w:rPr>
        <w:footnoteRef/>
      </w:r>
      <w:r>
        <w:t xml:space="preserve"> </w:t>
      </w:r>
      <w:hyperlink r:id="rId3" w:history="1">
        <w:r w:rsidRPr="00E030CE">
          <w:rPr>
            <w:rStyle w:val="Hyperlink"/>
            <w:rFonts w:ascii="Segoe UI" w:hAnsi="Segoe UI" w:cs="Segoe UI"/>
            <w:sz w:val="18"/>
            <w:szCs w:val="18"/>
            <w:shd w:val="clear" w:color="auto" w:fill="FFFFFF"/>
          </w:rPr>
          <w:t>https://journals.sagepub.com/doi/full/10.1177/2164957X221079792</w:t>
        </w:r>
      </w:hyperlink>
      <w:r>
        <w:rPr>
          <w:rFonts w:ascii="Segoe UI" w:hAnsi="Segoe UI" w:cs="Segoe UI"/>
          <w:color w:val="000000"/>
          <w:sz w:val="18"/>
          <w:szCs w:val="18"/>
          <w:shd w:val="clear" w:color="auto" w:fill="FFFFFF"/>
        </w:rPr>
        <w:t xml:space="preserve"> </w:t>
      </w:r>
    </w:p>
  </w:footnote>
  <w:footnote w:id="5">
    <w:p w:rsidR="004E1D3E" w14:paraId="2766F527" w14:textId="507EB002">
      <w:pPr>
        <w:pStyle w:val="FootnoteText"/>
      </w:pPr>
      <w:r>
        <w:rPr>
          <w:rStyle w:val="FootnoteReference"/>
        </w:rPr>
        <w:footnoteRef/>
      </w:r>
      <w:r>
        <w:t xml:space="preserve"> </w:t>
      </w:r>
      <w:hyperlink r:id="rId4" w:history="1">
        <w:r w:rsidRPr="00E030CE">
          <w:rPr>
            <w:rStyle w:val="Hyperlink"/>
            <w:rFonts w:ascii="Segoe UI" w:hAnsi="Segoe UI" w:cs="Segoe UI"/>
            <w:sz w:val="18"/>
            <w:szCs w:val="18"/>
            <w:shd w:val="clear" w:color="auto" w:fill="FFFFFF"/>
          </w:rPr>
          <w:t>https://www.nccih.nih.gov/about/offices/od/director/past-messages/an-opportunity-to-weigh-in-and-advance-whole-person-research</w:t>
        </w:r>
      </w:hyperlink>
      <w:r>
        <w:rPr>
          <w:rFonts w:ascii="Segoe UI" w:hAnsi="Segoe UI" w:cs="Segoe UI"/>
          <w:color w:val="000000"/>
          <w:sz w:val="18"/>
          <w:szCs w:val="18"/>
          <w:shd w:val="clear" w:color="auto" w:fill="FFFFFF"/>
        </w:rPr>
        <w:t xml:space="preserve"> </w:t>
      </w:r>
    </w:p>
  </w:footnote>
  <w:footnote w:id="6">
    <w:p w:rsidR="004E1D3E" w14:paraId="717F019B" w14:textId="177C5F42">
      <w:pPr>
        <w:pStyle w:val="FootnoteText"/>
      </w:pPr>
      <w:r>
        <w:rPr>
          <w:rStyle w:val="FootnoteReference"/>
        </w:rPr>
        <w:footnoteRef/>
      </w:r>
      <w:r>
        <w:t xml:space="preserve"> </w:t>
      </w:r>
      <w:hyperlink r:id="rId5" w:history="1">
        <w:r w:rsidRPr="00E030CE">
          <w:rPr>
            <w:rStyle w:val="Hyperlink"/>
            <w:rFonts w:ascii="Segoe UI" w:hAnsi="Segoe UI" w:cs="Segoe UI"/>
            <w:sz w:val="18"/>
            <w:szCs w:val="18"/>
            <w:shd w:val="clear" w:color="auto" w:fill="FFFFFF"/>
          </w:rPr>
          <w:t>https://www.nccih.nih.gov/about/offices/od/director/past-messages/zeroing-in-on-the-factors-that-determine-whole-person-health</w:t>
        </w:r>
      </w:hyperlink>
      <w:r>
        <w:rPr>
          <w:rFonts w:ascii="Segoe UI" w:hAnsi="Segoe UI" w:cs="Segoe UI"/>
          <w:color w:val="000000"/>
          <w:sz w:val="18"/>
          <w:szCs w:val="18"/>
          <w:shd w:val="clear" w:color="auto" w:fill="FFFFFF"/>
        </w:rPr>
        <w:t xml:space="preserve"> </w:t>
      </w:r>
    </w:p>
  </w:footnote>
  <w:footnote w:id="7">
    <w:p w:rsidR="004E1D3E" w14:paraId="70D44251" w14:textId="0B0C640E">
      <w:pPr>
        <w:pStyle w:val="FootnoteText"/>
      </w:pPr>
      <w:r>
        <w:rPr>
          <w:rStyle w:val="FootnoteReference"/>
        </w:rPr>
        <w:footnoteRef/>
      </w:r>
      <w:r>
        <w:t xml:space="preserve"> </w:t>
      </w:r>
      <w:hyperlink r:id="rId6" w:history="1">
        <w:r w:rsidRPr="00E030CE">
          <w:rPr>
            <w:rStyle w:val="Hyperlink"/>
            <w:rFonts w:ascii="Segoe UI" w:hAnsi="Segoe UI" w:cs="Segoe UI"/>
            <w:sz w:val="18"/>
            <w:szCs w:val="18"/>
            <w:shd w:val="clear" w:color="auto" w:fill="FFFFFF"/>
          </w:rPr>
          <w:t>https://www.nccih.nih.gov/about/offices/od/director/past-messages/including-spirituality-into-a-fuller-picture-of-research-on-whole-person-health</w:t>
        </w:r>
      </w:hyperlink>
      <w:r>
        <w:rPr>
          <w:rFonts w:ascii="Segoe UI" w:hAnsi="Segoe UI" w:cs="Segoe UI"/>
          <w:color w:val="000000"/>
          <w:sz w:val="18"/>
          <w:szCs w:val="18"/>
          <w:shd w:val="clear" w:color="auto" w:fill="FFFFFF"/>
        </w:rPr>
        <w:t xml:space="preserve"> </w:t>
      </w:r>
    </w:p>
  </w:footnote>
  <w:footnote w:id="8">
    <w:p w:rsidR="004E1D3E" w14:paraId="0E39BE6E" w14:textId="08D169AD">
      <w:pPr>
        <w:pStyle w:val="FootnoteText"/>
      </w:pPr>
      <w:r>
        <w:rPr>
          <w:rStyle w:val="FootnoteReference"/>
        </w:rPr>
        <w:footnoteRef/>
      </w:r>
      <w:r>
        <w:t xml:space="preserve"> </w:t>
      </w:r>
      <w:hyperlink r:id="rId6" w:history="1">
        <w:r w:rsidRPr="00E030CE">
          <w:rPr>
            <w:rStyle w:val="Hyperlink"/>
            <w:rFonts w:ascii="Segoe UI" w:hAnsi="Segoe UI" w:cs="Segoe UI"/>
            <w:sz w:val="18"/>
            <w:szCs w:val="18"/>
            <w:shd w:val="clear" w:color="auto" w:fill="FFFFFF"/>
          </w:rPr>
          <w:t>https://www.nccih.nih.gov/about/offices/od/director/past-messages/including-spirituality-into-a-fuller-picture-of-research-on-whole-person-health</w:t>
        </w:r>
      </w:hyperlink>
      <w:r>
        <w:rPr>
          <w:rFonts w:ascii="Segoe UI" w:hAnsi="Segoe UI" w:cs="Segoe UI"/>
          <w:color w:val="000000"/>
          <w:sz w:val="18"/>
          <w:szCs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288C431B"/>
    <w:multiLevelType w:val="multilevel"/>
    <w:tmpl w:val="4E5C8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12061"/>
    <w:multiLevelType w:val="multilevel"/>
    <w:tmpl w:val="BC440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EB5EF3"/>
    <w:multiLevelType w:val="multilevel"/>
    <w:tmpl w:val="BA60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D788E"/>
    <w:multiLevelType w:val="multilevel"/>
    <w:tmpl w:val="59301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3"/>
  </w:num>
  <w:num w:numId="3" w16cid:durableId="161555159">
    <w:abstractNumId w:val="4"/>
  </w:num>
  <w:num w:numId="4" w16cid:durableId="1442263106">
    <w:abstractNumId w:val="1"/>
  </w:num>
  <w:num w:numId="5" w16cid:durableId="1892955520">
    <w:abstractNumId w:val="2"/>
  </w:num>
  <w:num w:numId="6" w16cid:durableId="207571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2DA0"/>
    <w:rsid w:val="000051F2"/>
    <w:rsid w:val="00043F1F"/>
    <w:rsid w:val="001017BA"/>
    <w:rsid w:val="00145C8C"/>
    <w:rsid w:val="001703B4"/>
    <w:rsid w:val="001A30D7"/>
    <w:rsid w:val="001A609E"/>
    <w:rsid w:val="001B1B88"/>
    <w:rsid w:val="001C356E"/>
    <w:rsid w:val="002D32AE"/>
    <w:rsid w:val="002E49B3"/>
    <w:rsid w:val="0032115F"/>
    <w:rsid w:val="00321789"/>
    <w:rsid w:val="00406B58"/>
    <w:rsid w:val="00412AB4"/>
    <w:rsid w:val="00485F58"/>
    <w:rsid w:val="004A4524"/>
    <w:rsid w:val="004C0378"/>
    <w:rsid w:val="004E1D3E"/>
    <w:rsid w:val="004F3287"/>
    <w:rsid w:val="004F60F9"/>
    <w:rsid w:val="0051706B"/>
    <w:rsid w:val="00583D1E"/>
    <w:rsid w:val="005A65FE"/>
    <w:rsid w:val="00602983"/>
    <w:rsid w:val="00656CEB"/>
    <w:rsid w:val="006A6A70"/>
    <w:rsid w:val="00706AE3"/>
    <w:rsid w:val="00721E0F"/>
    <w:rsid w:val="00724F50"/>
    <w:rsid w:val="00750E6C"/>
    <w:rsid w:val="00755641"/>
    <w:rsid w:val="00770E23"/>
    <w:rsid w:val="007A2109"/>
    <w:rsid w:val="007B293F"/>
    <w:rsid w:val="00814BEE"/>
    <w:rsid w:val="008256EC"/>
    <w:rsid w:val="00836785"/>
    <w:rsid w:val="00877531"/>
    <w:rsid w:val="008A1F38"/>
    <w:rsid w:val="00926E80"/>
    <w:rsid w:val="0096674C"/>
    <w:rsid w:val="0097388F"/>
    <w:rsid w:val="00A4000C"/>
    <w:rsid w:val="00A56A99"/>
    <w:rsid w:val="00A727B6"/>
    <w:rsid w:val="00AB7F14"/>
    <w:rsid w:val="00B11B36"/>
    <w:rsid w:val="00B305FA"/>
    <w:rsid w:val="00B45669"/>
    <w:rsid w:val="00B651C1"/>
    <w:rsid w:val="00B81F11"/>
    <w:rsid w:val="00B90CEB"/>
    <w:rsid w:val="00BE3A63"/>
    <w:rsid w:val="00C21994"/>
    <w:rsid w:val="00C36697"/>
    <w:rsid w:val="00C42AC1"/>
    <w:rsid w:val="00C71E7F"/>
    <w:rsid w:val="00CA3AC2"/>
    <w:rsid w:val="00CC484A"/>
    <w:rsid w:val="00DB6A9C"/>
    <w:rsid w:val="00E030CE"/>
    <w:rsid w:val="00E30941"/>
    <w:rsid w:val="00EA04DB"/>
    <w:rsid w:val="00EE0140"/>
    <w:rsid w:val="00EF37A9"/>
    <w:rsid w:val="00EF5B6B"/>
    <w:rsid w:val="00F017FE"/>
    <w:rsid w:val="00F24AE3"/>
    <w:rsid w:val="00F75EA1"/>
    <w:rsid w:val="00FC0550"/>
    <w:rsid w:val="00FD0B75"/>
    <w:rsid w:val="058DBBBA"/>
    <w:rsid w:val="0AAFB2A8"/>
    <w:rsid w:val="105C812F"/>
    <w:rsid w:val="14FB119C"/>
    <w:rsid w:val="167B88E4"/>
    <w:rsid w:val="183D4CC4"/>
    <w:rsid w:val="1BDBDC42"/>
    <w:rsid w:val="1F069574"/>
    <w:rsid w:val="1FB5644F"/>
    <w:rsid w:val="2DB84819"/>
    <w:rsid w:val="2F318E54"/>
    <w:rsid w:val="31DEDC91"/>
    <w:rsid w:val="35D3E034"/>
    <w:rsid w:val="3938F3B9"/>
    <w:rsid w:val="3BE7E3CF"/>
    <w:rsid w:val="4218189A"/>
    <w:rsid w:val="42CD0B3B"/>
    <w:rsid w:val="4604ABFD"/>
    <w:rsid w:val="493C4CBF"/>
    <w:rsid w:val="4B64FF5B"/>
    <w:rsid w:val="57A00781"/>
    <w:rsid w:val="65CCD0D9"/>
    <w:rsid w:val="7478C565"/>
    <w:rsid w:val="772EFB02"/>
    <w:rsid w:val="7902009D"/>
    <w:rsid w:val="79981C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paragraph" w:styleId="FootnoteText">
    <w:name w:val="footnote text"/>
    <w:basedOn w:val="Normal"/>
    <w:link w:val="FootnoteTextChar"/>
    <w:uiPriority w:val="99"/>
    <w:semiHidden/>
    <w:unhideWhenUsed/>
    <w:rsid w:val="004E1D3E"/>
    <w:rPr>
      <w:sz w:val="20"/>
      <w:szCs w:val="20"/>
    </w:rPr>
  </w:style>
  <w:style w:type="character" w:customStyle="1" w:styleId="FootnoteTextChar">
    <w:name w:val="Footnote Text Char"/>
    <w:basedOn w:val="DefaultParagraphFont"/>
    <w:link w:val="FootnoteText"/>
    <w:uiPriority w:val="99"/>
    <w:semiHidden/>
    <w:rsid w:val="004E1D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1D3E"/>
    <w:rPr>
      <w:vertAlign w:val="superscript"/>
    </w:rPr>
  </w:style>
  <w:style w:type="character" w:styleId="Hyperlink">
    <w:name w:val="Hyperlink"/>
    <w:basedOn w:val="DefaultParagraphFont"/>
    <w:uiPriority w:val="99"/>
    <w:unhideWhenUsed/>
    <w:rsid w:val="004E1D3E"/>
    <w:rPr>
      <w:color w:val="0563C1" w:themeColor="hyperlink"/>
      <w:u w:val="single"/>
    </w:rPr>
  </w:style>
  <w:style w:type="character" w:styleId="UnresolvedMention">
    <w:name w:val="Unresolved Mention"/>
    <w:basedOn w:val="DefaultParagraphFont"/>
    <w:uiPriority w:val="99"/>
    <w:semiHidden/>
    <w:unhideWhenUsed/>
    <w:rsid w:val="004E1D3E"/>
    <w:rPr>
      <w:color w:val="605E5C"/>
      <w:shd w:val="clear" w:color="auto" w:fill="E1DFDD"/>
    </w:rPr>
  </w:style>
  <w:style w:type="paragraph" w:customStyle="1" w:styleId="paragraph">
    <w:name w:val="paragraph"/>
    <w:basedOn w:val="Normal"/>
    <w:rsid w:val="00C21994"/>
    <w:pPr>
      <w:widowControl/>
      <w:autoSpaceDE/>
      <w:autoSpaceDN/>
      <w:adjustRightInd/>
      <w:spacing w:before="100" w:beforeAutospacing="1" w:after="100" w:afterAutospacing="1"/>
    </w:pPr>
  </w:style>
  <w:style w:type="character" w:customStyle="1" w:styleId="eop">
    <w:name w:val="eop"/>
    <w:basedOn w:val="DefaultParagraphFont"/>
    <w:rsid w:val="00C21994"/>
  </w:style>
  <w:style w:type="character" w:customStyle="1" w:styleId="spellingerror">
    <w:name w:val="spellingerror"/>
    <w:basedOn w:val="DefaultParagraphFont"/>
    <w:rsid w:val="00C21994"/>
  </w:style>
  <w:style w:type="character" w:customStyle="1" w:styleId="tabchar">
    <w:name w:val="tabchar"/>
    <w:basedOn w:val="DefaultParagraphFont"/>
    <w:rsid w:val="00C2199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nchs/rands/data.htm" TargetMode="External" /><Relationship Id="rId2" Type="http://schemas.openxmlformats.org/officeDocument/2006/relationships/hyperlink" Target="https://www.cdc.gov/nchs/rands" TargetMode="External" /><Relationship Id="rId3" Type="http://schemas.openxmlformats.org/officeDocument/2006/relationships/hyperlink" Target="https://journals.sagepub.com/doi/full/10.1177/2164957X221079792" TargetMode="External" /><Relationship Id="rId4" Type="http://schemas.openxmlformats.org/officeDocument/2006/relationships/hyperlink" Target="https://www.nccih.nih.gov/about/offices/od/director/past-messages/an-opportunity-to-weigh-in-and-advance-whole-person-research" TargetMode="External" /><Relationship Id="rId5" Type="http://schemas.openxmlformats.org/officeDocument/2006/relationships/hyperlink" Target="https://www.nccih.nih.gov/about/offices/od/director/past-messages/zeroing-in-on-the-factors-that-determine-whole-person-health" TargetMode="External" /><Relationship Id="rId6" Type="http://schemas.openxmlformats.org/officeDocument/2006/relationships/hyperlink" Target="https://www.nccih.nih.gov/about/offices/od/director/past-messages/including-spirituality-into-a-fuller-picture-of-research-on-whole-person-heal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4BD7-589D-E744-B2BB-B76C0D0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Sims, Thelma (CDC/IOD/OS)</cp:lastModifiedBy>
  <cp:revision>2</cp:revision>
  <dcterms:created xsi:type="dcterms:W3CDTF">2024-01-30T13:35:00Z</dcterms:created>
  <dcterms:modified xsi:type="dcterms:W3CDTF">2024-01-30T13:35:00Z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1a3df457-128e-49ed-b84e-55f79a318346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2023-11-07T19:53:07Z</vt:lpwstr>
  </property>
  <property fmtid="{D5CDD505-2E9C-101B-9397-08002B2CF9AE}" pid="8" name="MSIP_Label_7b94a7b8-f06c-4dfe-bdcc-9b548fd58c31_SiteId">
    <vt:lpwstr>9ce70869-60db-44fd-abe8-d2767077fc8f</vt:lpwstr>
  </property>
</Properties>
</file>