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2983" w:rsidRPr="00405647" w:rsidP="00602983" w14:paraId="2BE53891" w14:textId="77777777">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405647">
        <w:rPr>
          <w:rFonts w:ascii="Times New Roman" w:hAnsi="Times New Roman"/>
          <w:color w:val="000000"/>
          <w:sz w:val="36"/>
          <w:szCs w:val="36"/>
        </w:rPr>
        <w:t>Supporting Statement A for Request for Clearance:</w:t>
      </w:r>
    </w:p>
    <w:p w:rsidR="00602983" w:rsidRPr="00405647" w:rsidP="00602983" w14:paraId="13B7D7B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405647">
        <w:rPr>
          <w:rFonts w:ascii="Times New Roman" w:hAnsi="Times New Roman"/>
          <w:b/>
          <w:color w:val="000000"/>
          <w:sz w:val="36"/>
          <w:szCs w:val="36"/>
        </w:rPr>
        <w:t>COLLABORATING CENTER FOR QUESTIONNAIRE DESIGN AND EVALUATION RESEARCH</w:t>
      </w:r>
    </w:p>
    <w:p w:rsidR="00602983" w:rsidRPr="00405647" w:rsidP="00602983" w14:paraId="0EDA399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602983" w:rsidRPr="00405647" w:rsidP="00602983" w14:paraId="64DFB6E8" w14:textId="74BF72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ascii="Times New Roman" w:hAnsi="Times New Roman"/>
          <w:b/>
          <w:bCs/>
          <w:sz w:val="36"/>
          <w:szCs w:val="36"/>
        </w:rPr>
        <w:t>Pediatric Growth Charts Focus Groups</w:t>
      </w:r>
    </w:p>
    <w:p w:rsidR="00602983" w:rsidRPr="00405647" w:rsidP="00602983" w14:paraId="7578E1CE" w14:textId="60C66E2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p>
    <w:p w:rsidR="00602983" w:rsidRPr="00405647" w:rsidP="00602983" w14:paraId="397BA1E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405647">
        <w:rPr>
          <w:rFonts w:ascii="Times New Roman" w:hAnsi="Times New Roman"/>
          <w:color w:val="000000"/>
          <w:sz w:val="36"/>
          <w:szCs w:val="36"/>
        </w:rPr>
        <w:t>OMB No. 0920-0222</w:t>
      </w:r>
    </w:p>
    <w:p w:rsidR="00602983" w:rsidRPr="00405647" w:rsidP="00602983" w14:paraId="56FE334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Expiration Date: 01/31/2026</w:t>
      </w:r>
    </w:p>
    <w:p w:rsidR="00602983" w:rsidRPr="00405647" w:rsidP="00602983" w14:paraId="7102961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02983" w:rsidRPr="00405647" w:rsidP="00602983" w14:paraId="0B43F18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Contact Information:</w:t>
      </w:r>
    </w:p>
    <w:p w:rsidR="00602983" w:rsidRPr="00405647" w:rsidP="00602983" w14:paraId="4894A7E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02983" w:rsidRPr="00405647" w:rsidP="00602983" w14:paraId="09FADC3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 xml:space="preserve">Amanda Titus </w:t>
      </w:r>
    </w:p>
    <w:p w:rsidR="00602983" w:rsidRPr="00405647" w:rsidP="00602983" w14:paraId="77DE9E1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Behavioral Scientist, Collaborating Center for Questionnaire Design and Evaluation Research</w:t>
      </w:r>
    </w:p>
    <w:p w:rsidR="00602983" w:rsidRPr="00405647" w:rsidP="00602983" w14:paraId="3262D09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Division of Research and Methodology</w:t>
      </w:r>
    </w:p>
    <w:p w:rsidR="00602983" w:rsidRPr="00405647" w:rsidP="00602983" w14:paraId="13E8DF3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National Center for Health Statistics/CDC</w:t>
      </w:r>
    </w:p>
    <w:p w:rsidR="00602983" w:rsidRPr="00405647" w:rsidP="00602983" w14:paraId="67C8EB5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3311 Toledo Road, Room 5451</w:t>
      </w:r>
    </w:p>
    <w:p w:rsidR="00602983" w:rsidRPr="00405647" w:rsidP="00602983" w14:paraId="21F9740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Hyattsville, MD  20782</w:t>
      </w:r>
    </w:p>
    <w:p w:rsidR="00602983" w:rsidRPr="00405647" w:rsidP="00602983" w14:paraId="79E5CB7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301-458-4579</w:t>
      </w:r>
    </w:p>
    <w:p w:rsidR="00602983" w:rsidRPr="00405647" w:rsidP="00602983" w14:paraId="7FBBB5F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sidRPr="00405647">
        <w:rPr>
          <w:rFonts w:ascii="Times New Roman" w:hAnsi="Times New Roman"/>
          <w:color w:val="000000"/>
          <w:sz w:val="28"/>
          <w:szCs w:val="28"/>
          <w:u w:val="single"/>
        </w:rPr>
        <w:t>atitus@cdc.gov</w:t>
      </w:r>
    </w:p>
    <w:p w:rsidR="00602983" w:rsidRPr="00405647" w:rsidP="00602983" w14:paraId="5F41FE2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02983" w:rsidRPr="00405647" w:rsidP="00602983" w14:paraId="01BF39F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02983" w:rsidRPr="00405647" w:rsidP="00602983" w14:paraId="20207E5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02983" w:rsidRPr="00405647" w:rsidP="004A4524" w14:paraId="2E5A386E" w14:textId="43B952F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rFonts w:ascii="Times New Roman" w:hAnsi="Times New Roman"/>
          <w:color w:val="000000"/>
          <w:sz w:val="28"/>
          <w:szCs w:val="28"/>
        </w:rPr>
        <w:t xml:space="preserve">August </w:t>
      </w:r>
      <w:r w:rsidR="00DA09D4">
        <w:rPr>
          <w:rFonts w:ascii="Times New Roman" w:hAnsi="Times New Roman"/>
          <w:color w:val="000000"/>
          <w:sz w:val="28"/>
          <w:szCs w:val="28"/>
        </w:rPr>
        <w:t>2</w:t>
      </w:r>
      <w:r w:rsidR="00644FA5">
        <w:rPr>
          <w:rFonts w:ascii="Times New Roman" w:hAnsi="Times New Roman"/>
          <w:color w:val="000000"/>
          <w:sz w:val="28"/>
          <w:szCs w:val="28"/>
        </w:rPr>
        <w:t>8</w:t>
      </w:r>
      <w:r>
        <w:rPr>
          <w:rFonts w:ascii="Times New Roman" w:hAnsi="Times New Roman"/>
          <w:color w:val="000000"/>
          <w:sz w:val="28"/>
          <w:szCs w:val="28"/>
        </w:rPr>
        <w:t>, 2024</w:t>
      </w:r>
    </w:p>
    <w:p w:rsidR="00602983" w:rsidRPr="00405647" w:rsidP="00602983" w14:paraId="56338EDB" w14:textId="77777777"/>
    <w:p w:rsidR="00602983" w:rsidRPr="00405647" w:rsidP="00602983" w14:paraId="12FC388F" w14:textId="77777777"/>
    <w:p w:rsidR="00602983" w:rsidRPr="00405647" w:rsidP="00602983" w14:paraId="711286FC" w14:textId="77777777"/>
    <w:p w:rsidR="00602983" w:rsidRPr="00405647" w:rsidP="00602983" w14:paraId="6ED164DC" w14:textId="77777777"/>
    <w:p w:rsidR="00602983" w:rsidRPr="00405647" w:rsidP="00602983" w14:paraId="72173ABD" w14:textId="77777777"/>
    <w:p w:rsidR="00602983" w:rsidRPr="00405647" w:rsidP="00602983" w14:paraId="00355761" w14:textId="77777777"/>
    <w:p w:rsidR="00602983" w:rsidRPr="00405647" w:rsidP="00602983" w14:paraId="1965DB50" w14:textId="77777777"/>
    <w:p w:rsidR="00602983" w:rsidRPr="00405647" w:rsidP="00602983" w14:paraId="739B52F1" w14:textId="77777777"/>
    <w:p w:rsidR="00602983" w:rsidRPr="00405647" w:rsidP="00602983" w14:paraId="28C9EFAE" w14:textId="77777777">
      <w:pPr>
        <w:widowControl/>
        <w:autoSpaceDE/>
        <w:autoSpaceDN/>
        <w:adjustRightInd/>
        <w:rPr>
          <w:b/>
          <w:bCs/>
        </w:rPr>
      </w:pPr>
    </w:p>
    <w:p w:rsidR="00602983" w:rsidRPr="00405647" w:rsidP="00602983" w14:paraId="65FCA320" w14:textId="77777777">
      <w:pPr>
        <w:widowControl/>
        <w:tabs>
          <w:tab w:val="left" w:pos="7789"/>
        </w:tabs>
        <w:autoSpaceDE/>
        <w:autoSpaceDN/>
        <w:adjustRightInd/>
        <w:rPr>
          <w:b/>
          <w:bCs/>
        </w:rPr>
      </w:pPr>
    </w:p>
    <w:p w:rsidR="00602983" w:rsidRPr="00405647" w:rsidP="00602983" w14:paraId="280AF651" w14:textId="77777777">
      <w:pPr>
        <w:widowControl/>
        <w:autoSpaceDE/>
        <w:autoSpaceDN/>
        <w:adjustRightInd/>
        <w:rPr>
          <w:b/>
          <w:color w:val="000000"/>
        </w:rPr>
      </w:pPr>
      <w:r w:rsidRPr="00405647">
        <w:br w:type="page"/>
      </w:r>
      <w:r w:rsidRPr="00405647">
        <w:rPr>
          <w:b/>
          <w:color w:val="000000"/>
        </w:rPr>
        <w:t>Table of Contents</w:t>
      </w:r>
    </w:p>
    <w:p w:rsidR="00602983" w:rsidRPr="00405647" w:rsidP="00602983" w14:paraId="4798464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02983" w:rsidRPr="00405647" w:rsidP="00602983" w14:paraId="37CD3596" w14:textId="77777777">
      <w:pPr>
        <w:pStyle w:val="Style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405647">
        <w:rPr>
          <w:rFonts w:ascii="Times New Roman" w:hAnsi="Times New Roman"/>
          <w:color w:val="000000"/>
          <w:u w:val="single"/>
        </w:rPr>
        <w:t>Justification</w:t>
      </w:r>
    </w:p>
    <w:p w:rsidR="00602983" w:rsidRPr="00405647" w:rsidP="00602983" w14:paraId="568D97E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0"/>
        </w:tabs>
        <w:rPr>
          <w:rFonts w:ascii="Times New Roman" w:hAnsi="Times New Roman"/>
          <w:color w:val="000000"/>
        </w:rPr>
      </w:pPr>
    </w:p>
    <w:p w:rsidR="00602983" w:rsidRPr="00405647" w:rsidP="00602983" w14:paraId="11086B28" w14:textId="77777777">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405647">
        <w:rPr>
          <w:rFonts w:ascii="Times New Roman" w:hAnsi="Times New Roman"/>
          <w:color w:val="000000"/>
        </w:rPr>
        <w:t>A.1.</w:t>
      </w:r>
      <w:r w:rsidRPr="00405647">
        <w:rPr>
          <w:rFonts w:ascii="Times New Roman" w:hAnsi="Times New Roman"/>
          <w:color w:val="000000"/>
        </w:rPr>
        <w:tab/>
        <w:t>Circumstance Making the Collection of Information Necessary</w:t>
      </w:r>
      <w:r w:rsidRPr="00405647">
        <w:rPr>
          <w:rFonts w:ascii="Times New Roman" w:hAnsi="Times New Roman"/>
          <w:color w:val="000000"/>
        </w:rPr>
        <w:tab/>
        <w:t>2</w:t>
      </w:r>
    </w:p>
    <w:p w:rsidR="00602983" w:rsidP="00602983" w14:paraId="0B039DE6" w14:textId="77777777">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405647">
        <w:rPr>
          <w:rFonts w:ascii="Times New Roman" w:hAnsi="Times New Roman"/>
          <w:color w:val="000000"/>
        </w:rPr>
        <w:t>A.2.</w:t>
      </w:r>
      <w:r w:rsidRPr="00405647">
        <w:rPr>
          <w:rFonts w:ascii="Times New Roman" w:hAnsi="Times New Roman"/>
          <w:color w:val="000000"/>
        </w:rPr>
        <w:tab/>
        <w:t>Purpose and Use of Information Collection</w:t>
      </w:r>
      <w:r w:rsidRPr="00405647">
        <w:rPr>
          <w:rFonts w:ascii="Times New Roman" w:hAnsi="Times New Roman"/>
          <w:color w:val="000000"/>
        </w:rPr>
        <w:tab/>
        <w:t>2</w:t>
      </w:r>
    </w:p>
    <w:p w:rsidR="00B267B4" w:rsidRPr="00405647" w:rsidP="00602983" w14:paraId="146CD1A6" w14:textId="418D2923">
      <w:pPr>
        <w:pStyle w:val="Style0"/>
        <w:tabs>
          <w:tab w:val="left" w:pos="720"/>
          <w:tab w:val="left" w:pos="1440"/>
          <w:tab w:val="left" w:pos="2160"/>
          <w:tab w:val="left" w:pos="2880"/>
          <w:tab w:val="left" w:pos="3600"/>
          <w:tab w:val="right" w:leader="dot" w:pos="9180"/>
        </w:tabs>
        <w:rPr>
          <w:rFonts w:ascii="Times New Roman" w:hAnsi="Times New Roman"/>
          <w:color w:val="000000"/>
        </w:rPr>
      </w:pPr>
      <w:r>
        <w:rPr>
          <w:rFonts w:ascii="Times New Roman" w:hAnsi="Times New Roman"/>
          <w:color w:val="000000"/>
        </w:rPr>
        <w:t>A.9.</w:t>
      </w:r>
      <w:r>
        <w:rPr>
          <w:rFonts w:ascii="Times New Roman" w:hAnsi="Times New Roman"/>
          <w:color w:val="000000"/>
        </w:rPr>
        <w:tab/>
        <w:t>Explanation of Any Payment of Gift to Respondents………………………….…….… 3</w:t>
      </w:r>
    </w:p>
    <w:p w:rsidR="00602983" w:rsidRPr="00405647" w:rsidP="00602983" w14:paraId="24CD3528" w14:textId="77777777">
      <w:pPr>
        <w:pStyle w:val="Style0"/>
        <w:tabs>
          <w:tab w:val="left" w:pos="720"/>
          <w:tab w:val="left" w:pos="1440"/>
          <w:tab w:val="left" w:pos="2160"/>
          <w:tab w:val="left" w:pos="2880"/>
          <w:tab w:val="left" w:pos="3600"/>
          <w:tab w:val="right" w:leader="dot" w:pos="9180"/>
        </w:tabs>
        <w:rPr>
          <w:rFonts w:ascii="Times New Roman" w:hAnsi="Times New Roman"/>
          <w:bCs/>
        </w:rPr>
      </w:pPr>
      <w:r w:rsidRPr="00405647">
        <w:rPr>
          <w:rFonts w:ascii="Times New Roman" w:hAnsi="Times New Roman"/>
          <w:bCs/>
        </w:rPr>
        <w:t>A.10.</w:t>
      </w:r>
      <w:r w:rsidRPr="00405647">
        <w:rPr>
          <w:rFonts w:ascii="Times New Roman" w:hAnsi="Times New Roman"/>
          <w:bCs/>
        </w:rPr>
        <w:tab/>
        <w:t xml:space="preserve">Protection of the Privacy and Confidentiality of Information Provided </w:t>
      </w:r>
    </w:p>
    <w:p w:rsidR="00602983" w:rsidRPr="00405647" w:rsidP="00602983" w14:paraId="6F7D06A3"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405647">
        <w:rPr>
          <w:rFonts w:ascii="Times New Roman" w:hAnsi="Times New Roman"/>
          <w:bCs/>
        </w:rPr>
        <w:tab/>
        <w:t>by Respondents…………………………………………….</w:t>
      </w:r>
      <w:r w:rsidRPr="00405647">
        <w:rPr>
          <w:rFonts w:ascii="Times New Roman" w:hAnsi="Times New Roman"/>
          <w:bCs/>
        </w:rPr>
        <w:tab/>
        <w:t>3</w:t>
      </w:r>
    </w:p>
    <w:p w:rsidR="00602983" w:rsidRPr="00405647" w:rsidP="00602983" w14:paraId="2A748384" w14:textId="77777777">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405647">
        <w:rPr>
          <w:rFonts w:ascii="Times New Roman" w:hAnsi="Times New Roman"/>
          <w:bCs/>
        </w:rPr>
        <w:t>A.11.</w:t>
      </w:r>
      <w:r w:rsidRPr="00405647">
        <w:rPr>
          <w:rFonts w:ascii="Times New Roman" w:hAnsi="Times New Roman"/>
          <w:bCs/>
        </w:rPr>
        <w:tab/>
        <w:t>Institutional Review Board (IRB) and Justification for Sensitive Questions</w:t>
      </w:r>
      <w:r w:rsidRPr="00405647">
        <w:rPr>
          <w:rFonts w:ascii="Times New Roman" w:hAnsi="Times New Roman"/>
          <w:bCs/>
        </w:rPr>
        <w:tab/>
        <w:t>4</w:t>
      </w:r>
    </w:p>
    <w:p w:rsidR="00602983" w:rsidRPr="00405647" w:rsidP="00602983" w14:paraId="52E632CC"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405647">
        <w:rPr>
          <w:rFonts w:ascii="Times New Roman" w:hAnsi="Times New Roman"/>
          <w:bCs/>
        </w:rPr>
        <w:t>A.12.</w:t>
      </w:r>
      <w:r w:rsidRPr="00405647">
        <w:rPr>
          <w:rFonts w:ascii="Times New Roman" w:hAnsi="Times New Roman"/>
          <w:bCs/>
        </w:rPr>
        <w:tab/>
        <w:t>Estimates of Annualized Burden Hours and Costs</w:t>
      </w:r>
      <w:r w:rsidRPr="00405647">
        <w:rPr>
          <w:rFonts w:ascii="Times New Roman" w:hAnsi="Times New Roman"/>
          <w:bCs/>
        </w:rPr>
        <w:tab/>
        <w:t>4</w:t>
      </w:r>
    </w:p>
    <w:p w:rsidR="00602983" w:rsidRPr="00405647" w:rsidP="00602983" w14:paraId="64379FC3" w14:textId="77777777">
      <w:pPr>
        <w:pStyle w:val="Style0"/>
        <w:tabs>
          <w:tab w:val="left" w:pos="720"/>
          <w:tab w:val="left" w:pos="1440"/>
          <w:tab w:val="left" w:pos="2160"/>
          <w:tab w:val="left" w:pos="2880"/>
          <w:tab w:val="left" w:pos="3600"/>
          <w:tab w:val="right" w:leader="dot" w:pos="9180"/>
        </w:tabs>
        <w:rPr>
          <w:rFonts w:ascii="Times New Roman" w:hAnsi="Times New Roman"/>
          <w:bCs/>
        </w:rPr>
      </w:pPr>
    </w:p>
    <w:p w:rsidR="00602983" w:rsidRPr="00405647" w:rsidP="00602983" w14:paraId="44F8EC02" w14:textId="77777777">
      <w:pPr>
        <w:rPr>
          <w:bCs/>
        </w:rPr>
      </w:pPr>
      <w:r w:rsidRPr="00405647">
        <w:rPr>
          <w:bCs/>
        </w:rPr>
        <w:t>LIST OF ATTACHMENTS</w:t>
      </w:r>
    </w:p>
    <w:p w:rsidR="00602983" w:rsidRPr="00405647" w:rsidP="00602983" w14:paraId="1C82DF59" w14:textId="77777777">
      <w:pPr>
        <w:rPr>
          <w:bCs/>
        </w:rPr>
      </w:pPr>
    </w:p>
    <w:p w:rsidR="00602983" w:rsidP="00602983" w14:paraId="63BF0BE8" w14:textId="0A892F54">
      <w:r>
        <w:t xml:space="preserve">Attachment 1: </w:t>
      </w:r>
      <w:r w:rsidR="00DA09D4">
        <w:t xml:space="preserve">Focus Group Protocol </w:t>
      </w:r>
    </w:p>
    <w:p w:rsidR="00602983" w:rsidP="00602983" w14:paraId="07540050" w14:textId="39BA0CA5">
      <w:r>
        <w:t xml:space="preserve">Attachment </w:t>
      </w:r>
      <w:r w:rsidR="00267728">
        <w:t>2</w:t>
      </w:r>
      <w:r>
        <w:t xml:space="preserve">: Informed Consent </w:t>
      </w:r>
    </w:p>
    <w:p w:rsidR="0071791B" w:rsidP="0071791B" w14:paraId="573222C2" w14:textId="203C2C9A">
      <w:r>
        <w:t xml:space="preserve">Attachment </w:t>
      </w:r>
      <w:r w:rsidR="00267728">
        <w:t>3</w:t>
      </w:r>
      <w:r>
        <w:t>: Respondent Data Collection Sheet</w:t>
      </w:r>
    </w:p>
    <w:p w:rsidR="00836785" w:rsidP="00267728" w14:paraId="0E1BE71E" w14:textId="2FB90C07">
      <w:r>
        <w:t xml:space="preserve">Attachment </w:t>
      </w:r>
      <w:r w:rsidR="00391F6C">
        <w:t>4</w:t>
      </w:r>
      <w:r>
        <w:t xml:space="preserve">: </w:t>
      </w:r>
      <w:r w:rsidR="00391F6C">
        <w:t xml:space="preserve">CCQDER </w:t>
      </w:r>
      <w:r>
        <w:t>Data Retention Policy</w:t>
      </w:r>
    </w:p>
    <w:p w:rsidR="00DA09D4" w:rsidRPr="004F3287" w:rsidP="00267728" w14:paraId="61EB106B" w14:textId="3E54EB29">
      <w:r>
        <w:t xml:space="preserve">Attachment </w:t>
      </w:r>
      <w:r w:rsidR="00391F6C">
        <w:t>5</w:t>
      </w:r>
      <w:r>
        <w:t>: NCHS Non-Disclosure Affidavit</w:t>
      </w:r>
    </w:p>
    <w:p w:rsidR="00602983" w:rsidRPr="00405647" w:rsidP="00602983" w14:paraId="5CA7DCAA" w14:textId="77777777">
      <w:pPr>
        <w:widowControl/>
        <w:tabs>
          <w:tab w:val="left" w:pos="-1440"/>
        </w:tabs>
        <w:ind w:left="720" w:hanging="720"/>
        <w:rPr>
          <w:b/>
          <w:bCs/>
        </w:rPr>
      </w:pPr>
    </w:p>
    <w:p w:rsidR="00602983" w:rsidRPr="00405647" w:rsidP="00602983" w14:paraId="2EC94A76" w14:textId="77777777">
      <w:pPr>
        <w:widowControl/>
        <w:tabs>
          <w:tab w:val="left" w:pos="-1440"/>
        </w:tabs>
        <w:ind w:left="720" w:hanging="720"/>
        <w:rPr>
          <w:b/>
          <w:bCs/>
        </w:rPr>
      </w:pPr>
      <w:r w:rsidRPr="00405647">
        <w:rPr>
          <w:b/>
          <w:bCs/>
        </w:rPr>
        <w:t>A.</w:t>
      </w:r>
      <w:r w:rsidRPr="00405647">
        <w:rPr>
          <w:b/>
          <w:bCs/>
        </w:rPr>
        <w:tab/>
      </w:r>
      <w:r w:rsidRPr="00405647">
        <w:rPr>
          <w:b/>
          <w:bCs/>
          <w:u w:val="single"/>
        </w:rPr>
        <w:t>JUSTIFICATION</w:t>
      </w:r>
    </w:p>
    <w:p w:rsidR="00602983" w:rsidRPr="00405647" w:rsidP="00602983" w14:paraId="7B3A6F80" w14:textId="77777777">
      <w:pPr>
        <w:widowControl/>
      </w:pPr>
    </w:p>
    <w:p w:rsidR="00602983" w:rsidRPr="00405647" w:rsidP="00602983" w14:paraId="0BD46B27" w14:textId="77777777">
      <w:pPr>
        <w:widowControl/>
        <w:tabs>
          <w:tab w:val="left" w:pos="-1440"/>
        </w:tabs>
        <w:ind w:left="720" w:hanging="720"/>
      </w:pPr>
      <w:r w:rsidRPr="00405647">
        <w:rPr>
          <w:b/>
          <w:bCs/>
        </w:rPr>
        <w:t>1.</w:t>
      </w:r>
      <w:r w:rsidRPr="00405647">
        <w:rPr>
          <w:b/>
          <w:bCs/>
        </w:rPr>
        <w:tab/>
        <w:t>Circumstances Making the Collection of Information Necessary</w:t>
      </w:r>
    </w:p>
    <w:p w:rsidR="00602983" w:rsidRPr="00405647" w:rsidP="00602983" w14:paraId="6F1F6F23" w14:textId="77777777">
      <w:pPr>
        <w:widowControl/>
        <w:tabs>
          <w:tab w:val="left" w:pos="-1440"/>
        </w:tabs>
      </w:pPr>
      <w:bookmarkStart w:id="0" w:name="_Hlk149563517"/>
    </w:p>
    <w:bookmarkEnd w:id="0"/>
    <w:p w:rsidR="00602983" w:rsidRPr="00405647" w:rsidP="00602983" w14:paraId="23F785DB" w14:textId="66B7B00A">
      <w:r w:rsidRPr="00405647">
        <w:t>The NCHS Collaborating Center for Questionnaire Design and Evaluation Research (CCQDER) conducts qualitative and mixed method research. CCQDER data collection is authorized under a generic OMB clearance (OMB No. 0920-0222, Exp. Date 0</w:t>
      </w:r>
      <w:r w:rsidR="00583D1E">
        <w:t>1</w:t>
      </w:r>
      <w:r w:rsidRPr="00405647">
        <w:t>/3</w:t>
      </w:r>
      <w:r w:rsidR="00583D1E">
        <w:t>1</w:t>
      </w:r>
      <w:r w:rsidRPr="00405647">
        <w:t>/202</w:t>
      </w:r>
      <w:r w:rsidR="00583D1E">
        <w:t>6</w:t>
      </w:r>
      <w:r w:rsidRPr="00405647">
        <w:t>) and 42 U.S.C. 242k (Section 306 of the Public Health Service Act).</w:t>
      </w:r>
    </w:p>
    <w:p w:rsidR="00602983" w:rsidRPr="00405647" w:rsidP="00602983" w14:paraId="69D6EB03" w14:textId="77777777">
      <w:pPr>
        <w:rPr>
          <w:rFonts w:ascii="Calibri" w:hAnsi="Calibri" w:cs="Calibri"/>
          <w:sz w:val="22"/>
          <w:szCs w:val="22"/>
        </w:rPr>
      </w:pPr>
    </w:p>
    <w:p w:rsidR="00602983" w:rsidRPr="00405647" w:rsidP="00602983" w14:paraId="7502C4BA" w14:textId="77777777">
      <w:r w:rsidRPr="00405647">
        <w:tab/>
      </w:r>
    </w:p>
    <w:p w:rsidR="00602983" w:rsidRPr="00405647" w:rsidP="00602983" w14:paraId="06421054" w14:textId="77777777">
      <w:pPr>
        <w:widowControl/>
        <w:tabs>
          <w:tab w:val="left" w:pos="-1440"/>
        </w:tabs>
        <w:ind w:left="720" w:hanging="720"/>
      </w:pPr>
      <w:r w:rsidRPr="00405647">
        <w:rPr>
          <w:b/>
          <w:bCs/>
        </w:rPr>
        <w:t>2.</w:t>
      </w:r>
      <w:r w:rsidRPr="00405647">
        <w:rPr>
          <w:b/>
          <w:bCs/>
        </w:rPr>
        <w:tab/>
        <w:t>Purpose and Use of Information Collection</w:t>
      </w:r>
    </w:p>
    <w:p w:rsidR="00602983" w:rsidRPr="00405647" w:rsidP="00602983" w14:paraId="2F792AA0" w14:textId="77777777">
      <w:pPr>
        <w:pStyle w:val="HTMLPreformatted"/>
        <w:rPr>
          <w:rFonts w:ascii="Times New Roman" w:hAnsi="Times New Roman"/>
          <w:sz w:val="24"/>
          <w:szCs w:val="24"/>
        </w:rPr>
      </w:pPr>
    </w:p>
    <w:p w:rsidR="00141062" w:rsidP="0071791B" w14:paraId="68FDB943" w14:textId="120B822D">
      <w:pPr>
        <w:widowControl/>
      </w:pPr>
      <w:r>
        <w:t xml:space="preserve">The purpose of the current project is to </w:t>
      </w:r>
      <w:r w:rsidRPr="006350FA" w:rsidR="006350FA">
        <w:t>conduct a series of focus groups exploring how pediatricians are using and interacting with the NCHS’ recently released extended-</w:t>
      </w:r>
      <w:r w:rsidR="0098381B">
        <w:t>body mass index (</w:t>
      </w:r>
      <w:r w:rsidRPr="006350FA" w:rsidR="006350FA">
        <w:t>BMI</w:t>
      </w:r>
      <w:r w:rsidR="0098381B">
        <w:t>)</w:t>
      </w:r>
      <w:r w:rsidRPr="006350FA" w:rsidR="006350FA">
        <w:t xml:space="preserve"> growth charts</w:t>
      </w:r>
      <w:r>
        <w:rPr>
          <w:rStyle w:val="FootnoteReference"/>
        </w:rPr>
        <w:footnoteReference w:id="2"/>
      </w:r>
      <w:r w:rsidR="006350FA">
        <w:t>.</w:t>
      </w:r>
      <w:r>
        <w:t xml:space="preserve"> </w:t>
      </w:r>
    </w:p>
    <w:p w:rsidR="00141062" w:rsidP="0071791B" w14:paraId="24FE5239" w14:textId="77777777">
      <w:pPr>
        <w:widowControl/>
      </w:pPr>
    </w:p>
    <w:p w:rsidR="00141062" w:rsidP="0071791B" w14:paraId="18232320" w14:textId="55D66544">
      <w:pPr>
        <w:widowControl/>
      </w:pPr>
      <w:r w:rsidRPr="00141062">
        <w:t xml:space="preserve">Obesity and severe obesity in the United States are defined via thresholds from CDC’s sex-specific BMI for-age growth charts. The current growth charts, which were revised in 2000, include data from National Health Examination Survey (NHES) II and III and incorporate National Health and Nutrition Examination Survey (NHANES) I, II, and III.  They display a series of named percentile curves, with the largest being the 95th percentile.  However, tracking of patients’ weights above the 95th percentile (which is the obesity cut point) is statistically unreliable.  This is particularly important as the cut point for severe obesity (120% of the 95th percentile) lies in this uncalibrated and unreliable area of these charts. To enable clinical and research applications, NCHS’ Division of Health and Nutrition Examination Statistics </w:t>
      </w:r>
      <w:r w:rsidRPr="00141062">
        <w:t xml:space="preserve">(DHANES) and its partners across CDC developed and released a series of extended BMI growth charts in late 2022.  These extended-BMI growth charts include NHANES data from 1988 through 2016 and provide health care providers and researchers with a new tool that they can use to identify obesity and better track a patient’s history. </w:t>
      </w:r>
    </w:p>
    <w:p w:rsidR="00141062" w:rsidP="0071791B" w14:paraId="0B09913E" w14:textId="77777777">
      <w:pPr>
        <w:widowControl/>
      </w:pPr>
    </w:p>
    <w:p w:rsidR="004A4524" w:rsidRPr="004A4524" w:rsidP="0071791B" w14:paraId="338986D5" w14:textId="7D1E3D7D">
      <w:pPr>
        <w:widowControl/>
      </w:pPr>
      <w:r w:rsidRPr="00141062">
        <w:t>To facilitate external communication with healthcare practitioners and other stakeholders, NCHS’ CCQDER plans to conduct a series of up to five focus groups with clinical and research pediatricians exploring the perceived advantages and challenges surrounding the extended-BMI growth charts.</w:t>
      </w:r>
      <w:r>
        <w:t xml:space="preserve"> </w:t>
      </w:r>
      <w:r w:rsidRPr="0071791B" w:rsidR="0071791B">
        <w:t xml:space="preserve">The methodological aim of this study is consistent with the design of most NCHS/CCQDER </w:t>
      </w:r>
      <w:r>
        <w:t>focus group</w:t>
      </w:r>
      <w:r w:rsidRPr="0071791B" w:rsidR="0071791B">
        <w:t xml:space="preserve"> studies, that is, to understand </w:t>
      </w:r>
      <w:r>
        <w:t xml:space="preserve">how members of the public think and communicate about areas of interest—in this case, the expanded growth charts, childhood obesity, and patient communication strategies.  </w:t>
      </w:r>
      <w:r w:rsidRPr="0071791B" w:rsidR="0071791B">
        <w:t xml:space="preserve">The procedure conforms to the </w:t>
      </w:r>
      <w:r>
        <w:t>focus group</w:t>
      </w:r>
      <w:r w:rsidRPr="0071791B">
        <w:t xml:space="preserve"> </w:t>
      </w:r>
      <w:r w:rsidRPr="0071791B" w:rsidR="0071791B">
        <w:t>techniques that have been described in CCQDER’s generic clearance package (OMB No. 0920-0222, exp. 01/31/2026). Within that framework, the following procedures are particular to this study:</w:t>
      </w:r>
    </w:p>
    <w:p w:rsidR="004A4524" w:rsidRPr="004A4524" w:rsidP="004A4524" w14:paraId="3E0677FA" w14:textId="0D96EF07">
      <w:pPr>
        <w:widowControl/>
        <w:tabs>
          <w:tab w:val="left" w:pos="0"/>
        </w:tabs>
        <w:ind w:left="720"/>
        <w:outlineLvl w:val="0"/>
      </w:pPr>
      <w:r w:rsidRPr="004A4524">
        <w:rPr>
          <w:i/>
          <w:iCs/>
        </w:rPr>
        <w:t>Recruitment</w:t>
      </w:r>
      <w:r w:rsidRPr="004A4524">
        <w:t xml:space="preserve">.  </w:t>
      </w:r>
      <w:r w:rsidRPr="00267728" w:rsidR="00267728">
        <w:t xml:space="preserve">We propose to recruit up to 40 pediatricians, health care providers, and/or pediatric obesity researchers to participate in up to 5 focus groups.  We would aim to have a maximum of 8 participants per focus group.  CCQDER and DHANES will work jointly to recruit the focus group participants, and no recruitment ad </w:t>
      </w:r>
      <w:r w:rsidR="00267728">
        <w:t xml:space="preserve">or screening survey </w:t>
      </w:r>
      <w:r w:rsidRPr="00267728" w:rsidR="00267728">
        <w:t>will be used.</w:t>
      </w:r>
    </w:p>
    <w:p w:rsidR="004A4524" w:rsidRPr="004A4524" w:rsidP="004A4524" w14:paraId="3EE5B0A2" w14:textId="77777777">
      <w:pPr>
        <w:widowControl/>
        <w:tabs>
          <w:tab w:val="left" w:pos="0"/>
        </w:tabs>
        <w:ind w:left="720"/>
        <w:outlineLvl w:val="0"/>
      </w:pPr>
    </w:p>
    <w:p w:rsidR="004A4524" w:rsidRPr="004A4524" w:rsidP="004A4524" w14:paraId="0CB61E68" w14:textId="4DDEFE47">
      <w:pPr>
        <w:widowControl/>
        <w:tabs>
          <w:tab w:val="left" w:pos="0"/>
        </w:tabs>
        <w:ind w:left="720"/>
        <w:outlineLvl w:val="0"/>
      </w:pPr>
      <w:r w:rsidRPr="004A4524">
        <w:rPr>
          <w:i/>
          <w:iCs/>
        </w:rPr>
        <w:t>Interview methods.</w:t>
      </w:r>
      <w:r w:rsidRPr="004A4524">
        <w:t xml:space="preserve"> </w:t>
      </w:r>
      <w:r w:rsidRPr="00267728" w:rsidR="00267728">
        <w:t xml:space="preserve">Focus groups will be limited to 90 minutes.  The outline of the protocol to be used in these focus groups is included as Attachment </w:t>
      </w:r>
      <w:r w:rsidR="00267728">
        <w:t>1</w:t>
      </w:r>
      <w:r w:rsidRPr="00267728" w:rsidR="00267728">
        <w:t>.  The focus groups will be conducted by CCQDER staff or contractors and will take place either in-person in a private location or virtually, via video conference through Zoom. The Zoom platform has been approved by CDC and NCHS Information Security Offices. If interviews cannot be conducted virtually, NCHS staff propose holding them in person in the Questionnaire Design Research Laboratory (QDRL) or off-site</w:t>
      </w:r>
      <w:r w:rsidR="00267728">
        <w:t xml:space="preserve"> location</w:t>
      </w:r>
      <w:r w:rsidRPr="00267728" w:rsidR="00267728">
        <w:t xml:space="preserve">. </w:t>
      </w:r>
      <w:r w:rsidRPr="004A4524">
        <w:t xml:space="preserve">The informed consent documents specific to this project are included </w:t>
      </w:r>
      <w:r w:rsidRPr="00267728">
        <w:t xml:space="preserve">as Attachment </w:t>
      </w:r>
      <w:r w:rsidRPr="00267728" w:rsidR="00267728">
        <w:t>2</w:t>
      </w:r>
      <w:r w:rsidRPr="00267728">
        <w:t>.</w:t>
      </w:r>
    </w:p>
    <w:p w:rsidR="004A4524" w:rsidP="004A4524" w14:paraId="41B9304E" w14:textId="77777777">
      <w:pPr>
        <w:widowControl/>
        <w:tabs>
          <w:tab w:val="left" w:pos="0"/>
        </w:tabs>
        <w:outlineLvl w:val="0"/>
      </w:pPr>
    </w:p>
    <w:p w:rsidR="00B267B4" w:rsidP="004A4524" w14:paraId="75F8D054" w14:textId="77777777">
      <w:pPr>
        <w:widowControl/>
        <w:tabs>
          <w:tab w:val="left" w:pos="0"/>
        </w:tabs>
        <w:outlineLvl w:val="0"/>
      </w:pPr>
    </w:p>
    <w:p w:rsidR="00B267B4" w:rsidRPr="007A7068" w:rsidP="00B267B4" w14:paraId="70B866AF" w14:textId="77777777">
      <w:pPr>
        <w:widowControl/>
        <w:tabs>
          <w:tab w:val="left" w:pos="0"/>
        </w:tabs>
        <w:ind w:left="720" w:hanging="720"/>
        <w:rPr>
          <w:b/>
          <w:bCs/>
        </w:rPr>
      </w:pPr>
      <w:r w:rsidRPr="007A7068">
        <w:rPr>
          <w:b/>
          <w:bCs/>
        </w:rPr>
        <w:t>9.</w:t>
      </w:r>
      <w:r w:rsidRPr="007A7068">
        <w:rPr>
          <w:b/>
          <w:bCs/>
        </w:rPr>
        <w:tab/>
        <w:t xml:space="preserve">Explanation of Any Payment or Gift to Respondents </w:t>
      </w:r>
    </w:p>
    <w:p w:rsidR="00B267B4" w:rsidRPr="007A7068" w:rsidP="00B267B4" w14:paraId="6D48284E" w14:textId="77777777">
      <w:pPr>
        <w:widowControl/>
        <w:tabs>
          <w:tab w:val="left" w:pos="0"/>
        </w:tabs>
        <w:ind w:left="720" w:hanging="720"/>
      </w:pPr>
    </w:p>
    <w:p w:rsidR="00B267B4" w:rsidRPr="00267728" w:rsidP="00267728" w14:paraId="0588F8FE" w14:textId="009EAA68">
      <w:r w:rsidRPr="00267728">
        <w:t xml:space="preserve">For this project </w:t>
      </w:r>
      <w:r w:rsidRPr="00267728" w:rsidR="00267728">
        <w:t xml:space="preserve">participants </w:t>
      </w:r>
      <w:r w:rsidRPr="00267728">
        <w:t>will be given the standard remuneration of $</w:t>
      </w:r>
      <w:r w:rsidRPr="00267728" w:rsidR="00267728">
        <w:t>1</w:t>
      </w:r>
      <w:r w:rsidRPr="00267728">
        <w:t>50</w:t>
      </w:r>
      <w:r w:rsidRPr="00267728" w:rsidR="00267728">
        <w:t xml:space="preserve"> previously</w:t>
      </w:r>
      <w:r w:rsidRPr="00267728">
        <w:t xml:space="preserve"> approved by OMB</w:t>
      </w:r>
      <w:r w:rsidRPr="00267728" w:rsidR="00267728">
        <w:t xml:space="preserve"> for focus group participants. </w:t>
      </w:r>
      <w:r w:rsidRPr="00267728">
        <w:t xml:space="preserve">For virtual interviews, </w:t>
      </w:r>
      <w:r w:rsidRPr="00267728" w:rsidR="00267728">
        <w:t>participants</w:t>
      </w:r>
      <w:r w:rsidRPr="00267728">
        <w:t xml:space="preserve"> </w:t>
      </w:r>
      <w:r w:rsidRPr="00267728" w:rsidR="00267728">
        <w:t xml:space="preserve">will be emailed the activation code and link for an $150 electronic gift card for remuneration. For in person interviews, </w:t>
      </w:r>
      <w:r w:rsidR="00267728">
        <w:t>participants</w:t>
      </w:r>
      <w:r w:rsidRPr="00267728" w:rsidR="00267728">
        <w:t xml:space="preserve"> will be given $</w:t>
      </w:r>
      <w:r w:rsidR="00267728">
        <w:t>1</w:t>
      </w:r>
      <w:r w:rsidRPr="00267728" w:rsidR="00267728">
        <w:t xml:space="preserve">50 in cash at the end of the </w:t>
      </w:r>
      <w:r w:rsidR="00267728">
        <w:t>focus group</w:t>
      </w:r>
      <w:r w:rsidRPr="00267728" w:rsidR="00267728">
        <w:t>.</w:t>
      </w:r>
    </w:p>
    <w:p w:rsidR="00B267B4" w:rsidRPr="004A4524" w:rsidP="00267728" w14:paraId="2D02994D" w14:textId="5BBAB1F6">
      <w:pPr>
        <w:widowControl/>
        <w:tabs>
          <w:tab w:val="left" w:pos="0"/>
          <w:tab w:val="left" w:pos="3723"/>
        </w:tabs>
        <w:outlineLvl w:val="0"/>
      </w:pPr>
      <w:r>
        <w:tab/>
      </w:r>
    </w:p>
    <w:p w:rsidR="00602983" w:rsidRPr="00405647" w:rsidP="00602983" w14:paraId="4073FCD1" w14:textId="77777777"/>
    <w:p w:rsidR="00602983" w:rsidP="00602983" w14:paraId="3CB6A901" w14:textId="77777777">
      <w:pPr>
        <w:widowControl/>
        <w:tabs>
          <w:tab w:val="left" w:pos="0"/>
        </w:tabs>
        <w:ind w:left="720" w:hanging="720"/>
        <w:rPr>
          <w:b/>
          <w:bCs/>
        </w:rPr>
      </w:pPr>
      <w:r w:rsidRPr="00405647">
        <w:rPr>
          <w:b/>
          <w:bCs/>
        </w:rPr>
        <w:t>10.</w:t>
      </w:r>
      <w:r w:rsidRPr="00405647">
        <w:rPr>
          <w:b/>
          <w:bCs/>
        </w:rPr>
        <w:tab/>
        <w:t xml:space="preserve">Protection of the Privacy and Confidentiality of Information Provided by Respondents </w:t>
      </w:r>
    </w:p>
    <w:p w:rsidR="0071791B" w:rsidP="00602983" w14:paraId="6D878936" w14:textId="77777777">
      <w:pPr>
        <w:widowControl/>
        <w:tabs>
          <w:tab w:val="left" w:pos="0"/>
        </w:tabs>
        <w:ind w:left="720" w:hanging="720"/>
        <w:rPr>
          <w:b/>
          <w:bCs/>
        </w:rPr>
      </w:pPr>
    </w:p>
    <w:p w:rsidR="0071791B" w:rsidRPr="0071791B" w:rsidP="00602983" w14:paraId="5853C71B" w14:textId="5AB43B8C">
      <w:pPr>
        <w:widowControl/>
        <w:tabs>
          <w:tab w:val="left" w:pos="0"/>
        </w:tabs>
        <w:ind w:left="720" w:hanging="720"/>
      </w:pPr>
      <w:r w:rsidRPr="0071791B">
        <w:t>Data will be kept private to the extent allowed by law.</w:t>
      </w:r>
    </w:p>
    <w:p w:rsidR="00602983" w:rsidRPr="00405647" w:rsidP="00602983" w14:paraId="467E655A" w14:textId="77777777">
      <w:pPr>
        <w:widowControl/>
        <w:tabs>
          <w:tab w:val="left" w:pos="0"/>
        </w:tabs>
      </w:pPr>
    </w:p>
    <w:p w:rsidR="0071791B" w:rsidP="0071791B" w14:paraId="7DEB2AEA" w14:textId="77777777">
      <w:r>
        <w:t xml:space="preserve">The CCQDER continues to collect, on a confidential basis, data needed in order to conduct CCQDER studies. Confidentiality provided to respondents is assured by adherence to Section </w:t>
      </w:r>
      <w:r>
        <w:t>308(d) of the Public Health Service Act (42 U.S.C. 242m) which states:</w:t>
      </w:r>
    </w:p>
    <w:p w:rsidR="0071791B" w:rsidP="0071791B" w14:paraId="41DA5AA1" w14:textId="77777777"/>
    <w:p w:rsidR="00602983" w:rsidP="0071791B" w14:paraId="62223A7B" w14:textId="70D3A3A2">
      <w:r>
        <w:t>“No information, if an establishment or person supplying the information or described in it is identifiable, obtained in the course of activities undertaken or supported under 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71791B" w:rsidP="0071791B" w14:paraId="57A51F55" w14:textId="73A1AC05"/>
    <w:p w:rsidR="0071791B" w:rsidP="0071791B" w14:paraId="2F02A00A" w14:textId="77777777">
      <w:r>
        <w:t>In addition, legislation covering confidentiality is provided according to the Confidential Information Protection and Statistical Efficiency Act or CIPSEA (44 U.S.C. 3561-3583), which states:</w:t>
      </w:r>
    </w:p>
    <w:p w:rsidR="0071791B" w:rsidP="0071791B" w14:paraId="7358BEE8" w14:textId="12C2659E">
      <w:r>
        <w:t>“Whoever,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p>
    <w:p w:rsidR="0071791B" w:rsidRPr="00405647" w:rsidP="0071791B" w14:paraId="7104E3A8" w14:textId="77777777">
      <w:pPr>
        <w:rPr>
          <w:color w:val="000000"/>
        </w:rPr>
      </w:pPr>
    </w:p>
    <w:p w:rsidR="00602983" w:rsidRPr="00405647" w:rsidP="00602983" w14:paraId="562A7618" w14:textId="77777777">
      <w:pPr>
        <w:widowControl/>
        <w:tabs>
          <w:tab w:val="left" w:pos="0"/>
        </w:tabs>
        <w:rPr>
          <w:b/>
          <w:u w:val="single"/>
        </w:rPr>
      </w:pPr>
      <w:r w:rsidRPr="00405647">
        <w:rPr>
          <w:b/>
          <w:bCs/>
          <w:u w:val="single"/>
        </w:rPr>
        <w:t>Confidentiality of responses and safeguarding of data at NCHS</w:t>
      </w:r>
    </w:p>
    <w:p w:rsidR="00602983" w:rsidRPr="00405647" w:rsidP="00602983" w14:paraId="360168C3" w14:textId="44E17D77">
      <w:pPr>
        <w:pStyle w:val="QuickFormat6"/>
        <w:widowControl/>
        <w:tabs>
          <w:tab w:val="left" w:pos="-324"/>
          <w:tab w:val="left" w:pos="0"/>
          <w:tab w:val="left" w:pos="3420"/>
        </w:tabs>
        <w:rPr>
          <w:rFonts w:ascii="Times New Roman" w:hAnsi="Times New Roman"/>
        </w:rPr>
      </w:pPr>
      <w:r w:rsidRPr="00405647">
        <w:rPr>
          <w:rFonts w:ascii="Times New Roman" w:hAnsi="Times New Roman"/>
        </w:rPr>
        <w:t>The CCQDER has a routine set of administrative, technical, and physical measures to safeguard confidentiality. Specific protocol for storage of confidential data, QDRL Lab, Q-video, Q-Notes, and Q-Bank access is described in CCQDER’s generic clearance package (OMB No. 0920-0222, exp. 01/31/2026)</w:t>
      </w:r>
      <w:r w:rsidR="00644FA5">
        <w:rPr>
          <w:rFonts w:ascii="Times New Roman" w:hAnsi="Times New Roman"/>
        </w:rPr>
        <w:t>.</w:t>
      </w:r>
    </w:p>
    <w:p w:rsidR="00602983" w:rsidRPr="00405647" w:rsidP="00602983" w14:paraId="6F1CC5D9" w14:textId="77777777">
      <w:pPr>
        <w:pStyle w:val="QuickFormat6"/>
        <w:widowControl/>
        <w:tabs>
          <w:tab w:val="left" w:pos="-324"/>
          <w:tab w:val="left" w:pos="0"/>
          <w:tab w:val="left" w:pos="3420"/>
        </w:tabs>
        <w:rPr>
          <w:rFonts w:ascii="Times New Roman" w:hAnsi="Times New Roman"/>
        </w:rPr>
      </w:pPr>
    </w:p>
    <w:p w:rsidR="00602983" w:rsidRPr="00405647" w:rsidP="00602983" w14:paraId="3DDEFAD6" w14:textId="192B94B9">
      <w:pPr>
        <w:contextualSpacing/>
        <w:rPr>
          <w:b/>
          <w:u w:val="single"/>
        </w:rPr>
      </w:pPr>
      <w:r w:rsidRPr="00405647">
        <w:rPr>
          <w:b/>
          <w:u w:val="single"/>
        </w:rPr>
        <w:t xml:space="preserve">Records Retention Schedule for </w:t>
      </w:r>
      <w:r w:rsidR="00267728">
        <w:rPr>
          <w:b/>
          <w:u w:val="single"/>
        </w:rPr>
        <w:t>Focus Groups</w:t>
      </w:r>
    </w:p>
    <w:p w:rsidR="00602983" w:rsidRPr="00405647" w:rsidP="00602983" w14:paraId="2E49B7E3" w14:textId="77777777">
      <w:pPr>
        <w:pStyle w:val="QuickFormat6"/>
        <w:widowControl/>
        <w:tabs>
          <w:tab w:val="left" w:pos="-324"/>
          <w:tab w:val="left" w:pos="0"/>
          <w:tab w:val="left" w:pos="3420"/>
        </w:tabs>
        <w:rPr>
          <w:rFonts w:ascii="Times New Roman" w:hAnsi="Times New Roman"/>
        </w:rPr>
      </w:pPr>
    </w:p>
    <w:p w:rsidR="00602983" w:rsidP="00602983" w14:paraId="3CF4F82C" w14:textId="19970E5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sidRPr="00405647">
        <w:t xml:space="preserve">Storage and retention of CCQDER data is guided by the CCQDER Data Storage and Access </w:t>
      </w:r>
      <w:r w:rsidR="004A4524">
        <w:t xml:space="preserve">Storage and retention of CCQDER data is guided by the CCQDER Data Storage and Access Policy which governs retention of interviews, their viewing audience, the data kept, and the length of time before retention of interviews is reassessed. The Data Storage and Access Policy has been approved by the NCHS ERB and is included in CCQDER’s generic OMB package. In accordance with this policy, data from the current project will be re-evaluated by the CCQDER Director to determine relevance, ongoing usefulness and qualitative value for likely use in question evaluation research after an initial retention </w:t>
      </w:r>
      <w:r w:rsidRPr="00267728" w:rsidR="004A4524">
        <w:t>period of 5</w:t>
      </w:r>
      <w:r w:rsidRPr="00267728" w:rsidR="00267728">
        <w:t xml:space="preserve"> </w:t>
      </w:r>
      <w:r w:rsidRPr="00267728" w:rsidR="004A4524">
        <w:t xml:space="preserve">years (see data retention policy). </w:t>
      </w:r>
      <w:r w:rsidR="00056747">
        <w:t>No respondent information for this study will be kept in the CCQDER database.</w:t>
      </w:r>
    </w:p>
    <w:p w:rsidR="00644FA5" w:rsidRPr="00405647" w:rsidP="00602983" w14:paraId="49E7F738"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rsidR="00602983" w:rsidRPr="00405647" w:rsidP="00602983" w14:paraId="1CE1881A" w14:textId="77777777">
      <w:pPr>
        <w:widowControl/>
        <w:tabs>
          <w:tab w:val="left" w:pos="0"/>
        </w:tabs>
        <w:ind w:left="720" w:hanging="720"/>
        <w:rPr>
          <w:b/>
          <w:bCs/>
        </w:rPr>
      </w:pPr>
    </w:p>
    <w:p w:rsidR="00602983" w:rsidRPr="00405647" w:rsidP="00602983" w14:paraId="132F184D" w14:textId="77777777">
      <w:pPr>
        <w:widowControl/>
        <w:tabs>
          <w:tab w:val="left" w:pos="0"/>
        </w:tabs>
        <w:ind w:left="720" w:hanging="720"/>
      </w:pPr>
      <w:r w:rsidRPr="00405647">
        <w:rPr>
          <w:b/>
          <w:bCs/>
        </w:rPr>
        <w:t>11.</w:t>
      </w:r>
      <w:r w:rsidRPr="00405647">
        <w:rPr>
          <w:b/>
          <w:bCs/>
        </w:rPr>
        <w:tab/>
        <w:t>Institutional Review Board (IRB) and Justification for Sensitive Questions</w:t>
      </w:r>
    </w:p>
    <w:p w:rsidR="00602983" w:rsidRPr="00405647" w:rsidP="00602983" w14:paraId="10C4070F" w14:textId="77777777">
      <w:pPr>
        <w:widowControl/>
        <w:tabs>
          <w:tab w:val="left" w:pos="0"/>
        </w:tabs>
      </w:pPr>
    </w:p>
    <w:p w:rsidR="004A4524" w:rsidP="004A4524" w14:paraId="45895829" w14:textId="2B72469A">
      <w:pPr>
        <w:widowControl/>
        <w:tabs>
          <w:tab w:val="left" w:pos="0"/>
        </w:tabs>
      </w:pPr>
      <w:r w:rsidRPr="00405647">
        <w:t xml:space="preserve">NCHS </w:t>
      </w:r>
      <w:r w:rsidR="00877531">
        <w:t>and CDC Institutional</w:t>
      </w:r>
      <w:r w:rsidRPr="00405647">
        <w:t xml:space="preserve"> Review Board (</w:t>
      </w:r>
      <w:r w:rsidR="00877531">
        <w:t>I</w:t>
      </w:r>
      <w:r w:rsidRPr="00405647">
        <w:t xml:space="preserve">RB) approved this data collection </w:t>
      </w:r>
      <w:r>
        <w:t xml:space="preserve">on </w:t>
      </w:r>
      <w:r w:rsidR="00ED1C9C">
        <w:t>August 5, 2024.</w:t>
      </w:r>
    </w:p>
    <w:p w:rsidR="004A4524" w:rsidP="004A4524" w14:paraId="41080618" w14:textId="77777777">
      <w:pPr>
        <w:widowControl/>
        <w:tabs>
          <w:tab w:val="left" w:pos="0"/>
        </w:tabs>
      </w:pPr>
    </w:p>
    <w:p w:rsidR="00602983" w:rsidRPr="00405647" w:rsidP="00602983" w14:paraId="7A997E7E" w14:textId="77777777">
      <w:pPr>
        <w:widowControl/>
        <w:autoSpaceDE/>
        <w:autoSpaceDN/>
        <w:adjustRightInd/>
        <w:rPr>
          <w:b/>
          <w:bCs/>
        </w:rPr>
      </w:pPr>
    </w:p>
    <w:p w:rsidR="00602983" w:rsidP="00602983" w14:paraId="6D96AA4C" w14:textId="11B0AE10">
      <w:pPr>
        <w:widowControl/>
        <w:tabs>
          <w:tab w:val="left" w:pos="0"/>
        </w:tabs>
        <w:rPr>
          <w:b/>
          <w:bCs/>
        </w:rPr>
      </w:pPr>
      <w:r w:rsidRPr="00405647">
        <w:rPr>
          <w:b/>
          <w:bCs/>
        </w:rPr>
        <w:t xml:space="preserve">12.  Estimates of Annualized Burden hours and costs </w:t>
      </w:r>
    </w:p>
    <w:p w:rsidR="00F2015F" w:rsidP="00602983" w14:paraId="52D91826" w14:textId="77777777">
      <w:pPr>
        <w:widowControl/>
        <w:tabs>
          <w:tab w:val="left" w:pos="0"/>
        </w:tabs>
        <w:rPr>
          <w:b/>
          <w:bCs/>
        </w:rPr>
      </w:pPr>
    </w:p>
    <w:p w:rsidR="00F2015F" w:rsidRPr="00F2015F" w:rsidP="00602983" w14:paraId="6EF1A89E" w14:textId="16F61E60">
      <w:pPr>
        <w:widowControl/>
        <w:tabs>
          <w:tab w:val="left" w:pos="0"/>
        </w:tabs>
      </w:pPr>
      <w:r w:rsidRPr="00F2015F">
        <w:t xml:space="preserve">In January 2023, OMB approved 71,925 total number of respondents and 21,450 total burden hours.  This </w:t>
      </w:r>
      <w:r w:rsidRPr="00F2015F">
        <w:t>GenIC</w:t>
      </w:r>
      <w:r w:rsidRPr="00F2015F">
        <w:t xml:space="preserve"> NCHS is requesting </w:t>
      </w:r>
      <w:r w:rsidR="006D6239">
        <w:t>40</w:t>
      </w:r>
      <w:r w:rsidRPr="00F2015F">
        <w:t xml:space="preserve"> respondents and </w:t>
      </w:r>
      <w:r w:rsidR="006D6239">
        <w:t>6</w:t>
      </w:r>
      <w:r w:rsidR="000F4A61">
        <w:t>0.1</w:t>
      </w:r>
      <w:r w:rsidRPr="00F2015F">
        <w:t xml:space="preserve"> burden hours.</w:t>
      </w:r>
    </w:p>
    <w:p w:rsidR="00602983" w:rsidRPr="00405647" w:rsidP="00602983" w14:paraId="2DA24DAC" w14:textId="77777777">
      <w:pPr>
        <w:pStyle w:val="HTMLPreformatted"/>
        <w:tabs>
          <w:tab w:val="left" w:pos="720"/>
        </w:tabs>
        <w:spacing w:line="360" w:lineRule="auto"/>
        <w:rPr>
          <w:sz w:val="24"/>
          <w:szCs w:val="24"/>
        </w:rPr>
      </w:pPr>
    </w:p>
    <w:p w:rsidR="00602983" w:rsidRPr="00405647" w:rsidP="00602983" w14:paraId="468A9DAB" w14:textId="034A521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u w:val="single"/>
        </w:rPr>
      </w:pPr>
      <w:r w:rsidRPr="0096674C">
        <w:rPr>
          <w:u w:val="single"/>
        </w:rPr>
        <w:t xml:space="preserve">Table </w:t>
      </w:r>
      <w:r w:rsidR="00B267B4">
        <w:rPr>
          <w:u w:val="single"/>
        </w:rPr>
        <w:t>1</w:t>
      </w:r>
      <w:r w:rsidRPr="0096674C">
        <w:rPr>
          <w:u w:val="single"/>
        </w:rPr>
        <w:t>:  Burden table for</w:t>
      </w:r>
      <w:r w:rsidR="000F4A61">
        <w:rPr>
          <w:u w:val="single"/>
        </w:rPr>
        <w:t xml:space="preserve"> Growth Chart Focus Groups</w:t>
      </w:r>
      <w:r w:rsidRPr="0096674C">
        <w:rPr>
          <w:u w:val="single"/>
        </w:rPr>
        <w:t>:</w:t>
      </w:r>
    </w:p>
    <w:p w:rsidR="00602983" w:rsidRPr="00405647" w:rsidP="00602983" w14:paraId="4ECF8F53" w14:textId="77777777">
      <w:pPr>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7"/>
        <w:gridCol w:w="1688"/>
        <w:gridCol w:w="2590"/>
        <w:gridCol w:w="1461"/>
        <w:gridCol w:w="1504"/>
      </w:tblGrid>
      <w:tr w14:paraId="6065C7E7" w14:textId="77777777" w:rsidTr="006D6239">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47" w:type="dxa"/>
            <w:shd w:val="clear" w:color="auto" w:fill="auto"/>
          </w:tcPr>
          <w:p w:rsidR="00602983" w:rsidRPr="00405647" w:rsidP="00043F1F" w14:paraId="0BBA33B4" w14:textId="77777777">
            <w:pPr>
              <w:rPr>
                <w:rFonts w:cs="Angsana New"/>
                <w:b/>
                <w:sz w:val="22"/>
                <w:szCs w:val="22"/>
              </w:rPr>
            </w:pPr>
            <w:r w:rsidRPr="00405647">
              <w:rPr>
                <w:rFonts w:cs="Angsana New"/>
                <w:b/>
                <w:sz w:val="22"/>
                <w:szCs w:val="22"/>
              </w:rPr>
              <w:t>Form Name</w:t>
            </w:r>
          </w:p>
        </w:tc>
        <w:tc>
          <w:tcPr>
            <w:tcW w:w="1688" w:type="dxa"/>
            <w:shd w:val="clear" w:color="auto" w:fill="auto"/>
          </w:tcPr>
          <w:p w:rsidR="00602983" w:rsidRPr="00405647" w:rsidP="00043F1F" w14:paraId="015E3DFC" w14:textId="77777777">
            <w:pPr>
              <w:rPr>
                <w:rFonts w:cs="Angsana New"/>
                <w:b/>
              </w:rPr>
            </w:pPr>
            <w:r w:rsidRPr="00405647">
              <w:rPr>
                <w:rFonts w:cs="Angsana New"/>
                <w:b/>
              </w:rPr>
              <w:t>Number of Participants</w:t>
            </w:r>
          </w:p>
        </w:tc>
        <w:tc>
          <w:tcPr>
            <w:tcW w:w="2590" w:type="dxa"/>
            <w:shd w:val="clear" w:color="auto" w:fill="auto"/>
          </w:tcPr>
          <w:p w:rsidR="00602983" w:rsidRPr="00405647" w:rsidP="00043F1F" w14:paraId="177CABDD" w14:textId="77777777">
            <w:pPr>
              <w:rPr>
                <w:rFonts w:cs="Angsana New"/>
                <w:b/>
              </w:rPr>
            </w:pPr>
            <w:r w:rsidRPr="00405647">
              <w:rPr>
                <w:rFonts w:cs="Angsana New"/>
                <w:b/>
              </w:rPr>
              <w:t>Number of Responses/Participants</w:t>
            </w:r>
          </w:p>
        </w:tc>
        <w:tc>
          <w:tcPr>
            <w:tcW w:w="1461" w:type="dxa"/>
            <w:shd w:val="clear" w:color="auto" w:fill="auto"/>
          </w:tcPr>
          <w:p w:rsidR="00602983" w:rsidRPr="00405647" w:rsidP="00043F1F" w14:paraId="24DA036C" w14:textId="77777777">
            <w:pPr>
              <w:rPr>
                <w:rFonts w:cs="Angsana New"/>
                <w:b/>
              </w:rPr>
            </w:pPr>
            <w:r w:rsidRPr="00405647">
              <w:rPr>
                <w:rFonts w:cs="Angsana New"/>
                <w:b/>
              </w:rPr>
              <w:t>Average hours per response</w:t>
            </w:r>
          </w:p>
        </w:tc>
        <w:tc>
          <w:tcPr>
            <w:tcW w:w="1504" w:type="dxa"/>
            <w:shd w:val="clear" w:color="auto" w:fill="auto"/>
          </w:tcPr>
          <w:p w:rsidR="00602983" w:rsidRPr="00405647" w:rsidP="00043F1F" w14:paraId="5AC205CF" w14:textId="77777777">
            <w:pPr>
              <w:rPr>
                <w:rFonts w:cs="Angsana New"/>
                <w:b/>
              </w:rPr>
            </w:pPr>
            <w:r w:rsidRPr="00405647">
              <w:rPr>
                <w:rFonts w:cs="Angsana New"/>
                <w:b/>
              </w:rPr>
              <w:t>Response Burden (in hours)</w:t>
            </w:r>
          </w:p>
        </w:tc>
      </w:tr>
      <w:tr w14:paraId="30F08CEB" w14:textId="77777777" w:rsidTr="006D6239">
        <w:tblPrEx>
          <w:tblW w:w="0" w:type="auto"/>
          <w:tblInd w:w="360" w:type="dxa"/>
          <w:tblLook w:val="04A0"/>
        </w:tblPrEx>
        <w:tc>
          <w:tcPr>
            <w:tcW w:w="1747" w:type="dxa"/>
            <w:shd w:val="clear" w:color="auto" w:fill="auto"/>
          </w:tcPr>
          <w:p w:rsidR="00602983" w:rsidRPr="00405647" w:rsidP="00043F1F" w14:paraId="2810F829" w14:textId="7FBC7AB3">
            <w:pPr>
              <w:rPr>
                <w:rFonts w:cs="Angsana New"/>
              </w:rPr>
            </w:pPr>
            <w:r>
              <w:rPr>
                <w:rFonts w:cs="Angsana New"/>
              </w:rPr>
              <w:t>Focus Group</w:t>
            </w:r>
          </w:p>
        </w:tc>
        <w:tc>
          <w:tcPr>
            <w:tcW w:w="1688" w:type="dxa"/>
            <w:shd w:val="clear" w:color="auto" w:fill="auto"/>
          </w:tcPr>
          <w:p w:rsidR="00602983" w:rsidRPr="00405647" w:rsidP="00043F1F" w14:paraId="2E0CFADD" w14:textId="39E4A88C">
            <w:pPr>
              <w:rPr>
                <w:rFonts w:cs="Angsana New"/>
              </w:rPr>
            </w:pPr>
            <w:r>
              <w:rPr>
                <w:rFonts w:cs="Angsana New"/>
              </w:rPr>
              <w:t>40</w:t>
            </w:r>
          </w:p>
        </w:tc>
        <w:tc>
          <w:tcPr>
            <w:tcW w:w="2590" w:type="dxa"/>
            <w:shd w:val="clear" w:color="auto" w:fill="auto"/>
          </w:tcPr>
          <w:p w:rsidR="00602983" w:rsidRPr="00405647" w:rsidP="00043F1F" w14:paraId="4300AC14" w14:textId="1422D5F5">
            <w:pPr>
              <w:rPr>
                <w:rFonts w:cs="Angsana New"/>
              </w:rPr>
            </w:pPr>
            <w:r>
              <w:rPr>
                <w:rFonts w:cs="Angsana New"/>
              </w:rPr>
              <w:t>1</w:t>
            </w:r>
          </w:p>
        </w:tc>
        <w:tc>
          <w:tcPr>
            <w:tcW w:w="1461" w:type="dxa"/>
            <w:shd w:val="clear" w:color="auto" w:fill="auto"/>
          </w:tcPr>
          <w:p w:rsidR="00602983" w:rsidRPr="00405647" w:rsidP="00043F1F" w14:paraId="0BD65329" w14:textId="6A7945F7">
            <w:pPr>
              <w:rPr>
                <w:rFonts w:cs="Angsana New"/>
              </w:rPr>
            </w:pPr>
            <w:r>
              <w:rPr>
                <w:rFonts w:cs="Angsana New"/>
              </w:rPr>
              <w:t>85/60</w:t>
            </w:r>
          </w:p>
        </w:tc>
        <w:tc>
          <w:tcPr>
            <w:tcW w:w="1504" w:type="dxa"/>
            <w:shd w:val="clear" w:color="auto" w:fill="auto"/>
          </w:tcPr>
          <w:p w:rsidR="00602983" w:rsidRPr="00405647" w:rsidP="00043F1F" w14:paraId="384101D8" w14:textId="2733C4F1">
            <w:pPr>
              <w:rPr>
                <w:rFonts w:cs="Angsana New"/>
              </w:rPr>
            </w:pPr>
            <w:r>
              <w:rPr>
                <w:rFonts w:cs="Angsana New"/>
              </w:rPr>
              <w:t>56.8</w:t>
            </w:r>
          </w:p>
        </w:tc>
      </w:tr>
      <w:tr w14:paraId="1998BBAA" w14:textId="77777777" w:rsidTr="006D6239">
        <w:tblPrEx>
          <w:tblW w:w="0" w:type="auto"/>
          <w:tblInd w:w="360" w:type="dxa"/>
          <w:tblLook w:val="04A0"/>
        </w:tblPrEx>
        <w:tc>
          <w:tcPr>
            <w:tcW w:w="1747" w:type="dxa"/>
            <w:shd w:val="clear" w:color="auto" w:fill="auto"/>
          </w:tcPr>
          <w:p w:rsidR="00602983" w:rsidRPr="00405647" w:rsidP="00043F1F" w14:paraId="175AD7DC" w14:textId="77777777">
            <w:pPr>
              <w:rPr>
                <w:rFonts w:cs="Angsana New"/>
              </w:rPr>
            </w:pPr>
            <w:r w:rsidRPr="00405647">
              <w:rPr>
                <w:rFonts w:cs="Angsana New"/>
              </w:rPr>
              <w:t xml:space="preserve">Respondent Data Collection Sheets </w:t>
            </w:r>
          </w:p>
        </w:tc>
        <w:tc>
          <w:tcPr>
            <w:tcW w:w="1688" w:type="dxa"/>
            <w:shd w:val="clear" w:color="auto" w:fill="auto"/>
          </w:tcPr>
          <w:p w:rsidR="00602983" w:rsidRPr="00405647" w:rsidP="00043F1F" w14:paraId="1317C726" w14:textId="59DE8F51">
            <w:pPr>
              <w:rPr>
                <w:rFonts w:cs="Angsana New"/>
              </w:rPr>
            </w:pPr>
            <w:r>
              <w:rPr>
                <w:rFonts w:cs="Angsana New"/>
              </w:rPr>
              <w:t>40</w:t>
            </w:r>
          </w:p>
        </w:tc>
        <w:tc>
          <w:tcPr>
            <w:tcW w:w="2590" w:type="dxa"/>
            <w:shd w:val="clear" w:color="auto" w:fill="auto"/>
          </w:tcPr>
          <w:p w:rsidR="00602983" w:rsidRPr="00405647" w:rsidP="00043F1F" w14:paraId="123FC770" w14:textId="1776DC57">
            <w:pPr>
              <w:rPr>
                <w:rFonts w:cs="Angsana New"/>
              </w:rPr>
            </w:pPr>
            <w:r>
              <w:rPr>
                <w:rFonts w:cs="Angsana New"/>
              </w:rPr>
              <w:t>1</w:t>
            </w:r>
          </w:p>
        </w:tc>
        <w:tc>
          <w:tcPr>
            <w:tcW w:w="1461" w:type="dxa"/>
            <w:shd w:val="clear" w:color="auto" w:fill="auto"/>
          </w:tcPr>
          <w:p w:rsidR="00602983" w:rsidRPr="00405647" w:rsidP="00043F1F" w14:paraId="33D2C3DE" w14:textId="260C91C7">
            <w:pPr>
              <w:rPr>
                <w:rFonts w:cs="Angsana New"/>
              </w:rPr>
            </w:pPr>
            <w:r>
              <w:rPr>
                <w:rFonts w:cs="Angsana New"/>
              </w:rPr>
              <w:t>5/60</w:t>
            </w:r>
          </w:p>
        </w:tc>
        <w:tc>
          <w:tcPr>
            <w:tcW w:w="1504" w:type="dxa"/>
            <w:shd w:val="clear" w:color="auto" w:fill="auto"/>
          </w:tcPr>
          <w:p w:rsidR="00602983" w:rsidRPr="00405647" w:rsidP="00043F1F" w14:paraId="37B0ED9F" w14:textId="78548C12">
            <w:pPr>
              <w:rPr>
                <w:rFonts w:cs="Angsana New"/>
              </w:rPr>
            </w:pPr>
            <w:r>
              <w:rPr>
                <w:rFonts w:cs="Angsana New"/>
              </w:rPr>
              <w:t>3.33</w:t>
            </w:r>
          </w:p>
        </w:tc>
      </w:tr>
      <w:tr w14:paraId="0147F6BD" w14:textId="77777777" w:rsidTr="006D6239">
        <w:tblPrEx>
          <w:tblW w:w="0" w:type="auto"/>
          <w:tblInd w:w="360" w:type="dxa"/>
          <w:tblLook w:val="04A0"/>
        </w:tblPrEx>
        <w:tc>
          <w:tcPr>
            <w:tcW w:w="1747" w:type="dxa"/>
            <w:shd w:val="clear" w:color="auto" w:fill="auto"/>
          </w:tcPr>
          <w:p w:rsidR="00602983" w:rsidRPr="00405647" w:rsidP="00043F1F" w14:paraId="13642680" w14:textId="77777777">
            <w:pPr>
              <w:rPr>
                <w:rFonts w:cs="Angsana New"/>
              </w:rPr>
            </w:pPr>
            <w:r w:rsidRPr="00405647">
              <w:rPr>
                <w:rFonts w:cs="Angsana New"/>
              </w:rPr>
              <w:t>Total</w:t>
            </w:r>
          </w:p>
        </w:tc>
        <w:tc>
          <w:tcPr>
            <w:tcW w:w="1688" w:type="dxa"/>
            <w:shd w:val="clear" w:color="auto" w:fill="auto"/>
          </w:tcPr>
          <w:p w:rsidR="00602983" w:rsidRPr="00405647" w:rsidP="00043F1F" w14:paraId="0425C9C1" w14:textId="5C899D46">
            <w:pPr>
              <w:rPr>
                <w:rFonts w:cs="Angsana New"/>
              </w:rPr>
            </w:pPr>
            <w:r>
              <w:rPr>
                <w:rFonts w:cs="Angsana New"/>
              </w:rPr>
              <w:t>40</w:t>
            </w:r>
          </w:p>
        </w:tc>
        <w:tc>
          <w:tcPr>
            <w:tcW w:w="2590" w:type="dxa"/>
            <w:shd w:val="clear" w:color="auto" w:fill="auto"/>
          </w:tcPr>
          <w:p w:rsidR="00602983" w:rsidRPr="00405647" w:rsidP="00043F1F" w14:paraId="38B9AF01" w14:textId="77777777">
            <w:pPr>
              <w:rPr>
                <w:rFonts w:cs="Angsana New"/>
              </w:rPr>
            </w:pPr>
          </w:p>
        </w:tc>
        <w:tc>
          <w:tcPr>
            <w:tcW w:w="1461" w:type="dxa"/>
            <w:shd w:val="clear" w:color="auto" w:fill="auto"/>
          </w:tcPr>
          <w:p w:rsidR="00602983" w:rsidRPr="00405647" w:rsidP="00043F1F" w14:paraId="467B948D" w14:textId="0E7D9BDF">
            <w:pPr>
              <w:rPr>
                <w:rFonts w:cs="Angsana New"/>
              </w:rPr>
            </w:pPr>
          </w:p>
        </w:tc>
        <w:tc>
          <w:tcPr>
            <w:tcW w:w="1504" w:type="dxa"/>
            <w:shd w:val="clear" w:color="auto" w:fill="auto"/>
          </w:tcPr>
          <w:p w:rsidR="00602983" w:rsidRPr="00EF37A9" w:rsidP="00043F1F" w14:paraId="0DFEC13D" w14:textId="55E1FFDA">
            <w:pPr>
              <w:rPr>
                <w:rFonts w:cs="Angsana New"/>
              </w:rPr>
            </w:pPr>
            <w:r>
              <w:rPr>
                <w:rFonts w:cs="Angsana New"/>
              </w:rPr>
              <w:t>60.1</w:t>
            </w:r>
          </w:p>
        </w:tc>
      </w:tr>
    </w:tbl>
    <w:p w:rsidR="00602983" w:rsidP="00602983" w14:paraId="40D15F44" w14:textId="77777777"/>
    <w:p w:rsidR="00755641" w14:paraId="2FD89FA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91F4F" w:rsidP="00B267B4" w14:paraId="54A14075" w14:textId="77777777">
      <w:r>
        <w:separator/>
      </w:r>
    </w:p>
  </w:footnote>
  <w:footnote w:type="continuationSeparator" w:id="1">
    <w:p w:rsidR="00991F4F" w:rsidP="00B267B4" w14:paraId="39483C16" w14:textId="77777777">
      <w:r>
        <w:continuationSeparator/>
      </w:r>
    </w:p>
  </w:footnote>
  <w:footnote w:id="2">
    <w:p w:rsidR="006350FA" w14:paraId="26F2957E" w14:textId="55C0FB2F">
      <w:pPr>
        <w:pStyle w:val="FootnoteText"/>
      </w:pPr>
      <w:r>
        <w:rPr>
          <w:rStyle w:val="FootnoteReference"/>
        </w:rPr>
        <w:footnoteRef/>
      </w:r>
      <w:r>
        <w:t xml:space="preserve"> </w:t>
      </w:r>
      <w:hyperlink r:id="rId1" w:tgtFrame="_blank" w:history="1">
        <w:r>
          <w:rPr>
            <w:rStyle w:val="normaltextrun"/>
            <w:rFonts w:ascii="Calibri" w:hAnsi="Calibri" w:cs="Calibri"/>
            <w:color w:val="0563C1"/>
            <w:u w:val="single"/>
          </w:rPr>
          <w:t>https://www.cdc.gov/growthcharts/extended-bmi.htm</w:t>
        </w:r>
      </w:hyperlink>
      <w:r>
        <w:rPr>
          <w:rStyle w:val="normaltextrun"/>
          <w:rFonts w:ascii="Calibri" w:hAnsi="Calibri" w:cs="Calibri"/>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5250178C"/>
    <w:multiLevelType w:val="hybridMultilevel"/>
    <w:tmpl w:val="E9DAFC52"/>
    <w:lvl w:ilvl="0">
      <w:start w:val="1"/>
      <w:numFmt w:val="upperLetter"/>
      <w:lvlText w:val="%1."/>
      <w:lvlJc w:val="left"/>
      <w:pPr>
        <w:ind w:left="720" w:hanging="360"/>
      </w:pPr>
      <w:rPr>
        <w:rFonts w:hint="default"/>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5527548">
    <w:abstractNumId w:val="0"/>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774717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83"/>
    <w:rsid w:val="00002DA0"/>
    <w:rsid w:val="000051F2"/>
    <w:rsid w:val="00043F1F"/>
    <w:rsid w:val="000534D8"/>
    <w:rsid w:val="00056747"/>
    <w:rsid w:val="00073F97"/>
    <w:rsid w:val="000F4A61"/>
    <w:rsid w:val="001140FF"/>
    <w:rsid w:val="00141062"/>
    <w:rsid w:val="001703B4"/>
    <w:rsid w:val="001A609E"/>
    <w:rsid w:val="001C356E"/>
    <w:rsid w:val="001E6C20"/>
    <w:rsid w:val="00267728"/>
    <w:rsid w:val="002E49B3"/>
    <w:rsid w:val="00321789"/>
    <w:rsid w:val="00391F6C"/>
    <w:rsid w:val="00405647"/>
    <w:rsid w:val="00406B58"/>
    <w:rsid w:val="00412AB4"/>
    <w:rsid w:val="00485F58"/>
    <w:rsid w:val="004A4524"/>
    <w:rsid w:val="004F3287"/>
    <w:rsid w:val="005409A5"/>
    <w:rsid w:val="00583D1E"/>
    <w:rsid w:val="00602983"/>
    <w:rsid w:val="006350FA"/>
    <w:rsid w:val="00640DAA"/>
    <w:rsid w:val="00644FA5"/>
    <w:rsid w:val="00656CEB"/>
    <w:rsid w:val="006D6239"/>
    <w:rsid w:val="006E13C5"/>
    <w:rsid w:val="00706AE3"/>
    <w:rsid w:val="0071791B"/>
    <w:rsid w:val="00721E0F"/>
    <w:rsid w:val="00755641"/>
    <w:rsid w:val="007A7068"/>
    <w:rsid w:val="008256EC"/>
    <w:rsid w:val="00836785"/>
    <w:rsid w:val="00877531"/>
    <w:rsid w:val="008A1F38"/>
    <w:rsid w:val="00926E80"/>
    <w:rsid w:val="0096674C"/>
    <w:rsid w:val="0097388F"/>
    <w:rsid w:val="0098381B"/>
    <w:rsid w:val="00991F4F"/>
    <w:rsid w:val="00A4000C"/>
    <w:rsid w:val="00A56A99"/>
    <w:rsid w:val="00AB7F14"/>
    <w:rsid w:val="00AD1559"/>
    <w:rsid w:val="00B267B4"/>
    <w:rsid w:val="00B305FA"/>
    <w:rsid w:val="00B45669"/>
    <w:rsid w:val="00B81F11"/>
    <w:rsid w:val="00C42AC1"/>
    <w:rsid w:val="00C71E7F"/>
    <w:rsid w:val="00CA3AC2"/>
    <w:rsid w:val="00CC484A"/>
    <w:rsid w:val="00DA09D4"/>
    <w:rsid w:val="00EA04DB"/>
    <w:rsid w:val="00ED1C9C"/>
    <w:rsid w:val="00EE0140"/>
    <w:rsid w:val="00EF37A9"/>
    <w:rsid w:val="00F2015F"/>
    <w:rsid w:val="00FD0B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423DA9"/>
  <w15:chartTrackingRefBased/>
  <w15:docId w15:val="{7EBAA69C-48D7-4EC0-A0E7-24307D07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983"/>
    <w:pPr>
      <w:widowControl w:val="0"/>
      <w:autoSpaceDE w:val="0"/>
      <w:autoSpaceDN w:val="0"/>
      <w:adjustRightInd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602983"/>
    <w:pPr>
      <w:autoSpaceDE w:val="0"/>
      <w:autoSpaceDN w:val="0"/>
      <w:adjustRightInd w:val="0"/>
    </w:pPr>
    <w:rPr>
      <w:rFonts w:ascii="Arial" w:eastAsia="Times New Roman" w:hAnsi="Arial" w:cs="Times New Roman"/>
      <w:sz w:val="24"/>
      <w:szCs w:val="24"/>
    </w:rPr>
  </w:style>
  <w:style w:type="paragraph" w:styleId="HTMLPreformatted">
    <w:name w:val="HTML Preformatted"/>
    <w:basedOn w:val="Normal"/>
    <w:link w:val="HTMLPreformattedChar"/>
    <w:rsid w:val="006029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602983"/>
    <w:rPr>
      <w:rFonts w:ascii="Courier New" w:eastAsia="Times New Roman" w:hAnsi="Courier New" w:cs="Courier New"/>
      <w:sz w:val="20"/>
      <w:szCs w:val="20"/>
    </w:rPr>
  </w:style>
  <w:style w:type="paragraph" w:customStyle="1" w:styleId="QuickFormat6">
    <w:name w:val="QuickFormat6"/>
    <w:basedOn w:val="Normal"/>
    <w:rsid w:val="00602983"/>
    <w:rPr>
      <w:rFonts w:ascii="Courier" w:hAnsi="Courier"/>
      <w:color w:val="000000"/>
    </w:rPr>
  </w:style>
  <w:style w:type="character" w:styleId="CommentReference">
    <w:name w:val="annotation reference"/>
    <w:basedOn w:val="DefaultParagraphFont"/>
    <w:uiPriority w:val="99"/>
    <w:semiHidden/>
    <w:unhideWhenUsed/>
    <w:rsid w:val="00602983"/>
    <w:rPr>
      <w:sz w:val="16"/>
      <w:szCs w:val="16"/>
    </w:rPr>
  </w:style>
  <w:style w:type="paragraph" w:styleId="CommentText">
    <w:name w:val="annotation text"/>
    <w:basedOn w:val="Normal"/>
    <w:link w:val="CommentTextChar"/>
    <w:uiPriority w:val="99"/>
    <w:unhideWhenUsed/>
    <w:rsid w:val="00602983"/>
    <w:rPr>
      <w:sz w:val="20"/>
      <w:szCs w:val="20"/>
    </w:rPr>
  </w:style>
  <w:style w:type="character" w:customStyle="1" w:styleId="CommentTextChar">
    <w:name w:val="Comment Text Char"/>
    <w:basedOn w:val="DefaultParagraphFont"/>
    <w:link w:val="CommentText"/>
    <w:uiPriority w:val="99"/>
    <w:rsid w:val="00602983"/>
    <w:rPr>
      <w:rFonts w:ascii="Times New Roman" w:eastAsia="Times New Roman" w:hAnsi="Times New Roman" w:cs="Times New Roman"/>
      <w:sz w:val="20"/>
      <w:szCs w:val="20"/>
    </w:rPr>
  </w:style>
  <w:style w:type="paragraph" w:styleId="ListParagraph">
    <w:name w:val="List Paragraph"/>
    <w:basedOn w:val="Normal"/>
    <w:uiPriority w:val="34"/>
    <w:qFormat/>
    <w:rsid w:val="00602983"/>
    <w:pPr>
      <w:widowControl/>
      <w:autoSpaceDE/>
      <w:autoSpaceDN/>
      <w:adjustRightInd/>
      <w:ind w:left="720"/>
      <w:contextualSpacing/>
    </w:pPr>
    <w:rPr>
      <w:rFonts w:eastAsiaTheme="minorHAnsi"/>
      <w:lang w:eastAsia="zh-TW"/>
    </w:rPr>
  </w:style>
  <w:style w:type="paragraph" w:customStyle="1" w:styleId="Level1">
    <w:name w:val="Level 1"/>
    <w:basedOn w:val="Normal"/>
    <w:rsid w:val="00602983"/>
    <w:pPr>
      <w:numPr>
        <w:numId w:val="1"/>
      </w:numPr>
      <w:ind w:left="720" w:hanging="720"/>
      <w:outlineLvl w:val="0"/>
    </w:pPr>
  </w:style>
  <w:style w:type="paragraph" w:styleId="CommentSubject">
    <w:name w:val="annotation subject"/>
    <w:basedOn w:val="CommentText"/>
    <w:next w:val="CommentText"/>
    <w:link w:val="CommentSubjectChar"/>
    <w:uiPriority w:val="99"/>
    <w:semiHidden/>
    <w:unhideWhenUsed/>
    <w:rsid w:val="000051F2"/>
    <w:rPr>
      <w:b/>
      <w:bCs/>
    </w:rPr>
  </w:style>
  <w:style w:type="character" w:customStyle="1" w:styleId="CommentSubjectChar">
    <w:name w:val="Comment Subject Char"/>
    <w:basedOn w:val="CommentTextChar"/>
    <w:link w:val="CommentSubject"/>
    <w:uiPriority w:val="99"/>
    <w:semiHidden/>
    <w:rsid w:val="000051F2"/>
    <w:rPr>
      <w:rFonts w:ascii="Times New Roman" w:eastAsia="Times New Roman" w:hAnsi="Times New Roman" w:cs="Times New Roman"/>
      <w:b/>
      <w:bCs/>
      <w:sz w:val="20"/>
      <w:szCs w:val="20"/>
    </w:rPr>
  </w:style>
  <w:style w:type="paragraph" w:styleId="Revision">
    <w:name w:val="Revision"/>
    <w:hidden/>
    <w:uiPriority w:val="99"/>
    <w:semiHidden/>
    <w:rsid w:val="00EA04DB"/>
    <w:rPr>
      <w:rFonts w:ascii="Times New Roman" w:eastAsia="Times New Roman" w:hAnsi="Times New Roman" w:cs="Times New Roman"/>
      <w:sz w:val="24"/>
      <w:szCs w:val="24"/>
    </w:rPr>
  </w:style>
  <w:style w:type="character" w:customStyle="1" w:styleId="normaltextrun">
    <w:name w:val="normaltextrun"/>
    <w:basedOn w:val="DefaultParagraphFont"/>
    <w:rsid w:val="00706AE3"/>
  </w:style>
  <w:style w:type="paragraph" w:styleId="Header">
    <w:name w:val="header"/>
    <w:basedOn w:val="Normal"/>
    <w:link w:val="HeaderChar"/>
    <w:uiPriority w:val="99"/>
    <w:unhideWhenUsed/>
    <w:rsid w:val="00B267B4"/>
    <w:pPr>
      <w:tabs>
        <w:tab w:val="center" w:pos="4680"/>
        <w:tab w:val="right" w:pos="9360"/>
      </w:tabs>
    </w:pPr>
  </w:style>
  <w:style w:type="character" w:customStyle="1" w:styleId="HeaderChar">
    <w:name w:val="Header Char"/>
    <w:basedOn w:val="DefaultParagraphFont"/>
    <w:link w:val="Header"/>
    <w:uiPriority w:val="99"/>
    <w:rsid w:val="00B267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67B4"/>
    <w:pPr>
      <w:tabs>
        <w:tab w:val="center" w:pos="4680"/>
        <w:tab w:val="right" w:pos="9360"/>
      </w:tabs>
    </w:pPr>
  </w:style>
  <w:style w:type="character" w:customStyle="1" w:styleId="FooterChar">
    <w:name w:val="Footer Char"/>
    <w:basedOn w:val="DefaultParagraphFont"/>
    <w:link w:val="Footer"/>
    <w:uiPriority w:val="99"/>
    <w:rsid w:val="00B267B4"/>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350FA"/>
    <w:rPr>
      <w:sz w:val="20"/>
      <w:szCs w:val="20"/>
    </w:rPr>
  </w:style>
  <w:style w:type="character" w:customStyle="1" w:styleId="FootnoteTextChar">
    <w:name w:val="Footnote Text Char"/>
    <w:basedOn w:val="DefaultParagraphFont"/>
    <w:link w:val="FootnoteText"/>
    <w:uiPriority w:val="99"/>
    <w:semiHidden/>
    <w:rsid w:val="006350F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350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cdc.gov/growthcharts/extended-bmi.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75E60-AF23-D94F-B7A0-702CD4AFA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Willson, Stephanie (CDC/IOD/OPHDST/NCHS)</dc:creator>
  <cp:lastModifiedBy>Summer King</cp:lastModifiedBy>
  <cp:revision>8</cp:revision>
  <dcterms:created xsi:type="dcterms:W3CDTF">2024-08-07T17:46:00Z</dcterms:created>
  <dcterms:modified xsi:type="dcterms:W3CDTF">2024-08-28T14:39:00Z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1a3df457-128e-49ed-b84e-55f79a318346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2023-11-07T19:53:07Z</vt:lpwstr>
  </property>
  <property fmtid="{D5CDD505-2E9C-101B-9397-08002B2CF9AE}" pid="8" name="MSIP_Label_7b94a7b8-f06c-4dfe-bdcc-9b548fd58c31_SiteId">
    <vt:lpwstr>9ce70869-60db-44fd-abe8-d2767077fc8f</vt:lpwstr>
  </property>
</Properties>
</file>