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2983" w:rsidRPr="00EB6670" w:rsidP="00602983" w14:paraId="2BE53891" w14:textId="77777777">
      <w:pPr>
        <w:pStyle w:val="Style0"/>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r w:rsidRPr="00EB6670">
        <w:rPr>
          <w:rFonts w:ascii="Times New Roman" w:hAnsi="Times New Roman"/>
          <w:color w:val="000000"/>
          <w:sz w:val="36"/>
          <w:szCs w:val="36"/>
        </w:rPr>
        <w:t>Supporting Statement A for Request for Clearance:</w:t>
      </w:r>
    </w:p>
    <w:p w:rsidR="00602983" w:rsidRPr="00EB6670" w:rsidP="00602983" w14:paraId="13B7D7B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r w:rsidRPr="00EB6670">
        <w:rPr>
          <w:rFonts w:ascii="Times New Roman" w:hAnsi="Times New Roman"/>
          <w:b/>
          <w:color w:val="000000"/>
          <w:sz w:val="36"/>
          <w:szCs w:val="36"/>
        </w:rPr>
        <w:t>COLLABORATING CENTER FOR QUESTIONNAIRE DESIGN AND EVALUATION RESEARCH</w:t>
      </w:r>
    </w:p>
    <w:p w:rsidR="00602983" w:rsidRPr="00EB6670" w:rsidP="00602983" w14:paraId="0EDA399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p>
    <w:p w:rsidR="00602983" w:rsidRPr="00EB6670" w:rsidP="00602983" w14:paraId="64DFB6E8" w14:textId="02BDC48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sz w:val="36"/>
          <w:szCs w:val="36"/>
        </w:rPr>
      </w:pPr>
      <w:r w:rsidRPr="00EB6670">
        <w:rPr>
          <w:rFonts w:ascii="Times New Roman" w:hAnsi="Times New Roman"/>
          <w:b/>
          <w:bCs/>
          <w:sz w:val="36"/>
          <w:szCs w:val="36"/>
        </w:rPr>
        <w:t xml:space="preserve">Questions </w:t>
      </w:r>
      <w:r w:rsidRPr="00EB6670" w:rsidR="001D5800">
        <w:rPr>
          <w:rFonts w:ascii="Times New Roman" w:hAnsi="Times New Roman"/>
          <w:b/>
          <w:bCs/>
          <w:sz w:val="36"/>
          <w:szCs w:val="36"/>
        </w:rPr>
        <w:t>to Identify People with</w:t>
      </w:r>
      <w:r w:rsidRPr="00EB6670">
        <w:rPr>
          <w:rFonts w:ascii="Times New Roman" w:hAnsi="Times New Roman"/>
          <w:b/>
          <w:bCs/>
          <w:sz w:val="36"/>
          <w:szCs w:val="36"/>
        </w:rPr>
        <w:t xml:space="preserve"> </w:t>
      </w:r>
      <w:r w:rsidRPr="00EB6670" w:rsidR="0006359F">
        <w:rPr>
          <w:rFonts w:ascii="Times New Roman" w:hAnsi="Times New Roman"/>
          <w:b/>
          <w:bCs/>
          <w:sz w:val="36"/>
          <w:szCs w:val="36"/>
        </w:rPr>
        <w:t>Intellectual and Developmental Disabilities</w:t>
      </w:r>
      <w:r w:rsidRPr="00EB6670" w:rsidR="001D5800">
        <w:rPr>
          <w:rFonts w:ascii="Times New Roman" w:hAnsi="Times New Roman"/>
          <w:b/>
          <w:bCs/>
          <w:sz w:val="36"/>
          <w:szCs w:val="36"/>
        </w:rPr>
        <w:t xml:space="preserve"> at Point-of-Care Settings</w:t>
      </w:r>
    </w:p>
    <w:p w:rsidR="00602983" w:rsidRPr="00EB6670" w:rsidP="00602983" w14:paraId="7578E1CE" w14:textId="60C66E2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p>
    <w:p w:rsidR="00602983" w:rsidRPr="00EB6670" w:rsidP="00602983" w14:paraId="397BA1E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36"/>
          <w:szCs w:val="36"/>
        </w:rPr>
      </w:pPr>
      <w:r w:rsidRPr="00EB6670">
        <w:rPr>
          <w:rFonts w:ascii="Times New Roman" w:hAnsi="Times New Roman"/>
          <w:color w:val="000000"/>
          <w:sz w:val="36"/>
          <w:szCs w:val="36"/>
        </w:rPr>
        <w:t>OMB No. 0920-0222</w:t>
      </w:r>
    </w:p>
    <w:p w:rsidR="00602983" w:rsidRPr="00EB6670" w:rsidP="00602983" w14:paraId="56FE334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Expiration Date: 01/31/2026</w:t>
      </w:r>
    </w:p>
    <w:p w:rsidR="00602983" w:rsidRPr="00EB6670" w:rsidP="00602983" w14:paraId="7102961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602983" w:rsidRPr="00EB6670" w:rsidP="00602983" w14:paraId="0B43F18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Contact Information:</w:t>
      </w:r>
    </w:p>
    <w:p w:rsidR="00602983" w:rsidRPr="00EB6670" w:rsidP="00602983" w14:paraId="4894A7E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602983" w:rsidRPr="00EB6670" w:rsidP="00602983" w14:paraId="09FADC3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 xml:space="preserve">Amanda Titus </w:t>
      </w:r>
    </w:p>
    <w:p w:rsidR="00602983" w:rsidRPr="00EB6670" w:rsidP="00602983" w14:paraId="77DE9E1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Behavioral Scientist, Collaborating Center for Questionnaire Design and Evaluation Research</w:t>
      </w:r>
    </w:p>
    <w:p w:rsidR="00602983" w:rsidRPr="00EB6670" w:rsidP="00602983" w14:paraId="3262D09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Division of Research and Methodology</w:t>
      </w:r>
    </w:p>
    <w:p w:rsidR="00602983" w:rsidRPr="00EB6670" w:rsidP="00602983" w14:paraId="13E8DF3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National Center for Health Statistics/CDC</w:t>
      </w:r>
    </w:p>
    <w:p w:rsidR="00602983" w:rsidRPr="00EB6670" w:rsidP="00602983" w14:paraId="67C8EB5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3311 Toledo Road, Room 5451</w:t>
      </w:r>
    </w:p>
    <w:p w:rsidR="00602983" w:rsidRPr="00EB6670" w:rsidP="00602983" w14:paraId="21F9740D"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Hyattsville, MD  20782</w:t>
      </w:r>
    </w:p>
    <w:p w:rsidR="00602983" w:rsidRPr="00EB6670" w:rsidP="00602983" w14:paraId="79E5CB78"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r w:rsidRPr="00EB6670">
        <w:rPr>
          <w:rFonts w:ascii="Times New Roman" w:hAnsi="Times New Roman"/>
          <w:color w:val="000000"/>
          <w:sz w:val="28"/>
          <w:szCs w:val="28"/>
        </w:rPr>
        <w:t>301-458-4579</w:t>
      </w:r>
    </w:p>
    <w:p w:rsidR="00602983" w:rsidRPr="00EB6670" w:rsidP="00602983" w14:paraId="7FBBB5F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u w:val="single"/>
        </w:rPr>
      </w:pPr>
      <w:r w:rsidRPr="00EB6670">
        <w:rPr>
          <w:rFonts w:ascii="Times New Roman" w:hAnsi="Times New Roman"/>
          <w:color w:val="000000"/>
          <w:sz w:val="28"/>
          <w:szCs w:val="28"/>
          <w:u w:val="single"/>
        </w:rPr>
        <w:t>atitus@cdc.gov</w:t>
      </w:r>
    </w:p>
    <w:p w:rsidR="00602983" w:rsidRPr="00EB6670" w:rsidP="00602983" w14:paraId="5F41FE2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u w:val="single"/>
        </w:rPr>
      </w:pPr>
    </w:p>
    <w:p w:rsidR="00602983" w:rsidRPr="00EB6670" w:rsidP="00602983" w14:paraId="01BF39F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602983" w:rsidRPr="00EB6670" w:rsidP="00602983" w14:paraId="20207E5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sz w:val="28"/>
          <w:szCs w:val="28"/>
        </w:rPr>
      </w:pPr>
    </w:p>
    <w:p w:rsidR="00602983" w:rsidRPr="00EB6670" w:rsidP="001A46AA" w14:paraId="56338EDB" w14:textId="226B5CF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EB6670">
        <w:rPr>
          <w:rFonts w:ascii="Times New Roman" w:hAnsi="Times New Roman"/>
          <w:color w:val="000000"/>
          <w:sz w:val="28"/>
          <w:szCs w:val="28"/>
        </w:rPr>
        <w:t>3</w:t>
      </w:r>
      <w:r w:rsidRPr="00EB6670" w:rsidR="001D5800">
        <w:rPr>
          <w:rFonts w:ascii="Times New Roman" w:hAnsi="Times New Roman"/>
          <w:color w:val="000000"/>
          <w:sz w:val="28"/>
          <w:szCs w:val="28"/>
        </w:rPr>
        <w:t>/</w:t>
      </w:r>
      <w:r w:rsidR="00E93DFC">
        <w:rPr>
          <w:rFonts w:ascii="Times New Roman" w:hAnsi="Times New Roman"/>
          <w:color w:val="000000"/>
          <w:sz w:val="28"/>
          <w:szCs w:val="28"/>
        </w:rPr>
        <w:t>24</w:t>
      </w:r>
      <w:r w:rsidRPr="00EB6670" w:rsidR="001A46AA">
        <w:rPr>
          <w:rFonts w:ascii="Times New Roman" w:hAnsi="Times New Roman"/>
          <w:color w:val="000000"/>
          <w:sz w:val="28"/>
          <w:szCs w:val="28"/>
        </w:rPr>
        <w:t>/202</w:t>
      </w:r>
      <w:r w:rsidRPr="00EB6670" w:rsidR="001D5800">
        <w:rPr>
          <w:rFonts w:ascii="Times New Roman" w:hAnsi="Times New Roman"/>
          <w:color w:val="000000"/>
          <w:sz w:val="28"/>
          <w:szCs w:val="28"/>
        </w:rPr>
        <w:t>5</w:t>
      </w:r>
    </w:p>
    <w:p w:rsidR="00602983" w:rsidRPr="00EB6670" w:rsidP="00602983" w14:paraId="12FC388F" w14:textId="77777777"/>
    <w:p w:rsidR="00602983" w:rsidRPr="00EB6670" w:rsidP="00602983" w14:paraId="711286FC" w14:textId="77777777"/>
    <w:p w:rsidR="00602983" w:rsidRPr="00EB6670" w:rsidP="00602983" w14:paraId="6ED164DC" w14:textId="77777777"/>
    <w:p w:rsidR="00602983" w:rsidRPr="00EB6670" w:rsidP="00602983" w14:paraId="72173ABD" w14:textId="77777777"/>
    <w:p w:rsidR="00602983" w:rsidRPr="00EB6670" w:rsidP="00602983" w14:paraId="00355761" w14:textId="77777777"/>
    <w:p w:rsidR="00D66E1D" w:rsidRPr="00EB6670" w:rsidP="00602983" w14:paraId="743CF9B0" w14:textId="77777777"/>
    <w:p w:rsidR="00D66E1D" w:rsidRPr="00EB6670" w:rsidP="00602983" w14:paraId="5C6EF931" w14:textId="77777777"/>
    <w:p w:rsidR="00602983" w:rsidRPr="00EB6670" w:rsidP="00602983" w14:paraId="1965DB50" w14:textId="77777777"/>
    <w:p w:rsidR="00602983" w:rsidRPr="00EB6670" w:rsidP="00602983" w14:paraId="739B52F1" w14:textId="77777777"/>
    <w:p w:rsidR="00CE6F6E" w:rsidRPr="00EB6670" w:rsidP="00602983" w14:paraId="51800C42" w14:textId="77777777"/>
    <w:p w:rsidR="00CE6F6E" w:rsidRPr="00EB6670" w:rsidP="00602983" w14:paraId="501573BD" w14:textId="77777777"/>
    <w:p w:rsidR="00CE6F6E" w:rsidRPr="00EB6670" w:rsidP="00602983" w14:paraId="1B804E79" w14:textId="77777777"/>
    <w:p w:rsidR="00CE6F6E" w:rsidRPr="00EB6670" w:rsidP="00602983" w14:paraId="0EF6D3D5" w14:textId="77777777"/>
    <w:p w:rsidR="00CE6F6E" w:rsidRPr="00EB6670" w:rsidP="00602983" w14:paraId="00FC4DA4" w14:textId="77777777"/>
    <w:p w:rsidR="00CE6F6E" w:rsidRPr="00EB6670" w:rsidP="00602983" w14:paraId="7B43AB37" w14:textId="77777777"/>
    <w:p w:rsidR="00602983" w:rsidRPr="00EB6670" w:rsidP="00602983" w14:paraId="28C9EFAE" w14:textId="77777777">
      <w:pPr>
        <w:widowControl/>
        <w:autoSpaceDE/>
        <w:autoSpaceDN/>
        <w:adjustRightInd/>
        <w:rPr>
          <w:b/>
          <w:bCs/>
        </w:rPr>
      </w:pPr>
    </w:p>
    <w:p w:rsidR="00602983" w:rsidRPr="00EB6670" w:rsidP="00602983" w14:paraId="280AF651" w14:textId="43485DAD">
      <w:pPr>
        <w:widowControl/>
        <w:autoSpaceDE/>
        <w:autoSpaceDN/>
        <w:adjustRightInd/>
        <w:rPr>
          <w:b/>
          <w:color w:val="000000"/>
        </w:rPr>
      </w:pPr>
      <w:r w:rsidRPr="00EB6670">
        <w:rPr>
          <w:b/>
          <w:color w:val="000000"/>
        </w:rPr>
        <w:t>Table of Contents</w:t>
      </w:r>
    </w:p>
    <w:p w:rsidR="00602983" w:rsidRPr="00EB6670" w:rsidP="00602983" w14:paraId="4798464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rsidR="00602983" w:rsidRPr="00EB6670" w:rsidP="00602983" w14:paraId="37CD3596" w14:textId="77777777">
      <w:pPr>
        <w:pStyle w:val="Style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u w:val="single"/>
        </w:rPr>
      </w:pPr>
      <w:r w:rsidRPr="00EB6670">
        <w:rPr>
          <w:rFonts w:ascii="Times New Roman" w:hAnsi="Times New Roman"/>
          <w:color w:val="000000"/>
          <w:u w:val="single"/>
        </w:rPr>
        <w:t>Justification</w:t>
      </w:r>
    </w:p>
    <w:p w:rsidR="00602983" w:rsidRPr="00EB6670" w:rsidP="00602983" w14:paraId="568D97E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180"/>
        </w:tabs>
        <w:rPr>
          <w:rFonts w:ascii="Times New Roman" w:hAnsi="Times New Roman"/>
          <w:color w:val="000000"/>
        </w:rPr>
      </w:pPr>
    </w:p>
    <w:p w:rsidR="00602983" w:rsidRPr="00EB6670" w:rsidP="00602983" w14:paraId="11086B28" w14:textId="1D35C28A">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EB6670">
        <w:rPr>
          <w:rFonts w:ascii="Times New Roman" w:hAnsi="Times New Roman"/>
          <w:color w:val="000000"/>
        </w:rPr>
        <w:t>A.1.</w:t>
      </w:r>
      <w:r w:rsidRPr="00EB6670">
        <w:rPr>
          <w:rFonts w:ascii="Times New Roman" w:hAnsi="Times New Roman"/>
          <w:color w:val="000000"/>
        </w:rPr>
        <w:tab/>
        <w:t>Circumstance Making the Collection of Information Necessary</w:t>
      </w:r>
      <w:r w:rsidRPr="00EB6670">
        <w:rPr>
          <w:rFonts w:ascii="Times New Roman" w:hAnsi="Times New Roman"/>
          <w:color w:val="000000"/>
        </w:rPr>
        <w:tab/>
      </w:r>
      <w:r w:rsidRPr="00EB6670" w:rsidR="002B619B">
        <w:rPr>
          <w:rFonts w:ascii="Times New Roman" w:hAnsi="Times New Roman"/>
          <w:color w:val="000000"/>
        </w:rPr>
        <w:t>1</w:t>
      </w:r>
    </w:p>
    <w:p w:rsidR="00602983" w:rsidRPr="00EB6670" w:rsidP="00602983" w14:paraId="0B039DE6" w14:textId="47C944F7">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EB6670">
        <w:rPr>
          <w:rFonts w:ascii="Times New Roman" w:hAnsi="Times New Roman"/>
          <w:color w:val="000000"/>
        </w:rPr>
        <w:t>A.2.</w:t>
      </w:r>
      <w:r w:rsidRPr="00EB6670">
        <w:rPr>
          <w:rFonts w:ascii="Times New Roman" w:hAnsi="Times New Roman"/>
          <w:color w:val="000000"/>
        </w:rPr>
        <w:tab/>
        <w:t>Purpose and Use of Information Collection</w:t>
      </w:r>
      <w:r w:rsidRPr="00EB6670">
        <w:rPr>
          <w:rFonts w:ascii="Times New Roman" w:hAnsi="Times New Roman"/>
          <w:color w:val="000000"/>
        </w:rPr>
        <w:tab/>
      </w:r>
      <w:r w:rsidRPr="00EB6670" w:rsidR="002B619B">
        <w:rPr>
          <w:rFonts w:ascii="Times New Roman" w:hAnsi="Times New Roman"/>
          <w:color w:val="000000"/>
        </w:rPr>
        <w:t>1</w:t>
      </w:r>
    </w:p>
    <w:p w:rsidR="000745C8" w:rsidRPr="00EB6670" w:rsidP="00602983" w14:paraId="112F37AF" w14:textId="7F8638F0">
      <w:pPr>
        <w:pStyle w:val="Style0"/>
        <w:tabs>
          <w:tab w:val="left" w:pos="720"/>
          <w:tab w:val="left" w:pos="1440"/>
          <w:tab w:val="left" w:pos="2160"/>
          <w:tab w:val="left" w:pos="2880"/>
          <w:tab w:val="left" w:pos="3600"/>
          <w:tab w:val="right" w:leader="dot" w:pos="9180"/>
        </w:tabs>
        <w:rPr>
          <w:rFonts w:ascii="Times New Roman" w:hAnsi="Times New Roman"/>
          <w:color w:val="000000"/>
        </w:rPr>
      </w:pPr>
      <w:r w:rsidRPr="00EB6670">
        <w:rPr>
          <w:rFonts w:ascii="Times New Roman" w:hAnsi="Times New Roman"/>
          <w:color w:val="000000"/>
        </w:rPr>
        <w:t>A.9.</w:t>
      </w:r>
      <w:r w:rsidRPr="00EB6670">
        <w:rPr>
          <w:rFonts w:ascii="Times New Roman" w:hAnsi="Times New Roman"/>
          <w:color w:val="000000"/>
        </w:rPr>
        <w:tab/>
        <w:t>Explanation of Any Payment of Gift to Respondents………………………….…….… 2</w:t>
      </w:r>
    </w:p>
    <w:p w:rsidR="00602983" w:rsidRPr="00EB6670" w:rsidP="00602983" w14:paraId="24CD3528" w14:textId="77777777">
      <w:pPr>
        <w:pStyle w:val="Style0"/>
        <w:tabs>
          <w:tab w:val="left" w:pos="720"/>
          <w:tab w:val="left" w:pos="1440"/>
          <w:tab w:val="left" w:pos="2160"/>
          <w:tab w:val="left" w:pos="2880"/>
          <w:tab w:val="left" w:pos="3600"/>
          <w:tab w:val="right" w:leader="dot" w:pos="9180"/>
        </w:tabs>
        <w:rPr>
          <w:rFonts w:ascii="Times New Roman" w:hAnsi="Times New Roman"/>
          <w:bCs/>
        </w:rPr>
      </w:pPr>
      <w:r w:rsidRPr="00EB6670">
        <w:rPr>
          <w:rFonts w:ascii="Times New Roman" w:hAnsi="Times New Roman"/>
          <w:bCs/>
        </w:rPr>
        <w:t>A.10.</w:t>
      </w:r>
      <w:r w:rsidRPr="00EB6670">
        <w:rPr>
          <w:rFonts w:ascii="Times New Roman" w:hAnsi="Times New Roman"/>
          <w:bCs/>
        </w:rPr>
        <w:tab/>
        <w:t xml:space="preserve">Protection of the Privacy and Confidentiality of Information Provided </w:t>
      </w:r>
    </w:p>
    <w:p w:rsidR="000745C8" w:rsidRPr="00EB6670" w:rsidP="00602983" w14:paraId="5ECB3E2F" w14:textId="070350CD">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EB6670">
        <w:rPr>
          <w:rFonts w:ascii="Times New Roman" w:hAnsi="Times New Roman"/>
          <w:bCs/>
        </w:rPr>
        <w:tab/>
        <w:t>by Respondents…………………………………………….</w:t>
      </w:r>
      <w:r w:rsidRPr="00EB6670">
        <w:rPr>
          <w:rFonts w:ascii="Times New Roman" w:hAnsi="Times New Roman"/>
          <w:bCs/>
        </w:rPr>
        <w:tab/>
      </w:r>
      <w:r w:rsidRPr="00EB6670" w:rsidR="002B619B">
        <w:rPr>
          <w:rFonts w:ascii="Times New Roman" w:hAnsi="Times New Roman"/>
          <w:bCs/>
        </w:rPr>
        <w:t>2</w:t>
      </w:r>
    </w:p>
    <w:p w:rsidR="00602983" w:rsidRPr="00EB6670" w:rsidP="00602983" w14:paraId="2A748384" w14:textId="40DC508D">
      <w:pPr>
        <w:pStyle w:val="Style0"/>
        <w:tabs>
          <w:tab w:val="left" w:pos="720"/>
          <w:tab w:val="left" w:pos="1440"/>
          <w:tab w:val="left" w:pos="2160"/>
          <w:tab w:val="left" w:pos="2880"/>
          <w:tab w:val="left" w:pos="3600"/>
          <w:tab w:val="right" w:leader="dot" w:pos="9180"/>
        </w:tabs>
        <w:autoSpaceDE/>
        <w:autoSpaceDN/>
        <w:adjustRightInd/>
        <w:rPr>
          <w:rFonts w:ascii="Times New Roman" w:hAnsi="Times New Roman"/>
          <w:bCs/>
        </w:rPr>
      </w:pPr>
      <w:r w:rsidRPr="00EB6670">
        <w:rPr>
          <w:rFonts w:ascii="Times New Roman" w:hAnsi="Times New Roman"/>
          <w:bCs/>
        </w:rPr>
        <w:t>A.11.</w:t>
      </w:r>
      <w:r w:rsidRPr="00EB6670">
        <w:rPr>
          <w:rFonts w:ascii="Times New Roman" w:hAnsi="Times New Roman"/>
          <w:bCs/>
        </w:rPr>
        <w:tab/>
        <w:t>Institutional Review Board (IRB) and Justification for Sensitive Questions</w:t>
      </w:r>
      <w:r w:rsidRPr="00EB6670">
        <w:rPr>
          <w:rFonts w:ascii="Times New Roman" w:hAnsi="Times New Roman"/>
          <w:bCs/>
        </w:rPr>
        <w:tab/>
      </w:r>
      <w:r w:rsidRPr="00EB6670" w:rsidR="002B619B">
        <w:rPr>
          <w:rFonts w:ascii="Times New Roman" w:hAnsi="Times New Roman"/>
          <w:bCs/>
        </w:rPr>
        <w:t>3</w:t>
      </w:r>
    </w:p>
    <w:p w:rsidR="00602983" w:rsidRPr="00EB6670" w:rsidP="00602983" w14:paraId="52E632CC" w14:textId="77777777">
      <w:pPr>
        <w:pStyle w:val="Style0"/>
        <w:tabs>
          <w:tab w:val="left" w:pos="720"/>
          <w:tab w:val="left" w:pos="1440"/>
          <w:tab w:val="left" w:pos="2160"/>
          <w:tab w:val="left" w:pos="2880"/>
          <w:tab w:val="left" w:pos="3600"/>
          <w:tab w:val="left" w:pos="4320"/>
          <w:tab w:val="left" w:pos="5040"/>
          <w:tab w:val="right" w:leader="dot" w:pos="9180"/>
        </w:tabs>
        <w:autoSpaceDE/>
        <w:autoSpaceDN/>
        <w:adjustRightInd/>
        <w:rPr>
          <w:rFonts w:ascii="Times New Roman" w:hAnsi="Times New Roman"/>
          <w:bCs/>
        </w:rPr>
      </w:pPr>
      <w:r w:rsidRPr="00EB6670">
        <w:rPr>
          <w:rFonts w:ascii="Times New Roman" w:hAnsi="Times New Roman"/>
          <w:bCs/>
        </w:rPr>
        <w:t>A.12.</w:t>
      </w:r>
      <w:r w:rsidRPr="00EB6670">
        <w:rPr>
          <w:rFonts w:ascii="Times New Roman" w:hAnsi="Times New Roman"/>
          <w:bCs/>
        </w:rPr>
        <w:tab/>
        <w:t>Estimates of Annualized Burden Hours and Costs</w:t>
      </w:r>
      <w:r w:rsidRPr="00EB6670">
        <w:rPr>
          <w:rFonts w:ascii="Times New Roman" w:hAnsi="Times New Roman"/>
          <w:bCs/>
        </w:rPr>
        <w:tab/>
        <w:t>4</w:t>
      </w:r>
    </w:p>
    <w:p w:rsidR="00602983" w:rsidRPr="00EB6670" w:rsidP="00602983" w14:paraId="64379FC3" w14:textId="77777777">
      <w:pPr>
        <w:pStyle w:val="Style0"/>
        <w:tabs>
          <w:tab w:val="left" w:pos="720"/>
          <w:tab w:val="left" w:pos="1440"/>
          <w:tab w:val="left" w:pos="2160"/>
          <w:tab w:val="left" w:pos="2880"/>
          <w:tab w:val="left" w:pos="3600"/>
          <w:tab w:val="right" w:leader="dot" w:pos="9180"/>
        </w:tabs>
        <w:rPr>
          <w:rFonts w:ascii="Times New Roman" w:hAnsi="Times New Roman"/>
          <w:bCs/>
        </w:rPr>
      </w:pPr>
    </w:p>
    <w:p w:rsidR="00602983" w:rsidRPr="00EB6670" w:rsidP="00602983" w14:paraId="44F8EC02" w14:textId="77777777">
      <w:pPr>
        <w:rPr>
          <w:bCs/>
        </w:rPr>
      </w:pPr>
      <w:r w:rsidRPr="00EB6670">
        <w:rPr>
          <w:bCs/>
        </w:rPr>
        <w:t>LIST OF ATTACHMENTS</w:t>
      </w:r>
    </w:p>
    <w:p w:rsidR="00602983" w:rsidRPr="00EB6670" w:rsidP="00602983" w14:paraId="1C82DF59" w14:textId="77777777">
      <w:pPr>
        <w:rPr>
          <w:bCs/>
        </w:rPr>
      </w:pPr>
    </w:p>
    <w:p w:rsidR="00602983" w:rsidRPr="00EB6670" w:rsidP="00602983" w14:paraId="63BF0BE8" w14:textId="4B1B937B">
      <w:r w:rsidRPr="00EB6670">
        <w:t>Attachment 1: Questions</w:t>
      </w:r>
    </w:p>
    <w:p w:rsidR="00D66E1D" w:rsidRPr="00EB6670" w:rsidP="00602983" w14:paraId="38DED683" w14:textId="57D83036">
      <w:r w:rsidRPr="00EB6670">
        <w:t>Attachment 2: P</w:t>
      </w:r>
      <w:r w:rsidRPr="00EB6670">
        <w:t>urpose and Development of Questions</w:t>
      </w:r>
    </w:p>
    <w:p w:rsidR="00602983" w:rsidP="00602983" w14:paraId="25F37136" w14:textId="2072C5D4">
      <w:r w:rsidRPr="00EB6670">
        <w:t>Attachment 3</w:t>
      </w:r>
      <w:r w:rsidR="00934938">
        <w:t>a</w:t>
      </w:r>
      <w:r w:rsidRPr="00EB6670">
        <w:t>:</w:t>
      </w:r>
      <w:r w:rsidRPr="00EB6670" w:rsidR="001A46AA">
        <w:t xml:space="preserve"> </w:t>
      </w:r>
      <w:r w:rsidRPr="00EB6670">
        <w:t>Advertisement</w:t>
      </w:r>
      <w:r w:rsidR="00934938">
        <w:t xml:space="preserve"> 1</w:t>
      </w:r>
    </w:p>
    <w:p w:rsidR="00934938" w:rsidRPr="00EB6670" w:rsidP="00934938" w14:paraId="19DB407E" w14:textId="05734A13">
      <w:r w:rsidRPr="00EB6670">
        <w:t>Attachment 3</w:t>
      </w:r>
      <w:r>
        <w:t>b</w:t>
      </w:r>
      <w:r w:rsidRPr="00EB6670">
        <w:t>: Advertisement</w:t>
      </w:r>
      <w:r>
        <w:t xml:space="preserve"> </w:t>
      </w:r>
      <w:r>
        <w:t>2</w:t>
      </w:r>
    </w:p>
    <w:p w:rsidR="00934938" w:rsidRPr="00EB6670" w:rsidP="00934938" w14:paraId="43A9BE62" w14:textId="4C759B4D">
      <w:r w:rsidRPr="00EB6670">
        <w:t>Attachment 3</w:t>
      </w:r>
      <w:r>
        <w:t>c</w:t>
      </w:r>
      <w:r w:rsidRPr="00EB6670">
        <w:t>: Advertisement</w:t>
      </w:r>
      <w:r>
        <w:t xml:space="preserve"> </w:t>
      </w:r>
      <w:r>
        <w:t>3</w:t>
      </w:r>
    </w:p>
    <w:p w:rsidR="00934938" w:rsidRPr="00EB6670" w:rsidP="00934938" w14:paraId="61F99D00" w14:textId="120CAC69">
      <w:r w:rsidRPr="00EB6670">
        <w:t>Attachment 3</w:t>
      </w:r>
      <w:r>
        <w:t>d</w:t>
      </w:r>
      <w:r w:rsidRPr="00EB6670">
        <w:t>: Advertisement</w:t>
      </w:r>
      <w:r>
        <w:t xml:space="preserve"> </w:t>
      </w:r>
      <w:r>
        <w:t>4</w:t>
      </w:r>
    </w:p>
    <w:p w:rsidR="00934938" w:rsidRPr="00EB6670" w:rsidP="00934938" w14:paraId="4008FC51" w14:textId="0985B18E">
      <w:r w:rsidRPr="00EB6670">
        <w:t>Attachment 3</w:t>
      </w:r>
      <w:r>
        <w:t>e</w:t>
      </w:r>
      <w:r w:rsidRPr="00EB6670">
        <w:t>: Advertisement</w:t>
      </w:r>
      <w:r>
        <w:t xml:space="preserve"> </w:t>
      </w:r>
      <w:r>
        <w:t>5</w:t>
      </w:r>
    </w:p>
    <w:p w:rsidR="00602983" w:rsidRPr="00EB6670" w:rsidP="00602983" w14:paraId="6189B1C3" w14:textId="5BF8BA81">
      <w:r w:rsidRPr="00EB6670">
        <w:t>Attachment 4: Screening Script</w:t>
      </w:r>
    </w:p>
    <w:p w:rsidR="00602983" w:rsidRPr="00EB6670" w:rsidP="00602983" w14:paraId="07540050" w14:textId="36C3E622">
      <w:r w:rsidRPr="00EB6670">
        <w:t>Attachment 5:</w:t>
      </w:r>
      <w:r w:rsidRPr="00EB6670" w:rsidR="001A46AA">
        <w:t xml:space="preserve"> In Person &amp; Virtual Informed </w:t>
      </w:r>
      <w:r w:rsidRPr="00EB6670">
        <w:t>Consent</w:t>
      </w:r>
      <w:r w:rsidRPr="00EB6670" w:rsidR="001A46AA">
        <w:t xml:space="preserve"> Forms</w:t>
      </w:r>
      <w:r w:rsidRPr="00EB6670">
        <w:t xml:space="preserve"> </w:t>
      </w:r>
    </w:p>
    <w:p w:rsidR="0071791B" w:rsidRPr="00EB6670" w:rsidP="0071791B" w14:paraId="4BB0C2E8" w14:textId="321AC824">
      <w:r w:rsidRPr="00EB6670">
        <w:t xml:space="preserve">Attachment 6: </w:t>
      </w:r>
      <w:r w:rsidRPr="00EB6670" w:rsidR="00BD7415">
        <w:t xml:space="preserve">In Person &amp; Virtual </w:t>
      </w:r>
      <w:r w:rsidRPr="00EB6670">
        <w:t>Respondent Data Collection Sheet</w:t>
      </w:r>
    </w:p>
    <w:p w:rsidR="0071791B" w:rsidRPr="00EB6670" w:rsidP="0071791B" w14:paraId="573222C2" w14:textId="77777777">
      <w:r w:rsidRPr="00EB6670">
        <w:t>Attachment 7: Thank You Letter</w:t>
      </w:r>
    </w:p>
    <w:p w:rsidR="0071791B" w:rsidRPr="00EB6670" w:rsidP="0071791B" w14:paraId="396C5C92" w14:textId="77777777">
      <w:r w:rsidRPr="00EB6670">
        <w:t>Attachment 8: Data Retention Policy</w:t>
      </w:r>
    </w:p>
    <w:p w:rsidR="00836785" w:rsidRPr="00EB6670" w:rsidP="0071791B" w14:paraId="0E1BE71E" w14:textId="0D281CB1">
      <w:r w:rsidRPr="00EB6670">
        <w:t>Attachment 9: NCHS Non-Disclosure Affidavit</w:t>
      </w:r>
    </w:p>
    <w:p w:rsidR="00D66E1D" w:rsidP="0071791B" w14:paraId="380E1AE2" w14:textId="0E3DCE63">
      <w:r w:rsidRPr="00EB6670">
        <w:t>Attachment 10: IDD POC Cognitive Interview IRB Approval Letter</w:t>
      </w:r>
    </w:p>
    <w:p w:rsidR="00E56FB3" w:rsidRPr="00EB6670" w:rsidP="0071791B" w14:paraId="771DF8DA" w14:textId="77777777"/>
    <w:p w:rsidR="00602983" w:rsidRPr="00EB6670" w:rsidP="00602983" w14:paraId="5CA7DCAA" w14:textId="77777777">
      <w:pPr>
        <w:widowControl/>
        <w:tabs>
          <w:tab w:val="left" w:pos="-1440"/>
        </w:tabs>
        <w:ind w:left="720" w:hanging="720"/>
        <w:rPr>
          <w:b/>
          <w:bCs/>
        </w:rPr>
      </w:pPr>
    </w:p>
    <w:p w:rsidR="00602983" w:rsidRPr="00EB6670" w:rsidP="00602983" w14:paraId="2EC94A76" w14:textId="77777777">
      <w:pPr>
        <w:widowControl/>
        <w:tabs>
          <w:tab w:val="left" w:pos="-1440"/>
        </w:tabs>
        <w:ind w:left="720" w:hanging="720"/>
        <w:rPr>
          <w:b/>
          <w:bCs/>
        </w:rPr>
      </w:pPr>
      <w:r w:rsidRPr="00EB6670">
        <w:rPr>
          <w:b/>
          <w:bCs/>
        </w:rPr>
        <w:t>A.</w:t>
      </w:r>
      <w:r w:rsidRPr="00EB6670">
        <w:rPr>
          <w:b/>
          <w:bCs/>
        </w:rPr>
        <w:tab/>
      </w:r>
      <w:r w:rsidRPr="00EB6670">
        <w:rPr>
          <w:b/>
          <w:bCs/>
          <w:u w:val="single"/>
        </w:rPr>
        <w:t>JUSTIFICATION</w:t>
      </w:r>
    </w:p>
    <w:p w:rsidR="00602983" w:rsidRPr="00EB6670" w:rsidP="00602983" w14:paraId="7B3A6F80" w14:textId="77777777">
      <w:pPr>
        <w:widowControl/>
      </w:pPr>
    </w:p>
    <w:p w:rsidR="00602983" w:rsidRPr="00EB6670" w:rsidP="00602983" w14:paraId="0BD46B27" w14:textId="77777777">
      <w:pPr>
        <w:widowControl/>
        <w:tabs>
          <w:tab w:val="left" w:pos="-1440"/>
        </w:tabs>
        <w:ind w:left="720" w:hanging="720"/>
      </w:pPr>
      <w:r w:rsidRPr="00EB6670">
        <w:rPr>
          <w:b/>
          <w:bCs/>
        </w:rPr>
        <w:t>1.</w:t>
      </w:r>
      <w:r w:rsidRPr="00EB6670">
        <w:rPr>
          <w:b/>
          <w:bCs/>
        </w:rPr>
        <w:tab/>
        <w:t>Circumstances Making the Collection of Information Necessary</w:t>
      </w:r>
    </w:p>
    <w:p w:rsidR="00602983" w:rsidRPr="00EB6670" w:rsidP="00602983" w14:paraId="6F1F6F23" w14:textId="77777777">
      <w:pPr>
        <w:widowControl/>
        <w:tabs>
          <w:tab w:val="left" w:pos="-1440"/>
        </w:tabs>
      </w:pPr>
      <w:bookmarkStart w:id="0" w:name="_Hlk149563517"/>
    </w:p>
    <w:bookmarkEnd w:id="0"/>
    <w:p w:rsidR="00602983" w:rsidRPr="00EB6670" w:rsidP="00602983" w14:paraId="23F785DB" w14:textId="66B7B00A">
      <w:r w:rsidRPr="00EB6670">
        <w:t>The NCHS Collaborating Center for Questionnaire Design and Evaluation Research (CCQDER) conducts qualitative and mixed method research. CCQDER data collection is authorized under a generic OMB clearance (OMB No. 0920-0222, Exp. Date 0</w:t>
      </w:r>
      <w:r w:rsidRPr="00EB6670" w:rsidR="00583D1E">
        <w:t>1</w:t>
      </w:r>
      <w:r w:rsidRPr="00EB6670">
        <w:t>/3</w:t>
      </w:r>
      <w:r w:rsidRPr="00EB6670" w:rsidR="00583D1E">
        <w:t>1</w:t>
      </w:r>
      <w:r w:rsidRPr="00EB6670">
        <w:t>/202</w:t>
      </w:r>
      <w:r w:rsidRPr="00EB6670" w:rsidR="00583D1E">
        <w:t>6</w:t>
      </w:r>
      <w:r w:rsidRPr="00EB6670">
        <w:t>) and 42 U.S.C. 242k (Section 306 of the Public Health Service Act).</w:t>
      </w:r>
    </w:p>
    <w:p w:rsidR="00602983" w:rsidRPr="00EB6670" w:rsidP="00602983" w14:paraId="69D6EB03" w14:textId="77777777">
      <w:pPr>
        <w:rPr>
          <w:rFonts w:ascii="Calibri" w:hAnsi="Calibri" w:cs="Calibri"/>
          <w:sz w:val="22"/>
          <w:szCs w:val="22"/>
        </w:rPr>
      </w:pPr>
    </w:p>
    <w:p w:rsidR="00602983" w:rsidRPr="00EB6670" w:rsidP="00602983" w14:paraId="7502C4BA" w14:textId="77777777">
      <w:r w:rsidRPr="00EB6670">
        <w:tab/>
      </w:r>
    </w:p>
    <w:p w:rsidR="00602983" w:rsidRPr="00EB6670" w:rsidP="00602983" w14:paraId="06421054" w14:textId="77777777">
      <w:pPr>
        <w:widowControl/>
        <w:tabs>
          <w:tab w:val="left" w:pos="-1440"/>
        </w:tabs>
        <w:ind w:left="720" w:hanging="720"/>
      </w:pPr>
      <w:r w:rsidRPr="00EB6670">
        <w:rPr>
          <w:b/>
          <w:bCs/>
        </w:rPr>
        <w:t>2.</w:t>
      </w:r>
      <w:r w:rsidRPr="00EB6670">
        <w:rPr>
          <w:b/>
          <w:bCs/>
        </w:rPr>
        <w:tab/>
        <w:t>Purpose and Use of Information Collection</w:t>
      </w:r>
    </w:p>
    <w:p w:rsidR="00602983" w:rsidRPr="00EB6670" w:rsidP="00602983" w14:paraId="2F792AA0" w14:textId="77777777">
      <w:pPr>
        <w:pStyle w:val="HTMLPreformatted"/>
        <w:rPr>
          <w:rFonts w:ascii="Times New Roman" w:hAnsi="Times New Roman"/>
          <w:sz w:val="24"/>
          <w:szCs w:val="24"/>
        </w:rPr>
      </w:pPr>
    </w:p>
    <w:p w:rsidR="00602983" w:rsidRPr="00EB6670" w:rsidP="00602983" w14:paraId="56651A3C" w14:textId="48765F56">
      <w:pPr>
        <w:pStyle w:val="HTMLPreformatted"/>
        <w:rPr>
          <w:rFonts w:ascii="Times New Roman" w:hAnsi="Times New Roman"/>
          <w:sz w:val="24"/>
          <w:szCs w:val="24"/>
        </w:rPr>
      </w:pPr>
      <w:r w:rsidRPr="00EB6670">
        <w:rPr>
          <w:rFonts w:ascii="Times New Roman" w:hAnsi="Times New Roman"/>
          <w:sz w:val="24"/>
          <w:szCs w:val="24"/>
        </w:rPr>
        <w:t xml:space="preserve">CCQDER conducts exploratory question evaluation studies, for both applied and methodological purposes, with particular focus on question design, measurement, comparability, and </w:t>
      </w:r>
      <w:r w:rsidRPr="00EB6670" w:rsidR="00A4000C">
        <w:rPr>
          <w:rFonts w:ascii="Times New Roman" w:hAnsi="Times New Roman"/>
          <w:sz w:val="24"/>
          <w:szCs w:val="24"/>
        </w:rPr>
        <w:t xml:space="preserve">response </w:t>
      </w:r>
      <w:r w:rsidRPr="00EB6670">
        <w:rPr>
          <w:rFonts w:ascii="Times New Roman" w:hAnsi="Times New Roman"/>
          <w:sz w:val="24"/>
          <w:szCs w:val="24"/>
        </w:rPr>
        <w:t xml:space="preserve">error. </w:t>
      </w:r>
    </w:p>
    <w:p w:rsidR="00602983" w:rsidRPr="00EB6670" w:rsidP="00602983" w14:paraId="7FAC4F07" w14:textId="77777777"/>
    <w:p w:rsidR="004A4524" w:rsidRPr="00EB6670" w:rsidP="002C01E0" w14:paraId="338986D5" w14:textId="00555419">
      <w:r w:rsidRPr="00EB6670">
        <w:t>The purpose of the current project is to evaluate the construct validity of questions on</w:t>
      </w:r>
      <w:r w:rsidRPr="00EB6670" w:rsidR="002C01E0">
        <w:t xml:space="preserve"> </w:t>
      </w:r>
      <w:r w:rsidRPr="00EB6670" w:rsidR="00787C2D">
        <w:t>identifying adults with intellectual and developmental disabilities in point-of-care settings</w:t>
      </w:r>
      <w:r w:rsidRPr="00EB6670" w:rsidR="002C01E0">
        <w:t xml:space="preserve"> </w:t>
      </w:r>
      <w:r w:rsidRPr="00EB6670">
        <w:t xml:space="preserve">in collaboration with </w:t>
      </w:r>
      <w:r w:rsidRPr="00EB6670" w:rsidR="002C01E0">
        <w:t xml:space="preserve">the National Center </w:t>
      </w:r>
      <w:r w:rsidRPr="00EB6670" w:rsidR="00787C2D">
        <w:t>on Birth Defects and Developmental Disabilities (NCBDDD) Division of Human Development and Disability</w:t>
      </w:r>
      <w:r w:rsidRPr="00EB6670" w:rsidR="002C01E0">
        <w:t>.</w:t>
      </w:r>
      <w:r w:rsidRPr="00EB6670">
        <w:t xml:space="preserve"> Questions will be tested </w:t>
      </w:r>
      <w:r w:rsidRPr="00EB6670" w:rsidR="002C01E0">
        <w:t xml:space="preserve">with up to </w:t>
      </w:r>
      <w:r w:rsidRPr="00EB6670" w:rsidR="00787C2D">
        <w:t>5</w:t>
      </w:r>
      <w:r w:rsidRPr="00EB6670" w:rsidR="002C01E0">
        <w:t xml:space="preserve">0 </w:t>
      </w:r>
      <w:r w:rsidRPr="00EB6670">
        <w:t xml:space="preserve">English speaking respondents. The questions to be tested in English are included as Attachment 1. </w:t>
      </w:r>
      <w:r w:rsidRPr="00EB6670" w:rsidR="0071791B">
        <w:t xml:space="preserve">NCHS understands that OMB approval for evaluation of these questions does not imply or guarantee future approval for use or application of these or similar items. </w:t>
      </w:r>
      <w:r w:rsidRPr="00EB6670" w:rsidR="00B04F77">
        <w:t>Information about the purpose and use of the questions is</w:t>
      </w:r>
      <w:r w:rsidRPr="00EB6670" w:rsidR="0071791B">
        <w:t xml:space="preserve"> included as Attachment 2. The methodological aim of this study is consistent with the design of most NCHS/CCQDER cognitive interviewing studies, that is, to understand the construct captured by each question, identify patterns of interpretation across respondent groups, and explore potential sources of response error. The testing procedure conforms to the cognitive interviewing techniques that have been described in CCQDER’s generic clearance package (OMB No. 0920-0222, exp. 01/31/2026). Within that framework, the following procedures are particular to this study:</w:t>
      </w:r>
    </w:p>
    <w:p w:rsidR="002C01E0" w:rsidRPr="00EB6670" w:rsidP="002C01E0" w14:paraId="13E9E2C1" w14:textId="77777777"/>
    <w:p w:rsidR="007060B5" w:rsidRPr="00EB6670" w:rsidP="00B36039" w14:paraId="2BE13180" w14:textId="4CF6B0B4">
      <w:pPr>
        <w:tabs>
          <w:tab w:val="left" w:pos="720"/>
          <w:tab w:val="left" w:pos="1440"/>
          <w:tab w:val="left" w:pos="2160"/>
          <w:tab w:val="left" w:pos="2880"/>
          <w:tab w:val="left" w:pos="3600"/>
          <w:tab w:val="left" w:pos="4320"/>
          <w:tab w:val="left" w:pos="5040"/>
          <w:tab w:val="left" w:pos="5760"/>
          <w:tab w:val="left" w:pos="6480"/>
          <w:tab w:val="right" w:pos="7200"/>
        </w:tabs>
        <w:spacing w:before="240" w:after="200" w:line="276" w:lineRule="auto"/>
        <w:ind w:left="720"/>
        <w:rPr>
          <w:rStyle w:val="normaltextrun"/>
        </w:rPr>
      </w:pPr>
      <w:r w:rsidRPr="00EB6670">
        <w:rPr>
          <w:i/>
          <w:iCs/>
        </w:rPr>
        <w:t>Recruitment</w:t>
      </w:r>
      <w:r w:rsidRPr="00EB6670">
        <w:t>.  We propose to recruit up to</w:t>
      </w:r>
      <w:r w:rsidRPr="00EB6670" w:rsidR="0029060A">
        <w:t xml:space="preserve"> </w:t>
      </w:r>
      <w:r w:rsidRPr="00EB6670" w:rsidR="00787C2D">
        <w:t>5</w:t>
      </w:r>
      <w:r w:rsidRPr="00EB6670" w:rsidR="0029060A">
        <w:t>0 respondents aged 18 or ove</w:t>
      </w:r>
      <w:r w:rsidRPr="00EB6670" w:rsidR="00544FCF">
        <w:t xml:space="preserve">r, </w:t>
      </w:r>
      <w:r w:rsidRPr="00EB6670" w:rsidR="00544FCF">
        <w:rPr>
          <w:rStyle w:val="normaltextrun"/>
        </w:rPr>
        <w:t xml:space="preserve">including both </w:t>
      </w:r>
      <w:r w:rsidRPr="00EB6670" w:rsidR="00A712D7">
        <w:rPr>
          <w:rStyle w:val="normaltextrun"/>
        </w:rPr>
        <w:t xml:space="preserve">self-reporting </w:t>
      </w:r>
      <w:r w:rsidRPr="00EB6670" w:rsidR="00544FCF">
        <w:rPr>
          <w:rStyle w:val="normaltextrun"/>
        </w:rPr>
        <w:t>respondents and, where appropriate, a paired proxy respondent</w:t>
      </w:r>
      <w:r w:rsidRPr="00EB6670">
        <w:rPr>
          <w:rStyle w:val="normaltextrun"/>
        </w:rPr>
        <w:t xml:space="preserve"> (more detail in following paragraph)</w:t>
      </w:r>
      <w:r w:rsidRPr="00EB6670" w:rsidR="00544FCF">
        <w:rPr>
          <w:rStyle w:val="normaltextrun"/>
        </w:rPr>
        <w:t xml:space="preserve">. We will recruit </w:t>
      </w:r>
      <w:r w:rsidRPr="00EB6670" w:rsidR="00A712D7">
        <w:rPr>
          <w:rStyle w:val="normaltextrun"/>
        </w:rPr>
        <w:t xml:space="preserve">self-report </w:t>
      </w:r>
      <w:r w:rsidRPr="00EB6670" w:rsidR="00544FCF">
        <w:rPr>
          <w:rStyle w:val="normaltextrun"/>
        </w:rPr>
        <w:t>respondents with various primary diagnoses, including: 1) a primary diagnosis of intellectual disability</w:t>
      </w:r>
      <w:r w:rsidRPr="00EB6670" w:rsidR="00F45B24">
        <w:rPr>
          <w:rStyle w:val="normaltextrun"/>
        </w:rPr>
        <w:t xml:space="preserve"> (ID)</w:t>
      </w:r>
      <w:r w:rsidRPr="00EB6670" w:rsidR="00544FCF">
        <w:rPr>
          <w:rStyle w:val="normaltextrun"/>
        </w:rPr>
        <w:t xml:space="preserve">, 2) a primary diagnosis of the developmental disability (DD) of Autism Spectrum Disorder (ASD) with or without intellectual disability, and </w:t>
      </w:r>
      <w:r w:rsidRPr="00EB6670" w:rsidR="00544FCF">
        <w:rPr>
          <w:rStyle w:val="eop"/>
        </w:rPr>
        <w:t xml:space="preserve">3) </w:t>
      </w:r>
      <w:r w:rsidRPr="00EB6670" w:rsidR="00544FCF">
        <w:rPr>
          <w:rStyle w:val="normaltextrun"/>
        </w:rPr>
        <w:t>a primary diagnosis of the developmental disability Cerebral Palsy (CP) with or without intellectual disability. The inclusion of people with these diagnoses in the sample will reflect a range of conditions associated with IDD. This is because ID, ASD, and CP are common DDs that are typically diagnosed early in someone’s life, expected to be lifelong, and affect multiple domains of functioning (as opposed to other common DDs like vision and hearing loss).</w:t>
      </w:r>
      <w:r>
        <w:rPr>
          <w:rStyle w:val="FootnoteReference"/>
        </w:rPr>
        <w:footnoteReference w:id="2"/>
      </w:r>
      <w:r w:rsidRPr="00EB6670" w:rsidR="00544FCF">
        <w:rPr>
          <w:rStyle w:val="normaltextrun"/>
        </w:rPr>
        <w:t xml:space="preserve">  We will aim to recruit a mix of respondents who might be considered as having low, medium, and high levels of support that they receive with daily life activities.</w:t>
      </w:r>
      <w:r>
        <w:rPr>
          <w:rStyle w:val="FootnoteReference"/>
        </w:rPr>
        <w:footnoteReference w:id="3"/>
      </w:r>
      <w:r w:rsidRPr="00EB6670" w:rsidR="00544FCF">
        <w:rPr>
          <w:rStyle w:val="normaltextrun"/>
        </w:rPr>
        <w:t xml:space="preserve"> We will also aim to include a few people with IDD who have speech-related disabilities, who use Augmentative and Alternative Communication (AAC) supports</w:t>
      </w:r>
      <w:r w:rsidRPr="00EB6670" w:rsidR="00F45B24">
        <w:rPr>
          <w:rStyle w:val="normaltextrun"/>
        </w:rPr>
        <w:t>,</w:t>
      </w:r>
      <w:r>
        <w:rPr>
          <w:rStyle w:val="FootnoteReference"/>
        </w:rPr>
        <w:footnoteReference w:id="4"/>
      </w:r>
      <w:r w:rsidRPr="00EB6670" w:rsidR="00544FCF">
        <w:rPr>
          <w:rStyle w:val="normaltextrun"/>
        </w:rPr>
        <w:t xml:space="preserve"> to account for communication differences across the IDD community. </w:t>
      </w:r>
    </w:p>
    <w:p w:rsidR="00544FCF" w:rsidRPr="00EB6670" w:rsidP="00F50CB5" w14:paraId="3DAB8B96" w14:textId="184EB112">
      <w:pPr>
        <w:tabs>
          <w:tab w:val="left" w:pos="720"/>
          <w:tab w:val="left" w:pos="1440"/>
          <w:tab w:val="left" w:pos="2160"/>
          <w:tab w:val="left" w:pos="2880"/>
          <w:tab w:val="left" w:pos="3600"/>
          <w:tab w:val="left" w:pos="4320"/>
          <w:tab w:val="left" w:pos="5040"/>
          <w:tab w:val="left" w:pos="5760"/>
          <w:tab w:val="left" w:pos="6480"/>
          <w:tab w:val="right" w:pos="7200"/>
        </w:tabs>
        <w:spacing w:before="240" w:after="200" w:line="276" w:lineRule="auto"/>
        <w:ind w:left="720"/>
        <w:rPr>
          <w:rFonts w:eastAsia="Calibri"/>
        </w:rPr>
      </w:pPr>
      <w:r w:rsidRPr="00EB6670">
        <w:rPr>
          <w:rFonts w:eastAsia="Calibri"/>
        </w:rPr>
        <w:t xml:space="preserve">We will also recruit aides or caregivers of adults with IDD to participate in their own interview. These support persons will be referred to as proxy respondents or proxy </w:t>
      </w:r>
      <w:r w:rsidRPr="00EB6670">
        <w:rPr>
          <w:rFonts w:eastAsia="Calibri"/>
        </w:rPr>
        <w:t xml:space="preserve">reports, and their interviews will constitute one half of a respondent-proxy dyad. In this scenario, proxy-report interviews will be conducted if the corresponding self-report interview is also scheduled and conducted; it will not be attempted in cases where there is no corresponding self-report interview. The proxy respondent will know the person with IDD well and provide close personal support for that person. In particular, the proxy respondent normally accompanies the reference person to medical and health services appointments, as the purpose of the evaluation is to examine questions that will be administered in such environments. These interviews will be conducted separately from that with the person with IDD. The proxy-report person may be an aide or caregiver, someone with firsthand knowledge of the person with IDD, but not necessarily their Legally Authorized Representative (LAR). In cases where the support person </w:t>
      </w:r>
      <w:r w:rsidRPr="00EB6670" w:rsidR="00F50CB5">
        <w:rPr>
          <w:rFonts w:eastAsia="Calibri"/>
        </w:rPr>
        <w:t xml:space="preserve">is </w:t>
      </w:r>
      <w:r w:rsidRPr="00EB6670">
        <w:rPr>
          <w:rFonts w:eastAsia="Calibri"/>
        </w:rPr>
        <w:t>helping with communications during the respondent interview</w:t>
      </w:r>
      <w:r w:rsidRPr="00EB6670" w:rsidR="00F50CB5">
        <w:rPr>
          <w:rFonts w:eastAsia="Calibri"/>
        </w:rPr>
        <w:t>, and</w:t>
      </w:r>
      <w:r w:rsidRPr="00EB6670">
        <w:rPr>
          <w:rFonts w:eastAsia="Calibri"/>
        </w:rPr>
        <w:t xml:space="preserve"> </w:t>
      </w:r>
      <w:r w:rsidRPr="00EB6670" w:rsidR="00F50CB5">
        <w:rPr>
          <w:rFonts w:eastAsia="Calibri"/>
        </w:rPr>
        <w:t>the same support person is</w:t>
      </w:r>
      <w:r w:rsidRPr="00EB6670">
        <w:rPr>
          <w:rFonts w:eastAsia="Calibri"/>
        </w:rPr>
        <w:t xml:space="preserve"> also </w:t>
      </w:r>
      <w:r w:rsidRPr="00EB6670" w:rsidR="00F50CB5">
        <w:rPr>
          <w:rFonts w:eastAsia="Calibri"/>
        </w:rPr>
        <w:t xml:space="preserve">participating as a </w:t>
      </w:r>
      <w:r w:rsidRPr="00EB6670">
        <w:rPr>
          <w:rFonts w:eastAsia="Calibri"/>
        </w:rPr>
        <w:t>proxy respondent, we will aim to interview the proxy respondent first</w:t>
      </w:r>
      <w:r w:rsidRPr="00EB6670" w:rsidR="00F50CB5">
        <w:rPr>
          <w:rFonts w:eastAsia="Calibri"/>
        </w:rPr>
        <w:t>,</w:t>
      </w:r>
      <w:r w:rsidRPr="00EB6670">
        <w:rPr>
          <w:rFonts w:eastAsia="Calibri"/>
        </w:rPr>
        <w:t xml:space="preserve"> so that they are not primed as to the discussion topics in advance of their interview. Although we expect that most interviews will be dyad pairs, there may be cases where a respondent does not have an aide or caregiver. In this scenario the respondent may still qualify to take part in a solo interview.</w:t>
      </w:r>
    </w:p>
    <w:p w:rsidR="004A4524" w:rsidRPr="00EB6670" w:rsidP="00544FCF" w14:paraId="3E0677FA" w14:textId="02FFF3DC">
      <w:pPr>
        <w:widowControl/>
        <w:tabs>
          <w:tab w:val="left" w:pos="0"/>
        </w:tabs>
        <w:ind w:left="720"/>
        <w:outlineLvl w:val="0"/>
      </w:pPr>
      <w:r w:rsidRPr="00EB6670">
        <w:t xml:space="preserve">In addition to those criteria, </w:t>
      </w:r>
      <w:r w:rsidRPr="00EB6670" w:rsidR="00F45B24">
        <w:t>attaining a sample with a range of demographic characteristics</w:t>
      </w:r>
      <w:r w:rsidRPr="00EB6670">
        <w:t xml:space="preserve"> is also a priority, with the goal of achieving a purposive sample that includes a mix of </w:t>
      </w:r>
      <w:r w:rsidRPr="00EB6670" w:rsidR="00492141">
        <w:t>sex</w:t>
      </w:r>
      <w:r w:rsidRPr="00EB6670">
        <w:t>, age, race</w:t>
      </w:r>
      <w:r w:rsidRPr="00EB6670" w:rsidR="0029060A">
        <w:t>/ethnicity</w:t>
      </w:r>
      <w:r w:rsidRPr="00EB6670">
        <w:t xml:space="preserve">, and educational attainment. </w:t>
      </w:r>
      <w:r w:rsidRPr="00EB6670" w:rsidR="00A712D7">
        <w:t>Recruitment will be carried out through networks of service providers such as Special Olympics,</w:t>
      </w:r>
      <w:r>
        <w:rPr>
          <w:rStyle w:val="FootnoteReference"/>
        </w:rPr>
        <w:footnoteReference w:id="5"/>
      </w:r>
      <w:r w:rsidRPr="00EB6670" w:rsidR="00A712D7">
        <w:t xml:space="preserve"> as well as a combination of newspaper advertisements, social media, flyers, word-of-mouth, and the CCQDER Respondent Database, if needed. The newspaper advertisements/flyers used to recruit respondents are shown in Attachment 3.  </w:t>
      </w:r>
    </w:p>
    <w:p w:rsidR="004A4524" w:rsidRPr="00EB6670" w:rsidP="004A4524" w14:paraId="193584CE" w14:textId="77777777">
      <w:pPr>
        <w:widowControl/>
        <w:tabs>
          <w:tab w:val="left" w:pos="0"/>
        </w:tabs>
        <w:ind w:left="720"/>
        <w:outlineLvl w:val="0"/>
      </w:pPr>
    </w:p>
    <w:p w:rsidR="004A4524" w:rsidRPr="00EB6670" w:rsidP="004A4524" w14:paraId="35349FDD" w14:textId="30521D31">
      <w:pPr>
        <w:tabs>
          <w:tab w:val="left" w:pos="0"/>
        </w:tabs>
        <w:ind w:left="720"/>
        <w:contextualSpacing/>
      </w:pPr>
      <w:r w:rsidRPr="00EB6670">
        <w:rPr>
          <w:bCs/>
          <w:i/>
          <w:iCs/>
        </w:rPr>
        <w:t>Screening</w:t>
      </w:r>
      <w:r w:rsidRPr="00EB6670">
        <w:rPr>
          <w:bCs/>
        </w:rPr>
        <w:t>.</w:t>
      </w:r>
      <w:r w:rsidRPr="00EB6670">
        <w:rPr>
          <w:b/>
          <w:bCs/>
        </w:rPr>
        <w:t xml:space="preserve">  </w:t>
      </w:r>
      <w:r w:rsidRPr="00EB6670">
        <w:t>Respondent screening will conform to the protocol laid out in CCQDER’s generic package. The 5-minute screener used to determine eligibility of individuals responding to the advertisements/flyers is shown in Attachment 4. It is anticipated that as many as</w:t>
      </w:r>
      <w:r w:rsidRPr="00EB6670" w:rsidR="0029060A">
        <w:t xml:space="preserve"> </w:t>
      </w:r>
      <w:r w:rsidRPr="00EB6670" w:rsidR="00544FCF">
        <w:t xml:space="preserve">75 </w:t>
      </w:r>
      <w:r w:rsidRPr="00EB6670">
        <w:t xml:space="preserve">individuals may need to be screened to recruit </w:t>
      </w:r>
      <w:r w:rsidRPr="00EB6670" w:rsidR="00544FCF">
        <w:t>5</w:t>
      </w:r>
      <w:r w:rsidRPr="00EB6670" w:rsidR="0029060A">
        <w:t>0</w:t>
      </w:r>
      <w:r w:rsidRPr="00EB6670">
        <w:t xml:space="preserve"> participants. </w:t>
      </w:r>
    </w:p>
    <w:p w:rsidR="004A4524" w:rsidRPr="00EB6670" w:rsidP="004A4524" w14:paraId="3EE5B0A2" w14:textId="77777777">
      <w:pPr>
        <w:widowControl/>
        <w:tabs>
          <w:tab w:val="left" w:pos="0"/>
        </w:tabs>
        <w:ind w:left="720"/>
        <w:outlineLvl w:val="0"/>
      </w:pPr>
    </w:p>
    <w:p w:rsidR="007060B5" w:rsidRPr="00EB6670" w:rsidP="007060B5" w14:paraId="09C7C270" w14:textId="3924184B">
      <w:pPr>
        <w:spacing w:line="276" w:lineRule="auto"/>
        <w:ind w:left="360"/>
        <w:rPr>
          <w:sz w:val="32"/>
          <w:szCs w:val="32"/>
        </w:rPr>
      </w:pPr>
      <w:r w:rsidRPr="00EB6670">
        <w:rPr>
          <w:i/>
          <w:iCs/>
        </w:rPr>
        <w:t>Interview methods.</w:t>
      </w:r>
      <w:r w:rsidRPr="00EB6670">
        <w:t xml:space="preserve"> Cognitive interviews will be conducted by CCQDER staff and RSS contractors in accordance with the protocol described in CCQDER’s generic package. The informed consent documents specific to this project are included as Attachments 5a and 5b.</w:t>
      </w:r>
      <w:r w:rsidRPr="00EB6670">
        <w:t xml:space="preserve">  </w:t>
      </w:r>
    </w:p>
    <w:p w:rsidR="000745C8" w:rsidRPr="00EB6670" w:rsidP="000745C8" w14:paraId="1D122BC7" w14:textId="4F7AE8D3">
      <w:pPr>
        <w:widowControl/>
        <w:tabs>
          <w:tab w:val="left" w:pos="0"/>
        </w:tabs>
        <w:ind w:left="720"/>
        <w:outlineLvl w:val="0"/>
      </w:pPr>
    </w:p>
    <w:p w:rsidR="000745C8" w:rsidRPr="00EB6670" w:rsidP="000745C8" w14:paraId="76144305" w14:textId="77777777">
      <w:pPr>
        <w:widowControl/>
        <w:tabs>
          <w:tab w:val="left" w:pos="0"/>
        </w:tabs>
        <w:outlineLvl w:val="0"/>
      </w:pPr>
    </w:p>
    <w:p w:rsidR="000745C8" w:rsidRPr="00EB6670" w:rsidP="000745C8" w14:paraId="4093461C" w14:textId="77777777">
      <w:pPr>
        <w:widowControl/>
        <w:tabs>
          <w:tab w:val="left" w:pos="0"/>
        </w:tabs>
        <w:ind w:left="720" w:hanging="720"/>
        <w:rPr>
          <w:b/>
          <w:bCs/>
        </w:rPr>
      </w:pPr>
      <w:r w:rsidRPr="00EB6670">
        <w:rPr>
          <w:b/>
          <w:bCs/>
        </w:rPr>
        <w:t>9.</w:t>
      </w:r>
      <w:r w:rsidRPr="00EB6670">
        <w:rPr>
          <w:b/>
          <w:bCs/>
        </w:rPr>
        <w:tab/>
        <w:t xml:space="preserve">Explanation of Any Payment or Gift to Respondents </w:t>
      </w:r>
    </w:p>
    <w:p w:rsidR="000745C8" w:rsidRPr="00EB6670" w:rsidP="000745C8" w14:paraId="6CF579A2" w14:textId="77777777">
      <w:pPr>
        <w:widowControl/>
        <w:tabs>
          <w:tab w:val="left" w:pos="0"/>
        </w:tabs>
        <w:ind w:left="720" w:hanging="720"/>
      </w:pPr>
    </w:p>
    <w:p w:rsidR="000745C8" w:rsidRPr="00EB6670" w:rsidP="000745C8" w14:paraId="20483769" w14:textId="77777777">
      <w:pPr>
        <w:widowControl/>
        <w:tabs>
          <w:tab w:val="left" w:pos="0"/>
        </w:tabs>
        <w:ind w:left="720" w:hanging="720"/>
      </w:pPr>
      <w:r w:rsidRPr="00EB6670">
        <w:t>For this project respondents will be given the standard remuneration of $50 approved by OMB</w:t>
      </w:r>
    </w:p>
    <w:p w:rsidR="000745C8" w:rsidRPr="00EB6670" w:rsidP="000745C8" w14:paraId="0D827EDB" w14:textId="77777777">
      <w:pPr>
        <w:widowControl/>
        <w:tabs>
          <w:tab w:val="left" w:pos="0"/>
        </w:tabs>
        <w:ind w:left="720" w:hanging="720"/>
      </w:pPr>
      <w:r w:rsidRPr="00EB6670">
        <w:t xml:space="preserve">on January 31, 2023, for CCQDER Generic data collection. For virtual interviews, respondents </w:t>
      </w:r>
    </w:p>
    <w:p w:rsidR="000745C8" w:rsidRPr="00EB6670" w:rsidP="000745C8" w14:paraId="62494484" w14:textId="77777777">
      <w:pPr>
        <w:widowControl/>
        <w:tabs>
          <w:tab w:val="left" w:pos="0"/>
        </w:tabs>
        <w:ind w:left="720" w:hanging="720"/>
      </w:pPr>
      <w:r w:rsidRPr="00EB6670">
        <w:t xml:space="preserve">will be emailed the activation code and link for an $50 electronic gift card or (if cash is used) </w:t>
      </w:r>
    </w:p>
    <w:p w:rsidR="000745C8" w:rsidRPr="00EB6670" w:rsidP="000745C8" w14:paraId="2FD65532" w14:textId="54EB1463">
      <w:pPr>
        <w:widowControl/>
        <w:tabs>
          <w:tab w:val="left" w:pos="0"/>
        </w:tabs>
        <w:ind w:left="720" w:hanging="720"/>
      </w:pPr>
      <w:r w:rsidRPr="00EB6670">
        <w:t>sent $50 in cash via FedEx within 7 business days for remuneration. For in</w:t>
      </w:r>
      <w:r w:rsidRPr="00EB6670" w:rsidR="001D5800">
        <w:t>-</w:t>
      </w:r>
      <w:r w:rsidRPr="00EB6670">
        <w:t xml:space="preserve">person interviews, </w:t>
      </w:r>
    </w:p>
    <w:p w:rsidR="004A4524" w:rsidRPr="00EB6670" w:rsidP="000745C8" w14:paraId="41B9304E" w14:textId="2AF7D4DA">
      <w:pPr>
        <w:widowControl/>
        <w:tabs>
          <w:tab w:val="left" w:pos="0"/>
        </w:tabs>
        <w:ind w:left="720" w:hanging="720"/>
      </w:pPr>
      <w:r w:rsidRPr="00EB6670">
        <w:t>respondents will be given $50 in cash at the end of the interview.</w:t>
      </w:r>
    </w:p>
    <w:p w:rsidR="00602983" w:rsidRPr="00EB6670" w:rsidP="00602983" w14:paraId="4073FCD1" w14:textId="77777777"/>
    <w:p w:rsidR="00602983" w:rsidRPr="00EB6670" w:rsidP="000745C8" w14:paraId="3CB6A901" w14:textId="4AD16B6D">
      <w:pPr>
        <w:widowControl/>
        <w:tabs>
          <w:tab w:val="left" w:pos="0"/>
        </w:tabs>
        <w:ind w:left="720" w:hanging="720"/>
        <w:rPr>
          <w:b/>
          <w:bCs/>
        </w:rPr>
      </w:pPr>
      <w:r w:rsidRPr="00EB6670">
        <w:rPr>
          <w:b/>
          <w:bCs/>
        </w:rPr>
        <w:t>10.</w:t>
      </w:r>
      <w:r w:rsidRPr="00EB6670">
        <w:rPr>
          <w:b/>
          <w:bCs/>
        </w:rPr>
        <w:tab/>
        <w:t xml:space="preserve">Protection of the Privacy and Confidentiality of Information Provided by Respondents </w:t>
      </w:r>
    </w:p>
    <w:p w:rsidR="0071791B" w:rsidRPr="00EB6670" w:rsidP="00602983" w14:paraId="6D878936" w14:textId="77777777">
      <w:pPr>
        <w:widowControl/>
        <w:tabs>
          <w:tab w:val="left" w:pos="0"/>
        </w:tabs>
        <w:ind w:left="720" w:hanging="720"/>
        <w:rPr>
          <w:b/>
          <w:bCs/>
        </w:rPr>
      </w:pPr>
    </w:p>
    <w:p w:rsidR="0071791B" w:rsidRPr="00EB6670" w:rsidP="00602983" w14:paraId="5853C71B" w14:textId="5AB43B8C">
      <w:pPr>
        <w:widowControl/>
        <w:tabs>
          <w:tab w:val="left" w:pos="0"/>
        </w:tabs>
        <w:ind w:left="720" w:hanging="720"/>
      </w:pPr>
      <w:r w:rsidRPr="00EB6670">
        <w:t>Data will be kept private to the extent allowed by law.</w:t>
      </w:r>
    </w:p>
    <w:p w:rsidR="00602983" w:rsidRPr="00EB6670" w:rsidP="00602983" w14:paraId="467E655A" w14:textId="77777777">
      <w:pPr>
        <w:widowControl/>
        <w:tabs>
          <w:tab w:val="left" w:pos="0"/>
        </w:tabs>
      </w:pPr>
    </w:p>
    <w:p w:rsidR="0071791B" w:rsidRPr="00EB6670" w:rsidP="0071791B" w14:paraId="7DEB2AEA" w14:textId="77777777">
      <w:r w:rsidRPr="00EB6670">
        <w:t>The CCQDER continues to collect, on a confidential basis, data needed in order to conduct CCQDER studies. Confidentiality provided to respondents is assured by adherence to Section 308(d) of the Public Health Service Act (42 U.S.C. 242m) which states:</w:t>
      </w:r>
    </w:p>
    <w:p w:rsidR="0071791B" w:rsidRPr="00EB6670" w:rsidP="0071791B" w14:paraId="41DA5AA1" w14:textId="77777777"/>
    <w:p w:rsidR="00602983" w:rsidRPr="00EB6670" w:rsidP="0071791B" w14:paraId="62223A7B" w14:textId="70D3A3A2">
      <w:r w:rsidRPr="00EB6670">
        <w:t>“No information, if an establishment or person supplying the information or described in it is identifiable, obtained in the course of activities undertaken or supported under section...306 (NCHS legislation),...may be used for any purpose other than the purpose for which it was supplied unless such establishment or person has consented (as determined under regulations of the Secretary) to its use for such other purpose and (1) in the case of information obtained in the course of health statistical or epidemiological activities under section...306, such information may not be published or released in other form if the particular establishment or person supplying the information or described in it is identifiable unless such establishment or person has consented (as determined under regulations of the Secretary) to its publication or release in other form...”</w:t>
      </w:r>
    </w:p>
    <w:p w:rsidR="0071791B" w:rsidRPr="00EB6670" w:rsidP="0071791B" w14:paraId="57A51F55" w14:textId="73A1AC05"/>
    <w:p w:rsidR="0071791B" w:rsidRPr="00EB6670" w:rsidP="0071791B" w14:paraId="2F02A00A" w14:textId="77777777">
      <w:r w:rsidRPr="00EB6670">
        <w:t>In addition, legislation covering confidentiality is provided according to the Confidential Information Protection and Statistical Efficiency Act or CIPSEA (44 U.S.C. 3561-3583), which states:</w:t>
      </w:r>
    </w:p>
    <w:p w:rsidR="0071791B" w:rsidRPr="00EB6670" w:rsidP="0029060A" w14:paraId="7358BEE8" w14:textId="12C2659E">
      <w:pPr>
        <w:spacing w:before="240"/>
      </w:pPr>
      <w:r w:rsidRPr="00EB6670">
        <w:t>“Whoever,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0071791B" w:rsidRPr="00EB6670" w:rsidP="0071791B" w14:paraId="7104E3A8" w14:textId="77777777">
      <w:pPr>
        <w:rPr>
          <w:color w:val="000000"/>
        </w:rPr>
      </w:pPr>
    </w:p>
    <w:p w:rsidR="00602983" w:rsidRPr="00EB6670" w:rsidP="00602983" w14:paraId="562A7618" w14:textId="77777777">
      <w:pPr>
        <w:widowControl/>
        <w:tabs>
          <w:tab w:val="left" w:pos="0"/>
        </w:tabs>
        <w:rPr>
          <w:b/>
          <w:u w:val="single"/>
        </w:rPr>
      </w:pPr>
      <w:r w:rsidRPr="00EB6670">
        <w:rPr>
          <w:b/>
          <w:bCs/>
          <w:u w:val="single"/>
        </w:rPr>
        <w:t>Confidentiality of responses and safeguarding of data at NCHS</w:t>
      </w:r>
    </w:p>
    <w:p w:rsidR="001D0C54" w:rsidRPr="00EB6670" w:rsidP="00602983" w14:paraId="4288FBE2" w14:textId="77777777">
      <w:pPr>
        <w:pStyle w:val="QuickFormat6"/>
        <w:widowControl/>
        <w:tabs>
          <w:tab w:val="left" w:pos="-324"/>
          <w:tab w:val="left" w:pos="0"/>
          <w:tab w:val="left" w:pos="3420"/>
        </w:tabs>
        <w:rPr>
          <w:rFonts w:ascii="Times New Roman" w:hAnsi="Times New Roman"/>
        </w:rPr>
      </w:pPr>
    </w:p>
    <w:p w:rsidR="00602983" w:rsidRPr="00EB6670" w:rsidP="00602983" w14:paraId="360168C3" w14:textId="1C33D3FC">
      <w:pPr>
        <w:pStyle w:val="QuickFormat6"/>
        <w:widowControl/>
        <w:tabs>
          <w:tab w:val="left" w:pos="-324"/>
          <w:tab w:val="left" w:pos="0"/>
          <w:tab w:val="left" w:pos="3420"/>
        </w:tabs>
        <w:rPr>
          <w:rFonts w:ascii="Times New Roman" w:hAnsi="Times New Roman"/>
        </w:rPr>
      </w:pPr>
      <w:r w:rsidRPr="00EB6670">
        <w:rPr>
          <w:rFonts w:ascii="Times New Roman" w:hAnsi="Times New Roman"/>
        </w:rPr>
        <w:t>The CCQDER has a routine set of administrative, technical, and physical measures to safeguard confidentiality. Specific protocol for storage of confidential data, QDRL Lab, Q-video, Q-Notes, and Q-Bank access is described in CCQDER’s generic clearance package. (OMB No. 0920-0222, exp. 01/31/2026)</w:t>
      </w:r>
      <w:r w:rsidRPr="00EB6670" w:rsidR="001D0C54">
        <w:rPr>
          <w:rFonts w:ascii="Times New Roman" w:hAnsi="Times New Roman"/>
        </w:rPr>
        <w:t>.</w:t>
      </w:r>
      <w:r w:rsidRPr="00EB6670">
        <w:rPr>
          <w:rFonts w:ascii="Times New Roman" w:hAnsi="Times New Roman"/>
        </w:rPr>
        <w:t xml:space="preserve"> </w:t>
      </w:r>
    </w:p>
    <w:p w:rsidR="00602983" w:rsidRPr="00EB6670" w:rsidP="00602983" w14:paraId="6F1CC5D9" w14:textId="77777777">
      <w:pPr>
        <w:pStyle w:val="QuickFormat6"/>
        <w:widowControl/>
        <w:tabs>
          <w:tab w:val="left" w:pos="-324"/>
          <w:tab w:val="left" w:pos="0"/>
          <w:tab w:val="left" w:pos="3420"/>
        </w:tabs>
        <w:rPr>
          <w:rFonts w:ascii="Times New Roman" w:hAnsi="Times New Roman"/>
        </w:rPr>
      </w:pPr>
    </w:p>
    <w:p w:rsidR="00602983" w:rsidRPr="00EB6670" w:rsidP="00602983" w14:paraId="3DDEFAD6" w14:textId="77777777">
      <w:pPr>
        <w:contextualSpacing/>
        <w:rPr>
          <w:b/>
          <w:u w:val="single"/>
        </w:rPr>
      </w:pPr>
      <w:r w:rsidRPr="00EB6670">
        <w:rPr>
          <w:b/>
          <w:u w:val="single"/>
        </w:rPr>
        <w:t>Records Retention Schedule for Cognitive Interviews</w:t>
      </w:r>
    </w:p>
    <w:p w:rsidR="00602983" w:rsidRPr="00EB6670" w:rsidP="00602983" w14:paraId="2E49B7E3" w14:textId="77777777">
      <w:pPr>
        <w:pStyle w:val="QuickFormat6"/>
        <w:widowControl/>
        <w:tabs>
          <w:tab w:val="left" w:pos="-324"/>
          <w:tab w:val="left" w:pos="0"/>
          <w:tab w:val="left" w:pos="3420"/>
        </w:tabs>
        <w:rPr>
          <w:rFonts w:ascii="Times New Roman" w:hAnsi="Times New Roman"/>
        </w:rPr>
      </w:pPr>
    </w:p>
    <w:p w:rsidR="00721E0F" w:rsidRPr="00EB6670" w:rsidP="00721E0F" w14:paraId="7BC2B91C" w14:textId="244A264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 w:rsidRPr="00EB6670">
        <w:t xml:space="preserve">Storage and retention of CCQDER data is guided by the CCQDER Data Storage and Access Policy which governs retention of interviews, their viewing audience, the data kept, and the length of time before retention of interviews is reassessed. The Data Storage and Access Policy </w:t>
      </w:r>
      <w:r w:rsidRPr="00EB6670">
        <w:t>has been approved by the NCHS ERB and is included in CCQDER’s generic OMB package. In accordance with this policy, data from the current project will be re-evaluated by the CCQDER Director to determine relevance, ongoing usefulness and qualitative value for likely use in question evaluation research after an initial retention period of</w:t>
      </w:r>
      <w:r w:rsidRPr="00EB6670" w:rsidR="00536983">
        <w:t xml:space="preserve"> 2 years. </w:t>
      </w:r>
      <w:r w:rsidRPr="00EB6670" w:rsidR="00CA3AC2">
        <w:t xml:space="preserve">The information of individuals who did not qualify for the study and opt into our respondent database will be kept for </w:t>
      </w:r>
      <w:r w:rsidRPr="00EB6670" w:rsidR="00536983">
        <w:t>2</w:t>
      </w:r>
      <w:r w:rsidRPr="00EB6670" w:rsidR="00CA3AC2">
        <w:t xml:space="preserve"> years</w:t>
      </w:r>
      <w:r w:rsidRPr="00EB6670">
        <w:t>. Removal from our database can be requested by emailing recruitmentteam@cdc.gov.</w:t>
      </w:r>
    </w:p>
    <w:p w:rsidR="000745C8" w:rsidRPr="00EB6670" w:rsidP="00602983" w14:paraId="17D18519"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p>
    <w:p w:rsidR="00602983" w:rsidRPr="00EB6670" w:rsidP="00602983" w14:paraId="1CE1881A" w14:textId="77777777">
      <w:pPr>
        <w:widowControl/>
        <w:tabs>
          <w:tab w:val="left" w:pos="0"/>
        </w:tabs>
        <w:ind w:left="720" w:hanging="720"/>
        <w:rPr>
          <w:b/>
          <w:bCs/>
        </w:rPr>
      </w:pPr>
    </w:p>
    <w:p w:rsidR="00602983" w:rsidRPr="00EB6670" w:rsidP="00602983" w14:paraId="132F184D" w14:textId="77777777">
      <w:pPr>
        <w:widowControl/>
        <w:tabs>
          <w:tab w:val="left" w:pos="0"/>
        </w:tabs>
        <w:ind w:left="720" w:hanging="720"/>
      </w:pPr>
      <w:r w:rsidRPr="00EB6670">
        <w:rPr>
          <w:b/>
          <w:bCs/>
        </w:rPr>
        <w:t>11.</w:t>
      </w:r>
      <w:r w:rsidRPr="00EB6670">
        <w:rPr>
          <w:b/>
          <w:bCs/>
        </w:rPr>
        <w:tab/>
        <w:t>Institutional Review Board (IRB) and Justification for Sensitive Questions</w:t>
      </w:r>
    </w:p>
    <w:p w:rsidR="00602983" w:rsidRPr="00EB6670" w:rsidP="00602983" w14:paraId="10C4070F" w14:textId="77777777">
      <w:pPr>
        <w:widowControl/>
        <w:tabs>
          <w:tab w:val="left" w:pos="0"/>
        </w:tabs>
      </w:pPr>
    </w:p>
    <w:p w:rsidR="004A4524" w:rsidRPr="00EB6670" w:rsidP="004A4524" w14:paraId="45895829" w14:textId="31C92102">
      <w:pPr>
        <w:widowControl/>
        <w:tabs>
          <w:tab w:val="left" w:pos="0"/>
        </w:tabs>
      </w:pPr>
      <w:r w:rsidRPr="00EB6670">
        <w:t xml:space="preserve">NCHS </w:t>
      </w:r>
      <w:r w:rsidRPr="00EB6670" w:rsidR="00877531">
        <w:t>and CDC Institutional</w:t>
      </w:r>
      <w:r w:rsidRPr="00EB6670">
        <w:t xml:space="preserve"> Review Board (</w:t>
      </w:r>
      <w:r w:rsidRPr="00EB6670" w:rsidR="00877531">
        <w:t>I</w:t>
      </w:r>
      <w:r w:rsidRPr="00EB6670">
        <w:t xml:space="preserve">RB) approved this data collection </w:t>
      </w:r>
      <w:r w:rsidRPr="00EB6670">
        <w:t>on (</w:t>
      </w:r>
      <w:r w:rsidRPr="00EB6670" w:rsidR="00C930AD">
        <w:t>02</w:t>
      </w:r>
      <w:r w:rsidRPr="00EB6670">
        <w:t>/</w:t>
      </w:r>
      <w:r w:rsidRPr="00EB6670" w:rsidR="00C930AD">
        <w:t>05</w:t>
      </w:r>
      <w:r w:rsidRPr="00EB6670">
        <w:t>/20</w:t>
      </w:r>
      <w:r w:rsidRPr="00EB6670" w:rsidR="004E4C97">
        <w:t>2</w:t>
      </w:r>
      <w:r w:rsidRPr="00EB6670" w:rsidR="00C930AD">
        <w:t>5</w:t>
      </w:r>
      <w:r w:rsidRPr="00EB6670">
        <w:t>: Note: The ERB Approval date will be inserted once NCHS ERB approval has been received).</w:t>
      </w:r>
    </w:p>
    <w:p w:rsidR="002B619B" w:rsidRPr="00EB6670" w:rsidP="00602983" w14:paraId="7292A63B" w14:textId="77777777">
      <w:pPr>
        <w:widowControl/>
        <w:tabs>
          <w:tab w:val="left" w:pos="0"/>
        </w:tabs>
        <w:rPr>
          <w:b/>
          <w:bCs/>
        </w:rPr>
      </w:pPr>
    </w:p>
    <w:p w:rsidR="00602983" w:rsidRPr="00EB6670" w:rsidP="00602983" w14:paraId="6D96AA4C" w14:textId="03D7382C">
      <w:pPr>
        <w:widowControl/>
        <w:tabs>
          <w:tab w:val="left" w:pos="0"/>
        </w:tabs>
        <w:rPr>
          <w:b/>
          <w:bCs/>
        </w:rPr>
      </w:pPr>
      <w:r w:rsidRPr="00EB6670">
        <w:rPr>
          <w:b/>
          <w:bCs/>
        </w:rPr>
        <w:t xml:space="preserve">12.  Estimates of Annualized Burden hours and costs </w:t>
      </w:r>
    </w:p>
    <w:p w:rsidR="00F2015F" w:rsidRPr="00EB6670" w:rsidP="00602983" w14:paraId="52D91826" w14:textId="77777777">
      <w:pPr>
        <w:widowControl/>
        <w:tabs>
          <w:tab w:val="left" w:pos="0"/>
        </w:tabs>
        <w:rPr>
          <w:b/>
          <w:bCs/>
        </w:rPr>
      </w:pPr>
    </w:p>
    <w:p w:rsidR="00F2015F" w:rsidRPr="00EB6670" w:rsidP="00602983" w14:paraId="6EF1A89E" w14:textId="513B9684">
      <w:pPr>
        <w:widowControl/>
        <w:tabs>
          <w:tab w:val="left" w:pos="0"/>
        </w:tabs>
      </w:pPr>
      <w:r w:rsidRPr="00EB6670">
        <w:t>In January 2023, OMB approved 71,925 total number of respondents and 21,</w:t>
      </w:r>
      <w:r w:rsidRPr="00EB6670" w:rsidR="008313A4">
        <w:t>905</w:t>
      </w:r>
      <w:r w:rsidRPr="00EB6670">
        <w:t xml:space="preserve"> total burden hours.  This GenIC NCHS is requesting</w:t>
      </w:r>
      <w:r w:rsidRPr="00EB6670" w:rsidR="001E778E">
        <w:t xml:space="preserve"> </w:t>
      </w:r>
      <w:r w:rsidRPr="00EB6670" w:rsidR="0006359F">
        <w:t>75</w:t>
      </w:r>
      <w:r w:rsidRPr="00EB6670">
        <w:t xml:space="preserve"> respondents and </w:t>
      </w:r>
      <w:r w:rsidRPr="00EB6670" w:rsidR="00F50CB5">
        <w:t>7</w:t>
      </w:r>
      <w:r w:rsidR="003B4B67">
        <w:t>2</w:t>
      </w:r>
      <w:r w:rsidRPr="00EB6670">
        <w:t xml:space="preserve"> burden hours.</w:t>
      </w:r>
    </w:p>
    <w:p w:rsidR="00602983" w:rsidRPr="00EB6670" w:rsidP="00602983" w14:paraId="2DA24DAC" w14:textId="77777777">
      <w:pPr>
        <w:pStyle w:val="HTMLPreformatted"/>
        <w:tabs>
          <w:tab w:val="left" w:pos="720"/>
        </w:tabs>
        <w:spacing w:line="360" w:lineRule="auto"/>
        <w:rPr>
          <w:sz w:val="24"/>
          <w:szCs w:val="24"/>
        </w:rPr>
      </w:pPr>
    </w:p>
    <w:p w:rsidR="00602983" w:rsidRPr="00EB6670" w:rsidP="00602983" w14:paraId="468A9DAB" w14:textId="3A1106E7">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rPr>
          <w:u w:val="single"/>
        </w:rPr>
      </w:pPr>
      <w:r w:rsidRPr="00EB6670">
        <w:rPr>
          <w:u w:val="single"/>
        </w:rPr>
        <w:t xml:space="preserve">Table </w:t>
      </w:r>
      <w:r w:rsidRPr="00EB6670" w:rsidR="00C930AD">
        <w:rPr>
          <w:u w:val="single"/>
        </w:rPr>
        <w:t>1</w:t>
      </w:r>
      <w:r w:rsidRPr="00EB6670">
        <w:rPr>
          <w:u w:val="single"/>
        </w:rPr>
        <w:t xml:space="preserve">:  Burden table for </w:t>
      </w:r>
      <w:r w:rsidRPr="00EB6670" w:rsidR="00F50CB5">
        <w:rPr>
          <w:u w:val="single"/>
        </w:rPr>
        <w:t>IDD Point-of-Care</w:t>
      </w:r>
      <w:r w:rsidRPr="00EB6670">
        <w:rPr>
          <w:u w:val="single"/>
        </w:rPr>
        <w:t>:</w:t>
      </w:r>
    </w:p>
    <w:p w:rsidR="00602983" w:rsidRPr="00EB6670" w:rsidP="00602983" w14:paraId="4ECF8F53" w14:textId="77777777">
      <w:pPr>
        <w:ind w:left="36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7"/>
        <w:gridCol w:w="1688"/>
        <w:gridCol w:w="2590"/>
        <w:gridCol w:w="1461"/>
        <w:gridCol w:w="1504"/>
      </w:tblGrid>
      <w:tr w14:paraId="6065C7E7" w14:textId="77777777" w:rsidTr="00043F1F">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70" w:type="dxa"/>
            <w:shd w:val="clear" w:color="auto" w:fill="auto"/>
          </w:tcPr>
          <w:p w:rsidR="00602983" w:rsidRPr="00EB6670" w:rsidP="00043F1F" w14:paraId="0BBA33B4" w14:textId="77777777">
            <w:pPr>
              <w:rPr>
                <w:rFonts w:cs="Angsana New"/>
                <w:b/>
                <w:sz w:val="22"/>
                <w:szCs w:val="22"/>
              </w:rPr>
            </w:pPr>
            <w:r w:rsidRPr="00EB6670">
              <w:rPr>
                <w:rFonts w:cs="Angsana New"/>
                <w:b/>
                <w:sz w:val="22"/>
                <w:szCs w:val="22"/>
              </w:rPr>
              <w:t>Form Name</w:t>
            </w:r>
          </w:p>
        </w:tc>
        <w:tc>
          <w:tcPr>
            <w:tcW w:w="1833" w:type="dxa"/>
            <w:shd w:val="clear" w:color="auto" w:fill="auto"/>
          </w:tcPr>
          <w:p w:rsidR="00602983" w:rsidRPr="00EB6670" w:rsidP="00043F1F" w14:paraId="015E3DFC" w14:textId="77777777">
            <w:pPr>
              <w:rPr>
                <w:rFonts w:cs="Angsana New"/>
                <w:b/>
              </w:rPr>
            </w:pPr>
            <w:r w:rsidRPr="00EB6670">
              <w:rPr>
                <w:rFonts w:cs="Angsana New"/>
                <w:b/>
              </w:rPr>
              <w:t>Number of Participants</w:t>
            </w:r>
          </w:p>
        </w:tc>
        <w:tc>
          <w:tcPr>
            <w:tcW w:w="2590" w:type="dxa"/>
            <w:shd w:val="clear" w:color="auto" w:fill="auto"/>
          </w:tcPr>
          <w:p w:rsidR="00602983" w:rsidRPr="00EB6670" w:rsidP="00043F1F" w14:paraId="177CABDD" w14:textId="77777777">
            <w:pPr>
              <w:rPr>
                <w:rFonts w:cs="Angsana New"/>
                <w:b/>
              </w:rPr>
            </w:pPr>
            <w:r w:rsidRPr="00EB6670">
              <w:rPr>
                <w:rFonts w:cs="Angsana New"/>
                <w:b/>
              </w:rPr>
              <w:t>Number of Responses/Participants</w:t>
            </w:r>
          </w:p>
        </w:tc>
        <w:tc>
          <w:tcPr>
            <w:tcW w:w="1695" w:type="dxa"/>
            <w:shd w:val="clear" w:color="auto" w:fill="auto"/>
          </w:tcPr>
          <w:p w:rsidR="00602983" w:rsidRPr="00EB6670" w:rsidP="00043F1F" w14:paraId="24DA036C" w14:textId="77777777">
            <w:pPr>
              <w:rPr>
                <w:rFonts w:cs="Angsana New"/>
                <w:b/>
              </w:rPr>
            </w:pPr>
            <w:r w:rsidRPr="00EB6670">
              <w:rPr>
                <w:rFonts w:cs="Angsana New"/>
                <w:b/>
              </w:rPr>
              <w:t>Average hours per response</w:t>
            </w:r>
          </w:p>
        </w:tc>
        <w:tc>
          <w:tcPr>
            <w:tcW w:w="1722" w:type="dxa"/>
            <w:shd w:val="clear" w:color="auto" w:fill="auto"/>
          </w:tcPr>
          <w:p w:rsidR="00602983" w:rsidRPr="00EB6670" w:rsidP="00043F1F" w14:paraId="5AC205CF" w14:textId="77777777">
            <w:pPr>
              <w:rPr>
                <w:rFonts w:cs="Angsana New"/>
                <w:b/>
              </w:rPr>
            </w:pPr>
            <w:r w:rsidRPr="00EB6670">
              <w:rPr>
                <w:rFonts w:cs="Angsana New"/>
                <w:b/>
              </w:rPr>
              <w:t>Response Burden (in hours)</w:t>
            </w:r>
          </w:p>
        </w:tc>
      </w:tr>
      <w:tr w14:paraId="1F1948F7" w14:textId="77777777" w:rsidTr="00043F1F">
        <w:tblPrEx>
          <w:tblW w:w="0" w:type="auto"/>
          <w:tblInd w:w="360" w:type="dxa"/>
          <w:tblLook w:val="04A0"/>
        </w:tblPrEx>
        <w:tc>
          <w:tcPr>
            <w:tcW w:w="1870" w:type="dxa"/>
            <w:shd w:val="clear" w:color="auto" w:fill="auto"/>
          </w:tcPr>
          <w:p w:rsidR="00602983" w:rsidRPr="00EB6670" w:rsidP="00043F1F" w14:paraId="3BB2C814" w14:textId="71B32718">
            <w:pPr>
              <w:rPr>
                <w:rFonts w:cs="Angsana New"/>
              </w:rPr>
            </w:pPr>
            <w:r w:rsidRPr="00EB6670">
              <w:rPr>
                <w:rFonts w:cs="Angsana New"/>
              </w:rPr>
              <w:t xml:space="preserve">Screener (all recruitment methods as described above (Attachment </w:t>
            </w:r>
            <w:r w:rsidRPr="00EB6670" w:rsidR="00C930AD">
              <w:rPr>
                <w:rFonts w:cs="Angsana New"/>
              </w:rPr>
              <w:t>4</w:t>
            </w:r>
            <w:r w:rsidRPr="00EB6670">
              <w:rPr>
                <w:rFonts w:cs="Angsana New"/>
              </w:rPr>
              <w:t>)</w:t>
            </w:r>
          </w:p>
        </w:tc>
        <w:tc>
          <w:tcPr>
            <w:tcW w:w="1833" w:type="dxa"/>
            <w:shd w:val="clear" w:color="auto" w:fill="auto"/>
          </w:tcPr>
          <w:p w:rsidR="00602983" w:rsidRPr="00EB6670" w:rsidP="00043F1F" w14:paraId="54B274F7" w14:textId="1F139519">
            <w:pPr>
              <w:rPr>
                <w:rFonts w:cs="Angsana New"/>
              </w:rPr>
            </w:pPr>
            <w:r w:rsidRPr="00EB6670">
              <w:rPr>
                <w:rFonts w:cs="Angsana New"/>
              </w:rPr>
              <w:t>75</w:t>
            </w:r>
          </w:p>
        </w:tc>
        <w:tc>
          <w:tcPr>
            <w:tcW w:w="2590" w:type="dxa"/>
            <w:shd w:val="clear" w:color="auto" w:fill="auto"/>
          </w:tcPr>
          <w:p w:rsidR="00602983" w:rsidRPr="00EB6670" w:rsidP="00043F1F" w14:paraId="5D3E0F6E" w14:textId="1359B43C">
            <w:pPr>
              <w:rPr>
                <w:rFonts w:cs="Angsana New"/>
              </w:rPr>
            </w:pPr>
            <w:r w:rsidRPr="00EB6670">
              <w:rPr>
                <w:rFonts w:cs="Angsana New"/>
              </w:rPr>
              <w:t>1</w:t>
            </w:r>
          </w:p>
        </w:tc>
        <w:tc>
          <w:tcPr>
            <w:tcW w:w="1695" w:type="dxa"/>
            <w:shd w:val="clear" w:color="auto" w:fill="auto"/>
          </w:tcPr>
          <w:p w:rsidR="00602983" w:rsidRPr="00EB6670" w:rsidP="00043F1F" w14:paraId="30E2D7C9" w14:textId="2224F0F7">
            <w:pPr>
              <w:rPr>
                <w:rFonts w:cs="Angsana New"/>
              </w:rPr>
            </w:pPr>
            <w:r w:rsidRPr="00EB6670">
              <w:rPr>
                <w:rFonts w:cs="Angsana New"/>
              </w:rPr>
              <w:t>5/</w:t>
            </w:r>
            <w:r w:rsidRPr="00EB6670" w:rsidR="001703CB">
              <w:rPr>
                <w:rFonts w:cs="Angsana New"/>
              </w:rPr>
              <w:t>60</w:t>
            </w:r>
          </w:p>
        </w:tc>
        <w:tc>
          <w:tcPr>
            <w:tcW w:w="1722" w:type="dxa"/>
            <w:shd w:val="clear" w:color="auto" w:fill="auto"/>
          </w:tcPr>
          <w:p w:rsidR="00602983" w:rsidRPr="00EB6670" w:rsidP="00043F1F" w14:paraId="097D1848" w14:textId="5174FCA2">
            <w:pPr>
              <w:rPr>
                <w:rFonts w:cs="Angsana New"/>
              </w:rPr>
            </w:pPr>
            <w:r w:rsidRPr="00EB6670">
              <w:rPr>
                <w:rFonts w:cs="Angsana New"/>
              </w:rPr>
              <w:t>6</w:t>
            </w:r>
          </w:p>
        </w:tc>
      </w:tr>
      <w:tr w14:paraId="056238BB" w14:textId="77777777" w:rsidTr="00043F1F">
        <w:tblPrEx>
          <w:tblW w:w="0" w:type="auto"/>
          <w:tblInd w:w="360" w:type="dxa"/>
          <w:tblLook w:val="04A0"/>
        </w:tblPrEx>
        <w:tc>
          <w:tcPr>
            <w:tcW w:w="1870" w:type="dxa"/>
            <w:shd w:val="clear" w:color="auto" w:fill="auto"/>
          </w:tcPr>
          <w:p w:rsidR="000A0611" w:rsidRPr="00EB6670" w:rsidP="00043F1F" w14:paraId="72846B12" w14:textId="3885F23F">
            <w:pPr>
              <w:rPr>
                <w:rFonts w:cs="Angsana New"/>
              </w:rPr>
            </w:pPr>
            <w:r w:rsidRPr="00EB6670">
              <w:rPr>
                <w:rFonts w:cs="Angsana New"/>
              </w:rPr>
              <w:t xml:space="preserve">Virtual interview </w:t>
            </w:r>
            <w:r w:rsidR="00A24E8D">
              <w:rPr>
                <w:rFonts w:cs="Angsana New"/>
              </w:rPr>
              <w:t xml:space="preserve"> </w:t>
            </w:r>
            <w:r w:rsidR="00A73403">
              <w:rPr>
                <w:rFonts w:cs="Angsana New"/>
              </w:rPr>
              <w:t>Microsoft</w:t>
            </w:r>
            <w:r w:rsidR="00A24E8D">
              <w:rPr>
                <w:rFonts w:cs="Angsana New"/>
              </w:rPr>
              <w:t xml:space="preserve"> </w:t>
            </w:r>
            <w:r w:rsidR="00A73403">
              <w:rPr>
                <w:rFonts w:cs="Angsana New"/>
              </w:rPr>
              <w:t>TEAMS</w:t>
            </w:r>
            <w:r w:rsidRPr="00EB6670" w:rsidR="00A73403">
              <w:rPr>
                <w:rFonts w:cs="Angsana New"/>
              </w:rPr>
              <w:t xml:space="preserve"> set</w:t>
            </w:r>
            <w:r w:rsidRPr="00EB6670">
              <w:rPr>
                <w:rFonts w:cs="Angsana New"/>
              </w:rPr>
              <w:t xml:space="preserve"> up support*</w:t>
            </w:r>
          </w:p>
        </w:tc>
        <w:tc>
          <w:tcPr>
            <w:tcW w:w="1833" w:type="dxa"/>
            <w:shd w:val="clear" w:color="auto" w:fill="auto"/>
          </w:tcPr>
          <w:p w:rsidR="000A0611" w:rsidRPr="00EB6670" w:rsidP="00043F1F" w14:paraId="5D0C7D5C" w14:textId="1B93929B">
            <w:pPr>
              <w:rPr>
                <w:rFonts w:cs="Angsana New"/>
              </w:rPr>
            </w:pPr>
            <w:r w:rsidRPr="00EB6670">
              <w:rPr>
                <w:rFonts w:cs="Angsana New"/>
              </w:rPr>
              <w:t>50</w:t>
            </w:r>
          </w:p>
        </w:tc>
        <w:tc>
          <w:tcPr>
            <w:tcW w:w="2590" w:type="dxa"/>
            <w:shd w:val="clear" w:color="auto" w:fill="auto"/>
          </w:tcPr>
          <w:p w:rsidR="000A0611" w:rsidRPr="00EB6670" w:rsidP="00043F1F" w14:paraId="43321AF2" w14:textId="076C1622">
            <w:pPr>
              <w:rPr>
                <w:rFonts w:cs="Angsana New"/>
              </w:rPr>
            </w:pPr>
            <w:r w:rsidRPr="00EB6670">
              <w:rPr>
                <w:rFonts w:cs="Angsana New"/>
              </w:rPr>
              <w:t>1</w:t>
            </w:r>
          </w:p>
        </w:tc>
        <w:tc>
          <w:tcPr>
            <w:tcW w:w="1695" w:type="dxa"/>
            <w:shd w:val="clear" w:color="auto" w:fill="auto"/>
          </w:tcPr>
          <w:p w:rsidR="000A0611" w:rsidRPr="00EB6670" w:rsidP="00043F1F" w14:paraId="74409EA9" w14:textId="5240313D">
            <w:pPr>
              <w:rPr>
                <w:rFonts w:cs="Angsana New"/>
              </w:rPr>
            </w:pPr>
            <w:r w:rsidRPr="00EB6670">
              <w:rPr>
                <w:rFonts w:cs="Angsana New"/>
              </w:rPr>
              <w:t>5/60</w:t>
            </w:r>
          </w:p>
        </w:tc>
        <w:tc>
          <w:tcPr>
            <w:tcW w:w="1722" w:type="dxa"/>
            <w:shd w:val="clear" w:color="auto" w:fill="auto"/>
          </w:tcPr>
          <w:p w:rsidR="000A0611" w:rsidRPr="00EB6670" w:rsidP="00043F1F" w14:paraId="6E13B70C" w14:textId="69E57C74">
            <w:pPr>
              <w:rPr>
                <w:rFonts w:cs="Angsana New"/>
              </w:rPr>
            </w:pPr>
            <w:r w:rsidRPr="00EB6670">
              <w:rPr>
                <w:rFonts w:cs="Angsana New"/>
              </w:rPr>
              <w:t>4</w:t>
            </w:r>
          </w:p>
        </w:tc>
      </w:tr>
      <w:tr w14:paraId="30F08CEB" w14:textId="77777777" w:rsidTr="00043F1F">
        <w:tblPrEx>
          <w:tblW w:w="0" w:type="auto"/>
          <w:tblInd w:w="360" w:type="dxa"/>
          <w:tblLook w:val="04A0"/>
        </w:tblPrEx>
        <w:tc>
          <w:tcPr>
            <w:tcW w:w="1870" w:type="dxa"/>
            <w:shd w:val="clear" w:color="auto" w:fill="auto"/>
          </w:tcPr>
          <w:p w:rsidR="00602983" w:rsidRPr="00EB6670" w:rsidP="00043F1F" w14:paraId="2810F829" w14:textId="77777777">
            <w:pPr>
              <w:rPr>
                <w:rFonts w:cs="Angsana New"/>
              </w:rPr>
            </w:pPr>
            <w:r w:rsidRPr="00EB6670">
              <w:rPr>
                <w:rFonts w:cs="Angsana New"/>
              </w:rPr>
              <w:t>Questionnaire</w:t>
            </w:r>
          </w:p>
        </w:tc>
        <w:tc>
          <w:tcPr>
            <w:tcW w:w="1833" w:type="dxa"/>
            <w:shd w:val="clear" w:color="auto" w:fill="auto"/>
          </w:tcPr>
          <w:p w:rsidR="00602983" w:rsidRPr="00EB6670" w:rsidP="00043F1F" w14:paraId="2E0CFADD" w14:textId="6AA9EA61">
            <w:pPr>
              <w:rPr>
                <w:rFonts w:cs="Angsana New"/>
              </w:rPr>
            </w:pPr>
            <w:r w:rsidRPr="00EB6670">
              <w:rPr>
                <w:rFonts w:cs="Angsana New"/>
              </w:rPr>
              <w:t>5</w:t>
            </w:r>
            <w:r w:rsidRPr="00EB6670" w:rsidR="001E778E">
              <w:rPr>
                <w:rFonts w:cs="Angsana New"/>
              </w:rPr>
              <w:t>0</w:t>
            </w:r>
          </w:p>
        </w:tc>
        <w:tc>
          <w:tcPr>
            <w:tcW w:w="2590" w:type="dxa"/>
            <w:shd w:val="clear" w:color="auto" w:fill="auto"/>
          </w:tcPr>
          <w:p w:rsidR="00602983" w:rsidRPr="00EB6670" w:rsidP="00043F1F" w14:paraId="4300AC14" w14:textId="63A4D36E">
            <w:pPr>
              <w:rPr>
                <w:rFonts w:cs="Angsana New"/>
              </w:rPr>
            </w:pPr>
            <w:r w:rsidRPr="00EB6670">
              <w:rPr>
                <w:rFonts w:cs="Angsana New"/>
              </w:rPr>
              <w:t>1</w:t>
            </w:r>
          </w:p>
        </w:tc>
        <w:tc>
          <w:tcPr>
            <w:tcW w:w="1695" w:type="dxa"/>
            <w:shd w:val="clear" w:color="auto" w:fill="auto"/>
          </w:tcPr>
          <w:p w:rsidR="00602983" w:rsidRPr="00EB6670" w:rsidP="00043F1F" w14:paraId="0BD65329" w14:textId="24002042">
            <w:pPr>
              <w:rPr>
                <w:rFonts w:cs="Angsana New"/>
              </w:rPr>
            </w:pPr>
            <w:r w:rsidRPr="00EB6670">
              <w:rPr>
                <w:rFonts w:cs="Angsana New"/>
              </w:rPr>
              <w:t>7</w:t>
            </w:r>
            <w:r w:rsidR="003B4B67">
              <w:rPr>
                <w:rFonts w:cs="Angsana New"/>
              </w:rPr>
              <w:t>0</w:t>
            </w:r>
            <w:r w:rsidRPr="00EB6670" w:rsidR="001E778E">
              <w:rPr>
                <w:rFonts w:cs="Angsana New"/>
              </w:rPr>
              <w:t>/60</w:t>
            </w:r>
          </w:p>
        </w:tc>
        <w:tc>
          <w:tcPr>
            <w:tcW w:w="1722" w:type="dxa"/>
            <w:shd w:val="clear" w:color="auto" w:fill="auto"/>
          </w:tcPr>
          <w:p w:rsidR="00602983" w:rsidRPr="00EB6670" w:rsidP="00043F1F" w14:paraId="384101D8" w14:textId="65B7A382">
            <w:pPr>
              <w:rPr>
                <w:rFonts w:cs="Angsana New"/>
              </w:rPr>
            </w:pPr>
            <w:r>
              <w:rPr>
                <w:rFonts w:cs="Angsana New"/>
              </w:rPr>
              <w:t>58</w:t>
            </w:r>
          </w:p>
        </w:tc>
      </w:tr>
      <w:tr w14:paraId="1998BBAA" w14:textId="77777777" w:rsidTr="00043F1F">
        <w:tblPrEx>
          <w:tblW w:w="0" w:type="auto"/>
          <w:tblInd w:w="360" w:type="dxa"/>
          <w:tblLook w:val="04A0"/>
        </w:tblPrEx>
        <w:tc>
          <w:tcPr>
            <w:tcW w:w="1870" w:type="dxa"/>
            <w:shd w:val="clear" w:color="auto" w:fill="auto"/>
          </w:tcPr>
          <w:p w:rsidR="00602983" w:rsidRPr="00EB6670" w:rsidP="00043F1F" w14:paraId="175AD7DC" w14:textId="77777777">
            <w:pPr>
              <w:rPr>
                <w:rFonts w:cs="Angsana New"/>
              </w:rPr>
            </w:pPr>
            <w:r w:rsidRPr="00EB6670">
              <w:rPr>
                <w:rFonts w:cs="Angsana New"/>
              </w:rPr>
              <w:t xml:space="preserve">Respondent Data Collection Sheets </w:t>
            </w:r>
          </w:p>
        </w:tc>
        <w:tc>
          <w:tcPr>
            <w:tcW w:w="1833" w:type="dxa"/>
            <w:shd w:val="clear" w:color="auto" w:fill="auto"/>
          </w:tcPr>
          <w:p w:rsidR="00602983" w:rsidRPr="00EB6670" w:rsidP="00043F1F" w14:paraId="1317C726" w14:textId="34562592">
            <w:pPr>
              <w:rPr>
                <w:rFonts w:cs="Angsana New"/>
              </w:rPr>
            </w:pPr>
            <w:r w:rsidRPr="00EB6670">
              <w:rPr>
                <w:rFonts w:cs="Angsana New"/>
              </w:rPr>
              <w:t>5</w:t>
            </w:r>
            <w:r w:rsidRPr="00EB6670" w:rsidR="001E778E">
              <w:rPr>
                <w:rFonts w:cs="Angsana New"/>
              </w:rPr>
              <w:t>0</w:t>
            </w:r>
          </w:p>
        </w:tc>
        <w:tc>
          <w:tcPr>
            <w:tcW w:w="2590" w:type="dxa"/>
            <w:shd w:val="clear" w:color="auto" w:fill="auto"/>
          </w:tcPr>
          <w:p w:rsidR="00602983" w:rsidRPr="00EB6670" w:rsidP="00043F1F" w14:paraId="123FC770" w14:textId="6680E04D">
            <w:pPr>
              <w:rPr>
                <w:rFonts w:cs="Angsana New"/>
              </w:rPr>
            </w:pPr>
            <w:r w:rsidRPr="00EB6670">
              <w:rPr>
                <w:rFonts w:cs="Angsana New"/>
              </w:rPr>
              <w:t>1</w:t>
            </w:r>
          </w:p>
        </w:tc>
        <w:tc>
          <w:tcPr>
            <w:tcW w:w="1695" w:type="dxa"/>
            <w:shd w:val="clear" w:color="auto" w:fill="auto"/>
          </w:tcPr>
          <w:p w:rsidR="00602983" w:rsidRPr="00EB6670" w:rsidP="00043F1F" w14:paraId="33D2C3DE" w14:textId="5C3407C8">
            <w:pPr>
              <w:rPr>
                <w:rFonts w:cs="Angsana New"/>
              </w:rPr>
            </w:pPr>
            <w:r w:rsidRPr="00EB6670">
              <w:rPr>
                <w:rFonts w:cs="Angsana New"/>
              </w:rPr>
              <w:t>5/60</w:t>
            </w:r>
          </w:p>
        </w:tc>
        <w:tc>
          <w:tcPr>
            <w:tcW w:w="1722" w:type="dxa"/>
            <w:shd w:val="clear" w:color="auto" w:fill="auto"/>
          </w:tcPr>
          <w:p w:rsidR="00602983" w:rsidRPr="00EB6670" w:rsidP="00043F1F" w14:paraId="37B0ED9F" w14:textId="08689D99">
            <w:pPr>
              <w:rPr>
                <w:rFonts w:cs="Angsana New"/>
              </w:rPr>
            </w:pPr>
            <w:r w:rsidRPr="00EB6670">
              <w:rPr>
                <w:rFonts w:cs="Angsana New"/>
              </w:rPr>
              <w:t>4</w:t>
            </w:r>
          </w:p>
        </w:tc>
      </w:tr>
      <w:tr w14:paraId="0147F6BD" w14:textId="77777777" w:rsidTr="00043F1F">
        <w:tblPrEx>
          <w:tblW w:w="0" w:type="auto"/>
          <w:tblInd w:w="360" w:type="dxa"/>
          <w:tblLook w:val="04A0"/>
        </w:tblPrEx>
        <w:tc>
          <w:tcPr>
            <w:tcW w:w="1870" w:type="dxa"/>
            <w:shd w:val="clear" w:color="auto" w:fill="auto"/>
          </w:tcPr>
          <w:p w:rsidR="00602983" w:rsidRPr="00EB6670" w:rsidP="00043F1F" w14:paraId="13642680" w14:textId="77777777">
            <w:pPr>
              <w:rPr>
                <w:rFonts w:cs="Angsana New"/>
              </w:rPr>
            </w:pPr>
            <w:r w:rsidRPr="00EB6670">
              <w:rPr>
                <w:rFonts w:cs="Angsana New"/>
              </w:rPr>
              <w:t>Total</w:t>
            </w:r>
          </w:p>
        </w:tc>
        <w:tc>
          <w:tcPr>
            <w:tcW w:w="1833" w:type="dxa"/>
            <w:shd w:val="clear" w:color="auto" w:fill="auto"/>
          </w:tcPr>
          <w:p w:rsidR="00602983" w:rsidRPr="00EB6670" w:rsidP="00043F1F" w14:paraId="0425C9C1" w14:textId="16D13744">
            <w:pPr>
              <w:rPr>
                <w:rFonts w:cs="Angsana New"/>
              </w:rPr>
            </w:pPr>
          </w:p>
        </w:tc>
        <w:tc>
          <w:tcPr>
            <w:tcW w:w="2590" w:type="dxa"/>
            <w:shd w:val="clear" w:color="auto" w:fill="auto"/>
          </w:tcPr>
          <w:p w:rsidR="00602983" w:rsidRPr="00EB6670" w:rsidP="00043F1F" w14:paraId="38B9AF01" w14:textId="77777777">
            <w:pPr>
              <w:rPr>
                <w:rFonts w:cs="Angsana New"/>
              </w:rPr>
            </w:pPr>
          </w:p>
        </w:tc>
        <w:tc>
          <w:tcPr>
            <w:tcW w:w="1695" w:type="dxa"/>
            <w:shd w:val="clear" w:color="auto" w:fill="auto"/>
          </w:tcPr>
          <w:p w:rsidR="00602983" w:rsidRPr="00EB6670" w:rsidP="00043F1F" w14:paraId="467B948D" w14:textId="77777777">
            <w:pPr>
              <w:rPr>
                <w:rFonts w:cs="Angsana New"/>
              </w:rPr>
            </w:pPr>
          </w:p>
        </w:tc>
        <w:tc>
          <w:tcPr>
            <w:tcW w:w="1722" w:type="dxa"/>
            <w:shd w:val="clear" w:color="auto" w:fill="auto"/>
          </w:tcPr>
          <w:p w:rsidR="00602983" w:rsidRPr="00EB6670" w:rsidP="00043F1F" w14:paraId="0DFEC13D" w14:textId="4FA3B264">
            <w:pPr>
              <w:rPr>
                <w:rFonts w:cs="Angsana New"/>
              </w:rPr>
            </w:pPr>
            <w:r w:rsidRPr="00EB6670">
              <w:rPr>
                <w:rFonts w:cs="Angsana New"/>
              </w:rPr>
              <w:t>7</w:t>
            </w:r>
            <w:r w:rsidR="003B4B67">
              <w:rPr>
                <w:rFonts w:cs="Angsana New"/>
              </w:rPr>
              <w:t>2</w:t>
            </w:r>
          </w:p>
        </w:tc>
      </w:tr>
    </w:tbl>
    <w:p w:rsidR="00602983" w:rsidRPr="000A0611" w:rsidP="000A0611" w14:paraId="40D15F44" w14:textId="7DFB9B68">
      <w:pPr>
        <w:ind w:left="720"/>
        <w:rPr>
          <w:i/>
          <w:iCs/>
        </w:rPr>
      </w:pPr>
      <w:r w:rsidRPr="00EB6670">
        <w:rPr>
          <w:i/>
          <w:iCs/>
          <w:sz w:val="20"/>
          <w:szCs w:val="20"/>
        </w:rPr>
        <w:t xml:space="preserve">*The maximum is shown but some respondents may not need support and some interviews may be conducted in-person, in which case there would be no additional time for </w:t>
      </w:r>
      <w:r w:rsidR="00A24E8D">
        <w:rPr>
          <w:i/>
          <w:iCs/>
          <w:sz w:val="20"/>
          <w:szCs w:val="20"/>
        </w:rPr>
        <w:t>Microsoft TEAMS</w:t>
      </w:r>
      <w:r w:rsidRPr="00EB6670">
        <w:rPr>
          <w:i/>
          <w:iCs/>
          <w:sz w:val="20"/>
          <w:szCs w:val="20"/>
        </w:rPr>
        <w:t xml:space="preserve"> set-up added.</w:t>
      </w:r>
    </w:p>
    <w:p w:rsidR="00755641" w14:paraId="2FD89FA9" w14:textId="77777777"/>
    <w:sectPr w:rsidSect="00CE6F6E">
      <w:footerReference w:type="default" r:id="rId6"/>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5148610"/>
      <w:docPartObj>
        <w:docPartGallery w:val="Page Numbers (Bottom of Page)"/>
        <w:docPartUnique/>
      </w:docPartObj>
    </w:sdtPr>
    <w:sdtEndPr>
      <w:rPr>
        <w:noProof/>
      </w:rPr>
    </w:sdtEndPr>
    <w:sdtContent>
      <w:p w:rsidR="00CE6F6E" w14:paraId="2724CD43" w14:textId="364F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E6F6E" w14:paraId="67AB381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741A" w:rsidP="002C01E0" w14:paraId="6097E640" w14:textId="77777777">
      <w:r>
        <w:separator/>
      </w:r>
    </w:p>
  </w:footnote>
  <w:footnote w:type="continuationSeparator" w:id="1">
    <w:p w:rsidR="0077741A" w:rsidP="002C01E0" w14:paraId="60FCF9C3" w14:textId="77777777">
      <w:r>
        <w:continuationSeparator/>
      </w:r>
    </w:p>
  </w:footnote>
  <w:footnote w:id="2">
    <w:p w:rsidR="00544FCF" w:rsidRPr="00544FCF" w:rsidP="00544FCF" w14:paraId="6F015C00" w14:textId="77777777">
      <w:pPr>
        <w:pStyle w:val="paragraph"/>
        <w:spacing w:before="0" w:beforeAutospacing="0" w:after="0" w:afterAutospacing="0"/>
        <w:textAlignment w:val="baseline"/>
        <w:rPr>
          <w:sz w:val="18"/>
          <w:szCs w:val="18"/>
        </w:rPr>
      </w:pPr>
      <w:r w:rsidRPr="00544FCF">
        <w:rPr>
          <w:rStyle w:val="FootnoteReference"/>
          <w:sz w:val="18"/>
          <w:szCs w:val="18"/>
        </w:rPr>
        <w:footnoteRef/>
      </w:r>
      <w:r w:rsidRPr="00544FCF">
        <w:rPr>
          <w:sz w:val="18"/>
          <w:szCs w:val="18"/>
        </w:rPr>
        <w:t xml:space="preserve"> </w:t>
      </w:r>
      <w:r w:rsidRPr="00544FCF">
        <w:rPr>
          <w:rStyle w:val="normaltextrun"/>
          <w:sz w:val="18"/>
          <w:szCs w:val="18"/>
        </w:rPr>
        <w:t>Van Naarden Braun K, Christensen D, Doernberg N, Schieve L, Rice C, Wiggins L, Schendel D, Yeargin-Allsopp M. Trends in the prevalence of autism spectrum disorder, cerebral palsy, hearing loss, intellectual disability, and vision impairment, metropolitan Atlanta, 1991–2010. PloS one. 2015 Apr 29;10(4):e0124120.</w:t>
      </w:r>
      <w:r w:rsidRPr="00544FCF">
        <w:rPr>
          <w:rStyle w:val="eop"/>
          <w:sz w:val="18"/>
          <w:szCs w:val="18"/>
        </w:rPr>
        <w:t> </w:t>
      </w:r>
    </w:p>
    <w:p w:rsidR="00544FCF" w:rsidRPr="00544FCF" w:rsidP="00544FCF" w14:paraId="223369BB" w14:textId="77777777">
      <w:pPr>
        <w:pStyle w:val="paragraph"/>
        <w:spacing w:before="0" w:beforeAutospacing="0" w:after="0" w:afterAutospacing="0"/>
        <w:textAlignment w:val="baseline"/>
        <w:rPr>
          <w:sz w:val="18"/>
          <w:szCs w:val="18"/>
        </w:rPr>
      </w:pPr>
      <w:hyperlink r:id="rId1" w:tgtFrame="_blank" w:history="1">
        <w:r w:rsidRPr="00544FCF">
          <w:rPr>
            <w:rStyle w:val="normaltextrun"/>
            <w:color w:val="0563C1"/>
            <w:sz w:val="18"/>
            <w:szCs w:val="18"/>
            <w:u w:val="single"/>
          </w:rPr>
          <w:t>journals.plos.org/plosone/article?id=10.1371/journal.pone.0124120</w:t>
        </w:r>
      </w:hyperlink>
      <w:r w:rsidRPr="00544FCF">
        <w:rPr>
          <w:rStyle w:val="eop"/>
          <w:sz w:val="18"/>
          <w:szCs w:val="18"/>
        </w:rPr>
        <w:t> </w:t>
      </w:r>
    </w:p>
    <w:p w:rsidR="00544FCF" w:rsidRPr="00544FCF" w14:paraId="60A00706" w14:textId="296BFCFB">
      <w:pPr>
        <w:pStyle w:val="FootnoteText"/>
        <w:rPr>
          <w:rFonts w:ascii="Times New Roman" w:hAnsi="Times New Roman" w:cs="Times New Roman"/>
          <w:sz w:val="18"/>
          <w:szCs w:val="18"/>
        </w:rPr>
      </w:pPr>
    </w:p>
  </w:footnote>
  <w:footnote w:id="3">
    <w:p w:rsidR="00544FCF" w14:paraId="761E8D49" w14:textId="47152E3C">
      <w:pPr>
        <w:pStyle w:val="FootnoteText"/>
      </w:pPr>
      <w:r w:rsidRPr="00544FCF">
        <w:rPr>
          <w:rStyle w:val="FootnoteReference"/>
          <w:rFonts w:ascii="Times New Roman" w:hAnsi="Times New Roman" w:cs="Times New Roman"/>
          <w:sz w:val="18"/>
          <w:szCs w:val="18"/>
        </w:rPr>
        <w:footnoteRef/>
      </w:r>
      <w:r w:rsidRPr="00544FCF">
        <w:rPr>
          <w:rFonts w:ascii="Times New Roman" w:hAnsi="Times New Roman" w:cs="Times New Roman"/>
          <w:sz w:val="18"/>
          <w:szCs w:val="18"/>
        </w:rPr>
        <w:t xml:space="preserve"> </w:t>
      </w:r>
      <w:r w:rsidRPr="00544FCF">
        <w:rPr>
          <w:rStyle w:val="normaltextrun"/>
          <w:rFonts w:ascii="Times New Roman" w:hAnsi="Times New Roman" w:cs="Times New Roman"/>
          <w:color w:val="212121"/>
          <w:sz w:val="18"/>
          <w:szCs w:val="18"/>
        </w:rPr>
        <w:t>Tassé MJ, Balboni G, Navas P, Luckasson R, Nygren MA, Belacchi C, Bonichini S, Reed GM, Kogan CS. Developing behavioural indicators for intellectual functioning and adaptive behaviour for ICD-11 disorders of intellectual development. J Intellect Disabil Res. 2019 May;63(5):386-407. doi: 10.1111/jir.12582. Epub 2019 Jan 9. PMID: 30628126.</w:t>
      </w:r>
    </w:p>
  </w:footnote>
  <w:footnote w:id="4">
    <w:p w:rsidR="00544FCF" w:rsidRPr="00544FCF" w14:paraId="673BB44F" w14:textId="622F2121">
      <w:pPr>
        <w:pStyle w:val="FootnoteText"/>
        <w:rPr>
          <w:rFonts w:ascii="Times New Roman" w:hAnsi="Times New Roman" w:cs="Times New Roman"/>
          <w:sz w:val="18"/>
          <w:szCs w:val="18"/>
        </w:rPr>
      </w:pPr>
      <w:r w:rsidRPr="00544FCF">
        <w:rPr>
          <w:rStyle w:val="FootnoteReference"/>
          <w:rFonts w:ascii="Times New Roman" w:hAnsi="Times New Roman" w:cs="Times New Roman"/>
          <w:sz w:val="18"/>
          <w:szCs w:val="18"/>
        </w:rPr>
        <w:footnoteRef/>
      </w:r>
      <w:r w:rsidRPr="00544FCF">
        <w:rPr>
          <w:rFonts w:ascii="Times New Roman" w:hAnsi="Times New Roman" w:cs="Times New Roman"/>
          <w:sz w:val="18"/>
          <w:szCs w:val="18"/>
        </w:rPr>
        <w:t xml:space="preserve"> </w:t>
      </w:r>
      <w:hyperlink r:id="rId2" w:tgtFrame="_blank" w:history="1">
        <w:r w:rsidRPr="00544FCF">
          <w:rPr>
            <w:rStyle w:val="normaltextrun"/>
            <w:rFonts w:ascii="Times New Roman" w:hAnsi="Times New Roman" w:cs="Times New Roman"/>
            <w:color w:val="0563C1"/>
            <w:sz w:val="18"/>
            <w:szCs w:val="18"/>
            <w:u w:val="single"/>
            <w:shd w:val="clear" w:color="auto" w:fill="FFFFFF"/>
          </w:rPr>
          <w:t>Augmentative and Alternative Communication (AAC)</w:t>
        </w:r>
      </w:hyperlink>
    </w:p>
  </w:footnote>
  <w:footnote w:id="5">
    <w:p w:rsidR="00A712D7" w:rsidRPr="0090272C" w:rsidP="00A712D7" w14:paraId="08984B9D" w14:textId="77777777">
      <w:pPr>
        <w:pStyle w:val="FootnoteText"/>
        <w:rPr>
          <w:rFonts w:ascii="Times New Roman" w:hAnsi="Times New Roman" w:cs="Times New Roman"/>
        </w:rPr>
      </w:pPr>
      <w:r w:rsidRPr="0090272C">
        <w:rPr>
          <w:rStyle w:val="FootnoteReference"/>
          <w:rFonts w:ascii="Times New Roman" w:hAnsi="Times New Roman" w:cs="Times New Roman"/>
        </w:rPr>
        <w:footnoteRef/>
      </w:r>
      <w:r w:rsidRPr="0090272C">
        <w:rPr>
          <w:rFonts w:ascii="Times New Roman" w:hAnsi="Times New Roman" w:cs="Times New Roman"/>
        </w:rPr>
        <w:t xml:space="preserve"> </w:t>
      </w:r>
      <w:hyperlink r:id="rId3" w:history="1">
        <w:r w:rsidRPr="0090272C">
          <w:rPr>
            <w:rStyle w:val="Hyperlink"/>
          </w:rPr>
          <w:t>Special Olympics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206C0687"/>
    <w:multiLevelType w:val="multilevel"/>
    <w:tmpl w:val="270A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A96E93"/>
    <w:multiLevelType w:val="multilevel"/>
    <w:tmpl w:val="A5C86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6607F2"/>
    <w:multiLevelType w:val="multilevel"/>
    <w:tmpl w:val="E3107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50178C"/>
    <w:multiLevelType w:val="hybridMultilevel"/>
    <w:tmpl w:val="E9DAFC52"/>
    <w:lvl w:ilvl="0">
      <w:start w:val="1"/>
      <w:numFmt w:val="upperLetter"/>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0E603D"/>
    <w:multiLevelType w:val="hybridMultilevel"/>
    <w:tmpl w:val="9802F6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5527548">
    <w:abstractNumId w:val="0"/>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16cid:durableId="774717868">
    <w:abstractNumId w:val="4"/>
  </w:num>
  <w:num w:numId="3" w16cid:durableId="1074669446">
    <w:abstractNumId w:val="1"/>
  </w:num>
  <w:num w:numId="4" w16cid:durableId="381751323">
    <w:abstractNumId w:val="2"/>
  </w:num>
  <w:num w:numId="5" w16cid:durableId="1424909734">
    <w:abstractNumId w:val="3"/>
  </w:num>
  <w:num w:numId="6" w16cid:durableId="41516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983"/>
    <w:rsid w:val="00002DA0"/>
    <w:rsid w:val="000051F2"/>
    <w:rsid w:val="00043F1F"/>
    <w:rsid w:val="000534D8"/>
    <w:rsid w:val="0006359F"/>
    <w:rsid w:val="000745C8"/>
    <w:rsid w:val="00081A98"/>
    <w:rsid w:val="00095CF9"/>
    <w:rsid w:val="000A0611"/>
    <w:rsid w:val="000D26E9"/>
    <w:rsid w:val="00154CCF"/>
    <w:rsid w:val="001703B4"/>
    <w:rsid w:val="001703CB"/>
    <w:rsid w:val="001A46AA"/>
    <w:rsid w:val="001A609E"/>
    <w:rsid w:val="001C356E"/>
    <w:rsid w:val="001D0C54"/>
    <w:rsid w:val="001D5800"/>
    <w:rsid w:val="001E778E"/>
    <w:rsid w:val="0029060A"/>
    <w:rsid w:val="002A6CAC"/>
    <w:rsid w:val="002B619B"/>
    <w:rsid w:val="002C01E0"/>
    <w:rsid w:val="002E49B3"/>
    <w:rsid w:val="0030205F"/>
    <w:rsid w:val="00321789"/>
    <w:rsid w:val="003A77DB"/>
    <w:rsid w:val="003B4B67"/>
    <w:rsid w:val="00400FB8"/>
    <w:rsid w:val="004036E0"/>
    <w:rsid w:val="00406B58"/>
    <w:rsid w:val="00412AB4"/>
    <w:rsid w:val="00485F58"/>
    <w:rsid w:val="00492141"/>
    <w:rsid w:val="004A4524"/>
    <w:rsid w:val="004C53CB"/>
    <w:rsid w:val="004E4C97"/>
    <w:rsid w:val="004F3287"/>
    <w:rsid w:val="00536983"/>
    <w:rsid w:val="00544FCF"/>
    <w:rsid w:val="00583D1E"/>
    <w:rsid w:val="005A54AD"/>
    <w:rsid w:val="005F3FC9"/>
    <w:rsid w:val="00602983"/>
    <w:rsid w:val="00656CEB"/>
    <w:rsid w:val="006A7E98"/>
    <w:rsid w:val="006B7B51"/>
    <w:rsid w:val="006C7659"/>
    <w:rsid w:val="006D71C8"/>
    <w:rsid w:val="007060B5"/>
    <w:rsid w:val="00706AE3"/>
    <w:rsid w:val="0071791B"/>
    <w:rsid w:val="00721E0F"/>
    <w:rsid w:val="00755641"/>
    <w:rsid w:val="00775FE2"/>
    <w:rsid w:val="0077741A"/>
    <w:rsid w:val="00787C2D"/>
    <w:rsid w:val="008256EC"/>
    <w:rsid w:val="008313A4"/>
    <w:rsid w:val="00836785"/>
    <w:rsid w:val="00877531"/>
    <w:rsid w:val="008A1F38"/>
    <w:rsid w:val="008A7A51"/>
    <w:rsid w:val="008F23BE"/>
    <w:rsid w:val="0090272C"/>
    <w:rsid w:val="00902B38"/>
    <w:rsid w:val="00916D84"/>
    <w:rsid w:val="009219B7"/>
    <w:rsid w:val="00926E80"/>
    <w:rsid w:val="00934938"/>
    <w:rsid w:val="0096674C"/>
    <w:rsid w:val="0097388F"/>
    <w:rsid w:val="00A24E8D"/>
    <w:rsid w:val="00A4000C"/>
    <w:rsid w:val="00A56A99"/>
    <w:rsid w:val="00A712D7"/>
    <w:rsid w:val="00A73403"/>
    <w:rsid w:val="00AB7F14"/>
    <w:rsid w:val="00B04F77"/>
    <w:rsid w:val="00B305FA"/>
    <w:rsid w:val="00B36039"/>
    <w:rsid w:val="00B45669"/>
    <w:rsid w:val="00B647F1"/>
    <w:rsid w:val="00B81F11"/>
    <w:rsid w:val="00B827D8"/>
    <w:rsid w:val="00BD7415"/>
    <w:rsid w:val="00BE43F4"/>
    <w:rsid w:val="00C42AC1"/>
    <w:rsid w:val="00C615F9"/>
    <w:rsid w:val="00C71E7F"/>
    <w:rsid w:val="00C930AD"/>
    <w:rsid w:val="00CA3AC2"/>
    <w:rsid w:val="00CC484A"/>
    <w:rsid w:val="00CE6F6E"/>
    <w:rsid w:val="00CF58AD"/>
    <w:rsid w:val="00D02261"/>
    <w:rsid w:val="00D050A8"/>
    <w:rsid w:val="00D3429A"/>
    <w:rsid w:val="00D526D7"/>
    <w:rsid w:val="00D66E1D"/>
    <w:rsid w:val="00D766AD"/>
    <w:rsid w:val="00DD1607"/>
    <w:rsid w:val="00E4121F"/>
    <w:rsid w:val="00E56FB3"/>
    <w:rsid w:val="00E93DFC"/>
    <w:rsid w:val="00EA04DB"/>
    <w:rsid w:val="00EB6670"/>
    <w:rsid w:val="00EC3486"/>
    <w:rsid w:val="00EC6EBC"/>
    <w:rsid w:val="00EE0140"/>
    <w:rsid w:val="00EE059F"/>
    <w:rsid w:val="00F2015F"/>
    <w:rsid w:val="00F27D12"/>
    <w:rsid w:val="00F45B24"/>
    <w:rsid w:val="00F50CB5"/>
    <w:rsid w:val="00F717E3"/>
    <w:rsid w:val="00FC45CB"/>
    <w:rsid w:val="00FD0B75"/>
    <w:rsid w:val="00FD11FE"/>
    <w:rsid w:val="00FE4ACC"/>
    <w:rsid w:val="00FE59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423DA9"/>
  <w15:chartTrackingRefBased/>
  <w15:docId w15:val="{7EBAA69C-48D7-4EC0-A0E7-24307D07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2983"/>
    <w:pPr>
      <w:widowControl w:val="0"/>
      <w:autoSpaceDE w:val="0"/>
      <w:autoSpaceDN w:val="0"/>
      <w:adjustRightInd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02983"/>
    <w:pPr>
      <w:autoSpaceDE w:val="0"/>
      <w:autoSpaceDN w:val="0"/>
      <w:adjustRightInd w:val="0"/>
    </w:pPr>
    <w:rPr>
      <w:rFonts w:ascii="Arial" w:eastAsia="Times New Roman" w:hAnsi="Arial" w:cs="Times New Roman"/>
      <w:sz w:val="24"/>
      <w:szCs w:val="24"/>
    </w:rPr>
  </w:style>
  <w:style w:type="paragraph" w:styleId="HTMLPreformatted">
    <w:name w:val="HTML Preformatted"/>
    <w:basedOn w:val="Normal"/>
    <w:link w:val="HTMLPreformattedChar"/>
    <w:rsid w:val="006029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rsid w:val="00602983"/>
    <w:rPr>
      <w:rFonts w:ascii="Courier New" w:eastAsia="Times New Roman" w:hAnsi="Courier New" w:cs="Courier New"/>
      <w:sz w:val="20"/>
      <w:szCs w:val="20"/>
    </w:rPr>
  </w:style>
  <w:style w:type="paragraph" w:customStyle="1" w:styleId="QuickFormat6">
    <w:name w:val="QuickFormat6"/>
    <w:basedOn w:val="Normal"/>
    <w:rsid w:val="00602983"/>
    <w:rPr>
      <w:rFonts w:ascii="Courier" w:hAnsi="Courier"/>
      <w:color w:val="000000"/>
    </w:rPr>
  </w:style>
  <w:style w:type="character" w:styleId="CommentReference">
    <w:name w:val="annotation reference"/>
    <w:basedOn w:val="DefaultParagraphFont"/>
    <w:uiPriority w:val="99"/>
    <w:semiHidden/>
    <w:unhideWhenUsed/>
    <w:rsid w:val="00602983"/>
    <w:rPr>
      <w:sz w:val="16"/>
      <w:szCs w:val="16"/>
    </w:rPr>
  </w:style>
  <w:style w:type="paragraph" w:styleId="CommentText">
    <w:name w:val="annotation text"/>
    <w:basedOn w:val="Normal"/>
    <w:link w:val="CommentTextChar"/>
    <w:uiPriority w:val="99"/>
    <w:unhideWhenUsed/>
    <w:rsid w:val="00602983"/>
    <w:rPr>
      <w:sz w:val="20"/>
      <w:szCs w:val="20"/>
    </w:rPr>
  </w:style>
  <w:style w:type="character" w:customStyle="1" w:styleId="CommentTextChar">
    <w:name w:val="Comment Text Char"/>
    <w:basedOn w:val="DefaultParagraphFont"/>
    <w:link w:val="CommentText"/>
    <w:uiPriority w:val="99"/>
    <w:rsid w:val="00602983"/>
    <w:rPr>
      <w:rFonts w:ascii="Times New Roman" w:eastAsia="Times New Roman" w:hAnsi="Times New Roman" w:cs="Times New Roman"/>
      <w:sz w:val="20"/>
      <w:szCs w:val="20"/>
    </w:rPr>
  </w:style>
  <w:style w:type="paragraph" w:styleId="ListParagraph">
    <w:name w:val="List Paragraph"/>
    <w:basedOn w:val="Normal"/>
    <w:uiPriority w:val="34"/>
    <w:qFormat/>
    <w:rsid w:val="00602983"/>
    <w:pPr>
      <w:widowControl/>
      <w:autoSpaceDE/>
      <w:autoSpaceDN/>
      <w:adjustRightInd/>
      <w:ind w:left="720"/>
      <w:contextualSpacing/>
    </w:pPr>
    <w:rPr>
      <w:rFonts w:eastAsiaTheme="minorHAnsi"/>
      <w:lang w:eastAsia="zh-TW"/>
    </w:rPr>
  </w:style>
  <w:style w:type="paragraph" w:customStyle="1" w:styleId="Level1">
    <w:name w:val="Level 1"/>
    <w:basedOn w:val="Normal"/>
    <w:rsid w:val="00602983"/>
    <w:pPr>
      <w:numPr>
        <w:numId w:val="1"/>
      </w:numPr>
      <w:ind w:left="720" w:hanging="720"/>
      <w:outlineLvl w:val="0"/>
    </w:pPr>
  </w:style>
  <w:style w:type="paragraph" w:styleId="CommentSubject">
    <w:name w:val="annotation subject"/>
    <w:basedOn w:val="CommentText"/>
    <w:next w:val="CommentText"/>
    <w:link w:val="CommentSubjectChar"/>
    <w:uiPriority w:val="99"/>
    <w:semiHidden/>
    <w:unhideWhenUsed/>
    <w:rsid w:val="000051F2"/>
    <w:rPr>
      <w:b/>
      <w:bCs/>
    </w:rPr>
  </w:style>
  <w:style w:type="character" w:customStyle="1" w:styleId="CommentSubjectChar">
    <w:name w:val="Comment Subject Char"/>
    <w:basedOn w:val="CommentTextChar"/>
    <w:link w:val="CommentSubject"/>
    <w:uiPriority w:val="99"/>
    <w:semiHidden/>
    <w:rsid w:val="000051F2"/>
    <w:rPr>
      <w:rFonts w:ascii="Times New Roman" w:eastAsia="Times New Roman" w:hAnsi="Times New Roman" w:cs="Times New Roman"/>
      <w:b/>
      <w:bCs/>
      <w:sz w:val="20"/>
      <w:szCs w:val="20"/>
    </w:rPr>
  </w:style>
  <w:style w:type="paragraph" w:styleId="Revision">
    <w:name w:val="Revision"/>
    <w:hidden/>
    <w:uiPriority w:val="99"/>
    <w:semiHidden/>
    <w:rsid w:val="00EA04DB"/>
    <w:rPr>
      <w:rFonts w:ascii="Times New Roman" w:eastAsia="Times New Roman" w:hAnsi="Times New Roman" w:cs="Times New Roman"/>
      <w:sz w:val="24"/>
      <w:szCs w:val="24"/>
    </w:rPr>
  </w:style>
  <w:style w:type="character" w:customStyle="1" w:styleId="normaltextrun">
    <w:name w:val="normaltextrun"/>
    <w:basedOn w:val="DefaultParagraphFont"/>
    <w:rsid w:val="00706AE3"/>
  </w:style>
  <w:style w:type="paragraph" w:styleId="FootnoteText">
    <w:name w:val="footnote text"/>
    <w:basedOn w:val="Normal"/>
    <w:link w:val="FootnoteTextChar"/>
    <w:uiPriority w:val="99"/>
    <w:unhideWhenUsed/>
    <w:rsid w:val="002C01E0"/>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C01E0"/>
    <w:rPr>
      <w:sz w:val="20"/>
      <w:szCs w:val="20"/>
    </w:rPr>
  </w:style>
  <w:style w:type="character" w:styleId="FootnoteReference">
    <w:name w:val="footnote reference"/>
    <w:basedOn w:val="DefaultParagraphFont"/>
    <w:uiPriority w:val="99"/>
    <w:semiHidden/>
    <w:unhideWhenUsed/>
    <w:rsid w:val="002C01E0"/>
    <w:rPr>
      <w:vertAlign w:val="superscript"/>
    </w:rPr>
  </w:style>
  <w:style w:type="character" w:styleId="Hyperlink">
    <w:name w:val="Hyperlink"/>
    <w:basedOn w:val="DefaultParagraphFont"/>
    <w:uiPriority w:val="99"/>
    <w:unhideWhenUsed/>
    <w:rsid w:val="002C01E0"/>
    <w:rPr>
      <w:color w:val="0563C1" w:themeColor="hyperlink"/>
      <w:u w:val="single"/>
    </w:rPr>
  </w:style>
  <w:style w:type="paragraph" w:styleId="Header">
    <w:name w:val="header"/>
    <w:basedOn w:val="Normal"/>
    <w:link w:val="HeaderChar"/>
    <w:uiPriority w:val="99"/>
    <w:unhideWhenUsed/>
    <w:rsid w:val="00CE6F6E"/>
    <w:pPr>
      <w:tabs>
        <w:tab w:val="center" w:pos="4680"/>
        <w:tab w:val="right" w:pos="9360"/>
      </w:tabs>
    </w:pPr>
  </w:style>
  <w:style w:type="character" w:customStyle="1" w:styleId="HeaderChar">
    <w:name w:val="Header Char"/>
    <w:basedOn w:val="DefaultParagraphFont"/>
    <w:link w:val="Header"/>
    <w:uiPriority w:val="99"/>
    <w:rsid w:val="00CE6F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6F6E"/>
    <w:pPr>
      <w:tabs>
        <w:tab w:val="center" w:pos="4680"/>
        <w:tab w:val="right" w:pos="9360"/>
      </w:tabs>
    </w:pPr>
  </w:style>
  <w:style w:type="character" w:customStyle="1" w:styleId="FooterChar">
    <w:name w:val="Footer Char"/>
    <w:basedOn w:val="DefaultParagraphFont"/>
    <w:link w:val="Footer"/>
    <w:uiPriority w:val="99"/>
    <w:rsid w:val="00CE6F6E"/>
    <w:rPr>
      <w:rFonts w:ascii="Times New Roman" w:eastAsia="Times New Roman" w:hAnsi="Times New Roman" w:cs="Times New Roman"/>
      <w:sz w:val="24"/>
      <w:szCs w:val="24"/>
    </w:rPr>
  </w:style>
  <w:style w:type="paragraph" w:customStyle="1" w:styleId="paragraph">
    <w:name w:val="paragraph"/>
    <w:basedOn w:val="Normal"/>
    <w:rsid w:val="00544FCF"/>
    <w:pPr>
      <w:widowControl/>
      <w:autoSpaceDE/>
      <w:autoSpaceDN/>
      <w:adjustRightInd/>
      <w:spacing w:before="100" w:beforeAutospacing="1" w:after="100" w:afterAutospacing="1"/>
    </w:pPr>
  </w:style>
  <w:style w:type="character" w:customStyle="1" w:styleId="eop">
    <w:name w:val="eop"/>
    <w:basedOn w:val="DefaultParagraphFont"/>
    <w:rsid w:val="00544FCF"/>
  </w:style>
  <w:style w:type="character" w:customStyle="1" w:styleId="superscript">
    <w:name w:val="superscript"/>
    <w:basedOn w:val="DefaultParagraphFont"/>
    <w:rsid w:val="00544FCF"/>
  </w:style>
  <w:style w:type="paragraph" w:customStyle="1" w:styleId="listparagraph0">
    <w:name w:val="listparagraph"/>
    <w:basedOn w:val="Normal"/>
    <w:rsid w:val="007060B5"/>
    <w:pPr>
      <w:widowControl/>
      <w:autoSpaceDE/>
      <w:autoSpaceDN/>
      <w:adjustRightInd/>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journals.plos.org/plosone/article?id=10.1371/journal.pone.0124120" TargetMode="External" /><Relationship Id="rId2" Type="http://schemas.openxmlformats.org/officeDocument/2006/relationships/hyperlink" Target="https://www.asha.org/public/speech/disorders/aac/?srsltid=AfmBOorB670Rr5TkU8kFrDGwMsYnJ5ZuzuROpA-wJMv8Ivg4n8d-u3yE" TargetMode="External" /><Relationship Id="rId3" Type="http://schemas.openxmlformats.org/officeDocument/2006/relationships/hyperlink" Target="https://www.specialolympic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00753-E251-4A28-A921-B46A4C7E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Willson, Stephanie (CDC/IOD/OPHDST/NCHS)</dc:creator>
  <cp:lastModifiedBy>Shaw, Kate M. (CDC/DDNID/NCIPC/OD)</cp:lastModifiedBy>
  <cp:revision>4</cp:revision>
  <dcterms:created xsi:type="dcterms:W3CDTF">2025-03-24T15:34:00Z</dcterms:created>
  <dcterms:modified xsi:type="dcterms:W3CDTF">2025-05-08T19:23:00Z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1a3df457-128e-49ed-b84e-55f79a318346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2023-11-07T19:53:07Z</vt:lpwstr>
  </property>
  <property fmtid="{D5CDD505-2E9C-101B-9397-08002B2CF9AE}" pid="8" name="MSIP_Label_7b94a7b8-f06c-4dfe-bdcc-9b548fd58c31_SiteId">
    <vt:lpwstr>9ce70869-60db-44fd-abe8-d2767077fc8f</vt:lpwstr>
  </property>
</Properties>
</file>