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19E3" w:rsidP="00F919E3" w14:paraId="213ED1C0" w14:textId="77777777">
      <w:pPr>
        <w:jc w:val="center"/>
        <w:rPr>
          <w:sz w:val="24"/>
        </w:rPr>
      </w:pPr>
    </w:p>
    <w:p w:rsidR="00F919E3" w:rsidP="00F919E3" w14:paraId="02017777" w14:textId="77777777">
      <w:pPr>
        <w:jc w:val="center"/>
        <w:rPr>
          <w:sz w:val="24"/>
        </w:rPr>
      </w:pPr>
    </w:p>
    <w:p w:rsidR="00F919E3" w:rsidP="00F919E3" w14:paraId="0D50B300" w14:textId="77777777">
      <w:pPr>
        <w:jc w:val="center"/>
        <w:rPr>
          <w:sz w:val="24"/>
        </w:rPr>
      </w:pPr>
    </w:p>
    <w:p w:rsidR="00F919E3" w:rsidP="00F919E3" w14:paraId="6BEFC544" w14:textId="77777777">
      <w:pPr>
        <w:jc w:val="center"/>
        <w:rPr>
          <w:sz w:val="24"/>
        </w:rPr>
      </w:pPr>
    </w:p>
    <w:p w:rsidR="00D0323B" w:rsidRPr="005511A5" w:rsidP="00D0323B" w14:paraId="7F934B71" w14:textId="39C6C211">
      <w:pPr>
        <w:keepNext/>
        <w:keepLines/>
        <w:jc w:val="center"/>
        <w:outlineLvl w:val="6"/>
        <w:rPr>
          <w:i/>
          <w:iCs/>
          <w:color w:val="404040"/>
          <w:sz w:val="24"/>
        </w:rPr>
      </w:pPr>
      <w:r w:rsidRPr="0EBCC76A">
        <w:rPr>
          <w:b/>
          <w:i/>
          <w:color w:val="404040" w:themeColor="text1" w:themeTint="BF"/>
          <w:sz w:val="24"/>
        </w:rPr>
        <w:t>SUPPORTING STATEMENT:  PART B</w:t>
      </w:r>
    </w:p>
    <w:p w:rsidR="00D0323B" w:rsidRPr="005511A5" w:rsidP="00D0323B" w14:paraId="50C226E9" w14:textId="77777777">
      <w:pPr>
        <w:pStyle w:val="BalloonText"/>
        <w:jc w:val="center"/>
        <w:rPr>
          <w:rFonts w:ascii="Times New Roman" w:hAnsi="Times New Roman" w:cs="Times New Roman"/>
          <w:sz w:val="24"/>
          <w:szCs w:val="24"/>
        </w:rPr>
      </w:pPr>
    </w:p>
    <w:p w:rsidR="00D0323B" w:rsidRPr="005511A5" w:rsidP="00D0323B" w14:paraId="435B9209" w14:textId="77777777">
      <w:pPr>
        <w:jc w:val="center"/>
        <w:rPr>
          <w:b/>
          <w:bCs/>
          <w:sz w:val="24"/>
        </w:rPr>
      </w:pPr>
    </w:p>
    <w:p w:rsidR="00D0323B" w:rsidRPr="005511A5" w:rsidP="00D0323B" w14:paraId="2AFE317F" w14:textId="77777777">
      <w:pPr>
        <w:jc w:val="center"/>
        <w:rPr>
          <w:sz w:val="24"/>
        </w:rPr>
      </w:pPr>
    </w:p>
    <w:p w:rsidR="00D0323B" w:rsidRPr="005511A5" w:rsidP="257ED39A" w14:paraId="74BDA0E3" w14:textId="77158068">
      <w:pPr>
        <w:jc w:val="center"/>
        <w:rPr>
          <w:b/>
          <w:bCs/>
          <w:sz w:val="24"/>
        </w:rPr>
      </w:pPr>
      <w:r>
        <w:rPr>
          <w:b/>
          <w:bCs/>
          <w:sz w:val="24"/>
        </w:rPr>
        <w:t>April 1</w:t>
      </w:r>
      <w:r w:rsidR="00FC17BA">
        <w:rPr>
          <w:b/>
          <w:bCs/>
          <w:sz w:val="24"/>
        </w:rPr>
        <w:t>4</w:t>
      </w:r>
      <w:r w:rsidRPr="257ED39A" w:rsidR="5A3657FD">
        <w:rPr>
          <w:b/>
          <w:bCs/>
          <w:sz w:val="24"/>
        </w:rPr>
        <w:t>, 202</w:t>
      </w:r>
      <w:r w:rsidR="00A85CF4">
        <w:rPr>
          <w:b/>
          <w:bCs/>
          <w:sz w:val="24"/>
        </w:rPr>
        <w:t>5</w:t>
      </w:r>
    </w:p>
    <w:p w:rsidR="00D0323B" w:rsidRPr="005511A5" w:rsidP="00D0323B" w14:paraId="29D216CF" w14:textId="77777777">
      <w:pPr>
        <w:jc w:val="center"/>
        <w:rPr>
          <w:sz w:val="24"/>
        </w:rPr>
      </w:pPr>
    </w:p>
    <w:p w:rsidR="00D0323B" w:rsidRPr="005511A5" w:rsidP="00D0323B" w14:paraId="7BC1BDDD" w14:textId="77777777">
      <w:pPr>
        <w:rPr>
          <w:sz w:val="24"/>
        </w:rPr>
      </w:pPr>
    </w:p>
    <w:p w:rsidR="00D0323B" w:rsidRPr="005511A5" w:rsidP="00D0323B" w14:paraId="529DD01A" w14:textId="77777777">
      <w:pPr>
        <w:jc w:val="center"/>
        <w:rPr>
          <w:sz w:val="24"/>
        </w:rPr>
      </w:pPr>
    </w:p>
    <w:p w:rsidR="00D0323B" w:rsidRPr="005511A5" w:rsidP="00D0323B" w14:paraId="0B45695D" w14:textId="7A4B1DE7">
      <w:pPr>
        <w:jc w:val="center"/>
        <w:rPr>
          <w:sz w:val="24"/>
        </w:rPr>
      </w:pPr>
    </w:p>
    <w:p w:rsidR="00D0323B" w:rsidRPr="005511A5" w:rsidP="00D0323B" w14:paraId="00E7C831" w14:textId="77777777">
      <w:pPr>
        <w:jc w:val="center"/>
        <w:rPr>
          <w:b/>
          <w:bCs/>
          <w:sz w:val="24"/>
        </w:rPr>
      </w:pPr>
      <w:r>
        <w:rPr>
          <w:sz w:val="24"/>
        </w:rPr>
        <w:t>Drug Overdose Surveillance and Epidemiology (DOSE)</w:t>
      </w:r>
    </w:p>
    <w:p w:rsidR="00D0323B" w:rsidRPr="005511A5" w:rsidP="00D0323B" w14:paraId="56F7A424" w14:textId="77777777">
      <w:pPr>
        <w:jc w:val="center"/>
        <w:rPr>
          <w:sz w:val="24"/>
        </w:rPr>
      </w:pPr>
    </w:p>
    <w:p w:rsidR="00D0323B" w:rsidRPr="005511A5" w:rsidP="00D0323B" w14:paraId="7560D696" w14:textId="77777777">
      <w:pPr>
        <w:jc w:val="center"/>
        <w:rPr>
          <w:bCs/>
          <w:sz w:val="24"/>
        </w:rPr>
      </w:pPr>
    </w:p>
    <w:p w:rsidR="00D0323B" w:rsidRPr="005511A5" w:rsidP="00D0323B" w14:paraId="1F15382C" w14:textId="77777777">
      <w:pPr>
        <w:jc w:val="center"/>
        <w:rPr>
          <w:bCs/>
          <w:sz w:val="24"/>
        </w:rPr>
      </w:pPr>
    </w:p>
    <w:p w:rsidR="00D0323B" w:rsidRPr="005511A5" w:rsidP="00D0323B" w14:paraId="0C18B73F" w14:textId="082BD502">
      <w:pPr>
        <w:jc w:val="center"/>
        <w:rPr>
          <w:bCs/>
          <w:sz w:val="24"/>
        </w:rPr>
      </w:pPr>
      <w:r w:rsidRPr="00114541">
        <w:rPr>
          <w:bCs/>
          <w:sz w:val="24"/>
        </w:rPr>
        <w:t>OMB</w:t>
      </w:r>
      <w:r w:rsidR="003028CD">
        <w:rPr>
          <w:bCs/>
          <w:sz w:val="24"/>
        </w:rPr>
        <w:t xml:space="preserve"> </w:t>
      </w:r>
      <w:r w:rsidRPr="00114541">
        <w:rPr>
          <w:bCs/>
          <w:sz w:val="24"/>
        </w:rPr>
        <w:t>#</w:t>
      </w:r>
      <w:r w:rsidR="003028CD">
        <w:rPr>
          <w:bCs/>
          <w:sz w:val="24"/>
        </w:rPr>
        <w:t>0920-1268</w:t>
      </w:r>
    </w:p>
    <w:p w:rsidR="00D0323B" w:rsidRPr="005511A5" w:rsidP="00D0323B" w14:paraId="2B3A9566" w14:textId="77777777">
      <w:pPr>
        <w:jc w:val="center"/>
        <w:rPr>
          <w:bCs/>
          <w:sz w:val="24"/>
        </w:rPr>
      </w:pPr>
    </w:p>
    <w:p w:rsidR="00D0323B" w:rsidRPr="005511A5" w:rsidP="00D0323B" w14:paraId="018235A9" w14:textId="77777777">
      <w:pPr>
        <w:jc w:val="center"/>
        <w:rPr>
          <w:bCs/>
          <w:sz w:val="24"/>
        </w:rPr>
      </w:pPr>
    </w:p>
    <w:p w:rsidR="00D0323B" w:rsidRPr="005511A5" w:rsidP="00D0323B" w14:paraId="7B51526F" w14:textId="77777777">
      <w:pPr>
        <w:jc w:val="center"/>
        <w:rPr>
          <w:bCs/>
          <w:sz w:val="24"/>
        </w:rPr>
      </w:pPr>
    </w:p>
    <w:p w:rsidR="00D0323B" w:rsidRPr="005511A5" w:rsidP="00D0323B" w14:paraId="79D45572" w14:textId="77777777">
      <w:pPr>
        <w:jc w:val="center"/>
        <w:rPr>
          <w:bCs/>
          <w:sz w:val="24"/>
        </w:rPr>
      </w:pPr>
    </w:p>
    <w:p w:rsidR="00D0323B" w:rsidRPr="005511A5" w:rsidP="00D0323B" w14:paraId="61DEFC29" w14:textId="77777777">
      <w:pPr>
        <w:jc w:val="center"/>
        <w:rPr>
          <w:bCs/>
          <w:sz w:val="24"/>
        </w:rPr>
      </w:pPr>
    </w:p>
    <w:p w:rsidR="00D0323B" w:rsidRPr="005511A5" w:rsidP="00D0323B" w14:paraId="427C9393" w14:textId="77777777">
      <w:pPr>
        <w:jc w:val="center"/>
        <w:rPr>
          <w:bCs/>
          <w:sz w:val="24"/>
        </w:rPr>
      </w:pPr>
    </w:p>
    <w:p w:rsidR="00D0323B" w:rsidRPr="005511A5" w:rsidP="00D0323B" w14:paraId="403650B5" w14:textId="77777777">
      <w:pPr>
        <w:jc w:val="center"/>
        <w:rPr>
          <w:bCs/>
          <w:sz w:val="24"/>
        </w:rPr>
      </w:pPr>
    </w:p>
    <w:p w:rsidR="00D0323B" w:rsidRPr="005511A5" w:rsidP="00D0323B" w14:paraId="7EC31594" w14:textId="77777777">
      <w:pPr>
        <w:jc w:val="center"/>
        <w:rPr>
          <w:bCs/>
          <w:sz w:val="24"/>
        </w:rPr>
      </w:pPr>
    </w:p>
    <w:p w:rsidR="00D0323B" w:rsidRPr="005511A5" w:rsidP="00D0323B" w14:paraId="1D1FC933" w14:textId="77777777">
      <w:pPr>
        <w:jc w:val="center"/>
        <w:rPr>
          <w:bCs/>
          <w:sz w:val="24"/>
        </w:rPr>
      </w:pPr>
    </w:p>
    <w:p w:rsidR="00D0323B" w:rsidRPr="005511A5" w:rsidP="00D0323B" w14:paraId="67767BDF" w14:textId="77777777">
      <w:pPr>
        <w:jc w:val="center"/>
        <w:rPr>
          <w:bCs/>
          <w:sz w:val="24"/>
        </w:rPr>
      </w:pPr>
    </w:p>
    <w:p w:rsidR="00D0323B" w:rsidRPr="005511A5" w:rsidP="00D0323B" w14:paraId="477B0BC1" w14:textId="77777777">
      <w:pPr>
        <w:jc w:val="center"/>
        <w:rPr>
          <w:sz w:val="24"/>
        </w:rPr>
      </w:pPr>
    </w:p>
    <w:p w:rsidR="00D0323B" w:rsidRPr="005511A5" w:rsidP="00D0323B" w14:paraId="567EBA9C" w14:textId="77777777">
      <w:pPr>
        <w:jc w:val="center"/>
        <w:rPr>
          <w:sz w:val="24"/>
        </w:rPr>
      </w:pPr>
    </w:p>
    <w:p w:rsidR="00D0323B" w:rsidRPr="005511A5" w:rsidP="00D0323B" w14:paraId="56C9E829" w14:textId="77777777">
      <w:pPr>
        <w:jc w:val="center"/>
        <w:rPr>
          <w:sz w:val="24"/>
        </w:rPr>
      </w:pPr>
      <w:r w:rsidRPr="005511A5">
        <w:rPr>
          <w:sz w:val="24"/>
        </w:rPr>
        <w:t>Point of Contact:</w:t>
      </w:r>
    </w:p>
    <w:p w:rsidR="00D0323B" w:rsidRPr="005511A5" w:rsidP="00D0323B" w14:paraId="1ADC3F8B" w14:textId="5C415770">
      <w:pPr>
        <w:jc w:val="center"/>
        <w:rPr>
          <w:b/>
          <w:bCs/>
          <w:sz w:val="24"/>
        </w:rPr>
      </w:pPr>
      <w:r>
        <w:rPr>
          <w:sz w:val="24"/>
        </w:rPr>
        <w:t>Seung Hee Lee</w:t>
      </w:r>
    </w:p>
    <w:p w:rsidR="00D0323B" w:rsidRPr="005511A5" w:rsidP="00D0323B" w14:paraId="0E7E7863" w14:textId="77777777">
      <w:pPr>
        <w:jc w:val="center"/>
        <w:rPr>
          <w:sz w:val="24"/>
        </w:rPr>
      </w:pPr>
    </w:p>
    <w:p w:rsidR="00D0323B" w:rsidRPr="005511A5" w:rsidP="00D0323B" w14:paraId="24DD2CFB" w14:textId="77777777">
      <w:pPr>
        <w:jc w:val="center"/>
        <w:rPr>
          <w:sz w:val="24"/>
        </w:rPr>
      </w:pPr>
      <w:r w:rsidRPr="005511A5">
        <w:rPr>
          <w:sz w:val="24"/>
        </w:rPr>
        <w:t>Contact Information:</w:t>
      </w:r>
    </w:p>
    <w:p w:rsidR="00D0323B" w:rsidRPr="00424379" w:rsidP="00D0323B" w14:paraId="541369CE" w14:textId="77777777">
      <w:pPr>
        <w:pStyle w:val="E-mailSignature"/>
        <w:jc w:val="center"/>
        <w:rPr>
          <w:noProof/>
        </w:rPr>
      </w:pPr>
      <w:bookmarkStart w:id="0" w:name="_MailAutoSig"/>
      <w:r w:rsidRPr="005511A5">
        <w:rPr>
          <w:noProof/>
        </w:rPr>
        <w:t xml:space="preserve">Centers for Disease </w:t>
      </w:r>
      <w:r w:rsidRPr="00424379">
        <w:rPr>
          <w:noProof/>
        </w:rPr>
        <w:t>Control and Prevention</w:t>
      </w:r>
    </w:p>
    <w:p w:rsidR="00D0323B" w:rsidRPr="00424379" w:rsidP="00D0323B" w14:paraId="07CEEEC3" w14:textId="77777777">
      <w:pPr>
        <w:pStyle w:val="E-mailSignature"/>
        <w:jc w:val="center"/>
        <w:rPr>
          <w:noProof/>
        </w:rPr>
      </w:pPr>
      <w:r w:rsidRPr="00424379">
        <w:rPr>
          <w:noProof/>
        </w:rPr>
        <w:t>National Center for Injury Prevention and Control</w:t>
      </w:r>
    </w:p>
    <w:bookmarkEnd w:id="0"/>
    <w:p w:rsidR="00464C8E" w:rsidP="0087540E" w14:paraId="610A6637" w14:textId="77777777">
      <w:pPr>
        <w:rPr>
          <w:b/>
          <w:sz w:val="28"/>
          <w:szCs w:val="28"/>
        </w:rPr>
      </w:pPr>
    </w:p>
    <w:p w:rsidR="00464C8E" w:rsidP="0087540E" w14:paraId="03C19568" w14:textId="77777777">
      <w:pPr>
        <w:rPr>
          <w:b/>
          <w:bCs/>
          <w:sz w:val="28"/>
        </w:rPr>
      </w:pPr>
    </w:p>
    <w:p w:rsidR="00464C8E" w:rsidP="0087540E" w14:paraId="2F6900B4" w14:textId="77777777">
      <w:pPr>
        <w:rPr>
          <w:b/>
          <w:bCs/>
          <w:sz w:val="28"/>
        </w:rPr>
      </w:pPr>
    </w:p>
    <w:p w:rsidR="00464C8E" w:rsidP="0087540E" w14:paraId="1D7BF0B3" w14:textId="77777777">
      <w:pPr>
        <w:rPr>
          <w:b/>
          <w:bCs/>
          <w:sz w:val="28"/>
        </w:rPr>
      </w:pPr>
    </w:p>
    <w:p w:rsidR="00464C8E" w:rsidP="0087540E" w14:paraId="0D3580A9" w14:textId="77777777">
      <w:pPr>
        <w:rPr>
          <w:b/>
          <w:bCs/>
          <w:sz w:val="28"/>
        </w:rPr>
      </w:pPr>
    </w:p>
    <w:p w:rsidR="00464C8E" w:rsidP="0087540E" w14:paraId="7A0AFA33" w14:textId="77777777">
      <w:pPr>
        <w:rPr>
          <w:b/>
          <w:bCs/>
          <w:sz w:val="28"/>
        </w:rPr>
      </w:pPr>
    </w:p>
    <w:p w:rsidR="00464C8E" w:rsidP="0087540E" w14:paraId="747E7DB2" w14:textId="77777777">
      <w:pPr>
        <w:rPr>
          <w:b/>
          <w:bCs/>
          <w:sz w:val="28"/>
        </w:rPr>
      </w:pPr>
    </w:p>
    <w:p w:rsidR="00464C8E" w:rsidP="0087540E" w14:paraId="77BEA292" w14:textId="77777777">
      <w:pPr>
        <w:rPr>
          <w:b/>
          <w:bCs/>
          <w:sz w:val="28"/>
        </w:rPr>
      </w:pPr>
    </w:p>
    <w:p w:rsidR="00464C8E" w:rsidP="00464C8E" w14:paraId="0FFBDDE5" w14:textId="269AB2CE">
      <w:pPr>
        <w:ind w:firstLine="720"/>
        <w:jc w:val="center"/>
        <w:rPr>
          <w:sz w:val="24"/>
        </w:rPr>
      </w:pPr>
      <w:r w:rsidRPr="003028CD">
        <w:rPr>
          <w:sz w:val="24"/>
        </w:rPr>
        <w:t>CONTENTS</w:t>
      </w:r>
    </w:p>
    <w:p w:rsidR="00464C8E" w:rsidP="00464C8E" w14:paraId="17CA6321" w14:textId="4A4997BE">
      <w:pPr>
        <w:ind w:firstLine="720"/>
        <w:jc w:val="center"/>
        <w:rPr>
          <w:sz w:val="24"/>
        </w:rPr>
      </w:pPr>
    </w:p>
    <w:p w:rsidR="00464C8E" w:rsidRPr="003028CD" w:rsidP="00464C8E" w14:paraId="044F3B0E" w14:textId="77777777">
      <w:pPr>
        <w:ind w:firstLine="720"/>
        <w:jc w:val="center"/>
        <w:rPr>
          <w:sz w:val="24"/>
        </w:rPr>
      </w:pPr>
    </w:p>
    <w:p w:rsidR="00464C8E" w:rsidRPr="003028CD" w:rsidP="00464C8E" w14:paraId="4C7C650B" w14:textId="14FC1ABE">
      <w:pPr>
        <w:pStyle w:val="T0-ChapPgHd"/>
        <w:jc w:val="left"/>
        <w:rPr>
          <w:u w:val="none"/>
        </w:rPr>
      </w:pPr>
      <w:r w:rsidRPr="003028CD">
        <w:rPr>
          <w:u w:val="none"/>
        </w:rPr>
        <w:t>Section</w:t>
      </w:r>
      <w:r>
        <w:rPr>
          <w:u w:val="none"/>
        </w:rPr>
        <w:t xml:space="preserve">                                                                                                                     </w:t>
      </w:r>
      <w:r w:rsidRPr="003028CD">
        <w:rPr>
          <w:u w:val="none"/>
        </w:rPr>
        <w:t>Page</w:t>
      </w:r>
    </w:p>
    <w:p w:rsidR="00464C8E" w:rsidRPr="003028CD" w:rsidP="00464C8E" w14:paraId="5B3D4271" w14:textId="77777777">
      <w:pPr>
        <w:pStyle w:val="TOC1"/>
        <w:ind w:left="0"/>
        <w:rPr>
          <w:caps w:val="0"/>
        </w:rPr>
      </w:pPr>
    </w:p>
    <w:p w:rsidR="00464C8E" w:rsidRPr="003028CD" w:rsidP="00464C8E" w14:paraId="582AD505" w14:textId="77777777">
      <w:pPr>
        <w:pStyle w:val="TOC1"/>
        <w:rPr>
          <w:caps w:val="0"/>
        </w:rPr>
      </w:pPr>
      <w:r w:rsidRPr="003028CD">
        <w:rPr>
          <w:caps w:val="0"/>
        </w:rPr>
        <w:tab/>
      </w:r>
    </w:p>
    <w:p w:rsidR="00464C8E" w:rsidRPr="003028CD" w:rsidP="00464C8E" w14:paraId="7E3B1733" w14:textId="77777777">
      <w:pPr>
        <w:rPr>
          <w:sz w:val="24"/>
        </w:rPr>
      </w:pPr>
      <w:r w:rsidRPr="003028CD">
        <w:rPr>
          <w:sz w:val="24"/>
        </w:rPr>
        <w:t xml:space="preserve">B. COLLECTIONS OF INFORMATION EMPLOYING STATISTICAL METHODS </w:t>
      </w:r>
    </w:p>
    <w:p w:rsidR="00464C8E" w:rsidRPr="003028CD" w:rsidP="00464C8E" w14:paraId="3BF5FF6E" w14:textId="77777777">
      <w:pPr>
        <w:rPr>
          <w:sz w:val="24"/>
        </w:rPr>
      </w:pPr>
    </w:p>
    <w:p w:rsidR="00464C8E" w:rsidRPr="00C4585A" w:rsidP="00464C8E" w14:paraId="6754FB32" w14:textId="6E993231">
      <w:pPr>
        <w:pStyle w:val="TOC2"/>
        <w:ind w:left="0" w:firstLine="0"/>
      </w:pPr>
      <w:r w:rsidRPr="003028CD">
        <w:t xml:space="preserve">            B.1.     Respondent Universe and Sampling Methods </w:t>
      </w:r>
      <w:r w:rsidRPr="00C4585A">
        <w:tab/>
      </w:r>
      <w:r>
        <w:t>3</w:t>
      </w:r>
    </w:p>
    <w:p w:rsidR="00464C8E" w:rsidRPr="003F43D3" w:rsidP="00464C8E" w14:paraId="42359E02" w14:textId="63726D34">
      <w:pPr>
        <w:pStyle w:val="TOC2"/>
        <w:ind w:left="0" w:firstLine="0"/>
      </w:pPr>
      <w:r w:rsidRPr="003028CD">
        <w:t xml:space="preserve">            B.2.     Procedures for the Collection of Information </w:t>
      </w:r>
      <w:r w:rsidRPr="00C4585A">
        <w:tab/>
      </w:r>
      <w:r w:rsidR="007C6839">
        <w:t>4</w:t>
      </w:r>
    </w:p>
    <w:p w:rsidR="00464C8E" w:rsidRPr="003028CD" w:rsidP="00464C8E" w14:paraId="1DFB7B56" w14:textId="256D51E1">
      <w:pPr>
        <w:outlineLvl w:val="1"/>
        <w:rPr>
          <w:sz w:val="24"/>
        </w:rPr>
      </w:pPr>
      <w:r w:rsidRPr="003028CD">
        <w:rPr>
          <w:sz w:val="24"/>
        </w:rPr>
        <w:tab/>
        <w:t xml:space="preserve">B.3. </w:t>
      </w:r>
      <w:r w:rsidRPr="003028CD">
        <w:rPr>
          <w:sz w:val="24"/>
        </w:rPr>
        <w:tab/>
        <w:t>Methods to Maximize Response Rates and Deal with Nonresponse</w:t>
      </w:r>
      <w:r w:rsidRPr="003028CD">
        <w:rPr>
          <w:sz w:val="24"/>
        </w:rPr>
        <w:tab/>
      </w:r>
      <w:r w:rsidR="007C6839">
        <w:rPr>
          <w:sz w:val="24"/>
        </w:rPr>
        <w:t>.</w:t>
      </w:r>
      <w:r>
        <w:rPr>
          <w:sz w:val="24"/>
        </w:rPr>
        <w:t>..</w:t>
      </w:r>
      <w:r w:rsidR="007C6839">
        <w:rPr>
          <w:sz w:val="24"/>
        </w:rPr>
        <w:t>9</w:t>
      </w:r>
    </w:p>
    <w:p w:rsidR="00464C8E" w:rsidRPr="003028CD" w:rsidP="00464C8E" w14:paraId="53B74617" w14:textId="1130A991">
      <w:pPr>
        <w:outlineLvl w:val="1"/>
        <w:rPr>
          <w:sz w:val="24"/>
        </w:rPr>
      </w:pPr>
      <w:r w:rsidRPr="003028CD">
        <w:rPr>
          <w:sz w:val="24"/>
        </w:rPr>
        <w:tab/>
        <w:t xml:space="preserve">B.4. </w:t>
      </w:r>
      <w:r w:rsidRPr="003028CD">
        <w:rPr>
          <w:sz w:val="24"/>
        </w:rPr>
        <w:tab/>
        <w:t>Tests of Procedures or Methods to be Undertaken…</w:t>
      </w:r>
      <w:r>
        <w:rPr>
          <w:sz w:val="24"/>
        </w:rPr>
        <w:t>…………………</w:t>
      </w:r>
      <w:r w:rsidR="007C6839">
        <w:rPr>
          <w:sz w:val="24"/>
        </w:rPr>
        <w:t>10</w:t>
      </w:r>
    </w:p>
    <w:p w:rsidR="00464C8E" w:rsidRPr="003028CD" w:rsidP="00D27A44" w14:paraId="3908D4DF" w14:textId="77777777">
      <w:pPr>
        <w:ind w:firstLine="720"/>
        <w:outlineLvl w:val="1"/>
        <w:rPr>
          <w:sz w:val="24"/>
        </w:rPr>
      </w:pPr>
      <w:r w:rsidRPr="003028CD">
        <w:rPr>
          <w:sz w:val="24"/>
        </w:rPr>
        <w:t xml:space="preserve">B.5. </w:t>
      </w:r>
      <w:r>
        <w:tab/>
      </w:r>
      <w:r w:rsidRPr="003028CD">
        <w:rPr>
          <w:sz w:val="24"/>
        </w:rPr>
        <w:t xml:space="preserve">Individuals Consulted on Statistical Aspects and Individuals </w:t>
      </w:r>
    </w:p>
    <w:p w:rsidR="00464C8E" w:rsidRPr="003028CD" w:rsidP="00464C8E" w14:paraId="22DB33CC" w14:textId="04D6F673">
      <w:pPr>
        <w:ind w:left="465" w:hanging="465"/>
        <w:outlineLvl w:val="1"/>
        <w:rPr>
          <w:sz w:val="24"/>
        </w:rPr>
      </w:pPr>
      <w:r w:rsidRPr="003028CD">
        <w:rPr>
          <w:sz w:val="24"/>
        </w:rPr>
        <w:tab/>
      </w:r>
      <w:r w:rsidRPr="003028CD">
        <w:rPr>
          <w:sz w:val="24"/>
        </w:rPr>
        <w:tab/>
      </w:r>
      <w:r w:rsidRPr="003028CD">
        <w:rPr>
          <w:sz w:val="24"/>
        </w:rPr>
        <w:tab/>
        <w:t>Collecting and/or Analyzing Data…………………………………</w:t>
      </w:r>
      <w:r>
        <w:rPr>
          <w:sz w:val="24"/>
        </w:rPr>
        <w:t>….</w:t>
      </w:r>
      <w:r w:rsidR="007C6839">
        <w:rPr>
          <w:sz w:val="24"/>
        </w:rPr>
        <w:t>11</w:t>
      </w:r>
    </w:p>
    <w:p w:rsidR="00464C8E" w:rsidRPr="005E4D30" w:rsidP="00464C8E" w14:paraId="4E5EE935" w14:textId="77777777">
      <w:pPr>
        <w:outlineLvl w:val="1"/>
        <w:rPr>
          <w:bCs/>
        </w:rPr>
      </w:pPr>
      <w:r w:rsidRPr="005E4D30">
        <w:rPr>
          <w:bCs/>
        </w:rPr>
        <w:t xml:space="preserve"> </w:t>
      </w:r>
      <w:r>
        <w:rPr>
          <w:bCs/>
        </w:rPr>
        <w:tab/>
      </w:r>
    </w:p>
    <w:p w:rsidR="00464C8E" w:rsidP="0087540E" w14:paraId="409AD772" w14:textId="2A2576C3">
      <w:pPr>
        <w:rPr>
          <w:b/>
          <w:bCs/>
          <w:sz w:val="28"/>
        </w:rPr>
      </w:pPr>
    </w:p>
    <w:p w:rsidR="00464C8E" w:rsidP="0087540E" w14:paraId="7A49EEE1" w14:textId="015E17FE">
      <w:pPr>
        <w:rPr>
          <w:b/>
          <w:bCs/>
          <w:sz w:val="28"/>
        </w:rPr>
      </w:pPr>
    </w:p>
    <w:p w:rsidR="00464C8E" w:rsidP="0087540E" w14:paraId="11CB0E45" w14:textId="35EF19E0">
      <w:pPr>
        <w:rPr>
          <w:b/>
          <w:bCs/>
          <w:sz w:val="28"/>
        </w:rPr>
      </w:pPr>
    </w:p>
    <w:p w:rsidR="00464C8E" w:rsidP="0087540E" w14:paraId="30C07D2E" w14:textId="638F24ED">
      <w:pPr>
        <w:rPr>
          <w:b/>
          <w:bCs/>
          <w:sz w:val="28"/>
        </w:rPr>
      </w:pPr>
    </w:p>
    <w:p w:rsidR="00464C8E" w:rsidP="0087540E" w14:paraId="0588826D" w14:textId="61003968">
      <w:pPr>
        <w:rPr>
          <w:b/>
          <w:bCs/>
          <w:sz w:val="28"/>
        </w:rPr>
      </w:pPr>
    </w:p>
    <w:p w:rsidR="00464C8E" w:rsidP="0087540E" w14:paraId="60A73241" w14:textId="093FE1E6">
      <w:pPr>
        <w:rPr>
          <w:b/>
          <w:bCs/>
          <w:sz w:val="28"/>
        </w:rPr>
      </w:pPr>
    </w:p>
    <w:p w:rsidR="00464C8E" w:rsidP="0087540E" w14:paraId="72C9F8D0" w14:textId="495B2F9C">
      <w:pPr>
        <w:rPr>
          <w:b/>
          <w:bCs/>
          <w:sz w:val="28"/>
        </w:rPr>
      </w:pPr>
    </w:p>
    <w:p w:rsidR="00464C8E" w:rsidP="0087540E" w14:paraId="4A3E4AD0" w14:textId="52C8F0EB">
      <w:pPr>
        <w:rPr>
          <w:b/>
          <w:bCs/>
          <w:sz w:val="28"/>
        </w:rPr>
      </w:pPr>
    </w:p>
    <w:p w:rsidR="00464C8E" w:rsidP="0087540E" w14:paraId="01CF3BAB" w14:textId="0630CFDD">
      <w:pPr>
        <w:rPr>
          <w:b/>
          <w:bCs/>
          <w:sz w:val="28"/>
        </w:rPr>
      </w:pPr>
    </w:p>
    <w:p w:rsidR="00464C8E" w:rsidP="0087540E" w14:paraId="19A3025E" w14:textId="1D9E99A5">
      <w:pPr>
        <w:rPr>
          <w:b/>
          <w:bCs/>
          <w:sz w:val="28"/>
        </w:rPr>
      </w:pPr>
    </w:p>
    <w:p w:rsidR="00464C8E" w:rsidP="0087540E" w14:paraId="687920CC" w14:textId="09EC301B">
      <w:pPr>
        <w:rPr>
          <w:b/>
          <w:bCs/>
          <w:sz w:val="28"/>
        </w:rPr>
      </w:pPr>
    </w:p>
    <w:p w:rsidR="00464C8E" w:rsidP="0087540E" w14:paraId="44FE2C83" w14:textId="65FE79F9">
      <w:pPr>
        <w:rPr>
          <w:b/>
          <w:bCs/>
          <w:sz w:val="28"/>
        </w:rPr>
      </w:pPr>
    </w:p>
    <w:p w:rsidR="00464C8E" w:rsidP="0087540E" w14:paraId="6E9A443C" w14:textId="2F389886">
      <w:pPr>
        <w:rPr>
          <w:b/>
          <w:bCs/>
          <w:sz w:val="28"/>
        </w:rPr>
      </w:pPr>
    </w:p>
    <w:p w:rsidR="00464C8E" w:rsidP="0087540E" w14:paraId="294027B8" w14:textId="1D408BEC">
      <w:pPr>
        <w:rPr>
          <w:b/>
          <w:bCs/>
          <w:sz w:val="28"/>
        </w:rPr>
      </w:pPr>
    </w:p>
    <w:p w:rsidR="00464C8E" w:rsidP="0087540E" w14:paraId="50449A8D" w14:textId="72E9E770">
      <w:pPr>
        <w:rPr>
          <w:b/>
          <w:bCs/>
          <w:sz w:val="28"/>
        </w:rPr>
      </w:pPr>
    </w:p>
    <w:p w:rsidR="00464C8E" w:rsidP="0087540E" w14:paraId="1260BA30" w14:textId="23D378B7">
      <w:pPr>
        <w:rPr>
          <w:b/>
          <w:bCs/>
          <w:sz w:val="28"/>
        </w:rPr>
      </w:pPr>
    </w:p>
    <w:p w:rsidR="00464C8E" w:rsidP="0087540E" w14:paraId="02CABD94" w14:textId="36D799FA">
      <w:pPr>
        <w:rPr>
          <w:b/>
          <w:bCs/>
          <w:sz w:val="28"/>
        </w:rPr>
      </w:pPr>
    </w:p>
    <w:p w:rsidR="00464C8E" w:rsidP="0087540E" w14:paraId="083AE30B" w14:textId="5624D198">
      <w:pPr>
        <w:rPr>
          <w:b/>
          <w:bCs/>
          <w:sz w:val="28"/>
        </w:rPr>
      </w:pPr>
    </w:p>
    <w:p w:rsidR="00464C8E" w:rsidP="0087540E" w14:paraId="5D89A1B0" w14:textId="040CC53E">
      <w:pPr>
        <w:rPr>
          <w:b/>
          <w:bCs/>
          <w:sz w:val="28"/>
        </w:rPr>
      </w:pPr>
    </w:p>
    <w:p w:rsidR="00464C8E" w:rsidP="0087540E" w14:paraId="78F78900" w14:textId="4B4FCF04">
      <w:pPr>
        <w:rPr>
          <w:b/>
          <w:bCs/>
          <w:sz w:val="28"/>
        </w:rPr>
      </w:pPr>
    </w:p>
    <w:p w:rsidR="00464C8E" w:rsidP="0087540E" w14:paraId="4FC5BCC5" w14:textId="6FE7B61E">
      <w:pPr>
        <w:rPr>
          <w:b/>
          <w:bCs/>
          <w:sz w:val="28"/>
        </w:rPr>
      </w:pPr>
    </w:p>
    <w:p w:rsidR="00464C8E" w:rsidP="0087540E" w14:paraId="274293F6" w14:textId="40330FF8">
      <w:pPr>
        <w:rPr>
          <w:b/>
          <w:bCs/>
          <w:sz w:val="28"/>
        </w:rPr>
      </w:pPr>
    </w:p>
    <w:p w:rsidR="00464C8E" w:rsidP="0087540E" w14:paraId="01F88180" w14:textId="358CCE43">
      <w:pPr>
        <w:rPr>
          <w:b/>
          <w:bCs/>
          <w:sz w:val="28"/>
        </w:rPr>
      </w:pPr>
    </w:p>
    <w:p w:rsidR="00464C8E" w:rsidP="0087540E" w14:paraId="75D1B41C" w14:textId="08F789DD">
      <w:pPr>
        <w:rPr>
          <w:b/>
          <w:bCs/>
          <w:sz w:val="28"/>
        </w:rPr>
      </w:pPr>
    </w:p>
    <w:p w:rsidR="00464C8E" w:rsidP="0087540E" w14:paraId="1B70A826" w14:textId="4BEF6A82">
      <w:pPr>
        <w:rPr>
          <w:b/>
          <w:bCs/>
          <w:sz w:val="28"/>
        </w:rPr>
      </w:pPr>
    </w:p>
    <w:p w:rsidR="00464C8E" w:rsidP="0087540E" w14:paraId="3AD5D99D" w14:textId="390A3474">
      <w:pPr>
        <w:rPr>
          <w:b/>
          <w:bCs/>
          <w:sz w:val="28"/>
        </w:rPr>
      </w:pPr>
    </w:p>
    <w:p w:rsidR="00464C8E" w:rsidP="0087540E" w14:paraId="578B0681" w14:textId="0B855DD4">
      <w:pPr>
        <w:rPr>
          <w:b/>
          <w:bCs/>
          <w:sz w:val="28"/>
        </w:rPr>
      </w:pPr>
    </w:p>
    <w:p w:rsidR="00464C8E" w:rsidP="0087540E" w14:paraId="166D5520" w14:textId="7B676E8F">
      <w:pPr>
        <w:rPr>
          <w:b/>
          <w:bCs/>
          <w:sz w:val="28"/>
        </w:rPr>
      </w:pPr>
    </w:p>
    <w:p w:rsidR="0087540E" w:rsidP="0087540E" w14:paraId="1CFB68AF" w14:textId="6D19507B">
      <w:pPr>
        <w:rPr>
          <w:sz w:val="28"/>
          <w:szCs w:val="28"/>
        </w:rPr>
      </w:pPr>
      <w:r w:rsidRPr="0EBCC76A">
        <w:rPr>
          <w:b/>
          <w:sz w:val="28"/>
          <w:szCs w:val="28"/>
        </w:rPr>
        <w:t>B.</w:t>
      </w:r>
      <w:r>
        <w:tab/>
      </w:r>
      <w:r w:rsidRPr="0EBCC76A">
        <w:rPr>
          <w:b/>
          <w:sz w:val="28"/>
          <w:szCs w:val="28"/>
        </w:rPr>
        <w:t>Collection of Information Employing Statistical Methods</w:t>
      </w:r>
    </w:p>
    <w:p w:rsidR="0087540E" w:rsidP="0087540E" w14:paraId="73EBBABE" w14:textId="77777777">
      <w:pPr>
        <w:rPr>
          <w:sz w:val="24"/>
        </w:rPr>
      </w:pPr>
    </w:p>
    <w:p w:rsidR="0087540E" w:rsidP="0EBCC76A" w14:paraId="3567FB91" w14:textId="77777777">
      <w:pPr>
        <w:ind w:left="720" w:hanging="720"/>
        <w:rPr>
          <w:sz w:val="24"/>
        </w:rPr>
      </w:pPr>
      <w:r>
        <w:rPr>
          <w:b/>
          <w:bCs/>
          <w:sz w:val="24"/>
        </w:rPr>
        <w:t>1.</w:t>
      </w:r>
      <w:r>
        <w:tab/>
      </w:r>
      <w:r>
        <w:rPr>
          <w:b/>
          <w:bCs/>
          <w:sz w:val="24"/>
        </w:rPr>
        <w:t>Respondent Universe and Sampling Methods</w:t>
      </w:r>
    </w:p>
    <w:p w:rsidR="0087540E" w:rsidP="0087540E" w14:paraId="712ABCEB" w14:textId="77777777">
      <w:pPr>
        <w:rPr>
          <w:sz w:val="24"/>
        </w:rPr>
      </w:pPr>
    </w:p>
    <w:p w:rsidR="008E44D9" w:rsidP="000F2A1F" w14:paraId="7DCDE020" w14:textId="7BDBA725">
      <w:pPr>
        <w:rPr>
          <w:sz w:val="24"/>
        </w:rPr>
      </w:pPr>
      <w:r w:rsidRPr="00681FC3">
        <w:rPr>
          <w:sz w:val="24"/>
        </w:rPr>
        <w:t>The purpose of the Drug Overdose Surveillance and Epidemiology (DOSE) system is to rapidly identify outbreaks and provide situational awareness of changes in</w:t>
      </w:r>
      <w:r w:rsidR="00D06C05">
        <w:rPr>
          <w:sz w:val="24"/>
        </w:rPr>
        <w:t xml:space="preserve"> trends of</w:t>
      </w:r>
      <w:r w:rsidRPr="00681FC3">
        <w:rPr>
          <w:sz w:val="24"/>
        </w:rPr>
        <w:t xml:space="preserve"> emergency department (ED) </w:t>
      </w:r>
      <w:r w:rsidR="003C7C1A">
        <w:rPr>
          <w:sz w:val="24"/>
        </w:rPr>
        <w:t xml:space="preserve">and inpatient hospitalization </w:t>
      </w:r>
      <w:r w:rsidRPr="00681FC3">
        <w:rPr>
          <w:sz w:val="24"/>
        </w:rPr>
        <w:t xml:space="preserve">visits involving drug overdoses at the local, state, and regional level. This goal will be accomplished by standardizing and enhancing </w:t>
      </w:r>
      <w:r w:rsidR="00343DD1">
        <w:rPr>
          <w:sz w:val="24"/>
        </w:rPr>
        <w:t xml:space="preserve">the </w:t>
      </w:r>
      <w:r w:rsidR="004A6A4D">
        <w:rPr>
          <w:sz w:val="24"/>
        </w:rPr>
        <w:t>submission</w:t>
      </w:r>
      <w:r w:rsidRPr="00681FC3" w:rsidR="003C344E">
        <w:rPr>
          <w:sz w:val="24"/>
        </w:rPr>
        <w:t xml:space="preserve"> </w:t>
      </w:r>
      <w:r w:rsidRPr="00681FC3">
        <w:rPr>
          <w:sz w:val="24"/>
        </w:rPr>
        <w:t>of existing ED</w:t>
      </w:r>
      <w:r w:rsidR="00B00968">
        <w:rPr>
          <w:sz w:val="24"/>
        </w:rPr>
        <w:t xml:space="preserve"> and inpatient hospitalization</w:t>
      </w:r>
      <w:r w:rsidRPr="00681FC3">
        <w:rPr>
          <w:sz w:val="24"/>
        </w:rPr>
        <w:t xml:space="preserve"> data collected by </w:t>
      </w:r>
      <w:r w:rsidR="00FB3548">
        <w:rPr>
          <w:sz w:val="24"/>
        </w:rPr>
        <w:t xml:space="preserve">state (and District of Columbia) </w:t>
      </w:r>
      <w:r w:rsidRPr="00681FC3">
        <w:rPr>
          <w:sz w:val="24"/>
        </w:rPr>
        <w:t>health departments with CDC.</w:t>
      </w:r>
      <w:r w:rsidR="008B61D1">
        <w:rPr>
          <w:sz w:val="24"/>
        </w:rPr>
        <w:t xml:space="preserve"> </w:t>
      </w:r>
      <w:r w:rsidRPr="008B61D1" w:rsidR="008B61D1">
        <w:rPr>
          <w:sz w:val="24"/>
        </w:rPr>
        <w:t xml:space="preserve">The DOSE system originally received </w:t>
      </w:r>
      <w:r w:rsidR="008B61D1">
        <w:rPr>
          <w:sz w:val="24"/>
        </w:rPr>
        <w:t xml:space="preserve">OMB </w:t>
      </w:r>
      <w:r w:rsidRPr="008B61D1" w:rsidR="008B61D1">
        <w:rPr>
          <w:sz w:val="24"/>
        </w:rPr>
        <w:t xml:space="preserve">approval to collect data from 50 states, the District of Columbia and Puerto Rico, and currently captures data from </w:t>
      </w:r>
      <w:r w:rsidRPr="008B61D1" w:rsidR="00416B3F">
        <w:rPr>
          <w:sz w:val="24"/>
        </w:rPr>
        <w:t>4</w:t>
      </w:r>
      <w:r w:rsidR="00416B3F">
        <w:rPr>
          <w:sz w:val="24"/>
        </w:rPr>
        <w:t>9</w:t>
      </w:r>
      <w:r w:rsidRPr="008B61D1" w:rsidR="00416B3F">
        <w:rPr>
          <w:sz w:val="24"/>
        </w:rPr>
        <w:t xml:space="preserve"> </w:t>
      </w:r>
      <w:r w:rsidRPr="008B61D1" w:rsidR="008B61D1">
        <w:rPr>
          <w:sz w:val="24"/>
        </w:rPr>
        <w:t>states</w:t>
      </w:r>
      <w:r w:rsidR="00C5088B">
        <w:rPr>
          <w:sz w:val="24"/>
        </w:rPr>
        <w:t xml:space="preserve"> (all except N</w:t>
      </w:r>
      <w:r w:rsidR="00860BEC">
        <w:rPr>
          <w:rFonts w:hint="eastAsia"/>
          <w:sz w:val="24"/>
          <w:lang w:eastAsia="ko-KR"/>
        </w:rPr>
        <w:t xml:space="preserve">orth </w:t>
      </w:r>
      <w:r w:rsidR="00C5088B">
        <w:rPr>
          <w:sz w:val="24"/>
        </w:rPr>
        <w:t>D</w:t>
      </w:r>
      <w:r w:rsidR="00860BEC">
        <w:rPr>
          <w:rFonts w:hint="eastAsia"/>
          <w:sz w:val="24"/>
          <w:lang w:eastAsia="ko-KR"/>
        </w:rPr>
        <w:t>akota</w:t>
      </w:r>
      <w:r w:rsidR="00C5088B">
        <w:rPr>
          <w:sz w:val="24"/>
        </w:rPr>
        <w:t>, which did not apply for OD2A-S NOFO funding)</w:t>
      </w:r>
      <w:r w:rsidRPr="008B61D1" w:rsidR="008B61D1">
        <w:rPr>
          <w:sz w:val="24"/>
        </w:rPr>
        <w:t xml:space="preserve"> and the District of Columbia.</w:t>
      </w:r>
      <w:r>
        <w:rPr>
          <w:sz w:val="24"/>
        </w:rPr>
        <w:t xml:space="preserve"> </w:t>
      </w:r>
      <w:r w:rsidR="003217A7">
        <w:rPr>
          <w:sz w:val="24"/>
        </w:rPr>
        <w:t xml:space="preserve">DOSE collects </w:t>
      </w:r>
      <w:r w:rsidRPr="00CA5C62" w:rsidR="003217A7">
        <w:rPr>
          <w:sz w:val="24"/>
          <w:u w:val="single"/>
        </w:rPr>
        <w:t>ED syndromic surveillance</w:t>
      </w:r>
      <w:r w:rsidR="003217A7">
        <w:rPr>
          <w:sz w:val="24"/>
        </w:rPr>
        <w:t xml:space="preserve"> </w:t>
      </w:r>
      <w:r w:rsidR="00AC710C">
        <w:rPr>
          <w:sz w:val="24"/>
        </w:rPr>
        <w:t>(DOSE-</w:t>
      </w:r>
      <w:r w:rsidRPr="38A4994E" w:rsidR="00AC710C">
        <w:rPr>
          <w:sz w:val="24"/>
        </w:rPr>
        <w:t>S</w:t>
      </w:r>
      <w:r w:rsidRPr="38A4994E" w:rsidR="7E1BD215">
        <w:rPr>
          <w:sz w:val="24"/>
        </w:rPr>
        <w:t>Y</w:t>
      </w:r>
      <w:r w:rsidRPr="38A4994E" w:rsidR="00AC710C">
        <w:rPr>
          <w:sz w:val="24"/>
        </w:rPr>
        <w:t>S</w:t>
      </w:r>
      <w:r w:rsidR="00AC710C">
        <w:rPr>
          <w:sz w:val="24"/>
        </w:rPr>
        <w:t xml:space="preserve">) </w:t>
      </w:r>
      <w:r w:rsidR="003217A7">
        <w:rPr>
          <w:sz w:val="24"/>
        </w:rPr>
        <w:t xml:space="preserve">data as well as </w:t>
      </w:r>
      <w:r w:rsidRPr="00CA5C62" w:rsidR="003217A7">
        <w:rPr>
          <w:sz w:val="24"/>
          <w:u w:val="single"/>
        </w:rPr>
        <w:t>both ED and inpatient hospitalization discharge/billing data</w:t>
      </w:r>
      <w:r w:rsidR="00AC710C">
        <w:rPr>
          <w:sz w:val="24"/>
          <w:u w:val="single"/>
        </w:rPr>
        <w:t xml:space="preserve"> (DOSE-DIS)</w:t>
      </w:r>
      <w:r w:rsidR="003217A7">
        <w:rPr>
          <w:sz w:val="24"/>
        </w:rPr>
        <w:t xml:space="preserve">. </w:t>
      </w:r>
      <w:r w:rsidR="00762BCD">
        <w:rPr>
          <w:sz w:val="24"/>
        </w:rPr>
        <w:t>N</w:t>
      </w:r>
      <w:r w:rsidRPr="002A115E" w:rsidR="0087540E">
        <w:rPr>
          <w:sz w:val="24"/>
        </w:rPr>
        <w:t xml:space="preserve">o sampling methods </w:t>
      </w:r>
      <w:r w:rsidRPr="3A8705D8" w:rsidR="6DC0A0EE">
        <w:rPr>
          <w:sz w:val="24"/>
        </w:rPr>
        <w:t>are</w:t>
      </w:r>
      <w:r w:rsidRPr="002A115E" w:rsidR="00B459EB">
        <w:rPr>
          <w:sz w:val="24"/>
        </w:rPr>
        <w:t xml:space="preserve"> employed.</w:t>
      </w:r>
    </w:p>
    <w:p w:rsidR="008E44D9" w:rsidP="000F2A1F" w14:paraId="63A01BE5" w14:textId="0A44B20B">
      <w:pPr>
        <w:rPr>
          <w:sz w:val="24"/>
        </w:rPr>
      </w:pPr>
    </w:p>
    <w:p w:rsidR="00583BAC" w:rsidP="257ED39A" w14:paraId="5AF8B88E" w14:textId="74600CBD">
      <w:pPr>
        <w:rPr>
          <w:sz w:val="24"/>
        </w:rPr>
      </w:pPr>
      <w:r w:rsidRPr="257ED39A">
        <w:rPr>
          <w:sz w:val="24"/>
        </w:rPr>
        <w:t xml:space="preserve">Our goal </w:t>
      </w:r>
      <w:r w:rsidRPr="257ED39A" w:rsidR="29ADACCD">
        <w:rPr>
          <w:sz w:val="24"/>
        </w:rPr>
        <w:t xml:space="preserve">is </w:t>
      </w:r>
      <w:r w:rsidRPr="257ED39A">
        <w:rPr>
          <w:sz w:val="24"/>
        </w:rPr>
        <w:t>to build a system that capture</w:t>
      </w:r>
      <w:r w:rsidR="006C5FA0">
        <w:rPr>
          <w:sz w:val="24"/>
        </w:rPr>
        <w:t>s</w:t>
      </w:r>
      <w:r w:rsidRPr="257ED39A">
        <w:rPr>
          <w:sz w:val="24"/>
        </w:rPr>
        <w:t xml:space="preserve"> at least </w:t>
      </w:r>
      <w:r w:rsidRPr="257ED39A" w:rsidR="444F03D8">
        <w:rPr>
          <w:sz w:val="24"/>
        </w:rPr>
        <w:t>80</w:t>
      </w:r>
      <w:r w:rsidRPr="257ED39A">
        <w:rPr>
          <w:sz w:val="24"/>
        </w:rPr>
        <w:t xml:space="preserve">% of all non-federal </w:t>
      </w:r>
      <w:r w:rsidRPr="257ED39A" w:rsidR="1DEB8DB6">
        <w:rPr>
          <w:sz w:val="24"/>
        </w:rPr>
        <w:t>facilities (ED</w:t>
      </w:r>
      <w:r w:rsidRPr="257ED39A" w:rsidR="32571891">
        <w:rPr>
          <w:sz w:val="24"/>
        </w:rPr>
        <w:t xml:space="preserve"> facilitie</w:t>
      </w:r>
      <w:r w:rsidRPr="257ED39A" w:rsidR="1DEB8DB6">
        <w:rPr>
          <w:sz w:val="24"/>
        </w:rPr>
        <w:t>s for ED data; hospitals for inpatient hospitalization data)</w:t>
      </w:r>
      <w:r w:rsidRPr="257ED39A">
        <w:rPr>
          <w:sz w:val="24"/>
        </w:rPr>
        <w:t xml:space="preserve"> in participating </w:t>
      </w:r>
      <w:r w:rsidRPr="257ED39A" w:rsidR="444F03D8">
        <w:rPr>
          <w:sz w:val="24"/>
        </w:rPr>
        <w:t>jurisdictions</w:t>
      </w:r>
      <w:r w:rsidRPr="257ED39A">
        <w:rPr>
          <w:sz w:val="24"/>
        </w:rPr>
        <w:t xml:space="preserve">. </w:t>
      </w:r>
      <w:r w:rsidRPr="257ED39A" w:rsidR="3A4AA80A">
        <w:rPr>
          <w:sz w:val="24"/>
        </w:rPr>
        <w:t xml:space="preserve">The goal is 80% instead of 100% because ongoing work with state health departments and the District of Columbia found that there is not full participation of all EDs or hospitals in certain jurisdictions, especially for </w:t>
      </w:r>
      <w:r w:rsidR="00CC4EF2">
        <w:rPr>
          <w:sz w:val="24"/>
        </w:rPr>
        <w:t>DOSE-SYS</w:t>
      </w:r>
      <w:r w:rsidRPr="257ED39A" w:rsidR="3A4AA80A">
        <w:rPr>
          <w:sz w:val="24"/>
        </w:rPr>
        <w:t xml:space="preserve">. In previous DOSE </w:t>
      </w:r>
      <w:r w:rsidRPr="257ED39A" w:rsidR="3631B466">
        <w:rPr>
          <w:sz w:val="24"/>
        </w:rPr>
        <w:t xml:space="preserve">data submissions prior to September 2023, the coverage goal was </w:t>
      </w:r>
      <w:r w:rsidRPr="257ED39A" w:rsidR="3631B466">
        <w:rPr>
          <w:sz w:val="24"/>
          <w:u w:val="single"/>
        </w:rPr>
        <w:t>75%</w:t>
      </w:r>
      <w:r w:rsidRPr="257ED39A" w:rsidR="3631B466">
        <w:rPr>
          <w:sz w:val="24"/>
        </w:rPr>
        <w:t xml:space="preserve"> of all ED (or inpatient hospitalization) </w:t>
      </w:r>
      <w:r w:rsidRPr="257ED39A" w:rsidR="3631B466">
        <w:rPr>
          <w:sz w:val="24"/>
          <w:u w:val="single"/>
        </w:rPr>
        <w:t>visits</w:t>
      </w:r>
      <w:r w:rsidRPr="257ED39A" w:rsidR="3631B466">
        <w:rPr>
          <w:sz w:val="24"/>
        </w:rPr>
        <w:t xml:space="preserve">. This was changed to </w:t>
      </w:r>
      <w:r w:rsidRPr="257ED39A" w:rsidR="3631B466">
        <w:rPr>
          <w:sz w:val="24"/>
          <w:u w:val="single"/>
        </w:rPr>
        <w:t>80%</w:t>
      </w:r>
      <w:r w:rsidRPr="257ED39A" w:rsidR="3631B466">
        <w:rPr>
          <w:sz w:val="24"/>
        </w:rPr>
        <w:t xml:space="preserve"> of </w:t>
      </w:r>
      <w:r w:rsidRPr="00D27A44" w:rsidR="3631B466">
        <w:rPr>
          <w:sz w:val="24"/>
          <w:u w:val="single"/>
        </w:rPr>
        <w:t>facilities</w:t>
      </w:r>
      <w:r w:rsidRPr="257ED39A" w:rsidR="3631B466">
        <w:rPr>
          <w:sz w:val="24"/>
        </w:rPr>
        <w:t xml:space="preserve"> as coverage improved in states, </w:t>
      </w:r>
      <w:r w:rsidRPr="257ED39A" w:rsidR="00DC5B44">
        <w:rPr>
          <w:sz w:val="24"/>
        </w:rPr>
        <w:t>and</w:t>
      </w:r>
      <w:r w:rsidRPr="257ED39A" w:rsidR="3631B466">
        <w:rPr>
          <w:sz w:val="24"/>
        </w:rPr>
        <w:t xml:space="preserve"> </w:t>
      </w:r>
      <w:r w:rsidRPr="257ED39A" w:rsidR="04A6ED82">
        <w:rPr>
          <w:sz w:val="24"/>
        </w:rPr>
        <w:t>due to</w:t>
      </w:r>
      <w:r w:rsidRPr="257ED39A" w:rsidR="3631B466">
        <w:rPr>
          <w:sz w:val="24"/>
        </w:rPr>
        <w:t xml:space="preserve"> real-time difficulties in estimating coverage using </w:t>
      </w:r>
      <w:r w:rsidRPr="257ED39A" w:rsidR="1B8A7A3B">
        <w:rPr>
          <w:sz w:val="24"/>
        </w:rPr>
        <w:t>percentage</w:t>
      </w:r>
      <w:r w:rsidRPr="257ED39A" w:rsidR="3631B466">
        <w:rPr>
          <w:sz w:val="24"/>
        </w:rPr>
        <w:t xml:space="preserve"> of visits.</w:t>
      </w:r>
    </w:p>
    <w:p w:rsidR="00583BAC" w:rsidP="000F2A1F" w14:paraId="1630CB1D" w14:textId="77777777">
      <w:pPr>
        <w:rPr>
          <w:sz w:val="24"/>
        </w:rPr>
      </w:pPr>
    </w:p>
    <w:p w:rsidR="00E059E9" w:rsidP="00D27A44" w14:paraId="522B2AFF" w14:textId="39746643">
      <w:pPr>
        <w:spacing w:line="259" w:lineRule="auto"/>
        <w:rPr>
          <w:sz w:val="24"/>
        </w:rPr>
      </w:pPr>
      <w:r w:rsidRPr="13DD0E27">
        <w:rPr>
          <w:sz w:val="24"/>
        </w:rPr>
        <w:t>A</w:t>
      </w:r>
      <w:r w:rsidRPr="13DD0E27" w:rsidR="00181EC6">
        <w:rPr>
          <w:sz w:val="24"/>
        </w:rPr>
        <w:t>s of March 2025,</w:t>
      </w:r>
      <w:r w:rsidRPr="13DD0E27">
        <w:rPr>
          <w:sz w:val="24"/>
        </w:rPr>
        <w:t xml:space="preserve"> </w:t>
      </w:r>
      <w:r w:rsidRPr="13DD0E27" w:rsidR="00B936CB">
        <w:rPr>
          <w:sz w:val="24"/>
        </w:rPr>
        <w:t>DOSE-S</w:t>
      </w:r>
      <w:r w:rsidRPr="13DD0E27" w:rsidR="13CE1B2A">
        <w:rPr>
          <w:sz w:val="24"/>
        </w:rPr>
        <w:t>Y</w:t>
      </w:r>
      <w:r w:rsidRPr="13DD0E27" w:rsidR="00B936CB">
        <w:rPr>
          <w:sz w:val="24"/>
        </w:rPr>
        <w:t>S receives data from 46 states and the Distri</w:t>
      </w:r>
      <w:r w:rsidRPr="13DD0E27" w:rsidR="00181EC6">
        <w:rPr>
          <w:sz w:val="24"/>
        </w:rPr>
        <w:t>c</w:t>
      </w:r>
      <w:r w:rsidRPr="13DD0E27" w:rsidR="00B936CB">
        <w:rPr>
          <w:sz w:val="24"/>
        </w:rPr>
        <w:t xml:space="preserve">t of Columbia. </w:t>
      </w:r>
      <w:r w:rsidRPr="13DD0E27" w:rsidR="00181EC6">
        <w:rPr>
          <w:sz w:val="24"/>
        </w:rPr>
        <w:t>At present (March 2025, covering January 2025 data</w:t>
      </w:r>
      <w:r w:rsidRPr="0EBCC76A" w:rsidR="00181EC6">
        <w:rPr>
          <w:sz w:val="24"/>
        </w:rPr>
        <w:t>),</w:t>
      </w:r>
      <w:r w:rsidRPr="13DD0E27">
        <w:rPr>
          <w:sz w:val="24"/>
        </w:rPr>
        <w:t xml:space="preserve"> </w:t>
      </w:r>
      <w:r w:rsidRPr="13DD0E27" w:rsidR="00704216">
        <w:rPr>
          <w:sz w:val="24"/>
        </w:rPr>
        <w:t>DOSE-S</w:t>
      </w:r>
      <w:r w:rsidRPr="13DD0E27" w:rsidR="583E286A">
        <w:rPr>
          <w:sz w:val="24"/>
        </w:rPr>
        <w:t>Y</w:t>
      </w:r>
      <w:r w:rsidRPr="13DD0E27" w:rsidR="00704216">
        <w:rPr>
          <w:sz w:val="24"/>
        </w:rPr>
        <w:t>S</w:t>
      </w:r>
      <w:r w:rsidRPr="13DD0E27">
        <w:rPr>
          <w:sz w:val="24"/>
        </w:rPr>
        <w:t xml:space="preserve"> captures </w:t>
      </w:r>
      <w:r w:rsidRPr="13DD0E27" w:rsidR="19B81199">
        <w:rPr>
          <w:sz w:val="24"/>
        </w:rPr>
        <w:t xml:space="preserve">an </w:t>
      </w:r>
      <w:r w:rsidRPr="00D27A44" w:rsidR="19B81199">
        <w:rPr>
          <w:b/>
          <w:sz w:val="24"/>
        </w:rPr>
        <w:t>average of</w:t>
      </w:r>
      <w:r w:rsidRPr="00D27A44">
        <w:rPr>
          <w:b/>
          <w:sz w:val="24"/>
        </w:rPr>
        <w:t xml:space="preserve"> </w:t>
      </w:r>
      <w:r w:rsidRPr="00D27A44" w:rsidR="4B1ADC21">
        <w:rPr>
          <w:b/>
          <w:sz w:val="24"/>
        </w:rPr>
        <w:t>92.8</w:t>
      </w:r>
      <w:r w:rsidRPr="00D27A44">
        <w:rPr>
          <w:b/>
          <w:sz w:val="24"/>
        </w:rPr>
        <w:t>%</w:t>
      </w:r>
      <w:r w:rsidRPr="13DD0E27">
        <w:rPr>
          <w:sz w:val="24"/>
        </w:rPr>
        <w:t xml:space="preserve"> of ED facilities </w:t>
      </w:r>
      <w:r w:rsidRPr="13DD0E27" w:rsidR="0025417F">
        <w:rPr>
          <w:sz w:val="24"/>
        </w:rPr>
        <w:t xml:space="preserve">in participating jurisdictions </w:t>
      </w:r>
      <w:r w:rsidRPr="00D27A44" w:rsidR="5439730B">
        <w:rPr>
          <w:i/>
          <w:iCs/>
          <w:sz w:val="24"/>
        </w:rPr>
        <w:t xml:space="preserve">(coverage was calculated among </w:t>
      </w:r>
      <w:r w:rsidRPr="13DD0E27" w:rsidR="00825E82">
        <w:rPr>
          <w:i/>
          <w:iCs/>
          <w:sz w:val="24"/>
        </w:rPr>
        <w:t>45 states and D</w:t>
      </w:r>
      <w:r w:rsidR="0060614A">
        <w:rPr>
          <w:i/>
          <w:iCs/>
          <w:sz w:val="24"/>
        </w:rPr>
        <w:t xml:space="preserve">istrict of </w:t>
      </w:r>
      <w:r w:rsidRPr="13DD0E27" w:rsidR="00825E82">
        <w:rPr>
          <w:i/>
          <w:iCs/>
          <w:sz w:val="24"/>
        </w:rPr>
        <w:t>C</w:t>
      </w:r>
      <w:r w:rsidR="0060614A">
        <w:rPr>
          <w:i/>
          <w:iCs/>
          <w:sz w:val="24"/>
        </w:rPr>
        <w:t>olumbia</w:t>
      </w:r>
      <w:r w:rsidRPr="13DD0E27" w:rsidR="00825E82">
        <w:rPr>
          <w:i/>
          <w:iCs/>
          <w:sz w:val="24"/>
        </w:rPr>
        <w:t xml:space="preserve">.—i.e., among </w:t>
      </w:r>
      <w:r w:rsidRPr="00D27A44" w:rsidR="5439730B">
        <w:rPr>
          <w:i/>
          <w:iCs/>
          <w:sz w:val="24"/>
        </w:rPr>
        <w:t>all participating jurisdictions except for Texas, which does not have available data)</w:t>
      </w:r>
      <w:r w:rsidRPr="00D27A44">
        <w:rPr>
          <w:i/>
          <w:iCs/>
          <w:sz w:val="24"/>
        </w:rPr>
        <w:t>.</w:t>
      </w:r>
      <w:r w:rsidRPr="13DD0E27">
        <w:rPr>
          <w:sz w:val="24"/>
        </w:rPr>
        <w:t xml:space="preserve"> </w:t>
      </w:r>
      <w:r w:rsidRPr="13DD0E27" w:rsidR="6497AE39">
        <w:rPr>
          <w:sz w:val="24"/>
        </w:rPr>
        <w:t>DOSE</w:t>
      </w:r>
      <w:r w:rsidR="00CC4EF2">
        <w:rPr>
          <w:sz w:val="24"/>
        </w:rPr>
        <w:t>-SYS</w:t>
      </w:r>
      <w:r w:rsidR="0002624C">
        <w:rPr>
          <w:sz w:val="24"/>
        </w:rPr>
        <w:t xml:space="preserve"> </w:t>
      </w:r>
      <w:r w:rsidRPr="13DD0E27" w:rsidR="043A3712">
        <w:rPr>
          <w:sz w:val="24"/>
        </w:rPr>
        <w:t>expanded to 4</w:t>
      </w:r>
      <w:r w:rsidRPr="13DD0E27" w:rsidR="348C06F9">
        <w:rPr>
          <w:sz w:val="24"/>
        </w:rPr>
        <w:t>6</w:t>
      </w:r>
      <w:r w:rsidRPr="13DD0E27" w:rsidR="043A3712">
        <w:rPr>
          <w:sz w:val="24"/>
        </w:rPr>
        <w:t xml:space="preserve"> states and the District of Columbia in </w:t>
      </w:r>
      <w:r w:rsidRPr="13DD0E27" w:rsidR="04A6ED82">
        <w:rPr>
          <w:sz w:val="24"/>
        </w:rPr>
        <w:t>F</w:t>
      </w:r>
      <w:r w:rsidRPr="13DD0E27" w:rsidR="043A3712">
        <w:rPr>
          <w:sz w:val="24"/>
        </w:rPr>
        <w:t>all 2024</w:t>
      </w:r>
      <w:r w:rsidRPr="13DD0E27" w:rsidR="6497AE39">
        <w:rPr>
          <w:sz w:val="24"/>
        </w:rPr>
        <w:t xml:space="preserve"> (</w:t>
      </w:r>
      <w:r w:rsidRPr="13DD0E27" w:rsidR="0AFC6C0E">
        <w:rPr>
          <w:sz w:val="24"/>
        </w:rPr>
        <w:t>4</w:t>
      </w:r>
      <w:r w:rsidRPr="13DD0E27" w:rsidR="43273B89">
        <w:rPr>
          <w:sz w:val="24"/>
        </w:rPr>
        <w:t>6</w:t>
      </w:r>
      <w:r w:rsidRPr="13DD0E27" w:rsidR="0AFC6C0E">
        <w:rPr>
          <w:sz w:val="24"/>
        </w:rPr>
        <w:t xml:space="preserve"> states includes </w:t>
      </w:r>
      <w:r w:rsidRPr="13DD0E27" w:rsidR="6497AE39">
        <w:rPr>
          <w:sz w:val="24"/>
        </w:rPr>
        <w:t xml:space="preserve">all states except </w:t>
      </w:r>
      <w:r w:rsidRPr="13DD0E27" w:rsidR="49179CC1">
        <w:rPr>
          <w:sz w:val="24"/>
        </w:rPr>
        <w:t>ND [did not apply for OD2A-S NOFO funding]</w:t>
      </w:r>
      <w:r w:rsidRPr="13DD0E27" w:rsidR="67703C1E">
        <w:rPr>
          <w:sz w:val="24"/>
        </w:rPr>
        <w:t>. However, 3 states do not report syndromic data to DOSE</w:t>
      </w:r>
      <w:r w:rsidRPr="0EBCC76A" w:rsidR="67703C1E">
        <w:rPr>
          <w:sz w:val="24"/>
        </w:rPr>
        <w:t>:</w:t>
      </w:r>
      <w:r w:rsidRPr="13DD0E27" w:rsidR="49179CC1">
        <w:rPr>
          <w:sz w:val="24"/>
        </w:rPr>
        <w:t xml:space="preserve"> </w:t>
      </w:r>
      <w:r w:rsidRPr="13DD0E27" w:rsidR="6497AE39">
        <w:rPr>
          <w:sz w:val="24"/>
        </w:rPr>
        <w:t>CA</w:t>
      </w:r>
      <w:r w:rsidR="00C00642">
        <w:rPr>
          <w:sz w:val="24"/>
        </w:rPr>
        <w:t xml:space="preserve">, </w:t>
      </w:r>
      <w:r w:rsidRPr="13DD0E27" w:rsidR="49179CC1">
        <w:rPr>
          <w:sz w:val="24"/>
        </w:rPr>
        <w:t>OK</w:t>
      </w:r>
      <w:r w:rsidRPr="13DD0E27" w:rsidR="3FF85EC0">
        <w:rPr>
          <w:sz w:val="24"/>
        </w:rPr>
        <w:t>, and IA</w:t>
      </w:r>
      <w:r w:rsidR="00C00642">
        <w:rPr>
          <w:sz w:val="24"/>
        </w:rPr>
        <w:t xml:space="preserve"> (IA is</w:t>
      </w:r>
      <w:r w:rsidRPr="13DD0E27" w:rsidR="47C4D79C">
        <w:rPr>
          <w:sz w:val="24"/>
        </w:rPr>
        <w:t xml:space="preserve"> </w:t>
      </w:r>
      <w:r w:rsidRPr="13DD0E27" w:rsidR="3A54B5BE">
        <w:rPr>
          <w:sz w:val="24"/>
        </w:rPr>
        <w:t>working toward</w:t>
      </w:r>
      <w:r w:rsidRPr="13DD0E27" w:rsidR="3FF85EC0">
        <w:rPr>
          <w:sz w:val="24"/>
        </w:rPr>
        <w:t xml:space="preserve"> participat</w:t>
      </w:r>
      <w:r w:rsidRPr="13DD0E27" w:rsidR="605CA427">
        <w:rPr>
          <w:sz w:val="24"/>
        </w:rPr>
        <w:t>ion</w:t>
      </w:r>
      <w:r w:rsidRPr="13DD0E27" w:rsidR="3FF85EC0">
        <w:rPr>
          <w:sz w:val="24"/>
        </w:rPr>
        <w:t xml:space="preserve"> in syndromic data sharing </w:t>
      </w:r>
      <w:r w:rsidRPr="13DD0E27" w:rsidR="0080061A">
        <w:rPr>
          <w:sz w:val="24"/>
        </w:rPr>
        <w:t>later in the NOFO cycle</w:t>
      </w:r>
      <w:r w:rsidR="00C00642">
        <w:rPr>
          <w:sz w:val="24"/>
        </w:rPr>
        <w:t>)</w:t>
      </w:r>
      <w:r w:rsidRPr="13DD0E27" w:rsidR="043A3712">
        <w:rPr>
          <w:sz w:val="24"/>
        </w:rPr>
        <w:t xml:space="preserve">. </w:t>
      </w:r>
    </w:p>
    <w:p w:rsidR="00E059E9" w:rsidP="000F2A1F" w14:paraId="1EA34080" w14:textId="77777777">
      <w:pPr>
        <w:rPr>
          <w:sz w:val="24"/>
        </w:rPr>
      </w:pPr>
    </w:p>
    <w:p w:rsidR="000F2A1F" w:rsidRPr="008E44D9" w:rsidP="75AD4B7A" w14:paraId="78100D84" w14:textId="666304DA">
      <w:pPr>
        <w:rPr>
          <w:sz w:val="24"/>
        </w:rPr>
      </w:pPr>
      <w:r w:rsidRPr="00C7391C">
        <w:rPr>
          <w:sz w:val="24"/>
        </w:rPr>
        <w:t xml:space="preserve">As of </w:t>
      </w:r>
      <w:r w:rsidRPr="00D27A44" w:rsidR="00B13AB0">
        <w:rPr>
          <w:sz w:val="24"/>
        </w:rPr>
        <w:t xml:space="preserve">data submissions processed in </w:t>
      </w:r>
      <w:r w:rsidRPr="00C7391C" w:rsidR="00B053B4">
        <w:rPr>
          <w:sz w:val="24"/>
        </w:rPr>
        <w:t>March 2025</w:t>
      </w:r>
      <w:r w:rsidRPr="00C7391C" w:rsidR="003E6D57">
        <w:rPr>
          <w:sz w:val="24"/>
        </w:rPr>
        <w:t xml:space="preserve">, </w:t>
      </w:r>
      <w:r w:rsidRPr="00C7391C">
        <w:rPr>
          <w:sz w:val="24"/>
        </w:rPr>
        <w:t>DOSE</w:t>
      </w:r>
      <w:r w:rsidRPr="00C7391C" w:rsidR="00704216">
        <w:rPr>
          <w:sz w:val="24"/>
        </w:rPr>
        <w:t>-DIS</w:t>
      </w:r>
      <w:r w:rsidRPr="00C7391C">
        <w:rPr>
          <w:sz w:val="24"/>
        </w:rPr>
        <w:t xml:space="preserve"> </w:t>
      </w:r>
      <w:r w:rsidRPr="00C7391C">
        <w:rPr>
          <w:sz w:val="24"/>
          <w:u w:val="single"/>
        </w:rPr>
        <w:t xml:space="preserve">ED </w:t>
      </w:r>
      <w:r w:rsidRPr="00C7391C">
        <w:rPr>
          <w:sz w:val="24"/>
        </w:rPr>
        <w:t>data capture</w:t>
      </w:r>
      <w:r w:rsidRPr="00C7391C" w:rsidR="29BA0610">
        <w:rPr>
          <w:sz w:val="24"/>
        </w:rPr>
        <w:t>d</w:t>
      </w:r>
      <w:r w:rsidRPr="00C7391C">
        <w:rPr>
          <w:sz w:val="24"/>
        </w:rPr>
        <w:t xml:space="preserve"> </w:t>
      </w:r>
      <w:r w:rsidRPr="00D27A44" w:rsidR="00A85CB3">
        <w:rPr>
          <w:sz w:val="24"/>
        </w:rPr>
        <w:t xml:space="preserve">an </w:t>
      </w:r>
      <w:r w:rsidRPr="00D27A44" w:rsidR="00A85CB3">
        <w:rPr>
          <w:b/>
          <w:sz w:val="24"/>
        </w:rPr>
        <w:t xml:space="preserve">average of </w:t>
      </w:r>
      <w:r w:rsidRPr="00D27A44">
        <w:rPr>
          <w:rFonts w:eastAsia="Calibri"/>
          <w:b/>
          <w:color w:val="000000" w:themeColor="text1"/>
          <w:sz w:val="24"/>
        </w:rPr>
        <w:t>95.7%</w:t>
      </w:r>
      <w:r w:rsidRPr="00C7391C">
        <w:rPr>
          <w:rFonts w:eastAsia="Calibri"/>
          <w:color w:val="000000" w:themeColor="text1"/>
          <w:sz w:val="24"/>
        </w:rPr>
        <w:t xml:space="preserve"> of ED facilities in </w:t>
      </w:r>
      <w:r w:rsidR="004A5C32">
        <w:rPr>
          <w:rFonts w:eastAsia="Calibri"/>
          <w:color w:val="000000" w:themeColor="text1"/>
          <w:sz w:val="24"/>
        </w:rPr>
        <w:t>2</w:t>
      </w:r>
      <w:r w:rsidR="00A90BDB">
        <w:rPr>
          <w:rFonts w:eastAsia="Calibri"/>
          <w:color w:val="000000" w:themeColor="text1"/>
          <w:sz w:val="24"/>
        </w:rPr>
        <w:t>9</w:t>
      </w:r>
      <w:r w:rsidRPr="00C7391C">
        <w:rPr>
          <w:rFonts w:eastAsia="Calibri"/>
          <w:color w:val="000000" w:themeColor="text1"/>
          <w:sz w:val="24"/>
        </w:rPr>
        <w:t xml:space="preserve"> states</w:t>
      </w:r>
      <w:r w:rsidRPr="00D27A44" w:rsidR="00A85CB3">
        <w:rPr>
          <w:rFonts w:eastAsia="Calibri"/>
          <w:color w:val="000000" w:themeColor="text1"/>
          <w:sz w:val="24"/>
        </w:rPr>
        <w:t xml:space="preserve"> </w:t>
      </w:r>
      <w:r w:rsidR="00A90BDB">
        <w:rPr>
          <w:rFonts w:eastAsia="Calibri"/>
          <w:color w:val="000000" w:themeColor="text1"/>
          <w:sz w:val="24"/>
        </w:rPr>
        <w:t xml:space="preserve">and </w:t>
      </w:r>
      <w:r w:rsidR="00B84143">
        <w:rPr>
          <w:rFonts w:eastAsia="Calibri"/>
          <w:color w:val="000000" w:themeColor="text1"/>
          <w:sz w:val="24"/>
        </w:rPr>
        <w:t>District of Columbia</w:t>
      </w:r>
      <w:r w:rsidR="00A90BDB">
        <w:rPr>
          <w:rFonts w:eastAsia="Calibri"/>
          <w:color w:val="000000" w:themeColor="text1"/>
          <w:sz w:val="24"/>
        </w:rPr>
        <w:t xml:space="preserve"> </w:t>
      </w:r>
      <w:r w:rsidRPr="00D27A44" w:rsidR="00A85CB3">
        <w:rPr>
          <w:rFonts w:eastAsia="Calibri"/>
          <w:color w:val="000000" w:themeColor="text1"/>
          <w:sz w:val="24"/>
        </w:rPr>
        <w:t>during 2023</w:t>
      </w:r>
      <w:r w:rsidRPr="00D27A44" w:rsidR="74401DA6">
        <w:rPr>
          <w:rFonts w:eastAsia="Calibri"/>
          <w:color w:val="000000" w:themeColor="text1"/>
          <w:sz w:val="24"/>
        </w:rPr>
        <w:t xml:space="preserve"> (i.e. for calendar year 2023 data)</w:t>
      </w:r>
      <w:r w:rsidRPr="00C7391C">
        <w:rPr>
          <w:rFonts w:eastAsia="Calibri"/>
          <w:color w:val="000000" w:themeColor="text1"/>
          <w:sz w:val="24"/>
        </w:rPr>
        <w:t>, and DOSE</w:t>
      </w:r>
      <w:r w:rsidRPr="00C7391C" w:rsidR="00F80774">
        <w:rPr>
          <w:rFonts w:eastAsia="Calibri"/>
          <w:color w:val="000000" w:themeColor="text1"/>
          <w:sz w:val="24"/>
        </w:rPr>
        <w:t>-DIS</w:t>
      </w:r>
      <w:r w:rsidRPr="00C7391C">
        <w:rPr>
          <w:rFonts w:eastAsia="Calibri"/>
          <w:color w:val="000000" w:themeColor="text1"/>
          <w:sz w:val="24"/>
        </w:rPr>
        <w:t xml:space="preserve"> </w:t>
      </w:r>
      <w:r w:rsidRPr="00C7391C">
        <w:rPr>
          <w:rFonts w:eastAsia="Calibri"/>
          <w:color w:val="000000" w:themeColor="text1"/>
          <w:sz w:val="24"/>
          <w:u w:val="single"/>
        </w:rPr>
        <w:t>Inpatient Hospitalization Discharge</w:t>
      </w:r>
      <w:r w:rsidRPr="00C7391C">
        <w:rPr>
          <w:rFonts w:eastAsia="Calibri"/>
          <w:color w:val="000000" w:themeColor="text1"/>
          <w:sz w:val="24"/>
        </w:rPr>
        <w:t xml:space="preserve"> data capture</w:t>
      </w:r>
      <w:r w:rsidRPr="00C7391C" w:rsidR="48A9F0F8">
        <w:rPr>
          <w:rFonts w:eastAsia="Calibri"/>
          <w:color w:val="000000" w:themeColor="text1"/>
          <w:sz w:val="24"/>
        </w:rPr>
        <w:t>d</w:t>
      </w:r>
      <w:r w:rsidRPr="00C7391C">
        <w:rPr>
          <w:sz w:val="24"/>
        </w:rPr>
        <w:t xml:space="preserve"> </w:t>
      </w:r>
      <w:r w:rsidRPr="00D27A44" w:rsidR="003E6D57">
        <w:rPr>
          <w:sz w:val="24"/>
        </w:rPr>
        <w:t xml:space="preserve">an </w:t>
      </w:r>
      <w:r w:rsidRPr="00D27A44" w:rsidR="003E6D57">
        <w:rPr>
          <w:b/>
          <w:sz w:val="24"/>
        </w:rPr>
        <w:t xml:space="preserve">average of </w:t>
      </w:r>
      <w:r w:rsidRPr="00D27A44">
        <w:rPr>
          <w:rFonts w:eastAsia="Calibri"/>
          <w:b/>
          <w:color w:val="000000" w:themeColor="text1"/>
          <w:sz w:val="24"/>
        </w:rPr>
        <w:t>94.3%</w:t>
      </w:r>
      <w:r w:rsidRPr="00C7391C">
        <w:rPr>
          <w:rFonts w:eastAsia="Calibri"/>
          <w:color w:val="000000" w:themeColor="text1"/>
          <w:sz w:val="24"/>
        </w:rPr>
        <w:t xml:space="preserve"> of inpatient hospital facilities in </w:t>
      </w:r>
      <w:r w:rsidRPr="00D27A44" w:rsidR="00CB0E13">
        <w:rPr>
          <w:rFonts w:eastAsia="Calibri"/>
          <w:color w:val="000000" w:themeColor="text1"/>
          <w:sz w:val="24"/>
        </w:rPr>
        <w:t>3</w:t>
      </w:r>
      <w:r w:rsidR="00A90BDB">
        <w:rPr>
          <w:rFonts w:eastAsia="Calibri"/>
          <w:color w:val="000000" w:themeColor="text1"/>
          <w:sz w:val="24"/>
        </w:rPr>
        <w:t>3</w:t>
      </w:r>
      <w:r w:rsidRPr="00C7391C" w:rsidR="00CB0E13">
        <w:rPr>
          <w:rFonts w:eastAsia="Calibri"/>
          <w:color w:val="000000" w:themeColor="text1"/>
          <w:sz w:val="24"/>
        </w:rPr>
        <w:t xml:space="preserve"> </w:t>
      </w:r>
      <w:r w:rsidRPr="00C7391C">
        <w:rPr>
          <w:rFonts w:eastAsia="Calibri"/>
          <w:color w:val="000000" w:themeColor="text1"/>
          <w:sz w:val="24"/>
        </w:rPr>
        <w:t>states</w:t>
      </w:r>
      <w:r w:rsidR="00A90BDB">
        <w:rPr>
          <w:rFonts w:eastAsia="Calibri"/>
          <w:color w:val="000000" w:themeColor="text1"/>
          <w:sz w:val="24"/>
        </w:rPr>
        <w:t xml:space="preserve"> and </w:t>
      </w:r>
      <w:r w:rsidR="00B84143">
        <w:rPr>
          <w:rFonts w:eastAsia="Calibri"/>
          <w:color w:val="000000" w:themeColor="text1"/>
          <w:sz w:val="24"/>
        </w:rPr>
        <w:t>District of Columbia</w:t>
      </w:r>
      <w:r w:rsidRPr="00D27A44" w:rsidR="004A711D">
        <w:rPr>
          <w:rFonts w:eastAsia="Calibri"/>
          <w:color w:val="000000" w:themeColor="text1"/>
          <w:sz w:val="24"/>
        </w:rPr>
        <w:t xml:space="preserve"> during 2023</w:t>
      </w:r>
      <w:r w:rsidRPr="00D27A44" w:rsidR="3F5BC413">
        <w:rPr>
          <w:rFonts w:eastAsia="Calibri"/>
          <w:color w:val="000000" w:themeColor="text1"/>
          <w:sz w:val="24"/>
        </w:rPr>
        <w:t xml:space="preserve"> (i.e., for calendar year 2023 data)</w:t>
      </w:r>
      <w:r w:rsidRPr="00C7391C">
        <w:rPr>
          <w:sz w:val="24"/>
        </w:rPr>
        <w:t>.</w:t>
      </w:r>
      <w:r w:rsidRPr="00C7391C" w:rsidR="76FD94BC">
        <w:rPr>
          <w:sz w:val="24"/>
        </w:rPr>
        <w:t xml:space="preserve"> </w:t>
      </w:r>
      <w:r w:rsidRPr="00C7391C" w:rsidR="0AFC6C0E">
        <w:rPr>
          <w:sz w:val="24"/>
        </w:rPr>
        <w:t xml:space="preserve">The number of </w:t>
      </w:r>
      <w:r w:rsidR="0029743E">
        <w:rPr>
          <w:sz w:val="24"/>
        </w:rPr>
        <w:t>jurisdictions</w:t>
      </w:r>
      <w:r w:rsidRPr="00C7391C" w:rsidR="0029743E">
        <w:rPr>
          <w:sz w:val="24"/>
        </w:rPr>
        <w:t xml:space="preserve"> </w:t>
      </w:r>
      <w:r w:rsidRPr="00C7391C" w:rsidR="0AFC6C0E">
        <w:rPr>
          <w:sz w:val="24"/>
        </w:rPr>
        <w:t>will be expanded later in 202</w:t>
      </w:r>
      <w:r w:rsidRPr="00C7391C" w:rsidR="00B053B4">
        <w:rPr>
          <w:sz w:val="24"/>
        </w:rPr>
        <w:t>5</w:t>
      </w:r>
      <w:r w:rsidRPr="00C7391C" w:rsidR="126934DD">
        <w:rPr>
          <w:sz w:val="24"/>
        </w:rPr>
        <w:t xml:space="preserve"> </w:t>
      </w:r>
      <w:r w:rsidRPr="00C7391C" w:rsidR="76FD94BC">
        <w:rPr>
          <w:sz w:val="24"/>
        </w:rPr>
        <w:t xml:space="preserve">(to 32 </w:t>
      </w:r>
      <w:r w:rsidR="0029743E">
        <w:rPr>
          <w:sz w:val="24"/>
        </w:rPr>
        <w:t>jurisdiction</w:t>
      </w:r>
      <w:r w:rsidRPr="00C7391C" w:rsidR="76FD94BC">
        <w:rPr>
          <w:sz w:val="24"/>
        </w:rPr>
        <w:t>s submitting ED discharge</w:t>
      </w:r>
      <w:r w:rsidRPr="75AD4B7A" w:rsidR="76FD94BC">
        <w:rPr>
          <w:sz w:val="24"/>
        </w:rPr>
        <w:t xml:space="preserve"> data and 3</w:t>
      </w:r>
      <w:r w:rsidR="00FF60E0">
        <w:rPr>
          <w:sz w:val="24"/>
        </w:rPr>
        <w:t>5</w:t>
      </w:r>
      <w:r w:rsidRPr="75AD4B7A" w:rsidR="76FD94BC">
        <w:rPr>
          <w:sz w:val="24"/>
        </w:rPr>
        <w:t xml:space="preserve"> submitting inpatient hospitalization discharge data, for a total of 35 </w:t>
      </w:r>
      <w:r w:rsidR="00751AFC">
        <w:rPr>
          <w:sz w:val="24"/>
        </w:rPr>
        <w:t xml:space="preserve">jurisdictions </w:t>
      </w:r>
      <w:r w:rsidRPr="75AD4B7A" w:rsidR="76FD94BC">
        <w:rPr>
          <w:sz w:val="24"/>
        </w:rPr>
        <w:t xml:space="preserve">submitting discharge data) </w:t>
      </w:r>
      <w:r w:rsidRPr="75AD4B7A" w:rsidR="0AFC6C0E">
        <w:rPr>
          <w:sz w:val="24"/>
        </w:rPr>
        <w:t xml:space="preserve">as </w:t>
      </w:r>
      <w:r w:rsidR="00454598">
        <w:rPr>
          <w:sz w:val="24"/>
        </w:rPr>
        <w:t>jurisdiction</w:t>
      </w:r>
      <w:r w:rsidRPr="75AD4B7A" w:rsidR="0AFC6C0E">
        <w:rPr>
          <w:sz w:val="24"/>
        </w:rPr>
        <w:t xml:space="preserve">s complete </w:t>
      </w:r>
      <w:r w:rsidRPr="27D3571F" w:rsidR="0093690E">
        <w:rPr>
          <w:sz w:val="24"/>
        </w:rPr>
        <w:t>upcoming</w:t>
      </w:r>
      <w:r w:rsidRPr="75AD4B7A" w:rsidR="76FD94BC">
        <w:rPr>
          <w:sz w:val="24"/>
        </w:rPr>
        <w:t xml:space="preserve"> </w:t>
      </w:r>
      <w:r w:rsidRPr="75AD4B7A" w:rsidR="0AFC6C0E">
        <w:rPr>
          <w:sz w:val="24"/>
        </w:rPr>
        <w:t>data submission</w:t>
      </w:r>
      <w:r w:rsidR="0093690E">
        <w:rPr>
          <w:sz w:val="24"/>
        </w:rPr>
        <w:t>s</w:t>
      </w:r>
      <w:r w:rsidRPr="75AD4B7A" w:rsidR="0AFC6C0E">
        <w:rPr>
          <w:sz w:val="24"/>
        </w:rPr>
        <w:t xml:space="preserve">. </w:t>
      </w:r>
      <w:r w:rsidRPr="75AD4B7A">
        <w:rPr>
          <w:sz w:val="24"/>
        </w:rPr>
        <w:t xml:space="preserve">We will continue to build state and local health department capacity to both increase and maintain high facility coverage to better track drug overdose trends and outbreaks in </w:t>
      </w:r>
      <w:r w:rsidRPr="75AD4B7A" w:rsidR="3879E2B6">
        <w:rPr>
          <w:sz w:val="24"/>
        </w:rPr>
        <w:t>c</w:t>
      </w:r>
      <w:r w:rsidRPr="75AD4B7A">
        <w:rPr>
          <w:sz w:val="24"/>
        </w:rPr>
        <w:t>ommunit</w:t>
      </w:r>
      <w:r w:rsidRPr="75AD4B7A" w:rsidR="3879E2B6">
        <w:rPr>
          <w:sz w:val="24"/>
        </w:rPr>
        <w:t>ies</w:t>
      </w:r>
      <w:r w:rsidRPr="75AD4B7A">
        <w:rPr>
          <w:sz w:val="24"/>
        </w:rPr>
        <w:t>.</w:t>
      </w:r>
    </w:p>
    <w:p w:rsidR="00E7580C" w:rsidP="0087540E" w14:paraId="6FED42B1" w14:textId="260B1C77">
      <w:pPr>
        <w:rPr>
          <w:sz w:val="24"/>
        </w:rPr>
      </w:pPr>
    </w:p>
    <w:p w:rsidR="00E7580C" w:rsidRPr="005569D8" w:rsidP="0087540E" w14:paraId="5605AC0B" w14:textId="3FE75ACB">
      <w:pPr>
        <w:rPr>
          <w:sz w:val="24"/>
        </w:rPr>
        <w:sectPr w:rsidSect="00747836">
          <w:footerReference w:type="default" r:id="rId11"/>
          <w:endnotePr>
            <w:numFmt w:val="decimal"/>
          </w:endnotePr>
          <w:type w:val="continuous"/>
          <w:pgSz w:w="12240" w:h="15840"/>
          <w:pgMar w:top="1080" w:right="1800" w:bottom="720" w:left="1800" w:header="720" w:footer="720" w:gutter="0"/>
          <w:cols w:space="720"/>
        </w:sectPr>
      </w:pPr>
    </w:p>
    <w:p w:rsidR="0087540E" w:rsidRPr="005569D8" w:rsidP="0087540E" w14:paraId="4E081D49" w14:textId="77777777">
      <w:pPr>
        <w:rPr>
          <w:sz w:val="24"/>
        </w:rPr>
      </w:pPr>
    </w:p>
    <w:p w:rsidR="0087540E" w:rsidRPr="005569D8" w:rsidP="0EBCC76A" w14:paraId="28585B14" w14:textId="77777777">
      <w:pPr>
        <w:ind w:left="720" w:hanging="720"/>
        <w:rPr>
          <w:sz w:val="24"/>
        </w:rPr>
      </w:pPr>
      <w:r w:rsidRPr="005569D8">
        <w:rPr>
          <w:b/>
          <w:bCs/>
          <w:sz w:val="24"/>
        </w:rPr>
        <w:t>2.</w:t>
      </w:r>
      <w:r>
        <w:tab/>
      </w:r>
      <w:r w:rsidRPr="005569D8">
        <w:rPr>
          <w:b/>
          <w:bCs/>
          <w:sz w:val="24"/>
        </w:rPr>
        <w:t>Procedures for the Collection of Information</w:t>
      </w:r>
    </w:p>
    <w:p w:rsidR="00B85CEC" w:rsidRPr="005569D8" w:rsidP="00E40349" w14:paraId="4D9383C8" w14:textId="77777777">
      <w:pPr>
        <w:rPr>
          <w:sz w:val="24"/>
          <w:lang w:val="en"/>
        </w:rPr>
      </w:pPr>
    </w:p>
    <w:p w:rsidR="0021575A" w:rsidRPr="002E4AE2" w:rsidP="00E40349" w14:paraId="1FAA58EC" w14:textId="20926732">
      <w:pPr>
        <w:rPr>
          <w:sz w:val="24"/>
        </w:rPr>
      </w:pPr>
      <w:r w:rsidRPr="0A87B654">
        <w:rPr>
          <w:sz w:val="24"/>
        </w:rPr>
        <w:t xml:space="preserve">The health departments </w:t>
      </w:r>
      <w:r w:rsidRPr="0A87B654" w:rsidR="00762BCD">
        <w:rPr>
          <w:sz w:val="24"/>
        </w:rPr>
        <w:t xml:space="preserve">participating </w:t>
      </w:r>
      <w:r w:rsidRPr="0A87B654">
        <w:rPr>
          <w:sz w:val="24"/>
        </w:rPr>
        <w:t xml:space="preserve">in DOSE will share </w:t>
      </w:r>
      <w:r w:rsidRPr="0A87B654" w:rsidR="00975A43">
        <w:rPr>
          <w:sz w:val="24"/>
        </w:rPr>
        <w:t xml:space="preserve">up to </w:t>
      </w:r>
      <w:r w:rsidRPr="0A87B654">
        <w:rPr>
          <w:sz w:val="24"/>
        </w:rPr>
        <w:t xml:space="preserve">two types of data with CDC </w:t>
      </w:r>
      <w:r w:rsidRPr="0A87B654">
        <w:rPr>
          <w:sz w:val="24"/>
        </w:rPr>
        <w:t>on an ongoing basis:</w:t>
      </w:r>
    </w:p>
    <w:p w:rsidR="00F1116F" w:rsidRPr="002E4AE2" w:rsidP="00E40349" w14:paraId="466577AD" w14:textId="7F213FCD">
      <w:pPr>
        <w:pStyle w:val="ListParagraph"/>
        <w:numPr>
          <w:ilvl w:val="0"/>
          <w:numId w:val="12"/>
        </w:numPr>
        <w:rPr>
          <w:rFonts w:ascii="Times New Roman" w:hAnsi="Times New Roman"/>
        </w:rPr>
      </w:pPr>
      <w:r>
        <w:rPr>
          <w:rFonts w:ascii="Times New Roman" w:hAnsi="Times New Roman"/>
        </w:rPr>
        <w:t>DOSE</w:t>
      </w:r>
      <w:r w:rsidR="00F80774">
        <w:rPr>
          <w:rFonts w:ascii="Times New Roman" w:hAnsi="Times New Roman"/>
        </w:rPr>
        <w:t>-</w:t>
      </w:r>
      <w:r w:rsidRPr="11CB5AC7" w:rsidR="00F80774">
        <w:rPr>
          <w:rFonts w:ascii="Times New Roman" w:hAnsi="Times New Roman"/>
        </w:rPr>
        <w:t>S</w:t>
      </w:r>
      <w:r w:rsidRPr="11CB5AC7" w:rsidR="0BAB4D62">
        <w:rPr>
          <w:rFonts w:ascii="Times New Roman" w:hAnsi="Times New Roman"/>
        </w:rPr>
        <w:t>Y</w:t>
      </w:r>
      <w:r w:rsidR="00F80774">
        <w:rPr>
          <w:rFonts w:ascii="Times New Roman" w:hAnsi="Times New Roman"/>
        </w:rPr>
        <w:t>S</w:t>
      </w:r>
      <w:r>
        <w:rPr>
          <w:rFonts w:ascii="Times New Roman" w:hAnsi="Times New Roman"/>
        </w:rPr>
        <w:t>:</w:t>
      </w:r>
      <w:r w:rsidRPr="6B32225D" w:rsidR="7010EEF4">
        <w:rPr>
          <w:rFonts w:ascii="Times New Roman" w:hAnsi="Times New Roman"/>
        </w:rPr>
        <w:t xml:space="preserve"> </w:t>
      </w:r>
      <w:r w:rsidRPr="6B32225D" w:rsidR="1E75E982">
        <w:rPr>
          <w:rFonts w:ascii="Times New Roman" w:hAnsi="Times New Roman"/>
        </w:rPr>
        <w:t>C</w:t>
      </w:r>
      <w:r w:rsidRPr="6B32225D" w:rsidR="78810EAC">
        <w:rPr>
          <w:rFonts w:ascii="Times New Roman" w:hAnsi="Times New Roman"/>
        </w:rPr>
        <w:t>ount</w:t>
      </w:r>
      <w:r w:rsidRPr="6B32225D" w:rsidR="4AE7C470">
        <w:rPr>
          <w:rFonts w:ascii="Times New Roman" w:hAnsi="Times New Roman"/>
        </w:rPr>
        <w:t>s</w:t>
      </w:r>
      <w:r w:rsidRPr="257ED39A" w:rsidR="78810EAC">
        <w:rPr>
          <w:rFonts w:ascii="Times New Roman" w:hAnsi="Times New Roman"/>
        </w:rPr>
        <w:t xml:space="preserve"> of ED visits </w:t>
      </w:r>
      <w:r w:rsidRPr="257ED39A" w:rsidR="61EBB738">
        <w:rPr>
          <w:rFonts w:ascii="Times New Roman" w:hAnsi="Times New Roman"/>
        </w:rPr>
        <w:t xml:space="preserve">involving suspected </w:t>
      </w:r>
      <w:r w:rsidRPr="257ED39A" w:rsidR="4FD46E86">
        <w:rPr>
          <w:rFonts w:ascii="Times New Roman" w:hAnsi="Times New Roman"/>
        </w:rPr>
        <w:t>all</w:t>
      </w:r>
      <w:r w:rsidRPr="257ED39A" w:rsidR="0CC7547B">
        <w:rPr>
          <w:rFonts w:ascii="Times New Roman" w:hAnsi="Times New Roman"/>
        </w:rPr>
        <w:t xml:space="preserve"> </w:t>
      </w:r>
      <w:r w:rsidRPr="257ED39A" w:rsidR="511D229B">
        <w:rPr>
          <w:rFonts w:ascii="Times New Roman" w:hAnsi="Times New Roman"/>
        </w:rPr>
        <w:t xml:space="preserve">drug, </w:t>
      </w:r>
      <w:r w:rsidRPr="257ED39A" w:rsidR="4FD46E86">
        <w:rPr>
          <w:rFonts w:ascii="Times New Roman" w:hAnsi="Times New Roman"/>
        </w:rPr>
        <w:t>all</w:t>
      </w:r>
      <w:r w:rsidRPr="257ED39A" w:rsidR="0CC7547B">
        <w:rPr>
          <w:rFonts w:ascii="Times New Roman" w:hAnsi="Times New Roman"/>
        </w:rPr>
        <w:t xml:space="preserve"> </w:t>
      </w:r>
      <w:r w:rsidRPr="257ED39A" w:rsidR="511D229B">
        <w:rPr>
          <w:rFonts w:ascii="Times New Roman" w:hAnsi="Times New Roman"/>
        </w:rPr>
        <w:t>opioid, heroin, fentanyl, all</w:t>
      </w:r>
      <w:r w:rsidRPr="257ED39A" w:rsidR="0CC7547B">
        <w:rPr>
          <w:rFonts w:ascii="Times New Roman" w:hAnsi="Times New Roman"/>
        </w:rPr>
        <w:t xml:space="preserve"> </w:t>
      </w:r>
      <w:r w:rsidRPr="257ED39A" w:rsidR="511D229B">
        <w:rPr>
          <w:rFonts w:ascii="Times New Roman" w:hAnsi="Times New Roman"/>
        </w:rPr>
        <w:t xml:space="preserve">stimulant, cocaine, methamphetamine, benzodiazepine, and other emerging drug </w:t>
      </w:r>
      <w:r w:rsidRPr="257ED39A" w:rsidR="61EBB738">
        <w:rPr>
          <w:rFonts w:ascii="Times New Roman" w:hAnsi="Times New Roman"/>
        </w:rPr>
        <w:t>overdoses</w:t>
      </w:r>
      <w:r w:rsidRPr="257ED39A" w:rsidR="4AE7C470">
        <w:rPr>
          <w:rFonts w:ascii="Times New Roman" w:hAnsi="Times New Roman"/>
        </w:rPr>
        <w:t xml:space="preserve"> by county as well as age group</w:t>
      </w:r>
      <w:r w:rsidRPr="257ED39A" w:rsidR="09E6F255">
        <w:rPr>
          <w:rFonts w:ascii="Times New Roman" w:hAnsi="Times New Roman"/>
        </w:rPr>
        <w:t>,</w:t>
      </w:r>
      <w:r w:rsidRPr="257ED39A" w:rsidR="4AE7C470">
        <w:rPr>
          <w:rFonts w:ascii="Times New Roman" w:hAnsi="Times New Roman"/>
        </w:rPr>
        <w:t xml:space="preserve"> sex</w:t>
      </w:r>
      <w:r w:rsidRPr="257ED39A" w:rsidR="09E6F255">
        <w:rPr>
          <w:rFonts w:ascii="Times New Roman" w:hAnsi="Times New Roman"/>
        </w:rPr>
        <w:t>, and race/ethnicity</w:t>
      </w:r>
      <w:r w:rsidRPr="257ED39A" w:rsidR="4AE7C470">
        <w:rPr>
          <w:rFonts w:ascii="Times New Roman" w:hAnsi="Times New Roman"/>
        </w:rPr>
        <w:t>. Data will be shared</w:t>
      </w:r>
      <w:r w:rsidRPr="257ED39A" w:rsidR="24EE6050">
        <w:rPr>
          <w:rFonts w:ascii="Times New Roman" w:hAnsi="Times New Roman"/>
        </w:rPr>
        <w:t xml:space="preserve"> with CDC on a</w:t>
      </w:r>
      <w:r w:rsidRPr="257ED39A" w:rsidR="026A04C4">
        <w:rPr>
          <w:rFonts w:ascii="Times New Roman" w:hAnsi="Times New Roman"/>
        </w:rPr>
        <w:t xml:space="preserve"> monthly basis</w:t>
      </w:r>
      <w:r w:rsidRPr="257ED39A" w:rsidR="24EE6050">
        <w:rPr>
          <w:rFonts w:ascii="Times New Roman" w:hAnsi="Times New Roman"/>
        </w:rPr>
        <w:t xml:space="preserve"> using a standardized Excel form, the </w:t>
      </w:r>
      <w:r w:rsidRPr="257ED39A" w:rsidR="24EE6050">
        <w:rPr>
          <w:rFonts w:ascii="Times New Roman" w:hAnsi="Times New Roman"/>
          <w:i/>
          <w:iCs/>
        </w:rPr>
        <w:t>Rapid ED overdose data</w:t>
      </w:r>
      <w:r w:rsidRPr="257ED39A" w:rsidR="59DB957C">
        <w:rPr>
          <w:rFonts w:ascii="Times New Roman" w:hAnsi="Times New Roman"/>
          <w:i/>
          <w:iCs/>
        </w:rPr>
        <w:t xml:space="preserve"> form</w:t>
      </w:r>
      <w:r w:rsidRPr="257ED39A" w:rsidR="36D5FF85">
        <w:rPr>
          <w:rFonts w:ascii="Times New Roman" w:hAnsi="Times New Roman"/>
          <w:i/>
          <w:iCs/>
        </w:rPr>
        <w:t xml:space="preserve"> </w:t>
      </w:r>
      <w:r w:rsidRPr="257ED39A" w:rsidR="36D5FF85">
        <w:rPr>
          <w:rFonts w:ascii="Times New Roman" w:hAnsi="Times New Roman"/>
        </w:rPr>
        <w:t>(Att</w:t>
      </w:r>
      <w:r w:rsidRPr="257ED39A" w:rsidR="34D23D88">
        <w:rPr>
          <w:rFonts w:ascii="Times New Roman" w:hAnsi="Times New Roman"/>
        </w:rPr>
        <w:t>achment</w:t>
      </w:r>
      <w:r w:rsidRPr="257ED39A" w:rsidR="36D5FF85">
        <w:rPr>
          <w:rFonts w:ascii="Times New Roman" w:hAnsi="Times New Roman"/>
        </w:rPr>
        <w:t xml:space="preserve"> D</w:t>
      </w:r>
      <w:r w:rsidRPr="257ED39A" w:rsidR="36D5FF85">
        <w:rPr>
          <w:rFonts w:ascii="Times New Roman" w:hAnsi="Times New Roman"/>
          <w:i/>
          <w:iCs/>
        </w:rPr>
        <w:t>)</w:t>
      </w:r>
      <w:r w:rsidRPr="257ED39A" w:rsidR="24EE6050">
        <w:rPr>
          <w:rFonts w:ascii="Times New Roman" w:hAnsi="Times New Roman"/>
        </w:rPr>
        <w:t xml:space="preserve">, and standard CDC case definitions of </w:t>
      </w:r>
      <w:r w:rsidRPr="257ED39A" w:rsidR="7EEFA5BC">
        <w:rPr>
          <w:rFonts w:ascii="Times New Roman" w:hAnsi="Times New Roman"/>
        </w:rPr>
        <w:t>all</w:t>
      </w:r>
      <w:r w:rsidRPr="257ED39A" w:rsidR="54EA2F03">
        <w:rPr>
          <w:rFonts w:ascii="Times New Roman" w:hAnsi="Times New Roman"/>
        </w:rPr>
        <w:t xml:space="preserve"> </w:t>
      </w:r>
      <w:r w:rsidRPr="257ED39A" w:rsidR="59E7AA59">
        <w:rPr>
          <w:rFonts w:ascii="Times New Roman" w:hAnsi="Times New Roman"/>
        </w:rPr>
        <w:t xml:space="preserve">drug, </w:t>
      </w:r>
      <w:r w:rsidRPr="257ED39A" w:rsidR="7EEFA5BC">
        <w:rPr>
          <w:rFonts w:ascii="Times New Roman" w:hAnsi="Times New Roman"/>
        </w:rPr>
        <w:t>all</w:t>
      </w:r>
      <w:r w:rsidRPr="257ED39A" w:rsidR="4980646A">
        <w:rPr>
          <w:rFonts w:ascii="Times New Roman" w:hAnsi="Times New Roman"/>
        </w:rPr>
        <w:t xml:space="preserve"> </w:t>
      </w:r>
      <w:r w:rsidRPr="257ED39A" w:rsidR="59E7AA59">
        <w:rPr>
          <w:rFonts w:ascii="Times New Roman" w:hAnsi="Times New Roman"/>
        </w:rPr>
        <w:t>opioid, heroin, fentanyl, all</w:t>
      </w:r>
      <w:r w:rsidRPr="257ED39A" w:rsidR="10EDED0C">
        <w:rPr>
          <w:rFonts w:ascii="Times New Roman" w:hAnsi="Times New Roman"/>
        </w:rPr>
        <w:t xml:space="preserve"> </w:t>
      </w:r>
      <w:r w:rsidRPr="257ED39A" w:rsidR="59E7AA59">
        <w:rPr>
          <w:rFonts w:ascii="Times New Roman" w:hAnsi="Times New Roman"/>
        </w:rPr>
        <w:t xml:space="preserve">stimulant, cocaine, methamphetamine, benzodiazepine, and other emerging drug </w:t>
      </w:r>
      <w:r w:rsidRPr="257ED39A" w:rsidR="24EE6050">
        <w:rPr>
          <w:rFonts w:ascii="Times New Roman" w:hAnsi="Times New Roman"/>
        </w:rPr>
        <w:t>overdoses.</w:t>
      </w:r>
      <w:r w:rsidRPr="257ED39A" w:rsidR="026A04C4">
        <w:rPr>
          <w:rFonts w:ascii="Times New Roman" w:hAnsi="Times New Roman"/>
        </w:rPr>
        <w:t xml:space="preserve"> Also, mea</w:t>
      </w:r>
      <w:r w:rsidRPr="257ED39A" w:rsidR="61EBB738">
        <w:rPr>
          <w:rFonts w:ascii="Times New Roman" w:hAnsi="Times New Roman"/>
        </w:rPr>
        <w:t xml:space="preserve">sures of data quality </w:t>
      </w:r>
      <w:r w:rsidRPr="257ED39A" w:rsidR="026A04C4">
        <w:rPr>
          <w:rFonts w:ascii="Times New Roman" w:hAnsi="Times New Roman"/>
        </w:rPr>
        <w:t xml:space="preserve">and metadata </w:t>
      </w:r>
      <w:r w:rsidRPr="257ED39A" w:rsidR="61EBB738">
        <w:rPr>
          <w:rFonts w:ascii="Times New Roman" w:hAnsi="Times New Roman"/>
        </w:rPr>
        <w:t>will be collected and are described in the SSA</w:t>
      </w:r>
      <w:r w:rsidRPr="257ED39A" w:rsidR="59E7AA59">
        <w:rPr>
          <w:rFonts w:ascii="Times New Roman" w:hAnsi="Times New Roman"/>
        </w:rPr>
        <w:t xml:space="preserve"> and Att</w:t>
      </w:r>
      <w:r w:rsidRPr="257ED39A" w:rsidR="2CE26B1E">
        <w:rPr>
          <w:rFonts w:ascii="Times New Roman" w:hAnsi="Times New Roman"/>
        </w:rPr>
        <w:t>achment</w:t>
      </w:r>
      <w:r w:rsidRPr="257ED39A" w:rsidR="59E7AA59">
        <w:rPr>
          <w:rFonts w:ascii="Times New Roman" w:hAnsi="Times New Roman"/>
        </w:rPr>
        <w:t xml:space="preserve"> D</w:t>
      </w:r>
      <w:r w:rsidRPr="257ED39A" w:rsidR="61EBB738">
        <w:rPr>
          <w:rFonts w:ascii="Times New Roman" w:hAnsi="Times New Roman"/>
        </w:rPr>
        <w:t>.</w:t>
      </w:r>
    </w:p>
    <w:p w:rsidR="00E85B0D" w:rsidRPr="002E4AE2" w:rsidP="00A47BA7" w14:paraId="2D9FDFE1" w14:textId="2D7F685A">
      <w:pPr>
        <w:pStyle w:val="ListParagraph"/>
        <w:numPr>
          <w:ilvl w:val="0"/>
          <w:numId w:val="12"/>
        </w:numPr>
        <w:spacing w:line="259" w:lineRule="auto"/>
        <w:rPr>
          <w:rFonts w:ascii="Times New Roman" w:hAnsi="Times New Roman"/>
          <w:lang w:val="en"/>
        </w:rPr>
      </w:pPr>
      <w:r>
        <w:rPr>
          <w:rFonts w:ascii="Times New Roman" w:hAnsi="Times New Roman"/>
          <w:lang w:val="en"/>
        </w:rPr>
        <w:t>DOSE</w:t>
      </w:r>
      <w:r w:rsidR="00A069AA">
        <w:rPr>
          <w:rFonts w:ascii="Times New Roman" w:hAnsi="Times New Roman"/>
          <w:lang w:val="en"/>
        </w:rPr>
        <w:t>-DIS</w:t>
      </w:r>
      <w:r>
        <w:rPr>
          <w:rFonts w:ascii="Times New Roman" w:hAnsi="Times New Roman"/>
          <w:lang w:val="en"/>
        </w:rPr>
        <w:t xml:space="preserve">: </w:t>
      </w:r>
      <w:r w:rsidRPr="257ED39A" w:rsidR="5BDF39F8">
        <w:rPr>
          <w:rFonts w:ascii="Times New Roman" w:hAnsi="Times New Roman"/>
          <w:lang w:val="en"/>
        </w:rPr>
        <w:t xml:space="preserve">Line-level ED/inpatient hospitalization data on any drug overdose-related visit (i.e. </w:t>
      </w:r>
      <w:r w:rsidRPr="257ED39A" w:rsidR="47AA893F">
        <w:rPr>
          <w:rFonts w:ascii="Times New Roman" w:hAnsi="Times New Roman"/>
          <w:lang w:val="en"/>
        </w:rPr>
        <w:t xml:space="preserve">line-level data on </w:t>
      </w:r>
      <w:r w:rsidRPr="257ED39A" w:rsidR="5BDF39F8">
        <w:rPr>
          <w:rFonts w:ascii="Times New Roman" w:hAnsi="Times New Roman"/>
          <w:lang w:val="en"/>
        </w:rPr>
        <w:t>any ED/inpatient hospitalization visit with an ICD-10-CM code between T36-T50</w:t>
      </w:r>
      <w:r w:rsidRPr="257ED39A" w:rsidR="637A9D10">
        <w:rPr>
          <w:rFonts w:ascii="Times New Roman" w:hAnsi="Times New Roman"/>
          <w:lang w:val="en"/>
        </w:rPr>
        <w:t>, including all intents, encounter types, and substances), as well as aggregate c</w:t>
      </w:r>
      <w:r w:rsidRPr="257ED39A" w:rsidR="03A1DF15">
        <w:rPr>
          <w:rFonts w:ascii="Times New Roman" w:hAnsi="Times New Roman"/>
          <w:lang w:val="en"/>
        </w:rPr>
        <w:t xml:space="preserve">ounts of </w:t>
      </w:r>
      <w:r w:rsidRPr="257ED39A" w:rsidR="4D1006A4">
        <w:rPr>
          <w:rFonts w:ascii="Times New Roman" w:hAnsi="Times New Roman"/>
          <w:lang w:val="en"/>
        </w:rPr>
        <w:t xml:space="preserve">total </w:t>
      </w:r>
      <w:r w:rsidRPr="257ED39A" w:rsidR="03A1DF15">
        <w:rPr>
          <w:rFonts w:ascii="Times New Roman" w:hAnsi="Times New Roman"/>
          <w:lang w:val="en"/>
        </w:rPr>
        <w:t>ED visits</w:t>
      </w:r>
      <w:r w:rsidRPr="257ED39A" w:rsidR="5EB239C6">
        <w:rPr>
          <w:rFonts w:ascii="Times New Roman" w:hAnsi="Times New Roman"/>
          <w:lang w:val="en"/>
        </w:rPr>
        <w:t xml:space="preserve"> and </w:t>
      </w:r>
      <w:r w:rsidRPr="257ED39A" w:rsidR="1B23AA96">
        <w:rPr>
          <w:rFonts w:ascii="Times New Roman" w:hAnsi="Times New Roman"/>
          <w:lang w:val="en"/>
        </w:rPr>
        <w:t xml:space="preserve">total inpatient hospitalization visits. </w:t>
      </w:r>
      <w:r w:rsidRPr="257ED39A" w:rsidR="53F2FAF6">
        <w:rPr>
          <w:rFonts w:ascii="Times New Roman" w:hAnsi="Times New Roman"/>
          <w:lang w:val="en"/>
        </w:rPr>
        <w:t>CDC will aggregate line-level data submitted from states into standard case definitions, such as</w:t>
      </w:r>
      <w:r w:rsidRPr="257ED39A" w:rsidR="521F8274">
        <w:rPr>
          <w:rFonts w:ascii="Times New Roman" w:hAnsi="Times New Roman"/>
          <w:lang w:val="en"/>
        </w:rPr>
        <w:t xml:space="preserve"> overdoses of unintentional</w:t>
      </w:r>
      <w:r w:rsidRPr="257ED39A" w:rsidR="0E318F95">
        <w:rPr>
          <w:rFonts w:ascii="Times New Roman" w:hAnsi="Times New Roman"/>
          <w:lang w:val="en"/>
        </w:rPr>
        <w:t xml:space="preserve"> or </w:t>
      </w:r>
      <w:r w:rsidRPr="257ED39A" w:rsidR="521F8274">
        <w:rPr>
          <w:rFonts w:ascii="Times New Roman" w:hAnsi="Times New Roman"/>
          <w:lang w:val="en"/>
        </w:rPr>
        <w:t xml:space="preserve">undetermined intent </w:t>
      </w:r>
      <w:r w:rsidRPr="257ED39A" w:rsidR="0000693F">
        <w:rPr>
          <w:rFonts w:ascii="Times New Roman" w:hAnsi="Times New Roman"/>
          <w:lang w:val="en"/>
        </w:rPr>
        <w:t>involving all</w:t>
      </w:r>
      <w:r w:rsidRPr="257ED39A" w:rsidR="246913B4">
        <w:rPr>
          <w:rFonts w:ascii="Times New Roman" w:hAnsi="Times New Roman"/>
          <w:lang w:val="en"/>
        </w:rPr>
        <w:t xml:space="preserve"> </w:t>
      </w:r>
      <w:r w:rsidRPr="257ED39A" w:rsidR="59E7AA59">
        <w:rPr>
          <w:rFonts w:ascii="Times New Roman" w:hAnsi="Times New Roman"/>
          <w:lang w:val="en"/>
        </w:rPr>
        <w:t xml:space="preserve">drug, </w:t>
      </w:r>
      <w:r w:rsidRPr="257ED39A" w:rsidR="39606C0A">
        <w:rPr>
          <w:rFonts w:ascii="Times New Roman" w:hAnsi="Times New Roman"/>
          <w:lang w:val="en"/>
        </w:rPr>
        <w:t>all</w:t>
      </w:r>
      <w:r w:rsidRPr="257ED39A" w:rsidR="46512E80">
        <w:rPr>
          <w:rFonts w:ascii="Times New Roman" w:hAnsi="Times New Roman"/>
          <w:lang w:val="en"/>
        </w:rPr>
        <w:t xml:space="preserve"> </w:t>
      </w:r>
      <w:r w:rsidRPr="257ED39A" w:rsidR="59E7AA59">
        <w:rPr>
          <w:rFonts w:ascii="Times New Roman" w:hAnsi="Times New Roman"/>
          <w:lang w:val="en"/>
        </w:rPr>
        <w:t>opioid, heroin, fentanyl, all</w:t>
      </w:r>
      <w:r w:rsidRPr="257ED39A" w:rsidR="0DCF57F4">
        <w:rPr>
          <w:rFonts w:ascii="Times New Roman" w:hAnsi="Times New Roman"/>
          <w:lang w:val="en"/>
        </w:rPr>
        <w:t xml:space="preserve"> </w:t>
      </w:r>
      <w:r w:rsidRPr="257ED39A" w:rsidR="59E7AA59">
        <w:rPr>
          <w:rFonts w:ascii="Times New Roman" w:hAnsi="Times New Roman"/>
          <w:lang w:val="en"/>
        </w:rPr>
        <w:t xml:space="preserve">stimulant, cocaine, methamphetamine, benzodiazepine, and other emerging drug </w:t>
      </w:r>
      <w:r w:rsidRPr="257ED39A" w:rsidR="03A1DF15">
        <w:rPr>
          <w:rFonts w:ascii="Times New Roman" w:hAnsi="Times New Roman"/>
          <w:lang w:val="en"/>
        </w:rPr>
        <w:t>overdoses</w:t>
      </w:r>
      <w:r w:rsidRPr="257ED39A" w:rsidR="277B9481">
        <w:rPr>
          <w:rFonts w:ascii="Times New Roman" w:hAnsi="Times New Roman"/>
          <w:lang w:val="en"/>
        </w:rPr>
        <w:t>, as well as other potential indicators</w:t>
      </w:r>
      <w:r w:rsidRPr="257ED39A" w:rsidR="3C32B434">
        <w:rPr>
          <w:rFonts w:ascii="Times New Roman" w:hAnsi="Times New Roman"/>
          <w:lang w:val="en"/>
        </w:rPr>
        <w:t>.</w:t>
      </w:r>
      <w:r w:rsidRPr="257ED39A" w:rsidR="5A2DDD3E">
        <w:rPr>
          <w:rFonts w:ascii="Times New Roman" w:hAnsi="Times New Roman"/>
          <w:lang w:val="en"/>
        </w:rPr>
        <w:t xml:space="preserve"> </w:t>
      </w:r>
      <w:r w:rsidRPr="257ED39A" w:rsidR="220EE44F">
        <w:rPr>
          <w:rFonts w:ascii="Times New Roman" w:hAnsi="Times New Roman"/>
          <w:lang w:val="en"/>
        </w:rPr>
        <w:t>Aggregate total ED</w:t>
      </w:r>
      <w:r w:rsidRPr="257ED39A" w:rsidR="4D4237D6">
        <w:rPr>
          <w:rFonts w:ascii="Times New Roman" w:hAnsi="Times New Roman"/>
          <w:lang w:val="en"/>
        </w:rPr>
        <w:t xml:space="preserve"> and </w:t>
      </w:r>
      <w:r w:rsidRPr="257ED39A" w:rsidR="220EE44F">
        <w:rPr>
          <w:rFonts w:ascii="Times New Roman" w:hAnsi="Times New Roman"/>
          <w:lang w:val="en"/>
        </w:rPr>
        <w:t>inpatient hospitalization visit d</w:t>
      </w:r>
      <w:r w:rsidRPr="257ED39A" w:rsidR="5A2DDD3E">
        <w:rPr>
          <w:rFonts w:ascii="Times New Roman" w:hAnsi="Times New Roman"/>
          <w:lang w:val="en"/>
        </w:rPr>
        <w:t xml:space="preserve">ata will be </w:t>
      </w:r>
      <w:r w:rsidRPr="257ED39A" w:rsidR="24EE6050">
        <w:rPr>
          <w:rFonts w:ascii="Times New Roman" w:hAnsi="Times New Roman"/>
          <w:lang w:val="en"/>
        </w:rPr>
        <w:t xml:space="preserve">shared with </w:t>
      </w:r>
      <w:r w:rsidRPr="257ED39A" w:rsidR="610645B9">
        <w:rPr>
          <w:rFonts w:ascii="Times New Roman" w:hAnsi="Times New Roman"/>
          <w:lang w:val="en"/>
        </w:rPr>
        <w:t xml:space="preserve">CDC </w:t>
      </w:r>
      <w:r w:rsidRPr="257ED39A" w:rsidR="3164F3AB">
        <w:rPr>
          <w:rFonts w:ascii="Times New Roman" w:hAnsi="Times New Roman"/>
          <w:lang w:val="en"/>
        </w:rPr>
        <w:t xml:space="preserve">annually </w:t>
      </w:r>
      <w:r w:rsidRPr="257ED39A" w:rsidR="4866BE2D">
        <w:rPr>
          <w:rFonts w:ascii="Times New Roman" w:hAnsi="Times New Roman"/>
          <w:lang w:val="en"/>
        </w:rPr>
        <w:t xml:space="preserve">using a standardized Excel form, the </w:t>
      </w:r>
      <w:r w:rsidRPr="257ED39A" w:rsidR="4866BE2D">
        <w:rPr>
          <w:rFonts w:ascii="Times New Roman" w:hAnsi="Times New Roman"/>
          <w:i/>
          <w:iCs/>
        </w:rPr>
        <w:t>ED</w:t>
      </w:r>
      <w:r w:rsidRPr="257ED39A" w:rsidR="35288269">
        <w:rPr>
          <w:rFonts w:ascii="Times New Roman" w:hAnsi="Times New Roman"/>
          <w:i/>
          <w:iCs/>
        </w:rPr>
        <w:t>/Inpatient Hospitalization</w:t>
      </w:r>
      <w:r w:rsidRPr="257ED39A" w:rsidR="4866BE2D">
        <w:rPr>
          <w:rFonts w:ascii="Times New Roman" w:hAnsi="Times New Roman"/>
          <w:i/>
          <w:iCs/>
        </w:rPr>
        <w:t xml:space="preserve"> discharge overdose data form</w:t>
      </w:r>
      <w:r w:rsidRPr="257ED39A" w:rsidR="36D5FF85">
        <w:rPr>
          <w:rFonts w:ascii="Times New Roman" w:hAnsi="Times New Roman"/>
          <w:i/>
          <w:iCs/>
        </w:rPr>
        <w:t xml:space="preserve"> </w:t>
      </w:r>
      <w:r w:rsidRPr="257ED39A" w:rsidR="36D5FF85">
        <w:rPr>
          <w:rFonts w:ascii="Times New Roman" w:hAnsi="Times New Roman"/>
        </w:rPr>
        <w:t>(Att</w:t>
      </w:r>
      <w:r w:rsidRPr="257ED39A" w:rsidR="0ECC50E7">
        <w:rPr>
          <w:rFonts w:ascii="Times New Roman" w:hAnsi="Times New Roman"/>
        </w:rPr>
        <w:t>achment</w:t>
      </w:r>
      <w:r w:rsidRPr="257ED39A" w:rsidR="36D5FF85">
        <w:rPr>
          <w:rFonts w:ascii="Times New Roman" w:hAnsi="Times New Roman"/>
        </w:rPr>
        <w:t xml:space="preserve"> E)</w:t>
      </w:r>
      <w:r w:rsidRPr="257ED39A" w:rsidR="0EEBE39F">
        <w:rPr>
          <w:rFonts w:ascii="Times New Roman" w:hAnsi="Times New Roman"/>
        </w:rPr>
        <w:t>.</w:t>
      </w:r>
      <w:r w:rsidRPr="257ED39A" w:rsidR="4866BE2D">
        <w:rPr>
          <w:rFonts w:ascii="Times New Roman" w:hAnsi="Times New Roman"/>
          <w:lang w:val="en"/>
        </w:rPr>
        <w:t xml:space="preserve"> </w:t>
      </w:r>
      <w:r w:rsidRPr="257ED39A" w:rsidR="3A21C3A5">
        <w:rPr>
          <w:rFonts w:ascii="Times New Roman" w:hAnsi="Times New Roman"/>
          <w:lang w:val="en"/>
        </w:rPr>
        <w:t xml:space="preserve">Line-level data will be submitted </w:t>
      </w:r>
      <w:r w:rsidRPr="257ED39A" w:rsidR="62FD6A1B">
        <w:rPr>
          <w:rFonts w:ascii="Times New Roman" w:hAnsi="Times New Roman"/>
          <w:lang w:val="en"/>
        </w:rPr>
        <w:t xml:space="preserve">annually </w:t>
      </w:r>
      <w:r w:rsidRPr="257ED39A" w:rsidR="53E5227C">
        <w:rPr>
          <w:rFonts w:ascii="Times New Roman" w:hAnsi="Times New Roman"/>
          <w:lang w:val="en"/>
        </w:rPr>
        <w:t>following</w:t>
      </w:r>
      <w:r w:rsidRPr="257ED39A" w:rsidR="3A21C3A5">
        <w:rPr>
          <w:rFonts w:ascii="Times New Roman" w:hAnsi="Times New Roman"/>
          <w:lang w:val="en"/>
        </w:rPr>
        <w:t xml:space="preserve"> a</w:t>
      </w:r>
      <w:r w:rsidRPr="257ED39A" w:rsidR="4866BE2D">
        <w:rPr>
          <w:rFonts w:ascii="Times New Roman" w:hAnsi="Times New Roman"/>
          <w:lang w:val="en"/>
        </w:rPr>
        <w:t xml:space="preserve"> standard CDC </w:t>
      </w:r>
      <w:r w:rsidRPr="257ED39A" w:rsidR="23DBE081">
        <w:rPr>
          <w:rFonts w:ascii="Times New Roman" w:hAnsi="Times New Roman"/>
          <w:lang w:val="en"/>
        </w:rPr>
        <w:t>data dictionary</w:t>
      </w:r>
      <w:r w:rsidRPr="257ED39A" w:rsidR="4866BE2D">
        <w:rPr>
          <w:rFonts w:ascii="Times New Roman" w:hAnsi="Times New Roman"/>
          <w:lang w:val="en"/>
        </w:rPr>
        <w:t xml:space="preserve"> and </w:t>
      </w:r>
      <w:r w:rsidRPr="257ED39A" w:rsidR="50088FCD">
        <w:rPr>
          <w:rFonts w:ascii="Times New Roman" w:hAnsi="Times New Roman"/>
          <w:lang w:val="en"/>
        </w:rPr>
        <w:t>Technical Guidance</w:t>
      </w:r>
      <w:r w:rsidRPr="257ED39A" w:rsidR="23DBE081">
        <w:rPr>
          <w:rFonts w:ascii="Times New Roman" w:hAnsi="Times New Roman"/>
          <w:lang w:val="en"/>
        </w:rPr>
        <w:t>.</w:t>
      </w:r>
      <w:r w:rsidRPr="257ED39A" w:rsidR="4866BE2D">
        <w:rPr>
          <w:rFonts w:ascii="Times New Roman" w:hAnsi="Times New Roman"/>
          <w:lang w:val="en"/>
        </w:rPr>
        <w:t xml:space="preserve"> </w:t>
      </w:r>
      <w:r w:rsidRPr="257ED39A" w:rsidR="137F9CAF">
        <w:rPr>
          <w:rFonts w:ascii="Times New Roman" w:hAnsi="Times New Roman"/>
          <w:lang w:val="en"/>
        </w:rPr>
        <w:t>Total ED/inpatient hospitalization visit d</w:t>
      </w:r>
      <w:r w:rsidRPr="257ED39A" w:rsidR="4866BE2D">
        <w:rPr>
          <w:rFonts w:ascii="Times New Roman" w:hAnsi="Times New Roman"/>
          <w:lang w:val="en"/>
        </w:rPr>
        <w:t>ata will be</w:t>
      </w:r>
      <w:r w:rsidRPr="257ED39A" w:rsidR="026A04C4">
        <w:rPr>
          <w:rFonts w:ascii="Times New Roman" w:hAnsi="Times New Roman"/>
          <w:lang w:val="en"/>
        </w:rPr>
        <w:t xml:space="preserve"> aggregated </w:t>
      </w:r>
      <w:r w:rsidRPr="257ED39A" w:rsidR="03A1DF15">
        <w:rPr>
          <w:rFonts w:ascii="Times New Roman" w:hAnsi="Times New Roman"/>
          <w:lang w:val="en"/>
        </w:rPr>
        <w:t>by county as well as age group</w:t>
      </w:r>
      <w:r w:rsidRPr="257ED39A" w:rsidR="09E6F255">
        <w:rPr>
          <w:rFonts w:ascii="Times New Roman" w:hAnsi="Times New Roman"/>
          <w:lang w:val="en"/>
        </w:rPr>
        <w:t>,</w:t>
      </w:r>
      <w:r w:rsidRPr="257ED39A" w:rsidR="03A1DF15">
        <w:rPr>
          <w:rFonts w:ascii="Times New Roman" w:hAnsi="Times New Roman"/>
          <w:lang w:val="en"/>
        </w:rPr>
        <w:t xml:space="preserve"> sex</w:t>
      </w:r>
      <w:r w:rsidRPr="257ED39A" w:rsidR="09E6F255">
        <w:rPr>
          <w:rFonts w:ascii="Times New Roman" w:hAnsi="Times New Roman"/>
          <w:lang w:val="en"/>
        </w:rPr>
        <w:t>, and race/ethnicity</w:t>
      </w:r>
      <w:r w:rsidRPr="257ED39A" w:rsidR="6725068A">
        <w:rPr>
          <w:rFonts w:ascii="Times New Roman" w:hAnsi="Times New Roman"/>
          <w:lang w:val="en"/>
        </w:rPr>
        <w:t xml:space="preserve"> according to the required template</w:t>
      </w:r>
      <w:r w:rsidR="00EE1215">
        <w:rPr>
          <w:rFonts w:ascii="Times New Roman" w:hAnsi="Times New Roman"/>
          <w:lang w:val="en"/>
        </w:rPr>
        <w:t xml:space="preserve">, with some flexibility in </w:t>
      </w:r>
      <w:r w:rsidRPr="5EEE7E50" w:rsidR="00EE1215">
        <w:rPr>
          <w:rFonts w:ascii="Times New Roman" w:hAnsi="Times New Roman"/>
          <w:lang w:val="en"/>
        </w:rPr>
        <w:t>race</w:t>
      </w:r>
      <w:r w:rsidR="00EE1215">
        <w:rPr>
          <w:rFonts w:ascii="Times New Roman" w:hAnsi="Times New Roman"/>
          <w:lang w:val="en"/>
        </w:rPr>
        <w:t>/ethnicity format permitted due to varying methodology by jurisdiction</w:t>
      </w:r>
      <w:r w:rsidRPr="257ED39A" w:rsidR="5AAB98AB">
        <w:rPr>
          <w:rFonts w:ascii="Times New Roman" w:hAnsi="Times New Roman"/>
          <w:lang w:val="en"/>
        </w:rPr>
        <w:t>. Also, measures of data quality and metadata will be collected and are described in the SSA</w:t>
      </w:r>
      <w:r w:rsidRPr="257ED39A" w:rsidR="59E7AA59">
        <w:rPr>
          <w:rFonts w:ascii="Times New Roman" w:hAnsi="Times New Roman"/>
          <w:lang w:val="en"/>
        </w:rPr>
        <w:t xml:space="preserve"> and </w:t>
      </w:r>
      <w:r w:rsidRPr="257ED39A" w:rsidR="59E7AA59">
        <w:rPr>
          <w:rFonts w:ascii="Times New Roman" w:hAnsi="Times New Roman"/>
          <w:lang w:val="en"/>
        </w:rPr>
        <w:t>Att</w:t>
      </w:r>
      <w:r w:rsidRPr="257ED39A" w:rsidR="51788D00">
        <w:rPr>
          <w:rFonts w:ascii="Times New Roman" w:hAnsi="Times New Roman"/>
        </w:rPr>
        <w:t>achment</w:t>
      </w:r>
      <w:r w:rsidRPr="257ED39A" w:rsidR="59E7AA59">
        <w:rPr>
          <w:rFonts w:ascii="Times New Roman" w:hAnsi="Times New Roman"/>
          <w:lang w:val="en"/>
        </w:rPr>
        <w:t xml:space="preserve"> E</w:t>
      </w:r>
      <w:r w:rsidRPr="257ED39A" w:rsidR="5AAB98AB">
        <w:rPr>
          <w:rFonts w:ascii="Times New Roman" w:hAnsi="Times New Roman"/>
          <w:lang w:val="en"/>
        </w:rPr>
        <w:t>.</w:t>
      </w:r>
    </w:p>
    <w:p w:rsidR="00567580" w:rsidRPr="002E4AE2" w:rsidP="00567580" w14:paraId="604A6125" w14:textId="77777777">
      <w:pPr>
        <w:rPr>
          <w:sz w:val="24"/>
          <w:lang w:val="en"/>
        </w:rPr>
      </w:pPr>
    </w:p>
    <w:p w:rsidR="005725F0" w:rsidRPr="00FC5E06" w:rsidP="257ED39A" w14:paraId="141306A9" w14:textId="57D8E618">
      <w:pPr>
        <w:rPr>
          <w:sz w:val="24"/>
          <w:lang w:val="en"/>
        </w:rPr>
      </w:pPr>
      <w:r w:rsidRPr="257ED39A">
        <w:rPr>
          <w:sz w:val="24"/>
          <w:lang w:val="en"/>
        </w:rPr>
        <w:t xml:space="preserve">The </w:t>
      </w:r>
      <w:r w:rsidRPr="257ED39A" w:rsidR="4866BE2D">
        <w:rPr>
          <w:sz w:val="24"/>
          <w:lang w:val="en"/>
        </w:rPr>
        <w:t xml:space="preserve">specific procedures CDC will use to collect </w:t>
      </w:r>
      <w:r w:rsidRPr="257ED39A" w:rsidR="610645B9">
        <w:rPr>
          <w:sz w:val="24"/>
          <w:lang w:val="en"/>
        </w:rPr>
        <w:t xml:space="preserve">the </w:t>
      </w:r>
      <w:r w:rsidRPr="257ED39A" w:rsidR="610645B9">
        <w:rPr>
          <w:i/>
          <w:iCs/>
          <w:sz w:val="24"/>
          <w:lang w:val="en"/>
        </w:rPr>
        <w:t>Rapid ED overdose data form</w:t>
      </w:r>
      <w:r w:rsidR="00AD0CEE">
        <w:rPr>
          <w:i/>
          <w:iCs/>
          <w:sz w:val="24"/>
          <w:lang w:val="en"/>
        </w:rPr>
        <w:t>,</w:t>
      </w:r>
      <w:r w:rsidR="001E475A">
        <w:rPr>
          <w:rFonts w:hint="eastAsia"/>
          <w:i/>
          <w:iCs/>
          <w:sz w:val="24"/>
          <w:lang w:val="en" w:eastAsia="ko-KR"/>
        </w:rPr>
        <w:t xml:space="preserve"> </w:t>
      </w:r>
      <w:r w:rsidRPr="257ED39A" w:rsidR="4866BE2D">
        <w:rPr>
          <w:sz w:val="24"/>
          <w:lang w:val="en"/>
        </w:rPr>
        <w:t>the</w:t>
      </w:r>
      <w:r w:rsidRPr="257ED39A" w:rsidR="610645B9">
        <w:rPr>
          <w:sz w:val="24"/>
          <w:lang w:val="en"/>
        </w:rPr>
        <w:t xml:space="preserve"> </w:t>
      </w:r>
      <w:r w:rsidRPr="257ED39A" w:rsidR="610645B9">
        <w:rPr>
          <w:i/>
          <w:iCs/>
          <w:sz w:val="24"/>
        </w:rPr>
        <w:t>ED</w:t>
      </w:r>
      <w:r w:rsidRPr="257ED39A" w:rsidR="07741F57">
        <w:rPr>
          <w:i/>
          <w:iCs/>
          <w:sz w:val="24"/>
        </w:rPr>
        <w:t>/Inpatient Hospitalization</w:t>
      </w:r>
      <w:r w:rsidRPr="257ED39A" w:rsidR="610645B9">
        <w:rPr>
          <w:i/>
          <w:iCs/>
          <w:sz w:val="24"/>
        </w:rPr>
        <w:t xml:space="preserve"> discharge overdose data form</w:t>
      </w:r>
      <w:r w:rsidR="00AD0CEE">
        <w:rPr>
          <w:i/>
          <w:iCs/>
          <w:sz w:val="24"/>
        </w:rPr>
        <w:t xml:space="preserve"> and line-level .csv file</w:t>
      </w:r>
      <w:r w:rsidRPr="257ED39A" w:rsidR="610645B9">
        <w:rPr>
          <w:sz w:val="24"/>
          <w:lang w:val="en"/>
        </w:rPr>
        <w:t xml:space="preserve"> </w:t>
      </w:r>
      <w:r w:rsidRPr="257ED39A" w:rsidR="4866BE2D">
        <w:rPr>
          <w:sz w:val="24"/>
          <w:lang w:val="en"/>
        </w:rPr>
        <w:t xml:space="preserve">from the </w:t>
      </w:r>
      <w:r w:rsidRPr="257ED39A">
        <w:rPr>
          <w:sz w:val="24"/>
          <w:lang w:val="en"/>
        </w:rPr>
        <w:t>participating health de</w:t>
      </w:r>
      <w:r w:rsidRPr="257ED39A" w:rsidR="4866BE2D">
        <w:rPr>
          <w:sz w:val="24"/>
          <w:lang w:val="en"/>
        </w:rPr>
        <w:t xml:space="preserve">partment </w:t>
      </w:r>
      <w:r w:rsidRPr="257ED39A" w:rsidR="007B6784">
        <w:rPr>
          <w:sz w:val="24"/>
          <w:lang w:val="en"/>
        </w:rPr>
        <w:t>are</w:t>
      </w:r>
      <w:r w:rsidRPr="257ED39A" w:rsidR="4866BE2D">
        <w:rPr>
          <w:sz w:val="24"/>
          <w:lang w:val="en"/>
        </w:rPr>
        <w:t xml:space="preserve"> described below.</w:t>
      </w:r>
    </w:p>
    <w:p w:rsidR="005725F0" w:rsidRPr="002E4AE2" w:rsidP="00E40349" w14:paraId="65C45ABC" w14:textId="77777777">
      <w:pPr>
        <w:rPr>
          <w:sz w:val="24"/>
          <w:lang w:val="en"/>
        </w:rPr>
      </w:pPr>
    </w:p>
    <w:p w:rsidR="005725F0" w:rsidRPr="002E4AE2" w:rsidP="257ED39A" w14:paraId="3685672A" w14:textId="70E312FF">
      <w:pPr>
        <w:rPr>
          <w:sz w:val="24"/>
          <w:lang w:val="en"/>
        </w:rPr>
      </w:pPr>
      <w:r w:rsidRPr="00760691">
        <w:rPr>
          <w:b/>
          <w:bCs/>
          <w:sz w:val="24"/>
        </w:rPr>
        <w:t>DOSE-</w:t>
      </w:r>
      <w:r w:rsidRPr="710CE2EF">
        <w:rPr>
          <w:b/>
          <w:bCs/>
          <w:sz w:val="24"/>
        </w:rPr>
        <w:t>S</w:t>
      </w:r>
      <w:r w:rsidRPr="710CE2EF" w:rsidR="7FCFADE1">
        <w:rPr>
          <w:b/>
          <w:bCs/>
          <w:sz w:val="24"/>
        </w:rPr>
        <w:t>Y</w:t>
      </w:r>
      <w:r w:rsidRPr="710CE2EF" w:rsidR="29757DDA">
        <w:rPr>
          <w:b/>
          <w:bCs/>
          <w:sz w:val="24"/>
        </w:rPr>
        <w:t>S</w:t>
      </w:r>
      <w:r>
        <w:rPr>
          <w:sz w:val="24"/>
        </w:rPr>
        <w:t xml:space="preserve">: </w:t>
      </w:r>
      <w:r w:rsidRPr="257ED39A" w:rsidR="28F6A208">
        <w:rPr>
          <w:i/>
          <w:iCs/>
          <w:sz w:val="24"/>
        </w:rPr>
        <w:t>Procedures for collecting the Rapid ED overdose data form</w:t>
      </w:r>
      <w:r w:rsidRPr="257ED39A" w:rsidR="36D5FF85">
        <w:rPr>
          <w:i/>
          <w:iCs/>
          <w:sz w:val="24"/>
        </w:rPr>
        <w:t xml:space="preserve"> (Att</w:t>
      </w:r>
      <w:r w:rsidRPr="257ED39A" w:rsidR="75FC268E">
        <w:rPr>
          <w:i/>
          <w:iCs/>
          <w:sz w:val="24"/>
        </w:rPr>
        <w:t>achment</w:t>
      </w:r>
      <w:r w:rsidRPr="257ED39A" w:rsidR="36D5FF85">
        <w:rPr>
          <w:i/>
          <w:iCs/>
          <w:sz w:val="24"/>
        </w:rPr>
        <w:t xml:space="preserve"> D)</w:t>
      </w:r>
      <w:r w:rsidRPr="257ED39A" w:rsidR="28F6A208">
        <w:rPr>
          <w:i/>
          <w:iCs/>
          <w:sz w:val="24"/>
        </w:rPr>
        <w:t xml:space="preserve"> on a monthly basis </w:t>
      </w:r>
    </w:p>
    <w:p w:rsidR="00681A02" w:rsidRPr="002E4AE2" w:rsidP="00E40349" w14:paraId="3AB65039" w14:textId="77777777">
      <w:pPr>
        <w:rPr>
          <w:sz w:val="24"/>
          <w:lang w:val="en"/>
        </w:rPr>
      </w:pPr>
    </w:p>
    <w:p w:rsidR="00681A02" w:rsidRPr="00D94F24" w:rsidP="00E40349" w14:paraId="0EA157D7" w14:textId="3E10111E">
      <w:pPr>
        <w:rPr>
          <w:sz w:val="24"/>
          <w:lang w:val="en"/>
        </w:rPr>
      </w:pPr>
      <w:r w:rsidRPr="00D94F24">
        <w:rPr>
          <w:sz w:val="24"/>
          <w:lang w:val="en"/>
        </w:rPr>
        <w:t xml:space="preserve">The following procedures will be used to collect </w:t>
      </w:r>
      <w:r w:rsidR="00597B8B">
        <w:rPr>
          <w:sz w:val="24"/>
          <w:lang w:val="en"/>
        </w:rPr>
        <w:t xml:space="preserve">data through </w:t>
      </w:r>
      <w:r w:rsidRPr="00D94F24">
        <w:rPr>
          <w:sz w:val="24"/>
          <w:lang w:val="en"/>
        </w:rPr>
        <w:t xml:space="preserve">the </w:t>
      </w:r>
      <w:r w:rsidRPr="00D94F24">
        <w:rPr>
          <w:i/>
          <w:sz w:val="24"/>
          <w:lang w:val="en"/>
        </w:rPr>
        <w:t>Rapid ED overdose data form</w:t>
      </w:r>
      <w:r w:rsidRPr="00D94F24" w:rsidR="0045698F">
        <w:rPr>
          <w:sz w:val="24"/>
          <w:lang w:val="en"/>
        </w:rPr>
        <w:t>.</w:t>
      </w:r>
    </w:p>
    <w:p w:rsidR="0045698F" w:rsidRPr="00D94F24" w:rsidP="00E40349" w14:paraId="748523DD" w14:textId="44D5A7DD">
      <w:pPr>
        <w:rPr>
          <w:sz w:val="24"/>
          <w:lang w:val="en"/>
        </w:rPr>
      </w:pPr>
    </w:p>
    <w:p w:rsidR="0045698F" w:rsidRPr="00D94F24" w:rsidP="00D94F24" w14:paraId="53959DA7" w14:textId="77D045EF">
      <w:pPr>
        <w:rPr>
          <w:sz w:val="24"/>
          <w:lang w:val="en"/>
        </w:rPr>
      </w:pPr>
      <w:r w:rsidRPr="009B0CF7">
        <w:rPr>
          <w:b/>
          <w:sz w:val="24"/>
          <w:lang w:val="en"/>
        </w:rPr>
        <w:t>Step 1:</w:t>
      </w:r>
      <w:r w:rsidRPr="00D94F24">
        <w:rPr>
          <w:sz w:val="24"/>
          <w:lang w:val="en"/>
        </w:rPr>
        <w:t xml:space="preserve"> </w:t>
      </w:r>
      <w:r w:rsidRPr="00D94F24">
        <w:rPr>
          <w:sz w:val="24"/>
          <w:lang w:val="en"/>
        </w:rPr>
        <w:t xml:space="preserve">Participating health departments must choose what existing data source they will use to complete the </w:t>
      </w:r>
      <w:r w:rsidRPr="00D94F24">
        <w:rPr>
          <w:i/>
          <w:sz w:val="24"/>
        </w:rPr>
        <w:t xml:space="preserve">Rapid ED overdose data form. </w:t>
      </w:r>
      <w:r w:rsidRPr="00D94F24">
        <w:rPr>
          <w:sz w:val="24"/>
        </w:rPr>
        <w:t xml:space="preserve">The </w:t>
      </w:r>
      <w:r w:rsidR="002249DB">
        <w:rPr>
          <w:sz w:val="24"/>
        </w:rPr>
        <w:t>two</w:t>
      </w:r>
      <w:r w:rsidRPr="00D94F24" w:rsidR="002249DB">
        <w:rPr>
          <w:sz w:val="24"/>
        </w:rPr>
        <w:t xml:space="preserve"> </w:t>
      </w:r>
      <w:r w:rsidRPr="00D94F24">
        <w:rPr>
          <w:sz w:val="24"/>
        </w:rPr>
        <w:t>options are:</w:t>
      </w:r>
    </w:p>
    <w:p w:rsidR="00E3128E" w:rsidRPr="00D94F24" w:rsidP="00D94F24" w14:paraId="54067DA1" w14:textId="1699F144">
      <w:pPr>
        <w:pStyle w:val="ListParagraph"/>
        <w:numPr>
          <w:ilvl w:val="0"/>
          <w:numId w:val="13"/>
        </w:numPr>
        <w:rPr>
          <w:rFonts w:ascii="Times New Roman" w:hAnsi="Times New Roman"/>
        </w:rPr>
      </w:pPr>
      <w:r w:rsidRPr="0A87B654">
        <w:rPr>
          <w:rFonts w:ascii="Times New Roman" w:hAnsi="Times New Roman"/>
          <w:i/>
        </w:rPr>
        <w:t xml:space="preserve">National Syndromic Surveillance Program (NSSP) </w:t>
      </w:r>
      <w:r w:rsidRPr="0A87B654">
        <w:rPr>
          <w:rFonts w:ascii="Times New Roman" w:hAnsi="Times New Roman"/>
          <w:i/>
        </w:rPr>
        <w:t>BioSense</w:t>
      </w:r>
      <w:r w:rsidRPr="0A87B654">
        <w:rPr>
          <w:rFonts w:ascii="Times New Roman" w:hAnsi="Times New Roman"/>
          <w:i/>
        </w:rPr>
        <w:t xml:space="preserve"> Platform (OMB #0920-0824):</w:t>
      </w:r>
      <w:r w:rsidRPr="0A87B654">
        <w:rPr>
          <w:rFonts w:ascii="Times New Roman" w:hAnsi="Times New Roman"/>
        </w:rPr>
        <w:t xml:space="preserve"> State and local health departments share preliminary case-level ED data in near-real time with CDC. Th</w:t>
      </w:r>
      <w:r w:rsidRPr="0A87B654" w:rsidR="005C1174">
        <w:rPr>
          <w:rFonts w:ascii="Times New Roman" w:hAnsi="Times New Roman"/>
        </w:rPr>
        <w:t>ese</w:t>
      </w:r>
      <w:r w:rsidRPr="0A87B654">
        <w:rPr>
          <w:rFonts w:ascii="Times New Roman" w:hAnsi="Times New Roman"/>
        </w:rPr>
        <w:t xml:space="preserve"> data include the chief complaint of the patient seeking care at the ED (e.g., “heroin</w:t>
      </w:r>
      <w:r w:rsidRPr="0A87B654" w:rsidR="0017575E">
        <w:rPr>
          <w:rFonts w:ascii="Times New Roman" w:hAnsi="Times New Roman"/>
        </w:rPr>
        <w:t xml:space="preserve"> overdose”, “opioid poisoning”, </w:t>
      </w:r>
      <w:r w:rsidRPr="0A87B654" w:rsidR="00304A95">
        <w:rPr>
          <w:rFonts w:ascii="Times New Roman" w:hAnsi="Times New Roman"/>
        </w:rPr>
        <w:t xml:space="preserve">and </w:t>
      </w:r>
      <w:r w:rsidRPr="0A87B654">
        <w:rPr>
          <w:rFonts w:ascii="Times New Roman" w:hAnsi="Times New Roman"/>
        </w:rPr>
        <w:t xml:space="preserve">“cocaine OD”) and/or </w:t>
      </w:r>
      <w:r w:rsidRPr="0A87B654" w:rsidR="008D6436">
        <w:rPr>
          <w:rFonts w:ascii="Times New Roman" w:hAnsi="Times New Roman"/>
        </w:rPr>
        <w:t xml:space="preserve">diagnosis codes, primarily the </w:t>
      </w:r>
      <w:r w:rsidRPr="0A87B654">
        <w:rPr>
          <w:rFonts w:ascii="Times New Roman" w:hAnsi="Times New Roman"/>
        </w:rPr>
        <w:t>International Classification of Diseases, Tenth Revision, Cli</w:t>
      </w:r>
      <w:r w:rsidRPr="0A87B654" w:rsidR="00AF3709">
        <w:rPr>
          <w:rFonts w:ascii="Times New Roman" w:hAnsi="Times New Roman"/>
        </w:rPr>
        <w:t xml:space="preserve">nical Modification (ICD-10-CM) </w:t>
      </w:r>
      <w:r w:rsidRPr="0A87B654">
        <w:rPr>
          <w:rFonts w:ascii="Times New Roman" w:hAnsi="Times New Roman"/>
        </w:rPr>
        <w:t>diagnosis codes</w:t>
      </w:r>
      <w:r w:rsidRPr="0A87B654">
        <w:rPr>
          <w:rFonts w:ascii="Times New Roman" w:hAnsi="Times New Roman"/>
        </w:rPr>
        <w:t>. Chief complaints tend to be submitted within 24 hours of the ED visit while ICD-10-CM codes may take a few weeks.</w:t>
      </w:r>
    </w:p>
    <w:p w:rsidR="00D94F24" w:rsidRPr="00D94F24" w:rsidP="00D94F24" w14:paraId="73CD8C67" w14:textId="7A9BFA2E">
      <w:pPr>
        <w:pStyle w:val="ListParagraph"/>
        <w:numPr>
          <w:ilvl w:val="0"/>
          <w:numId w:val="13"/>
        </w:numPr>
        <w:rPr>
          <w:rFonts w:ascii="Times New Roman" w:hAnsi="Times New Roman"/>
        </w:rPr>
      </w:pPr>
      <w:r w:rsidRPr="257ED39A">
        <w:rPr>
          <w:rFonts w:ascii="Times New Roman" w:hAnsi="Times New Roman"/>
          <w:i/>
          <w:iCs/>
        </w:rPr>
        <w:t>State or Territorial ED Syndromic Surveillance:</w:t>
      </w:r>
      <w:r w:rsidRPr="257ED39A">
        <w:rPr>
          <w:rFonts w:ascii="Times New Roman" w:hAnsi="Times New Roman"/>
        </w:rPr>
        <w:t xml:space="preserve"> Participating health departments may operate their own local ED syndromic system that is not associated with NSSP </w:t>
      </w:r>
      <w:r w:rsidRPr="257ED39A">
        <w:rPr>
          <w:rFonts w:ascii="Times New Roman" w:hAnsi="Times New Roman"/>
        </w:rPr>
        <w:t>BioSense</w:t>
      </w:r>
      <w:r w:rsidRPr="257ED39A">
        <w:rPr>
          <w:rFonts w:ascii="Times New Roman" w:hAnsi="Times New Roman"/>
        </w:rPr>
        <w:t xml:space="preserve">. These local ED syndromic systems often collect data very similar to NSSP </w:t>
      </w:r>
      <w:r w:rsidRPr="257ED39A">
        <w:rPr>
          <w:rFonts w:ascii="Times New Roman" w:hAnsi="Times New Roman"/>
        </w:rPr>
        <w:t>BioSense</w:t>
      </w:r>
      <w:r w:rsidRPr="257ED39A" w:rsidR="04E23F8C">
        <w:rPr>
          <w:rFonts w:ascii="Times New Roman" w:hAnsi="Times New Roman"/>
        </w:rPr>
        <w:t>,</w:t>
      </w:r>
      <w:r w:rsidRPr="257ED39A">
        <w:rPr>
          <w:rFonts w:ascii="Times New Roman" w:hAnsi="Times New Roman"/>
        </w:rPr>
        <w:t xml:space="preserve"> such as patient chief complaint and ICD-10-CM diagnostic codes</w:t>
      </w:r>
      <w:r w:rsidRPr="257ED39A" w:rsidR="54506F8B">
        <w:rPr>
          <w:rFonts w:ascii="Times New Roman" w:hAnsi="Times New Roman"/>
        </w:rPr>
        <w:t>,</w:t>
      </w:r>
      <w:r w:rsidRPr="257ED39A" w:rsidR="12985900">
        <w:rPr>
          <w:rFonts w:ascii="Times New Roman" w:hAnsi="Times New Roman"/>
        </w:rPr>
        <w:t xml:space="preserve"> and also work </w:t>
      </w:r>
      <w:r w:rsidRPr="257ED39A" w:rsidR="2CDEB5C0">
        <w:rPr>
          <w:rFonts w:ascii="Times New Roman" w:hAnsi="Times New Roman"/>
        </w:rPr>
        <w:t>to collect data in near real-time</w:t>
      </w:r>
      <w:r w:rsidRPr="257ED39A">
        <w:rPr>
          <w:rFonts w:ascii="Times New Roman" w:hAnsi="Times New Roman"/>
        </w:rPr>
        <w:t xml:space="preserve">. </w:t>
      </w:r>
    </w:p>
    <w:p w:rsidR="00B9212C" w:rsidP="257ED39A" w14:paraId="3D983A66" w14:textId="77777777">
      <w:pPr>
        <w:rPr>
          <w:b/>
          <w:bCs/>
          <w:sz w:val="24"/>
          <w:lang w:val="en"/>
        </w:rPr>
      </w:pPr>
    </w:p>
    <w:p w:rsidR="0045698F" w:rsidP="257ED39A" w14:paraId="09E4E870" w14:textId="04501A0D">
      <w:pPr>
        <w:rPr>
          <w:sz w:val="24"/>
        </w:rPr>
      </w:pPr>
      <w:r w:rsidRPr="257ED39A">
        <w:rPr>
          <w:b/>
          <w:bCs/>
          <w:sz w:val="24"/>
          <w:lang w:val="en"/>
        </w:rPr>
        <w:t xml:space="preserve">Step 2: </w:t>
      </w:r>
      <w:r w:rsidRPr="257ED39A" w:rsidR="2CF8E02E">
        <w:rPr>
          <w:sz w:val="24"/>
          <w:lang w:val="en"/>
        </w:rPr>
        <w:t xml:space="preserve">Using CDC </w:t>
      </w:r>
      <w:r w:rsidR="00A176AC">
        <w:rPr>
          <w:sz w:val="24"/>
          <w:lang w:val="en"/>
        </w:rPr>
        <w:t>syndrome</w:t>
      </w:r>
      <w:r w:rsidRPr="257ED39A" w:rsidR="2CF8E02E">
        <w:rPr>
          <w:sz w:val="24"/>
          <w:lang w:val="en"/>
        </w:rPr>
        <w:t xml:space="preserve"> definitions for </w:t>
      </w:r>
      <w:r w:rsidRPr="257ED39A" w:rsidR="4D6F4ABB">
        <w:rPr>
          <w:sz w:val="24"/>
          <w:lang w:val="en"/>
        </w:rPr>
        <w:t xml:space="preserve">all </w:t>
      </w:r>
      <w:r w:rsidRPr="257ED39A" w:rsidR="6E891FFC">
        <w:rPr>
          <w:sz w:val="24"/>
          <w:lang w:val="en"/>
        </w:rPr>
        <w:t xml:space="preserve">drug, </w:t>
      </w:r>
      <w:r w:rsidRPr="257ED39A" w:rsidR="4FB5FDDF">
        <w:rPr>
          <w:sz w:val="24"/>
          <w:lang w:val="en"/>
        </w:rPr>
        <w:t xml:space="preserve">all </w:t>
      </w:r>
      <w:r w:rsidRPr="257ED39A" w:rsidR="6E891FFC">
        <w:rPr>
          <w:sz w:val="24"/>
          <w:lang w:val="en"/>
        </w:rPr>
        <w:t xml:space="preserve">opioid, heroin, fentanyl, all stimulant, cocaine, methamphetamine, benzodiazepine, and other emerging drug </w:t>
      </w:r>
      <w:r w:rsidRPr="257ED39A" w:rsidR="2CF8E02E">
        <w:rPr>
          <w:sz w:val="24"/>
          <w:lang w:val="en"/>
        </w:rPr>
        <w:t xml:space="preserve">overdoses, participating health departments complete the </w:t>
      </w:r>
      <w:r w:rsidRPr="257ED39A" w:rsidR="2CF8E02E">
        <w:rPr>
          <w:i/>
          <w:iCs/>
          <w:sz w:val="24"/>
        </w:rPr>
        <w:t xml:space="preserve">Rapid ED overdose data form </w:t>
      </w:r>
      <w:r w:rsidRPr="257ED39A" w:rsidR="2CF8E02E">
        <w:rPr>
          <w:sz w:val="24"/>
        </w:rPr>
        <w:t xml:space="preserve">on ED visits that occurred one to two months before the reporting date (e.g., ED visits occurring </w:t>
      </w:r>
      <w:r w:rsidRPr="257ED39A" w:rsidR="11AE029F">
        <w:rPr>
          <w:sz w:val="24"/>
        </w:rPr>
        <w:t>in January 202</w:t>
      </w:r>
      <w:r w:rsidR="003F7773">
        <w:rPr>
          <w:sz w:val="24"/>
        </w:rPr>
        <w:t>5</w:t>
      </w:r>
      <w:r w:rsidRPr="257ED39A" w:rsidR="11AE029F">
        <w:rPr>
          <w:sz w:val="24"/>
        </w:rPr>
        <w:t xml:space="preserve"> would be reported at the beginning of March, 202</w:t>
      </w:r>
      <w:r w:rsidR="003F7773">
        <w:rPr>
          <w:sz w:val="24"/>
        </w:rPr>
        <w:t>5</w:t>
      </w:r>
      <w:r w:rsidRPr="257ED39A" w:rsidR="11AE029F">
        <w:rPr>
          <w:sz w:val="24"/>
        </w:rPr>
        <w:t>)</w:t>
      </w:r>
      <w:r w:rsidR="00EE23F2">
        <w:rPr>
          <w:sz w:val="24"/>
        </w:rPr>
        <w:t>, which they then share with CDC</w:t>
      </w:r>
      <w:r w:rsidRPr="257ED39A" w:rsidR="11AE029F">
        <w:rPr>
          <w:sz w:val="24"/>
        </w:rPr>
        <w:t xml:space="preserve">. The procedure for sharing the data </w:t>
      </w:r>
      <w:r w:rsidRPr="257ED39A" w:rsidR="586696E5">
        <w:rPr>
          <w:sz w:val="24"/>
        </w:rPr>
        <w:t xml:space="preserve">with CDC </w:t>
      </w:r>
      <w:r w:rsidRPr="257ED39A" w:rsidR="11AE029F">
        <w:rPr>
          <w:sz w:val="24"/>
        </w:rPr>
        <w:t>varies slightly depending on the ED data source used by the health department.</w:t>
      </w:r>
    </w:p>
    <w:p w:rsidR="00DF7B77" w:rsidP="002A0806" w14:paraId="5F1B7B04" w14:textId="0CD9A09F">
      <w:pPr>
        <w:pStyle w:val="ListParagraph"/>
        <w:numPr>
          <w:ilvl w:val="0"/>
          <w:numId w:val="14"/>
        </w:numPr>
        <w:rPr>
          <w:rFonts w:ascii="Times New Roman" w:hAnsi="Times New Roman"/>
        </w:rPr>
      </w:pPr>
      <w:r w:rsidRPr="257ED39A">
        <w:rPr>
          <w:rFonts w:ascii="Times New Roman" w:hAnsi="Times New Roman"/>
          <w:i/>
          <w:iCs/>
        </w:rPr>
        <w:t xml:space="preserve">National Syndromic Surveillance Program (NSSP) </w:t>
      </w:r>
      <w:r w:rsidRPr="257ED39A">
        <w:rPr>
          <w:rFonts w:ascii="Times New Roman" w:hAnsi="Times New Roman"/>
          <w:i/>
          <w:iCs/>
        </w:rPr>
        <w:t>BioSense</w:t>
      </w:r>
      <w:r w:rsidRPr="257ED39A">
        <w:rPr>
          <w:rFonts w:ascii="Times New Roman" w:hAnsi="Times New Roman"/>
          <w:i/>
          <w:iCs/>
        </w:rPr>
        <w:t xml:space="preserve"> Platform:</w:t>
      </w:r>
      <w:r w:rsidRPr="257ED39A" w:rsidR="132DE90A">
        <w:rPr>
          <w:rFonts w:ascii="Times New Roman" w:hAnsi="Times New Roman"/>
          <w:i/>
          <w:iCs/>
        </w:rPr>
        <w:t xml:space="preserve"> </w:t>
      </w:r>
    </w:p>
    <w:p w:rsidR="00DF7B77" w:rsidP="6EA28232" w14:paraId="06573BD1" w14:textId="6C3FE7D9">
      <w:pPr>
        <w:pStyle w:val="ListParagraph"/>
        <w:rPr>
          <w:rFonts w:ascii="Times New Roman" w:hAnsi="Times New Roman"/>
        </w:rPr>
      </w:pPr>
      <w:r w:rsidRPr="007661AE">
        <w:t xml:space="preserve"> </w:t>
      </w:r>
      <w:r w:rsidRPr="007661AE">
        <w:rPr>
          <w:rFonts w:ascii="Times New Roman" w:hAnsi="Times New Roman"/>
        </w:rPr>
        <w:t xml:space="preserve">CDC provides SAS </w:t>
      </w:r>
      <w:r w:rsidR="003D2552">
        <w:rPr>
          <w:rFonts w:ascii="Times New Roman" w:hAnsi="Times New Roman"/>
        </w:rPr>
        <w:t>and</w:t>
      </w:r>
      <w:r w:rsidRPr="007661AE">
        <w:rPr>
          <w:rFonts w:ascii="Times New Roman" w:hAnsi="Times New Roman"/>
        </w:rPr>
        <w:t xml:space="preserve"> R</w:t>
      </w:r>
      <w:r w:rsidR="003D2552">
        <w:rPr>
          <w:rFonts w:ascii="Times New Roman" w:hAnsi="Times New Roman"/>
        </w:rPr>
        <w:t>Studio</w:t>
      </w:r>
      <w:r w:rsidRPr="007661AE">
        <w:rPr>
          <w:rFonts w:ascii="Times New Roman" w:hAnsi="Times New Roman"/>
        </w:rPr>
        <w:t xml:space="preserve"> </w:t>
      </w:r>
      <w:r w:rsidR="003D2552">
        <w:rPr>
          <w:rFonts w:ascii="Times New Roman" w:hAnsi="Times New Roman"/>
        </w:rPr>
        <w:t>programs</w:t>
      </w:r>
      <w:r w:rsidRPr="007661AE">
        <w:rPr>
          <w:rFonts w:ascii="Times New Roman" w:hAnsi="Times New Roman"/>
        </w:rPr>
        <w:t xml:space="preserve"> that </w:t>
      </w:r>
      <w:r w:rsidR="00664B91">
        <w:rPr>
          <w:rFonts w:ascii="Times New Roman" w:hAnsi="Times New Roman"/>
        </w:rPr>
        <w:t>allow</w:t>
      </w:r>
      <w:r w:rsidR="00F93660">
        <w:rPr>
          <w:rFonts w:ascii="Times New Roman" w:hAnsi="Times New Roman"/>
        </w:rPr>
        <w:t xml:space="preserve"> health departments</w:t>
      </w:r>
      <w:r w:rsidR="0019110F">
        <w:rPr>
          <w:rFonts w:ascii="Times New Roman" w:hAnsi="Times New Roman"/>
        </w:rPr>
        <w:t xml:space="preserve"> to</w:t>
      </w:r>
      <w:r w:rsidR="00F93660">
        <w:rPr>
          <w:rFonts w:ascii="Times New Roman" w:hAnsi="Times New Roman"/>
        </w:rPr>
        <w:t xml:space="preserve"> </w:t>
      </w:r>
      <w:r w:rsidR="00EC17CB">
        <w:rPr>
          <w:rFonts w:ascii="Times New Roman" w:hAnsi="Times New Roman"/>
        </w:rPr>
        <w:t>use</w:t>
      </w:r>
      <w:r w:rsidR="008B316E">
        <w:rPr>
          <w:rFonts w:ascii="Times New Roman" w:hAnsi="Times New Roman"/>
        </w:rPr>
        <w:t xml:space="preserve"> jurisdiction </w:t>
      </w:r>
      <w:r w:rsidR="00A5173E">
        <w:rPr>
          <w:rFonts w:ascii="Times New Roman" w:hAnsi="Times New Roman"/>
        </w:rPr>
        <w:t>data stored in</w:t>
      </w:r>
      <w:r w:rsidR="00FF410C">
        <w:rPr>
          <w:rFonts w:ascii="Times New Roman" w:hAnsi="Times New Roman"/>
        </w:rPr>
        <w:t xml:space="preserve"> the</w:t>
      </w:r>
      <w:r w:rsidRPr="007661AE" w:rsidR="00FF410C">
        <w:rPr>
          <w:rFonts w:ascii="Times New Roman" w:hAnsi="Times New Roman"/>
        </w:rPr>
        <w:t xml:space="preserve"> </w:t>
      </w:r>
      <w:r w:rsidRPr="007661AE">
        <w:rPr>
          <w:rFonts w:ascii="Times New Roman" w:hAnsi="Times New Roman"/>
        </w:rPr>
        <w:t xml:space="preserve">NSSP </w:t>
      </w:r>
      <w:r w:rsidRPr="007661AE">
        <w:rPr>
          <w:rFonts w:ascii="Times New Roman" w:hAnsi="Times New Roman"/>
        </w:rPr>
        <w:t>BioSense</w:t>
      </w:r>
      <w:r w:rsidRPr="007661AE">
        <w:rPr>
          <w:rFonts w:ascii="Times New Roman" w:hAnsi="Times New Roman"/>
        </w:rPr>
        <w:t xml:space="preserve"> Platform</w:t>
      </w:r>
      <w:r w:rsidR="001A715B">
        <w:rPr>
          <w:rFonts w:ascii="Times New Roman" w:hAnsi="Times New Roman"/>
        </w:rPr>
        <w:t xml:space="preserve">, </w:t>
      </w:r>
      <w:r w:rsidR="00192B5E">
        <w:rPr>
          <w:rFonts w:ascii="Times New Roman" w:hAnsi="Times New Roman"/>
        </w:rPr>
        <w:t>reformat</w:t>
      </w:r>
      <w:r w:rsidR="00933BD7">
        <w:rPr>
          <w:rFonts w:ascii="Times New Roman" w:hAnsi="Times New Roman"/>
        </w:rPr>
        <w:t xml:space="preserve"> it</w:t>
      </w:r>
      <w:r w:rsidR="00C13DC9">
        <w:rPr>
          <w:rFonts w:ascii="Times New Roman" w:hAnsi="Times New Roman"/>
        </w:rPr>
        <w:t>,</w:t>
      </w:r>
      <w:r w:rsidRPr="007661AE">
        <w:rPr>
          <w:rFonts w:ascii="Times New Roman" w:hAnsi="Times New Roman"/>
        </w:rPr>
        <w:t xml:space="preserve"> and populate the </w:t>
      </w:r>
      <w:r w:rsidRPr="00046789">
        <w:rPr>
          <w:rFonts w:ascii="Times New Roman" w:hAnsi="Times New Roman"/>
          <w:i/>
          <w:iCs/>
        </w:rPr>
        <w:t>Rapid ED overdose data form</w:t>
      </w:r>
      <w:r w:rsidRPr="007661AE">
        <w:rPr>
          <w:rFonts w:ascii="Times New Roman" w:hAnsi="Times New Roman"/>
        </w:rPr>
        <w:t xml:space="preserve">.  </w:t>
      </w:r>
    </w:p>
    <w:p w:rsidR="00F85B27" w:rsidRPr="008F145D" w:rsidP="5666FC58" w14:paraId="0D13FDD9" w14:textId="723E0BF2">
      <w:pPr>
        <w:pStyle w:val="ListParagraph"/>
        <w:numPr>
          <w:ilvl w:val="0"/>
          <w:numId w:val="14"/>
        </w:numPr>
        <w:rPr>
          <w:rFonts w:ascii="Times New Roman" w:hAnsi="Times New Roman"/>
        </w:rPr>
      </w:pPr>
      <w:r w:rsidRPr="5666FC58">
        <w:rPr>
          <w:rFonts w:ascii="Times New Roman" w:hAnsi="Times New Roman"/>
          <w:i/>
          <w:iCs/>
        </w:rPr>
        <w:t>Health departments accessing local syndromic ED data:</w:t>
      </w:r>
      <w:r w:rsidRPr="5666FC58">
        <w:rPr>
          <w:rFonts w:ascii="Times New Roman" w:hAnsi="Times New Roman"/>
        </w:rPr>
        <w:t xml:space="preserve"> </w:t>
      </w:r>
      <w:r w:rsidRPr="5666FC58" w:rsidR="0B8CEAEC">
        <w:rPr>
          <w:rFonts w:ascii="Times New Roman" w:hAnsi="Times New Roman"/>
        </w:rPr>
        <w:t>Participating he</w:t>
      </w:r>
      <w:r w:rsidRPr="5666FC58" w:rsidR="350A6BE4">
        <w:rPr>
          <w:rFonts w:ascii="Times New Roman" w:hAnsi="Times New Roman"/>
        </w:rPr>
        <w:t>alth department</w:t>
      </w:r>
      <w:r w:rsidRPr="5666FC58" w:rsidR="09847822">
        <w:rPr>
          <w:rFonts w:ascii="Times New Roman" w:hAnsi="Times New Roman"/>
        </w:rPr>
        <w:t>s</w:t>
      </w:r>
      <w:r w:rsidRPr="5666FC58" w:rsidR="350A6BE4">
        <w:rPr>
          <w:rFonts w:ascii="Times New Roman" w:hAnsi="Times New Roman"/>
        </w:rPr>
        <w:t xml:space="preserve"> will be responsible</w:t>
      </w:r>
      <w:r w:rsidRPr="5666FC58" w:rsidR="0B8CEAEC">
        <w:rPr>
          <w:rFonts w:ascii="Times New Roman" w:hAnsi="Times New Roman"/>
        </w:rPr>
        <w:t xml:space="preserve"> for completing the </w:t>
      </w:r>
      <w:r w:rsidRPr="5666FC58" w:rsidR="0B8CEAEC">
        <w:rPr>
          <w:rFonts w:ascii="Times New Roman" w:hAnsi="Times New Roman"/>
          <w:i/>
          <w:iCs/>
        </w:rPr>
        <w:t>Rapid ED overdose data form</w:t>
      </w:r>
      <w:r w:rsidRPr="5666FC58" w:rsidR="0B8CEAEC">
        <w:rPr>
          <w:rFonts w:ascii="Times New Roman" w:hAnsi="Times New Roman"/>
        </w:rPr>
        <w:t xml:space="preserve"> each month using CDC </w:t>
      </w:r>
      <w:r w:rsidRPr="5666FC58" w:rsidR="00065253">
        <w:rPr>
          <w:rFonts w:ascii="Times New Roman" w:hAnsi="Times New Roman"/>
        </w:rPr>
        <w:t>syndrome</w:t>
      </w:r>
      <w:r w:rsidRPr="5666FC58" w:rsidR="0B8CEAEC">
        <w:rPr>
          <w:rFonts w:ascii="Times New Roman" w:hAnsi="Times New Roman"/>
        </w:rPr>
        <w:t xml:space="preserve"> definitions for suspected </w:t>
      </w:r>
      <w:r w:rsidRPr="5666FC58" w:rsidR="7A1C488F">
        <w:rPr>
          <w:rFonts w:ascii="Times New Roman" w:hAnsi="Times New Roman"/>
        </w:rPr>
        <w:t xml:space="preserve">all </w:t>
      </w:r>
      <w:r w:rsidRPr="5666FC58" w:rsidR="5F50872E">
        <w:rPr>
          <w:rFonts w:ascii="Times New Roman" w:hAnsi="Times New Roman"/>
        </w:rPr>
        <w:t xml:space="preserve">drug, </w:t>
      </w:r>
      <w:r w:rsidRPr="5666FC58" w:rsidR="0F736A0E">
        <w:rPr>
          <w:rFonts w:ascii="Times New Roman" w:hAnsi="Times New Roman"/>
        </w:rPr>
        <w:t xml:space="preserve">all </w:t>
      </w:r>
      <w:r w:rsidRPr="5666FC58" w:rsidR="5F50872E">
        <w:rPr>
          <w:rFonts w:ascii="Times New Roman" w:hAnsi="Times New Roman"/>
        </w:rPr>
        <w:t xml:space="preserve">opioid, heroin, fentanyl, all stimulant, cocaine, methamphetamine, benzodiazepine, and other emerging drug </w:t>
      </w:r>
      <w:r w:rsidRPr="5666FC58" w:rsidR="0B8CEAEC">
        <w:rPr>
          <w:rFonts w:ascii="Times New Roman" w:hAnsi="Times New Roman"/>
        </w:rPr>
        <w:t xml:space="preserve">overdoses. CDC </w:t>
      </w:r>
      <w:r w:rsidRPr="5666FC58" w:rsidR="5F50872E">
        <w:rPr>
          <w:rFonts w:ascii="Times New Roman" w:hAnsi="Times New Roman"/>
        </w:rPr>
        <w:t xml:space="preserve">has </w:t>
      </w:r>
      <w:r w:rsidRPr="5666FC58" w:rsidR="09847822">
        <w:rPr>
          <w:rFonts w:ascii="Times New Roman" w:hAnsi="Times New Roman"/>
        </w:rPr>
        <w:t>reduce</w:t>
      </w:r>
      <w:r w:rsidRPr="5666FC58" w:rsidR="5F50872E">
        <w:rPr>
          <w:rFonts w:ascii="Times New Roman" w:hAnsi="Times New Roman"/>
        </w:rPr>
        <w:t>d</w:t>
      </w:r>
      <w:r w:rsidRPr="5666FC58" w:rsidR="09847822">
        <w:rPr>
          <w:rFonts w:ascii="Times New Roman" w:hAnsi="Times New Roman"/>
        </w:rPr>
        <w:t xml:space="preserve"> burden on health departments and </w:t>
      </w:r>
      <w:r w:rsidRPr="5666FC58" w:rsidR="0B8CEAEC">
        <w:rPr>
          <w:rFonts w:ascii="Times New Roman" w:hAnsi="Times New Roman"/>
        </w:rPr>
        <w:t>maintain</w:t>
      </w:r>
      <w:r w:rsidRPr="5666FC58" w:rsidR="26A453FE">
        <w:rPr>
          <w:rFonts w:ascii="Times New Roman" w:hAnsi="Times New Roman"/>
        </w:rPr>
        <w:t>ed</w:t>
      </w:r>
      <w:r w:rsidRPr="5666FC58" w:rsidR="0B8CEAEC">
        <w:rPr>
          <w:rFonts w:ascii="Times New Roman" w:hAnsi="Times New Roman"/>
        </w:rPr>
        <w:t xml:space="preserve"> consistent application of its case definitions by suppl</w:t>
      </w:r>
      <w:r w:rsidRPr="5666FC58" w:rsidR="2744F9F3">
        <w:rPr>
          <w:rFonts w:ascii="Times New Roman" w:hAnsi="Times New Roman"/>
        </w:rPr>
        <w:t>y</w:t>
      </w:r>
      <w:r w:rsidRPr="5666FC58" w:rsidR="0B8CEAEC">
        <w:rPr>
          <w:rFonts w:ascii="Times New Roman" w:hAnsi="Times New Roman"/>
        </w:rPr>
        <w:t>ing participating health departments SAS, R</w:t>
      </w:r>
      <w:r w:rsidRPr="5666FC58" w:rsidR="00AC0C63">
        <w:rPr>
          <w:rFonts w:ascii="Times New Roman" w:hAnsi="Times New Roman"/>
        </w:rPr>
        <w:t>Studio</w:t>
      </w:r>
      <w:r w:rsidRPr="5666FC58" w:rsidR="00DE0D7C">
        <w:rPr>
          <w:rFonts w:ascii="Times New Roman" w:hAnsi="Times New Roman"/>
        </w:rPr>
        <w:t xml:space="preserve"> programs</w:t>
      </w:r>
      <w:r w:rsidRPr="5666FC58" w:rsidR="0B8CEAEC">
        <w:rPr>
          <w:rFonts w:ascii="Times New Roman" w:hAnsi="Times New Roman"/>
        </w:rPr>
        <w:t xml:space="preserve">, and </w:t>
      </w:r>
      <w:r w:rsidRPr="5666FC58" w:rsidR="00DF278A">
        <w:rPr>
          <w:rFonts w:ascii="Times New Roman" w:hAnsi="Times New Roman"/>
        </w:rPr>
        <w:t xml:space="preserve">direct hyperlinks for NSSP </w:t>
      </w:r>
      <w:r w:rsidRPr="5666FC58" w:rsidR="1DB720F0">
        <w:rPr>
          <w:rFonts w:ascii="Times New Roman" w:hAnsi="Times New Roman"/>
        </w:rPr>
        <w:t>Electronic Surveillance System for the Early Notification of Community-based Epidemics (</w:t>
      </w:r>
      <w:r w:rsidRPr="5666FC58" w:rsidR="550B249B">
        <w:rPr>
          <w:rFonts w:ascii="Times New Roman" w:hAnsi="Times New Roman"/>
        </w:rPr>
        <w:t>ESSENCE</w:t>
      </w:r>
      <w:r w:rsidRPr="5666FC58" w:rsidR="60159C32">
        <w:rPr>
          <w:rFonts w:ascii="Times New Roman" w:hAnsi="Times New Roman"/>
        </w:rPr>
        <w:t>)</w:t>
      </w:r>
      <w:r w:rsidRPr="5666FC58" w:rsidR="550B249B">
        <w:rPr>
          <w:rFonts w:ascii="Times New Roman" w:hAnsi="Times New Roman"/>
        </w:rPr>
        <w:t xml:space="preserve"> </w:t>
      </w:r>
      <w:r w:rsidRPr="5666FC58" w:rsidR="0B8CEAEC">
        <w:rPr>
          <w:rFonts w:ascii="Times New Roman" w:hAnsi="Times New Roman"/>
        </w:rPr>
        <w:t xml:space="preserve">that </w:t>
      </w:r>
      <w:r w:rsidRPr="5666FC58" w:rsidR="29A35C68">
        <w:rPr>
          <w:rFonts w:ascii="Times New Roman" w:hAnsi="Times New Roman"/>
        </w:rPr>
        <w:t xml:space="preserve">states and territories can use to </w:t>
      </w:r>
      <w:r w:rsidRPr="5666FC58" w:rsidR="350A6BE4">
        <w:rPr>
          <w:rFonts w:ascii="Times New Roman" w:hAnsi="Times New Roman"/>
        </w:rPr>
        <w:t>produce required counts in</w:t>
      </w:r>
      <w:r w:rsidRPr="5666FC58" w:rsidR="0B8CEAEC">
        <w:rPr>
          <w:rFonts w:ascii="Times New Roman" w:hAnsi="Times New Roman"/>
        </w:rPr>
        <w:t xml:space="preserve"> </w:t>
      </w:r>
      <w:r w:rsidRPr="5666FC58" w:rsidR="09847822">
        <w:rPr>
          <w:rFonts w:ascii="Times New Roman" w:hAnsi="Times New Roman"/>
        </w:rPr>
        <w:t xml:space="preserve">a </w:t>
      </w:r>
      <w:r w:rsidRPr="5666FC58" w:rsidR="0B8CEAEC">
        <w:rPr>
          <w:rFonts w:ascii="Times New Roman" w:hAnsi="Times New Roman"/>
        </w:rPr>
        <w:t xml:space="preserve">format compatible with the </w:t>
      </w:r>
      <w:r w:rsidRPr="5666FC58" w:rsidR="0B8CEAEC">
        <w:rPr>
          <w:rFonts w:ascii="Times New Roman" w:hAnsi="Times New Roman"/>
          <w:i/>
          <w:iCs/>
        </w:rPr>
        <w:t>Rapid ED overdose data form.</w:t>
      </w:r>
      <w:r w:rsidRPr="5666FC58" w:rsidR="132DE90A">
        <w:rPr>
          <w:rFonts w:ascii="Times New Roman" w:hAnsi="Times New Roman"/>
          <w:i/>
          <w:iCs/>
        </w:rPr>
        <w:t xml:space="preserve"> </w:t>
      </w:r>
      <w:r w:rsidRPr="5666FC58" w:rsidR="00D5002F">
        <w:rPr>
          <w:rFonts w:ascii="Times New Roman" w:hAnsi="Times New Roman"/>
        </w:rPr>
        <w:t xml:space="preserve">In addition, the syndrome queries themselves are available for use in ESSENCE. Any states who use local </w:t>
      </w:r>
      <w:r w:rsidRPr="5666FC58" w:rsidR="00AA2718">
        <w:rPr>
          <w:rFonts w:ascii="Times New Roman" w:hAnsi="Times New Roman"/>
        </w:rPr>
        <w:t xml:space="preserve">syndromic systems (instead of NSSP ESSENCE) </w:t>
      </w:r>
      <w:r w:rsidRPr="5666FC58" w:rsidR="00D5002F">
        <w:rPr>
          <w:rFonts w:ascii="Times New Roman" w:hAnsi="Times New Roman"/>
        </w:rPr>
        <w:t>would be expected to adapt the provided Technical Guidance to their local system</w:t>
      </w:r>
      <w:r w:rsidRPr="5666FC58" w:rsidR="4F15D22E">
        <w:rPr>
          <w:rFonts w:ascii="Times New Roman" w:hAnsi="Times New Roman"/>
        </w:rPr>
        <w:t>s</w:t>
      </w:r>
      <w:r w:rsidRPr="5666FC58" w:rsidR="00D5002F">
        <w:rPr>
          <w:rFonts w:ascii="Times New Roman" w:hAnsi="Times New Roman"/>
        </w:rPr>
        <w:t>.</w:t>
      </w:r>
    </w:p>
    <w:p w:rsidR="00B9212C" w:rsidP="257ED39A" w14:paraId="2EAABAB4" w14:textId="77777777">
      <w:pPr>
        <w:rPr>
          <w:b/>
          <w:bCs/>
          <w:sz w:val="24"/>
          <w:lang w:val="en"/>
        </w:rPr>
      </w:pPr>
    </w:p>
    <w:p w:rsidR="007900A5" w:rsidRPr="00976885" w:rsidP="257ED39A" w14:paraId="4E70B01F" w14:textId="6CA7BD6B">
      <w:pPr>
        <w:rPr>
          <w:sz w:val="32"/>
          <w:szCs w:val="32"/>
        </w:rPr>
      </w:pPr>
      <w:r w:rsidRPr="257ED39A">
        <w:rPr>
          <w:b/>
          <w:bCs/>
          <w:sz w:val="24"/>
          <w:lang w:val="en"/>
        </w:rPr>
        <w:t xml:space="preserve">Step 3: </w:t>
      </w:r>
      <w:r w:rsidRPr="257ED39A">
        <w:rPr>
          <w:sz w:val="24"/>
          <w:lang w:val="en"/>
        </w:rPr>
        <w:t>Participating</w:t>
      </w:r>
      <w:r w:rsidRPr="257ED39A">
        <w:rPr>
          <w:sz w:val="24"/>
        </w:rPr>
        <w:t xml:space="preserve"> health departments will submit the</w:t>
      </w:r>
      <w:r w:rsidRPr="257ED39A">
        <w:rPr>
          <w:sz w:val="24"/>
          <w:lang w:val="en"/>
        </w:rPr>
        <w:t xml:space="preserve"> </w:t>
      </w:r>
      <w:r w:rsidRPr="257ED39A">
        <w:rPr>
          <w:i/>
          <w:iCs/>
          <w:sz w:val="24"/>
          <w:lang w:val="en"/>
        </w:rPr>
        <w:t>Rapid ED overdose data form</w:t>
      </w:r>
      <w:r w:rsidRPr="257ED39A">
        <w:rPr>
          <w:sz w:val="24"/>
          <w:lang w:val="en"/>
        </w:rPr>
        <w:t xml:space="preserve"> to CDC</w:t>
      </w:r>
      <w:r w:rsidRPr="257ED39A" w:rsidR="19EFF26E">
        <w:rPr>
          <w:sz w:val="24"/>
        </w:rPr>
        <w:t xml:space="preserve"> </w:t>
      </w:r>
      <w:r w:rsidRPr="257ED39A" w:rsidR="145B0A39">
        <w:rPr>
          <w:sz w:val="24"/>
        </w:rPr>
        <w:t>using the N</w:t>
      </w:r>
      <w:r w:rsidRPr="257ED39A" w:rsidR="19EFF26E">
        <w:rPr>
          <w:sz w:val="24"/>
          <w:lang w:val="en"/>
        </w:rPr>
        <w:t>ational</w:t>
      </w:r>
      <w:r w:rsidRPr="257ED39A" w:rsidR="19EFF26E">
        <w:rPr>
          <w:sz w:val="24"/>
          <w:lang w:val="en"/>
        </w:rPr>
        <w:t xml:space="preserve"> Center for Injury Prevention and Control (NCIPC) interface hosted on the CDC Secure Access Management Service (SAMS) Partner’s Portal, referred to as the NCIPC Partner’s Portal</w:t>
      </w:r>
      <w:r w:rsidRPr="0EBCC76A">
        <w:rPr>
          <w:sz w:val="24"/>
          <w:lang w:val="en"/>
        </w:rPr>
        <w:t xml:space="preserve">. </w:t>
      </w:r>
      <w:r w:rsidRPr="257ED39A" w:rsidR="145B0A39">
        <w:rPr>
          <w:sz w:val="24"/>
        </w:rPr>
        <w:t xml:space="preserve">The NCIPC Partner’s Portal will conduct automatic data quality checks on submitted files to verify that required data </w:t>
      </w:r>
      <w:r w:rsidR="00446E23">
        <w:rPr>
          <w:rFonts w:hint="eastAsia"/>
          <w:sz w:val="24"/>
          <w:lang w:eastAsia="ko-KR"/>
        </w:rPr>
        <w:t>are</w:t>
      </w:r>
      <w:r w:rsidRPr="257ED39A" w:rsidR="145B0A39">
        <w:rPr>
          <w:sz w:val="24"/>
        </w:rPr>
        <w:t xml:space="preserve"> submitted</w:t>
      </w:r>
      <w:r w:rsidRPr="257ED39A" w:rsidR="4A70B4BD">
        <w:rPr>
          <w:sz w:val="24"/>
        </w:rPr>
        <w:t xml:space="preserve"> without major data quality issues</w:t>
      </w:r>
      <w:r w:rsidRPr="257ED39A" w:rsidR="145B0A39">
        <w:rPr>
          <w:sz w:val="24"/>
        </w:rPr>
        <w:t>.</w:t>
      </w:r>
      <w:r w:rsidRPr="257ED39A" w:rsidR="4A70B4BD">
        <w:rPr>
          <w:sz w:val="24"/>
        </w:rPr>
        <w:t xml:space="preserve"> This process will improve data quality and reduce the need for multiple data submissions by state and local health departments.</w:t>
      </w:r>
      <w:r w:rsidRPr="257ED39A" w:rsidR="145B0A39">
        <w:rPr>
          <w:sz w:val="24"/>
        </w:rPr>
        <w:t xml:space="preserve"> </w:t>
      </w:r>
      <w:r w:rsidRPr="257ED39A">
        <w:rPr>
          <w:sz w:val="24"/>
        </w:rPr>
        <w:t xml:space="preserve">The CDC SAMS </w:t>
      </w:r>
      <w:r w:rsidR="00021B17">
        <w:rPr>
          <w:sz w:val="24"/>
        </w:rPr>
        <w:t>site,</w:t>
      </w:r>
      <w:r w:rsidRPr="257ED39A" w:rsidR="4A70B4BD">
        <w:rPr>
          <w:sz w:val="24"/>
        </w:rPr>
        <w:t xml:space="preserve"> which hosts the NCIPC Partner’s Portal</w:t>
      </w:r>
      <w:r w:rsidR="00021B17">
        <w:rPr>
          <w:sz w:val="24"/>
        </w:rPr>
        <w:t>,</w:t>
      </w:r>
      <w:r w:rsidRPr="257ED39A">
        <w:rPr>
          <w:sz w:val="24"/>
        </w:rPr>
        <w:t xml:space="preserve"> is a web site designed to provide secure centralized access to external users such as public health departments to data and computer applications operated by CDC. It can also be used to securely exchange data between CDC and </w:t>
      </w:r>
      <w:r w:rsidRPr="257ED39A" w:rsidR="09847822">
        <w:rPr>
          <w:sz w:val="24"/>
        </w:rPr>
        <w:t xml:space="preserve">the </w:t>
      </w:r>
      <w:r w:rsidRPr="257ED39A">
        <w:rPr>
          <w:sz w:val="24"/>
        </w:rPr>
        <w:t>participating health departments</w:t>
      </w:r>
      <w:r w:rsidRPr="0EBCC76A">
        <w:rPr>
          <w:sz w:val="24"/>
        </w:rPr>
        <w:t>.</w:t>
      </w:r>
      <w:r>
        <w:rPr>
          <w:rStyle w:val="EndnoteReference"/>
          <w:sz w:val="24"/>
        </w:rPr>
        <w:endnoteReference w:id="3"/>
      </w:r>
      <w:r w:rsidR="00931945">
        <w:rPr>
          <w:sz w:val="24"/>
        </w:rPr>
        <w:t xml:space="preserve">In rare incidences when the </w:t>
      </w:r>
      <w:r w:rsidR="00A44677">
        <w:rPr>
          <w:sz w:val="24"/>
        </w:rPr>
        <w:t>file size is too large to be submitted through NCIPC Partner’s Portal, participating health department</w:t>
      </w:r>
      <w:r w:rsidR="00A55A6C">
        <w:rPr>
          <w:sz w:val="24"/>
        </w:rPr>
        <w:t>s</w:t>
      </w:r>
      <w:r w:rsidR="00A44677">
        <w:rPr>
          <w:sz w:val="24"/>
        </w:rPr>
        <w:t xml:space="preserve"> can upload data directly into CDC SAMS</w:t>
      </w:r>
      <w:r w:rsidRPr="0EBCC76A" w:rsidR="0008514A">
        <w:rPr>
          <w:sz w:val="24"/>
        </w:rPr>
        <w:t>.</w:t>
      </w:r>
      <w:r w:rsidR="006603E7">
        <w:t xml:space="preserve"> </w:t>
      </w:r>
      <w:r w:rsidRPr="00976885" w:rsidR="00976885">
        <w:rPr>
          <w:sz w:val="24"/>
          <w:szCs w:val="32"/>
        </w:rPr>
        <w:t>Should the One CDC Data Platform (1CDP) be implemented, CDC will explore alternative data modernization strategies to alleviate the data collection burden and will keep jurisdictions informed throughout the process.</w:t>
      </w:r>
    </w:p>
    <w:p w:rsidR="00B9212C" w:rsidP="257ED39A" w14:paraId="08A336F6" w14:textId="77777777">
      <w:pPr>
        <w:rPr>
          <w:b/>
          <w:bCs/>
          <w:sz w:val="24"/>
        </w:rPr>
      </w:pPr>
    </w:p>
    <w:p w:rsidR="006C5BB7" w:rsidRPr="006C5BB7" w:rsidP="257ED39A" w14:paraId="273E703B" w14:textId="3FFE4E73">
      <w:pPr>
        <w:rPr>
          <w:b/>
          <w:bCs/>
          <w:sz w:val="24"/>
        </w:rPr>
      </w:pPr>
      <w:r w:rsidRPr="257ED39A">
        <w:rPr>
          <w:b/>
          <w:bCs/>
          <w:sz w:val="24"/>
        </w:rPr>
        <w:t xml:space="preserve">Step </w:t>
      </w:r>
      <w:r w:rsidR="00112230">
        <w:rPr>
          <w:b/>
          <w:bCs/>
          <w:sz w:val="24"/>
        </w:rPr>
        <w:t>4</w:t>
      </w:r>
      <w:r w:rsidRPr="257ED39A" w:rsidR="4EB2BEBB">
        <w:rPr>
          <w:b/>
          <w:bCs/>
          <w:sz w:val="24"/>
        </w:rPr>
        <w:t xml:space="preserve">: </w:t>
      </w:r>
      <w:r w:rsidRPr="257ED39A" w:rsidR="4EB2BEBB">
        <w:rPr>
          <w:sz w:val="24"/>
        </w:rPr>
        <w:t xml:space="preserve">CDC will convene a workgroup of participating health departments at least once every </w:t>
      </w:r>
      <w:r w:rsidR="00112230">
        <w:rPr>
          <w:sz w:val="24"/>
        </w:rPr>
        <w:t>quarter</w:t>
      </w:r>
      <w:r w:rsidRPr="257ED39A" w:rsidR="4EB2BEBB">
        <w:rPr>
          <w:sz w:val="24"/>
        </w:rPr>
        <w:t xml:space="preserve"> to identify ways to improve the data sharing process, data quality, case definitions and analytic approach of DOSE.</w:t>
      </w:r>
    </w:p>
    <w:p w:rsidR="00F85B27" w:rsidP="009B0CF7" w14:paraId="4EDA0816" w14:textId="77777777">
      <w:pPr>
        <w:rPr>
          <w:sz w:val="24"/>
        </w:rPr>
      </w:pPr>
    </w:p>
    <w:p w:rsidR="002C1B51" w:rsidP="257ED39A" w14:paraId="6B75C2C8" w14:textId="01CEDB6A">
      <w:pPr>
        <w:rPr>
          <w:i/>
          <w:iCs/>
          <w:sz w:val="24"/>
        </w:rPr>
      </w:pPr>
      <w:r w:rsidRPr="0EBCC76A">
        <w:rPr>
          <w:b/>
          <w:bCs/>
          <w:sz w:val="24"/>
        </w:rPr>
        <w:t>DOSE-DIS</w:t>
      </w:r>
      <w:r w:rsidRPr="0EBCC76A">
        <w:rPr>
          <w:sz w:val="24"/>
        </w:rPr>
        <w:t xml:space="preserve">: </w:t>
      </w:r>
      <w:r w:rsidRPr="7C617127" w:rsidR="7C3DC4DD">
        <w:rPr>
          <w:i/>
          <w:iCs/>
          <w:sz w:val="24"/>
        </w:rPr>
        <w:t>Procedures</w:t>
      </w:r>
      <w:r w:rsidRPr="0EBCC76A" w:rsidR="7C3DC4DD">
        <w:rPr>
          <w:i/>
          <w:iCs/>
          <w:sz w:val="24"/>
        </w:rPr>
        <w:t xml:space="preserve"> for collecting the </w:t>
      </w:r>
      <w:r w:rsidRPr="0EBCC76A" w:rsidR="4EB2BEBB">
        <w:rPr>
          <w:i/>
          <w:iCs/>
          <w:sz w:val="24"/>
        </w:rPr>
        <w:t>ED</w:t>
      </w:r>
      <w:r w:rsidRPr="0EBCC76A" w:rsidR="5EB04CBB">
        <w:rPr>
          <w:i/>
          <w:iCs/>
          <w:sz w:val="24"/>
        </w:rPr>
        <w:t>/Inpatient Hospitalization</w:t>
      </w:r>
      <w:r w:rsidRPr="0EBCC76A" w:rsidR="4EB2BEBB">
        <w:rPr>
          <w:i/>
          <w:iCs/>
          <w:sz w:val="24"/>
        </w:rPr>
        <w:t xml:space="preserve"> discharge overdose data form </w:t>
      </w:r>
      <w:r w:rsidRPr="0EBCC76A" w:rsidR="7BAF876A">
        <w:rPr>
          <w:i/>
          <w:iCs/>
          <w:sz w:val="24"/>
        </w:rPr>
        <w:t>(Att</w:t>
      </w:r>
      <w:r w:rsidRPr="0EBCC76A" w:rsidR="67197E61">
        <w:rPr>
          <w:i/>
          <w:iCs/>
          <w:sz w:val="24"/>
        </w:rPr>
        <w:t>achment</w:t>
      </w:r>
      <w:r w:rsidRPr="0EBCC76A" w:rsidR="7BAF876A">
        <w:rPr>
          <w:i/>
          <w:iCs/>
          <w:sz w:val="24"/>
        </w:rPr>
        <w:t xml:space="preserve"> E) </w:t>
      </w:r>
      <w:r w:rsidRPr="0EBCC76A" w:rsidR="00003561">
        <w:rPr>
          <w:i/>
          <w:iCs/>
          <w:sz w:val="24"/>
        </w:rPr>
        <w:t xml:space="preserve">and line-level .csv file </w:t>
      </w:r>
      <w:r w:rsidRPr="0EBCC76A" w:rsidR="7C3DC4DD">
        <w:rPr>
          <w:i/>
          <w:iCs/>
          <w:sz w:val="24"/>
        </w:rPr>
        <w:t xml:space="preserve">on a </w:t>
      </w:r>
      <w:r w:rsidRPr="0EBCC76A" w:rsidR="5CAB29AB">
        <w:rPr>
          <w:i/>
          <w:iCs/>
          <w:sz w:val="24"/>
        </w:rPr>
        <w:t>yearly basis</w:t>
      </w:r>
    </w:p>
    <w:p w:rsidR="00086763" w:rsidP="257ED39A" w14:paraId="4CB2C13B" w14:textId="77777777">
      <w:pPr>
        <w:rPr>
          <w:i/>
          <w:iCs/>
          <w:sz w:val="24"/>
        </w:rPr>
      </w:pPr>
    </w:p>
    <w:p w:rsidR="00086763" w:rsidRPr="00D94F24" w:rsidP="00086763" w14:paraId="51B236C2" w14:textId="21AEC7C1">
      <w:pPr>
        <w:rPr>
          <w:sz w:val="24"/>
          <w:lang w:val="en"/>
        </w:rPr>
      </w:pPr>
      <w:r w:rsidRPr="00D94F24">
        <w:rPr>
          <w:sz w:val="24"/>
          <w:lang w:val="en"/>
        </w:rPr>
        <w:t xml:space="preserve">The following procedures will be used to collect the </w:t>
      </w:r>
      <w:r w:rsidRPr="257ED39A">
        <w:rPr>
          <w:i/>
          <w:iCs/>
          <w:sz w:val="24"/>
        </w:rPr>
        <w:t>ED/Inpatient Hospitalization discharge overdose data form</w:t>
      </w:r>
      <w:r w:rsidR="006C12BD">
        <w:rPr>
          <w:i/>
          <w:iCs/>
          <w:sz w:val="24"/>
        </w:rPr>
        <w:t xml:space="preserve"> </w:t>
      </w:r>
      <w:r w:rsidRPr="001231D5" w:rsidR="006C12BD">
        <w:rPr>
          <w:sz w:val="24"/>
        </w:rPr>
        <w:t>and</w:t>
      </w:r>
      <w:r w:rsidR="006C12BD">
        <w:rPr>
          <w:i/>
          <w:iCs/>
          <w:sz w:val="24"/>
        </w:rPr>
        <w:t xml:space="preserve"> line-level .csv data file</w:t>
      </w:r>
      <w:r w:rsidRPr="00D94F24">
        <w:rPr>
          <w:sz w:val="24"/>
          <w:lang w:val="en"/>
        </w:rPr>
        <w:t>.</w:t>
      </w:r>
    </w:p>
    <w:p w:rsidR="00086763" w:rsidP="257ED39A" w14:paraId="0E0EA836" w14:textId="77777777">
      <w:pPr>
        <w:rPr>
          <w:i/>
          <w:iCs/>
          <w:sz w:val="24"/>
        </w:rPr>
      </w:pPr>
    </w:p>
    <w:p w:rsidR="002249DB" w:rsidRPr="005E2321" w:rsidP="24181A1F" w14:paraId="7C4655B0" w14:textId="3A7C1EC2">
      <w:pPr>
        <w:rPr>
          <w:sz w:val="24"/>
        </w:rPr>
      </w:pPr>
      <w:r w:rsidRPr="24181A1F">
        <w:rPr>
          <w:b/>
          <w:bCs/>
          <w:sz w:val="24"/>
        </w:rPr>
        <w:t>Step 1</w:t>
      </w:r>
      <w:r w:rsidRPr="24181A1F">
        <w:rPr>
          <w:sz w:val="24"/>
        </w:rPr>
        <w:t xml:space="preserve">: </w:t>
      </w:r>
      <w:r w:rsidRPr="24181A1F">
        <w:rPr>
          <w:i/>
          <w:iCs/>
          <w:sz w:val="24"/>
        </w:rPr>
        <w:t>Hospital ED/Inpatient Hospitalization Discharge Data:</w:t>
      </w:r>
      <w:r w:rsidRPr="24181A1F">
        <w:rPr>
          <w:sz w:val="24"/>
        </w:rPr>
        <w:t xml:space="preserve"> Some health departments </w:t>
      </w:r>
      <w:r w:rsidRPr="24181A1F" w:rsidR="1D0609C3">
        <w:rPr>
          <w:sz w:val="24"/>
        </w:rPr>
        <w:t xml:space="preserve">may not rely on </w:t>
      </w:r>
      <w:r w:rsidRPr="24181A1F">
        <w:rPr>
          <w:sz w:val="24"/>
        </w:rPr>
        <w:t>syndromic surveillance</w:t>
      </w:r>
      <w:r w:rsidRPr="24181A1F" w:rsidR="1D0609C3">
        <w:rPr>
          <w:sz w:val="24"/>
        </w:rPr>
        <w:t xml:space="preserve"> data for statewide surveillance of ED visits</w:t>
      </w:r>
      <w:r w:rsidRPr="24181A1F">
        <w:rPr>
          <w:sz w:val="24"/>
        </w:rPr>
        <w:t xml:space="preserve">. These states, however, may leverage hospital discharge data </w:t>
      </w:r>
      <w:r w:rsidRPr="24181A1F" w:rsidR="50C0AD24">
        <w:rPr>
          <w:sz w:val="24"/>
        </w:rPr>
        <w:t>from inpatient hospitalization</w:t>
      </w:r>
      <w:r w:rsidRPr="24181A1F">
        <w:rPr>
          <w:sz w:val="24"/>
        </w:rPr>
        <w:t xml:space="preserve"> </w:t>
      </w:r>
      <w:r w:rsidRPr="24181A1F" w:rsidR="53EAC432">
        <w:rPr>
          <w:sz w:val="24"/>
        </w:rPr>
        <w:t>and</w:t>
      </w:r>
      <w:r w:rsidRPr="24181A1F" w:rsidR="50C0AD24">
        <w:rPr>
          <w:sz w:val="24"/>
        </w:rPr>
        <w:t xml:space="preserve"> ED</w:t>
      </w:r>
      <w:r w:rsidRPr="24181A1F" w:rsidR="53EAC432">
        <w:rPr>
          <w:sz w:val="24"/>
        </w:rPr>
        <w:t xml:space="preserve"> </w:t>
      </w:r>
      <w:r w:rsidRPr="24181A1F">
        <w:rPr>
          <w:sz w:val="24"/>
        </w:rPr>
        <w:t xml:space="preserve">visits that </w:t>
      </w:r>
      <w:r w:rsidRPr="24181A1F" w:rsidR="5D30379D">
        <w:rPr>
          <w:sz w:val="24"/>
        </w:rPr>
        <w:t>are</w:t>
      </w:r>
      <w:r w:rsidRPr="24181A1F">
        <w:rPr>
          <w:sz w:val="24"/>
        </w:rPr>
        <w:t xml:space="preserve"> routinely collected by most states. Hospital discharge data are collected for billing purposes, using standardized ICD-10-CM coding, and most states use Uniform Billing Version 04 (UB-04) administrative claims data to collect ICD-10-CM diagnosis and procedure codes. </w:t>
      </w:r>
      <w:r w:rsidRPr="24181A1F" w:rsidR="2BE27833">
        <w:rPr>
          <w:sz w:val="24"/>
        </w:rPr>
        <w:t xml:space="preserve">State hospital associations </w:t>
      </w:r>
      <w:r w:rsidRPr="24181A1F" w:rsidR="4A7E0EC9">
        <w:rPr>
          <w:sz w:val="24"/>
        </w:rPr>
        <w:t>help compile</w:t>
      </w:r>
      <w:r w:rsidRPr="24181A1F" w:rsidR="45DE3578">
        <w:rPr>
          <w:sz w:val="24"/>
        </w:rPr>
        <w:t xml:space="preserve"> </w:t>
      </w:r>
      <w:r w:rsidRPr="24181A1F" w:rsidR="1E1DB7BB">
        <w:rPr>
          <w:sz w:val="24"/>
        </w:rPr>
        <w:t xml:space="preserve">cumulative </w:t>
      </w:r>
      <w:r w:rsidRPr="24181A1F" w:rsidR="3BA428CB">
        <w:rPr>
          <w:sz w:val="24"/>
        </w:rPr>
        <w:t>ED/</w:t>
      </w:r>
      <w:r w:rsidRPr="24181A1F" w:rsidR="45DE3578">
        <w:rPr>
          <w:sz w:val="24"/>
        </w:rPr>
        <w:t xml:space="preserve">hospitalization data.  These hospital associations can be instrumental </w:t>
      </w:r>
      <w:r w:rsidRPr="24181A1F" w:rsidR="3BA428CB">
        <w:rPr>
          <w:sz w:val="24"/>
        </w:rPr>
        <w:t>in ensuring</w:t>
      </w:r>
      <w:r w:rsidRPr="24181A1F" w:rsidR="45DE3578">
        <w:rPr>
          <w:sz w:val="24"/>
        </w:rPr>
        <w:t xml:space="preserve"> </w:t>
      </w:r>
      <w:r w:rsidRPr="24181A1F" w:rsidR="3314F028">
        <w:rPr>
          <w:sz w:val="24"/>
        </w:rPr>
        <w:t xml:space="preserve">data quality control (e.g., </w:t>
      </w:r>
      <w:r w:rsidRPr="24181A1F" w:rsidR="7891929C">
        <w:rPr>
          <w:sz w:val="24"/>
        </w:rPr>
        <w:t xml:space="preserve">data </w:t>
      </w:r>
      <w:r w:rsidRPr="24181A1F" w:rsidR="45DE3578">
        <w:rPr>
          <w:sz w:val="24"/>
        </w:rPr>
        <w:t>cleaning and deduplicati</w:t>
      </w:r>
      <w:r w:rsidRPr="24181A1F" w:rsidR="109FAD94">
        <w:rPr>
          <w:sz w:val="24"/>
        </w:rPr>
        <w:t>on</w:t>
      </w:r>
      <w:r w:rsidRPr="24181A1F" w:rsidR="3314F028">
        <w:rPr>
          <w:sz w:val="24"/>
        </w:rPr>
        <w:t>).</w:t>
      </w:r>
    </w:p>
    <w:p w:rsidR="002249DB" w:rsidRPr="005E2321" w:rsidP="257ED39A" w14:paraId="1FEDA85C" w14:textId="77777777">
      <w:pPr>
        <w:rPr>
          <w:sz w:val="24"/>
          <w:lang w:val="en"/>
        </w:rPr>
      </w:pPr>
    </w:p>
    <w:p w:rsidR="002249DB" w:rsidP="24181A1F" w14:paraId="149AB6C4" w14:textId="7E59002E">
      <w:pPr>
        <w:rPr>
          <w:sz w:val="24"/>
        </w:rPr>
      </w:pPr>
      <w:r w:rsidRPr="24181A1F">
        <w:rPr>
          <w:b/>
          <w:bCs/>
          <w:sz w:val="24"/>
          <w:lang w:val="en"/>
        </w:rPr>
        <w:t>Step 2</w:t>
      </w:r>
      <w:r w:rsidRPr="24181A1F">
        <w:rPr>
          <w:sz w:val="24"/>
          <w:lang w:val="en"/>
        </w:rPr>
        <w:t xml:space="preserve">: </w:t>
      </w:r>
      <w:r w:rsidRPr="24181A1F">
        <w:rPr>
          <w:i/>
          <w:iCs/>
          <w:sz w:val="24"/>
        </w:rPr>
        <w:t xml:space="preserve">Hospital ED/Inpatient Hospitalization Discharge Data: </w:t>
      </w:r>
      <w:r w:rsidRPr="24181A1F">
        <w:rPr>
          <w:sz w:val="24"/>
        </w:rPr>
        <w:t>The submission requirement include</w:t>
      </w:r>
      <w:r w:rsidRPr="24181A1F" w:rsidR="001A1215">
        <w:rPr>
          <w:sz w:val="24"/>
        </w:rPr>
        <w:t>s</w:t>
      </w:r>
      <w:r w:rsidRPr="24181A1F" w:rsidR="00CE320B">
        <w:rPr>
          <w:sz w:val="24"/>
        </w:rPr>
        <w:t xml:space="preserve"> a</w:t>
      </w:r>
      <w:r w:rsidRPr="24181A1F">
        <w:rPr>
          <w:sz w:val="24"/>
        </w:rPr>
        <w:t xml:space="preserve"> line-level </w:t>
      </w:r>
      <w:r w:rsidRPr="24181A1F" w:rsidR="00D856AB">
        <w:rPr>
          <w:sz w:val="24"/>
        </w:rPr>
        <w:t>dataset</w:t>
      </w:r>
      <w:r w:rsidRPr="24181A1F">
        <w:rPr>
          <w:sz w:val="24"/>
        </w:rPr>
        <w:t xml:space="preserve"> containing discharge/billing data on ED visits and/or inpatient hospitalizations involving a drug poisoning (i.e., line-level data on visits with any T36-T50 ICD-10-CM code, including all intents and encounters, underdosing, and adverse effects), in a CSV data form</w:t>
      </w:r>
      <w:r w:rsidRPr="24181A1F" w:rsidR="00294E85">
        <w:rPr>
          <w:sz w:val="24"/>
        </w:rPr>
        <w:t>at</w:t>
      </w:r>
      <w:r w:rsidRPr="24181A1F">
        <w:rPr>
          <w:sz w:val="24"/>
        </w:rPr>
        <w:t>. Funded jurisdictions receive discharge data from a state hospital association</w:t>
      </w:r>
      <w:r w:rsidRPr="24181A1F" w:rsidR="00242973">
        <w:rPr>
          <w:sz w:val="24"/>
        </w:rPr>
        <w:t xml:space="preserve"> or contracted data vendor</w:t>
      </w:r>
      <w:r w:rsidRPr="24181A1F">
        <w:rPr>
          <w:sz w:val="24"/>
        </w:rPr>
        <w:t xml:space="preserve">. Jurisdictions submitting discharge/billing data also submit aggregate data on total ED visits and/or inpatient hospitalizations (of any cause) using the </w:t>
      </w:r>
      <w:r w:rsidRPr="24181A1F" w:rsidR="005E2321">
        <w:rPr>
          <w:i/>
          <w:iCs/>
          <w:sz w:val="24"/>
        </w:rPr>
        <w:t>ED/Inpatient Hospitalization discharge overdose data form</w:t>
      </w:r>
      <w:r w:rsidRPr="24181A1F">
        <w:rPr>
          <w:sz w:val="24"/>
        </w:rPr>
        <w:t>.</w:t>
      </w:r>
    </w:p>
    <w:p w:rsidR="005E2321" w:rsidRPr="005E2321" w:rsidP="005E2321" w14:paraId="1BC9243E" w14:textId="77777777">
      <w:pPr>
        <w:rPr>
          <w:sz w:val="24"/>
        </w:rPr>
      </w:pPr>
    </w:p>
    <w:p w:rsidR="00E83CDA" w:rsidRPr="005E2321" w:rsidP="24181A1F" w14:paraId="718AB3DB" w14:textId="3922B6AD">
      <w:pPr>
        <w:rPr>
          <w:sz w:val="24"/>
        </w:rPr>
      </w:pPr>
      <w:r w:rsidRPr="24181A1F">
        <w:rPr>
          <w:b/>
          <w:bCs/>
          <w:sz w:val="24"/>
          <w:lang w:val="en"/>
        </w:rPr>
        <w:t xml:space="preserve">Step 3: </w:t>
      </w:r>
      <w:r w:rsidRPr="24181A1F">
        <w:rPr>
          <w:sz w:val="24"/>
          <w:lang w:val="en"/>
        </w:rPr>
        <w:t>Participating</w:t>
      </w:r>
      <w:r w:rsidRPr="24181A1F">
        <w:rPr>
          <w:sz w:val="24"/>
        </w:rPr>
        <w:t xml:space="preserve"> health departments will submit the</w:t>
      </w:r>
      <w:r w:rsidRPr="24181A1F">
        <w:rPr>
          <w:sz w:val="24"/>
          <w:lang w:val="en"/>
        </w:rPr>
        <w:t xml:space="preserve"> </w:t>
      </w:r>
      <w:r w:rsidRPr="24181A1F" w:rsidR="006F1906">
        <w:rPr>
          <w:sz w:val="24"/>
          <w:lang w:val="en"/>
        </w:rPr>
        <w:t xml:space="preserve">line-level .csv file and </w:t>
      </w:r>
      <w:r w:rsidRPr="24181A1F" w:rsidR="005E2321">
        <w:rPr>
          <w:i/>
          <w:iCs/>
          <w:sz w:val="24"/>
        </w:rPr>
        <w:t>ED/Inpatient Hospitalization discharge overdose data form</w:t>
      </w:r>
      <w:r w:rsidRPr="24181A1F" w:rsidR="005E2321">
        <w:rPr>
          <w:sz w:val="24"/>
          <w:lang w:val="en"/>
        </w:rPr>
        <w:t xml:space="preserve"> </w:t>
      </w:r>
      <w:r w:rsidRPr="24181A1F">
        <w:rPr>
          <w:sz w:val="24"/>
          <w:lang w:val="en"/>
        </w:rPr>
        <w:t>to CDC</w:t>
      </w:r>
      <w:r w:rsidRPr="24181A1F">
        <w:rPr>
          <w:sz w:val="24"/>
        </w:rPr>
        <w:t xml:space="preserve"> using the N</w:t>
      </w:r>
      <w:r w:rsidRPr="24181A1F">
        <w:rPr>
          <w:sz w:val="24"/>
          <w:lang w:val="en"/>
        </w:rPr>
        <w:t>ational</w:t>
      </w:r>
      <w:r w:rsidRPr="24181A1F">
        <w:rPr>
          <w:sz w:val="24"/>
          <w:lang w:val="en"/>
        </w:rPr>
        <w:t xml:space="preserve"> Center for Injury Prevention and Control (NCIPC) interface hosted on the CDC Secure Access Management Service (SAMS) Partner’s Portal, referred to as the NCIPC Partner’s Portal. The NCIPC Partner’s Portal will conduct automatic data quality checks on submitted files to verify that required data </w:t>
      </w:r>
      <w:r w:rsidRPr="24181A1F" w:rsidR="008B7EE7">
        <w:rPr>
          <w:sz w:val="24"/>
        </w:rPr>
        <w:t>are</w:t>
      </w:r>
      <w:r w:rsidRPr="24181A1F">
        <w:rPr>
          <w:sz w:val="24"/>
        </w:rPr>
        <w:t xml:space="preserve"> submitted without major data quality issues. This process will improve data quality and reduce the need for multiple data submissions by state and local health departments.  The CDC SAMS </w:t>
      </w:r>
      <w:r w:rsidRPr="24181A1F" w:rsidR="008A14F1">
        <w:rPr>
          <w:sz w:val="24"/>
        </w:rPr>
        <w:t>site,</w:t>
      </w:r>
      <w:r w:rsidRPr="24181A1F">
        <w:rPr>
          <w:sz w:val="24"/>
        </w:rPr>
        <w:t xml:space="preserve"> which hosts the NCIPC Partner’s Portal</w:t>
      </w:r>
      <w:r w:rsidRPr="24181A1F" w:rsidR="008A14F1">
        <w:rPr>
          <w:sz w:val="24"/>
        </w:rPr>
        <w:t>,</w:t>
      </w:r>
      <w:r w:rsidRPr="24181A1F">
        <w:rPr>
          <w:sz w:val="24"/>
        </w:rPr>
        <w:t xml:space="preserve"> is a web site designed to provide secure centralized access to external users such as public health departments to data and computer applications operated by CDC. It can also be used to securely exchange data between CDC and the participating health departments.</w:t>
      </w:r>
      <w:r w:rsidRPr="0EBCC76A">
        <w:t>￼</w:t>
      </w:r>
      <w:r>
        <w:rPr>
          <w:rStyle w:val="EndnoteReference"/>
          <w:sz w:val="24"/>
        </w:rPr>
        <w:endnoteReference w:id="4"/>
      </w:r>
      <w:r w:rsidRPr="24181A1F" w:rsidR="19D09B1E">
        <w:rPr>
          <w:sz w:val="24"/>
        </w:rPr>
        <w:t xml:space="preserve">In some </w:t>
      </w:r>
      <w:r w:rsidRPr="24181A1F">
        <w:rPr>
          <w:sz w:val="24"/>
        </w:rPr>
        <w:t>incidences when the file size is too large to be submitted through NCIPC Partner’s Portal, participating health department</w:t>
      </w:r>
      <w:r w:rsidRPr="24181A1F" w:rsidR="00DE0DE5">
        <w:rPr>
          <w:sz w:val="24"/>
        </w:rPr>
        <w:t>s</w:t>
      </w:r>
      <w:r w:rsidRPr="24181A1F">
        <w:rPr>
          <w:sz w:val="24"/>
        </w:rPr>
        <w:t xml:space="preserve"> can upload data directly into CDC</w:t>
      </w:r>
      <w:r w:rsidRPr="24181A1F" w:rsidR="4FC8F4C6">
        <w:rPr>
          <w:sz w:val="24"/>
        </w:rPr>
        <w:t xml:space="preserve"> SAMS.</w:t>
      </w:r>
      <w:r w:rsidRPr="24181A1F">
        <w:rPr>
          <w:sz w:val="24"/>
        </w:rPr>
        <w:t xml:space="preserve"> </w:t>
      </w:r>
      <w:r w:rsidRPr="0EBCC76A">
        <w:t>￼￼</w:t>
      </w:r>
      <w:r w:rsidRPr="00547CC1" w:rsidR="00547CC1">
        <w:rPr>
          <w:sz w:val="24"/>
          <w:szCs w:val="32"/>
        </w:rPr>
        <w:t xml:space="preserve"> </w:t>
      </w:r>
      <w:r w:rsidRPr="00976885" w:rsidR="00547CC1">
        <w:rPr>
          <w:sz w:val="24"/>
          <w:szCs w:val="32"/>
        </w:rPr>
        <w:t>Should the One CDC Data Platform (1CDP) be implemented, CDC will explore alternative data modernization strategies to alleviate the data collection burden and will keep jurisdictions informed throughout the process.</w:t>
      </w:r>
    </w:p>
    <w:p w:rsidR="00E83CDA" w:rsidRPr="00E83CDA" w:rsidP="00CA73C6" w14:paraId="35C8DB7A" w14:textId="7122C6C7"/>
    <w:p w:rsidR="00B9212C" w:rsidRPr="006C5BB7" w:rsidP="00B9212C" w14:paraId="073D8A5B" w14:textId="6F59D9BB">
      <w:pPr>
        <w:rPr>
          <w:b/>
          <w:bCs/>
          <w:sz w:val="24"/>
        </w:rPr>
      </w:pPr>
      <w:r w:rsidRPr="257ED39A">
        <w:rPr>
          <w:b/>
          <w:bCs/>
          <w:sz w:val="24"/>
        </w:rPr>
        <w:t xml:space="preserve">Step </w:t>
      </w:r>
      <w:r>
        <w:rPr>
          <w:b/>
          <w:bCs/>
          <w:sz w:val="24"/>
        </w:rPr>
        <w:t>4</w:t>
      </w:r>
      <w:r w:rsidRPr="00547CC1">
        <w:rPr>
          <w:i/>
          <w:iCs/>
          <w:sz w:val="24"/>
        </w:rPr>
        <w:t>:</w:t>
      </w:r>
      <w:r w:rsidRPr="257ED39A">
        <w:rPr>
          <w:b/>
          <w:bCs/>
          <w:sz w:val="24"/>
        </w:rPr>
        <w:t xml:space="preserve"> </w:t>
      </w:r>
      <w:r w:rsidRPr="257ED39A">
        <w:rPr>
          <w:sz w:val="24"/>
        </w:rPr>
        <w:t xml:space="preserve">CDC will convene a workgroup of participating health departments at least once every </w:t>
      </w:r>
      <w:r>
        <w:rPr>
          <w:sz w:val="24"/>
        </w:rPr>
        <w:t>quarter</w:t>
      </w:r>
      <w:r w:rsidRPr="257ED39A">
        <w:rPr>
          <w:sz w:val="24"/>
        </w:rPr>
        <w:t xml:space="preserve"> to identify ways to improve the data sharing process, data quality, case </w:t>
      </w:r>
      <w:r w:rsidRPr="257ED39A">
        <w:rPr>
          <w:sz w:val="24"/>
        </w:rPr>
        <w:t>definitions and analytic approach of DOSE.</w:t>
      </w:r>
    </w:p>
    <w:p w:rsidR="00F85B27" w:rsidRPr="00547CC1" w:rsidP="009B0CF7" w14:paraId="25E540FC" w14:textId="77777777">
      <w:pPr>
        <w:rPr>
          <w:sz w:val="24"/>
        </w:rPr>
      </w:pPr>
    </w:p>
    <w:p w:rsidR="00A03BCD" w:rsidP="0087540E" w14:paraId="76EF82EE" w14:textId="3C0BC716">
      <w:pPr>
        <w:rPr>
          <w:i/>
          <w:sz w:val="24"/>
        </w:rPr>
      </w:pPr>
      <w:r>
        <w:rPr>
          <w:i/>
          <w:sz w:val="24"/>
        </w:rPr>
        <w:t>Proposed analyses used on data</w:t>
      </w:r>
    </w:p>
    <w:p w:rsidR="00A03BCD" w:rsidP="0087540E" w14:paraId="09880742" w14:textId="428B2C58">
      <w:pPr>
        <w:rPr>
          <w:sz w:val="24"/>
        </w:rPr>
      </w:pPr>
    </w:p>
    <w:p w:rsidR="00A03BCD" w:rsidRPr="0044240A" w:rsidP="00A03BCD" w14:paraId="225CD786" w14:textId="77777777">
      <w:pPr>
        <w:rPr>
          <w:sz w:val="24"/>
        </w:rPr>
      </w:pPr>
      <w:r w:rsidRPr="0044240A">
        <w:rPr>
          <w:sz w:val="24"/>
        </w:rPr>
        <w:t>The following types of statistical methods will be used to analyze the data:</w:t>
      </w:r>
    </w:p>
    <w:p w:rsidR="00A03BCD" w:rsidRPr="0044240A" w:rsidP="00A03BCD" w14:paraId="5EC4E2B4" w14:textId="61C4CABE">
      <w:pPr>
        <w:pStyle w:val="ListParagraph"/>
        <w:numPr>
          <w:ilvl w:val="0"/>
          <w:numId w:val="9"/>
        </w:numPr>
        <w:rPr>
          <w:rFonts w:ascii="Times New Roman" w:hAnsi="Times New Roman"/>
        </w:rPr>
      </w:pPr>
      <w:r w:rsidRPr="24181A1F">
        <w:rPr>
          <w:rFonts w:ascii="Times New Roman" w:hAnsi="Times New Roman"/>
        </w:rPr>
        <w:t xml:space="preserve">Descriptive analyses such as analyzing the </w:t>
      </w:r>
      <w:r w:rsidR="00B74BC9">
        <w:rPr>
          <w:rFonts w:ascii="Times New Roman" w:hAnsi="Times New Roman"/>
        </w:rPr>
        <w:t>rate of</w:t>
      </w:r>
      <w:r w:rsidRPr="24181A1F">
        <w:rPr>
          <w:rFonts w:ascii="Times New Roman" w:hAnsi="Times New Roman"/>
        </w:rPr>
        <w:t xml:space="preserve">  ED visits (number of </w:t>
      </w:r>
      <w:r w:rsidRPr="24181A1F" w:rsidR="00313B56">
        <w:rPr>
          <w:rFonts w:ascii="Times New Roman" w:hAnsi="Times New Roman"/>
        </w:rPr>
        <w:t xml:space="preserve">suspected nonfatal </w:t>
      </w:r>
      <w:r w:rsidRPr="24181A1F">
        <w:rPr>
          <w:rFonts w:ascii="Times New Roman" w:hAnsi="Times New Roman"/>
        </w:rPr>
        <w:t xml:space="preserve">overdose ED visits divided by total ED visits per time period) involving </w:t>
      </w:r>
      <w:bookmarkStart w:id="1" w:name="_Hlk94182555"/>
      <w:r w:rsidRPr="24181A1F" w:rsidR="004C5578">
        <w:rPr>
          <w:rFonts w:ascii="Times New Roman" w:hAnsi="Times New Roman"/>
        </w:rPr>
        <w:t xml:space="preserve">all </w:t>
      </w:r>
      <w:r w:rsidRPr="24181A1F" w:rsidR="00E1516B">
        <w:rPr>
          <w:rFonts w:ascii="Times New Roman" w:hAnsi="Times New Roman"/>
        </w:rPr>
        <w:t xml:space="preserve">drug, </w:t>
      </w:r>
      <w:r w:rsidRPr="24181A1F" w:rsidR="004C5578">
        <w:rPr>
          <w:rFonts w:ascii="Times New Roman" w:hAnsi="Times New Roman"/>
        </w:rPr>
        <w:t xml:space="preserve">all </w:t>
      </w:r>
      <w:r w:rsidRPr="24181A1F" w:rsidR="00E1516B">
        <w:rPr>
          <w:rFonts w:ascii="Times New Roman" w:hAnsi="Times New Roman"/>
        </w:rPr>
        <w:t>opioid, heroin, fentanyl, all stimulant, cocaine, methamphetamine, benzodiazepine, and other emerging drug</w:t>
      </w:r>
      <w:bookmarkEnd w:id="1"/>
      <w:r w:rsidRPr="24181A1F" w:rsidR="00D91B77">
        <w:rPr>
          <w:rFonts w:ascii="Times New Roman" w:hAnsi="Times New Roman"/>
        </w:rPr>
        <w:t xml:space="preserve"> overdoses by US region, </w:t>
      </w:r>
      <w:r w:rsidRPr="24181A1F">
        <w:rPr>
          <w:rFonts w:ascii="Times New Roman" w:hAnsi="Times New Roman"/>
        </w:rPr>
        <w:t>state/territory, county, sex,</w:t>
      </w:r>
      <w:r w:rsidRPr="24181A1F" w:rsidR="000D1309">
        <w:rPr>
          <w:rFonts w:ascii="Times New Roman" w:hAnsi="Times New Roman"/>
        </w:rPr>
        <w:t xml:space="preserve"> race/ethnicity,</w:t>
      </w:r>
      <w:r w:rsidRPr="24181A1F">
        <w:rPr>
          <w:rFonts w:ascii="Times New Roman" w:hAnsi="Times New Roman"/>
        </w:rPr>
        <w:t xml:space="preserve"> and age group. </w:t>
      </w:r>
    </w:p>
    <w:p w:rsidR="00A03BCD" w:rsidRPr="0044240A" w:rsidP="00A03BCD" w14:paraId="423A07FB" w14:textId="6DC8677A">
      <w:pPr>
        <w:pStyle w:val="ListParagraph"/>
        <w:numPr>
          <w:ilvl w:val="0"/>
          <w:numId w:val="9"/>
        </w:numPr>
        <w:rPr>
          <w:rFonts w:ascii="Times New Roman" w:hAnsi="Times New Roman"/>
        </w:rPr>
      </w:pPr>
      <w:r w:rsidRPr="0044240A">
        <w:rPr>
          <w:rFonts w:ascii="Times New Roman" w:hAnsi="Times New Roman"/>
        </w:rPr>
        <w:t>Long</w:t>
      </w:r>
      <w:r w:rsidR="00E1516B">
        <w:rPr>
          <w:rFonts w:ascii="Times New Roman" w:hAnsi="Times New Roman"/>
        </w:rPr>
        <w:t>-term trend</w:t>
      </w:r>
      <w:r w:rsidRPr="0044240A">
        <w:rPr>
          <w:rFonts w:ascii="Times New Roman" w:hAnsi="Times New Roman"/>
        </w:rPr>
        <w:t xml:space="preserve"> analyses </w:t>
      </w:r>
      <w:r w:rsidR="00E1516B">
        <w:rPr>
          <w:rFonts w:ascii="Times New Roman" w:hAnsi="Times New Roman"/>
        </w:rPr>
        <w:t>using</w:t>
      </w:r>
      <w:r w:rsidRPr="0044240A">
        <w:rPr>
          <w:rFonts w:ascii="Times New Roman" w:hAnsi="Times New Roman"/>
        </w:rPr>
        <w:t xml:space="preserve"> </w:t>
      </w:r>
      <w:r w:rsidRPr="0044240A">
        <w:rPr>
          <w:rFonts w:ascii="Times New Roman" w:hAnsi="Times New Roman"/>
        </w:rPr>
        <w:t>Joinpoint</w:t>
      </w:r>
      <w:r w:rsidRPr="0044240A">
        <w:rPr>
          <w:rFonts w:ascii="Times New Roman" w:hAnsi="Times New Roman"/>
        </w:rPr>
        <w:t xml:space="preserve"> regression</w:t>
      </w:r>
      <w:r>
        <w:rPr>
          <w:rFonts w:ascii="Times New Roman" w:hAnsi="Times New Roman"/>
        </w:rPr>
        <w:t xml:space="preserve"> or hierarchical linear modeling</w:t>
      </w:r>
      <w:r w:rsidRPr="0044240A">
        <w:rPr>
          <w:rFonts w:ascii="Times New Roman" w:hAnsi="Times New Roman"/>
        </w:rPr>
        <w:t xml:space="preserve">. </w:t>
      </w:r>
    </w:p>
    <w:p w:rsidR="00A03BCD" w:rsidRPr="0044240A" w:rsidP="00A03BCD" w14:paraId="4750F3F0" w14:textId="1342308B">
      <w:pPr>
        <w:pStyle w:val="ListParagraph"/>
        <w:numPr>
          <w:ilvl w:val="0"/>
          <w:numId w:val="9"/>
        </w:numPr>
        <w:rPr>
          <w:rFonts w:ascii="Times New Roman" w:hAnsi="Times New Roman"/>
        </w:rPr>
      </w:pPr>
      <w:r w:rsidRPr="0044240A">
        <w:rPr>
          <w:rFonts w:ascii="Times New Roman" w:hAnsi="Times New Roman"/>
        </w:rPr>
        <w:t>Latent class analyses</w:t>
      </w:r>
      <w:r>
        <w:rPr>
          <w:rFonts w:ascii="Times New Roman" w:hAnsi="Times New Roman"/>
        </w:rPr>
        <w:t xml:space="preserve"> to look at patterns in polysubstance use by sex, </w:t>
      </w:r>
      <w:r w:rsidR="000D1309">
        <w:rPr>
          <w:rFonts w:ascii="Times New Roman" w:hAnsi="Times New Roman"/>
        </w:rPr>
        <w:t xml:space="preserve">race/ethnicity, </w:t>
      </w:r>
      <w:r>
        <w:rPr>
          <w:rFonts w:ascii="Times New Roman" w:hAnsi="Times New Roman"/>
        </w:rPr>
        <w:t>age group, and geographic location.</w:t>
      </w:r>
    </w:p>
    <w:p w:rsidR="00A03BCD" w:rsidP="00A03BCD" w14:paraId="07AB0A2B" w14:textId="0A5EBEC2">
      <w:pPr>
        <w:pStyle w:val="ListParagraph"/>
        <w:numPr>
          <w:ilvl w:val="0"/>
          <w:numId w:val="9"/>
        </w:numPr>
        <w:rPr>
          <w:rFonts w:ascii="Times New Roman" w:hAnsi="Times New Roman"/>
        </w:rPr>
      </w:pPr>
      <w:r w:rsidRPr="24181A1F">
        <w:rPr>
          <w:rFonts w:ascii="Times New Roman" w:hAnsi="Times New Roman"/>
        </w:rPr>
        <w:t xml:space="preserve">Identifying and tracking possible outbreaks within states by working with health departments to analyze trend changes in </w:t>
      </w:r>
      <w:r w:rsidRPr="24181A1F" w:rsidR="00AF58A6">
        <w:rPr>
          <w:rFonts w:ascii="Times New Roman" w:hAnsi="Times New Roman"/>
        </w:rPr>
        <w:t xml:space="preserve">all </w:t>
      </w:r>
      <w:r w:rsidRPr="24181A1F">
        <w:rPr>
          <w:rFonts w:ascii="Times New Roman" w:hAnsi="Times New Roman"/>
        </w:rPr>
        <w:t xml:space="preserve">drug, </w:t>
      </w:r>
      <w:r w:rsidRPr="24181A1F" w:rsidR="00AF58A6">
        <w:rPr>
          <w:rFonts w:ascii="Times New Roman" w:hAnsi="Times New Roman"/>
        </w:rPr>
        <w:t xml:space="preserve">all </w:t>
      </w:r>
      <w:r w:rsidRPr="24181A1F">
        <w:rPr>
          <w:rFonts w:ascii="Times New Roman" w:hAnsi="Times New Roman"/>
        </w:rPr>
        <w:t xml:space="preserve">opioid, heroin, </w:t>
      </w:r>
      <w:r w:rsidRPr="24181A1F" w:rsidR="00D6514A">
        <w:rPr>
          <w:rFonts w:ascii="Times New Roman" w:hAnsi="Times New Roman"/>
        </w:rPr>
        <w:t>fentanyl, all</w:t>
      </w:r>
      <w:r w:rsidRPr="24181A1F">
        <w:rPr>
          <w:rFonts w:ascii="Times New Roman" w:hAnsi="Times New Roman"/>
        </w:rPr>
        <w:t xml:space="preserve"> stimulant</w:t>
      </w:r>
      <w:r w:rsidRPr="24181A1F" w:rsidR="00D6514A">
        <w:rPr>
          <w:rFonts w:ascii="Times New Roman" w:hAnsi="Times New Roman"/>
        </w:rPr>
        <w:t>, methamphetamine, cocaine, benzodiazepine, or other emerging drug</w:t>
      </w:r>
      <w:r w:rsidRPr="24181A1F">
        <w:rPr>
          <w:rFonts w:ascii="Times New Roman" w:hAnsi="Times New Roman"/>
        </w:rPr>
        <w:t xml:space="preserve"> overdoses at the county or district level (e.g., districts are combinations of counties within </w:t>
      </w:r>
      <w:r w:rsidRPr="24181A1F" w:rsidR="2E55AB32">
        <w:rPr>
          <w:rFonts w:ascii="Times New Roman" w:hAnsi="Times New Roman"/>
        </w:rPr>
        <w:t xml:space="preserve">some </w:t>
      </w:r>
      <w:r w:rsidRPr="24181A1F">
        <w:rPr>
          <w:rFonts w:ascii="Times New Roman" w:hAnsi="Times New Roman"/>
        </w:rPr>
        <w:t>state</w:t>
      </w:r>
      <w:r w:rsidRPr="24181A1F" w:rsidR="26A98B31">
        <w:rPr>
          <w:rFonts w:ascii="Times New Roman" w:hAnsi="Times New Roman"/>
        </w:rPr>
        <w:t>s</w:t>
      </w:r>
      <w:r w:rsidRPr="24181A1F" w:rsidR="00DE6E23">
        <w:rPr>
          <w:rFonts w:ascii="Times New Roman" w:hAnsi="Times New Roman"/>
        </w:rPr>
        <w:t xml:space="preserve">). </w:t>
      </w:r>
      <w:r w:rsidRPr="24181A1F">
        <w:rPr>
          <w:rFonts w:ascii="Times New Roman" w:hAnsi="Times New Roman"/>
        </w:rPr>
        <w:t xml:space="preserve"> </w:t>
      </w:r>
    </w:p>
    <w:p w:rsidR="00491EC1" w:rsidRPr="0044240A" w:rsidP="00491EC1" w14:paraId="74C44D50" w14:textId="77777777">
      <w:pPr>
        <w:pStyle w:val="ListParagraph"/>
        <w:rPr>
          <w:rFonts w:ascii="Times New Roman" w:hAnsi="Times New Roman"/>
        </w:rPr>
      </w:pPr>
    </w:p>
    <w:p w:rsidR="0087540E" w:rsidP="0087540E" w14:paraId="352850C2" w14:textId="77777777">
      <w:pPr>
        <w:keepNext/>
        <w:keepLines/>
        <w:rPr>
          <w:b/>
          <w:bCs/>
          <w:sz w:val="24"/>
        </w:rPr>
      </w:pPr>
      <w:r>
        <w:rPr>
          <w:b/>
          <w:bCs/>
          <w:sz w:val="24"/>
        </w:rPr>
        <w:t>Estimation Procedures</w:t>
      </w:r>
    </w:p>
    <w:p w:rsidR="0087540E" w:rsidP="0087540E" w14:paraId="66AEEC81" w14:textId="77777777">
      <w:pPr>
        <w:keepNext/>
        <w:keepLines/>
        <w:rPr>
          <w:b/>
          <w:bCs/>
          <w:sz w:val="24"/>
        </w:rPr>
      </w:pPr>
    </w:p>
    <w:p w:rsidR="00411EC6" w:rsidP="00C9004A" w14:paraId="16E0C533" w14:textId="77777777">
      <w:pPr>
        <w:pStyle w:val="BodyText2"/>
      </w:pPr>
      <w:r>
        <w:t>The data collection will not use</w:t>
      </w:r>
      <w:r w:rsidRPr="00AA0294">
        <w:t xml:space="preserve"> statistical weighting</w:t>
      </w:r>
      <w:r>
        <w:t xml:space="preserve"> because</w:t>
      </w:r>
      <w:r>
        <w:t>:</w:t>
      </w:r>
    </w:p>
    <w:p w:rsidR="00411EC6" w:rsidP="00411EC6" w14:paraId="31042F11" w14:textId="74148E4B">
      <w:pPr>
        <w:pStyle w:val="BodyText2"/>
        <w:numPr>
          <w:ilvl w:val="0"/>
          <w:numId w:val="16"/>
        </w:numPr>
      </w:pPr>
      <w:r>
        <w:t xml:space="preserve">The census </w:t>
      </w:r>
      <w:r w:rsidR="00437B24">
        <w:t xml:space="preserve">aims to </w:t>
      </w:r>
      <w:r w:rsidR="65F8CF66">
        <w:t xml:space="preserve">include </w:t>
      </w:r>
      <w:r w:rsidR="2DE5F3C0">
        <w:t xml:space="preserve">a </w:t>
      </w:r>
      <w:r w:rsidR="6A0EA9DD">
        <w:t xml:space="preserve">minimum </w:t>
      </w:r>
      <w:r w:rsidR="65F8CF66">
        <w:t xml:space="preserve">of </w:t>
      </w:r>
      <w:r w:rsidR="00437B24">
        <w:t>80</w:t>
      </w:r>
      <w:r w:rsidR="6A0EA9DD">
        <w:t>%</w:t>
      </w:r>
      <w:r w:rsidR="368C8308">
        <w:t xml:space="preserve"> of </w:t>
      </w:r>
      <w:r w:rsidR="65F8CF66">
        <w:t xml:space="preserve">all </w:t>
      </w:r>
      <w:r w:rsidR="368C8308">
        <w:t xml:space="preserve">ED </w:t>
      </w:r>
      <w:r w:rsidR="0083624A">
        <w:t xml:space="preserve">or hospital facilities, representing the majority of </w:t>
      </w:r>
      <w:r w:rsidR="000D4065">
        <w:t>facilitie</w:t>
      </w:r>
      <w:r w:rsidR="0045004C">
        <w:t>s in participating states.</w:t>
      </w:r>
      <w:r w:rsidR="6230B4F2">
        <w:t xml:space="preserve"> </w:t>
      </w:r>
      <w:r w:rsidR="3F5646A1">
        <w:t>At present (</w:t>
      </w:r>
      <w:r w:rsidR="00EE09A9">
        <w:t>March 2025</w:t>
      </w:r>
      <w:r w:rsidR="00D37D0E">
        <w:t>, covering Jan. 2025 data</w:t>
      </w:r>
      <w:r w:rsidR="3F5646A1">
        <w:t>), the DOSE</w:t>
      </w:r>
      <w:r w:rsidR="00D9410B">
        <w:t>-S</w:t>
      </w:r>
      <w:r w:rsidR="780D590A">
        <w:t>Y</w:t>
      </w:r>
      <w:r w:rsidR="00D9410B">
        <w:t>S</w:t>
      </w:r>
      <w:r w:rsidR="3F5646A1">
        <w:t xml:space="preserve"> system captures, on average,</w:t>
      </w:r>
      <w:r w:rsidR="00D9410B">
        <w:t xml:space="preserve"> approximately 92.8</w:t>
      </w:r>
      <w:r w:rsidR="3F5646A1">
        <w:t>% of ED visits in 4</w:t>
      </w:r>
      <w:r w:rsidR="00D9410B">
        <w:t>6</w:t>
      </w:r>
      <w:r w:rsidR="3F5646A1">
        <w:t xml:space="preserve"> states and the District of Columbia</w:t>
      </w:r>
      <w:r w:rsidR="00FF60E0">
        <w:t>.</w:t>
      </w:r>
      <w:r w:rsidR="00D9410B">
        <w:t xml:space="preserve"> </w:t>
      </w:r>
      <w:r w:rsidR="00C52233">
        <w:t>As of Mar. 2025 (covering 2023 data), t</w:t>
      </w:r>
      <w:r w:rsidR="00D9410B">
        <w:t xml:space="preserve">he DOSE-DIS system captures, on average, </w:t>
      </w:r>
      <w:r w:rsidRPr="00C7391C" w:rsidR="00FF60E0">
        <w:rPr>
          <w:rFonts w:eastAsia="Calibri"/>
          <w:color w:val="000000" w:themeColor="text1"/>
        </w:rPr>
        <w:t xml:space="preserve">95.7% of ED facilities in </w:t>
      </w:r>
      <w:r w:rsidRPr="00363171" w:rsidR="00FF60E0">
        <w:rPr>
          <w:rFonts w:eastAsia="Calibri"/>
          <w:color w:val="000000" w:themeColor="text1"/>
        </w:rPr>
        <w:t>30</w:t>
      </w:r>
      <w:r w:rsidRPr="00C7391C" w:rsidR="00FF60E0">
        <w:rPr>
          <w:rFonts w:eastAsia="Calibri"/>
          <w:color w:val="000000" w:themeColor="text1"/>
        </w:rPr>
        <w:t xml:space="preserve"> </w:t>
      </w:r>
      <w:r w:rsidR="00C52233">
        <w:rPr>
          <w:rFonts w:eastAsia="Calibri"/>
          <w:color w:val="000000" w:themeColor="text1"/>
        </w:rPr>
        <w:t>jurisdictions</w:t>
      </w:r>
      <w:r w:rsidRPr="00363171" w:rsidR="00FF60E0">
        <w:rPr>
          <w:rFonts w:eastAsia="Calibri"/>
          <w:color w:val="000000" w:themeColor="text1"/>
        </w:rPr>
        <w:t xml:space="preserve"> </w:t>
      </w:r>
      <w:r w:rsidR="00FF60E0">
        <w:rPr>
          <w:rFonts w:eastAsia="Calibri"/>
          <w:color w:val="000000" w:themeColor="text1"/>
        </w:rPr>
        <w:t>and</w:t>
      </w:r>
      <w:r w:rsidRPr="00363171" w:rsidR="00FF60E0">
        <w:t xml:space="preserve"> </w:t>
      </w:r>
      <w:r w:rsidRPr="00C7391C" w:rsidR="00FF60E0">
        <w:rPr>
          <w:rFonts w:eastAsia="Calibri"/>
          <w:color w:val="000000" w:themeColor="text1"/>
        </w:rPr>
        <w:t xml:space="preserve">94.3% of inpatient hospital facilities in </w:t>
      </w:r>
      <w:r w:rsidRPr="00363171" w:rsidR="00FF60E0">
        <w:rPr>
          <w:rFonts w:eastAsia="Calibri"/>
          <w:color w:val="000000" w:themeColor="text1"/>
        </w:rPr>
        <w:t>34</w:t>
      </w:r>
      <w:r w:rsidRPr="00C7391C" w:rsidR="00FF60E0">
        <w:rPr>
          <w:rFonts w:eastAsia="Calibri"/>
          <w:color w:val="000000" w:themeColor="text1"/>
        </w:rPr>
        <w:t xml:space="preserve"> </w:t>
      </w:r>
      <w:r w:rsidR="00C52233">
        <w:rPr>
          <w:rFonts w:eastAsia="Calibri"/>
          <w:color w:val="000000" w:themeColor="text1"/>
        </w:rPr>
        <w:t>jurisdictions</w:t>
      </w:r>
    </w:p>
    <w:p w:rsidR="00B13F2E" w:rsidP="003C5B94" w14:paraId="5F63DE16" w14:textId="5E93ED5C">
      <w:pPr>
        <w:pStyle w:val="BodyText2"/>
        <w:numPr>
          <w:ilvl w:val="0"/>
          <w:numId w:val="16"/>
        </w:numPr>
        <w:spacing w:line="259" w:lineRule="auto"/>
      </w:pPr>
      <w:r>
        <w:t xml:space="preserve">The primary </w:t>
      </w:r>
      <w:r w:rsidR="323EB23C">
        <w:t>aim</w:t>
      </w:r>
      <w:r w:rsidR="79E42658">
        <w:t xml:space="preserve"> </w:t>
      </w:r>
      <w:r>
        <w:t>of DOSE</w:t>
      </w:r>
      <w:r w:rsidR="2F7E5A98">
        <w:t>-</w:t>
      </w:r>
      <w:r w:rsidR="5885350B">
        <w:t>S</w:t>
      </w:r>
      <w:r w:rsidR="6B667E8F">
        <w:t>Y</w:t>
      </w:r>
      <w:r w:rsidR="5885350B">
        <w:t>S</w:t>
      </w:r>
      <w:r>
        <w:t xml:space="preserve"> is to</w:t>
      </w:r>
      <w:r w:rsidR="1A0785D1">
        <w:t xml:space="preserve"> provide timely data on </w:t>
      </w:r>
      <w:r w:rsidR="6BDE851F">
        <w:t xml:space="preserve">suspected </w:t>
      </w:r>
      <w:r w:rsidR="1A0785D1">
        <w:t xml:space="preserve">nonfatal overdoses treated in emergency departments, enabling </w:t>
      </w:r>
      <w:r w:rsidR="5C3BA376">
        <w:t>the detection</w:t>
      </w:r>
      <w:r w:rsidR="07E162FF">
        <w:t xml:space="preserve"> of</w:t>
      </w:r>
      <w:r>
        <w:t xml:space="preserve"> rapid changes over time </w:t>
      </w:r>
      <w:r w:rsidR="42186813">
        <w:t>with</w:t>
      </w:r>
      <w:r>
        <w:t>in participating hospitals</w:t>
      </w:r>
      <w:r w:rsidR="18A825AD">
        <w:t>/jurisdictions</w:t>
      </w:r>
      <w:r>
        <w:t xml:space="preserve"> </w:t>
      </w:r>
      <w:r w:rsidR="7D021DE1">
        <w:t>in li</w:t>
      </w:r>
      <w:r w:rsidR="43FF3155">
        <w:t>e</w:t>
      </w:r>
      <w:r w:rsidR="7D021DE1">
        <w:t xml:space="preserve">u </w:t>
      </w:r>
      <w:r w:rsidR="7DD272F6">
        <w:t>of estimating the incidence of drug overdose</w:t>
      </w:r>
      <w:r w:rsidR="08BC3EEB">
        <w:t xml:space="preserve"> through estimation procedures</w:t>
      </w:r>
      <w:r w:rsidR="5EF71126">
        <w:t xml:space="preserve">. </w:t>
      </w:r>
      <w:r w:rsidR="334537AA">
        <w:t>A critical focus of DOSE-S</w:t>
      </w:r>
      <w:r w:rsidR="3B583FEF">
        <w:t>Y</w:t>
      </w:r>
      <w:r w:rsidR="334537AA">
        <w:t>S</w:t>
      </w:r>
      <w:r w:rsidR="41FD6BCB">
        <w:t xml:space="preserve"> is to identify overdose anomalies or outbreaks and changes in trends</w:t>
      </w:r>
      <w:r w:rsidR="7BC0ACAF">
        <w:t xml:space="preserve"> (situational awareness)</w:t>
      </w:r>
      <w:r w:rsidR="3DA2E59B">
        <w:t xml:space="preserve"> which in turn </w:t>
      </w:r>
      <w:r w:rsidR="43C605A3">
        <w:t xml:space="preserve">can </w:t>
      </w:r>
      <w:r w:rsidR="3DA2E59B">
        <w:t xml:space="preserve">inform drug overdose response and </w:t>
      </w:r>
      <w:r w:rsidR="50D5871B">
        <w:t>prevention</w:t>
      </w:r>
      <w:r w:rsidR="3DA2E59B">
        <w:t xml:space="preserve"> activities. </w:t>
      </w:r>
      <w:r w:rsidR="2F5726C5">
        <w:t xml:space="preserve">In order to achieve these goals, regional and state surveillance staff need to be able to track and validate large changes in suspected drug overdoses at different geographic levels and by different drug types to examine what is driving fluctuations. </w:t>
      </w:r>
      <w:r w:rsidR="5EF71126">
        <w:t>In contrast</w:t>
      </w:r>
      <w:r w:rsidR="2F7E5A98">
        <w:t>, DOSE-D</w:t>
      </w:r>
      <w:r w:rsidR="5885350B">
        <w:t>IS</w:t>
      </w:r>
      <w:r w:rsidR="2F7E5A98">
        <w:t xml:space="preserve"> surveillance </w:t>
      </w:r>
      <w:r w:rsidR="040CCA2C">
        <w:t>offers</w:t>
      </w:r>
      <w:r w:rsidR="2F7E5A98">
        <w:t xml:space="preserve"> </w:t>
      </w:r>
      <w:r w:rsidR="0C4EA7C4">
        <w:t xml:space="preserve">a </w:t>
      </w:r>
      <w:r w:rsidR="504586A4">
        <w:t>comprehensive</w:t>
      </w:r>
      <w:r w:rsidR="6B2C1C94">
        <w:t xml:space="preserve"> </w:t>
      </w:r>
      <w:r w:rsidR="4966D198">
        <w:t xml:space="preserve">understanding </w:t>
      </w:r>
      <w:r w:rsidR="25A680EF">
        <w:t>on</w:t>
      </w:r>
      <w:r w:rsidRPr="4DD0F8E9" w:rsidR="2C20F3F5">
        <w:rPr>
          <w:lang w:val="en"/>
        </w:rPr>
        <w:t xml:space="preserve"> the burden </w:t>
      </w:r>
      <w:r w:rsidRPr="4DD0F8E9" w:rsidR="74D86A93">
        <w:rPr>
          <w:lang w:val="en"/>
        </w:rPr>
        <w:t xml:space="preserve">(counts, rates) </w:t>
      </w:r>
      <w:r w:rsidRPr="4DD0F8E9" w:rsidR="2C20F3F5">
        <w:rPr>
          <w:lang w:val="en"/>
        </w:rPr>
        <w:t>of</w:t>
      </w:r>
      <w:r w:rsidRPr="4DD0F8E9" w:rsidR="059CEC41">
        <w:rPr>
          <w:lang w:val="en"/>
        </w:rPr>
        <w:t>, and long-term trends in,</w:t>
      </w:r>
      <w:r w:rsidRPr="4DD0F8E9" w:rsidR="2C20F3F5">
        <w:rPr>
          <w:lang w:val="en"/>
        </w:rPr>
        <w:t xml:space="preserve"> </w:t>
      </w:r>
      <w:r w:rsidRPr="4DD0F8E9" w:rsidR="74D86A93">
        <w:rPr>
          <w:lang w:val="en"/>
        </w:rPr>
        <w:t>nonfatal</w:t>
      </w:r>
      <w:r w:rsidRPr="4DD0F8E9" w:rsidR="2C20F3F5">
        <w:rPr>
          <w:lang w:val="en"/>
        </w:rPr>
        <w:t xml:space="preserve"> drug overdose</w:t>
      </w:r>
      <w:r w:rsidRPr="4DD0F8E9" w:rsidR="0088BA24">
        <w:rPr>
          <w:lang w:val="en"/>
        </w:rPr>
        <w:t>-</w:t>
      </w:r>
      <w:r w:rsidRPr="4DD0F8E9" w:rsidR="2C20F3F5">
        <w:rPr>
          <w:lang w:val="en"/>
        </w:rPr>
        <w:t>related ED/</w:t>
      </w:r>
      <w:r w:rsidRPr="4DD0F8E9" w:rsidR="0088BA24">
        <w:rPr>
          <w:lang w:val="en"/>
        </w:rPr>
        <w:t xml:space="preserve">inpatient </w:t>
      </w:r>
      <w:r w:rsidRPr="4DD0F8E9" w:rsidR="2C20F3F5">
        <w:rPr>
          <w:lang w:val="en"/>
        </w:rPr>
        <w:t>hospitalization visits</w:t>
      </w:r>
      <w:r w:rsidRPr="4DD0F8E9" w:rsidR="795D3FC1">
        <w:rPr>
          <w:lang w:val="en"/>
        </w:rPr>
        <w:t xml:space="preserve"> </w:t>
      </w:r>
      <w:r w:rsidRPr="4DD0F8E9" w:rsidR="3F909E14">
        <w:rPr>
          <w:lang w:val="en"/>
        </w:rPr>
        <w:t xml:space="preserve">by geographic (state, county) and </w:t>
      </w:r>
      <w:r w:rsidRPr="4DD0F8E9" w:rsidR="00CF673E">
        <w:rPr>
          <w:lang w:val="en"/>
        </w:rPr>
        <w:t>demographic</w:t>
      </w:r>
      <w:r w:rsidRPr="4DD0F8E9" w:rsidR="3F909E14">
        <w:rPr>
          <w:lang w:val="en"/>
        </w:rPr>
        <w:t xml:space="preserve"> </w:t>
      </w:r>
      <w:r w:rsidRPr="4DD0F8E9" w:rsidR="00CF673E">
        <w:rPr>
          <w:lang w:val="en"/>
        </w:rPr>
        <w:t>factors</w:t>
      </w:r>
      <w:r w:rsidRPr="4DD0F8E9" w:rsidR="3F909E14">
        <w:rPr>
          <w:lang w:val="en"/>
        </w:rPr>
        <w:t xml:space="preserve"> using finalized diagnosis codes</w:t>
      </w:r>
      <w:r w:rsidRPr="4DD0F8E9" w:rsidR="056A41AB">
        <w:rPr>
          <w:lang w:val="en"/>
        </w:rPr>
        <w:t xml:space="preserve">. </w:t>
      </w:r>
      <w:r w:rsidRPr="4DD0F8E9" w:rsidR="39B0AD87">
        <w:rPr>
          <w:lang w:val="en"/>
        </w:rPr>
        <w:t xml:space="preserve">This includes insights into co-occurring conditions, </w:t>
      </w:r>
      <w:r w:rsidRPr="4DD0F8E9" w:rsidR="7342E14C">
        <w:rPr>
          <w:lang w:val="en"/>
        </w:rPr>
        <w:t>including</w:t>
      </w:r>
      <w:r w:rsidRPr="4DD0F8E9" w:rsidR="259560AE">
        <w:rPr>
          <w:lang w:val="en"/>
        </w:rPr>
        <w:t xml:space="preserve"> underlying conditions or </w:t>
      </w:r>
      <w:r w:rsidRPr="4DD0F8E9" w:rsidR="39B0AD87">
        <w:rPr>
          <w:lang w:val="en"/>
        </w:rPr>
        <w:t>substance-related</w:t>
      </w:r>
      <w:r w:rsidRPr="4DD0F8E9" w:rsidR="0A9350B1">
        <w:rPr>
          <w:lang w:val="en"/>
        </w:rPr>
        <w:t xml:space="preserve"> complications</w:t>
      </w:r>
      <w:r w:rsidRPr="4DD0F8E9" w:rsidR="2DCA7895">
        <w:rPr>
          <w:lang w:val="en"/>
        </w:rPr>
        <w:t>, which can provide a deeper understanding of overdose risks and patient outcomes.</w:t>
      </w:r>
      <w:r w:rsidRPr="4DD0F8E9" w:rsidR="0A9350B1">
        <w:rPr>
          <w:lang w:val="en"/>
        </w:rPr>
        <w:t xml:space="preserve"> </w:t>
      </w:r>
      <w:r w:rsidRPr="4DD0F8E9" w:rsidR="5D080385">
        <w:rPr>
          <w:lang w:val="en"/>
        </w:rPr>
        <w:t>Such information</w:t>
      </w:r>
      <w:r w:rsidRPr="4DD0F8E9" w:rsidR="5EEB2017">
        <w:rPr>
          <w:lang w:val="en"/>
        </w:rPr>
        <w:t xml:space="preserve"> may also inform drug overdose response and prevention</w:t>
      </w:r>
      <w:r w:rsidRPr="4DD0F8E9" w:rsidR="7B2E4FB0">
        <w:rPr>
          <w:lang w:val="en"/>
        </w:rPr>
        <w:t xml:space="preserve"> (and even evaluation)</w:t>
      </w:r>
      <w:r w:rsidRPr="4DD0F8E9" w:rsidR="5EEB2017">
        <w:rPr>
          <w:lang w:val="en"/>
        </w:rPr>
        <w:t xml:space="preserve"> </w:t>
      </w:r>
      <w:r w:rsidRPr="4DD0F8E9" w:rsidR="5EEB2017">
        <w:rPr>
          <w:lang w:val="en"/>
        </w:rPr>
        <w:t>activities</w:t>
      </w:r>
      <w:r w:rsidRPr="4DD0F8E9" w:rsidR="6658CEB4">
        <w:rPr>
          <w:lang w:val="en"/>
        </w:rPr>
        <w:t xml:space="preserve">. </w:t>
      </w:r>
      <w:r>
        <w:t>Consequently, the key concern is monitoring for substantial change</w:t>
      </w:r>
      <w:r w:rsidR="2DE52AB9">
        <w:t>s in ED</w:t>
      </w:r>
      <w:r w:rsidR="4E1229FD">
        <w:t>/hospital</w:t>
      </w:r>
      <w:r w:rsidR="2DE52AB9">
        <w:t xml:space="preserve"> participation </w:t>
      </w:r>
      <w:r>
        <w:t>or data quality over time</w:t>
      </w:r>
      <w:r w:rsidR="7DD272F6">
        <w:t xml:space="preserve"> tha</w:t>
      </w:r>
      <w:r w:rsidR="031EB9EC">
        <w:t>t would bias detection of outbreaks or changes</w:t>
      </w:r>
      <w:r w:rsidR="7DD272F6">
        <w:t xml:space="preserve"> in </w:t>
      </w:r>
      <w:r w:rsidR="026D1FFF">
        <w:t xml:space="preserve">nonfatal </w:t>
      </w:r>
      <w:r w:rsidR="1E8BEE98">
        <w:t xml:space="preserve">all </w:t>
      </w:r>
      <w:r w:rsidR="7DD272F6">
        <w:t xml:space="preserve">drug, </w:t>
      </w:r>
      <w:r w:rsidR="1E8BEE98">
        <w:t xml:space="preserve">all </w:t>
      </w:r>
      <w:r w:rsidR="7DD272F6">
        <w:t>opioid, heroin</w:t>
      </w:r>
      <w:r w:rsidR="08BC3EEB">
        <w:t>,</w:t>
      </w:r>
      <w:r w:rsidR="1E8BEE98">
        <w:t xml:space="preserve"> fentanyl, all</w:t>
      </w:r>
      <w:r w:rsidR="08BC3EEB">
        <w:t xml:space="preserve"> stimulant</w:t>
      </w:r>
      <w:r w:rsidR="1E8BEE98">
        <w:t xml:space="preserve">, cocaine, methamphetamine, or </w:t>
      </w:r>
      <w:r w:rsidR="362907A9">
        <w:t>benzodiazepine</w:t>
      </w:r>
      <w:r w:rsidR="15BD6483">
        <w:t xml:space="preserve"> </w:t>
      </w:r>
      <w:r w:rsidR="08BC3EEB">
        <w:t xml:space="preserve">overdoses (See </w:t>
      </w:r>
      <w:r w:rsidRPr="4DD0F8E9" w:rsidR="08BC3EEB">
        <w:rPr>
          <w:b/>
          <w:bCs/>
        </w:rPr>
        <w:t>Unusual Problems</w:t>
      </w:r>
      <w:r w:rsidR="08BC3EEB">
        <w:t xml:space="preserve"> </w:t>
      </w:r>
      <w:r w:rsidR="0864A4C3">
        <w:t xml:space="preserve">for a description for how DOSE works to </w:t>
      </w:r>
      <w:r w:rsidR="57102000">
        <w:t>track and respond to this potential bias</w:t>
      </w:r>
      <w:r w:rsidR="4A7A53F3">
        <w:t>)</w:t>
      </w:r>
      <w:r w:rsidR="57102000">
        <w:t>.</w:t>
      </w:r>
    </w:p>
    <w:p w:rsidR="0087540E" w:rsidP="0087540E" w14:paraId="16E62E8B" w14:textId="77777777">
      <w:pPr>
        <w:rPr>
          <w:sz w:val="24"/>
        </w:rPr>
      </w:pPr>
    </w:p>
    <w:p w:rsidR="0087540E" w:rsidP="0087540E" w14:paraId="17945667" w14:textId="77777777">
      <w:pPr>
        <w:rPr>
          <w:sz w:val="24"/>
        </w:rPr>
      </w:pPr>
      <w:r>
        <w:rPr>
          <w:b/>
          <w:bCs/>
          <w:sz w:val="24"/>
        </w:rPr>
        <w:t>Degree of Accuracy</w:t>
      </w:r>
      <w:r>
        <w:tab/>
      </w:r>
    </w:p>
    <w:p w:rsidR="0087540E" w:rsidP="0087540E" w14:paraId="30C360F8" w14:textId="77777777">
      <w:pPr>
        <w:rPr>
          <w:sz w:val="24"/>
        </w:rPr>
      </w:pPr>
    </w:p>
    <w:p w:rsidR="0087540E" w:rsidP="0087540E" w14:paraId="526BE2BC" w14:textId="77777777">
      <w:pPr>
        <w:rPr>
          <w:sz w:val="24"/>
        </w:rPr>
      </w:pPr>
      <w:r>
        <w:rPr>
          <w:sz w:val="24"/>
        </w:rPr>
        <w:t>This issue does not apply to this methodology.</w:t>
      </w:r>
    </w:p>
    <w:p w:rsidR="0087540E" w:rsidP="0087540E" w14:paraId="0FE61B92" w14:textId="77777777">
      <w:pPr>
        <w:rPr>
          <w:b/>
          <w:bCs/>
          <w:sz w:val="24"/>
        </w:rPr>
      </w:pPr>
    </w:p>
    <w:p w:rsidR="0087540E" w:rsidP="0087540E" w14:paraId="09BC5847" w14:textId="77777777">
      <w:pPr>
        <w:rPr>
          <w:sz w:val="24"/>
        </w:rPr>
      </w:pPr>
      <w:r>
        <w:rPr>
          <w:b/>
          <w:bCs/>
          <w:sz w:val="24"/>
        </w:rPr>
        <w:t>Unusual Problems</w:t>
      </w:r>
    </w:p>
    <w:p w:rsidR="0087540E" w:rsidRPr="002B2D51" w:rsidP="0087540E" w14:paraId="467117EA" w14:textId="3AE19D80">
      <w:pPr>
        <w:rPr>
          <w:sz w:val="24"/>
        </w:rPr>
      </w:pPr>
    </w:p>
    <w:p w:rsidR="002B2D51" w:rsidRPr="00B55964" w:rsidP="42B40EA3" w14:paraId="662E6AA9" w14:textId="58526CB5">
      <w:pPr>
        <w:outlineLvl w:val="0"/>
        <w:rPr>
          <w:sz w:val="24"/>
        </w:rPr>
      </w:pPr>
      <w:r w:rsidRPr="42B40EA3">
        <w:rPr>
          <w:sz w:val="24"/>
        </w:rPr>
        <w:t xml:space="preserve">ED syndromic systems are designed to collect rapid preliminary data on </w:t>
      </w:r>
      <w:r w:rsidRPr="42B40EA3" w:rsidR="00196DEB">
        <w:rPr>
          <w:sz w:val="24"/>
        </w:rPr>
        <w:t>trend</w:t>
      </w:r>
      <w:r w:rsidRPr="42B40EA3">
        <w:rPr>
          <w:sz w:val="24"/>
        </w:rPr>
        <w:t>s in illness and injuries</w:t>
      </w:r>
      <w:r w:rsidRPr="42B40EA3" w:rsidR="5E92D425">
        <w:rPr>
          <w:sz w:val="24"/>
        </w:rPr>
        <w:t>,</w:t>
      </w:r>
      <w:r w:rsidRPr="42B40EA3">
        <w:rPr>
          <w:sz w:val="24"/>
        </w:rPr>
        <w:t xml:space="preserve"> such as drug overdose. These systems, however, </w:t>
      </w:r>
      <w:r w:rsidRPr="42B40EA3" w:rsidR="00843AC1">
        <w:rPr>
          <w:sz w:val="24"/>
        </w:rPr>
        <w:t>may</w:t>
      </w:r>
      <w:r w:rsidRPr="42B40EA3">
        <w:rPr>
          <w:sz w:val="24"/>
        </w:rPr>
        <w:t xml:space="preserve"> not provide an accurate estimate of the full burden of illnesses and injuries because they are based on preliminary data. DOSE addresses this</w:t>
      </w:r>
      <w:r w:rsidRPr="42B40EA3" w:rsidR="0016472C">
        <w:rPr>
          <w:sz w:val="24"/>
        </w:rPr>
        <w:t xml:space="preserve"> limitation</w:t>
      </w:r>
      <w:r w:rsidRPr="42B40EA3" w:rsidR="008D03A9">
        <w:rPr>
          <w:sz w:val="24"/>
        </w:rPr>
        <w:t xml:space="preserve"> in </w:t>
      </w:r>
      <w:r w:rsidRPr="42B40EA3" w:rsidR="0016472C">
        <w:rPr>
          <w:sz w:val="24"/>
        </w:rPr>
        <w:t xml:space="preserve">the </w:t>
      </w:r>
      <w:r w:rsidRPr="42B40EA3" w:rsidR="008D03A9">
        <w:rPr>
          <w:sz w:val="24"/>
        </w:rPr>
        <w:t xml:space="preserve">following </w:t>
      </w:r>
      <w:r w:rsidRPr="42B40EA3">
        <w:rPr>
          <w:sz w:val="24"/>
        </w:rPr>
        <w:t>ways:</w:t>
      </w:r>
    </w:p>
    <w:p w:rsidR="000D5FB4" w:rsidRPr="00795025" w:rsidP="257ED39A" w14:paraId="0D22DA78" w14:textId="0F0BF09F">
      <w:pPr>
        <w:pStyle w:val="ListParagraph"/>
        <w:numPr>
          <w:ilvl w:val="0"/>
          <w:numId w:val="8"/>
        </w:numPr>
        <w:outlineLvl w:val="0"/>
        <w:rPr>
          <w:rFonts w:ascii="Times New Roman" w:hAnsi="Times New Roman"/>
        </w:rPr>
      </w:pPr>
      <w:r w:rsidRPr="335EAEC3">
        <w:rPr>
          <w:rFonts w:ascii="Times New Roman" w:hAnsi="Times New Roman"/>
        </w:rPr>
        <w:t>CDC analyses</w:t>
      </w:r>
      <w:r w:rsidRPr="335EAEC3" w:rsidR="00A9590F">
        <w:rPr>
          <w:rFonts w:ascii="Times New Roman" w:hAnsi="Times New Roman"/>
        </w:rPr>
        <w:t xml:space="preserve"> using DOSE-S</w:t>
      </w:r>
      <w:r w:rsidR="00144958">
        <w:rPr>
          <w:rFonts w:ascii="Times New Roman" w:hAnsi="Times New Roman"/>
        </w:rPr>
        <w:t>Y</w:t>
      </w:r>
      <w:r w:rsidRPr="335EAEC3" w:rsidR="00A9590F">
        <w:rPr>
          <w:rFonts w:ascii="Times New Roman" w:hAnsi="Times New Roman"/>
        </w:rPr>
        <w:t>S</w:t>
      </w:r>
      <w:r w:rsidRPr="335EAEC3">
        <w:rPr>
          <w:rFonts w:ascii="Times New Roman" w:hAnsi="Times New Roman"/>
        </w:rPr>
        <w:t xml:space="preserve"> </w:t>
      </w:r>
      <w:r w:rsidRPr="335EAEC3" w:rsidR="003B2C94">
        <w:rPr>
          <w:rFonts w:ascii="Times New Roman" w:hAnsi="Times New Roman"/>
        </w:rPr>
        <w:t xml:space="preserve">data </w:t>
      </w:r>
      <w:r w:rsidRPr="335EAEC3">
        <w:rPr>
          <w:rFonts w:ascii="Times New Roman" w:hAnsi="Times New Roman"/>
        </w:rPr>
        <w:t xml:space="preserve">will primarily focus on detecting outbreaks and changes </w:t>
      </w:r>
      <w:r w:rsidRPr="335EAEC3" w:rsidR="003B2C94">
        <w:rPr>
          <w:rFonts w:ascii="Times New Roman" w:hAnsi="Times New Roman"/>
        </w:rPr>
        <w:t>in trends of</w:t>
      </w:r>
      <w:r w:rsidRPr="335EAEC3">
        <w:rPr>
          <w:rFonts w:ascii="Times New Roman" w:hAnsi="Times New Roman"/>
        </w:rPr>
        <w:t xml:space="preserve"> </w:t>
      </w:r>
      <w:r w:rsidRPr="335EAEC3" w:rsidR="5C246CFB">
        <w:rPr>
          <w:rFonts w:ascii="Times New Roman" w:hAnsi="Times New Roman"/>
        </w:rPr>
        <w:t>all</w:t>
      </w:r>
      <w:r w:rsidRPr="335EAEC3" w:rsidR="6B6969F5">
        <w:rPr>
          <w:rFonts w:ascii="Times New Roman" w:hAnsi="Times New Roman"/>
        </w:rPr>
        <w:t xml:space="preserve"> </w:t>
      </w:r>
      <w:r w:rsidRPr="335EAEC3" w:rsidR="467C599D">
        <w:rPr>
          <w:rFonts w:ascii="Times New Roman" w:hAnsi="Times New Roman"/>
        </w:rPr>
        <w:t xml:space="preserve">drug, </w:t>
      </w:r>
      <w:r w:rsidRPr="335EAEC3" w:rsidR="1E31B768">
        <w:rPr>
          <w:rFonts w:ascii="Times New Roman" w:hAnsi="Times New Roman"/>
        </w:rPr>
        <w:t xml:space="preserve">all </w:t>
      </w:r>
      <w:r w:rsidRPr="335EAEC3" w:rsidR="467C599D">
        <w:rPr>
          <w:rFonts w:ascii="Times New Roman" w:hAnsi="Times New Roman"/>
        </w:rPr>
        <w:t>opioid, heroin, fentanyl, all stimulant, cocaine, methamphetamine, benzodiazepine, and other emerging drug</w:t>
      </w:r>
      <w:r w:rsidRPr="335EAEC3" w:rsidR="0E5AE448">
        <w:rPr>
          <w:rFonts w:ascii="Times New Roman" w:hAnsi="Times New Roman"/>
        </w:rPr>
        <w:t xml:space="preserve"> </w:t>
      </w:r>
      <w:r w:rsidRPr="335EAEC3">
        <w:rPr>
          <w:rFonts w:ascii="Times New Roman" w:hAnsi="Times New Roman"/>
        </w:rPr>
        <w:t xml:space="preserve">overdoses to inform response. </w:t>
      </w:r>
      <w:r w:rsidRPr="335EAEC3" w:rsidR="0086419F">
        <w:rPr>
          <w:rFonts w:ascii="Times New Roman" w:hAnsi="Times New Roman"/>
        </w:rPr>
        <w:t>A</w:t>
      </w:r>
      <w:r w:rsidRPr="335EAEC3">
        <w:rPr>
          <w:rFonts w:ascii="Times New Roman" w:hAnsi="Times New Roman"/>
        </w:rPr>
        <w:t xml:space="preserve"> key </w:t>
      </w:r>
      <w:r w:rsidRPr="335EAEC3" w:rsidR="0086419F">
        <w:rPr>
          <w:rFonts w:ascii="Times New Roman" w:hAnsi="Times New Roman"/>
        </w:rPr>
        <w:t>aim</w:t>
      </w:r>
      <w:r w:rsidRPr="335EAEC3">
        <w:rPr>
          <w:rFonts w:ascii="Times New Roman" w:hAnsi="Times New Roman"/>
        </w:rPr>
        <w:t xml:space="preserve"> is to detect </w:t>
      </w:r>
      <w:r w:rsidRPr="335EAEC3" w:rsidR="009A19D9">
        <w:rPr>
          <w:rFonts w:ascii="Times New Roman" w:hAnsi="Times New Roman"/>
        </w:rPr>
        <w:t xml:space="preserve">relative burden (i.e., </w:t>
      </w:r>
      <w:r w:rsidRPr="335EAEC3" w:rsidR="41438C49">
        <w:rPr>
          <w:rFonts w:ascii="Times New Roman" w:hAnsi="Times New Roman"/>
        </w:rPr>
        <w:t>suspected overdoses per 10,000 ED visits</w:t>
      </w:r>
      <w:r w:rsidRPr="335EAEC3" w:rsidR="009A19D9">
        <w:rPr>
          <w:rFonts w:ascii="Times New Roman" w:hAnsi="Times New Roman"/>
        </w:rPr>
        <w:t>) of overdose over time</w:t>
      </w:r>
      <w:r w:rsidRPr="335EAEC3">
        <w:rPr>
          <w:rFonts w:ascii="Times New Roman" w:hAnsi="Times New Roman"/>
        </w:rPr>
        <w:t xml:space="preserve"> </w:t>
      </w:r>
      <w:r w:rsidRPr="335EAEC3" w:rsidR="19B28EB9">
        <w:rPr>
          <w:rFonts w:ascii="Times New Roman" w:hAnsi="Times New Roman"/>
        </w:rPr>
        <w:t xml:space="preserve">and not comparing </w:t>
      </w:r>
      <w:r w:rsidRPr="335EAEC3" w:rsidR="1DCEE98E">
        <w:rPr>
          <w:rFonts w:ascii="Times New Roman" w:hAnsi="Times New Roman"/>
        </w:rPr>
        <w:t>absolute counts of overdose</w:t>
      </w:r>
      <w:r w:rsidRPr="335EAEC3" w:rsidR="19B28EB9">
        <w:rPr>
          <w:rFonts w:ascii="Times New Roman" w:hAnsi="Times New Roman"/>
        </w:rPr>
        <w:t xml:space="preserve"> </w:t>
      </w:r>
      <w:r w:rsidRPr="335EAEC3">
        <w:rPr>
          <w:rFonts w:ascii="Times New Roman" w:hAnsi="Times New Roman"/>
        </w:rPr>
        <w:t xml:space="preserve">across participating health departments </w:t>
      </w:r>
      <w:r w:rsidRPr="335EAEC3" w:rsidR="4724712F">
        <w:rPr>
          <w:rFonts w:ascii="Times New Roman" w:hAnsi="Times New Roman"/>
        </w:rPr>
        <w:t>(</w:t>
      </w:r>
      <w:r w:rsidRPr="335EAEC3" w:rsidR="58B4D3CB">
        <w:rPr>
          <w:rFonts w:ascii="Times New Roman" w:hAnsi="Times New Roman"/>
        </w:rPr>
        <w:t>i.e</w:t>
      </w:r>
      <w:r w:rsidRPr="335EAEC3" w:rsidR="4724712F">
        <w:rPr>
          <w:rFonts w:ascii="Times New Roman" w:hAnsi="Times New Roman"/>
        </w:rPr>
        <w:t xml:space="preserve">., </w:t>
      </w:r>
      <w:r w:rsidRPr="335EAEC3" w:rsidR="6F4CE350">
        <w:rPr>
          <w:rFonts w:ascii="Times New Roman" w:hAnsi="Times New Roman"/>
        </w:rPr>
        <w:t>number of facilities reporting and quality of data can vary over</w:t>
      </w:r>
      <w:r w:rsidRPr="335EAEC3" w:rsidR="008637A7">
        <w:rPr>
          <w:rFonts w:ascii="Times New Roman" w:hAnsi="Times New Roman"/>
        </w:rPr>
        <w:t xml:space="preserve"> </w:t>
      </w:r>
      <w:r w:rsidRPr="335EAEC3" w:rsidR="6F4CE350">
        <w:rPr>
          <w:rFonts w:ascii="Times New Roman" w:hAnsi="Times New Roman"/>
        </w:rPr>
        <w:t>time</w:t>
      </w:r>
      <w:r w:rsidRPr="335EAEC3" w:rsidR="4724712F">
        <w:rPr>
          <w:rFonts w:ascii="Times New Roman" w:hAnsi="Times New Roman"/>
        </w:rPr>
        <w:t>).</w:t>
      </w:r>
    </w:p>
    <w:p w:rsidR="00AA5185" w:rsidRPr="00795025" w:rsidP="257ED39A" w14:paraId="6F10ECB1" w14:textId="304AE892">
      <w:pPr>
        <w:pStyle w:val="ListParagraph"/>
        <w:numPr>
          <w:ilvl w:val="1"/>
          <w:numId w:val="8"/>
        </w:numPr>
        <w:outlineLvl w:val="0"/>
        <w:rPr>
          <w:rFonts w:ascii="Times New Roman" w:hAnsi="Times New Roman"/>
        </w:rPr>
      </w:pPr>
      <w:r w:rsidRPr="257ED39A">
        <w:rPr>
          <w:rFonts w:ascii="Times New Roman" w:hAnsi="Times New Roman"/>
        </w:rPr>
        <w:t xml:space="preserve">CDC will not compare </w:t>
      </w:r>
      <w:r w:rsidRPr="0021785B" w:rsidR="6F58C602">
        <w:rPr>
          <w:rFonts w:ascii="Times New Roman" w:hAnsi="Times New Roman"/>
          <w:b/>
          <w:bCs/>
        </w:rPr>
        <w:t>count</w:t>
      </w:r>
      <w:r w:rsidRPr="0021785B" w:rsidR="6F58C602">
        <w:rPr>
          <w:rFonts w:ascii="Times New Roman" w:hAnsi="Times New Roman"/>
          <w:b/>
          <w:bCs/>
          <w:lang w:val="en"/>
        </w:rPr>
        <w:t>s</w:t>
      </w:r>
      <w:r w:rsidRPr="257ED39A" w:rsidR="6F58C602">
        <w:rPr>
          <w:rFonts w:ascii="Times New Roman" w:hAnsi="Times New Roman"/>
          <w:lang w:val="en"/>
        </w:rPr>
        <w:t xml:space="preserve"> </w:t>
      </w:r>
      <w:r w:rsidRPr="257ED39A">
        <w:rPr>
          <w:rFonts w:ascii="Times New Roman" w:hAnsi="Times New Roman"/>
        </w:rPr>
        <w:t xml:space="preserve">of suspected </w:t>
      </w:r>
      <w:r w:rsidR="0072580F">
        <w:rPr>
          <w:rFonts w:ascii="Times New Roman" w:hAnsi="Times New Roman"/>
        </w:rPr>
        <w:t xml:space="preserve">nonfatal </w:t>
      </w:r>
      <w:r w:rsidRPr="257ED39A" w:rsidR="5AB61061">
        <w:rPr>
          <w:rFonts w:ascii="Times New Roman" w:hAnsi="Times New Roman"/>
        </w:rPr>
        <w:t xml:space="preserve">all </w:t>
      </w:r>
      <w:r w:rsidRPr="257ED39A" w:rsidR="7FA5BA71">
        <w:rPr>
          <w:rFonts w:ascii="Times New Roman" w:hAnsi="Times New Roman"/>
        </w:rPr>
        <w:t xml:space="preserve">drug, </w:t>
      </w:r>
      <w:r w:rsidRPr="257ED39A" w:rsidR="4FDCCDAF">
        <w:rPr>
          <w:rFonts w:ascii="Times New Roman" w:hAnsi="Times New Roman"/>
        </w:rPr>
        <w:t xml:space="preserve">all </w:t>
      </w:r>
      <w:r w:rsidRPr="257ED39A" w:rsidR="7FA5BA71">
        <w:rPr>
          <w:rFonts w:ascii="Times New Roman" w:hAnsi="Times New Roman"/>
        </w:rPr>
        <w:t>opioid, heroin, fentanyl, all stimulant, cocaine, methamphetamine, benzodiazepine, and other emerging drug</w:t>
      </w:r>
      <w:r w:rsidRPr="257ED39A">
        <w:rPr>
          <w:rFonts w:ascii="Times New Roman" w:hAnsi="Times New Roman"/>
        </w:rPr>
        <w:t xml:space="preserve"> overdoses calculated using data from </w:t>
      </w:r>
      <w:r w:rsidRPr="257ED39A">
        <w:rPr>
          <w:rFonts w:ascii="Times New Roman" w:hAnsi="Times New Roman"/>
          <w:i/>
          <w:iCs/>
        </w:rPr>
        <w:t>Rapid ED overdose data form</w:t>
      </w:r>
      <w:r w:rsidRPr="257ED39A">
        <w:rPr>
          <w:rFonts w:ascii="Times New Roman" w:hAnsi="Times New Roman"/>
        </w:rPr>
        <w:t xml:space="preserve"> across jurisdictions</w:t>
      </w:r>
      <w:r w:rsidR="00C10ED1">
        <w:rPr>
          <w:rFonts w:ascii="Times New Roman" w:hAnsi="Times New Roman"/>
        </w:rPr>
        <w:t xml:space="preserve"> in public</w:t>
      </w:r>
      <w:r w:rsidR="00F12754">
        <w:rPr>
          <w:rFonts w:ascii="Times New Roman" w:hAnsi="Times New Roman"/>
        </w:rPr>
        <w:t>-</w:t>
      </w:r>
      <w:r w:rsidR="00C10ED1">
        <w:rPr>
          <w:rFonts w:ascii="Times New Roman" w:hAnsi="Times New Roman"/>
        </w:rPr>
        <w:t>facing</w:t>
      </w:r>
      <w:r w:rsidR="00F12754">
        <w:rPr>
          <w:rFonts w:ascii="Times New Roman" w:hAnsi="Times New Roman"/>
        </w:rPr>
        <w:t xml:space="preserve"> data</w:t>
      </w:r>
      <w:r w:rsidR="00C10ED1">
        <w:rPr>
          <w:rFonts w:ascii="Times New Roman" w:hAnsi="Times New Roman"/>
        </w:rPr>
        <w:t xml:space="preserve"> products. Similarly, CDC will not compare</w:t>
      </w:r>
      <w:r w:rsidRPr="257ED39A" w:rsidR="03DC2585">
        <w:rPr>
          <w:rFonts w:ascii="Times New Roman" w:hAnsi="Times New Roman"/>
        </w:rPr>
        <w:t xml:space="preserve"> </w:t>
      </w:r>
      <w:r w:rsidR="00BE16D2">
        <w:rPr>
          <w:rFonts w:ascii="Times New Roman" w:hAnsi="Times New Roman"/>
          <w:b/>
          <w:bCs/>
        </w:rPr>
        <w:t xml:space="preserve">counts </w:t>
      </w:r>
      <w:r w:rsidR="00BE16D2">
        <w:rPr>
          <w:rFonts w:ascii="Times New Roman" w:hAnsi="Times New Roman"/>
        </w:rPr>
        <w:t xml:space="preserve">of </w:t>
      </w:r>
      <w:r w:rsidRPr="257ED39A" w:rsidR="03DC2585">
        <w:rPr>
          <w:rFonts w:ascii="Times New Roman" w:hAnsi="Times New Roman"/>
        </w:rPr>
        <w:t xml:space="preserve">total ED visits </w:t>
      </w:r>
      <w:r w:rsidR="00C10ED1">
        <w:rPr>
          <w:rFonts w:ascii="Times New Roman" w:hAnsi="Times New Roman"/>
        </w:rPr>
        <w:t xml:space="preserve">(which are </w:t>
      </w:r>
      <w:r w:rsidRPr="257ED39A" w:rsidR="03DC2585">
        <w:rPr>
          <w:rFonts w:ascii="Times New Roman" w:hAnsi="Times New Roman"/>
        </w:rPr>
        <w:t>used in calculating rates</w:t>
      </w:r>
      <w:r w:rsidR="00C10ED1">
        <w:rPr>
          <w:rFonts w:ascii="Times New Roman" w:hAnsi="Times New Roman"/>
        </w:rPr>
        <w:t xml:space="preserve">) from the </w:t>
      </w:r>
      <w:r w:rsidRPr="257ED39A" w:rsidR="00C10ED1">
        <w:rPr>
          <w:rFonts w:ascii="Times New Roman" w:hAnsi="Times New Roman"/>
          <w:i/>
          <w:iCs/>
        </w:rPr>
        <w:t>Rapid ED overdose data form</w:t>
      </w:r>
      <w:r w:rsidR="00BE16D2">
        <w:rPr>
          <w:rFonts w:ascii="Times New Roman" w:hAnsi="Times New Roman"/>
          <w:i/>
          <w:iCs/>
        </w:rPr>
        <w:t xml:space="preserve"> </w:t>
      </w:r>
      <w:r w:rsidR="00BE16D2">
        <w:rPr>
          <w:rFonts w:ascii="Times New Roman" w:hAnsi="Times New Roman"/>
        </w:rPr>
        <w:t>in public</w:t>
      </w:r>
      <w:r w:rsidR="00F12754">
        <w:rPr>
          <w:rFonts w:ascii="Times New Roman" w:hAnsi="Times New Roman"/>
        </w:rPr>
        <w:t>-</w:t>
      </w:r>
      <w:r w:rsidR="00BE16D2">
        <w:rPr>
          <w:rFonts w:ascii="Times New Roman" w:hAnsi="Times New Roman"/>
        </w:rPr>
        <w:t>facing</w:t>
      </w:r>
      <w:r w:rsidR="00F12754">
        <w:rPr>
          <w:rFonts w:ascii="Times New Roman" w:hAnsi="Times New Roman"/>
        </w:rPr>
        <w:t xml:space="preserve"> data</w:t>
      </w:r>
      <w:r w:rsidR="00BE16D2">
        <w:rPr>
          <w:rFonts w:ascii="Times New Roman" w:hAnsi="Times New Roman"/>
        </w:rPr>
        <w:t xml:space="preserve"> products</w:t>
      </w:r>
      <w:r w:rsidRPr="257ED39A" w:rsidR="03DC2585">
        <w:rPr>
          <w:rFonts w:ascii="Times New Roman" w:hAnsi="Times New Roman"/>
        </w:rPr>
        <w:t xml:space="preserve">. </w:t>
      </w:r>
    </w:p>
    <w:p w:rsidR="00052325" w:rsidRPr="00795025" w:rsidP="00052325" w14:paraId="4D1FF3ED" w14:textId="44C8EA27">
      <w:pPr>
        <w:pStyle w:val="ListParagraph"/>
        <w:numPr>
          <w:ilvl w:val="1"/>
          <w:numId w:val="8"/>
        </w:numPr>
        <w:rPr>
          <w:rFonts w:ascii="Times New Roman" w:hAnsi="Times New Roman"/>
          <w:lang w:val="en"/>
        </w:rPr>
      </w:pPr>
      <w:r w:rsidRPr="257ED39A">
        <w:rPr>
          <w:rFonts w:ascii="Times New Roman" w:hAnsi="Times New Roman"/>
          <w:lang w:val="en"/>
        </w:rPr>
        <w:t xml:space="preserve">CDC will not </w:t>
      </w:r>
      <w:r w:rsidR="00090680">
        <w:rPr>
          <w:rFonts w:ascii="Times New Roman" w:hAnsi="Times New Roman"/>
          <w:lang w:val="en"/>
        </w:rPr>
        <w:t>publicly report</w:t>
      </w:r>
      <w:r w:rsidRPr="257ED39A" w:rsidR="00090680">
        <w:rPr>
          <w:rFonts w:ascii="Times New Roman" w:hAnsi="Times New Roman"/>
          <w:lang w:val="en"/>
        </w:rPr>
        <w:t xml:space="preserve"> </w:t>
      </w:r>
      <w:r w:rsidRPr="257ED39A">
        <w:rPr>
          <w:rFonts w:ascii="Times New Roman" w:hAnsi="Times New Roman"/>
          <w:lang w:val="en"/>
        </w:rPr>
        <w:t xml:space="preserve">rates (e.g., ED visits suspected to involve opioid overdoses divided by total number of ED visits in a state) with fewer than 20 cases in the numerator (e.g., number of ED visits suspected to involve opioid overdoses) because of possible statistical instability of rate estimates. For instance, CDC will not report opioid overdose rates </w:t>
      </w:r>
      <w:r w:rsidRPr="257ED39A" w:rsidR="58610568">
        <w:rPr>
          <w:rFonts w:ascii="Times New Roman" w:hAnsi="Times New Roman"/>
          <w:lang w:val="en"/>
        </w:rPr>
        <w:t>in</w:t>
      </w:r>
      <w:r w:rsidRPr="257ED39A">
        <w:rPr>
          <w:rFonts w:ascii="Times New Roman" w:hAnsi="Times New Roman"/>
          <w:lang w:val="en"/>
        </w:rPr>
        <w:t xml:space="preserve"> January 202</w:t>
      </w:r>
      <w:r w:rsidRPr="257ED39A" w:rsidR="28143566">
        <w:rPr>
          <w:rFonts w:ascii="Times New Roman" w:hAnsi="Times New Roman"/>
          <w:lang w:val="en"/>
        </w:rPr>
        <w:t>2</w:t>
      </w:r>
      <w:r w:rsidRPr="257ED39A">
        <w:rPr>
          <w:rFonts w:ascii="Times New Roman" w:hAnsi="Times New Roman"/>
          <w:lang w:val="en"/>
        </w:rPr>
        <w:t xml:space="preserve"> if only 19 ED visits were suspected to involve an opioid overdose.</w:t>
      </w:r>
    </w:p>
    <w:p w:rsidR="002D511B" w:rsidRPr="002D511B" w:rsidP="0A87B654" w14:paraId="61DEDC83" w14:textId="78D3EF3C">
      <w:pPr>
        <w:pStyle w:val="ListParagraph"/>
        <w:numPr>
          <w:ilvl w:val="0"/>
          <w:numId w:val="8"/>
        </w:numPr>
        <w:outlineLvl w:val="0"/>
        <w:rPr>
          <w:rFonts w:ascii="Times New Roman" w:hAnsi="Times New Roman"/>
        </w:rPr>
      </w:pPr>
      <w:r w:rsidRPr="257ED39A">
        <w:rPr>
          <w:rFonts w:ascii="Times New Roman" w:hAnsi="Times New Roman"/>
        </w:rPr>
        <w:t xml:space="preserve">CDC will </w:t>
      </w:r>
      <w:r w:rsidRPr="257ED39A" w:rsidR="73ED22D5">
        <w:rPr>
          <w:rFonts w:ascii="Times New Roman" w:hAnsi="Times New Roman"/>
        </w:rPr>
        <w:t>monitor the preliminary ED data submitted</w:t>
      </w:r>
      <w:r w:rsidRPr="257ED39A" w:rsidR="19B28EB9">
        <w:rPr>
          <w:rFonts w:ascii="Times New Roman" w:hAnsi="Times New Roman"/>
        </w:rPr>
        <w:t xml:space="preserve"> on </w:t>
      </w:r>
      <w:r w:rsidRPr="257ED39A" w:rsidR="53633E35">
        <w:rPr>
          <w:rFonts w:ascii="Times New Roman" w:hAnsi="Times New Roman"/>
        </w:rPr>
        <w:t xml:space="preserve">the </w:t>
      </w:r>
      <w:r w:rsidRPr="257ED39A" w:rsidR="19B28EB9">
        <w:rPr>
          <w:rFonts w:ascii="Times New Roman" w:hAnsi="Times New Roman"/>
          <w:i/>
          <w:iCs/>
        </w:rPr>
        <w:t>Rapid ED overdose data form</w:t>
      </w:r>
      <w:r w:rsidRPr="257ED39A" w:rsidR="73ED22D5">
        <w:rPr>
          <w:rFonts w:ascii="Times New Roman" w:hAnsi="Times New Roman"/>
        </w:rPr>
        <w:t xml:space="preserve"> by each jurisdiction for</w:t>
      </w:r>
      <w:r w:rsidRPr="257ED39A">
        <w:rPr>
          <w:rFonts w:ascii="Times New Roman" w:hAnsi="Times New Roman"/>
        </w:rPr>
        <w:t xml:space="preserve"> large </w:t>
      </w:r>
      <w:r w:rsidRPr="257ED39A" w:rsidR="247A1EC5">
        <w:rPr>
          <w:rFonts w:ascii="Times New Roman" w:hAnsi="Times New Roman"/>
        </w:rPr>
        <w:t xml:space="preserve">monthly </w:t>
      </w:r>
      <w:r w:rsidRPr="257ED39A">
        <w:rPr>
          <w:rFonts w:ascii="Times New Roman" w:hAnsi="Times New Roman"/>
        </w:rPr>
        <w:t>changes in hospital participation or data quality (e.g., percent of ED vis</w:t>
      </w:r>
      <w:r w:rsidRPr="257ED39A" w:rsidR="57591275">
        <w:rPr>
          <w:rFonts w:ascii="Times New Roman" w:hAnsi="Times New Roman"/>
        </w:rPr>
        <w:t>its missing chief complaint and/</w:t>
      </w:r>
      <w:r w:rsidRPr="257ED39A">
        <w:rPr>
          <w:rFonts w:ascii="Times New Roman" w:hAnsi="Times New Roman"/>
        </w:rPr>
        <w:t xml:space="preserve">or </w:t>
      </w:r>
      <w:r w:rsidR="00EF2A07">
        <w:rPr>
          <w:rFonts w:ascii="Times New Roman" w:hAnsi="Times New Roman"/>
        </w:rPr>
        <w:t xml:space="preserve">diagnosis code (e.g., </w:t>
      </w:r>
      <w:r w:rsidRPr="257ED39A">
        <w:rPr>
          <w:rFonts w:ascii="Times New Roman" w:hAnsi="Times New Roman"/>
        </w:rPr>
        <w:t xml:space="preserve">ICD-10-CM diagnosis </w:t>
      </w:r>
      <w:r w:rsidR="00415277">
        <w:rPr>
          <w:rFonts w:ascii="Times New Roman" w:hAnsi="Times New Roman"/>
        </w:rPr>
        <w:t>code</w:t>
      </w:r>
      <w:r w:rsidR="00EF2A07">
        <w:rPr>
          <w:rFonts w:ascii="Times New Roman" w:hAnsi="Times New Roman"/>
        </w:rPr>
        <w:t>)</w:t>
      </w:r>
      <w:r w:rsidR="00415277">
        <w:rPr>
          <w:rFonts w:ascii="Times New Roman" w:hAnsi="Times New Roman"/>
        </w:rPr>
        <w:t xml:space="preserve"> </w:t>
      </w:r>
      <w:r w:rsidRPr="257ED39A">
        <w:rPr>
          <w:rFonts w:ascii="Times New Roman" w:hAnsi="Times New Roman"/>
        </w:rPr>
        <w:t>information</w:t>
      </w:r>
      <w:r w:rsidRPr="257ED39A" w:rsidR="73ED22D5">
        <w:rPr>
          <w:rFonts w:ascii="Times New Roman" w:hAnsi="Times New Roman"/>
        </w:rPr>
        <w:t>)</w:t>
      </w:r>
      <w:r w:rsidRPr="257ED39A" w:rsidR="57591275">
        <w:rPr>
          <w:rFonts w:ascii="Times New Roman" w:hAnsi="Times New Roman"/>
        </w:rPr>
        <w:t>. This is critical to identify and respond to</w:t>
      </w:r>
      <w:r w:rsidRPr="257ED39A">
        <w:rPr>
          <w:rFonts w:ascii="Times New Roman" w:hAnsi="Times New Roman"/>
        </w:rPr>
        <w:t xml:space="preserve"> </w:t>
      </w:r>
      <w:r w:rsidRPr="257ED39A" w:rsidR="57591275">
        <w:rPr>
          <w:rFonts w:ascii="Times New Roman" w:hAnsi="Times New Roman"/>
        </w:rPr>
        <w:t xml:space="preserve">major changes in </w:t>
      </w:r>
      <w:r w:rsidRPr="257ED39A" w:rsidR="13D118CA">
        <w:rPr>
          <w:rFonts w:ascii="Times New Roman" w:hAnsi="Times New Roman"/>
        </w:rPr>
        <w:t xml:space="preserve">ED syndromic </w:t>
      </w:r>
      <w:r w:rsidRPr="257ED39A" w:rsidR="57591275">
        <w:rPr>
          <w:rFonts w:ascii="Times New Roman" w:hAnsi="Times New Roman"/>
        </w:rPr>
        <w:t>system</w:t>
      </w:r>
      <w:r w:rsidRPr="257ED39A" w:rsidR="4CCA031E">
        <w:rPr>
          <w:rFonts w:ascii="Times New Roman" w:hAnsi="Times New Roman"/>
        </w:rPr>
        <w:t>s</w:t>
      </w:r>
      <w:r w:rsidRPr="257ED39A" w:rsidR="57591275">
        <w:rPr>
          <w:rFonts w:ascii="Times New Roman" w:hAnsi="Times New Roman"/>
        </w:rPr>
        <w:t xml:space="preserve"> such as</w:t>
      </w:r>
      <w:r w:rsidRPr="257ED39A" w:rsidR="308ADA26">
        <w:rPr>
          <w:rFonts w:ascii="Times New Roman" w:hAnsi="Times New Roman"/>
        </w:rPr>
        <w:t xml:space="preserve"> transmission</w:t>
      </w:r>
      <w:r w:rsidRPr="257ED39A" w:rsidR="57591275">
        <w:rPr>
          <w:rFonts w:ascii="Times New Roman" w:hAnsi="Times New Roman"/>
        </w:rPr>
        <w:t xml:space="preserve"> delays</w:t>
      </w:r>
      <w:r w:rsidRPr="257ED39A" w:rsidR="308ADA26">
        <w:rPr>
          <w:rFonts w:ascii="Times New Roman" w:hAnsi="Times New Roman"/>
        </w:rPr>
        <w:t xml:space="preserve"> associated with the implementation of </w:t>
      </w:r>
      <w:r w:rsidR="00942146">
        <w:rPr>
          <w:rFonts w:ascii="Times New Roman" w:hAnsi="Times New Roman"/>
        </w:rPr>
        <w:t xml:space="preserve">a </w:t>
      </w:r>
      <w:r w:rsidRPr="257ED39A" w:rsidR="13D118CA">
        <w:rPr>
          <w:rFonts w:ascii="Times New Roman" w:hAnsi="Times New Roman"/>
        </w:rPr>
        <w:t>new</w:t>
      </w:r>
      <w:r w:rsidRPr="257ED39A" w:rsidR="308ADA26">
        <w:rPr>
          <w:rFonts w:ascii="Times New Roman" w:hAnsi="Times New Roman"/>
        </w:rPr>
        <w:t xml:space="preserve"> EHR system by a </w:t>
      </w:r>
      <w:r w:rsidRPr="257ED39A" w:rsidR="13D118CA">
        <w:rPr>
          <w:rFonts w:ascii="Times New Roman" w:hAnsi="Times New Roman"/>
        </w:rPr>
        <w:t>major heal</w:t>
      </w:r>
      <w:r w:rsidRPr="257ED39A" w:rsidR="57591275">
        <w:rPr>
          <w:rFonts w:ascii="Times New Roman" w:hAnsi="Times New Roman"/>
        </w:rPr>
        <w:t>th care pro</w:t>
      </w:r>
      <w:r w:rsidRPr="257ED39A" w:rsidR="477F453C">
        <w:rPr>
          <w:rFonts w:ascii="Times New Roman" w:hAnsi="Times New Roman"/>
        </w:rPr>
        <w:t>vider or a</w:t>
      </w:r>
      <w:r w:rsidRPr="257ED39A" w:rsidR="503EE25B">
        <w:rPr>
          <w:rFonts w:ascii="Times New Roman" w:hAnsi="Times New Roman"/>
        </w:rPr>
        <w:t xml:space="preserve"> large health care provider j</w:t>
      </w:r>
      <w:r w:rsidRPr="257ED39A" w:rsidR="13D118CA">
        <w:rPr>
          <w:rFonts w:ascii="Times New Roman" w:hAnsi="Times New Roman"/>
        </w:rPr>
        <w:t>oining or exiting the local ED surveillanc</w:t>
      </w:r>
      <w:r w:rsidRPr="257ED39A" w:rsidR="503EE25B">
        <w:rPr>
          <w:rFonts w:ascii="Times New Roman" w:hAnsi="Times New Roman"/>
        </w:rPr>
        <w:t>e</w:t>
      </w:r>
      <w:r w:rsidR="00BE12E1">
        <w:rPr>
          <w:rFonts w:ascii="Times New Roman" w:hAnsi="Times New Roman"/>
        </w:rPr>
        <w:t xml:space="preserve"> system</w:t>
      </w:r>
      <w:r w:rsidRPr="257ED39A" w:rsidR="13D118CA">
        <w:rPr>
          <w:rFonts w:ascii="Times New Roman" w:hAnsi="Times New Roman"/>
        </w:rPr>
        <w:t xml:space="preserve">. </w:t>
      </w:r>
      <w:r w:rsidRPr="257ED39A" w:rsidR="503EE25B">
        <w:rPr>
          <w:rFonts w:ascii="Times New Roman" w:hAnsi="Times New Roman"/>
        </w:rPr>
        <w:t>Responses to these types of problems will be customized and could include delaying submission of data until a problem is resolve</w:t>
      </w:r>
      <w:r w:rsidRPr="257ED39A" w:rsidR="477F453C">
        <w:rPr>
          <w:rFonts w:ascii="Times New Roman" w:hAnsi="Times New Roman"/>
        </w:rPr>
        <w:t>d</w:t>
      </w:r>
      <w:r w:rsidRPr="257ED39A" w:rsidR="53633E35">
        <w:rPr>
          <w:rFonts w:ascii="Times New Roman" w:hAnsi="Times New Roman"/>
        </w:rPr>
        <w:t xml:space="preserve"> or</w:t>
      </w:r>
      <w:r w:rsidRPr="257ED39A" w:rsidR="5C8B0BEF">
        <w:rPr>
          <w:rFonts w:ascii="Times New Roman" w:hAnsi="Times New Roman"/>
        </w:rPr>
        <w:t xml:space="preserve"> </w:t>
      </w:r>
      <w:r w:rsidRPr="257ED39A" w:rsidR="6711B69B">
        <w:rPr>
          <w:rFonts w:ascii="Times New Roman" w:hAnsi="Times New Roman"/>
        </w:rPr>
        <w:t>suppressing data from</w:t>
      </w:r>
      <w:r w:rsidRPr="257ED39A" w:rsidR="01713165">
        <w:rPr>
          <w:rFonts w:ascii="Times New Roman" w:hAnsi="Times New Roman"/>
        </w:rPr>
        <w:t xml:space="preserve"> count</w:t>
      </w:r>
      <w:r w:rsidRPr="257ED39A" w:rsidR="6711B69B">
        <w:rPr>
          <w:rFonts w:ascii="Times New Roman" w:hAnsi="Times New Roman"/>
        </w:rPr>
        <w:t xml:space="preserve">ies or </w:t>
      </w:r>
      <w:r w:rsidRPr="257ED39A" w:rsidR="28D0027F">
        <w:rPr>
          <w:rFonts w:ascii="Times New Roman" w:hAnsi="Times New Roman"/>
        </w:rPr>
        <w:t>jurisdictions</w:t>
      </w:r>
      <w:r w:rsidRPr="257ED39A" w:rsidR="01713165">
        <w:rPr>
          <w:rFonts w:ascii="Times New Roman" w:hAnsi="Times New Roman"/>
        </w:rPr>
        <w:t xml:space="preserve"> </w:t>
      </w:r>
      <w:r w:rsidRPr="257ED39A" w:rsidR="308ADA26">
        <w:rPr>
          <w:rFonts w:ascii="Times New Roman" w:hAnsi="Times New Roman"/>
        </w:rPr>
        <w:t xml:space="preserve">if the data has </w:t>
      </w:r>
      <w:r w:rsidRPr="257ED39A" w:rsidR="503EE25B">
        <w:rPr>
          <w:rFonts w:ascii="Times New Roman" w:hAnsi="Times New Roman"/>
        </w:rPr>
        <w:t>major</w:t>
      </w:r>
      <w:r w:rsidRPr="257ED39A" w:rsidR="308ADA26">
        <w:rPr>
          <w:rFonts w:ascii="Times New Roman" w:hAnsi="Times New Roman"/>
        </w:rPr>
        <w:t xml:space="preserve"> and/or </w:t>
      </w:r>
      <w:r w:rsidRPr="257ED39A" w:rsidR="308ADA26">
        <w:rPr>
          <w:rFonts w:ascii="Times New Roman" w:hAnsi="Times New Roman"/>
        </w:rPr>
        <w:t>multiple</w:t>
      </w:r>
      <w:r w:rsidRPr="257ED39A" w:rsidR="503EE25B">
        <w:rPr>
          <w:rFonts w:ascii="Times New Roman" w:hAnsi="Times New Roman"/>
        </w:rPr>
        <w:t xml:space="preserve"> data quality problems</w:t>
      </w:r>
      <w:r w:rsidRPr="257ED39A" w:rsidR="07889DD4">
        <w:rPr>
          <w:rFonts w:ascii="Times New Roman" w:hAnsi="Times New Roman"/>
        </w:rPr>
        <w:t>. Ot</w:t>
      </w:r>
      <w:r w:rsidRPr="257ED39A" w:rsidR="4B2329BD">
        <w:rPr>
          <w:rFonts w:ascii="Times New Roman" w:hAnsi="Times New Roman"/>
        </w:rPr>
        <w:t>her steps may be investigated</w:t>
      </w:r>
      <w:r w:rsidRPr="257ED39A" w:rsidR="503EE25B">
        <w:rPr>
          <w:rFonts w:ascii="Times New Roman" w:hAnsi="Times New Roman"/>
        </w:rPr>
        <w:t xml:space="preserve"> if major variation in the percent of ED visits missing data</w:t>
      </w:r>
      <w:r w:rsidRPr="257ED39A" w:rsidR="308ADA26">
        <w:rPr>
          <w:rFonts w:ascii="Times New Roman" w:hAnsi="Times New Roman"/>
        </w:rPr>
        <w:t xml:space="preserve"> on chief complaint and</w:t>
      </w:r>
      <w:r w:rsidRPr="257ED39A" w:rsidR="76963B18">
        <w:rPr>
          <w:rFonts w:ascii="Times New Roman" w:hAnsi="Times New Roman"/>
        </w:rPr>
        <w:t xml:space="preserve"> diagnosis codes (e.g.,</w:t>
      </w:r>
      <w:r w:rsidRPr="257ED39A" w:rsidR="308ADA26">
        <w:rPr>
          <w:rFonts w:ascii="Times New Roman" w:hAnsi="Times New Roman"/>
        </w:rPr>
        <w:t xml:space="preserve"> ICD-10-CM diagnosis codes</w:t>
      </w:r>
      <w:r w:rsidRPr="257ED39A" w:rsidR="76963B18">
        <w:rPr>
          <w:rFonts w:ascii="Times New Roman" w:hAnsi="Times New Roman"/>
        </w:rPr>
        <w:t>)</w:t>
      </w:r>
      <w:r w:rsidRPr="257ED39A" w:rsidR="503EE25B">
        <w:rPr>
          <w:rFonts w:ascii="Times New Roman" w:hAnsi="Times New Roman"/>
        </w:rPr>
        <w:t xml:space="preserve"> is found to consistently occur over time</w:t>
      </w:r>
      <w:r w:rsidRPr="257ED39A" w:rsidR="07889DD4">
        <w:rPr>
          <w:rFonts w:ascii="Times New Roman" w:hAnsi="Times New Roman"/>
        </w:rPr>
        <w:t xml:space="preserve"> in a significant number of </w:t>
      </w:r>
      <w:r w:rsidRPr="257ED39A" w:rsidR="2FD3DD88">
        <w:rPr>
          <w:rFonts w:ascii="Times New Roman" w:hAnsi="Times New Roman"/>
        </w:rPr>
        <w:t>counties or states</w:t>
      </w:r>
      <w:r w:rsidRPr="257ED39A" w:rsidR="503EE25B">
        <w:rPr>
          <w:rFonts w:ascii="Times New Roman" w:hAnsi="Times New Roman"/>
        </w:rPr>
        <w:t>.</w:t>
      </w:r>
    </w:p>
    <w:p w:rsidR="002B2D51" w:rsidRPr="002D511B" w:rsidP="257ED39A" w14:paraId="1DB74ED6" w14:textId="34DEED84">
      <w:pPr>
        <w:pStyle w:val="ListParagraph"/>
        <w:numPr>
          <w:ilvl w:val="0"/>
          <w:numId w:val="8"/>
        </w:numPr>
        <w:outlineLvl w:val="0"/>
        <w:rPr>
          <w:rFonts w:ascii="Times New Roman" w:hAnsi="Times New Roman"/>
          <w:lang w:val="en"/>
        </w:rPr>
      </w:pPr>
      <w:r w:rsidRPr="003F5329">
        <w:rPr>
          <w:rFonts w:ascii="Times New Roman" w:hAnsi="Times New Roman"/>
        </w:rPr>
        <w:t xml:space="preserve">Using the </w:t>
      </w:r>
      <w:r w:rsidRPr="003F5329">
        <w:rPr>
          <w:rFonts w:ascii="Times New Roman" w:hAnsi="Times New Roman"/>
          <w:i/>
          <w:iCs/>
        </w:rPr>
        <w:t>ED</w:t>
      </w:r>
      <w:r w:rsidRPr="003F5329" w:rsidR="105F7321">
        <w:rPr>
          <w:rFonts w:ascii="Times New Roman" w:hAnsi="Times New Roman"/>
          <w:i/>
          <w:iCs/>
        </w:rPr>
        <w:t>/Inpatient Hospitalization</w:t>
      </w:r>
      <w:r w:rsidRPr="003F5329">
        <w:rPr>
          <w:rFonts w:ascii="Times New Roman" w:hAnsi="Times New Roman"/>
          <w:i/>
          <w:iCs/>
        </w:rPr>
        <w:t xml:space="preserve"> discharge overdose data form </w:t>
      </w:r>
      <w:r w:rsidRPr="003F5329">
        <w:rPr>
          <w:rFonts w:ascii="Times New Roman" w:hAnsi="Times New Roman"/>
        </w:rPr>
        <w:t xml:space="preserve">and standard CDC case definitions, </w:t>
      </w:r>
      <w:r w:rsidRPr="003F5329" w:rsidR="1E4ED2BC">
        <w:rPr>
          <w:rFonts w:ascii="Times New Roman" w:hAnsi="Times New Roman"/>
        </w:rPr>
        <w:t xml:space="preserve">DOSE requires that the </w:t>
      </w:r>
      <w:r w:rsidRPr="003F5329" w:rsidR="13D118CA">
        <w:rPr>
          <w:rFonts w:ascii="Times New Roman" w:hAnsi="Times New Roman"/>
        </w:rPr>
        <w:t>par</w:t>
      </w:r>
      <w:r w:rsidRPr="003F5329" w:rsidR="1E4ED2BC">
        <w:rPr>
          <w:rFonts w:ascii="Times New Roman" w:hAnsi="Times New Roman"/>
        </w:rPr>
        <w:t>ticipating health departments</w:t>
      </w:r>
      <w:r w:rsidRPr="003F5329" w:rsidR="37CA5769">
        <w:rPr>
          <w:rFonts w:ascii="Times New Roman" w:hAnsi="Times New Roman"/>
        </w:rPr>
        <w:t>, when able,</w:t>
      </w:r>
      <w:r w:rsidRPr="003F5329" w:rsidR="1E4ED2BC">
        <w:rPr>
          <w:rFonts w:ascii="Times New Roman" w:hAnsi="Times New Roman"/>
        </w:rPr>
        <w:t xml:space="preserve"> submit </w:t>
      </w:r>
      <w:r w:rsidRPr="02F0ABA0" w:rsidR="00E20CF4">
        <w:rPr>
          <w:rFonts w:ascii="Times New Roman" w:hAnsi="Times New Roman"/>
        </w:rPr>
        <w:t>a line-level dataset containing discharge/billing data on ED visits and/or inpatient hospitalizations involving a drug poisoning (i.e., line-level data on visits with any T36-T50 ICD-10-CM code, including all intents and encounters, underdosing, and adverse effects), in a CSV data format</w:t>
      </w:r>
      <w:r w:rsidRPr="02F0ABA0" w:rsidR="6625C5EF">
        <w:rPr>
          <w:rFonts w:ascii="Times New Roman" w:hAnsi="Times New Roman"/>
        </w:rPr>
        <w:t>, according to the data dictionary provided in DOSE Technical Guidance</w:t>
      </w:r>
      <w:r w:rsidRPr="02F0ABA0" w:rsidR="00E20CF4">
        <w:rPr>
          <w:rFonts w:ascii="Times New Roman" w:hAnsi="Times New Roman"/>
        </w:rPr>
        <w:t xml:space="preserve">. Jurisdictions also submit aggregate data on total ED visits and/or inpatient hospitalizations (of any cause) using </w:t>
      </w:r>
      <w:r w:rsidRPr="02F0ABA0" w:rsidR="00E20CF4">
        <w:rPr>
          <w:rFonts w:ascii="Times New Roman" w:hAnsi="Times New Roman"/>
          <w:lang w:val="en"/>
        </w:rPr>
        <w:t>the</w:t>
      </w:r>
      <w:r w:rsidRPr="003F5329" w:rsidR="00E20CF4">
        <w:rPr>
          <w:rFonts w:ascii="Times New Roman" w:hAnsi="Times New Roman"/>
          <w:i/>
          <w:iCs/>
          <w:lang w:val="en"/>
        </w:rPr>
        <w:t xml:space="preserve"> ED/Inpatient Hospitalization discharge overdose data form.</w:t>
      </w:r>
      <w:r w:rsidRPr="02F0ABA0" w:rsidR="00850183">
        <w:rPr>
          <w:rFonts w:ascii="Times New Roman" w:hAnsi="Times New Roman"/>
          <w:i/>
          <w:iCs/>
          <w:lang w:val="en"/>
        </w:rPr>
        <w:t xml:space="preserve"> </w:t>
      </w:r>
      <w:r w:rsidRPr="02F0ABA0" w:rsidR="308ADA26">
        <w:rPr>
          <w:rFonts w:ascii="Times New Roman" w:hAnsi="Times New Roman"/>
          <w:lang w:val="en"/>
        </w:rPr>
        <w:t>Hospital discharge data is</w:t>
      </w:r>
      <w:r w:rsidRPr="02F0ABA0" w:rsidR="1E4ED2BC">
        <w:rPr>
          <w:rFonts w:ascii="Times New Roman" w:hAnsi="Times New Roman"/>
          <w:lang w:val="en"/>
        </w:rPr>
        <w:t xml:space="preserve"> the current standard fo</w:t>
      </w:r>
      <w:r w:rsidRPr="02F0ABA0" w:rsidR="39D9AA53">
        <w:rPr>
          <w:rFonts w:ascii="Times New Roman" w:hAnsi="Times New Roman"/>
          <w:lang w:val="en"/>
        </w:rPr>
        <w:t>r estimating the burden of drug overdoses treated in E</w:t>
      </w:r>
      <w:r w:rsidRPr="02F0ABA0" w:rsidR="00D074DF">
        <w:rPr>
          <w:rFonts w:ascii="Times New Roman" w:hAnsi="Times New Roman"/>
          <w:lang w:val="en"/>
        </w:rPr>
        <w:t>Ds</w:t>
      </w:r>
      <w:r w:rsidRPr="02F0ABA0" w:rsidR="000A0C1E">
        <w:rPr>
          <w:rFonts w:ascii="Times New Roman" w:hAnsi="Times New Roman"/>
          <w:lang w:val="en"/>
        </w:rPr>
        <w:t xml:space="preserve"> and will allow</w:t>
      </w:r>
      <w:r w:rsidRPr="02F0ABA0" w:rsidR="477F453C">
        <w:rPr>
          <w:rFonts w:ascii="Times New Roman" w:hAnsi="Times New Roman"/>
          <w:lang w:val="en"/>
        </w:rPr>
        <w:t xml:space="preserve"> DOSE to estimate the burden of drug overdose related </w:t>
      </w:r>
      <w:r w:rsidRPr="02F0ABA0" w:rsidR="53633E35">
        <w:rPr>
          <w:rFonts w:ascii="Times New Roman" w:hAnsi="Times New Roman"/>
          <w:lang w:val="en"/>
        </w:rPr>
        <w:t xml:space="preserve">to </w:t>
      </w:r>
      <w:r w:rsidRPr="02F0ABA0" w:rsidR="477F453C">
        <w:rPr>
          <w:rFonts w:ascii="Times New Roman" w:hAnsi="Times New Roman"/>
          <w:lang w:val="en"/>
        </w:rPr>
        <w:t>ED visits</w:t>
      </w:r>
      <w:r w:rsidRPr="02F0ABA0" w:rsidR="0094064B">
        <w:rPr>
          <w:rFonts w:ascii="Times New Roman" w:hAnsi="Times New Roman"/>
          <w:lang w:val="en"/>
        </w:rPr>
        <w:t xml:space="preserve"> and inpatient hospitalizations</w:t>
      </w:r>
      <w:r w:rsidRPr="02F0ABA0" w:rsidR="000A0C1E">
        <w:rPr>
          <w:rFonts w:ascii="Times New Roman" w:hAnsi="Times New Roman"/>
          <w:lang w:val="en"/>
        </w:rPr>
        <w:t>.</w:t>
      </w:r>
      <w:r w:rsidRPr="02F0ABA0" w:rsidR="008C7C54">
        <w:rPr>
          <w:rFonts w:ascii="Times New Roman" w:hAnsi="Times New Roman"/>
          <w:lang w:val="en"/>
        </w:rPr>
        <w:t xml:space="preserve"> In addition,</w:t>
      </w:r>
      <w:r w:rsidRPr="02F0ABA0" w:rsidR="477F453C">
        <w:rPr>
          <w:rFonts w:ascii="Times New Roman" w:hAnsi="Times New Roman"/>
          <w:lang w:val="en"/>
        </w:rPr>
        <w:t xml:space="preserve"> the </w:t>
      </w:r>
      <w:r w:rsidRPr="02F0ABA0" w:rsidR="1D781C2F">
        <w:rPr>
          <w:rFonts w:ascii="Times New Roman" w:hAnsi="Times New Roman"/>
        </w:rPr>
        <w:t>counts of</w:t>
      </w:r>
      <w:r w:rsidRPr="02F0ABA0" w:rsidR="00C71947">
        <w:rPr>
          <w:rFonts w:ascii="Times New Roman" w:hAnsi="Times New Roman"/>
        </w:rPr>
        <w:t xml:space="preserve"> nonfatal</w:t>
      </w:r>
      <w:r w:rsidRPr="02F0ABA0" w:rsidR="00B809BB">
        <w:rPr>
          <w:rFonts w:ascii="Times New Roman" w:hAnsi="Times New Roman"/>
        </w:rPr>
        <w:t xml:space="preserve"> </w:t>
      </w:r>
      <w:r w:rsidRPr="02F0ABA0" w:rsidR="12745F90">
        <w:rPr>
          <w:rFonts w:ascii="Times New Roman" w:hAnsi="Times New Roman"/>
        </w:rPr>
        <w:t xml:space="preserve">all </w:t>
      </w:r>
      <w:r w:rsidRPr="02F0ABA0" w:rsidR="37CA5769">
        <w:rPr>
          <w:rFonts w:ascii="Times New Roman" w:hAnsi="Times New Roman"/>
        </w:rPr>
        <w:t xml:space="preserve">drug, </w:t>
      </w:r>
      <w:r w:rsidRPr="02F0ABA0" w:rsidR="2B9E5218">
        <w:rPr>
          <w:rFonts w:ascii="Times New Roman" w:hAnsi="Times New Roman"/>
        </w:rPr>
        <w:t xml:space="preserve">all </w:t>
      </w:r>
      <w:r w:rsidRPr="02F0ABA0" w:rsidR="37CA5769">
        <w:rPr>
          <w:rFonts w:ascii="Times New Roman" w:hAnsi="Times New Roman"/>
        </w:rPr>
        <w:t xml:space="preserve">opioid, heroin, fentanyl, all stimulant, cocaine, methamphetamine, benzodiazepine, and other emerging drug </w:t>
      </w:r>
      <w:r w:rsidRPr="02F0ABA0" w:rsidR="477F453C">
        <w:rPr>
          <w:rFonts w:ascii="Times New Roman" w:hAnsi="Times New Roman"/>
        </w:rPr>
        <w:t>overdoses</w:t>
      </w:r>
      <w:r w:rsidRPr="02F0ABA0" w:rsidR="00CB7BE5">
        <w:rPr>
          <w:rFonts w:ascii="Times New Roman" w:hAnsi="Times New Roman"/>
        </w:rPr>
        <w:t xml:space="preserve"> from ED discharge </w:t>
      </w:r>
      <w:r w:rsidRPr="02F0ABA0" w:rsidR="00564046">
        <w:rPr>
          <w:rFonts w:ascii="Times New Roman" w:hAnsi="Times New Roman"/>
        </w:rPr>
        <w:t>data</w:t>
      </w:r>
      <w:r w:rsidRPr="02F0ABA0" w:rsidR="00E96AAD">
        <w:rPr>
          <w:rFonts w:ascii="Times New Roman" w:hAnsi="Times New Roman"/>
        </w:rPr>
        <w:t xml:space="preserve">, which are calculated </w:t>
      </w:r>
      <w:r w:rsidRPr="02F0ABA0" w:rsidR="00443664">
        <w:rPr>
          <w:rFonts w:ascii="Times New Roman" w:hAnsi="Times New Roman"/>
        </w:rPr>
        <w:t xml:space="preserve">by CDC </w:t>
      </w:r>
      <w:r w:rsidRPr="02F0ABA0" w:rsidR="00E96AAD">
        <w:rPr>
          <w:rFonts w:ascii="Times New Roman" w:hAnsi="Times New Roman"/>
        </w:rPr>
        <w:t>using</w:t>
      </w:r>
      <w:r w:rsidRPr="02F0ABA0" w:rsidR="00443664">
        <w:rPr>
          <w:rFonts w:ascii="Times New Roman" w:hAnsi="Times New Roman"/>
        </w:rPr>
        <w:t xml:space="preserve"> recipients’</w:t>
      </w:r>
      <w:r w:rsidRPr="02F0ABA0" w:rsidR="00E96AAD">
        <w:rPr>
          <w:rFonts w:ascii="Times New Roman" w:hAnsi="Times New Roman"/>
        </w:rPr>
        <w:t xml:space="preserve"> line-level</w:t>
      </w:r>
      <w:r w:rsidRPr="02F0ABA0" w:rsidR="00564046">
        <w:rPr>
          <w:rFonts w:ascii="Times New Roman" w:hAnsi="Times New Roman"/>
        </w:rPr>
        <w:t xml:space="preserve"> </w:t>
      </w:r>
      <w:r w:rsidRPr="02F0ABA0" w:rsidR="00721D48">
        <w:rPr>
          <w:rFonts w:ascii="Times New Roman" w:hAnsi="Times New Roman"/>
        </w:rPr>
        <w:t xml:space="preserve">discharge </w:t>
      </w:r>
      <w:r w:rsidRPr="02F0ABA0" w:rsidR="00564046">
        <w:rPr>
          <w:rFonts w:ascii="Times New Roman" w:hAnsi="Times New Roman"/>
        </w:rPr>
        <w:t>data (</w:t>
      </w:r>
      <w:r w:rsidRPr="02F0ABA0" w:rsidR="00443664">
        <w:rPr>
          <w:rFonts w:ascii="Times New Roman" w:hAnsi="Times New Roman"/>
        </w:rPr>
        <w:t>.csv file</w:t>
      </w:r>
      <w:r w:rsidRPr="02F0ABA0" w:rsidR="00564046">
        <w:rPr>
          <w:rFonts w:ascii="Times New Roman" w:hAnsi="Times New Roman"/>
        </w:rPr>
        <w:t>)</w:t>
      </w:r>
      <w:r w:rsidRPr="02F0ABA0" w:rsidR="00443664">
        <w:rPr>
          <w:rFonts w:ascii="Times New Roman" w:hAnsi="Times New Roman"/>
        </w:rPr>
        <w:t>,</w:t>
      </w:r>
      <w:r w:rsidRPr="02F0ABA0" w:rsidR="477F453C">
        <w:rPr>
          <w:rFonts w:ascii="Times New Roman" w:hAnsi="Times New Roman"/>
        </w:rPr>
        <w:t xml:space="preserve"> will be compared against the counts captured in </w:t>
      </w:r>
      <w:r w:rsidRPr="02F0ABA0" w:rsidR="70A9EC61">
        <w:rPr>
          <w:rFonts w:ascii="Times New Roman" w:hAnsi="Times New Roman"/>
        </w:rPr>
        <w:t xml:space="preserve">the </w:t>
      </w:r>
      <w:r w:rsidRPr="02F0ABA0" w:rsidR="4CCA031E">
        <w:rPr>
          <w:rFonts w:ascii="Times New Roman" w:hAnsi="Times New Roman"/>
          <w:i/>
          <w:iCs/>
          <w:lang w:val="en"/>
        </w:rPr>
        <w:t>Rapid ED overdose data form</w:t>
      </w:r>
      <w:r w:rsidRPr="02F0ABA0" w:rsidR="4CCA031E">
        <w:rPr>
          <w:rFonts w:ascii="Times New Roman" w:hAnsi="Times New Roman"/>
          <w:lang w:val="en"/>
        </w:rPr>
        <w:t xml:space="preserve"> </w:t>
      </w:r>
      <w:r w:rsidRPr="02F0ABA0" w:rsidR="7795E84A">
        <w:rPr>
          <w:rFonts w:ascii="Times New Roman" w:hAnsi="Times New Roman"/>
        </w:rPr>
        <w:t>to improve and assess the validity of the rapid ED data collection.</w:t>
      </w:r>
      <w:r w:rsidRPr="02F0ABA0" w:rsidR="1D781C2F">
        <w:rPr>
          <w:rFonts w:ascii="Times New Roman" w:hAnsi="Times New Roman"/>
        </w:rPr>
        <w:t xml:space="preserve"> </w:t>
      </w:r>
    </w:p>
    <w:p w:rsidR="335EAEC3" w:rsidP="335EAEC3" w14:paraId="1047F581" w14:textId="63D2024C">
      <w:pPr>
        <w:pStyle w:val="ListParagraph"/>
        <w:outlineLvl w:val="0"/>
        <w:rPr>
          <w:rFonts w:ascii="Times New Roman" w:hAnsi="Times New Roman"/>
          <w:lang w:val="en"/>
        </w:rPr>
      </w:pPr>
    </w:p>
    <w:p w:rsidR="00346BEA" w:rsidRPr="00304A95" w:rsidP="0EBCC76A" w14:paraId="187E6525" w14:textId="18BECBE5">
      <w:pPr>
        <w:ind w:left="720" w:hanging="720"/>
        <w:rPr>
          <w:b/>
          <w:bCs/>
          <w:sz w:val="24"/>
        </w:rPr>
      </w:pPr>
      <w:r>
        <w:rPr>
          <w:b/>
          <w:bCs/>
          <w:sz w:val="24"/>
        </w:rPr>
        <w:t>3.</w:t>
      </w:r>
      <w:r>
        <w:tab/>
      </w:r>
      <w:r>
        <w:rPr>
          <w:b/>
          <w:bCs/>
          <w:sz w:val="24"/>
        </w:rPr>
        <w:t>Methods to Maximize Response Rates and Deal with Non</w:t>
      </w:r>
      <w:r>
        <w:rPr>
          <w:b/>
          <w:bCs/>
          <w:sz w:val="24"/>
        </w:rPr>
        <w:t>-response</w:t>
      </w:r>
    </w:p>
    <w:p w:rsidR="0087540E" w:rsidP="00304A95" w14:paraId="0F6D781E" w14:textId="77777777">
      <w:pPr>
        <w:tabs>
          <w:tab w:val="left" w:pos="-1440"/>
        </w:tabs>
        <w:ind w:left="720" w:hanging="720"/>
        <w:rPr>
          <w:sz w:val="24"/>
        </w:rPr>
      </w:pPr>
    </w:p>
    <w:p w:rsidR="00FA5FED" w:rsidP="00675354" w14:paraId="57968399" w14:textId="620C8716">
      <w:pPr>
        <w:rPr>
          <w:sz w:val="24"/>
        </w:rPr>
      </w:pPr>
      <w:r>
        <w:rPr>
          <w:sz w:val="24"/>
        </w:rPr>
        <w:t xml:space="preserve">Two primary issues pose challenges to conducting </w:t>
      </w:r>
      <w:r w:rsidR="0097458D">
        <w:rPr>
          <w:sz w:val="24"/>
        </w:rPr>
        <w:t xml:space="preserve">nonfatal </w:t>
      </w:r>
      <w:r>
        <w:rPr>
          <w:sz w:val="24"/>
        </w:rPr>
        <w:t>overdose surveillance of all ED</w:t>
      </w:r>
      <w:r w:rsidR="007A0AF5">
        <w:rPr>
          <w:sz w:val="24"/>
        </w:rPr>
        <w:t xml:space="preserve"> or Inpatient Hospitalization</w:t>
      </w:r>
      <w:r>
        <w:rPr>
          <w:sz w:val="24"/>
        </w:rPr>
        <w:t xml:space="preserve"> visits in the US.  </w:t>
      </w:r>
    </w:p>
    <w:p w:rsidR="00FF1F9D" w:rsidP="00304A95" w14:paraId="35A5B7A0" w14:textId="7EA5B485">
      <w:pPr>
        <w:pStyle w:val="ListParagraph"/>
        <w:numPr>
          <w:ilvl w:val="0"/>
          <w:numId w:val="20"/>
        </w:numPr>
      </w:pPr>
      <w:r w:rsidRPr="02F0ABA0">
        <w:rPr>
          <w:rFonts w:ascii="Times New Roman" w:hAnsi="Times New Roman"/>
        </w:rPr>
        <w:t xml:space="preserve">The participating health departments </w:t>
      </w:r>
      <w:r w:rsidRPr="02F0ABA0" w:rsidR="002434CB">
        <w:rPr>
          <w:rFonts w:ascii="Times New Roman" w:hAnsi="Times New Roman"/>
        </w:rPr>
        <w:t xml:space="preserve">may </w:t>
      </w:r>
      <w:r w:rsidRPr="02F0ABA0">
        <w:rPr>
          <w:rFonts w:ascii="Times New Roman" w:hAnsi="Times New Roman"/>
        </w:rPr>
        <w:t xml:space="preserve">rely on </w:t>
      </w:r>
      <w:r w:rsidRPr="02F0ABA0" w:rsidR="0054212A">
        <w:rPr>
          <w:rFonts w:ascii="Times New Roman" w:hAnsi="Times New Roman"/>
        </w:rPr>
        <w:t>up to</w:t>
      </w:r>
      <w:r w:rsidRPr="02F0ABA0" w:rsidR="009E6D69">
        <w:rPr>
          <w:rFonts w:ascii="Times New Roman" w:hAnsi="Times New Roman"/>
        </w:rPr>
        <w:t xml:space="preserve"> </w:t>
      </w:r>
      <w:r w:rsidRPr="02F0ABA0">
        <w:rPr>
          <w:rFonts w:ascii="Times New Roman" w:hAnsi="Times New Roman"/>
        </w:rPr>
        <w:t xml:space="preserve">three </w:t>
      </w:r>
      <w:r w:rsidRPr="02F0ABA0" w:rsidR="009E6D69">
        <w:rPr>
          <w:rFonts w:ascii="Times New Roman" w:hAnsi="Times New Roman"/>
        </w:rPr>
        <w:t xml:space="preserve"> </w:t>
      </w:r>
      <w:r w:rsidRPr="02F0ABA0">
        <w:rPr>
          <w:rFonts w:ascii="Times New Roman" w:hAnsi="Times New Roman"/>
        </w:rPr>
        <w:t xml:space="preserve">different systems for conducting rapid </w:t>
      </w:r>
      <w:r w:rsidRPr="02F0ABA0" w:rsidR="0097458D">
        <w:rPr>
          <w:rFonts w:ascii="Times New Roman" w:hAnsi="Times New Roman"/>
        </w:rPr>
        <w:t xml:space="preserve">nonfatal overdose </w:t>
      </w:r>
      <w:r w:rsidRPr="02F0ABA0">
        <w:rPr>
          <w:rFonts w:ascii="Times New Roman" w:hAnsi="Times New Roman"/>
        </w:rPr>
        <w:t xml:space="preserve">surveillance (i.e., NSSP </w:t>
      </w:r>
      <w:r w:rsidRPr="02F0ABA0">
        <w:rPr>
          <w:rFonts w:ascii="Times New Roman" w:hAnsi="Times New Roman"/>
        </w:rPr>
        <w:t>BioSense</w:t>
      </w:r>
      <w:r w:rsidRPr="02F0ABA0">
        <w:rPr>
          <w:rFonts w:ascii="Times New Roman" w:hAnsi="Times New Roman"/>
        </w:rPr>
        <w:t>, local ED syndromic</w:t>
      </w:r>
      <w:r w:rsidRPr="02F0ABA0" w:rsidR="002434CB">
        <w:rPr>
          <w:rFonts w:ascii="Times New Roman" w:hAnsi="Times New Roman"/>
        </w:rPr>
        <w:t xml:space="preserve"> systems</w:t>
      </w:r>
      <w:r w:rsidRPr="02F0ABA0">
        <w:rPr>
          <w:rFonts w:ascii="Times New Roman" w:hAnsi="Times New Roman"/>
        </w:rPr>
        <w:t xml:space="preserve">, and </w:t>
      </w:r>
      <w:r w:rsidRPr="02F0ABA0" w:rsidR="3596F522">
        <w:rPr>
          <w:rFonts w:ascii="Times New Roman" w:hAnsi="Times New Roman"/>
        </w:rPr>
        <w:t xml:space="preserve">ED/inpatient </w:t>
      </w:r>
      <w:r w:rsidRPr="02F0ABA0">
        <w:rPr>
          <w:rFonts w:ascii="Times New Roman" w:hAnsi="Times New Roman"/>
        </w:rPr>
        <w:t>hospital discharge</w:t>
      </w:r>
      <w:r w:rsidRPr="02F0ABA0" w:rsidR="002434CB">
        <w:rPr>
          <w:rFonts w:ascii="Times New Roman" w:hAnsi="Times New Roman"/>
        </w:rPr>
        <w:t xml:space="preserve"> data</w:t>
      </w:r>
      <w:r w:rsidRPr="02F0ABA0">
        <w:rPr>
          <w:rFonts w:ascii="Times New Roman" w:hAnsi="Times New Roman"/>
        </w:rPr>
        <w:t xml:space="preserve">). Consequently, none of these three systems provide national coverage. </w:t>
      </w:r>
    </w:p>
    <w:p w:rsidR="0015149E" w:rsidRPr="005C1174" w:rsidP="257ED39A" w14:paraId="6446A177" w14:textId="780F4E69">
      <w:pPr>
        <w:pStyle w:val="ListParagraph"/>
        <w:numPr>
          <w:ilvl w:val="0"/>
          <w:numId w:val="20"/>
        </w:numPr>
        <w:rPr>
          <w:rFonts w:ascii="Times New Roman" w:hAnsi="Times New Roman"/>
        </w:rPr>
      </w:pPr>
      <w:r w:rsidRPr="257ED39A">
        <w:rPr>
          <w:rFonts w:ascii="Times New Roman" w:hAnsi="Times New Roman"/>
        </w:rPr>
        <w:t>Not all E</w:t>
      </w:r>
      <w:r w:rsidR="00737BBF">
        <w:rPr>
          <w:rFonts w:ascii="Times New Roman" w:hAnsi="Times New Roman"/>
        </w:rPr>
        <w:t>D</w:t>
      </w:r>
      <w:r w:rsidRPr="257ED39A">
        <w:rPr>
          <w:rFonts w:ascii="Times New Roman" w:hAnsi="Times New Roman"/>
        </w:rPr>
        <w:t>s</w:t>
      </w:r>
      <w:r w:rsidR="00737BBF">
        <w:rPr>
          <w:rFonts w:ascii="Times New Roman" w:hAnsi="Times New Roman"/>
        </w:rPr>
        <w:t xml:space="preserve"> and Hospitals</w:t>
      </w:r>
      <w:r w:rsidRPr="257ED39A">
        <w:rPr>
          <w:rFonts w:ascii="Times New Roman" w:hAnsi="Times New Roman"/>
        </w:rPr>
        <w:t xml:space="preserve"> participate in </w:t>
      </w:r>
      <w:r w:rsidR="000C3EED">
        <w:rPr>
          <w:rFonts w:ascii="Times New Roman" w:hAnsi="Times New Roman"/>
        </w:rPr>
        <w:t>syndromic</w:t>
      </w:r>
      <w:r w:rsidR="00150EE9">
        <w:rPr>
          <w:rFonts w:ascii="Times New Roman" w:hAnsi="Times New Roman"/>
        </w:rPr>
        <w:t xml:space="preserve"> (ED)</w:t>
      </w:r>
      <w:r w:rsidR="008D0CBD">
        <w:rPr>
          <w:rFonts w:ascii="Times New Roman" w:hAnsi="Times New Roman"/>
        </w:rPr>
        <w:t xml:space="preserve"> or </w:t>
      </w:r>
      <w:r w:rsidR="00E91D9F">
        <w:rPr>
          <w:rFonts w:ascii="Times New Roman" w:hAnsi="Times New Roman"/>
        </w:rPr>
        <w:t xml:space="preserve">discharge </w:t>
      </w:r>
      <w:r w:rsidR="00150EE9">
        <w:rPr>
          <w:rFonts w:ascii="Times New Roman" w:hAnsi="Times New Roman"/>
        </w:rPr>
        <w:t xml:space="preserve">(ED/inpatient hospitalization) </w:t>
      </w:r>
      <w:r w:rsidR="00E91D9F">
        <w:rPr>
          <w:rFonts w:ascii="Times New Roman" w:hAnsi="Times New Roman"/>
        </w:rPr>
        <w:t xml:space="preserve">data </w:t>
      </w:r>
      <w:r w:rsidRPr="257ED39A">
        <w:rPr>
          <w:rFonts w:ascii="Times New Roman" w:hAnsi="Times New Roman"/>
        </w:rPr>
        <w:t>surveillance.</w:t>
      </w:r>
      <w:r w:rsidRPr="257ED39A" w:rsidR="329C1BDB">
        <w:rPr>
          <w:rFonts w:ascii="Times New Roman" w:hAnsi="Times New Roman"/>
        </w:rPr>
        <w:t xml:space="preserve"> </w:t>
      </w:r>
      <w:r w:rsidRPr="257ED39A" w:rsidR="6A885538">
        <w:rPr>
          <w:rFonts w:ascii="Times New Roman" w:hAnsi="Times New Roman"/>
        </w:rPr>
        <w:t xml:space="preserve">Current </w:t>
      </w:r>
      <w:r w:rsidRPr="257ED39A" w:rsidR="1E49EBCA">
        <w:rPr>
          <w:rFonts w:ascii="Times New Roman" w:hAnsi="Times New Roman"/>
        </w:rPr>
        <w:t>DOSE estimates show</w:t>
      </w:r>
      <w:r w:rsidRPr="257ED39A" w:rsidR="6A885538">
        <w:rPr>
          <w:rFonts w:ascii="Times New Roman" w:hAnsi="Times New Roman"/>
        </w:rPr>
        <w:t xml:space="preserve"> that</w:t>
      </w:r>
      <w:r w:rsidRPr="257ED39A" w:rsidR="15E01292">
        <w:rPr>
          <w:rFonts w:ascii="Times New Roman" w:hAnsi="Times New Roman"/>
        </w:rPr>
        <w:t>, on average,</w:t>
      </w:r>
      <w:r w:rsidRPr="257ED39A" w:rsidR="53633E35">
        <w:rPr>
          <w:rFonts w:ascii="Times New Roman" w:hAnsi="Times New Roman"/>
        </w:rPr>
        <w:t xml:space="preserve"> </w:t>
      </w:r>
      <w:r w:rsidRPr="00E1669C" w:rsidR="00E1669C">
        <w:rPr>
          <w:rFonts w:ascii="Times New Roman" w:hAnsi="Times New Roman"/>
        </w:rPr>
        <w:t xml:space="preserve">participating </w:t>
      </w:r>
      <w:r w:rsidRPr="257ED39A" w:rsidR="53633E35">
        <w:rPr>
          <w:rFonts w:ascii="Times New Roman" w:hAnsi="Times New Roman"/>
        </w:rPr>
        <w:t xml:space="preserve">health departments </w:t>
      </w:r>
      <w:r w:rsidRPr="257ED39A" w:rsidR="6A885538">
        <w:rPr>
          <w:rFonts w:ascii="Times New Roman" w:hAnsi="Times New Roman"/>
        </w:rPr>
        <w:t xml:space="preserve">currently receive data on </w:t>
      </w:r>
      <w:r w:rsidRPr="00E1669C" w:rsidR="00844B07">
        <w:rPr>
          <w:rFonts w:ascii="Times New Roman" w:hAnsi="Times New Roman"/>
        </w:rPr>
        <w:t>more than 90</w:t>
      </w:r>
      <w:r w:rsidRPr="00A729F7" w:rsidR="6A885538">
        <w:rPr>
          <w:rFonts w:ascii="Times New Roman" w:hAnsi="Times New Roman"/>
        </w:rPr>
        <w:t>%</w:t>
      </w:r>
      <w:r w:rsidRPr="257ED39A" w:rsidR="6A885538">
        <w:rPr>
          <w:rFonts w:ascii="Times New Roman" w:hAnsi="Times New Roman"/>
        </w:rPr>
        <w:t xml:space="preserve"> of </w:t>
      </w:r>
      <w:r w:rsidRPr="257ED39A" w:rsidR="53633E35">
        <w:rPr>
          <w:rFonts w:ascii="Times New Roman" w:hAnsi="Times New Roman"/>
        </w:rPr>
        <w:t xml:space="preserve">ED </w:t>
      </w:r>
      <w:r w:rsidR="00E1669C">
        <w:rPr>
          <w:rFonts w:ascii="Times New Roman" w:hAnsi="Times New Roman"/>
        </w:rPr>
        <w:t xml:space="preserve">or inpatient hospitalization </w:t>
      </w:r>
      <w:r w:rsidRPr="257ED39A" w:rsidR="53633E35">
        <w:rPr>
          <w:rFonts w:ascii="Times New Roman" w:hAnsi="Times New Roman"/>
        </w:rPr>
        <w:t>visits in their jurisdiction</w:t>
      </w:r>
      <w:r w:rsidR="00E1669C">
        <w:rPr>
          <w:rFonts w:ascii="Times New Roman" w:hAnsi="Times New Roman"/>
        </w:rPr>
        <w:t xml:space="preserve"> (depending on </w:t>
      </w:r>
      <w:r w:rsidR="008C1981">
        <w:rPr>
          <w:rFonts w:ascii="Times New Roman" w:hAnsi="Times New Roman"/>
        </w:rPr>
        <w:t>syndromic vs. discharge data source)</w:t>
      </w:r>
      <w:r w:rsidRPr="257ED39A" w:rsidR="6A885538">
        <w:rPr>
          <w:rFonts w:ascii="Times New Roman" w:hAnsi="Times New Roman"/>
        </w:rPr>
        <w:t xml:space="preserve">. </w:t>
      </w:r>
      <w:r w:rsidRPr="257ED39A" w:rsidR="1A1C7AD6">
        <w:rPr>
          <w:rFonts w:ascii="Times New Roman" w:hAnsi="Times New Roman"/>
        </w:rPr>
        <w:t>These gaps can occur for a variety of reasons</w:t>
      </w:r>
      <w:r w:rsidR="00783305">
        <w:rPr>
          <w:rFonts w:ascii="Times New Roman" w:hAnsi="Times New Roman"/>
        </w:rPr>
        <w:t>,</w:t>
      </w:r>
      <w:r w:rsidRPr="257ED39A" w:rsidR="1A1C7AD6">
        <w:rPr>
          <w:rFonts w:ascii="Times New Roman" w:hAnsi="Times New Roman"/>
        </w:rPr>
        <w:t xml:space="preserve"> including</w:t>
      </w:r>
      <w:r w:rsidR="00ED1802">
        <w:rPr>
          <w:rFonts w:ascii="Times New Roman" w:hAnsi="Times New Roman"/>
        </w:rPr>
        <w:t>:</w:t>
      </w:r>
      <w:r w:rsidRPr="257ED39A" w:rsidR="1A1C7AD6">
        <w:rPr>
          <w:rFonts w:ascii="Times New Roman" w:hAnsi="Times New Roman"/>
        </w:rPr>
        <w:t xml:space="preserve"> </w:t>
      </w:r>
      <w:r w:rsidR="00783305">
        <w:rPr>
          <w:rFonts w:ascii="Times New Roman" w:hAnsi="Times New Roman"/>
        </w:rPr>
        <w:t>1)</w:t>
      </w:r>
      <w:r w:rsidRPr="257ED39A" w:rsidR="1A1C7AD6">
        <w:rPr>
          <w:rFonts w:ascii="Times New Roman" w:hAnsi="Times New Roman"/>
        </w:rPr>
        <w:t xml:space="preserve"> a major health system choosing </w:t>
      </w:r>
      <w:r w:rsidR="00A44ED5">
        <w:rPr>
          <w:rFonts w:ascii="Times New Roman" w:hAnsi="Times New Roman"/>
        </w:rPr>
        <w:t>not</w:t>
      </w:r>
      <w:r w:rsidRPr="257ED39A" w:rsidR="1A1C7AD6">
        <w:rPr>
          <w:rFonts w:ascii="Times New Roman" w:hAnsi="Times New Roman"/>
        </w:rPr>
        <w:t xml:space="preserve"> to cooperate with local </w:t>
      </w:r>
      <w:r w:rsidR="00ED1802">
        <w:rPr>
          <w:rFonts w:ascii="Times New Roman" w:hAnsi="Times New Roman"/>
        </w:rPr>
        <w:t>syndromic</w:t>
      </w:r>
      <w:r w:rsidR="00DE6FCE">
        <w:rPr>
          <w:rFonts w:ascii="Times New Roman" w:hAnsi="Times New Roman"/>
        </w:rPr>
        <w:t xml:space="preserve"> </w:t>
      </w:r>
      <w:r w:rsidRPr="257ED39A" w:rsidR="1A1C7AD6">
        <w:rPr>
          <w:rFonts w:ascii="Times New Roman" w:hAnsi="Times New Roman"/>
        </w:rPr>
        <w:t>ED</w:t>
      </w:r>
      <w:r w:rsidR="000C3EED">
        <w:rPr>
          <w:rFonts w:ascii="Times New Roman" w:hAnsi="Times New Roman"/>
        </w:rPr>
        <w:t xml:space="preserve"> or ED/inpatient hospitalization </w:t>
      </w:r>
      <w:r w:rsidR="00DE6FCE">
        <w:rPr>
          <w:rFonts w:ascii="Times New Roman" w:hAnsi="Times New Roman"/>
        </w:rPr>
        <w:t>discharge</w:t>
      </w:r>
      <w:r w:rsidR="000C3EED">
        <w:rPr>
          <w:rFonts w:ascii="Times New Roman" w:hAnsi="Times New Roman"/>
        </w:rPr>
        <w:t xml:space="preserve"> </w:t>
      </w:r>
      <w:r w:rsidRPr="257ED39A" w:rsidR="1A1C7AD6">
        <w:rPr>
          <w:rFonts w:ascii="Times New Roman" w:hAnsi="Times New Roman"/>
        </w:rPr>
        <w:t>data collection</w:t>
      </w:r>
      <w:r w:rsidRPr="257ED39A" w:rsidR="2D55BA1E">
        <w:rPr>
          <w:rFonts w:ascii="Times New Roman" w:hAnsi="Times New Roman"/>
        </w:rPr>
        <w:t xml:space="preserve">, </w:t>
      </w:r>
      <w:r w:rsidR="00A44ED5">
        <w:rPr>
          <w:rFonts w:ascii="Times New Roman" w:hAnsi="Times New Roman"/>
        </w:rPr>
        <w:t xml:space="preserve">2) </w:t>
      </w:r>
      <w:r w:rsidRPr="257ED39A">
        <w:rPr>
          <w:rFonts w:ascii="Times New Roman" w:hAnsi="Times New Roman"/>
        </w:rPr>
        <w:t xml:space="preserve">the local </w:t>
      </w:r>
      <w:r w:rsidR="00A44ED5">
        <w:rPr>
          <w:rFonts w:ascii="Times New Roman" w:hAnsi="Times New Roman"/>
        </w:rPr>
        <w:t>syndromic</w:t>
      </w:r>
      <w:r w:rsidRPr="257ED39A">
        <w:rPr>
          <w:rFonts w:ascii="Times New Roman" w:hAnsi="Times New Roman"/>
        </w:rPr>
        <w:t xml:space="preserve"> ED</w:t>
      </w:r>
      <w:r w:rsidR="00A44ED5">
        <w:rPr>
          <w:rFonts w:ascii="Times New Roman" w:hAnsi="Times New Roman"/>
        </w:rPr>
        <w:t xml:space="preserve"> or </w:t>
      </w:r>
      <w:r w:rsidRPr="257ED39A">
        <w:rPr>
          <w:rFonts w:ascii="Times New Roman" w:hAnsi="Times New Roman"/>
        </w:rPr>
        <w:t>ED</w:t>
      </w:r>
      <w:r w:rsidRPr="257ED39A" w:rsidR="6F86BC6D">
        <w:rPr>
          <w:rFonts w:ascii="Times New Roman" w:hAnsi="Times New Roman"/>
        </w:rPr>
        <w:t>/inpatient hospitalization</w:t>
      </w:r>
      <w:r w:rsidRPr="257ED39A">
        <w:rPr>
          <w:rFonts w:ascii="Times New Roman" w:hAnsi="Times New Roman"/>
        </w:rPr>
        <w:t xml:space="preserve"> </w:t>
      </w:r>
      <w:r w:rsidR="00A44ED5">
        <w:rPr>
          <w:rFonts w:ascii="Times New Roman" w:hAnsi="Times New Roman"/>
        </w:rPr>
        <w:t>discharge</w:t>
      </w:r>
      <w:r w:rsidRPr="257ED39A">
        <w:rPr>
          <w:rFonts w:ascii="Times New Roman" w:hAnsi="Times New Roman"/>
        </w:rPr>
        <w:t xml:space="preserve"> data collection focusing on a subset of counties</w:t>
      </w:r>
      <w:r w:rsidR="00A44ED5">
        <w:rPr>
          <w:rFonts w:ascii="Times New Roman" w:hAnsi="Times New Roman"/>
        </w:rPr>
        <w:t>,</w:t>
      </w:r>
      <w:r w:rsidRPr="257ED39A" w:rsidR="2D55BA1E">
        <w:rPr>
          <w:rFonts w:ascii="Times New Roman" w:hAnsi="Times New Roman"/>
        </w:rPr>
        <w:t xml:space="preserve"> or</w:t>
      </w:r>
      <w:r w:rsidR="00A44ED5">
        <w:rPr>
          <w:rFonts w:ascii="Times New Roman" w:hAnsi="Times New Roman"/>
        </w:rPr>
        <w:t xml:space="preserve"> 3)</w:t>
      </w:r>
      <w:r w:rsidRPr="257ED39A" w:rsidR="2D55BA1E">
        <w:rPr>
          <w:rFonts w:ascii="Times New Roman" w:hAnsi="Times New Roman"/>
        </w:rPr>
        <w:t xml:space="preserve"> </w:t>
      </w:r>
      <w:r w:rsidR="00324C46">
        <w:rPr>
          <w:rFonts w:ascii="Times New Roman" w:hAnsi="Times New Roman"/>
        </w:rPr>
        <w:t xml:space="preserve">local syndromic </w:t>
      </w:r>
      <w:r w:rsidRPr="257ED39A" w:rsidR="2D55BA1E">
        <w:rPr>
          <w:rFonts w:ascii="Times New Roman" w:hAnsi="Times New Roman"/>
        </w:rPr>
        <w:t>ED</w:t>
      </w:r>
      <w:r w:rsidR="001C6B15">
        <w:rPr>
          <w:rFonts w:ascii="Times New Roman" w:hAnsi="Times New Roman"/>
        </w:rPr>
        <w:t xml:space="preserve"> or ED/</w:t>
      </w:r>
      <w:r w:rsidR="003C2501">
        <w:rPr>
          <w:rFonts w:ascii="Times New Roman" w:hAnsi="Times New Roman"/>
        </w:rPr>
        <w:t>inpatient</w:t>
      </w:r>
      <w:r w:rsidR="001C6B15">
        <w:rPr>
          <w:rFonts w:ascii="Times New Roman" w:hAnsi="Times New Roman"/>
        </w:rPr>
        <w:t xml:space="preserve"> hospitalization discharge</w:t>
      </w:r>
      <w:r w:rsidRPr="257ED39A" w:rsidR="2D55BA1E">
        <w:rPr>
          <w:rFonts w:ascii="Times New Roman" w:hAnsi="Times New Roman"/>
        </w:rPr>
        <w:t xml:space="preserve"> data collection driven at the county or city instead of state-level</w:t>
      </w:r>
      <w:r w:rsidRPr="257ED39A" w:rsidR="1A1C7AD6">
        <w:rPr>
          <w:rFonts w:ascii="Times New Roman" w:hAnsi="Times New Roman"/>
        </w:rPr>
        <w:t xml:space="preserve">. </w:t>
      </w:r>
    </w:p>
    <w:p w:rsidR="00675354" w:rsidRPr="00FF1F9D" w:rsidP="00675354" w14:paraId="6B5281CB" w14:textId="16F09A79">
      <w:pPr>
        <w:rPr>
          <w:sz w:val="24"/>
        </w:rPr>
      </w:pPr>
      <w:r w:rsidRPr="00FF1F9D">
        <w:rPr>
          <w:sz w:val="24"/>
        </w:rPr>
        <w:t>CDC has engaged in t</w:t>
      </w:r>
      <w:r w:rsidR="00F300CD">
        <w:rPr>
          <w:sz w:val="24"/>
        </w:rPr>
        <w:t>hree</w:t>
      </w:r>
      <w:r w:rsidRPr="00FF1F9D">
        <w:rPr>
          <w:sz w:val="24"/>
        </w:rPr>
        <w:t xml:space="preserve"> </w:t>
      </w:r>
      <w:r w:rsidRPr="00FF1F9D">
        <w:rPr>
          <w:sz w:val="24"/>
        </w:rPr>
        <w:t>strategies to improve the coverage of the DOSE system</w:t>
      </w:r>
      <w:r w:rsidR="0092105C">
        <w:rPr>
          <w:sz w:val="24"/>
        </w:rPr>
        <w:t xml:space="preserve"> and address these two issues</w:t>
      </w:r>
      <w:r w:rsidRPr="00FF1F9D" w:rsidR="004C6EC6">
        <w:rPr>
          <w:sz w:val="24"/>
        </w:rPr>
        <w:t xml:space="preserve">. DOSE coverage is defined as </w:t>
      </w:r>
      <w:r w:rsidRPr="00FF1F9D">
        <w:rPr>
          <w:sz w:val="24"/>
        </w:rPr>
        <w:t xml:space="preserve">the percent of ED </w:t>
      </w:r>
      <w:r w:rsidR="00844B07">
        <w:rPr>
          <w:sz w:val="24"/>
        </w:rPr>
        <w:t xml:space="preserve">or inpatient hospitalization </w:t>
      </w:r>
      <w:r w:rsidR="00C15C2A">
        <w:rPr>
          <w:sz w:val="24"/>
        </w:rPr>
        <w:t>facilities</w:t>
      </w:r>
      <w:r w:rsidRPr="00FF1F9D" w:rsidR="00C15C2A">
        <w:rPr>
          <w:sz w:val="24"/>
        </w:rPr>
        <w:t xml:space="preserve"> </w:t>
      </w:r>
      <w:r w:rsidRPr="00FF1F9D" w:rsidR="004C6EC6">
        <w:rPr>
          <w:sz w:val="24"/>
        </w:rPr>
        <w:t xml:space="preserve">reported to CDC in the </w:t>
      </w:r>
      <w:r w:rsidRPr="00FF1F9D" w:rsidR="004C6EC6">
        <w:rPr>
          <w:i/>
          <w:sz w:val="24"/>
          <w:lang w:val="en"/>
        </w:rPr>
        <w:t>Rapid ED overdose data form</w:t>
      </w:r>
      <w:r w:rsidR="00964122">
        <w:rPr>
          <w:i/>
          <w:sz w:val="24"/>
          <w:lang w:val="en"/>
        </w:rPr>
        <w:t xml:space="preserve"> </w:t>
      </w:r>
      <w:r w:rsidRPr="00A729F7" w:rsidR="0083714F">
        <w:rPr>
          <w:iCs/>
          <w:sz w:val="24"/>
          <w:lang w:val="en"/>
        </w:rPr>
        <w:t>(</w:t>
      </w:r>
      <w:r w:rsidR="00E36462">
        <w:rPr>
          <w:iCs/>
          <w:sz w:val="24"/>
          <w:lang w:val="en"/>
        </w:rPr>
        <w:t>DOSE-SYS</w:t>
      </w:r>
      <w:r w:rsidRPr="00A729F7" w:rsidR="0083714F">
        <w:rPr>
          <w:iCs/>
          <w:sz w:val="24"/>
          <w:lang w:val="en"/>
        </w:rPr>
        <w:t>)</w:t>
      </w:r>
      <w:r w:rsidR="0083714F">
        <w:rPr>
          <w:i/>
          <w:sz w:val="24"/>
          <w:lang w:val="en"/>
        </w:rPr>
        <w:t xml:space="preserve"> </w:t>
      </w:r>
      <w:r w:rsidRPr="00A729F7" w:rsidR="00964122">
        <w:rPr>
          <w:iCs/>
          <w:sz w:val="24"/>
          <w:lang w:val="en"/>
        </w:rPr>
        <w:t>and</w:t>
      </w:r>
      <w:r w:rsidR="00964122">
        <w:rPr>
          <w:i/>
          <w:sz w:val="24"/>
          <w:lang w:val="en"/>
        </w:rPr>
        <w:t xml:space="preserve"> </w:t>
      </w:r>
      <w:r w:rsidRPr="0083714F" w:rsidR="0083714F">
        <w:rPr>
          <w:i/>
          <w:sz w:val="24"/>
          <w:lang w:val="en"/>
        </w:rPr>
        <w:t>ED/Inpatient Hospitalization discharge overdose data form</w:t>
      </w:r>
      <w:r w:rsidR="0083714F">
        <w:rPr>
          <w:i/>
          <w:sz w:val="24"/>
          <w:lang w:val="en"/>
        </w:rPr>
        <w:t xml:space="preserve"> </w:t>
      </w:r>
      <w:r w:rsidRPr="00A729F7" w:rsidR="0083714F">
        <w:rPr>
          <w:iCs/>
          <w:sz w:val="24"/>
          <w:lang w:val="en"/>
        </w:rPr>
        <w:t>(</w:t>
      </w:r>
      <w:r w:rsidR="00E36462">
        <w:rPr>
          <w:sz w:val="24"/>
          <w:lang w:val="en"/>
        </w:rPr>
        <w:t>DOSE-DIS</w:t>
      </w:r>
      <w:r w:rsidRPr="00A729F7" w:rsidR="0083714F">
        <w:rPr>
          <w:iCs/>
          <w:sz w:val="24"/>
          <w:lang w:val="en"/>
        </w:rPr>
        <w:t>).</w:t>
      </w:r>
    </w:p>
    <w:p w:rsidR="001E33DD" w:rsidRPr="007A1F2B" w:rsidP="00B3108F" w14:paraId="6BF2E422" w14:textId="5E3EE028">
      <w:pPr>
        <w:pStyle w:val="ListParagraph"/>
        <w:numPr>
          <w:ilvl w:val="0"/>
          <w:numId w:val="11"/>
        </w:numPr>
        <w:spacing w:line="259" w:lineRule="auto"/>
        <w:rPr>
          <w:rFonts w:ascii="Times New Roman" w:hAnsi="Times New Roman"/>
        </w:rPr>
      </w:pPr>
      <w:r w:rsidRPr="257ED39A">
        <w:rPr>
          <w:rFonts w:ascii="Times New Roman" w:hAnsi="Times New Roman"/>
        </w:rPr>
        <w:t>DOSE can</w:t>
      </w:r>
      <w:r w:rsidRPr="257ED39A" w:rsidR="32ADDAE9">
        <w:rPr>
          <w:rFonts w:ascii="Times New Roman" w:hAnsi="Times New Roman"/>
        </w:rPr>
        <w:t xml:space="preserve"> be rapidly implemented and scaled to all 50 states and the Distr</w:t>
      </w:r>
      <w:r w:rsidRPr="257ED39A">
        <w:rPr>
          <w:rFonts w:ascii="Times New Roman" w:hAnsi="Times New Roman"/>
        </w:rPr>
        <w:t xml:space="preserve">ict of Columbia </w:t>
      </w:r>
      <w:r w:rsidRPr="257ED39A" w:rsidR="32ADDAE9">
        <w:rPr>
          <w:rFonts w:ascii="Times New Roman" w:hAnsi="Times New Roman"/>
        </w:rPr>
        <w:t xml:space="preserve">because it relies on </w:t>
      </w:r>
      <w:r w:rsidRPr="257ED39A">
        <w:rPr>
          <w:rFonts w:ascii="Times New Roman" w:hAnsi="Times New Roman"/>
        </w:rPr>
        <w:t xml:space="preserve">sharing </w:t>
      </w:r>
      <w:r w:rsidRPr="257ED39A" w:rsidR="32ADDAE9">
        <w:rPr>
          <w:rFonts w:ascii="Times New Roman" w:hAnsi="Times New Roman"/>
        </w:rPr>
        <w:t>data already being collected by state and local health department</w:t>
      </w:r>
      <w:r w:rsidR="00C1119D">
        <w:rPr>
          <w:rFonts w:ascii="Times New Roman" w:hAnsi="Times New Roman"/>
        </w:rPr>
        <w:t>s</w:t>
      </w:r>
      <w:r w:rsidRPr="257ED39A" w:rsidR="32ADDAE9">
        <w:rPr>
          <w:rFonts w:ascii="Times New Roman" w:hAnsi="Times New Roman"/>
        </w:rPr>
        <w:t xml:space="preserve"> </w:t>
      </w:r>
      <w:r w:rsidRPr="257ED39A">
        <w:rPr>
          <w:rFonts w:ascii="Times New Roman" w:hAnsi="Times New Roman"/>
        </w:rPr>
        <w:t xml:space="preserve">across three types of data systems (i.e., NSSP </w:t>
      </w:r>
      <w:r w:rsidRPr="257ED39A">
        <w:rPr>
          <w:rFonts w:ascii="Times New Roman" w:hAnsi="Times New Roman"/>
        </w:rPr>
        <w:t>BioSense</w:t>
      </w:r>
      <w:r w:rsidRPr="257ED39A">
        <w:rPr>
          <w:rFonts w:ascii="Times New Roman" w:hAnsi="Times New Roman"/>
        </w:rPr>
        <w:t xml:space="preserve">, </w:t>
      </w:r>
      <w:r w:rsidRPr="257ED39A">
        <w:rPr>
          <w:rFonts w:ascii="Times New Roman" w:hAnsi="Times New Roman"/>
        </w:rPr>
        <w:t xml:space="preserve">local </w:t>
      </w:r>
      <w:r w:rsidRPr="257ED39A" w:rsidR="2639C43E">
        <w:rPr>
          <w:rFonts w:ascii="Times New Roman" w:hAnsi="Times New Roman"/>
        </w:rPr>
        <w:t xml:space="preserve">ED </w:t>
      </w:r>
      <w:r w:rsidRPr="257ED39A">
        <w:rPr>
          <w:rFonts w:ascii="Times New Roman" w:hAnsi="Times New Roman"/>
        </w:rPr>
        <w:t xml:space="preserve">syndromic, and </w:t>
      </w:r>
      <w:r w:rsidRPr="257ED39A" w:rsidR="0466C4BB">
        <w:rPr>
          <w:rFonts w:ascii="Times New Roman" w:hAnsi="Times New Roman"/>
        </w:rPr>
        <w:t xml:space="preserve">ED/inpatient </w:t>
      </w:r>
      <w:r w:rsidRPr="257ED39A">
        <w:rPr>
          <w:rFonts w:ascii="Times New Roman" w:hAnsi="Times New Roman"/>
        </w:rPr>
        <w:t>hospital discharge) instead of</w:t>
      </w:r>
      <w:r w:rsidRPr="257ED39A" w:rsidR="2C22166E">
        <w:rPr>
          <w:rFonts w:ascii="Times New Roman" w:hAnsi="Times New Roman"/>
        </w:rPr>
        <w:t xml:space="preserve"> attempting to establish a new</w:t>
      </w:r>
      <w:r w:rsidRPr="257ED39A" w:rsidR="2D55BA1E">
        <w:rPr>
          <w:rFonts w:ascii="Times New Roman" w:hAnsi="Times New Roman"/>
        </w:rPr>
        <w:t xml:space="preserve"> ED</w:t>
      </w:r>
      <w:r w:rsidRPr="257ED39A" w:rsidR="2C22166E">
        <w:rPr>
          <w:rFonts w:ascii="Times New Roman" w:hAnsi="Times New Roman"/>
        </w:rPr>
        <w:t xml:space="preserve"> data collection or relying on data from only one data source such as NSSP </w:t>
      </w:r>
      <w:r w:rsidRPr="257ED39A" w:rsidR="2C22166E">
        <w:rPr>
          <w:rFonts w:ascii="Times New Roman" w:hAnsi="Times New Roman"/>
        </w:rPr>
        <w:t>BioSense</w:t>
      </w:r>
      <w:r w:rsidRPr="257ED39A" w:rsidR="32ADDAE9">
        <w:rPr>
          <w:rFonts w:ascii="Times New Roman" w:hAnsi="Times New Roman"/>
        </w:rPr>
        <w:t>.</w:t>
      </w:r>
      <w:r w:rsidRPr="257ED39A" w:rsidR="256C66C1">
        <w:rPr>
          <w:rFonts w:ascii="Times New Roman" w:hAnsi="Times New Roman"/>
        </w:rPr>
        <w:t xml:space="preserve"> </w:t>
      </w:r>
      <w:r w:rsidR="004C18B2">
        <w:rPr>
          <w:rFonts w:ascii="Times New Roman" w:hAnsi="Times New Roman"/>
        </w:rPr>
        <w:t>S</w:t>
      </w:r>
      <w:r w:rsidRPr="257ED39A" w:rsidR="256C66C1">
        <w:rPr>
          <w:rFonts w:ascii="Times New Roman" w:hAnsi="Times New Roman"/>
        </w:rPr>
        <w:t>yndromic and discharge data provide complementary</w:t>
      </w:r>
      <w:r w:rsidRPr="257ED39A" w:rsidR="5BE0D016">
        <w:rPr>
          <w:rFonts w:ascii="Times New Roman" w:hAnsi="Times New Roman"/>
        </w:rPr>
        <w:t xml:space="preserve"> information; syndromic data provide more timely estimates of overdose trends </w:t>
      </w:r>
      <w:r w:rsidRPr="6F6DBEF4" w:rsidR="02B936D0">
        <w:rPr>
          <w:rFonts w:ascii="Times New Roman" w:hAnsi="Times New Roman"/>
        </w:rPr>
        <w:t>using chief complaint data and preliminary discharge diagnosis codes,</w:t>
      </w:r>
      <w:r w:rsidRPr="6F6DBEF4" w:rsidR="5BE0D016">
        <w:rPr>
          <w:rFonts w:ascii="Times New Roman" w:hAnsi="Times New Roman"/>
        </w:rPr>
        <w:t xml:space="preserve"> </w:t>
      </w:r>
      <w:r w:rsidRPr="257ED39A" w:rsidR="5BE0D016">
        <w:rPr>
          <w:rFonts w:ascii="Times New Roman" w:hAnsi="Times New Roman"/>
        </w:rPr>
        <w:t xml:space="preserve">and discharge data provide more </w:t>
      </w:r>
      <w:r w:rsidRPr="257ED39A" w:rsidR="6216DFE8">
        <w:rPr>
          <w:rFonts w:ascii="Times New Roman" w:hAnsi="Times New Roman"/>
        </w:rPr>
        <w:t>reliable</w:t>
      </w:r>
      <w:r w:rsidRPr="257ED39A" w:rsidR="5BE0D016">
        <w:rPr>
          <w:rFonts w:ascii="Times New Roman" w:hAnsi="Times New Roman"/>
        </w:rPr>
        <w:t xml:space="preserve"> estimate</w:t>
      </w:r>
      <w:r w:rsidRPr="257ED39A" w:rsidR="69E49866">
        <w:rPr>
          <w:rFonts w:ascii="Times New Roman" w:hAnsi="Times New Roman"/>
        </w:rPr>
        <w:t>s</w:t>
      </w:r>
      <w:r w:rsidRPr="257ED39A" w:rsidR="5BE0D016">
        <w:rPr>
          <w:rFonts w:ascii="Times New Roman" w:hAnsi="Times New Roman"/>
        </w:rPr>
        <w:t xml:space="preserve"> o</w:t>
      </w:r>
      <w:r w:rsidRPr="257ED39A" w:rsidR="3599CE91">
        <w:rPr>
          <w:rFonts w:ascii="Times New Roman" w:hAnsi="Times New Roman"/>
        </w:rPr>
        <w:t xml:space="preserve">f </w:t>
      </w:r>
      <w:r w:rsidRPr="257ED39A" w:rsidR="4A2658D7">
        <w:rPr>
          <w:rFonts w:ascii="Times New Roman" w:hAnsi="Times New Roman"/>
        </w:rPr>
        <w:t xml:space="preserve">overdose </w:t>
      </w:r>
      <w:r w:rsidRPr="257ED39A" w:rsidR="3599CE91">
        <w:rPr>
          <w:rFonts w:ascii="Times New Roman" w:hAnsi="Times New Roman"/>
        </w:rPr>
        <w:t>burden</w:t>
      </w:r>
      <w:r w:rsidRPr="58E4F1AE" w:rsidR="3FD78E38">
        <w:rPr>
          <w:rFonts w:ascii="Times New Roman" w:hAnsi="Times New Roman"/>
        </w:rPr>
        <w:t xml:space="preserve"> due to higher coverage </w:t>
      </w:r>
      <w:r w:rsidRPr="6F6DBEF4" w:rsidR="3FD78E38">
        <w:rPr>
          <w:rFonts w:ascii="Times New Roman" w:hAnsi="Times New Roman"/>
        </w:rPr>
        <w:t>and finalized discharge diagnosis codes</w:t>
      </w:r>
      <w:r w:rsidRPr="257ED39A" w:rsidR="7C9AB458">
        <w:rPr>
          <w:rFonts w:ascii="Times New Roman" w:hAnsi="Times New Roman"/>
        </w:rPr>
        <w:t>.</w:t>
      </w:r>
      <w:r w:rsidRPr="257ED39A" w:rsidR="3599CE91">
        <w:rPr>
          <w:rFonts w:ascii="Times New Roman" w:hAnsi="Times New Roman"/>
        </w:rPr>
        <w:t xml:space="preserve"> </w:t>
      </w:r>
    </w:p>
    <w:p w:rsidR="008C4A16" w:rsidP="00CA2766" w14:paraId="2F01D138" w14:textId="1694BBF4">
      <w:pPr>
        <w:pStyle w:val="ListParagraph"/>
        <w:numPr>
          <w:ilvl w:val="0"/>
          <w:numId w:val="11"/>
        </w:numPr>
        <w:spacing w:line="259" w:lineRule="auto"/>
        <w:rPr>
          <w:rFonts w:ascii="Times New Roman" w:hAnsi="Times New Roman"/>
        </w:rPr>
      </w:pPr>
      <w:r w:rsidRPr="02F0ABA0">
        <w:rPr>
          <w:rFonts w:ascii="Times New Roman" w:hAnsi="Times New Roman"/>
        </w:rPr>
        <w:t>DOSE</w:t>
      </w:r>
      <w:r w:rsidRPr="02F0ABA0" w:rsidR="4CE74E11">
        <w:rPr>
          <w:rFonts w:ascii="Times New Roman" w:hAnsi="Times New Roman"/>
        </w:rPr>
        <w:t xml:space="preserve"> improve</w:t>
      </w:r>
      <w:r w:rsidRPr="02F0ABA0" w:rsidR="438338AC">
        <w:rPr>
          <w:rFonts w:ascii="Times New Roman" w:hAnsi="Times New Roman"/>
        </w:rPr>
        <w:t>s</w:t>
      </w:r>
      <w:r w:rsidRPr="02F0ABA0" w:rsidR="4CE74E11">
        <w:rPr>
          <w:rFonts w:ascii="Times New Roman" w:hAnsi="Times New Roman"/>
        </w:rPr>
        <w:t xml:space="preserve"> the NSSP </w:t>
      </w:r>
      <w:r w:rsidRPr="02F0ABA0" w:rsidR="4CE74E11">
        <w:rPr>
          <w:rFonts w:ascii="Times New Roman" w:hAnsi="Times New Roman"/>
        </w:rPr>
        <w:t>BioSense</w:t>
      </w:r>
      <w:r w:rsidRPr="02F0ABA0" w:rsidR="4CE74E11">
        <w:rPr>
          <w:rFonts w:ascii="Times New Roman" w:hAnsi="Times New Roman"/>
        </w:rPr>
        <w:t xml:space="preserve"> platform</w:t>
      </w:r>
      <w:r w:rsidRPr="02F0ABA0" w:rsidR="1B893A61">
        <w:rPr>
          <w:rFonts w:ascii="Times New Roman" w:hAnsi="Times New Roman"/>
        </w:rPr>
        <w:t>,</w:t>
      </w:r>
      <w:r w:rsidRPr="02F0ABA0" w:rsidR="4CE74E11">
        <w:rPr>
          <w:rFonts w:ascii="Times New Roman" w:hAnsi="Times New Roman"/>
        </w:rPr>
        <w:t xml:space="preserve"> </w:t>
      </w:r>
      <w:r w:rsidRPr="02F0ABA0" w:rsidR="2C22166E">
        <w:rPr>
          <w:rFonts w:ascii="Times New Roman" w:hAnsi="Times New Roman"/>
        </w:rPr>
        <w:t xml:space="preserve">which captures about </w:t>
      </w:r>
      <w:r w:rsidRPr="02F0ABA0" w:rsidR="00EC0233">
        <w:rPr>
          <w:rFonts w:ascii="Times New Roman" w:hAnsi="Times New Roman"/>
        </w:rPr>
        <w:t>80</w:t>
      </w:r>
      <w:r w:rsidRPr="02F0ABA0" w:rsidR="5FC1B1A4">
        <w:rPr>
          <w:rFonts w:ascii="Times New Roman" w:hAnsi="Times New Roman"/>
        </w:rPr>
        <w:t xml:space="preserve">% of all ED </w:t>
      </w:r>
      <w:r w:rsidR="005861CB">
        <w:rPr>
          <w:rFonts w:ascii="Times New Roman" w:hAnsi="Times New Roman"/>
        </w:rPr>
        <w:t>facilities</w:t>
      </w:r>
      <w:r w:rsidRPr="02F0ABA0" w:rsidR="005861CB">
        <w:rPr>
          <w:rFonts w:ascii="Times New Roman" w:hAnsi="Times New Roman"/>
        </w:rPr>
        <w:t xml:space="preserve"> </w:t>
      </w:r>
      <w:r w:rsidRPr="02F0ABA0" w:rsidR="2C22166E">
        <w:rPr>
          <w:rFonts w:ascii="Times New Roman" w:hAnsi="Times New Roman"/>
        </w:rPr>
        <w:t>in the US</w:t>
      </w:r>
      <w:r w:rsidRPr="02F0ABA0" w:rsidR="381DA2BC">
        <w:rPr>
          <w:rFonts w:ascii="Times New Roman" w:hAnsi="Times New Roman"/>
        </w:rPr>
        <w:t xml:space="preserve"> – up from </w:t>
      </w:r>
      <w:r w:rsidRPr="02F0ABA0" w:rsidR="00EC0233">
        <w:rPr>
          <w:rFonts w:ascii="Times New Roman" w:hAnsi="Times New Roman"/>
        </w:rPr>
        <w:t>71</w:t>
      </w:r>
      <w:r w:rsidRPr="02F0ABA0" w:rsidR="381DA2BC">
        <w:rPr>
          <w:rFonts w:ascii="Times New Roman" w:hAnsi="Times New Roman"/>
        </w:rPr>
        <w:t xml:space="preserve">% </w:t>
      </w:r>
      <w:r w:rsidRPr="02F0ABA0" w:rsidR="79663398">
        <w:rPr>
          <w:rFonts w:ascii="Times New Roman" w:hAnsi="Times New Roman"/>
        </w:rPr>
        <w:t>in 2022</w:t>
      </w:r>
      <w:r w:rsidRPr="02F0ABA0" w:rsidR="381DA2BC">
        <w:rPr>
          <w:rFonts w:ascii="Times New Roman" w:hAnsi="Times New Roman"/>
        </w:rPr>
        <w:t xml:space="preserve"> -</w:t>
      </w:r>
      <w:r w:rsidRPr="02F0ABA0" w:rsidR="2C22166E">
        <w:rPr>
          <w:rFonts w:ascii="Times New Roman" w:hAnsi="Times New Roman"/>
        </w:rPr>
        <w:t xml:space="preserve"> </w:t>
      </w:r>
      <w:r w:rsidR="4CE74E11">
        <w:t>￼</w:t>
      </w:r>
      <w:r w:rsidRPr="02F0ABA0" w:rsidR="4CE74E11">
        <w:rPr>
          <w:rFonts w:ascii="Times New Roman" w:hAnsi="Times New Roman"/>
        </w:rPr>
        <w:t>as part of CDC’s emergency response to the opioid overdose epidemic. The FY 2018 Consolidated Appropriations Act and Accompanying Report include</w:t>
      </w:r>
      <w:r w:rsidRPr="02F0ABA0" w:rsidR="51119982">
        <w:rPr>
          <w:rFonts w:ascii="Times New Roman" w:hAnsi="Times New Roman"/>
        </w:rPr>
        <w:t>d</w:t>
      </w:r>
      <w:r w:rsidRPr="02F0ABA0" w:rsidR="4CE74E11">
        <w:rPr>
          <w:rFonts w:ascii="Times New Roman" w:hAnsi="Times New Roman"/>
        </w:rPr>
        <w:t xml:space="preserve"> an increase in funding appropriated to Centers for Disease Control and Prevention (CDC) to “advance the understanding of the opioid overdose epidemic and scale up prevention activities across all 50 States and </w:t>
      </w:r>
      <w:r w:rsidR="002343AB">
        <w:rPr>
          <w:rFonts w:ascii="Times New Roman" w:hAnsi="Times New Roman"/>
        </w:rPr>
        <w:t>District of Columbia</w:t>
      </w:r>
      <w:r w:rsidRPr="02F0ABA0" w:rsidR="4CE74E11">
        <w:rPr>
          <w:rFonts w:ascii="Times New Roman" w:hAnsi="Times New Roman"/>
        </w:rPr>
        <w:t>.” Responding to this goal, CDC activated CDC-RFA-TP18-1802 Cooperative Agreement for Emergency Response: Public Health Crisis Response funding to those affected by the opioid overdose epidemic.</w:t>
      </w:r>
      <w:r w:rsidRPr="02F0ABA0" w:rsidR="5F6B1690">
        <w:rPr>
          <w:rFonts w:ascii="Times New Roman" w:hAnsi="Times New Roman"/>
        </w:rPr>
        <w:t xml:space="preserve"> DOSE recipients </w:t>
      </w:r>
      <w:r w:rsidRPr="02F0ABA0" w:rsidR="4CE74E11">
        <w:rPr>
          <w:rFonts w:ascii="Times New Roman" w:hAnsi="Times New Roman"/>
        </w:rPr>
        <w:t xml:space="preserve">use the one-year funding to expand hospital participation in NSSP </w:t>
      </w:r>
      <w:r w:rsidRPr="02F0ABA0" w:rsidR="4CE74E11">
        <w:rPr>
          <w:rFonts w:ascii="Times New Roman" w:hAnsi="Times New Roman"/>
        </w:rPr>
        <w:t>BioSense</w:t>
      </w:r>
      <w:r w:rsidRPr="02F0ABA0" w:rsidR="4CE74E11">
        <w:rPr>
          <w:rFonts w:ascii="Times New Roman" w:hAnsi="Times New Roman"/>
        </w:rPr>
        <w:t xml:space="preserve"> and improve their capacity to use timely and comprehensive syndromic surveillance data on non-fatal opioid overdoses.</w:t>
      </w:r>
    </w:p>
    <w:p w:rsidR="00F300CD" w:rsidRPr="006B23E7" w:rsidP="006B23E7" w14:paraId="33C17B75" w14:textId="2171619B">
      <w:pPr>
        <w:pStyle w:val="ListParagraph"/>
        <w:numPr>
          <w:ilvl w:val="0"/>
          <w:numId w:val="11"/>
        </w:numPr>
        <w:rPr>
          <w:rFonts w:ascii="Times New Roman" w:hAnsi="Times New Roman"/>
        </w:rPr>
      </w:pPr>
      <w:r w:rsidRPr="257ED39A">
        <w:rPr>
          <w:rFonts w:ascii="Times New Roman" w:hAnsi="Times New Roman"/>
        </w:rPr>
        <w:t xml:space="preserve">CDC’s Overdose Data to Action </w:t>
      </w:r>
      <w:r w:rsidR="0074032E">
        <w:rPr>
          <w:rFonts w:ascii="Times New Roman" w:hAnsi="Times New Roman"/>
        </w:rPr>
        <w:t xml:space="preserve">for States </w:t>
      </w:r>
      <w:r w:rsidRPr="257ED39A">
        <w:rPr>
          <w:rFonts w:ascii="Times New Roman" w:hAnsi="Times New Roman"/>
        </w:rPr>
        <w:t>Notice of Funding Opportunity (OD2A</w:t>
      </w:r>
      <w:r w:rsidR="00102F32">
        <w:rPr>
          <w:rFonts w:ascii="Times New Roman" w:hAnsi="Times New Roman"/>
        </w:rPr>
        <w:t>-S</w:t>
      </w:r>
      <w:r w:rsidRPr="257ED39A">
        <w:rPr>
          <w:rFonts w:ascii="Times New Roman" w:hAnsi="Times New Roman"/>
        </w:rPr>
        <w:t xml:space="preserve">, </w:t>
      </w:r>
      <w:r w:rsidR="00102F32">
        <w:rPr>
          <w:rFonts w:ascii="Times" w:eastAsia="Times" w:hAnsi="Times" w:cs="Times"/>
        </w:rPr>
        <w:t>CDC-RFA-CE-23-0002</w:t>
      </w:r>
      <w:r w:rsidRPr="257ED39A">
        <w:rPr>
          <w:rFonts w:ascii="Times New Roman" w:hAnsi="Times New Roman"/>
        </w:rPr>
        <w:t xml:space="preserve">) requires all participating </w:t>
      </w:r>
      <w:r w:rsidRPr="257ED39A" w:rsidR="19EAEF25">
        <w:rPr>
          <w:rFonts w:ascii="Times New Roman" w:hAnsi="Times New Roman"/>
        </w:rPr>
        <w:t xml:space="preserve">state </w:t>
      </w:r>
      <w:r w:rsidRPr="257ED39A">
        <w:rPr>
          <w:rFonts w:ascii="Times New Roman" w:hAnsi="Times New Roman"/>
        </w:rPr>
        <w:t>health departments</w:t>
      </w:r>
      <w:r w:rsidRPr="257ED39A" w:rsidR="19EAEF25">
        <w:rPr>
          <w:rFonts w:ascii="Times New Roman" w:hAnsi="Times New Roman"/>
        </w:rPr>
        <w:t xml:space="preserve"> and the District of Columbia</w:t>
      </w:r>
      <w:r w:rsidRPr="257ED39A">
        <w:rPr>
          <w:rFonts w:ascii="Times New Roman" w:hAnsi="Times New Roman"/>
        </w:rPr>
        <w:t xml:space="preserve"> to spend a portion of their funding to support the local ED</w:t>
      </w:r>
      <w:r w:rsidR="00D406ED">
        <w:rPr>
          <w:rFonts w:ascii="Times New Roman" w:hAnsi="Times New Roman"/>
        </w:rPr>
        <w:t xml:space="preserve"> syndromic or ED/</w:t>
      </w:r>
      <w:r w:rsidRPr="257ED39A" w:rsidR="4245D64E">
        <w:rPr>
          <w:rFonts w:ascii="Times New Roman" w:hAnsi="Times New Roman"/>
        </w:rPr>
        <w:t>inpatient hospital</w:t>
      </w:r>
      <w:r w:rsidR="00327668">
        <w:rPr>
          <w:rFonts w:ascii="Times New Roman" w:hAnsi="Times New Roman"/>
        </w:rPr>
        <w:t>ization</w:t>
      </w:r>
      <w:r w:rsidRPr="257ED39A">
        <w:rPr>
          <w:rFonts w:ascii="Times New Roman" w:hAnsi="Times New Roman"/>
        </w:rPr>
        <w:t xml:space="preserve"> </w:t>
      </w:r>
      <w:r w:rsidR="00D406ED">
        <w:rPr>
          <w:rFonts w:ascii="Times New Roman" w:hAnsi="Times New Roman"/>
        </w:rPr>
        <w:t xml:space="preserve">discharge </w:t>
      </w:r>
      <w:r w:rsidRPr="257ED39A">
        <w:rPr>
          <w:rFonts w:ascii="Times New Roman" w:hAnsi="Times New Roman"/>
        </w:rPr>
        <w:t>data collection and/or analysis. Recipients may spend the funding to address their own unique data gaps (e.g., one state may hire staffing to support analysis while another may us</w:t>
      </w:r>
      <w:r w:rsidRPr="257ED39A" w:rsidR="5881B741">
        <w:rPr>
          <w:rFonts w:ascii="Times New Roman" w:hAnsi="Times New Roman"/>
        </w:rPr>
        <w:t>e</w:t>
      </w:r>
      <w:r w:rsidRPr="257ED39A">
        <w:rPr>
          <w:rFonts w:ascii="Times New Roman" w:hAnsi="Times New Roman"/>
        </w:rPr>
        <w:t xml:space="preserve"> funding to improve data quality or coverage)</w:t>
      </w:r>
      <w:r w:rsidRPr="257ED39A" w:rsidR="54963F6E">
        <w:rPr>
          <w:rFonts w:ascii="Times New Roman" w:hAnsi="Times New Roman"/>
        </w:rPr>
        <w:t>. This funding</w:t>
      </w:r>
      <w:r w:rsidRPr="257ED39A">
        <w:rPr>
          <w:rFonts w:ascii="Times New Roman" w:hAnsi="Times New Roman"/>
        </w:rPr>
        <w:t xml:space="preserve"> over</w:t>
      </w:r>
      <w:r w:rsidRPr="257ED39A" w:rsidR="1278614E">
        <w:rPr>
          <w:rFonts w:ascii="Times New Roman" w:hAnsi="Times New Roman"/>
        </w:rPr>
        <w:t xml:space="preserve"> </w:t>
      </w:r>
      <w:r w:rsidRPr="257ED39A">
        <w:rPr>
          <w:rFonts w:ascii="Times New Roman" w:hAnsi="Times New Roman"/>
        </w:rPr>
        <w:t>tim</w:t>
      </w:r>
      <w:r w:rsidRPr="257ED39A" w:rsidR="54963F6E">
        <w:rPr>
          <w:rFonts w:ascii="Times New Roman" w:hAnsi="Times New Roman"/>
        </w:rPr>
        <w:t>e should improve the coverage and quality of data collected by</w:t>
      </w:r>
      <w:r w:rsidRPr="257ED39A">
        <w:rPr>
          <w:rFonts w:ascii="Times New Roman" w:hAnsi="Times New Roman"/>
        </w:rPr>
        <w:t xml:space="preserve"> DOSE.</w:t>
      </w:r>
    </w:p>
    <w:p w:rsidR="00F924CC" w:rsidRPr="00304A95" w:rsidP="0087540E" w14:paraId="1E48E5D1" w14:textId="77777777">
      <w:pPr>
        <w:rPr>
          <w:b/>
          <w:bCs/>
          <w:color w:val="000000"/>
          <w:sz w:val="24"/>
        </w:rPr>
      </w:pPr>
    </w:p>
    <w:p w:rsidR="0087540E" w:rsidRPr="00304A95" w:rsidP="0EBCC76A" w14:paraId="22312AA9" w14:textId="77777777">
      <w:pPr>
        <w:ind w:left="720" w:hanging="720"/>
        <w:rPr>
          <w:color w:val="000000"/>
          <w:sz w:val="24"/>
        </w:rPr>
      </w:pPr>
      <w:r w:rsidRPr="0EBCC76A">
        <w:rPr>
          <w:b/>
          <w:color w:val="000000" w:themeColor="text1"/>
          <w:sz w:val="24"/>
        </w:rPr>
        <w:t>4.</w:t>
      </w:r>
      <w:r>
        <w:tab/>
      </w:r>
      <w:r w:rsidRPr="0EBCC76A">
        <w:rPr>
          <w:b/>
          <w:color w:val="000000" w:themeColor="text1"/>
          <w:sz w:val="24"/>
        </w:rPr>
        <w:t>Tests of Procedures or Methods to be Undertaken</w:t>
      </w:r>
    </w:p>
    <w:p w:rsidR="001A162F" w:rsidRPr="00304A95" w:rsidP="0087540E" w14:paraId="4B700BA9" w14:textId="77777777">
      <w:pPr>
        <w:rPr>
          <w:color w:val="000000"/>
          <w:sz w:val="24"/>
        </w:rPr>
      </w:pPr>
    </w:p>
    <w:p w:rsidR="000262E4" w:rsidRPr="00304A95" w:rsidP="257ED39A" w14:paraId="028AFD6F" w14:textId="3A5C49FD">
      <w:pPr>
        <w:rPr>
          <w:sz w:val="24"/>
        </w:rPr>
      </w:pPr>
      <w:r w:rsidRPr="257ED39A">
        <w:rPr>
          <w:sz w:val="24"/>
        </w:rPr>
        <w:t>Case</w:t>
      </w:r>
      <w:r w:rsidR="009E6D69">
        <w:rPr>
          <w:sz w:val="24"/>
        </w:rPr>
        <w:t xml:space="preserve"> and syndrome</w:t>
      </w:r>
      <w:r w:rsidRPr="257ED39A">
        <w:rPr>
          <w:sz w:val="24"/>
        </w:rPr>
        <w:t xml:space="preserve"> definitions </w:t>
      </w:r>
      <w:r w:rsidRPr="257ED39A" w:rsidR="0695C162">
        <w:rPr>
          <w:sz w:val="24"/>
        </w:rPr>
        <w:t xml:space="preserve">of </w:t>
      </w:r>
      <w:r w:rsidRPr="257ED39A">
        <w:rPr>
          <w:sz w:val="24"/>
        </w:rPr>
        <w:t xml:space="preserve">ED visits involving </w:t>
      </w:r>
      <w:r w:rsidRPr="257ED39A" w:rsidR="513A369D">
        <w:rPr>
          <w:sz w:val="24"/>
        </w:rPr>
        <w:t xml:space="preserve">all </w:t>
      </w:r>
      <w:bookmarkStart w:id="2" w:name="_Hlk94182883"/>
      <w:r w:rsidRPr="257ED39A" w:rsidR="1D1B1C5C">
        <w:rPr>
          <w:sz w:val="24"/>
        </w:rPr>
        <w:t xml:space="preserve">drug, </w:t>
      </w:r>
      <w:r w:rsidRPr="257ED39A" w:rsidR="414B02B6">
        <w:rPr>
          <w:sz w:val="24"/>
        </w:rPr>
        <w:t xml:space="preserve">all </w:t>
      </w:r>
      <w:r w:rsidRPr="257ED39A" w:rsidR="1D1B1C5C">
        <w:rPr>
          <w:sz w:val="24"/>
        </w:rPr>
        <w:t xml:space="preserve">opioid, heroin, fentanyl, all stimulant, cocaine, methamphetamine, </w:t>
      </w:r>
      <w:r w:rsidR="009E4584">
        <w:rPr>
          <w:sz w:val="24"/>
        </w:rPr>
        <w:t xml:space="preserve">and </w:t>
      </w:r>
      <w:r w:rsidRPr="257ED39A" w:rsidR="1D1B1C5C">
        <w:rPr>
          <w:sz w:val="24"/>
        </w:rPr>
        <w:t>benzodiazepine</w:t>
      </w:r>
      <w:bookmarkEnd w:id="2"/>
      <w:r w:rsidRPr="257ED39A">
        <w:rPr>
          <w:sz w:val="24"/>
        </w:rPr>
        <w:t xml:space="preserve"> overdoses have been extensively tested in the following ways:</w:t>
      </w:r>
    </w:p>
    <w:p w:rsidR="00FC23A5" w:rsidRPr="00304A95" w:rsidP="00EF5264" w14:paraId="1DF06062" w14:textId="29AE5477">
      <w:pPr>
        <w:rPr>
          <w:sz w:val="24"/>
        </w:rPr>
      </w:pPr>
    </w:p>
    <w:p w:rsidR="00FC23A5" w:rsidP="00304A95" w14:paraId="1FEB20F0" w14:textId="6B250E8B">
      <w:pPr>
        <w:pStyle w:val="ListParagraph"/>
        <w:numPr>
          <w:ilvl w:val="0"/>
          <w:numId w:val="24"/>
        </w:numPr>
        <w:rPr>
          <w:rFonts w:ascii="Times New Roman" w:hAnsi="Times New Roman"/>
        </w:rPr>
      </w:pPr>
      <w:r w:rsidRPr="257ED39A">
        <w:rPr>
          <w:rFonts w:ascii="Times New Roman" w:hAnsi="Times New Roman"/>
        </w:rPr>
        <w:t xml:space="preserve">Under previous CDC funding (i.e., Enhanced State Opioid Overdose System or ESOOS), </w:t>
      </w:r>
      <w:r w:rsidRPr="257ED39A" w:rsidR="0695C162">
        <w:rPr>
          <w:rFonts w:ascii="Times New Roman" w:hAnsi="Times New Roman"/>
        </w:rPr>
        <w:t>health departments develop</w:t>
      </w:r>
      <w:r w:rsidRPr="257ED39A">
        <w:rPr>
          <w:rFonts w:ascii="Times New Roman" w:hAnsi="Times New Roman"/>
        </w:rPr>
        <w:t>ed</w:t>
      </w:r>
      <w:r w:rsidRPr="257ED39A" w:rsidR="0695C162">
        <w:rPr>
          <w:rFonts w:ascii="Times New Roman" w:hAnsi="Times New Roman"/>
        </w:rPr>
        <w:t xml:space="preserve"> state-based </w:t>
      </w:r>
      <w:r w:rsidR="00114E4D">
        <w:rPr>
          <w:rFonts w:ascii="Times New Roman" w:hAnsi="Times New Roman"/>
        </w:rPr>
        <w:t>syndrome</w:t>
      </w:r>
      <w:r w:rsidR="00067A09">
        <w:rPr>
          <w:rFonts w:ascii="Times New Roman" w:hAnsi="Times New Roman"/>
        </w:rPr>
        <w:t xml:space="preserve"> (i.e., syndromic case)</w:t>
      </w:r>
      <w:r w:rsidRPr="257ED39A" w:rsidR="0695C162">
        <w:rPr>
          <w:rFonts w:ascii="Times New Roman" w:hAnsi="Times New Roman"/>
        </w:rPr>
        <w:t xml:space="preserve"> definitions </w:t>
      </w:r>
      <w:r w:rsidRPr="257ED39A">
        <w:rPr>
          <w:rFonts w:ascii="Times New Roman" w:hAnsi="Times New Roman"/>
        </w:rPr>
        <w:t xml:space="preserve">for drug </w:t>
      </w:r>
      <w:r w:rsidRPr="257ED39A" w:rsidR="15CE24E9">
        <w:rPr>
          <w:rFonts w:ascii="Times New Roman" w:hAnsi="Times New Roman"/>
        </w:rPr>
        <w:t>overdoses. The commonalities across these state-base</w:t>
      </w:r>
      <w:r w:rsidRPr="257ED39A" w:rsidR="1CFD6E03">
        <w:rPr>
          <w:rFonts w:ascii="Times New Roman" w:hAnsi="Times New Roman"/>
        </w:rPr>
        <w:t>d</w:t>
      </w:r>
      <w:r w:rsidRPr="257ED39A" w:rsidR="15CE24E9">
        <w:rPr>
          <w:rFonts w:ascii="Times New Roman" w:hAnsi="Times New Roman"/>
        </w:rPr>
        <w:t xml:space="preserve"> definitions have been critical in informing the development of national </w:t>
      </w:r>
      <w:r w:rsidR="00E76151">
        <w:rPr>
          <w:rFonts w:ascii="Times New Roman" w:hAnsi="Times New Roman"/>
        </w:rPr>
        <w:t xml:space="preserve">syndrome </w:t>
      </w:r>
      <w:r w:rsidRPr="257ED39A" w:rsidR="15CE24E9">
        <w:rPr>
          <w:rFonts w:ascii="Times New Roman" w:hAnsi="Times New Roman"/>
        </w:rPr>
        <w:t>definitions</w:t>
      </w:r>
      <w:r w:rsidRPr="257ED39A" w:rsidR="03979911">
        <w:rPr>
          <w:rFonts w:ascii="Times New Roman" w:hAnsi="Times New Roman"/>
        </w:rPr>
        <w:t xml:space="preserve">. In addition, differences </w:t>
      </w:r>
      <w:r w:rsidRPr="257ED39A" w:rsidR="1CFD6E03">
        <w:rPr>
          <w:rFonts w:ascii="Times New Roman" w:hAnsi="Times New Roman"/>
        </w:rPr>
        <w:t>across state-based definitions coupled with consultations with CDC have resulted in refinements of the nati</w:t>
      </w:r>
      <w:r w:rsidRPr="257ED39A" w:rsidR="3607F8E5">
        <w:rPr>
          <w:rFonts w:ascii="Times New Roman" w:hAnsi="Times New Roman"/>
        </w:rPr>
        <w:t xml:space="preserve">onal definitions that enhance the </w:t>
      </w:r>
      <w:r w:rsidRPr="257ED39A" w:rsidR="1CFD6E03">
        <w:rPr>
          <w:rFonts w:ascii="Times New Roman" w:hAnsi="Times New Roman"/>
        </w:rPr>
        <w:t xml:space="preserve">ability </w:t>
      </w:r>
      <w:r w:rsidRPr="257ED39A" w:rsidR="32E991C3">
        <w:rPr>
          <w:rFonts w:ascii="Times New Roman" w:hAnsi="Times New Roman"/>
        </w:rPr>
        <w:t xml:space="preserve">of </w:t>
      </w:r>
      <w:r w:rsidRPr="257ED39A" w:rsidR="54963F6E">
        <w:rPr>
          <w:rFonts w:ascii="Times New Roman" w:hAnsi="Times New Roman"/>
        </w:rPr>
        <w:t>these national</w:t>
      </w:r>
      <w:r w:rsidRPr="257ED39A" w:rsidR="1CFD6E03">
        <w:rPr>
          <w:rFonts w:ascii="Times New Roman" w:hAnsi="Times New Roman"/>
        </w:rPr>
        <w:t xml:space="preserve"> </w:t>
      </w:r>
      <w:r w:rsidR="00E76151">
        <w:rPr>
          <w:rFonts w:ascii="Times New Roman" w:hAnsi="Times New Roman"/>
        </w:rPr>
        <w:t>syndrome</w:t>
      </w:r>
      <w:r w:rsidRPr="257ED39A" w:rsidR="3607F8E5">
        <w:rPr>
          <w:rFonts w:ascii="Times New Roman" w:hAnsi="Times New Roman"/>
        </w:rPr>
        <w:t xml:space="preserve"> definition</w:t>
      </w:r>
      <w:r w:rsidRPr="257ED39A" w:rsidR="54963F6E">
        <w:rPr>
          <w:rFonts w:ascii="Times New Roman" w:hAnsi="Times New Roman"/>
        </w:rPr>
        <w:t>s to</w:t>
      </w:r>
      <w:r w:rsidRPr="257ED39A" w:rsidR="3607F8E5">
        <w:rPr>
          <w:rFonts w:ascii="Times New Roman" w:hAnsi="Times New Roman"/>
        </w:rPr>
        <w:t xml:space="preserve"> </w:t>
      </w:r>
      <w:r w:rsidRPr="257ED39A" w:rsidR="1CFD6E03">
        <w:rPr>
          <w:rFonts w:ascii="Times New Roman" w:hAnsi="Times New Roman"/>
        </w:rPr>
        <w:t>detect suspected overdoses.</w:t>
      </w:r>
    </w:p>
    <w:p w:rsidR="00934E3D" w:rsidRPr="00304A95" w:rsidP="00934E3D" w14:paraId="704B12D1" w14:textId="458B9CA0">
      <w:pPr>
        <w:pStyle w:val="ListParagraph"/>
        <w:numPr>
          <w:ilvl w:val="0"/>
          <w:numId w:val="24"/>
        </w:numPr>
        <w:rPr>
          <w:rFonts w:ascii="Times New Roman" w:hAnsi="Times New Roman"/>
        </w:rPr>
      </w:pPr>
      <w:r w:rsidRPr="00304A95">
        <w:rPr>
          <w:rFonts w:ascii="Times New Roman" w:hAnsi="Times New Roman"/>
        </w:rPr>
        <w:t xml:space="preserve">The case definitions </w:t>
      </w:r>
      <w:r w:rsidR="002E24D0">
        <w:rPr>
          <w:rFonts w:ascii="Times New Roman" w:hAnsi="Times New Roman"/>
        </w:rPr>
        <w:t xml:space="preserve">for DOSE-SYS and DOSE-DIS </w:t>
      </w:r>
      <w:r w:rsidRPr="00304A95">
        <w:rPr>
          <w:rFonts w:ascii="Times New Roman" w:hAnsi="Times New Roman"/>
        </w:rPr>
        <w:t>were informed by a review of other ICD-9-CM and ICD-10-CM drug overdose coding systems.</w:t>
      </w:r>
      <w:r w:rsidR="002E24D0">
        <w:rPr>
          <w:rFonts w:ascii="Times New Roman" w:hAnsi="Times New Roman"/>
        </w:rPr>
        <w:t xml:space="preserve"> Specifically, </w:t>
      </w:r>
      <w:hyperlink r:id="rId12" w:history="1">
        <w:r w:rsidRPr="00BE12D3" w:rsidR="002E24D0">
          <w:rPr>
            <w:rStyle w:val="Hyperlink"/>
            <w:rFonts w:ascii="Times New Roman" w:hAnsi="Times New Roman"/>
          </w:rPr>
          <w:t>this publication</w:t>
        </w:r>
      </w:hyperlink>
      <w:r w:rsidR="002E24D0">
        <w:rPr>
          <w:rFonts w:ascii="Times New Roman" w:hAnsi="Times New Roman"/>
        </w:rPr>
        <w:t xml:space="preserve"> was referenced in developing case definitions for DOSE-DIS.</w:t>
      </w:r>
    </w:p>
    <w:p w:rsidR="00DE72F8" w:rsidRPr="00304A95" w:rsidP="00304A95" w14:paraId="126BF89C" w14:textId="030B49B2">
      <w:pPr>
        <w:pStyle w:val="ListParagraph"/>
        <w:numPr>
          <w:ilvl w:val="0"/>
          <w:numId w:val="24"/>
        </w:numPr>
        <w:rPr>
          <w:rFonts w:ascii="Times New Roman" w:hAnsi="Times New Roman"/>
        </w:rPr>
      </w:pPr>
      <w:r w:rsidRPr="02F0ABA0">
        <w:rPr>
          <w:rFonts w:ascii="Times New Roman" w:hAnsi="Times New Roman"/>
        </w:rPr>
        <w:t xml:space="preserve">CDC has collaborated with staff of the NSSP ESSENCE team to analyze and review </w:t>
      </w:r>
      <w:r w:rsidRPr="02F0ABA0" w:rsidR="00F6029E">
        <w:rPr>
          <w:rFonts w:ascii="Times New Roman" w:hAnsi="Times New Roman"/>
        </w:rPr>
        <w:t>visit</w:t>
      </w:r>
      <w:r w:rsidRPr="02F0ABA0">
        <w:rPr>
          <w:rFonts w:ascii="Times New Roman" w:hAnsi="Times New Roman"/>
        </w:rPr>
        <w:t>-l</w:t>
      </w:r>
      <w:r w:rsidRPr="02F0ABA0" w:rsidR="3607F8E5">
        <w:rPr>
          <w:rFonts w:ascii="Times New Roman" w:hAnsi="Times New Roman"/>
        </w:rPr>
        <w:t xml:space="preserve">evel ED </w:t>
      </w:r>
      <w:r w:rsidRPr="02F0ABA0" w:rsidR="00F6029E">
        <w:rPr>
          <w:rFonts w:ascii="Times New Roman" w:hAnsi="Times New Roman"/>
        </w:rPr>
        <w:t xml:space="preserve">data </w:t>
      </w:r>
      <w:r w:rsidRPr="02F0ABA0" w:rsidR="3607F8E5">
        <w:rPr>
          <w:rFonts w:ascii="Times New Roman" w:hAnsi="Times New Roman"/>
        </w:rPr>
        <w:t xml:space="preserve">identified by </w:t>
      </w:r>
      <w:r w:rsidRPr="02F0ABA0" w:rsidR="00801DD3">
        <w:rPr>
          <w:rFonts w:ascii="Times New Roman" w:hAnsi="Times New Roman"/>
        </w:rPr>
        <w:t xml:space="preserve">one or more </w:t>
      </w:r>
      <w:r w:rsidRPr="02F0ABA0" w:rsidR="3607F8E5">
        <w:rPr>
          <w:rFonts w:ascii="Times New Roman" w:hAnsi="Times New Roman"/>
        </w:rPr>
        <w:t xml:space="preserve">of the </w:t>
      </w:r>
      <w:r w:rsidRPr="02F0ABA0" w:rsidR="00801DD3">
        <w:rPr>
          <w:rFonts w:ascii="Times New Roman" w:hAnsi="Times New Roman"/>
        </w:rPr>
        <w:t>DOSE syndrome</w:t>
      </w:r>
      <w:r w:rsidRPr="02F0ABA0">
        <w:rPr>
          <w:rFonts w:ascii="Times New Roman" w:hAnsi="Times New Roman"/>
        </w:rPr>
        <w:t xml:space="preserve"> </w:t>
      </w:r>
      <w:r w:rsidRPr="02F0ABA0" w:rsidR="00AF0319">
        <w:rPr>
          <w:rFonts w:ascii="Times New Roman" w:hAnsi="Times New Roman"/>
        </w:rPr>
        <w:t xml:space="preserve">(i.e., </w:t>
      </w:r>
      <w:r w:rsidRPr="02F0ABA0" w:rsidR="00AF0319">
        <w:rPr>
          <w:rFonts w:ascii="Times New Roman" w:hAnsi="Times New Roman"/>
        </w:rPr>
        <w:t xml:space="preserve">syndromic case) </w:t>
      </w:r>
      <w:r w:rsidRPr="02F0ABA0">
        <w:rPr>
          <w:rFonts w:ascii="Times New Roman" w:hAnsi="Times New Roman"/>
        </w:rPr>
        <w:t>definition</w:t>
      </w:r>
      <w:r w:rsidRPr="02F0ABA0" w:rsidR="4D97C5D2">
        <w:rPr>
          <w:rFonts w:ascii="Times New Roman" w:hAnsi="Times New Roman"/>
        </w:rPr>
        <w:t>s</w:t>
      </w:r>
      <w:r w:rsidRPr="02F0ABA0">
        <w:rPr>
          <w:rFonts w:ascii="Times New Roman" w:hAnsi="Times New Roman"/>
        </w:rPr>
        <w:t>. Analytic techniques</w:t>
      </w:r>
      <w:r w:rsidRPr="02F0ABA0" w:rsidR="045335C7">
        <w:rPr>
          <w:rFonts w:ascii="Times New Roman" w:hAnsi="Times New Roman"/>
        </w:rPr>
        <w:t xml:space="preserve"> have included identifying words and </w:t>
      </w:r>
      <w:r w:rsidRPr="02F0ABA0" w:rsidR="006A22D3">
        <w:rPr>
          <w:rFonts w:ascii="Times New Roman" w:hAnsi="Times New Roman"/>
        </w:rPr>
        <w:t xml:space="preserve">ICD-9-CM, </w:t>
      </w:r>
      <w:r w:rsidRPr="02F0ABA0" w:rsidR="045335C7">
        <w:rPr>
          <w:rFonts w:ascii="Times New Roman" w:hAnsi="Times New Roman"/>
        </w:rPr>
        <w:t>ICD-10</w:t>
      </w:r>
      <w:r w:rsidRPr="02F0ABA0" w:rsidR="76963B18">
        <w:rPr>
          <w:rFonts w:ascii="Times New Roman" w:hAnsi="Times New Roman"/>
        </w:rPr>
        <w:t>-CM</w:t>
      </w:r>
      <w:r w:rsidRPr="02F0ABA0" w:rsidR="006A22D3">
        <w:rPr>
          <w:rFonts w:ascii="Times New Roman" w:hAnsi="Times New Roman"/>
        </w:rPr>
        <w:t xml:space="preserve">, and </w:t>
      </w:r>
      <w:r w:rsidRPr="02F0ABA0" w:rsidR="00282ABC">
        <w:rPr>
          <w:rFonts w:ascii="Times New Roman" w:hAnsi="Times New Roman"/>
        </w:rPr>
        <w:t>Systematized Nomenclature of Medicine – Clinical Terms (</w:t>
      </w:r>
      <w:r w:rsidRPr="02F0ABA0" w:rsidR="006A22D3">
        <w:rPr>
          <w:rFonts w:ascii="Times New Roman" w:hAnsi="Times New Roman"/>
        </w:rPr>
        <w:t>SNOMED</w:t>
      </w:r>
      <w:r w:rsidRPr="02F0ABA0" w:rsidR="00282ABC">
        <w:rPr>
          <w:rFonts w:ascii="Times New Roman" w:hAnsi="Times New Roman"/>
        </w:rPr>
        <w:t>)</w:t>
      </w:r>
      <w:r w:rsidRPr="02F0ABA0" w:rsidR="045335C7">
        <w:rPr>
          <w:rFonts w:ascii="Times New Roman" w:hAnsi="Times New Roman"/>
        </w:rPr>
        <w:t xml:space="preserve"> codes that are commonly connected </w:t>
      </w:r>
      <w:r w:rsidRPr="02F0ABA0" w:rsidR="66BE4136">
        <w:rPr>
          <w:rFonts w:ascii="Times New Roman" w:hAnsi="Times New Roman"/>
        </w:rPr>
        <w:t xml:space="preserve">within </w:t>
      </w:r>
      <w:r w:rsidRPr="02F0ABA0" w:rsidR="2C4ECEC6">
        <w:rPr>
          <w:rFonts w:ascii="Times New Roman" w:hAnsi="Times New Roman"/>
        </w:rPr>
        <w:t xml:space="preserve">overdose-related </w:t>
      </w:r>
      <w:r w:rsidRPr="02F0ABA0" w:rsidR="66BE4136">
        <w:rPr>
          <w:rFonts w:ascii="Times New Roman" w:hAnsi="Times New Roman"/>
        </w:rPr>
        <w:t>ED visit</w:t>
      </w:r>
      <w:r w:rsidRPr="02F0ABA0" w:rsidR="000C688A">
        <w:rPr>
          <w:rFonts w:ascii="Times New Roman" w:hAnsi="Times New Roman"/>
        </w:rPr>
        <w:t>s</w:t>
      </w:r>
      <w:r w:rsidRPr="02F0ABA0" w:rsidR="045335C7">
        <w:rPr>
          <w:rFonts w:ascii="Times New Roman" w:hAnsi="Times New Roman"/>
        </w:rPr>
        <w:t xml:space="preserve"> (e.g., ED visits with a chief </w:t>
      </w:r>
      <w:r w:rsidRPr="02F0ABA0" w:rsidR="5D63ECC4">
        <w:rPr>
          <w:rFonts w:ascii="Times New Roman" w:hAnsi="Times New Roman"/>
        </w:rPr>
        <w:t>complaint that includes the abbreviation</w:t>
      </w:r>
      <w:r w:rsidRPr="02F0ABA0" w:rsidR="045335C7">
        <w:rPr>
          <w:rFonts w:ascii="Times New Roman" w:hAnsi="Times New Roman"/>
        </w:rPr>
        <w:t xml:space="preserve"> “OD” often also include words such as “drug”).</w:t>
      </w:r>
      <w:r w:rsidRPr="02F0ABA0">
        <w:rPr>
          <w:rFonts w:ascii="Times New Roman" w:hAnsi="Times New Roman"/>
        </w:rPr>
        <w:t xml:space="preserve"> </w:t>
      </w:r>
      <w:r w:rsidRPr="02F0ABA0" w:rsidR="49A32B58">
        <w:rPr>
          <w:rFonts w:ascii="Times New Roman" w:hAnsi="Times New Roman"/>
        </w:rPr>
        <w:t xml:space="preserve">Manual review of the ED chief complaint and ICD-10-CM codes of ED visits identified by CDC staff </w:t>
      </w:r>
      <w:r w:rsidRPr="02F0ABA0" w:rsidR="00201E13">
        <w:rPr>
          <w:rFonts w:ascii="Times New Roman" w:hAnsi="Times New Roman"/>
        </w:rPr>
        <w:t xml:space="preserve">has </w:t>
      </w:r>
      <w:r w:rsidRPr="02F0ABA0" w:rsidR="49A32B58">
        <w:rPr>
          <w:rFonts w:ascii="Times New Roman" w:hAnsi="Times New Roman"/>
        </w:rPr>
        <w:t xml:space="preserve">been critical </w:t>
      </w:r>
      <w:r w:rsidRPr="02F0ABA0" w:rsidR="00CC18DD">
        <w:rPr>
          <w:rFonts w:ascii="Times New Roman" w:hAnsi="Times New Roman"/>
        </w:rPr>
        <w:t xml:space="preserve">to the development of </w:t>
      </w:r>
      <w:r w:rsidRPr="02F0ABA0" w:rsidR="00EF7C85">
        <w:rPr>
          <w:rFonts w:ascii="Times New Roman" w:hAnsi="Times New Roman"/>
        </w:rPr>
        <w:t>the current eight DOSE</w:t>
      </w:r>
      <w:r w:rsidRPr="02F0ABA0" w:rsidR="007E74DF">
        <w:rPr>
          <w:rFonts w:ascii="Times New Roman" w:hAnsi="Times New Roman"/>
        </w:rPr>
        <w:t xml:space="preserve"> syndrome definitions developed. Addi</w:t>
      </w:r>
      <w:r w:rsidRPr="02F0ABA0" w:rsidR="004C4773">
        <w:rPr>
          <w:rFonts w:ascii="Times New Roman" w:hAnsi="Times New Roman"/>
        </w:rPr>
        <w:t xml:space="preserve">tionally, ongoing review </w:t>
      </w:r>
      <w:r w:rsidRPr="02F0ABA0" w:rsidR="007F38B5">
        <w:rPr>
          <w:rFonts w:ascii="Times New Roman" w:hAnsi="Times New Roman"/>
        </w:rPr>
        <w:t xml:space="preserve">and exploratory analysis </w:t>
      </w:r>
      <w:r w:rsidRPr="02F0ABA0" w:rsidR="004C4773">
        <w:rPr>
          <w:rFonts w:ascii="Times New Roman" w:hAnsi="Times New Roman"/>
        </w:rPr>
        <w:t xml:space="preserve">of submitted ED data </w:t>
      </w:r>
      <w:r w:rsidRPr="02F0ABA0" w:rsidR="00593EFA">
        <w:rPr>
          <w:rFonts w:ascii="Times New Roman" w:hAnsi="Times New Roman"/>
        </w:rPr>
        <w:t xml:space="preserve">has </w:t>
      </w:r>
      <w:r w:rsidRPr="02F0ABA0" w:rsidR="001B6E8D">
        <w:rPr>
          <w:rFonts w:ascii="Times New Roman" w:hAnsi="Times New Roman"/>
        </w:rPr>
        <w:t>led</w:t>
      </w:r>
      <w:r w:rsidRPr="02F0ABA0" w:rsidR="00593EFA">
        <w:rPr>
          <w:rFonts w:ascii="Times New Roman" w:hAnsi="Times New Roman"/>
        </w:rPr>
        <w:t xml:space="preserve"> to improve</w:t>
      </w:r>
      <w:r w:rsidRPr="02F0ABA0" w:rsidR="007F38B5">
        <w:rPr>
          <w:rFonts w:ascii="Times New Roman" w:hAnsi="Times New Roman"/>
        </w:rPr>
        <w:t xml:space="preserve">ments </w:t>
      </w:r>
      <w:r w:rsidRPr="02F0ABA0" w:rsidR="001B6E8D">
        <w:rPr>
          <w:rFonts w:ascii="Times New Roman" w:hAnsi="Times New Roman"/>
        </w:rPr>
        <w:t>across the</w:t>
      </w:r>
      <w:r w:rsidRPr="02F0ABA0" w:rsidR="008B53EA">
        <w:rPr>
          <w:rFonts w:ascii="Times New Roman" w:hAnsi="Times New Roman"/>
        </w:rPr>
        <w:t xml:space="preserve"> dat</w:t>
      </w:r>
      <w:r w:rsidRPr="02F0ABA0" w:rsidR="001B6E8D">
        <w:rPr>
          <w:rFonts w:ascii="Times New Roman" w:hAnsi="Times New Roman"/>
        </w:rPr>
        <w:t xml:space="preserve">a </w:t>
      </w:r>
      <w:r w:rsidRPr="02F0ABA0" w:rsidR="008B53EA">
        <w:rPr>
          <w:rFonts w:ascii="Times New Roman" w:hAnsi="Times New Roman"/>
        </w:rPr>
        <w:t xml:space="preserve">lifecycle for </w:t>
      </w:r>
      <w:r w:rsidRPr="02F0ABA0" w:rsidR="001B6E8D">
        <w:rPr>
          <w:rFonts w:ascii="Times New Roman" w:hAnsi="Times New Roman"/>
        </w:rPr>
        <w:t xml:space="preserve">DOSE </w:t>
      </w:r>
      <w:r w:rsidRPr="02F0ABA0" w:rsidR="008B53EA">
        <w:rPr>
          <w:rFonts w:ascii="Times New Roman" w:hAnsi="Times New Roman"/>
        </w:rPr>
        <w:t xml:space="preserve">syndromic surveillance. </w:t>
      </w:r>
      <w:r w:rsidRPr="02F0ABA0" w:rsidR="001B6E8D">
        <w:rPr>
          <w:rFonts w:ascii="Times New Roman" w:hAnsi="Times New Roman"/>
        </w:rPr>
        <w:t xml:space="preserve">This </w:t>
      </w:r>
      <w:r w:rsidRPr="02F0ABA0" w:rsidR="00961E4B">
        <w:rPr>
          <w:rFonts w:ascii="Times New Roman" w:hAnsi="Times New Roman"/>
        </w:rPr>
        <w:t>has included</w:t>
      </w:r>
      <w:r w:rsidRPr="02F0ABA0" w:rsidR="012865DF">
        <w:rPr>
          <w:rFonts w:ascii="Times New Roman" w:hAnsi="Times New Roman"/>
        </w:rPr>
        <w:t xml:space="preserve"> </w:t>
      </w:r>
      <w:r w:rsidRPr="02F0ABA0" w:rsidR="00A26B70">
        <w:rPr>
          <w:rFonts w:ascii="Times New Roman" w:hAnsi="Times New Roman"/>
        </w:rPr>
        <w:t xml:space="preserve">improved exclusion criteria </w:t>
      </w:r>
      <w:r w:rsidRPr="02F0ABA0" w:rsidR="00FF0440">
        <w:rPr>
          <w:rFonts w:ascii="Times New Roman" w:hAnsi="Times New Roman"/>
        </w:rPr>
        <w:t>for chief complaint text</w:t>
      </w:r>
      <w:r w:rsidRPr="02F0ABA0" w:rsidR="006351F0">
        <w:rPr>
          <w:rFonts w:ascii="Times New Roman" w:hAnsi="Times New Roman"/>
        </w:rPr>
        <w:t xml:space="preserve"> </w:t>
      </w:r>
      <w:r w:rsidRPr="02F0ABA0" w:rsidR="49A32B58">
        <w:rPr>
          <w:rFonts w:ascii="Times New Roman" w:hAnsi="Times New Roman"/>
        </w:rPr>
        <w:t xml:space="preserve">and </w:t>
      </w:r>
      <w:r w:rsidRPr="02F0ABA0" w:rsidR="006351F0">
        <w:rPr>
          <w:rFonts w:ascii="Times New Roman" w:hAnsi="Times New Roman"/>
        </w:rPr>
        <w:t>improvements to the</w:t>
      </w:r>
      <w:r w:rsidRPr="02F0ABA0" w:rsidR="49A32B58">
        <w:rPr>
          <w:rFonts w:ascii="Times New Roman" w:hAnsi="Times New Roman"/>
        </w:rPr>
        <w:t xml:space="preserve"> overdose </w:t>
      </w:r>
      <w:r w:rsidRPr="02F0ABA0" w:rsidR="0021129A">
        <w:rPr>
          <w:rFonts w:ascii="Times New Roman" w:hAnsi="Times New Roman"/>
        </w:rPr>
        <w:t>query syntax</w:t>
      </w:r>
      <w:r w:rsidRPr="02F0ABA0" w:rsidR="49A32B58">
        <w:rPr>
          <w:rFonts w:ascii="Times New Roman" w:hAnsi="Times New Roman"/>
        </w:rPr>
        <w:t xml:space="preserve"> </w:t>
      </w:r>
      <w:r w:rsidRPr="02F0ABA0" w:rsidR="5D63ECC4">
        <w:rPr>
          <w:rFonts w:ascii="Times New Roman" w:hAnsi="Times New Roman"/>
        </w:rPr>
        <w:t xml:space="preserve">(e.g., capture common misspellings) </w:t>
      </w:r>
      <w:r w:rsidRPr="02F0ABA0" w:rsidR="49A32B58">
        <w:rPr>
          <w:rFonts w:ascii="Times New Roman" w:hAnsi="Times New Roman"/>
        </w:rPr>
        <w:t>to detect previously undetected cases.</w:t>
      </w:r>
      <w:r w:rsidRPr="02F0ABA0" w:rsidR="00396285">
        <w:rPr>
          <w:rFonts w:ascii="Times New Roman" w:hAnsi="Times New Roman"/>
        </w:rPr>
        <w:t xml:space="preserve"> Further, CDC will </w:t>
      </w:r>
      <w:r w:rsidRPr="02F0ABA0" w:rsidR="003D1CDA">
        <w:rPr>
          <w:rFonts w:ascii="Times New Roman" w:hAnsi="Times New Roman"/>
        </w:rPr>
        <w:t xml:space="preserve">develop and employ </w:t>
      </w:r>
      <w:r w:rsidRPr="02F0ABA0" w:rsidR="00EC6DCF">
        <w:rPr>
          <w:rFonts w:ascii="Times New Roman" w:hAnsi="Times New Roman"/>
        </w:rPr>
        <w:t xml:space="preserve">methods </w:t>
      </w:r>
      <w:r w:rsidRPr="02F0ABA0" w:rsidR="004C4099">
        <w:rPr>
          <w:rFonts w:ascii="Times New Roman" w:hAnsi="Times New Roman"/>
        </w:rPr>
        <w:t>using n</w:t>
      </w:r>
      <w:r w:rsidRPr="02F0ABA0" w:rsidR="00EC6DCF">
        <w:rPr>
          <w:rFonts w:ascii="Times New Roman" w:hAnsi="Times New Roman"/>
        </w:rPr>
        <w:t xml:space="preserve">atural </w:t>
      </w:r>
      <w:r w:rsidRPr="02F0ABA0" w:rsidR="004C4099">
        <w:rPr>
          <w:rFonts w:ascii="Times New Roman" w:hAnsi="Times New Roman"/>
        </w:rPr>
        <w:t>l</w:t>
      </w:r>
      <w:r w:rsidRPr="02F0ABA0" w:rsidR="00EC6DCF">
        <w:rPr>
          <w:rFonts w:ascii="Times New Roman" w:hAnsi="Times New Roman"/>
        </w:rPr>
        <w:t xml:space="preserve">anguage </w:t>
      </w:r>
      <w:r w:rsidRPr="02F0ABA0" w:rsidR="004C4099">
        <w:rPr>
          <w:rFonts w:ascii="Times New Roman" w:hAnsi="Times New Roman"/>
        </w:rPr>
        <w:t>p</w:t>
      </w:r>
      <w:r w:rsidRPr="02F0ABA0" w:rsidR="00EC6DCF">
        <w:rPr>
          <w:rFonts w:ascii="Times New Roman" w:hAnsi="Times New Roman"/>
        </w:rPr>
        <w:t>rocessing/</w:t>
      </w:r>
      <w:r w:rsidRPr="02F0ABA0" w:rsidR="004C4099">
        <w:rPr>
          <w:rFonts w:ascii="Times New Roman" w:hAnsi="Times New Roman"/>
        </w:rPr>
        <w:t>m</w:t>
      </w:r>
      <w:r w:rsidRPr="02F0ABA0" w:rsidR="00EC6DCF">
        <w:rPr>
          <w:rFonts w:ascii="Times New Roman" w:hAnsi="Times New Roman"/>
        </w:rPr>
        <w:t xml:space="preserve">achine </w:t>
      </w:r>
      <w:r w:rsidRPr="02F0ABA0" w:rsidR="004C4099">
        <w:rPr>
          <w:rFonts w:ascii="Times New Roman" w:hAnsi="Times New Roman"/>
        </w:rPr>
        <w:t>l</w:t>
      </w:r>
      <w:r w:rsidRPr="02F0ABA0" w:rsidR="00EC6DCF">
        <w:rPr>
          <w:rFonts w:ascii="Times New Roman" w:hAnsi="Times New Roman"/>
        </w:rPr>
        <w:t xml:space="preserve">earning </w:t>
      </w:r>
      <w:r w:rsidRPr="02F0ABA0" w:rsidR="00396285">
        <w:rPr>
          <w:rFonts w:ascii="Times New Roman" w:hAnsi="Times New Roman"/>
        </w:rPr>
        <w:t xml:space="preserve">to reduce manual </w:t>
      </w:r>
      <w:r w:rsidRPr="02F0ABA0" w:rsidR="00671025">
        <w:rPr>
          <w:rFonts w:ascii="Times New Roman" w:hAnsi="Times New Roman"/>
        </w:rPr>
        <w:t xml:space="preserve">record </w:t>
      </w:r>
      <w:r w:rsidRPr="02F0ABA0" w:rsidR="00396285">
        <w:rPr>
          <w:rFonts w:ascii="Times New Roman" w:hAnsi="Times New Roman"/>
        </w:rPr>
        <w:t>review burden</w:t>
      </w:r>
      <w:r w:rsidRPr="02F0ABA0" w:rsidR="00671025">
        <w:rPr>
          <w:rFonts w:ascii="Times New Roman" w:hAnsi="Times New Roman"/>
        </w:rPr>
        <w:t xml:space="preserve"> and enhance efficiency of</w:t>
      </w:r>
      <w:r w:rsidRPr="02F0ABA0" w:rsidR="00C31080">
        <w:rPr>
          <w:rFonts w:ascii="Times New Roman" w:hAnsi="Times New Roman"/>
        </w:rPr>
        <w:t xml:space="preserve"> overdose syndrome definition validation</w:t>
      </w:r>
      <w:r w:rsidRPr="02F0ABA0" w:rsidR="00396285">
        <w:rPr>
          <w:rFonts w:ascii="Times New Roman" w:hAnsi="Times New Roman"/>
        </w:rPr>
        <w:t xml:space="preserve">. </w:t>
      </w:r>
    </w:p>
    <w:p w:rsidR="00EB57C0" w:rsidRPr="00304A95" w:rsidP="00304A95" w14:paraId="35018C3A" w14:textId="57743B1D">
      <w:pPr>
        <w:pStyle w:val="ListParagraph"/>
        <w:numPr>
          <w:ilvl w:val="0"/>
          <w:numId w:val="24"/>
        </w:numPr>
        <w:rPr>
          <w:rFonts w:ascii="Times New Roman" w:hAnsi="Times New Roman"/>
        </w:rPr>
      </w:pPr>
      <w:r>
        <w:rPr>
          <w:rFonts w:ascii="Times New Roman" w:hAnsi="Times New Roman"/>
        </w:rPr>
        <w:t xml:space="preserve">A </w:t>
      </w:r>
      <w:hyperlink r:id="rId13" w:history="1">
        <w:r w:rsidRPr="00DB7B81">
          <w:rPr>
            <w:rStyle w:val="Hyperlink"/>
            <w:rFonts w:ascii="Times New Roman" w:hAnsi="Times New Roman"/>
          </w:rPr>
          <w:t xml:space="preserve">recent </w:t>
        </w:r>
        <w:r w:rsidR="00713414">
          <w:rPr>
            <w:rStyle w:val="Hyperlink"/>
            <w:rFonts w:ascii="Times New Roman" w:hAnsi="Times New Roman"/>
          </w:rPr>
          <w:t xml:space="preserve">DOSE team </w:t>
        </w:r>
        <w:r w:rsidRPr="00DB7B81">
          <w:rPr>
            <w:rStyle w:val="Hyperlink"/>
            <w:rFonts w:ascii="Times New Roman" w:hAnsi="Times New Roman"/>
          </w:rPr>
          <w:t>publication</w:t>
        </w:r>
      </w:hyperlink>
      <w:r>
        <w:rPr>
          <w:rFonts w:ascii="Times New Roman" w:hAnsi="Times New Roman"/>
        </w:rPr>
        <w:t xml:space="preserve"> compared </w:t>
      </w:r>
      <w:r w:rsidR="00776AEE">
        <w:rPr>
          <w:rFonts w:ascii="Times New Roman" w:hAnsi="Times New Roman"/>
        </w:rPr>
        <w:t>rates of nonfatal all drug, all opioid, heroin, and all stimulant overdoses</w:t>
      </w:r>
      <w:r w:rsidR="00F63814">
        <w:rPr>
          <w:rFonts w:ascii="Times New Roman" w:hAnsi="Times New Roman"/>
        </w:rPr>
        <w:t xml:space="preserve"> from 2018-2020 between</w:t>
      </w:r>
      <w:r w:rsidR="00776AEE">
        <w:rPr>
          <w:rFonts w:ascii="Times New Roman" w:hAnsi="Times New Roman"/>
        </w:rPr>
        <w:t xml:space="preserve"> </w:t>
      </w:r>
      <w:r>
        <w:rPr>
          <w:rFonts w:ascii="Times New Roman" w:hAnsi="Times New Roman"/>
        </w:rPr>
        <w:t xml:space="preserve">DOSE-DIS data </w:t>
      </w:r>
      <w:r w:rsidR="00F63814">
        <w:rPr>
          <w:rFonts w:ascii="Times New Roman" w:hAnsi="Times New Roman"/>
        </w:rPr>
        <w:t>and</w:t>
      </w:r>
      <w:r w:rsidR="00776AEE">
        <w:rPr>
          <w:rFonts w:ascii="Times New Roman" w:hAnsi="Times New Roman"/>
        </w:rPr>
        <w:t xml:space="preserve"> </w:t>
      </w:r>
      <w:r w:rsidRPr="00776AEE" w:rsidR="00776AEE">
        <w:rPr>
          <w:rFonts w:ascii="Times New Roman" w:hAnsi="Times New Roman"/>
        </w:rPr>
        <w:t>Healthcare Cost and Utilization Project (HCUP)</w:t>
      </w:r>
      <w:r w:rsidR="00F63814">
        <w:rPr>
          <w:rFonts w:ascii="Times New Roman" w:hAnsi="Times New Roman"/>
        </w:rPr>
        <w:t xml:space="preserve"> </w:t>
      </w:r>
      <w:r w:rsidR="001B2C8B">
        <w:rPr>
          <w:rFonts w:ascii="Times New Roman" w:hAnsi="Times New Roman"/>
        </w:rPr>
        <w:t xml:space="preserve">state-level </w:t>
      </w:r>
      <w:r w:rsidR="00F63814">
        <w:rPr>
          <w:rFonts w:ascii="Times New Roman" w:hAnsi="Times New Roman"/>
        </w:rPr>
        <w:t>data</w:t>
      </w:r>
      <w:r w:rsidRPr="00776AEE" w:rsidR="00776AEE">
        <w:rPr>
          <w:rFonts w:ascii="Times New Roman" w:hAnsi="Times New Roman"/>
        </w:rPr>
        <w:t xml:space="preserve"> </w:t>
      </w:r>
      <w:r w:rsidR="00776AEE">
        <w:rPr>
          <w:rFonts w:ascii="Times New Roman" w:hAnsi="Times New Roman"/>
        </w:rPr>
        <w:t>among 18 states</w:t>
      </w:r>
      <w:r w:rsidR="003108BF">
        <w:rPr>
          <w:rFonts w:ascii="Times New Roman" w:hAnsi="Times New Roman"/>
        </w:rPr>
        <w:t xml:space="preserve"> submitting to </w:t>
      </w:r>
      <w:r w:rsidR="00776AEE">
        <w:rPr>
          <w:rFonts w:ascii="Times New Roman" w:hAnsi="Times New Roman"/>
        </w:rPr>
        <w:t xml:space="preserve">both datasets. </w:t>
      </w:r>
      <w:r w:rsidR="004608B1">
        <w:rPr>
          <w:rFonts w:ascii="Times New Roman" w:hAnsi="Times New Roman"/>
        </w:rPr>
        <w:t xml:space="preserve">This analysis found that rates and trends were </w:t>
      </w:r>
      <w:r w:rsidR="004B0367">
        <w:rPr>
          <w:rFonts w:ascii="Times New Roman" w:hAnsi="Times New Roman"/>
        </w:rPr>
        <w:t>similar</w:t>
      </w:r>
      <w:r w:rsidR="004608B1">
        <w:rPr>
          <w:rFonts w:ascii="Times New Roman" w:hAnsi="Times New Roman"/>
        </w:rPr>
        <w:t xml:space="preserve"> between datasets, suggesting </w:t>
      </w:r>
      <w:r w:rsidR="00F63814">
        <w:rPr>
          <w:rFonts w:ascii="Times New Roman" w:hAnsi="Times New Roman"/>
        </w:rPr>
        <w:t>that DOSE-DIS data “</w:t>
      </w:r>
      <w:r w:rsidRPr="00F63814" w:rsidR="00F63814">
        <w:rPr>
          <w:rFonts w:ascii="Times New Roman" w:hAnsi="Times New Roman"/>
        </w:rPr>
        <w:t>may be a valid and timely source for estimating nonfatal overdoses at the state level</w:t>
      </w:r>
      <w:r w:rsidR="00F63814">
        <w:rPr>
          <w:rFonts w:ascii="Times New Roman" w:hAnsi="Times New Roman"/>
        </w:rPr>
        <w:t xml:space="preserve">” </w:t>
      </w:r>
      <w:r w:rsidRPr="00E22E30" w:rsidR="00F63814">
        <w:rPr>
          <w:rFonts w:ascii="Times New Roman" w:hAnsi="Times New Roman"/>
          <w:i/>
          <w:iCs/>
        </w:rPr>
        <w:t xml:space="preserve">[quoted section from </w:t>
      </w:r>
      <w:r w:rsidR="004B0367">
        <w:rPr>
          <w:rFonts w:ascii="Times New Roman" w:hAnsi="Times New Roman"/>
          <w:i/>
          <w:iCs/>
        </w:rPr>
        <w:t xml:space="preserve">publication </w:t>
      </w:r>
      <w:r w:rsidRPr="00E22E30" w:rsidR="00F63814">
        <w:rPr>
          <w:rFonts w:ascii="Times New Roman" w:hAnsi="Times New Roman"/>
          <w:i/>
          <w:iCs/>
        </w:rPr>
        <w:t>Abstract].</w:t>
      </w:r>
    </w:p>
    <w:p w:rsidR="002F0604" w:rsidRPr="00304A95" w:rsidP="005C1174" w14:paraId="2884838A" w14:textId="127E1708">
      <w:pPr>
        <w:rPr>
          <w:sz w:val="24"/>
        </w:rPr>
      </w:pPr>
    </w:p>
    <w:p w:rsidR="002E76E9" w:rsidRPr="00304A95" w:rsidP="257ED39A" w14:paraId="5F88CED4" w14:textId="1139B2F6">
      <w:pPr>
        <w:rPr>
          <w:sz w:val="24"/>
        </w:rPr>
      </w:pPr>
      <w:r w:rsidRPr="02F0ABA0">
        <w:rPr>
          <w:sz w:val="24"/>
        </w:rPr>
        <w:t xml:space="preserve">The design of the </w:t>
      </w:r>
      <w:r w:rsidRPr="02F0ABA0">
        <w:rPr>
          <w:i/>
          <w:iCs/>
          <w:sz w:val="24"/>
          <w:lang w:val="en"/>
        </w:rPr>
        <w:t xml:space="preserve">Rapid ED overdose data form </w:t>
      </w:r>
      <w:r w:rsidRPr="02F0ABA0" w:rsidR="07DA149A">
        <w:rPr>
          <w:sz w:val="24"/>
          <w:lang w:val="en"/>
        </w:rPr>
        <w:t xml:space="preserve">and the </w:t>
      </w:r>
      <w:r w:rsidRPr="02F0ABA0" w:rsidR="07DA149A">
        <w:rPr>
          <w:i/>
          <w:iCs/>
          <w:sz w:val="24"/>
          <w:lang w:val="en"/>
        </w:rPr>
        <w:t>ED</w:t>
      </w:r>
      <w:r w:rsidRPr="02F0ABA0" w:rsidR="15981B6D">
        <w:rPr>
          <w:i/>
          <w:iCs/>
          <w:sz w:val="24"/>
          <w:lang w:val="en"/>
        </w:rPr>
        <w:t>/Inpatient Hospitalization</w:t>
      </w:r>
      <w:r w:rsidRPr="02F0ABA0" w:rsidR="07DA149A">
        <w:rPr>
          <w:i/>
          <w:iCs/>
          <w:sz w:val="24"/>
          <w:lang w:val="en"/>
        </w:rPr>
        <w:t xml:space="preserve"> discharge overdose data form</w:t>
      </w:r>
      <w:r w:rsidRPr="02F0ABA0" w:rsidR="07DA149A">
        <w:rPr>
          <w:sz w:val="24"/>
          <w:lang w:val="en"/>
        </w:rPr>
        <w:t xml:space="preserve"> ha</w:t>
      </w:r>
      <w:r w:rsidRPr="02F0ABA0" w:rsidR="5AE9584C">
        <w:rPr>
          <w:sz w:val="24"/>
          <w:lang w:val="en"/>
        </w:rPr>
        <w:t>s</w:t>
      </w:r>
      <w:r w:rsidRPr="02F0ABA0" w:rsidR="07DA149A">
        <w:rPr>
          <w:sz w:val="24"/>
          <w:lang w:val="en"/>
        </w:rPr>
        <w:t xml:space="preserve"> been informed by feedback from the </w:t>
      </w:r>
      <w:r w:rsidRPr="02F0ABA0" w:rsidR="00463441">
        <w:rPr>
          <w:sz w:val="24"/>
          <w:lang w:val="en"/>
        </w:rPr>
        <w:t xml:space="preserve">49 </w:t>
      </w:r>
      <w:r w:rsidRPr="02F0ABA0" w:rsidR="07DA149A">
        <w:rPr>
          <w:sz w:val="24"/>
          <w:lang w:val="en"/>
        </w:rPr>
        <w:t xml:space="preserve">state health departments and the District of Columbia participating in </w:t>
      </w:r>
      <w:r w:rsidRPr="02F0ABA0" w:rsidR="00F11E6B">
        <w:rPr>
          <w:sz w:val="24"/>
          <w:lang w:val="en"/>
        </w:rPr>
        <w:t>DOSE</w:t>
      </w:r>
      <w:r w:rsidRPr="02F0ABA0" w:rsidR="07DA149A">
        <w:rPr>
          <w:sz w:val="24"/>
          <w:lang w:val="en"/>
        </w:rPr>
        <w:t xml:space="preserve">. Specifically, the health departments highlighted the need for a standardized form and have </w:t>
      </w:r>
      <w:r w:rsidRPr="02F0ABA0" w:rsidR="2C54D205">
        <w:rPr>
          <w:sz w:val="24"/>
          <w:lang w:val="en"/>
        </w:rPr>
        <w:t xml:space="preserve">piloted use of </w:t>
      </w:r>
      <w:r w:rsidRPr="02F0ABA0" w:rsidR="001F6666">
        <w:rPr>
          <w:sz w:val="24"/>
          <w:lang w:val="en"/>
        </w:rPr>
        <w:t>these</w:t>
      </w:r>
      <w:r w:rsidRPr="02F0ABA0" w:rsidR="2C54D205">
        <w:rPr>
          <w:sz w:val="24"/>
          <w:lang w:val="en"/>
        </w:rPr>
        <w:t xml:space="preserve"> forms</w:t>
      </w:r>
      <w:r w:rsidRPr="02F0ABA0" w:rsidR="5D63ECC4">
        <w:rPr>
          <w:sz w:val="24"/>
          <w:lang w:val="en"/>
        </w:rPr>
        <w:t xml:space="preserve"> and </w:t>
      </w:r>
      <w:r w:rsidRPr="02F0ABA0" w:rsidR="39069D65">
        <w:rPr>
          <w:sz w:val="24"/>
          <w:lang w:val="en"/>
        </w:rPr>
        <w:t>SAS</w:t>
      </w:r>
      <w:r w:rsidRPr="02F0ABA0" w:rsidR="00F11E6B">
        <w:rPr>
          <w:sz w:val="24"/>
          <w:lang w:val="en"/>
        </w:rPr>
        <w:t>/R</w:t>
      </w:r>
      <w:r w:rsidRPr="02F0ABA0" w:rsidR="5D63ECC4">
        <w:rPr>
          <w:sz w:val="24"/>
          <w:lang w:val="en"/>
        </w:rPr>
        <w:t xml:space="preserve"> programs to support completion of these forms</w:t>
      </w:r>
      <w:r w:rsidRPr="02F0ABA0">
        <w:rPr>
          <w:sz w:val="24"/>
          <w:lang w:val="en"/>
        </w:rPr>
        <w:t xml:space="preserve"> (the piloting was done</w:t>
      </w:r>
      <w:r w:rsidRPr="02F0ABA0" w:rsidR="2C54D205">
        <w:rPr>
          <w:sz w:val="24"/>
          <w:lang w:val="en"/>
        </w:rPr>
        <w:t xml:space="preserve"> on an optional basis</w:t>
      </w:r>
      <w:r w:rsidRPr="02F0ABA0">
        <w:rPr>
          <w:sz w:val="24"/>
          <w:lang w:val="en"/>
        </w:rPr>
        <w:t>)</w:t>
      </w:r>
      <w:r w:rsidRPr="02F0ABA0" w:rsidR="2C54D205">
        <w:rPr>
          <w:sz w:val="24"/>
          <w:lang w:val="en"/>
        </w:rPr>
        <w:t>.</w:t>
      </w:r>
      <w:r w:rsidRPr="02F0ABA0" w:rsidR="004536E9">
        <w:rPr>
          <w:sz w:val="24"/>
          <w:lang w:val="en"/>
        </w:rPr>
        <w:t xml:space="preserve"> </w:t>
      </w:r>
    </w:p>
    <w:p w:rsidR="00C02EB8" w:rsidRPr="00EF5264" w:rsidP="00C02EB8" w14:paraId="1C3D406E" w14:textId="77777777">
      <w:pPr>
        <w:rPr>
          <w:color w:val="000000"/>
          <w:sz w:val="24"/>
        </w:rPr>
      </w:pPr>
    </w:p>
    <w:p w:rsidR="0087540E" w:rsidRPr="00304A95" w:rsidP="0EBCC76A" w14:paraId="7B35AC31" w14:textId="77777777">
      <w:pPr>
        <w:ind w:left="720" w:hanging="720"/>
        <w:rPr>
          <w:color w:val="000000"/>
          <w:sz w:val="24"/>
        </w:rPr>
      </w:pPr>
      <w:r w:rsidRPr="0EBCC76A">
        <w:rPr>
          <w:b/>
          <w:color w:val="000000" w:themeColor="text1"/>
          <w:sz w:val="24"/>
        </w:rPr>
        <w:t>5.</w:t>
      </w:r>
      <w:r>
        <w:tab/>
      </w:r>
      <w:r w:rsidRPr="0EBCC76A">
        <w:rPr>
          <w:b/>
          <w:color w:val="000000" w:themeColor="text1"/>
          <w:sz w:val="24"/>
        </w:rPr>
        <w:t>Individuals Consulted on Statistical Aspects and Individuals Collecting and/or Analyzing Data</w:t>
      </w:r>
    </w:p>
    <w:p w:rsidR="00823440" w:rsidRPr="00304A95" w:rsidP="0087540E" w14:paraId="352C5CA3" w14:textId="77777777">
      <w:pPr>
        <w:rPr>
          <w:sz w:val="24"/>
        </w:rPr>
      </w:pPr>
    </w:p>
    <w:p w:rsidR="00823440" w:rsidRPr="00304A95" w:rsidP="0087540E" w14:paraId="2231E54A" w14:textId="5D9235E5">
      <w:pPr>
        <w:rPr>
          <w:sz w:val="24"/>
        </w:rPr>
      </w:pPr>
      <w:r w:rsidRPr="00304A95">
        <w:rPr>
          <w:sz w:val="24"/>
        </w:rPr>
        <w:t>The following consulting efforts were made:</w:t>
      </w:r>
    </w:p>
    <w:p w:rsidR="00823440" w:rsidRPr="00304A95" w:rsidP="00823440" w14:paraId="5B3721E4" w14:textId="55B718B2">
      <w:pPr>
        <w:pStyle w:val="ListParagraph"/>
        <w:numPr>
          <w:ilvl w:val="0"/>
          <w:numId w:val="19"/>
        </w:numPr>
        <w:rPr>
          <w:rFonts w:ascii="Times New Roman" w:hAnsi="Times New Roman"/>
          <w:color w:val="000000"/>
        </w:rPr>
      </w:pPr>
      <w:r w:rsidRPr="02F0ABA0">
        <w:rPr>
          <w:rFonts w:ascii="Times New Roman" w:hAnsi="Times New Roman"/>
        </w:rPr>
        <w:t xml:space="preserve">DOSE staff has </w:t>
      </w:r>
      <w:r w:rsidRPr="02F0ABA0" w:rsidR="002C681D">
        <w:rPr>
          <w:rFonts w:ascii="Times New Roman" w:hAnsi="Times New Roman"/>
        </w:rPr>
        <w:t xml:space="preserve">closely </w:t>
      </w:r>
      <w:r w:rsidRPr="02F0ABA0">
        <w:rPr>
          <w:rFonts w:ascii="Times New Roman" w:hAnsi="Times New Roman"/>
        </w:rPr>
        <w:t xml:space="preserve">collaborated with </w:t>
      </w:r>
      <w:r w:rsidRPr="02F0ABA0" w:rsidR="61C8D118">
        <w:rPr>
          <w:rFonts w:ascii="Times New Roman" w:hAnsi="Times New Roman"/>
        </w:rPr>
        <w:t xml:space="preserve">NSSP </w:t>
      </w:r>
      <w:r w:rsidRPr="02F0ABA0" w:rsidR="61C8D118">
        <w:rPr>
          <w:rFonts w:ascii="Times New Roman" w:hAnsi="Times New Roman"/>
        </w:rPr>
        <w:t>BioSense</w:t>
      </w:r>
      <w:r w:rsidRPr="02F0ABA0" w:rsidR="00BD4FAF">
        <w:rPr>
          <w:rFonts w:ascii="Times New Roman" w:hAnsi="Times New Roman"/>
        </w:rPr>
        <w:t xml:space="preserve"> staff</w:t>
      </w:r>
      <w:r w:rsidRPr="02F0ABA0">
        <w:rPr>
          <w:rFonts w:ascii="Times New Roman" w:hAnsi="Times New Roman"/>
        </w:rPr>
        <w:t>. A key benefit from this collaboration is the expertise of CDC staff with extensive experience analyzing syndromic ED data, including a candid assessment of its strengths and weakness</w:t>
      </w:r>
      <w:r w:rsidRPr="02F0ABA0" w:rsidR="000851C0">
        <w:rPr>
          <w:rFonts w:ascii="Times New Roman" w:hAnsi="Times New Roman"/>
        </w:rPr>
        <w:t>es</w:t>
      </w:r>
      <w:r w:rsidRPr="02F0ABA0">
        <w:rPr>
          <w:rFonts w:ascii="Times New Roman" w:hAnsi="Times New Roman"/>
        </w:rPr>
        <w:t>.</w:t>
      </w:r>
      <w:r w:rsidRPr="02F0ABA0" w:rsidR="007B6CB6">
        <w:rPr>
          <w:rFonts w:ascii="Times New Roman" w:hAnsi="Times New Roman"/>
        </w:rPr>
        <w:t xml:space="preserve"> Additionally, CDC DOSE staff participate in NSSP Communities of Practice and participate in</w:t>
      </w:r>
      <w:r w:rsidRPr="02F0ABA0" w:rsidR="24F75BFF">
        <w:rPr>
          <w:rFonts w:ascii="Times New Roman" w:hAnsi="Times New Roman"/>
        </w:rPr>
        <w:t xml:space="preserve"> and </w:t>
      </w:r>
      <w:r w:rsidRPr="02F0ABA0" w:rsidR="007B6CB6">
        <w:rPr>
          <w:rFonts w:ascii="Times New Roman" w:hAnsi="Times New Roman"/>
        </w:rPr>
        <w:t>hold leadership roles in internal Center-wide NSSP user groups.</w:t>
      </w:r>
    </w:p>
    <w:p w:rsidR="007C59B8" w:rsidRPr="00763B9B" w:rsidP="00763B9B" w14:paraId="2D4591D2" w14:textId="02E0D756">
      <w:pPr>
        <w:pStyle w:val="ListParagraph"/>
        <w:numPr>
          <w:ilvl w:val="0"/>
          <w:numId w:val="19"/>
        </w:numPr>
        <w:rPr>
          <w:rFonts w:ascii="Times New Roman" w:hAnsi="Times New Roman"/>
          <w:color w:val="000000"/>
        </w:rPr>
      </w:pPr>
      <w:r>
        <w:rPr>
          <w:rFonts w:ascii="Times New Roman" w:hAnsi="Times New Roman"/>
          <w:color w:val="000000" w:themeColor="text1"/>
        </w:rPr>
        <w:t>OD2A</w:t>
      </w:r>
      <w:r w:rsidRPr="257ED39A" w:rsidR="6EE7EA0A">
        <w:rPr>
          <w:rFonts w:ascii="Times New Roman" w:hAnsi="Times New Roman"/>
          <w:color w:val="000000" w:themeColor="text1"/>
        </w:rPr>
        <w:t xml:space="preserve">-funded health departments engaged with CDC staff to assist in the development of all </w:t>
      </w:r>
      <w:r w:rsidRPr="257ED39A" w:rsidR="528F5F54">
        <w:rPr>
          <w:rFonts w:ascii="Times New Roman" w:hAnsi="Times New Roman"/>
          <w:color w:val="000000" w:themeColor="text1"/>
        </w:rPr>
        <w:t xml:space="preserve">drug, </w:t>
      </w:r>
      <w:r w:rsidRPr="257ED39A" w:rsidR="04E4C85E">
        <w:rPr>
          <w:rFonts w:ascii="Times New Roman" w:hAnsi="Times New Roman"/>
          <w:color w:val="000000" w:themeColor="text1"/>
        </w:rPr>
        <w:t xml:space="preserve">all </w:t>
      </w:r>
      <w:r w:rsidRPr="257ED39A" w:rsidR="528F5F54">
        <w:rPr>
          <w:rFonts w:ascii="Times New Roman" w:hAnsi="Times New Roman"/>
          <w:color w:val="000000" w:themeColor="text1"/>
        </w:rPr>
        <w:t xml:space="preserve">opioid, heroin, </w:t>
      </w:r>
      <w:r w:rsidR="00754322">
        <w:rPr>
          <w:rFonts w:ascii="Times New Roman" w:hAnsi="Times New Roman"/>
          <w:color w:val="000000" w:themeColor="text1"/>
        </w:rPr>
        <w:t xml:space="preserve">fentanyl, </w:t>
      </w:r>
      <w:r w:rsidRPr="257ED39A" w:rsidR="528F5F54">
        <w:rPr>
          <w:rFonts w:ascii="Times New Roman" w:hAnsi="Times New Roman"/>
          <w:color w:val="000000" w:themeColor="text1"/>
        </w:rPr>
        <w:t>all stimulant, cocaine, methamphetamine, benzodiazepine, and other emerging drug</w:t>
      </w:r>
      <w:r w:rsidRPr="257ED39A" w:rsidR="53B6BC2E">
        <w:rPr>
          <w:rFonts w:ascii="Times New Roman" w:hAnsi="Times New Roman"/>
          <w:color w:val="000000" w:themeColor="text1"/>
        </w:rPr>
        <w:t xml:space="preserve"> overdose</w:t>
      </w:r>
      <w:r w:rsidRPr="257ED39A" w:rsidR="6EE7EA0A">
        <w:rPr>
          <w:rFonts w:ascii="Times New Roman" w:hAnsi="Times New Roman"/>
          <w:color w:val="000000" w:themeColor="text1"/>
        </w:rPr>
        <w:t xml:space="preserve"> case definitions for syndromic and </w:t>
      </w:r>
      <w:r w:rsidRPr="257ED39A" w:rsidR="204D7BD2">
        <w:rPr>
          <w:rFonts w:ascii="Times New Roman" w:hAnsi="Times New Roman"/>
          <w:color w:val="000000" w:themeColor="text1"/>
        </w:rPr>
        <w:t>ED/</w:t>
      </w:r>
      <w:r w:rsidRPr="257ED39A" w:rsidR="39AF55C3">
        <w:rPr>
          <w:rFonts w:ascii="Times New Roman" w:hAnsi="Times New Roman"/>
          <w:color w:val="000000" w:themeColor="text1"/>
        </w:rPr>
        <w:t>i</w:t>
      </w:r>
      <w:r w:rsidRPr="257ED39A" w:rsidR="204D7BD2">
        <w:rPr>
          <w:rFonts w:ascii="Times New Roman" w:hAnsi="Times New Roman"/>
          <w:color w:val="000000" w:themeColor="text1"/>
        </w:rPr>
        <w:t xml:space="preserve">npatient </w:t>
      </w:r>
      <w:r w:rsidRPr="257ED39A" w:rsidR="6EE7EA0A">
        <w:rPr>
          <w:rFonts w:ascii="Times New Roman" w:hAnsi="Times New Roman"/>
          <w:color w:val="000000" w:themeColor="text1"/>
        </w:rPr>
        <w:t>hospital</w:t>
      </w:r>
      <w:r w:rsidRPr="257ED39A" w:rsidR="719160BF">
        <w:rPr>
          <w:rFonts w:ascii="Times New Roman" w:hAnsi="Times New Roman"/>
          <w:color w:val="000000" w:themeColor="text1"/>
        </w:rPr>
        <w:t>ization</w:t>
      </w:r>
      <w:r w:rsidRPr="257ED39A" w:rsidR="6EE7EA0A">
        <w:rPr>
          <w:rFonts w:ascii="Times New Roman" w:hAnsi="Times New Roman"/>
          <w:color w:val="000000" w:themeColor="text1"/>
        </w:rPr>
        <w:t xml:space="preserve"> discharge data. In addition, these funded health departments have collaborated to refine the case definitions and test developed SAS</w:t>
      </w:r>
      <w:r w:rsidR="000F296E">
        <w:rPr>
          <w:rFonts w:ascii="Times New Roman" w:hAnsi="Times New Roman"/>
          <w:color w:val="000000" w:themeColor="text1"/>
        </w:rPr>
        <w:t xml:space="preserve"> and R</w:t>
      </w:r>
      <w:r w:rsidRPr="257ED39A" w:rsidR="6EE7EA0A">
        <w:rPr>
          <w:rFonts w:ascii="Times New Roman" w:hAnsi="Times New Roman"/>
          <w:color w:val="000000" w:themeColor="text1"/>
        </w:rPr>
        <w:t xml:space="preserve"> code.</w:t>
      </w:r>
      <w:r w:rsidRPr="257ED39A" w:rsidR="53B6BC2E">
        <w:rPr>
          <w:rFonts w:ascii="Times New Roman" w:hAnsi="Times New Roman"/>
          <w:color w:val="000000" w:themeColor="text1"/>
        </w:rPr>
        <w:t xml:space="preserve"> This work has continued with DOSE-funded states.</w:t>
      </w:r>
    </w:p>
    <w:p w:rsidR="00311A81" w:rsidP="00823440" w14:paraId="2D658389" w14:textId="77777777">
      <w:pPr>
        <w:pStyle w:val="ListParagraph"/>
        <w:numPr>
          <w:ilvl w:val="0"/>
          <w:numId w:val="19"/>
        </w:numPr>
        <w:rPr>
          <w:rFonts w:ascii="Times New Roman" w:hAnsi="Times New Roman"/>
          <w:color w:val="000000"/>
        </w:rPr>
      </w:pPr>
      <w:r w:rsidRPr="0EBCC76A">
        <w:rPr>
          <w:rFonts w:ascii="Times New Roman" w:hAnsi="Times New Roman"/>
          <w:color w:val="000000" w:themeColor="text1"/>
        </w:rPr>
        <w:t>As part of DOSE, CDC convenes a quarterly workgroup meeting where CDC and funded health departments discuss data quality issues and the development of case definitions as well as data dissemination efforts.</w:t>
      </w:r>
    </w:p>
    <w:p w:rsidR="007C59B8" w:rsidRPr="004D4A4B" w:rsidP="00823440" w14:paraId="4C2C9181" w14:textId="0810E85B">
      <w:pPr>
        <w:pStyle w:val="ListParagraph"/>
        <w:numPr>
          <w:ilvl w:val="0"/>
          <w:numId w:val="19"/>
        </w:numPr>
        <w:rPr>
          <w:rFonts w:ascii="Times New Roman" w:hAnsi="Times New Roman"/>
          <w:color w:val="000000"/>
        </w:rPr>
      </w:pPr>
      <w:r w:rsidRPr="02F0ABA0">
        <w:rPr>
          <w:rFonts w:ascii="Times New Roman" w:hAnsi="Times New Roman"/>
          <w:color w:val="000000" w:themeColor="text1"/>
        </w:rPr>
        <w:t xml:space="preserve">CDC has also worked closely with the Council for State and Territorial Epidemiologists (CSTE) to ensure health department epidemiologists are well-equipped with the skills to analyze ED </w:t>
      </w:r>
      <w:r w:rsidRPr="02F0ABA0" w:rsidR="394BBC99">
        <w:rPr>
          <w:rFonts w:ascii="Times New Roman" w:hAnsi="Times New Roman"/>
          <w:color w:val="000000" w:themeColor="text1"/>
        </w:rPr>
        <w:t xml:space="preserve">syndromic </w:t>
      </w:r>
      <w:r w:rsidRPr="02F0ABA0">
        <w:rPr>
          <w:rFonts w:ascii="Times New Roman" w:hAnsi="Times New Roman"/>
          <w:color w:val="000000" w:themeColor="text1"/>
        </w:rPr>
        <w:t xml:space="preserve">data </w:t>
      </w:r>
      <w:r w:rsidRPr="02F0ABA0" w:rsidR="394BBC99">
        <w:rPr>
          <w:rFonts w:ascii="Times New Roman" w:hAnsi="Times New Roman"/>
          <w:color w:val="000000" w:themeColor="text1"/>
        </w:rPr>
        <w:t>and ED/</w:t>
      </w:r>
      <w:r w:rsidRPr="02F0ABA0" w:rsidR="1383AED8">
        <w:rPr>
          <w:rFonts w:ascii="Times New Roman" w:hAnsi="Times New Roman"/>
          <w:color w:val="000000" w:themeColor="text1"/>
        </w:rPr>
        <w:t>i</w:t>
      </w:r>
      <w:r w:rsidRPr="02F0ABA0" w:rsidR="394BBC99">
        <w:rPr>
          <w:rFonts w:ascii="Times New Roman" w:hAnsi="Times New Roman"/>
          <w:color w:val="000000" w:themeColor="text1"/>
        </w:rPr>
        <w:t xml:space="preserve">npatient </w:t>
      </w:r>
      <w:r w:rsidRPr="02F0ABA0" w:rsidR="15DCDC78">
        <w:rPr>
          <w:rFonts w:ascii="Times New Roman" w:hAnsi="Times New Roman"/>
          <w:color w:val="000000" w:themeColor="text1"/>
        </w:rPr>
        <w:t>h</w:t>
      </w:r>
      <w:r w:rsidRPr="02F0ABA0" w:rsidR="394BBC99">
        <w:rPr>
          <w:rFonts w:ascii="Times New Roman" w:hAnsi="Times New Roman"/>
          <w:color w:val="000000" w:themeColor="text1"/>
        </w:rPr>
        <w:t xml:space="preserve">ospitalization discharge data </w:t>
      </w:r>
      <w:r w:rsidRPr="02F0ABA0">
        <w:rPr>
          <w:rFonts w:ascii="Times New Roman" w:hAnsi="Times New Roman"/>
          <w:color w:val="000000" w:themeColor="text1"/>
        </w:rPr>
        <w:t>collected within their state by conducting</w:t>
      </w:r>
      <w:r w:rsidRPr="02F0ABA0" w:rsidR="00A6075F">
        <w:rPr>
          <w:rFonts w:ascii="Times New Roman" w:hAnsi="Times New Roman"/>
          <w:color w:val="000000" w:themeColor="text1"/>
        </w:rPr>
        <w:t xml:space="preserve"> activities such as:</w:t>
      </w:r>
      <w:r w:rsidRPr="02F0ABA0">
        <w:rPr>
          <w:rFonts w:ascii="Times New Roman" w:hAnsi="Times New Roman"/>
          <w:color w:val="000000" w:themeColor="text1"/>
        </w:rPr>
        <w:t xml:space="preserve"> </w:t>
      </w:r>
      <w:r w:rsidRPr="02F0ABA0" w:rsidR="00831FB7">
        <w:rPr>
          <w:rFonts w:ascii="Times New Roman" w:hAnsi="Times New Roman"/>
          <w:color w:val="000000" w:themeColor="text1"/>
        </w:rPr>
        <w:t>administering</w:t>
      </w:r>
      <w:r w:rsidRPr="02F0ABA0" w:rsidR="00A6075F">
        <w:rPr>
          <w:rFonts w:ascii="Times New Roman" w:hAnsi="Times New Roman"/>
          <w:color w:val="000000" w:themeColor="text1"/>
        </w:rPr>
        <w:t xml:space="preserve"> </w:t>
      </w:r>
      <w:r w:rsidRPr="02F0ABA0">
        <w:rPr>
          <w:rFonts w:ascii="Times New Roman" w:hAnsi="Times New Roman"/>
          <w:color w:val="000000" w:themeColor="text1"/>
        </w:rPr>
        <w:t>regional trainings</w:t>
      </w:r>
      <w:r w:rsidRPr="02F0ABA0" w:rsidR="00A6075F">
        <w:rPr>
          <w:rFonts w:ascii="Times New Roman" w:hAnsi="Times New Roman"/>
          <w:color w:val="000000" w:themeColor="text1"/>
        </w:rPr>
        <w:t>,</w:t>
      </w:r>
      <w:r w:rsidRPr="02F0ABA0" w:rsidR="006326D9">
        <w:rPr>
          <w:rFonts w:ascii="Times New Roman" w:hAnsi="Times New Roman"/>
          <w:color w:val="000000" w:themeColor="text1"/>
        </w:rPr>
        <w:t xml:space="preserve"> </w:t>
      </w:r>
      <w:r w:rsidRPr="02F0ABA0" w:rsidR="00632B88">
        <w:rPr>
          <w:rFonts w:ascii="Times New Roman" w:hAnsi="Times New Roman"/>
          <w:color w:val="000000" w:themeColor="text1"/>
        </w:rPr>
        <w:t>compiling</w:t>
      </w:r>
      <w:r w:rsidRPr="02F0ABA0" w:rsidR="009A062A">
        <w:rPr>
          <w:rFonts w:ascii="Times New Roman" w:hAnsi="Times New Roman"/>
          <w:color w:val="000000" w:themeColor="text1"/>
        </w:rPr>
        <w:t xml:space="preserve"> </w:t>
      </w:r>
      <w:r w:rsidRPr="02F0ABA0" w:rsidR="006326D9">
        <w:rPr>
          <w:rFonts w:ascii="Times New Roman" w:hAnsi="Times New Roman"/>
          <w:color w:val="000000" w:themeColor="text1"/>
        </w:rPr>
        <w:t>resources related to overdose anomaly detection and response</w:t>
      </w:r>
      <w:r w:rsidRPr="02F0ABA0" w:rsidR="00A6075F">
        <w:rPr>
          <w:rFonts w:ascii="Times New Roman" w:hAnsi="Times New Roman"/>
          <w:color w:val="000000" w:themeColor="text1"/>
        </w:rPr>
        <w:t>,</w:t>
      </w:r>
      <w:r w:rsidRPr="02F0ABA0" w:rsidR="006326D9">
        <w:rPr>
          <w:rFonts w:ascii="Times New Roman" w:hAnsi="Times New Roman"/>
          <w:color w:val="000000" w:themeColor="text1"/>
        </w:rPr>
        <w:t xml:space="preserve"> and </w:t>
      </w:r>
      <w:r w:rsidRPr="02F0ABA0" w:rsidR="00E20E9B">
        <w:rPr>
          <w:rFonts w:ascii="Times New Roman" w:hAnsi="Times New Roman"/>
          <w:color w:val="000000" w:themeColor="text1"/>
        </w:rPr>
        <w:t>releasing</w:t>
      </w:r>
      <w:r w:rsidRPr="02F0ABA0" w:rsidR="00A6075F">
        <w:rPr>
          <w:rFonts w:ascii="Times New Roman" w:hAnsi="Times New Roman"/>
          <w:color w:val="000000" w:themeColor="text1"/>
        </w:rPr>
        <w:t xml:space="preserve"> </w:t>
      </w:r>
      <w:r w:rsidRPr="02F0ABA0" w:rsidR="00632B88">
        <w:rPr>
          <w:rFonts w:ascii="Times New Roman" w:hAnsi="Times New Roman"/>
          <w:color w:val="000000" w:themeColor="text1"/>
        </w:rPr>
        <w:t xml:space="preserve">a </w:t>
      </w:r>
      <w:r w:rsidRPr="02F0ABA0" w:rsidR="00152657">
        <w:rPr>
          <w:rFonts w:ascii="Times New Roman" w:hAnsi="Times New Roman"/>
          <w:color w:val="000000" w:themeColor="text1"/>
        </w:rPr>
        <w:t xml:space="preserve">manual about creation of </w:t>
      </w:r>
      <w:r w:rsidRPr="02F0ABA0" w:rsidR="006326D9">
        <w:rPr>
          <w:rFonts w:ascii="Times New Roman" w:hAnsi="Times New Roman"/>
          <w:color w:val="000000" w:themeColor="text1"/>
        </w:rPr>
        <w:t>overdose data dashboards</w:t>
      </w:r>
      <w:r w:rsidRPr="02F0ABA0">
        <w:rPr>
          <w:rFonts w:ascii="Times New Roman" w:hAnsi="Times New Roman"/>
          <w:color w:val="000000" w:themeColor="text1"/>
        </w:rPr>
        <w:t>.</w:t>
      </w:r>
    </w:p>
    <w:p w:rsidR="006326D9" w:rsidP="00823440" w14:paraId="0396784F" w14:textId="78ECC37F">
      <w:pPr>
        <w:pStyle w:val="ListParagraph"/>
        <w:numPr>
          <w:ilvl w:val="0"/>
          <w:numId w:val="19"/>
        </w:numPr>
        <w:rPr>
          <w:rFonts w:ascii="Times New Roman" w:hAnsi="Times New Roman"/>
          <w:color w:val="000000"/>
        </w:rPr>
      </w:pPr>
      <w:r>
        <w:rPr>
          <w:rFonts w:ascii="Times New Roman" w:hAnsi="Times New Roman"/>
          <w:color w:val="000000" w:themeColor="text1"/>
        </w:rPr>
        <w:t>CDC conducts virtual/</w:t>
      </w:r>
      <w:r w:rsidR="005250E2">
        <w:rPr>
          <w:rFonts w:ascii="Times New Roman" w:hAnsi="Times New Roman"/>
          <w:color w:val="000000" w:themeColor="text1"/>
        </w:rPr>
        <w:t>in-person site visits</w:t>
      </w:r>
      <w:r w:rsidR="00152657">
        <w:rPr>
          <w:rFonts w:ascii="Times New Roman" w:hAnsi="Times New Roman"/>
          <w:color w:val="000000" w:themeColor="text1"/>
        </w:rPr>
        <w:t xml:space="preserve"> with states</w:t>
      </w:r>
      <w:r w:rsidR="005250E2">
        <w:rPr>
          <w:rFonts w:ascii="Times New Roman" w:hAnsi="Times New Roman"/>
          <w:color w:val="000000" w:themeColor="text1"/>
        </w:rPr>
        <w:t>, as needed, to increase surveillance capacity building.</w:t>
      </w:r>
      <w:r w:rsidR="00DA0F7B">
        <w:rPr>
          <w:rFonts w:ascii="Times New Roman" w:hAnsi="Times New Roman"/>
          <w:color w:val="000000" w:themeColor="text1"/>
        </w:rPr>
        <w:t xml:space="preserve"> CDC also conducts an annual “</w:t>
      </w:r>
      <w:r w:rsidR="00EF6EF5">
        <w:rPr>
          <w:rFonts w:ascii="Times New Roman" w:hAnsi="Times New Roman"/>
          <w:color w:val="000000" w:themeColor="text1"/>
        </w:rPr>
        <w:t>R</w:t>
      </w:r>
      <w:r w:rsidR="00DA0F7B">
        <w:rPr>
          <w:rFonts w:ascii="Times New Roman" w:hAnsi="Times New Roman"/>
          <w:color w:val="000000" w:themeColor="text1"/>
        </w:rPr>
        <w:t xml:space="preserve">ecipient </w:t>
      </w:r>
      <w:r w:rsidR="00EF6EF5">
        <w:rPr>
          <w:rFonts w:ascii="Times New Roman" w:hAnsi="Times New Roman"/>
          <w:color w:val="000000" w:themeColor="text1"/>
        </w:rPr>
        <w:t>M</w:t>
      </w:r>
      <w:r w:rsidR="00DA0F7B">
        <w:rPr>
          <w:rFonts w:ascii="Times New Roman" w:hAnsi="Times New Roman"/>
          <w:color w:val="000000" w:themeColor="text1"/>
        </w:rPr>
        <w:t xml:space="preserve">eeting” or “Reverse Site Visit,” where </w:t>
      </w:r>
      <w:r w:rsidR="00EF6EF5">
        <w:rPr>
          <w:rFonts w:ascii="Times New Roman" w:hAnsi="Times New Roman"/>
          <w:color w:val="000000" w:themeColor="text1"/>
        </w:rPr>
        <w:t>funded jurisdictions</w:t>
      </w:r>
      <w:r w:rsidR="00DA0F7B">
        <w:rPr>
          <w:rFonts w:ascii="Times New Roman" w:hAnsi="Times New Roman"/>
          <w:color w:val="000000" w:themeColor="text1"/>
        </w:rPr>
        <w:t xml:space="preserve"> and CDC come together to share best practices and continuing education about nonfatal overdose surveillance</w:t>
      </w:r>
      <w:r w:rsidR="00745AD1">
        <w:rPr>
          <w:rFonts w:ascii="Times New Roman" w:hAnsi="Times New Roman"/>
          <w:color w:val="000000" w:themeColor="text1"/>
        </w:rPr>
        <w:t xml:space="preserve"> (specific to DOSE team) and other parts of the OD2A-S NOFO</w:t>
      </w:r>
      <w:r w:rsidR="00DA0F7B">
        <w:rPr>
          <w:rFonts w:ascii="Times New Roman" w:hAnsi="Times New Roman"/>
          <w:color w:val="000000" w:themeColor="text1"/>
        </w:rPr>
        <w:t>.</w:t>
      </w:r>
    </w:p>
    <w:p w:rsidR="009F12AA" w:rsidP="009F12AA" w14:paraId="5501CEA9" w14:textId="5BC215ED">
      <w:pPr>
        <w:rPr>
          <w:color w:val="000000"/>
          <w:sz w:val="24"/>
        </w:rPr>
      </w:pPr>
    </w:p>
    <w:p w:rsidR="009F12AA" w:rsidRPr="009F12AA" w:rsidP="02F0ABA0" w14:paraId="3FD001C9" w14:textId="22D4A5DE">
      <w:pPr>
        <w:rPr>
          <w:color w:val="000000"/>
          <w:sz w:val="24"/>
        </w:rPr>
      </w:pPr>
      <w:r w:rsidRPr="02F0ABA0">
        <w:rPr>
          <w:color w:val="000000" w:themeColor="text1"/>
          <w:sz w:val="24"/>
        </w:rPr>
        <w:t xml:space="preserve">One CDC senior epidemiologist will supervise </w:t>
      </w:r>
      <w:r w:rsidRPr="02F0ABA0" w:rsidR="008E530E">
        <w:rPr>
          <w:color w:val="000000" w:themeColor="text1"/>
          <w:sz w:val="24"/>
        </w:rPr>
        <w:t xml:space="preserve">seven </w:t>
      </w:r>
      <w:r w:rsidRPr="02F0ABA0" w:rsidR="61C8D118">
        <w:rPr>
          <w:color w:val="000000" w:themeColor="text1"/>
          <w:sz w:val="24"/>
        </w:rPr>
        <w:t>CDC epidemiologists</w:t>
      </w:r>
      <w:r w:rsidRPr="02F0ABA0" w:rsidR="7190E14B">
        <w:rPr>
          <w:color w:val="000000" w:themeColor="text1"/>
          <w:sz w:val="24"/>
        </w:rPr>
        <w:t xml:space="preserve"> </w:t>
      </w:r>
      <w:r w:rsidRPr="02F0ABA0" w:rsidR="6B0CD0B9">
        <w:rPr>
          <w:color w:val="000000" w:themeColor="text1"/>
          <w:sz w:val="24"/>
        </w:rPr>
        <w:t xml:space="preserve">backed by </w:t>
      </w:r>
      <w:r w:rsidRPr="02F0ABA0" w:rsidR="003A66FB">
        <w:rPr>
          <w:color w:val="000000" w:themeColor="text1"/>
          <w:sz w:val="24"/>
        </w:rPr>
        <w:t xml:space="preserve">three </w:t>
      </w:r>
      <w:r w:rsidRPr="02F0ABA0" w:rsidR="6B0CD0B9">
        <w:rPr>
          <w:color w:val="000000" w:themeColor="text1"/>
          <w:sz w:val="24"/>
        </w:rPr>
        <w:t xml:space="preserve">data managers </w:t>
      </w:r>
      <w:r w:rsidRPr="02F0ABA0">
        <w:rPr>
          <w:color w:val="000000" w:themeColor="text1"/>
          <w:sz w:val="24"/>
        </w:rPr>
        <w:t>to</w:t>
      </w:r>
      <w:r w:rsidRPr="02F0ABA0" w:rsidR="6B0CD0B9">
        <w:rPr>
          <w:color w:val="000000" w:themeColor="text1"/>
          <w:sz w:val="24"/>
        </w:rPr>
        <w:t xml:space="preserve"> lead analysis of th</w:t>
      </w:r>
      <w:r w:rsidRPr="02F0ABA0">
        <w:rPr>
          <w:color w:val="000000" w:themeColor="text1"/>
          <w:sz w:val="24"/>
        </w:rPr>
        <w:t>e DOSE</w:t>
      </w:r>
      <w:r w:rsidRPr="02F0ABA0" w:rsidR="6B0CD0B9">
        <w:rPr>
          <w:color w:val="000000" w:themeColor="text1"/>
          <w:sz w:val="24"/>
        </w:rPr>
        <w:t xml:space="preserve"> data. This includes intensive work evaluating case definitions and the quality of the </w:t>
      </w:r>
      <w:r w:rsidRPr="02F0ABA0" w:rsidR="00A15718">
        <w:rPr>
          <w:color w:val="000000" w:themeColor="text1"/>
          <w:sz w:val="24"/>
        </w:rPr>
        <w:t>DOSE-S</w:t>
      </w:r>
      <w:r w:rsidRPr="02F0ABA0" w:rsidR="5A23050B">
        <w:rPr>
          <w:color w:val="000000" w:themeColor="text1"/>
          <w:sz w:val="24"/>
        </w:rPr>
        <w:t>Y</w:t>
      </w:r>
      <w:r w:rsidRPr="02F0ABA0" w:rsidR="00A15718">
        <w:rPr>
          <w:color w:val="000000" w:themeColor="text1"/>
          <w:sz w:val="24"/>
        </w:rPr>
        <w:t xml:space="preserve">S </w:t>
      </w:r>
      <w:r w:rsidRPr="02F0ABA0" w:rsidR="00422CB0">
        <w:rPr>
          <w:color w:val="000000" w:themeColor="text1"/>
          <w:sz w:val="24"/>
        </w:rPr>
        <w:t xml:space="preserve">and DOSE- DIS </w:t>
      </w:r>
      <w:r w:rsidRPr="02F0ABA0" w:rsidR="6B0CD0B9">
        <w:rPr>
          <w:color w:val="000000" w:themeColor="text1"/>
          <w:sz w:val="24"/>
        </w:rPr>
        <w:t>data</w:t>
      </w:r>
      <w:r w:rsidRPr="02F0ABA0" w:rsidR="529C628B">
        <w:rPr>
          <w:color w:val="000000" w:themeColor="text1"/>
          <w:sz w:val="24"/>
        </w:rPr>
        <w:t xml:space="preserve"> both internally and with state health department staff</w:t>
      </w:r>
      <w:r w:rsidRPr="02F0ABA0" w:rsidR="6B0CD0B9">
        <w:rPr>
          <w:color w:val="000000" w:themeColor="text1"/>
          <w:sz w:val="24"/>
        </w:rPr>
        <w:t xml:space="preserve">. This group can consult with </w:t>
      </w:r>
      <w:r w:rsidR="004D4A4B">
        <w:rPr>
          <w:color w:val="000000" w:themeColor="text1"/>
          <w:sz w:val="24"/>
        </w:rPr>
        <w:t>other</w:t>
      </w:r>
      <w:r w:rsidRPr="02F0ABA0" w:rsidR="004D4A4B">
        <w:rPr>
          <w:color w:val="000000" w:themeColor="text1"/>
          <w:sz w:val="24"/>
        </w:rPr>
        <w:t xml:space="preserve"> </w:t>
      </w:r>
      <w:r w:rsidRPr="02F0ABA0" w:rsidR="61C8D118">
        <w:rPr>
          <w:color w:val="000000" w:themeColor="text1"/>
          <w:sz w:val="24"/>
        </w:rPr>
        <w:t>senior scientist and/or</w:t>
      </w:r>
      <w:r w:rsidRPr="02F0ABA0" w:rsidR="6B0CD0B9">
        <w:rPr>
          <w:color w:val="000000" w:themeColor="text1"/>
          <w:sz w:val="24"/>
        </w:rPr>
        <w:t xml:space="preserve"> request statistical support on an as needed basis.</w:t>
      </w:r>
    </w:p>
    <w:p w:rsidR="00B255D9" w:rsidRPr="00615A43" w:rsidP="0087540E" w14:paraId="27E907FA" w14:textId="77777777">
      <w:pPr>
        <w:widowControl/>
        <w:rPr>
          <w:color w:val="000000"/>
          <w:sz w:val="24"/>
        </w:rPr>
      </w:pPr>
    </w:p>
    <w:p w:rsidR="00B255D9" w:rsidRPr="00615A43" w:rsidP="0087540E" w14:paraId="31E3C39C" w14:textId="77777777">
      <w:pPr>
        <w:widowControl/>
        <w:rPr>
          <w:color w:val="000000"/>
          <w:szCs w:val="20"/>
        </w:rPr>
      </w:pPr>
    </w:p>
    <w:sectPr w:rsidSect="00747836">
      <w:endnotePr>
        <w:numFmt w:val="decimal"/>
      </w:endnotePr>
      <w:type w:val="continuous"/>
      <w:pgSz w:w="12240" w:h="15840"/>
      <w:pgMar w:top="1080" w:right="180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86DE2" w14:paraId="081168D2" w14:textId="77777777">
      <w:r>
        <w:separator/>
      </w:r>
    </w:p>
  </w:endnote>
  <w:endnote w:type="continuationSeparator" w:id="1">
    <w:p w:rsidR="00786DE2" w14:paraId="4E8C2913" w14:textId="77777777">
      <w:r>
        <w:continuationSeparator/>
      </w:r>
    </w:p>
  </w:endnote>
  <w:endnote w:type="continuationNotice" w:id="2">
    <w:p w:rsidR="00786DE2" w14:paraId="032F7377" w14:textId="77777777"/>
  </w:endnote>
  <w:endnote w:id="3">
    <w:p w:rsidR="002E12E2" w:rsidP="007900A5" w14:paraId="7F6D2944" w14:textId="6D558353">
      <w:pPr>
        <w:pStyle w:val="EndnoteText"/>
      </w:pPr>
      <w:r>
        <w:rPr>
          <w:rStyle w:val="EndnoteReference"/>
        </w:rPr>
        <w:endnoteRef/>
      </w:r>
      <w:r>
        <w:t xml:space="preserve"> For additional information </w:t>
      </w:r>
      <w:r w:rsidRPr="00331689">
        <w:t>https://auth.cdc.gov/sams/SAMSUserGuide.pdf</w:t>
      </w:r>
      <w:r>
        <w:t xml:space="preserve"> </w:t>
      </w:r>
    </w:p>
  </w:endnote>
  <w:endnote w:id="4">
    <w:p w:rsidR="00E83CDA" w:rsidP="00E83CDA" w14:paraId="0AB54F2B" w14:textId="77777777">
      <w:pPr>
        <w:pStyle w:val="EndnoteText"/>
      </w:pPr>
      <w:r>
        <w:rPr>
          <w:rStyle w:val="EndnoteReference"/>
        </w:rPr>
        <w:endnoteRef/>
      </w:r>
      <w:r>
        <w:t xml:space="preserve"> For additional information </w:t>
      </w:r>
      <w:r w:rsidRPr="00331689">
        <w:t>https://auth.cdc.gov/sams/SAMSUserGuide.pdf</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82828497"/>
      <w:docPartObj>
        <w:docPartGallery w:val="Page Numbers (Bottom of Page)"/>
        <w:docPartUnique/>
      </w:docPartObj>
    </w:sdtPr>
    <w:sdtEndPr>
      <w:rPr>
        <w:noProof/>
      </w:rPr>
    </w:sdtEndPr>
    <w:sdtContent>
      <w:p w:rsidR="00B76DFE" w14:paraId="48367933" w14:textId="3566C0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36785" w14:paraId="6D0DC97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0"/>
    <w:lvl w:ilvl="0">
      <w:start w:val="1"/>
      <w:numFmt w:val="decimal"/>
      <w:pStyle w:val="Level1"/>
      <w:lvlText w:val="%1."/>
      <w:lvlJc w:val="left"/>
      <w:pPr>
        <w:tabs>
          <w:tab w:val="num" w:pos="720"/>
        </w:tabs>
        <w:ind w:left="720" w:hanging="720"/>
      </w:pPr>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5C57585"/>
    <w:multiLevelType w:val="hybridMultilevel"/>
    <w:tmpl w:val="59102A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D62C45"/>
    <w:multiLevelType w:val="hybridMultilevel"/>
    <w:tmpl w:val="0E0C3F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BC070E"/>
    <w:multiLevelType w:val="hybridMultilevel"/>
    <w:tmpl w:val="9A82EB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6A5E8F"/>
    <w:multiLevelType w:val="hybridMultilevel"/>
    <w:tmpl w:val="79FE8A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BC3C35"/>
    <w:multiLevelType w:val="hybridMultilevel"/>
    <w:tmpl w:val="EB5A62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5B4011"/>
    <w:multiLevelType w:val="hybridMultilevel"/>
    <w:tmpl w:val="0EBA50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397EE6"/>
    <w:multiLevelType w:val="hybridMultilevel"/>
    <w:tmpl w:val="EB5A62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4E6AA4"/>
    <w:multiLevelType w:val="hybridMultilevel"/>
    <w:tmpl w:val="A4468980"/>
    <w:lvl w:ilvl="0">
      <w:start w:val="1"/>
      <w:numFmt w:val="decimal"/>
      <w:lvlText w:val="%1."/>
      <w:lvlJc w:val="left"/>
      <w:pPr>
        <w:ind w:left="780" w:hanging="360"/>
      </w:pPr>
    </w:lvl>
    <w:lvl w:ilvl="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9">
    <w:nsid w:val="1DBE38A5"/>
    <w:multiLevelType w:val="hybridMultilevel"/>
    <w:tmpl w:val="8FBA484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8A4884"/>
    <w:multiLevelType w:val="hybridMultilevel"/>
    <w:tmpl w:val="6784BA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77A24F3"/>
    <w:multiLevelType w:val="hybridMultilevel"/>
    <w:tmpl w:val="4DC01466"/>
    <w:lvl w:ilvl="0">
      <w:start w:val="1"/>
      <w:numFmt w:val="bullet"/>
      <w:lvlText w:val=""/>
      <w:lvlJc w:val="left"/>
      <w:pPr>
        <w:ind w:left="144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2">
    <w:nsid w:val="2EDC6287"/>
    <w:multiLevelType w:val="hybridMultilevel"/>
    <w:tmpl w:val="57A24DB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F97344"/>
    <w:multiLevelType w:val="hybridMultilevel"/>
    <w:tmpl w:val="9F7E445A"/>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4">
    <w:nsid w:val="47F95B90"/>
    <w:multiLevelType w:val="hybridMultilevel"/>
    <w:tmpl w:val="FAB213B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hint="default"/>
      </w:rPr>
    </w:lvl>
    <w:lvl w:ilvl="8" w:tentative="1">
      <w:start w:val="1"/>
      <w:numFmt w:val="bullet"/>
      <w:lvlText w:val=""/>
      <w:lvlJc w:val="left"/>
      <w:pPr>
        <w:ind w:left="6540" w:hanging="360"/>
      </w:pPr>
      <w:rPr>
        <w:rFonts w:ascii="Wingdings" w:hAnsi="Wingdings" w:hint="default"/>
      </w:rPr>
    </w:lvl>
  </w:abstractNum>
  <w:abstractNum w:abstractNumId="15">
    <w:nsid w:val="56A77C7A"/>
    <w:multiLevelType w:val="hybridMultilevel"/>
    <w:tmpl w:val="5A9C69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7EB0C0D"/>
    <w:multiLevelType w:val="hybridMultilevel"/>
    <w:tmpl w:val="D408F8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8D6F04"/>
    <w:multiLevelType w:val="hybridMultilevel"/>
    <w:tmpl w:val="9594C3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9B4063A"/>
    <w:multiLevelType w:val="hybridMultilevel"/>
    <w:tmpl w:val="14F41F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1F134F7"/>
    <w:multiLevelType w:val="hybridMultilevel"/>
    <w:tmpl w:val="5FAA74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39D4239"/>
    <w:multiLevelType w:val="hybridMultilevel"/>
    <w:tmpl w:val="054A371C"/>
    <w:lvl w:ilvl="0">
      <w:start w:val="1"/>
      <w:numFmt w:val="decimal"/>
      <w:lvlText w:val="%1."/>
      <w:lvlJc w:val="left"/>
      <w:pPr>
        <w:ind w:left="360" w:hanging="360"/>
      </w:pPr>
      <w:rPr>
        <w:b w:val="0"/>
        <w:i w:val="0"/>
      </w:rPr>
    </w:lvl>
    <w:lvl w:ilvl="1">
      <w:start w:val="1"/>
      <w:numFmt w:val="lowerLetter"/>
      <w:lvlText w:val="%2."/>
      <w:lvlJc w:val="left"/>
      <w:pPr>
        <w:ind w:left="1080" w:hanging="360"/>
      </w:pPr>
      <w:rPr>
        <w:b w:val="0"/>
      </w:rPr>
    </w:lvl>
    <w:lvl w:ilvl="2">
      <w:start w:val="1"/>
      <w:numFmt w:val="lowerRoman"/>
      <w:lvlText w:val="%3."/>
      <w:lvlJc w:val="right"/>
      <w:pPr>
        <w:ind w:left="1800" w:hanging="180"/>
      </w:pPr>
      <w:rPr>
        <w:b w:val="0"/>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8276B19"/>
    <w:multiLevelType w:val="hybridMultilevel"/>
    <w:tmpl w:val="EB5A62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0FA7E5B"/>
    <w:multiLevelType w:val="hybridMultilevel"/>
    <w:tmpl w:val="FC4ECDC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47454E7"/>
    <w:multiLevelType w:val="hybridMultilevel"/>
    <w:tmpl w:val="E4729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E887009"/>
    <w:multiLevelType w:val="hybridMultilevel"/>
    <w:tmpl w:val="7B98E8C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5">
    <w:nsid w:val="7E8F15F8"/>
    <w:multiLevelType w:val="hybridMultilevel"/>
    <w:tmpl w:val="8AFA2D9A"/>
    <w:lvl w:ilvl="0">
      <w:start w:val="1"/>
      <w:numFmt w:val="decimal"/>
      <w:lvlText w:val="%1."/>
      <w:lvlJc w:val="left"/>
      <w:pPr>
        <w:ind w:left="720" w:hanging="360"/>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F093DE5"/>
    <w:multiLevelType w:val="hybridMultilevel"/>
    <w:tmpl w:val="62A00F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F331889"/>
    <w:multiLevelType w:val="hybridMultilevel"/>
    <w:tmpl w:val="EC32D5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num w:numId="1" w16cid:durableId="1987009399">
    <w:abstractNumId w:val="0"/>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11824102">
    <w:abstractNumId w:val="22"/>
  </w:num>
  <w:num w:numId="3" w16cid:durableId="1269461241">
    <w:abstractNumId w:val="19"/>
  </w:num>
  <w:num w:numId="4" w16cid:durableId="648245598">
    <w:abstractNumId w:val="27"/>
  </w:num>
  <w:num w:numId="5" w16cid:durableId="1864438290">
    <w:abstractNumId w:val="1"/>
  </w:num>
  <w:num w:numId="6" w16cid:durableId="1914126290">
    <w:abstractNumId w:val="20"/>
  </w:num>
  <w:num w:numId="7" w16cid:durableId="2071926101">
    <w:abstractNumId w:val="3"/>
  </w:num>
  <w:num w:numId="8" w16cid:durableId="1748184393">
    <w:abstractNumId w:val="9"/>
  </w:num>
  <w:num w:numId="9" w16cid:durableId="1536120037">
    <w:abstractNumId w:val="15"/>
  </w:num>
  <w:num w:numId="10" w16cid:durableId="1902248103">
    <w:abstractNumId w:val="8"/>
  </w:num>
  <w:num w:numId="11" w16cid:durableId="1061714904">
    <w:abstractNumId w:val="10"/>
  </w:num>
  <w:num w:numId="12" w16cid:durableId="2077237770">
    <w:abstractNumId w:val="18"/>
  </w:num>
  <w:num w:numId="13" w16cid:durableId="11339821">
    <w:abstractNumId w:val="5"/>
  </w:num>
  <w:num w:numId="14" w16cid:durableId="376510827">
    <w:abstractNumId w:val="7"/>
  </w:num>
  <w:num w:numId="15" w16cid:durableId="1424373042">
    <w:abstractNumId w:val="23"/>
  </w:num>
  <w:num w:numId="16" w16cid:durableId="376052655">
    <w:abstractNumId w:val="14"/>
  </w:num>
  <w:num w:numId="17" w16cid:durableId="627474415">
    <w:abstractNumId w:val="2"/>
  </w:num>
  <w:num w:numId="18" w16cid:durableId="240529847">
    <w:abstractNumId w:val="26"/>
  </w:num>
  <w:num w:numId="19" w16cid:durableId="460923749">
    <w:abstractNumId w:val="17"/>
  </w:num>
  <w:num w:numId="20" w16cid:durableId="1012031894">
    <w:abstractNumId w:val="25"/>
  </w:num>
  <w:num w:numId="21" w16cid:durableId="5451636">
    <w:abstractNumId w:val="4"/>
  </w:num>
  <w:num w:numId="22" w16cid:durableId="199320748">
    <w:abstractNumId w:val="16"/>
  </w:num>
  <w:num w:numId="23" w16cid:durableId="497187965">
    <w:abstractNumId w:val="12"/>
  </w:num>
  <w:num w:numId="24" w16cid:durableId="1896089117">
    <w:abstractNumId w:val="6"/>
  </w:num>
  <w:num w:numId="25" w16cid:durableId="705718073">
    <w:abstractNumId w:val="11"/>
  </w:num>
  <w:num w:numId="26" w16cid:durableId="1357927096">
    <w:abstractNumId w:val="13"/>
  </w:num>
  <w:num w:numId="27" w16cid:durableId="1397557405">
    <w:abstractNumId w:val="24"/>
  </w:num>
  <w:num w:numId="28" w16cid:durableId="19409416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40E"/>
    <w:rsid w:val="00002002"/>
    <w:rsid w:val="00003561"/>
    <w:rsid w:val="00003764"/>
    <w:rsid w:val="00004BE0"/>
    <w:rsid w:val="00005900"/>
    <w:rsid w:val="00005FD5"/>
    <w:rsid w:val="00006568"/>
    <w:rsid w:val="0000693F"/>
    <w:rsid w:val="000077ED"/>
    <w:rsid w:val="00011D91"/>
    <w:rsid w:val="00011DF7"/>
    <w:rsid w:val="00012689"/>
    <w:rsid w:val="000140C0"/>
    <w:rsid w:val="00014F7C"/>
    <w:rsid w:val="00015763"/>
    <w:rsid w:val="00015D91"/>
    <w:rsid w:val="00015EE3"/>
    <w:rsid w:val="000202DF"/>
    <w:rsid w:val="0002030F"/>
    <w:rsid w:val="00021B17"/>
    <w:rsid w:val="0002223C"/>
    <w:rsid w:val="00022339"/>
    <w:rsid w:val="00022670"/>
    <w:rsid w:val="00023006"/>
    <w:rsid w:val="000237FB"/>
    <w:rsid w:val="0002398E"/>
    <w:rsid w:val="00024AA8"/>
    <w:rsid w:val="0002624C"/>
    <w:rsid w:val="000262E4"/>
    <w:rsid w:val="00026EC3"/>
    <w:rsid w:val="00027996"/>
    <w:rsid w:val="00030F7D"/>
    <w:rsid w:val="000329D1"/>
    <w:rsid w:val="000346B4"/>
    <w:rsid w:val="000417D6"/>
    <w:rsid w:val="0004365F"/>
    <w:rsid w:val="00043ACD"/>
    <w:rsid w:val="0004536F"/>
    <w:rsid w:val="000458CD"/>
    <w:rsid w:val="00045B71"/>
    <w:rsid w:val="00045D42"/>
    <w:rsid w:val="0004676A"/>
    <w:rsid w:val="00046789"/>
    <w:rsid w:val="00046A1F"/>
    <w:rsid w:val="00050359"/>
    <w:rsid w:val="00051EA7"/>
    <w:rsid w:val="00052325"/>
    <w:rsid w:val="00052FAD"/>
    <w:rsid w:val="000536FB"/>
    <w:rsid w:val="000540F3"/>
    <w:rsid w:val="00054DA0"/>
    <w:rsid w:val="00055544"/>
    <w:rsid w:val="00056F3A"/>
    <w:rsid w:val="00060D73"/>
    <w:rsid w:val="000611E8"/>
    <w:rsid w:val="000613D0"/>
    <w:rsid w:val="000614C6"/>
    <w:rsid w:val="00061B31"/>
    <w:rsid w:val="00062F1A"/>
    <w:rsid w:val="0006357B"/>
    <w:rsid w:val="00063F94"/>
    <w:rsid w:val="000649A6"/>
    <w:rsid w:val="00064C9E"/>
    <w:rsid w:val="00065022"/>
    <w:rsid w:val="00065253"/>
    <w:rsid w:val="0006568F"/>
    <w:rsid w:val="00065D65"/>
    <w:rsid w:val="00066092"/>
    <w:rsid w:val="0006692B"/>
    <w:rsid w:val="0006777F"/>
    <w:rsid w:val="00067A09"/>
    <w:rsid w:val="00070C2A"/>
    <w:rsid w:val="00071411"/>
    <w:rsid w:val="00071BFC"/>
    <w:rsid w:val="000737A9"/>
    <w:rsid w:val="0007628D"/>
    <w:rsid w:val="00076557"/>
    <w:rsid w:val="000776B6"/>
    <w:rsid w:val="000814A8"/>
    <w:rsid w:val="00081935"/>
    <w:rsid w:val="00081FC4"/>
    <w:rsid w:val="000846A6"/>
    <w:rsid w:val="00084726"/>
    <w:rsid w:val="0008475A"/>
    <w:rsid w:val="0008514A"/>
    <w:rsid w:val="000851C0"/>
    <w:rsid w:val="000853F7"/>
    <w:rsid w:val="0008619D"/>
    <w:rsid w:val="00086763"/>
    <w:rsid w:val="00086B2A"/>
    <w:rsid w:val="000879F8"/>
    <w:rsid w:val="000900A0"/>
    <w:rsid w:val="00090680"/>
    <w:rsid w:val="00090850"/>
    <w:rsid w:val="000925A7"/>
    <w:rsid w:val="00092BF3"/>
    <w:rsid w:val="00092F48"/>
    <w:rsid w:val="00094D6A"/>
    <w:rsid w:val="00096323"/>
    <w:rsid w:val="0009791D"/>
    <w:rsid w:val="000A0C1E"/>
    <w:rsid w:val="000A1930"/>
    <w:rsid w:val="000A1E2D"/>
    <w:rsid w:val="000A256F"/>
    <w:rsid w:val="000A2BC5"/>
    <w:rsid w:val="000A308B"/>
    <w:rsid w:val="000A4055"/>
    <w:rsid w:val="000A57DD"/>
    <w:rsid w:val="000A64BF"/>
    <w:rsid w:val="000A7BAA"/>
    <w:rsid w:val="000A7BB4"/>
    <w:rsid w:val="000A7D7F"/>
    <w:rsid w:val="000B076A"/>
    <w:rsid w:val="000B1625"/>
    <w:rsid w:val="000B4252"/>
    <w:rsid w:val="000B43C3"/>
    <w:rsid w:val="000B5557"/>
    <w:rsid w:val="000B6C2D"/>
    <w:rsid w:val="000B7063"/>
    <w:rsid w:val="000B7B90"/>
    <w:rsid w:val="000C0029"/>
    <w:rsid w:val="000C0C84"/>
    <w:rsid w:val="000C1485"/>
    <w:rsid w:val="000C1E21"/>
    <w:rsid w:val="000C338E"/>
    <w:rsid w:val="000C3EED"/>
    <w:rsid w:val="000C4AA0"/>
    <w:rsid w:val="000C51F8"/>
    <w:rsid w:val="000C659F"/>
    <w:rsid w:val="000C688A"/>
    <w:rsid w:val="000D015F"/>
    <w:rsid w:val="000D1241"/>
    <w:rsid w:val="000D1309"/>
    <w:rsid w:val="000D1532"/>
    <w:rsid w:val="000D1D03"/>
    <w:rsid w:val="000D2795"/>
    <w:rsid w:val="000D2BA7"/>
    <w:rsid w:val="000D4065"/>
    <w:rsid w:val="000D5FB4"/>
    <w:rsid w:val="000D67BC"/>
    <w:rsid w:val="000D7F4E"/>
    <w:rsid w:val="000E0BBD"/>
    <w:rsid w:val="000E45E1"/>
    <w:rsid w:val="000E58EA"/>
    <w:rsid w:val="000E5E29"/>
    <w:rsid w:val="000E73F8"/>
    <w:rsid w:val="000F1353"/>
    <w:rsid w:val="000F1593"/>
    <w:rsid w:val="000F1685"/>
    <w:rsid w:val="000F296E"/>
    <w:rsid w:val="000F2A1F"/>
    <w:rsid w:val="000F2DE6"/>
    <w:rsid w:val="000F4A6E"/>
    <w:rsid w:val="000F4E7D"/>
    <w:rsid w:val="000F4ED7"/>
    <w:rsid w:val="000F6F0D"/>
    <w:rsid w:val="000F785B"/>
    <w:rsid w:val="000F78D1"/>
    <w:rsid w:val="00100BBC"/>
    <w:rsid w:val="001010C6"/>
    <w:rsid w:val="00102200"/>
    <w:rsid w:val="00102207"/>
    <w:rsid w:val="00102F32"/>
    <w:rsid w:val="00106857"/>
    <w:rsid w:val="00107233"/>
    <w:rsid w:val="0011147A"/>
    <w:rsid w:val="00112230"/>
    <w:rsid w:val="00112DAC"/>
    <w:rsid w:val="00112F5C"/>
    <w:rsid w:val="00112FE3"/>
    <w:rsid w:val="001133ED"/>
    <w:rsid w:val="00114541"/>
    <w:rsid w:val="00114BDC"/>
    <w:rsid w:val="00114E4D"/>
    <w:rsid w:val="00115B3D"/>
    <w:rsid w:val="00115C20"/>
    <w:rsid w:val="00116653"/>
    <w:rsid w:val="001210D2"/>
    <w:rsid w:val="0012189C"/>
    <w:rsid w:val="00122782"/>
    <w:rsid w:val="001231D5"/>
    <w:rsid w:val="00123C88"/>
    <w:rsid w:val="00124802"/>
    <w:rsid w:val="00126CAE"/>
    <w:rsid w:val="0013108D"/>
    <w:rsid w:val="00131E0B"/>
    <w:rsid w:val="00132C46"/>
    <w:rsid w:val="00132D54"/>
    <w:rsid w:val="00133C67"/>
    <w:rsid w:val="0013417A"/>
    <w:rsid w:val="00134A5A"/>
    <w:rsid w:val="001361A3"/>
    <w:rsid w:val="001369A8"/>
    <w:rsid w:val="001402F7"/>
    <w:rsid w:val="00141AF9"/>
    <w:rsid w:val="00141D35"/>
    <w:rsid w:val="00143246"/>
    <w:rsid w:val="00143260"/>
    <w:rsid w:val="00144958"/>
    <w:rsid w:val="00144AEB"/>
    <w:rsid w:val="0014536B"/>
    <w:rsid w:val="00145A4E"/>
    <w:rsid w:val="001465FB"/>
    <w:rsid w:val="00150EE9"/>
    <w:rsid w:val="0015149E"/>
    <w:rsid w:val="00152215"/>
    <w:rsid w:val="00152657"/>
    <w:rsid w:val="001534FF"/>
    <w:rsid w:val="001547C9"/>
    <w:rsid w:val="001551F4"/>
    <w:rsid w:val="001571B8"/>
    <w:rsid w:val="0016090D"/>
    <w:rsid w:val="00160EB7"/>
    <w:rsid w:val="00162C27"/>
    <w:rsid w:val="001632C4"/>
    <w:rsid w:val="00163B20"/>
    <w:rsid w:val="0016472C"/>
    <w:rsid w:val="0017023D"/>
    <w:rsid w:val="00170E9F"/>
    <w:rsid w:val="0017312E"/>
    <w:rsid w:val="001736E3"/>
    <w:rsid w:val="00173ABA"/>
    <w:rsid w:val="00174527"/>
    <w:rsid w:val="0017575E"/>
    <w:rsid w:val="00175A5E"/>
    <w:rsid w:val="001767E0"/>
    <w:rsid w:val="001779B1"/>
    <w:rsid w:val="00180C48"/>
    <w:rsid w:val="0018169A"/>
    <w:rsid w:val="00181EC6"/>
    <w:rsid w:val="00182538"/>
    <w:rsid w:val="00182972"/>
    <w:rsid w:val="00184984"/>
    <w:rsid w:val="0018654B"/>
    <w:rsid w:val="00186CBD"/>
    <w:rsid w:val="0019001A"/>
    <w:rsid w:val="0019069E"/>
    <w:rsid w:val="00190805"/>
    <w:rsid w:val="0019110F"/>
    <w:rsid w:val="00191515"/>
    <w:rsid w:val="001915B3"/>
    <w:rsid w:val="001919F1"/>
    <w:rsid w:val="00192B5E"/>
    <w:rsid w:val="00192C12"/>
    <w:rsid w:val="0019648E"/>
    <w:rsid w:val="00196DCE"/>
    <w:rsid w:val="00196DEB"/>
    <w:rsid w:val="0019749F"/>
    <w:rsid w:val="001A025A"/>
    <w:rsid w:val="001A1215"/>
    <w:rsid w:val="001A162F"/>
    <w:rsid w:val="001A1F6B"/>
    <w:rsid w:val="001A2B0A"/>
    <w:rsid w:val="001A2CAC"/>
    <w:rsid w:val="001A421E"/>
    <w:rsid w:val="001A5DFB"/>
    <w:rsid w:val="001A61F3"/>
    <w:rsid w:val="001A715B"/>
    <w:rsid w:val="001B0201"/>
    <w:rsid w:val="001B08B8"/>
    <w:rsid w:val="001B2823"/>
    <w:rsid w:val="001B29C8"/>
    <w:rsid w:val="001B2C8B"/>
    <w:rsid w:val="001B32DE"/>
    <w:rsid w:val="001B3D74"/>
    <w:rsid w:val="001B45C7"/>
    <w:rsid w:val="001B6E8D"/>
    <w:rsid w:val="001B7217"/>
    <w:rsid w:val="001B7528"/>
    <w:rsid w:val="001B7CFF"/>
    <w:rsid w:val="001C0A23"/>
    <w:rsid w:val="001C1F1C"/>
    <w:rsid w:val="001C55A8"/>
    <w:rsid w:val="001C6B15"/>
    <w:rsid w:val="001C7247"/>
    <w:rsid w:val="001D100E"/>
    <w:rsid w:val="001D11EE"/>
    <w:rsid w:val="001D1CAD"/>
    <w:rsid w:val="001D211F"/>
    <w:rsid w:val="001D25FD"/>
    <w:rsid w:val="001D2C64"/>
    <w:rsid w:val="001D3561"/>
    <w:rsid w:val="001D4A2F"/>
    <w:rsid w:val="001D4CF5"/>
    <w:rsid w:val="001D74CA"/>
    <w:rsid w:val="001D7806"/>
    <w:rsid w:val="001E0E75"/>
    <w:rsid w:val="001E13DD"/>
    <w:rsid w:val="001E225E"/>
    <w:rsid w:val="001E33DD"/>
    <w:rsid w:val="001E375B"/>
    <w:rsid w:val="001E3C92"/>
    <w:rsid w:val="001E40C6"/>
    <w:rsid w:val="001E44AE"/>
    <w:rsid w:val="001E4593"/>
    <w:rsid w:val="001E475A"/>
    <w:rsid w:val="001E495F"/>
    <w:rsid w:val="001E49E6"/>
    <w:rsid w:val="001E7CC0"/>
    <w:rsid w:val="001F1A33"/>
    <w:rsid w:val="001F2120"/>
    <w:rsid w:val="001F4132"/>
    <w:rsid w:val="001F4D7C"/>
    <w:rsid w:val="001F5605"/>
    <w:rsid w:val="001F6666"/>
    <w:rsid w:val="001F707C"/>
    <w:rsid w:val="001F7241"/>
    <w:rsid w:val="00201E13"/>
    <w:rsid w:val="002045B1"/>
    <w:rsid w:val="0020476E"/>
    <w:rsid w:val="00206957"/>
    <w:rsid w:val="0020761A"/>
    <w:rsid w:val="00207711"/>
    <w:rsid w:val="00207F44"/>
    <w:rsid w:val="0021129A"/>
    <w:rsid w:val="0021347B"/>
    <w:rsid w:val="00213729"/>
    <w:rsid w:val="00214E3D"/>
    <w:rsid w:val="0021575A"/>
    <w:rsid w:val="00216091"/>
    <w:rsid w:val="0021689C"/>
    <w:rsid w:val="0021784A"/>
    <w:rsid w:val="0021785B"/>
    <w:rsid w:val="0021798F"/>
    <w:rsid w:val="00217FE5"/>
    <w:rsid w:val="0022005F"/>
    <w:rsid w:val="00221E86"/>
    <w:rsid w:val="002249DB"/>
    <w:rsid w:val="00224C80"/>
    <w:rsid w:val="0022663D"/>
    <w:rsid w:val="002275D9"/>
    <w:rsid w:val="00227F2F"/>
    <w:rsid w:val="002302B0"/>
    <w:rsid w:val="002308D9"/>
    <w:rsid w:val="00230F26"/>
    <w:rsid w:val="002343AB"/>
    <w:rsid w:val="0023478C"/>
    <w:rsid w:val="002358D5"/>
    <w:rsid w:val="00236CE9"/>
    <w:rsid w:val="00241B7D"/>
    <w:rsid w:val="00241D70"/>
    <w:rsid w:val="00241ED0"/>
    <w:rsid w:val="00242973"/>
    <w:rsid w:val="00243016"/>
    <w:rsid w:val="002434CB"/>
    <w:rsid w:val="00243F36"/>
    <w:rsid w:val="002459FB"/>
    <w:rsid w:val="00247970"/>
    <w:rsid w:val="00250477"/>
    <w:rsid w:val="00250B9A"/>
    <w:rsid w:val="00250C10"/>
    <w:rsid w:val="00250FDA"/>
    <w:rsid w:val="00251847"/>
    <w:rsid w:val="00251986"/>
    <w:rsid w:val="00252B4A"/>
    <w:rsid w:val="00252DFD"/>
    <w:rsid w:val="0025335D"/>
    <w:rsid w:val="0025417F"/>
    <w:rsid w:val="002549DA"/>
    <w:rsid w:val="00255108"/>
    <w:rsid w:val="00255E16"/>
    <w:rsid w:val="00256FBC"/>
    <w:rsid w:val="00260E73"/>
    <w:rsid w:val="00265628"/>
    <w:rsid w:val="00266BCA"/>
    <w:rsid w:val="00267736"/>
    <w:rsid w:val="00271EB0"/>
    <w:rsid w:val="00274293"/>
    <w:rsid w:val="00274E9F"/>
    <w:rsid w:val="00280F77"/>
    <w:rsid w:val="002814AA"/>
    <w:rsid w:val="00281D8C"/>
    <w:rsid w:val="002823CD"/>
    <w:rsid w:val="00282ABC"/>
    <w:rsid w:val="002839DA"/>
    <w:rsid w:val="0028496B"/>
    <w:rsid w:val="00285336"/>
    <w:rsid w:val="0028660D"/>
    <w:rsid w:val="00290176"/>
    <w:rsid w:val="00290446"/>
    <w:rsid w:val="002905DA"/>
    <w:rsid w:val="00290CAF"/>
    <w:rsid w:val="002937AF"/>
    <w:rsid w:val="00293868"/>
    <w:rsid w:val="0029476B"/>
    <w:rsid w:val="00294E85"/>
    <w:rsid w:val="00296620"/>
    <w:rsid w:val="00296CF1"/>
    <w:rsid w:val="0029718D"/>
    <w:rsid w:val="0029743E"/>
    <w:rsid w:val="00297667"/>
    <w:rsid w:val="002A0390"/>
    <w:rsid w:val="002A0806"/>
    <w:rsid w:val="002A0A2E"/>
    <w:rsid w:val="002A115E"/>
    <w:rsid w:val="002A13D3"/>
    <w:rsid w:val="002A2167"/>
    <w:rsid w:val="002A2B16"/>
    <w:rsid w:val="002A5941"/>
    <w:rsid w:val="002A735E"/>
    <w:rsid w:val="002B09FB"/>
    <w:rsid w:val="002B2D51"/>
    <w:rsid w:val="002B4A97"/>
    <w:rsid w:val="002B51FE"/>
    <w:rsid w:val="002B76F9"/>
    <w:rsid w:val="002C028A"/>
    <w:rsid w:val="002C1116"/>
    <w:rsid w:val="002C149B"/>
    <w:rsid w:val="002C1B51"/>
    <w:rsid w:val="002C2BCE"/>
    <w:rsid w:val="002C33F0"/>
    <w:rsid w:val="002C509A"/>
    <w:rsid w:val="002C522F"/>
    <w:rsid w:val="002C5DC1"/>
    <w:rsid w:val="002C681D"/>
    <w:rsid w:val="002C7C69"/>
    <w:rsid w:val="002C7DA7"/>
    <w:rsid w:val="002D00C3"/>
    <w:rsid w:val="002D1D70"/>
    <w:rsid w:val="002D4680"/>
    <w:rsid w:val="002D511B"/>
    <w:rsid w:val="002D6183"/>
    <w:rsid w:val="002D6B55"/>
    <w:rsid w:val="002E02D2"/>
    <w:rsid w:val="002E12E2"/>
    <w:rsid w:val="002E24D0"/>
    <w:rsid w:val="002E4833"/>
    <w:rsid w:val="002E4AE2"/>
    <w:rsid w:val="002E5332"/>
    <w:rsid w:val="002E60EC"/>
    <w:rsid w:val="002E76E9"/>
    <w:rsid w:val="002E7AD5"/>
    <w:rsid w:val="002F0604"/>
    <w:rsid w:val="002F3956"/>
    <w:rsid w:val="002F64F0"/>
    <w:rsid w:val="00301285"/>
    <w:rsid w:val="003028CD"/>
    <w:rsid w:val="00302BEE"/>
    <w:rsid w:val="00302C9C"/>
    <w:rsid w:val="00302E19"/>
    <w:rsid w:val="00303B34"/>
    <w:rsid w:val="00303FC1"/>
    <w:rsid w:val="00304A95"/>
    <w:rsid w:val="003053C9"/>
    <w:rsid w:val="00305BDD"/>
    <w:rsid w:val="00307F9E"/>
    <w:rsid w:val="0031024A"/>
    <w:rsid w:val="003108BF"/>
    <w:rsid w:val="003112F0"/>
    <w:rsid w:val="003117F2"/>
    <w:rsid w:val="00311A81"/>
    <w:rsid w:val="00311E36"/>
    <w:rsid w:val="00312AD7"/>
    <w:rsid w:val="00312F8A"/>
    <w:rsid w:val="00313234"/>
    <w:rsid w:val="003139FD"/>
    <w:rsid w:val="00313B56"/>
    <w:rsid w:val="00315581"/>
    <w:rsid w:val="003169FA"/>
    <w:rsid w:val="0032095D"/>
    <w:rsid w:val="003217A7"/>
    <w:rsid w:val="00323B29"/>
    <w:rsid w:val="00323B83"/>
    <w:rsid w:val="00324A64"/>
    <w:rsid w:val="00324C46"/>
    <w:rsid w:val="00325972"/>
    <w:rsid w:val="00325C65"/>
    <w:rsid w:val="003273F3"/>
    <w:rsid w:val="00327668"/>
    <w:rsid w:val="003314F2"/>
    <w:rsid w:val="003315AC"/>
    <w:rsid w:val="00331689"/>
    <w:rsid w:val="003332B8"/>
    <w:rsid w:val="0033400A"/>
    <w:rsid w:val="00334DFC"/>
    <w:rsid w:val="00337A53"/>
    <w:rsid w:val="003427B3"/>
    <w:rsid w:val="00342FE6"/>
    <w:rsid w:val="0034324C"/>
    <w:rsid w:val="00343C59"/>
    <w:rsid w:val="00343DD1"/>
    <w:rsid w:val="00343FB3"/>
    <w:rsid w:val="00346637"/>
    <w:rsid w:val="00346BEA"/>
    <w:rsid w:val="00347FDE"/>
    <w:rsid w:val="00350165"/>
    <w:rsid w:val="00350DC8"/>
    <w:rsid w:val="00352220"/>
    <w:rsid w:val="00353BE1"/>
    <w:rsid w:val="003546C1"/>
    <w:rsid w:val="00356786"/>
    <w:rsid w:val="00357607"/>
    <w:rsid w:val="003577FA"/>
    <w:rsid w:val="00363169"/>
    <w:rsid w:val="00363171"/>
    <w:rsid w:val="003635FD"/>
    <w:rsid w:val="003636F7"/>
    <w:rsid w:val="00363963"/>
    <w:rsid w:val="003644D4"/>
    <w:rsid w:val="00365133"/>
    <w:rsid w:val="00365A86"/>
    <w:rsid w:val="00371F28"/>
    <w:rsid w:val="00372537"/>
    <w:rsid w:val="003725E7"/>
    <w:rsid w:val="0037343F"/>
    <w:rsid w:val="00374F3A"/>
    <w:rsid w:val="00376BF3"/>
    <w:rsid w:val="003773E3"/>
    <w:rsid w:val="00382098"/>
    <w:rsid w:val="00383991"/>
    <w:rsid w:val="00384BF1"/>
    <w:rsid w:val="00385E35"/>
    <w:rsid w:val="0038618F"/>
    <w:rsid w:val="00386C38"/>
    <w:rsid w:val="00386FDA"/>
    <w:rsid w:val="003872A7"/>
    <w:rsid w:val="00387F7F"/>
    <w:rsid w:val="003908E8"/>
    <w:rsid w:val="003923DF"/>
    <w:rsid w:val="00392E95"/>
    <w:rsid w:val="00393010"/>
    <w:rsid w:val="0039350B"/>
    <w:rsid w:val="003945C2"/>
    <w:rsid w:val="00394D0D"/>
    <w:rsid w:val="00396285"/>
    <w:rsid w:val="0039639E"/>
    <w:rsid w:val="0039685B"/>
    <w:rsid w:val="003A2AB4"/>
    <w:rsid w:val="003A3EE5"/>
    <w:rsid w:val="003A4469"/>
    <w:rsid w:val="003A55D8"/>
    <w:rsid w:val="003A66FB"/>
    <w:rsid w:val="003A68A3"/>
    <w:rsid w:val="003A6AA4"/>
    <w:rsid w:val="003A7511"/>
    <w:rsid w:val="003A75A7"/>
    <w:rsid w:val="003B0453"/>
    <w:rsid w:val="003B1472"/>
    <w:rsid w:val="003B1598"/>
    <w:rsid w:val="003B21CB"/>
    <w:rsid w:val="003B2AAA"/>
    <w:rsid w:val="003B2C94"/>
    <w:rsid w:val="003B2DDF"/>
    <w:rsid w:val="003C2122"/>
    <w:rsid w:val="003C2501"/>
    <w:rsid w:val="003C2949"/>
    <w:rsid w:val="003C344E"/>
    <w:rsid w:val="003C527E"/>
    <w:rsid w:val="003C59B9"/>
    <w:rsid w:val="003C5B94"/>
    <w:rsid w:val="003C6E32"/>
    <w:rsid w:val="003C7C1A"/>
    <w:rsid w:val="003D09B8"/>
    <w:rsid w:val="003D0DBE"/>
    <w:rsid w:val="003D1CDA"/>
    <w:rsid w:val="003D1E79"/>
    <w:rsid w:val="003D2552"/>
    <w:rsid w:val="003D2AE0"/>
    <w:rsid w:val="003D35A4"/>
    <w:rsid w:val="003D3BD7"/>
    <w:rsid w:val="003D43D9"/>
    <w:rsid w:val="003D73F1"/>
    <w:rsid w:val="003D7A23"/>
    <w:rsid w:val="003D7A30"/>
    <w:rsid w:val="003E08E2"/>
    <w:rsid w:val="003E4845"/>
    <w:rsid w:val="003E58D2"/>
    <w:rsid w:val="003E6D57"/>
    <w:rsid w:val="003E6E19"/>
    <w:rsid w:val="003E7566"/>
    <w:rsid w:val="003E7E60"/>
    <w:rsid w:val="003E7F3D"/>
    <w:rsid w:val="003F03A7"/>
    <w:rsid w:val="003F0649"/>
    <w:rsid w:val="003F0960"/>
    <w:rsid w:val="003F1FCF"/>
    <w:rsid w:val="003F43D3"/>
    <w:rsid w:val="003F5329"/>
    <w:rsid w:val="003F53AF"/>
    <w:rsid w:val="003F63A0"/>
    <w:rsid w:val="003F6551"/>
    <w:rsid w:val="003F6A10"/>
    <w:rsid w:val="003F70F8"/>
    <w:rsid w:val="003F7773"/>
    <w:rsid w:val="004013B6"/>
    <w:rsid w:val="004026CE"/>
    <w:rsid w:val="004035D6"/>
    <w:rsid w:val="004035E3"/>
    <w:rsid w:val="004037FB"/>
    <w:rsid w:val="00403B9E"/>
    <w:rsid w:val="00403D2F"/>
    <w:rsid w:val="00404872"/>
    <w:rsid w:val="00404C25"/>
    <w:rsid w:val="0040512C"/>
    <w:rsid w:val="00405C02"/>
    <w:rsid w:val="00407DD1"/>
    <w:rsid w:val="00410B38"/>
    <w:rsid w:val="004117F6"/>
    <w:rsid w:val="00411EC6"/>
    <w:rsid w:val="00412AFD"/>
    <w:rsid w:val="00412D77"/>
    <w:rsid w:val="004131C3"/>
    <w:rsid w:val="00415277"/>
    <w:rsid w:val="00415660"/>
    <w:rsid w:val="004157C0"/>
    <w:rsid w:val="00415B71"/>
    <w:rsid w:val="004160AA"/>
    <w:rsid w:val="00416B3F"/>
    <w:rsid w:val="00417E30"/>
    <w:rsid w:val="00422CB0"/>
    <w:rsid w:val="00422F8D"/>
    <w:rsid w:val="00423AAF"/>
    <w:rsid w:val="00424379"/>
    <w:rsid w:val="00424816"/>
    <w:rsid w:val="0043032C"/>
    <w:rsid w:val="0043058B"/>
    <w:rsid w:val="00432FD8"/>
    <w:rsid w:val="004343C7"/>
    <w:rsid w:val="004346A9"/>
    <w:rsid w:val="00434EB1"/>
    <w:rsid w:val="00435C5F"/>
    <w:rsid w:val="00436180"/>
    <w:rsid w:val="004370CA"/>
    <w:rsid w:val="004371A8"/>
    <w:rsid w:val="00437B24"/>
    <w:rsid w:val="00437B77"/>
    <w:rsid w:val="00437DD4"/>
    <w:rsid w:val="00440763"/>
    <w:rsid w:val="00441025"/>
    <w:rsid w:val="0044240A"/>
    <w:rsid w:val="004428B7"/>
    <w:rsid w:val="00443664"/>
    <w:rsid w:val="00444022"/>
    <w:rsid w:val="00444D29"/>
    <w:rsid w:val="00445696"/>
    <w:rsid w:val="00446E23"/>
    <w:rsid w:val="0045004C"/>
    <w:rsid w:val="004512C2"/>
    <w:rsid w:val="004519A7"/>
    <w:rsid w:val="00451F70"/>
    <w:rsid w:val="004536E9"/>
    <w:rsid w:val="00454598"/>
    <w:rsid w:val="00454732"/>
    <w:rsid w:val="00456035"/>
    <w:rsid w:val="004562FD"/>
    <w:rsid w:val="0045698F"/>
    <w:rsid w:val="004571A2"/>
    <w:rsid w:val="00457839"/>
    <w:rsid w:val="004608B1"/>
    <w:rsid w:val="004608BA"/>
    <w:rsid w:val="0046126F"/>
    <w:rsid w:val="004616D0"/>
    <w:rsid w:val="00461828"/>
    <w:rsid w:val="00463441"/>
    <w:rsid w:val="00464C8E"/>
    <w:rsid w:val="00465491"/>
    <w:rsid w:val="00466382"/>
    <w:rsid w:val="00470816"/>
    <w:rsid w:val="00471ADC"/>
    <w:rsid w:val="00472906"/>
    <w:rsid w:val="00472B33"/>
    <w:rsid w:val="00472EC0"/>
    <w:rsid w:val="00473594"/>
    <w:rsid w:val="0047419B"/>
    <w:rsid w:val="00474805"/>
    <w:rsid w:val="00475609"/>
    <w:rsid w:val="00475956"/>
    <w:rsid w:val="00481861"/>
    <w:rsid w:val="00483D64"/>
    <w:rsid w:val="00483FEA"/>
    <w:rsid w:val="0048404B"/>
    <w:rsid w:val="00484CAB"/>
    <w:rsid w:val="00486C57"/>
    <w:rsid w:val="0048792B"/>
    <w:rsid w:val="00487F5B"/>
    <w:rsid w:val="004906F2"/>
    <w:rsid w:val="00491EC1"/>
    <w:rsid w:val="0049284C"/>
    <w:rsid w:val="00492D8F"/>
    <w:rsid w:val="00492FC8"/>
    <w:rsid w:val="00493298"/>
    <w:rsid w:val="004939E4"/>
    <w:rsid w:val="004953DD"/>
    <w:rsid w:val="00495553"/>
    <w:rsid w:val="00495D6A"/>
    <w:rsid w:val="00497440"/>
    <w:rsid w:val="004A2AC1"/>
    <w:rsid w:val="004A3415"/>
    <w:rsid w:val="004A5C32"/>
    <w:rsid w:val="004A5EE1"/>
    <w:rsid w:val="004A6A4D"/>
    <w:rsid w:val="004A6CC8"/>
    <w:rsid w:val="004A711D"/>
    <w:rsid w:val="004A7665"/>
    <w:rsid w:val="004A7757"/>
    <w:rsid w:val="004B0367"/>
    <w:rsid w:val="004B2682"/>
    <w:rsid w:val="004B26B7"/>
    <w:rsid w:val="004B33A8"/>
    <w:rsid w:val="004B36F9"/>
    <w:rsid w:val="004B4E06"/>
    <w:rsid w:val="004B6729"/>
    <w:rsid w:val="004B6B04"/>
    <w:rsid w:val="004C127E"/>
    <w:rsid w:val="004C18B2"/>
    <w:rsid w:val="004C4099"/>
    <w:rsid w:val="004C4773"/>
    <w:rsid w:val="004C4AA8"/>
    <w:rsid w:val="004C5578"/>
    <w:rsid w:val="004C6EC6"/>
    <w:rsid w:val="004C7D58"/>
    <w:rsid w:val="004C7ECD"/>
    <w:rsid w:val="004D00DF"/>
    <w:rsid w:val="004D1843"/>
    <w:rsid w:val="004D1D84"/>
    <w:rsid w:val="004D2358"/>
    <w:rsid w:val="004D276E"/>
    <w:rsid w:val="004D4A4B"/>
    <w:rsid w:val="004D50EC"/>
    <w:rsid w:val="004D549F"/>
    <w:rsid w:val="004D5A68"/>
    <w:rsid w:val="004D61A4"/>
    <w:rsid w:val="004D6263"/>
    <w:rsid w:val="004D62FC"/>
    <w:rsid w:val="004D7CBF"/>
    <w:rsid w:val="004E16C7"/>
    <w:rsid w:val="004E29A9"/>
    <w:rsid w:val="004E3006"/>
    <w:rsid w:val="004E3AF4"/>
    <w:rsid w:val="004E3DBE"/>
    <w:rsid w:val="004E461B"/>
    <w:rsid w:val="004E54D8"/>
    <w:rsid w:val="004E5B4B"/>
    <w:rsid w:val="004E684A"/>
    <w:rsid w:val="004E70BB"/>
    <w:rsid w:val="004E77D2"/>
    <w:rsid w:val="004E7A9E"/>
    <w:rsid w:val="004F09A2"/>
    <w:rsid w:val="004F1367"/>
    <w:rsid w:val="004F1E58"/>
    <w:rsid w:val="004F3123"/>
    <w:rsid w:val="004F3478"/>
    <w:rsid w:val="004F3974"/>
    <w:rsid w:val="004F5F37"/>
    <w:rsid w:val="004F6650"/>
    <w:rsid w:val="00502606"/>
    <w:rsid w:val="00505CF9"/>
    <w:rsid w:val="00505DBA"/>
    <w:rsid w:val="00510D56"/>
    <w:rsid w:val="00512BCC"/>
    <w:rsid w:val="00512F12"/>
    <w:rsid w:val="00513074"/>
    <w:rsid w:val="00514E1E"/>
    <w:rsid w:val="00514E88"/>
    <w:rsid w:val="00516257"/>
    <w:rsid w:val="00517B30"/>
    <w:rsid w:val="00520D9A"/>
    <w:rsid w:val="00520E40"/>
    <w:rsid w:val="00521B7C"/>
    <w:rsid w:val="00522331"/>
    <w:rsid w:val="0052297B"/>
    <w:rsid w:val="00522B96"/>
    <w:rsid w:val="005232E5"/>
    <w:rsid w:val="00523A9C"/>
    <w:rsid w:val="00523C46"/>
    <w:rsid w:val="005247E3"/>
    <w:rsid w:val="005250E2"/>
    <w:rsid w:val="00525D64"/>
    <w:rsid w:val="00525E04"/>
    <w:rsid w:val="00526ECD"/>
    <w:rsid w:val="0052741C"/>
    <w:rsid w:val="005275D3"/>
    <w:rsid w:val="005301C4"/>
    <w:rsid w:val="00533231"/>
    <w:rsid w:val="00533233"/>
    <w:rsid w:val="005338B1"/>
    <w:rsid w:val="00534DB9"/>
    <w:rsid w:val="00535953"/>
    <w:rsid w:val="00541872"/>
    <w:rsid w:val="00541C6B"/>
    <w:rsid w:val="0054212A"/>
    <w:rsid w:val="00543404"/>
    <w:rsid w:val="005456F3"/>
    <w:rsid w:val="00545B0B"/>
    <w:rsid w:val="00545DE9"/>
    <w:rsid w:val="005463A4"/>
    <w:rsid w:val="00546470"/>
    <w:rsid w:val="0054652E"/>
    <w:rsid w:val="005465AC"/>
    <w:rsid w:val="00546FDE"/>
    <w:rsid w:val="005479ED"/>
    <w:rsid w:val="00547CC1"/>
    <w:rsid w:val="005511A5"/>
    <w:rsid w:val="00552082"/>
    <w:rsid w:val="00552E29"/>
    <w:rsid w:val="00553138"/>
    <w:rsid w:val="00553C81"/>
    <w:rsid w:val="0055450C"/>
    <w:rsid w:val="0055491A"/>
    <w:rsid w:val="005569D8"/>
    <w:rsid w:val="00556B61"/>
    <w:rsid w:val="00560B59"/>
    <w:rsid w:val="00560DB0"/>
    <w:rsid w:val="0056338E"/>
    <w:rsid w:val="00563793"/>
    <w:rsid w:val="00564046"/>
    <w:rsid w:val="005651F1"/>
    <w:rsid w:val="00566261"/>
    <w:rsid w:val="005664C1"/>
    <w:rsid w:val="00567580"/>
    <w:rsid w:val="00571A24"/>
    <w:rsid w:val="00571C13"/>
    <w:rsid w:val="00571EEF"/>
    <w:rsid w:val="005725F0"/>
    <w:rsid w:val="005729A9"/>
    <w:rsid w:val="00574B84"/>
    <w:rsid w:val="00575CE4"/>
    <w:rsid w:val="00576DE1"/>
    <w:rsid w:val="00577663"/>
    <w:rsid w:val="00577BDF"/>
    <w:rsid w:val="00577EFF"/>
    <w:rsid w:val="0058035C"/>
    <w:rsid w:val="0058095C"/>
    <w:rsid w:val="00581C07"/>
    <w:rsid w:val="00582F15"/>
    <w:rsid w:val="00583BAC"/>
    <w:rsid w:val="005847DE"/>
    <w:rsid w:val="00584C3E"/>
    <w:rsid w:val="0058502E"/>
    <w:rsid w:val="00585A77"/>
    <w:rsid w:val="005861CB"/>
    <w:rsid w:val="005902F1"/>
    <w:rsid w:val="005905A5"/>
    <w:rsid w:val="00591676"/>
    <w:rsid w:val="0059236F"/>
    <w:rsid w:val="00593C97"/>
    <w:rsid w:val="00593EFA"/>
    <w:rsid w:val="005967D9"/>
    <w:rsid w:val="00596C1E"/>
    <w:rsid w:val="00596EE4"/>
    <w:rsid w:val="00597B8B"/>
    <w:rsid w:val="005A00B6"/>
    <w:rsid w:val="005A1EB4"/>
    <w:rsid w:val="005A1EF0"/>
    <w:rsid w:val="005A3A75"/>
    <w:rsid w:val="005A5F08"/>
    <w:rsid w:val="005A656D"/>
    <w:rsid w:val="005A672F"/>
    <w:rsid w:val="005A6829"/>
    <w:rsid w:val="005A6A0F"/>
    <w:rsid w:val="005A6B5D"/>
    <w:rsid w:val="005A6D6C"/>
    <w:rsid w:val="005A76A2"/>
    <w:rsid w:val="005A78E1"/>
    <w:rsid w:val="005B0506"/>
    <w:rsid w:val="005B0DB7"/>
    <w:rsid w:val="005B30D5"/>
    <w:rsid w:val="005B54AA"/>
    <w:rsid w:val="005B63E8"/>
    <w:rsid w:val="005B6498"/>
    <w:rsid w:val="005C0048"/>
    <w:rsid w:val="005C0363"/>
    <w:rsid w:val="005C1174"/>
    <w:rsid w:val="005C178F"/>
    <w:rsid w:val="005C2261"/>
    <w:rsid w:val="005C2F10"/>
    <w:rsid w:val="005C34FC"/>
    <w:rsid w:val="005C3FCB"/>
    <w:rsid w:val="005C44B1"/>
    <w:rsid w:val="005C5479"/>
    <w:rsid w:val="005C557F"/>
    <w:rsid w:val="005C7D74"/>
    <w:rsid w:val="005D1D4D"/>
    <w:rsid w:val="005D1EDC"/>
    <w:rsid w:val="005D4371"/>
    <w:rsid w:val="005D4D3B"/>
    <w:rsid w:val="005D63EB"/>
    <w:rsid w:val="005D668A"/>
    <w:rsid w:val="005D6860"/>
    <w:rsid w:val="005D6A8C"/>
    <w:rsid w:val="005D6C2A"/>
    <w:rsid w:val="005D7DDA"/>
    <w:rsid w:val="005E201F"/>
    <w:rsid w:val="005E2321"/>
    <w:rsid w:val="005E48EF"/>
    <w:rsid w:val="005E4D30"/>
    <w:rsid w:val="005E4E87"/>
    <w:rsid w:val="005E5091"/>
    <w:rsid w:val="005F0611"/>
    <w:rsid w:val="005F08AD"/>
    <w:rsid w:val="005F0E64"/>
    <w:rsid w:val="005F1813"/>
    <w:rsid w:val="005F1B10"/>
    <w:rsid w:val="005F28CB"/>
    <w:rsid w:val="005F40FC"/>
    <w:rsid w:val="00600916"/>
    <w:rsid w:val="00601C6F"/>
    <w:rsid w:val="0060387F"/>
    <w:rsid w:val="00604041"/>
    <w:rsid w:val="00605815"/>
    <w:rsid w:val="00605EDB"/>
    <w:rsid w:val="0060614A"/>
    <w:rsid w:val="006061E2"/>
    <w:rsid w:val="00606448"/>
    <w:rsid w:val="00611625"/>
    <w:rsid w:val="00612E58"/>
    <w:rsid w:val="0061372E"/>
    <w:rsid w:val="00613B8C"/>
    <w:rsid w:val="00614A9B"/>
    <w:rsid w:val="0061543E"/>
    <w:rsid w:val="00615A43"/>
    <w:rsid w:val="00616628"/>
    <w:rsid w:val="00616B05"/>
    <w:rsid w:val="00616BF3"/>
    <w:rsid w:val="006209AB"/>
    <w:rsid w:val="006217C2"/>
    <w:rsid w:val="006243C7"/>
    <w:rsid w:val="00624F55"/>
    <w:rsid w:val="006250C4"/>
    <w:rsid w:val="006270B8"/>
    <w:rsid w:val="006270EE"/>
    <w:rsid w:val="0062793B"/>
    <w:rsid w:val="00631253"/>
    <w:rsid w:val="006323AC"/>
    <w:rsid w:val="0063252A"/>
    <w:rsid w:val="006326D9"/>
    <w:rsid w:val="00632B88"/>
    <w:rsid w:val="00632CED"/>
    <w:rsid w:val="00634402"/>
    <w:rsid w:val="006347C3"/>
    <w:rsid w:val="00634991"/>
    <w:rsid w:val="006351F0"/>
    <w:rsid w:val="006356DB"/>
    <w:rsid w:val="00635B74"/>
    <w:rsid w:val="00636785"/>
    <w:rsid w:val="0063680F"/>
    <w:rsid w:val="006417AD"/>
    <w:rsid w:val="0064265D"/>
    <w:rsid w:val="0064291D"/>
    <w:rsid w:val="00644015"/>
    <w:rsid w:val="00644A3A"/>
    <w:rsid w:val="00645009"/>
    <w:rsid w:val="006452BE"/>
    <w:rsid w:val="00646357"/>
    <w:rsid w:val="0064724C"/>
    <w:rsid w:val="006473E9"/>
    <w:rsid w:val="00647963"/>
    <w:rsid w:val="00647E55"/>
    <w:rsid w:val="006519A5"/>
    <w:rsid w:val="00651B27"/>
    <w:rsid w:val="00652D0D"/>
    <w:rsid w:val="006534A7"/>
    <w:rsid w:val="00654A3C"/>
    <w:rsid w:val="00655713"/>
    <w:rsid w:val="00656F5D"/>
    <w:rsid w:val="006603E7"/>
    <w:rsid w:val="00660BF5"/>
    <w:rsid w:val="00660E71"/>
    <w:rsid w:val="0066213E"/>
    <w:rsid w:val="0066248D"/>
    <w:rsid w:val="0066382D"/>
    <w:rsid w:val="0066397E"/>
    <w:rsid w:val="00664B91"/>
    <w:rsid w:val="0066510F"/>
    <w:rsid w:val="00665740"/>
    <w:rsid w:val="00666BF5"/>
    <w:rsid w:val="00666DAB"/>
    <w:rsid w:val="00667E13"/>
    <w:rsid w:val="00671025"/>
    <w:rsid w:val="0067293E"/>
    <w:rsid w:val="00674098"/>
    <w:rsid w:val="00674786"/>
    <w:rsid w:val="00675354"/>
    <w:rsid w:val="0067543E"/>
    <w:rsid w:val="00676D26"/>
    <w:rsid w:val="00676EA6"/>
    <w:rsid w:val="006805F4"/>
    <w:rsid w:val="00680FB1"/>
    <w:rsid w:val="0068131D"/>
    <w:rsid w:val="0068196C"/>
    <w:rsid w:val="00681A02"/>
    <w:rsid w:val="00681BD0"/>
    <w:rsid w:val="00681CD7"/>
    <w:rsid w:val="00681FC3"/>
    <w:rsid w:val="006838F7"/>
    <w:rsid w:val="0068644D"/>
    <w:rsid w:val="006877E1"/>
    <w:rsid w:val="00690A2A"/>
    <w:rsid w:val="00692503"/>
    <w:rsid w:val="006943C8"/>
    <w:rsid w:val="0069738B"/>
    <w:rsid w:val="006A09AC"/>
    <w:rsid w:val="006A0CF4"/>
    <w:rsid w:val="006A0E08"/>
    <w:rsid w:val="006A22D3"/>
    <w:rsid w:val="006A2771"/>
    <w:rsid w:val="006A45F8"/>
    <w:rsid w:val="006B109C"/>
    <w:rsid w:val="006B23E7"/>
    <w:rsid w:val="006B7250"/>
    <w:rsid w:val="006C12BD"/>
    <w:rsid w:val="006C1A8A"/>
    <w:rsid w:val="006C24FC"/>
    <w:rsid w:val="006C2DE7"/>
    <w:rsid w:val="006C2F15"/>
    <w:rsid w:val="006C40CB"/>
    <w:rsid w:val="006C4F85"/>
    <w:rsid w:val="006C5BB7"/>
    <w:rsid w:val="006C5FA0"/>
    <w:rsid w:val="006D2214"/>
    <w:rsid w:val="006D2F05"/>
    <w:rsid w:val="006D3785"/>
    <w:rsid w:val="006D4555"/>
    <w:rsid w:val="006D4FC8"/>
    <w:rsid w:val="006D5E1E"/>
    <w:rsid w:val="006D78FC"/>
    <w:rsid w:val="006E11A7"/>
    <w:rsid w:val="006E2D28"/>
    <w:rsid w:val="006E34FD"/>
    <w:rsid w:val="006E4744"/>
    <w:rsid w:val="006E5860"/>
    <w:rsid w:val="006E692B"/>
    <w:rsid w:val="006E6B9D"/>
    <w:rsid w:val="006F1906"/>
    <w:rsid w:val="006F24F5"/>
    <w:rsid w:val="006F2BFC"/>
    <w:rsid w:val="006F3E3E"/>
    <w:rsid w:val="006F40FB"/>
    <w:rsid w:val="006F4B3C"/>
    <w:rsid w:val="006F4DAD"/>
    <w:rsid w:val="006F5734"/>
    <w:rsid w:val="006F5C5D"/>
    <w:rsid w:val="00701E21"/>
    <w:rsid w:val="007039F7"/>
    <w:rsid w:val="00704216"/>
    <w:rsid w:val="007051BC"/>
    <w:rsid w:val="0070626F"/>
    <w:rsid w:val="007077D5"/>
    <w:rsid w:val="007117F9"/>
    <w:rsid w:val="00713414"/>
    <w:rsid w:val="0071473F"/>
    <w:rsid w:val="00721D48"/>
    <w:rsid w:val="00722389"/>
    <w:rsid w:val="007233B6"/>
    <w:rsid w:val="00723A69"/>
    <w:rsid w:val="00724A76"/>
    <w:rsid w:val="00724BB3"/>
    <w:rsid w:val="00724CFF"/>
    <w:rsid w:val="0072580F"/>
    <w:rsid w:val="00730734"/>
    <w:rsid w:val="00730C08"/>
    <w:rsid w:val="00731134"/>
    <w:rsid w:val="00731540"/>
    <w:rsid w:val="00731794"/>
    <w:rsid w:val="00732D9C"/>
    <w:rsid w:val="007331E8"/>
    <w:rsid w:val="0073471A"/>
    <w:rsid w:val="0073540E"/>
    <w:rsid w:val="007355F2"/>
    <w:rsid w:val="00736D6D"/>
    <w:rsid w:val="00737BBF"/>
    <w:rsid w:val="00737E96"/>
    <w:rsid w:val="0074032E"/>
    <w:rsid w:val="0074076D"/>
    <w:rsid w:val="00740E81"/>
    <w:rsid w:val="00741F26"/>
    <w:rsid w:val="00743C6A"/>
    <w:rsid w:val="00743C7E"/>
    <w:rsid w:val="0074462A"/>
    <w:rsid w:val="00744FC4"/>
    <w:rsid w:val="00745AD1"/>
    <w:rsid w:val="00745CA1"/>
    <w:rsid w:val="00747836"/>
    <w:rsid w:val="00751AFC"/>
    <w:rsid w:val="00751B6C"/>
    <w:rsid w:val="00752CB9"/>
    <w:rsid w:val="00754322"/>
    <w:rsid w:val="00754815"/>
    <w:rsid w:val="00754B4E"/>
    <w:rsid w:val="0075558F"/>
    <w:rsid w:val="00756C31"/>
    <w:rsid w:val="00757237"/>
    <w:rsid w:val="0075782A"/>
    <w:rsid w:val="007579A0"/>
    <w:rsid w:val="00760691"/>
    <w:rsid w:val="0076101D"/>
    <w:rsid w:val="00761805"/>
    <w:rsid w:val="007618E3"/>
    <w:rsid w:val="00762BCD"/>
    <w:rsid w:val="00762E1A"/>
    <w:rsid w:val="0076374A"/>
    <w:rsid w:val="00763B9B"/>
    <w:rsid w:val="00763BDD"/>
    <w:rsid w:val="00764707"/>
    <w:rsid w:val="007651D1"/>
    <w:rsid w:val="007661AE"/>
    <w:rsid w:val="00767B33"/>
    <w:rsid w:val="00767E44"/>
    <w:rsid w:val="007705F3"/>
    <w:rsid w:val="007729EC"/>
    <w:rsid w:val="00772F09"/>
    <w:rsid w:val="00774659"/>
    <w:rsid w:val="00776AEE"/>
    <w:rsid w:val="00777F3A"/>
    <w:rsid w:val="0078138A"/>
    <w:rsid w:val="00781CA5"/>
    <w:rsid w:val="007828BA"/>
    <w:rsid w:val="007832D3"/>
    <w:rsid w:val="00783305"/>
    <w:rsid w:val="00785386"/>
    <w:rsid w:val="0078562D"/>
    <w:rsid w:val="00785C8B"/>
    <w:rsid w:val="00786DE2"/>
    <w:rsid w:val="00787B85"/>
    <w:rsid w:val="007900A5"/>
    <w:rsid w:val="00790272"/>
    <w:rsid w:val="007915FB"/>
    <w:rsid w:val="00791AFD"/>
    <w:rsid w:val="0079309A"/>
    <w:rsid w:val="00794F4D"/>
    <w:rsid w:val="00795025"/>
    <w:rsid w:val="00796FF2"/>
    <w:rsid w:val="007A0AF5"/>
    <w:rsid w:val="007A0DC8"/>
    <w:rsid w:val="007A1F2B"/>
    <w:rsid w:val="007A2A16"/>
    <w:rsid w:val="007A4403"/>
    <w:rsid w:val="007A56E5"/>
    <w:rsid w:val="007A79C4"/>
    <w:rsid w:val="007B0532"/>
    <w:rsid w:val="007B12F0"/>
    <w:rsid w:val="007B382D"/>
    <w:rsid w:val="007B6784"/>
    <w:rsid w:val="007B6CB6"/>
    <w:rsid w:val="007C0B0F"/>
    <w:rsid w:val="007C0BC6"/>
    <w:rsid w:val="007C1114"/>
    <w:rsid w:val="007C26C0"/>
    <w:rsid w:val="007C2C8A"/>
    <w:rsid w:val="007C2FD7"/>
    <w:rsid w:val="007C3B39"/>
    <w:rsid w:val="007C428B"/>
    <w:rsid w:val="007C4373"/>
    <w:rsid w:val="007C48A1"/>
    <w:rsid w:val="007C59B8"/>
    <w:rsid w:val="007C6839"/>
    <w:rsid w:val="007C6FB8"/>
    <w:rsid w:val="007C75D0"/>
    <w:rsid w:val="007D0027"/>
    <w:rsid w:val="007D06B8"/>
    <w:rsid w:val="007D0753"/>
    <w:rsid w:val="007D0BF4"/>
    <w:rsid w:val="007D0D96"/>
    <w:rsid w:val="007D20D2"/>
    <w:rsid w:val="007D2D67"/>
    <w:rsid w:val="007D2DAC"/>
    <w:rsid w:val="007D57D6"/>
    <w:rsid w:val="007D6A95"/>
    <w:rsid w:val="007D78AC"/>
    <w:rsid w:val="007E1CCF"/>
    <w:rsid w:val="007E3058"/>
    <w:rsid w:val="007E3773"/>
    <w:rsid w:val="007E4731"/>
    <w:rsid w:val="007E676E"/>
    <w:rsid w:val="007E68BE"/>
    <w:rsid w:val="007E74DF"/>
    <w:rsid w:val="007ECB49"/>
    <w:rsid w:val="007F1C0D"/>
    <w:rsid w:val="007F1C21"/>
    <w:rsid w:val="007F22A5"/>
    <w:rsid w:val="007F247E"/>
    <w:rsid w:val="007F2A7B"/>
    <w:rsid w:val="007F38B5"/>
    <w:rsid w:val="007F4CC8"/>
    <w:rsid w:val="007F5C1C"/>
    <w:rsid w:val="0080061A"/>
    <w:rsid w:val="00800702"/>
    <w:rsid w:val="00800A26"/>
    <w:rsid w:val="008017E0"/>
    <w:rsid w:val="00801DD3"/>
    <w:rsid w:val="008041C5"/>
    <w:rsid w:val="008045FA"/>
    <w:rsid w:val="008050E9"/>
    <w:rsid w:val="008073DF"/>
    <w:rsid w:val="00807589"/>
    <w:rsid w:val="008112A8"/>
    <w:rsid w:val="00811C26"/>
    <w:rsid w:val="008121E4"/>
    <w:rsid w:val="00813477"/>
    <w:rsid w:val="00813C88"/>
    <w:rsid w:val="00813E74"/>
    <w:rsid w:val="00814C5B"/>
    <w:rsid w:val="0082067F"/>
    <w:rsid w:val="00820B85"/>
    <w:rsid w:val="00822E47"/>
    <w:rsid w:val="00823440"/>
    <w:rsid w:val="00824585"/>
    <w:rsid w:val="0082479B"/>
    <w:rsid w:val="00825E82"/>
    <w:rsid w:val="00827BC9"/>
    <w:rsid w:val="00831C94"/>
    <w:rsid w:val="00831FB7"/>
    <w:rsid w:val="00833A33"/>
    <w:rsid w:val="008341B7"/>
    <w:rsid w:val="008357DB"/>
    <w:rsid w:val="00835BEF"/>
    <w:rsid w:val="0083624A"/>
    <w:rsid w:val="00836DC9"/>
    <w:rsid w:val="0083714F"/>
    <w:rsid w:val="00840241"/>
    <w:rsid w:val="00840A1A"/>
    <w:rsid w:val="00843536"/>
    <w:rsid w:val="00843842"/>
    <w:rsid w:val="0084394C"/>
    <w:rsid w:val="00843AC1"/>
    <w:rsid w:val="00843CED"/>
    <w:rsid w:val="00844B07"/>
    <w:rsid w:val="008459E9"/>
    <w:rsid w:val="00845A6C"/>
    <w:rsid w:val="00846D0D"/>
    <w:rsid w:val="0084785B"/>
    <w:rsid w:val="00850183"/>
    <w:rsid w:val="00851802"/>
    <w:rsid w:val="00851A34"/>
    <w:rsid w:val="00852DDF"/>
    <w:rsid w:val="00853CCA"/>
    <w:rsid w:val="00855369"/>
    <w:rsid w:val="0085686B"/>
    <w:rsid w:val="00856D8B"/>
    <w:rsid w:val="00860BEC"/>
    <w:rsid w:val="008615BD"/>
    <w:rsid w:val="00863349"/>
    <w:rsid w:val="008637A7"/>
    <w:rsid w:val="0086419F"/>
    <w:rsid w:val="008642DB"/>
    <w:rsid w:val="00864654"/>
    <w:rsid w:val="008647A8"/>
    <w:rsid w:val="00865BB0"/>
    <w:rsid w:val="00867735"/>
    <w:rsid w:val="0087540E"/>
    <w:rsid w:val="008754BA"/>
    <w:rsid w:val="00875910"/>
    <w:rsid w:val="00875F09"/>
    <w:rsid w:val="008761E0"/>
    <w:rsid w:val="00880A85"/>
    <w:rsid w:val="00881081"/>
    <w:rsid w:val="00881731"/>
    <w:rsid w:val="008844FF"/>
    <w:rsid w:val="00884BEB"/>
    <w:rsid w:val="00885B1E"/>
    <w:rsid w:val="0088BA24"/>
    <w:rsid w:val="00890856"/>
    <w:rsid w:val="00890CFF"/>
    <w:rsid w:val="00891116"/>
    <w:rsid w:val="00892716"/>
    <w:rsid w:val="00893C1B"/>
    <w:rsid w:val="0089498F"/>
    <w:rsid w:val="00897828"/>
    <w:rsid w:val="00897CEB"/>
    <w:rsid w:val="008A0EAA"/>
    <w:rsid w:val="008A14F1"/>
    <w:rsid w:val="008A2BC1"/>
    <w:rsid w:val="008A347F"/>
    <w:rsid w:val="008A3CBC"/>
    <w:rsid w:val="008A496F"/>
    <w:rsid w:val="008A4DE6"/>
    <w:rsid w:val="008A592B"/>
    <w:rsid w:val="008A7200"/>
    <w:rsid w:val="008A7759"/>
    <w:rsid w:val="008A786E"/>
    <w:rsid w:val="008A7EE0"/>
    <w:rsid w:val="008B0BB2"/>
    <w:rsid w:val="008B316E"/>
    <w:rsid w:val="008B36B0"/>
    <w:rsid w:val="008B3ACD"/>
    <w:rsid w:val="008B53EA"/>
    <w:rsid w:val="008B61D1"/>
    <w:rsid w:val="008B6823"/>
    <w:rsid w:val="008B7EE7"/>
    <w:rsid w:val="008C06AC"/>
    <w:rsid w:val="008C1703"/>
    <w:rsid w:val="008C1981"/>
    <w:rsid w:val="008C1D06"/>
    <w:rsid w:val="008C1F67"/>
    <w:rsid w:val="008C42B5"/>
    <w:rsid w:val="008C4A16"/>
    <w:rsid w:val="008C562D"/>
    <w:rsid w:val="008C58FD"/>
    <w:rsid w:val="008C692B"/>
    <w:rsid w:val="008C73C8"/>
    <w:rsid w:val="008C7C54"/>
    <w:rsid w:val="008D03A9"/>
    <w:rsid w:val="008D0CBD"/>
    <w:rsid w:val="008D2C41"/>
    <w:rsid w:val="008D425F"/>
    <w:rsid w:val="008D62C4"/>
    <w:rsid w:val="008D6436"/>
    <w:rsid w:val="008E0067"/>
    <w:rsid w:val="008E17F3"/>
    <w:rsid w:val="008E1EBD"/>
    <w:rsid w:val="008E1F9F"/>
    <w:rsid w:val="008E237C"/>
    <w:rsid w:val="008E23F5"/>
    <w:rsid w:val="008E2FE0"/>
    <w:rsid w:val="008E44D9"/>
    <w:rsid w:val="008E50A9"/>
    <w:rsid w:val="008E530E"/>
    <w:rsid w:val="008E6290"/>
    <w:rsid w:val="008F0A11"/>
    <w:rsid w:val="008F145D"/>
    <w:rsid w:val="008F1678"/>
    <w:rsid w:val="008F16E4"/>
    <w:rsid w:val="008F261F"/>
    <w:rsid w:val="008F283E"/>
    <w:rsid w:val="008F4A8D"/>
    <w:rsid w:val="008F6995"/>
    <w:rsid w:val="008F6CEF"/>
    <w:rsid w:val="008F6D20"/>
    <w:rsid w:val="008F7134"/>
    <w:rsid w:val="00901540"/>
    <w:rsid w:val="00902035"/>
    <w:rsid w:val="00905EF2"/>
    <w:rsid w:val="009063C6"/>
    <w:rsid w:val="0090764D"/>
    <w:rsid w:val="00907A5B"/>
    <w:rsid w:val="0091022C"/>
    <w:rsid w:val="00910240"/>
    <w:rsid w:val="00912111"/>
    <w:rsid w:val="00914C5F"/>
    <w:rsid w:val="00914C99"/>
    <w:rsid w:val="00914F7C"/>
    <w:rsid w:val="00916D66"/>
    <w:rsid w:val="0091711A"/>
    <w:rsid w:val="0092046C"/>
    <w:rsid w:val="0092105C"/>
    <w:rsid w:val="009212DA"/>
    <w:rsid w:val="00924952"/>
    <w:rsid w:val="00926529"/>
    <w:rsid w:val="00927752"/>
    <w:rsid w:val="0093088E"/>
    <w:rsid w:val="00930A8B"/>
    <w:rsid w:val="00930BFA"/>
    <w:rsid w:val="00931350"/>
    <w:rsid w:val="00931945"/>
    <w:rsid w:val="009320B9"/>
    <w:rsid w:val="0093212F"/>
    <w:rsid w:val="00932932"/>
    <w:rsid w:val="0093331B"/>
    <w:rsid w:val="00933BD7"/>
    <w:rsid w:val="00934E3D"/>
    <w:rsid w:val="0093690E"/>
    <w:rsid w:val="00936AF4"/>
    <w:rsid w:val="0094064B"/>
    <w:rsid w:val="00942146"/>
    <w:rsid w:val="009448F4"/>
    <w:rsid w:val="009469F9"/>
    <w:rsid w:val="00946B25"/>
    <w:rsid w:val="00947694"/>
    <w:rsid w:val="00947957"/>
    <w:rsid w:val="00950811"/>
    <w:rsid w:val="0095149E"/>
    <w:rsid w:val="009549F8"/>
    <w:rsid w:val="009552A4"/>
    <w:rsid w:val="00955778"/>
    <w:rsid w:val="00956EA5"/>
    <w:rsid w:val="009579D2"/>
    <w:rsid w:val="00957B07"/>
    <w:rsid w:val="0096081B"/>
    <w:rsid w:val="00960DEA"/>
    <w:rsid w:val="00961602"/>
    <w:rsid w:val="00961867"/>
    <w:rsid w:val="00961E4B"/>
    <w:rsid w:val="00962008"/>
    <w:rsid w:val="00962668"/>
    <w:rsid w:val="00964122"/>
    <w:rsid w:val="009659F5"/>
    <w:rsid w:val="0096799C"/>
    <w:rsid w:val="009706D4"/>
    <w:rsid w:val="00973B87"/>
    <w:rsid w:val="00973E98"/>
    <w:rsid w:val="0097458D"/>
    <w:rsid w:val="00975A43"/>
    <w:rsid w:val="00975AA5"/>
    <w:rsid w:val="00975EBF"/>
    <w:rsid w:val="00976885"/>
    <w:rsid w:val="00976BE1"/>
    <w:rsid w:val="00977BA9"/>
    <w:rsid w:val="00977F12"/>
    <w:rsid w:val="00980DB5"/>
    <w:rsid w:val="009821A9"/>
    <w:rsid w:val="00982FF1"/>
    <w:rsid w:val="00984AD6"/>
    <w:rsid w:val="00985001"/>
    <w:rsid w:val="00991590"/>
    <w:rsid w:val="00994CE7"/>
    <w:rsid w:val="009A0178"/>
    <w:rsid w:val="009A062A"/>
    <w:rsid w:val="009A0AE4"/>
    <w:rsid w:val="009A11DC"/>
    <w:rsid w:val="009A16BE"/>
    <w:rsid w:val="009A19D9"/>
    <w:rsid w:val="009A2390"/>
    <w:rsid w:val="009A2CBA"/>
    <w:rsid w:val="009A4681"/>
    <w:rsid w:val="009A5427"/>
    <w:rsid w:val="009A593A"/>
    <w:rsid w:val="009B0C97"/>
    <w:rsid w:val="009B0CF7"/>
    <w:rsid w:val="009B28B4"/>
    <w:rsid w:val="009B3B76"/>
    <w:rsid w:val="009B51E0"/>
    <w:rsid w:val="009B532D"/>
    <w:rsid w:val="009B5C19"/>
    <w:rsid w:val="009C021E"/>
    <w:rsid w:val="009C1BCC"/>
    <w:rsid w:val="009C278A"/>
    <w:rsid w:val="009C3732"/>
    <w:rsid w:val="009C6433"/>
    <w:rsid w:val="009C6B78"/>
    <w:rsid w:val="009D03D8"/>
    <w:rsid w:val="009D1A72"/>
    <w:rsid w:val="009D1C88"/>
    <w:rsid w:val="009D1E74"/>
    <w:rsid w:val="009D205B"/>
    <w:rsid w:val="009D20A3"/>
    <w:rsid w:val="009D440E"/>
    <w:rsid w:val="009D4B2E"/>
    <w:rsid w:val="009D5BC1"/>
    <w:rsid w:val="009D5FA7"/>
    <w:rsid w:val="009D7165"/>
    <w:rsid w:val="009D735B"/>
    <w:rsid w:val="009E0456"/>
    <w:rsid w:val="009E12F7"/>
    <w:rsid w:val="009E1EF4"/>
    <w:rsid w:val="009E38EC"/>
    <w:rsid w:val="009E3B3B"/>
    <w:rsid w:val="009E40E4"/>
    <w:rsid w:val="009E4584"/>
    <w:rsid w:val="009E5394"/>
    <w:rsid w:val="009E6602"/>
    <w:rsid w:val="009E6D69"/>
    <w:rsid w:val="009F12AA"/>
    <w:rsid w:val="009F41B4"/>
    <w:rsid w:val="009F5435"/>
    <w:rsid w:val="009F5D50"/>
    <w:rsid w:val="009F5F7A"/>
    <w:rsid w:val="009F7111"/>
    <w:rsid w:val="00A003E9"/>
    <w:rsid w:val="00A00E4D"/>
    <w:rsid w:val="00A03BCD"/>
    <w:rsid w:val="00A0457F"/>
    <w:rsid w:val="00A0482B"/>
    <w:rsid w:val="00A056F5"/>
    <w:rsid w:val="00A069AA"/>
    <w:rsid w:val="00A07A27"/>
    <w:rsid w:val="00A10AD9"/>
    <w:rsid w:val="00A11A1F"/>
    <w:rsid w:val="00A11CDD"/>
    <w:rsid w:val="00A14B28"/>
    <w:rsid w:val="00A14E21"/>
    <w:rsid w:val="00A15718"/>
    <w:rsid w:val="00A1767D"/>
    <w:rsid w:val="00A176AC"/>
    <w:rsid w:val="00A17924"/>
    <w:rsid w:val="00A17F20"/>
    <w:rsid w:val="00A20544"/>
    <w:rsid w:val="00A21433"/>
    <w:rsid w:val="00A2248A"/>
    <w:rsid w:val="00A2257D"/>
    <w:rsid w:val="00A236C7"/>
    <w:rsid w:val="00A24344"/>
    <w:rsid w:val="00A2446A"/>
    <w:rsid w:val="00A25DB4"/>
    <w:rsid w:val="00A25E82"/>
    <w:rsid w:val="00A26B70"/>
    <w:rsid w:val="00A26C7F"/>
    <w:rsid w:val="00A27612"/>
    <w:rsid w:val="00A309FE"/>
    <w:rsid w:val="00A3191B"/>
    <w:rsid w:val="00A31A5E"/>
    <w:rsid w:val="00A3294E"/>
    <w:rsid w:val="00A3303C"/>
    <w:rsid w:val="00A340EA"/>
    <w:rsid w:val="00A3433C"/>
    <w:rsid w:val="00A3444C"/>
    <w:rsid w:val="00A34D31"/>
    <w:rsid w:val="00A360E5"/>
    <w:rsid w:val="00A40074"/>
    <w:rsid w:val="00A42A31"/>
    <w:rsid w:val="00A435BF"/>
    <w:rsid w:val="00A44677"/>
    <w:rsid w:val="00A44ED5"/>
    <w:rsid w:val="00A45E7B"/>
    <w:rsid w:val="00A47BA7"/>
    <w:rsid w:val="00A5173E"/>
    <w:rsid w:val="00A52F5E"/>
    <w:rsid w:val="00A53371"/>
    <w:rsid w:val="00A536A8"/>
    <w:rsid w:val="00A555CF"/>
    <w:rsid w:val="00A559D6"/>
    <w:rsid w:val="00A55A6C"/>
    <w:rsid w:val="00A56AE6"/>
    <w:rsid w:val="00A573FF"/>
    <w:rsid w:val="00A6075F"/>
    <w:rsid w:val="00A64ACF"/>
    <w:rsid w:val="00A6620F"/>
    <w:rsid w:val="00A67599"/>
    <w:rsid w:val="00A7267E"/>
    <w:rsid w:val="00A7293B"/>
    <w:rsid w:val="00A729F7"/>
    <w:rsid w:val="00A744EE"/>
    <w:rsid w:val="00A76AA8"/>
    <w:rsid w:val="00A80382"/>
    <w:rsid w:val="00A80936"/>
    <w:rsid w:val="00A81CD9"/>
    <w:rsid w:val="00A8304F"/>
    <w:rsid w:val="00A8445B"/>
    <w:rsid w:val="00A85CB3"/>
    <w:rsid w:val="00A85CF4"/>
    <w:rsid w:val="00A87353"/>
    <w:rsid w:val="00A87850"/>
    <w:rsid w:val="00A8796B"/>
    <w:rsid w:val="00A90BDB"/>
    <w:rsid w:val="00A9195D"/>
    <w:rsid w:val="00A92199"/>
    <w:rsid w:val="00A93719"/>
    <w:rsid w:val="00A9497A"/>
    <w:rsid w:val="00A9590F"/>
    <w:rsid w:val="00A960D3"/>
    <w:rsid w:val="00A96512"/>
    <w:rsid w:val="00A9796D"/>
    <w:rsid w:val="00A97C72"/>
    <w:rsid w:val="00AA0294"/>
    <w:rsid w:val="00AA045F"/>
    <w:rsid w:val="00AA179F"/>
    <w:rsid w:val="00AA19D5"/>
    <w:rsid w:val="00AA2286"/>
    <w:rsid w:val="00AA2718"/>
    <w:rsid w:val="00AA287B"/>
    <w:rsid w:val="00AA41B6"/>
    <w:rsid w:val="00AA42D7"/>
    <w:rsid w:val="00AA5185"/>
    <w:rsid w:val="00AA665A"/>
    <w:rsid w:val="00AA6715"/>
    <w:rsid w:val="00AA7B48"/>
    <w:rsid w:val="00AB0114"/>
    <w:rsid w:val="00AB11BB"/>
    <w:rsid w:val="00AB25D6"/>
    <w:rsid w:val="00AB2B56"/>
    <w:rsid w:val="00AB3F1C"/>
    <w:rsid w:val="00AB684D"/>
    <w:rsid w:val="00AB7D4C"/>
    <w:rsid w:val="00AC0351"/>
    <w:rsid w:val="00AC0C63"/>
    <w:rsid w:val="00AC0FD4"/>
    <w:rsid w:val="00AC1ED7"/>
    <w:rsid w:val="00AC1FC0"/>
    <w:rsid w:val="00AC5C38"/>
    <w:rsid w:val="00AC6963"/>
    <w:rsid w:val="00AC710C"/>
    <w:rsid w:val="00AD05DD"/>
    <w:rsid w:val="00AD0CEE"/>
    <w:rsid w:val="00AD1B5F"/>
    <w:rsid w:val="00AD1D1E"/>
    <w:rsid w:val="00AD2038"/>
    <w:rsid w:val="00AD2A9B"/>
    <w:rsid w:val="00AD3466"/>
    <w:rsid w:val="00AD359C"/>
    <w:rsid w:val="00AD5B20"/>
    <w:rsid w:val="00AD6073"/>
    <w:rsid w:val="00AD6A59"/>
    <w:rsid w:val="00AD7DD1"/>
    <w:rsid w:val="00AE00BE"/>
    <w:rsid w:val="00AE1524"/>
    <w:rsid w:val="00AE1860"/>
    <w:rsid w:val="00AE39D8"/>
    <w:rsid w:val="00AE3D6F"/>
    <w:rsid w:val="00AE417D"/>
    <w:rsid w:val="00AE509D"/>
    <w:rsid w:val="00AE5F30"/>
    <w:rsid w:val="00AE6E44"/>
    <w:rsid w:val="00AF0319"/>
    <w:rsid w:val="00AF16BE"/>
    <w:rsid w:val="00AF2A54"/>
    <w:rsid w:val="00AF3020"/>
    <w:rsid w:val="00AF3709"/>
    <w:rsid w:val="00AF3D12"/>
    <w:rsid w:val="00AF4861"/>
    <w:rsid w:val="00AF58A6"/>
    <w:rsid w:val="00AF6853"/>
    <w:rsid w:val="00AF6CC5"/>
    <w:rsid w:val="00AF76D5"/>
    <w:rsid w:val="00AF788B"/>
    <w:rsid w:val="00B0002F"/>
    <w:rsid w:val="00B00968"/>
    <w:rsid w:val="00B00EE7"/>
    <w:rsid w:val="00B02E58"/>
    <w:rsid w:val="00B053B4"/>
    <w:rsid w:val="00B07004"/>
    <w:rsid w:val="00B07BD1"/>
    <w:rsid w:val="00B10B71"/>
    <w:rsid w:val="00B11D46"/>
    <w:rsid w:val="00B11EB0"/>
    <w:rsid w:val="00B12172"/>
    <w:rsid w:val="00B1341F"/>
    <w:rsid w:val="00B13AB0"/>
    <w:rsid w:val="00B13F2E"/>
    <w:rsid w:val="00B14739"/>
    <w:rsid w:val="00B15DFF"/>
    <w:rsid w:val="00B205EF"/>
    <w:rsid w:val="00B218F3"/>
    <w:rsid w:val="00B21A7F"/>
    <w:rsid w:val="00B24442"/>
    <w:rsid w:val="00B24A6C"/>
    <w:rsid w:val="00B255D9"/>
    <w:rsid w:val="00B26605"/>
    <w:rsid w:val="00B3108F"/>
    <w:rsid w:val="00B36D46"/>
    <w:rsid w:val="00B42875"/>
    <w:rsid w:val="00B42BAE"/>
    <w:rsid w:val="00B44A9E"/>
    <w:rsid w:val="00B459EB"/>
    <w:rsid w:val="00B45EF6"/>
    <w:rsid w:val="00B47C21"/>
    <w:rsid w:val="00B50253"/>
    <w:rsid w:val="00B50455"/>
    <w:rsid w:val="00B513EA"/>
    <w:rsid w:val="00B5155C"/>
    <w:rsid w:val="00B5376C"/>
    <w:rsid w:val="00B53886"/>
    <w:rsid w:val="00B55964"/>
    <w:rsid w:val="00B56559"/>
    <w:rsid w:val="00B57220"/>
    <w:rsid w:val="00B60632"/>
    <w:rsid w:val="00B60F74"/>
    <w:rsid w:val="00B60F86"/>
    <w:rsid w:val="00B61E37"/>
    <w:rsid w:val="00B628BA"/>
    <w:rsid w:val="00B638BD"/>
    <w:rsid w:val="00B65F54"/>
    <w:rsid w:val="00B6629B"/>
    <w:rsid w:val="00B66CD5"/>
    <w:rsid w:val="00B678BF"/>
    <w:rsid w:val="00B67D7E"/>
    <w:rsid w:val="00B711EE"/>
    <w:rsid w:val="00B71C25"/>
    <w:rsid w:val="00B74A92"/>
    <w:rsid w:val="00B74BC9"/>
    <w:rsid w:val="00B75706"/>
    <w:rsid w:val="00B75F4D"/>
    <w:rsid w:val="00B76DFE"/>
    <w:rsid w:val="00B773C6"/>
    <w:rsid w:val="00B8016C"/>
    <w:rsid w:val="00B809BB"/>
    <w:rsid w:val="00B80A24"/>
    <w:rsid w:val="00B81058"/>
    <w:rsid w:val="00B81D42"/>
    <w:rsid w:val="00B83521"/>
    <w:rsid w:val="00B83E9B"/>
    <w:rsid w:val="00B84143"/>
    <w:rsid w:val="00B84408"/>
    <w:rsid w:val="00B84500"/>
    <w:rsid w:val="00B855C2"/>
    <w:rsid w:val="00B85A83"/>
    <w:rsid w:val="00B85CEC"/>
    <w:rsid w:val="00B91B18"/>
    <w:rsid w:val="00B9212C"/>
    <w:rsid w:val="00B923A2"/>
    <w:rsid w:val="00B927CF"/>
    <w:rsid w:val="00B93597"/>
    <w:rsid w:val="00B936CB"/>
    <w:rsid w:val="00B94395"/>
    <w:rsid w:val="00B945EE"/>
    <w:rsid w:val="00B9496D"/>
    <w:rsid w:val="00B94A4C"/>
    <w:rsid w:val="00B95AC4"/>
    <w:rsid w:val="00BA0E5E"/>
    <w:rsid w:val="00BA112B"/>
    <w:rsid w:val="00BA162B"/>
    <w:rsid w:val="00BA2C73"/>
    <w:rsid w:val="00BA339E"/>
    <w:rsid w:val="00BA395E"/>
    <w:rsid w:val="00BA3F33"/>
    <w:rsid w:val="00BA4733"/>
    <w:rsid w:val="00BA771A"/>
    <w:rsid w:val="00BB0313"/>
    <w:rsid w:val="00BB0427"/>
    <w:rsid w:val="00BB0498"/>
    <w:rsid w:val="00BB058D"/>
    <w:rsid w:val="00BB0E37"/>
    <w:rsid w:val="00BB11AB"/>
    <w:rsid w:val="00BB1953"/>
    <w:rsid w:val="00BB1E76"/>
    <w:rsid w:val="00BB2716"/>
    <w:rsid w:val="00BB54DE"/>
    <w:rsid w:val="00BB5C19"/>
    <w:rsid w:val="00BB63BF"/>
    <w:rsid w:val="00BB7BA8"/>
    <w:rsid w:val="00BC0482"/>
    <w:rsid w:val="00BC04D9"/>
    <w:rsid w:val="00BC0958"/>
    <w:rsid w:val="00BC45B0"/>
    <w:rsid w:val="00BC45BD"/>
    <w:rsid w:val="00BC4F55"/>
    <w:rsid w:val="00BC4FFE"/>
    <w:rsid w:val="00BC633A"/>
    <w:rsid w:val="00BC6B93"/>
    <w:rsid w:val="00BD0009"/>
    <w:rsid w:val="00BD0168"/>
    <w:rsid w:val="00BD30D7"/>
    <w:rsid w:val="00BD47E9"/>
    <w:rsid w:val="00BD488B"/>
    <w:rsid w:val="00BD4FAF"/>
    <w:rsid w:val="00BD6BF9"/>
    <w:rsid w:val="00BE1048"/>
    <w:rsid w:val="00BE12D3"/>
    <w:rsid w:val="00BE12E1"/>
    <w:rsid w:val="00BE1382"/>
    <w:rsid w:val="00BE1538"/>
    <w:rsid w:val="00BE16D2"/>
    <w:rsid w:val="00BE2E57"/>
    <w:rsid w:val="00BE51DA"/>
    <w:rsid w:val="00BE51DC"/>
    <w:rsid w:val="00BE5FC9"/>
    <w:rsid w:val="00BE6CCD"/>
    <w:rsid w:val="00BE728E"/>
    <w:rsid w:val="00BE74B6"/>
    <w:rsid w:val="00BF0D13"/>
    <w:rsid w:val="00BF28BF"/>
    <w:rsid w:val="00BF3797"/>
    <w:rsid w:val="00BF701A"/>
    <w:rsid w:val="00BF753E"/>
    <w:rsid w:val="00C00642"/>
    <w:rsid w:val="00C0145C"/>
    <w:rsid w:val="00C018C3"/>
    <w:rsid w:val="00C025DB"/>
    <w:rsid w:val="00C02957"/>
    <w:rsid w:val="00C02EB8"/>
    <w:rsid w:val="00C03E9D"/>
    <w:rsid w:val="00C059AD"/>
    <w:rsid w:val="00C062AA"/>
    <w:rsid w:val="00C076C2"/>
    <w:rsid w:val="00C10ED1"/>
    <w:rsid w:val="00C10EF9"/>
    <w:rsid w:val="00C1119D"/>
    <w:rsid w:val="00C11464"/>
    <w:rsid w:val="00C117EF"/>
    <w:rsid w:val="00C11D68"/>
    <w:rsid w:val="00C122FD"/>
    <w:rsid w:val="00C12DCA"/>
    <w:rsid w:val="00C1307E"/>
    <w:rsid w:val="00C139A1"/>
    <w:rsid w:val="00C13D2E"/>
    <w:rsid w:val="00C13D9A"/>
    <w:rsid w:val="00C13DC9"/>
    <w:rsid w:val="00C15C2A"/>
    <w:rsid w:val="00C175E8"/>
    <w:rsid w:val="00C203FB"/>
    <w:rsid w:val="00C2131C"/>
    <w:rsid w:val="00C22B44"/>
    <w:rsid w:val="00C2338F"/>
    <w:rsid w:val="00C23AA2"/>
    <w:rsid w:val="00C24133"/>
    <w:rsid w:val="00C24E4F"/>
    <w:rsid w:val="00C25FB8"/>
    <w:rsid w:val="00C3044E"/>
    <w:rsid w:val="00C31080"/>
    <w:rsid w:val="00C32335"/>
    <w:rsid w:val="00C329AA"/>
    <w:rsid w:val="00C3318F"/>
    <w:rsid w:val="00C360FD"/>
    <w:rsid w:val="00C3640E"/>
    <w:rsid w:val="00C3752F"/>
    <w:rsid w:val="00C40E1C"/>
    <w:rsid w:val="00C44921"/>
    <w:rsid w:val="00C45554"/>
    <w:rsid w:val="00C4585A"/>
    <w:rsid w:val="00C45C08"/>
    <w:rsid w:val="00C472D3"/>
    <w:rsid w:val="00C50382"/>
    <w:rsid w:val="00C505AB"/>
    <w:rsid w:val="00C5088B"/>
    <w:rsid w:val="00C51DCF"/>
    <w:rsid w:val="00C52233"/>
    <w:rsid w:val="00C528FF"/>
    <w:rsid w:val="00C52F87"/>
    <w:rsid w:val="00C54307"/>
    <w:rsid w:val="00C54C07"/>
    <w:rsid w:val="00C55F80"/>
    <w:rsid w:val="00C565D2"/>
    <w:rsid w:val="00C5682D"/>
    <w:rsid w:val="00C56F8D"/>
    <w:rsid w:val="00C56FEE"/>
    <w:rsid w:val="00C60626"/>
    <w:rsid w:val="00C606F1"/>
    <w:rsid w:val="00C61011"/>
    <w:rsid w:val="00C614D5"/>
    <w:rsid w:val="00C615F0"/>
    <w:rsid w:val="00C65D06"/>
    <w:rsid w:val="00C70034"/>
    <w:rsid w:val="00C70A38"/>
    <w:rsid w:val="00C71947"/>
    <w:rsid w:val="00C7391C"/>
    <w:rsid w:val="00C75116"/>
    <w:rsid w:val="00C76CFA"/>
    <w:rsid w:val="00C77DF3"/>
    <w:rsid w:val="00C807D7"/>
    <w:rsid w:val="00C8198C"/>
    <w:rsid w:val="00C81AE2"/>
    <w:rsid w:val="00C81D54"/>
    <w:rsid w:val="00C81FE7"/>
    <w:rsid w:val="00C833FE"/>
    <w:rsid w:val="00C842E0"/>
    <w:rsid w:val="00C84908"/>
    <w:rsid w:val="00C84A0D"/>
    <w:rsid w:val="00C861BC"/>
    <w:rsid w:val="00C8691F"/>
    <w:rsid w:val="00C875B3"/>
    <w:rsid w:val="00C8782B"/>
    <w:rsid w:val="00C87F87"/>
    <w:rsid w:val="00C9004A"/>
    <w:rsid w:val="00C909AD"/>
    <w:rsid w:val="00C90C43"/>
    <w:rsid w:val="00C93E5D"/>
    <w:rsid w:val="00C94FDF"/>
    <w:rsid w:val="00CA0F19"/>
    <w:rsid w:val="00CA170B"/>
    <w:rsid w:val="00CA1D00"/>
    <w:rsid w:val="00CA2766"/>
    <w:rsid w:val="00CA3862"/>
    <w:rsid w:val="00CA4449"/>
    <w:rsid w:val="00CA5A61"/>
    <w:rsid w:val="00CA5C62"/>
    <w:rsid w:val="00CA73C6"/>
    <w:rsid w:val="00CA773E"/>
    <w:rsid w:val="00CA7970"/>
    <w:rsid w:val="00CB0E13"/>
    <w:rsid w:val="00CB12D6"/>
    <w:rsid w:val="00CB266D"/>
    <w:rsid w:val="00CB28A4"/>
    <w:rsid w:val="00CB2AD8"/>
    <w:rsid w:val="00CB45D8"/>
    <w:rsid w:val="00CB59C1"/>
    <w:rsid w:val="00CB6AAF"/>
    <w:rsid w:val="00CB6AF7"/>
    <w:rsid w:val="00CB7BE5"/>
    <w:rsid w:val="00CC0638"/>
    <w:rsid w:val="00CC0CB5"/>
    <w:rsid w:val="00CC18DD"/>
    <w:rsid w:val="00CC29CB"/>
    <w:rsid w:val="00CC29D4"/>
    <w:rsid w:val="00CC2D8F"/>
    <w:rsid w:val="00CC3457"/>
    <w:rsid w:val="00CC3782"/>
    <w:rsid w:val="00CC4EF2"/>
    <w:rsid w:val="00CC4EF3"/>
    <w:rsid w:val="00CC6943"/>
    <w:rsid w:val="00CC7962"/>
    <w:rsid w:val="00CD17EE"/>
    <w:rsid w:val="00CD1C06"/>
    <w:rsid w:val="00CD2B59"/>
    <w:rsid w:val="00CD34EE"/>
    <w:rsid w:val="00CD3B7E"/>
    <w:rsid w:val="00CD4D37"/>
    <w:rsid w:val="00CD5A70"/>
    <w:rsid w:val="00CD5C7C"/>
    <w:rsid w:val="00CD6370"/>
    <w:rsid w:val="00CD6BB6"/>
    <w:rsid w:val="00CD7351"/>
    <w:rsid w:val="00CD73E6"/>
    <w:rsid w:val="00CE04D3"/>
    <w:rsid w:val="00CE076C"/>
    <w:rsid w:val="00CE0DF7"/>
    <w:rsid w:val="00CE19C2"/>
    <w:rsid w:val="00CE1C91"/>
    <w:rsid w:val="00CE2A4B"/>
    <w:rsid w:val="00CE2D68"/>
    <w:rsid w:val="00CE320B"/>
    <w:rsid w:val="00CE329B"/>
    <w:rsid w:val="00CE3F66"/>
    <w:rsid w:val="00CE4676"/>
    <w:rsid w:val="00CE4BFD"/>
    <w:rsid w:val="00CE66EC"/>
    <w:rsid w:val="00CE6D73"/>
    <w:rsid w:val="00CE702D"/>
    <w:rsid w:val="00CE7704"/>
    <w:rsid w:val="00CE789B"/>
    <w:rsid w:val="00CE7F9A"/>
    <w:rsid w:val="00CF0B76"/>
    <w:rsid w:val="00CF0D7A"/>
    <w:rsid w:val="00CF1292"/>
    <w:rsid w:val="00CF1AB5"/>
    <w:rsid w:val="00CF215C"/>
    <w:rsid w:val="00CF595E"/>
    <w:rsid w:val="00CF6540"/>
    <w:rsid w:val="00CF673E"/>
    <w:rsid w:val="00D019AC"/>
    <w:rsid w:val="00D02D32"/>
    <w:rsid w:val="00D031B9"/>
    <w:rsid w:val="00D0323B"/>
    <w:rsid w:val="00D03F1F"/>
    <w:rsid w:val="00D0405B"/>
    <w:rsid w:val="00D04E29"/>
    <w:rsid w:val="00D06872"/>
    <w:rsid w:val="00D06C05"/>
    <w:rsid w:val="00D07013"/>
    <w:rsid w:val="00D070F9"/>
    <w:rsid w:val="00D074DF"/>
    <w:rsid w:val="00D12B05"/>
    <w:rsid w:val="00D1706E"/>
    <w:rsid w:val="00D200BE"/>
    <w:rsid w:val="00D20AE6"/>
    <w:rsid w:val="00D21771"/>
    <w:rsid w:val="00D22446"/>
    <w:rsid w:val="00D22A33"/>
    <w:rsid w:val="00D22D54"/>
    <w:rsid w:val="00D2426F"/>
    <w:rsid w:val="00D248B5"/>
    <w:rsid w:val="00D24F54"/>
    <w:rsid w:val="00D26299"/>
    <w:rsid w:val="00D278DC"/>
    <w:rsid w:val="00D27A44"/>
    <w:rsid w:val="00D3287B"/>
    <w:rsid w:val="00D33621"/>
    <w:rsid w:val="00D36276"/>
    <w:rsid w:val="00D36AC0"/>
    <w:rsid w:val="00D37D0E"/>
    <w:rsid w:val="00D406ED"/>
    <w:rsid w:val="00D40FA3"/>
    <w:rsid w:val="00D4409D"/>
    <w:rsid w:val="00D44BDA"/>
    <w:rsid w:val="00D44CDE"/>
    <w:rsid w:val="00D44E97"/>
    <w:rsid w:val="00D44F95"/>
    <w:rsid w:val="00D5002F"/>
    <w:rsid w:val="00D50634"/>
    <w:rsid w:val="00D56245"/>
    <w:rsid w:val="00D56395"/>
    <w:rsid w:val="00D57307"/>
    <w:rsid w:val="00D607C5"/>
    <w:rsid w:val="00D627CA"/>
    <w:rsid w:val="00D62E9E"/>
    <w:rsid w:val="00D63B98"/>
    <w:rsid w:val="00D641C0"/>
    <w:rsid w:val="00D644D2"/>
    <w:rsid w:val="00D6514A"/>
    <w:rsid w:val="00D65493"/>
    <w:rsid w:val="00D66E34"/>
    <w:rsid w:val="00D675E0"/>
    <w:rsid w:val="00D67696"/>
    <w:rsid w:val="00D67FF7"/>
    <w:rsid w:val="00D723A3"/>
    <w:rsid w:val="00D73D20"/>
    <w:rsid w:val="00D742D0"/>
    <w:rsid w:val="00D748CD"/>
    <w:rsid w:val="00D74AD3"/>
    <w:rsid w:val="00D74B13"/>
    <w:rsid w:val="00D74BFC"/>
    <w:rsid w:val="00D75FF1"/>
    <w:rsid w:val="00D7700F"/>
    <w:rsid w:val="00D772A1"/>
    <w:rsid w:val="00D775DF"/>
    <w:rsid w:val="00D7ABF4"/>
    <w:rsid w:val="00D8098D"/>
    <w:rsid w:val="00D814B6"/>
    <w:rsid w:val="00D829E2"/>
    <w:rsid w:val="00D82BA9"/>
    <w:rsid w:val="00D82F0F"/>
    <w:rsid w:val="00D83191"/>
    <w:rsid w:val="00D83395"/>
    <w:rsid w:val="00D83417"/>
    <w:rsid w:val="00D84336"/>
    <w:rsid w:val="00D84581"/>
    <w:rsid w:val="00D856AB"/>
    <w:rsid w:val="00D85BC7"/>
    <w:rsid w:val="00D909EB"/>
    <w:rsid w:val="00D915D7"/>
    <w:rsid w:val="00D91B77"/>
    <w:rsid w:val="00D91DDB"/>
    <w:rsid w:val="00D92FF0"/>
    <w:rsid w:val="00D934DC"/>
    <w:rsid w:val="00D9388E"/>
    <w:rsid w:val="00D9410B"/>
    <w:rsid w:val="00D94F24"/>
    <w:rsid w:val="00D95CC6"/>
    <w:rsid w:val="00D9656F"/>
    <w:rsid w:val="00D97709"/>
    <w:rsid w:val="00DA0273"/>
    <w:rsid w:val="00DA0E4D"/>
    <w:rsid w:val="00DA0F7B"/>
    <w:rsid w:val="00DA18A1"/>
    <w:rsid w:val="00DA1E7C"/>
    <w:rsid w:val="00DA356E"/>
    <w:rsid w:val="00DA3F0A"/>
    <w:rsid w:val="00DA41A5"/>
    <w:rsid w:val="00DA4299"/>
    <w:rsid w:val="00DA4410"/>
    <w:rsid w:val="00DA557D"/>
    <w:rsid w:val="00DA5EC6"/>
    <w:rsid w:val="00DA614A"/>
    <w:rsid w:val="00DA6C7C"/>
    <w:rsid w:val="00DA7E60"/>
    <w:rsid w:val="00DB021E"/>
    <w:rsid w:val="00DB02CC"/>
    <w:rsid w:val="00DB0FCE"/>
    <w:rsid w:val="00DB2025"/>
    <w:rsid w:val="00DB3499"/>
    <w:rsid w:val="00DB43FF"/>
    <w:rsid w:val="00DB4BC6"/>
    <w:rsid w:val="00DB4F28"/>
    <w:rsid w:val="00DB5018"/>
    <w:rsid w:val="00DB680E"/>
    <w:rsid w:val="00DB6B2B"/>
    <w:rsid w:val="00DB7B81"/>
    <w:rsid w:val="00DC2862"/>
    <w:rsid w:val="00DC4874"/>
    <w:rsid w:val="00DC5B44"/>
    <w:rsid w:val="00DC6767"/>
    <w:rsid w:val="00DC7F9F"/>
    <w:rsid w:val="00DD1DD5"/>
    <w:rsid w:val="00DD30BD"/>
    <w:rsid w:val="00DD3890"/>
    <w:rsid w:val="00DD4D1A"/>
    <w:rsid w:val="00DD646A"/>
    <w:rsid w:val="00DE020C"/>
    <w:rsid w:val="00DE0A61"/>
    <w:rsid w:val="00DE0D7C"/>
    <w:rsid w:val="00DE0DE5"/>
    <w:rsid w:val="00DE1152"/>
    <w:rsid w:val="00DE2DF4"/>
    <w:rsid w:val="00DE3F90"/>
    <w:rsid w:val="00DE41F0"/>
    <w:rsid w:val="00DE4D95"/>
    <w:rsid w:val="00DE6073"/>
    <w:rsid w:val="00DE67AB"/>
    <w:rsid w:val="00DE6E23"/>
    <w:rsid w:val="00DE6FCE"/>
    <w:rsid w:val="00DE72F8"/>
    <w:rsid w:val="00DE7A62"/>
    <w:rsid w:val="00DE7ACD"/>
    <w:rsid w:val="00DF02E0"/>
    <w:rsid w:val="00DF1075"/>
    <w:rsid w:val="00DF1F6D"/>
    <w:rsid w:val="00DF278A"/>
    <w:rsid w:val="00DF34DF"/>
    <w:rsid w:val="00DF7B77"/>
    <w:rsid w:val="00E0057E"/>
    <w:rsid w:val="00E0105F"/>
    <w:rsid w:val="00E01ED2"/>
    <w:rsid w:val="00E01FCE"/>
    <w:rsid w:val="00E032F8"/>
    <w:rsid w:val="00E035C0"/>
    <w:rsid w:val="00E05177"/>
    <w:rsid w:val="00E059E9"/>
    <w:rsid w:val="00E075D0"/>
    <w:rsid w:val="00E11670"/>
    <w:rsid w:val="00E136DC"/>
    <w:rsid w:val="00E13D9C"/>
    <w:rsid w:val="00E1516B"/>
    <w:rsid w:val="00E154B3"/>
    <w:rsid w:val="00E155A5"/>
    <w:rsid w:val="00E15CC6"/>
    <w:rsid w:val="00E1669C"/>
    <w:rsid w:val="00E166F1"/>
    <w:rsid w:val="00E169D2"/>
    <w:rsid w:val="00E16F10"/>
    <w:rsid w:val="00E171DC"/>
    <w:rsid w:val="00E172F6"/>
    <w:rsid w:val="00E207AC"/>
    <w:rsid w:val="00E20CF4"/>
    <w:rsid w:val="00E20E9B"/>
    <w:rsid w:val="00E2177E"/>
    <w:rsid w:val="00E21C22"/>
    <w:rsid w:val="00E22E30"/>
    <w:rsid w:val="00E22E8E"/>
    <w:rsid w:val="00E24A94"/>
    <w:rsid w:val="00E24BE4"/>
    <w:rsid w:val="00E2716C"/>
    <w:rsid w:val="00E3128E"/>
    <w:rsid w:val="00E31807"/>
    <w:rsid w:val="00E31FF9"/>
    <w:rsid w:val="00E320BF"/>
    <w:rsid w:val="00E328F4"/>
    <w:rsid w:val="00E3429D"/>
    <w:rsid w:val="00E34AE5"/>
    <w:rsid w:val="00E35EB9"/>
    <w:rsid w:val="00E36462"/>
    <w:rsid w:val="00E37148"/>
    <w:rsid w:val="00E40349"/>
    <w:rsid w:val="00E41147"/>
    <w:rsid w:val="00E41999"/>
    <w:rsid w:val="00E41DF1"/>
    <w:rsid w:val="00E41E5E"/>
    <w:rsid w:val="00E43F4A"/>
    <w:rsid w:val="00E46266"/>
    <w:rsid w:val="00E46E58"/>
    <w:rsid w:val="00E47A53"/>
    <w:rsid w:val="00E50242"/>
    <w:rsid w:val="00E51B9D"/>
    <w:rsid w:val="00E53A96"/>
    <w:rsid w:val="00E5424A"/>
    <w:rsid w:val="00E546C2"/>
    <w:rsid w:val="00E5510C"/>
    <w:rsid w:val="00E648BB"/>
    <w:rsid w:val="00E67F99"/>
    <w:rsid w:val="00E7037F"/>
    <w:rsid w:val="00E70B2E"/>
    <w:rsid w:val="00E717BC"/>
    <w:rsid w:val="00E724C1"/>
    <w:rsid w:val="00E72D88"/>
    <w:rsid w:val="00E74431"/>
    <w:rsid w:val="00E745AC"/>
    <w:rsid w:val="00E74639"/>
    <w:rsid w:val="00E7580C"/>
    <w:rsid w:val="00E75C62"/>
    <w:rsid w:val="00E76151"/>
    <w:rsid w:val="00E76A97"/>
    <w:rsid w:val="00E77901"/>
    <w:rsid w:val="00E808B9"/>
    <w:rsid w:val="00E80A44"/>
    <w:rsid w:val="00E80EC3"/>
    <w:rsid w:val="00E83265"/>
    <w:rsid w:val="00E83CDA"/>
    <w:rsid w:val="00E85B0D"/>
    <w:rsid w:val="00E86613"/>
    <w:rsid w:val="00E86734"/>
    <w:rsid w:val="00E86C89"/>
    <w:rsid w:val="00E91D9F"/>
    <w:rsid w:val="00E91FFD"/>
    <w:rsid w:val="00E928A5"/>
    <w:rsid w:val="00E93597"/>
    <w:rsid w:val="00E96018"/>
    <w:rsid w:val="00E9618D"/>
    <w:rsid w:val="00E967F9"/>
    <w:rsid w:val="00E968CA"/>
    <w:rsid w:val="00E96AAD"/>
    <w:rsid w:val="00E97DE9"/>
    <w:rsid w:val="00EA0A5B"/>
    <w:rsid w:val="00EA3FC6"/>
    <w:rsid w:val="00EA4392"/>
    <w:rsid w:val="00EA4EC9"/>
    <w:rsid w:val="00EA6C81"/>
    <w:rsid w:val="00EA6EBC"/>
    <w:rsid w:val="00EA794D"/>
    <w:rsid w:val="00EB04A4"/>
    <w:rsid w:val="00EB08C9"/>
    <w:rsid w:val="00EB0D30"/>
    <w:rsid w:val="00EB1470"/>
    <w:rsid w:val="00EB1F44"/>
    <w:rsid w:val="00EB3828"/>
    <w:rsid w:val="00EB57C0"/>
    <w:rsid w:val="00EB708F"/>
    <w:rsid w:val="00EC0233"/>
    <w:rsid w:val="00EC0A5D"/>
    <w:rsid w:val="00EC0EBD"/>
    <w:rsid w:val="00EC17CB"/>
    <w:rsid w:val="00EC2A83"/>
    <w:rsid w:val="00EC2C07"/>
    <w:rsid w:val="00EC39A9"/>
    <w:rsid w:val="00EC42D5"/>
    <w:rsid w:val="00EC4807"/>
    <w:rsid w:val="00EC6DCF"/>
    <w:rsid w:val="00ED07C5"/>
    <w:rsid w:val="00ED1802"/>
    <w:rsid w:val="00ED31BF"/>
    <w:rsid w:val="00ED777C"/>
    <w:rsid w:val="00EE09A9"/>
    <w:rsid w:val="00EE0BB3"/>
    <w:rsid w:val="00EE1215"/>
    <w:rsid w:val="00EE2350"/>
    <w:rsid w:val="00EE23F2"/>
    <w:rsid w:val="00EE3ACE"/>
    <w:rsid w:val="00EE3DC9"/>
    <w:rsid w:val="00EE569C"/>
    <w:rsid w:val="00EE6042"/>
    <w:rsid w:val="00EE68B1"/>
    <w:rsid w:val="00EF066F"/>
    <w:rsid w:val="00EF2A07"/>
    <w:rsid w:val="00EF38AB"/>
    <w:rsid w:val="00EF3DF7"/>
    <w:rsid w:val="00EF4650"/>
    <w:rsid w:val="00EF4C5C"/>
    <w:rsid w:val="00EF4CEA"/>
    <w:rsid w:val="00EF4E10"/>
    <w:rsid w:val="00EF5264"/>
    <w:rsid w:val="00EF52F4"/>
    <w:rsid w:val="00EF61E9"/>
    <w:rsid w:val="00EF6EF5"/>
    <w:rsid w:val="00EF7C85"/>
    <w:rsid w:val="00F020AB"/>
    <w:rsid w:val="00F0367D"/>
    <w:rsid w:val="00F04999"/>
    <w:rsid w:val="00F053E0"/>
    <w:rsid w:val="00F1116F"/>
    <w:rsid w:val="00F11C8A"/>
    <w:rsid w:val="00F11E6B"/>
    <w:rsid w:val="00F11FCD"/>
    <w:rsid w:val="00F12754"/>
    <w:rsid w:val="00F12E75"/>
    <w:rsid w:val="00F138C2"/>
    <w:rsid w:val="00F151E6"/>
    <w:rsid w:val="00F153AC"/>
    <w:rsid w:val="00F1623B"/>
    <w:rsid w:val="00F17B96"/>
    <w:rsid w:val="00F17C0E"/>
    <w:rsid w:val="00F234A0"/>
    <w:rsid w:val="00F2568E"/>
    <w:rsid w:val="00F25762"/>
    <w:rsid w:val="00F2642D"/>
    <w:rsid w:val="00F26BA4"/>
    <w:rsid w:val="00F279B3"/>
    <w:rsid w:val="00F27B99"/>
    <w:rsid w:val="00F27DF4"/>
    <w:rsid w:val="00F300CD"/>
    <w:rsid w:val="00F310EA"/>
    <w:rsid w:val="00F3308B"/>
    <w:rsid w:val="00F33399"/>
    <w:rsid w:val="00F343B0"/>
    <w:rsid w:val="00F3443E"/>
    <w:rsid w:val="00F34FF7"/>
    <w:rsid w:val="00F36E67"/>
    <w:rsid w:val="00F370C1"/>
    <w:rsid w:val="00F403C3"/>
    <w:rsid w:val="00F4138B"/>
    <w:rsid w:val="00F428CC"/>
    <w:rsid w:val="00F4392F"/>
    <w:rsid w:val="00F45B1A"/>
    <w:rsid w:val="00F45EC7"/>
    <w:rsid w:val="00F463AE"/>
    <w:rsid w:val="00F468C4"/>
    <w:rsid w:val="00F46FD4"/>
    <w:rsid w:val="00F473E6"/>
    <w:rsid w:val="00F51828"/>
    <w:rsid w:val="00F518D8"/>
    <w:rsid w:val="00F53B30"/>
    <w:rsid w:val="00F553C1"/>
    <w:rsid w:val="00F55404"/>
    <w:rsid w:val="00F556F9"/>
    <w:rsid w:val="00F55CE0"/>
    <w:rsid w:val="00F564F2"/>
    <w:rsid w:val="00F5745E"/>
    <w:rsid w:val="00F6029E"/>
    <w:rsid w:val="00F60D18"/>
    <w:rsid w:val="00F63814"/>
    <w:rsid w:val="00F66EC7"/>
    <w:rsid w:val="00F671E1"/>
    <w:rsid w:val="00F70094"/>
    <w:rsid w:val="00F7025D"/>
    <w:rsid w:val="00F70413"/>
    <w:rsid w:val="00F71F3B"/>
    <w:rsid w:val="00F727BF"/>
    <w:rsid w:val="00F77B2D"/>
    <w:rsid w:val="00F80774"/>
    <w:rsid w:val="00F80BE0"/>
    <w:rsid w:val="00F80F49"/>
    <w:rsid w:val="00F8240E"/>
    <w:rsid w:val="00F83388"/>
    <w:rsid w:val="00F848F4"/>
    <w:rsid w:val="00F85B27"/>
    <w:rsid w:val="00F919E3"/>
    <w:rsid w:val="00F91C43"/>
    <w:rsid w:val="00F924CC"/>
    <w:rsid w:val="00F92979"/>
    <w:rsid w:val="00F92BB0"/>
    <w:rsid w:val="00F93147"/>
    <w:rsid w:val="00F93660"/>
    <w:rsid w:val="00F94A36"/>
    <w:rsid w:val="00FA0154"/>
    <w:rsid w:val="00FA1A5B"/>
    <w:rsid w:val="00FA1C99"/>
    <w:rsid w:val="00FA5DB0"/>
    <w:rsid w:val="00FA5FED"/>
    <w:rsid w:val="00FA60F4"/>
    <w:rsid w:val="00FA7056"/>
    <w:rsid w:val="00FB057B"/>
    <w:rsid w:val="00FB3548"/>
    <w:rsid w:val="00FB7662"/>
    <w:rsid w:val="00FB7AEC"/>
    <w:rsid w:val="00FC0013"/>
    <w:rsid w:val="00FC0173"/>
    <w:rsid w:val="00FC03BA"/>
    <w:rsid w:val="00FC1022"/>
    <w:rsid w:val="00FC13D6"/>
    <w:rsid w:val="00FC17BA"/>
    <w:rsid w:val="00FC1CDC"/>
    <w:rsid w:val="00FC1F2D"/>
    <w:rsid w:val="00FC23A5"/>
    <w:rsid w:val="00FC2849"/>
    <w:rsid w:val="00FC4DB1"/>
    <w:rsid w:val="00FC5398"/>
    <w:rsid w:val="00FC5532"/>
    <w:rsid w:val="00FC5E06"/>
    <w:rsid w:val="00FC609E"/>
    <w:rsid w:val="00FC6EB7"/>
    <w:rsid w:val="00FC78AF"/>
    <w:rsid w:val="00FD1452"/>
    <w:rsid w:val="00FD15AD"/>
    <w:rsid w:val="00FD4966"/>
    <w:rsid w:val="00FD5E18"/>
    <w:rsid w:val="00FD5E4D"/>
    <w:rsid w:val="00FE0AD5"/>
    <w:rsid w:val="00FE0F4E"/>
    <w:rsid w:val="00FE2814"/>
    <w:rsid w:val="00FE293F"/>
    <w:rsid w:val="00FE5240"/>
    <w:rsid w:val="00FF0440"/>
    <w:rsid w:val="00FF1F9D"/>
    <w:rsid w:val="00FF410C"/>
    <w:rsid w:val="00FF45F8"/>
    <w:rsid w:val="00FF4AEE"/>
    <w:rsid w:val="00FF60E0"/>
    <w:rsid w:val="012865DF"/>
    <w:rsid w:val="012E8695"/>
    <w:rsid w:val="01713165"/>
    <w:rsid w:val="022E3A19"/>
    <w:rsid w:val="022F3FBD"/>
    <w:rsid w:val="026A04C4"/>
    <w:rsid w:val="026B7BA0"/>
    <w:rsid w:val="026D1FFF"/>
    <w:rsid w:val="02B936D0"/>
    <w:rsid w:val="02C15F9C"/>
    <w:rsid w:val="02C42A38"/>
    <w:rsid w:val="02C8DEFB"/>
    <w:rsid w:val="02C985AF"/>
    <w:rsid w:val="02F0ABA0"/>
    <w:rsid w:val="0316B20E"/>
    <w:rsid w:val="031EB9EC"/>
    <w:rsid w:val="0397807B"/>
    <w:rsid w:val="03979911"/>
    <w:rsid w:val="03A1DF15"/>
    <w:rsid w:val="03AA8331"/>
    <w:rsid w:val="03AE2561"/>
    <w:rsid w:val="03DC2585"/>
    <w:rsid w:val="03E0E5C3"/>
    <w:rsid w:val="03ECD319"/>
    <w:rsid w:val="040CCA2C"/>
    <w:rsid w:val="0410E2F3"/>
    <w:rsid w:val="041E5B14"/>
    <w:rsid w:val="043A3712"/>
    <w:rsid w:val="045335C7"/>
    <w:rsid w:val="0466C4BB"/>
    <w:rsid w:val="04A6ED82"/>
    <w:rsid w:val="04E23F8C"/>
    <w:rsid w:val="04E4C85E"/>
    <w:rsid w:val="04E84E3C"/>
    <w:rsid w:val="056A41AB"/>
    <w:rsid w:val="0581CEC2"/>
    <w:rsid w:val="058BC4CA"/>
    <w:rsid w:val="059A8D5C"/>
    <w:rsid w:val="059CEC41"/>
    <w:rsid w:val="05A2935E"/>
    <w:rsid w:val="05A4BCC8"/>
    <w:rsid w:val="05B93D5A"/>
    <w:rsid w:val="0695C162"/>
    <w:rsid w:val="06A0AC53"/>
    <w:rsid w:val="072386A1"/>
    <w:rsid w:val="076401C7"/>
    <w:rsid w:val="07741F57"/>
    <w:rsid w:val="07889DD4"/>
    <w:rsid w:val="07DA149A"/>
    <w:rsid w:val="07E162FF"/>
    <w:rsid w:val="081B6AAA"/>
    <w:rsid w:val="085392EC"/>
    <w:rsid w:val="0864A4C3"/>
    <w:rsid w:val="088420DB"/>
    <w:rsid w:val="088CD903"/>
    <w:rsid w:val="08BC3EEB"/>
    <w:rsid w:val="08C46468"/>
    <w:rsid w:val="08C57B10"/>
    <w:rsid w:val="09847822"/>
    <w:rsid w:val="09AFAA06"/>
    <w:rsid w:val="09E6F255"/>
    <w:rsid w:val="0A217A00"/>
    <w:rsid w:val="0A3A628E"/>
    <w:rsid w:val="0A788AD9"/>
    <w:rsid w:val="0A87B654"/>
    <w:rsid w:val="0A9350B1"/>
    <w:rsid w:val="0AE4734A"/>
    <w:rsid w:val="0AEBE805"/>
    <w:rsid w:val="0AF0088B"/>
    <w:rsid w:val="0AFC6C0E"/>
    <w:rsid w:val="0B14EEAA"/>
    <w:rsid w:val="0B183876"/>
    <w:rsid w:val="0B8CEAEC"/>
    <w:rsid w:val="0BA06CA7"/>
    <w:rsid w:val="0BAB4D62"/>
    <w:rsid w:val="0C109291"/>
    <w:rsid w:val="0C28471E"/>
    <w:rsid w:val="0C4EA7C4"/>
    <w:rsid w:val="0C5AAE63"/>
    <w:rsid w:val="0C5BD2FC"/>
    <w:rsid w:val="0CC7547B"/>
    <w:rsid w:val="0D36A6C8"/>
    <w:rsid w:val="0D7B15D1"/>
    <w:rsid w:val="0DC17223"/>
    <w:rsid w:val="0DCF57F4"/>
    <w:rsid w:val="0E318F95"/>
    <w:rsid w:val="0E5AE448"/>
    <w:rsid w:val="0EBCC76A"/>
    <w:rsid w:val="0ECC50E7"/>
    <w:rsid w:val="0ECFAD65"/>
    <w:rsid w:val="0EEBE39F"/>
    <w:rsid w:val="0F06BC5D"/>
    <w:rsid w:val="0F1384ED"/>
    <w:rsid w:val="0F6F0076"/>
    <w:rsid w:val="0F736A0E"/>
    <w:rsid w:val="0F86740C"/>
    <w:rsid w:val="0F8D6C7A"/>
    <w:rsid w:val="0FBFFCFF"/>
    <w:rsid w:val="0FC232A8"/>
    <w:rsid w:val="0FC9C126"/>
    <w:rsid w:val="105F7321"/>
    <w:rsid w:val="1070ED08"/>
    <w:rsid w:val="109FAD94"/>
    <w:rsid w:val="10B42048"/>
    <w:rsid w:val="10EDED0C"/>
    <w:rsid w:val="10FC5240"/>
    <w:rsid w:val="11241F89"/>
    <w:rsid w:val="112C9857"/>
    <w:rsid w:val="116364C2"/>
    <w:rsid w:val="11AE029F"/>
    <w:rsid w:val="11CB5AC7"/>
    <w:rsid w:val="11CC9AF2"/>
    <w:rsid w:val="120648A3"/>
    <w:rsid w:val="124B0ED7"/>
    <w:rsid w:val="125D7700"/>
    <w:rsid w:val="126934DD"/>
    <w:rsid w:val="12745F90"/>
    <w:rsid w:val="1278614E"/>
    <w:rsid w:val="127AC133"/>
    <w:rsid w:val="12985900"/>
    <w:rsid w:val="12B0A004"/>
    <w:rsid w:val="12DDBEB9"/>
    <w:rsid w:val="13023DE5"/>
    <w:rsid w:val="1318497E"/>
    <w:rsid w:val="132DE90A"/>
    <w:rsid w:val="137F9CAF"/>
    <w:rsid w:val="1383AED8"/>
    <w:rsid w:val="13CE1B2A"/>
    <w:rsid w:val="13D118CA"/>
    <w:rsid w:val="13DD0E27"/>
    <w:rsid w:val="14057AF2"/>
    <w:rsid w:val="14447B07"/>
    <w:rsid w:val="145B0A39"/>
    <w:rsid w:val="14793521"/>
    <w:rsid w:val="14B6DA08"/>
    <w:rsid w:val="14FA963C"/>
    <w:rsid w:val="1528804C"/>
    <w:rsid w:val="154EA665"/>
    <w:rsid w:val="1578C1D2"/>
    <w:rsid w:val="15981B6D"/>
    <w:rsid w:val="15BD6483"/>
    <w:rsid w:val="15C88883"/>
    <w:rsid w:val="15CE24E9"/>
    <w:rsid w:val="15DCDC78"/>
    <w:rsid w:val="15E01292"/>
    <w:rsid w:val="15FC2137"/>
    <w:rsid w:val="160492AD"/>
    <w:rsid w:val="16068DE9"/>
    <w:rsid w:val="16071F5C"/>
    <w:rsid w:val="1609460A"/>
    <w:rsid w:val="161FECAD"/>
    <w:rsid w:val="1621A23B"/>
    <w:rsid w:val="1648319E"/>
    <w:rsid w:val="171AA186"/>
    <w:rsid w:val="175A5EFD"/>
    <w:rsid w:val="17896463"/>
    <w:rsid w:val="17C9C06E"/>
    <w:rsid w:val="17D0297A"/>
    <w:rsid w:val="17FBFE4E"/>
    <w:rsid w:val="17FF96A0"/>
    <w:rsid w:val="18A825AD"/>
    <w:rsid w:val="18D19D1E"/>
    <w:rsid w:val="18EF07C6"/>
    <w:rsid w:val="18FF85CF"/>
    <w:rsid w:val="19B28EB9"/>
    <w:rsid w:val="19B81199"/>
    <w:rsid w:val="19D09B1E"/>
    <w:rsid w:val="19EAEF25"/>
    <w:rsid w:val="19EFF26E"/>
    <w:rsid w:val="1A0785D1"/>
    <w:rsid w:val="1A181B9F"/>
    <w:rsid w:val="1A1C7AD6"/>
    <w:rsid w:val="1A8D2A56"/>
    <w:rsid w:val="1B0A46E6"/>
    <w:rsid w:val="1B23AA96"/>
    <w:rsid w:val="1B5C20A9"/>
    <w:rsid w:val="1B893A61"/>
    <w:rsid w:val="1B8A7A3B"/>
    <w:rsid w:val="1C0BDBE6"/>
    <w:rsid w:val="1C8EFFAF"/>
    <w:rsid w:val="1CFD6E03"/>
    <w:rsid w:val="1D0609C3"/>
    <w:rsid w:val="1D1B1C5C"/>
    <w:rsid w:val="1D781C2F"/>
    <w:rsid w:val="1D85915D"/>
    <w:rsid w:val="1DB720F0"/>
    <w:rsid w:val="1DCEE98E"/>
    <w:rsid w:val="1DD8536C"/>
    <w:rsid w:val="1DE542EF"/>
    <w:rsid w:val="1DEB8DB6"/>
    <w:rsid w:val="1DED3D20"/>
    <w:rsid w:val="1DF05C98"/>
    <w:rsid w:val="1E1DB7BB"/>
    <w:rsid w:val="1E31B768"/>
    <w:rsid w:val="1E322F6A"/>
    <w:rsid w:val="1E3C8954"/>
    <w:rsid w:val="1E49EBCA"/>
    <w:rsid w:val="1E4ED2BC"/>
    <w:rsid w:val="1E5F9D8D"/>
    <w:rsid w:val="1E75E982"/>
    <w:rsid w:val="1E8BEE98"/>
    <w:rsid w:val="1F158741"/>
    <w:rsid w:val="1F56E657"/>
    <w:rsid w:val="1F76F5DC"/>
    <w:rsid w:val="1F90A44E"/>
    <w:rsid w:val="1FBF27FE"/>
    <w:rsid w:val="1FDA0321"/>
    <w:rsid w:val="204D7BD2"/>
    <w:rsid w:val="205CB78C"/>
    <w:rsid w:val="206CE39C"/>
    <w:rsid w:val="20C441C4"/>
    <w:rsid w:val="21411C78"/>
    <w:rsid w:val="220EE44F"/>
    <w:rsid w:val="22661F57"/>
    <w:rsid w:val="22EB059E"/>
    <w:rsid w:val="22F9C068"/>
    <w:rsid w:val="23285913"/>
    <w:rsid w:val="23A366A1"/>
    <w:rsid w:val="23DBE081"/>
    <w:rsid w:val="24181A1F"/>
    <w:rsid w:val="246913B4"/>
    <w:rsid w:val="247A1EC5"/>
    <w:rsid w:val="2482C020"/>
    <w:rsid w:val="24C81022"/>
    <w:rsid w:val="24CE2793"/>
    <w:rsid w:val="24E1F265"/>
    <w:rsid w:val="24EE6050"/>
    <w:rsid w:val="24F75BFF"/>
    <w:rsid w:val="2520321A"/>
    <w:rsid w:val="256082F4"/>
    <w:rsid w:val="256C66C1"/>
    <w:rsid w:val="257ED39A"/>
    <w:rsid w:val="2580793F"/>
    <w:rsid w:val="259560AE"/>
    <w:rsid w:val="25A680EF"/>
    <w:rsid w:val="2639C43E"/>
    <w:rsid w:val="26A453FE"/>
    <w:rsid w:val="26A98B31"/>
    <w:rsid w:val="2744F9F3"/>
    <w:rsid w:val="2764F04D"/>
    <w:rsid w:val="277B9481"/>
    <w:rsid w:val="2780C443"/>
    <w:rsid w:val="27A42E1C"/>
    <w:rsid w:val="27C0E5B5"/>
    <w:rsid w:val="27C237FB"/>
    <w:rsid w:val="27D3571F"/>
    <w:rsid w:val="28143566"/>
    <w:rsid w:val="28B2E9BB"/>
    <w:rsid w:val="28C3D7DA"/>
    <w:rsid w:val="28D0027F"/>
    <w:rsid w:val="28F6A208"/>
    <w:rsid w:val="2906772D"/>
    <w:rsid w:val="293729C8"/>
    <w:rsid w:val="293A9BBE"/>
    <w:rsid w:val="29757DDA"/>
    <w:rsid w:val="297898E1"/>
    <w:rsid w:val="29A35C68"/>
    <w:rsid w:val="29ADACCD"/>
    <w:rsid w:val="29BA0610"/>
    <w:rsid w:val="2A9A0D19"/>
    <w:rsid w:val="2AD7C00E"/>
    <w:rsid w:val="2B1CD88B"/>
    <w:rsid w:val="2B3208A9"/>
    <w:rsid w:val="2B8825EB"/>
    <w:rsid w:val="2B9E5218"/>
    <w:rsid w:val="2BA9731B"/>
    <w:rsid w:val="2BE27833"/>
    <w:rsid w:val="2C0F8574"/>
    <w:rsid w:val="2C190240"/>
    <w:rsid w:val="2C20F3F5"/>
    <w:rsid w:val="2C22166E"/>
    <w:rsid w:val="2C241182"/>
    <w:rsid w:val="2C2D5F9B"/>
    <w:rsid w:val="2C4ECEC6"/>
    <w:rsid w:val="2C54D205"/>
    <w:rsid w:val="2C76B453"/>
    <w:rsid w:val="2C86DAA0"/>
    <w:rsid w:val="2C8D44AC"/>
    <w:rsid w:val="2C9CDCF6"/>
    <w:rsid w:val="2CDEB5C0"/>
    <w:rsid w:val="2CE26B1E"/>
    <w:rsid w:val="2CF8E02E"/>
    <w:rsid w:val="2D1A58DA"/>
    <w:rsid w:val="2D55BA1E"/>
    <w:rsid w:val="2D924768"/>
    <w:rsid w:val="2DCA7895"/>
    <w:rsid w:val="2DE52AB9"/>
    <w:rsid w:val="2DE5F3C0"/>
    <w:rsid w:val="2DFEB35F"/>
    <w:rsid w:val="2E55AB32"/>
    <w:rsid w:val="2E66CFA5"/>
    <w:rsid w:val="2E6E6BF2"/>
    <w:rsid w:val="2E7C11EC"/>
    <w:rsid w:val="2ED95E1C"/>
    <w:rsid w:val="2EE73617"/>
    <w:rsid w:val="2EE9D688"/>
    <w:rsid w:val="2F5726C5"/>
    <w:rsid w:val="2F7E5A98"/>
    <w:rsid w:val="2FA91EDB"/>
    <w:rsid w:val="2FD3DD88"/>
    <w:rsid w:val="2FDAFEDB"/>
    <w:rsid w:val="3042E610"/>
    <w:rsid w:val="305EFE2A"/>
    <w:rsid w:val="308ADA26"/>
    <w:rsid w:val="31259AB6"/>
    <w:rsid w:val="312AE991"/>
    <w:rsid w:val="3164F3AB"/>
    <w:rsid w:val="319147E9"/>
    <w:rsid w:val="31A0D151"/>
    <w:rsid w:val="31E4B253"/>
    <w:rsid w:val="321361BE"/>
    <w:rsid w:val="323EB23C"/>
    <w:rsid w:val="324CFB2F"/>
    <w:rsid w:val="32571891"/>
    <w:rsid w:val="3297A566"/>
    <w:rsid w:val="329C1BDB"/>
    <w:rsid w:val="32ADDAE9"/>
    <w:rsid w:val="32BE9070"/>
    <w:rsid w:val="32D0EB26"/>
    <w:rsid w:val="32E991C3"/>
    <w:rsid w:val="32F68D14"/>
    <w:rsid w:val="3314F028"/>
    <w:rsid w:val="3320F5E0"/>
    <w:rsid w:val="334537AA"/>
    <w:rsid w:val="335EAEC3"/>
    <w:rsid w:val="338215D9"/>
    <w:rsid w:val="3390B118"/>
    <w:rsid w:val="33E60BD9"/>
    <w:rsid w:val="3417ECA8"/>
    <w:rsid w:val="345B0889"/>
    <w:rsid w:val="345B3FD1"/>
    <w:rsid w:val="345D7C5A"/>
    <w:rsid w:val="348C06F9"/>
    <w:rsid w:val="3495BF74"/>
    <w:rsid w:val="34D23D88"/>
    <w:rsid w:val="34DB644D"/>
    <w:rsid w:val="350A6BE4"/>
    <w:rsid w:val="35288269"/>
    <w:rsid w:val="3586CB9D"/>
    <w:rsid w:val="3596F522"/>
    <w:rsid w:val="3599CE91"/>
    <w:rsid w:val="35AA4EA4"/>
    <w:rsid w:val="35C5B268"/>
    <w:rsid w:val="35D66364"/>
    <w:rsid w:val="3607F8E5"/>
    <w:rsid w:val="36139257"/>
    <w:rsid w:val="36216D4F"/>
    <w:rsid w:val="362907A9"/>
    <w:rsid w:val="3631B466"/>
    <w:rsid w:val="368C8308"/>
    <w:rsid w:val="36AC230F"/>
    <w:rsid w:val="36D5FF85"/>
    <w:rsid w:val="37CA5769"/>
    <w:rsid w:val="37FC8388"/>
    <w:rsid w:val="380B4280"/>
    <w:rsid w:val="381DA2BC"/>
    <w:rsid w:val="383045C3"/>
    <w:rsid w:val="386BA305"/>
    <w:rsid w:val="3879E2B6"/>
    <w:rsid w:val="38A4994E"/>
    <w:rsid w:val="38B4C05A"/>
    <w:rsid w:val="39069D65"/>
    <w:rsid w:val="391C9E7F"/>
    <w:rsid w:val="394BBC99"/>
    <w:rsid w:val="3951AB46"/>
    <w:rsid w:val="3956530F"/>
    <w:rsid w:val="39606C0A"/>
    <w:rsid w:val="39AF55C3"/>
    <w:rsid w:val="39B0AD87"/>
    <w:rsid w:val="39D9AA53"/>
    <w:rsid w:val="3A07A8B8"/>
    <w:rsid w:val="3A21C3A5"/>
    <w:rsid w:val="3A4349EF"/>
    <w:rsid w:val="3A4AA80A"/>
    <w:rsid w:val="3A54B5BE"/>
    <w:rsid w:val="3A8705D8"/>
    <w:rsid w:val="3AB1D858"/>
    <w:rsid w:val="3B583FEF"/>
    <w:rsid w:val="3B695521"/>
    <w:rsid w:val="3BA428CB"/>
    <w:rsid w:val="3BF7790C"/>
    <w:rsid w:val="3C1D1D89"/>
    <w:rsid w:val="3C32B434"/>
    <w:rsid w:val="3C62B9EF"/>
    <w:rsid w:val="3CCDB303"/>
    <w:rsid w:val="3CD2F9D5"/>
    <w:rsid w:val="3CEC23E4"/>
    <w:rsid w:val="3CED7FD6"/>
    <w:rsid w:val="3D0F2138"/>
    <w:rsid w:val="3DA2E59B"/>
    <w:rsid w:val="3E692DAC"/>
    <w:rsid w:val="3E9D713F"/>
    <w:rsid w:val="3EA2EC9B"/>
    <w:rsid w:val="3F20F610"/>
    <w:rsid w:val="3F5646A1"/>
    <w:rsid w:val="3F5BC413"/>
    <w:rsid w:val="3F637E98"/>
    <w:rsid w:val="3F779E3F"/>
    <w:rsid w:val="3F909E14"/>
    <w:rsid w:val="3FD78E38"/>
    <w:rsid w:val="3FF85EC0"/>
    <w:rsid w:val="4042A7C4"/>
    <w:rsid w:val="4081D8BA"/>
    <w:rsid w:val="4117B13D"/>
    <w:rsid w:val="41438C49"/>
    <w:rsid w:val="41444E8A"/>
    <w:rsid w:val="414B02B6"/>
    <w:rsid w:val="41CD52AE"/>
    <w:rsid w:val="41E2BF44"/>
    <w:rsid w:val="41FD6BCB"/>
    <w:rsid w:val="42186813"/>
    <w:rsid w:val="4245D64E"/>
    <w:rsid w:val="4260390D"/>
    <w:rsid w:val="42B075A0"/>
    <w:rsid w:val="42B40EA3"/>
    <w:rsid w:val="430D8035"/>
    <w:rsid w:val="43273B89"/>
    <w:rsid w:val="4339BB13"/>
    <w:rsid w:val="438338AC"/>
    <w:rsid w:val="43C605A3"/>
    <w:rsid w:val="43FF3155"/>
    <w:rsid w:val="440FC4C9"/>
    <w:rsid w:val="444F03D8"/>
    <w:rsid w:val="44C70E4E"/>
    <w:rsid w:val="44D0F3E7"/>
    <w:rsid w:val="44DD97AD"/>
    <w:rsid w:val="45763583"/>
    <w:rsid w:val="45CC4EC6"/>
    <w:rsid w:val="45DE3578"/>
    <w:rsid w:val="45F5EC44"/>
    <w:rsid w:val="46512E80"/>
    <w:rsid w:val="467C599D"/>
    <w:rsid w:val="46D2B5B0"/>
    <w:rsid w:val="46DFE5D4"/>
    <w:rsid w:val="4724712F"/>
    <w:rsid w:val="4733335D"/>
    <w:rsid w:val="477F453C"/>
    <w:rsid w:val="47A47AB4"/>
    <w:rsid w:val="47AA893F"/>
    <w:rsid w:val="47C4D79C"/>
    <w:rsid w:val="47DD69A5"/>
    <w:rsid w:val="4866BE2D"/>
    <w:rsid w:val="488F9F60"/>
    <w:rsid w:val="48A9F0F8"/>
    <w:rsid w:val="48AE591D"/>
    <w:rsid w:val="48FB8E1F"/>
    <w:rsid w:val="49126224"/>
    <w:rsid w:val="49179CC1"/>
    <w:rsid w:val="492D470F"/>
    <w:rsid w:val="4939B911"/>
    <w:rsid w:val="4966D198"/>
    <w:rsid w:val="4980646A"/>
    <w:rsid w:val="49A32B58"/>
    <w:rsid w:val="49B99912"/>
    <w:rsid w:val="49D9234E"/>
    <w:rsid w:val="4A2658D7"/>
    <w:rsid w:val="4A614C4F"/>
    <w:rsid w:val="4A70B4BD"/>
    <w:rsid w:val="4A7A53F3"/>
    <w:rsid w:val="4A7E0EC9"/>
    <w:rsid w:val="4AE7C470"/>
    <w:rsid w:val="4AE82058"/>
    <w:rsid w:val="4B041A48"/>
    <w:rsid w:val="4B1ADC21"/>
    <w:rsid w:val="4B2329BD"/>
    <w:rsid w:val="4B8A04B0"/>
    <w:rsid w:val="4B8E6F30"/>
    <w:rsid w:val="4BBE4E78"/>
    <w:rsid w:val="4BCEA958"/>
    <w:rsid w:val="4BE44946"/>
    <w:rsid w:val="4C5236D8"/>
    <w:rsid w:val="4C83187E"/>
    <w:rsid w:val="4CB3EBEF"/>
    <w:rsid w:val="4CCA031E"/>
    <w:rsid w:val="4CE74E11"/>
    <w:rsid w:val="4D01EE37"/>
    <w:rsid w:val="4D1006A4"/>
    <w:rsid w:val="4D4237D6"/>
    <w:rsid w:val="4D6F4ABB"/>
    <w:rsid w:val="4D97C5D2"/>
    <w:rsid w:val="4DD0F8E9"/>
    <w:rsid w:val="4DFE9F05"/>
    <w:rsid w:val="4E0D06B0"/>
    <w:rsid w:val="4E1229FD"/>
    <w:rsid w:val="4E6678CA"/>
    <w:rsid w:val="4E861C94"/>
    <w:rsid w:val="4EA29275"/>
    <w:rsid w:val="4EA5BD4F"/>
    <w:rsid w:val="4EB2BEBB"/>
    <w:rsid w:val="4EC70F56"/>
    <w:rsid w:val="4ECE38FC"/>
    <w:rsid w:val="4F15D22E"/>
    <w:rsid w:val="4F1865AF"/>
    <w:rsid w:val="4F7315EB"/>
    <w:rsid w:val="4FB5FDDF"/>
    <w:rsid w:val="4FC8F4C6"/>
    <w:rsid w:val="4FD2A2BE"/>
    <w:rsid w:val="4FD46E86"/>
    <w:rsid w:val="4FDCCDAF"/>
    <w:rsid w:val="4FFBB27E"/>
    <w:rsid w:val="50055A17"/>
    <w:rsid w:val="50088FCD"/>
    <w:rsid w:val="503B24C7"/>
    <w:rsid w:val="503EE25B"/>
    <w:rsid w:val="504586A4"/>
    <w:rsid w:val="508B5E90"/>
    <w:rsid w:val="50C0AD24"/>
    <w:rsid w:val="50C5EA35"/>
    <w:rsid w:val="50D5871B"/>
    <w:rsid w:val="50DBE227"/>
    <w:rsid w:val="51119982"/>
    <w:rsid w:val="511D229B"/>
    <w:rsid w:val="513A369D"/>
    <w:rsid w:val="51788D00"/>
    <w:rsid w:val="51B78A35"/>
    <w:rsid w:val="51CDB1BD"/>
    <w:rsid w:val="51D8465C"/>
    <w:rsid w:val="521F8274"/>
    <w:rsid w:val="522225D6"/>
    <w:rsid w:val="525A12D4"/>
    <w:rsid w:val="52819BC6"/>
    <w:rsid w:val="528F5F54"/>
    <w:rsid w:val="529C628B"/>
    <w:rsid w:val="52DB5F8B"/>
    <w:rsid w:val="52F8E66C"/>
    <w:rsid w:val="53381172"/>
    <w:rsid w:val="53633E35"/>
    <w:rsid w:val="53895D0D"/>
    <w:rsid w:val="53B6BC2E"/>
    <w:rsid w:val="53C33E79"/>
    <w:rsid w:val="53E5227C"/>
    <w:rsid w:val="53EAC432"/>
    <w:rsid w:val="53F2FAF6"/>
    <w:rsid w:val="5439730B"/>
    <w:rsid w:val="54506F8B"/>
    <w:rsid w:val="5485766A"/>
    <w:rsid w:val="54873F21"/>
    <w:rsid w:val="54963F6E"/>
    <w:rsid w:val="54AF6920"/>
    <w:rsid w:val="54EA2F03"/>
    <w:rsid w:val="550B249B"/>
    <w:rsid w:val="551737AF"/>
    <w:rsid w:val="55559633"/>
    <w:rsid w:val="55A2AA62"/>
    <w:rsid w:val="55A9916C"/>
    <w:rsid w:val="55DC5FAF"/>
    <w:rsid w:val="55F6D8BE"/>
    <w:rsid w:val="5666FC58"/>
    <w:rsid w:val="566B435A"/>
    <w:rsid w:val="56930D86"/>
    <w:rsid w:val="57102000"/>
    <w:rsid w:val="57591275"/>
    <w:rsid w:val="57666F42"/>
    <w:rsid w:val="57AB7F8D"/>
    <w:rsid w:val="57C0908F"/>
    <w:rsid w:val="57E49ADF"/>
    <w:rsid w:val="583E286A"/>
    <w:rsid w:val="58610568"/>
    <w:rsid w:val="586696E5"/>
    <w:rsid w:val="5881B741"/>
    <w:rsid w:val="5885350B"/>
    <w:rsid w:val="58975942"/>
    <w:rsid w:val="58B4D3CB"/>
    <w:rsid w:val="58CAEE70"/>
    <w:rsid w:val="58E4F1AE"/>
    <w:rsid w:val="592EB3B5"/>
    <w:rsid w:val="5988C285"/>
    <w:rsid w:val="59B1E2D2"/>
    <w:rsid w:val="59DB957C"/>
    <w:rsid w:val="59E7AA59"/>
    <w:rsid w:val="5A23050B"/>
    <w:rsid w:val="5A2DDD3E"/>
    <w:rsid w:val="5A3657FD"/>
    <w:rsid w:val="5A75860E"/>
    <w:rsid w:val="5A7CD07E"/>
    <w:rsid w:val="5AA279D1"/>
    <w:rsid w:val="5AAB98AB"/>
    <w:rsid w:val="5AB61061"/>
    <w:rsid w:val="5AC1A964"/>
    <w:rsid w:val="5AE9584C"/>
    <w:rsid w:val="5B350212"/>
    <w:rsid w:val="5B3D26D4"/>
    <w:rsid w:val="5B45CA0F"/>
    <w:rsid w:val="5B64E67B"/>
    <w:rsid w:val="5B991F07"/>
    <w:rsid w:val="5BB7A04A"/>
    <w:rsid w:val="5BDF39F8"/>
    <w:rsid w:val="5BE0D016"/>
    <w:rsid w:val="5C246CFB"/>
    <w:rsid w:val="5C2DDD93"/>
    <w:rsid w:val="5C3BA376"/>
    <w:rsid w:val="5C41565D"/>
    <w:rsid w:val="5C4A3D91"/>
    <w:rsid w:val="5C898BF5"/>
    <w:rsid w:val="5C8B0BEF"/>
    <w:rsid w:val="5CAB29AB"/>
    <w:rsid w:val="5CCFC86E"/>
    <w:rsid w:val="5CD3FE1E"/>
    <w:rsid w:val="5CE44DD1"/>
    <w:rsid w:val="5CE5C4A4"/>
    <w:rsid w:val="5D080385"/>
    <w:rsid w:val="5D097F9D"/>
    <w:rsid w:val="5D30379D"/>
    <w:rsid w:val="5D345228"/>
    <w:rsid w:val="5D63ECC4"/>
    <w:rsid w:val="5D6E840A"/>
    <w:rsid w:val="5DE6179F"/>
    <w:rsid w:val="5E418425"/>
    <w:rsid w:val="5E92D425"/>
    <w:rsid w:val="5EA6DE54"/>
    <w:rsid w:val="5EAA95E1"/>
    <w:rsid w:val="5EB04CBB"/>
    <w:rsid w:val="5EB239C6"/>
    <w:rsid w:val="5EC1FEE6"/>
    <w:rsid w:val="5EEB2017"/>
    <w:rsid w:val="5EEE7E50"/>
    <w:rsid w:val="5EF71126"/>
    <w:rsid w:val="5EFAE862"/>
    <w:rsid w:val="5F01D836"/>
    <w:rsid w:val="5F50872E"/>
    <w:rsid w:val="5F6B1690"/>
    <w:rsid w:val="5FC1B1A4"/>
    <w:rsid w:val="60159C32"/>
    <w:rsid w:val="605CA427"/>
    <w:rsid w:val="60670D90"/>
    <w:rsid w:val="60A099A4"/>
    <w:rsid w:val="610645B9"/>
    <w:rsid w:val="611A859B"/>
    <w:rsid w:val="6128FF96"/>
    <w:rsid w:val="612B5602"/>
    <w:rsid w:val="6130D080"/>
    <w:rsid w:val="61BA1C03"/>
    <w:rsid w:val="61C34C4D"/>
    <w:rsid w:val="61C8D118"/>
    <w:rsid w:val="61EB5654"/>
    <w:rsid w:val="61EBB738"/>
    <w:rsid w:val="6216DFE8"/>
    <w:rsid w:val="62197579"/>
    <w:rsid w:val="6230B4F2"/>
    <w:rsid w:val="62F603B5"/>
    <w:rsid w:val="62FD6A1B"/>
    <w:rsid w:val="6320D875"/>
    <w:rsid w:val="635F8B88"/>
    <w:rsid w:val="637A9D10"/>
    <w:rsid w:val="63B12A54"/>
    <w:rsid w:val="63B13832"/>
    <w:rsid w:val="6471B186"/>
    <w:rsid w:val="6475D724"/>
    <w:rsid w:val="64814167"/>
    <w:rsid w:val="6497AE39"/>
    <w:rsid w:val="64BAAF2B"/>
    <w:rsid w:val="64CD8484"/>
    <w:rsid w:val="65A85059"/>
    <w:rsid w:val="65AEAF92"/>
    <w:rsid w:val="65E0E167"/>
    <w:rsid w:val="65F8CF66"/>
    <w:rsid w:val="6625C5EF"/>
    <w:rsid w:val="6658CEB4"/>
    <w:rsid w:val="66A6CBF4"/>
    <w:rsid w:val="66BE4136"/>
    <w:rsid w:val="670B7AB4"/>
    <w:rsid w:val="6711B69B"/>
    <w:rsid w:val="67197E61"/>
    <w:rsid w:val="6725068A"/>
    <w:rsid w:val="673E343F"/>
    <w:rsid w:val="67703C1E"/>
    <w:rsid w:val="67744A87"/>
    <w:rsid w:val="67B79015"/>
    <w:rsid w:val="68961CD2"/>
    <w:rsid w:val="6899D2F1"/>
    <w:rsid w:val="68C8649B"/>
    <w:rsid w:val="68CAE3E2"/>
    <w:rsid w:val="69457383"/>
    <w:rsid w:val="695842AA"/>
    <w:rsid w:val="69D0DC53"/>
    <w:rsid w:val="69E49866"/>
    <w:rsid w:val="6A0EA9DD"/>
    <w:rsid w:val="6A401C4A"/>
    <w:rsid w:val="6A83E68B"/>
    <w:rsid w:val="6A885538"/>
    <w:rsid w:val="6AD55194"/>
    <w:rsid w:val="6B0CD0B9"/>
    <w:rsid w:val="6B2C1C94"/>
    <w:rsid w:val="6B32225D"/>
    <w:rsid w:val="6B552360"/>
    <w:rsid w:val="6B667E8F"/>
    <w:rsid w:val="6B6969F5"/>
    <w:rsid w:val="6BDE851F"/>
    <w:rsid w:val="6C205CC9"/>
    <w:rsid w:val="6C54E3C7"/>
    <w:rsid w:val="6D5C230A"/>
    <w:rsid w:val="6DC0A0EE"/>
    <w:rsid w:val="6E267C5C"/>
    <w:rsid w:val="6E26DAB1"/>
    <w:rsid w:val="6E54954B"/>
    <w:rsid w:val="6E7270DD"/>
    <w:rsid w:val="6E891FFC"/>
    <w:rsid w:val="6EA28232"/>
    <w:rsid w:val="6EB9B654"/>
    <w:rsid w:val="6EC50607"/>
    <w:rsid w:val="6EE7EA0A"/>
    <w:rsid w:val="6EF76197"/>
    <w:rsid w:val="6F4CE350"/>
    <w:rsid w:val="6F58C602"/>
    <w:rsid w:val="6F6DBEF4"/>
    <w:rsid w:val="6F86BC6D"/>
    <w:rsid w:val="6F87159C"/>
    <w:rsid w:val="6FA405D8"/>
    <w:rsid w:val="6FCAEDC6"/>
    <w:rsid w:val="7010EEF4"/>
    <w:rsid w:val="70466F72"/>
    <w:rsid w:val="70A9EC61"/>
    <w:rsid w:val="70C60205"/>
    <w:rsid w:val="710C60C0"/>
    <w:rsid w:val="710CE2EF"/>
    <w:rsid w:val="7190E14B"/>
    <w:rsid w:val="719160BF"/>
    <w:rsid w:val="71E4036F"/>
    <w:rsid w:val="7272539D"/>
    <w:rsid w:val="7300E3FA"/>
    <w:rsid w:val="7319D8EC"/>
    <w:rsid w:val="73221FDB"/>
    <w:rsid w:val="7342E14C"/>
    <w:rsid w:val="739DF926"/>
    <w:rsid w:val="73C924A9"/>
    <w:rsid w:val="73ED22D5"/>
    <w:rsid w:val="741FF778"/>
    <w:rsid w:val="74232087"/>
    <w:rsid w:val="74401DA6"/>
    <w:rsid w:val="74899973"/>
    <w:rsid w:val="74D86A93"/>
    <w:rsid w:val="74DE2DA6"/>
    <w:rsid w:val="74E25478"/>
    <w:rsid w:val="74F72065"/>
    <w:rsid w:val="752C03F1"/>
    <w:rsid w:val="7560F135"/>
    <w:rsid w:val="75AD4B7A"/>
    <w:rsid w:val="75FC268E"/>
    <w:rsid w:val="760425E9"/>
    <w:rsid w:val="7618056B"/>
    <w:rsid w:val="76841424"/>
    <w:rsid w:val="76963B18"/>
    <w:rsid w:val="76FD94BC"/>
    <w:rsid w:val="7795E84A"/>
    <w:rsid w:val="780D590A"/>
    <w:rsid w:val="7814F4CA"/>
    <w:rsid w:val="7875CCAF"/>
    <w:rsid w:val="78810EAC"/>
    <w:rsid w:val="788F0361"/>
    <w:rsid w:val="7891929C"/>
    <w:rsid w:val="78B0BABD"/>
    <w:rsid w:val="78C916A0"/>
    <w:rsid w:val="78CD708C"/>
    <w:rsid w:val="78F6E053"/>
    <w:rsid w:val="79157DB9"/>
    <w:rsid w:val="79222AF1"/>
    <w:rsid w:val="793782C8"/>
    <w:rsid w:val="79521FFD"/>
    <w:rsid w:val="795D3FC1"/>
    <w:rsid w:val="79663398"/>
    <w:rsid w:val="79DB9895"/>
    <w:rsid w:val="79E42658"/>
    <w:rsid w:val="79FF2B99"/>
    <w:rsid w:val="7A1C488F"/>
    <w:rsid w:val="7A436FEE"/>
    <w:rsid w:val="7AB3B680"/>
    <w:rsid w:val="7ACD9BAB"/>
    <w:rsid w:val="7AE1FC03"/>
    <w:rsid w:val="7AE750ED"/>
    <w:rsid w:val="7B2E4FB0"/>
    <w:rsid w:val="7B4A72DB"/>
    <w:rsid w:val="7B9F66F4"/>
    <w:rsid w:val="7BAF876A"/>
    <w:rsid w:val="7BC0ACAF"/>
    <w:rsid w:val="7BD246D0"/>
    <w:rsid w:val="7BF95A1D"/>
    <w:rsid w:val="7C16541D"/>
    <w:rsid w:val="7C3DC4DD"/>
    <w:rsid w:val="7C4891EB"/>
    <w:rsid w:val="7C617127"/>
    <w:rsid w:val="7C9AB458"/>
    <w:rsid w:val="7D021DE1"/>
    <w:rsid w:val="7D073E26"/>
    <w:rsid w:val="7DB66602"/>
    <w:rsid w:val="7DD272F6"/>
    <w:rsid w:val="7E1BD215"/>
    <w:rsid w:val="7E37E569"/>
    <w:rsid w:val="7E482559"/>
    <w:rsid w:val="7E606E33"/>
    <w:rsid w:val="7EA7D6F9"/>
    <w:rsid w:val="7EEFA5BC"/>
    <w:rsid w:val="7EF7732F"/>
    <w:rsid w:val="7F5C0BD2"/>
    <w:rsid w:val="7FA5BA71"/>
    <w:rsid w:val="7FCFADE1"/>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1078D132"/>
  <w15:chartTrackingRefBased/>
  <w15:docId w15:val="{649FA04B-868B-4229-B3D6-1110B3A6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540E"/>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7540E"/>
  </w:style>
  <w:style w:type="paragraph" w:customStyle="1" w:styleId="Level1">
    <w:name w:val="Level 1"/>
    <w:basedOn w:val="Normal"/>
    <w:rsid w:val="0087540E"/>
    <w:pPr>
      <w:numPr>
        <w:numId w:val="1"/>
      </w:numPr>
      <w:ind w:left="720" w:hanging="720"/>
      <w:outlineLvl w:val="0"/>
    </w:pPr>
  </w:style>
  <w:style w:type="character" w:customStyle="1" w:styleId="Hypertext">
    <w:name w:val="Hypertext"/>
    <w:rsid w:val="0087540E"/>
    <w:rPr>
      <w:color w:val="0000FF"/>
      <w:u w:val="single"/>
    </w:rPr>
  </w:style>
  <w:style w:type="paragraph" w:styleId="EndnoteText">
    <w:name w:val="endnote text"/>
    <w:basedOn w:val="Normal"/>
    <w:link w:val="EndnoteTextChar"/>
    <w:semiHidden/>
    <w:rsid w:val="0087540E"/>
    <w:rPr>
      <w:szCs w:val="20"/>
    </w:rPr>
  </w:style>
  <w:style w:type="character" w:styleId="EndnoteReference">
    <w:name w:val="endnote reference"/>
    <w:semiHidden/>
    <w:rsid w:val="0087540E"/>
    <w:rPr>
      <w:vertAlign w:val="superscript"/>
    </w:rPr>
  </w:style>
  <w:style w:type="paragraph" w:styleId="Title">
    <w:name w:val="Title"/>
    <w:basedOn w:val="Normal"/>
    <w:link w:val="TitleChar"/>
    <w:qFormat/>
    <w:rsid w:val="0087540E"/>
    <w:pPr>
      <w:widowControl/>
      <w:autoSpaceDE/>
      <w:autoSpaceDN/>
      <w:adjustRightInd/>
      <w:jc w:val="center"/>
    </w:pPr>
    <w:rPr>
      <w:b/>
      <w:bCs/>
      <w:sz w:val="32"/>
    </w:rPr>
  </w:style>
  <w:style w:type="character" w:styleId="CommentReference">
    <w:name w:val="annotation reference"/>
    <w:uiPriority w:val="99"/>
    <w:rsid w:val="0068131D"/>
    <w:rPr>
      <w:sz w:val="16"/>
      <w:szCs w:val="16"/>
    </w:rPr>
  </w:style>
  <w:style w:type="paragraph" w:styleId="CommentText">
    <w:name w:val="annotation text"/>
    <w:basedOn w:val="Normal"/>
    <w:link w:val="CommentTextChar"/>
    <w:uiPriority w:val="99"/>
    <w:rsid w:val="0068131D"/>
    <w:rPr>
      <w:szCs w:val="20"/>
    </w:rPr>
  </w:style>
  <w:style w:type="character" w:customStyle="1" w:styleId="CommentTextChar">
    <w:name w:val="Comment Text Char"/>
    <w:basedOn w:val="DefaultParagraphFont"/>
    <w:link w:val="CommentText"/>
    <w:uiPriority w:val="99"/>
    <w:rsid w:val="0068131D"/>
  </w:style>
  <w:style w:type="paragraph" w:styleId="CommentSubject">
    <w:name w:val="annotation subject"/>
    <w:basedOn w:val="CommentText"/>
    <w:next w:val="CommentText"/>
    <w:link w:val="CommentSubjectChar"/>
    <w:rsid w:val="0068131D"/>
    <w:rPr>
      <w:b/>
      <w:bCs/>
    </w:rPr>
  </w:style>
  <w:style w:type="character" w:customStyle="1" w:styleId="CommentSubjectChar">
    <w:name w:val="Comment Subject Char"/>
    <w:link w:val="CommentSubject"/>
    <w:rsid w:val="0068131D"/>
    <w:rPr>
      <w:b/>
      <w:bCs/>
    </w:rPr>
  </w:style>
  <w:style w:type="paragraph" w:styleId="BalloonText">
    <w:name w:val="Balloon Text"/>
    <w:basedOn w:val="Normal"/>
    <w:link w:val="BalloonTextChar"/>
    <w:rsid w:val="0068131D"/>
    <w:rPr>
      <w:rFonts w:ascii="Tahoma" w:hAnsi="Tahoma" w:cs="Tahoma"/>
      <w:sz w:val="16"/>
      <w:szCs w:val="16"/>
    </w:rPr>
  </w:style>
  <w:style w:type="character" w:customStyle="1" w:styleId="BalloonTextChar">
    <w:name w:val="Balloon Text Char"/>
    <w:link w:val="BalloonText"/>
    <w:rsid w:val="0068131D"/>
    <w:rPr>
      <w:rFonts w:ascii="Tahoma" w:hAnsi="Tahoma" w:cs="Tahoma"/>
      <w:sz w:val="16"/>
      <w:szCs w:val="16"/>
    </w:rPr>
  </w:style>
  <w:style w:type="character" w:styleId="Hyperlink">
    <w:name w:val="Hyperlink"/>
    <w:rsid w:val="00F919E3"/>
    <w:rPr>
      <w:color w:val="0000FF"/>
      <w:u w:val="single"/>
    </w:rPr>
  </w:style>
  <w:style w:type="paragraph" w:styleId="ListParagraph">
    <w:name w:val="List Paragraph"/>
    <w:basedOn w:val="Normal"/>
    <w:uiPriority w:val="34"/>
    <w:qFormat/>
    <w:rsid w:val="00BC4F55"/>
    <w:pPr>
      <w:widowControl/>
      <w:autoSpaceDE/>
      <w:autoSpaceDN/>
      <w:adjustRightInd/>
      <w:ind w:left="720"/>
      <w:contextualSpacing/>
    </w:pPr>
    <w:rPr>
      <w:rFonts w:ascii="Calibri" w:eastAsia="Calibri" w:hAnsi="Calibri"/>
      <w:sz w:val="24"/>
    </w:rPr>
  </w:style>
  <w:style w:type="paragraph" w:styleId="BodyText2">
    <w:name w:val="Body Text 2"/>
    <w:basedOn w:val="Normal"/>
    <w:link w:val="BodyText2Char"/>
    <w:rsid w:val="00C9004A"/>
    <w:rPr>
      <w:sz w:val="24"/>
    </w:rPr>
  </w:style>
  <w:style w:type="character" w:customStyle="1" w:styleId="BodyText2Char">
    <w:name w:val="Body Text 2 Char"/>
    <w:basedOn w:val="DefaultParagraphFont"/>
    <w:link w:val="BodyText2"/>
    <w:uiPriority w:val="1"/>
    <w:rsid w:val="00C9004A"/>
    <w:rPr>
      <w:sz w:val="24"/>
      <w:szCs w:val="24"/>
    </w:rPr>
  </w:style>
  <w:style w:type="character" w:styleId="FollowedHyperlink">
    <w:name w:val="FollowedHyperlink"/>
    <w:basedOn w:val="DefaultParagraphFont"/>
    <w:uiPriority w:val="1"/>
    <w:rsid w:val="0EBCC76A"/>
    <w:rPr>
      <w:color w:val="954F72"/>
      <w:u w:val="single"/>
    </w:rPr>
  </w:style>
  <w:style w:type="paragraph" w:styleId="E-mailSignature">
    <w:name w:val="E-mail Signature"/>
    <w:basedOn w:val="Normal"/>
    <w:link w:val="E-mailSignatureChar"/>
    <w:rsid w:val="00D0323B"/>
    <w:pPr>
      <w:widowControl/>
      <w:autoSpaceDE/>
      <w:autoSpaceDN/>
      <w:adjustRightInd/>
    </w:pPr>
    <w:rPr>
      <w:sz w:val="24"/>
    </w:rPr>
  </w:style>
  <w:style w:type="character" w:customStyle="1" w:styleId="E-mailSignatureChar">
    <w:name w:val="E-mail Signature Char"/>
    <w:basedOn w:val="DefaultParagraphFont"/>
    <w:link w:val="E-mailSignature"/>
    <w:uiPriority w:val="1"/>
    <w:rsid w:val="00D0323B"/>
    <w:rPr>
      <w:sz w:val="24"/>
      <w:szCs w:val="24"/>
    </w:rPr>
  </w:style>
  <w:style w:type="paragraph" w:customStyle="1" w:styleId="T0-ChapPgHd">
    <w:name w:val="T0-Chap/Pg Hd"/>
    <w:rsid w:val="00464C8E"/>
    <w:pPr>
      <w:tabs>
        <w:tab w:val="left" w:pos="8640"/>
      </w:tabs>
      <w:spacing w:line="240" w:lineRule="atLeast"/>
      <w:jc w:val="both"/>
    </w:pPr>
    <w:rPr>
      <w:sz w:val="24"/>
      <w:szCs w:val="24"/>
      <w:u w:val="words"/>
    </w:rPr>
  </w:style>
  <w:style w:type="paragraph" w:styleId="TOC1">
    <w:name w:val="toc 1"/>
    <w:basedOn w:val="Normal"/>
    <w:autoRedefine/>
    <w:rsid w:val="00464C8E"/>
    <w:pPr>
      <w:widowControl/>
      <w:tabs>
        <w:tab w:val="left" w:pos="1440"/>
        <w:tab w:val="right" w:leader="dot" w:pos="8208"/>
        <w:tab w:val="left" w:pos="8640"/>
      </w:tabs>
      <w:autoSpaceDE/>
      <w:autoSpaceDN/>
      <w:adjustRightInd/>
      <w:spacing w:line="240" w:lineRule="atLeast"/>
      <w:ind w:left="288"/>
    </w:pPr>
    <w:rPr>
      <w:caps/>
      <w:sz w:val="24"/>
    </w:rPr>
  </w:style>
  <w:style w:type="paragraph" w:styleId="TOC2">
    <w:name w:val="toc 2"/>
    <w:basedOn w:val="Normal"/>
    <w:autoRedefine/>
    <w:uiPriority w:val="39"/>
    <w:rsid w:val="00464C8E"/>
    <w:pPr>
      <w:widowControl/>
      <w:tabs>
        <w:tab w:val="left" w:pos="2160"/>
        <w:tab w:val="right" w:leader="dot" w:pos="8208"/>
        <w:tab w:val="left" w:pos="8640"/>
      </w:tabs>
      <w:autoSpaceDE/>
      <w:autoSpaceDN/>
      <w:adjustRightInd/>
      <w:spacing w:line="240" w:lineRule="atLeast"/>
      <w:ind w:left="2160" w:hanging="720"/>
    </w:pPr>
    <w:rPr>
      <w:sz w:val="24"/>
    </w:rPr>
  </w:style>
  <w:style w:type="paragraph" w:styleId="Header">
    <w:name w:val="header"/>
    <w:basedOn w:val="Normal"/>
    <w:link w:val="HeaderChar"/>
    <w:rsid w:val="00636785"/>
    <w:pPr>
      <w:tabs>
        <w:tab w:val="center" w:pos="4680"/>
        <w:tab w:val="right" w:pos="9360"/>
      </w:tabs>
    </w:pPr>
  </w:style>
  <w:style w:type="character" w:customStyle="1" w:styleId="HeaderChar">
    <w:name w:val="Header Char"/>
    <w:basedOn w:val="DefaultParagraphFont"/>
    <w:link w:val="Header"/>
    <w:uiPriority w:val="1"/>
    <w:rsid w:val="00636785"/>
    <w:rPr>
      <w:szCs w:val="24"/>
    </w:rPr>
  </w:style>
  <w:style w:type="paragraph" w:styleId="Footer">
    <w:name w:val="footer"/>
    <w:basedOn w:val="Normal"/>
    <w:link w:val="FooterChar"/>
    <w:uiPriority w:val="99"/>
    <w:rsid w:val="00636785"/>
    <w:pPr>
      <w:tabs>
        <w:tab w:val="center" w:pos="4680"/>
        <w:tab w:val="right" w:pos="9360"/>
      </w:tabs>
    </w:pPr>
  </w:style>
  <w:style w:type="character" w:customStyle="1" w:styleId="FooterChar">
    <w:name w:val="Footer Char"/>
    <w:basedOn w:val="DefaultParagraphFont"/>
    <w:link w:val="Footer"/>
    <w:uiPriority w:val="99"/>
    <w:rsid w:val="00636785"/>
    <w:rPr>
      <w:szCs w:val="24"/>
    </w:rPr>
  </w:style>
  <w:style w:type="paragraph" w:styleId="Revision">
    <w:name w:val="Revision"/>
    <w:hidden/>
    <w:uiPriority w:val="99"/>
    <w:semiHidden/>
    <w:rsid w:val="00D3287B"/>
    <w:rPr>
      <w:szCs w:val="24"/>
    </w:rPr>
  </w:style>
  <w:style w:type="character" w:styleId="Mention">
    <w:name w:val="Mention"/>
    <w:basedOn w:val="DefaultParagraphFont"/>
    <w:uiPriority w:val="99"/>
    <w:unhideWhenUsed/>
    <w:rsid w:val="0EBCC76A"/>
    <w:rPr>
      <w:color w:val="2B579A"/>
    </w:rPr>
  </w:style>
  <w:style w:type="character" w:styleId="UnresolvedMention">
    <w:name w:val="Unresolved Mention"/>
    <w:basedOn w:val="DefaultParagraphFont"/>
    <w:uiPriority w:val="99"/>
    <w:semiHidden/>
    <w:unhideWhenUsed/>
    <w:rsid w:val="0EBCC76A"/>
    <w:rPr>
      <w:color w:val="605E5C"/>
    </w:rPr>
  </w:style>
  <w:style w:type="character" w:styleId="SubtleEmphasis">
    <w:name w:val="Subtle Emphasis"/>
    <w:basedOn w:val="DefaultParagraphFont"/>
    <w:uiPriority w:val="19"/>
    <w:rsid w:val="00722389"/>
    <w:rPr>
      <w:i/>
      <w:iCs/>
      <w:color w:val="404040" w:themeColor="text1" w:themeTint="BF"/>
    </w:rPr>
  </w:style>
  <w:style w:type="character" w:styleId="Emphasis">
    <w:name w:val="Emphasis"/>
    <w:basedOn w:val="DefaultParagraphFont"/>
    <w:uiPriority w:val="20"/>
    <w:rsid w:val="00722389"/>
    <w:rPr>
      <w:i/>
      <w:iCs/>
    </w:rPr>
  </w:style>
  <w:style w:type="character" w:styleId="IntenseEmphasis">
    <w:name w:val="Intense Emphasis"/>
    <w:basedOn w:val="DefaultParagraphFont"/>
    <w:uiPriority w:val="21"/>
    <w:rsid w:val="00722389"/>
    <w:rPr>
      <w:i/>
      <w:iCs/>
      <w:color w:val="5B9BD5" w:themeColor="accent1"/>
    </w:rPr>
  </w:style>
  <w:style w:type="character" w:styleId="Strong">
    <w:name w:val="Strong"/>
    <w:basedOn w:val="DefaultParagraphFont"/>
    <w:uiPriority w:val="22"/>
    <w:rsid w:val="00722389"/>
    <w:rPr>
      <w:b/>
      <w:bCs/>
    </w:rPr>
  </w:style>
  <w:style w:type="character" w:styleId="SubtleReference">
    <w:name w:val="Subtle Reference"/>
    <w:basedOn w:val="DefaultParagraphFont"/>
    <w:uiPriority w:val="31"/>
    <w:rsid w:val="00722389"/>
    <w:rPr>
      <w:smallCaps/>
      <w:color w:val="5A5A5A"/>
    </w:rPr>
  </w:style>
  <w:style w:type="character" w:styleId="IntenseReference">
    <w:name w:val="Intense Reference"/>
    <w:basedOn w:val="DefaultParagraphFont"/>
    <w:uiPriority w:val="32"/>
    <w:rsid w:val="00722389"/>
    <w:rPr>
      <w:b/>
      <w:bCs/>
      <w:smallCaps/>
      <w:color w:val="5B9BD5" w:themeColor="accent1"/>
    </w:rPr>
  </w:style>
  <w:style w:type="character" w:styleId="BookTitle">
    <w:name w:val="Book Title"/>
    <w:basedOn w:val="DefaultParagraphFont"/>
    <w:uiPriority w:val="33"/>
    <w:rsid w:val="00722389"/>
    <w:rPr>
      <w:b/>
      <w:bCs/>
      <w:i/>
      <w:iCs/>
    </w:rPr>
  </w:style>
  <w:style w:type="character" w:customStyle="1" w:styleId="Heading1Char">
    <w:name w:val="Heading 1 Char"/>
    <w:basedOn w:val="DefaultParagraphFont"/>
    <w:uiPriority w:val="9"/>
    <w:rsid w:val="0072238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uiPriority w:val="9"/>
    <w:rsid w:val="0072238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uiPriority w:val="9"/>
    <w:rsid w:val="00722389"/>
    <w:rPr>
      <w:rFonts w:asciiTheme="majorHAnsi" w:eastAsiaTheme="majorEastAsia" w:hAnsiTheme="majorHAnsi" w:cstheme="majorBidi"/>
      <w:color w:val="1F4D78"/>
      <w:sz w:val="24"/>
      <w:szCs w:val="24"/>
    </w:rPr>
  </w:style>
  <w:style w:type="character" w:customStyle="1" w:styleId="Heading4Char">
    <w:name w:val="Heading 4 Char"/>
    <w:basedOn w:val="DefaultParagraphFont"/>
    <w:uiPriority w:val="9"/>
    <w:rsid w:val="0072238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uiPriority w:val="9"/>
    <w:rsid w:val="0072238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uiPriority w:val="9"/>
    <w:rsid w:val="00722389"/>
    <w:rPr>
      <w:rFonts w:asciiTheme="majorHAnsi" w:eastAsiaTheme="majorEastAsia" w:hAnsiTheme="majorHAnsi" w:cstheme="majorBidi"/>
      <w:color w:val="1F4D78"/>
    </w:rPr>
  </w:style>
  <w:style w:type="character" w:customStyle="1" w:styleId="Heading7Char">
    <w:name w:val="Heading 7 Char"/>
    <w:basedOn w:val="DefaultParagraphFont"/>
    <w:uiPriority w:val="9"/>
    <w:rsid w:val="00722389"/>
    <w:rPr>
      <w:rFonts w:asciiTheme="majorHAnsi" w:eastAsiaTheme="majorEastAsia" w:hAnsiTheme="majorHAnsi" w:cstheme="majorBidi"/>
      <w:i/>
      <w:iCs/>
      <w:color w:val="1F4D78"/>
    </w:rPr>
  </w:style>
  <w:style w:type="character" w:customStyle="1" w:styleId="Heading8Char">
    <w:name w:val="Heading 8 Char"/>
    <w:basedOn w:val="DefaultParagraphFont"/>
    <w:uiPriority w:val="9"/>
    <w:rsid w:val="00722389"/>
    <w:rPr>
      <w:rFonts w:asciiTheme="majorHAnsi" w:eastAsiaTheme="majorEastAsia" w:hAnsiTheme="majorHAnsi" w:cstheme="majorBidi"/>
      <w:color w:val="272727"/>
      <w:sz w:val="21"/>
      <w:szCs w:val="21"/>
    </w:rPr>
  </w:style>
  <w:style w:type="character" w:customStyle="1" w:styleId="Heading9Char">
    <w:name w:val="Heading 9 Char"/>
    <w:basedOn w:val="DefaultParagraphFont"/>
    <w:uiPriority w:val="9"/>
    <w:rsid w:val="00722389"/>
    <w:rPr>
      <w:rFonts w:asciiTheme="majorHAnsi" w:eastAsiaTheme="majorEastAsia" w:hAnsiTheme="majorHAnsi" w:cstheme="majorBidi"/>
      <w:i/>
      <w:iCs/>
      <w:color w:val="272727"/>
      <w:sz w:val="21"/>
      <w:szCs w:val="21"/>
    </w:rPr>
  </w:style>
  <w:style w:type="character" w:customStyle="1" w:styleId="TitleChar">
    <w:name w:val="Title Char"/>
    <w:basedOn w:val="DefaultParagraphFont"/>
    <w:link w:val="Title"/>
    <w:uiPriority w:val="10"/>
    <w:rsid w:val="00722389"/>
    <w:rPr>
      <w:b/>
      <w:bCs/>
      <w:sz w:val="32"/>
      <w:szCs w:val="24"/>
    </w:rPr>
  </w:style>
  <w:style w:type="character" w:customStyle="1" w:styleId="SubtitleChar">
    <w:name w:val="Subtitle Char"/>
    <w:basedOn w:val="DefaultParagraphFont"/>
    <w:uiPriority w:val="11"/>
    <w:rsid w:val="00722389"/>
    <w:rPr>
      <w:rFonts w:eastAsiaTheme="minorEastAsia"/>
      <w:color w:val="5A5A5A"/>
    </w:rPr>
  </w:style>
  <w:style w:type="character" w:customStyle="1" w:styleId="QuoteChar">
    <w:name w:val="Quote Char"/>
    <w:basedOn w:val="DefaultParagraphFont"/>
    <w:uiPriority w:val="29"/>
    <w:rsid w:val="00722389"/>
    <w:rPr>
      <w:i/>
      <w:iCs/>
      <w:color w:val="404040" w:themeColor="text1" w:themeTint="BF"/>
    </w:rPr>
  </w:style>
  <w:style w:type="character" w:customStyle="1" w:styleId="IntenseQuoteChar">
    <w:name w:val="Intense Quote Char"/>
    <w:basedOn w:val="DefaultParagraphFont"/>
    <w:uiPriority w:val="30"/>
    <w:rsid w:val="00722389"/>
    <w:rPr>
      <w:i/>
      <w:iCs/>
      <w:color w:val="5B9BD5" w:themeColor="accent1"/>
    </w:rPr>
  </w:style>
  <w:style w:type="character" w:customStyle="1" w:styleId="EndnoteTextChar">
    <w:name w:val="Endnote Text Char"/>
    <w:basedOn w:val="DefaultParagraphFont"/>
    <w:link w:val="EndnoteText"/>
    <w:uiPriority w:val="99"/>
    <w:semiHidden/>
    <w:rsid w:val="00722389"/>
  </w:style>
  <w:style w:type="character" w:customStyle="1" w:styleId="FootnoteTextChar">
    <w:name w:val="Footnote Text Char"/>
    <w:basedOn w:val="DefaultParagraphFont"/>
    <w:uiPriority w:val="99"/>
    <w:semiHidden/>
    <w:rsid w:val="0072238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customXml" Target="../customXml/item6.xml" /><Relationship Id="rId11" Type="http://schemas.openxmlformats.org/officeDocument/2006/relationships/footer" Target="footer1.xml" /><Relationship Id="rId12" Type="http://schemas.openxmlformats.org/officeDocument/2006/relationships/hyperlink" Target="https://pubmed.ncbi.nlm.nih.gov/33674334/" TargetMode="External" /><Relationship Id="rId13" Type="http://schemas.openxmlformats.org/officeDocument/2006/relationships/hyperlink" Target="https://pubmed.ncbi.nlm.nih.gov/39721728/"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2fb1b662-f59d-4b16-9d61-2106d813860a">VUADPPQRPPK6-1564171637-3101</_dlc_DocId>
    <_dlc_DocIdUrl xmlns="2fb1b662-f59d-4b16-9d61-2106d813860a">
      <Url>https://esp.cdc.gov/sites/ncipc/DUIP/hstsb/_layouts/15/DocIdRedir.aspx?ID=VUADPPQRPPK6-1564171637-3101</Url>
      <Description>VUADPPQRPPK6-1564171637-3101</Description>
    </_dlc_DocIdUrl>
    <lcf76f155ced4ddcb4097134ff3c332f xmlns="42a8a15d-a9de-4a09-b4c8-bd11423896de">
      <Terms xmlns="http://schemas.microsoft.com/office/infopath/2007/PartnerControls"/>
    </lcf76f155ced4ddcb4097134ff3c332f>
    <TaxCatchAll xmlns="2fb1b662-f59d-4b16-9d61-2106d813860a" xsi:nil="true"/>
  </documentManagement>
</p:properties>
</file>

<file path=customXml/item4.xml><?xml version="1.0" encoding="utf-8"?>
<?mso-contentType ?>
<spe:Receivers xmlns:spe="http://schemas.microsoft.com/sharepoint/event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00564D6DC0DFD44A1BDAB7ADC95F264" ma:contentTypeVersion="17" ma:contentTypeDescription="Create a new document." ma:contentTypeScope="" ma:versionID="7b5c5f03ec429f84cc3b7a4a32642638">
  <xsd:schema xmlns:xsd="http://www.w3.org/2001/XMLSchema" xmlns:xs="http://www.w3.org/2001/XMLSchema" xmlns:p="http://schemas.microsoft.com/office/2006/metadata/properties" xmlns:ns2="2fb1b662-f59d-4b16-9d61-2106d813860a" xmlns:ns3="42a8a15d-a9de-4a09-b4c8-bd11423896de" targetNamespace="http://schemas.microsoft.com/office/2006/metadata/properties" ma:root="true" ma:fieldsID="605cb2f46f208a3dcf6a8f037192c763" ns2:_="" ns3:_="">
    <xsd:import namespace="2fb1b662-f59d-4b16-9d61-2106d813860a"/>
    <xsd:import namespace="42a8a15d-a9de-4a09-b4c8-bd11423896d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ca539eb-778c-4452-9627-56035a4e8670}" ma:internalName="TaxCatchAll" ma:showField="CatchAllData" ma:web="2fb1b662-f59d-4b16-9d61-2106d81386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a8a15d-a9de-4a09-b4c8-bd11423896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45810-199B-47CE-A416-3CF60CF4E6E4}">
  <ds:schemaRefs>
    <ds:schemaRef ds:uri="http://schemas.microsoft.com/sharepoint/v3/contenttype/forms"/>
  </ds:schemaRefs>
</ds:datastoreItem>
</file>

<file path=customXml/itemProps2.xml><?xml version="1.0" encoding="utf-8"?>
<ds:datastoreItem xmlns:ds="http://schemas.openxmlformats.org/officeDocument/2006/customXml" ds:itemID="{E72F9D13-2B41-42BC-8F51-206C164C50AF}">
  <ds:schemaRefs>
    <ds:schemaRef ds:uri="http://schemas.openxmlformats.org/officeDocument/2006/bibliography"/>
  </ds:schemaRefs>
</ds:datastoreItem>
</file>

<file path=customXml/itemProps3.xml><?xml version="1.0" encoding="utf-8"?>
<ds:datastoreItem xmlns:ds="http://schemas.openxmlformats.org/officeDocument/2006/customXml" ds:itemID="{F087ED22-4BAC-4D33-9AFE-7014D4D4E1D8}">
  <ds:schemaRefs>
    <ds:schemaRef ds:uri="http://schemas.microsoft.com/office/2006/metadata/properties"/>
    <ds:schemaRef ds:uri="http://schemas.microsoft.com/office/infopath/2007/PartnerControls"/>
    <ds:schemaRef ds:uri="2fb1b662-f59d-4b16-9d61-2106d813860a"/>
    <ds:schemaRef ds:uri="42a8a15d-a9de-4a09-b4c8-bd11423896de"/>
  </ds:schemaRefs>
</ds:datastoreItem>
</file>

<file path=customXml/itemProps4.xml><?xml version="1.0" encoding="utf-8"?>
<ds:datastoreItem xmlns:ds="http://schemas.openxmlformats.org/officeDocument/2006/customXml" ds:itemID="{F0D0C08E-32A5-48C2-972C-FF27515D4252}">
  <ds:schemaRefs>
    <ds:schemaRef ds:uri="http://schemas.microsoft.com/sharepoint/events"/>
  </ds:schemaRefs>
</ds:datastoreItem>
</file>

<file path=customXml/itemProps5.xml><?xml version="1.0" encoding="utf-8"?>
<ds:datastoreItem xmlns:ds="http://schemas.openxmlformats.org/officeDocument/2006/customXml" ds:itemID="{450EDF9E-EF25-4CB3-8692-B90E82D729DA}">
  <ds:schemaRefs>
    <ds:schemaRef ds:uri="http://schemas.microsoft.com/office/2006/metadata/longProperties"/>
  </ds:schemaRefs>
</ds:datastoreItem>
</file>

<file path=customXml/itemProps6.xml><?xml version="1.0" encoding="utf-8"?>
<ds:datastoreItem xmlns:ds="http://schemas.openxmlformats.org/officeDocument/2006/customXml" ds:itemID="{DE014CD0-897C-463F-B263-A4AF889A2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1b662-f59d-4b16-9d61-2106d813860a"/>
    <ds:schemaRef ds:uri="42a8a15d-a9de-4a09-b4c8-bd1142389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12</Pages>
  <Words>4652</Words>
  <Characters>27436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B</vt:lpstr>
    </vt:vector>
  </TitlesOfParts>
  <Company>ITSO</Company>
  <LinksUpToDate>false</LinksUpToDate>
  <CharactersWithSpaces>32024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fmc7</dc:creator>
  <cp:lastModifiedBy>Halstead, Mary (CDC/NCIPC/OD)</cp:lastModifiedBy>
  <cp:revision>4</cp:revision>
  <cp:lastPrinted>2012-09-13T19:21:00Z</cp:lastPrinted>
  <dcterms:created xsi:type="dcterms:W3CDTF">2025-04-14T18:18:00Z</dcterms:created>
  <dcterms:modified xsi:type="dcterms:W3CDTF">2025-04-18T18:12:00Z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0x010100400564D6DC0DFD44A1BDAB7ADC95F264</vt:lpwstr>
  </property>
  <property fmtid="{D5CDD505-2E9C-101B-9397-08002B2CF9AE}" pid="3" name="MediaServiceImageTags">
    <vt:lpwstr/>
  </property>
  <property fmtid="{D5CDD505-2E9C-101B-9397-08002B2CF9AE}" pid="4" name="MSIP_Label_7b94a7b8-f06c-4dfe-bdcc-9b548fd58c31_ActionId">
    <vt:lpwstr>464bbe47-b1b2-455e-83c2-bc7ca722797a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2021-02-22T14:53:02Z</vt:lpwstr>
  </property>
  <property fmtid="{D5CDD505-2E9C-101B-9397-08002B2CF9AE}" pid="10" name="MSIP_Label_7b94a7b8-f06c-4dfe-bdcc-9b548fd58c31_SiteId">
    <vt:lpwstr>9ce70869-60db-44fd-abe8-d2767077fc8f</vt:lpwstr>
  </property>
  <property fmtid="{D5CDD505-2E9C-101B-9397-08002B2CF9AE}" pid="11" name="_dlc_DocId">
    <vt:lpwstr>VUADPPQRPPK6-1564171637-1833</vt:lpwstr>
  </property>
  <property fmtid="{D5CDD505-2E9C-101B-9397-08002B2CF9AE}" pid="12" name="_dlc_DocIdItemGuid">
    <vt:lpwstr>0c2f7ba7-7406-4807-acc3-f252624bc61f</vt:lpwstr>
  </property>
  <property fmtid="{D5CDD505-2E9C-101B-9397-08002B2CF9AE}" pid="13" name="_dlc_DocIdUrl">
    <vt:lpwstr>https://esp.cdc.gov/sites/ncipc/DUIP/hstsb/_layouts/15/DocIdRedir.aspx?ID=VUADPPQRPPK6-1564171637-1833, VUADPPQRPPK6-1564171637-1833</vt:lpwstr>
  </property>
</Properties>
</file>