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E0FFE" w:rsidRPr="008915D9" w:rsidP="00873BFC" w14:paraId="4DF07D8A" w14:textId="77777777">
      <w:pPr>
        <w:rPr>
          <w:b/>
          <w:sz w:val="22"/>
          <w:szCs w:val="22"/>
        </w:rPr>
      </w:pPr>
    </w:p>
    <w:p w:rsidR="003E0FFE" w:rsidRPr="008915D9" w:rsidP="00140D7A" w14:paraId="1E0D0415" w14:textId="77777777">
      <w:pPr>
        <w:jc w:val="center"/>
        <w:rPr>
          <w:b/>
          <w:sz w:val="22"/>
          <w:szCs w:val="22"/>
        </w:rPr>
      </w:pPr>
      <w:r w:rsidRPr="008915D9">
        <w:rPr>
          <w:b/>
          <w:sz w:val="22"/>
          <w:szCs w:val="22"/>
        </w:rPr>
        <w:t>Supporting Statement Part A</w:t>
      </w:r>
    </w:p>
    <w:p w:rsidR="003E0FFE" w:rsidRPr="008915D9" w:rsidP="00140D7A" w14:paraId="74625126" w14:textId="77777777">
      <w:pPr>
        <w:jc w:val="center"/>
        <w:rPr>
          <w:b/>
          <w:sz w:val="22"/>
          <w:szCs w:val="22"/>
        </w:rPr>
      </w:pPr>
    </w:p>
    <w:p w:rsidR="003E0FFE" w:rsidRPr="008915D9" w:rsidP="00140D7A" w14:paraId="7AD00F7E" w14:textId="77777777">
      <w:pPr>
        <w:jc w:val="center"/>
        <w:rPr>
          <w:b/>
          <w:sz w:val="22"/>
          <w:szCs w:val="22"/>
        </w:rPr>
      </w:pPr>
    </w:p>
    <w:p w:rsidR="003E0FFE" w:rsidRPr="008915D9" w:rsidP="00140D7A" w14:paraId="1AEF5C2C" w14:textId="77777777">
      <w:pPr>
        <w:jc w:val="center"/>
        <w:rPr>
          <w:b/>
          <w:sz w:val="22"/>
          <w:szCs w:val="22"/>
        </w:rPr>
      </w:pPr>
    </w:p>
    <w:p w:rsidR="003E0FFE" w:rsidRPr="008915D9" w:rsidP="00140D7A" w14:paraId="6BAFC026" w14:textId="77777777">
      <w:pPr>
        <w:jc w:val="center"/>
        <w:rPr>
          <w:b/>
          <w:sz w:val="22"/>
          <w:szCs w:val="22"/>
        </w:rPr>
      </w:pPr>
      <w:bookmarkStart w:id="0" w:name="_Hlk183090825"/>
      <w:r w:rsidRPr="008915D9">
        <w:rPr>
          <w:b/>
          <w:sz w:val="22"/>
          <w:szCs w:val="22"/>
        </w:rPr>
        <w:t>Documenting outcomes associated with persistent tic disorders (including Tourette syndrome) in children, adolescents, and young adults through surveillance</w:t>
      </w:r>
      <w:bookmarkEnd w:id="0"/>
    </w:p>
    <w:p w:rsidR="003E0FFE" w:rsidRPr="008915D9" w:rsidP="00140D7A" w14:paraId="506B6C89" w14:textId="77777777">
      <w:pPr>
        <w:jc w:val="center"/>
        <w:rPr>
          <w:b/>
          <w:sz w:val="22"/>
          <w:szCs w:val="22"/>
        </w:rPr>
      </w:pPr>
    </w:p>
    <w:p w:rsidR="003E0FFE" w:rsidRPr="008915D9" w:rsidP="00140D7A" w14:paraId="442FB1FD" w14:textId="77777777">
      <w:pPr>
        <w:jc w:val="center"/>
        <w:rPr>
          <w:b/>
          <w:sz w:val="22"/>
          <w:szCs w:val="22"/>
        </w:rPr>
      </w:pPr>
    </w:p>
    <w:p w:rsidR="003E0FFE" w:rsidRPr="008915D9" w:rsidP="00140D7A" w14:paraId="74CC182A" w14:textId="77777777">
      <w:pPr>
        <w:jc w:val="center"/>
        <w:rPr>
          <w:b/>
          <w:sz w:val="22"/>
          <w:szCs w:val="22"/>
        </w:rPr>
      </w:pPr>
    </w:p>
    <w:p w:rsidR="003E0FFE" w:rsidRPr="008915D9" w:rsidP="00140D7A" w14:paraId="54C7FA9E" w14:textId="77777777">
      <w:pPr>
        <w:jc w:val="center"/>
        <w:rPr>
          <w:b/>
          <w:sz w:val="22"/>
          <w:szCs w:val="22"/>
        </w:rPr>
      </w:pPr>
    </w:p>
    <w:p w:rsidR="003E0FFE" w:rsidRPr="008915D9" w:rsidP="00140D7A" w14:paraId="16E666E1" w14:textId="77777777">
      <w:pPr>
        <w:jc w:val="center"/>
        <w:rPr>
          <w:b/>
          <w:sz w:val="22"/>
          <w:szCs w:val="22"/>
        </w:rPr>
      </w:pPr>
    </w:p>
    <w:p w:rsidR="003E0FFE" w:rsidRPr="008915D9" w:rsidP="00140D7A" w14:paraId="2005734C" w14:textId="77777777">
      <w:pPr>
        <w:jc w:val="center"/>
        <w:rPr>
          <w:b/>
          <w:sz w:val="22"/>
          <w:szCs w:val="22"/>
        </w:rPr>
      </w:pPr>
      <w:r w:rsidRPr="008915D9">
        <w:rPr>
          <w:b/>
          <w:sz w:val="22"/>
          <w:szCs w:val="22"/>
        </w:rPr>
        <w:t>New</w:t>
      </w:r>
    </w:p>
    <w:p w:rsidR="003E0FFE" w:rsidRPr="008915D9" w:rsidP="00140D7A" w14:paraId="0C24EEDF" w14:textId="77777777">
      <w:pPr>
        <w:jc w:val="center"/>
        <w:rPr>
          <w:b/>
          <w:sz w:val="22"/>
          <w:szCs w:val="22"/>
        </w:rPr>
      </w:pPr>
    </w:p>
    <w:p w:rsidR="003E0FFE" w:rsidRPr="008915D9" w:rsidP="00140D7A" w14:paraId="7FECA6B1" w14:textId="77777777">
      <w:pPr>
        <w:jc w:val="center"/>
        <w:rPr>
          <w:b/>
          <w:sz w:val="22"/>
          <w:szCs w:val="22"/>
        </w:rPr>
      </w:pPr>
    </w:p>
    <w:p w:rsidR="003E0FFE" w:rsidRPr="008915D9" w:rsidP="00B6712C" w14:paraId="34C3D1A8" w14:textId="77777777">
      <w:pPr>
        <w:jc w:val="center"/>
        <w:rPr>
          <w:b/>
          <w:sz w:val="22"/>
          <w:szCs w:val="22"/>
        </w:rPr>
      </w:pPr>
    </w:p>
    <w:p w:rsidR="003E0FFE" w:rsidRPr="008915D9" w:rsidP="3984E99C" w14:paraId="574EEF86" w14:textId="77777777">
      <w:pPr>
        <w:jc w:val="center"/>
        <w:rPr>
          <w:b/>
          <w:bCs/>
          <w:sz w:val="22"/>
          <w:szCs w:val="22"/>
        </w:rPr>
      </w:pPr>
    </w:p>
    <w:p w:rsidR="003E0FFE" w:rsidRPr="008915D9" w:rsidP="00B6712C" w14:paraId="0A47CB30" w14:textId="77777777">
      <w:pPr>
        <w:jc w:val="center"/>
        <w:rPr>
          <w:b/>
          <w:bCs/>
          <w:noProof/>
          <w:sz w:val="22"/>
          <w:szCs w:val="22"/>
        </w:rPr>
        <w:sectPr w:rsidSect="003E0FFE">
          <w:footerReference w:type="default" r:id="rId4"/>
          <w:pgSz w:w="12240" w:h="15840"/>
          <w:pgMar w:top="1440" w:right="1440" w:bottom="1440" w:left="1440" w:header="720" w:footer="720" w:gutter="0"/>
          <w:cols w:space="720"/>
          <w:docGrid w:linePitch="360"/>
        </w:sectPr>
      </w:pPr>
    </w:p>
    <w:p w:rsidR="003E0FFE" w:rsidRPr="008915D9" w:rsidP="00B6712C" w14:paraId="7F4AAC4D" w14:textId="77777777">
      <w:pPr>
        <w:jc w:val="center"/>
        <w:rPr>
          <w:b/>
          <w:bCs/>
          <w:noProof/>
          <w:sz w:val="22"/>
          <w:szCs w:val="22"/>
        </w:rPr>
      </w:pPr>
      <w:r w:rsidRPr="008915D9">
        <w:rPr>
          <w:b/>
          <w:bCs/>
          <w:noProof/>
          <w:sz w:val="22"/>
          <w:szCs w:val="22"/>
        </w:rPr>
        <w:t>Rebecca Bitsko, PhD</w:t>
      </w:r>
    </w:p>
    <w:p w:rsidR="003E0FFE" w:rsidRPr="008915D9" w:rsidP="00B6712C" w14:paraId="6EC10B31" w14:textId="77777777">
      <w:pPr>
        <w:jc w:val="center"/>
        <w:rPr>
          <w:noProof/>
          <w:sz w:val="22"/>
          <w:szCs w:val="22"/>
        </w:rPr>
      </w:pPr>
      <w:r w:rsidRPr="008915D9">
        <w:rPr>
          <w:noProof/>
          <w:sz w:val="22"/>
          <w:szCs w:val="22"/>
        </w:rPr>
        <w:t>Health Scientist</w:t>
      </w:r>
    </w:p>
    <w:p w:rsidR="003E0FFE" w:rsidRPr="008915D9" w:rsidP="00B6712C" w14:paraId="7ED75580" w14:textId="77777777">
      <w:pPr>
        <w:jc w:val="center"/>
        <w:rPr>
          <w:noProof/>
          <w:sz w:val="22"/>
          <w:szCs w:val="22"/>
        </w:rPr>
      </w:pPr>
      <w:r w:rsidRPr="008915D9">
        <w:rPr>
          <w:noProof/>
          <w:sz w:val="22"/>
          <w:szCs w:val="22"/>
        </w:rPr>
        <w:t>Centers for Disease Control and Prevention</w:t>
      </w:r>
    </w:p>
    <w:p w:rsidR="003E0FFE" w:rsidRPr="008915D9" w:rsidP="00B6712C" w14:paraId="25F815B3" w14:textId="2609BD2F">
      <w:pPr>
        <w:jc w:val="center"/>
        <w:rPr>
          <w:noProof/>
          <w:sz w:val="22"/>
          <w:szCs w:val="22"/>
        </w:rPr>
      </w:pPr>
      <w:r w:rsidRPr="008915D9">
        <w:rPr>
          <w:noProof/>
          <w:sz w:val="22"/>
          <w:szCs w:val="22"/>
        </w:rPr>
        <w:t xml:space="preserve">Email: </w:t>
      </w:r>
      <w:r w:rsidRPr="00545F3C">
        <w:rPr>
          <w:noProof/>
          <w:sz w:val="22"/>
          <w:szCs w:val="22"/>
        </w:rPr>
        <w:t>dvk2@cdc.gov</w:t>
      </w:r>
    </w:p>
    <w:p w:rsidR="003E0FFE" w:rsidRPr="008915D9" w:rsidP="00B6712C" w14:paraId="396533CB" w14:textId="77777777">
      <w:pPr>
        <w:jc w:val="center"/>
        <w:rPr>
          <w:noProof/>
          <w:sz w:val="22"/>
          <w:szCs w:val="22"/>
        </w:rPr>
      </w:pPr>
      <w:r w:rsidRPr="008915D9">
        <w:rPr>
          <w:noProof/>
          <w:sz w:val="22"/>
          <w:szCs w:val="22"/>
        </w:rPr>
        <w:t>Phone: 404.498.3556</w:t>
      </w:r>
    </w:p>
    <w:p w:rsidR="003E0FFE" w:rsidRPr="008915D9" w:rsidP="00B6712C" w14:paraId="7A80BC53" w14:textId="77777777">
      <w:pPr>
        <w:jc w:val="center"/>
        <w:rPr>
          <w:noProof/>
          <w:sz w:val="22"/>
          <w:szCs w:val="22"/>
        </w:rPr>
      </w:pPr>
    </w:p>
    <w:p w:rsidR="003E0FFE" w:rsidRPr="008915D9" w:rsidP="00B6712C" w14:paraId="37C5A43B" w14:textId="77777777">
      <w:pPr>
        <w:jc w:val="center"/>
        <w:rPr>
          <w:noProof/>
          <w:sz w:val="22"/>
          <w:szCs w:val="22"/>
        </w:rPr>
      </w:pPr>
    </w:p>
    <w:p w:rsidR="003E0FFE" w:rsidRPr="008915D9" w:rsidP="00B6712C" w14:paraId="343A2A73" w14:textId="77777777">
      <w:pPr>
        <w:jc w:val="center"/>
        <w:rPr>
          <w:noProof/>
          <w:sz w:val="22"/>
          <w:szCs w:val="22"/>
        </w:rPr>
      </w:pPr>
    </w:p>
    <w:p w:rsidR="003E0FFE" w:rsidRPr="008915D9" w:rsidP="00B6712C" w14:paraId="367B4E67" w14:textId="77777777">
      <w:pPr>
        <w:ind w:hanging="630"/>
        <w:jc w:val="center"/>
        <w:rPr>
          <w:noProof/>
          <w:sz w:val="22"/>
          <w:szCs w:val="22"/>
        </w:rPr>
      </w:pPr>
      <w:r w:rsidRPr="008915D9">
        <w:rPr>
          <w:noProof/>
          <w:sz w:val="22"/>
          <w:szCs w:val="22"/>
        </w:rPr>
        <w:t>and</w:t>
      </w:r>
    </w:p>
    <w:p w:rsidR="003E0FFE" w:rsidRPr="008915D9" w:rsidP="00B6712C" w14:paraId="337B89FA" w14:textId="77777777">
      <w:pPr>
        <w:jc w:val="center"/>
        <w:rPr>
          <w:noProof/>
          <w:sz w:val="22"/>
          <w:szCs w:val="22"/>
        </w:rPr>
      </w:pPr>
    </w:p>
    <w:p w:rsidR="003E0FFE" w:rsidRPr="008915D9" w:rsidP="00B6712C" w14:paraId="25691D61" w14:textId="77777777">
      <w:pPr>
        <w:jc w:val="center"/>
        <w:rPr>
          <w:b/>
          <w:sz w:val="22"/>
          <w:szCs w:val="22"/>
        </w:rPr>
      </w:pPr>
    </w:p>
    <w:p w:rsidR="003E0FFE" w:rsidRPr="008915D9" w:rsidP="00B6712C" w14:paraId="4C98D8BF" w14:textId="77777777">
      <w:pPr>
        <w:jc w:val="center"/>
        <w:rPr>
          <w:b/>
          <w:sz w:val="22"/>
          <w:szCs w:val="22"/>
        </w:rPr>
      </w:pPr>
    </w:p>
    <w:p w:rsidR="003E0FFE" w:rsidRPr="008915D9" w:rsidP="00B6712C" w14:paraId="1EBFEE4E" w14:textId="77777777">
      <w:pPr>
        <w:jc w:val="center"/>
        <w:rPr>
          <w:b/>
          <w:sz w:val="22"/>
          <w:szCs w:val="22"/>
        </w:rPr>
      </w:pPr>
      <w:r w:rsidRPr="008915D9">
        <w:rPr>
          <w:b/>
          <w:sz w:val="22"/>
          <w:szCs w:val="22"/>
        </w:rPr>
        <w:t>Lara Robinson, MPH, PhD</w:t>
      </w:r>
    </w:p>
    <w:p w:rsidR="003E0FFE" w:rsidRPr="008915D9" w:rsidP="00B6712C" w14:paraId="4425F4C9" w14:textId="77777777">
      <w:pPr>
        <w:tabs>
          <w:tab w:val="left" w:pos="3600"/>
        </w:tabs>
        <w:jc w:val="center"/>
        <w:rPr>
          <w:sz w:val="22"/>
          <w:szCs w:val="22"/>
        </w:rPr>
      </w:pPr>
      <w:r w:rsidRPr="008915D9">
        <w:rPr>
          <w:sz w:val="22"/>
          <w:szCs w:val="22"/>
        </w:rPr>
        <w:t>Team Lead</w:t>
      </w:r>
    </w:p>
    <w:p w:rsidR="003E0FFE" w:rsidRPr="008915D9" w:rsidP="00B6712C" w14:paraId="7F2CA3AC" w14:textId="77777777">
      <w:pPr>
        <w:jc w:val="center"/>
        <w:rPr>
          <w:sz w:val="22"/>
          <w:szCs w:val="22"/>
        </w:rPr>
      </w:pPr>
      <w:r w:rsidRPr="008915D9">
        <w:rPr>
          <w:sz w:val="22"/>
          <w:szCs w:val="22"/>
        </w:rPr>
        <w:t>Centers for Disease Control and Prevention</w:t>
      </w:r>
    </w:p>
    <w:p w:rsidR="003E0FFE" w:rsidRPr="008915D9" w:rsidP="00B6712C" w14:paraId="6E9009D3" w14:textId="77777777">
      <w:pPr>
        <w:jc w:val="center"/>
        <w:rPr>
          <w:sz w:val="22"/>
          <w:szCs w:val="22"/>
        </w:rPr>
      </w:pPr>
      <w:r w:rsidRPr="008915D9">
        <w:rPr>
          <w:sz w:val="22"/>
          <w:szCs w:val="22"/>
        </w:rPr>
        <w:t>Email: lpr0@cdc.gov</w:t>
      </w:r>
    </w:p>
    <w:p w:rsidR="003E0FFE" w:rsidRPr="008915D9" w:rsidP="00B6712C" w14:paraId="26D5C5BC" w14:textId="77777777">
      <w:pPr>
        <w:jc w:val="center"/>
        <w:rPr>
          <w:sz w:val="22"/>
          <w:szCs w:val="22"/>
        </w:rPr>
      </w:pPr>
      <w:r w:rsidRPr="008915D9">
        <w:rPr>
          <w:sz w:val="22"/>
          <w:szCs w:val="22"/>
        </w:rPr>
        <w:t>Phone: 404.498.3822</w:t>
      </w:r>
    </w:p>
    <w:p w:rsidR="003E0FFE" w:rsidRPr="008915D9" w:rsidP="00140D7A" w14:paraId="720F8E4B" w14:textId="77777777">
      <w:pPr>
        <w:jc w:val="center"/>
        <w:rPr>
          <w:b/>
          <w:sz w:val="22"/>
          <w:szCs w:val="22"/>
        </w:rPr>
        <w:sectPr w:rsidSect="003E0FFE">
          <w:type w:val="continuous"/>
          <w:pgSz w:w="12240" w:h="15840"/>
          <w:pgMar w:top="1440" w:right="990" w:bottom="1440" w:left="1440" w:header="720" w:footer="720" w:gutter="0"/>
          <w:cols w:num="3" w:space="759" w:equalWidth="0">
            <w:col w:w="4176"/>
            <w:col w:w="1037"/>
            <w:col w:w="4147"/>
          </w:cols>
          <w:docGrid w:linePitch="360"/>
        </w:sectPr>
      </w:pPr>
    </w:p>
    <w:p w:rsidR="003E0FFE" w:rsidRPr="008915D9" w:rsidP="00140D7A" w14:paraId="59D2BAA5" w14:textId="77777777">
      <w:pPr>
        <w:jc w:val="center"/>
        <w:rPr>
          <w:b/>
          <w:sz w:val="22"/>
          <w:szCs w:val="22"/>
        </w:rPr>
      </w:pPr>
    </w:p>
    <w:p w:rsidR="003E0FFE" w:rsidRPr="008915D9" w:rsidP="00140D7A" w14:paraId="044F3F43" w14:textId="77777777">
      <w:pPr>
        <w:jc w:val="center"/>
        <w:rPr>
          <w:b/>
          <w:sz w:val="22"/>
          <w:szCs w:val="22"/>
        </w:rPr>
      </w:pPr>
    </w:p>
    <w:p w:rsidR="003E0FFE" w:rsidRPr="008915D9" w:rsidP="00140D7A" w14:paraId="6F3A8F5B" w14:textId="77777777">
      <w:pPr>
        <w:jc w:val="center"/>
        <w:rPr>
          <w:b/>
          <w:sz w:val="22"/>
          <w:szCs w:val="22"/>
        </w:rPr>
      </w:pPr>
    </w:p>
    <w:p w:rsidR="003E0FFE" w:rsidRPr="008915D9" w:rsidP="00140D7A" w14:paraId="349A81BB" w14:textId="77777777">
      <w:pPr>
        <w:jc w:val="center"/>
        <w:rPr>
          <w:b/>
          <w:sz w:val="22"/>
          <w:szCs w:val="22"/>
        </w:rPr>
      </w:pPr>
    </w:p>
    <w:p w:rsidR="003E0FFE" w:rsidRPr="008915D9" w:rsidP="00140D7A" w14:paraId="266FBD86" w14:textId="77777777">
      <w:pPr>
        <w:jc w:val="center"/>
        <w:rPr>
          <w:b/>
          <w:sz w:val="22"/>
          <w:szCs w:val="22"/>
        </w:rPr>
      </w:pPr>
    </w:p>
    <w:p w:rsidR="003E0FFE" w:rsidRPr="008915D9" w:rsidP="00140D7A" w14:paraId="27C6884F" w14:textId="77777777">
      <w:pPr>
        <w:jc w:val="center"/>
        <w:rPr>
          <w:b/>
          <w:sz w:val="22"/>
          <w:szCs w:val="22"/>
        </w:rPr>
      </w:pPr>
    </w:p>
    <w:p w:rsidR="003E0FFE" w:rsidRPr="008915D9" w:rsidP="00140D7A" w14:paraId="0668153F" w14:textId="77777777">
      <w:pPr>
        <w:jc w:val="center"/>
        <w:rPr>
          <w:b/>
          <w:sz w:val="22"/>
          <w:szCs w:val="22"/>
        </w:rPr>
      </w:pPr>
    </w:p>
    <w:p w:rsidR="003E0FFE" w:rsidRPr="008915D9" w:rsidP="00140D7A" w14:paraId="6203BD7E" w14:textId="77777777">
      <w:pPr>
        <w:jc w:val="center"/>
        <w:rPr>
          <w:b/>
          <w:sz w:val="22"/>
          <w:szCs w:val="22"/>
        </w:rPr>
      </w:pPr>
    </w:p>
    <w:p w:rsidR="003E0FFE" w:rsidRPr="008915D9" w:rsidP="00140D7A" w14:paraId="44898009" w14:textId="77777777">
      <w:pPr>
        <w:jc w:val="center"/>
        <w:rPr>
          <w:b/>
          <w:sz w:val="22"/>
          <w:szCs w:val="22"/>
        </w:rPr>
      </w:pPr>
    </w:p>
    <w:p w:rsidR="003E0FFE" w:rsidRPr="008915D9" w:rsidP="00140D7A" w14:paraId="6A01BD5F" w14:textId="77777777">
      <w:pPr>
        <w:jc w:val="center"/>
        <w:rPr>
          <w:b/>
          <w:sz w:val="22"/>
          <w:szCs w:val="22"/>
        </w:rPr>
      </w:pPr>
    </w:p>
    <w:p w:rsidR="003E0FFE" w:rsidRPr="008915D9" w:rsidP="00140D7A" w14:paraId="5FCAD920" w14:textId="77777777">
      <w:pPr>
        <w:jc w:val="center"/>
        <w:rPr>
          <w:b/>
          <w:sz w:val="22"/>
          <w:szCs w:val="22"/>
        </w:rPr>
      </w:pPr>
    </w:p>
    <w:p w:rsidR="003E0FFE" w:rsidRPr="008915D9" w:rsidP="00140D7A" w14:paraId="03F884E2" w14:textId="7AA01DC4">
      <w:pPr>
        <w:jc w:val="center"/>
        <w:rPr>
          <w:bCs/>
          <w:sz w:val="22"/>
          <w:szCs w:val="22"/>
        </w:rPr>
      </w:pPr>
      <w:r w:rsidRPr="008915D9">
        <w:rPr>
          <w:bCs/>
          <w:sz w:val="22"/>
          <w:szCs w:val="22"/>
        </w:rPr>
        <w:fldChar w:fldCharType="begin"/>
      </w:r>
      <w:r w:rsidRPr="008915D9">
        <w:rPr>
          <w:bCs/>
          <w:sz w:val="22"/>
          <w:szCs w:val="22"/>
        </w:rPr>
        <w:instrText xml:space="preserve"> DATE \@ "MMMM d, yyyy" </w:instrText>
      </w:r>
      <w:r w:rsidRPr="008915D9">
        <w:rPr>
          <w:bCs/>
          <w:sz w:val="22"/>
          <w:szCs w:val="22"/>
        </w:rPr>
        <w:fldChar w:fldCharType="separate"/>
      </w:r>
      <w:r w:rsidR="00C47561">
        <w:rPr>
          <w:bCs/>
          <w:noProof/>
          <w:sz w:val="22"/>
          <w:szCs w:val="22"/>
        </w:rPr>
        <w:t>March 10, 2025</w:t>
      </w:r>
      <w:r w:rsidRPr="008915D9">
        <w:rPr>
          <w:bCs/>
          <w:sz w:val="22"/>
          <w:szCs w:val="22"/>
        </w:rPr>
        <w:fldChar w:fldCharType="end"/>
      </w:r>
      <w:r w:rsidRPr="008915D9">
        <w:rPr>
          <w:bCs/>
          <w:sz w:val="22"/>
          <w:szCs w:val="22"/>
        </w:rPr>
        <w:br w:type="page"/>
      </w:r>
    </w:p>
    <w:sdt>
      <w:sdtPr>
        <w:rPr>
          <w:rFonts w:ascii="Times New Roman" w:eastAsia="Times New Roman" w:hAnsi="Times New Roman" w:cs="Times New Roman"/>
          <w:color w:val="auto"/>
          <w:sz w:val="22"/>
          <w:szCs w:val="22"/>
        </w:rPr>
        <w:id w:val="-846248286"/>
        <w:docPartObj>
          <w:docPartGallery w:val="Table of Contents"/>
          <w:docPartUnique/>
        </w:docPartObj>
      </w:sdtPr>
      <w:sdtEndPr>
        <w:rPr>
          <w:b/>
          <w:bCs/>
          <w:noProof/>
        </w:rPr>
      </w:sdtEndPr>
      <w:sdtContent>
        <w:p w:rsidR="003E0FFE" w:rsidRPr="008915D9" w14:paraId="700E86EC" w14:textId="77777777">
          <w:pPr>
            <w:pStyle w:val="TOCHeading"/>
            <w:rPr>
              <w:rFonts w:ascii="Times New Roman" w:hAnsi="Times New Roman" w:cs="Times New Roman"/>
              <w:b/>
              <w:bCs/>
              <w:color w:val="auto"/>
              <w:sz w:val="22"/>
              <w:szCs w:val="22"/>
            </w:rPr>
          </w:pPr>
          <w:r w:rsidRPr="008915D9">
            <w:rPr>
              <w:rFonts w:ascii="Times New Roman" w:hAnsi="Times New Roman" w:cs="Times New Roman"/>
              <w:b/>
              <w:bCs/>
              <w:color w:val="auto"/>
              <w:sz w:val="22"/>
              <w:szCs w:val="22"/>
            </w:rPr>
            <w:t>Table of Contents</w:t>
          </w:r>
        </w:p>
        <w:p w:rsidR="003E0FFE" w:rsidRPr="008915D9" w14:paraId="785B0E1B" w14:textId="77777777">
          <w:pPr>
            <w:pStyle w:val="TOC1"/>
            <w:tabs>
              <w:tab w:val="right" w:leader="dot" w:pos="9350"/>
            </w:tabs>
            <w:rPr>
              <w:rFonts w:eastAsiaTheme="minorEastAsia"/>
              <w:noProof/>
              <w:sz w:val="22"/>
              <w:szCs w:val="22"/>
            </w:rPr>
          </w:pPr>
          <w:r w:rsidRPr="008915D9">
            <w:rPr>
              <w:b/>
              <w:bCs/>
              <w:i/>
              <w:iCs/>
              <w:sz w:val="22"/>
              <w:szCs w:val="22"/>
            </w:rPr>
            <w:fldChar w:fldCharType="begin"/>
          </w:r>
          <w:r w:rsidRPr="008915D9">
            <w:rPr>
              <w:b/>
              <w:bCs/>
              <w:i/>
              <w:iCs/>
              <w:sz w:val="22"/>
              <w:szCs w:val="22"/>
            </w:rPr>
            <w:instrText xml:space="preserve"> TOC \o "1-3" \h \z \u </w:instrText>
          </w:r>
          <w:r w:rsidRPr="008915D9">
            <w:rPr>
              <w:b/>
              <w:bCs/>
              <w:i/>
              <w:iCs/>
              <w:sz w:val="22"/>
              <w:szCs w:val="22"/>
            </w:rPr>
            <w:fldChar w:fldCharType="separate"/>
          </w:r>
          <w:hyperlink w:anchor="_Toc106703804" w:history="1">
            <w:r w:rsidRPr="008915D9">
              <w:rPr>
                <w:rStyle w:val="Hyperlink"/>
                <w:noProof/>
                <w:sz w:val="22"/>
                <w:szCs w:val="22"/>
              </w:rPr>
              <w:t>Section A.1. Circumstances Making the Collection of Information Necessary</w:t>
            </w:r>
            <w:r w:rsidRPr="008915D9">
              <w:rPr>
                <w:noProof/>
                <w:webHidden/>
                <w:sz w:val="22"/>
                <w:szCs w:val="22"/>
              </w:rPr>
              <w:tab/>
            </w:r>
            <w:r w:rsidRPr="008915D9">
              <w:rPr>
                <w:noProof/>
                <w:webHidden/>
                <w:sz w:val="22"/>
                <w:szCs w:val="22"/>
              </w:rPr>
              <w:fldChar w:fldCharType="begin"/>
            </w:r>
            <w:r w:rsidRPr="008915D9">
              <w:rPr>
                <w:noProof/>
                <w:webHidden/>
                <w:sz w:val="22"/>
                <w:szCs w:val="22"/>
              </w:rPr>
              <w:instrText xml:space="preserve"> PAGEREF _Toc106703804 \h </w:instrText>
            </w:r>
            <w:r w:rsidRPr="008915D9">
              <w:rPr>
                <w:noProof/>
                <w:webHidden/>
                <w:sz w:val="22"/>
                <w:szCs w:val="22"/>
              </w:rPr>
              <w:fldChar w:fldCharType="separate"/>
            </w:r>
            <w:r>
              <w:rPr>
                <w:noProof/>
                <w:webHidden/>
                <w:sz w:val="22"/>
                <w:szCs w:val="22"/>
              </w:rPr>
              <w:t>4</w:t>
            </w:r>
            <w:r w:rsidRPr="008915D9">
              <w:rPr>
                <w:noProof/>
                <w:webHidden/>
                <w:sz w:val="22"/>
                <w:szCs w:val="22"/>
              </w:rPr>
              <w:fldChar w:fldCharType="end"/>
            </w:r>
          </w:hyperlink>
        </w:p>
        <w:p w:rsidR="003E0FFE" w:rsidRPr="008915D9" w14:paraId="5839241C" w14:textId="77777777">
          <w:pPr>
            <w:pStyle w:val="TOC1"/>
            <w:tabs>
              <w:tab w:val="right" w:leader="dot" w:pos="9350"/>
            </w:tabs>
            <w:rPr>
              <w:rFonts w:eastAsiaTheme="minorEastAsia"/>
              <w:noProof/>
              <w:sz w:val="22"/>
              <w:szCs w:val="22"/>
            </w:rPr>
          </w:pPr>
          <w:hyperlink w:anchor="_Toc106703805" w:history="1">
            <w:r w:rsidRPr="008915D9">
              <w:rPr>
                <w:rStyle w:val="Hyperlink"/>
                <w:noProof/>
                <w:sz w:val="22"/>
                <w:szCs w:val="22"/>
              </w:rPr>
              <w:t>Section A.2. Purpose and Use of Information Collection</w:t>
            </w:r>
            <w:r w:rsidRPr="008915D9">
              <w:rPr>
                <w:noProof/>
                <w:webHidden/>
                <w:sz w:val="22"/>
                <w:szCs w:val="22"/>
              </w:rPr>
              <w:tab/>
            </w:r>
            <w:r w:rsidRPr="008915D9">
              <w:rPr>
                <w:noProof/>
                <w:webHidden/>
                <w:sz w:val="22"/>
                <w:szCs w:val="22"/>
              </w:rPr>
              <w:fldChar w:fldCharType="begin"/>
            </w:r>
            <w:r w:rsidRPr="008915D9">
              <w:rPr>
                <w:noProof/>
                <w:webHidden/>
                <w:sz w:val="22"/>
                <w:szCs w:val="22"/>
              </w:rPr>
              <w:instrText xml:space="preserve"> PAGEREF _Toc106703805 \h </w:instrText>
            </w:r>
            <w:r w:rsidRPr="008915D9">
              <w:rPr>
                <w:noProof/>
                <w:webHidden/>
                <w:sz w:val="22"/>
                <w:szCs w:val="22"/>
              </w:rPr>
              <w:fldChar w:fldCharType="separate"/>
            </w:r>
            <w:r>
              <w:rPr>
                <w:noProof/>
                <w:webHidden/>
                <w:sz w:val="22"/>
                <w:szCs w:val="22"/>
              </w:rPr>
              <w:t>5</w:t>
            </w:r>
            <w:r w:rsidRPr="008915D9">
              <w:rPr>
                <w:noProof/>
                <w:webHidden/>
                <w:sz w:val="22"/>
                <w:szCs w:val="22"/>
              </w:rPr>
              <w:fldChar w:fldCharType="end"/>
            </w:r>
          </w:hyperlink>
        </w:p>
        <w:p w:rsidR="003E0FFE" w:rsidRPr="008915D9" w14:paraId="232B1B38" w14:textId="77777777">
          <w:pPr>
            <w:pStyle w:val="TOC1"/>
            <w:tabs>
              <w:tab w:val="right" w:leader="dot" w:pos="9350"/>
            </w:tabs>
            <w:rPr>
              <w:rFonts w:eastAsiaTheme="minorEastAsia"/>
              <w:noProof/>
              <w:sz w:val="22"/>
              <w:szCs w:val="22"/>
            </w:rPr>
          </w:pPr>
          <w:hyperlink w:anchor="_Toc106703806" w:history="1">
            <w:r w:rsidRPr="008915D9">
              <w:rPr>
                <w:rStyle w:val="Hyperlink"/>
                <w:noProof/>
                <w:sz w:val="22"/>
                <w:szCs w:val="22"/>
              </w:rPr>
              <w:t>Section A.3. Use of Improved Information Technology and Burden Reduction</w:t>
            </w:r>
            <w:r w:rsidRPr="008915D9">
              <w:rPr>
                <w:noProof/>
                <w:webHidden/>
                <w:sz w:val="22"/>
                <w:szCs w:val="22"/>
              </w:rPr>
              <w:tab/>
            </w:r>
            <w:r w:rsidRPr="008915D9">
              <w:rPr>
                <w:noProof/>
                <w:webHidden/>
                <w:sz w:val="22"/>
                <w:szCs w:val="22"/>
              </w:rPr>
              <w:fldChar w:fldCharType="begin"/>
            </w:r>
            <w:r w:rsidRPr="008915D9">
              <w:rPr>
                <w:noProof/>
                <w:webHidden/>
                <w:sz w:val="22"/>
                <w:szCs w:val="22"/>
              </w:rPr>
              <w:instrText xml:space="preserve"> PAGEREF _Toc106703806 \h </w:instrText>
            </w:r>
            <w:r w:rsidRPr="008915D9">
              <w:rPr>
                <w:noProof/>
                <w:webHidden/>
                <w:sz w:val="22"/>
                <w:szCs w:val="22"/>
              </w:rPr>
              <w:fldChar w:fldCharType="separate"/>
            </w:r>
            <w:r>
              <w:rPr>
                <w:noProof/>
                <w:webHidden/>
                <w:sz w:val="22"/>
                <w:szCs w:val="22"/>
              </w:rPr>
              <w:t>6</w:t>
            </w:r>
            <w:r w:rsidRPr="008915D9">
              <w:rPr>
                <w:noProof/>
                <w:webHidden/>
                <w:sz w:val="22"/>
                <w:szCs w:val="22"/>
              </w:rPr>
              <w:fldChar w:fldCharType="end"/>
            </w:r>
          </w:hyperlink>
        </w:p>
        <w:p w:rsidR="003E0FFE" w:rsidRPr="008915D9" w14:paraId="47BFED0A" w14:textId="77777777">
          <w:pPr>
            <w:pStyle w:val="TOC1"/>
            <w:tabs>
              <w:tab w:val="right" w:leader="dot" w:pos="9350"/>
            </w:tabs>
            <w:rPr>
              <w:rFonts w:eastAsiaTheme="minorEastAsia"/>
              <w:noProof/>
              <w:sz w:val="22"/>
              <w:szCs w:val="22"/>
            </w:rPr>
          </w:pPr>
          <w:hyperlink w:anchor="_Toc106703807" w:history="1">
            <w:r w:rsidRPr="008915D9">
              <w:rPr>
                <w:rStyle w:val="Hyperlink"/>
                <w:noProof/>
                <w:sz w:val="22"/>
                <w:szCs w:val="22"/>
              </w:rPr>
              <w:t>Section A.4. Efforts to Identify Duplication and Use of Similar Information</w:t>
            </w:r>
            <w:r w:rsidRPr="008915D9">
              <w:rPr>
                <w:noProof/>
                <w:webHidden/>
                <w:sz w:val="22"/>
                <w:szCs w:val="22"/>
              </w:rPr>
              <w:tab/>
            </w:r>
            <w:r w:rsidRPr="008915D9">
              <w:rPr>
                <w:noProof/>
                <w:webHidden/>
                <w:sz w:val="22"/>
                <w:szCs w:val="22"/>
              </w:rPr>
              <w:fldChar w:fldCharType="begin"/>
            </w:r>
            <w:r w:rsidRPr="008915D9">
              <w:rPr>
                <w:noProof/>
                <w:webHidden/>
                <w:sz w:val="22"/>
                <w:szCs w:val="22"/>
              </w:rPr>
              <w:instrText xml:space="preserve"> PAGEREF _Toc106703807 \h </w:instrText>
            </w:r>
            <w:r w:rsidRPr="008915D9">
              <w:rPr>
                <w:noProof/>
                <w:webHidden/>
                <w:sz w:val="22"/>
                <w:szCs w:val="22"/>
              </w:rPr>
              <w:fldChar w:fldCharType="separate"/>
            </w:r>
            <w:r>
              <w:rPr>
                <w:noProof/>
                <w:webHidden/>
                <w:sz w:val="22"/>
                <w:szCs w:val="22"/>
              </w:rPr>
              <w:t>6</w:t>
            </w:r>
            <w:r w:rsidRPr="008915D9">
              <w:rPr>
                <w:noProof/>
                <w:webHidden/>
                <w:sz w:val="22"/>
                <w:szCs w:val="22"/>
              </w:rPr>
              <w:fldChar w:fldCharType="end"/>
            </w:r>
          </w:hyperlink>
        </w:p>
        <w:p w:rsidR="003E0FFE" w:rsidRPr="008915D9" w14:paraId="28F56D3B" w14:textId="77777777">
          <w:pPr>
            <w:pStyle w:val="TOC1"/>
            <w:tabs>
              <w:tab w:val="right" w:leader="dot" w:pos="9350"/>
            </w:tabs>
            <w:rPr>
              <w:rFonts w:eastAsiaTheme="minorEastAsia"/>
              <w:noProof/>
              <w:sz w:val="22"/>
              <w:szCs w:val="22"/>
            </w:rPr>
          </w:pPr>
          <w:hyperlink w:anchor="_Toc106703808" w:history="1">
            <w:r w:rsidRPr="008915D9">
              <w:rPr>
                <w:rStyle w:val="Hyperlink"/>
                <w:noProof/>
                <w:sz w:val="22"/>
                <w:szCs w:val="22"/>
              </w:rPr>
              <w:t>Section A.5. Impact on Small Businesses or Other Small Entities</w:t>
            </w:r>
            <w:r w:rsidRPr="008915D9">
              <w:rPr>
                <w:noProof/>
                <w:webHidden/>
                <w:sz w:val="22"/>
                <w:szCs w:val="22"/>
              </w:rPr>
              <w:tab/>
            </w:r>
            <w:r w:rsidRPr="008915D9">
              <w:rPr>
                <w:noProof/>
                <w:webHidden/>
                <w:sz w:val="22"/>
                <w:szCs w:val="22"/>
              </w:rPr>
              <w:fldChar w:fldCharType="begin"/>
            </w:r>
            <w:r w:rsidRPr="008915D9">
              <w:rPr>
                <w:noProof/>
                <w:webHidden/>
                <w:sz w:val="22"/>
                <w:szCs w:val="22"/>
              </w:rPr>
              <w:instrText xml:space="preserve"> PAGEREF _Toc106703808 \h </w:instrText>
            </w:r>
            <w:r w:rsidRPr="008915D9">
              <w:rPr>
                <w:noProof/>
                <w:webHidden/>
                <w:sz w:val="22"/>
                <w:szCs w:val="22"/>
              </w:rPr>
              <w:fldChar w:fldCharType="separate"/>
            </w:r>
            <w:r>
              <w:rPr>
                <w:noProof/>
                <w:webHidden/>
                <w:sz w:val="22"/>
                <w:szCs w:val="22"/>
              </w:rPr>
              <w:t>7</w:t>
            </w:r>
            <w:r w:rsidRPr="008915D9">
              <w:rPr>
                <w:noProof/>
                <w:webHidden/>
                <w:sz w:val="22"/>
                <w:szCs w:val="22"/>
              </w:rPr>
              <w:fldChar w:fldCharType="end"/>
            </w:r>
          </w:hyperlink>
        </w:p>
        <w:p w:rsidR="003E0FFE" w:rsidRPr="008915D9" w14:paraId="6A6C26AE" w14:textId="77777777">
          <w:pPr>
            <w:pStyle w:val="TOC1"/>
            <w:tabs>
              <w:tab w:val="right" w:leader="dot" w:pos="9350"/>
            </w:tabs>
            <w:rPr>
              <w:rFonts w:eastAsiaTheme="minorEastAsia"/>
              <w:noProof/>
              <w:sz w:val="22"/>
              <w:szCs w:val="22"/>
            </w:rPr>
          </w:pPr>
          <w:hyperlink w:anchor="_Toc106703809" w:history="1">
            <w:r w:rsidRPr="008915D9">
              <w:rPr>
                <w:rStyle w:val="Hyperlink"/>
                <w:noProof/>
                <w:sz w:val="22"/>
                <w:szCs w:val="22"/>
              </w:rPr>
              <w:t>Section A.6. Consequences of Collecting the Information Less Frequently</w:t>
            </w:r>
            <w:r w:rsidRPr="008915D9">
              <w:rPr>
                <w:noProof/>
                <w:webHidden/>
                <w:sz w:val="22"/>
                <w:szCs w:val="22"/>
              </w:rPr>
              <w:tab/>
            </w:r>
            <w:r w:rsidRPr="008915D9">
              <w:rPr>
                <w:noProof/>
                <w:webHidden/>
                <w:sz w:val="22"/>
                <w:szCs w:val="22"/>
              </w:rPr>
              <w:fldChar w:fldCharType="begin"/>
            </w:r>
            <w:r w:rsidRPr="008915D9">
              <w:rPr>
                <w:noProof/>
                <w:webHidden/>
                <w:sz w:val="22"/>
                <w:szCs w:val="22"/>
              </w:rPr>
              <w:instrText xml:space="preserve"> PAGEREF _Toc106703809 \h </w:instrText>
            </w:r>
            <w:r w:rsidRPr="008915D9">
              <w:rPr>
                <w:noProof/>
                <w:webHidden/>
                <w:sz w:val="22"/>
                <w:szCs w:val="22"/>
              </w:rPr>
              <w:fldChar w:fldCharType="separate"/>
            </w:r>
            <w:r>
              <w:rPr>
                <w:noProof/>
                <w:webHidden/>
                <w:sz w:val="22"/>
                <w:szCs w:val="22"/>
              </w:rPr>
              <w:t>7</w:t>
            </w:r>
            <w:r w:rsidRPr="008915D9">
              <w:rPr>
                <w:noProof/>
                <w:webHidden/>
                <w:sz w:val="22"/>
                <w:szCs w:val="22"/>
              </w:rPr>
              <w:fldChar w:fldCharType="end"/>
            </w:r>
          </w:hyperlink>
        </w:p>
        <w:p w:rsidR="003E0FFE" w:rsidRPr="008915D9" w14:paraId="5214CE88" w14:textId="77777777">
          <w:pPr>
            <w:pStyle w:val="TOC1"/>
            <w:tabs>
              <w:tab w:val="right" w:leader="dot" w:pos="9350"/>
            </w:tabs>
            <w:rPr>
              <w:rFonts w:eastAsiaTheme="minorEastAsia"/>
              <w:noProof/>
              <w:sz w:val="22"/>
              <w:szCs w:val="22"/>
            </w:rPr>
          </w:pPr>
          <w:hyperlink w:anchor="_Toc106703810" w:history="1">
            <w:r w:rsidRPr="008915D9">
              <w:rPr>
                <w:rStyle w:val="Hyperlink"/>
                <w:noProof/>
                <w:sz w:val="22"/>
                <w:szCs w:val="22"/>
              </w:rPr>
              <w:t>Section A.7. Special Circumstances Relating to the Guidelines of 5 CFR 1320.5</w:t>
            </w:r>
            <w:r w:rsidRPr="008915D9">
              <w:rPr>
                <w:noProof/>
                <w:webHidden/>
                <w:sz w:val="22"/>
                <w:szCs w:val="22"/>
              </w:rPr>
              <w:tab/>
            </w:r>
            <w:r w:rsidRPr="008915D9">
              <w:rPr>
                <w:noProof/>
                <w:webHidden/>
                <w:sz w:val="22"/>
                <w:szCs w:val="22"/>
              </w:rPr>
              <w:fldChar w:fldCharType="begin"/>
            </w:r>
            <w:r w:rsidRPr="008915D9">
              <w:rPr>
                <w:noProof/>
                <w:webHidden/>
                <w:sz w:val="22"/>
                <w:szCs w:val="22"/>
              </w:rPr>
              <w:instrText xml:space="preserve"> PAGEREF _Toc106703810 \h </w:instrText>
            </w:r>
            <w:r w:rsidRPr="008915D9">
              <w:rPr>
                <w:noProof/>
                <w:webHidden/>
                <w:sz w:val="22"/>
                <w:szCs w:val="22"/>
              </w:rPr>
              <w:fldChar w:fldCharType="separate"/>
            </w:r>
            <w:r>
              <w:rPr>
                <w:noProof/>
                <w:webHidden/>
                <w:sz w:val="22"/>
                <w:szCs w:val="22"/>
              </w:rPr>
              <w:t>7</w:t>
            </w:r>
            <w:r w:rsidRPr="008915D9">
              <w:rPr>
                <w:noProof/>
                <w:webHidden/>
                <w:sz w:val="22"/>
                <w:szCs w:val="22"/>
              </w:rPr>
              <w:fldChar w:fldCharType="end"/>
            </w:r>
          </w:hyperlink>
        </w:p>
        <w:p w:rsidR="003E0FFE" w:rsidRPr="008915D9" w14:paraId="034411C6" w14:textId="77777777">
          <w:pPr>
            <w:pStyle w:val="TOC1"/>
            <w:tabs>
              <w:tab w:val="right" w:leader="dot" w:pos="9350"/>
            </w:tabs>
            <w:rPr>
              <w:rFonts w:eastAsiaTheme="minorEastAsia"/>
              <w:noProof/>
              <w:sz w:val="22"/>
              <w:szCs w:val="22"/>
            </w:rPr>
          </w:pPr>
          <w:hyperlink w:anchor="_Toc106703811" w:history="1">
            <w:r w:rsidRPr="008915D9">
              <w:rPr>
                <w:rStyle w:val="Hyperlink"/>
                <w:noProof/>
                <w:sz w:val="22"/>
                <w:szCs w:val="22"/>
              </w:rPr>
              <w:t>Section A.8. Comments in Response to the Federal Register Notice and Efforts to Consult Outside the Agency</w:t>
            </w:r>
            <w:r w:rsidRPr="008915D9">
              <w:rPr>
                <w:noProof/>
                <w:webHidden/>
                <w:sz w:val="22"/>
                <w:szCs w:val="22"/>
              </w:rPr>
              <w:tab/>
            </w:r>
            <w:r w:rsidRPr="008915D9">
              <w:rPr>
                <w:noProof/>
                <w:webHidden/>
                <w:sz w:val="22"/>
                <w:szCs w:val="22"/>
              </w:rPr>
              <w:fldChar w:fldCharType="begin"/>
            </w:r>
            <w:r w:rsidRPr="008915D9">
              <w:rPr>
                <w:noProof/>
                <w:webHidden/>
                <w:sz w:val="22"/>
                <w:szCs w:val="22"/>
              </w:rPr>
              <w:instrText xml:space="preserve"> PAGEREF _Toc106703811 \h </w:instrText>
            </w:r>
            <w:r w:rsidRPr="008915D9">
              <w:rPr>
                <w:noProof/>
                <w:webHidden/>
                <w:sz w:val="22"/>
                <w:szCs w:val="22"/>
              </w:rPr>
              <w:fldChar w:fldCharType="separate"/>
            </w:r>
            <w:r>
              <w:rPr>
                <w:noProof/>
                <w:webHidden/>
                <w:sz w:val="22"/>
                <w:szCs w:val="22"/>
              </w:rPr>
              <w:t>7</w:t>
            </w:r>
            <w:r w:rsidRPr="008915D9">
              <w:rPr>
                <w:noProof/>
                <w:webHidden/>
                <w:sz w:val="22"/>
                <w:szCs w:val="22"/>
              </w:rPr>
              <w:fldChar w:fldCharType="end"/>
            </w:r>
          </w:hyperlink>
        </w:p>
        <w:p w:rsidR="003E0FFE" w:rsidRPr="008915D9" w14:paraId="656A8EA7" w14:textId="77777777">
          <w:pPr>
            <w:pStyle w:val="TOC1"/>
            <w:tabs>
              <w:tab w:val="right" w:leader="dot" w:pos="9350"/>
            </w:tabs>
            <w:rPr>
              <w:rFonts w:eastAsiaTheme="minorEastAsia"/>
              <w:noProof/>
              <w:sz w:val="22"/>
              <w:szCs w:val="22"/>
            </w:rPr>
          </w:pPr>
          <w:hyperlink w:anchor="_Toc106703812" w:history="1">
            <w:r w:rsidRPr="008915D9">
              <w:rPr>
                <w:rStyle w:val="Hyperlink"/>
                <w:noProof/>
                <w:sz w:val="22"/>
                <w:szCs w:val="22"/>
              </w:rPr>
              <w:t>Section A.9. Explanation of Any Payment or Gift to Respondents</w:t>
            </w:r>
            <w:r w:rsidRPr="008915D9">
              <w:rPr>
                <w:noProof/>
                <w:webHidden/>
                <w:sz w:val="22"/>
                <w:szCs w:val="22"/>
              </w:rPr>
              <w:tab/>
            </w:r>
            <w:r w:rsidRPr="008915D9">
              <w:rPr>
                <w:noProof/>
                <w:webHidden/>
                <w:sz w:val="22"/>
                <w:szCs w:val="22"/>
              </w:rPr>
              <w:fldChar w:fldCharType="begin"/>
            </w:r>
            <w:r w:rsidRPr="008915D9">
              <w:rPr>
                <w:noProof/>
                <w:webHidden/>
                <w:sz w:val="22"/>
                <w:szCs w:val="22"/>
              </w:rPr>
              <w:instrText xml:space="preserve"> PAGEREF _Toc106703812 \h </w:instrText>
            </w:r>
            <w:r w:rsidRPr="008915D9">
              <w:rPr>
                <w:noProof/>
                <w:webHidden/>
                <w:sz w:val="22"/>
                <w:szCs w:val="22"/>
              </w:rPr>
              <w:fldChar w:fldCharType="separate"/>
            </w:r>
            <w:r>
              <w:rPr>
                <w:noProof/>
                <w:webHidden/>
                <w:sz w:val="22"/>
                <w:szCs w:val="22"/>
              </w:rPr>
              <w:t>8</w:t>
            </w:r>
            <w:r w:rsidRPr="008915D9">
              <w:rPr>
                <w:noProof/>
                <w:webHidden/>
                <w:sz w:val="22"/>
                <w:szCs w:val="22"/>
              </w:rPr>
              <w:fldChar w:fldCharType="end"/>
            </w:r>
          </w:hyperlink>
        </w:p>
        <w:p w:rsidR="003E0FFE" w:rsidRPr="008915D9" w14:paraId="43EF7F93" w14:textId="77777777">
          <w:pPr>
            <w:pStyle w:val="TOC1"/>
            <w:tabs>
              <w:tab w:val="right" w:leader="dot" w:pos="9350"/>
            </w:tabs>
            <w:rPr>
              <w:rFonts w:eastAsiaTheme="minorEastAsia"/>
              <w:noProof/>
              <w:sz w:val="22"/>
              <w:szCs w:val="22"/>
            </w:rPr>
          </w:pPr>
          <w:hyperlink w:anchor="_Toc106703813" w:history="1">
            <w:r w:rsidRPr="008915D9">
              <w:rPr>
                <w:rStyle w:val="Hyperlink"/>
                <w:noProof/>
                <w:sz w:val="22"/>
                <w:szCs w:val="22"/>
              </w:rPr>
              <w:t>Section A.10. Assurance of Confidentiality Provided to Respondents</w:t>
            </w:r>
            <w:r w:rsidRPr="008915D9">
              <w:rPr>
                <w:noProof/>
                <w:webHidden/>
                <w:sz w:val="22"/>
                <w:szCs w:val="22"/>
              </w:rPr>
              <w:tab/>
            </w:r>
            <w:r w:rsidRPr="008915D9">
              <w:rPr>
                <w:noProof/>
                <w:webHidden/>
                <w:sz w:val="22"/>
                <w:szCs w:val="22"/>
              </w:rPr>
              <w:fldChar w:fldCharType="begin"/>
            </w:r>
            <w:r w:rsidRPr="008915D9">
              <w:rPr>
                <w:noProof/>
                <w:webHidden/>
                <w:sz w:val="22"/>
                <w:szCs w:val="22"/>
              </w:rPr>
              <w:instrText xml:space="preserve"> PAGEREF _Toc106703813 \h </w:instrText>
            </w:r>
            <w:r w:rsidRPr="008915D9">
              <w:rPr>
                <w:noProof/>
                <w:webHidden/>
                <w:sz w:val="22"/>
                <w:szCs w:val="22"/>
              </w:rPr>
              <w:fldChar w:fldCharType="separate"/>
            </w:r>
            <w:r>
              <w:rPr>
                <w:noProof/>
                <w:webHidden/>
                <w:sz w:val="22"/>
                <w:szCs w:val="22"/>
              </w:rPr>
              <w:t>8</w:t>
            </w:r>
            <w:r w:rsidRPr="008915D9">
              <w:rPr>
                <w:noProof/>
                <w:webHidden/>
                <w:sz w:val="22"/>
                <w:szCs w:val="22"/>
              </w:rPr>
              <w:fldChar w:fldCharType="end"/>
            </w:r>
          </w:hyperlink>
        </w:p>
        <w:p w:rsidR="003E0FFE" w:rsidRPr="008915D9" w14:paraId="55FE1240" w14:textId="77777777">
          <w:pPr>
            <w:pStyle w:val="TOC1"/>
            <w:tabs>
              <w:tab w:val="right" w:leader="dot" w:pos="9350"/>
            </w:tabs>
            <w:rPr>
              <w:rFonts w:eastAsiaTheme="minorEastAsia"/>
              <w:noProof/>
              <w:sz w:val="22"/>
              <w:szCs w:val="22"/>
            </w:rPr>
          </w:pPr>
          <w:hyperlink w:anchor="_Toc106703814" w:history="1">
            <w:r w:rsidRPr="008915D9">
              <w:rPr>
                <w:rStyle w:val="Hyperlink"/>
                <w:noProof/>
                <w:sz w:val="22"/>
                <w:szCs w:val="22"/>
              </w:rPr>
              <w:t>Section A.11. Justification for Sensitive Questions</w:t>
            </w:r>
            <w:r w:rsidRPr="008915D9">
              <w:rPr>
                <w:noProof/>
                <w:webHidden/>
                <w:sz w:val="22"/>
                <w:szCs w:val="22"/>
              </w:rPr>
              <w:tab/>
            </w:r>
            <w:r w:rsidRPr="008915D9">
              <w:rPr>
                <w:noProof/>
                <w:webHidden/>
                <w:sz w:val="22"/>
                <w:szCs w:val="22"/>
              </w:rPr>
              <w:fldChar w:fldCharType="begin"/>
            </w:r>
            <w:r w:rsidRPr="008915D9">
              <w:rPr>
                <w:noProof/>
                <w:webHidden/>
                <w:sz w:val="22"/>
                <w:szCs w:val="22"/>
              </w:rPr>
              <w:instrText xml:space="preserve"> PAGEREF _Toc106703814 \h </w:instrText>
            </w:r>
            <w:r w:rsidRPr="008915D9">
              <w:rPr>
                <w:noProof/>
                <w:webHidden/>
                <w:sz w:val="22"/>
                <w:szCs w:val="22"/>
              </w:rPr>
              <w:fldChar w:fldCharType="separate"/>
            </w:r>
            <w:r>
              <w:rPr>
                <w:noProof/>
                <w:webHidden/>
                <w:sz w:val="22"/>
                <w:szCs w:val="22"/>
              </w:rPr>
              <w:t>9</w:t>
            </w:r>
            <w:r w:rsidRPr="008915D9">
              <w:rPr>
                <w:noProof/>
                <w:webHidden/>
                <w:sz w:val="22"/>
                <w:szCs w:val="22"/>
              </w:rPr>
              <w:fldChar w:fldCharType="end"/>
            </w:r>
          </w:hyperlink>
        </w:p>
        <w:p w:rsidR="003E0FFE" w:rsidRPr="008915D9" w14:paraId="0F0F1804" w14:textId="77777777">
          <w:pPr>
            <w:pStyle w:val="TOC1"/>
            <w:tabs>
              <w:tab w:val="right" w:leader="dot" w:pos="9350"/>
            </w:tabs>
            <w:rPr>
              <w:rFonts w:eastAsiaTheme="minorEastAsia"/>
              <w:noProof/>
              <w:sz w:val="22"/>
              <w:szCs w:val="22"/>
            </w:rPr>
          </w:pPr>
          <w:hyperlink w:anchor="_Toc106703815" w:history="1">
            <w:r w:rsidRPr="008915D9">
              <w:rPr>
                <w:rStyle w:val="Hyperlink"/>
                <w:noProof/>
                <w:sz w:val="22"/>
                <w:szCs w:val="22"/>
              </w:rPr>
              <w:t>Section A.12. Estimates of Annualized Burden Hours and Costs</w:t>
            </w:r>
            <w:r w:rsidRPr="008915D9">
              <w:rPr>
                <w:noProof/>
                <w:webHidden/>
                <w:sz w:val="22"/>
                <w:szCs w:val="22"/>
              </w:rPr>
              <w:tab/>
            </w:r>
            <w:r w:rsidRPr="008915D9">
              <w:rPr>
                <w:noProof/>
                <w:webHidden/>
                <w:sz w:val="22"/>
                <w:szCs w:val="22"/>
              </w:rPr>
              <w:fldChar w:fldCharType="begin"/>
            </w:r>
            <w:r w:rsidRPr="008915D9">
              <w:rPr>
                <w:noProof/>
                <w:webHidden/>
                <w:sz w:val="22"/>
                <w:szCs w:val="22"/>
              </w:rPr>
              <w:instrText xml:space="preserve"> PAGEREF _Toc106703815 \h </w:instrText>
            </w:r>
            <w:r w:rsidRPr="008915D9">
              <w:rPr>
                <w:noProof/>
                <w:webHidden/>
                <w:sz w:val="22"/>
                <w:szCs w:val="22"/>
              </w:rPr>
              <w:fldChar w:fldCharType="separate"/>
            </w:r>
            <w:r>
              <w:rPr>
                <w:noProof/>
                <w:webHidden/>
                <w:sz w:val="22"/>
                <w:szCs w:val="22"/>
              </w:rPr>
              <w:t>10</w:t>
            </w:r>
            <w:r w:rsidRPr="008915D9">
              <w:rPr>
                <w:noProof/>
                <w:webHidden/>
                <w:sz w:val="22"/>
                <w:szCs w:val="22"/>
              </w:rPr>
              <w:fldChar w:fldCharType="end"/>
            </w:r>
          </w:hyperlink>
        </w:p>
        <w:p w:rsidR="003E0FFE" w:rsidRPr="008915D9" w14:paraId="5119011B" w14:textId="77777777">
          <w:pPr>
            <w:pStyle w:val="TOC1"/>
            <w:tabs>
              <w:tab w:val="right" w:leader="dot" w:pos="9350"/>
            </w:tabs>
            <w:rPr>
              <w:rFonts w:eastAsiaTheme="minorEastAsia"/>
              <w:noProof/>
              <w:sz w:val="22"/>
              <w:szCs w:val="22"/>
            </w:rPr>
          </w:pPr>
          <w:hyperlink w:anchor="_Toc106703816" w:history="1">
            <w:r w:rsidRPr="008915D9">
              <w:rPr>
                <w:rStyle w:val="Hyperlink"/>
                <w:noProof/>
                <w:sz w:val="22"/>
                <w:szCs w:val="22"/>
              </w:rPr>
              <w:t>Section A.13. Estimates of Other Total Annual Cost Burden to Respondents or Record Keepers</w:t>
            </w:r>
            <w:r w:rsidRPr="008915D9">
              <w:rPr>
                <w:noProof/>
                <w:webHidden/>
                <w:sz w:val="22"/>
                <w:szCs w:val="22"/>
              </w:rPr>
              <w:tab/>
            </w:r>
            <w:r w:rsidRPr="008915D9">
              <w:rPr>
                <w:noProof/>
                <w:webHidden/>
                <w:sz w:val="22"/>
                <w:szCs w:val="22"/>
              </w:rPr>
              <w:fldChar w:fldCharType="begin"/>
            </w:r>
            <w:r w:rsidRPr="008915D9">
              <w:rPr>
                <w:noProof/>
                <w:webHidden/>
                <w:sz w:val="22"/>
                <w:szCs w:val="22"/>
              </w:rPr>
              <w:instrText xml:space="preserve"> PAGEREF _Toc106703816 \h </w:instrText>
            </w:r>
            <w:r w:rsidRPr="008915D9">
              <w:rPr>
                <w:noProof/>
                <w:webHidden/>
                <w:sz w:val="22"/>
                <w:szCs w:val="22"/>
              </w:rPr>
              <w:fldChar w:fldCharType="separate"/>
            </w:r>
            <w:r>
              <w:rPr>
                <w:noProof/>
                <w:webHidden/>
                <w:sz w:val="22"/>
                <w:szCs w:val="22"/>
              </w:rPr>
              <w:t>11</w:t>
            </w:r>
            <w:r w:rsidRPr="008915D9">
              <w:rPr>
                <w:noProof/>
                <w:webHidden/>
                <w:sz w:val="22"/>
                <w:szCs w:val="22"/>
              </w:rPr>
              <w:fldChar w:fldCharType="end"/>
            </w:r>
          </w:hyperlink>
        </w:p>
        <w:p w:rsidR="003E0FFE" w:rsidRPr="008915D9" w14:paraId="474C56BA" w14:textId="77777777">
          <w:pPr>
            <w:pStyle w:val="TOC1"/>
            <w:tabs>
              <w:tab w:val="right" w:leader="dot" w:pos="9350"/>
            </w:tabs>
            <w:rPr>
              <w:rFonts w:eastAsiaTheme="minorEastAsia"/>
              <w:noProof/>
              <w:sz w:val="22"/>
              <w:szCs w:val="22"/>
            </w:rPr>
          </w:pPr>
          <w:hyperlink w:anchor="_Toc106703817" w:history="1">
            <w:r w:rsidRPr="008915D9">
              <w:rPr>
                <w:rStyle w:val="Hyperlink"/>
                <w:noProof/>
                <w:sz w:val="22"/>
                <w:szCs w:val="22"/>
              </w:rPr>
              <w:t>Section A.14. Annualized Cost to the Government</w:t>
            </w:r>
            <w:r w:rsidRPr="008915D9">
              <w:rPr>
                <w:noProof/>
                <w:webHidden/>
                <w:sz w:val="22"/>
                <w:szCs w:val="22"/>
              </w:rPr>
              <w:tab/>
            </w:r>
            <w:r w:rsidRPr="008915D9">
              <w:rPr>
                <w:noProof/>
                <w:webHidden/>
                <w:sz w:val="22"/>
                <w:szCs w:val="22"/>
              </w:rPr>
              <w:fldChar w:fldCharType="begin"/>
            </w:r>
            <w:r w:rsidRPr="008915D9">
              <w:rPr>
                <w:noProof/>
                <w:webHidden/>
                <w:sz w:val="22"/>
                <w:szCs w:val="22"/>
              </w:rPr>
              <w:instrText xml:space="preserve"> PAGEREF _Toc106703817 \h </w:instrText>
            </w:r>
            <w:r w:rsidRPr="008915D9">
              <w:rPr>
                <w:noProof/>
                <w:webHidden/>
                <w:sz w:val="22"/>
                <w:szCs w:val="22"/>
              </w:rPr>
              <w:fldChar w:fldCharType="separate"/>
            </w:r>
            <w:r>
              <w:rPr>
                <w:noProof/>
                <w:webHidden/>
                <w:sz w:val="22"/>
                <w:szCs w:val="22"/>
              </w:rPr>
              <w:t>12</w:t>
            </w:r>
            <w:r w:rsidRPr="008915D9">
              <w:rPr>
                <w:noProof/>
                <w:webHidden/>
                <w:sz w:val="22"/>
                <w:szCs w:val="22"/>
              </w:rPr>
              <w:fldChar w:fldCharType="end"/>
            </w:r>
          </w:hyperlink>
        </w:p>
        <w:p w:rsidR="003E0FFE" w:rsidRPr="008915D9" w14:paraId="56A80951" w14:textId="77777777">
          <w:pPr>
            <w:pStyle w:val="TOC1"/>
            <w:tabs>
              <w:tab w:val="right" w:leader="dot" w:pos="9350"/>
            </w:tabs>
            <w:rPr>
              <w:rFonts w:eastAsiaTheme="minorEastAsia"/>
              <w:noProof/>
              <w:sz w:val="22"/>
              <w:szCs w:val="22"/>
            </w:rPr>
          </w:pPr>
          <w:hyperlink w:anchor="_Toc106703818" w:history="1">
            <w:r w:rsidRPr="008915D9">
              <w:rPr>
                <w:rStyle w:val="Hyperlink"/>
                <w:noProof/>
                <w:sz w:val="22"/>
                <w:szCs w:val="22"/>
              </w:rPr>
              <w:t>Section A.15. Explanation for Program Changes or Adjustments</w:t>
            </w:r>
            <w:r w:rsidRPr="008915D9">
              <w:rPr>
                <w:noProof/>
                <w:webHidden/>
                <w:sz w:val="22"/>
                <w:szCs w:val="22"/>
              </w:rPr>
              <w:tab/>
            </w:r>
            <w:r w:rsidRPr="008915D9">
              <w:rPr>
                <w:noProof/>
                <w:webHidden/>
                <w:sz w:val="22"/>
                <w:szCs w:val="22"/>
              </w:rPr>
              <w:fldChar w:fldCharType="begin"/>
            </w:r>
            <w:r w:rsidRPr="008915D9">
              <w:rPr>
                <w:noProof/>
                <w:webHidden/>
                <w:sz w:val="22"/>
                <w:szCs w:val="22"/>
              </w:rPr>
              <w:instrText xml:space="preserve"> PAGEREF _Toc106703818 \h </w:instrText>
            </w:r>
            <w:r w:rsidRPr="008915D9">
              <w:rPr>
                <w:noProof/>
                <w:webHidden/>
                <w:sz w:val="22"/>
                <w:szCs w:val="22"/>
              </w:rPr>
              <w:fldChar w:fldCharType="separate"/>
            </w:r>
            <w:r>
              <w:rPr>
                <w:noProof/>
                <w:webHidden/>
                <w:sz w:val="22"/>
                <w:szCs w:val="22"/>
              </w:rPr>
              <w:t>12</w:t>
            </w:r>
            <w:r w:rsidRPr="008915D9">
              <w:rPr>
                <w:noProof/>
                <w:webHidden/>
                <w:sz w:val="22"/>
                <w:szCs w:val="22"/>
              </w:rPr>
              <w:fldChar w:fldCharType="end"/>
            </w:r>
          </w:hyperlink>
        </w:p>
        <w:p w:rsidR="003E0FFE" w:rsidRPr="008915D9" w14:paraId="077A49E9" w14:textId="77777777">
          <w:pPr>
            <w:pStyle w:val="TOC1"/>
            <w:tabs>
              <w:tab w:val="right" w:leader="dot" w:pos="9350"/>
            </w:tabs>
            <w:rPr>
              <w:rFonts w:eastAsiaTheme="minorEastAsia"/>
              <w:noProof/>
              <w:sz w:val="22"/>
              <w:szCs w:val="22"/>
            </w:rPr>
          </w:pPr>
          <w:hyperlink w:anchor="_Toc106703819" w:history="1">
            <w:r w:rsidRPr="008915D9">
              <w:rPr>
                <w:rStyle w:val="Hyperlink"/>
                <w:noProof/>
                <w:sz w:val="22"/>
                <w:szCs w:val="22"/>
              </w:rPr>
              <w:t>Section A.16. Plans for Tabulation and Publication and Project Time Schedule</w:t>
            </w:r>
            <w:r w:rsidRPr="008915D9">
              <w:rPr>
                <w:noProof/>
                <w:webHidden/>
                <w:sz w:val="22"/>
                <w:szCs w:val="22"/>
              </w:rPr>
              <w:tab/>
            </w:r>
            <w:r w:rsidRPr="008915D9">
              <w:rPr>
                <w:noProof/>
                <w:webHidden/>
                <w:sz w:val="22"/>
                <w:szCs w:val="22"/>
              </w:rPr>
              <w:fldChar w:fldCharType="begin"/>
            </w:r>
            <w:r w:rsidRPr="008915D9">
              <w:rPr>
                <w:noProof/>
                <w:webHidden/>
                <w:sz w:val="22"/>
                <w:szCs w:val="22"/>
              </w:rPr>
              <w:instrText xml:space="preserve"> PAGEREF _Toc106703819 \h </w:instrText>
            </w:r>
            <w:r w:rsidRPr="008915D9">
              <w:rPr>
                <w:noProof/>
                <w:webHidden/>
                <w:sz w:val="22"/>
                <w:szCs w:val="22"/>
              </w:rPr>
              <w:fldChar w:fldCharType="separate"/>
            </w:r>
            <w:r>
              <w:rPr>
                <w:noProof/>
                <w:webHidden/>
                <w:sz w:val="22"/>
                <w:szCs w:val="22"/>
              </w:rPr>
              <w:t>12</w:t>
            </w:r>
            <w:r w:rsidRPr="008915D9">
              <w:rPr>
                <w:noProof/>
                <w:webHidden/>
                <w:sz w:val="22"/>
                <w:szCs w:val="22"/>
              </w:rPr>
              <w:fldChar w:fldCharType="end"/>
            </w:r>
          </w:hyperlink>
        </w:p>
        <w:p w:rsidR="003E0FFE" w:rsidRPr="008915D9" w14:paraId="79722F2E" w14:textId="77777777">
          <w:pPr>
            <w:pStyle w:val="TOC1"/>
            <w:tabs>
              <w:tab w:val="right" w:leader="dot" w:pos="9350"/>
            </w:tabs>
            <w:rPr>
              <w:rFonts w:eastAsiaTheme="minorEastAsia"/>
              <w:noProof/>
              <w:sz w:val="22"/>
              <w:szCs w:val="22"/>
            </w:rPr>
          </w:pPr>
          <w:hyperlink w:anchor="_Toc106703820" w:history="1">
            <w:r w:rsidRPr="008915D9">
              <w:rPr>
                <w:rStyle w:val="Hyperlink"/>
                <w:noProof/>
                <w:sz w:val="22"/>
                <w:szCs w:val="22"/>
              </w:rPr>
              <w:t>Section A.17. Reason(s) Display of OMB Expiration Date Is Inappropriate</w:t>
            </w:r>
            <w:r w:rsidRPr="008915D9">
              <w:rPr>
                <w:noProof/>
                <w:webHidden/>
                <w:sz w:val="22"/>
                <w:szCs w:val="22"/>
              </w:rPr>
              <w:tab/>
            </w:r>
            <w:r w:rsidRPr="008915D9">
              <w:rPr>
                <w:noProof/>
                <w:webHidden/>
                <w:sz w:val="22"/>
                <w:szCs w:val="22"/>
              </w:rPr>
              <w:fldChar w:fldCharType="begin"/>
            </w:r>
            <w:r w:rsidRPr="008915D9">
              <w:rPr>
                <w:noProof/>
                <w:webHidden/>
                <w:sz w:val="22"/>
                <w:szCs w:val="22"/>
              </w:rPr>
              <w:instrText xml:space="preserve"> PAGEREF _Toc106703820 \h </w:instrText>
            </w:r>
            <w:r w:rsidRPr="008915D9">
              <w:rPr>
                <w:noProof/>
                <w:webHidden/>
                <w:sz w:val="22"/>
                <w:szCs w:val="22"/>
              </w:rPr>
              <w:fldChar w:fldCharType="separate"/>
            </w:r>
            <w:r>
              <w:rPr>
                <w:noProof/>
                <w:webHidden/>
                <w:sz w:val="22"/>
                <w:szCs w:val="22"/>
              </w:rPr>
              <w:t>13</w:t>
            </w:r>
            <w:r w:rsidRPr="008915D9">
              <w:rPr>
                <w:noProof/>
                <w:webHidden/>
                <w:sz w:val="22"/>
                <w:szCs w:val="22"/>
              </w:rPr>
              <w:fldChar w:fldCharType="end"/>
            </w:r>
          </w:hyperlink>
        </w:p>
        <w:p w:rsidR="003E0FFE" w:rsidRPr="008915D9" w14:paraId="2C88F91D" w14:textId="77777777">
          <w:pPr>
            <w:pStyle w:val="TOC1"/>
            <w:tabs>
              <w:tab w:val="right" w:leader="dot" w:pos="9350"/>
            </w:tabs>
            <w:rPr>
              <w:rFonts w:eastAsiaTheme="minorEastAsia"/>
              <w:noProof/>
              <w:sz w:val="22"/>
              <w:szCs w:val="22"/>
            </w:rPr>
          </w:pPr>
          <w:hyperlink w:anchor="_Toc106703821" w:history="1">
            <w:r w:rsidRPr="008915D9">
              <w:rPr>
                <w:rStyle w:val="Hyperlink"/>
                <w:noProof/>
                <w:sz w:val="22"/>
                <w:szCs w:val="22"/>
              </w:rPr>
              <w:t>Section A.18. Exceptions to Certification for Paperwork Reduction Act Submissions</w:t>
            </w:r>
            <w:r w:rsidRPr="008915D9">
              <w:rPr>
                <w:noProof/>
                <w:webHidden/>
                <w:sz w:val="22"/>
                <w:szCs w:val="22"/>
              </w:rPr>
              <w:tab/>
            </w:r>
            <w:r w:rsidRPr="008915D9">
              <w:rPr>
                <w:noProof/>
                <w:webHidden/>
                <w:sz w:val="22"/>
                <w:szCs w:val="22"/>
              </w:rPr>
              <w:fldChar w:fldCharType="begin"/>
            </w:r>
            <w:r w:rsidRPr="008915D9">
              <w:rPr>
                <w:noProof/>
                <w:webHidden/>
                <w:sz w:val="22"/>
                <w:szCs w:val="22"/>
              </w:rPr>
              <w:instrText xml:space="preserve"> PAGEREF _Toc106703821 \h </w:instrText>
            </w:r>
            <w:r w:rsidRPr="008915D9">
              <w:rPr>
                <w:noProof/>
                <w:webHidden/>
                <w:sz w:val="22"/>
                <w:szCs w:val="22"/>
              </w:rPr>
              <w:fldChar w:fldCharType="separate"/>
            </w:r>
            <w:r>
              <w:rPr>
                <w:noProof/>
                <w:webHidden/>
                <w:sz w:val="22"/>
                <w:szCs w:val="22"/>
              </w:rPr>
              <w:t>13</w:t>
            </w:r>
            <w:r w:rsidRPr="008915D9">
              <w:rPr>
                <w:noProof/>
                <w:webHidden/>
                <w:sz w:val="22"/>
                <w:szCs w:val="22"/>
              </w:rPr>
              <w:fldChar w:fldCharType="end"/>
            </w:r>
          </w:hyperlink>
        </w:p>
        <w:p w:rsidR="003E0FFE" w:rsidRPr="008915D9" w:rsidP="00340BE0" w14:paraId="1DC99BB0" w14:textId="77777777">
          <w:pPr>
            <w:rPr>
              <w:b/>
              <w:bCs/>
              <w:noProof/>
              <w:sz w:val="22"/>
              <w:szCs w:val="22"/>
            </w:rPr>
          </w:pPr>
          <w:r w:rsidRPr="008915D9">
            <w:rPr>
              <w:b/>
              <w:bCs/>
              <w:i/>
              <w:iCs/>
              <w:noProof/>
              <w:sz w:val="22"/>
              <w:szCs w:val="22"/>
            </w:rPr>
            <w:fldChar w:fldCharType="end"/>
          </w:r>
        </w:p>
      </w:sdtContent>
    </w:sdt>
    <w:p w:rsidR="003E0FFE" w:rsidRPr="0073268C" w:rsidP="000570B5" w14:paraId="5A6673B8" w14:textId="77777777">
      <w:pPr>
        <w:pStyle w:val="TOCHeading"/>
        <w:spacing w:before="0" w:line="276" w:lineRule="auto"/>
        <w:rPr>
          <w:rFonts w:ascii="Times New Roman" w:hAnsi="Times New Roman" w:cs="Times New Roman"/>
          <w:b/>
          <w:bCs/>
          <w:color w:val="auto"/>
          <w:sz w:val="22"/>
          <w:szCs w:val="22"/>
        </w:rPr>
      </w:pPr>
      <w:bookmarkStart w:id="1" w:name="_Hlk184902363"/>
      <w:r w:rsidRPr="0073268C">
        <w:rPr>
          <w:rFonts w:ascii="Times New Roman" w:hAnsi="Times New Roman" w:cs="Times New Roman"/>
          <w:b/>
          <w:bCs/>
          <w:color w:val="auto"/>
          <w:sz w:val="22"/>
          <w:szCs w:val="22"/>
        </w:rPr>
        <w:t>Attachments</w:t>
      </w:r>
    </w:p>
    <w:p w:rsidR="003E0FFE" w:rsidRPr="0073268C" w:rsidP="006C5281" w14:paraId="2772504F" w14:textId="77777777">
      <w:r w:rsidRPr="0073268C">
        <w:t>Attachment 1.  Authorizing Legislation</w:t>
      </w:r>
    </w:p>
    <w:p w:rsidR="003E0FFE" w:rsidRPr="0073268C" w:rsidP="006C5281" w14:paraId="677FA0D7" w14:textId="77777777">
      <w:r w:rsidRPr="0073268C">
        <w:t>Attachment 2. 60-day Federal Register Notice</w:t>
      </w:r>
    </w:p>
    <w:p w:rsidR="003E0FFE" w:rsidRPr="0073268C" w:rsidP="006C5281" w14:paraId="264A5683" w14:textId="676D0C04">
      <w:r w:rsidRPr="0073268C">
        <w:t xml:space="preserve">Attachment 3-7. Surveys </w:t>
      </w:r>
      <w:r>
        <w:t>with questions, responses, and original source of question</w:t>
      </w:r>
      <w:r w:rsidR="00570D20">
        <w:t>s</w:t>
      </w:r>
    </w:p>
    <w:p w:rsidR="003E0FFE" w:rsidRPr="0073268C" w:rsidP="006C5281" w14:paraId="0CE5A37A" w14:textId="77777777">
      <w:r w:rsidRPr="0073268C">
        <w:tab/>
        <w:t>Attachment 3: Adult Survey and clinical assessment</w:t>
      </w:r>
    </w:p>
    <w:p w:rsidR="003E0FFE" w:rsidRPr="0073268C" w:rsidP="006C5281" w14:paraId="60BD4886" w14:textId="77777777">
      <w:r w:rsidRPr="0073268C">
        <w:tab/>
        <w:t>Attachment 4: Parent Survey and clinical assessment</w:t>
      </w:r>
    </w:p>
    <w:p w:rsidR="003E0FFE" w:rsidRPr="0073268C" w:rsidP="006C5281" w14:paraId="58942847" w14:textId="77777777">
      <w:r w:rsidRPr="0073268C">
        <w:tab/>
        <w:t>Attachment 5: Teen Survey and clinical assessment</w:t>
      </w:r>
    </w:p>
    <w:p w:rsidR="003E0FFE" w:rsidRPr="0073268C" w:rsidP="006C5281" w14:paraId="46D9FF57" w14:textId="77777777">
      <w:r w:rsidRPr="0073268C">
        <w:tab/>
        <w:t>Attachment 6: Child 9-11 Survey and clinical assessment</w:t>
      </w:r>
    </w:p>
    <w:p w:rsidR="001D3EF0" w:rsidRPr="0073268C" w:rsidP="006C5281" w14:paraId="1682C4AD" w14:textId="1C19BB1A">
      <w:r w:rsidRPr="0073268C">
        <w:tab/>
        <w:t>Attachment 7: Child 4-8 Clinical assessment</w:t>
      </w:r>
      <w:r w:rsidR="00E454EF">
        <w:t xml:space="preserve"> (YGTSS only)</w:t>
      </w:r>
    </w:p>
    <w:p w:rsidR="003E0FFE" w:rsidRPr="0073268C" w:rsidP="006C5281" w14:paraId="1BEED442" w14:textId="1DB76285">
      <w:r w:rsidRPr="0073268C">
        <w:t xml:space="preserve">Attachment 8-12. Surveys in </w:t>
      </w:r>
      <w:r w:rsidRPr="0073268C">
        <w:t>REDCap</w:t>
      </w:r>
      <w:r w:rsidR="00DF562F">
        <w:t xml:space="preserve"> (note: skip patterns not reflected in </w:t>
      </w:r>
      <w:r w:rsidR="00DF562F">
        <w:t>REDCap</w:t>
      </w:r>
      <w:r w:rsidR="00DF562F">
        <w:t xml:space="preserve"> attachments)</w:t>
      </w:r>
    </w:p>
    <w:p w:rsidR="003E0FFE" w:rsidRPr="0073268C" w:rsidP="006C5281" w14:paraId="345196BC" w14:textId="77777777">
      <w:r w:rsidRPr="0073268C">
        <w:tab/>
        <w:t xml:space="preserve">Attachment 8: Adult Survey in </w:t>
      </w:r>
      <w:r w:rsidRPr="0073268C">
        <w:t>REDCap</w:t>
      </w:r>
    </w:p>
    <w:p w:rsidR="003E0FFE" w:rsidRPr="0073268C" w:rsidP="006C5281" w14:paraId="39106AF6" w14:textId="77777777">
      <w:r w:rsidRPr="0073268C">
        <w:tab/>
        <w:t xml:space="preserve">Attachment 9: Parent Survey in </w:t>
      </w:r>
      <w:r w:rsidRPr="0073268C">
        <w:t>REDCap</w:t>
      </w:r>
    </w:p>
    <w:p w:rsidR="003E0FFE" w:rsidRPr="0073268C" w:rsidP="006C5281" w14:paraId="45E42FD7" w14:textId="77777777">
      <w:r w:rsidRPr="0073268C">
        <w:tab/>
        <w:t xml:space="preserve">Attachment 10: Teen Survey in </w:t>
      </w:r>
      <w:r w:rsidRPr="0073268C">
        <w:t>REDCap</w:t>
      </w:r>
    </w:p>
    <w:p w:rsidR="001D3EF0" w:rsidRPr="0073268C" w:rsidP="006C5281" w14:paraId="3B7A15C4" w14:textId="7147A2B7">
      <w:r w:rsidRPr="0073268C">
        <w:tab/>
        <w:t xml:space="preserve">Attachment 11: Child 9-11 Survey in </w:t>
      </w:r>
      <w:r w:rsidRPr="0073268C">
        <w:t>REDCap</w:t>
      </w:r>
    </w:p>
    <w:p w:rsidR="003E0FFE" w:rsidRPr="0073268C" w:rsidP="006C5281" w14:paraId="136AE428" w14:textId="696FF218">
      <w:r w:rsidRPr="0073268C">
        <w:t>Attachment 12. Summary of content assessed for each respondent type.</w:t>
      </w:r>
    </w:p>
    <w:p w:rsidR="003E0FFE" w:rsidRPr="0073268C" w:rsidP="006C5281" w14:paraId="06BF984B" w14:textId="169F30B2">
      <w:r w:rsidRPr="0073268C">
        <w:t xml:space="preserve">Attachment </w:t>
      </w:r>
      <w:r w:rsidRPr="0073268C" w:rsidR="00570D20">
        <w:t>1</w:t>
      </w:r>
      <w:r w:rsidR="00570D20">
        <w:t>3</w:t>
      </w:r>
      <w:r w:rsidRPr="0073268C">
        <w:t>. Appropriations letter</w:t>
      </w:r>
    </w:p>
    <w:p w:rsidR="003E0FFE" w:rsidP="006C5281" w14:paraId="7F422CD7" w14:textId="501C87EB">
      <w:r w:rsidRPr="0073268C">
        <w:t>Attachment 14. Thank you note</w:t>
      </w:r>
    </w:p>
    <w:p w:rsidR="003E0FFE" w:rsidP="006C5281" w14:paraId="28BF2BC5" w14:textId="50862E3B">
      <w:r>
        <w:t>Attachment 15. Research Determination</w:t>
      </w:r>
    </w:p>
    <w:p w:rsidR="003E0FFE" w:rsidP="006C5281" w14:paraId="48FEDB30" w14:textId="4A4FA8BE">
      <w:r w:rsidRPr="00545F3C">
        <w:t>Attachment 16. Privacy Impact assessment</w:t>
      </w:r>
    </w:p>
    <w:p w:rsidR="003E0FFE" w:rsidP="006C5281" w14:paraId="742BAA3C" w14:textId="743E297A">
      <w:r>
        <w:t>Attachment 17. Introductory Letter</w:t>
      </w:r>
    </w:p>
    <w:p w:rsidR="003E0FFE" w:rsidP="006C5281" w14:paraId="4A2EABEB" w14:textId="5BDFC559">
      <w:r>
        <w:t xml:space="preserve">Attachment 18. </w:t>
      </w:r>
      <w:r w:rsidRPr="00F22AAD">
        <w:t>Participa</w:t>
      </w:r>
      <w:r w:rsidRPr="00661D45" w:rsidR="00F22AAD">
        <w:t>nt</w:t>
      </w:r>
      <w:r>
        <w:t xml:space="preserve"> Information Sheet</w:t>
      </w:r>
      <w:r w:rsidR="001D3EF0">
        <w:t xml:space="preserve"> for Parents/Children</w:t>
      </w:r>
    </w:p>
    <w:p w:rsidR="001D3EF0" w:rsidP="006C5281" w14:paraId="449A79CC" w14:textId="370F1B38">
      <w:r>
        <w:t xml:space="preserve">Attachment </w:t>
      </w:r>
      <w:r w:rsidR="00D83C19">
        <w:t>19</w:t>
      </w:r>
      <w:r>
        <w:t>. Participant Information Sheet for Adults</w:t>
      </w:r>
    </w:p>
    <w:p w:rsidR="00D83C19" w:rsidP="006C5281" w14:paraId="4C898486" w14:textId="6934C552">
      <w:r>
        <w:t>Attachment 20. Suicide resources</w:t>
      </w:r>
    </w:p>
    <w:p w:rsidR="003E0FFE" w:rsidP="006C5281" w14:paraId="7B863467" w14:textId="5981ABD8">
      <w:r w:rsidRPr="0073268C">
        <w:t xml:space="preserve">Attachment </w:t>
      </w:r>
      <w:r w:rsidR="00D83C19">
        <w:t>21</w:t>
      </w:r>
      <w:r w:rsidRPr="0073268C">
        <w:t xml:space="preserve">. </w:t>
      </w:r>
      <w:bookmarkEnd w:id="1"/>
      <w:r w:rsidRPr="0073268C">
        <w:t>References</w:t>
      </w:r>
    </w:p>
    <w:p w:rsidR="003E0FFE" w:rsidRPr="008915D9" w:rsidP="00340BE0" w14:paraId="6695520B" w14:textId="77777777">
      <w:pPr>
        <w:rPr>
          <w:sz w:val="22"/>
          <w:szCs w:val="22"/>
        </w:rPr>
      </w:pPr>
    </w:p>
    <w:p w:rsidR="003E0FFE" w:rsidRPr="008915D9" w:rsidP="00873BFC" w14:paraId="09796F4E" w14:textId="77777777">
      <w:pPr>
        <w:rPr>
          <w:b/>
          <w:sz w:val="22"/>
          <w:szCs w:val="22"/>
        </w:rPr>
      </w:pPr>
    </w:p>
    <w:p w:rsidR="003E0FFE" w:rsidRPr="008915D9" w14:paraId="12AFA7C1" w14:textId="77777777">
      <w:pPr>
        <w:spacing w:after="200" w:line="276" w:lineRule="auto"/>
        <w:rPr>
          <w:b/>
          <w:sz w:val="22"/>
          <w:szCs w:val="22"/>
        </w:rPr>
      </w:pPr>
      <w:r w:rsidRPr="008915D9">
        <w:rPr>
          <w:b/>
          <w:sz w:val="22"/>
          <w:szCs w:val="22"/>
        </w:rPr>
        <w:br w:type="page"/>
      </w:r>
    </w:p>
    <w:p w:rsidR="003E0FFE" w:rsidRPr="008915D9" w:rsidP="00873BFC" w14:paraId="77C3553A" w14:textId="77777777">
      <w:pPr>
        <w:rPr>
          <w:b/>
          <w:sz w:val="22"/>
          <w:szCs w:val="22"/>
        </w:rPr>
      </w:pPr>
      <w:r w:rsidRPr="008915D9">
        <w:rPr>
          <w:b/>
          <w:sz w:val="22"/>
          <w:szCs w:val="22"/>
        </w:rPr>
        <w:t xml:space="preserve">Supporting Statement Part A. Justification </w:t>
      </w:r>
    </w:p>
    <w:p w:rsidR="003E0FFE" w:rsidRPr="008915D9" w:rsidP="00873BFC" w14:paraId="1BA9822A" w14:textId="77777777">
      <w:pPr>
        <w:rPr>
          <w:b/>
          <w:sz w:val="22"/>
          <w:szCs w:val="22"/>
        </w:rPr>
      </w:pPr>
    </w:p>
    <w:p w:rsidR="003E0FFE" w:rsidRPr="008915D9" w:rsidP="00873BFC" w14:paraId="50F354E8" w14:textId="77777777">
      <w:pPr>
        <w:pStyle w:val="ListBullet"/>
        <w:numPr>
          <w:ilvl w:val="0"/>
          <w:numId w:val="0"/>
        </w:numPr>
        <w:ind w:left="1440" w:hanging="360"/>
        <w:rPr>
          <w:b/>
        </w:rPr>
      </w:pPr>
    </w:p>
    <w:p w:rsidR="003E0FFE" w:rsidRPr="008915D9" w:rsidP="003E680F" w14:paraId="220D2558" w14:textId="77777777">
      <w:pPr>
        <w:pStyle w:val="ListBullet"/>
        <w:numPr>
          <w:ilvl w:val="0"/>
          <w:numId w:val="0"/>
        </w:numPr>
        <w:rPr>
          <w:b/>
        </w:rPr>
      </w:pPr>
      <w:r w:rsidRPr="008915D9">
        <w:rPr>
          <w:b/>
        </w:rPr>
        <w:t>A. Justification</w:t>
      </w:r>
    </w:p>
    <w:tbl>
      <w:tblPr>
        <w:tblCaption w:val="Example Summary 2"/>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165"/>
      </w:tblGrid>
      <w:tr w14:paraId="647596EC" w14:textId="77777777" w:rsidTr="4C7E005F">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9165" w:type="dxa"/>
            <w:tcBorders>
              <w:top w:val="single" w:sz="6" w:space="0" w:color="auto"/>
              <w:left w:val="single" w:sz="6" w:space="0" w:color="auto"/>
              <w:bottom w:val="nil"/>
              <w:right w:val="single" w:sz="6" w:space="0" w:color="auto"/>
            </w:tcBorders>
            <w:shd w:val="clear" w:color="auto" w:fill="auto"/>
            <w:hideMark/>
          </w:tcPr>
          <w:p w:rsidR="003E0FFE" w:rsidRPr="008915D9" w:rsidP="003D7AB1" w14:paraId="6D5E6B5F" w14:textId="77777777">
            <w:pPr>
              <w:pStyle w:val="ListBullet"/>
              <w:numPr>
                <w:ilvl w:val="0"/>
                <w:numId w:val="0"/>
              </w:numPr>
            </w:pPr>
            <w:r w:rsidRPr="008915D9">
              <w:rPr>
                <w:b/>
                <w:bCs/>
              </w:rPr>
              <w:t xml:space="preserve">Goal of the project:  </w:t>
            </w:r>
            <w:r w:rsidRPr="008915D9">
              <w:rPr>
                <w:color w:val="000000"/>
                <w:shd w:val="clear" w:color="auto" w:fill="FFFFFF"/>
              </w:rPr>
              <w:t>T</w:t>
            </w:r>
            <w:r w:rsidRPr="008915D9">
              <w:rPr>
                <w:rStyle w:val="normaltextrun"/>
                <w:color w:val="000000"/>
                <w:shd w:val="clear" w:color="auto" w:fill="FFFFFF"/>
              </w:rPr>
              <w:t>o conduct data collection to describe the public health impact of persistent tic disorders (PTD) including Tourette syndrome (TS) among diverse populations of children, adolescents, and young adults (i.e., aged 4 to 26 years) identified in clinical settings.</w:t>
            </w:r>
          </w:p>
          <w:p w:rsidR="003E0FFE" w:rsidRPr="008915D9" w:rsidP="004E29F4" w14:paraId="5A4A0383" w14:textId="77777777">
            <w:pPr>
              <w:pStyle w:val="ListBullet"/>
              <w:numPr>
                <w:ilvl w:val="0"/>
                <w:numId w:val="0"/>
              </w:numPr>
            </w:pPr>
            <w:r w:rsidRPr="008915D9">
              <w:t> </w:t>
            </w:r>
          </w:p>
        </w:tc>
      </w:tr>
      <w:tr w14:paraId="41D28CAE" w14:textId="77777777" w:rsidTr="4C7E005F">
        <w:tblPrEx>
          <w:tblW w:w="0" w:type="dxa"/>
          <w:tblCellMar>
            <w:left w:w="0" w:type="dxa"/>
            <w:right w:w="0" w:type="dxa"/>
          </w:tblCellMar>
          <w:tblLook w:val="04A0"/>
        </w:tblPrEx>
        <w:tc>
          <w:tcPr>
            <w:tcW w:w="9165" w:type="dxa"/>
            <w:tcBorders>
              <w:top w:val="nil"/>
              <w:left w:val="single" w:sz="6" w:space="0" w:color="auto"/>
              <w:bottom w:val="nil"/>
              <w:right w:val="single" w:sz="6" w:space="0" w:color="auto"/>
            </w:tcBorders>
            <w:shd w:val="clear" w:color="auto" w:fill="auto"/>
            <w:hideMark/>
          </w:tcPr>
          <w:p w:rsidR="003E0FFE" w:rsidRPr="008915D9" w:rsidP="004E29F4" w14:paraId="0E2BCFE0" w14:textId="77777777">
            <w:pPr>
              <w:pStyle w:val="ListBullet"/>
              <w:numPr>
                <w:ilvl w:val="0"/>
                <w:numId w:val="0"/>
              </w:numPr>
            </w:pPr>
            <w:r w:rsidRPr="008915D9">
              <w:rPr>
                <w:b/>
                <w:bCs/>
              </w:rPr>
              <w:t>Intended use of the resulting data:</w:t>
            </w:r>
            <w:r w:rsidRPr="008915D9">
              <w:t xml:space="preserve"> </w:t>
            </w:r>
            <w:r w:rsidRPr="008915D9">
              <w:rPr>
                <w:rStyle w:val="normaltextrun"/>
                <w:color w:val="000000"/>
                <w:shd w:val="clear" w:color="auto" w:fill="FFFFFF"/>
              </w:rPr>
              <w:t>These data will inform education and outreach activities to improve the health and well-being of individuals with PTD/TS.</w:t>
            </w:r>
          </w:p>
        </w:tc>
      </w:tr>
      <w:tr w14:paraId="164ABE42" w14:textId="77777777" w:rsidTr="4C7E005F">
        <w:tblPrEx>
          <w:tblW w:w="0" w:type="dxa"/>
          <w:tblCellMar>
            <w:left w:w="0" w:type="dxa"/>
            <w:right w:w="0" w:type="dxa"/>
          </w:tblCellMar>
          <w:tblLook w:val="04A0"/>
        </w:tblPrEx>
        <w:tc>
          <w:tcPr>
            <w:tcW w:w="9165" w:type="dxa"/>
            <w:tcBorders>
              <w:top w:val="nil"/>
              <w:left w:val="single" w:sz="6" w:space="0" w:color="auto"/>
              <w:bottom w:val="nil"/>
              <w:right w:val="single" w:sz="6" w:space="0" w:color="auto"/>
            </w:tcBorders>
            <w:shd w:val="clear" w:color="auto" w:fill="auto"/>
            <w:hideMark/>
          </w:tcPr>
          <w:p w:rsidR="003E0FFE" w:rsidRPr="008915D9" w:rsidP="004E29F4" w14:paraId="456BD3EA" w14:textId="77777777">
            <w:pPr>
              <w:pStyle w:val="ListBullet"/>
              <w:numPr>
                <w:ilvl w:val="0"/>
                <w:numId w:val="0"/>
              </w:numPr>
            </w:pPr>
          </w:p>
          <w:p w:rsidR="003E0FFE" w:rsidRPr="008915D9" w:rsidP="004E29F4" w14:paraId="54AD96A4" w14:textId="249E6705">
            <w:pPr>
              <w:pStyle w:val="ListBullet"/>
              <w:numPr>
                <w:ilvl w:val="0"/>
                <w:numId w:val="0"/>
              </w:numPr>
              <w:rPr>
                <w:rStyle w:val="normaltextrun"/>
                <w:color w:val="000000"/>
                <w:shd w:val="clear" w:color="auto" w:fill="FFFFFF"/>
              </w:rPr>
            </w:pPr>
            <w:r w:rsidRPr="008915D9">
              <w:rPr>
                <w:b/>
                <w:bCs/>
              </w:rPr>
              <w:t>Methods to be used to collect:</w:t>
            </w:r>
            <w:r w:rsidRPr="008915D9">
              <w:t xml:space="preserve"> </w:t>
            </w:r>
            <w:r w:rsidRPr="008915D9">
              <w:rPr>
                <w:color w:val="000000" w:themeColor="text1"/>
              </w:rPr>
              <w:t xml:space="preserve">This is a cross-sectional surveillance project. </w:t>
            </w:r>
            <w:bookmarkStart w:id="2" w:name="_Hlk158627111"/>
            <w:r w:rsidRPr="008915D9">
              <w:rPr>
                <w:color w:val="000000" w:themeColor="text1"/>
              </w:rPr>
              <w:t xml:space="preserve">Data will be collected once from a </w:t>
            </w:r>
            <w:r w:rsidR="00537AE2">
              <w:rPr>
                <w:color w:val="000000" w:themeColor="text1"/>
              </w:rPr>
              <w:t>respondent</w:t>
            </w:r>
            <w:r w:rsidRPr="008915D9" w:rsidR="00537AE2">
              <w:rPr>
                <w:color w:val="000000" w:themeColor="text1"/>
              </w:rPr>
              <w:t xml:space="preserve"> </w:t>
            </w:r>
            <w:r w:rsidRPr="008915D9">
              <w:rPr>
                <w:color w:val="000000" w:themeColor="text1"/>
              </w:rPr>
              <w:t xml:space="preserve">(i.e., individuals with </w:t>
            </w:r>
            <w:r w:rsidRPr="008915D9">
              <w:rPr>
                <w:rStyle w:val="normaltextrun"/>
                <w:color w:val="000000"/>
                <w:shd w:val="clear" w:color="auto" w:fill="FFFFFF"/>
              </w:rPr>
              <w:t>persistent tic disorders (PTD) including Tourette syndrome (TS) and their caregiver, if individual is &lt;18 years), via a survey and clinical assessment.</w:t>
            </w:r>
            <w:bookmarkEnd w:id="2"/>
          </w:p>
          <w:p w:rsidR="003E0FFE" w:rsidRPr="008915D9" w:rsidP="004E29F4" w14:paraId="2278FB3B" w14:textId="77777777">
            <w:pPr>
              <w:pStyle w:val="ListBullet"/>
              <w:numPr>
                <w:ilvl w:val="0"/>
                <w:numId w:val="0"/>
              </w:numPr>
            </w:pPr>
          </w:p>
        </w:tc>
      </w:tr>
      <w:tr w14:paraId="3F8C8779" w14:textId="77777777" w:rsidTr="4C7E005F">
        <w:tblPrEx>
          <w:tblW w:w="0" w:type="dxa"/>
          <w:tblCellMar>
            <w:left w:w="0" w:type="dxa"/>
            <w:right w:w="0" w:type="dxa"/>
          </w:tblCellMar>
          <w:tblLook w:val="04A0"/>
        </w:tblPrEx>
        <w:tc>
          <w:tcPr>
            <w:tcW w:w="9165" w:type="dxa"/>
            <w:tcBorders>
              <w:top w:val="nil"/>
              <w:left w:val="single" w:sz="6" w:space="0" w:color="auto"/>
              <w:bottom w:val="nil"/>
              <w:right w:val="single" w:sz="6" w:space="0" w:color="auto"/>
            </w:tcBorders>
            <w:shd w:val="clear" w:color="auto" w:fill="auto"/>
            <w:hideMark/>
          </w:tcPr>
          <w:p w:rsidR="003E0FFE" w:rsidRPr="008915D9" w:rsidP="0066471E" w14:paraId="4C71A9D1" w14:textId="77777777">
            <w:pPr>
              <w:pStyle w:val="ListBullet"/>
              <w:numPr>
                <w:ilvl w:val="0"/>
                <w:numId w:val="0"/>
              </w:numPr>
              <w:ind w:hanging="15"/>
            </w:pPr>
            <w:r w:rsidRPr="00B32575">
              <w:rPr>
                <w:b/>
                <w:bCs/>
              </w:rPr>
              <w:t>The subpopulation to be studied:</w:t>
            </w:r>
            <w:r w:rsidRPr="008915D9">
              <w:t> </w:t>
            </w:r>
            <w:r w:rsidRPr="00B32575">
              <w:rPr>
                <w:rStyle w:val="normaltextrun"/>
                <w:color w:val="000000"/>
                <w:bdr w:val="none" w:sz="0" w:space="0" w:color="auto" w:frame="1"/>
              </w:rPr>
              <w:t xml:space="preserve">Children, adolescents, and young adults (aged 4 to 26 years) </w:t>
            </w:r>
            <w:r w:rsidRPr="00B32575">
              <w:rPr>
                <w:rStyle w:val="normaltextrun"/>
                <w:color w:val="000000"/>
              </w:rPr>
              <w:t>with</w:t>
            </w:r>
            <w:r w:rsidRPr="00B32575">
              <w:rPr>
                <w:rStyle w:val="normaltextrun"/>
                <w:color w:val="000000"/>
                <w:shd w:val="clear" w:color="auto" w:fill="FFFFFF"/>
              </w:rPr>
              <w:t xml:space="preserve"> persistent tic disorders, including Tourette syndrome recruited from clinical sites</w:t>
            </w:r>
            <w:r>
              <w:rPr>
                <w:rStyle w:val="normaltextrun"/>
                <w:color w:val="000000"/>
                <w:shd w:val="clear" w:color="auto" w:fill="FFFFFF"/>
              </w:rPr>
              <w:t xml:space="preserve">. The University of South Florida (USF) will recruit from the </w:t>
            </w:r>
            <w:bookmarkStart w:id="3" w:name="_Hlk184135778"/>
            <w:r w:rsidRPr="00B32575">
              <w:rPr>
                <w:rStyle w:val="normaltextrun"/>
                <w:color w:val="000000"/>
                <w:shd w:val="clear" w:color="auto" w:fill="FFFFFF"/>
              </w:rPr>
              <w:t>Division of Pediatric Neuropsychiatry – Rothman Center, St. Petersburg, FL</w:t>
            </w:r>
            <w:r>
              <w:rPr>
                <w:rStyle w:val="normaltextrun"/>
                <w:color w:val="000000"/>
                <w:shd w:val="clear" w:color="auto" w:fill="FFFFFF"/>
              </w:rPr>
              <w:t xml:space="preserve"> and the</w:t>
            </w:r>
            <w:r w:rsidRPr="00B32575">
              <w:rPr>
                <w:rStyle w:val="normaltextrun"/>
                <w:color w:val="000000"/>
                <w:shd w:val="clear" w:color="auto" w:fill="FFFFFF"/>
              </w:rPr>
              <w:t xml:space="preserve"> Division of Pediatric Neurology, Tampa, FL</w:t>
            </w:r>
            <w:bookmarkEnd w:id="3"/>
            <w:r>
              <w:rPr>
                <w:rStyle w:val="normaltextrun"/>
                <w:color w:val="000000"/>
                <w:shd w:val="clear" w:color="auto" w:fill="FFFFFF"/>
              </w:rPr>
              <w:t xml:space="preserve">. The Tourette Association of America (TAA) will recruit from three sites that are designated as a </w:t>
            </w:r>
            <w:r w:rsidRPr="0066471E">
              <w:rPr>
                <w:rStyle w:val="normaltextrun"/>
                <w:color w:val="000000"/>
                <w:shd w:val="clear" w:color="auto" w:fill="FFFFFF"/>
              </w:rPr>
              <w:t>TAA Center of Excellence</w:t>
            </w:r>
            <w:r>
              <w:rPr>
                <w:rStyle w:val="normaltextrun"/>
                <w:color w:val="000000"/>
                <w:shd w:val="clear" w:color="auto" w:fill="FFFFFF"/>
              </w:rPr>
              <w:t xml:space="preserve">. They have proposed the following three sites but have not finalized agreements and may select alternate sites: </w:t>
            </w:r>
            <w:r w:rsidRPr="0066471E">
              <w:rPr>
                <w:rStyle w:val="normaltextrun"/>
                <w:color w:val="000000"/>
                <w:shd w:val="clear" w:color="auto" w:fill="FFFFFF"/>
              </w:rPr>
              <w:t xml:space="preserve">Mount Sinai </w:t>
            </w:r>
            <w:r>
              <w:rPr>
                <w:rStyle w:val="normaltextrun"/>
                <w:color w:val="000000"/>
                <w:shd w:val="clear" w:color="auto" w:fill="FFFFFF"/>
              </w:rPr>
              <w:t>TAA Center of Excellence</w:t>
            </w:r>
            <w:r w:rsidRPr="0066471E">
              <w:rPr>
                <w:rStyle w:val="normaltextrun"/>
                <w:color w:val="000000"/>
                <w:shd w:val="clear" w:color="auto" w:fill="FFFFFF"/>
              </w:rPr>
              <w:t>, New York, NY</w:t>
            </w:r>
            <w:r>
              <w:rPr>
                <w:rStyle w:val="normaltextrun"/>
                <w:color w:val="000000"/>
                <w:shd w:val="clear" w:color="auto" w:fill="FFFFFF"/>
              </w:rPr>
              <w:t xml:space="preserve">; </w:t>
            </w:r>
            <w:r w:rsidRPr="0066471E">
              <w:rPr>
                <w:rStyle w:val="normaltextrun"/>
                <w:color w:val="000000"/>
                <w:shd w:val="clear" w:color="auto" w:fill="FFFFFF"/>
              </w:rPr>
              <w:t>Washington University TAA Center of Excellence, St. Louis, MO</w:t>
            </w:r>
            <w:r>
              <w:rPr>
                <w:rStyle w:val="normaltextrun"/>
                <w:color w:val="000000"/>
                <w:shd w:val="clear" w:color="auto" w:fill="FFFFFF"/>
              </w:rPr>
              <w:t xml:space="preserve">; </w:t>
            </w:r>
            <w:r w:rsidRPr="0066471E">
              <w:rPr>
                <w:rStyle w:val="normaltextrun"/>
                <w:color w:val="000000"/>
                <w:shd w:val="clear" w:color="auto" w:fill="FFFFFF"/>
              </w:rPr>
              <w:t>University of Miami Miller School of Medicine TAA Center of Excellence, Miami, FL</w:t>
            </w:r>
            <w:r w:rsidRPr="008915D9">
              <w:rPr>
                <w:rStyle w:val="normaltextrun"/>
                <w:color w:val="000000"/>
                <w:shd w:val="clear" w:color="auto" w:fill="FFFFFF"/>
              </w:rPr>
              <w:t>.</w:t>
            </w:r>
          </w:p>
        </w:tc>
      </w:tr>
      <w:tr w14:paraId="4D9A5649" w14:textId="77777777" w:rsidTr="4C7E005F">
        <w:tblPrEx>
          <w:tblW w:w="0" w:type="dxa"/>
          <w:tblCellMar>
            <w:left w:w="0" w:type="dxa"/>
            <w:right w:w="0" w:type="dxa"/>
          </w:tblCellMar>
          <w:tblLook w:val="04A0"/>
        </w:tblPrEx>
        <w:tc>
          <w:tcPr>
            <w:tcW w:w="9165" w:type="dxa"/>
            <w:tcBorders>
              <w:top w:val="nil"/>
              <w:left w:val="single" w:sz="6" w:space="0" w:color="auto"/>
              <w:bottom w:val="single" w:sz="6" w:space="0" w:color="auto"/>
              <w:right w:val="single" w:sz="6" w:space="0" w:color="auto"/>
            </w:tcBorders>
            <w:shd w:val="clear" w:color="auto" w:fill="auto"/>
            <w:hideMark/>
          </w:tcPr>
          <w:p w:rsidR="003E0FFE" w:rsidRPr="008915D9" w:rsidP="004E29F4" w14:paraId="0D3610EA" w14:textId="77777777">
            <w:pPr>
              <w:pStyle w:val="ListBullet"/>
              <w:numPr>
                <w:ilvl w:val="0"/>
                <w:numId w:val="0"/>
              </w:numPr>
            </w:pPr>
          </w:p>
          <w:p w:rsidR="003E0FFE" w:rsidRPr="008915D9" w:rsidP="004E29F4" w14:paraId="6E33A052" w14:textId="77777777">
            <w:pPr>
              <w:pStyle w:val="ListBullet"/>
              <w:numPr>
                <w:ilvl w:val="0"/>
                <w:numId w:val="0"/>
              </w:numPr>
            </w:pPr>
            <w:r w:rsidRPr="008915D9">
              <w:rPr>
                <w:b/>
                <w:bCs/>
              </w:rPr>
              <w:t>How the data will be analyzed:</w:t>
            </w:r>
            <w:r w:rsidRPr="008915D9">
              <w:t> </w:t>
            </w:r>
            <w:r w:rsidRPr="008915D9">
              <w:rPr>
                <w:color w:val="000000" w:themeColor="text1"/>
              </w:rPr>
              <w:t>Prevalence estimates of outcomes with 95% confidence intervals will be calculated overall, by type of persistent tic disorder, and by important demographic characteristics, such as age, sex, race, and ethnicity. Using chi square tests, prevalence estimates will be compared to those among the general population of U.S. children, adolescents, and young adults from national, state, or local publicly available population-based surveys, such as the National Survey of Children’s Health, the National Health Interview Survey and the Youth Risk Behavior Survey.</w:t>
            </w:r>
          </w:p>
        </w:tc>
      </w:tr>
    </w:tbl>
    <w:p w:rsidR="003E0FFE" w:rsidRPr="008915D9" w:rsidP="003E680F" w14:paraId="34ED08F5" w14:textId="77777777">
      <w:pPr>
        <w:pStyle w:val="ListBullet"/>
        <w:numPr>
          <w:ilvl w:val="0"/>
          <w:numId w:val="0"/>
        </w:numPr>
        <w:rPr>
          <w:b/>
        </w:rPr>
      </w:pPr>
    </w:p>
    <w:p w:rsidR="003E0FFE" w:rsidRPr="008915D9" w:rsidP="0060139E" w14:paraId="047D8210" w14:textId="77777777">
      <w:pPr>
        <w:pStyle w:val="Style1"/>
        <w:rPr>
          <w:szCs w:val="22"/>
        </w:rPr>
      </w:pPr>
      <w:bookmarkStart w:id="4" w:name="_Toc106703804"/>
      <w:r w:rsidRPr="008915D9">
        <w:rPr>
          <w:szCs w:val="22"/>
        </w:rPr>
        <w:t>Section A.1. Circumstances Making the Collection of Information Necessary</w:t>
      </w:r>
      <w:bookmarkEnd w:id="4"/>
    </w:p>
    <w:p w:rsidR="003E0FFE" w:rsidRPr="008915D9" w:rsidP="00873BFC" w14:paraId="5DF3583B" w14:textId="77777777">
      <w:pPr>
        <w:pStyle w:val="ListBullet"/>
        <w:numPr>
          <w:ilvl w:val="0"/>
          <w:numId w:val="0"/>
        </w:numPr>
      </w:pPr>
    </w:p>
    <w:p w:rsidR="003E0FFE" w:rsidRPr="007C4CCE" w:rsidP="00873BFC" w14:paraId="5B8CC705" w14:textId="77777777">
      <w:pPr>
        <w:pStyle w:val="ListBullet"/>
        <w:numPr>
          <w:ilvl w:val="0"/>
          <w:numId w:val="0"/>
        </w:numPr>
      </w:pPr>
      <w:r w:rsidRPr="008915D9">
        <w:t xml:space="preserve">This Information Collection Request is submitted under the classification “New” request.  The length of data collection requested for Office of Management and Budget (OMB) approval is 3 years. </w:t>
      </w:r>
      <w:bookmarkStart w:id="5" w:name="_Hlk160707252"/>
      <w:r w:rsidRPr="008915D9">
        <w:t xml:space="preserve">The National Center on Birth Defects and Developmental Disabilities (NCBDDD) at the Centers for Disease Control and Prevention (CDC) is making this request as authorized by </w:t>
      </w:r>
      <w:r w:rsidRPr="007C4CCE">
        <w:t>Sections 301(a) and 317C of the Public Health Service Act, [42 U.S.C. Sections 241(a) and 247b-4, as amended] (</w:t>
      </w:r>
      <w:r w:rsidRPr="007C4CCE">
        <w:rPr>
          <w:b/>
          <w:bCs/>
        </w:rPr>
        <w:t>Attachment 1</w:t>
      </w:r>
      <w:r w:rsidRPr="007C4CCE">
        <w:t>).</w:t>
      </w:r>
      <w:bookmarkEnd w:id="5"/>
      <w:r w:rsidRPr="007C4CCE">
        <w:t xml:space="preserve"> </w:t>
      </w:r>
    </w:p>
    <w:p w:rsidR="003E0FFE" w:rsidRPr="007C4CCE" w:rsidP="00873BFC" w14:paraId="42BBE0C2" w14:textId="77777777">
      <w:pPr>
        <w:pStyle w:val="ListBullet"/>
        <w:numPr>
          <w:ilvl w:val="0"/>
          <w:numId w:val="0"/>
        </w:numPr>
      </w:pPr>
    </w:p>
    <w:p w:rsidR="003E0FFE" w:rsidRPr="008915D9" w:rsidP="00873BFC" w14:paraId="3CAA596E" w14:textId="77777777">
      <w:pPr>
        <w:pStyle w:val="ListBullet"/>
        <w:numPr>
          <w:ilvl w:val="0"/>
          <w:numId w:val="0"/>
        </w:numPr>
      </w:pPr>
      <w:r w:rsidRPr="007C4CCE">
        <w:t>A copy of the agency’s 60-day Federal Register Notice is attached (</w:t>
      </w:r>
      <w:r w:rsidRPr="007C4CCE">
        <w:rPr>
          <w:i/>
          <w:iCs/>
        </w:rPr>
        <w:t xml:space="preserve">60-day Federal Register Notice </w:t>
      </w:r>
      <w:r w:rsidRPr="007C4CCE">
        <w:rPr>
          <w:b/>
          <w:bCs/>
        </w:rPr>
        <w:t>Attachment 2</w:t>
      </w:r>
      <w:r w:rsidRPr="007C4CCE">
        <w:t>).</w:t>
      </w:r>
    </w:p>
    <w:p w:rsidR="003E0FFE" w:rsidRPr="008915D9" w:rsidP="00873BFC" w14:paraId="6E359A77" w14:textId="77777777">
      <w:pPr>
        <w:pStyle w:val="ListBullet"/>
        <w:numPr>
          <w:ilvl w:val="0"/>
          <w:numId w:val="0"/>
        </w:numPr>
      </w:pPr>
    </w:p>
    <w:p w:rsidR="003E0FFE" w:rsidRPr="008915D9" w:rsidP="00444C25" w14:paraId="1973A857" w14:textId="77777777">
      <w:pPr>
        <w:pStyle w:val="ListBullet"/>
        <w:numPr>
          <w:ilvl w:val="0"/>
          <w:numId w:val="0"/>
        </w:numPr>
        <w:rPr>
          <w:u w:val="single"/>
        </w:rPr>
      </w:pPr>
      <w:r w:rsidRPr="008915D9">
        <w:rPr>
          <w:u w:val="single"/>
        </w:rPr>
        <w:t>Background</w:t>
      </w:r>
    </w:p>
    <w:p w:rsidR="003E0FFE" w:rsidRPr="008915D9" w:rsidP="00444C25" w14:paraId="050DD4AC" w14:textId="77777777">
      <w:pPr>
        <w:pStyle w:val="ListBullet"/>
        <w:numPr>
          <w:ilvl w:val="0"/>
          <w:numId w:val="0"/>
        </w:numPr>
        <w:rPr>
          <w:u w:val="single"/>
        </w:rPr>
      </w:pPr>
    </w:p>
    <w:p w:rsidR="003E0FFE" w:rsidRPr="008915D9" w:rsidP="00D543EA" w14:paraId="7EA46D66" w14:textId="77777777">
      <w:pPr>
        <w:rPr>
          <w:sz w:val="22"/>
          <w:szCs w:val="22"/>
        </w:rPr>
      </w:pPr>
      <w:r w:rsidRPr="008915D9">
        <w:rPr>
          <w:sz w:val="22"/>
          <w:szCs w:val="22"/>
        </w:rPr>
        <w:t>There are an estimated 1.4 million people in the U.S. affected by persistent tic disorders (PTD), including Tourette syndrome (TS).</w:t>
      </w:r>
      <w:r w:rsidRPr="008915D9">
        <w:rPr>
          <w:noProof/>
          <w:sz w:val="22"/>
          <w:szCs w:val="22"/>
        </w:rPr>
        <w:t>[1]</w:t>
      </w:r>
      <w:r w:rsidRPr="008915D9">
        <w:rPr>
          <w:sz w:val="22"/>
          <w:szCs w:val="22"/>
        </w:rPr>
        <w:t xml:space="preserve"> To support people with these conditions, the impact of PTD/TS must be understood. Although some data on the impact of PTD/TS on social relationships and education are available, other potential outcomes associated with PTD/TS have not been well-documented, including </w:t>
      </w:r>
      <w:r w:rsidRPr="008915D9">
        <w:rPr>
          <w:sz w:val="22"/>
          <w:szCs w:val="22"/>
        </w:rPr>
        <w:t>costs associated with tic disorders, suicidality risk, health care transition, and how co-occurring disorders modify these outcomes. Limited data are available on how these outcomes may differ among sub-populations (e.g., by sex, race/ethnicity, age group, and geography [e.g., urban/rural]). Data on PTD/TS are particularly limited for adults.</w:t>
      </w:r>
    </w:p>
    <w:p w:rsidR="003E0FFE" w:rsidRPr="008915D9" w:rsidP="00D543EA" w14:paraId="0505D4A0" w14:textId="77777777">
      <w:pPr>
        <w:rPr>
          <w:sz w:val="22"/>
          <w:szCs w:val="22"/>
        </w:rPr>
      </w:pPr>
    </w:p>
    <w:p w:rsidR="003E0FFE" w:rsidRPr="008915D9" w:rsidP="004A0452" w14:paraId="4BBAA743" w14:textId="77777777">
      <w:pPr>
        <w:pStyle w:val="ListBullet"/>
        <w:numPr>
          <w:ilvl w:val="0"/>
          <w:numId w:val="0"/>
        </w:numPr>
      </w:pPr>
    </w:p>
    <w:p w:rsidR="003E0FFE" w:rsidRPr="008915D9" w:rsidP="00FA79AC" w14:paraId="52AF8477" w14:textId="104FFE4F">
      <w:pPr>
        <w:autoSpaceDE w:val="0"/>
        <w:autoSpaceDN w:val="0"/>
        <w:adjustRightInd w:val="0"/>
        <w:rPr>
          <w:sz w:val="22"/>
          <w:szCs w:val="22"/>
        </w:rPr>
      </w:pPr>
      <w:r w:rsidRPr="008915D9">
        <w:rPr>
          <w:sz w:val="22"/>
          <w:szCs w:val="22"/>
        </w:rPr>
        <w:t xml:space="preserve">A single source of population-based surveillance data exists for Tourette syndrome, the National Survey of Children’s Health (NSCH; OMB No. 0607-0990, exp. 04/30/2027), which is funded by the Health Resources and Services Administration (HRSA) and conducted by the U.S. Census. While this survey has been beneficial in describing some impacts associated with TS including bullying, parenting aggravation, healthcare needs, and school </w:t>
      </w:r>
      <w:r w:rsidRPr="008915D9">
        <w:rPr>
          <w:sz w:val="22"/>
          <w:szCs w:val="22"/>
        </w:rPr>
        <w:t>outcomes,</w:t>
      </w:r>
      <w:r w:rsidRPr="008915D9">
        <w:rPr>
          <w:noProof/>
          <w:sz w:val="22"/>
          <w:szCs w:val="22"/>
        </w:rPr>
        <w:t>[</w:t>
      </w:r>
      <w:r w:rsidRPr="008915D9">
        <w:rPr>
          <w:noProof/>
          <w:sz w:val="22"/>
          <w:szCs w:val="22"/>
        </w:rPr>
        <w:t>2-8]</w:t>
      </w:r>
      <w:r w:rsidRPr="008915D9">
        <w:rPr>
          <w:sz w:val="22"/>
          <w:szCs w:val="22"/>
        </w:rPr>
        <w:t xml:space="preserve"> it does not include other persistent tic disorders that occur in approximately 1.6% of children, information on the priority outcomes of associated costs and suicidality risk, or information on key co-occurring disorders such as obsessive-compulsive disorder. NSCH is based on parent-report, and diagnosis of TS is not validated. Additionally, although the survey has a large sample size, only a small number of minority </w:t>
      </w:r>
      <w:r w:rsidR="00537AE2">
        <w:rPr>
          <w:sz w:val="22"/>
          <w:szCs w:val="22"/>
        </w:rPr>
        <w:t>children</w:t>
      </w:r>
      <w:r w:rsidRPr="008915D9">
        <w:rPr>
          <w:sz w:val="22"/>
          <w:szCs w:val="22"/>
        </w:rPr>
        <w:t xml:space="preserve"> and female </w:t>
      </w:r>
      <w:r w:rsidR="00537AE2">
        <w:rPr>
          <w:sz w:val="22"/>
          <w:szCs w:val="22"/>
        </w:rPr>
        <w:t>children</w:t>
      </w:r>
      <w:r w:rsidRPr="008915D9">
        <w:rPr>
          <w:sz w:val="22"/>
          <w:szCs w:val="22"/>
        </w:rPr>
        <w:t xml:space="preserve"> with TS are included in the NSCH data, which limits our ability to describe different outcomes by categories of race/ethnicity or among </w:t>
      </w:r>
      <w:r>
        <w:rPr>
          <w:sz w:val="22"/>
          <w:szCs w:val="22"/>
        </w:rPr>
        <w:t>females</w:t>
      </w:r>
      <w:r w:rsidRPr="008915D9">
        <w:rPr>
          <w:sz w:val="22"/>
          <w:szCs w:val="22"/>
        </w:rPr>
        <w:t>.</w:t>
      </w:r>
    </w:p>
    <w:p w:rsidR="003E0FFE" w:rsidRPr="008915D9" w:rsidP="00DD5FB4" w14:paraId="32799BE1" w14:textId="77777777">
      <w:pPr>
        <w:pStyle w:val="ListBullet"/>
        <w:numPr>
          <w:ilvl w:val="0"/>
          <w:numId w:val="0"/>
        </w:numPr>
      </w:pPr>
    </w:p>
    <w:p w:rsidR="003E0FFE" w:rsidRPr="008915D9" w:rsidP="00DD5FB4" w14:paraId="7E5DC79F" w14:textId="77777777">
      <w:pPr>
        <w:pStyle w:val="ListBullet"/>
        <w:numPr>
          <w:ilvl w:val="0"/>
          <w:numId w:val="0"/>
        </w:numPr>
      </w:pPr>
      <w:r w:rsidRPr="008915D9">
        <w:t xml:space="preserve">In 2014, CDC funded a follow-up survey of the NSCH, the National Survey of the Diagnosis and Treatment of ADHD and Tourette syndrome (NS-DATA) to better understand characteristics of children with ADHD and TS. NS-DATA provided needed data on the diagnostic process, current treatment, and indicators of impairment but had a limited sample size that was not nationally representative and lacked a control group of children without ADHD or </w:t>
      </w:r>
      <w:r w:rsidRPr="008915D9">
        <w:t>TS.</w:t>
      </w:r>
      <w:r w:rsidRPr="008915D9">
        <w:rPr>
          <w:noProof/>
        </w:rPr>
        <w:t>[</w:t>
      </w:r>
      <w:r w:rsidRPr="008915D9">
        <w:rPr>
          <w:noProof/>
        </w:rPr>
        <w:t>9-12]</w:t>
      </w:r>
    </w:p>
    <w:p w:rsidR="003E0FFE" w:rsidRPr="008915D9" w:rsidP="00DD5FB4" w14:paraId="6EC02A80" w14:textId="77777777">
      <w:pPr>
        <w:pStyle w:val="ListBullet"/>
        <w:numPr>
          <w:ilvl w:val="0"/>
          <w:numId w:val="0"/>
        </w:numPr>
      </w:pPr>
    </w:p>
    <w:p w:rsidR="003E0FFE" w:rsidRPr="008915D9" w:rsidP="00810719" w14:paraId="5D2B678F" w14:textId="437AF95E">
      <w:pPr>
        <w:autoSpaceDE w:val="0"/>
        <w:autoSpaceDN w:val="0"/>
        <w:adjustRightInd w:val="0"/>
        <w:rPr>
          <w:sz w:val="22"/>
          <w:szCs w:val="22"/>
        </w:rPr>
      </w:pPr>
      <w:r w:rsidRPr="008915D9">
        <w:rPr>
          <w:sz w:val="22"/>
          <w:szCs w:val="22"/>
        </w:rPr>
        <w:t xml:space="preserve">CDC/NCBDDD funded a study that collected data </w:t>
      </w:r>
      <w:r>
        <w:rPr>
          <w:sz w:val="22"/>
          <w:szCs w:val="22"/>
        </w:rPr>
        <w:t>in 2009</w:t>
      </w:r>
      <w:r w:rsidR="000B0C51">
        <w:rPr>
          <w:sz w:val="22"/>
          <w:szCs w:val="22"/>
        </w:rPr>
        <w:t>-2011</w:t>
      </w:r>
      <w:r>
        <w:rPr>
          <w:sz w:val="22"/>
          <w:szCs w:val="22"/>
        </w:rPr>
        <w:t xml:space="preserve"> </w:t>
      </w:r>
      <w:r w:rsidRPr="008915D9">
        <w:rPr>
          <w:sz w:val="22"/>
          <w:szCs w:val="22"/>
        </w:rPr>
        <w:t>on outcomes associated with TS focused on social outcomes (e.g., social problems, social deficits, self-concept) as well as the prevalence and impact of co-occurring conditions.</w:t>
      </w:r>
      <w:r w:rsidRPr="008915D9">
        <w:rPr>
          <w:noProof/>
          <w:sz w:val="22"/>
          <w:szCs w:val="22"/>
        </w:rPr>
        <w:t>[13]</w:t>
      </w:r>
      <w:r w:rsidRPr="008915D9">
        <w:rPr>
          <w:sz w:val="22"/>
          <w:szCs w:val="22"/>
        </w:rPr>
        <w:t xml:space="preserve"> While not intended to document information on suicide, the measures of depression included in the study identified suicidal ideation as a potential important impact to study,</w:t>
      </w:r>
      <w:r w:rsidRPr="008915D9">
        <w:rPr>
          <w:noProof/>
          <w:sz w:val="22"/>
          <w:szCs w:val="22"/>
        </w:rPr>
        <w:t>[14]</w:t>
      </w:r>
      <w:r w:rsidRPr="008915D9">
        <w:rPr>
          <w:sz w:val="22"/>
          <w:szCs w:val="22"/>
        </w:rPr>
        <w:t xml:space="preserve"> and therefore that is one of the priorities of th</w:t>
      </w:r>
      <w:r>
        <w:rPr>
          <w:sz w:val="22"/>
          <w:szCs w:val="22"/>
        </w:rPr>
        <w:t>e current</w:t>
      </w:r>
      <w:r w:rsidRPr="008915D9">
        <w:rPr>
          <w:sz w:val="22"/>
          <w:szCs w:val="22"/>
        </w:rPr>
        <w:t xml:space="preserve"> project. Additionally, information from th</w:t>
      </w:r>
      <w:r>
        <w:rPr>
          <w:sz w:val="22"/>
          <w:szCs w:val="22"/>
        </w:rPr>
        <w:t>e 2009</w:t>
      </w:r>
      <w:r w:rsidR="000B0C51">
        <w:rPr>
          <w:sz w:val="22"/>
          <w:szCs w:val="22"/>
        </w:rPr>
        <w:t>-2011</w:t>
      </w:r>
      <w:r w:rsidRPr="008915D9">
        <w:rPr>
          <w:sz w:val="22"/>
          <w:szCs w:val="22"/>
        </w:rPr>
        <w:t xml:space="preserve"> study is </w:t>
      </w:r>
      <w:r w:rsidR="000B0C51">
        <w:rPr>
          <w:sz w:val="22"/>
          <w:szCs w:val="22"/>
        </w:rPr>
        <w:t xml:space="preserve">nearly </w:t>
      </w:r>
      <w:r w:rsidRPr="008915D9">
        <w:rPr>
          <w:sz w:val="22"/>
          <w:szCs w:val="22"/>
        </w:rPr>
        <w:t>15 years old and contemporary information is needed.</w:t>
      </w:r>
    </w:p>
    <w:p w:rsidR="003E0FFE" w:rsidRPr="008915D9" w:rsidP="002A7A47" w14:paraId="6530CAEA" w14:textId="77777777">
      <w:pPr>
        <w:pStyle w:val="ListBullet"/>
        <w:numPr>
          <w:ilvl w:val="0"/>
          <w:numId w:val="0"/>
        </w:numPr>
      </w:pPr>
    </w:p>
    <w:p w:rsidR="003E0FFE" w:rsidRPr="008915D9" w:rsidP="004A0452" w14:paraId="1BE5576A" w14:textId="77777777">
      <w:pPr>
        <w:pStyle w:val="ListBullet"/>
        <w:numPr>
          <w:ilvl w:val="0"/>
          <w:numId w:val="0"/>
        </w:numPr>
      </w:pPr>
      <w:r w:rsidRPr="008915D9">
        <w:t xml:space="preserve">Current population-based </w:t>
      </w:r>
      <w:r>
        <w:t xml:space="preserve">surveillance and </w:t>
      </w:r>
      <w:r w:rsidRPr="008915D9">
        <w:t>research among children and adolescents with Tourette syndrome relies on data from the NSCH or administrative healthcare data. The scant data on outcomes among children, adolescents, and young adults with PTD/TS and absence of information on outcomes by other factors including age, sex, and type of tic disorder is insufficient to provide insight into the public health questions that remain for children, adolescents, and young adults with PTD/TS or to develop services and allocate resources designed to improve long-term health and wellbeing.</w:t>
      </w:r>
    </w:p>
    <w:p w:rsidR="003E0FFE" w:rsidRPr="008915D9" w:rsidP="00705A6A" w14:paraId="48574045" w14:textId="77777777">
      <w:pPr>
        <w:pStyle w:val="Style1"/>
        <w:rPr>
          <w:szCs w:val="22"/>
        </w:rPr>
      </w:pPr>
      <w:bookmarkStart w:id="6" w:name="_Toc106703805"/>
      <w:r w:rsidRPr="008915D9">
        <w:rPr>
          <w:szCs w:val="22"/>
        </w:rPr>
        <w:t>Section A.2. Purpose and Use of Information Collection</w:t>
      </w:r>
      <w:bookmarkEnd w:id="6"/>
    </w:p>
    <w:p w:rsidR="003E0FFE" w:rsidRPr="008915D9" w:rsidP="00873BFC" w14:paraId="56496AD6" w14:textId="77777777">
      <w:pPr>
        <w:rPr>
          <w:b/>
          <w:i/>
          <w:sz w:val="22"/>
          <w:szCs w:val="22"/>
          <w:u w:val="single"/>
        </w:rPr>
      </w:pPr>
    </w:p>
    <w:p w:rsidR="000B0C51" w:rsidP="00B64F94" w14:paraId="0C2D2DED" w14:textId="4E7D5738">
      <w:pPr>
        <w:rPr>
          <w:sz w:val="22"/>
          <w:szCs w:val="22"/>
        </w:rPr>
      </w:pPr>
      <w:r w:rsidRPr="008915D9">
        <w:rPr>
          <w:sz w:val="22"/>
          <w:szCs w:val="22"/>
        </w:rPr>
        <w:t>This data collection aims to document the impact of PTD/TS on outcomes including associated costs, prevalence of suicidality risk, transition to adult healthcare, and co-occurring conditions among children and adolescents aged 4–17 years, as well as among young adults aged 18</w:t>
      </w:r>
      <w:r w:rsidRPr="008915D9">
        <w:rPr>
          <w:sz w:val="22"/>
          <w:szCs w:val="22"/>
        </w:rPr>
        <w:softHyphen/>
        <w:t>–26 years with PTD/TS. Data will be collected primarily by electronic survey of parents</w:t>
      </w:r>
      <w:r>
        <w:rPr>
          <w:sz w:val="22"/>
          <w:szCs w:val="22"/>
        </w:rPr>
        <w:t xml:space="preserve"> of patients ages 4-17 years</w:t>
      </w:r>
      <w:r w:rsidRPr="008915D9">
        <w:rPr>
          <w:sz w:val="22"/>
          <w:szCs w:val="22"/>
        </w:rPr>
        <w:t>, child and adolescent</w:t>
      </w:r>
      <w:r>
        <w:rPr>
          <w:sz w:val="22"/>
          <w:szCs w:val="22"/>
        </w:rPr>
        <w:t xml:space="preserve"> patients</w:t>
      </w:r>
      <w:r w:rsidRPr="008915D9">
        <w:rPr>
          <w:sz w:val="22"/>
          <w:szCs w:val="22"/>
        </w:rPr>
        <w:t xml:space="preserve"> aged 9-17 years, and young adult</w:t>
      </w:r>
      <w:r>
        <w:rPr>
          <w:sz w:val="22"/>
          <w:szCs w:val="22"/>
        </w:rPr>
        <w:t xml:space="preserve"> patients</w:t>
      </w:r>
      <w:r w:rsidRPr="008915D9">
        <w:rPr>
          <w:sz w:val="22"/>
          <w:szCs w:val="22"/>
        </w:rPr>
        <w:t xml:space="preserve"> aged 18-26 years</w:t>
      </w:r>
      <w:r>
        <w:rPr>
          <w:sz w:val="22"/>
          <w:szCs w:val="22"/>
        </w:rPr>
        <w:t xml:space="preserve">. In addition, there will be a clinical assessment including questions about current suicidal ideation and presence, type, and severity of tics; parents of children aged </w:t>
      </w:r>
      <w:r w:rsidRPr="008915D9">
        <w:rPr>
          <w:sz w:val="22"/>
          <w:szCs w:val="22"/>
        </w:rPr>
        <w:t>4–17 years</w:t>
      </w:r>
      <w:r>
        <w:rPr>
          <w:sz w:val="22"/>
          <w:szCs w:val="22"/>
        </w:rPr>
        <w:t xml:space="preserve"> will participate in the clinical assessment alongside their child. </w:t>
      </w:r>
    </w:p>
    <w:p w:rsidR="000B0C51" w:rsidP="00B64F94" w14:paraId="204E6B68" w14:textId="77777777">
      <w:pPr>
        <w:rPr>
          <w:sz w:val="22"/>
          <w:szCs w:val="22"/>
        </w:rPr>
      </w:pPr>
    </w:p>
    <w:p w:rsidR="003E0FFE" w:rsidRPr="008915D9" w:rsidP="00B64F94" w14:paraId="5994706D" w14:textId="1CF10731">
      <w:pPr>
        <w:rPr>
          <w:sz w:val="22"/>
          <w:szCs w:val="22"/>
        </w:rPr>
      </w:pPr>
      <w:r>
        <w:rPr>
          <w:sz w:val="22"/>
          <w:szCs w:val="22"/>
        </w:rPr>
        <w:t xml:space="preserve">Patients and their parents will be </w:t>
      </w:r>
      <w:r w:rsidRPr="008915D9">
        <w:rPr>
          <w:sz w:val="22"/>
          <w:szCs w:val="22"/>
        </w:rPr>
        <w:t>recruited from 4 clinical sites</w:t>
      </w:r>
      <w:r>
        <w:rPr>
          <w:sz w:val="22"/>
          <w:szCs w:val="22"/>
        </w:rPr>
        <w:t xml:space="preserve">. One site is </w:t>
      </w:r>
      <w:r w:rsidRPr="00343152">
        <w:rPr>
          <w:sz w:val="22"/>
          <w:szCs w:val="22"/>
        </w:rPr>
        <w:t>The University of South Florida (USF)</w:t>
      </w:r>
      <w:r>
        <w:rPr>
          <w:sz w:val="22"/>
          <w:szCs w:val="22"/>
        </w:rPr>
        <w:t xml:space="preserve"> who</w:t>
      </w:r>
      <w:r w:rsidRPr="00343152">
        <w:rPr>
          <w:sz w:val="22"/>
          <w:szCs w:val="22"/>
        </w:rPr>
        <w:t xml:space="preserve"> will recruit from the Division of Pediatric Neuropsychiatry – Rothman Center, St. Petersburg, FL and the Division of Pediatric Neurology, Tampa, FL. The Tourette Association of America (TAA) will recruit from three sites that are designated as a TAA Center of Excellence. They have proposed the following three sites but have not finalized agreements and may select alternate sites: Mount Sinai West TAA Center of Excellence, New York, NY; Washington University TAA Center of Excellence, St. Louis, MO; University of Miami Miller School of Medicine TAA Center of Excellence, Miami, FL.</w:t>
      </w:r>
      <w:r w:rsidRPr="008915D9">
        <w:rPr>
          <w:sz w:val="22"/>
          <w:szCs w:val="22"/>
        </w:rPr>
        <w:t xml:space="preserve"> Sites will identify eligible </w:t>
      </w:r>
      <w:r w:rsidR="00537AE2">
        <w:rPr>
          <w:sz w:val="22"/>
          <w:szCs w:val="22"/>
        </w:rPr>
        <w:t>patients</w:t>
      </w:r>
      <w:r w:rsidRPr="008915D9">
        <w:rPr>
          <w:sz w:val="22"/>
          <w:szCs w:val="22"/>
        </w:rPr>
        <w:t xml:space="preserve"> through usual clinic flow and outreach to patients who have </w:t>
      </w:r>
      <w:r>
        <w:rPr>
          <w:sz w:val="22"/>
          <w:szCs w:val="22"/>
        </w:rPr>
        <w:t xml:space="preserve">previously </w:t>
      </w:r>
      <w:r w:rsidRPr="008915D9">
        <w:rPr>
          <w:sz w:val="22"/>
          <w:szCs w:val="22"/>
        </w:rPr>
        <w:t>been seen at the clinics for PTD/TS. The</w:t>
      </w:r>
      <w:r w:rsidR="00B64F86">
        <w:rPr>
          <w:sz w:val="22"/>
          <w:szCs w:val="22"/>
        </w:rPr>
        <w:t xml:space="preserve"> survey</w:t>
      </w:r>
      <w:r w:rsidRPr="008915D9">
        <w:rPr>
          <w:sz w:val="22"/>
          <w:szCs w:val="22"/>
        </w:rPr>
        <w:t xml:space="preserve"> data will be linked with </w:t>
      </w:r>
      <w:r w:rsidR="001D3EF0">
        <w:rPr>
          <w:sz w:val="22"/>
          <w:szCs w:val="22"/>
        </w:rPr>
        <w:t xml:space="preserve">documentation of clinical criteria used to determine eligibility, </w:t>
      </w:r>
      <w:r>
        <w:rPr>
          <w:sz w:val="22"/>
          <w:szCs w:val="22"/>
        </w:rPr>
        <w:t>data from the clinical assessment</w:t>
      </w:r>
      <w:r w:rsidRPr="008915D9">
        <w:rPr>
          <w:sz w:val="22"/>
          <w:szCs w:val="22"/>
        </w:rPr>
        <w:t xml:space="preserve"> </w:t>
      </w:r>
      <w:r w:rsidR="001D3EF0">
        <w:rPr>
          <w:sz w:val="22"/>
          <w:szCs w:val="22"/>
        </w:rPr>
        <w:t>of</w:t>
      </w:r>
      <w:r w:rsidRPr="008915D9">
        <w:rPr>
          <w:sz w:val="22"/>
          <w:szCs w:val="22"/>
        </w:rPr>
        <w:t xml:space="preserve"> current and past tic symptoms and severity</w:t>
      </w:r>
      <w:r w:rsidR="00570D20">
        <w:rPr>
          <w:sz w:val="22"/>
          <w:szCs w:val="22"/>
        </w:rPr>
        <w:t xml:space="preserve"> and suicidality for individuals with tic disorders aged 9-26 years</w:t>
      </w:r>
      <w:r w:rsidR="00B64F86">
        <w:rPr>
          <w:sz w:val="22"/>
          <w:szCs w:val="22"/>
        </w:rPr>
        <w:t>, as well as to additional clinical data from the medical record</w:t>
      </w:r>
      <w:r w:rsidRPr="008915D9">
        <w:rPr>
          <w:sz w:val="22"/>
          <w:szCs w:val="22"/>
        </w:rPr>
        <w:t>. These data will be used to inform where resources for families and healthcare providers (e.g., professional trainings) are most needed to support people with PTD/TS and their families and to address health inequities among the population.</w:t>
      </w:r>
    </w:p>
    <w:p w:rsidR="003E0FFE" w:rsidRPr="008915D9" w:rsidP="004A0452" w14:paraId="2EA9F9E3" w14:textId="77777777">
      <w:pPr>
        <w:pStyle w:val="ListBullet"/>
        <w:numPr>
          <w:ilvl w:val="0"/>
          <w:numId w:val="0"/>
        </w:numPr>
      </w:pPr>
    </w:p>
    <w:p w:rsidR="003E0FFE" w:rsidRPr="008915D9" w:rsidP="004A0452" w14:paraId="56D2AF37" w14:textId="77777777">
      <w:pPr>
        <w:pStyle w:val="ListBullet"/>
        <w:numPr>
          <w:ilvl w:val="0"/>
          <w:numId w:val="0"/>
        </w:numPr>
      </w:pPr>
      <w:r w:rsidRPr="008915D9">
        <w:t xml:space="preserve">Currently, Congress has appropriated $2 million per year to CDC to continue to educate physicians, educators, clinicians, allied professionals, and the </w:t>
      </w:r>
      <w:r w:rsidRPr="008915D9">
        <w:t>general public</w:t>
      </w:r>
      <w:r w:rsidRPr="008915D9">
        <w:t xml:space="preserve"> about the disorder and to improve scientific knowledge on prevalence, risk factors, and co-occurring conditions of Tourette Syndrome. Project information and results will be disseminated to healthcare providers, patients, families, national patient and clinical organizations, the public, and other partners via emails, newsletters, websites, social media, publications, presentations, and other methods. Findings from this project will enable federal, state, and local governments and organizations to understand the needs of children, adolescents, and young adults with PTD/TS, allocate resources, and establish programs accordingly.</w:t>
      </w:r>
    </w:p>
    <w:p w:rsidR="003E0FFE" w:rsidRPr="008915D9" w:rsidP="00705A6A" w14:paraId="6B98B05D" w14:textId="77777777">
      <w:pPr>
        <w:pStyle w:val="Style1"/>
        <w:rPr>
          <w:szCs w:val="22"/>
        </w:rPr>
      </w:pPr>
      <w:bookmarkStart w:id="7" w:name="_Toc106703806"/>
      <w:r w:rsidRPr="008915D9">
        <w:rPr>
          <w:szCs w:val="22"/>
        </w:rPr>
        <w:t>Section A.3. Use of Improved Information Technology and Burden Reduction</w:t>
      </w:r>
      <w:bookmarkEnd w:id="7"/>
    </w:p>
    <w:p w:rsidR="003E0FFE" w:rsidRPr="008915D9" w:rsidP="00873BFC" w14:paraId="5BB2C264" w14:textId="77777777">
      <w:pPr>
        <w:pStyle w:val="ListBullet"/>
        <w:numPr>
          <w:ilvl w:val="0"/>
          <w:numId w:val="0"/>
        </w:numPr>
        <w:rPr>
          <w:bCs/>
        </w:rPr>
      </w:pPr>
    </w:p>
    <w:p w:rsidR="003E0FFE" w:rsidP="00873BFC" w14:paraId="73D851AA" w14:textId="07F70DD5">
      <w:pPr>
        <w:pStyle w:val="ListBullet"/>
        <w:numPr>
          <w:ilvl w:val="0"/>
          <w:numId w:val="0"/>
        </w:numPr>
        <w:rPr>
          <w:bCs/>
        </w:rPr>
      </w:pPr>
      <w:r w:rsidRPr="008915D9">
        <w:rPr>
          <w:bCs/>
        </w:rPr>
        <w:t xml:space="preserve">All </w:t>
      </w:r>
      <w:r>
        <w:rPr>
          <w:bCs/>
        </w:rPr>
        <w:t xml:space="preserve">survey </w:t>
      </w:r>
      <w:r w:rsidRPr="008915D9">
        <w:rPr>
          <w:bCs/>
        </w:rPr>
        <w:t xml:space="preserve">data will be collected via electronic survey; </w:t>
      </w:r>
      <w:r w:rsidR="004833A9">
        <w:rPr>
          <w:bCs/>
        </w:rPr>
        <w:t>respondents</w:t>
      </w:r>
      <w:r w:rsidRPr="008915D9">
        <w:rPr>
          <w:bCs/>
        </w:rPr>
        <w:t xml:space="preserve"> will be asked to complete the survey on their own but will be offered support if needed</w:t>
      </w:r>
      <w:r>
        <w:rPr>
          <w:bCs/>
        </w:rPr>
        <w:t xml:space="preserve"> (e.g., reading of questions)</w:t>
      </w:r>
      <w:r w:rsidRPr="008915D9">
        <w:rPr>
          <w:bCs/>
        </w:rPr>
        <w:t xml:space="preserve">. </w:t>
      </w:r>
      <w:r>
        <w:rPr>
          <w:bCs/>
        </w:rPr>
        <w:t>T</w:t>
      </w:r>
      <w:r w:rsidRPr="008915D9">
        <w:rPr>
          <w:bCs/>
        </w:rPr>
        <w:t xml:space="preserve">he survey </w:t>
      </w:r>
      <w:r>
        <w:rPr>
          <w:bCs/>
        </w:rPr>
        <w:t xml:space="preserve">also </w:t>
      </w:r>
      <w:r w:rsidRPr="008915D9">
        <w:rPr>
          <w:bCs/>
        </w:rPr>
        <w:t xml:space="preserve">includes skip patterns so that </w:t>
      </w:r>
      <w:r w:rsidRPr="007C4CCE">
        <w:rPr>
          <w:bCs/>
        </w:rPr>
        <w:t>each respondent type (children, adolescents, parents, young adults) are only asked relevant questions (</w:t>
      </w:r>
      <w:r w:rsidRPr="007C4CCE">
        <w:rPr>
          <w:b/>
        </w:rPr>
        <w:t xml:space="preserve">Attachments </w:t>
      </w:r>
      <w:r w:rsidRPr="007C4CCE">
        <w:rPr>
          <w:b/>
          <w:bCs/>
        </w:rPr>
        <w:t>3</w:t>
      </w:r>
      <w:r w:rsidRPr="007C4CCE">
        <w:rPr>
          <w:bCs/>
        </w:rPr>
        <w:t>-</w:t>
      </w:r>
      <w:r w:rsidRPr="007C4CCE">
        <w:rPr>
          <w:b/>
        </w:rPr>
        <w:t>11</w:t>
      </w:r>
      <w:r w:rsidRPr="007C4CCE">
        <w:rPr>
          <w:bCs/>
        </w:rPr>
        <w:t>) and content (</w:t>
      </w:r>
      <w:r w:rsidRPr="007C4CCE">
        <w:rPr>
          <w:b/>
        </w:rPr>
        <w:t>Attachment 12</w:t>
      </w:r>
      <w:r w:rsidRPr="007C4CCE">
        <w:rPr>
          <w:bCs/>
        </w:rPr>
        <w:t>).</w:t>
      </w:r>
      <w:r w:rsidR="006D122C">
        <w:rPr>
          <w:bCs/>
        </w:rPr>
        <w:t xml:space="preserve"> Skip patterns are described in </w:t>
      </w:r>
      <w:r w:rsidRPr="006D122C" w:rsidR="006D122C">
        <w:rPr>
          <w:b/>
        </w:rPr>
        <w:t>Attachments 3-7</w:t>
      </w:r>
      <w:r w:rsidR="006D122C">
        <w:rPr>
          <w:bCs/>
        </w:rPr>
        <w:t xml:space="preserve"> but are not shown in the attachments showing the surveys coded in </w:t>
      </w:r>
      <w:r w:rsidR="006D122C">
        <w:rPr>
          <w:bCs/>
        </w:rPr>
        <w:t>REDCap</w:t>
      </w:r>
      <w:r w:rsidR="006D122C">
        <w:rPr>
          <w:bCs/>
        </w:rPr>
        <w:t xml:space="preserve"> (</w:t>
      </w:r>
      <w:r w:rsidRPr="006D122C" w:rsidR="006D122C">
        <w:rPr>
          <w:b/>
        </w:rPr>
        <w:t>Attachments 8-11</w:t>
      </w:r>
      <w:r w:rsidR="006D122C">
        <w:rPr>
          <w:bCs/>
        </w:rPr>
        <w:t>).</w:t>
      </w:r>
    </w:p>
    <w:p w:rsidR="003E0FFE" w:rsidP="00873BFC" w14:paraId="4CC1D0B5" w14:textId="77777777">
      <w:pPr>
        <w:pStyle w:val="ListBullet"/>
        <w:numPr>
          <w:ilvl w:val="0"/>
          <w:numId w:val="0"/>
        </w:numPr>
        <w:rPr>
          <w:bCs/>
        </w:rPr>
      </w:pPr>
    </w:p>
    <w:p w:rsidR="003E0FFE" w:rsidP="00873BFC" w14:paraId="42708399" w14:textId="77777777">
      <w:pPr>
        <w:pStyle w:val="ListBullet"/>
        <w:numPr>
          <w:ilvl w:val="0"/>
          <w:numId w:val="0"/>
        </w:numPr>
        <w:rPr>
          <w:bCs/>
        </w:rPr>
      </w:pPr>
      <w:r>
        <w:rPr>
          <w:bCs/>
        </w:rPr>
        <w:t xml:space="preserve">As </w:t>
      </w:r>
      <w:r w:rsidRPr="003D22C6">
        <w:rPr>
          <w:bCs/>
        </w:rPr>
        <w:t>part of this new data collection, information available from electronic medical records (e.g., date of birth, health insurance status and type, co-occurring disorders, address, sex, race/ethnicity, treatment</w:t>
      </w:r>
      <w:r>
        <w:rPr>
          <w:bCs/>
        </w:rPr>
        <w:t>, Columbia Suicide Rating Scale</w:t>
      </w:r>
      <w:r w:rsidRPr="003D22C6">
        <w:rPr>
          <w:bCs/>
        </w:rPr>
        <w:t>) will be extracted</w:t>
      </w:r>
      <w:r>
        <w:rPr>
          <w:bCs/>
        </w:rPr>
        <w:t xml:space="preserve"> and linked to the </w:t>
      </w:r>
      <w:r w:rsidRPr="008915D9">
        <w:rPr>
          <w:bCs/>
        </w:rPr>
        <w:t xml:space="preserve">respondents’ survey information. </w:t>
      </w:r>
      <w:r>
        <w:rPr>
          <w:bCs/>
        </w:rPr>
        <w:t xml:space="preserve">These data will be evaluated for completeness and will inform whether ongoing collection of these data as part of the survey are needed, or if survey items can be eliminated. </w:t>
      </w:r>
    </w:p>
    <w:p w:rsidR="003E0FFE" w:rsidP="00873BFC" w14:paraId="7175683C" w14:textId="77777777">
      <w:pPr>
        <w:pStyle w:val="ListBullet"/>
        <w:numPr>
          <w:ilvl w:val="0"/>
          <w:numId w:val="0"/>
        </w:numPr>
        <w:rPr>
          <w:bCs/>
        </w:rPr>
      </w:pPr>
    </w:p>
    <w:p w:rsidR="003E0FFE" w:rsidRPr="007D03ED" w:rsidP="004C3B0A" w14:paraId="402CB5F7" w14:textId="5742DA09">
      <w:pPr>
        <w:rPr>
          <w:sz w:val="22"/>
          <w:szCs w:val="22"/>
        </w:rPr>
      </w:pPr>
      <w:r w:rsidRPr="007D03ED">
        <w:rPr>
          <w:sz w:val="22"/>
          <w:szCs w:val="22"/>
        </w:rPr>
        <w:t>We are also collecting individuals’ addresses to link to Census data</w:t>
      </w:r>
      <w:r>
        <w:rPr>
          <w:sz w:val="22"/>
          <w:szCs w:val="22"/>
        </w:rPr>
        <w:t xml:space="preserve"> to examine</w:t>
      </w:r>
      <w:r w:rsidRPr="007D03ED">
        <w:rPr>
          <w:sz w:val="22"/>
          <w:szCs w:val="22"/>
        </w:rPr>
        <w:t xml:space="preserve"> social vulnerability index, rurality, and distance to tic specialty clinics. </w:t>
      </w:r>
      <w:r w:rsidR="00537AE2">
        <w:rPr>
          <w:sz w:val="22"/>
          <w:szCs w:val="22"/>
        </w:rPr>
        <w:t>Address data will be sent to CDC and the CDC program</w:t>
      </w:r>
      <w:r>
        <w:rPr>
          <w:sz w:val="22"/>
          <w:szCs w:val="22"/>
        </w:rPr>
        <w:t xml:space="preserve"> will</w:t>
      </w:r>
      <w:r w:rsidRPr="007D03ED">
        <w:rPr>
          <w:sz w:val="22"/>
          <w:szCs w:val="22"/>
        </w:rPr>
        <w:t xml:space="preserve"> work with CDC/ATSDR’s Geospatial Research, Analysis, and Services Program, or GRASP for the geocoding and linkage.</w:t>
      </w:r>
      <w:r w:rsidR="00537AE2">
        <w:rPr>
          <w:sz w:val="22"/>
          <w:szCs w:val="22"/>
        </w:rPr>
        <w:t xml:space="preserve"> Address data will be separated from the rest of the data, and once available, Census data (e.g., </w:t>
      </w:r>
      <w:r w:rsidRPr="007D03ED" w:rsidR="00537AE2">
        <w:rPr>
          <w:sz w:val="22"/>
          <w:szCs w:val="22"/>
        </w:rPr>
        <w:t>social vulnerability index, rurality, and distance to tic specialty clinics</w:t>
      </w:r>
      <w:r w:rsidR="00537AE2">
        <w:rPr>
          <w:sz w:val="22"/>
          <w:szCs w:val="22"/>
        </w:rPr>
        <w:t>) will be linked to the main data sets for analysis.</w:t>
      </w:r>
    </w:p>
    <w:p w:rsidR="003E0FFE" w:rsidRPr="008915D9" w:rsidP="00873BFC" w14:paraId="0E4D9B6D" w14:textId="77777777">
      <w:pPr>
        <w:pStyle w:val="ListBullet"/>
        <w:numPr>
          <w:ilvl w:val="0"/>
          <w:numId w:val="0"/>
        </w:numPr>
        <w:rPr>
          <w:b/>
        </w:rPr>
      </w:pPr>
    </w:p>
    <w:p w:rsidR="003E0FFE" w:rsidRPr="008915D9" w:rsidP="00705A6A" w14:paraId="52505E24" w14:textId="77777777">
      <w:pPr>
        <w:pStyle w:val="Style1"/>
        <w:rPr>
          <w:szCs w:val="22"/>
        </w:rPr>
      </w:pPr>
      <w:bookmarkStart w:id="8" w:name="_Toc106703807"/>
      <w:r w:rsidRPr="008915D9">
        <w:rPr>
          <w:szCs w:val="22"/>
        </w:rPr>
        <w:t>Section A.4. Efforts to Identify Duplication and Use of Similar Information</w:t>
      </w:r>
      <w:bookmarkEnd w:id="8"/>
    </w:p>
    <w:p w:rsidR="003E0FFE" w:rsidRPr="008915D9" w:rsidP="00873BFC" w14:paraId="70387819" w14:textId="77777777">
      <w:pPr>
        <w:rPr>
          <w:b/>
          <w:i/>
          <w:sz w:val="22"/>
          <w:szCs w:val="22"/>
          <w:u w:val="single"/>
        </w:rPr>
      </w:pPr>
    </w:p>
    <w:p w:rsidR="003E0FFE" w:rsidRPr="00537AE2" w:rsidP="000D25AC" w14:paraId="41643BF0" w14:textId="7C84D655">
      <w:pPr>
        <w:autoSpaceDE w:val="0"/>
        <w:autoSpaceDN w:val="0"/>
        <w:adjustRightInd w:val="0"/>
        <w:rPr>
          <w:sz w:val="22"/>
          <w:szCs w:val="22"/>
        </w:rPr>
      </w:pPr>
      <w:r w:rsidRPr="00537AE2">
        <w:rPr>
          <w:sz w:val="22"/>
          <w:szCs w:val="22"/>
        </w:rPr>
        <w:t xml:space="preserve">Conversations with CDC program staff, partner organizations supporting families of children, adolescents, and young adults affected by PTD/TS, and healthcare providers with expertise in diagnosis and treatment of PTD/TS have identified the priority outcomes of PTD/TS, including costs, suicidality risk, health care transition, and the role of co-occurring disorders. These priorities were documented in a letter signed by over 100 members of Congress to the House Appropriations Subcommittee on Labor, Health, Human Services, and Education that specified needs related to documenting the impact of PTD/TS as well as better understanding priority </w:t>
      </w:r>
      <w:r w:rsidRPr="00545F3C">
        <w:rPr>
          <w:sz w:val="22"/>
          <w:szCs w:val="22"/>
        </w:rPr>
        <w:t>needs (</w:t>
      </w:r>
      <w:r w:rsidRPr="00545F3C">
        <w:rPr>
          <w:b/>
          <w:bCs/>
          <w:sz w:val="22"/>
          <w:szCs w:val="22"/>
        </w:rPr>
        <w:t>Attachment 13</w:t>
      </w:r>
      <w:r w:rsidRPr="00545F3C">
        <w:rPr>
          <w:sz w:val="22"/>
          <w:szCs w:val="22"/>
        </w:rPr>
        <w:t>).</w:t>
      </w:r>
    </w:p>
    <w:p w:rsidR="003E0FFE" w:rsidP="00831668" w14:paraId="3D5C2C8C" w14:textId="77777777">
      <w:pPr>
        <w:rPr>
          <w:sz w:val="22"/>
          <w:szCs w:val="22"/>
        </w:rPr>
      </w:pPr>
    </w:p>
    <w:p w:rsidR="003E0FFE" w:rsidRPr="008915D9" w:rsidP="00831668" w14:paraId="1425BFD8" w14:textId="77777777">
      <w:pPr>
        <w:rPr>
          <w:sz w:val="22"/>
          <w:szCs w:val="22"/>
        </w:rPr>
      </w:pPr>
      <w:r w:rsidRPr="008915D9">
        <w:rPr>
          <w:sz w:val="22"/>
          <w:szCs w:val="22"/>
        </w:rPr>
        <w:t xml:space="preserve">Most existing population-based national surveys collecting data on children, adolescents, and young adults do not inquire about PTD/TS (e.g., National Health and Nutrition Examination Survey (NHANES), OMB No. 0920-0950, exp. 04/30/2025, National Health Interview Survey (NHIS), OMB No. 0920-0214, exp. 12/31/2026). Only NSCH (OMB No. 0607-0990, exp. 04/30/2027) includes questions about Tourette syndrome in children but does not ask </w:t>
      </w:r>
      <w:r>
        <w:rPr>
          <w:sz w:val="22"/>
          <w:szCs w:val="22"/>
        </w:rPr>
        <w:t xml:space="preserve">about </w:t>
      </w:r>
      <w:r w:rsidRPr="008915D9">
        <w:rPr>
          <w:sz w:val="22"/>
          <w:szCs w:val="22"/>
        </w:rPr>
        <w:t xml:space="preserve">other persistent tic disorders. Additionally, NSCH does not validate parent or caregiver responses. Thus far, these surveys have been used to broadly describe a limited selection of outcomes including healthcare needs and use, bullying, education, and parenting aggravation </w:t>
      </w:r>
      <w:r w:rsidRPr="008915D9">
        <w:rPr>
          <w:noProof/>
          <w:sz w:val="22"/>
          <w:szCs w:val="22"/>
        </w:rPr>
        <w:t>[2-8]</w:t>
      </w:r>
      <w:r w:rsidRPr="008915D9">
        <w:rPr>
          <w:sz w:val="22"/>
          <w:szCs w:val="22"/>
        </w:rPr>
        <w:t xml:space="preserve">. However, individuals with PTD/TS are a heterogeneous group, comprised of individuals with persistent motor tic disorder, persistent vocal tic disorder, and Tourette, and varying degrees of tic severity and tic-related impairment. </w:t>
      </w:r>
    </w:p>
    <w:p w:rsidR="003E0FFE" w:rsidRPr="008915D9" w:rsidP="00831668" w14:paraId="073D71CD" w14:textId="77777777">
      <w:pPr>
        <w:rPr>
          <w:sz w:val="22"/>
          <w:szCs w:val="22"/>
        </w:rPr>
      </w:pPr>
    </w:p>
    <w:p w:rsidR="003E0FFE" w:rsidRPr="008915D9" w:rsidP="00831668" w14:paraId="5B437F04" w14:textId="77777777">
      <w:pPr>
        <w:rPr>
          <w:sz w:val="22"/>
          <w:szCs w:val="22"/>
        </w:rPr>
      </w:pPr>
      <w:r w:rsidRPr="008915D9">
        <w:rPr>
          <w:sz w:val="22"/>
          <w:szCs w:val="22"/>
        </w:rPr>
        <w:t>PTD/TS is a relatively rare condition, affecting approximately 2% of children and less than 1% of adults;</w:t>
      </w:r>
      <w:r w:rsidRPr="008915D9">
        <w:rPr>
          <w:noProof/>
          <w:sz w:val="22"/>
          <w:szCs w:val="22"/>
        </w:rPr>
        <w:t>[1]</w:t>
      </w:r>
      <w:r w:rsidRPr="008915D9">
        <w:rPr>
          <w:sz w:val="22"/>
          <w:szCs w:val="22"/>
        </w:rPr>
        <w:t xml:space="preserve"> therefore, adding a question that would provide enough detail on PTD</w:t>
      </w:r>
      <w:r>
        <w:rPr>
          <w:sz w:val="22"/>
          <w:szCs w:val="22"/>
        </w:rPr>
        <w:t>/TS</w:t>
      </w:r>
      <w:r w:rsidRPr="008915D9">
        <w:rPr>
          <w:sz w:val="22"/>
          <w:szCs w:val="22"/>
        </w:rPr>
        <w:t xml:space="preserve"> type to these population-based surveys would not provide sufficient sample size to generate precise prevalence estimates for key impacts/outcomes among children with specific </w:t>
      </w:r>
      <w:r>
        <w:rPr>
          <w:sz w:val="22"/>
          <w:szCs w:val="22"/>
        </w:rPr>
        <w:t>persistent tic disorders or TS</w:t>
      </w:r>
      <w:r w:rsidRPr="008915D9">
        <w:rPr>
          <w:sz w:val="22"/>
          <w:szCs w:val="22"/>
        </w:rPr>
        <w:t xml:space="preserve">. </w:t>
      </w:r>
    </w:p>
    <w:p w:rsidR="003E0FFE" w:rsidRPr="008915D9" w:rsidP="00831668" w14:paraId="476CA979" w14:textId="77777777">
      <w:pPr>
        <w:rPr>
          <w:sz w:val="22"/>
          <w:szCs w:val="22"/>
        </w:rPr>
      </w:pPr>
    </w:p>
    <w:p w:rsidR="003E0FFE" w:rsidRPr="008915D9" w:rsidP="00831668" w14:paraId="2EAE6BD0" w14:textId="77777777">
      <w:pPr>
        <w:rPr>
          <w:sz w:val="22"/>
          <w:szCs w:val="22"/>
        </w:rPr>
      </w:pPr>
      <w:r w:rsidRPr="008915D9">
        <w:rPr>
          <w:sz w:val="22"/>
          <w:szCs w:val="22"/>
        </w:rPr>
        <w:t>Furthermore, data on outcomes of interest specific to those with PTD/TS, such as healthcare transition specific to care for PTD/TS, are not collected on existing surveys.</w:t>
      </w:r>
    </w:p>
    <w:p w:rsidR="003E0FFE" w:rsidRPr="008915D9" w:rsidP="00822398" w14:paraId="746AD0C4" w14:textId="77777777">
      <w:pPr>
        <w:rPr>
          <w:sz w:val="22"/>
          <w:szCs w:val="22"/>
        </w:rPr>
      </w:pPr>
    </w:p>
    <w:p w:rsidR="003E0FFE" w:rsidRPr="008915D9" w:rsidP="00705A6A" w14:paraId="40D7F6F9" w14:textId="77777777">
      <w:pPr>
        <w:pStyle w:val="Style1"/>
        <w:rPr>
          <w:szCs w:val="22"/>
        </w:rPr>
      </w:pPr>
      <w:bookmarkStart w:id="9" w:name="_Toc106703808"/>
      <w:r w:rsidRPr="008915D9">
        <w:rPr>
          <w:szCs w:val="22"/>
        </w:rPr>
        <w:t>Section A.5. Impact on Small Businesses or Other Small Entities</w:t>
      </w:r>
      <w:bookmarkEnd w:id="9"/>
    </w:p>
    <w:p w:rsidR="003E0FFE" w:rsidRPr="008915D9" w:rsidP="00873BFC" w14:paraId="382A8D64" w14:textId="77777777">
      <w:pPr>
        <w:rPr>
          <w:sz w:val="22"/>
          <w:szCs w:val="22"/>
        </w:rPr>
      </w:pPr>
    </w:p>
    <w:p w:rsidR="003E0FFE" w:rsidRPr="008915D9" w:rsidP="00873BFC" w14:paraId="537F147C" w14:textId="77777777">
      <w:pPr>
        <w:rPr>
          <w:bCs/>
          <w:iCs/>
          <w:sz w:val="22"/>
          <w:szCs w:val="22"/>
        </w:rPr>
      </w:pPr>
      <w:r w:rsidRPr="008915D9">
        <w:rPr>
          <w:bCs/>
          <w:iCs/>
          <w:sz w:val="22"/>
          <w:szCs w:val="22"/>
        </w:rPr>
        <w:t>This data collection will not involve small businesses.</w:t>
      </w:r>
    </w:p>
    <w:p w:rsidR="003E0FFE" w:rsidRPr="008915D9" w:rsidP="00873BFC" w14:paraId="4D41CD1C" w14:textId="77777777">
      <w:pPr>
        <w:rPr>
          <w:b/>
          <w:i/>
          <w:sz w:val="22"/>
          <w:szCs w:val="22"/>
          <w:u w:val="single"/>
        </w:rPr>
      </w:pPr>
    </w:p>
    <w:p w:rsidR="003E0FFE" w:rsidRPr="008915D9" w:rsidP="00705A6A" w14:paraId="706692DF" w14:textId="77777777">
      <w:pPr>
        <w:pStyle w:val="Style1"/>
        <w:rPr>
          <w:szCs w:val="22"/>
        </w:rPr>
      </w:pPr>
      <w:bookmarkStart w:id="10" w:name="_Toc106703809"/>
      <w:r w:rsidRPr="008915D9">
        <w:rPr>
          <w:szCs w:val="22"/>
        </w:rPr>
        <w:t>Section A.6. Consequences of Collecting the Information Less Frequently</w:t>
      </w:r>
      <w:bookmarkEnd w:id="10"/>
    </w:p>
    <w:p w:rsidR="003E0FFE" w:rsidRPr="008915D9" w:rsidP="00873BFC" w14:paraId="2A1D5DD7" w14:textId="77777777">
      <w:pPr>
        <w:rPr>
          <w:i/>
          <w:iCs/>
          <w:sz w:val="22"/>
          <w:szCs w:val="22"/>
        </w:rPr>
      </w:pPr>
    </w:p>
    <w:p w:rsidR="003E0FFE" w:rsidRPr="008915D9" w:rsidP="00873BFC" w14:paraId="43A5B914" w14:textId="6F02254D">
      <w:pPr>
        <w:rPr>
          <w:sz w:val="22"/>
          <w:szCs w:val="22"/>
        </w:rPr>
      </w:pPr>
      <w:r w:rsidRPr="008915D9">
        <w:rPr>
          <w:sz w:val="22"/>
          <w:szCs w:val="22"/>
        </w:rPr>
        <w:t xml:space="preserve">Each respondent will be asked to respond once. </w:t>
      </w:r>
      <w:r>
        <w:rPr>
          <w:sz w:val="22"/>
          <w:szCs w:val="22"/>
        </w:rPr>
        <w:t xml:space="preserve">The project is designed to complement existing data, by including persistent tic disorders, including only individuals with clinically confirmed PTD/TS, and including clinical information including data from the electronic medical record. PTD/TS is not included in national surveys of adults or teens (e.g., NHIS, YRBS, NSDUH) and many of the questions incorporated on our surveys are from those data sources and will allow for new information to be collected on PTD/TS. These data are needed </w:t>
      </w:r>
      <w:r w:rsidRPr="008915D9">
        <w:rPr>
          <w:sz w:val="22"/>
          <w:szCs w:val="22"/>
        </w:rPr>
        <w:t>to inform the public health needs of and resource allocation for services for U.S. children, adolescents, and young adults with PTD/TS, a group that totals over 1.4 million.</w:t>
      </w:r>
    </w:p>
    <w:p w:rsidR="003E0FFE" w:rsidRPr="008915D9" w:rsidP="00873BFC" w14:paraId="47BA020B" w14:textId="77777777">
      <w:pPr>
        <w:rPr>
          <w:sz w:val="22"/>
          <w:szCs w:val="22"/>
        </w:rPr>
      </w:pPr>
    </w:p>
    <w:p w:rsidR="003E0FFE" w:rsidRPr="008915D9" w:rsidP="00873BFC" w14:paraId="45ED284D" w14:textId="77777777">
      <w:pPr>
        <w:rPr>
          <w:sz w:val="22"/>
          <w:szCs w:val="22"/>
        </w:rPr>
      </w:pPr>
      <w:r w:rsidRPr="008915D9">
        <w:rPr>
          <w:sz w:val="22"/>
          <w:szCs w:val="22"/>
        </w:rPr>
        <w:t>There are no legal obstacles to reduce the burden.</w:t>
      </w:r>
    </w:p>
    <w:p w:rsidR="003E0FFE" w:rsidRPr="008915D9" w:rsidP="00705A6A" w14:paraId="362FF6AD" w14:textId="77777777">
      <w:pPr>
        <w:pStyle w:val="Style1"/>
        <w:rPr>
          <w:szCs w:val="22"/>
        </w:rPr>
      </w:pPr>
      <w:bookmarkStart w:id="11" w:name="_Toc106703810"/>
      <w:r w:rsidRPr="008915D9">
        <w:rPr>
          <w:szCs w:val="22"/>
        </w:rPr>
        <w:t>Section A.7. Special Circumstances Relating to the Guidelines of 5 CFR 1320.5</w:t>
      </w:r>
      <w:bookmarkEnd w:id="11"/>
    </w:p>
    <w:p w:rsidR="003E0FFE" w:rsidRPr="008915D9" w:rsidP="00873BFC" w14:paraId="6917297B" w14:textId="77777777">
      <w:pPr>
        <w:rPr>
          <w:i/>
          <w:sz w:val="22"/>
          <w:szCs w:val="22"/>
          <w:u w:val="single"/>
        </w:rPr>
      </w:pPr>
    </w:p>
    <w:p w:rsidR="003E0FFE" w:rsidRPr="008915D9" w:rsidP="00873BFC" w14:paraId="389F3D55" w14:textId="77777777">
      <w:pPr>
        <w:rPr>
          <w:sz w:val="22"/>
          <w:szCs w:val="22"/>
        </w:rPr>
      </w:pPr>
      <w:r w:rsidRPr="008915D9">
        <w:rPr>
          <w:sz w:val="22"/>
          <w:szCs w:val="22"/>
        </w:rPr>
        <w:t>This request fully complies with regulation 5 CFR 1320.5.</w:t>
      </w:r>
    </w:p>
    <w:p w:rsidR="003E0FFE" w:rsidRPr="008915D9" w:rsidP="00873BFC" w14:paraId="5000C410" w14:textId="77777777">
      <w:pPr>
        <w:rPr>
          <w:i/>
          <w:sz w:val="22"/>
          <w:szCs w:val="22"/>
          <w:u w:val="single"/>
        </w:rPr>
      </w:pPr>
      <w:r w:rsidRPr="008915D9">
        <w:rPr>
          <w:i/>
          <w:sz w:val="22"/>
          <w:szCs w:val="22"/>
          <w:u w:val="single"/>
        </w:rPr>
        <w:t xml:space="preserve"> </w:t>
      </w:r>
    </w:p>
    <w:p w:rsidR="003E0FFE" w:rsidRPr="008915D9" w:rsidP="00705A6A" w14:paraId="486E8004" w14:textId="77777777">
      <w:pPr>
        <w:pStyle w:val="Style1"/>
        <w:rPr>
          <w:szCs w:val="22"/>
        </w:rPr>
      </w:pPr>
      <w:bookmarkStart w:id="12" w:name="_Toc106703811"/>
      <w:r w:rsidRPr="008915D9">
        <w:rPr>
          <w:szCs w:val="22"/>
        </w:rPr>
        <w:t>Section A.8. Comments in Response to the Federal Register Notice and Efforts to Consult Outside the Agency</w:t>
      </w:r>
      <w:bookmarkEnd w:id="12"/>
    </w:p>
    <w:p w:rsidR="003E0FFE" w:rsidRPr="008915D9" w:rsidP="00873BFC" w14:paraId="5231EA00" w14:textId="77777777">
      <w:pPr>
        <w:rPr>
          <w:i/>
          <w:sz w:val="22"/>
          <w:szCs w:val="22"/>
          <w:u w:val="single"/>
        </w:rPr>
      </w:pPr>
    </w:p>
    <w:p w:rsidR="003E0FFE" w:rsidRPr="00545F3C" w:rsidP="003B74D3" w14:paraId="5FEAE5F4" w14:textId="63F309FD">
      <w:pPr>
        <w:rPr>
          <w:sz w:val="22"/>
          <w:szCs w:val="22"/>
        </w:rPr>
        <w:sectPr w:rsidSect="003E0FFE">
          <w:type w:val="continuous"/>
          <w:pgSz w:w="12240" w:h="15840"/>
          <w:pgMar w:top="1440" w:right="1440" w:bottom="1440" w:left="1440" w:header="720" w:footer="720" w:gutter="0"/>
          <w:cols w:space="720"/>
          <w:docGrid w:linePitch="360"/>
        </w:sectPr>
      </w:pPr>
      <w:r w:rsidRPr="00545F3C">
        <w:rPr>
          <w:sz w:val="22"/>
          <w:szCs w:val="22"/>
        </w:rPr>
        <w:t>A copy of the agency’s 60-day Federal Register Notice is attached (</w:t>
      </w:r>
      <w:r w:rsidRPr="00545F3C">
        <w:rPr>
          <w:i/>
          <w:iCs/>
          <w:sz w:val="22"/>
          <w:szCs w:val="22"/>
        </w:rPr>
        <w:t xml:space="preserve">60-day Federal Register Notice </w:t>
      </w:r>
      <w:r w:rsidRPr="00545F3C">
        <w:rPr>
          <w:b/>
          <w:bCs/>
          <w:sz w:val="22"/>
          <w:szCs w:val="22"/>
        </w:rPr>
        <w:t>Attachment 2</w:t>
      </w:r>
      <w:r w:rsidRPr="00545F3C">
        <w:rPr>
          <w:sz w:val="22"/>
          <w:szCs w:val="22"/>
        </w:rPr>
        <w:t>). The notice, as required by 5 CFR 1320.8 (d), was published on April 5, 2024 (Vol. 89, No. 67, pages 24007-24008). CDC received o</w:t>
      </w:r>
      <w:r w:rsidR="00252E0C">
        <w:rPr>
          <w:sz w:val="22"/>
          <w:szCs w:val="22"/>
        </w:rPr>
        <w:t>ne</w:t>
      </w:r>
      <w:r w:rsidRPr="00545F3C">
        <w:rPr>
          <w:sz w:val="22"/>
          <w:szCs w:val="22"/>
        </w:rPr>
        <w:t xml:space="preserve"> public comment in response to this notice.</w:t>
      </w:r>
    </w:p>
    <w:p w:rsidR="003E0FFE" w:rsidRPr="00545F3C" w:rsidP="003B74D3" w14:paraId="5184A751" w14:textId="77777777">
      <w:pPr>
        <w:rPr>
          <w:sz w:val="22"/>
          <w:szCs w:val="22"/>
        </w:rPr>
        <w:sectPr w:rsidSect="003E0FFE">
          <w:type w:val="continuous"/>
          <w:pgSz w:w="12240" w:h="15840"/>
          <w:pgMar w:top="1440" w:right="1440" w:bottom="1440" w:left="1440" w:header="720" w:footer="720" w:gutter="0"/>
          <w:cols w:num="2" w:space="720"/>
          <w:docGrid w:linePitch="360"/>
        </w:sectPr>
      </w:pPr>
    </w:p>
    <w:p w:rsidR="003E0FFE" w:rsidRPr="00545F3C" w:rsidP="00705A6A" w14:paraId="6913BAEB" w14:textId="77777777">
      <w:pPr>
        <w:pStyle w:val="Style1"/>
        <w:rPr>
          <w:szCs w:val="22"/>
        </w:rPr>
      </w:pPr>
      <w:bookmarkStart w:id="13" w:name="_Toc106703812"/>
      <w:r w:rsidRPr="00545F3C">
        <w:rPr>
          <w:szCs w:val="22"/>
        </w:rPr>
        <w:t>Section A.9. Explanation of Any Payment or Gift to Respondents</w:t>
      </w:r>
      <w:bookmarkEnd w:id="13"/>
    </w:p>
    <w:p w:rsidR="003E0FFE" w:rsidRPr="00545F3C" w:rsidP="00873BFC" w14:paraId="34F6CA2C" w14:textId="77777777">
      <w:pPr>
        <w:rPr>
          <w:sz w:val="22"/>
          <w:szCs w:val="22"/>
        </w:rPr>
      </w:pPr>
    </w:p>
    <w:p w:rsidR="003E0FFE" w:rsidRPr="008915D9" w:rsidP="00873BFC" w14:paraId="7AB6DD09" w14:textId="73DA7A72">
      <w:pPr>
        <w:rPr>
          <w:sz w:val="22"/>
          <w:szCs w:val="22"/>
        </w:rPr>
      </w:pPr>
      <w:r w:rsidRPr="00545F3C">
        <w:rPr>
          <w:sz w:val="22"/>
          <w:szCs w:val="22"/>
        </w:rPr>
        <w:t xml:space="preserve">Respondents </w:t>
      </w:r>
      <w:r w:rsidRPr="00545F3C" w:rsidR="00C70C9A">
        <w:rPr>
          <w:sz w:val="22"/>
          <w:szCs w:val="22"/>
        </w:rPr>
        <w:t xml:space="preserve">(one per parent/child pair) </w:t>
      </w:r>
      <w:r w:rsidRPr="00545F3C">
        <w:rPr>
          <w:sz w:val="22"/>
          <w:szCs w:val="22"/>
        </w:rPr>
        <w:t>will receive a thank you note and $20 gift card upon completion of the survey as a token of appreciation (</w:t>
      </w:r>
      <w:r w:rsidRPr="00545F3C">
        <w:rPr>
          <w:b/>
          <w:bCs/>
          <w:sz w:val="22"/>
          <w:szCs w:val="22"/>
        </w:rPr>
        <w:t>Attachment 14</w:t>
      </w:r>
      <w:r w:rsidRPr="00545F3C">
        <w:rPr>
          <w:sz w:val="22"/>
          <w:szCs w:val="22"/>
        </w:rPr>
        <w:t>). Research suggests that providing tokens of appreciation to eligible participants increases response rates</w:t>
      </w:r>
      <w:r w:rsidRPr="008915D9">
        <w:rPr>
          <w:sz w:val="22"/>
          <w:szCs w:val="22"/>
        </w:rPr>
        <w:t xml:space="preserve"> and prevents bias, making findings more generalizable to U.S. children, adolescents, and young adults with PTD/TS. Literature examining the benefit of tokens of appreciation for participation was summarized by Yu J, et al.  in their paper “A quantitative review of research design effects on response rates to questionnaires”.</w:t>
      </w:r>
      <w:r w:rsidRPr="008915D9">
        <w:rPr>
          <w:noProof/>
          <w:sz w:val="22"/>
          <w:szCs w:val="22"/>
        </w:rPr>
        <w:t>[15]</w:t>
      </w:r>
      <w:r w:rsidRPr="008915D9">
        <w:rPr>
          <w:sz w:val="22"/>
          <w:szCs w:val="22"/>
        </w:rPr>
        <w:t xml:space="preserve"> It reviewed 497 response rates found in 93 journal articles and found that response rates increased with monetary and non-monetary gifts to participants.</w:t>
      </w:r>
    </w:p>
    <w:p w:rsidR="003E0FFE" w:rsidRPr="008915D9" w:rsidP="00873BFC" w14:paraId="544AA76B" w14:textId="77777777">
      <w:pPr>
        <w:rPr>
          <w:i/>
          <w:sz w:val="22"/>
          <w:szCs w:val="22"/>
          <w:u w:val="single"/>
        </w:rPr>
      </w:pPr>
    </w:p>
    <w:p w:rsidR="003E0FFE" w:rsidRPr="008915D9" w:rsidP="00705A6A" w14:paraId="4F05852B" w14:textId="77777777">
      <w:pPr>
        <w:pStyle w:val="Style1"/>
        <w:rPr>
          <w:szCs w:val="22"/>
        </w:rPr>
      </w:pPr>
      <w:bookmarkStart w:id="14" w:name="_Toc106703813"/>
      <w:bookmarkStart w:id="15" w:name="_Hlk183089217"/>
      <w:r w:rsidRPr="008915D9">
        <w:rPr>
          <w:szCs w:val="22"/>
        </w:rPr>
        <w:t>Section A.10. Assurance of Confidentiality Provided to Respondents</w:t>
      </w:r>
      <w:bookmarkEnd w:id="14"/>
    </w:p>
    <w:p w:rsidR="003E0FFE" w:rsidRPr="008915D9" w:rsidP="00873BFC" w14:paraId="21D29F89" w14:textId="77777777">
      <w:pPr>
        <w:keepNext/>
        <w:autoSpaceDE w:val="0"/>
        <w:autoSpaceDN w:val="0"/>
        <w:adjustRightInd w:val="0"/>
        <w:outlineLvl w:val="7"/>
        <w:rPr>
          <w:sz w:val="22"/>
          <w:szCs w:val="22"/>
        </w:rPr>
      </w:pPr>
    </w:p>
    <w:p w:rsidR="003E0FFE" w:rsidRPr="008915D9" w:rsidP="00DB1040" w14:paraId="283F073D" w14:textId="77777777">
      <w:pPr>
        <w:keepNext/>
        <w:autoSpaceDE w:val="0"/>
        <w:autoSpaceDN w:val="0"/>
        <w:adjustRightInd w:val="0"/>
        <w:outlineLvl w:val="7"/>
        <w:rPr>
          <w:sz w:val="22"/>
          <w:szCs w:val="22"/>
        </w:rPr>
      </w:pPr>
      <w:r w:rsidRPr="008915D9">
        <w:rPr>
          <w:sz w:val="22"/>
          <w:szCs w:val="22"/>
        </w:rPr>
        <w:t xml:space="preserve">The proposed data collection will have no anticipated effect on the respondent’s privacy.  </w:t>
      </w:r>
    </w:p>
    <w:p w:rsidR="003E0FFE" w:rsidRPr="008915D9" w:rsidP="00DB1040" w14:paraId="1505790B" w14:textId="77777777">
      <w:pPr>
        <w:keepNext/>
        <w:autoSpaceDE w:val="0"/>
        <w:autoSpaceDN w:val="0"/>
        <w:adjustRightInd w:val="0"/>
        <w:outlineLvl w:val="7"/>
        <w:rPr>
          <w:sz w:val="22"/>
          <w:szCs w:val="22"/>
          <w:u w:val="single"/>
        </w:rPr>
      </w:pPr>
    </w:p>
    <w:p w:rsidR="003E0FFE" w:rsidRPr="007C4CCE" w:rsidP="00DB1040" w14:paraId="0E015239" w14:textId="77777777">
      <w:pPr>
        <w:rPr>
          <w:sz w:val="22"/>
          <w:szCs w:val="22"/>
        </w:rPr>
      </w:pPr>
      <w:r w:rsidRPr="008915D9">
        <w:rPr>
          <w:sz w:val="22"/>
          <w:szCs w:val="22"/>
        </w:rPr>
        <w:t xml:space="preserve">The research determination for this </w:t>
      </w:r>
      <w:r w:rsidRPr="007C4CCE">
        <w:rPr>
          <w:sz w:val="22"/>
          <w:szCs w:val="22"/>
        </w:rPr>
        <w:t>project has declared it “Not Research – Public Health Surveillance” and therefore exempt from IRB review (</w:t>
      </w:r>
      <w:r w:rsidRPr="007C4CCE">
        <w:rPr>
          <w:b/>
          <w:bCs/>
          <w:sz w:val="22"/>
          <w:szCs w:val="22"/>
        </w:rPr>
        <w:t>Attachment 15</w:t>
      </w:r>
      <w:r w:rsidRPr="007C4CCE">
        <w:rPr>
          <w:sz w:val="22"/>
          <w:szCs w:val="22"/>
        </w:rPr>
        <w:t>). However, this data collection effort is subject to the Privacy Act and will be managed in accordance with CDC’s System of Records Notice (SORN) #09-20-0136, Epidemiologic Studies and Surveillance of Disease Problems, Department of Health and Human Services/CDC/National Center for Infectious Diseases. A privacy impact assessment for this project was reviewed and approved by a CDC Senior Official for Privacy (</w:t>
      </w:r>
      <w:r w:rsidRPr="007C4CCE">
        <w:rPr>
          <w:b/>
          <w:bCs/>
          <w:sz w:val="22"/>
          <w:szCs w:val="22"/>
        </w:rPr>
        <w:t xml:space="preserve">See </w:t>
      </w:r>
      <w:r w:rsidRPr="007C4CCE">
        <w:rPr>
          <w:b/>
          <w:bCs/>
          <w:i/>
          <w:sz w:val="22"/>
          <w:szCs w:val="22"/>
        </w:rPr>
        <w:t xml:space="preserve">Privacy Act </w:t>
      </w:r>
      <w:r w:rsidRPr="007C4CCE">
        <w:rPr>
          <w:b/>
          <w:bCs/>
          <w:sz w:val="22"/>
          <w:szCs w:val="22"/>
        </w:rPr>
        <w:t>Attachment 16</w:t>
      </w:r>
      <w:r w:rsidRPr="007C4CCE">
        <w:rPr>
          <w:sz w:val="22"/>
          <w:szCs w:val="22"/>
        </w:rPr>
        <w:t xml:space="preserve">). </w:t>
      </w:r>
    </w:p>
    <w:bookmarkEnd w:id="15"/>
    <w:p w:rsidR="003E0FFE" w:rsidRPr="007C4CCE" w:rsidP="00873BFC" w14:paraId="63BC0329" w14:textId="77777777">
      <w:pPr>
        <w:rPr>
          <w:sz w:val="22"/>
          <w:szCs w:val="22"/>
        </w:rPr>
      </w:pPr>
    </w:p>
    <w:p w:rsidR="003E0FFE" w:rsidRPr="008915D9" w:rsidP="00DB1040" w14:paraId="3ED22D69" w14:textId="19126AC5">
      <w:pPr>
        <w:rPr>
          <w:sz w:val="22"/>
          <w:szCs w:val="22"/>
        </w:rPr>
      </w:pPr>
      <w:r w:rsidRPr="007C4CCE">
        <w:rPr>
          <w:sz w:val="22"/>
          <w:szCs w:val="22"/>
        </w:rPr>
        <w:t xml:space="preserve">A brief clinical assessment </w:t>
      </w:r>
      <w:r w:rsidRPr="007C4CCE" w:rsidR="00C70C9A">
        <w:rPr>
          <w:sz w:val="22"/>
          <w:szCs w:val="22"/>
        </w:rPr>
        <w:t xml:space="preserve">(Yale Global Tic Severity Scale [YGTSS], </w:t>
      </w:r>
      <w:r w:rsidRPr="007C4CCE" w:rsidR="00F65CCC">
        <w:rPr>
          <w:sz w:val="22"/>
          <w:szCs w:val="22"/>
        </w:rPr>
        <w:t>Ask Suicide Screening Questions [</w:t>
      </w:r>
      <w:r w:rsidRPr="007C4CCE" w:rsidR="00C70C9A">
        <w:rPr>
          <w:sz w:val="22"/>
          <w:szCs w:val="22"/>
        </w:rPr>
        <w:t>ASQ</w:t>
      </w:r>
      <w:r w:rsidRPr="007C4CCE" w:rsidR="00F65CCC">
        <w:rPr>
          <w:sz w:val="22"/>
          <w:szCs w:val="22"/>
        </w:rPr>
        <w:t>]</w:t>
      </w:r>
      <w:r w:rsidRPr="007C4CCE" w:rsidR="00C70C9A">
        <w:rPr>
          <w:sz w:val="22"/>
          <w:szCs w:val="22"/>
        </w:rPr>
        <w:t xml:space="preserve">) </w:t>
      </w:r>
      <w:r w:rsidRPr="007C4CCE">
        <w:rPr>
          <w:sz w:val="22"/>
          <w:szCs w:val="22"/>
        </w:rPr>
        <w:t>and an electronic survey will be conducted at the clinic or during a telehealth visit (</w:t>
      </w:r>
      <w:r w:rsidRPr="007C4CCE">
        <w:rPr>
          <w:b/>
          <w:bCs/>
          <w:sz w:val="22"/>
          <w:szCs w:val="22"/>
        </w:rPr>
        <w:t>Attachments 3-11</w:t>
      </w:r>
      <w:r w:rsidRPr="007C4CCE">
        <w:rPr>
          <w:sz w:val="22"/>
          <w:szCs w:val="22"/>
        </w:rPr>
        <w:t xml:space="preserve">). Once all questions related to suicide risk are completed, </w:t>
      </w:r>
      <w:r w:rsidRPr="007C4CCE" w:rsidR="004833A9">
        <w:rPr>
          <w:sz w:val="22"/>
          <w:szCs w:val="22"/>
        </w:rPr>
        <w:t>respondents</w:t>
      </w:r>
      <w:r w:rsidRPr="007C4CCE">
        <w:rPr>
          <w:sz w:val="22"/>
          <w:szCs w:val="22"/>
        </w:rPr>
        <w:t xml:space="preserve"> can complete the survey on their own, outside the clinic or telehealth appointment, if they request additional time</w:t>
      </w:r>
      <w:r w:rsidRPr="008915D9">
        <w:rPr>
          <w:sz w:val="22"/>
          <w:szCs w:val="22"/>
        </w:rPr>
        <w:t xml:space="preserve"> to complete the survey. Data will be stored at the sites, linked with clinical data, and shared with CDC through secure data-transfer systems. Electronic data will be kept on password protected systems only accessible by Site and CDC project staff. The sites will conduct initial data cleaning and the CDC data manager will clean and remove Information in Identifiable Form from the survey data and create a dataset for use by project staff. </w:t>
      </w:r>
      <w:r w:rsidR="000465C9">
        <w:rPr>
          <w:sz w:val="22"/>
          <w:szCs w:val="22"/>
        </w:rPr>
        <w:t xml:space="preserve">A separate dataset will be saved with only the respondent ID and address information for use by GRASP. </w:t>
      </w:r>
      <w:r w:rsidRPr="008915D9">
        <w:rPr>
          <w:sz w:val="22"/>
          <w:szCs w:val="22"/>
        </w:rPr>
        <w:t xml:space="preserve">The dataset will not include Information in Identifiable Form. Project staff at funded sites may be given access to project data stored at CDC through secure data-transfer systems. Before obtaining the data, project staff must sign a Confidentiality and Data Use Acknowledgement form assuring they will not use these data in any way except for statistical reporting and analysis; they will not share the individual-level data with anyone not named on the data sharing and confidentiality form; they will not </w:t>
      </w:r>
      <w:r w:rsidRPr="008915D9">
        <w:rPr>
          <w:sz w:val="22"/>
          <w:szCs w:val="22"/>
        </w:rPr>
        <w:t>attempt to use the dataset to learn the identity of any person or establishment, and they will use reasonable measures to protect all individual-level data from eye observation, theft, or accidental loss or misplacement.</w:t>
      </w:r>
    </w:p>
    <w:p w:rsidR="003E0FFE" w:rsidRPr="008915D9" w:rsidP="00EA06D5" w14:paraId="2024F61B" w14:textId="77777777">
      <w:pPr>
        <w:rPr>
          <w:sz w:val="22"/>
          <w:szCs w:val="22"/>
        </w:rPr>
      </w:pPr>
    </w:p>
    <w:p w:rsidR="003E0FFE" w:rsidP="00DB1040" w14:paraId="45021EEF" w14:textId="1DE314D3">
      <w:pPr>
        <w:rPr>
          <w:sz w:val="22"/>
          <w:szCs w:val="22"/>
        </w:rPr>
      </w:pPr>
      <w:r w:rsidRPr="008915D9">
        <w:rPr>
          <w:sz w:val="22"/>
          <w:szCs w:val="22"/>
        </w:rPr>
        <w:t>A</w:t>
      </w:r>
      <w:r>
        <w:rPr>
          <w:sz w:val="22"/>
          <w:szCs w:val="22"/>
        </w:rPr>
        <w:t xml:space="preserve">n introductory </w:t>
      </w:r>
      <w:r w:rsidRPr="007C4CCE">
        <w:rPr>
          <w:sz w:val="22"/>
          <w:szCs w:val="22"/>
        </w:rPr>
        <w:t>letter (</w:t>
      </w:r>
      <w:r w:rsidRPr="007C4CCE">
        <w:rPr>
          <w:b/>
          <w:bCs/>
          <w:sz w:val="22"/>
          <w:szCs w:val="22"/>
        </w:rPr>
        <w:t>Attachment 17</w:t>
      </w:r>
      <w:r w:rsidRPr="007C4CCE">
        <w:rPr>
          <w:sz w:val="22"/>
          <w:szCs w:val="22"/>
        </w:rPr>
        <w:t>) and participant information sheet (</w:t>
      </w:r>
      <w:r w:rsidRPr="007C4CCE">
        <w:rPr>
          <w:b/>
          <w:bCs/>
          <w:sz w:val="22"/>
          <w:szCs w:val="22"/>
        </w:rPr>
        <w:t>Attachment</w:t>
      </w:r>
      <w:r w:rsidRPr="007C4CCE" w:rsidR="00D83C19">
        <w:rPr>
          <w:sz w:val="22"/>
          <w:szCs w:val="22"/>
        </w:rPr>
        <w:t>s</w:t>
      </w:r>
      <w:r w:rsidRPr="007C4CCE">
        <w:rPr>
          <w:b/>
          <w:bCs/>
          <w:sz w:val="22"/>
          <w:szCs w:val="22"/>
        </w:rPr>
        <w:t xml:space="preserve"> 18</w:t>
      </w:r>
      <w:r w:rsidRPr="007C4CCE" w:rsidR="00D83C19">
        <w:rPr>
          <w:b/>
          <w:bCs/>
          <w:sz w:val="22"/>
          <w:szCs w:val="22"/>
        </w:rPr>
        <w:t>-19</w:t>
      </w:r>
      <w:r w:rsidRPr="007C4CCE">
        <w:rPr>
          <w:sz w:val="22"/>
          <w:szCs w:val="22"/>
        </w:rPr>
        <w:t>)</w:t>
      </w:r>
      <w:r>
        <w:rPr>
          <w:sz w:val="22"/>
          <w:szCs w:val="22"/>
        </w:rPr>
        <w:t xml:space="preserve"> </w:t>
      </w:r>
      <w:r w:rsidRPr="008915D9">
        <w:rPr>
          <w:sz w:val="22"/>
          <w:szCs w:val="22"/>
        </w:rPr>
        <w:t xml:space="preserve">will be provided to all </w:t>
      </w:r>
      <w:r w:rsidR="00DF6AC0">
        <w:rPr>
          <w:sz w:val="22"/>
          <w:szCs w:val="22"/>
        </w:rPr>
        <w:t>adults and parents of children aged 4-17 years</w:t>
      </w:r>
      <w:r w:rsidRPr="008915D9" w:rsidR="00DF6AC0">
        <w:rPr>
          <w:sz w:val="22"/>
          <w:szCs w:val="22"/>
        </w:rPr>
        <w:t xml:space="preserve"> </w:t>
      </w:r>
      <w:r w:rsidRPr="008915D9">
        <w:rPr>
          <w:sz w:val="22"/>
          <w:szCs w:val="22"/>
        </w:rPr>
        <w:t xml:space="preserve">eligible to </w:t>
      </w:r>
      <w:r w:rsidR="006D122C">
        <w:rPr>
          <w:sz w:val="22"/>
          <w:szCs w:val="22"/>
        </w:rPr>
        <w:t>serve as respondents</w:t>
      </w:r>
      <w:r w:rsidRPr="008915D9" w:rsidR="006D122C">
        <w:rPr>
          <w:sz w:val="22"/>
          <w:szCs w:val="22"/>
        </w:rPr>
        <w:t xml:space="preserve"> </w:t>
      </w:r>
      <w:r w:rsidRPr="008915D9">
        <w:rPr>
          <w:sz w:val="22"/>
          <w:szCs w:val="22"/>
        </w:rPr>
        <w:t xml:space="preserve">in the surveillance project. </w:t>
      </w:r>
      <w:r w:rsidR="00DF6AC0">
        <w:rPr>
          <w:sz w:val="22"/>
          <w:szCs w:val="22"/>
        </w:rPr>
        <w:t xml:space="preserve">Children and adolescents aged 9-17 will also be provided the parent participant information sheet. </w:t>
      </w:r>
      <w:r w:rsidRPr="008915D9">
        <w:rPr>
          <w:sz w:val="22"/>
          <w:szCs w:val="22"/>
        </w:rPr>
        <w:t xml:space="preserve">The participant information sheet </w:t>
      </w:r>
      <w:r>
        <w:rPr>
          <w:sz w:val="22"/>
          <w:szCs w:val="22"/>
        </w:rPr>
        <w:t xml:space="preserve">1) </w:t>
      </w:r>
      <w:r w:rsidRPr="008915D9">
        <w:rPr>
          <w:sz w:val="22"/>
          <w:szCs w:val="22"/>
        </w:rPr>
        <w:t xml:space="preserve">informs </w:t>
      </w:r>
      <w:r w:rsidR="004833A9">
        <w:rPr>
          <w:sz w:val="22"/>
          <w:szCs w:val="22"/>
        </w:rPr>
        <w:t>potential respondents</w:t>
      </w:r>
      <w:r w:rsidRPr="008915D9">
        <w:rPr>
          <w:sz w:val="22"/>
          <w:szCs w:val="22"/>
        </w:rPr>
        <w:t xml:space="preserve"> about the purpose and procedures of the project</w:t>
      </w:r>
      <w:r>
        <w:rPr>
          <w:sz w:val="22"/>
          <w:szCs w:val="22"/>
        </w:rPr>
        <w:t>, 2)</w:t>
      </w:r>
      <w:r w:rsidRPr="008915D9">
        <w:rPr>
          <w:sz w:val="22"/>
          <w:szCs w:val="22"/>
        </w:rPr>
        <w:t xml:space="preserve"> states that there are no known risks to the </w:t>
      </w:r>
      <w:r w:rsidR="004833A9">
        <w:rPr>
          <w:sz w:val="22"/>
          <w:szCs w:val="22"/>
        </w:rPr>
        <w:t>respondent</w:t>
      </w:r>
      <w:r w:rsidRPr="008915D9">
        <w:rPr>
          <w:sz w:val="22"/>
          <w:szCs w:val="22"/>
        </w:rPr>
        <w:t xml:space="preserve"> and all personal information will be kept private to the extent allowed under federal laws</w:t>
      </w:r>
      <w:r>
        <w:rPr>
          <w:sz w:val="22"/>
          <w:szCs w:val="22"/>
        </w:rPr>
        <w:t>, 3)</w:t>
      </w:r>
      <w:r w:rsidRPr="008915D9">
        <w:rPr>
          <w:sz w:val="22"/>
          <w:szCs w:val="22"/>
        </w:rPr>
        <w:t xml:space="preserve"> states there is no benefit to completing the survey, but answers may help identify </w:t>
      </w:r>
      <w:r>
        <w:rPr>
          <w:sz w:val="22"/>
          <w:szCs w:val="22"/>
        </w:rPr>
        <w:t>the impact of</w:t>
      </w:r>
      <w:r w:rsidRPr="008915D9">
        <w:rPr>
          <w:sz w:val="22"/>
          <w:szCs w:val="22"/>
        </w:rPr>
        <w:t xml:space="preserve"> PTD/TS</w:t>
      </w:r>
      <w:r>
        <w:rPr>
          <w:sz w:val="22"/>
          <w:szCs w:val="22"/>
        </w:rPr>
        <w:t xml:space="preserve"> which can be used to inform future activities aimed at improving the health and wellbeing of individuals with PTD/TS</w:t>
      </w:r>
      <w:r w:rsidRPr="008915D9">
        <w:rPr>
          <w:sz w:val="22"/>
          <w:szCs w:val="22"/>
        </w:rPr>
        <w:t xml:space="preserve">. Further, </w:t>
      </w:r>
      <w:r w:rsidR="004833A9">
        <w:rPr>
          <w:sz w:val="22"/>
          <w:szCs w:val="22"/>
        </w:rPr>
        <w:t>respondents</w:t>
      </w:r>
      <w:r w:rsidRPr="008915D9">
        <w:rPr>
          <w:sz w:val="22"/>
          <w:szCs w:val="22"/>
        </w:rPr>
        <w:t xml:space="preserve"> will be reminded</w:t>
      </w:r>
      <w:r w:rsidR="004833A9">
        <w:rPr>
          <w:sz w:val="22"/>
          <w:szCs w:val="22"/>
        </w:rPr>
        <w:t xml:space="preserve"> that</w:t>
      </w:r>
      <w:r w:rsidRPr="008915D9">
        <w:rPr>
          <w:sz w:val="22"/>
          <w:szCs w:val="22"/>
        </w:rPr>
        <w:t xml:space="preserve"> </w:t>
      </w:r>
      <w:r>
        <w:rPr>
          <w:sz w:val="22"/>
          <w:szCs w:val="22"/>
        </w:rPr>
        <w:t>1)</w:t>
      </w:r>
      <w:r w:rsidRPr="008915D9">
        <w:rPr>
          <w:sz w:val="22"/>
          <w:szCs w:val="22"/>
        </w:rPr>
        <w:t xml:space="preserve"> their participation is voluntary and </w:t>
      </w:r>
      <w:r>
        <w:rPr>
          <w:sz w:val="22"/>
          <w:szCs w:val="22"/>
        </w:rPr>
        <w:t xml:space="preserve">2) </w:t>
      </w:r>
      <w:r w:rsidRPr="008915D9">
        <w:rPr>
          <w:sz w:val="22"/>
          <w:szCs w:val="22"/>
        </w:rPr>
        <w:t xml:space="preserve">they may choose not to answer a question at any time or may withdraw their survey from the project. </w:t>
      </w:r>
    </w:p>
    <w:p w:rsidR="003E0FFE" w:rsidP="00DB1040" w14:paraId="7D698858" w14:textId="77777777">
      <w:pPr>
        <w:rPr>
          <w:sz w:val="22"/>
          <w:szCs w:val="22"/>
        </w:rPr>
      </w:pPr>
    </w:p>
    <w:p w:rsidR="003E0FFE" w:rsidRPr="008915D9" w:rsidP="00DB1040" w14:paraId="54A089C9" w14:textId="43EF4552">
      <w:pPr>
        <w:rPr>
          <w:sz w:val="22"/>
          <w:szCs w:val="22"/>
        </w:rPr>
      </w:pPr>
      <w:r w:rsidRPr="008915D9">
        <w:rPr>
          <w:sz w:val="22"/>
          <w:szCs w:val="22"/>
        </w:rPr>
        <w:t>Because this work presents no more than minimal risk of harm to subjects and involves no procedures for which written consent is normally required outside of the research context, we will not request written documentation of informed consent</w:t>
      </w:r>
      <w:r>
        <w:rPr>
          <w:sz w:val="22"/>
          <w:szCs w:val="22"/>
        </w:rPr>
        <w:t>/assent</w:t>
      </w:r>
      <w:r w:rsidRPr="008915D9">
        <w:rPr>
          <w:sz w:val="22"/>
          <w:szCs w:val="22"/>
        </w:rPr>
        <w:t xml:space="preserve">. </w:t>
      </w:r>
      <w:r>
        <w:rPr>
          <w:sz w:val="22"/>
          <w:szCs w:val="22"/>
        </w:rPr>
        <w:t xml:space="preserve">However, the sites </w:t>
      </w:r>
      <w:r w:rsidR="00F241CC">
        <w:rPr>
          <w:sz w:val="22"/>
          <w:szCs w:val="22"/>
        </w:rPr>
        <w:t xml:space="preserve">may </w:t>
      </w:r>
      <w:r>
        <w:rPr>
          <w:sz w:val="22"/>
          <w:szCs w:val="22"/>
        </w:rPr>
        <w:t xml:space="preserve">require IRB in which case informed consent/assent may be incorporated into the project. </w:t>
      </w:r>
    </w:p>
    <w:p w:rsidR="003E0FFE" w:rsidRPr="008915D9" w:rsidP="00873BFC" w14:paraId="2DD2BA90" w14:textId="77777777">
      <w:pPr>
        <w:rPr>
          <w:sz w:val="22"/>
          <w:szCs w:val="22"/>
        </w:rPr>
      </w:pPr>
    </w:p>
    <w:p w:rsidR="003E0FFE" w:rsidRPr="008915D9" w:rsidP="00705A6A" w14:paraId="084BF84A" w14:textId="77777777">
      <w:pPr>
        <w:pStyle w:val="Style1"/>
        <w:rPr>
          <w:szCs w:val="22"/>
        </w:rPr>
      </w:pPr>
      <w:bookmarkStart w:id="16" w:name="_Toc106703814"/>
      <w:r w:rsidRPr="008915D9">
        <w:rPr>
          <w:szCs w:val="22"/>
        </w:rPr>
        <w:t>Section A.11. Justification for Sensitive Questions</w:t>
      </w:r>
      <w:bookmarkEnd w:id="16"/>
    </w:p>
    <w:p w:rsidR="003E0FFE" w:rsidRPr="008915D9" w:rsidP="00873BFC" w14:paraId="6580D76B" w14:textId="77777777">
      <w:pPr>
        <w:rPr>
          <w:sz w:val="22"/>
          <w:szCs w:val="22"/>
        </w:rPr>
      </w:pPr>
    </w:p>
    <w:p w:rsidR="003E0FFE" w:rsidP="00C70C9A" w14:paraId="799FCF11" w14:textId="722D5977">
      <w:pPr>
        <w:rPr>
          <w:sz w:val="22"/>
          <w:szCs w:val="22"/>
        </w:rPr>
      </w:pPr>
      <w:r w:rsidRPr="008915D9">
        <w:rPr>
          <w:sz w:val="22"/>
          <w:szCs w:val="22"/>
        </w:rPr>
        <w:t>The survey asks questions about topics that may be considered sensitive: medical diagnoses and treatment, disabilities, special healthcare needs, use of mental health services, healthcare costs, and sexual orientation, income, employment, school absenteeism, and suicide. These topics are included in the survey because several reports indicate they are important issues for children, adolescents, or young adults with PTD/TS</w:t>
      </w:r>
      <w:r w:rsidR="00F241CC">
        <w:rPr>
          <w:sz w:val="22"/>
          <w:szCs w:val="22"/>
        </w:rPr>
        <w:t>, and/or may be associated with priority outcomes</w:t>
      </w:r>
      <w:r w:rsidRPr="008915D9">
        <w:rPr>
          <w:sz w:val="22"/>
          <w:szCs w:val="22"/>
        </w:rPr>
        <w:t xml:space="preserve">. As mentioned, </w:t>
      </w:r>
      <w:r w:rsidRPr="00132AFB">
        <w:rPr>
          <w:sz w:val="22"/>
          <w:szCs w:val="22"/>
        </w:rPr>
        <w:t xml:space="preserve">the participant </w:t>
      </w:r>
      <w:r w:rsidRPr="0073268C">
        <w:rPr>
          <w:sz w:val="22"/>
          <w:szCs w:val="22"/>
        </w:rPr>
        <w:t>information sheet (</w:t>
      </w:r>
      <w:r w:rsidRPr="0073268C">
        <w:rPr>
          <w:b/>
          <w:bCs/>
          <w:sz w:val="22"/>
          <w:szCs w:val="22"/>
        </w:rPr>
        <w:t>Attachment 18</w:t>
      </w:r>
      <w:r w:rsidRPr="0073268C">
        <w:rPr>
          <w:sz w:val="22"/>
          <w:szCs w:val="22"/>
        </w:rPr>
        <w:t xml:space="preserve">) states that participation is voluntary, nothing will happen if the person decides not to </w:t>
      </w:r>
      <w:r w:rsidR="004833A9">
        <w:rPr>
          <w:sz w:val="22"/>
          <w:szCs w:val="22"/>
        </w:rPr>
        <w:t>respond</w:t>
      </w:r>
      <w:r w:rsidRPr="0073268C">
        <w:rPr>
          <w:sz w:val="22"/>
          <w:szCs w:val="22"/>
        </w:rPr>
        <w:t xml:space="preserve">, that the </w:t>
      </w:r>
      <w:r w:rsidR="004833A9">
        <w:rPr>
          <w:sz w:val="22"/>
          <w:szCs w:val="22"/>
        </w:rPr>
        <w:t>respondent</w:t>
      </w:r>
      <w:r w:rsidRPr="0073268C">
        <w:rPr>
          <w:sz w:val="22"/>
          <w:szCs w:val="22"/>
        </w:rPr>
        <w:t xml:space="preserve"> may skip any question they do not wish to answer, and that all information collected will be kept confidential. Additionally, the survey instrument also states that the </w:t>
      </w:r>
      <w:r w:rsidR="004833A9">
        <w:rPr>
          <w:sz w:val="22"/>
          <w:szCs w:val="22"/>
        </w:rPr>
        <w:t>respondent</w:t>
      </w:r>
      <w:r w:rsidRPr="0073268C">
        <w:rPr>
          <w:sz w:val="22"/>
          <w:szCs w:val="22"/>
        </w:rPr>
        <w:t xml:space="preserve"> may skip any question he/she does not wish to answer (</w:t>
      </w:r>
      <w:r w:rsidRPr="0073268C">
        <w:rPr>
          <w:b/>
          <w:bCs/>
          <w:sz w:val="22"/>
          <w:szCs w:val="22"/>
        </w:rPr>
        <w:t>Attachments 3-11</w:t>
      </w:r>
      <w:r w:rsidRPr="0073268C">
        <w:rPr>
          <w:sz w:val="22"/>
          <w:szCs w:val="22"/>
        </w:rPr>
        <w:t>)</w:t>
      </w:r>
      <w:r w:rsidR="00C70C9A">
        <w:rPr>
          <w:sz w:val="22"/>
          <w:szCs w:val="22"/>
        </w:rPr>
        <w:t>, and for surveys including questions on suicidality</w:t>
      </w:r>
      <w:r w:rsidR="00D83C19">
        <w:rPr>
          <w:sz w:val="22"/>
          <w:szCs w:val="22"/>
        </w:rPr>
        <w:t xml:space="preserve"> (i.e., adult and teen surveys)</w:t>
      </w:r>
      <w:r w:rsidR="00C70C9A">
        <w:rPr>
          <w:sz w:val="22"/>
          <w:szCs w:val="22"/>
        </w:rPr>
        <w:t>, “</w:t>
      </w:r>
      <w:r w:rsidRPr="00C70C9A" w:rsidR="00C70C9A">
        <w:rPr>
          <w:sz w:val="22"/>
          <w:szCs w:val="22"/>
        </w:rPr>
        <w:t>This survey asks about mental health and emotional well-being. If you answer that you have had suicidal thoughts or behaviors, or purposely tried to hurt yourself, we may inform your doctor or other clinic staff. This would be to ensure your safety and provide you with support and care. By completing this survey, you accept and consent to this protocol. If you have concerns or need immediate help, please tell the clinic staff.</w:t>
      </w:r>
      <w:r w:rsidR="00C70C9A">
        <w:rPr>
          <w:sz w:val="22"/>
          <w:szCs w:val="22"/>
        </w:rPr>
        <w:t>”</w:t>
      </w:r>
      <w:r w:rsidRPr="00C70C9A" w:rsidR="00C70C9A">
        <w:rPr>
          <w:sz w:val="22"/>
          <w:szCs w:val="22"/>
        </w:rPr>
        <w:t> </w:t>
      </w:r>
      <w:r w:rsidRPr="0073268C" w:rsidR="00C70C9A">
        <w:rPr>
          <w:sz w:val="22"/>
          <w:szCs w:val="22"/>
        </w:rPr>
        <w:t xml:space="preserve"> </w:t>
      </w:r>
      <w:r w:rsidR="001D3EF0">
        <w:rPr>
          <w:sz w:val="22"/>
          <w:szCs w:val="22"/>
        </w:rPr>
        <w:t xml:space="preserve">All </w:t>
      </w:r>
      <w:r w:rsidR="004721C4">
        <w:rPr>
          <w:sz w:val="22"/>
          <w:szCs w:val="22"/>
        </w:rPr>
        <w:t>respondents aged 9-26 years and parents serving as respondents</w:t>
      </w:r>
      <w:r w:rsidR="001D3EF0">
        <w:rPr>
          <w:sz w:val="22"/>
          <w:szCs w:val="22"/>
        </w:rPr>
        <w:t xml:space="preserve"> will be provided information on the 988 Suicide and Crisis Lifeline (</w:t>
      </w:r>
      <w:r w:rsidRPr="00D83C19" w:rsidR="001D3EF0">
        <w:rPr>
          <w:b/>
          <w:bCs/>
          <w:sz w:val="22"/>
          <w:szCs w:val="22"/>
        </w:rPr>
        <w:t xml:space="preserve">Attachment </w:t>
      </w:r>
      <w:r w:rsidRPr="00D83C19" w:rsidR="00D83C19">
        <w:rPr>
          <w:b/>
          <w:bCs/>
          <w:sz w:val="22"/>
          <w:szCs w:val="22"/>
        </w:rPr>
        <w:t>20</w:t>
      </w:r>
      <w:r w:rsidR="001D3EF0">
        <w:rPr>
          <w:sz w:val="22"/>
          <w:szCs w:val="22"/>
        </w:rPr>
        <w:t>)</w:t>
      </w:r>
      <w:r w:rsidR="004721C4">
        <w:rPr>
          <w:sz w:val="22"/>
          <w:szCs w:val="22"/>
        </w:rPr>
        <w:t>, and each site will have a protocol for immediately assessing any endorsement of assessments and survey items including self-harm and suicidality</w:t>
      </w:r>
      <w:r w:rsidR="001D3EF0">
        <w:rPr>
          <w:sz w:val="22"/>
          <w:szCs w:val="22"/>
        </w:rPr>
        <w:t xml:space="preserve">. </w:t>
      </w:r>
      <w:r w:rsidRPr="0073268C">
        <w:rPr>
          <w:sz w:val="22"/>
          <w:szCs w:val="22"/>
        </w:rPr>
        <w:t>There is also a statement in the introductory letter that reads: “None of your answers or your child’s answers will be linked to your name or your child’s name. Your child’s name will never be released</w:t>
      </w:r>
      <w:r w:rsidRPr="00103285">
        <w:rPr>
          <w:sz w:val="22"/>
          <w:szCs w:val="22"/>
        </w:rPr>
        <w:t xml:space="preserve"> as having PTD/TS. </w:t>
      </w:r>
      <w:r w:rsidRPr="0073268C">
        <w:rPr>
          <w:sz w:val="22"/>
          <w:szCs w:val="22"/>
        </w:rPr>
        <w:t>Your name will never be released as having completed the survey or having been asked to participate.” (</w:t>
      </w:r>
      <w:r w:rsidRPr="0073268C">
        <w:rPr>
          <w:b/>
          <w:bCs/>
          <w:sz w:val="22"/>
          <w:szCs w:val="22"/>
        </w:rPr>
        <w:t>Attachment 17</w:t>
      </w:r>
      <w:r w:rsidRPr="0073268C">
        <w:rPr>
          <w:sz w:val="22"/>
          <w:szCs w:val="22"/>
        </w:rPr>
        <w:t>). Additionally, most questions on this survey are derived from national surveys, including the National Survey</w:t>
      </w:r>
      <w:r w:rsidRPr="008915D9">
        <w:rPr>
          <w:sz w:val="22"/>
          <w:szCs w:val="22"/>
        </w:rPr>
        <w:t xml:space="preserve"> of Children’s Health (OMB No. 0607-0990, exp. 04/30/2027), the National Health Interview </w:t>
      </w:r>
      <w:r w:rsidRPr="00D374C6">
        <w:rPr>
          <w:sz w:val="22"/>
          <w:szCs w:val="22"/>
        </w:rPr>
        <w:t>Survey (NHIS OMB No. 0920-0214, exp. 12/31/2026), and NHIS-Teen (NHIS Teen OMB No. 0920-0214, exp.</w:t>
      </w:r>
      <w:r w:rsidRPr="008915D9">
        <w:rPr>
          <w:sz w:val="22"/>
          <w:szCs w:val="22"/>
        </w:rPr>
        <w:t xml:space="preserve"> 12/31/2023) which has been found acceptable by parents, teens, and adults across the United States.</w:t>
      </w:r>
      <w:r>
        <w:rPr>
          <w:sz w:val="22"/>
          <w:szCs w:val="22"/>
        </w:rPr>
        <w:t xml:space="preserve"> Each site will create a protocol to implement immediate follow-up in cases where individuals endorse any items related to self-harm.</w:t>
      </w:r>
    </w:p>
    <w:p w:rsidR="003E0FFE" w:rsidP="00FB366D" w14:paraId="02D7C9CC" w14:textId="77777777">
      <w:pPr>
        <w:rPr>
          <w:sz w:val="22"/>
          <w:szCs w:val="22"/>
        </w:rPr>
      </w:pPr>
    </w:p>
    <w:p w:rsidR="003E0FFE" w:rsidRPr="00E03BDA" w:rsidP="00FB366D" w14:paraId="2B654C16" w14:textId="3FD9FB35">
      <w:pPr>
        <w:rPr>
          <w:sz w:val="22"/>
          <w:szCs w:val="22"/>
        </w:rPr>
      </w:pPr>
      <w:r>
        <w:rPr>
          <w:sz w:val="22"/>
          <w:szCs w:val="22"/>
        </w:rPr>
        <w:t xml:space="preserve">A question about race/ethnicity is included to assess differences in outcomes among individuals with PTD/TS by race/ethnicity. The program chose to include the mid-level of detail question on race/ethnicity with minimum categories only and examples. The question stem includes race and/or ethnicity and “select all that apply” and response options include each of the 7 minimum categories and detailed category </w:t>
      </w:r>
      <w:r w:rsidRPr="0073268C">
        <w:rPr>
          <w:sz w:val="22"/>
          <w:szCs w:val="22"/>
        </w:rPr>
        <w:t>examples that exactly match the 2024 SPD 15. This is included in the parent-report and adult self-report surveys (</w:t>
      </w:r>
      <w:r w:rsidRPr="0073268C">
        <w:rPr>
          <w:b/>
          <w:bCs/>
          <w:sz w:val="22"/>
          <w:szCs w:val="22"/>
        </w:rPr>
        <w:t>Attachments 3, 4, 8, 9</w:t>
      </w:r>
      <w:r w:rsidRPr="0073268C">
        <w:rPr>
          <w:sz w:val="22"/>
          <w:szCs w:val="22"/>
        </w:rPr>
        <w:t>). We selected the mid-level option because our sample size is relatively small and collecting additional</w:t>
      </w:r>
      <w:r w:rsidRPr="00E03BDA">
        <w:rPr>
          <w:sz w:val="22"/>
          <w:szCs w:val="22"/>
        </w:rPr>
        <w:t xml:space="preserve"> details on race/ethnicity would pose additional burden that we would be unable to report at a greater level of detail due to the smaller number of </w:t>
      </w:r>
      <w:r w:rsidR="00B54B08">
        <w:rPr>
          <w:sz w:val="22"/>
          <w:szCs w:val="22"/>
        </w:rPr>
        <w:t>respondents</w:t>
      </w:r>
      <w:r w:rsidRPr="00E03BDA">
        <w:rPr>
          <w:sz w:val="22"/>
          <w:szCs w:val="22"/>
        </w:rPr>
        <w:t xml:space="preserve">. </w:t>
      </w:r>
    </w:p>
    <w:p w:rsidR="003E0FFE" w:rsidRPr="00E03BDA" w:rsidP="00FB366D" w14:paraId="6824AB94" w14:textId="77777777">
      <w:pPr>
        <w:rPr>
          <w:sz w:val="22"/>
          <w:szCs w:val="22"/>
        </w:rPr>
      </w:pPr>
    </w:p>
    <w:p w:rsidR="003E0FFE" w:rsidRPr="008915D9" w:rsidP="00705A6A" w14:paraId="18779CE3" w14:textId="77777777">
      <w:pPr>
        <w:pStyle w:val="Style1"/>
        <w:rPr>
          <w:szCs w:val="22"/>
        </w:rPr>
      </w:pPr>
      <w:bookmarkStart w:id="17" w:name="_Toc106703815"/>
      <w:r w:rsidRPr="008915D9">
        <w:rPr>
          <w:szCs w:val="22"/>
        </w:rPr>
        <w:t>Section A.12. Estimates of Annualized Burden Hours and Costs</w:t>
      </w:r>
      <w:bookmarkEnd w:id="17"/>
    </w:p>
    <w:p w:rsidR="003E0FFE" w:rsidRPr="008915D9" w:rsidP="00873BFC" w14:paraId="3FCA5CF9" w14:textId="77777777">
      <w:pPr>
        <w:keepNext/>
        <w:keepLines/>
        <w:rPr>
          <w:b/>
          <w:sz w:val="22"/>
          <w:szCs w:val="22"/>
        </w:rPr>
      </w:pPr>
      <w:r w:rsidRPr="008915D9">
        <w:rPr>
          <w:b/>
          <w:sz w:val="22"/>
          <w:szCs w:val="22"/>
        </w:rPr>
        <w:t xml:space="preserve"> </w:t>
      </w:r>
    </w:p>
    <w:p w:rsidR="003E0FFE" w:rsidRPr="008915D9" w:rsidP="00F02AAF" w14:paraId="515D9240" w14:textId="37C01A81">
      <w:pPr>
        <w:rPr>
          <w:sz w:val="22"/>
          <w:szCs w:val="22"/>
        </w:rPr>
      </w:pPr>
      <w:r w:rsidRPr="008915D9">
        <w:rPr>
          <w:sz w:val="22"/>
          <w:szCs w:val="22"/>
        </w:rPr>
        <w:t xml:space="preserve">It is estimated that </w:t>
      </w:r>
      <w:r>
        <w:rPr>
          <w:sz w:val="22"/>
          <w:szCs w:val="22"/>
        </w:rPr>
        <w:t>2,100</w:t>
      </w:r>
      <w:r w:rsidRPr="008915D9">
        <w:rPr>
          <w:sz w:val="22"/>
          <w:szCs w:val="22"/>
        </w:rPr>
        <w:t xml:space="preserve"> respondents </w:t>
      </w:r>
      <w:r>
        <w:rPr>
          <w:sz w:val="22"/>
          <w:szCs w:val="22"/>
        </w:rPr>
        <w:t>(1200 patients with PTD/TS and 900 parents of the underage patients)</w:t>
      </w:r>
      <w:r w:rsidRPr="008915D9">
        <w:rPr>
          <w:sz w:val="22"/>
          <w:szCs w:val="22"/>
        </w:rPr>
        <w:t xml:space="preserve"> in total across all 3 years will complete the survey. The survey will be conducted 1 time only. Data will be collected at four sites, and we expect each site to recruit approximately 100 unique individuals with PTD/TS per year (total N=400/year), of which 75% will be children (n=300), and 25% young adults (n=100). Parents will complete a 25-minute survey and participate in a 20-minute clinical assessment </w:t>
      </w:r>
      <w:r w:rsidR="00C70C9A">
        <w:rPr>
          <w:sz w:val="22"/>
          <w:szCs w:val="22"/>
        </w:rPr>
        <w:t xml:space="preserve">(YGTSS) </w:t>
      </w:r>
      <w:r w:rsidRPr="008915D9">
        <w:rPr>
          <w:sz w:val="22"/>
          <w:szCs w:val="22"/>
        </w:rPr>
        <w:t xml:space="preserve">for all children ages 4–17 years (300 parents at 45 minutes for a total of </w:t>
      </w:r>
      <w:r>
        <w:rPr>
          <w:sz w:val="22"/>
          <w:szCs w:val="22"/>
        </w:rPr>
        <w:t>225</w:t>
      </w:r>
      <w:r w:rsidRPr="008915D9">
        <w:rPr>
          <w:sz w:val="22"/>
          <w:szCs w:val="22"/>
        </w:rPr>
        <w:t xml:space="preserve"> hours). Young children ages 4–8 years will participate in a clinical assessment of tics only (</w:t>
      </w:r>
      <w:r w:rsidR="00DF6AC0">
        <w:rPr>
          <w:sz w:val="22"/>
          <w:szCs w:val="22"/>
        </w:rPr>
        <w:t xml:space="preserve">YGTSS; </w:t>
      </w:r>
      <w:r>
        <w:rPr>
          <w:sz w:val="22"/>
          <w:szCs w:val="22"/>
        </w:rPr>
        <w:t>6</w:t>
      </w:r>
      <w:r w:rsidRPr="008915D9">
        <w:rPr>
          <w:sz w:val="22"/>
          <w:szCs w:val="22"/>
        </w:rPr>
        <w:t xml:space="preserve">0 children at 20 minutes for a total of </w:t>
      </w:r>
      <w:r>
        <w:rPr>
          <w:sz w:val="22"/>
          <w:szCs w:val="22"/>
        </w:rPr>
        <w:t>20</w:t>
      </w:r>
      <w:r w:rsidRPr="008915D9">
        <w:rPr>
          <w:sz w:val="22"/>
          <w:szCs w:val="22"/>
        </w:rPr>
        <w:t xml:space="preserve"> hours). Children ages 9–11 years will complete a </w:t>
      </w:r>
      <w:r>
        <w:rPr>
          <w:sz w:val="22"/>
          <w:szCs w:val="22"/>
        </w:rPr>
        <w:t>10</w:t>
      </w:r>
      <w:r w:rsidRPr="008915D9">
        <w:rPr>
          <w:sz w:val="22"/>
          <w:szCs w:val="22"/>
        </w:rPr>
        <w:t xml:space="preserve">-minute survey and 20-minute clinical assessment </w:t>
      </w:r>
      <w:r>
        <w:rPr>
          <w:sz w:val="22"/>
          <w:szCs w:val="22"/>
        </w:rPr>
        <w:t xml:space="preserve">of tics </w:t>
      </w:r>
      <w:r w:rsidR="00DF6AC0">
        <w:rPr>
          <w:sz w:val="22"/>
          <w:szCs w:val="22"/>
        </w:rPr>
        <w:t xml:space="preserve">and suicidality </w:t>
      </w:r>
      <w:r w:rsidRPr="008915D9">
        <w:rPr>
          <w:sz w:val="22"/>
          <w:szCs w:val="22"/>
        </w:rPr>
        <w:t>(</w:t>
      </w:r>
      <w:r w:rsidR="00DF6AC0">
        <w:rPr>
          <w:sz w:val="22"/>
          <w:szCs w:val="22"/>
        </w:rPr>
        <w:t xml:space="preserve">YGTSS, ASQ; </w:t>
      </w:r>
      <w:r w:rsidRPr="008915D9">
        <w:rPr>
          <w:sz w:val="22"/>
          <w:szCs w:val="22"/>
        </w:rPr>
        <w:t>n=</w:t>
      </w:r>
      <w:r>
        <w:rPr>
          <w:sz w:val="22"/>
          <w:szCs w:val="22"/>
        </w:rPr>
        <w:t>100</w:t>
      </w:r>
      <w:r w:rsidRPr="008915D9">
        <w:rPr>
          <w:sz w:val="22"/>
          <w:szCs w:val="22"/>
        </w:rPr>
        <w:t xml:space="preserve"> at </w:t>
      </w:r>
      <w:r>
        <w:rPr>
          <w:sz w:val="22"/>
          <w:szCs w:val="22"/>
        </w:rPr>
        <w:t>30</w:t>
      </w:r>
      <w:r w:rsidRPr="008915D9">
        <w:rPr>
          <w:sz w:val="22"/>
          <w:szCs w:val="22"/>
        </w:rPr>
        <w:t xml:space="preserve"> minutes for a total of </w:t>
      </w:r>
      <w:r>
        <w:rPr>
          <w:sz w:val="22"/>
          <w:szCs w:val="22"/>
        </w:rPr>
        <w:t>50</w:t>
      </w:r>
      <w:r w:rsidRPr="008915D9">
        <w:rPr>
          <w:sz w:val="22"/>
          <w:szCs w:val="22"/>
        </w:rPr>
        <w:t xml:space="preserve"> hours). Adolescents ages 12–17 years will also complete a 25-minute survey and a 20-minute clinical assessment </w:t>
      </w:r>
      <w:r>
        <w:rPr>
          <w:sz w:val="22"/>
          <w:szCs w:val="22"/>
        </w:rPr>
        <w:t xml:space="preserve">of tics </w:t>
      </w:r>
      <w:r w:rsidR="00DF6AC0">
        <w:rPr>
          <w:sz w:val="22"/>
          <w:szCs w:val="22"/>
        </w:rPr>
        <w:t xml:space="preserve">and suicidality </w:t>
      </w:r>
      <w:r w:rsidRPr="008915D9">
        <w:rPr>
          <w:sz w:val="22"/>
          <w:szCs w:val="22"/>
        </w:rPr>
        <w:t>(</w:t>
      </w:r>
      <w:r w:rsidR="00DF6AC0">
        <w:rPr>
          <w:sz w:val="22"/>
          <w:szCs w:val="22"/>
        </w:rPr>
        <w:t xml:space="preserve">YGTSS, ASQ; </w:t>
      </w:r>
      <w:r w:rsidRPr="008915D9">
        <w:rPr>
          <w:sz w:val="22"/>
          <w:szCs w:val="22"/>
        </w:rPr>
        <w:t>n=</w:t>
      </w:r>
      <w:r>
        <w:rPr>
          <w:sz w:val="22"/>
          <w:szCs w:val="22"/>
        </w:rPr>
        <w:t>140</w:t>
      </w:r>
      <w:r w:rsidRPr="008915D9">
        <w:rPr>
          <w:sz w:val="22"/>
          <w:szCs w:val="22"/>
        </w:rPr>
        <w:t xml:space="preserve"> at 45 minutes for a total of </w:t>
      </w:r>
      <w:r>
        <w:rPr>
          <w:sz w:val="22"/>
          <w:szCs w:val="22"/>
        </w:rPr>
        <w:t>105</w:t>
      </w:r>
      <w:r w:rsidRPr="008915D9">
        <w:rPr>
          <w:sz w:val="22"/>
          <w:szCs w:val="22"/>
        </w:rPr>
        <w:t xml:space="preserve"> hours). Young adults ages 18–26 years will complete a 40-minute self-report survey and a 20-minute clinical assessment of tics </w:t>
      </w:r>
      <w:r w:rsidR="00DF6AC0">
        <w:rPr>
          <w:sz w:val="22"/>
          <w:szCs w:val="22"/>
        </w:rPr>
        <w:t xml:space="preserve">and suicidality </w:t>
      </w:r>
      <w:r w:rsidRPr="008915D9">
        <w:rPr>
          <w:sz w:val="22"/>
          <w:szCs w:val="22"/>
        </w:rPr>
        <w:t>(</w:t>
      </w:r>
      <w:r w:rsidR="00DF6AC0">
        <w:rPr>
          <w:sz w:val="22"/>
          <w:szCs w:val="22"/>
        </w:rPr>
        <w:t xml:space="preserve">YGTSS, ASQ; </w:t>
      </w:r>
      <w:r w:rsidRPr="008915D9">
        <w:rPr>
          <w:sz w:val="22"/>
          <w:szCs w:val="22"/>
        </w:rPr>
        <w:t xml:space="preserve">n=100 at 1 hour for a total of </w:t>
      </w:r>
      <w:r>
        <w:rPr>
          <w:sz w:val="22"/>
          <w:szCs w:val="22"/>
        </w:rPr>
        <w:t>100</w:t>
      </w:r>
      <w:r w:rsidRPr="008915D9">
        <w:rPr>
          <w:sz w:val="22"/>
          <w:szCs w:val="22"/>
        </w:rPr>
        <w:t xml:space="preserve"> hours). The burden per response for each respondent type, in hours, was estimated based on piloting a pretest of the form with 5 </w:t>
      </w:r>
      <w:r w:rsidR="00B54B08">
        <w:rPr>
          <w:sz w:val="22"/>
          <w:szCs w:val="22"/>
        </w:rPr>
        <w:t>individuals</w:t>
      </w:r>
      <w:r w:rsidRPr="008915D9">
        <w:rPr>
          <w:sz w:val="22"/>
          <w:szCs w:val="22"/>
        </w:rPr>
        <w:t xml:space="preserve"> and incorporating estimates of time needed to complete previously validated measures from the literature. Given a 3-year length of approval, corresponding annual estimates are </w:t>
      </w:r>
      <w:r>
        <w:rPr>
          <w:sz w:val="22"/>
          <w:szCs w:val="22"/>
        </w:rPr>
        <w:t>700</w:t>
      </w:r>
      <w:r w:rsidRPr="008915D9">
        <w:rPr>
          <w:sz w:val="22"/>
          <w:szCs w:val="22"/>
        </w:rPr>
        <w:t xml:space="preserve"> respondents per year and </w:t>
      </w:r>
      <w:r>
        <w:rPr>
          <w:sz w:val="22"/>
          <w:szCs w:val="22"/>
        </w:rPr>
        <w:t>500</w:t>
      </w:r>
      <w:r w:rsidRPr="008915D9">
        <w:rPr>
          <w:sz w:val="22"/>
          <w:szCs w:val="22"/>
        </w:rPr>
        <w:t xml:space="preserve"> burden hours per year.</w:t>
      </w:r>
    </w:p>
    <w:p w:rsidR="003E0FFE" w:rsidRPr="008915D9" w:rsidP="00DF7A00" w14:paraId="0DC07A45" w14:textId="77777777">
      <w:pPr>
        <w:keepNext/>
        <w:keepLines/>
        <w:rPr>
          <w:sz w:val="22"/>
          <w:szCs w:val="22"/>
        </w:rPr>
      </w:pPr>
    </w:p>
    <w:p w:rsidR="003E0FFE" w:rsidRPr="008915D9" w:rsidP="00873BFC" w14:paraId="2C1F5474" w14:textId="77777777">
      <w:pPr>
        <w:keepNext/>
        <w:keepLines/>
        <w:rPr>
          <w:sz w:val="22"/>
          <w:szCs w:val="22"/>
        </w:rPr>
      </w:pPr>
      <w:r w:rsidRPr="008915D9">
        <w:rPr>
          <w:sz w:val="22"/>
          <w:szCs w:val="22"/>
        </w:rPr>
        <w:t>There are no costs to respondents other than their time.</w:t>
      </w:r>
    </w:p>
    <w:p w:rsidR="003E0FFE" w:rsidRPr="008915D9" w:rsidP="00873BFC" w14:paraId="48F7A023" w14:textId="77777777">
      <w:pPr>
        <w:keepNext/>
        <w:keepLines/>
        <w:rPr>
          <w:sz w:val="22"/>
          <w:szCs w:val="22"/>
        </w:rPr>
      </w:pPr>
    </w:p>
    <w:p w:rsidR="003E0FFE" w:rsidRPr="008915D9" w:rsidP="00873BFC" w14:paraId="5EC728D1" w14:textId="77777777">
      <w:pPr>
        <w:keepNext/>
        <w:keepLines/>
        <w:rPr>
          <w:sz w:val="22"/>
          <w:szCs w:val="22"/>
        </w:rPr>
      </w:pPr>
    </w:p>
    <w:p w:rsidR="003E0FFE" w:rsidRPr="008915D9" w:rsidP="00873BFC" w14:paraId="1975CC6B" w14:textId="77777777">
      <w:pPr>
        <w:keepNext/>
        <w:keepLines/>
        <w:rPr>
          <w:b/>
          <w:sz w:val="22"/>
          <w:szCs w:val="22"/>
        </w:rPr>
      </w:pPr>
      <w:r w:rsidRPr="008915D9">
        <w:rPr>
          <w:b/>
          <w:sz w:val="22"/>
          <w:szCs w:val="22"/>
        </w:rPr>
        <w:t>EXAMPLE OF BURDEN TABLE:</w:t>
      </w:r>
    </w:p>
    <w:p w:rsidR="003E0FFE" w:rsidRPr="008915D9" w:rsidP="00873BFC" w14:paraId="572FED53" w14:textId="77777777">
      <w:pPr>
        <w:keepNext/>
        <w:keepLines/>
        <w:rPr>
          <w:sz w:val="22"/>
          <w:szCs w:val="22"/>
        </w:rPr>
      </w:pPr>
    </w:p>
    <w:p w:rsidR="003E0FFE" w:rsidRPr="008915D9" w:rsidP="003E680F" w14:paraId="64B07BCA" w14:textId="77777777">
      <w:pPr>
        <w:keepNext/>
        <w:keepLines/>
        <w:ind w:left="720"/>
        <w:rPr>
          <w:b/>
          <w:i/>
          <w:sz w:val="22"/>
          <w:szCs w:val="22"/>
        </w:rPr>
      </w:pPr>
      <w:r w:rsidRPr="008915D9">
        <w:rPr>
          <w:b/>
          <w:i/>
          <w:sz w:val="22"/>
          <w:szCs w:val="22"/>
        </w:rPr>
        <w:t xml:space="preserve">A.12.A. Estimated Annualized Burden Hours </w:t>
      </w:r>
    </w:p>
    <w:tbl>
      <w:tblPr>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98"/>
        <w:gridCol w:w="2227"/>
        <w:gridCol w:w="1350"/>
        <w:gridCol w:w="1260"/>
        <w:gridCol w:w="1260"/>
        <w:gridCol w:w="1013"/>
      </w:tblGrid>
      <w:tr w14:paraId="40EA83A2" w14:textId="77777777" w:rsidTr="00A731BE">
        <w:tblPrEx>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c>
          <w:tcPr>
            <w:tcW w:w="1998" w:type="dxa"/>
          </w:tcPr>
          <w:p w:rsidR="003E0FFE" w:rsidRPr="008915D9" w:rsidP="00131D1E" w14:paraId="6189F123" w14:textId="77777777">
            <w:pPr>
              <w:pStyle w:val="ListBullet"/>
              <w:numPr>
                <w:ilvl w:val="0"/>
                <w:numId w:val="0"/>
              </w:numPr>
              <w:rPr>
                <w:b/>
                <w:bCs/>
              </w:rPr>
            </w:pPr>
            <w:r w:rsidRPr="008915D9">
              <w:rPr>
                <w:b/>
                <w:bCs/>
              </w:rPr>
              <w:t>Type of Respondents</w:t>
            </w:r>
          </w:p>
        </w:tc>
        <w:tc>
          <w:tcPr>
            <w:tcW w:w="2227" w:type="dxa"/>
          </w:tcPr>
          <w:p w:rsidR="003E0FFE" w:rsidRPr="008915D9" w:rsidP="00131D1E" w14:paraId="03F4B61E" w14:textId="77777777">
            <w:pPr>
              <w:pStyle w:val="ListBullet"/>
              <w:numPr>
                <w:ilvl w:val="0"/>
                <w:numId w:val="0"/>
              </w:numPr>
              <w:rPr>
                <w:b/>
                <w:bCs/>
              </w:rPr>
            </w:pPr>
            <w:r w:rsidRPr="008915D9">
              <w:rPr>
                <w:b/>
                <w:bCs/>
              </w:rPr>
              <w:t>Form Name</w:t>
            </w:r>
          </w:p>
        </w:tc>
        <w:tc>
          <w:tcPr>
            <w:tcW w:w="1350" w:type="dxa"/>
          </w:tcPr>
          <w:p w:rsidR="003E0FFE" w:rsidRPr="008915D9" w:rsidP="00131D1E" w14:paraId="5DFB4DAD" w14:textId="77777777">
            <w:pPr>
              <w:pStyle w:val="ListBullet"/>
              <w:numPr>
                <w:ilvl w:val="0"/>
                <w:numId w:val="0"/>
              </w:numPr>
              <w:jc w:val="center"/>
              <w:rPr>
                <w:b/>
                <w:bCs/>
              </w:rPr>
            </w:pPr>
            <w:r w:rsidRPr="008915D9">
              <w:rPr>
                <w:b/>
                <w:bCs/>
              </w:rPr>
              <w:t>No. of Respondents</w:t>
            </w:r>
          </w:p>
        </w:tc>
        <w:tc>
          <w:tcPr>
            <w:tcW w:w="1260" w:type="dxa"/>
          </w:tcPr>
          <w:p w:rsidR="003E0FFE" w:rsidRPr="008915D9" w:rsidP="00131D1E" w14:paraId="0CDFC935" w14:textId="77777777">
            <w:pPr>
              <w:pStyle w:val="ListBullet"/>
              <w:numPr>
                <w:ilvl w:val="0"/>
                <w:numId w:val="0"/>
              </w:numPr>
              <w:jc w:val="center"/>
              <w:rPr>
                <w:b/>
                <w:bCs/>
              </w:rPr>
            </w:pPr>
            <w:r w:rsidRPr="008915D9">
              <w:rPr>
                <w:b/>
                <w:bCs/>
              </w:rPr>
              <w:t>No. Responses per Respondent</w:t>
            </w:r>
          </w:p>
        </w:tc>
        <w:tc>
          <w:tcPr>
            <w:tcW w:w="1260" w:type="dxa"/>
          </w:tcPr>
          <w:p w:rsidR="003E0FFE" w:rsidRPr="008915D9" w:rsidP="00131D1E" w14:paraId="0036A430" w14:textId="77777777">
            <w:pPr>
              <w:pStyle w:val="ListBullet"/>
              <w:numPr>
                <w:ilvl w:val="0"/>
                <w:numId w:val="0"/>
              </w:numPr>
              <w:jc w:val="center"/>
              <w:rPr>
                <w:b/>
                <w:bCs/>
              </w:rPr>
            </w:pPr>
            <w:r w:rsidRPr="008915D9">
              <w:rPr>
                <w:b/>
                <w:bCs/>
              </w:rPr>
              <w:t>Average Burden per Response (in hours)</w:t>
            </w:r>
          </w:p>
        </w:tc>
        <w:tc>
          <w:tcPr>
            <w:tcW w:w="1013" w:type="dxa"/>
          </w:tcPr>
          <w:p w:rsidR="003E0FFE" w:rsidRPr="008915D9" w:rsidP="00131D1E" w14:paraId="4B45862D" w14:textId="77777777">
            <w:pPr>
              <w:pStyle w:val="ListBullet"/>
              <w:numPr>
                <w:ilvl w:val="0"/>
                <w:numId w:val="0"/>
              </w:numPr>
              <w:jc w:val="center"/>
              <w:rPr>
                <w:b/>
                <w:bCs/>
              </w:rPr>
            </w:pPr>
            <w:r w:rsidRPr="008915D9">
              <w:rPr>
                <w:b/>
                <w:bCs/>
              </w:rPr>
              <w:t>Total Burden</w:t>
            </w:r>
          </w:p>
          <w:p w:rsidR="003E0FFE" w:rsidRPr="008915D9" w:rsidP="00131D1E" w14:paraId="453943CA" w14:textId="77777777">
            <w:pPr>
              <w:pStyle w:val="ListBullet"/>
              <w:numPr>
                <w:ilvl w:val="0"/>
                <w:numId w:val="0"/>
              </w:numPr>
              <w:jc w:val="center"/>
              <w:rPr>
                <w:b/>
                <w:bCs/>
              </w:rPr>
            </w:pPr>
            <w:r w:rsidRPr="008915D9">
              <w:rPr>
                <w:b/>
                <w:bCs/>
              </w:rPr>
              <w:t>Hours</w:t>
            </w:r>
          </w:p>
        </w:tc>
      </w:tr>
      <w:tr w14:paraId="411D6051" w14:textId="77777777" w:rsidTr="00741B9D">
        <w:tblPrEx>
          <w:tblW w:w="9108" w:type="dxa"/>
          <w:tblLayout w:type="fixed"/>
          <w:tblLook w:val="04A0"/>
        </w:tblPrEx>
        <w:trPr>
          <w:trHeight w:val="458"/>
        </w:trPr>
        <w:tc>
          <w:tcPr>
            <w:tcW w:w="1998" w:type="dxa"/>
          </w:tcPr>
          <w:p w:rsidR="003E0FFE" w:rsidRPr="008915D9" w:rsidP="005B47F2" w14:paraId="7FC8C33A" w14:textId="77777777">
            <w:pPr>
              <w:pStyle w:val="ListBullet"/>
              <w:numPr>
                <w:ilvl w:val="0"/>
                <w:numId w:val="0"/>
              </w:numPr>
              <w:ind w:left="-27" w:firstLine="27"/>
              <w:rPr>
                <w:bCs/>
              </w:rPr>
            </w:pPr>
            <w:bookmarkStart w:id="18" w:name="_Hlk184802729"/>
            <w:r w:rsidRPr="008915D9">
              <w:t>Parents of children 4–17 years with a persistent tic disorder</w:t>
            </w:r>
          </w:p>
        </w:tc>
        <w:tc>
          <w:tcPr>
            <w:tcW w:w="2227" w:type="dxa"/>
          </w:tcPr>
          <w:p w:rsidR="003E0FFE" w:rsidRPr="008915D9" w:rsidP="005B47F2" w14:paraId="53F67F0E" w14:textId="77777777">
            <w:pPr>
              <w:pStyle w:val="ListBullet"/>
              <w:numPr>
                <w:ilvl w:val="0"/>
                <w:numId w:val="0"/>
              </w:numPr>
              <w:rPr>
                <w:bCs/>
              </w:rPr>
            </w:pPr>
            <w:r w:rsidRPr="008915D9">
              <w:t>Parent</w:t>
            </w:r>
          </w:p>
        </w:tc>
        <w:tc>
          <w:tcPr>
            <w:tcW w:w="1350" w:type="dxa"/>
          </w:tcPr>
          <w:p w:rsidR="003E0FFE" w:rsidRPr="008915D9" w:rsidP="00741B9D" w14:paraId="32752702" w14:textId="77777777">
            <w:pPr>
              <w:pStyle w:val="ListBullet"/>
              <w:numPr>
                <w:ilvl w:val="0"/>
                <w:numId w:val="0"/>
              </w:numPr>
              <w:jc w:val="center"/>
              <w:rPr>
                <w:bCs/>
              </w:rPr>
            </w:pPr>
            <w:r w:rsidRPr="008915D9">
              <w:rPr>
                <w:bCs/>
              </w:rPr>
              <w:t>300</w:t>
            </w:r>
          </w:p>
        </w:tc>
        <w:tc>
          <w:tcPr>
            <w:tcW w:w="1260" w:type="dxa"/>
          </w:tcPr>
          <w:p w:rsidR="003E0FFE" w:rsidRPr="008915D9" w:rsidP="00741B9D" w14:paraId="53665948" w14:textId="77777777">
            <w:pPr>
              <w:pStyle w:val="ListBullet"/>
              <w:numPr>
                <w:ilvl w:val="0"/>
                <w:numId w:val="0"/>
              </w:numPr>
              <w:jc w:val="center"/>
              <w:rPr>
                <w:bCs/>
              </w:rPr>
            </w:pPr>
            <w:r w:rsidRPr="008915D9">
              <w:rPr>
                <w:bCs/>
              </w:rPr>
              <w:t>1</w:t>
            </w:r>
          </w:p>
        </w:tc>
        <w:tc>
          <w:tcPr>
            <w:tcW w:w="1260" w:type="dxa"/>
          </w:tcPr>
          <w:p w:rsidR="003E0FFE" w:rsidRPr="008915D9" w:rsidP="00741B9D" w14:paraId="187C0C08" w14:textId="77777777">
            <w:pPr>
              <w:pStyle w:val="ListBullet"/>
              <w:numPr>
                <w:ilvl w:val="0"/>
                <w:numId w:val="0"/>
              </w:numPr>
              <w:jc w:val="center"/>
              <w:rPr>
                <w:bCs/>
              </w:rPr>
            </w:pPr>
            <w:r w:rsidRPr="008915D9">
              <w:t>45/60</w:t>
            </w:r>
          </w:p>
        </w:tc>
        <w:tc>
          <w:tcPr>
            <w:tcW w:w="1013" w:type="dxa"/>
          </w:tcPr>
          <w:p w:rsidR="003E0FFE" w:rsidRPr="008915D9" w:rsidP="00741B9D" w14:paraId="69E63F75" w14:textId="77777777">
            <w:pPr>
              <w:pStyle w:val="ListBullet"/>
              <w:numPr>
                <w:ilvl w:val="0"/>
                <w:numId w:val="0"/>
              </w:numPr>
              <w:jc w:val="center"/>
              <w:rPr>
                <w:bCs/>
              </w:rPr>
            </w:pPr>
            <w:r>
              <w:t>225</w:t>
            </w:r>
          </w:p>
        </w:tc>
      </w:tr>
      <w:tr w14:paraId="0BCDF1C3" w14:textId="77777777" w:rsidTr="00741B9D">
        <w:tblPrEx>
          <w:tblW w:w="9108" w:type="dxa"/>
          <w:tblLayout w:type="fixed"/>
          <w:tblLook w:val="04A0"/>
        </w:tblPrEx>
        <w:trPr>
          <w:trHeight w:val="458"/>
        </w:trPr>
        <w:tc>
          <w:tcPr>
            <w:tcW w:w="1998" w:type="dxa"/>
          </w:tcPr>
          <w:p w:rsidR="003E0FFE" w:rsidRPr="008915D9" w:rsidP="005B47F2" w14:paraId="1F04E416" w14:textId="77777777">
            <w:pPr>
              <w:pStyle w:val="ListBullet"/>
              <w:numPr>
                <w:ilvl w:val="0"/>
                <w:numId w:val="0"/>
              </w:numPr>
              <w:ind w:left="-27" w:firstLine="27"/>
              <w:rPr>
                <w:bCs/>
              </w:rPr>
            </w:pPr>
            <w:r w:rsidRPr="008915D9">
              <w:t>Children 4–8 years with a persistent tic disorder</w:t>
            </w:r>
          </w:p>
        </w:tc>
        <w:tc>
          <w:tcPr>
            <w:tcW w:w="2227" w:type="dxa"/>
          </w:tcPr>
          <w:p w:rsidR="003E0FFE" w:rsidRPr="008915D9" w:rsidP="005B47F2" w14:paraId="19AEDF9C" w14:textId="77777777">
            <w:pPr>
              <w:pStyle w:val="ListBullet"/>
              <w:numPr>
                <w:ilvl w:val="0"/>
                <w:numId w:val="0"/>
              </w:numPr>
              <w:rPr>
                <w:bCs/>
              </w:rPr>
            </w:pPr>
            <w:r w:rsidRPr="008915D9">
              <w:t>Child 4–8</w:t>
            </w:r>
          </w:p>
        </w:tc>
        <w:tc>
          <w:tcPr>
            <w:tcW w:w="1350" w:type="dxa"/>
          </w:tcPr>
          <w:p w:rsidR="003E0FFE" w:rsidRPr="008915D9" w:rsidP="00741B9D" w14:paraId="64C51F50" w14:textId="77777777">
            <w:pPr>
              <w:pStyle w:val="ListBullet"/>
              <w:numPr>
                <w:ilvl w:val="0"/>
                <w:numId w:val="0"/>
              </w:numPr>
              <w:jc w:val="center"/>
              <w:rPr>
                <w:bCs/>
              </w:rPr>
            </w:pPr>
            <w:r>
              <w:rPr>
                <w:bCs/>
              </w:rPr>
              <w:t>60</w:t>
            </w:r>
          </w:p>
        </w:tc>
        <w:tc>
          <w:tcPr>
            <w:tcW w:w="1260" w:type="dxa"/>
          </w:tcPr>
          <w:p w:rsidR="003E0FFE" w:rsidRPr="008915D9" w:rsidP="00741B9D" w14:paraId="794F3060" w14:textId="77777777">
            <w:pPr>
              <w:pStyle w:val="ListBullet"/>
              <w:numPr>
                <w:ilvl w:val="0"/>
                <w:numId w:val="0"/>
              </w:numPr>
              <w:jc w:val="center"/>
              <w:rPr>
                <w:bCs/>
              </w:rPr>
            </w:pPr>
            <w:r w:rsidRPr="008915D9">
              <w:rPr>
                <w:bCs/>
              </w:rPr>
              <w:t>1</w:t>
            </w:r>
          </w:p>
        </w:tc>
        <w:tc>
          <w:tcPr>
            <w:tcW w:w="1260" w:type="dxa"/>
          </w:tcPr>
          <w:p w:rsidR="003E0FFE" w:rsidRPr="008915D9" w:rsidP="00741B9D" w14:paraId="6DFFDDCA" w14:textId="77777777">
            <w:pPr>
              <w:pStyle w:val="ListBullet"/>
              <w:numPr>
                <w:ilvl w:val="0"/>
                <w:numId w:val="0"/>
              </w:numPr>
              <w:jc w:val="center"/>
              <w:rPr>
                <w:bCs/>
              </w:rPr>
            </w:pPr>
            <w:r w:rsidRPr="008915D9">
              <w:t>20/60</w:t>
            </w:r>
          </w:p>
        </w:tc>
        <w:tc>
          <w:tcPr>
            <w:tcW w:w="1013" w:type="dxa"/>
          </w:tcPr>
          <w:p w:rsidR="003E0FFE" w:rsidRPr="008915D9" w:rsidP="00741B9D" w14:paraId="0BEC8599" w14:textId="77777777">
            <w:pPr>
              <w:pStyle w:val="ListBullet"/>
              <w:numPr>
                <w:ilvl w:val="0"/>
                <w:numId w:val="0"/>
              </w:numPr>
              <w:jc w:val="center"/>
              <w:rPr>
                <w:bCs/>
              </w:rPr>
            </w:pPr>
            <w:r>
              <w:t>20</w:t>
            </w:r>
          </w:p>
        </w:tc>
      </w:tr>
      <w:tr w14:paraId="2869CD51" w14:textId="77777777" w:rsidTr="00741B9D">
        <w:tblPrEx>
          <w:tblW w:w="9108" w:type="dxa"/>
          <w:tblLayout w:type="fixed"/>
          <w:tblLook w:val="04A0"/>
        </w:tblPrEx>
        <w:trPr>
          <w:trHeight w:val="458"/>
        </w:trPr>
        <w:tc>
          <w:tcPr>
            <w:tcW w:w="1998" w:type="dxa"/>
          </w:tcPr>
          <w:p w:rsidR="003E0FFE" w:rsidRPr="008915D9" w:rsidP="005B47F2" w14:paraId="76C07BA3" w14:textId="77777777">
            <w:pPr>
              <w:pStyle w:val="ListBullet"/>
              <w:numPr>
                <w:ilvl w:val="0"/>
                <w:numId w:val="0"/>
              </w:numPr>
              <w:ind w:left="-27" w:firstLine="27"/>
              <w:rPr>
                <w:bCs/>
              </w:rPr>
            </w:pPr>
            <w:r w:rsidRPr="008915D9">
              <w:t xml:space="preserve">Children 9–11 years with a </w:t>
            </w:r>
            <w:r w:rsidRPr="008915D9">
              <w:t>persistent tic disorder</w:t>
            </w:r>
          </w:p>
        </w:tc>
        <w:tc>
          <w:tcPr>
            <w:tcW w:w="2227" w:type="dxa"/>
          </w:tcPr>
          <w:p w:rsidR="003E0FFE" w:rsidRPr="008915D9" w:rsidP="005B47F2" w14:paraId="51540616" w14:textId="77777777">
            <w:pPr>
              <w:pStyle w:val="ListBullet"/>
              <w:numPr>
                <w:ilvl w:val="0"/>
                <w:numId w:val="0"/>
              </w:numPr>
              <w:rPr>
                <w:bCs/>
              </w:rPr>
            </w:pPr>
            <w:r w:rsidRPr="008915D9">
              <w:t>Child 9–11</w:t>
            </w:r>
          </w:p>
        </w:tc>
        <w:tc>
          <w:tcPr>
            <w:tcW w:w="1350" w:type="dxa"/>
          </w:tcPr>
          <w:p w:rsidR="003E0FFE" w:rsidRPr="008915D9" w:rsidP="00741B9D" w14:paraId="1F7A6D29" w14:textId="77777777">
            <w:pPr>
              <w:pStyle w:val="ListBullet"/>
              <w:numPr>
                <w:ilvl w:val="0"/>
                <w:numId w:val="0"/>
              </w:numPr>
              <w:jc w:val="center"/>
              <w:rPr>
                <w:bCs/>
              </w:rPr>
            </w:pPr>
            <w:r>
              <w:rPr>
                <w:bCs/>
              </w:rPr>
              <w:t>100</w:t>
            </w:r>
          </w:p>
        </w:tc>
        <w:tc>
          <w:tcPr>
            <w:tcW w:w="1260" w:type="dxa"/>
          </w:tcPr>
          <w:p w:rsidR="003E0FFE" w:rsidRPr="008915D9" w:rsidP="00741B9D" w14:paraId="36BA7857" w14:textId="77777777">
            <w:pPr>
              <w:pStyle w:val="ListBullet"/>
              <w:numPr>
                <w:ilvl w:val="0"/>
                <w:numId w:val="0"/>
              </w:numPr>
              <w:jc w:val="center"/>
              <w:rPr>
                <w:bCs/>
              </w:rPr>
            </w:pPr>
            <w:r w:rsidRPr="008915D9">
              <w:rPr>
                <w:bCs/>
              </w:rPr>
              <w:t>1</w:t>
            </w:r>
          </w:p>
        </w:tc>
        <w:tc>
          <w:tcPr>
            <w:tcW w:w="1260" w:type="dxa"/>
          </w:tcPr>
          <w:p w:rsidR="003E0FFE" w:rsidRPr="008915D9" w:rsidP="00741B9D" w14:paraId="2AA76F28" w14:textId="77777777">
            <w:pPr>
              <w:pStyle w:val="ListBullet"/>
              <w:numPr>
                <w:ilvl w:val="0"/>
                <w:numId w:val="0"/>
              </w:numPr>
              <w:jc w:val="center"/>
              <w:rPr>
                <w:bCs/>
              </w:rPr>
            </w:pPr>
            <w:r>
              <w:t>30</w:t>
            </w:r>
            <w:r w:rsidRPr="008915D9">
              <w:t>/60</w:t>
            </w:r>
          </w:p>
        </w:tc>
        <w:tc>
          <w:tcPr>
            <w:tcW w:w="1013" w:type="dxa"/>
          </w:tcPr>
          <w:p w:rsidR="003E0FFE" w:rsidRPr="008915D9" w:rsidP="00741B9D" w14:paraId="74602B4B" w14:textId="77777777">
            <w:pPr>
              <w:pStyle w:val="ListBullet"/>
              <w:numPr>
                <w:ilvl w:val="0"/>
                <w:numId w:val="0"/>
              </w:numPr>
              <w:jc w:val="center"/>
              <w:rPr>
                <w:bCs/>
              </w:rPr>
            </w:pPr>
            <w:r>
              <w:t>50</w:t>
            </w:r>
          </w:p>
        </w:tc>
      </w:tr>
      <w:tr w14:paraId="3E295DCE" w14:textId="77777777" w:rsidTr="00741B9D">
        <w:tblPrEx>
          <w:tblW w:w="9108" w:type="dxa"/>
          <w:tblLayout w:type="fixed"/>
          <w:tblLook w:val="04A0"/>
        </w:tblPrEx>
        <w:trPr>
          <w:trHeight w:val="458"/>
        </w:trPr>
        <w:tc>
          <w:tcPr>
            <w:tcW w:w="1998" w:type="dxa"/>
          </w:tcPr>
          <w:p w:rsidR="003E0FFE" w:rsidRPr="008915D9" w:rsidP="005B47F2" w14:paraId="7DF653A5" w14:textId="77777777">
            <w:pPr>
              <w:pStyle w:val="ListBullet"/>
              <w:numPr>
                <w:ilvl w:val="0"/>
                <w:numId w:val="0"/>
              </w:numPr>
              <w:ind w:left="-27" w:firstLine="27"/>
              <w:rPr>
                <w:bCs/>
              </w:rPr>
            </w:pPr>
            <w:r w:rsidRPr="008915D9">
              <w:t>Adolescents (teens) 12</w:t>
            </w:r>
            <w:r w:rsidRPr="008915D9">
              <w:softHyphen/>
              <w:t>–17 years with a persistent tic disorder</w:t>
            </w:r>
          </w:p>
        </w:tc>
        <w:tc>
          <w:tcPr>
            <w:tcW w:w="2227" w:type="dxa"/>
          </w:tcPr>
          <w:p w:rsidR="003E0FFE" w:rsidRPr="008915D9" w:rsidP="005B47F2" w14:paraId="6DF3DC1F" w14:textId="77777777">
            <w:pPr>
              <w:pStyle w:val="ListBullet"/>
              <w:numPr>
                <w:ilvl w:val="0"/>
                <w:numId w:val="0"/>
              </w:numPr>
              <w:rPr>
                <w:bCs/>
              </w:rPr>
            </w:pPr>
            <w:r>
              <w:t>Teen</w:t>
            </w:r>
          </w:p>
        </w:tc>
        <w:tc>
          <w:tcPr>
            <w:tcW w:w="1350" w:type="dxa"/>
          </w:tcPr>
          <w:p w:rsidR="003E0FFE" w:rsidRPr="008915D9" w:rsidP="00741B9D" w14:paraId="3F5082C7" w14:textId="77777777">
            <w:pPr>
              <w:pStyle w:val="ListBullet"/>
              <w:numPr>
                <w:ilvl w:val="0"/>
                <w:numId w:val="0"/>
              </w:numPr>
              <w:jc w:val="center"/>
              <w:rPr>
                <w:bCs/>
              </w:rPr>
            </w:pPr>
            <w:r>
              <w:rPr>
                <w:bCs/>
              </w:rPr>
              <w:t>140</w:t>
            </w:r>
          </w:p>
        </w:tc>
        <w:tc>
          <w:tcPr>
            <w:tcW w:w="1260" w:type="dxa"/>
          </w:tcPr>
          <w:p w:rsidR="003E0FFE" w:rsidRPr="008915D9" w:rsidP="00741B9D" w14:paraId="0EB5ED54" w14:textId="77777777">
            <w:pPr>
              <w:pStyle w:val="ListBullet"/>
              <w:numPr>
                <w:ilvl w:val="0"/>
                <w:numId w:val="0"/>
              </w:numPr>
              <w:jc w:val="center"/>
              <w:rPr>
                <w:bCs/>
              </w:rPr>
            </w:pPr>
            <w:r w:rsidRPr="008915D9">
              <w:rPr>
                <w:bCs/>
              </w:rPr>
              <w:t>1</w:t>
            </w:r>
          </w:p>
        </w:tc>
        <w:tc>
          <w:tcPr>
            <w:tcW w:w="1260" w:type="dxa"/>
          </w:tcPr>
          <w:p w:rsidR="003E0FFE" w:rsidRPr="008915D9" w:rsidP="00741B9D" w14:paraId="745E6B9B" w14:textId="77777777">
            <w:pPr>
              <w:pStyle w:val="ListBullet"/>
              <w:numPr>
                <w:ilvl w:val="0"/>
                <w:numId w:val="0"/>
              </w:numPr>
              <w:jc w:val="center"/>
              <w:rPr>
                <w:bCs/>
              </w:rPr>
            </w:pPr>
            <w:r w:rsidRPr="008915D9">
              <w:t>45/60</w:t>
            </w:r>
          </w:p>
        </w:tc>
        <w:tc>
          <w:tcPr>
            <w:tcW w:w="1013" w:type="dxa"/>
          </w:tcPr>
          <w:p w:rsidR="003E0FFE" w:rsidRPr="008915D9" w:rsidP="00741B9D" w14:paraId="65530D12" w14:textId="77777777">
            <w:pPr>
              <w:pStyle w:val="ListBullet"/>
              <w:numPr>
                <w:ilvl w:val="0"/>
                <w:numId w:val="0"/>
              </w:numPr>
              <w:jc w:val="center"/>
              <w:rPr>
                <w:bCs/>
              </w:rPr>
            </w:pPr>
            <w:r>
              <w:t>105</w:t>
            </w:r>
          </w:p>
        </w:tc>
      </w:tr>
      <w:tr w14:paraId="7F32024B" w14:textId="77777777" w:rsidTr="00741B9D">
        <w:tblPrEx>
          <w:tblW w:w="9108" w:type="dxa"/>
          <w:tblLayout w:type="fixed"/>
          <w:tblLook w:val="04A0"/>
        </w:tblPrEx>
        <w:trPr>
          <w:trHeight w:val="458"/>
        </w:trPr>
        <w:tc>
          <w:tcPr>
            <w:tcW w:w="1998" w:type="dxa"/>
          </w:tcPr>
          <w:p w:rsidR="003E0FFE" w:rsidRPr="008915D9" w:rsidP="005B47F2" w14:paraId="540081C0" w14:textId="77777777">
            <w:pPr>
              <w:pStyle w:val="ListBullet"/>
              <w:numPr>
                <w:ilvl w:val="0"/>
                <w:numId w:val="0"/>
              </w:numPr>
              <w:ind w:left="-27" w:firstLine="27"/>
              <w:rPr>
                <w:bCs/>
              </w:rPr>
            </w:pPr>
            <w:r w:rsidRPr="008915D9">
              <w:t>Adults (18–26 years) with a persistent tic disorder</w:t>
            </w:r>
          </w:p>
        </w:tc>
        <w:tc>
          <w:tcPr>
            <w:tcW w:w="2227" w:type="dxa"/>
          </w:tcPr>
          <w:p w:rsidR="003E0FFE" w:rsidRPr="008915D9" w:rsidP="005B47F2" w14:paraId="327E7B64" w14:textId="77777777">
            <w:pPr>
              <w:pStyle w:val="ListBullet"/>
              <w:numPr>
                <w:ilvl w:val="0"/>
                <w:numId w:val="0"/>
              </w:numPr>
              <w:rPr>
                <w:bCs/>
              </w:rPr>
            </w:pPr>
            <w:r w:rsidRPr="008915D9">
              <w:t>Adult</w:t>
            </w:r>
          </w:p>
        </w:tc>
        <w:tc>
          <w:tcPr>
            <w:tcW w:w="1350" w:type="dxa"/>
          </w:tcPr>
          <w:p w:rsidR="003E0FFE" w:rsidRPr="008915D9" w:rsidP="00741B9D" w14:paraId="39508099" w14:textId="77777777">
            <w:pPr>
              <w:pStyle w:val="ListBullet"/>
              <w:numPr>
                <w:ilvl w:val="0"/>
                <w:numId w:val="0"/>
              </w:numPr>
              <w:jc w:val="center"/>
              <w:rPr>
                <w:bCs/>
              </w:rPr>
            </w:pPr>
            <w:r w:rsidRPr="008915D9">
              <w:rPr>
                <w:bCs/>
              </w:rPr>
              <w:t>100</w:t>
            </w:r>
          </w:p>
        </w:tc>
        <w:tc>
          <w:tcPr>
            <w:tcW w:w="1260" w:type="dxa"/>
          </w:tcPr>
          <w:p w:rsidR="003E0FFE" w:rsidRPr="008915D9" w:rsidP="00741B9D" w14:paraId="60623C2E" w14:textId="77777777">
            <w:pPr>
              <w:pStyle w:val="ListBullet"/>
              <w:numPr>
                <w:ilvl w:val="0"/>
                <w:numId w:val="0"/>
              </w:numPr>
              <w:jc w:val="center"/>
              <w:rPr>
                <w:bCs/>
              </w:rPr>
            </w:pPr>
            <w:r w:rsidRPr="008915D9">
              <w:rPr>
                <w:bCs/>
              </w:rPr>
              <w:t>1</w:t>
            </w:r>
          </w:p>
        </w:tc>
        <w:tc>
          <w:tcPr>
            <w:tcW w:w="1260" w:type="dxa"/>
          </w:tcPr>
          <w:p w:rsidR="003E0FFE" w:rsidRPr="008915D9" w:rsidP="00741B9D" w14:paraId="33AB9F4E" w14:textId="77777777">
            <w:pPr>
              <w:pStyle w:val="ListBullet"/>
              <w:numPr>
                <w:ilvl w:val="0"/>
                <w:numId w:val="0"/>
              </w:numPr>
              <w:jc w:val="center"/>
              <w:rPr>
                <w:bCs/>
              </w:rPr>
            </w:pPr>
            <w:r w:rsidRPr="008915D9">
              <w:t>1</w:t>
            </w:r>
          </w:p>
        </w:tc>
        <w:tc>
          <w:tcPr>
            <w:tcW w:w="1013" w:type="dxa"/>
          </w:tcPr>
          <w:p w:rsidR="003E0FFE" w:rsidRPr="008915D9" w:rsidP="00741B9D" w14:paraId="5A0B5112" w14:textId="77777777">
            <w:pPr>
              <w:pStyle w:val="ListBullet"/>
              <w:numPr>
                <w:ilvl w:val="0"/>
                <w:numId w:val="0"/>
              </w:numPr>
              <w:jc w:val="center"/>
              <w:rPr>
                <w:bCs/>
              </w:rPr>
            </w:pPr>
            <w:r>
              <w:t>100</w:t>
            </w:r>
          </w:p>
        </w:tc>
      </w:tr>
      <w:bookmarkEnd w:id="18"/>
      <w:tr w14:paraId="0974A003" w14:textId="77777777" w:rsidTr="00A731BE">
        <w:tblPrEx>
          <w:tblW w:w="9108" w:type="dxa"/>
          <w:tblLayout w:type="fixed"/>
          <w:tblLook w:val="04A0"/>
        </w:tblPrEx>
        <w:tc>
          <w:tcPr>
            <w:tcW w:w="1998" w:type="dxa"/>
          </w:tcPr>
          <w:p w:rsidR="003E0FFE" w:rsidRPr="008915D9" w:rsidP="005B47F2" w14:paraId="3C8EE085" w14:textId="77777777">
            <w:pPr>
              <w:pStyle w:val="ListBullet"/>
              <w:numPr>
                <w:ilvl w:val="0"/>
                <w:numId w:val="0"/>
              </w:numPr>
              <w:jc w:val="center"/>
              <w:rPr>
                <w:b/>
                <w:bCs/>
              </w:rPr>
            </w:pPr>
            <w:r w:rsidRPr="008915D9">
              <w:rPr>
                <w:b/>
                <w:bCs/>
              </w:rPr>
              <w:t>TOTAL</w:t>
            </w:r>
          </w:p>
        </w:tc>
        <w:tc>
          <w:tcPr>
            <w:tcW w:w="2227" w:type="dxa"/>
            <w:vAlign w:val="center"/>
          </w:tcPr>
          <w:p w:rsidR="003E0FFE" w:rsidRPr="008915D9" w:rsidP="005B47F2" w14:paraId="50483019" w14:textId="77777777">
            <w:pPr>
              <w:pStyle w:val="ListBullet"/>
              <w:numPr>
                <w:ilvl w:val="0"/>
                <w:numId w:val="0"/>
              </w:numPr>
              <w:jc w:val="center"/>
              <w:rPr>
                <w:b/>
                <w:bCs/>
              </w:rPr>
            </w:pPr>
          </w:p>
        </w:tc>
        <w:tc>
          <w:tcPr>
            <w:tcW w:w="1350" w:type="dxa"/>
            <w:vAlign w:val="center"/>
          </w:tcPr>
          <w:p w:rsidR="003E0FFE" w:rsidRPr="008915D9" w:rsidP="005B47F2" w14:paraId="7C6A0A7E" w14:textId="77777777">
            <w:pPr>
              <w:pStyle w:val="ListBullet"/>
              <w:numPr>
                <w:ilvl w:val="0"/>
                <w:numId w:val="0"/>
              </w:numPr>
              <w:jc w:val="center"/>
              <w:rPr>
                <w:b/>
                <w:bCs/>
              </w:rPr>
            </w:pPr>
            <w:r>
              <w:rPr>
                <w:b/>
                <w:bCs/>
              </w:rPr>
              <w:t>7</w:t>
            </w:r>
            <w:r w:rsidRPr="008915D9">
              <w:rPr>
                <w:b/>
                <w:bCs/>
              </w:rPr>
              <w:t>00</w:t>
            </w:r>
          </w:p>
        </w:tc>
        <w:tc>
          <w:tcPr>
            <w:tcW w:w="1260" w:type="dxa"/>
            <w:vAlign w:val="center"/>
          </w:tcPr>
          <w:p w:rsidR="003E0FFE" w:rsidRPr="008915D9" w:rsidP="005B47F2" w14:paraId="0B2174B2" w14:textId="77777777">
            <w:pPr>
              <w:pStyle w:val="ListBullet"/>
              <w:numPr>
                <w:ilvl w:val="0"/>
                <w:numId w:val="0"/>
              </w:numPr>
              <w:jc w:val="center"/>
              <w:rPr>
                <w:b/>
                <w:bCs/>
              </w:rPr>
            </w:pPr>
            <w:r w:rsidRPr="008915D9">
              <w:rPr>
                <w:b/>
                <w:bCs/>
              </w:rPr>
              <w:t>—</w:t>
            </w:r>
          </w:p>
        </w:tc>
        <w:tc>
          <w:tcPr>
            <w:tcW w:w="1260" w:type="dxa"/>
            <w:vAlign w:val="center"/>
          </w:tcPr>
          <w:p w:rsidR="003E0FFE" w:rsidRPr="008915D9" w:rsidP="005B47F2" w14:paraId="1D8679F4" w14:textId="77777777">
            <w:pPr>
              <w:pStyle w:val="ListBullet"/>
              <w:numPr>
                <w:ilvl w:val="0"/>
                <w:numId w:val="0"/>
              </w:numPr>
              <w:jc w:val="center"/>
              <w:rPr>
                <w:b/>
                <w:bCs/>
              </w:rPr>
            </w:pPr>
            <w:r w:rsidRPr="008915D9">
              <w:rPr>
                <w:b/>
                <w:bCs/>
              </w:rPr>
              <w:t>—</w:t>
            </w:r>
          </w:p>
        </w:tc>
        <w:tc>
          <w:tcPr>
            <w:tcW w:w="1013" w:type="dxa"/>
            <w:vAlign w:val="center"/>
          </w:tcPr>
          <w:p w:rsidR="003E0FFE" w:rsidRPr="008915D9" w:rsidP="005B47F2" w14:paraId="4B013C57" w14:textId="77777777">
            <w:pPr>
              <w:pStyle w:val="ListBullet"/>
              <w:numPr>
                <w:ilvl w:val="0"/>
                <w:numId w:val="0"/>
              </w:numPr>
              <w:jc w:val="center"/>
              <w:rPr>
                <w:b/>
                <w:bCs/>
              </w:rPr>
            </w:pPr>
            <w:r>
              <w:rPr>
                <w:b/>
                <w:bCs/>
              </w:rPr>
              <w:t>500</w:t>
            </w:r>
          </w:p>
        </w:tc>
      </w:tr>
    </w:tbl>
    <w:p w:rsidR="003E0FFE" w:rsidRPr="008915D9" w:rsidP="00873BFC" w14:paraId="5A2B54BA" w14:textId="77777777">
      <w:pPr>
        <w:pStyle w:val="ListBullet"/>
        <w:numPr>
          <w:ilvl w:val="0"/>
          <w:numId w:val="0"/>
        </w:numPr>
        <w:rPr>
          <w:bCs/>
        </w:rPr>
      </w:pPr>
      <w:r w:rsidRPr="008915D9">
        <w:rPr>
          <w:bCs/>
        </w:rPr>
        <w:t xml:space="preserve"> </w:t>
      </w:r>
    </w:p>
    <w:p w:rsidR="003E0FFE" w:rsidRPr="008915D9" w:rsidP="00873BFC" w14:paraId="4B5E41E8" w14:textId="77777777">
      <w:pPr>
        <w:pStyle w:val="ListBullet"/>
        <w:numPr>
          <w:ilvl w:val="0"/>
          <w:numId w:val="0"/>
        </w:numPr>
        <w:rPr>
          <w:b/>
        </w:rPr>
      </w:pPr>
    </w:p>
    <w:p w:rsidR="003E0FFE" w:rsidRPr="008915D9" w:rsidP="00873BFC" w14:paraId="7A132F0E" w14:textId="77777777">
      <w:pPr>
        <w:pStyle w:val="ListBullet"/>
        <w:numPr>
          <w:ilvl w:val="0"/>
          <w:numId w:val="0"/>
        </w:numPr>
        <w:rPr>
          <w:b/>
        </w:rPr>
      </w:pPr>
    </w:p>
    <w:p w:rsidR="003E0FFE" w:rsidRPr="008915D9" w:rsidP="00F02AAF" w14:paraId="4D011AC1" w14:textId="77777777">
      <w:pPr>
        <w:rPr>
          <w:sz w:val="22"/>
          <w:szCs w:val="22"/>
        </w:rPr>
      </w:pPr>
      <w:r w:rsidRPr="008915D9">
        <w:rPr>
          <w:sz w:val="22"/>
          <w:szCs w:val="22"/>
        </w:rPr>
        <w:t xml:space="preserve">Annualized burden costs are summarized in the table below. The hourly wage estimates are based on the U.S Bureau of Labor Statistics, May 2022 National Occupational Employment and Wage Estimates (available at </w:t>
      </w:r>
      <w:hyperlink r:id="rId5" w:history="1">
        <w:r w:rsidRPr="008915D9">
          <w:rPr>
            <w:sz w:val="22"/>
            <w:szCs w:val="22"/>
          </w:rPr>
          <w:t>http://www.bls.gov/oes/current/oes_nat.htm</w:t>
        </w:r>
      </w:hyperlink>
      <w:r w:rsidRPr="008915D9">
        <w:rPr>
          <w:sz w:val="22"/>
          <w:szCs w:val="22"/>
        </w:rPr>
        <w:t xml:space="preserve">). The median hourly wage rate for all occupations ($22.26) was used for parent and adult respondents.  </w:t>
      </w:r>
    </w:p>
    <w:p w:rsidR="003E0FFE" w:rsidRPr="008915D9" w:rsidP="00873BFC" w14:paraId="3E6C42E4" w14:textId="77777777">
      <w:pPr>
        <w:pStyle w:val="ListBullet"/>
        <w:numPr>
          <w:ilvl w:val="0"/>
          <w:numId w:val="0"/>
        </w:numPr>
      </w:pPr>
    </w:p>
    <w:p w:rsidR="003E0FFE" w:rsidRPr="008915D9" w:rsidP="00873BFC" w14:paraId="5A4F0A6E" w14:textId="77777777">
      <w:pPr>
        <w:pStyle w:val="ListBullet"/>
        <w:numPr>
          <w:ilvl w:val="0"/>
          <w:numId w:val="0"/>
        </w:numPr>
      </w:pPr>
    </w:p>
    <w:p w:rsidR="003E0FFE" w:rsidRPr="008915D9" w:rsidP="003E680F" w14:paraId="2550037E" w14:textId="77777777">
      <w:pPr>
        <w:pStyle w:val="ListBullet"/>
        <w:numPr>
          <w:ilvl w:val="0"/>
          <w:numId w:val="0"/>
        </w:numPr>
        <w:ind w:left="720"/>
        <w:rPr>
          <w:i/>
          <w:highlight w:val="yellow"/>
        </w:rPr>
      </w:pPr>
      <w:r w:rsidRPr="008915D9">
        <w:rPr>
          <w:b/>
          <w:i/>
        </w:rPr>
        <w:t>A.12.B. Estimated Annualized Burden Costs</w:t>
      </w:r>
      <w:r w:rsidRPr="008915D9">
        <w:rPr>
          <w:b/>
        </w:rPr>
        <w:t xml:space="preserve"> </w:t>
      </w:r>
    </w:p>
    <w:tbl>
      <w:tblPr>
        <w:tblW w:w="9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85"/>
        <w:gridCol w:w="2250"/>
        <w:gridCol w:w="1440"/>
        <w:gridCol w:w="1710"/>
        <w:gridCol w:w="1800"/>
      </w:tblGrid>
      <w:tr w14:paraId="304B9CD0" w14:textId="77777777" w:rsidTr="00A731BE">
        <w:tblPrEx>
          <w:tblW w:w="9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c>
          <w:tcPr>
            <w:tcW w:w="1885" w:type="dxa"/>
          </w:tcPr>
          <w:p w:rsidR="003E0FFE" w:rsidRPr="008915D9" w:rsidP="00131D1E" w14:paraId="09A2B0F9" w14:textId="77777777">
            <w:pPr>
              <w:pStyle w:val="ListBullet"/>
              <w:numPr>
                <w:ilvl w:val="0"/>
                <w:numId w:val="0"/>
              </w:numPr>
              <w:rPr>
                <w:b/>
                <w:bCs/>
              </w:rPr>
            </w:pPr>
            <w:r w:rsidRPr="008915D9">
              <w:rPr>
                <w:b/>
                <w:bCs/>
              </w:rPr>
              <w:t>Type of Respondents</w:t>
            </w:r>
          </w:p>
        </w:tc>
        <w:tc>
          <w:tcPr>
            <w:tcW w:w="2250" w:type="dxa"/>
          </w:tcPr>
          <w:p w:rsidR="003E0FFE" w:rsidRPr="008915D9" w:rsidP="00131D1E" w14:paraId="416BFCC6" w14:textId="77777777">
            <w:pPr>
              <w:pStyle w:val="ListBullet"/>
              <w:numPr>
                <w:ilvl w:val="0"/>
                <w:numId w:val="0"/>
              </w:numPr>
              <w:rPr>
                <w:b/>
                <w:bCs/>
              </w:rPr>
            </w:pPr>
            <w:r w:rsidRPr="008915D9">
              <w:rPr>
                <w:b/>
                <w:bCs/>
              </w:rPr>
              <w:t>Form Name</w:t>
            </w:r>
          </w:p>
        </w:tc>
        <w:tc>
          <w:tcPr>
            <w:tcW w:w="1440" w:type="dxa"/>
          </w:tcPr>
          <w:p w:rsidR="003E0FFE" w:rsidRPr="008915D9" w:rsidP="00131D1E" w14:paraId="66CD1A3C" w14:textId="77777777">
            <w:pPr>
              <w:pStyle w:val="ListBullet"/>
              <w:numPr>
                <w:ilvl w:val="0"/>
                <w:numId w:val="0"/>
              </w:numPr>
              <w:jc w:val="center"/>
              <w:rPr>
                <w:b/>
                <w:bCs/>
              </w:rPr>
            </w:pPr>
            <w:r w:rsidRPr="008915D9">
              <w:rPr>
                <w:b/>
                <w:bCs/>
              </w:rPr>
              <w:t>Total Burden</w:t>
            </w:r>
          </w:p>
          <w:p w:rsidR="003E0FFE" w:rsidRPr="008915D9" w:rsidP="00131D1E" w14:paraId="6574559F" w14:textId="77777777">
            <w:pPr>
              <w:pStyle w:val="ListBullet"/>
              <w:numPr>
                <w:ilvl w:val="0"/>
                <w:numId w:val="0"/>
              </w:numPr>
              <w:jc w:val="center"/>
              <w:rPr>
                <w:b/>
                <w:bCs/>
              </w:rPr>
            </w:pPr>
            <w:r w:rsidRPr="008915D9">
              <w:rPr>
                <w:b/>
                <w:bCs/>
              </w:rPr>
              <w:t>Hours</w:t>
            </w:r>
          </w:p>
        </w:tc>
        <w:tc>
          <w:tcPr>
            <w:tcW w:w="1710" w:type="dxa"/>
          </w:tcPr>
          <w:p w:rsidR="003E0FFE" w:rsidRPr="008915D9" w:rsidP="00131D1E" w14:paraId="3B05AF32" w14:textId="77777777">
            <w:pPr>
              <w:pStyle w:val="ListBullet"/>
              <w:numPr>
                <w:ilvl w:val="0"/>
                <w:numId w:val="0"/>
              </w:numPr>
              <w:jc w:val="center"/>
              <w:rPr>
                <w:b/>
                <w:bCs/>
              </w:rPr>
            </w:pPr>
            <w:r w:rsidRPr="008915D9">
              <w:rPr>
                <w:b/>
                <w:bCs/>
              </w:rPr>
              <w:t>Average Hourly Wage Rate ($)</w:t>
            </w:r>
          </w:p>
        </w:tc>
        <w:tc>
          <w:tcPr>
            <w:tcW w:w="1800" w:type="dxa"/>
          </w:tcPr>
          <w:p w:rsidR="003E0FFE" w:rsidRPr="008915D9" w:rsidP="00131D1E" w14:paraId="641EE35C" w14:textId="77777777">
            <w:pPr>
              <w:pStyle w:val="ListBullet"/>
              <w:numPr>
                <w:ilvl w:val="0"/>
                <w:numId w:val="0"/>
              </w:numPr>
              <w:jc w:val="center"/>
              <w:rPr>
                <w:b/>
                <w:bCs/>
              </w:rPr>
            </w:pPr>
            <w:r w:rsidRPr="008915D9">
              <w:rPr>
                <w:b/>
                <w:bCs/>
              </w:rPr>
              <w:t>Total Respondent</w:t>
            </w:r>
          </w:p>
          <w:p w:rsidR="003E0FFE" w:rsidRPr="008915D9" w:rsidP="00131D1E" w14:paraId="1005243B" w14:textId="77777777">
            <w:pPr>
              <w:pStyle w:val="ListBullet"/>
              <w:numPr>
                <w:ilvl w:val="0"/>
                <w:numId w:val="0"/>
              </w:numPr>
              <w:jc w:val="center"/>
              <w:rPr>
                <w:b/>
                <w:bCs/>
              </w:rPr>
            </w:pPr>
            <w:r w:rsidRPr="008915D9">
              <w:rPr>
                <w:b/>
                <w:bCs/>
              </w:rPr>
              <w:t>Burden Costs ($)</w:t>
            </w:r>
          </w:p>
        </w:tc>
      </w:tr>
      <w:tr w14:paraId="191AD8D4" w14:textId="77777777" w:rsidTr="00A320C4">
        <w:tblPrEx>
          <w:tblW w:w="9085" w:type="dxa"/>
          <w:tblLayout w:type="fixed"/>
          <w:tblLook w:val="04A0"/>
        </w:tblPrEx>
        <w:trPr>
          <w:trHeight w:val="458"/>
        </w:trPr>
        <w:tc>
          <w:tcPr>
            <w:tcW w:w="1885" w:type="dxa"/>
          </w:tcPr>
          <w:p w:rsidR="003E0FFE" w:rsidRPr="008915D9" w:rsidP="00F02AAF" w14:paraId="5FCBA5F0" w14:textId="77777777">
            <w:pPr>
              <w:pStyle w:val="ListBullet"/>
              <w:numPr>
                <w:ilvl w:val="0"/>
                <w:numId w:val="0"/>
              </w:numPr>
              <w:rPr>
                <w:bCs/>
              </w:rPr>
            </w:pPr>
            <w:r w:rsidRPr="008915D9">
              <w:t>Parents of children 4–17 years with a persistent tic disorder</w:t>
            </w:r>
          </w:p>
        </w:tc>
        <w:tc>
          <w:tcPr>
            <w:tcW w:w="2250" w:type="dxa"/>
          </w:tcPr>
          <w:p w:rsidR="003E0FFE" w:rsidRPr="008915D9" w:rsidP="00F02AAF" w14:paraId="22A9C1E1" w14:textId="77777777">
            <w:pPr>
              <w:pStyle w:val="ListBullet"/>
              <w:numPr>
                <w:ilvl w:val="0"/>
                <w:numId w:val="0"/>
              </w:numPr>
              <w:rPr>
                <w:bCs/>
              </w:rPr>
            </w:pPr>
            <w:r>
              <w:t>Parent</w:t>
            </w:r>
          </w:p>
        </w:tc>
        <w:tc>
          <w:tcPr>
            <w:tcW w:w="1440" w:type="dxa"/>
          </w:tcPr>
          <w:p w:rsidR="003E0FFE" w:rsidRPr="00A320C4" w:rsidP="00A320C4" w14:paraId="657F9879" w14:textId="77777777">
            <w:pPr>
              <w:pStyle w:val="ListBullet"/>
              <w:numPr>
                <w:ilvl w:val="0"/>
                <w:numId w:val="0"/>
              </w:numPr>
              <w:jc w:val="center"/>
            </w:pPr>
            <w:r w:rsidRPr="00A320C4">
              <w:t>225</w:t>
            </w:r>
          </w:p>
        </w:tc>
        <w:tc>
          <w:tcPr>
            <w:tcW w:w="1710" w:type="dxa"/>
          </w:tcPr>
          <w:p w:rsidR="003E0FFE" w:rsidRPr="008915D9" w:rsidP="00A320C4" w14:paraId="6B093B96" w14:textId="77777777">
            <w:pPr>
              <w:pStyle w:val="ListBullet"/>
              <w:numPr>
                <w:ilvl w:val="0"/>
                <w:numId w:val="0"/>
              </w:numPr>
              <w:jc w:val="center"/>
              <w:rPr>
                <w:bCs/>
              </w:rPr>
            </w:pPr>
            <w:r w:rsidRPr="008915D9">
              <w:rPr>
                <w:bCs/>
              </w:rPr>
              <w:t>$22.26</w:t>
            </w:r>
          </w:p>
        </w:tc>
        <w:tc>
          <w:tcPr>
            <w:tcW w:w="1800" w:type="dxa"/>
          </w:tcPr>
          <w:p w:rsidR="003E0FFE" w:rsidRPr="008915D9" w:rsidP="00A320C4" w14:paraId="5C3FDD54" w14:textId="77777777">
            <w:pPr>
              <w:pStyle w:val="ListBullet"/>
              <w:numPr>
                <w:ilvl w:val="0"/>
                <w:numId w:val="0"/>
              </w:numPr>
              <w:jc w:val="center"/>
              <w:rPr>
                <w:bCs/>
              </w:rPr>
            </w:pPr>
            <w:r w:rsidRPr="008915D9">
              <w:rPr>
                <w:bCs/>
              </w:rPr>
              <w:t>$</w:t>
            </w:r>
            <w:r>
              <w:t>5,008.50</w:t>
            </w:r>
          </w:p>
        </w:tc>
      </w:tr>
      <w:tr w14:paraId="145B5302" w14:textId="77777777" w:rsidTr="00A320C4">
        <w:tblPrEx>
          <w:tblW w:w="9085" w:type="dxa"/>
          <w:tblLayout w:type="fixed"/>
          <w:tblLook w:val="04A0"/>
        </w:tblPrEx>
        <w:trPr>
          <w:trHeight w:val="458"/>
        </w:trPr>
        <w:tc>
          <w:tcPr>
            <w:tcW w:w="1885" w:type="dxa"/>
          </w:tcPr>
          <w:p w:rsidR="003E0FFE" w:rsidRPr="008915D9" w:rsidP="00A320C4" w14:paraId="35FCF36A" w14:textId="77777777">
            <w:pPr>
              <w:pStyle w:val="ListBullet"/>
              <w:numPr>
                <w:ilvl w:val="0"/>
                <w:numId w:val="0"/>
              </w:numPr>
              <w:rPr>
                <w:bCs/>
              </w:rPr>
            </w:pPr>
            <w:r w:rsidRPr="008915D9">
              <w:t>Children 4–8 years with a persistent tic disorder</w:t>
            </w:r>
          </w:p>
        </w:tc>
        <w:tc>
          <w:tcPr>
            <w:tcW w:w="2250" w:type="dxa"/>
          </w:tcPr>
          <w:p w:rsidR="003E0FFE" w:rsidRPr="008915D9" w:rsidP="00A320C4" w14:paraId="4412FE67" w14:textId="77777777">
            <w:pPr>
              <w:pStyle w:val="ListBullet"/>
              <w:numPr>
                <w:ilvl w:val="0"/>
                <w:numId w:val="0"/>
              </w:numPr>
              <w:rPr>
                <w:bCs/>
              </w:rPr>
            </w:pPr>
            <w:r w:rsidRPr="008915D9">
              <w:t>Child 4–8</w:t>
            </w:r>
          </w:p>
        </w:tc>
        <w:tc>
          <w:tcPr>
            <w:tcW w:w="1440" w:type="dxa"/>
          </w:tcPr>
          <w:p w:rsidR="003E0FFE" w:rsidRPr="008915D9" w:rsidP="00A320C4" w14:paraId="27B6878B" w14:textId="77777777">
            <w:pPr>
              <w:pStyle w:val="ListBullet"/>
              <w:numPr>
                <w:ilvl w:val="0"/>
                <w:numId w:val="0"/>
              </w:numPr>
              <w:jc w:val="center"/>
              <w:rPr>
                <w:bCs/>
              </w:rPr>
            </w:pPr>
            <w:r>
              <w:rPr>
                <w:bCs/>
              </w:rPr>
              <w:t>20</w:t>
            </w:r>
          </w:p>
        </w:tc>
        <w:tc>
          <w:tcPr>
            <w:tcW w:w="1710" w:type="dxa"/>
          </w:tcPr>
          <w:p w:rsidR="003E0FFE" w:rsidRPr="008915D9" w:rsidP="00A320C4" w14:paraId="207A95F9" w14:textId="77777777">
            <w:pPr>
              <w:pStyle w:val="ListBullet"/>
              <w:numPr>
                <w:ilvl w:val="0"/>
                <w:numId w:val="0"/>
              </w:numPr>
              <w:jc w:val="center"/>
              <w:rPr>
                <w:bCs/>
              </w:rPr>
            </w:pPr>
            <w:r w:rsidRPr="009A0F94">
              <w:rPr>
                <w:bCs/>
              </w:rPr>
              <w:t>$22.26</w:t>
            </w:r>
          </w:p>
        </w:tc>
        <w:tc>
          <w:tcPr>
            <w:tcW w:w="1800" w:type="dxa"/>
          </w:tcPr>
          <w:p w:rsidR="003E0FFE" w:rsidRPr="008915D9" w:rsidP="00A320C4" w14:paraId="19D826F5" w14:textId="77777777">
            <w:pPr>
              <w:pStyle w:val="ListBullet"/>
              <w:numPr>
                <w:ilvl w:val="0"/>
                <w:numId w:val="0"/>
              </w:numPr>
              <w:jc w:val="center"/>
              <w:rPr>
                <w:bCs/>
              </w:rPr>
            </w:pPr>
            <w:r>
              <w:rPr>
                <w:bCs/>
              </w:rPr>
              <w:t>$445.20</w:t>
            </w:r>
          </w:p>
        </w:tc>
      </w:tr>
      <w:tr w14:paraId="553832EF" w14:textId="77777777" w:rsidTr="00A320C4">
        <w:tblPrEx>
          <w:tblW w:w="9085" w:type="dxa"/>
          <w:tblLayout w:type="fixed"/>
          <w:tblLook w:val="04A0"/>
        </w:tblPrEx>
        <w:trPr>
          <w:trHeight w:val="458"/>
        </w:trPr>
        <w:tc>
          <w:tcPr>
            <w:tcW w:w="1885" w:type="dxa"/>
          </w:tcPr>
          <w:p w:rsidR="003E0FFE" w:rsidRPr="008915D9" w:rsidP="00A320C4" w14:paraId="0E8C2A94" w14:textId="77777777">
            <w:pPr>
              <w:pStyle w:val="ListBullet"/>
              <w:numPr>
                <w:ilvl w:val="0"/>
                <w:numId w:val="0"/>
              </w:numPr>
              <w:rPr>
                <w:bCs/>
              </w:rPr>
            </w:pPr>
            <w:r w:rsidRPr="008915D9">
              <w:t>Children 9–11 years with a persistent tic disorder</w:t>
            </w:r>
          </w:p>
        </w:tc>
        <w:tc>
          <w:tcPr>
            <w:tcW w:w="2250" w:type="dxa"/>
          </w:tcPr>
          <w:p w:rsidR="003E0FFE" w:rsidRPr="008915D9" w:rsidP="00A320C4" w14:paraId="324A21BE" w14:textId="77777777">
            <w:pPr>
              <w:pStyle w:val="ListBullet"/>
              <w:numPr>
                <w:ilvl w:val="0"/>
                <w:numId w:val="0"/>
              </w:numPr>
              <w:rPr>
                <w:bCs/>
              </w:rPr>
            </w:pPr>
            <w:r w:rsidRPr="008915D9">
              <w:t>Child 9–11</w:t>
            </w:r>
          </w:p>
        </w:tc>
        <w:tc>
          <w:tcPr>
            <w:tcW w:w="1440" w:type="dxa"/>
          </w:tcPr>
          <w:p w:rsidR="003E0FFE" w:rsidRPr="008915D9" w:rsidP="00A320C4" w14:paraId="60FD55C8" w14:textId="77777777">
            <w:pPr>
              <w:pStyle w:val="ListBullet"/>
              <w:numPr>
                <w:ilvl w:val="0"/>
                <w:numId w:val="0"/>
              </w:numPr>
              <w:jc w:val="center"/>
              <w:rPr>
                <w:bCs/>
              </w:rPr>
            </w:pPr>
            <w:r>
              <w:rPr>
                <w:bCs/>
              </w:rPr>
              <w:t>50</w:t>
            </w:r>
          </w:p>
        </w:tc>
        <w:tc>
          <w:tcPr>
            <w:tcW w:w="1710" w:type="dxa"/>
          </w:tcPr>
          <w:p w:rsidR="003E0FFE" w:rsidRPr="008915D9" w:rsidP="00A320C4" w14:paraId="71D0B8BD" w14:textId="77777777">
            <w:pPr>
              <w:pStyle w:val="ListBullet"/>
              <w:numPr>
                <w:ilvl w:val="0"/>
                <w:numId w:val="0"/>
              </w:numPr>
              <w:jc w:val="center"/>
              <w:rPr>
                <w:bCs/>
              </w:rPr>
            </w:pPr>
            <w:r w:rsidRPr="009A0F94">
              <w:rPr>
                <w:bCs/>
              </w:rPr>
              <w:t>$22.26</w:t>
            </w:r>
          </w:p>
        </w:tc>
        <w:tc>
          <w:tcPr>
            <w:tcW w:w="1800" w:type="dxa"/>
          </w:tcPr>
          <w:p w:rsidR="003E0FFE" w:rsidRPr="008915D9" w:rsidP="00A320C4" w14:paraId="6F4C17C1" w14:textId="77777777">
            <w:pPr>
              <w:pStyle w:val="ListBullet"/>
              <w:numPr>
                <w:ilvl w:val="0"/>
                <w:numId w:val="0"/>
              </w:numPr>
              <w:jc w:val="center"/>
              <w:rPr>
                <w:bCs/>
              </w:rPr>
            </w:pPr>
            <w:r>
              <w:rPr>
                <w:bCs/>
              </w:rPr>
              <w:t>$1,113.00</w:t>
            </w:r>
          </w:p>
        </w:tc>
      </w:tr>
      <w:tr w14:paraId="41FC31E3" w14:textId="77777777" w:rsidTr="00A320C4">
        <w:tblPrEx>
          <w:tblW w:w="9085" w:type="dxa"/>
          <w:tblLayout w:type="fixed"/>
          <w:tblLook w:val="04A0"/>
        </w:tblPrEx>
        <w:trPr>
          <w:trHeight w:val="458"/>
        </w:trPr>
        <w:tc>
          <w:tcPr>
            <w:tcW w:w="1885" w:type="dxa"/>
          </w:tcPr>
          <w:p w:rsidR="003E0FFE" w:rsidRPr="008915D9" w:rsidP="00A320C4" w14:paraId="6806E359" w14:textId="77777777">
            <w:pPr>
              <w:pStyle w:val="ListBullet"/>
              <w:numPr>
                <w:ilvl w:val="0"/>
                <w:numId w:val="0"/>
              </w:numPr>
              <w:rPr>
                <w:bCs/>
              </w:rPr>
            </w:pPr>
            <w:r w:rsidRPr="008915D9">
              <w:t>Adolescents (teens) 12</w:t>
            </w:r>
            <w:r w:rsidRPr="008915D9">
              <w:softHyphen/>
              <w:t>–17 years with a persistent tic disorder</w:t>
            </w:r>
          </w:p>
        </w:tc>
        <w:tc>
          <w:tcPr>
            <w:tcW w:w="2250" w:type="dxa"/>
          </w:tcPr>
          <w:p w:rsidR="003E0FFE" w:rsidRPr="008915D9" w:rsidP="00A320C4" w14:paraId="6B4CB614" w14:textId="77777777">
            <w:pPr>
              <w:pStyle w:val="ListBullet"/>
              <w:numPr>
                <w:ilvl w:val="0"/>
                <w:numId w:val="0"/>
              </w:numPr>
              <w:rPr>
                <w:bCs/>
              </w:rPr>
            </w:pPr>
            <w:r>
              <w:t>Teen</w:t>
            </w:r>
          </w:p>
        </w:tc>
        <w:tc>
          <w:tcPr>
            <w:tcW w:w="1440" w:type="dxa"/>
          </w:tcPr>
          <w:p w:rsidR="003E0FFE" w:rsidRPr="008915D9" w:rsidP="00A320C4" w14:paraId="78F21AEB" w14:textId="77777777">
            <w:pPr>
              <w:pStyle w:val="ListBullet"/>
              <w:numPr>
                <w:ilvl w:val="0"/>
                <w:numId w:val="0"/>
              </w:numPr>
              <w:jc w:val="center"/>
              <w:rPr>
                <w:bCs/>
              </w:rPr>
            </w:pPr>
            <w:r>
              <w:rPr>
                <w:bCs/>
              </w:rPr>
              <w:t>105</w:t>
            </w:r>
          </w:p>
        </w:tc>
        <w:tc>
          <w:tcPr>
            <w:tcW w:w="1710" w:type="dxa"/>
          </w:tcPr>
          <w:p w:rsidR="003E0FFE" w:rsidRPr="008915D9" w:rsidP="00A320C4" w14:paraId="7AFF9ABC" w14:textId="77777777">
            <w:pPr>
              <w:pStyle w:val="ListBullet"/>
              <w:numPr>
                <w:ilvl w:val="0"/>
                <w:numId w:val="0"/>
              </w:numPr>
              <w:jc w:val="center"/>
              <w:rPr>
                <w:bCs/>
              </w:rPr>
            </w:pPr>
            <w:r w:rsidRPr="009A0F94">
              <w:rPr>
                <w:bCs/>
              </w:rPr>
              <w:t>$22.26</w:t>
            </w:r>
          </w:p>
        </w:tc>
        <w:tc>
          <w:tcPr>
            <w:tcW w:w="1800" w:type="dxa"/>
          </w:tcPr>
          <w:p w:rsidR="003E0FFE" w:rsidRPr="008915D9" w:rsidP="00A320C4" w14:paraId="3AE017C2" w14:textId="77777777">
            <w:pPr>
              <w:pStyle w:val="ListBullet"/>
              <w:numPr>
                <w:ilvl w:val="0"/>
                <w:numId w:val="0"/>
              </w:numPr>
              <w:jc w:val="center"/>
              <w:rPr>
                <w:bCs/>
              </w:rPr>
            </w:pPr>
            <w:r>
              <w:rPr>
                <w:bCs/>
              </w:rPr>
              <w:t>$2,337.30</w:t>
            </w:r>
          </w:p>
        </w:tc>
      </w:tr>
      <w:tr w14:paraId="5C05894E" w14:textId="77777777" w:rsidTr="00A320C4">
        <w:tblPrEx>
          <w:tblW w:w="9085" w:type="dxa"/>
          <w:tblLayout w:type="fixed"/>
          <w:tblLook w:val="04A0"/>
        </w:tblPrEx>
        <w:trPr>
          <w:trHeight w:val="458"/>
        </w:trPr>
        <w:tc>
          <w:tcPr>
            <w:tcW w:w="1885" w:type="dxa"/>
          </w:tcPr>
          <w:p w:rsidR="003E0FFE" w:rsidRPr="008915D9" w:rsidP="00A320C4" w14:paraId="0312A517" w14:textId="77777777">
            <w:pPr>
              <w:pStyle w:val="ListBullet"/>
              <w:numPr>
                <w:ilvl w:val="0"/>
                <w:numId w:val="0"/>
              </w:numPr>
              <w:rPr>
                <w:bCs/>
              </w:rPr>
            </w:pPr>
            <w:r w:rsidRPr="008915D9">
              <w:t>Adults (18–26 years) with a persistent tic disorder</w:t>
            </w:r>
          </w:p>
        </w:tc>
        <w:tc>
          <w:tcPr>
            <w:tcW w:w="2250" w:type="dxa"/>
          </w:tcPr>
          <w:p w:rsidR="003E0FFE" w:rsidRPr="008915D9" w:rsidP="00A320C4" w14:paraId="7D540BBD" w14:textId="77777777">
            <w:pPr>
              <w:pStyle w:val="ListBullet"/>
              <w:numPr>
                <w:ilvl w:val="0"/>
                <w:numId w:val="0"/>
              </w:numPr>
              <w:rPr>
                <w:bCs/>
              </w:rPr>
            </w:pPr>
            <w:r w:rsidRPr="008915D9">
              <w:t>Adult</w:t>
            </w:r>
          </w:p>
        </w:tc>
        <w:tc>
          <w:tcPr>
            <w:tcW w:w="1440" w:type="dxa"/>
          </w:tcPr>
          <w:p w:rsidR="003E0FFE" w:rsidRPr="008915D9" w:rsidP="00A320C4" w14:paraId="1C534E32" w14:textId="77777777">
            <w:pPr>
              <w:pStyle w:val="ListBullet"/>
              <w:numPr>
                <w:ilvl w:val="0"/>
                <w:numId w:val="0"/>
              </w:numPr>
              <w:jc w:val="center"/>
              <w:rPr>
                <w:bCs/>
              </w:rPr>
            </w:pPr>
            <w:r>
              <w:rPr>
                <w:bCs/>
              </w:rPr>
              <w:t>100</w:t>
            </w:r>
          </w:p>
        </w:tc>
        <w:tc>
          <w:tcPr>
            <w:tcW w:w="1710" w:type="dxa"/>
          </w:tcPr>
          <w:p w:rsidR="003E0FFE" w:rsidRPr="008915D9" w:rsidP="00A320C4" w14:paraId="42EB9A5F" w14:textId="77777777">
            <w:pPr>
              <w:pStyle w:val="ListBullet"/>
              <w:numPr>
                <w:ilvl w:val="0"/>
                <w:numId w:val="0"/>
              </w:numPr>
              <w:jc w:val="center"/>
              <w:rPr>
                <w:bCs/>
              </w:rPr>
            </w:pPr>
            <w:r w:rsidRPr="009A0F94">
              <w:rPr>
                <w:bCs/>
              </w:rPr>
              <w:t>$22.26</w:t>
            </w:r>
          </w:p>
        </w:tc>
        <w:tc>
          <w:tcPr>
            <w:tcW w:w="1800" w:type="dxa"/>
          </w:tcPr>
          <w:p w:rsidR="003E0FFE" w:rsidRPr="008915D9" w:rsidP="00A320C4" w14:paraId="638E0FEB" w14:textId="77777777">
            <w:pPr>
              <w:pStyle w:val="ListBullet"/>
              <w:numPr>
                <w:ilvl w:val="0"/>
                <w:numId w:val="0"/>
              </w:numPr>
              <w:jc w:val="center"/>
              <w:rPr>
                <w:bCs/>
              </w:rPr>
            </w:pPr>
            <w:r>
              <w:rPr>
                <w:bCs/>
              </w:rPr>
              <w:t>$2,226.00</w:t>
            </w:r>
          </w:p>
        </w:tc>
      </w:tr>
      <w:tr w14:paraId="0D59DC2D" w14:textId="77777777" w:rsidTr="00A320C4">
        <w:tblPrEx>
          <w:tblW w:w="9085" w:type="dxa"/>
          <w:tblLayout w:type="fixed"/>
          <w:tblLook w:val="04A0"/>
        </w:tblPrEx>
        <w:tc>
          <w:tcPr>
            <w:tcW w:w="1885" w:type="dxa"/>
            <w:vAlign w:val="center"/>
          </w:tcPr>
          <w:p w:rsidR="003E0FFE" w:rsidRPr="008915D9" w:rsidP="00131D1E" w14:paraId="5B71547E" w14:textId="77777777">
            <w:pPr>
              <w:pStyle w:val="ListBullet"/>
              <w:numPr>
                <w:ilvl w:val="0"/>
                <w:numId w:val="0"/>
              </w:numPr>
              <w:rPr>
                <w:b/>
                <w:bCs/>
              </w:rPr>
            </w:pPr>
            <w:r w:rsidRPr="008915D9">
              <w:rPr>
                <w:b/>
                <w:bCs/>
              </w:rPr>
              <w:t>TOTAL</w:t>
            </w:r>
          </w:p>
        </w:tc>
        <w:tc>
          <w:tcPr>
            <w:tcW w:w="2250" w:type="dxa"/>
            <w:vAlign w:val="center"/>
          </w:tcPr>
          <w:p w:rsidR="003E0FFE" w:rsidRPr="008915D9" w:rsidP="00131D1E" w14:paraId="25C359D7" w14:textId="77777777">
            <w:pPr>
              <w:pStyle w:val="ListBullet"/>
              <w:numPr>
                <w:ilvl w:val="0"/>
                <w:numId w:val="0"/>
              </w:numPr>
              <w:jc w:val="center"/>
              <w:rPr>
                <w:b/>
                <w:bCs/>
              </w:rPr>
            </w:pPr>
          </w:p>
        </w:tc>
        <w:tc>
          <w:tcPr>
            <w:tcW w:w="1440" w:type="dxa"/>
          </w:tcPr>
          <w:p w:rsidR="003E0FFE" w:rsidRPr="008915D9" w:rsidP="00A320C4" w14:paraId="525A4E71" w14:textId="769B5529">
            <w:pPr>
              <w:pStyle w:val="ListBullet"/>
              <w:numPr>
                <w:ilvl w:val="0"/>
                <w:numId w:val="0"/>
              </w:numPr>
              <w:jc w:val="center"/>
              <w:rPr>
                <w:b/>
                <w:bCs/>
              </w:rPr>
            </w:pPr>
            <w:r>
              <w:rPr>
                <w:b/>
                <w:bCs/>
              </w:rPr>
              <w:t>500</w:t>
            </w:r>
          </w:p>
        </w:tc>
        <w:tc>
          <w:tcPr>
            <w:tcW w:w="1710" w:type="dxa"/>
          </w:tcPr>
          <w:p w:rsidR="003E0FFE" w:rsidRPr="008915D9" w:rsidP="00A320C4" w14:paraId="6D802DDF" w14:textId="77777777">
            <w:pPr>
              <w:pStyle w:val="ListBullet"/>
              <w:numPr>
                <w:ilvl w:val="0"/>
                <w:numId w:val="0"/>
              </w:numPr>
              <w:jc w:val="center"/>
              <w:rPr>
                <w:b/>
                <w:bCs/>
              </w:rPr>
            </w:pPr>
            <w:r w:rsidRPr="008915D9">
              <w:rPr>
                <w:b/>
                <w:bCs/>
              </w:rPr>
              <w:t>—</w:t>
            </w:r>
          </w:p>
        </w:tc>
        <w:tc>
          <w:tcPr>
            <w:tcW w:w="1800" w:type="dxa"/>
          </w:tcPr>
          <w:p w:rsidR="003E0FFE" w:rsidRPr="008915D9" w:rsidP="00A320C4" w14:paraId="696CC8A2" w14:textId="77777777">
            <w:pPr>
              <w:pStyle w:val="ListBullet"/>
              <w:numPr>
                <w:ilvl w:val="0"/>
                <w:numId w:val="0"/>
              </w:numPr>
              <w:jc w:val="center"/>
              <w:rPr>
                <w:b/>
                <w:bCs/>
              </w:rPr>
            </w:pPr>
            <w:r w:rsidRPr="008915D9">
              <w:rPr>
                <w:b/>
                <w:bCs/>
              </w:rPr>
              <w:t>$</w:t>
            </w:r>
            <w:r w:rsidRPr="008915D9">
              <w:t xml:space="preserve"> </w:t>
            </w:r>
            <w:r>
              <w:rPr>
                <w:b/>
                <w:bCs/>
              </w:rPr>
              <w:t>11,130</w:t>
            </w:r>
          </w:p>
        </w:tc>
      </w:tr>
    </w:tbl>
    <w:p w:rsidR="003E0FFE" w:rsidRPr="008915D9" w:rsidP="00873BFC" w14:paraId="4B605E59" w14:textId="77777777">
      <w:pPr>
        <w:pStyle w:val="ListBullet"/>
        <w:numPr>
          <w:ilvl w:val="0"/>
          <w:numId w:val="0"/>
        </w:numPr>
        <w:ind w:left="1440" w:hanging="360"/>
      </w:pPr>
    </w:p>
    <w:p w:rsidR="003E0FFE" w:rsidRPr="008915D9" w:rsidP="00873BFC" w14:paraId="4B10586B" w14:textId="77777777">
      <w:pPr>
        <w:pStyle w:val="ListBullet"/>
        <w:numPr>
          <w:ilvl w:val="0"/>
          <w:numId w:val="0"/>
        </w:numPr>
        <w:rPr>
          <w:bCs/>
        </w:rPr>
      </w:pPr>
    </w:p>
    <w:p w:rsidR="003E0FFE" w:rsidRPr="008915D9" w:rsidP="00873BFC" w14:paraId="4D1CE3C7" w14:textId="77777777">
      <w:pPr>
        <w:rPr>
          <w:sz w:val="22"/>
          <w:szCs w:val="22"/>
        </w:rPr>
      </w:pPr>
    </w:p>
    <w:p w:rsidR="003E0FFE" w:rsidRPr="008915D9" w:rsidP="00705A6A" w14:paraId="685B1A23" w14:textId="77777777">
      <w:pPr>
        <w:pStyle w:val="Style1"/>
        <w:rPr>
          <w:szCs w:val="22"/>
        </w:rPr>
      </w:pPr>
      <w:bookmarkStart w:id="19" w:name="_Toc106703816"/>
      <w:r w:rsidRPr="008915D9">
        <w:rPr>
          <w:szCs w:val="22"/>
        </w:rPr>
        <w:t>Section A.13. Estimates of Other Total Annual Cost Burden to Respondents or Record Keepers</w:t>
      </w:r>
      <w:bookmarkEnd w:id="19"/>
    </w:p>
    <w:p w:rsidR="003E0FFE" w:rsidRPr="008915D9" w:rsidP="00873BFC" w14:paraId="0A06B08C" w14:textId="77777777">
      <w:pPr>
        <w:rPr>
          <w:sz w:val="22"/>
          <w:szCs w:val="22"/>
        </w:rPr>
      </w:pPr>
    </w:p>
    <w:p w:rsidR="003E0FFE" w:rsidRPr="008915D9" w:rsidP="00873BFC" w14:paraId="3DAF99B1" w14:textId="77777777">
      <w:pPr>
        <w:rPr>
          <w:sz w:val="22"/>
          <w:szCs w:val="22"/>
        </w:rPr>
      </w:pPr>
      <w:r w:rsidRPr="008915D9">
        <w:rPr>
          <w:sz w:val="22"/>
          <w:szCs w:val="22"/>
        </w:rPr>
        <w:t>There are no costs to respondents associated with either capital and startup efforts or operation and maintenance of services for this project.</w:t>
      </w:r>
    </w:p>
    <w:p w:rsidR="003E0FFE" w:rsidRPr="008915D9" w:rsidP="00873BFC" w14:paraId="14A7E2EF" w14:textId="77777777">
      <w:pPr>
        <w:rPr>
          <w:sz w:val="22"/>
          <w:szCs w:val="22"/>
        </w:rPr>
      </w:pPr>
    </w:p>
    <w:p w:rsidR="003E0FFE" w:rsidRPr="008915D9" w:rsidP="00705A6A" w14:paraId="07B9B72E" w14:textId="77777777">
      <w:pPr>
        <w:pStyle w:val="Style1"/>
        <w:rPr>
          <w:szCs w:val="22"/>
        </w:rPr>
      </w:pPr>
      <w:bookmarkStart w:id="20" w:name="_Toc106703817"/>
      <w:r w:rsidRPr="008915D9">
        <w:rPr>
          <w:szCs w:val="22"/>
        </w:rPr>
        <w:t>Section A.14. Annualized Cost to the Government</w:t>
      </w:r>
      <w:bookmarkEnd w:id="20"/>
    </w:p>
    <w:p w:rsidR="003E0FFE" w:rsidRPr="008915D9" w:rsidP="00873BFC" w14:paraId="7AB516B4" w14:textId="77777777">
      <w:pPr>
        <w:rPr>
          <w:sz w:val="22"/>
          <w:szCs w:val="22"/>
        </w:rPr>
      </w:pPr>
    </w:p>
    <w:p w:rsidR="003E0FFE" w:rsidRPr="008915D9" w:rsidP="00873BFC" w14:paraId="10350409" w14:textId="5D9B751B">
      <w:pPr>
        <w:rPr>
          <w:i/>
          <w:iCs/>
          <w:sz w:val="22"/>
          <w:szCs w:val="22"/>
        </w:rPr>
      </w:pPr>
      <w:r w:rsidRPr="008915D9">
        <w:rPr>
          <w:sz w:val="22"/>
          <w:szCs w:val="22"/>
        </w:rPr>
        <w:t>The average annualized cost to the Government to collect this information is $951,595 for this 3-year OMB approval period that is requested.</w:t>
      </w:r>
    </w:p>
    <w:p w:rsidR="003E0FFE" w:rsidRPr="008915D9" w:rsidP="00873BFC" w14:paraId="5CE87E7F" w14:textId="77777777">
      <w:pPr>
        <w:rPr>
          <w:sz w:val="22"/>
          <w:szCs w:val="22"/>
        </w:rPr>
      </w:pPr>
    </w:p>
    <w:p w:rsidR="003E0FFE" w:rsidRPr="008915D9" w:rsidP="00873BFC" w14:paraId="5E49B4F0" w14:textId="77777777">
      <w:pPr>
        <w:rPr>
          <w:b/>
          <w:sz w:val="22"/>
          <w:szCs w:val="22"/>
        </w:rPr>
      </w:pPr>
    </w:p>
    <w:tbl>
      <w:tblPr>
        <w:tblW w:w="8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05"/>
        <w:gridCol w:w="4140"/>
        <w:gridCol w:w="1710"/>
      </w:tblGrid>
      <w:tr w14:paraId="1E790690" w14:textId="77777777" w:rsidTr="00A731BE">
        <w:tblPrEx>
          <w:tblW w:w="8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6745" w:type="dxa"/>
            <w:gridSpan w:val="2"/>
          </w:tcPr>
          <w:p w:rsidR="003E0FFE" w:rsidRPr="008915D9" w:rsidP="00131D1E" w14:paraId="4CAF3D1E" w14:textId="77777777">
            <w:pPr>
              <w:rPr>
                <w:sz w:val="22"/>
                <w:szCs w:val="22"/>
              </w:rPr>
            </w:pPr>
          </w:p>
        </w:tc>
        <w:tc>
          <w:tcPr>
            <w:tcW w:w="1710" w:type="dxa"/>
          </w:tcPr>
          <w:p w:rsidR="003E0FFE" w:rsidRPr="008915D9" w:rsidP="00131D1E" w14:paraId="79C8913F" w14:textId="77777777">
            <w:pPr>
              <w:jc w:val="center"/>
              <w:rPr>
                <w:b/>
                <w:sz w:val="22"/>
                <w:szCs w:val="22"/>
              </w:rPr>
            </w:pPr>
            <w:r w:rsidRPr="008915D9">
              <w:rPr>
                <w:b/>
                <w:sz w:val="22"/>
                <w:szCs w:val="22"/>
              </w:rPr>
              <w:t>Total ($)</w:t>
            </w:r>
          </w:p>
        </w:tc>
      </w:tr>
      <w:tr w14:paraId="096A7B0C" w14:textId="77777777" w:rsidTr="00A731BE">
        <w:tblPrEx>
          <w:tblW w:w="8455" w:type="dxa"/>
          <w:tblLook w:val="04A0"/>
        </w:tblPrEx>
        <w:trPr>
          <w:trHeight w:val="255"/>
        </w:trPr>
        <w:tc>
          <w:tcPr>
            <w:tcW w:w="2605" w:type="dxa"/>
            <w:vMerge w:val="restart"/>
          </w:tcPr>
          <w:p w:rsidR="003E0FFE" w:rsidRPr="008915D9" w:rsidP="00E347FA" w14:paraId="23FD92B6" w14:textId="77777777">
            <w:pPr>
              <w:rPr>
                <w:b/>
                <w:sz w:val="22"/>
                <w:szCs w:val="22"/>
              </w:rPr>
            </w:pPr>
            <w:r w:rsidRPr="008915D9">
              <w:rPr>
                <w:b/>
                <w:sz w:val="22"/>
                <w:szCs w:val="22"/>
              </w:rPr>
              <w:t>Federal Government</w:t>
            </w:r>
          </w:p>
          <w:p w:rsidR="003E0FFE" w:rsidRPr="008915D9" w:rsidP="00E347FA" w14:paraId="51F22622" w14:textId="77777777">
            <w:pPr>
              <w:rPr>
                <w:b/>
                <w:sz w:val="22"/>
                <w:szCs w:val="22"/>
              </w:rPr>
            </w:pPr>
            <w:r w:rsidRPr="008915D9">
              <w:rPr>
                <w:b/>
                <w:sz w:val="22"/>
                <w:szCs w:val="22"/>
              </w:rPr>
              <w:t>Personnel costs</w:t>
            </w:r>
          </w:p>
        </w:tc>
        <w:tc>
          <w:tcPr>
            <w:tcW w:w="4140" w:type="dxa"/>
          </w:tcPr>
          <w:p w:rsidR="003E0FFE" w:rsidRPr="008915D9" w:rsidP="00E347FA" w14:paraId="51ADD445" w14:textId="77777777">
            <w:pPr>
              <w:rPr>
                <w:sz w:val="22"/>
                <w:szCs w:val="22"/>
              </w:rPr>
            </w:pPr>
            <w:r w:rsidRPr="008915D9">
              <w:rPr>
                <w:sz w:val="22"/>
                <w:szCs w:val="22"/>
              </w:rPr>
              <w:t>CDC Project Officer</w:t>
            </w:r>
          </w:p>
        </w:tc>
        <w:tc>
          <w:tcPr>
            <w:tcW w:w="1710" w:type="dxa"/>
          </w:tcPr>
          <w:p w:rsidR="003E0FFE" w:rsidRPr="008915D9" w:rsidP="00E347FA" w14:paraId="14B546D1" w14:textId="77777777">
            <w:pPr>
              <w:jc w:val="center"/>
              <w:rPr>
                <w:sz w:val="22"/>
                <w:szCs w:val="22"/>
              </w:rPr>
            </w:pPr>
            <w:r w:rsidRPr="008915D9">
              <w:rPr>
                <w:sz w:val="22"/>
                <w:szCs w:val="22"/>
              </w:rPr>
              <w:t>41,799</w:t>
            </w:r>
          </w:p>
        </w:tc>
      </w:tr>
      <w:tr w14:paraId="1120C66E" w14:textId="77777777" w:rsidTr="00A731BE">
        <w:tblPrEx>
          <w:tblW w:w="8455" w:type="dxa"/>
          <w:tblLook w:val="04A0"/>
        </w:tblPrEx>
        <w:trPr>
          <w:trHeight w:val="255"/>
        </w:trPr>
        <w:tc>
          <w:tcPr>
            <w:tcW w:w="2605" w:type="dxa"/>
            <w:vMerge/>
          </w:tcPr>
          <w:p w:rsidR="003E0FFE" w:rsidRPr="008915D9" w:rsidP="00E347FA" w14:paraId="54FF3AE6" w14:textId="77777777">
            <w:pPr>
              <w:rPr>
                <w:b/>
                <w:sz w:val="22"/>
                <w:szCs w:val="22"/>
              </w:rPr>
            </w:pPr>
          </w:p>
        </w:tc>
        <w:tc>
          <w:tcPr>
            <w:tcW w:w="4140" w:type="dxa"/>
          </w:tcPr>
          <w:p w:rsidR="003E0FFE" w:rsidRPr="008915D9" w:rsidP="00E347FA" w14:paraId="5E836497" w14:textId="77777777">
            <w:pPr>
              <w:rPr>
                <w:sz w:val="22"/>
                <w:szCs w:val="22"/>
              </w:rPr>
            </w:pPr>
            <w:r w:rsidRPr="008915D9">
              <w:rPr>
                <w:sz w:val="22"/>
                <w:szCs w:val="22"/>
              </w:rPr>
              <w:t>CDC Project Manager</w:t>
            </w:r>
          </w:p>
        </w:tc>
        <w:tc>
          <w:tcPr>
            <w:tcW w:w="1710" w:type="dxa"/>
          </w:tcPr>
          <w:p w:rsidR="003E0FFE" w:rsidRPr="008915D9" w:rsidP="00A32C16" w14:paraId="71B6E94B" w14:textId="77777777">
            <w:pPr>
              <w:jc w:val="center"/>
              <w:rPr>
                <w:sz w:val="22"/>
                <w:szCs w:val="22"/>
              </w:rPr>
            </w:pPr>
            <w:r w:rsidRPr="008915D9">
              <w:rPr>
                <w:sz w:val="22"/>
                <w:szCs w:val="22"/>
              </w:rPr>
              <w:t>49,394</w:t>
            </w:r>
          </w:p>
        </w:tc>
      </w:tr>
      <w:tr w14:paraId="7B7B1FC8" w14:textId="77777777" w:rsidTr="00A731BE">
        <w:tblPrEx>
          <w:tblW w:w="8455" w:type="dxa"/>
          <w:tblLook w:val="04A0"/>
        </w:tblPrEx>
        <w:trPr>
          <w:trHeight w:val="255"/>
        </w:trPr>
        <w:tc>
          <w:tcPr>
            <w:tcW w:w="2605" w:type="dxa"/>
            <w:vMerge/>
          </w:tcPr>
          <w:p w:rsidR="003E0FFE" w:rsidRPr="008915D9" w:rsidP="00E347FA" w14:paraId="316917E5" w14:textId="77777777">
            <w:pPr>
              <w:rPr>
                <w:b/>
                <w:sz w:val="22"/>
                <w:szCs w:val="22"/>
              </w:rPr>
            </w:pPr>
          </w:p>
        </w:tc>
        <w:tc>
          <w:tcPr>
            <w:tcW w:w="4140" w:type="dxa"/>
          </w:tcPr>
          <w:p w:rsidR="003E0FFE" w:rsidRPr="008915D9" w:rsidP="00E347FA" w14:paraId="27C66CEE" w14:textId="77777777">
            <w:pPr>
              <w:rPr>
                <w:sz w:val="22"/>
                <w:szCs w:val="22"/>
              </w:rPr>
            </w:pPr>
            <w:r w:rsidRPr="008915D9">
              <w:rPr>
                <w:sz w:val="22"/>
                <w:szCs w:val="22"/>
              </w:rPr>
              <w:t>CDC Project Oversight</w:t>
            </w:r>
          </w:p>
        </w:tc>
        <w:tc>
          <w:tcPr>
            <w:tcW w:w="1710" w:type="dxa"/>
          </w:tcPr>
          <w:p w:rsidR="003E0FFE" w:rsidRPr="008915D9" w:rsidP="00E347FA" w14:paraId="024DBDE8" w14:textId="77777777">
            <w:pPr>
              <w:jc w:val="center"/>
              <w:rPr>
                <w:sz w:val="22"/>
                <w:szCs w:val="22"/>
              </w:rPr>
            </w:pPr>
            <w:r w:rsidRPr="008915D9">
              <w:rPr>
                <w:sz w:val="22"/>
                <w:szCs w:val="22"/>
              </w:rPr>
              <w:t>19,758</w:t>
            </w:r>
          </w:p>
        </w:tc>
      </w:tr>
      <w:tr w14:paraId="0B8E27B9" w14:textId="77777777" w:rsidTr="00A731BE">
        <w:tblPrEx>
          <w:tblW w:w="8455" w:type="dxa"/>
          <w:tblLook w:val="04A0"/>
        </w:tblPrEx>
        <w:trPr>
          <w:trHeight w:val="255"/>
        </w:trPr>
        <w:tc>
          <w:tcPr>
            <w:tcW w:w="2605" w:type="dxa"/>
            <w:vMerge/>
          </w:tcPr>
          <w:p w:rsidR="003E0FFE" w:rsidRPr="008915D9" w:rsidP="00E347FA" w14:paraId="3D7F25D5" w14:textId="77777777">
            <w:pPr>
              <w:rPr>
                <w:b/>
                <w:sz w:val="22"/>
                <w:szCs w:val="22"/>
              </w:rPr>
            </w:pPr>
          </w:p>
        </w:tc>
        <w:tc>
          <w:tcPr>
            <w:tcW w:w="4140" w:type="dxa"/>
          </w:tcPr>
          <w:p w:rsidR="003E0FFE" w:rsidRPr="008915D9" w:rsidP="00E347FA" w14:paraId="51DB359E" w14:textId="77777777">
            <w:pPr>
              <w:rPr>
                <w:sz w:val="22"/>
                <w:szCs w:val="22"/>
              </w:rPr>
            </w:pPr>
            <w:r w:rsidRPr="008915D9">
              <w:rPr>
                <w:sz w:val="22"/>
                <w:szCs w:val="22"/>
              </w:rPr>
              <w:t>CDC Collaborator</w:t>
            </w:r>
          </w:p>
        </w:tc>
        <w:tc>
          <w:tcPr>
            <w:tcW w:w="1710" w:type="dxa"/>
          </w:tcPr>
          <w:p w:rsidR="003E0FFE" w:rsidRPr="008915D9" w:rsidP="00E347FA" w14:paraId="61A4D50C" w14:textId="77777777">
            <w:pPr>
              <w:jc w:val="center"/>
              <w:rPr>
                <w:sz w:val="22"/>
                <w:szCs w:val="22"/>
              </w:rPr>
            </w:pPr>
            <w:r w:rsidRPr="008915D9">
              <w:rPr>
                <w:sz w:val="22"/>
                <w:szCs w:val="22"/>
              </w:rPr>
              <w:t>33,440</w:t>
            </w:r>
          </w:p>
        </w:tc>
      </w:tr>
      <w:tr w14:paraId="38BAD27B" w14:textId="77777777" w:rsidTr="00A731BE">
        <w:tblPrEx>
          <w:tblW w:w="8455" w:type="dxa"/>
          <w:tblLook w:val="04A0"/>
        </w:tblPrEx>
        <w:trPr>
          <w:trHeight w:val="255"/>
        </w:trPr>
        <w:tc>
          <w:tcPr>
            <w:tcW w:w="2605" w:type="dxa"/>
            <w:vMerge/>
          </w:tcPr>
          <w:p w:rsidR="003E0FFE" w:rsidRPr="008915D9" w:rsidP="00131D1E" w14:paraId="67968912" w14:textId="77777777">
            <w:pPr>
              <w:rPr>
                <w:b/>
                <w:sz w:val="22"/>
                <w:szCs w:val="22"/>
              </w:rPr>
            </w:pPr>
          </w:p>
        </w:tc>
        <w:tc>
          <w:tcPr>
            <w:tcW w:w="4140" w:type="dxa"/>
          </w:tcPr>
          <w:p w:rsidR="003E0FFE" w:rsidRPr="008915D9" w:rsidP="00131D1E" w14:paraId="15155F78" w14:textId="77777777">
            <w:pPr>
              <w:rPr>
                <w:sz w:val="22"/>
                <w:szCs w:val="22"/>
              </w:rPr>
            </w:pPr>
            <w:r w:rsidRPr="008915D9">
              <w:rPr>
                <w:sz w:val="22"/>
                <w:szCs w:val="22"/>
              </w:rPr>
              <w:t>CDC Collaborator</w:t>
            </w:r>
          </w:p>
        </w:tc>
        <w:tc>
          <w:tcPr>
            <w:tcW w:w="1710" w:type="dxa"/>
          </w:tcPr>
          <w:p w:rsidR="003E0FFE" w:rsidRPr="008915D9" w:rsidP="00131D1E" w14:paraId="6FFC2F98" w14:textId="77777777">
            <w:pPr>
              <w:jc w:val="center"/>
              <w:rPr>
                <w:sz w:val="22"/>
                <w:szCs w:val="22"/>
              </w:rPr>
            </w:pPr>
            <w:r w:rsidRPr="008915D9">
              <w:rPr>
                <w:sz w:val="22"/>
                <w:szCs w:val="22"/>
              </w:rPr>
              <w:t>8,360</w:t>
            </w:r>
          </w:p>
        </w:tc>
      </w:tr>
      <w:tr w14:paraId="06F537F6" w14:textId="77777777" w:rsidTr="00A731BE">
        <w:tblPrEx>
          <w:tblW w:w="8455" w:type="dxa"/>
          <w:tblLook w:val="04A0"/>
        </w:tblPrEx>
        <w:trPr>
          <w:trHeight w:val="255"/>
        </w:trPr>
        <w:tc>
          <w:tcPr>
            <w:tcW w:w="2605" w:type="dxa"/>
            <w:vMerge/>
          </w:tcPr>
          <w:p w:rsidR="003E0FFE" w:rsidRPr="008915D9" w:rsidP="00131D1E" w14:paraId="722980B0" w14:textId="77777777">
            <w:pPr>
              <w:rPr>
                <w:b/>
                <w:sz w:val="22"/>
                <w:szCs w:val="22"/>
              </w:rPr>
            </w:pPr>
          </w:p>
        </w:tc>
        <w:tc>
          <w:tcPr>
            <w:tcW w:w="4140" w:type="dxa"/>
          </w:tcPr>
          <w:p w:rsidR="003E0FFE" w:rsidRPr="008915D9" w:rsidP="00131D1E" w14:paraId="3D3ACF22" w14:textId="77777777">
            <w:pPr>
              <w:rPr>
                <w:sz w:val="22"/>
                <w:szCs w:val="22"/>
              </w:rPr>
            </w:pPr>
            <w:r w:rsidRPr="008915D9">
              <w:rPr>
                <w:sz w:val="22"/>
                <w:szCs w:val="22"/>
              </w:rPr>
              <w:t>CDC Collaborator</w:t>
            </w:r>
          </w:p>
        </w:tc>
        <w:tc>
          <w:tcPr>
            <w:tcW w:w="1710" w:type="dxa"/>
          </w:tcPr>
          <w:p w:rsidR="003E0FFE" w:rsidRPr="008915D9" w:rsidP="00131D1E" w14:paraId="1429141C" w14:textId="77777777">
            <w:pPr>
              <w:jc w:val="center"/>
              <w:rPr>
                <w:sz w:val="22"/>
                <w:szCs w:val="22"/>
              </w:rPr>
            </w:pPr>
            <w:r w:rsidRPr="008915D9">
              <w:rPr>
                <w:sz w:val="22"/>
                <w:szCs w:val="22"/>
              </w:rPr>
              <w:t>19,758</w:t>
            </w:r>
          </w:p>
        </w:tc>
      </w:tr>
      <w:tr w14:paraId="7BFDC8B2" w14:textId="77777777" w:rsidTr="00A731BE">
        <w:tblPrEx>
          <w:tblW w:w="8455" w:type="dxa"/>
          <w:tblLook w:val="04A0"/>
        </w:tblPrEx>
        <w:trPr>
          <w:trHeight w:val="255"/>
        </w:trPr>
        <w:tc>
          <w:tcPr>
            <w:tcW w:w="2605" w:type="dxa"/>
          </w:tcPr>
          <w:p w:rsidR="003E0FFE" w:rsidRPr="008915D9" w:rsidP="00131D1E" w14:paraId="08709E47" w14:textId="77777777">
            <w:pPr>
              <w:rPr>
                <w:b/>
                <w:sz w:val="22"/>
                <w:szCs w:val="22"/>
              </w:rPr>
            </w:pPr>
            <w:r w:rsidRPr="008915D9">
              <w:rPr>
                <w:b/>
                <w:sz w:val="22"/>
                <w:szCs w:val="22"/>
              </w:rPr>
              <w:t>ORISE</w:t>
            </w:r>
          </w:p>
        </w:tc>
        <w:tc>
          <w:tcPr>
            <w:tcW w:w="4140" w:type="dxa"/>
          </w:tcPr>
          <w:p w:rsidR="003E0FFE" w:rsidRPr="008915D9" w:rsidP="00131D1E" w14:paraId="6374CF53" w14:textId="77777777">
            <w:pPr>
              <w:rPr>
                <w:sz w:val="22"/>
                <w:szCs w:val="22"/>
              </w:rPr>
            </w:pPr>
            <w:r w:rsidRPr="008915D9">
              <w:rPr>
                <w:sz w:val="22"/>
                <w:szCs w:val="22"/>
              </w:rPr>
              <w:t>ORISE fellow</w:t>
            </w:r>
          </w:p>
        </w:tc>
        <w:tc>
          <w:tcPr>
            <w:tcW w:w="1710" w:type="dxa"/>
          </w:tcPr>
          <w:p w:rsidR="003E0FFE" w:rsidRPr="008915D9" w:rsidP="00131D1E" w14:paraId="13429293" w14:textId="77777777">
            <w:pPr>
              <w:jc w:val="center"/>
              <w:rPr>
                <w:sz w:val="22"/>
                <w:szCs w:val="22"/>
              </w:rPr>
            </w:pPr>
            <w:r w:rsidRPr="008915D9">
              <w:rPr>
                <w:sz w:val="22"/>
                <w:szCs w:val="22"/>
              </w:rPr>
              <w:t>19,391</w:t>
            </w:r>
          </w:p>
        </w:tc>
      </w:tr>
      <w:tr w14:paraId="59A9E319" w14:textId="77777777" w:rsidTr="00A731BE">
        <w:tblPrEx>
          <w:tblW w:w="8455" w:type="dxa"/>
          <w:tblLook w:val="04A0"/>
        </w:tblPrEx>
        <w:trPr>
          <w:trHeight w:val="255"/>
        </w:trPr>
        <w:tc>
          <w:tcPr>
            <w:tcW w:w="2605" w:type="dxa"/>
          </w:tcPr>
          <w:p w:rsidR="003E0FFE" w:rsidRPr="008915D9" w:rsidP="00131D1E" w14:paraId="520956D0" w14:textId="77777777">
            <w:pPr>
              <w:rPr>
                <w:b/>
                <w:sz w:val="22"/>
                <w:szCs w:val="22"/>
              </w:rPr>
            </w:pPr>
          </w:p>
        </w:tc>
        <w:tc>
          <w:tcPr>
            <w:tcW w:w="4140" w:type="dxa"/>
          </w:tcPr>
          <w:p w:rsidR="003E0FFE" w:rsidRPr="008915D9" w:rsidP="00131D1E" w14:paraId="4B545708" w14:textId="3A4177FF">
            <w:pPr>
              <w:rPr>
                <w:sz w:val="22"/>
                <w:szCs w:val="22"/>
              </w:rPr>
            </w:pPr>
            <w:r>
              <w:rPr>
                <w:sz w:val="22"/>
                <w:szCs w:val="22"/>
              </w:rPr>
              <w:t>ORISE fellow</w:t>
            </w:r>
          </w:p>
        </w:tc>
        <w:tc>
          <w:tcPr>
            <w:tcW w:w="1710" w:type="dxa"/>
          </w:tcPr>
          <w:p w:rsidR="003E0FFE" w:rsidRPr="008915D9" w:rsidP="00131D1E" w14:paraId="7D9BB634" w14:textId="1B7F30B4">
            <w:pPr>
              <w:jc w:val="center"/>
              <w:rPr>
                <w:sz w:val="22"/>
                <w:szCs w:val="22"/>
              </w:rPr>
            </w:pPr>
            <w:r w:rsidRPr="008915D9">
              <w:rPr>
                <w:sz w:val="22"/>
                <w:szCs w:val="22"/>
              </w:rPr>
              <w:t>9,695</w:t>
            </w:r>
          </w:p>
        </w:tc>
      </w:tr>
      <w:tr w14:paraId="10DD45FA" w14:textId="77777777" w:rsidTr="00A731BE">
        <w:tblPrEx>
          <w:tblW w:w="8455" w:type="dxa"/>
          <w:tblLook w:val="04A0"/>
        </w:tblPrEx>
        <w:trPr>
          <w:trHeight w:val="467"/>
        </w:trPr>
        <w:tc>
          <w:tcPr>
            <w:tcW w:w="2605" w:type="dxa"/>
            <w:vMerge w:val="restart"/>
          </w:tcPr>
          <w:p w:rsidR="003E0FFE" w:rsidRPr="008915D9" w:rsidP="000730F0" w14:paraId="657A19CF" w14:textId="77777777">
            <w:pPr>
              <w:rPr>
                <w:b/>
                <w:sz w:val="22"/>
                <w:szCs w:val="22"/>
              </w:rPr>
            </w:pPr>
            <w:r>
              <w:rPr>
                <w:b/>
                <w:sz w:val="22"/>
                <w:szCs w:val="22"/>
              </w:rPr>
              <w:t>Funded Sites</w:t>
            </w:r>
          </w:p>
        </w:tc>
        <w:tc>
          <w:tcPr>
            <w:tcW w:w="4140" w:type="dxa"/>
          </w:tcPr>
          <w:p w:rsidR="003E0FFE" w:rsidRPr="008915D9" w:rsidP="000730F0" w14:paraId="183D1157" w14:textId="77777777">
            <w:pPr>
              <w:rPr>
                <w:sz w:val="22"/>
                <w:szCs w:val="22"/>
              </w:rPr>
            </w:pPr>
            <w:r w:rsidRPr="008915D9">
              <w:rPr>
                <w:sz w:val="22"/>
                <w:szCs w:val="22"/>
              </w:rPr>
              <w:t>Awardee #1 (Tourette Association of America – 3 sites)</w:t>
            </w:r>
          </w:p>
        </w:tc>
        <w:tc>
          <w:tcPr>
            <w:tcW w:w="1710" w:type="dxa"/>
          </w:tcPr>
          <w:p w:rsidR="003E0FFE" w:rsidRPr="008915D9" w:rsidP="0033783F" w14:paraId="79CEE2BC" w14:textId="77777777">
            <w:pPr>
              <w:jc w:val="center"/>
              <w:rPr>
                <w:sz w:val="22"/>
                <w:szCs w:val="22"/>
              </w:rPr>
            </w:pPr>
            <w:r w:rsidRPr="008915D9">
              <w:rPr>
                <w:sz w:val="22"/>
                <w:szCs w:val="22"/>
              </w:rPr>
              <w:t>550,000</w:t>
            </w:r>
          </w:p>
        </w:tc>
      </w:tr>
      <w:tr w14:paraId="4DF2799D" w14:textId="77777777" w:rsidTr="00A731BE">
        <w:tblPrEx>
          <w:tblW w:w="8455" w:type="dxa"/>
          <w:tblLook w:val="04A0"/>
        </w:tblPrEx>
        <w:tc>
          <w:tcPr>
            <w:tcW w:w="2605" w:type="dxa"/>
            <w:vMerge/>
          </w:tcPr>
          <w:p w:rsidR="003E0FFE" w:rsidRPr="008915D9" w:rsidP="000730F0" w14:paraId="13D24F15" w14:textId="77777777">
            <w:pPr>
              <w:rPr>
                <w:b/>
                <w:sz w:val="22"/>
                <w:szCs w:val="22"/>
              </w:rPr>
            </w:pPr>
          </w:p>
        </w:tc>
        <w:tc>
          <w:tcPr>
            <w:tcW w:w="4140" w:type="dxa"/>
          </w:tcPr>
          <w:p w:rsidR="003E0FFE" w:rsidRPr="008915D9" w:rsidP="000730F0" w14:paraId="06308225" w14:textId="77777777">
            <w:pPr>
              <w:rPr>
                <w:sz w:val="22"/>
                <w:szCs w:val="22"/>
              </w:rPr>
            </w:pPr>
            <w:r w:rsidRPr="008915D9">
              <w:rPr>
                <w:sz w:val="22"/>
                <w:szCs w:val="22"/>
              </w:rPr>
              <w:t>Awardee #2 (University of South Florida)</w:t>
            </w:r>
          </w:p>
        </w:tc>
        <w:tc>
          <w:tcPr>
            <w:tcW w:w="1710" w:type="dxa"/>
          </w:tcPr>
          <w:p w:rsidR="003E0FFE" w:rsidRPr="008915D9" w:rsidP="0033783F" w14:paraId="0DFD6AAF" w14:textId="77777777">
            <w:pPr>
              <w:jc w:val="center"/>
              <w:rPr>
                <w:sz w:val="22"/>
                <w:szCs w:val="22"/>
              </w:rPr>
            </w:pPr>
            <w:r w:rsidRPr="008915D9">
              <w:rPr>
                <w:sz w:val="22"/>
                <w:szCs w:val="22"/>
              </w:rPr>
              <w:t>200,000</w:t>
            </w:r>
          </w:p>
        </w:tc>
      </w:tr>
      <w:tr w14:paraId="14A5D258" w14:textId="77777777" w:rsidTr="00A731BE">
        <w:tblPrEx>
          <w:tblW w:w="8455" w:type="dxa"/>
          <w:tblLook w:val="04A0"/>
        </w:tblPrEx>
        <w:tc>
          <w:tcPr>
            <w:tcW w:w="2605" w:type="dxa"/>
          </w:tcPr>
          <w:p w:rsidR="003E0FFE" w:rsidRPr="008915D9" w:rsidP="00131D1E" w14:paraId="6A306528" w14:textId="77777777">
            <w:pPr>
              <w:rPr>
                <w:b/>
                <w:sz w:val="22"/>
                <w:szCs w:val="22"/>
              </w:rPr>
            </w:pPr>
            <w:r w:rsidRPr="008915D9">
              <w:rPr>
                <w:b/>
                <w:sz w:val="22"/>
                <w:szCs w:val="22"/>
              </w:rPr>
              <w:t>Total</w:t>
            </w:r>
          </w:p>
        </w:tc>
        <w:tc>
          <w:tcPr>
            <w:tcW w:w="4140" w:type="dxa"/>
          </w:tcPr>
          <w:p w:rsidR="003E0FFE" w:rsidRPr="008915D9" w:rsidP="00131D1E" w14:paraId="5DA5A9AA" w14:textId="77777777">
            <w:pPr>
              <w:rPr>
                <w:sz w:val="22"/>
                <w:szCs w:val="22"/>
              </w:rPr>
            </w:pPr>
          </w:p>
        </w:tc>
        <w:tc>
          <w:tcPr>
            <w:tcW w:w="1710" w:type="dxa"/>
          </w:tcPr>
          <w:p w:rsidR="003E0FFE" w:rsidRPr="008915D9" w:rsidP="00131D1E" w14:paraId="376ABB72" w14:textId="77777777">
            <w:pPr>
              <w:jc w:val="center"/>
              <w:rPr>
                <w:sz w:val="22"/>
                <w:szCs w:val="22"/>
              </w:rPr>
            </w:pPr>
            <w:r w:rsidRPr="008915D9">
              <w:rPr>
                <w:sz w:val="22"/>
                <w:szCs w:val="22"/>
              </w:rPr>
              <w:t>$951,595</w:t>
            </w:r>
          </w:p>
        </w:tc>
      </w:tr>
    </w:tbl>
    <w:p w:rsidR="003E0FFE" w:rsidRPr="008915D9" w:rsidP="00873BFC" w14:paraId="388329D9" w14:textId="77777777">
      <w:pPr>
        <w:rPr>
          <w:sz w:val="22"/>
          <w:szCs w:val="22"/>
        </w:rPr>
      </w:pPr>
    </w:p>
    <w:p w:rsidR="003E0FFE" w:rsidRPr="008915D9" w:rsidP="00873BFC" w14:paraId="1AE9464C" w14:textId="77777777">
      <w:pPr>
        <w:rPr>
          <w:sz w:val="22"/>
          <w:szCs w:val="22"/>
        </w:rPr>
      </w:pPr>
    </w:p>
    <w:p w:rsidR="003E0FFE" w:rsidRPr="008915D9" w:rsidP="00873BFC" w14:paraId="023A8AA2" w14:textId="77777777">
      <w:pPr>
        <w:rPr>
          <w:sz w:val="22"/>
          <w:szCs w:val="22"/>
        </w:rPr>
      </w:pPr>
    </w:p>
    <w:p w:rsidR="003E0FFE" w:rsidRPr="008915D9" w:rsidP="00873BFC" w14:paraId="1AE52519" w14:textId="77777777">
      <w:pPr>
        <w:rPr>
          <w:sz w:val="22"/>
          <w:szCs w:val="22"/>
        </w:rPr>
      </w:pPr>
    </w:p>
    <w:p w:rsidR="003E0FFE" w:rsidRPr="008915D9" w:rsidP="00705A6A" w14:paraId="63CCE50F" w14:textId="77777777">
      <w:pPr>
        <w:pStyle w:val="Style1"/>
        <w:rPr>
          <w:szCs w:val="22"/>
        </w:rPr>
      </w:pPr>
      <w:bookmarkStart w:id="21" w:name="_Toc106703818"/>
      <w:r w:rsidRPr="008915D9">
        <w:rPr>
          <w:szCs w:val="22"/>
        </w:rPr>
        <w:t>Section A.15. Explanation for Program Changes or Adjustments</w:t>
      </w:r>
      <w:bookmarkEnd w:id="21"/>
    </w:p>
    <w:p w:rsidR="003E0FFE" w:rsidRPr="008915D9" w:rsidP="00873BFC" w14:paraId="467C4B0A" w14:textId="77777777">
      <w:pPr>
        <w:rPr>
          <w:sz w:val="22"/>
          <w:szCs w:val="22"/>
        </w:rPr>
      </w:pPr>
    </w:p>
    <w:p w:rsidR="003E0FFE" w:rsidRPr="008915D9" w:rsidP="00873BFC" w14:paraId="29578943" w14:textId="77777777">
      <w:pPr>
        <w:rPr>
          <w:sz w:val="22"/>
          <w:szCs w:val="22"/>
        </w:rPr>
      </w:pPr>
      <w:r w:rsidRPr="008915D9">
        <w:rPr>
          <w:sz w:val="22"/>
          <w:szCs w:val="22"/>
        </w:rPr>
        <w:t>This is a new data collection.</w:t>
      </w:r>
    </w:p>
    <w:p w:rsidR="003E0FFE" w:rsidRPr="008915D9" w:rsidP="00873BFC" w14:paraId="1E39A5E2" w14:textId="77777777">
      <w:pPr>
        <w:rPr>
          <w:sz w:val="22"/>
          <w:szCs w:val="22"/>
        </w:rPr>
      </w:pPr>
    </w:p>
    <w:p w:rsidR="003E0FFE" w:rsidRPr="008915D9" w:rsidP="00873BFC" w14:paraId="249DA113" w14:textId="77777777">
      <w:pPr>
        <w:rPr>
          <w:sz w:val="22"/>
          <w:szCs w:val="22"/>
        </w:rPr>
      </w:pPr>
    </w:p>
    <w:p w:rsidR="003E0FFE" w:rsidRPr="008915D9" w:rsidP="00705A6A" w14:paraId="4E3924CD" w14:textId="77777777">
      <w:pPr>
        <w:pStyle w:val="Style1"/>
        <w:rPr>
          <w:szCs w:val="22"/>
        </w:rPr>
      </w:pPr>
      <w:bookmarkStart w:id="22" w:name="_Toc106703819"/>
      <w:r w:rsidRPr="008915D9">
        <w:rPr>
          <w:szCs w:val="22"/>
        </w:rPr>
        <w:t>Section A.16. Plans for Tabulation and Publication and Project Time Schedule</w:t>
      </w:r>
      <w:bookmarkEnd w:id="22"/>
    </w:p>
    <w:p w:rsidR="003E0FFE" w:rsidRPr="008915D9" w:rsidP="00873BFC" w14:paraId="0145B095" w14:textId="77777777">
      <w:pPr>
        <w:rPr>
          <w:sz w:val="22"/>
          <w:szCs w:val="22"/>
        </w:rPr>
      </w:pPr>
    </w:p>
    <w:p w:rsidR="003E0FFE" w:rsidRPr="008915D9" w:rsidP="00873BFC" w14:paraId="6993EB04" w14:textId="0FE2FE56">
      <w:pPr>
        <w:rPr>
          <w:sz w:val="22"/>
          <w:szCs w:val="22"/>
        </w:rPr>
      </w:pPr>
      <w:r w:rsidRPr="008915D9">
        <w:rPr>
          <w:sz w:val="22"/>
          <w:szCs w:val="22"/>
        </w:rPr>
        <w:t xml:space="preserve">The recruitment materials will be finalized and printed in the first month after OMB approval. Throughout the first to 36 months after OMB approval, recruitment materials, which include the participant information sheet and survey questionnaire, will be presented by the surveillance sites to eligible </w:t>
      </w:r>
      <w:r>
        <w:rPr>
          <w:sz w:val="22"/>
          <w:szCs w:val="22"/>
        </w:rPr>
        <w:t>patients and their parents or caregivers</w:t>
      </w:r>
      <w:r w:rsidRPr="008915D9">
        <w:rPr>
          <w:sz w:val="22"/>
          <w:szCs w:val="22"/>
        </w:rPr>
        <w:t xml:space="preserve">. Each site will aim to recruit 100 </w:t>
      </w:r>
      <w:r>
        <w:rPr>
          <w:sz w:val="22"/>
          <w:szCs w:val="22"/>
        </w:rPr>
        <w:t xml:space="preserve">patient </w:t>
      </w:r>
      <w:r w:rsidR="00B54B08">
        <w:rPr>
          <w:sz w:val="22"/>
          <w:szCs w:val="22"/>
        </w:rPr>
        <w:t>respondents</w:t>
      </w:r>
      <w:r w:rsidRPr="008915D9">
        <w:rPr>
          <w:sz w:val="22"/>
          <w:szCs w:val="22"/>
        </w:rPr>
        <w:t xml:space="preserve"> per year, for a total of 400 </w:t>
      </w:r>
      <w:r>
        <w:rPr>
          <w:sz w:val="22"/>
          <w:szCs w:val="22"/>
        </w:rPr>
        <w:t xml:space="preserve">patient </w:t>
      </w:r>
      <w:r w:rsidR="00B54B08">
        <w:rPr>
          <w:sz w:val="22"/>
          <w:szCs w:val="22"/>
        </w:rPr>
        <w:t>respondent</w:t>
      </w:r>
      <w:r w:rsidRPr="008915D9">
        <w:rPr>
          <w:sz w:val="22"/>
          <w:szCs w:val="22"/>
        </w:rPr>
        <w:t>s per year</w:t>
      </w:r>
      <w:r>
        <w:rPr>
          <w:sz w:val="22"/>
          <w:szCs w:val="22"/>
        </w:rPr>
        <w:t xml:space="preserve"> (totaling 700 </w:t>
      </w:r>
      <w:r w:rsidR="00B54B08">
        <w:rPr>
          <w:sz w:val="22"/>
          <w:szCs w:val="22"/>
        </w:rPr>
        <w:t>respondents</w:t>
      </w:r>
      <w:r>
        <w:rPr>
          <w:sz w:val="22"/>
          <w:szCs w:val="22"/>
        </w:rPr>
        <w:t xml:space="preserve"> per year, including parents of patients)</w:t>
      </w:r>
      <w:r w:rsidRPr="008915D9">
        <w:rPr>
          <w:sz w:val="22"/>
          <w:szCs w:val="22"/>
        </w:rPr>
        <w:t xml:space="preserve">. Thank you letters and $20 gift cards will be given or sent to all </w:t>
      </w:r>
      <w:r w:rsidR="00B54B08">
        <w:rPr>
          <w:sz w:val="22"/>
          <w:szCs w:val="22"/>
        </w:rPr>
        <w:t>patient respondents</w:t>
      </w:r>
      <w:r w:rsidRPr="008915D9">
        <w:rPr>
          <w:sz w:val="22"/>
          <w:szCs w:val="22"/>
        </w:rPr>
        <w:t xml:space="preserve"> upon completion of the survey</w:t>
      </w:r>
      <w:r>
        <w:rPr>
          <w:sz w:val="22"/>
          <w:szCs w:val="22"/>
        </w:rPr>
        <w:t xml:space="preserve"> (</w:t>
      </w:r>
      <w:r w:rsidR="00DF6AC0">
        <w:rPr>
          <w:sz w:val="22"/>
          <w:szCs w:val="22"/>
        </w:rPr>
        <w:t>one for adults and one for each pair of parent/child respondents</w:t>
      </w:r>
      <w:r>
        <w:rPr>
          <w:sz w:val="22"/>
          <w:szCs w:val="22"/>
        </w:rPr>
        <w:t>)</w:t>
      </w:r>
      <w:r w:rsidRPr="008915D9">
        <w:rPr>
          <w:sz w:val="22"/>
          <w:szCs w:val="22"/>
        </w:rPr>
        <w:t xml:space="preserve">. </w:t>
      </w:r>
      <w:r>
        <w:rPr>
          <w:sz w:val="22"/>
          <w:szCs w:val="22"/>
        </w:rPr>
        <w:t>Sites</w:t>
      </w:r>
      <w:r w:rsidRPr="008915D9">
        <w:rPr>
          <w:sz w:val="22"/>
          <w:szCs w:val="22"/>
        </w:rPr>
        <w:t xml:space="preserve"> will link, clean, and share</w:t>
      </w:r>
      <w:r>
        <w:rPr>
          <w:sz w:val="22"/>
          <w:szCs w:val="22"/>
        </w:rPr>
        <w:t xml:space="preserve"> data </w:t>
      </w:r>
      <w:r w:rsidRPr="008915D9">
        <w:rPr>
          <w:sz w:val="22"/>
          <w:szCs w:val="22"/>
        </w:rPr>
        <w:t>with CDC</w:t>
      </w:r>
      <w:r>
        <w:rPr>
          <w:sz w:val="22"/>
          <w:szCs w:val="22"/>
        </w:rPr>
        <w:t xml:space="preserve"> for further linkage to census data and cleaning</w:t>
      </w:r>
      <w:r w:rsidRPr="008915D9">
        <w:rPr>
          <w:sz w:val="22"/>
          <w:szCs w:val="22"/>
        </w:rPr>
        <w:t xml:space="preserve">. Finally, data analysis and </w:t>
      </w:r>
      <w:r w:rsidRPr="008915D9">
        <w:rPr>
          <w:sz w:val="22"/>
          <w:szCs w:val="22"/>
        </w:rPr>
        <w:t>dissemination of findings is expected to occur between 36 and 48 months after OMB approval, although some preliminary results may be disseminated sooner.</w:t>
      </w:r>
    </w:p>
    <w:p w:rsidR="003E0FFE" w:rsidRPr="008915D9" w:rsidP="00873BFC" w14:paraId="6AABDCB5" w14:textId="77777777">
      <w:pPr>
        <w:rPr>
          <w:sz w:val="22"/>
          <w:szCs w:val="22"/>
        </w:rPr>
      </w:pPr>
    </w:p>
    <w:tbl>
      <w:tblPr>
        <w:tblW w:w="8208" w:type="dxa"/>
        <w:jc w:val="center"/>
        <w:tblBorders>
          <w:top w:val="single" w:sz="18" w:space="0" w:color="333333"/>
          <w:left w:val="single" w:sz="18" w:space="0" w:color="333333"/>
          <w:bottom w:val="single" w:sz="18" w:space="0" w:color="333333"/>
          <w:right w:val="single" w:sz="18" w:space="0" w:color="333333"/>
          <w:insideH w:val="single" w:sz="6" w:space="0" w:color="auto"/>
          <w:insideV w:val="single" w:sz="6" w:space="0" w:color="auto"/>
        </w:tblBorders>
        <w:tblLook w:val="01E0"/>
      </w:tblPr>
      <w:tblGrid>
        <w:gridCol w:w="2991"/>
        <w:gridCol w:w="2802"/>
        <w:gridCol w:w="2415"/>
      </w:tblGrid>
      <w:tr w14:paraId="2FE653C7" w14:textId="77777777" w:rsidTr="3984E99C">
        <w:tblPrEx>
          <w:tblW w:w="8208" w:type="dxa"/>
          <w:jc w:val="center"/>
          <w:tblBorders>
            <w:top w:val="single" w:sz="18" w:space="0" w:color="333333"/>
            <w:left w:val="single" w:sz="18" w:space="0" w:color="333333"/>
            <w:bottom w:val="single" w:sz="18" w:space="0" w:color="333333"/>
            <w:right w:val="single" w:sz="18" w:space="0" w:color="333333"/>
            <w:insideH w:val="single" w:sz="6" w:space="0" w:color="auto"/>
            <w:insideV w:val="single" w:sz="6" w:space="0" w:color="auto"/>
          </w:tblBorders>
          <w:tblLook w:val="01E0"/>
        </w:tblPrEx>
        <w:trPr>
          <w:jc w:val="center"/>
        </w:trPr>
        <w:tc>
          <w:tcPr>
            <w:tcW w:w="8208" w:type="dxa"/>
            <w:gridSpan w:val="3"/>
            <w:tcBorders>
              <w:top w:val="single" w:sz="6" w:space="0" w:color="auto"/>
              <w:bottom w:val="single" w:sz="6" w:space="0" w:color="auto"/>
            </w:tcBorders>
            <w:shd w:val="clear" w:color="auto" w:fill="BFBFBF" w:themeFill="background1" w:themeFillShade="BF"/>
          </w:tcPr>
          <w:p w:rsidR="003E0FFE" w:rsidRPr="008915D9" w:rsidP="003E680F" w14:paraId="5E3EF267" w14:textId="77777777">
            <w:pPr>
              <w:spacing w:before="48" w:beforeLines="20" w:after="48" w:afterLines="20"/>
              <w:ind w:left="33"/>
              <w:jc w:val="center"/>
              <w:rPr>
                <w:b/>
                <w:sz w:val="22"/>
                <w:szCs w:val="22"/>
              </w:rPr>
            </w:pPr>
            <w:r w:rsidRPr="008915D9">
              <w:rPr>
                <w:b/>
                <w:sz w:val="22"/>
                <w:szCs w:val="22"/>
              </w:rPr>
              <w:t xml:space="preserve">A.16.—Project Time Schedule </w:t>
            </w:r>
          </w:p>
        </w:tc>
      </w:tr>
      <w:tr w14:paraId="61080A3E" w14:textId="77777777" w:rsidTr="3984E99C">
        <w:tblPrEx>
          <w:tblW w:w="8208" w:type="dxa"/>
          <w:jc w:val="center"/>
          <w:tblLook w:val="01E0"/>
        </w:tblPrEx>
        <w:trPr>
          <w:jc w:val="center"/>
        </w:trPr>
        <w:tc>
          <w:tcPr>
            <w:tcW w:w="8208" w:type="dxa"/>
            <w:gridSpan w:val="3"/>
            <w:tcBorders>
              <w:top w:val="single" w:sz="6" w:space="0" w:color="auto"/>
              <w:bottom w:val="single" w:sz="6" w:space="0" w:color="auto"/>
            </w:tcBorders>
            <w:shd w:val="clear" w:color="auto" w:fill="BFBFBF" w:themeFill="background1" w:themeFillShade="BF"/>
          </w:tcPr>
          <w:p w:rsidR="003E0FFE" w:rsidRPr="008915D9" w:rsidP="003E680F" w14:paraId="3228C486" w14:textId="77777777">
            <w:pPr>
              <w:spacing w:before="48" w:beforeLines="20" w:after="48" w:afterLines="20"/>
              <w:ind w:left="33"/>
              <w:jc w:val="center"/>
              <w:rPr>
                <w:b/>
                <w:sz w:val="22"/>
                <w:szCs w:val="22"/>
              </w:rPr>
            </w:pPr>
          </w:p>
        </w:tc>
      </w:tr>
      <w:tr w14:paraId="19574E81" w14:textId="77777777" w:rsidTr="3984E99C">
        <w:tblPrEx>
          <w:tblW w:w="8208" w:type="dxa"/>
          <w:jc w:val="center"/>
          <w:tblLook w:val="01E0"/>
        </w:tblPrEx>
        <w:trPr>
          <w:jc w:val="center"/>
        </w:trPr>
        <w:tc>
          <w:tcPr>
            <w:tcW w:w="2991" w:type="dxa"/>
            <w:tcBorders>
              <w:top w:val="single" w:sz="6" w:space="0" w:color="auto"/>
              <w:bottom w:val="single" w:sz="6" w:space="0" w:color="auto"/>
            </w:tcBorders>
            <w:shd w:val="clear" w:color="auto" w:fill="BFBFBF" w:themeFill="background1" w:themeFillShade="BF"/>
          </w:tcPr>
          <w:p w:rsidR="003E0FFE" w:rsidRPr="008915D9" w:rsidP="00131D1E" w14:paraId="0C7DC3E5" w14:textId="77777777">
            <w:pPr>
              <w:spacing w:before="48" w:after="48"/>
              <w:ind w:left="33"/>
              <w:jc w:val="center"/>
              <w:rPr>
                <w:b/>
                <w:bCs/>
                <w:sz w:val="22"/>
                <w:szCs w:val="22"/>
              </w:rPr>
            </w:pPr>
            <w:r w:rsidRPr="008915D9">
              <w:rPr>
                <w:b/>
                <w:bCs/>
                <w:sz w:val="22"/>
                <w:szCs w:val="22"/>
              </w:rPr>
              <w:t>Activity</w:t>
            </w:r>
          </w:p>
        </w:tc>
        <w:tc>
          <w:tcPr>
            <w:tcW w:w="5217" w:type="dxa"/>
            <w:gridSpan w:val="2"/>
            <w:tcBorders>
              <w:top w:val="single" w:sz="6" w:space="0" w:color="auto"/>
              <w:bottom w:val="single" w:sz="6" w:space="0" w:color="auto"/>
            </w:tcBorders>
            <w:shd w:val="clear" w:color="auto" w:fill="BFBFBF" w:themeFill="background1" w:themeFillShade="BF"/>
          </w:tcPr>
          <w:p w:rsidR="003E0FFE" w:rsidRPr="008915D9" w:rsidP="00131D1E" w14:paraId="4FD0D3B9" w14:textId="77777777">
            <w:pPr>
              <w:spacing w:before="48" w:after="48"/>
              <w:ind w:left="33"/>
              <w:jc w:val="center"/>
              <w:rPr>
                <w:b/>
                <w:bCs/>
                <w:sz w:val="22"/>
                <w:szCs w:val="22"/>
              </w:rPr>
            </w:pPr>
            <w:r w:rsidRPr="008915D9">
              <w:rPr>
                <w:b/>
                <w:bCs/>
                <w:sz w:val="22"/>
                <w:szCs w:val="22"/>
              </w:rPr>
              <w:t>Timeframe</w:t>
            </w:r>
          </w:p>
        </w:tc>
      </w:tr>
      <w:tr w14:paraId="61EB323B" w14:textId="77777777" w:rsidTr="3984E99C">
        <w:tblPrEx>
          <w:tblW w:w="8208" w:type="dxa"/>
          <w:jc w:val="center"/>
          <w:tblLook w:val="01E0"/>
        </w:tblPrEx>
        <w:trPr>
          <w:jc w:val="center"/>
        </w:trPr>
        <w:tc>
          <w:tcPr>
            <w:tcW w:w="2991" w:type="dxa"/>
            <w:vMerge w:val="restart"/>
            <w:tcBorders>
              <w:top w:val="single" w:sz="6" w:space="0" w:color="auto"/>
              <w:bottom w:val="single" w:sz="6" w:space="0" w:color="auto"/>
            </w:tcBorders>
            <w:shd w:val="clear" w:color="auto" w:fill="auto"/>
          </w:tcPr>
          <w:p w:rsidR="003E0FFE" w:rsidRPr="008915D9" w:rsidP="003E680F" w14:paraId="456B6CBA" w14:textId="235EBBC7">
            <w:pPr>
              <w:spacing w:before="48" w:beforeLines="20" w:after="48" w:afterLines="20"/>
              <w:ind w:left="33"/>
              <w:rPr>
                <w:sz w:val="22"/>
                <w:szCs w:val="22"/>
              </w:rPr>
            </w:pPr>
            <w:r w:rsidRPr="008915D9">
              <w:rPr>
                <w:sz w:val="22"/>
                <w:szCs w:val="22"/>
              </w:rPr>
              <w:t xml:space="preserve">Recruit </w:t>
            </w:r>
            <w:r w:rsidR="00B54B08">
              <w:rPr>
                <w:sz w:val="22"/>
                <w:szCs w:val="22"/>
              </w:rPr>
              <w:t>Patients and Caregivers</w:t>
            </w:r>
          </w:p>
        </w:tc>
        <w:tc>
          <w:tcPr>
            <w:tcW w:w="2802" w:type="dxa"/>
            <w:tcBorders>
              <w:top w:val="single" w:sz="6" w:space="0" w:color="auto"/>
              <w:bottom w:val="single" w:sz="6" w:space="0" w:color="auto"/>
            </w:tcBorders>
            <w:shd w:val="clear" w:color="auto" w:fill="auto"/>
          </w:tcPr>
          <w:p w:rsidR="003E0FFE" w:rsidRPr="008915D9" w:rsidP="003E680F" w14:paraId="4536E872" w14:textId="77777777">
            <w:pPr>
              <w:spacing w:before="48" w:beforeLines="20" w:after="48" w:afterLines="20"/>
              <w:ind w:left="33"/>
              <w:rPr>
                <w:sz w:val="22"/>
                <w:szCs w:val="22"/>
              </w:rPr>
            </w:pPr>
            <w:r w:rsidRPr="008915D9">
              <w:rPr>
                <w:sz w:val="22"/>
                <w:szCs w:val="22"/>
              </w:rPr>
              <w:t>Prepare and print recruitment materials for distribution</w:t>
            </w:r>
          </w:p>
        </w:tc>
        <w:tc>
          <w:tcPr>
            <w:tcW w:w="2415" w:type="dxa"/>
            <w:tcBorders>
              <w:top w:val="single" w:sz="6" w:space="0" w:color="auto"/>
              <w:bottom w:val="single" w:sz="6" w:space="0" w:color="auto"/>
            </w:tcBorders>
            <w:shd w:val="clear" w:color="auto" w:fill="auto"/>
          </w:tcPr>
          <w:p w:rsidR="003E0FFE" w:rsidRPr="008915D9" w:rsidP="003E680F" w14:paraId="66804530" w14:textId="77777777">
            <w:pPr>
              <w:spacing w:before="48" w:beforeLines="20" w:after="48" w:afterLines="20"/>
              <w:ind w:left="33"/>
              <w:rPr>
                <w:sz w:val="22"/>
                <w:szCs w:val="22"/>
              </w:rPr>
            </w:pPr>
            <w:r w:rsidRPr="008915D9">
              <w:rPr>
                <w:sz w:val="22"/>
                <w:szCs w:val="22"/>
              </w:rPr>
              <w:t>1 month after OMB approval</w:t>
            </w:r>
          </w:p>
        </w:tc>
      </w:tr>
      <w:tr w14:paraId="141D74DB" w14:textId="77777777" w:rsidTr="3984E99C">
        <w:tblPrEx>
          <w:tblW w:w="8208" w:type="dxa"/>
          <w:jc w:val="center"/>
          <w:tblLook w:val="01E0"/>
        </w:tblPrEx>
        <w:trPr>
          <w:jc w:val="center"/>
        </w:trPr>
        <w:tc>
          <w:tcPr>
            <w:tcW w:w="2991" w:type="dxa"/>
            <w:vMerge/>
          </w:tcPr>
          <w:p w:rsidR="003E0FFE" w:rsidRPr="008915D9" w:rsidP="00746396" w14:paraId="16F2DB93" w14:textId="77777777">
            <w:pPr>
              <w:spacing w:before="48" w:beforeLines="20" w:after="48" w:afterLines="20"/>
              <w:ind w:left="33"/>
              <w:rPr>
                <w:sz w:val="22"/>
                <w:szCs w:val="22"/>
              </w:rPr>
            </w:pPr>
          </w:p>
        </w:tc>
        <w:tc>
          <w:tcPr>
            <w:tcW w:w="2802" w:type="dxa"/>
            <w:tcBorders>
              <w:top w:val="single" w:sz="6" w:space="0" w:color="auto"/>
              <w:bottom w:val="single" w:sz="6" w:space="0" w:color="auto"/>
            </w:tcBorders>
            <w:shd w:val="clear" w:color="auto" w:fill="auto"/>
          </w:tcPr>
          <w:p w:rsidR="003E0FFE" w:rsidRPr="008915D9" w:rsidP="00746396" w14:paraId="7DDE5D95" w14:textId="64B6F8F2">
            <w:pPr>
              <w:spacing w:before="48" w:beforeLines="20" w:after="48" w:afterLines="20"/>
              <w:ind w:left="33"/>
              <w:rPr>
                <w:sz w:val="22"/>
                <w:szCs w:val="22"/>
              </w:rPr>
            </w:pPr>
            <w:r w:rsidRPr="008915D9">
              <w:rPr>
                <w:sz w:val="22"/>
                <w:szCs w:val="22"/>
              </w:rPr>
              <w:t xml:space="preserve">Recruit </w:t>
            </w:r>
            <w:r w:rsidR="00B54B08">
              <w:rPr>
                <w:sz w:val="22"/>
                <w:szCs w:val="22"/>
              </w:rPr>
              <w:t>patients/caregivers</w:t>
            </w:r>
            <w:r w:rsidRPr="008915D9">
              <w:rPr>
                <w:sz w:val="22"/>
                <w:szCs w:val="22"/>
              </w:rPr>
              <w:t xml:space="preserve">. Share participant information sheet with eligible </w:t>
            </w:r>
            <w:r w:rsidR="00B54B08">
              <w:rPr>
                <w:sz w:val="22"/>
                <w:szCs w:val="22"/>
              </w:rPr>
              <w:t>patients and their caregivers.</w:t>
            </w:r>
          </w:p>
        </w:tc>
        <w:tc>
          <w:tcPr>
            <w:tcW w:w="2415" w:type="dxa"/>
            <w:tcBorders>
              <w:top w:val="single" w:sz="6" w:space="0" w:color="auto"/>
              <w:bottom w:val="single" w:sz="6" w:space="0" w:color="auto"/>
            </w:tcBorders>
            <w:shd w:val="clear" w:color="auto" w:fill="auto"/>
          </w:tcPr>
          <w:p w:rsidR="003E0FFE" w:rsidRPr="008915D9" w:rsidP="00746396" w14:paraId="56B90C65" w14:textId="77777777">
            <w:pPr>
              <w:spacing w:before="48" w:beforeLines="20" w:after="48" w:afterLines="20"/>
              <w:ind w:left="33"/>
              <w:rPr>
                <w:sz w:val="22"/>
                <w:szCs w:val="22"/>
              </w:rPr>
            </w:pPr>
            <w:r w:rsidRPr="008915D9">
              <w:rPr>
                <w:sz w:val="22"/>
                <w:szCs w:val="22"/>
              </w:rPr>
              <w:t>1–36 months after OMB approval</w:t>
            </w:r>
          </w:p>
        </w:tc>
      </w:tr>
      <w:tr w14:paraId="39664F36" w14:textId="77777777" w:rsidTr="3984E99C">
        <w:tblPrEx>
          <w:tblW w:w="8208" w:type="dxa"/>
          <w:jc w:val="center"/>
          <w:tblLook w:val="01E0"/>
        </w:tblPrEx>
        <w:trPr>
          <w:jc w:val="center"/>
        </w:trPr>
        <w:tc>
          <w:tcPr>
            <w:tcW w:w="2991" w:type="dxa"/>
            <w:vMerge/>
          </w:tcPr>
          <w:p w:rsidR="003E0FFE" w:rsidRPr="008915D9" w:rsidP="00C725D3" w14:paraId="4918BA31" w14:textId="77777777">
            <w:pPr>
              <w:spacing w:before="48" w:beforeLines="20" w:after="48" w:afterLines="20"/>
              <w:ind w:left="33"/>
              <w:rPr>
                <w:sz w:val="22"/>
                <w:szCs w:val="22"/>
              </w:rPr>
            </w:pPr>
          </w:p>
        </w:tc>
        <w:tc>
          <w:tcPr>
            <w:tcW w:w="2802" w:type="dxa"/>
            <w:tcBorders>
              <w:top w:val="single" w:sz="6" w:space="0" w:color="auto"/>
              <w:bottom w:val="single" w:sz="6" w:space="0" w:color="auto"/>
            </w:tcBorders>
            <w:shd w:val="clear" w:color="auto" w:fill="auto"/>
          </w:tcPr>
          <w:p w:rsidR="003E0FFE" w:rsidRPr="008915D9" w:rsidP="00C725D3" w14:paraId="54ABD253" w14:textId="56BF652D">
            <w:pPr>
              <w:spacing w:before="48" w:beforeLines="20" w:after="48" w:afterLines="20"/>
              <w:ind w:left="33"/>
              <w:rPr>
                <w:sz w:val="22"/>
                <w:szCs w:val="22"/>
              </w:rPr>
            </w:pPr>
            <w:r w:rsidRPr="008915D9">
              <w:rPr>
                <w:sz w:val="22"/>
                <w:szCs w:val="22"/>
              </w:rPr>
              <w:t>Provide thank you letters and gift cards to respondents</w:t>
            </w:r>
            <w:r w:rsidR="00DF6AC0">
              <w:rPr>
                <w:sz w:val="22"/>
                <w:szCs w:val="22"/>
              </w:rPr>
              <w:t xml:space="preserve"> (one for each adult respondent, and one for each parent/child pair of respondents)</w:t>
            </w:r>
          </w:p>
        </w:tc>
        <w:tc>
          <w:tcPr>
            <w:tcW w:w="2415" w:type="dxa"/>
            <w:tcBorders>
              <w:top w:val="single" w:sz="6" w:space="0" w:color="auto"/>
              <w:bottom w:val="single" w:sz="6" w:space="0" w:color="auto"/>
            </w:tcBorders>
            <w:shd w:val="clear" w:color="auto" w:fill="auto"/>
          </w:tcPr>
          <w:p w:rsidR="003E0FFE" w:rsidRPr="008915D9" w:rsidP="00C725D3" w14:paraId="5EB0A2E7" w14:textId="77777777">
            <w:pPr>
              <w:spacing w:before="48" w:beforeLines="20" w:after="48" w:afterLines="20"/>
              <w:ind w:left="33"/>
              <w:rPr>
                <w:sz w:val="22"/>
                <w:szCs w:val="22"/>
              </w:rPr>
            </w:pPr>
            <w:r w:rsidRPr="008915D9">
              <w:rPr>
                <w:sz w:val="22"/>
                <w:szCs w:val="22"/>
              </w:rPr>
              <w:t>1-36 months after OMB approval</w:t>
            </w:r>
          </w:p>
        </w:tc>
      </w:tr>
      <w:tr w14:paraId="5B673ADC" w14:textId="77777777" w:rsidTr="3984E99C">
        <w:tblPrEx>
          <w:tblW w:w="8208" w:type="dxa"/>
          <w:jc w:val="center"/>
          <w:tblLook w:val="01E0"/>
        </w:tblPrEx>
        <w:trPr>
          <w:jc w:val="center"/>
        </w:trPr>
        <w:tc>
          <w:tcPr>
            <w:tcW w:w="2991" w:type="dxa"/>
            <w:vMerge w:val="restart"/>
            <w:tcBorders>
              <w:top w:val="single" w:sz="6" w:space="0" w:color="auto"/>
            </w:tcBorders>
            <w:shd w:val="clear" w:color="auto" w:fill="auto"/>
          </w:tcPr>
          <w:p w:rsidR="003E0FFE" w:rsidRPr="008915D9" w:rsidP="00C725D3" w14:paraId="24F9958C" w14:textId="77777777">
            <w:pPr>
              <w:rPr>
                <w:sz w:val="22"/>
                <w:szCs w:val="22"/>
              </w:rPr>
            </w:pPr>
            <w:r w:rsidRPr="008915D9">
              <w:rPr>
                <w:sz w:val="22"/>
                <w:szCs w:val="22"/>
              </w:rPr>
              <w:t>Analyze and Report Data from Surveillance Project</w:t>
            </w:r>
          </w:p>
          <w:p w:rsidR="003E0FFE" w:rsidRPr="008915D9" w:rsidP="00C725D3" w14:paraId="15EAE7EA" w14:textId="77777777">
            <w:pPr>
              <w:tabs>
                <w:tab w:val="left" w:pos="2775"/>
              </w:tabs>
              <w:spacing w:before="48" w:beforeLines="20" w:after="48" w:afterLines="20"/>
              <w:ind w:left="33"/>
              <w:rPr>
                <w:sz w:val="22"/>
                <w:szCs w:val="22"/>
              </w:rPr>
            </w:pPr>
            <w:r w:rsidRPr="008915D9">
              <w:rPr>
                <w:bCs/>
                <w:sz w:val="22"/>
                <w:szCs w:val="22"/>
              </w:rPr>
              <w:tab/>
            </w:r>
          </w:p>
        </w:tc>
        <w:tc>
          <w:tcPr>
            <w:tcW w:w="2802" w:type="dxa"/>
            <w:tcBorders>
              <w:top w:val="single" w:sz="6" w:space="0" w:color="auto"/>
              <w:bottom w:val="single" w:sz="6" w:space="0" w:color="auto"/>
            </w:tcBorders>
            <w:shd w:val="clear" w:color="auto" w:fill="auto"/>
          </w:tcPr>
          <w:p w:rsidR="003E0FFE" w:rsidRPr="008915D9" w:rsidP="00C725D3" w14:paraId="6FCFBD7E" w14:textId="6F59F5AA">
            <w:pPr>
              <w:spacing w:before="48" w:beforeLines="20" w:after="48" w:afterLines="20"/>
              <w:ind w:left="33"/>
              <w:rPr>
                <w:sz w:val="22"/>
                <w:szCs w:val="22"/>
              </w:rPr>
            </w:pPr>
            <w:r w:rsidRPr="008915D9">
              <w:rPr>
                <w:sz w:val="22"/>
                <w:szCs w:val="22"/>
              </w:rPr>
              <w:t>Sites link survey data and clinical data, conduct initial data cleaning</w:t>
            </w:r>
            <w:r w:rsidR="000F7C60">
              <w:rPr>
                <w:sz w:val="22"/>
                <w:szCs w:val="22"/>
              </w:rPr>
              <w:t xml:space="preserve"> (including separation of date of birth, address, and email address from main shared data)</w:t>
            </w:r>
            <w:r w:rsidRPr="008915D9">
              <w:rPr>
                <w:sz w:val="22"/>
                <w:szCs w:val="22"/>
              </w:rPr>
              <w:t>, and share data with CDC</w:t>
            </w:r>
          </w:p>
        </w:tc>
        <w:tc>
          <w:tcPr>
            <w:tcW w:w="2415" w:type="dxa"/>
            <w:tcBorders>
              <w:top w:val="single" w:sz="6" w:space="0" w:color="auto"/>
              <w:bottom w:val="single" w:sz="6" w:space="0" w:color="auto"/>
            </w:tcBorders>
            <w:shd w:val="clear" w:color="auto" w:fill="auto"/>
          </w:tcPr>
          <w:p w:rsidR="003E0FFE" w:rsidRPr="008915D9" w:rsidP="00C725D3" w14:paraId="0FA5818A" w14:textId="77777777">
            <w:pPr>
              <w:spacing w:before="48" w:beforeLines="20" w:after="48" w:afterLines="20"/>
              <w:ind w:left="33"/>
              <w:rPr>
                <w:sz w:val="22"/>
                <w:szCs w:val="22"/>
              </w:rPr>
            </w:pPr>
            <w:r w:rsidRPr="008915D9">
              <w:rPr>
                <w:sz w:val="22"/>
                <w:szCs w:val="22"/>
              </w:rPr>
              <w:t>3-36 months after OMB approval</w:t>
            </w:r>
          </w:p>
        </w:tc>
      </w:tr>
      <w:tr w14:paraId="3FE51F9C" w14:textId="77777777" w:rsidTr="3984E99C">
        <w:tblPrEx>
          <w:tblW w:w="8208" w:type="dxa"/>
          <w:jc w:val="center"/>
          <w:tblLook w:val="01E0"/>
        </w:tblPrEx>
        <w:trPr>
          <w:jc w:val="center"/>
        </w:trPr>
        <w:tc>
          <w:tcPr>
            <w:tcW w:w="2991" w:type="dxa"/>
            <w:vMerge/>
          </w:tcPr>
          <w:p w:rsidR="003E0FFE" w:rsidRPr="008915D9" w:rsidP="00C725D3" w14:paraId="2249FED0" w14:textId="77777777">
            <w:pPr>
              <w:tabs>
                <w:tab w:val="left" w:pos="2775"/>
              </w:tabs>
              <w:spacing w:before="48" w:beforeLines="20" w:after="48" w:afterLines="20"/>
              <w:ind w:left="33"/>
              <w:rPr>
                <w:sz w:val="22"/>
                <w:szCs w:val="22"/>
              </w:rPr>
            </w:pPr>
          </w:p>
        </w:tc>
        <w:tc>
          <w:tcPr>
            <w:tcW w:w="2802" w:type="dxa"/>
            <w:tcBorders>
              <w:top w:val="single" w:sz="6" w:space="0" w:color="auto"/>
              <w:bottom w:val="single" w:sz="6" w:space="0" w:color="auto"/>
            </w:tcBorders>
            <w:shd w:val="clear" w:color="auto" w:fill="auto"/>
          </w:tcPr>
          <w:p w:rsidR="003E0FFE" w:rsidRPr="008915D9" w:rsidP="00C725D3" w14:paraId="0BC132D4" w14:textId="7D16AFF4">
            <w:pPr>
              <w:spacing w:before="48" w:beforeLines="20" w:after="48" w:afterLines="20"/>
              <w:ind w:left="33"/>
              <w:rPr>
                <w:sz w:val="22"/>
                <w:szCs w:val="22"/>
              </w:rPr>
            </w:pPr>
            <w:r w:rsidRPr="008915D9">
              <w:rPr>
                <w:sz w:val="22"/>
                <w:szCs w:val="22"/>
              </w:rPr>
              <w:t>CDC link</w:t>
            </w:r>
            <w:r w:rsidR="004F3283">
              <w:rPr>
                <w:sz w:val="22"/>
                <w:szCs w:val="22"/>
              </w:rPr>
              <w:t>s</w:t>
            </w:r>
            <w:r w:rsidRPr="008915D9">
              <w:rPr>
                <w:sz w:val="22"/>
                <w:szCs w:val="22"/>
              </w:rPr>
              <w:t xml:space="preserve"> data with census tract data, finalize cleaning</w:t>
            </w:r>
            <w:r>
              <w:rPr>
                <w:sz w:val="22"/>
                <w:szCs w:val="22"/>
              </w:rPr>
              <w:t xml:space="preserve"> including deidentification of address data</w:t>
            </w:r>
            <w:r w:rsidRPr="008915D9">
              <w:rPr>
                <w:sz w:val="22"/>
                <w:szCs w:val="22"/>
              </w:rPr>
              <w:t>, and merge data sets across sites</w:t>
            </w:r>
          </w:p>
        </w:tc>
        <w:tc>
          <w:tcPr>
            <w:tcW w:w="2415" w:type="dxa"/>
            <w:tcBorders>
              <w:top w:val="single" w:sz="6" w:space="0" w:color="auto"/>
              <w:bottom w:val="single" w:sz="6" w:space="0" w:color="auto"/>
            </w:tcBorders>
            <w:shd w:val="clear" w:color="auto" w:fill="auto"/>
          </w:tcPr>
          <w:p w:rsidR="003E0FFE" w:rsidRPr="008915D9" w:rsidP="00C725D3" w14:paraId="0DC7AA83" w14:textId="77777777">
            <w:pPr>
              <w:spacing w:before="48" w:beforeLines="20" w:after="48" w:afterLines="20"/>
              <w:ind w:left="33"/>
              <w:rPr>
                <w:sz w:val="22"/>
                <w:szCs w:val="22"/>
              </w:rPr>
            </w:pPr>
            <w:r w:rsidRPr="008915D9">
              <w:rPr>
                <w:sz w:val="22"/>
                <w:szCs w:val="22"/>
              </w:rPr>
              <w:t>3-40 months after OMB approval</w:t>
            </w:r>
          </w:p>
        </w:tc>
      </w:tr>
      <w:tr w14:paraId="6CE3E2A4" w14:textId="77777777" w:rsidTr="3984E99C">
        <w:tblPrEx>
          <w:tblW w:w="8208" w:type="dxa"/>
          <w:jc w:val="center"/>
          <w:tblLook w:val="01E0"/>
        </w:tblPrEx>
        <w:trPr>
          <w:jc w:val="center"/>
        </w:trPr>
        <w:tc>
          <w:tcPr>
            <w:tcW w:w="2991" w:type="dxa"/>
            <w:vMerge/>
          </w:tcPr>
          <w:p w:rsidR="003E0FFE" w:rsidRPr="008915D9" w:rsidP="00C725D3" w14:paraId="53FA6A1B" w14:textId="77777777">
            <w:pPr>
              <w:spacing w:before="48" w:beforeLines="20" w:after="48" w:afterLines="20"/>
              <w:ind w:left="33"/>
              <w:rPr>
                <w:sz w:val="22"/>
                <w:szCs w:val="22"/>
              </w:rPr>
            </w:pPr>
          </w:p>
        </w:tc>
        <w:tc>
          <w:tcPr>
            <w:tcW w:w="2802" w:type="dxa"/>
            <w:tcBorders>
              <w:top w:val="single" w:sz="6" w:space="0" w:color="auto"/>
              <w:bottom w:val="single" w:sz="6" w:space="0" w:color="auto"/>
            </w:tcBorders>
            <w:shd w:val="clear" w:color="auto" w:fill="auto"/>
          </w:tcPr>
          <w:p w:rsidR="003E0FFE" w:rsidRPr="008915D9" w:rsidP="00C725D3" w14:paraId="48C55DC2" w14:textId="77777777">
            <w:pPr>
              <w:spacing w:before="48" w:beforeLines="20" w:after="48" w:afterLines="20"/>
              <w:ind w:left="33"/>
              <w:rPr>
                <w:sz w:val="22"/>
                <w:szCs w:val="22"/>
              </w:rPr>
            </w:pPr>
            <w:r w:rsidRPr="008915D9">
              <w:rPr>
                <w:sz w:val="22"/>
                <w:szCs w:val="22"/>
              </w:rPr>
              <w:t>Analyze data, draft reports, and present findings</w:t>
            </w:r>
          </w:p>
        </w:tc>
        <w:tc>
          <w:tcPr>
            <w:tcW w:w="2415" w:type="dxa"/>
            <w:tcBorders>
              <w:top w:val="single" w:sz="6" w:space="0" w:color="auto"/>
              <w:bottom w:val="single" w:sz="6" w:space="0" w:color="auto"/>
            </w:tcBorders>
            <w:shd w:val="clear" w:color="auto" w:fill="auto"/>
          </w:tcPr>
          <w:p w:rsidR="003E0FFE" w:rsidRPr="008915D9" w:rsidP="00C725D3" w14:paraId="56AAAE0C" w14:textId="77777777">
            <w:pPr>
              <w:spacing w:before="48" w:beforeLines="20" w:after="48" w:afterLines="20"/>
              <w:ind w:left="33"/>
              <w:rPr>
                <w:sz w:val="22"/>
                <w:szCs w:val="22"/>
              </w:rPr>
            </w:pPr>
            <w:r w:rsidRPr="008915D9">
              <w:rPr>
                <w:sz w:val="22"/>
                <w:szCs w:val="22"/>
              </w:rPr>
              <w:t>40-48 months after OMB approval</w:t>
            </w:r>
          </w:p>
        </w:tc>
      </w:tr>
    </w:tbl>
    <w:p w:rsidR="003E0FFE" w:rsidRPr="008915D9" w:rsidP="00873BFC" w14:paraId="7D7A9713" w14:textId="77777777">
      <w:pPr>
        <w:rPr>
          <w:sz w:val="22"/>
          <w:szCs w:val="22"/>
        </w:rPr>
      </w:pPr>
    </w:p>
    <w:p w:rsidR="003E0FFE" w:rsidRPr="008915D9" w:rsidP="00705A6A" w14:paraId="6302AA83" w14:textId="77777777">
      <w:pPr>
        <w:pStyle w:val="Style1"/>
        <w:rPr>
          <w:szCs w:val="22"/>
        </w:rPr>
      </w:pPr>
      <w:bookmarkStart w:id="23" w:name="_Toc106703820"/>
      <w:r w:rsidRPr="008915D9">
        <w:rPr>
          <w:szCs w:val="22"/>
        </w:rPr>
        <w:t>Section A.17. Reason(s) Display of OMB Expiration Date Is Inappropriate</w:t>
      </w:r>
      <w:bookmarkEnd w:id="23"/>
    </w:p>
    <w:p w:rsidR="003E0FFE" w:rsidRPr="008915D9" w:rsidP="00873BFC" w14:paraId="7854521B" w14:textId="77777777">
      <w:pPr>
        <w:ind w:left="360"/>
        <w:rPr>
          <w:sz w:val="22"/>
          <w:szCs w:val="22"/>
        </w:rPr>
      </w:pPr>
      <w:r w:rsidRPr="008915D9">
        <w:rPr>
          <w:sz w:val="22"/>
          <w:szCs w:val="22"/>
        </w:rPr>
        <w:t xml:space="preserve"> </w:t>
      </w:r>
    </w:p>
    <w:p w:rsidR="003E0FFE" w:rsidRPr="008915D9" w:rsidP="00873BFC" w14:paraId="55DED2F0" w14:textId="77777777">
      <w:pPr>
        <w:rPr>
          <w:sz w:val="22"/>
          <w:szCs w:val="22"/>
        </w:rPr>
      </w:pPr>
      <w:r w:rsidRPr="008915D9">
        <w:rPr>
          <w:sz w:val="22"/>
          <w:szCs w:val="22"/>
        </w:rPr>
        <w:t>NA</w:t>
      </w:r>
    </w:p>
    <w:p w:rsidR="003E0FFE" w:rsidRPr="008915D9" w:rsidP="00873BFC" w14:paraId="604F2836" w14:textId="77777777">
      <w:pPr>
        <w:rPr>
          <w:sz w:val="22"/>
          <w:szCs w:val="22"/>
        </w:rPr>
      </w:pPr>
    </w:p>
    <w:p w:rsidR="003E0FFE" w:rsidRPr="008915D9" w:rsidP="00873BFC" w14:paraId="57C69674" w14:textId="77777777">
      <w:pPr>
        <w:rPr>
          <w:sz w:val="22"/>
          <w:szCs w:val="22"/>
        </w:rPr>
      </w:pPr>
    </w:p>
    <w:p w:rsidR="003E0FFE" w:rsidRPr="008915D9" w:rsidP="00705A6A" w14:paraId="7886BD20" w14:textId="77777777">
      <w:pPr>
        <w:pStyle w:val="Style1"/>
        <w:rPr>
          <w:szCs w:val="22"/>
        </w:rPr>
      </w:pPr>
    </w:p>
    <w:p w:rsidR="003E0FFE" w:rsidRPr="008915D9" w:rsidP="00705A6A" w14:paraId="64125E6C" w14:textId="77777777">
      <w:pPr>
        <w:pStyle w:val="Style1"/>
        <w:rPr>
          <w:szCs w:val="22"/>
        </w:rPr>
      </w:pPr>
      <w:bookmarkStart w:id="24" w:name="_Toc106703821"/>
      <w:r w:rsidRPr="008915D9">
        <w:rPr>
          <w:szCs w:val="22"/>
        </w:rPr>
        <w:t>Section A.18. Exceptions to Certification for Paperwork Reduction Act Submissions</w:t>
      </w:r>
      <w:bookmarkEnd w:id="24"/>
    </w:p>
    <w:p w:rsidR="003E0FFE" w:rsidRPr="008915D9" w:rsidP="00873BFC" w14:paraId="2FBD415B" w14:textId="77777777">
      <w:pPr>
        <w:rPr>
          <w:sz w:val="22"/>
          <w:szCs w:val="22"/>
        </w:rPr>
      </w:pPr>
    </w:p>
    <w:p w:rsidR="003E0FFE" w:rsidRPr="008915D9" w:rsidP="00873BFC" w14:paraId="0A811E06" w14:textId="77777777">
      <w:pPr>
        <w:rPr>
          <w:sz w:val="22"/>
          <w:szCs w:val="22"/>
        </w:rPr>
      </w:pPr>
      <w:r w:rsidRPr="008915D9">
        <w:rPr>
          <w:sz w:val="22"/>
          <w:szCs w:val="22"/>
        </w:rPr>
        <w:t>There are no exceptions to the certification.</w:t>
      </w:r>
    </w:p>
    <w:p w:rsidR="003E0FFE" w:rsidRPr="008915D9" w14:paraId="1669771E" w14:textId="77777777">
      <w:pPr>
        <w:rPr>
          <w:sz w:val="22"/>
          <w:szCs w:val="22"/>
        </w:rPr>
      </w:pPr>
    </w:p>
    <w:p w:rsidR="003E0FFE" w14:paraId="670B7072" w14:textId="77777777">
      <w:pPr>
        <w:rPr>
          <w:sz w:val="22"/>
          <w:szCs w:val="22"/>
        </w:rPr>
      </w:pPr>
    </w:p>
    <w:p w:rsidR="003E0FFE" w14:paraId="3CE5A83F" w14:textId="77777777">
      <w:pPr>
        <w:rPr>
          <w:sz w:val="22"/>
          <w:szCs w:val="22"/>
        </w:rPr>
      </w:pPr>
    </w:p>
    <w:p w:rsidR="003E0FFE" w:rsidRPr="008915D9" w14:paraId="47A26983" w14:textId="77777777">
      <w:pPr>
        <w:rPr>
          <w:sz w:val="22"/>
          <w:szCs w:val="22"/>
        </w:rPr>
      </w:pPr>
    </w:p>
    <w:p w:rsidR="004E3C34" w14:paraId="3CB69677" w14:textId="77777777"/>
    <w:sectPr w:rsidSect="003E0FFE">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DJHP B+ Melior">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99589254"/>
      <w:docPartObj>
        <w:docPartGallery w:val="Page Numbers (Bottom of Page)"/>
        <w:docPartUnique/>
      </w:docPartObj>
    </w:sdtPr>
    <w:sdtEndPr>
      <w:rPr>
        <w:noProof/>
      </w:rPr>
    </w:sdtEndPr>
    <w:sdtContent>
      <w:p w:rsidR="0003719B" w14:paraId="0A0530D1"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03719B" w14:paraId="042E86F0"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EE5294"/>
    <w:multiLevelType w:val="hybridMultilevel"/>
    <w:tmpl w:val="CCE053CE"/>
    <w:lvl w:ilvl="0">
      <w:start w:val="29"/>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7587B3F"/>
    <w:multiLevelType w:val="hybridMultilevel"/>
    <w:tmpl w:val="CC94ED56"/>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0A1D262B"/>
    <w:multiLevelType w:val="hybridMultilevel"/>
    <w:tmpl w:val="A5983ABE"/>
    <w:lvl w:ilvl="0">
      <w:start w:val="29"/>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A5F17B7"/>
    <w:multiLevelType w:val="hybridMultilevel"/>
    <w:tmpl w:val="E95ADED8"/>
    <w:lvl w:ilvl="0">
      <w:start w:val="29"/>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02A5A8C"/>
    <w:multiLevelType w:val="hybridMultilevel"/>
    <w:tmpl w:val="0664AE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1DE1727"/>
    <w:multiLevelType w:val="hybridMultilevel"/>
    <w:tmpl w:val="EF5884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AC80DE9"/>
    <w:multiLevelType w:val="hybridMultilevel"/>
    <w:tmpl w:val="9BFA66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B332FCA"/>
    <w:multiLevelType w:val="hybridMultilevel"/>
    <w:tmpl w:val="ECF29942"/>
    <w:lvl w:ilvl="0">
      <w:start w:val="1"/>
      <w:numFmt w:val="bullet"/>
      <w:pStyle w:val="ListBullet"/>
      <w:lvlText w:val=""/>
      <w:lvlJc w:val="left"/>
      <w:pPr>
        <w:tabs>
          <w:tab w:val="num" w:pos="1440"/>
        </w:tabs>
        <w:ind w:left="1440" w:hanging="360"/>
      </w:pPr>
      <w:rPr>
        <w:rFonts w:ascii="Symbol" w:hAnsi="Symbol" w:hint="default"/>
      </w:rPr>
    </w:lvl>
    <w:lvl w:ilvl="1">
      <w:start w:val="1"/>
      <w:numFmt w:val="bullet"/>
      <w:lvlText w:val=""/>
      <w:lvlJc w:val="left"/>
      <w:pPr>
        <w:tabs>
          <w:tab w:val="num" w:pos="2520"/>
        </w:tabs>
        <w:ind w:left="2520" w:hanging="360"/>
      </w:pPr>
      <w:rPr>
        <w:rFonts w:ascii="Wingdings" w:hAnsi="Wingdings"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8">
    <w:nsid w:val="1F9D7E9D"/>
    <w:multiLevelType w:val="hybridMultilevel"/>
    <w:tmpl w:val="B2CE152E"/>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422694B"/>
    <w:multiLevelType w:val="hybridMultilevel"/>
    <w:tmpl w:val="6C44E1B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60F3AAB"/>
    <w:multiLevelType w:val="hybridMultilevel"/>
    <w:tmpl w:val="E496EB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B3C68F4"/>
    <w:multiLevelType w:val="hybridMultilevel"/>
    <w:tmpl w:val="765C1CD2"/>
    <w:lvl w:ilvl="0">
      <w:start w:val="29"/>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E6C293E"/>
    <w:multiLevelType w:val="hybridMultilevel"/>
    <w:tmpl w:val="AE14DB56"/>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0492BA4"/>
    <w:multiLevelType w:val="hybridMultilevel"/>
    <w:tmpl w:val="D682E0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16062B9"/>
    <w:multiLevelType w:val="hybridMultilevel"/>
    <w:tmpl w:val="E0303DF8"/>
    <w:lvl w:ilvl="0">
      <w:start w:val="2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6FD4390"/>
    <w:multiLevelType w:val="hybridMultilevel"/>
    <w:tmpl w:val="FE4082F4"/>
    <w:lvl w:ilvl="0">
      <w:start w:val="1"/>
      <w:numFmt w:val="bullet"/>
      <w:pStyle w:val="ListBullet1"/>
      <w:lvlText w:val=""/>
      <w:lvlJc w:val="left"/>
      <w:pPr>
        <w:ind w:left="1440" w:hanging="360"/>
      </w:pPr>
      <w:rPr>
        <w:rFonts w:ascii="Wingdings" w:hAnsi="Wingdings" w:hint="default"/>
      </w:rPr>
    </w:lvl>
    <w:lvl w:ilvl="1">
      <w:start w:val="0"/>
      <w:numFmt w:val="bullet"/>
      <w:lvlText w:val="-"/>
      <w:lvlJc w:val="left"/>
      <w:pPr>
        <w:ind w:left="1800" w:hanging="360"/>
      </w:pPr>
      <w:rPr>
        <w:rFonts w:ascii="Calibri" w:eastAsia="Times New Roman" w:hAnsi="Calibri" w:cs="Times New Roman"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3E300452"/>
    <w:multiLevelType w:val="hybridMultilevel"/>
    <w:tmpl w:val="92A66A90"/>
    <w:lvl w:ilvl="0">
      <w:start w:val="1"/>
      <w:numFmt w:val="upperLetter"/>
      <w:lvlText w:val="%1."/>
      <w:lvlJc w:val="left"/>
      <w:pPr>
        <w:ind w:left="360" w:hanging="360"/>
      </w:pPr>
      <w:rPr>
        <w:b/>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3EC30674"/>
    <w:multiLevelType w:val="multilevel"/>
    <w:tmpl w:val="5838EBE2"/>
    <w:lvl w:ilvl="0">
      <w:start w:val="1"/>
      <w:numFmt w:val="upperLetter"/>
      <w:lvlText w:val="%1."/>
      <w:lvlJc w:val="left"/>
      <w:pPr>
        <w:ind w:left="360" w:hanging="36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nsid w:val="3ED405C4"/>
    <w:multiLevelType w:val="hybridMultilevel"/>
    <w:tmpl w:val="003421D6"/>
    <w:lvl w:ilvl="0">
      <w:start w:val="1"/>
      <w:numFmt w:val="upperLetter"/>
      <w:lvlText w:val="%1."/>
      <w:lvlJc w:val="left"/>
      <w:pPr>
        <w:tabs>
          <w:tab w:val="num" w:pos="0"/>
        </w:tabs>
        <w:ind w:left="360" w:hanging="360"/>
      </w:pPr>
      <w:rPr>
        <w:rFonts w:hint="default"/>
        <w:b/>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3F1D76B8"/>
    <w:multiLevelType w:val="hybridMultilevel"/>
    <w:tmpl w:val="D682E0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0EE2D09"/>
    <w:multiLevelType w:val="hybridMultilevel"/>
    <w:tmpl w:val="338C01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17B5DA1"/>
    <w:multiLevelType w:val="hybridMultilevel"/>
    <w:tmpl w:val="5C909B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7345C23"/>
    <w:multiLevelType w:val="hybridMultilevel"/>
    <w:tmpl w:val="D29EAB6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93D62D9"/>
    <w:multiLevelType w:val="hybridMultilevel"/>
    <w:tmpl w:val="206AE66C"/>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4C35415D"/>
    <w:multiLevelType w:val="hybridMultilevel"/>
    <w:tmpl w:val="70F877F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DE8092B"/>
    <w:multiLevelType w:val="hybridMultilevel"/>
    <w:tmpl w:val="BFCED7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46F6640"/>
    <w:multiLevelType w:val="hybridMultilevel"/>
    <w:tmpl w:val="D682E0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6524847"/>
    <w:multiLevelType w:val="hybridMultilevel"/>
    <w:tmpl w:val="B2CE152E"/>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6FA7194"/>
    <w:multiLevelType w:val="hybridMultilevel"/>
    <w:tmpl w:val="368E38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9C23406"/>
    <w:multiLevelType w:val="hybridMultilevel"/>
    <w:tmpl w:val="ED1851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C380744"/>
    <w:multiLevelType w:val="hybridMultilevel"/>
    <w:tmpl w:val="1F0692EC"/>
    <w:lvl w:ilvl="0">
      <w:start w:val="29"/>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D8F4E63"/>
    <w:multiLevelType w:val="hybridMultilevel"/>
    <w:tmpl w:val="70F877F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01409BC"/>
    <w:multiLevelType w:val="hybridMultilevel"/>
    <w:tmpl w:val="6ADCF1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11171D1"/>
    <w:multiLevelType w:val="hybridMultilevel"/>
    <w:tmpl w:val="9CA6FF88"/>
    <w:lvl w:ilvl="0">
      <w:start w:val="17"/>
      <w:numFmt w:val="decimal"/>
      <w:lvlText w:val="%1."/>
      <w:lvlJc w:val="left"/>
      <w:pPr>
        <w:tabs>
          <w:tab w:val="num" w:pos="750"/>
        </w:tabs>
        <w:ind w:left="750" w:hanging="39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nsid w:val="734C0734"/>
    <w:multiLevelType w:val="hybridMultilevel"/>
    <w:tmpl w:val="EBF26284"/>
    <w:lvl w:ilvl="0">
      <w:start w:val="29"/>
      <w:numFmt w:val="decimal"/>
      <w:lvlText w:val="%1"/>
      <w:lvlJc w:val="left"/>
      <w:pPr>
        <w:ind w:left="390" w:hanging="360"/>
      </w:pPr>
      <w:rPr>
        <w:rFonts w:cs="Times New Roman" w:hint="default"/>
      </w:rPr>
    </w:lvl>
    <w:lvl w:ilvl="1" w:tentative="1">
      <w:start w:val="1"/>
      <w:numFmt w:val="lowerLetter"/>
      <w:lvlText w:val="%2."/>
      <w:lvlJc w:val="left"/>
      <w:pPr>
        <w:ind w:left="1110" w:hanging="360"/>
      </w:pPr>
    </w:lvl>
    <w:lvl w:ilvl="2" w:tentative="1">
      <w:start w:val="1"/>
      <w:numFmt w:val="lowerRoman"/>
      <w:lvlText w:val="%3."/>
      <w:lvlJc w:val="right"/>
      <w:pPr>
        <w:ind w:left="1830" w:hanging="180"/>
      </w:pPr>
    </w:lvl>
    <w:lvl w:ilvl="3" w:tentative="1">
      <w:start w:val="1"/>
      <w:numFmt w:val="decimal"/>
      <w:lvlText w:val="%4."/>
      <w:lvlJc w:val="left"/>
      <w:pPr>
        <w:ind w:left="2550" w:hanging="360"/>
      </w:pPr>
    </w:lvl>
    <w:lvl w:ilvl="4" w:tentative="1">
      <w:start w:val="1"/>
      <w:numFmt w:val="lowerLetter"/>
      <w:lvlText w:val="%5."/>
      <w:lvlJc w:val="left"/>
      <w:pPr>
        <w:ind w:left="3270" w:hanging="360"/>
      </w:pPr>
    </w:lvl>
    <w:lvl w:ilvl="5" w:tentative="1">
      <w:start w:val="1"/>
      <w:numFmt w:val="lowerRoman"/>
      <w:lvlText w:val="%6."/>
      <w:lvlJc w:val="right"/>
      <w:pPr>
        <w:ind w:left="3990" w:hanging="180"/>
      </w:pPr>
    </w:lvl>
    <w:lvl w:ilvl="6" w:tentative="1">
      <w:start w:val="1"/>
      <w:numFmt w:val="decimal"/>
      <w:lvlText w:val="%7."/>
      <w:lvlJc w:val="left"/>
      <w:pPr>
        <w:ind w:left="4710" w:hanging="360"/>
      </w:pPr>
    </w:lvl>
    <w:lvl w:ilvl="7" w:tentative="1">
      <w:start w:val="1"/>
      <w:numFmt w:val="lowerLetter"/>
      <w:lvlText w:val="%8."/>
      <w:lvlJc w:val="left"/>
      <w:pPr>
        <w:ind w:left="5430" w:hanging="360"/>
      </w:pPr>
    </w:lvl>
    <w:lvl w:ilvl="8" w:tentative="1">
      <w:start w:val="1"/>
      <w:numFmt w:val="lowerRoman"/>
      <w:lvlText w:val="%9."/>
      <w:lvlJc w:val="right"/>
      <w:pPr>
        <w:ind w:left="6150" w:hanging="180"/>
      </w:pPr>
    </w:lvl>
  </w:abstractNum>
  <w:abstractNum w:abstractNumId="35">
    <w:nsid w:val="77DB54FC"/>
    <w:multiLevelType w:val="hybridMultilevel"/>
    <w:tmpl w:val="D682E0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BF95DCD"/>
    <w:multiLevelType w:val="hybridMultilevel"/>
    <w:tmpl w:val="8710114E"/>
    <w:lvl w:ilvl="0">
      <w:start w:val="1"/>
      <w:numFmt w:val="bullet"/>
      <w:lvlText w:val=""/>
      <w:lvlJc w:val="righ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D9172DF"/>
    <w:multiLevelType w:val="hybridMultilevel"/>
    <w:tmpl w:val="5AC24D90"/>
    <w:lvl w:ilvl="0">
      <w:start w:val="1"/>
      <w:numFmt w:val="bullet"/>
      <w:lvlText w:val=""/>
      <w:lvlJc w:val="righ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81546265">
    <w:abstractNumId w:val="15"/>
  </w:num>
  <w:num w:numId="2" w16cid:durableId="1263948855">
    <w:abstractNumId w:val="7"/>
  </w:num>
  <w:num w:numId="3" w16cid:durableId="434906908">
    <w:abstractNumId w:val="18"/>
  </w:num>
  <w:num w:numId="4" w16cid:durableId="1361202962">
    <w:abstractNumId w:val="5"/>
  </w:num>
  <w:num w:numId="5" w16cid:durableId="290793534">
    <w:abstractNumId w:val="23"/>
  </w:num>
  <w:num w:numId="6" w16cid:durableId="467170602">
    <w:abstractNumId w:val="26"/>
  </w:num>
  <w:num w:numId="7" w16cid:durableId="506792175">
    <w:abstractNumId w:val="33"/>
  </w:num>
  <w:num w:numId="8" w16cid:durableId="1113593048">
    <w:abstractNumId w:val="37"/>
  </w:num>
  <w:num w:numId="9" w16cid:durableId="341670199">
    <w:abstractNumId w:val="28"/>
  </w:num>
  <w:num w:numId="10" w16cid:durableId="263731895">
    <w:abstractNumId w:val="36"/>
  </w:num>
  <w:num w:numId="11" w16cid:durableId="1879010398">
    <w:abstractNumId w:val="9"/>
  </w:num>
  <w:num w:numId="12" w16cid:durableId="1643608711">
    <w:abstractNumId w:val="16"/>
  </w:num>
  <w:num w:numId="13" w16cid:durableId="1987708787">
    <w:abstractNumId w:val="20"/>
  </w:num>
  <w:num w:numId="14" w16cid:durableId="1752459432">
    <w:abstractNumId w:val="10"/>
  </w:num>
  <w:num w:numId="15" w16cid:durableId="1448308363">
    <w:abstractNumId w:val="32"/>
  </w:num>
  <w:num w:numId="16" w16cid:durableId="1908957372">
    <w:abstractNumId w:val="6"/>
  </w:num>
  <w:num w:numId="17" w16cid:durableId="420030111">
    <w:abstractNumId w:val="29"/>
  </w:num>
  <w:num w:numId="18" w16cid:durableId="2048068766">
    <w:abstractNumId w:val="4"/>
  </w:num>
  <w:num w:numId="19" w16cid:durableId="156195044">
    <w:abstractNumId w:val="13"/>
  </w:num>
  <w:num w:numId="20" w16cid:durableId="423036827">
    <w:abstractNumId w:val="1"/>
  </w:num>
  <w:num w:numId="21" w16cid:durableId="1148862492">
    <w:abstractNumId w:val="17"/>
  </w:num>
  <w:num w:numId="22" w16cid:durableId="1116019362">
    <w:abstractNumId w:val="8"/>
  </w:num>
  <w:num w:numId="23" w16cid:durableId="688259122">
    <w:abstractNumId w:val="35"/>
  </w:num>
  <w:num w:numId="24" w16cid:durableId="859394206">
    <w:abstractNumId w:val="27"/>
  </w:num>
  <w:num w:numId="25" w16cid:durableId="759570221">
    <w:abstractNumId w:val="12"/>
  </w:num>
  <w:num w:numId="26" w16cid:durableId="1260025331">
    <w:abstractNumId w:val="22"/>
  </w:num>
  <w:num w:numId="27" w16cid:durableId="671029015">
    <w:abstractNumId w:val="14"/>
  </w:num>
  <w:num w:numId="28" w16cid:durableId="411901242">
    <w:abstractNumId w:val="19"/>
  </w:num>
  <w:num w:numId="29" w16cid:durableId="1335107560">
    <w:abstractNumId w:val="2"/>
  </w:num>
  <w:num w:numId="30" w16cid:durableId="2032028470">
    <w:abstractNumId w:val="34"/>
  </w:num>
  <w:num w:numId="31" w16cid:durableId="1140539915">
    <w:abstractNumId w:val="0"/>
  </w:num>
  <w:num w:numId="32" w16cid:durableId="1775246096">
    <w:abstractNumId w:val="11"/>
  </w:num>
  <w:num w:numId="33" w16cid:durableId="1406953982">
    <w:abstractNumId w:val="3"/>
  </w:num>
  <w:num w:numId="34" w16cid:durableId="1979144775">
    <w:abstractNumId w:val="30"/>
  </w:num>
  <w:num w:numId="35" w16cid:durableId="190691819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52006310">
    <w:abstractNumId w:val="31"/>
  </w:num>
  <w:num w:numId="37" w16cid:durableId="1012145295">
    <w:abstractNumId w:val="21"/>
  </w:num>
  <w:num w:numId="38" w16cid:durableId="121111132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FFE"/>
    <w:rsid w:val="0003719B"/>
    <w:rsid w:val="000465C9"/>
    <w:rsid w:val="000570B5"/>
    <w:rsid w:val="0007243A"/>
    <w:rsid w:val="000730F0"/>
    <w:rsid w:val="00075767"/>
    <w:rsid w:val="000B0C51"/>
    <w:rsid w:val="000D25AC"/>
    <w:rsid w:val="000F7C60"/>
    <w:rsid w:val="00103285"/>
    <w:rsid w:val="00131D1E"/>
    <w:rsid w:val="00132AFB"/>
    <w:rsid w:val="00140D7A"/>
    <w:rsid w:val="00156A61"/>
    <w:rsid w:val="001D1CA0"/>
    <w:rsid w:val="001D3EF0"/>
    <w:rsid w:val="001F2530"/>
    <w:rsid w:val="00226E07"/>
    <w:rsid w:val="00252E0C"/>
    <w:rsid w:val="00294734"/>
    <w:rsid w:val="002A7A47"/>
    <w:rsid w:val="002E60F8"/>
    <w:rsid w:val="00330800"/>
    <w:rsid w:val="0033783F"/>
    <w:rsid w:val="00340BE0"/>
    <w:rsid w:val="00343152"/>
    <w:rsid w:val="003B74D3"/>
    <w:rsid w:val="003D22C6"/>
    <w:rsid w:val="003D7AB1"/>
    <w:rsid w:val="003E0FFE"/>
    <w:rsid w:val="003E3F73"/>
    <w:rsid w:val="003E680F"/>
    <w:rsid w:val="004231E2"/>
    <w:rsid w:val="00444C25"/>
    <w:rsid w:val="004721C4"/>
    <w:rsid w:val="004833A9"/>
    <w:rsid w:val="004A0452"/>
    <w:rsid w:val="004B3C8A"/>
    <w:rsid w:val="004C3B0A"/>
    <w:rsid w:val="004E29F4"/>
    <w:rsid w:val="004E3C34"/>
    <w:rsid w:val="004F3283"/>
    <w:rsid w:val="00537AE2"/>
    <w:rsid w:val="00541513"/>
    <w:rsid w:val="00545F3C"/>
    <w:rsid w:val="00570D20"/>
    <w:rsid w:val="005745CB"/>
    <w:rsid w:val="005911A8"/>
    <w:rsid w:val="005B47F2"/>
    <w:rsid w:val="0060139E"/>
    <w:rsid w:val="006558FC"/>
    <w:rsid w:val="00661D45"/>
    <w:rsid w:val="0066471E"/>
    <w:rsid w:val="00693D48"/>
    <w:rsid w:val="006C286B"/>
    <w:rsid w:val="006C5281"/>
    <w:rsid w:val="006D122C"/>
    <w:rsid w:val="00705A6A"/>
    <w:rsid w:val="0073268C"/>
    <w:rsid w:val="00734EB7"/>
    <w:rsid w:val="00741B9D"/>
    <w:rsid w:val="00746396"/>
    <w:rsid w:val="0075130C"/>
    <w:rsid w:val="007C4CCE"/>
    <w:rsid w:val="007D03ED"/>
    <w:rsid w:val="007D2A3F"/>
    <w:rsid w:val="007E0B53"/>
    <w:rsid w:val="00810719"/>
    <w:rsid w:val="00822398"/>
    <w:rsid w:val="00831668"/>
    <w:rsid w:val="00873BFC"/>
    <w:rsid w:val="008915D9"/>
    <w:rsid w:val="008B64D5"/>
    <w:rsid w:val="008F242E"/>
    <w:rsid w:val="009A0F94"/>
    <w:rsid w:val="00A320C4"/>
    <w:rsid w:val="00A32C16"/>
    <w:rsid w:val="00A4398B"/>
    <w:rsid w:val="00AA0F96"/>
    <w:rsid w:val="00B15AB7"/>
    <w:rsid w:val="00B230F5"/>
    <w:rsid w:val="00B23302"/>
    <w:rsid w:val="00B32575"/>
    <w:rsid w:val="00B54B08"/>
    <w:rsid w:val="00B64F86"/>
    <w:rsid w:val="00B64F94"/>
    <w:rsid w:val="00B6712C"/>
    <w:rsid w:val="00B70FE8"/>
    <w:rsid w:val="00B75CF7"/>
    <w:rsid w:val="00BB6C1B"/>
    <w:rsid w:val="00BC37B6"/>
    <w:rsid w:val="00BD772C"/>
    <w:rsid w:val="00BF1A7C"/>
    <w:rsid w:val="00C201B1"/>
    <w:rsid w:val="00C47561"/>
    <w:rsid w:val="00C70C9A"/>
    <w:rsid w:val="00C725D3"/>
    <w:rsid w:val="00D117CF"/>
    <w:rsid w:val="00D20FEA"/>
    <w:rsid w:val="00D374C6"/>
    <w:rsid w:val="00D543EA"/>
    <w:rsid w:val="00D83C19"/>
    <w:rsid w:val="00D94647"/>
    <w:rsid w:val="00DB1040"/>
    <w:rsid w:val="00DD5FB4"/>
    <w:rsid w:val="00DF562F"/>
    <w:rsid w:val="00DF6AC0"/>
    <w:rsid w:val="00DF7A00"/>
    <w:rsid w:val="00E03BDA"/>
    <w:rsid w:val="00E347FA"/>
    <w:rsid w:val="00E454EF"/>
    <w:rsid w:val="00EA06D5"/>
    <w:rsid w:val="00F02AAF"/>
    <w:rsid w:val="00F22AAD"/>
    <w:rsid w:val="00F241CC"/>
    <w:rsid w:val="00F52E78"/>
    <w:rsid w:val="00F65CCC"/>
    <w:rsid w:val="00F77D4A"/>
    <w:rsid w:val="00FA79AC"/>
    <w:rsid w:val="00FB366D"/>
    <w:rsid w:val="00FF087C"/>
    <w:rsid w:val="3984E99C"/>
  </w:rsids>
  <w:docVars>
    <w:docVar w:name="EN.InstantFormat" w:val="&lt;ENInstantFormat&gt;&lt;Enabled&gt;1&lt;/Enabled&gt;&lt;ScanUnformatted&gt;1&lt;/ScanUnformatted&gt;&lt;ScanChanges&gt;1&lt;/ScanChanges&gt;&lt;Suspended&gt;1&lt;/Suspended&gt;&lt;/ENInstantFormat&gt;"/>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D1F7D1D"/>
  <w15:chartTrackingRefBased/>
  <w15:docId w15:val="{A8FFD6C9-C02A-4B07-B3DE-2AB4BBE16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0FFE"/>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3E0FFE"/>
    <w:pPr>
      <w:keepNext/>
      <w:pBdr>
        <w:top w:val="single" w:sz="4" w:space="1" w:color="auto"/>
      </w:pBdr>
      <w:spacing w:before="360" w:after="120"/>
      <w:jc w:val="center"/>
      <w:outlineLvl w:val="0"/>
    </w:pPr>
    <w:rPr>
      <w:rFonts w:ascii="Cambria" w:hAnsi="Cambria"/>
      <w:b/>
      <w:bCs/>
      <w:kern w:val="32"/>
      <w:sz w:val="36"/>
      <w:szCs w:val="36"/>
    </w:rPr>
  </w:style>
  <w:style w:type="paragraph" w:styleId="Heading2">
    <w:name w:val="heading 2"/>
    <w:basedOn w:val="ListParagraph"/>
    <w:next w:val="Normal"/>
    <w:link w:val="Heading2Char"/>
    <w:qFormat/>
    <w:rsid w:val="003E0FFE"/>
    <w:pPr>
      <w:spacing w:before="120" w:after="120"/>
      <w:ind w:left="0"/>
      <w:outlineLvl w:val="1"/>
    </w:pPr>
    <w:rPr>
      <w:rFonts w:ascii="Cambria" w:hAnsi="Cambria"/>
      <w:b/>
      <w:i/>
    </w:rPr>
  </w:style>
  <w:style w:type="paragraph" w:styleId="Heading3">
    <w:name w:val="heading 3"/>
    <w:basedOn w:val="Normal"/>
    <w:next w:val="Normal"/>
    <w:link w:val="Heading3Char"/>
    <w:qFormat/>
    <w:rsid w:val="003E0FFE"/>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3E0FFE"/>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E0FFE"/>
    <w:rPr>
      <w:rFonts w:ascii="Cambria" w:eastAsia="Times New Roman" w:hAnsi="Cambria" w:cs="Times New Roman"/>
      <w:b/>
      <w:bCs/>
      <w:kern w:val="32"/>
      <w:sz w:val="36"/>
      <w:szCs w:val="36"/>
      <w14:ligatures w14:val="none"/>
    </w:rPr>
  </w:style>
  <w:style w:type="character" w:customStyle="1" w:styleId="Heading2Char">
    <w:name w:val="Heading 2 Char"/>
    <w:basedOn w:val="DefaultParagraphFont"/>
    <w:link w:val="Heading2"/>
    <w:rsid w:val="003E0FFE"/>
    <w:rPr>
      <w:rFonts w:ascii="Cambria" w:eastAsia="Times New Roman" w:hAnsi="Cambria" w:cs="Times New Roman"/>
      <w:b/>
      <w:i/>
      <w:kern w:val="0"/>
      <w14:ligatures w14:val="none"/>
    </w:rPr>
  </w:style>
  <w:style w:type="character" w:customStyle="1" w:styleId="Heading3Char">
    <w:name w:val="Heading 3 Char"/>
    <w:basedOn w:val="DefaultParagraphFont"/>
    <w:link w:val="Heading3"/>
    <w:rsid w:val="003E0FFE"/>
    <w:rPr>
      <w:rFonts w:ascii="Cambria" w:eastAsia="Times New Roman" w:hAnsi="Cambria" w:cs="Times New Roman"/>
      <w:b/>
      <w:bCs/>
      <w:kern w:val="0"/>
      <w:sz w:val="26"/>
      <w:szCs w:val="26"/>
      <w14:ligatures w14:val="none"/>
    </w:rPr>
  </w:style>
  <w:style w:type="character" w:customStyle="1" w:styleId="Heading4Char">
    <w:name w:val="Heading 4 Char"/>
    <w:basedOn w:val="DefaultParagraphFont"/>
    <w:link w:val="Heading4"/>
    <w:uiPriority w:val="9"/>
    <w:semiHidden/>
    <w:rsid w:val="003E0FFE"/>
    <w:rPr>
      <w:rFonts w:asciiTheme="majorHAnsi" w:eastAsiaTheme="majorEastAsia" w:hAnsiTheme="majorHAnsi" w:cstheme="majorBidi"/>
      <w:b/>
      <w:bCs/>
      <w:i/>
      <w:iCs/>
      <w:color w:val="4472C4" w:themeColor="accent1"/>
      <w:kern w:val="0"/>
      <w:sz w:val="24"/>
      <w:szCs w:val="24"/>
      <w14:ligatures w14:val="none"/>
    </w:rPr>
  </w:style>
  <w:style w:type="paragraph" w:styleId="ListParagraph">
    <w:name w:val="List Paragraph"/>
    <w:basedOn w:val="Normal"/>
    <w:link w:val="ListParagraphChar"/>
    <w:uiPriority w:val="34"/>
    <w:qFormat/>
    <w:rsid w:val="003E0FFE"/>
    <w:pPr>
      <w:spacing w:after="200" w:line="276" w:lineRule="auto"/>
      <w:ind w:left="720"/>
      <w:contextualSpacing/>
    </w:pPr>
    <w:rPr>
      <w:sz w:val="22"/>
      <w:szCs w:val="22"/>
    </w:rPr>
  </w:style>
  <w:style w:type="paragraph" w:styleId="Title">
    <w:name w:val="Title"/>
    <w:basedOn w:val="Normal"/>
    <w:next w:val="Normal"/>
    <w:link w:val="TitleChar"/>
    <w:qFormat/>
    <w:rsid w:val="003E0FFE"/>
    <w:pPr>
      <w:spacing w:before="240" w:after="60" w:line="276" w:lineRule="auto"/>
      <w:jc w:val="center"/>
      <w:outlineLvl w:val="0"/>
    </w:pPr>
    <w:rPr>
      <w:rFonts w:ascii="Cambria" w:hAnsi="Cambria"/>
      <w:b/>
      <w:bCs/>
      <w:kern w:val="28"/>
      <w:sz w:val="32"/>
      <w:szCs w:val="32"/>
    </w:rPr>
  </w:style>
  <w:style w:type="character" w:customStyle="1" w:styleId="TitleChar">
    <w:name w:val="Title Char"/>
    <w:basedOn w:val="DefaultParagraphFont"/>
    <w:link w:val="Title"/>
    <w:rsid w:val="003E0FFE"/>
    <w:rPr>
      <w:rFonts w:ascii="Cambria" w:eastAsia="Times New Roman" w:hAnsi="Cambria" w:cs="Times New Roman"/>
      <w:b/>
      <w:bCs/>
      <w:kern w:val="28"/>
      <w:sz w:val="32"/>
      <w:szCs w:val="32"/>
      <w14:ligatures w14:val="none"/>
    </w:rPr>
  </w:style>
  <w:style w:type="character" w:customStyle="1" w:styleId="ListParagraphChar">
    <w:name w:val="List Paragraph Char"/>
    <w:basedOn w:val="DefaultParagraphFont"/>
    <w:link w:val="ListParagraph"/>
    <w:uiPriority w:val="34"/>
    <w:rsid w:val="003E0FFE"/>
    <w:rPr>
      <w:rFonts w:ascii="Times New Roman" w:eastAsia="Times New Roman" w:hAnsi="Times New Roman" w:cs="Times New Roman"/>
      <w:kern w:val="0"/>
      <w14:ligatures w14:val="none"/>
    </w:rPr>
  </w:style>
  <w:style w:type="paragraph" w:customStyle="1" w:styleId="ListBullet1">
    <w:name w:val="List Bullet 1"/>
    <w:basedOn w:val="Normal"/>
    <w:link w:val="ListBullet1Char"/>
    <w:qFormat/>
    <w:rsid w:val="003E0FFE"/>
    <w:pPr>
      <w:numPr>
        <w:numId w:val="1"/>
      </w:numPr>
      <w:tabs>
        <w:tab w:val="left" w:pos="1080"/>
      </w:tabs>
      <w:spacing w:before="120"/>
      <w:outlineLvl w:val="0"/>
    </w:pPr>
    <w:rPr>
      <w:bCs/>
      <w:kern w:val="32"/>
      <w:sz w:val="22"/>
      <w:szCs w:val="22"/>
    </w:rPr>
  </w:style>
  <w:style w:type="character" w:customStyle="1" w:styleId="ListBullet1Char">
    <w:name w:val="List Bullet 1 Char"/>
    <w:basedOn w:val="DefaultParagraphFont"/>
    <w:link w:val="ListBullet1"/>
    <w:rsid w:val="003E0FFE"/>
    <w:rPr>
      <w:rFonts w:ascii="Times New Roman" w:eastAsia="Times New Roman" w:hAnsi="Times New Roman" w:cs="Times New Roman"/>
      <w:bCs/>
      <w:kern w:val="32"/>
      <w14:ligatures w14:val="none"/>
    </w:rPr>
  </w:style>
  <w:style w:type="paragraph" w:styleId="ListBullet">
    <w:name w:val="List Bullet"/>
    <w:basedOn w:val="Normal"/>
    <w:link w:val="ListBulletChar"/>
    <w:rsid w:val="003E0FFE"/>
    <w:pPr>
      <w:numPr>
        <w:numId w:val="2"/>
      </w:numPr>
      <w:overflowPunct w:val="0"/>
      <w:autoSpaceDE w:val="0"/>
      <w:autoSpaceDN w:val="0"/>
      <w:adjustRightInd w:val="0"/>
      <w:textAlignment w:val="baseline"/>
    </w:pPr>
    <w:rPr>
      <w:kern w:val="24"/>
      <w:sz w:val="22"/>
      <w:szCs w:val="22"/>
    </w:rPr>
  </w:style>
  <w:style w:type="character" w:styleId="CommentReference">
    <w:name w:val="annotation reference"/>
    <w:basedOn w:val="DefaultParagraphFont"/>
    <w:uiPriority w:val="99"/>
    <w:semiHidden/>
    <w:unhideWhenUsed/>
    <w:rsid w:val="003E0FFE"/>
    <w:rPr>
      <w:sz w:val="16"/>
      <w:szCs w:val="16"/>
    </w:rPr>
  </w:style>
  <w:style w:type="paragraph" w:styleId="CommentText">
    <w:name w:val="annotation text"/>
    <w:basedOn w:val="Normal"/>
    <w:link w:val="CommentTextChar"/>
    <w:uiPriority w:val="99"/>
    <w:unhideWhenUsed/>
    <w:rsid w:val="003E0FFE"/>
    <w:rPr>
      <w:sz w:val="20"/>
      <w:szCs w:val="20"/>
    </w:rPr>
  </w:style>
  <w:style w:type="character" w:customStyle="1" w:styleId="CommentTextChar">
    <w:name w:val="Comment Text Char"/>
    <w:basedOn w:val="DefaultParagraphFont"/>
    <w:link w:val="CommentText"/>
    <w:uiPriority w:val="99"/>
    <w:rsid w:val="003E0FFE"/>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E0FFE"/>
    <w:rPr>
      <w:b/>
      <w:bCs/>
    </w:rPr>
  </w:style>
  <w:style w:type="character" w:customStyle="1" w:styleId="CommentSubjectChar">
    <w:name w:val="Comment Subject Char"/>
    <w:basedOn w:val="CommentTextChar"/>
    <w:link w:val="CommentSubject"/>
    <w:uiPriority w:val="99"/>
    <w:semiHidden/>
    <w:rsid w:val="003E0FFE"/>
    <w:rPr>
      <w:rFonts w:ascii="Times New Roman" w:eastAsia="Times New Roman" w:hAnsi="Times New Roman" w:cs="Times New Roman"/>
      <w:b/>
      <w:bCs/>
      <w:kern w:val="0"/>
      <w:sz w:val="20"/>
      <w:szCs w:val="20"/>
      <w14:ligatures w14:val="none"/>
    </w:rPr>
  </w:style>
  <w:style w:type="paragraph" w:styleId="BalloonText">
    <w:name w:val="Balloon Text"/>
    <w:basedOn w:val="Normal"/>
    <w:link w:val="BalloonTextChar"/>
    <w:uiPriority w:val="99"/>
    <w:semiHidden/>
    <w:unhideWhenUsed/>
    <w:rsid w:val="003E0FFE"/>
    <w:rPr>
      <w:rFonts w:ascii="Tahoma" w:hAnsi="Tahoma" w:cs="Tahoma"/>
      <w:sz w:val="16"/>
      <w:szCs w:val="16"/>
    </w:rPr>
  </w:style>
  <w:style w:type="character" w:customStyle="1" w:styleId="BalloonTextChar">
    <w:name w:val="Balloon Text Char"/>
    <w:basedOn w:val="DefaultParagraphFont"/>
    <w:link w:val="BalloonText"/>
    <w:uiPriority w:val="99"/>
    <w:semiHidden/>
    <w:rsid w:val="003E0FFE"/>
    <w:rPr>
      <w:rFonts w:ascii="Tahoma" w:eastAsia="Times New Roman" w:hAnsi="Tahoma" w:cs="Tahoma"/>
      <w:kern w:val="0"/>
      <w:sz w:val="16"/>
      <w:szCs w:val="16"/>
      <w14:ligatures w14:val="none"/>
    </w:rPr>
  </w:style>
  <w:style w:type="paragraph" w:styleId="Header">
    <w:name w:val="header"/>
    <w:basedOn w:val="Normal"/>
    <w:link w:val="HeaderChar"/>
    <w:uiPriority w:val="99"/>
    <w:unhideWhenUsed/>
    <w:rsid w:val="003E0FFE"/>
    <w:pPr>
      <w:tabs>
        <w:tab w:val="center" w:pos="4680"/>
        <w:tab w:val="right" w:pos="9360"/>
      </w:tabs>
    </w:pPr>
  </w:style>
  <w:style w:type="character" w:customStyle="1" w:styleId="HeaderChar">
    <w:name w:val="Header Char"/>
    <w:basedOn w:val="DefaultParagraphFont"/>
    <w:link w:val="Header"/>
    <w:uiPriority w:val="99"/>
    <w:rsid w:val="003E0FFE"/>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3E0FFE"/>
    <w:pPr>
      <w:tabs>
        <w:tab w:val="center" w:pos="4680"/>
        <w:tab w:val="right" w:pos="9360"/>
      </w:tabs>
    </w:pPr>
  </w:style>
  <w:style w:type="character" w:customStyle="1" w:styleId="FooterChar">
    <w:name w:val="Footer Char"/>
    <w:basedOn w:val="DefaultParagraphFont"/>
    <w:link w:val="Footer"/>
    <w:uiPriority w:val="99"/>
    <w:rsid w:val="003E0FFE"/>
    <w:rPr>
      <w:rFonts w:ascii="Times New Roman" w:eastAsia="Times New Roman" w:hAnsi="Times New Roman" w:cs="Times New Roman"/>
      <w:kern w:val="0"/>
      <w:sz w:val="24"/>
      <w:szCs w:val="24"/>
      <w14:ligatures w14:val="none"/>
    </w:rPr>
  </w:style>
  <w:style w:type="paragraph" w:styleId="BodyText">
    <w:name w:val="Body Text"/>
    <w:basedOn w:val="Normal"/>
    <w:link w:val="BodyTextChar"/>
    <w:rsid w:val="003E0FFE"/>
    <w:pPr>
      <w:keepNext/>
      <w:keepLines/>
    </w:pPr>
    <w:rPr>
      <w:sz w:val="22"/>
      <w:szCs w:val="22"/>
    </w:rPr>
  </w:style>
  <w:style w:type="character" w:customStyle="1" w:styleId="BodyTextChar">
    <w:name w:val="Body Text Char"/>
    <w:basedOn w:val="DefaultParagraphFont"/>
    <w:link w:val="BodyText"/>
    <w:rsid w:val="003E0FFE"/>
    <w:rPr>
      <w:rFonts w:ascii="Times New Roman" w:eastAsia="Times New Roman" w:hAnsi="Times New Roman" w:cs="Times New Roman"/>
      <w:kern w:val="0"/>
      <w14:ligatures w14:val="none"/>
    </w:rPr>
  </w:style>
  <w:style w:type="table" w:styleId="TableGrid">
    <w:name w:val="Table Grid"/>
    <w:basedOn w:val="TableNormal"/>
    <w:uiPriority w:val="59"/>
    <w:rsid w:val="003E0FFE"/>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3E0FFE"/>
    <w:rPr>
      <w:color w:val="0000FF"/>
      <w:u w:val="single"/>
    </w:rPr>
  </w:style>
  <w:style w:type="paragraph" w:styleId="FootnoteText">
    <w:name w:val="footnote text"/>
    <w:basedOn w:val="Normal"/>
    <w:link w:val="FootnoteTextChar"/>
    <w:uiPriority w:val="99"/>
    <w:semiHidden/>
    <w:unhideWhenUsed/>
    <w:rsid w:val="003E0FFE"/>
    <w:rPr>
      <w:sz w:val="20"/>
      <w:szCs w:val="20"/>
    </w:rPr>
  </w:style>
  <w:style w:type="character" w:customStyle="1" w:styleId="FootnoteTextChar">
    <w:name w:val="Footnote Text Char"/>
    <w:basedOn w:val="DefaultParagraphFont"/>
    <w:link w:val="FootnoteText"/>
    <w:uiPriority w:val="99"/>
    <w:semiHidden/>
    <w:rsid w:val="003E0FFE"/>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unhideWhenUsed/>
    <w:rsid w:val="003E0FFE"/>
    <w:rPr>
      <w:vertAlign w:val="superscript"/>
    </w:rPr>
  </w:style>
  <w:style w:type="paragraph" w:styleId="BodyText2">
    <w:name w:val="Body Text 2"/>
    <w:basedOn w:val="Normal"/>
    <w:link w:val="BodyText2Char"/>
    <w:uiPriority w:val="99"/>
    <w:semiHidden/>
    <w:unhideWhenUsed/>
    <w:rsid w:val="003E0FFE"/>
    <w:pPr>
      <w:spacing w:after="120" w:line="480" w:lineRule="auto"/>
    </w:pPr>
  </w:style>
  <w:style w:type="character" w:customStyle="1" w:styleId="BodyText2Char">
    <w:name w:val="Body Text 2 Char"/>
    <w:basedOn w:val="DefaultParagraphFont"/>
    <w:link w:val="BodyText2"/>
    <w:uiPriority w:val="99"/>
    <w:semiHidden/>
    <w:rsid w:val="003E0FFE"/>
    <w:rPr>
      <w:rFonts w:ascii="Times New Roman" w:eastAsia="Times New Roman" w:hAnsi="Times New Roman" w:cs="Times New Roman"/>
      <w:kern w:val="0"/>
      <w:sz w:val="24"/>
      <w:szCs w:val="24"/>
      <w14:ligatures w14:val="none"/>
    </w:rPr>
  </w:style>
  <w:style w:type="paragraph" w:styleId="BodyTextIndent">
    <w:name w:val="Body Text Indent"/>
    <w:basedOn w:val="Normal"/>
    <w:link w:val="BodyTextIndentChar"/>
    <w:uiPriority w:val="99"/>
    <w:semiHidden/>
    <w:unhideWhenUsed/>
    <w:rsid w:val="003E0FFE"/>
    <w:pPr>
      <w:spacing w:after="120"/>
      <w:ind w:left="360"/>
    </w:pPr>
  </w:style>
  <w:style w:type="character" w:customStyle="1" w:styleId="BodyTextIndentChar">
    <w:name w:val="Body Text Indent Char"/>
    <w:basedOn w:val="DefaultParagraphFont"/>
    <w:link w:val="BodyTextIndent"/>
    <w:uiPriority w:val="99"/>
    <w:semiHidden/>
    <w:rsid w:val="003E0FFE"/>
    <w:rPr>
      <w:rFonts w:ascii="Times New Roman" w:eastAsia="Times New Roman" w:hAnsi="Times New Roman" w:cs="Times New Roman"/>
      <w:kern w:val="0"/>
      <w:sz w:val="24"/>
      <w:szCs w:val="24"/>
      <w14:ligatures w14:val="none"/>
    </w:rPr>
  </w:style>
  <w:style w:type="character" w:styleId="Strong">
    <w:name w:val="Strong"/>
    <w:basedOn w:val="DefaultParagraphFont"/>
    <w:uiPriority w:val="99"/>
    <w:qFormat/>
    <w:rsid w:val="003E0FFE"/>
    <w:rPr>
      <w:rFonts w:ascii="Times New Roman" w:hAnsi="Times New Roman" w:cs="Times New Roman" w:hint="default"/>
      <w:b/>
      <w:bCs/>
      <w:sz w:val="24"/>
      <w:u w:val="single"/>
    </w:rPr>
  </w:style>
  <w:style w:type="paragraph" w:customStyle="1" w:styleId="Default">
    <w:name w:val="Default"/>
    <w:rsid w:val="003E0FFE"/>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styleId="EndnoteText">
    <w:name w:val="endnote text"/>
    <w:basedOn w:val="Normal"/>
    <w:link w:val="EndnoteTextChar"/>
    <w:uiPriority w:val="99"/>
    <w:semiHidden/>
    <w:unhideWhenUsed/>
    <w:rsid w:val="003E0FFE"/>
    <w:rPr>
      <w:sz w:val="20"/>
      <w:szCs w:val="20"/>
    </w:rPr>
  </w:style>
  <w:style w:type="character" w:customStyle="1" w:styleId="EndnoteTextChar">
    <w:name w:val="Endnote Text Char"/>
    <w:basedOn w:val="DefaultParagraphFont"/>
    <w:link w:val="EndnoteText"/>
    <w:uiPriority w:val="99"/>
    <w:semiHidden/>
    <w:rsid w:val="003E0FFE"/>
    <w:rPr>
      <w:rFonts w:ascii="Times New Roman" w:eastAsia="Times New Roman" w:hAnsi="Times New Roman" w:cs="Times New Roman"/>
      <w:kern w:val="0"/>
      <w:sz w:val="20"/>
      <w:szCs w:val="20"/>
      <w14:ligatures w14:val="none"/>
    </w:rPr>
  </w:style>
  <w:style w:type="character" w:styleId="EndnoteReference">
    <w:name w:val="endnote reference"/>
    <w:basedOn w:val="DefaultParagraphFont"/>
    <w:uiPriority w:val="99"/>
    <w:semiHidden/>
    <w:unhideWhenUsed/>
    <w:rsid w:val="003E0FFE"/>
    <w:rPr>
      <w:vertAlign w:val="superscript"/>
    </w:rPr>
  </w:style>
  <w:style w:type="character" w:styleId="FollowedHyperlink">
    <w:name w:val="FollowedHyperlink"/>
    <w:basedOn w:val="DefaultParagraphFont"/>
    <w:uiPriority w:val="99"/>
    <w:semiHidden/>
    <w:unhideWhenUsed/>
    <w:rsid w:val="003E0FFE"/>
    <w:rPr>
      <w:color w:val="800080"/>
      <w:u w:val="single"/>
    </w:rPr>
  </w:style>
  <w:style w:type="paragraph" w:styleId="Revision">
    <w:name w:val="Revision"/>
    <w:hidden/>
    <w:uiPriority w:val="99"/>
    <w:semiHidden/>
    <w:rsid w:val="003E0FFE"/>
    <w:pPr>
      <w:spacing w:after="0" w:line="240" w:lineRule="auto"/>
    </w:pPr>
    <w:rPr>
      <w:rFonts w:ascii="Times New Roman" w:eastAsia="Times New Roman" w:hAnsi="Times New Roman" w:cs="Times New Roman"/>
      <w:kern w:val="0"/>
      <w:sz w:val="24"/>
      <w:szCs w:val="24"/>
      <w14:ligatures w14:val="none"/>
    </w:rPr>
  </w:style>
  <w:style w:type="paragraph" w:customStyle="1" w:styleId="CM9">
    <w:name w:val="CM9"/>
    <w:basedOn w:val="Normal"/>
    <w:next w:val="Normal"/>
    <w:uiPriority w:val="99"/>
    <w:rsid w:val="003E0FFE"/>
    <w:pPr>
      <w:widowControl w:val="0"/>
      <w:autoSpaceDE w:val="0"/>
      <w:autoSpaceDN w:val="0"/>
      <w:adjustRightInd w:val="0"/>
      <w:spacing w:line="200" w:lineRule="atLeast"/>
    </w:pPr>
    <w:rPr>
      <w:rFonts w:ascii="MDJHP B+ Melior" w:hAnsi="MDJHP B+ Melior"/>
    </w:rPr>
  </w:style>
  <w:style w:type="paragraph" w:customStyle="1" w:styleId="VTBODYTEXT">
    <w:name w:val="VT BODY TEXT"/>
    <w:basedOn w:val="Normal"/>
    <w:rsid w:val="003E0F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240"/>
      <w:jc w:val="both"/>
    </w:pPr>
    <w:rPr>
      <w:snapToGrid w:val="0"/>
      <w:sz w:val="22"/>
      <w:szCs w:val="20"/>
    </w:rPr>
  </w:style>
  <w:style w:type="paragraph" w:styleId="NormalWeb">
    <w:name w:val="Normal (Web)"/>
    <w:basedOn w:val="Normal"/>
    <w:uiPriority w:val="99"/>
    <w:semiHidden/>
    <w:unhideWhenUsed/>
    <w:rsid w:val="003E0FFE"/>
    <w:pPr>
      <w:spacing w:before="100" w:beforeAutospacing="1" w:after="100" w:afterAutospacing="1"/>
    </w:pPr>
  </w:style>
  <w:style w:type="paragraph" w:styleId="NoSpacing">
    <w:name w:val="No Spacing"/>
    <w:uiPriority w:val="1"/>
    <w:qFormat/>
    <w:rsid w:val="003E0FFE"/>
    <w:pPr>
      <w:spacing w:after="0" w:line="240" w:lineRule="auto"/>
    </w:pPr>
    <w:rPr>
      <w:rFonts w:ascii="Calibri" w:eastAsia="Calibri" w:hAnsi="Calibri" w:cs="Times New Roman"/>
      <w:kern w:val="0"/>
      <w14:ligatures w14:val="none"/>
    </w:rPr>
  </w:style>
  <w:style w:type="paragraph" w:customStyle="1" w:styleId="BodyText0">
    <w:name w:val="Body Text***"/>
    <w:basedOn w:val="Normal"/>
    <w:link w:val="BodyTextChar0"/>
    <w:rsid w:val="003E0FFE"/>
    <w:pPr>
      <w:spacing w:after="240"/>
      <w:jc w:val="both"/>
    </w:pPr>
    <w:rPr>
      <w:sz w:val="22"/>
    </w:rPr>
  </w:style>
  <w:style w:type="character" w:customStyle="1" w:styleId="BodyTextChar0">
    <w:name w:val="Body Text*** Char"/>
    <w:basedOn w:val="DefaultParagraphFont"/>
    <w:link w:val="BodyText0"/>
    <w:rsid w:val="003E0FFE"/>
    <w:rPr>
      <w:rFonts w:ascii="Times New Roman" w:eastAsia="Times New Roman" w:hAnsi="Times New Roman" w:cs="Times New Roman"/>
      <w:kern w:val="0"/>
      <w:szCs w:val="24"/>
      <w14:ligatures w14:val="none"/>
    </w:rPr>
  </w:style>
  <w:style w:type="paragraph" w:styleId="BlockText">
    <w:name w:val="Block Text"/>
    <w:basedOn w:val="Normal"/>
    <w:rsid w:val="003E0FFE"/>
    <w:pPr>
      <w:ind w:left="-288" w:right="-288"/>
      <w:jc w:val="both"/>
    </w:pPr>
    <w:rPr>
      <w:sz w:val="22"/>
      <w:szCs w:val="20"/>
    </w:rPr>
  </w:style>
  <w:style w:type="character" w:customStyle="1" w:styleId="ff-addressfont">
    <w:name w:val="ff-address_font"/>
    <w:basedOn w:val="DefaultParagraphFont"/>
    <w:rsid w:val="003E0FFE"/>
  </w:style>
  <w:style w:type="paragraph" w:customStyle="1" w:styleId="text">
    <w:name w:val="text"/>
    <w:basedOn w:val="Normal"/>
    <w:rsid w:val="003E0FFE"/>
    <w:pPr>
      <w:spacing w:before="100" w:beforeAutospacing="1" w:after="100" w:afterAutospacing="1"/>
    </w:pPr>
    <w:rPr>
      <w:rFonts w:ascii="Verdana" w:hAnsi="Verdana"/>
      <w:color w:val="000000"/>
      <w:sz w:val="20"/>
      <w:szCs w:val="20"/>
    </w:rPr>
  </w:style>
  <w:style w:type="character" w:customStyle="1" w:styleId="normaltextrun">
    <w:name w:val="normaltextrun"/>
    <w:basedOn w:val="DefaultParagraphFont"/>
    <w:rsid w:val="003E0FFE"/>
  </w:style>
  <w:style w:type="character" w:styleId="Mention">
    <w:name w:val="Mention"/>
    <w:basedOn w:val="DefaultParagraphFont"/>
    <w:uiPriority w:val="99"/>
    <w:unhideWhenUsed/>
    <w:rsid w:val="003E0FFE"/>
    <w:rPr>
      <w:color w:val="2B579A"/>
      <w:shd w:val="clear" w:color="auto" w:fill="E6E6E6"/>
    </w:rPr>
  </w:style>
  <w:style w:type="character" w:styleId="UnresolvedMention">
    <w:name w:val="Unresolved Mention"/>
    <w:basedOn w:val="DefaultParagraphFont"/>
    <w:uiPriority w:val="99"/>
    <w:unhideWhenUsed/>
    <w:rsid w:val="003E0FFE"/>
    <w:rPr>
      <w:color w:val="605E5C"/>
      <w:shd w:val="clear" w:color="auto" w:fill="E1DFDD"/>
    </w:rPr>
  </w:style>
  <w:style w:type="paragraph" w:customStyle="1" w:styleId="paragraph">
    <w:name w:val="paragraph"/>
    <w:basedOn w:val="Normal"/>
    <w:rsid w:val="003E0FFE"/>
    <w:pPr>
      <w:spacing w:before="100" w:beforeAutospacing="1" w:after="100" w:afterAutospacing="1"/>
    </w:pPr>
  </w:style>
  <w:style w:type="character" w:customStyle="1" w:styleId="eop">
    <w:name w:val="eop"/>
    <w:basedOn w:val="DefaultParagraphFont"/>
    <w:rsid w:val="003E0FFE"/>
  </w:style>
  <w:style w:type="character" w:customStyle="1" w:styleId="contextualspellingandgrammarerror">
    <w:name w:val="contextualspellingandgrammarerror"/>
    <w:basedOn w:val="DefaultParagraphFont"/>
    <w:rsid w:val="003E0FFE"/>
  </w:style>
  <w:style w:type="paragraph" w:styleId="TOCHeading">
    <w:name w:val="TOC Heading"/>
    <w:basedOn w:val="Heading1"/>
    <w:next w:val="Normal"/>
    <w:uiPriority w:val="39"/>
    <w:unhideWhenUsed/>
    <w:qFormat/>
    <w:rsid w:val="003E0FFE"/>
    <w:pPr>
      <w:keepLines/>
      <w:pBdr>
        <w:top w:val="none" w:sz="0" w:space="0" w:color="auto"/>
      </w:pBdr>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customStyle="1" w:styleId="Style1">
    <w:name w:val="Style1"/>
    <w:basedOn w:val="Heading1"/>
    <w:link w:val="Style1Char"/>
    <w:qFormat/>
    <w:rsid w:val="003E0FFE"/>
    <w:pPr>
      <w:pBdr>
        <w:top w:val="none" w:sz="0" w:space="0" w:color="auto"/>
      </w:pBdr>
      <w:jc w:val="left"/>
    </w:pPr>
    <w:rPr>
      <w:rFonts w:ascii="Times New Roman" w:hAnsi="Times New Roman"/>
      <w:i/>
      <w:sz w:val="22"/>
      <w:u w:val="single"/>
    </w:rPr>
  </w:style>
  <w:style w:type="paragraph" w:styleId="TOC1">
    <w:name w:val="toc 1"/>
    <w:basedOn w:val="Normal"/>
    <w:next w:val="Normal"/>
    <w:autoRedefine/>
    <w:uiPriority w:val="39"/>
    <w:unhideWhenUsed/>
    <w:rsid w:val="003E0FFE"/>
    <w:pPr>
      <w:spacing w:after="100"/>
    </w:pPr>
  </w:style>
  <w:style w:type="character" w:customStyle="1" w:styleId="ListBulletChar">
    <w:name w:val="List Bullet Char"/>
    <w:basedOn w:val="DefaultParagraphFont"/>
    <w:link w:val="ListBullet"/>
    <w:rsid w:val="003E0FFE"/>
    <w:rPr>
      <w:rFonts w:ascii="Times New Roman" w:eastAsia="Times New Roman" w:hAnsi="Times New Roman" w:cs="Times New Roman"/>
      <w:kern w:val="24"/>
      <w14:ligatures w14:val="none"/>
    </w:rPr>
  </w:style>
  <w:style w:type="character" w:customStyle="1" w:styleId="Style1Char">
    <w:name w:val="Style1 Char"/>
    <w:basedOn w:val="ListBulletChar"/>
    <w:link w:val="Style1"/>
    <w:rsid w:val="003E0FFE"/>
    <w:rPr>
      <w:rFonts w:ascii="Times New Roman" w:eastAsia="Times New Roman" w:hAnsi="Times New Roman" w:cs="Times New Roman"/>
      <w:b/>
      <w:bCs/>
      <w:i/>
      <w:kern w:val="32"/>
      <w:szCs w:val="36"/>
      <w:u w:val="single"/>
      <w14:ligatures w14:val="none"/>
    </w:rPr>
  </w:style>
  <w:style w:type="paragraph" w:styleId="TOC2">
    <w:name w:val="toc 2"/>
    <w:basedOn w:val="Normal"/>
    <w:next w:val="Normal"/>
    <w:autoRedefine/>
    <w:uiPriority w:val="39"/>
    <w:unhideWhenUsed/>
    <w:rsid w:val="003E0FFE"/>
    <w:pPr>
      <w:spacing w:after="100" w:line="259" w:lineRule="auto"/>
      <w:ind w:left="220"/>
    </w:pPr>
    <w:rPr>
      <w:rFonts w:asciiTheme="minorHAnsi" w:eastAsiaTheme="minorEastAsia" w:hAnsiTheme="minorHAnsi"/>
      <w:sz w:val="22"/>
      <w:szCs w:val="22"/>
    </w:rPr>
  </w:style>
  <w:style w:type="paragraph" w:styleId="TOC3">
    <w:name w:val="toc 3"/>
    <w:basedOn w:val="Normal"/>
    <w:next w:val="Normal"/>
    <w:autoRedefine/>
    <w:uiPriority w:val="39"/>
    <w:unhideWhenUsed/>
    <w:rsid w:val="003E0FFE"/>
    <w:pPr>
      <w:spacing w:after="100" w:line="259" w:lineRule="auto"/>
      <w:ind w:left="440"/>
    </w:pPr>
    <w:rPr>
      <w:rFonts w:asciiTheme="minorHAnsi" w:eastAsiaTheme="minorEastAsia" w:hAnsiTheme="minorHAnsi"/>
      <w:sz w:val="22"/>
      <w:szCs w:val="22"/>
    </w:rPr>
  </w:style>
  <w:style w:type="character" w:customStyle="1" w:styleId="MSGENFONTSTYLENAMETEMPLATEROLENUMBERMSGENFONTSTYLENAMEBYROLETEXT3">
    <w:name w:val="MSG_EN_FONT_STYLE_NAME_TEMPLATE_ROLE_NUMBER MSG_EN_FONT_STYLE_NAME_BY_ROLE_TEXT 3_"/>
    <w:basedOn w:val="DefaultParagraphFont"/>
    <w:link w:val="MSGENFONTSTYLENAMETEMPLATEROLENUMBERMSGENFONTSTYLENAMEBYROLETEXT30"/>
    <w:locked/>
    <w:rsid w:val="003E0FFE"/>
    <w:rPr>
      <w:rFonts w:ascii="Arial" w:eastAsia="Arial" w:hAnsi="Arial" w:cs="Arial"/>
      <w:b/>
      <w:bCs/>
      <w:sz w:val="18"/>
      <w:szCs w:val="18"/>
      <w:shd w:val="clear" w:color="auto" w:fill="FFFFFF"/>
    </w:rPr>
  </w:style>
  <w:style w:type="paragraph" w:customStyle="1" w:styleId="MSGENFONTSTYLENAMETEMPLATEROLENUMBERMSGENFONTSTYLENAMEBYROLETEXT30">
    <w:name w:val="MSG_EN_FONT_STYLE_NAME_TEMPLATE_ROLE_NUMBER MSG_EN_FONT_STYLE_NAME_BY_ROLE_TEXT 3"/>
    <w:basedOn w:val="Normal"/>
    <w:link w:val="MSGENFONTSTYLENAMETEMPLATEROLENUMBERMSGENFONTSTYLENAMEBYROLETEXT3"/>
    <w:rsid w:val="003E0FFE"/>
    <w:pPr>
      <w:widowControl w:val="0"/>
      <w:shd w:val="clear" w:color="auto" w:fill="FFFFFF"/>
      <w:spacing w:after="120" w:line="200" w:lineRule="exact"/>
      <w:jc w:val="center"/>
    </w:pPr>
    <w:rPr>
      <w:rFonts w:ascii="Arial" w:eastAsia="Arial" w:hAnsi="Arial" w:cs="Arial"/>
      <w:b/>
      <w:bCs/>
      <w:kern w:val="2"/>
      <w:sz w:val="18"/>
      <w:szCs w:val="18"/>
      <w14:ligatures w14:val="standardContextual"/>
    </w:rPr>
  </w:style>
  <w:style w:type="paragraph" w:customStyle="1" w:styleId="EndNoteBibliographyTitle">
    <w:name w:val="EndNote Bibliography Title"/>
    <w:basedOn w:val="Normal"/>
    <w:link w:val="EndNoteBibliographyTitleChar"/>
    <w:rsid w:val="003E0FFE"/>
    <w:pPr>
      <w:jc w:val="center"/>
    </w:pPr>
    <w:rPr>
      <w:noProof/>
    </w:rPr>
  </w:style>
  <w:style w:type="character" w:customStyle="1" w:styleId="EndNoteBibliographyTitleChar">
    <w:name w:val="EndNote Bibliography Title Char"/>
    <w:basedOn w:val="DefaultParagraphFont"/>
    <w:link w:val="EndNoteBibliographyTitle"/>
    <w:rsid w:val="003E0FFE"/>
    <w:rPr>
      <w:rFonts w:ascii="Times New Roman" w:eastAsia="Times New Roman" w:hAnsi="Times New Roman" w:cs="Times New Roman"/>
      <w:noProof/>
      <w:kern w:val="0"/>
      <w:sz w:val="24"/>
      <w:szCs w:val="24"/>
      <w14:ligatures w14:val="none"/>
    </w:rPr>
  </w:style>
  <w:style w:type="paragraph" w:customStyle="1" w:styleId="EndNoteBibliography">
    <w:name w:val="EndNote Bibliography"/>
    <w:basedOn w:val="Normal"/>
    <w:link w:val="EndNoteBibliographyChar"/>
    <w:rsid w:val="003E0FFE"/>
    <w:rPr>
      <w:noProof/>
    </w:rPr>
  </w:style>
  <w:style w:type="character" w:customStyle="1" w:styleId="EndNoteBibliographyChar">
    <w:name w:val="EndNote Bibliography Char"/>
    <w:basedOn w:val="DefaultParagraphFont"/>
    <w:link w:val="EndNoteBibliography"/>
    <w:rsid w:val="003E0FFE"/>
    <w:rPr>
      <w:rFonts w:ascii="Times New Roman" w:eastAsia="Times New Roman" w:hAnsi="Times New Roman" w:cs="Times New Roman"/>
      <w:noProof/>
      <w:kern w:val="0"/>
      <w:sz w:val="24"/>
      <w:szCs w:val="24"/>
      <w14:ligatures w14:val="none"/>
    </w:rPr>
  </w:style>
  <w:style w:type="character" w:customStyle="1" w:styleId="cf01">
    <w:name w:val="cf01"/>
    <w:basedOn w:val="DefaultParagraphFont"/>
    <w:rsid w:val="003E0FFE"/>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hyperlink" Target="http://www.bls.gov/oes/current/oes_nat.htm"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14</Pages>
  <Words>5016</Words>
  <Characters>28597</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Bitsko, Rebecca (Becky) (CDC/NCBDDD/DHDD)</dc:creator>
  <cp:lastModifiedBy>Joyce, Kevin J. (CDC/OD/OS)</cp:lastModifiedBy>
  <cp:revision>3</cp:revision>
  <dcterms:created xsi:type="dcterms:W3CDTF">2025-04-29T11:02:00Z</dcterms:created>
  <dcterms:modified xsi:type="dcterms:W3CDTF">2025-04-29T11:22:00Z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a67cb716-7c34-4f22-8946-d119c9a01f4a</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2025-04-14T17:44:04Z</vt:lpwstr>
  </property>
  <property fmtid="{D5CDD505-2E9C-101B-9397-08002B2CF9AE}" pid="8" name="MSIP_Label_7b94a7b8-f06c-4dfe-bdcc-9b548fd58c31_SiteId">
    <vt:lpwstr>9ce70869-60db-44fd-abe8-d2767077fc8f</vt:lpwstr>
  </property>
</Properties>
</file>